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0C0842" w:rsidRPr="000C0842" w14:paraId="7D1316D8" w14:textId="77777777" w:rsidTr="00985854">
        <w:trPr>
          <w:trHeight w:val="851"/>
        </w:trPr>
        <w:tc>
          <w:tcPr>
            <w:tcW w:w="454" w:type="pct"/>
            <w:tcBorders>
              <w:bottom w:val="single" w:sz="8" w:space="0" w:color="auto"/>
            </w:tcBorders>
            <w:vAlign w:val="bottom"/>
          </w:tcPr>
          <w:p w14:paraId="29D3F4CA" w14:textId="253091DA" w:rsidR="00BE4712" w:rsidRPr="000C0842" w:rsidRDefault="008C6006" w:rsidP="00985854">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0C0842">
              <w:rPr>
                <w:rFonts w:eastAsia="Times New Roman"/>
                <w:noProof/>
                <w:sz w:val="24"/>
                <w:szCs w:val="20"/>
              </w:rPr>
              <w:drawing>
                <wp:inline distT="0" distB="0" distL="0" distR="0" wp14:anchorId="71CB19FE" wp14:editId="4C0CE16B">
                  <wp:extent cx="427990" cy="362585"/>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990" cy="362585"/>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362A0E8" w14:textId="7279FEAC" w:rsidR="00BE4712" w:rsidRPr="000C0842" w:rsidRDefault="008C6006" w:rsidP="00985854">
            <w:pPr>
              <w:tabs>
                <w:tab w:val="clear" w:pos="567"/>
                <w:tab w:val="clear" w:pos="1134"/>
                <w:tab w:val="clear" w:pos="1701"/>
                <w:tab w:val="clear" w:pos="2268"/>
              </w:tabs>
              <w:spacing w:before="60"/>
              <w:rPr>
                <w:rFonts w:eastAsia="Times New Roman"/>
                <w:b/>
                <w:sz w:val="24"/>
                <w:szCs w:val="20"/>
                <w:lang w:val="en-GB"/>
              </w:rPr>
            </w:pPr>
            <w:r w:rsidRPr="000C0842">
              <w:rPr>
                <w:noProof/>
              </w:rPr>
              <w:drawing>
                <wp:anchor distT="0" distB="0" distL="114300" distR="114300" simplePos="0" relativeHeight="251658240" behindDoc="0" locked="0" layoutInCell="1" allowOverlap="1" wp14:anchorId="17B11F1C" wp14:editId="24CD4919">
                  <wp:simplePos x="0" y="0"/>
                  <wp:positionH relativeFrom="column">
                    <wp:posOffset>465455</wp:posOffset>
                  </wp:positionH>
                  <wp:positionV relativeFrom="paragraph">
                    <wp:posOffset>43180</wp:posOffset>
                  </wp:positionV>
                  <wp:extent cx="180975" cy="191770"/>
                  <wp:effectExtent l="0" t="0" r="0" b="0"/>
                  <wp:wrapNone/>
                  <wp:docPr id="519504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BE4712" w:rsidRPr="000C0842">
              <w:rPr>
                <w:rFonts w:eastAsia="SimSun"/>
                <w:b/>
                <w:sz w:val="24"/>
                <w:szCs w:val="20"/>
                <w:lang w:val="en-GB"/>
              </w:rPr>
              <w:t>联合国</w:t>
            </w:r>
          </w:p>
          <w:p w14:paraId="39C3AE9C" w14:textId="77777777" w:rsidR="00BE4712" w:rsidRPr="000C0842" w:rsidRDefault="00BE4712" w:rsidP="00985854">
            <w:pPr>
              <w:tabs>
                <w:tab w:val="clear" w:pos="567"/>
                <w:tab w:val="clear" w:pos="1134"/>
                <w:tab w:val="clear" w:pos="1701"/>
                <w:tab w:val="clear" w:pos="2268"/>
              </w:tabs>
              <w:rPr>
                <w:rFonts w:eastAsia="Times New Roman"/>
                <w:b/>
                <w:sz w:val="24"/>
                <w:szCs w:val="20"/>
                <w:lang w:val="en-GB"/>
              </w:rPr>
            </w:pPr>
            <w:r w:rsidRPr="000C0842">
              <w:rPr>
                <w:rFonts w:eastAsia="SimSun"/>
                <w:b/>
                <w:sz w:val="24"/>
                <w:szCs w:val="20"/>
                <w:lang w:val="en-GB"/>
              </w:rPr>
              <w:t>环境规划署</w:t>
            </w:r>
          </w:p>
        </w:tc>
        <w:tc>
          <w:tcPr>
            <w:tcW w:w="2692" w:type="pct"/>
            <w:tcBorders>
              <w:bottom w:val="single" w:sz="8" w:space="0" w:color="auto"/>
            </w:tcBorders>
            <w:vAlign w:val="bottom"/>
          </w:tcPr>
          <w:p w14:paraId="230E77B5" w14:textId="12A87F37" w:rsidR="00BE4712" w:rsidRPr="000C0842" w:rsidRDefault="00BE4712" w:rsidP="00985854">
            <w:pPr>
              <w:tabs>
                <w:tab w:val="clear" w:pos="567"/>
                <w:tab w:val="clear" w:pos="1134"/>
                <w:tab w:val="clear" w:pos="1701"/>
                <w:tab w:val="clear" w:pos="2268"/>
              </w:tabs>
              <w:spacing w:after="120"/>
              <w:ind w:left="2021"/>
              <w:jc w:val="right"/>
              <w:rPr>
                <w:rFonts w:eastAsiaTheme="minorEastAsia"/>
                <w:szCs w:val="20"/>
                <w:lang w:val="en-GB"/>
              </w:rPr>
            </w:pPr>
            <w:r w:rsidRPr="000C0842">
              <w:rPr>
                <w:rFonts w:eastAsia="Times New Roman"/>
                <w:sz w:val="40"/>
                <w:szCs w:val="40"/>
                <w:lang w:val="en-GB"/>
              </w:rPr>
              <w:t>CBD</w:t>
            </w:r>
            <w:r w:rsidRPr="000C0842">
              <w:rPr>
                <w:rFonts w:eastAsia="Times New Roman"/>
                <w:sz w:val="24"/>
              </w:rPr>
              <w:t>/COP/16/</w:t>
            </w:r>
            <w:r w:rsidR="004E50B1" w:rsidRPr="000C0842">
              <w:rPr>
                <w:rFonts w:eastAsiaTheme="minorEastAsia" w:hint="eastAsia"/>
                <w:sz w:val="24"/>
              </w:rPr>
              <w:t>13</w:t>
            </w:r>
            <w:r w:rsidR="005630DC" w:rsidRPr="000C0842">
              <w:rPr>
                <w:rFonts w:eastAsiaTheme="minorEastAsia"/>
                <w:sz w:val="24"/>
              </w:rPr>
              <w:t>/Rev.1</w:t>
            </w:r>
          </w:p>
        </w:tc>
      </w:tr>
      <w:tr w:rsidR="000C0842" w:rsidRPr="000C0842" w14:paraId="0ED57E50" w14:textId="77777777" w:rsidTr="00985854">
        <w:tc>
          <w:tcPr>
            <w:tcW w:w="2308" w:type="pct"/>
            <w:gridSpan w:val="2"/>
            <w:tcBorders>
              <w:top w:val="single" w:sz="8" w:space="0" w:color="auto"/>
              <w:bottom w:val="single" w:sz="12" w:space="0" w:color="auto"/>
            </w:tcBorders>
          </w:tcPr>
          <w:p w14:paraId="6060503B" w14:textId="36FA2C56" w:rsidR="00BE4712" w:rsidRPr="000C0842" w:rsidRDefault="008C6006" w:rsidP="00985854">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0C0842">
              <w:rPr>
                <w:b/>
                <w:noProof/>
                <w:sz w:val="24"/>
                <w:szCs w:val="20"/>
              </w:rPr>
              <w:drawing>
                <wp:inline distT="0" distB="0" distL="0" distR="0" wp14:anchorId="01033624" wp14:editId="2060A72D">
                  <wp:extent cx="297561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561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9F2D9B2" w14:textId="51CC9FC3" w:rsidR="00BE4712" w:rsidRPr="000C0842" w:rsidRDefault="00BE4712" w:rsidP="00985854">
            <w:pPr>
              <w:tabs>
                <w:tab w:val="clear" w:pos="567"/>
                <w:tab w:val="clear" w:pos="1134"/>
                <w:tab w:val="clear" w:pos="1701"/>
                <w:tab w:val="clear" w:pos="2268"/>
              </w:tabs>
              <w:ind w:left="2021"/>
              <w:rPr>
                <w:rFonts w:eastAsiaTheme="minorEastAsia"/>
                <w:sz w:val="24"/>
                <w:szCs w:val="20"/>
                <w:lang w:val="en-GB"/>
              </w:rPr>
            </w:pPr>
            <w:r w:rsidRPr="000C0842">
              <w:rPr>
                <w:rFonts w:eastAsia="Times New Roman"/>
                <w:sz w:val="24"/>
                <w:szCs w:val="20"/>
                <w:lang w:val="en-GB"/>
              </w:rPr>
              <w:t xml:space="preserve">Distr.: </w:t>
            </w:r>
            <w:r w:rsidR="004E50B1" w:rsidRPr="000C0842">
              <w:rPr>
                <w:rFonts w:eastAsiaTheme="minorEastAsia" w:hint="eastAsia"/>
                <w:sz w:val="24"/>
                <w:szCs w:val="20"/>
                <w:lang w:val="en-GB"/>
              </w:rPr>
              <w:t>General</w:t>
            </w:r>
          </w:p>
          <w:p w14:paraId="249681F1" w14:textId="5BD81829" w:rsidR="00BE4712" w:rsidRPr="000C0842" w:rsidRDefault="005630DC" w:rsidP="00985854">
            <w:pPr>
              <w:tabs>
                <w:tab w:val="clear" w:pos="567"/>
                <w:tab w:val="clear" w:pos="1134"/>
                <w:tab w:val="clear" w:pos="1701"/>
                <w:tab w:val="clear" w:pos="2268"/>
              </w:tabs>
              <w:ind w:left="2021"/>
              <w:rPr>
                <w:sz w:val="24"/>
                <w:szCs w:val="20"/>
              </w:rPr>
            </w:pPr>
            <w:r w:rsidRPr="000C0842">
              <w:rPr>
                <w:sz w:val="24"/>
                <w:szCs w:val="20"/>
              </w:rPr>
              <w:t>11 March</w:t>
            </w:r>
            <w:r w:rsidR="00BE4712" w:rsidRPr="000C0842">
              <w:rPr>
                <w:rFonts w:eastAsia="Times New Roman"/>
                <w:sz w:val="24"/>
                <w:szCs w:val="20"/>
              </w:rPr>
              <w:t xml:space="preserve"> 202</w:t>
            </w:r>
            <w:r w:rsidRPr="000C0842">
              <w:rPr>
                <w:rFonts w:eastAsiaTheme="minorEastAsia"/>
                <w:sz w:val="24"/>
                <w:szCs w:val="20"/>
              </w:rPr>
              <w:t>6</w:t>
            </w:r>
          </w:p>
          <w:p w14:paraId="3D03D331" w14:textId="77777777" w:rsidR="00BE4712" w:rsidRPr="000C0842" w:rsidRDefault="00BE4712" w:rsidP="00985854">
            <w:pPr>
              <w:tabs>
                <w:tab w:val="clear" w:pos="567"/>
                <w:tab w:val="clear" w:pos="1134"/>
                <w:tab w:val="clear" w:pos="1701"/>
                <w:tab w:val="clear" w:pos="2268"/>
              </w:tabs>
              <w:ind w:left="2021"/>
              <w:rPr>
                <w:rFonts w:eastAsia="Times New Roman"/>
                <w:sz w:val="24"/>
                <w:szCs w:val="20"/>
                <w:lang w:val="en-GB"/>
              </w:rPr>
            </w:pPr>
            <w:r w:rsidRPr="000C0842">
              <w:rPr>
                <w:rFonts w:eastAsia="Times New Roman"/>
                <w:sz w:val="24"/>
                <w:szCs w:val="20"/>
                <w:lang w:val="en-GB"/>
              </w:rPr>
              <w:t>Chinese</w:t>
            </w:r>
          </w:p>
          <w:p w14:paraId="56C9D411" w14:textId="77777777" w:rsidR="00BE4712" w:rsidRPr="000C0842" w:rsidRDefault="00BE4712" w:rsidP="00985854">
            <w:pPr>
              <w:tabs>
                <w:tab w:val="clear" w:pos="567"/>
                <w:tab w:val="clear" w:pos="1134"/>
                <w:tab w:val="clear" w:pos="1701"/>
                <w:tab w:val="clear" w:pos="2268"/>
              </w:tabs>
              <w:ind w:left="2021"/>
              <w:rPr>
                <w:rFonts w:eastAsia="Times New Roman"/>
                <w:sz w:val="24"/>
                <w:szCs w:val="20"/>
                <w:lang w:val="en-GB"/>
              </w:rPr>
            </w:pPr>
            <w:r w:rsidRPr="000C0842">
              <w:rPr>
                <w:rFonts w:eastAsia="Times New Roman"/>
                <w:sz w:val="24"/>
                <w:szCs w:val="20"/>
                <w:lang w:val="en-GB"/>
              </w:rPr>
              <w:t>Original: English</w:t>
            </w:r>
          </w:p>
          <w:p w14:paraId="17D98524" w14:textId="77777777" w:rsidR="00BE4712" w:rsidRPr="000C0842" w:rsidRDefault="00BE4712" w:rsidP="00985854">
            <w:pPr>
              <w:tabs>
                <w:tab w:val="clear" w:pos="567"/>
                <w:tab w:val="clear" w:pos="1134"/>
                <w:tab w:val="clear" w:pos="1701"/>
                <w:tab w:val="clear" w:pos="2268"/>
              </w:tabs>
              <w:rPr>
                <w:rFonts w:eastAsia="Times New Roman"/>
                <w:sz w:val="24"/>
                <w:szCs w:val="24"/>
                <w:lang w:val="en-GB"/>
              </w:rPr>
            </w:pPr>
          </w:p>
        </w:tc>
      </w:tr>
    </w:tbl>
    <w:bookmarkEnd w:id="0"/>
    <w:bookmarkEnd w:id="1"/>
    <w:p w14:paraId="2F5B7A70" w14:textId="77777777" w:rsidR="00BE4712" w:rsidRPr="000C0842" w:rsidRDefault="00BE4712" w:rsidP="0058717B">
      <w:pPr>
        <w:pStyle w:val="Cornernotation"/>
        <w:spacing w:before="120"/>
        <w:ind w:left="0" w:right="0" w:firstLine="0"/>
        <w:rPr>
          <w:rFonts w:ascii="SimSun" w:eastAsia="SimSun" w:hAnsi="SimSun"/>
          <w:bCs/>
          <w:szCs w:val="24"/>
          <w:lang w:val="en-GB"/>
        </w:rPr>
      </w:pPr>
      <w:r w:rsidRPr="000C0842">
        <w:rPr>
          <w:rFonts w:ascii="SimSun" w:eastAsia="SimSun" w:hAnsi="SimSun"/>
          <w:bCs/>
          <w:szCs w:val="24"/>
          <w:lang w:val="en-GB"/>
        </w:rPr>
        <w:t>生物多样性公约缔约方大会</w:t>
      </w:r>
    </w:p>
    <w:p w14:paraId="6374D714" w14:textId="77777777" w:rsidR="00BE4712" w:rsidRPr="000C0842" w:rsidRDefault="00BE4712" w:rsidP="0058717B">
      <w:pPr>
        <w:pStyle w:val="Cornernotation"/>
        <w:ind w:left="0" w:right="0" w:firstLine="0"/>
        <w:rPr>
          <w:rFonts w:ascii="SimSun" w:eastAsia="SimSun" w:hAnsi="SimSun"/>
          <w:bCs/>
          <w:szCs w:val="24"/>
        </w:rPr>
      </w:pPr>
      <w:r w:rsidRPr="000C0842">
        <w:rPr>
          <w:rFonts w:ascii="SimSun" w:eastAsia="SimSun" w:hAnsi="SimSun"/>
          <w:bCs/>
          <w:szCs w:val="24"/>
        </w:rPr>
        <w:t>第十六届会议</w:t>
      </w:r>
    </w:p>
    <w:p w14:paraId="146C038B" w14:textId="77777777" w:rsidR="00BE4712" w:rsidRPr="000C0842" w:rsidRDefault="00BE4712" w:rsidP="0058717B">
      <w:pPr>
        <w:pStyle w:val="Cornernotation"/>
        <w:ind w:left="0" w:right="0" w:firstLine="0"/>
        <w:rPr>
          <w:rFonts w:ascii="SimSun" w:eastAsia="SimSun" w:hAnsi="SimSun"/>
          <w:b w:val="0"/>
          <w:szCs w:val="24"/>
        </w:rPr>
      </w:pPr>
      <w:smartTag w:uri="urn:schemas-microsoft-com:office:smarttags" w:element="chsdate">
        <w:smartTagPr>
          <w:attr w:name="IsROCDate" w:val="False"/>
          <w:attr w:name="IsLunarDate" w:val="False"/>
          <w:attr w:name="Day" w:val="21"/>
          <w:attr w:name="Month" w:val="10"/>
          <w:attr w:name="Year" w:val="2024"/>
        </w:smartTagPr>
        <w:r w:rsidRPr="000C0842">
          <w:rPr>
            <w:rFonts w:ascii="SimSun" w:eastAsia="SimSun" w:hAnsi="SimSun"/>
            <w:b w:val="0"/>
            <w:szCs w:val="24"/>
          </w:rPr>
          <w:t>2024年10月21日</w:t>
        </w:r>
      </w:smartTag>
      <w:r w:rsidRPr="000C0842">
        <w:rPr>
          <w:rFonts w:ascii="SimSun" w:eastAsia="SimSun" w:hAnsi="SimSun"/>
          <w:b w:val="0"/>
          <w:szCs w:val="24"/>
        </w:rPr>
        <w:t>至</w:t>
      </w:r>
      <w:smartTag w:uri="urn:schemas-microsoft-com:office:smarttags" w:element="chsdate">
        <w:smartTagPr>
          <w:attr w:name="IsROCDate" w:val="False"/>
          <w:attr w:name="IsLunarDate" w:val="False"/>
          <w:attr w:name="Day" w:val="1"/>
          <w:attr w:name="Month" w:val="11"/>
          <w:attr w:name="Year" w:val="2024"/>
        </w:smartTagPr>
        <w:r w:rsidRPr="000C0842">
          <w:rPr>
            <w:rFonts w:ascii="SimSun" w:eastAsia="SimSun" w:hAnsi="SimSun"/>
            <w:b w:val="0"/>
            <w:szCs w:val="24"/>
          </w:rPr>
          <w:t>11月1日</w:t>
        </w:r>
      </w:smartTag>
      <w:r w:rsidRPr="000C0842">
        <w:rPr>
          <w:rFonts w:ascii="SimSun" w:eastAsia="SimSun" w:hAnsi="SimSun"/>
          <w:b w:val="0"/>
          <w:szCs w:val="24"/>
        </w:rPr>
        <w:t>，哥伦比亚卡利</w:t>
      </w:r>
    </w:p>
    <w:p w14:paraId="263436D3" w14:textId="4B631FC6" w:rsidR="00D53F4D" w:rsidRPr="000C0842" w:rsidRDefault="00D53F4D" w:rsidP="0058717B">
      <w:pPr>
        <w:pStyle w:val="Cornernotation"/>
        <w:ind w:left="0" w:right="0" w:firstLine="0"/>
        <w:rPr>
          <w:rFonts w:ascii="SimSun" w:eastAsia="SimSun" w:hAnsi="SimSun"/>
          <w:b w:val="0"/>
          <w:szCs w:val="24"/>
        </w:rPr>
      </w:pPr>
      <w:r w:rsidRPr="000C0842">
        <w:rPr>
          <w:rFonts w:ascii="SimSun" w:eastAsia="SimSun" w:hAnsi="SimSun"/>
          <w:b w:val="0"/>
          <w:szCs w:val="24"/>
        </w:rPr>
        <w:t>2024年12月3日至6日，在线</w:t>
      </w:r>
    </w:p>
    <w:p w14:paraId="301C782B" w14:textId="34F48605" w:rsidR="00D53F4D" w:rsidRPr="000C0842" w:rsidRDefault="00D53F4D" w:rsidP="0058717B">
      <w:pPr>
        <w:pStyle w:val="Cornernotation"/>
        <w:ind w:left="0" w:right="0" w:firstLine="0"/>
        <w:rPr>
          <w:rFonts w:ascii="SimSun" w:eastAsia="SimSun" w:hAnsi="SimSun"/>
          <w:b w:val="0"/>
          <w:szCs w:val="24"/>
        </w:rPr>
      </w:pPr>
      <w:r w:rsidRPr="000C0842">
        <w:rPr>
          <w:rFonts w:ascii="SimSun" w:eastAsia="SimSun" w:hAnsi="SimSun"/>
          <w:b w:val="0"/>
          <w:szCs w:val="24"/>
        </w:rPr>
        <w:t>202</w:t>
      </w:r>
      <w:r w:rsidR="009A1080" w:rsidRPr="000C0842">
        <w:rPr>
          <w:rFonts w:ascii="SimSun" w:eastAsia="SimSun" w:hAnsi="SimSun"/>
          <w:b w:val="0"/>
          <w:szCs w:val="24"/>
        </w:rPr>
        <w:t>5</w:t>
      </w:r>
      <w:r w:rsidRPr="000C0842">
        <w:rPr>
          <w:rFonts w:ascii="SimSun" w:eastAsia="SimSun" w:hAnsi="SimSun"/>
          <w:b w:val="0"/>
          <w:szCs w:val="24"/>
        </w:rPr>
        <w:t>年2月25日至27日，罗马</w:t>
      </w:r>
    </w:p>
    <w:p w14:paraId="0ED0A6D8" w14:textId="77777777" w:rsidR="00BE4712" w:rsidRPr="000C0842" w:rsidRDefault="00BE4712" w:rsidP="0058717B">
      <w:pPr>
        <w:pStyle w:val="Cornernotation"/>
        <w:ind w:left="0" w:right="0" w:firstLine="0"/>
        <w:rPr>
          <w:rFonts w:ascii="SimSun" w:eastAsia="SimSun" w:hAnsi="SimSun"/>
          <w:b w:val="0"/>
          <w:szCs w:val="24"/>
        </w:rPr>
      </w:pPr>
      <w:r w:rsidRPr="000C0842">
        <w:rPr>
          <w:rFonts w:ascii="SimSun" w:eastAsia="SimSun" w:hAnsi="SimSun"/>
          <w:b w:val="0"/>
          <w:szCs w:val="24"/>
        </w:rPr>
        <w:t>议程项目30</w:t>
      </w:r>
    </w:p>
    <w:p w14:paraId="759D5A8C" w14:textId="77777777" w:rsidR="00BE4712" w:rsidRPr="000C0842" w:rsidRDefault="00BE4712" w:rsidP="0058717B">
      <w:pPr>
        <w:pStyle w:val="Cornernotation"/>
        <w:ind w:left="0" w:right="0" w:firstLine="0"/>
        <w:rPr>
          <w:rFonts w:ascii="SimSun" w:eastAsia="SimSun" w:hAnsi="SimSun"/>
          <w:bCs/>
          <w:szCs w:val="24"/>
        </w:rPr>
      </w:pPr>
      <w:r w:rsidRPr="000C0842">
        <w:rPr>
          <w:rFonts w:ascii="SimSun" w:eastAsia="SimSun" w:hAnsi="SimSun"/>
          <w:bCs/>
          <w:szCs w:val="24"/>
        </w:rPr>
        <w:t>通过报告</w:t>
      </w:r>
    </w:p>
    <w:p w14:paraId="29FAC3E8" w14:textId="29392E15" w:rsidR="00BE4712" w:rsidRPr="000C0842" w:rsidRDefault="004E50B1" w:rsidP="004E50B1">
      <w:pPr>
        <w:pStyle w:val="CBDTitle"/>
        <w:tabs>
          <w:tab w:val="clear" w:pos="567"/>
          <w:tab w:val="clear" w:pos="1134"/>
          <w:tab w:val="clear" w:pos="1701"/>
          <w:tab w:val="clear" w:pos="2268"/>
          <w:tab w:val="clear" w:pos="2835"/>
          <w:tab w:val="clear" w:pos="3402"/>
        </w:tabs>
        <w:spacing w:after="480"/>
        <w:ind w:left="490"/>
        <w:rPr>
          <w:rFonts w:ascii="SimSun" w:eastAsia="SimHei" w:hAnsi="SimSun"/>
          <w:b w:val="0"/>
          <w:szCs w:val="28"/>
          <w:lang w:val="en-US" w:eastAsia="zh-CN"/>
        </w:rPr>
      </w:pPr>
      <w:r w:rsidRPr="000C0842">
        <w:rPr>
          <w:rFonts w:ascii="SimSun" w:eastAsia="SimHei" w:hAnsi="SimSun" w:hint="eastAsia"/>
          <w:b w:val="0"/>
          <w:szCs w:val="28"/>
          <w:lang w:val="en-US" w:eastAsia="zh-CN"/>
        </w:rPr>
        <w:t>生物多样性公约缔约方大会第十</w:t>
      </w:r>
      <w:r w:rsidR="00641743" w:rsidRPr="000C0842">
        <w:rPr>
          <w:rFonts w:ascii="SimSun" w:eastAsia="SimHei" w:hAnsi="SimSun" w:hint="eastAsia"/>
          <w:b w:val="0"/>
          <w:szCs w:val="28"/>
          <w:lang w:val="en-US" w:eastAsia="zh-CN"/>
        </w:rPr>
        <w:t>六</w:t>
      </w:r>
      <w:r w:rsidRPr="000C0842">
        <w:rPr>
          <w:rFonts w:ascii="SimSun" w:eastAsia="SimHei" w:hAnsi="SimSun" w:hint="eastAsia"/>
          <w:b w:val="0"/>
          <w:szCs w:val="28"/>
          <w:lang w:val="en-US" w:eastAsia="zh-CN"/>
        </w:rPr>
        <w:t>届会议报告</w:t>
      </w:r>
    </w:p>
    <w:tbl>
      <w:tblPr>
        <w:tblStyle w:val="TableGrid"/>
        <w:tblW w:w="0" w:type="auto"/>
        <w:tblInd w:w="562" w:type="dxa"/>
        <w:tblLook w:val="04A0" w:firstRow="1" w:lastRow="0" w:firstColumn="1" w:lastColumn="0" w:noHBand="0" w:noVBand="1"/>
      </w:tblPr>
      <w:tblGrid>
        <w:gridCol w:w="8788"/>
      </w:tblGrid>
      <w:tr w:rsidR="004E50B1" w:rsidRPr="000C0842" w14:paraId="70D24A5E" w14:textId="77777777" w:rsidTr="001F32B3">
        <w:tc>
          <w:tcPr>
            <w:tcW w:w="8788" w:type="dxa"/>
          </w:tcPr>
          <w:p w14:paraId="2652B873" w14:textId="77777777" w:rsidR="004E50B1" w:rsidRPr="000C0842" w:rsidRDefault="004E50B1" w:rsidP="004E50B1">
            <w:pPr>
              <w:tabs>
                <w:tab w:val="clear" w:pos="567"/>
                <w:tab w:val="clear" w:pos="1134"/>
                <w:tab w:val="clear" w:pos="1701"/>
                <w:tab w:val="clear" w:pos="2268"/>
              </w:tabs>
              <w:spacing w:after="160" w:line="259" w:lineRule="auto"/>
              <w:jc w:val="left"/>
              <w:rPr>
                <w:rFonts w:eastAsia="KaiTi"/>
                <w:sz w:val="24"/>
                <w:szCs w:val="24"/>
              </w:rPr>
            </w:pPr>
            <w:r w:rsidRPr="000C0842">
              <w:rPr>
                <w:rFonts w:eastAsia="KaiTi"/>
                <w:sz w:val="24"/>
                <w:szCs w:val="24"/>
              </w:rPr>
              <w:t>摘要</w:t>
            </w:r>
          </w:p>
          <w:p w14:paraId="4FAE67D6" w14:textId="2DCD1CB8" w:rsidR="004E50B1" w:rsidRPr="000C0842" w:rsidRDefault="004E50B1" w:rsidP="00646C83">
            <w:pPr>
              <w:tabs>
                <w:tab w:val="clear" w:pos="567"/>
                <w:tab w:val="clear" w:pos="1134"/>
                <w:tab w:val="clear" w:pos="1701"/>
                <w:tab w:val="clear" w:pos="2268"/>
              </w:tabs>
              <w:spacing w:after="160" w:line="259" w:lineRule="auto"/>
              <w:ind w:firstLine="490"/>
            </w:pPr>
            <w:r w:rsidRPr="000C0842">
              <w:rPr>
                <w:rFonts w:eastAsia="SimSun"/>
                <w:sz w:val="24"/>
                <w:szCs w:val="24"/>
              </w:rPr>
              <w:t>生物多样性公约缔约方大会于</w:t>
            </w:r>
            <w:r w:rsidRPr="000C0842">
              <w:rPr>
                <w:rFonts w:eastAsia="SimSun"/>
                <w:sz w:val="24"/>
                <w:szCs w:val="24"/>
              </w:rPr>
              <w:t>2024</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21</w:t>
            </w:r>
            <w:r w:rsidRPr="000C0842">
              <w:rPr>
                <w:rFonts w:eastAsia="SimSun"/>
                <w:sz w:val="24"/>
                <w:szCs w:val="24"/>
              </w:rPr>
              <w:t>日至</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日在哥伦比亚卡利</w:t>
            </w:r>
            <w:r w:rsidR="00641743" w:rsidRPr="000C0842">
              <w:rPr>
                <w:rFonts w:eastAsia="SimSun" w:hint="eastAsia"/>
                <w:sz w:val="24"/>
                <w:szCs w:val="24"/>
              </w:rPr>
              <w:t>、</w:t>
            </w:r>
            <w:r w:rsidRPr="000C0842">
              <w:rPr>
                <w:rFonts w:eastAsia="SimSun"/>
                <w:sz w:val="24"/>
                <w:szCs w:val="24"/>
              </w:rPr>
              <w:t>2024</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3</w:t>
            </w:r>
            <w:r w:rsidRPr="000C0842">
              <w:rPr>
                <w:rFonts w:eastAsia="SimSun"/>
                <w:sz w:val="24"/>
                <w:szCs w:val="24"/>
              </w:rPr>
              <w:t>日至</w:t>
            </w:r>
            <w:r w:rsidRPr="000C0842">
              <w:rPr>
                <w:rFonts w:eastAsia="SimSun"/>
                <w:sz w:val="24"/>
                <w:szCs w:val="24"/>
              </w:rPr>
              <w:t>6</w:t>
            </w:r>
            <w:r w:rsidRPr="000C0842">
              <w:rPr>
                <w:rFonts w:eastAsia="SimSun"/>
                <w:sz w:val="24"/>
                <w:szCs w:val="24"/>
              </w:rPr>
              <w:t>日</w:t>
            </w:r>
            <w:r w:rsidR="00641743" w:rsidRPr="000C0842">
              <w:rPr>
                <w:rFonts w:eastAsia="SimSun" w:hint="eastAsia"/>
                <w:sz w:val="24"/>
                <w:szCs w:val="24"/>
              </w:rPr>
              <w:t>在线、</w:t>
            </w:r>
            <w:r w:rsidRPr="000C0842">
              <w:rPr>
                <w:rFonts w:eastAsia="SimSun"/>
                <w:sz w:val="24"/>
                <w:szCs w:val="24"/>
              </w:rPr>
              <w:t>2025</w:t>
            </w:r>
            <w:r w:rsidRPr="000C0842">
              <w:rPr>
                <w:rFonts w:eastAsia="SimSun"/>
                <w:sz w:val="24"/>
                <w:szCs w:val="24"/>
              </w:rPr>
              <w:t>年</w:t>
            </w:r>
            <w:r w:rsidRPr="000C0842">
              <w:rPr>
                <w:rFonts w:eastAsia="SimSun"/>
                <w:sz w:val="24"/>
                <w:szCs w:val="24"/>
              </w:rPr>
              <w:t>2</w:t>
            </w:r>
            <w:r w:rsidRPr="000C0842">
              <w:rPr>
                <w:rFonts w:eastAsia="SimSun"/>
                <w:sz w:val="24"/>
                <w:szCs w:val="24"/>
              </w:rPr>
              <w:t>月</w:t>
            </w:r>
            <w:r w:rsidRPr="000C0842">
              <w:rPr>
                <w:rFonts w:eastAsia="SimSun"/>
                <w:sz w:val="24"/>
                <w:szCs w:val="24"/>
              </w:rPr>
              <w:t>25</w:t>
            </w:r>
            <w:r w:rsidRPr="000C0842">
              <w:rPr>
                <w:rFonts w:eastAsia="SimSun"/>
                <w:sz w:val="24"/>
                <w:szCs w:val="24"/>
              </w:rPr>
              <w:t>日至</w:t>
            </w:r>
            <w:r w:rsidRPr="000C0842">
              <w:rPr>
                <w:rFonts w:eastAsia="SimSun"/>
                <w:sz w:val="24"/>
                <w:szCs w:val="24"/>
              </w:rPr>
              <w:t>27</w:t>
            </w:r>
            <w:r w:rsidRPr="000C0842">
              <w:rPr>
                <w:rFonts w:eastAsia="SimSun"/>
                <w:sz w:val="24"/>
                <w:szCs w:val="24"/>
              </w:rPr>
              <w:t>日在罗马举行</w:t>
            </w:r>
            <w:r w:rsidR="00641743" w:rsidRPr="000C0842">
              <w:rPr>
                <w:rFonts w:eastAsia="SimSun" w:hint="eastAsia"/>
                <w:sz w:val="24"/>
                <w:szCs w:val="24"/>
              </w:rPr>
              <w:t>了</w:t>
            </w:r>
            <w:r w:rsidR="00641743" w:rsidRPr="000C0842">
              <w:rPr>
                <w:rFonts w:eastAsia="SimSun"/>
                <w:sz w:val="24"/>
                <w:szCs w:val="24"/>
              </w:rPr>
              <w:t>第十六</w:t>
            </w:r>
            <w:r w:rsidR="00641743" w:rsidRPr="000C0842">
              <w:rPr>
                <w:rFonts w:eastAsia="SimSun" w:hint="eastAsia"/>
                <w:sz w:val="24"/>
                <w:szCs w:val="24"/>
              </w:rPr>
              <w:t>届</w:t>
            </w:r>
            <w:r w:rsidR="00641743" w:rsidRPr="000C0842">
              <w:rPr>
                <w:rFonts w:eastAsia="SimSun"/>
                <w:sz w:val="24"/>
                <w:szCs w:val="24"/>
              </w:rPr>
              <w:t>会议</w:t>
            </w:r>
            <w:r w:rsidRPr="000C0842">
              <w:rPr>
                <w:rFonts w:eastAsia="SimSun"/>
                <w:sz w:val="24"/>
                <w:szCs w:val="24"/>
              </w:rPr>
              <w:t>。</w:t>
            </w:r>
            <w:r w:rsidR="00641743" w:rsidRPr="000C0842">
              <w:rPr>
                <w:rFonts w:eastAsia="SimSun" w:hint="eastAsia"/>
                <w:sz w:val="24"/>
                <w:szCs w:val="24"/>
              </w:rPr>
              <w:t>缔约方大会</w:t>
            </w:r>
            <w:r w:rsidRPr="000C0842">
              <w:rPr>
                <w:rFonts w:eastAsia="SimSun"/>
                <w:sz w:val="24"/>
                <w:szCs w:val="24"/>
              </w:rPr>
              <w:t>通过了</w:t>
            </w:r>
            <w:r w:rsidRPr="000C0842">
              <w:rPr>
                <w:rFonts w:eastAsia="SimSun"/>
                <w:sz w:val="24"/>
                <w:szCs w:val="24"/>
              </w:rPr>
              <w:t>37</w:t>
            </w:r>
            <w:r w:rsidRPr="000C0842">
              <w:rPr>
                <w:rFonts w:eastAsia="SimSun"/>
                <w:sz w:val="24"/>
                <w:szCs w:val="24"/>
              </w:rPr>
              <w:t>项决定</w:t>
            </w:r>
            <w:r w:rsidR="00641743" w:rsidRPr="000C0842">
              <w:rPr>
                <w:rFonts w:eastAsia="SimSun" w:hint="eastAsia"/>
                <w:sz w:val="24"/>
                <w:szCs w:val="24"/>
              </w:rPr>
              <w:t>，</w:t>
            </w:r>
            <w:r w:rsidRPr="000C0842">
              <w:rPr>
                <w:rFonts w:eastAsia="SimSun"/>
                <w:sz w:val="24"/>
                <w:szCs w:val="24"/>
              </w:rPr>
              <w:t>载于第一节，会议记录载于第二节。</w:t>
            </w:r>
          </w:p>
        </w:tc>
      </w:tr>
    </w:tbl>
    <w:p w14:paraId="744973A5" w14:textId="3A3769EC" w:rsidR="004E50B1" w:rsidRPr="000C0842" w:rsidRDefault="004E50B1" w:rsidP="004E50B1">
      <w:pPr>
        <w:pStyle w:val="CBDSubTitle"/>
        <w:rPr>
          <w:lang w:val="en-US" w:eastAsia="zh-CN"/>
        </w:rPr>
      </w:pPr>
    </w:p>
    <w:p w14:paraId="7AE75C7F" w14:textId="77777777" w:rsidR="004E50B1" w:rsidRPr="000C0842" w:rsidRDefault="004E50B1">
      <w:pPr>
        <w:tabs>
          <w:tab w:val="clear" w:pos="567"/>
          <w:tab w:val="clear" w:pos="1134"/>
          <w:tab w:val="clear" w:pos="1701"/>
          <w:tab w:val="clear" w:pos="2268"/>
        </w:tabs>
        <w:jc w:val="left"/>
      </w:pPr>
      <w:r w:rsidRPr="000C0842">
        <w:br w:type="page"/>
      </w:r>
    </w:p>
    <w:p w14:paraId="413357A6" w14:textId="69B65750" w:rsidR="00F112D7" w:rsidRPr="000C0842" w:rsidRDefault="00F112D7" w:rsidP="00596036">
      <w:pPr>
        <w:pStyle w:val="TOC1"/>
        <w:rPr>
          <w:noProof w:val="0"/>
        </w:rPr>
      </w:pPr>
      <w:r w:rsidRPr="000C0842">
        <w:rPr>
          <w:rFonts w:hint="eastAsia"/>
          <w:noProof w:val="0"/>
        </w:rPr>
        <w:lastRenderedPageBreak/>
        <w:t>目录</w:t>
      </w:r>
    </w:p>
    <w:p w14:paraId="306EB6C1" w14:textId="6728131D" w:rsidR="00F112D7" w:rsidRPr="000C0842" w:rsidRDefault="00F112D7" w:rsidP="001E29D4">
      <w:pPr>
        <w:rPr>
          <w:rFonts w:eastAsia="KaiTi"/>
          <w:sz w:val="24"/>
          <w:szCs w:val="24"/>
        </w:rPr>
      </w:pPr>
      <w:r w:rsidRPr="000C0842">
        <w:rPr>
          <w:rFonts w:eastAsia="KaiTi" w:hint="eastAsia"/>
          <w:sz w:val="24"/>
          <w:szCs w:val="24"/>
        </w:rPr>
        <w:t>节次</w:t>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Pr="000C0842">
        <w:rPr>
          <w:rFonts w:eastAsia="KaiTi"/>
          <w:sz w:val="24"/>
          <w:szCs w:val="24"/>
        </w:rPr>
        <w:tab/>
      </w:r>
      <w:r w:rsidR="00AE4772" w:rsidRPr="000C0842">
        <w:rPr>
          <w:rFonts w:eastAsia="KaiTi"/>
          <w:sz w:val="24"/>
          <w:szCs w:val="24"/>
        </w:rPr>
        <w:t xml:space="preserve">     </w:t>
      </w:r>
      <w:r w:rsidR="001F3559" w:rsidRPr="000C0842">
        <w:rPr>
          <w:rFonts w:eastAsia="KaiTi" w:hint="eastAsia"/>
          <w:sz w:val="24"/>
          <w:szCs w:val="24"/>
        </w:rPr>
        <w:t xml:space="preserve">    </w:t>
      </w:r>
      <w:r w:rsidRPr="000C0842">
        <w:rPr>
          <w:rFonts w:eastAsia="KaiTi" w:hint="eastAsia"/>
          <w:sz w:val="24"/>
          <w:szCs w:val="24"/>
        </w:rPr>
        <w:t>页次</w:t>
      </w:r>
    </w:p>
    <w:p w14:paraId="17E4B4A7" w14:textId="67D2B38D" w:rsidR="00AE4772" w:rsidRPr="000C0842" w:rsidRDefault="00F112D7" w:rsidP="00596036">
      <w:pPr>
        <w:pStyle w:val="TOC1"/>
        <w:rPr>
          <w:kern w:val="2"/>
          <w14:ligatures w14:val="standardContextual"/>
        </w:rPr>
      </w:pPr>
      <w:r w:rsidRPr="000C0842">
        <w:rPr>
          <w:noProof w:val="0"/>
        </w:rPr>
        <w:fldChar w:fldCharType="begin"/>
      </w:r>
      <w:r w:rsidRPr="000C0842">
        <w:rPr>
          <w:noProof w:val="0"/>
        </w:rPr>
        <w:instrText xml:space="preserve"> TOC \t "</w:instrText>
      </w:r>
      <w:r w:rsidRPr="000C0842">
        <w:rPr>
          <w:noProof w:val="0"/>
        </w:rPr>
        <w:instrText>第一层</w:instrText>
      </w:r>
      <w:r w:rsidRPr="000C0842">
        <w:rPr>
          <w:noProof w:val="0"/>
        </w:rPr>
        <w:instrText>,1,</w:instrText>
      </w:r>
      <w:r w:rsidRPr="000C0842">
        <w:rPr>
          <w:noProof w:val="0"/>
        </w:rPr>
        <w:instrText>第三层</w:instrText>
      </w:r>
      <w:r w:rsidRPr="000C0842">
        <w:rPr>
          <w:noProof w:val="0"/>
        </w:rPr>
        <w:instrText>,3,</w:instrText>
      </w:r>
      <w:r w:rsidRPr="000C0842">
        <w:rPr>
          <w:noProof w:val="0"/>
        </w:rPr>
        <w:instrText>第二层</w:instrText>
      </w:r>
      <w:r w:rsidRPr="000C0842">
        <w:rPr>
          <w:noProof w:val="0"/>
        </w:rPr>
        <w:instrText xml:space="preserve">,2" </w:instrText>
      </w:r>
      <w:r w:rsidRPr="000C0842">
        <w:rPr>
          <w:noProof w:val="0"/>
        </w:rPr>
        <w:fldChar w:fldCharType="separate"/>
      </w:r>
      <w:r w:rsidR="00AE4772" w:rsidRPr="000C0842">
        <w:t>一</w:t>
      </w:r>
      <w:r w:rsidR="00AE4772" w:rsidRPr="000C0842">
        <w:t>.</w:t>
      </w:r>
      <w:r w:rsidR="00317898" w:rsidRPr="000C0842">
        <w:rPr>
          <w:kern w:val="2"/>
          <w14:ligatures w14:val="standardContextual"/>
        </w:rPr>
        <w:tab/>
      </w:r>
      <w:r w:rsidR="00AE4772" w:rsidRPr="000C0842">
        <w:t>生物多样性公约缔约方大会通过的决定</w:t>
      </w:r>
      <w:r w:rsidR="0070083D" w:rsidRPr="000C0842">
        <w:rPr>
          <w:b w:val="0"/>
          <w:bCs w:val="0"/>
        </w:rPr>
        <w:t>…</w:t>
      </w:r>
      <w:r w:rsidR="00646C83" w:rsidRPr="000C0842">
        <w:rPr>
          <w:b w:val="0"/>
          <w:bCs w:val="0"/>
        </w:rPr>
        <w:t>.</w:t>
      </w:r>
      <w:r w:rsidR="0070083D" w:rsidRPr="000C0842">
        <w:rPr>
          <w:b w:val="0"/>
          <w:bCs w:val="0"/>
        </w:rPr>
        <w:t>………………………………………………</w:t>
      </w:r>
      <w:r w:rsidR="00AE4772" w:rsidRPr="000C0842">
        <w:rPr>
          <w:b w:val="0"/>
          <w:bCs w:val="0"/>
        </w:rPr>
        <w:fldChar w:fldCharType="begin"/>
      </w:r>
      <w:r w:rsidR="00AE4772" w:rsidRPr="000C0842">
        <w:rPr>
          <w:b w:val="0"/>
          <w:bCs w:val="0"/>
        </w:rPr>
        <w:instrText xml:space="preserve"> PAGEREF _Toc206358192 \h </w:instrText>
      </w:r>
      <w:r w:rsidR="00AE4772" w:rsidRPr="000C0842">
        <w:rPr>
          <w:b w:val="0"/>
          <w:bCs w:val="0"/>
        </w:rPr>
      </w:r>
      <w:r w:rsidR="00AE4772" w:rsidRPr="000C0842">
        <w:rPr>
          <w:b w:val="0"/>
          <w:bCs w:val="0"/>
        </w:rPr>
        <w:fldChar w:fldCharType="separate"/>
      </w:r>
      <w:r w:rsidR="001A4065">
        <w:rPr>
          <w:b w:val="0"/>
          <w:bCs w:val="0"/>
        </w:rPr>
        <w:t>4</w:t>
      </w:r>
      <w:r w:rsidR="00AE4772" w:rsidRPr="000C0842">
        <w:rPr>
          <w:b w:val="0"/>
          <w:bCs w:val="0"/>
        </w:rPr>
        <w:fldChar w:fldCharType="end"/>
      </w:r>
    </w:p>
    <w:p w14:paraId="3BF333B9" w14:textId="2685F4B4" w:rsidR="00AE4772" w:rsidRPr="000C0842" w:rsidRDefault="00AE4772" w:rsidP="00493F8B">
      <w:pPr>
        <w:pStyle w:val="TOC2"/>
        <w:ind w:left="1437" w:hanging="947"/>
        <w:contextualSpacing/>
        <w:rPr>
          <w:rFonts w:eastAsia="SimSun"/>
          <w:kern w:val="2"/>
          <w:sz w:val="24"/>
          <w:szCs w:val="24"/>
          <w:lang w:val="en-US"/>
          <w14:ligatures w14:val="standardContextual"/>
        </w:rPr>
      </w:pPr>
      <w:r w:rsidRPr="000C0842">
        <w:rPr>
          <w:rFonts w:eastAsia="SimSun"/>
          <w:sz w:val="24"/>
          <w:szCs w:val="24"/>
        </w:rPr>
        <w:t xml:space="preserve">16/1. </w:t>
      </w:r>
      <w:r w:rsidR="009A3F11" w:rsidRPr="000C0842">
        <w:rPr>
          <w:rFonts w:eastAsia="SimSun"/>
          <w:sz w:val="24"/>
          <w:szCs w:val="24"/>
        </w:rPr>
        <w:tab/>
      </w:r>
      <w:r w:rsidRPr="000C0842">
        <w:rPr>
          <w:rFonts w:eastAsia="SimSun"/>
          <w:sz w:val="24"/>
          <w:szCs w:val="24"/>
        </w:rPr>
        <w:t>审查执行情况：制定国家目标和更新国家生物多样性战略和行动计划方面的进展</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_Toc206358193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4</w:t>
      </w:r>
      <w:r w:rsidRPr="000C0842">
        <w:rPr>
          <w:rFonts w:eastAsia="SimSun"/>
          <w:sz w:val="24"/>
          <w:szCs w:val="24"/>
        </w:rPr>
        <w:fldChar w:fldCharType="end"/>
      </w:r>
    </w:p>
    <w:p w14:paraId="7C141DDD" w14:textId="0F500537"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16/2.</w:t>
      </w:r>
      <w:r w:rsidRPr="000C0842">
        <w:rPr>
          <w:rFonts w:eastAsia="SimSun"/>
          <w:kern w:val="2"/>
          <w:sz w:val="24"/>
          <w:szCs w:val="24"/>
          <w:lang w:val="en-US"/>
          <w14:ligatures w14:val="standardContextual"/>
        </w:rPr>
        <w:tab/>
      </w:r>
      <w:r w:rsidRPr="000C0842">
        <w:rPr>
          <w:rFonts w:eastAsia="SimSun"/>
          <w:sz w:val="24"/>
          <w:szCs w:val="24"/>
        </w:rPr>
        <w:t xml:space="preserve"> </w:t>
      </w:r>
      <w:r w:rsidR="009A3F11" w:rsidRPr="000C0842">
        <w:rPr>
          <w:rFonts w:eastAsia="SimSun"/>
          <w:sz w:val="24"/>
          <w:szCs w:val="24"/>
        </w:rPr>
        <w:tab/>
      </w:r>
      <w:r w:rsidRPr="000C0842">
        <w:rPr>
          <w:rFonts w:eastAsia="SimSun"/>
          <w:sz w:val="24"/>
          <w:szCs w:val="24"/>
        </w:rPr>
        <w:t>遗传资源数字序列信息</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_Toc206358194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10</w:t>
      </w:r>
      <w:r w:rsidRPr="000C0842">
        <w:rPr>
          <w:rFonts w:eastAsia="SimSun"/>
          <w:sz w:val="24"/>
          <w:szCs w:val="24"/>
        </w:rPr>
        <w:fldChar w:fldCharType="end"/>
      </w:r>
    </w:p>
    <w:p w14:paraId="2ACAA970" w14:textId="64D93395"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16/3.</w:t>
      </w:r>
      <w:r w:rsidRPr="000C0842">
        <w:rPr>
          <w:rFonts w:eastAsia="SimSun"/>
          <w:kern w:val="2"/>
          <w:sz w:val="24"/>
          <w:szCs w:val="24"/>
          <w:lang w:val="en-US"/>
          <w14:ligatures w14:val="standardContextual"/>
        </w:rPr>
        <w:tab/>
      </w:r>
      <w:r w:rsidRPr="000C0842">
        <w:rPr>
          <w:rFonts w:eastAsia="SimSun"/>
          <w:sz w:val="24"/>
          <w:szCs w:val="24"/>
        </w:rPr>
        <w:t xml:space="preserve"> </w:t>
      </w:r>
      <w:r w:rsidR="009A3F11" w:rsidRPr="000C0842">
        <w:rPr>
          <w:rFonts w:eastAsia="SimSun"/>
          <w:sz w:val="24"/>
          <w:szCs w:val="24"/>
        </w:rPr>
        <w:tab/>
      </w:r>
      <w:r w:rsidRPr="000C0842">
        <w:rPr>
          <w:rFonts w:eastAsia="SimSun"/>
          <w:sz w:val="24"/>
          <w:szCs w:val="24"/>
        </w:rPr>
        <w:t>能力建设和发展、科技合作和技术转让</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_Toc206358195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19</w:t>
      </w:r>
      <w:r w:rsidRPr="000C0842">
        <w:rPr>
          <w:rFonts w:eastAsia="SimSun"/>
          <w:sz w:val="24"/>
          <w:szCs w:val="24"/>
        </w:rPr>
        <w:fldChar w:fldCharType="end"/>
      </w:r>
    </w:p>
    <w:p w14:paraId="3BD2F4CC" w14:textId="4B1E62FB" w:rsidR="00AE4772" w:rsidRPr="000C0842" w:rsidRDefault="00AE4772" w:rsidP="00493F8B">
      <w:pPr>
        <w:pStyle w:val="TOC2"/>
        <w:ind w:left="1437" w:hanging="947"/>
        <w:contextualSpacing/>
        <w:rPr>
          <w:rFonts w:eastAsia="SimSun"/>
          <w:kern w:val="2"/>
          <w:sz w:val="24"/>
          <w:szCs w:val="24"/>
          <w:lang w:val="en-US"/>
          <w14:ligatures w14:val="standardContextual"/>
        </w:rPr>
      </w:pPr>
      <w:r w:rsidRPr="000C0842">
        <w:rPr>
          <w:rFonts w:eastAsia="SimSun"/>
          <w:sz w:val="24"/>
          <w:szCs w:val="24"/>
        </w:rPr>
        <w:t>16/4.</w:t>
      </w:r>
      <w:r w:rsidRPr="000C0842">
        <w:rPr>
          <w:rFonts w:eastAsia="SimSun"/>
          <w:kern w:val="2"/>
          <w:sz w:val="24"/>
          <w:szCs w:val="24"/>
          <w:lang w:val="en-US"/>
          <w14:ligatures w14:val="standardContextual"/>
        </w:rPr>
        <w:tab/>
      </w:r>
      <w:r w:rsidRPr="000C0842">
        <w:rPr>
          <w:rFonts w:eastAsia="SimSun"/>
          <w:sz w:val="24"/>
          <w:szCs w:val="24"/>
        </w:rPr>
        <w:t>至</w:t>
      </w:r>
      <w:r w:rsidRPr="000C0842">
        <w:rPr>
          <w:rFonts w:eastAsia="SimSun"/>
          <w:sz w:val="24"/>
          <w:szCs w:val="24"/>
        </w:rPr>
        <w:t>2030</w:t>
      </w:r>
      <w:r w:rsidRPr="000C0842">
        <w:rPr>
          <w:rFonts w:eastAsia="SimSun"/>
          <w:sz w:val="24"/>
          <w:szCs w:val="24"/>
        </w:rPr>
        <w:t>年《生物多样性公约》关于土著人民和地方社区的第</w:t>
      </w:r>
      <w:r w:rsidRPr="000C0842">
        <w:rPr>
          <w:rFonts w:eastAsia="SimSun"/>
          <w:sz w:val="24"/>
          <w:szCs w:val="24"/>
        </w:rPr>
        <w:t>8(j)</w:t>
      </w:r>
      <w:r w:rsidRPr="000C0842">
        <w:rPr>
          <w:rFonts w:eastAsia="SimSun"/>
          <w:sz w:val="24"/>
          <w:szCs w:val="24"/>
        </w:rPr>
        <w:t>条和其他条款的工作方案</w:t>
      </w:r>
      <w:r w:rsidR="006B3095" w:rsidRPr="000C0842">
        <w:rPr>
          <w:rFonts w:eastAsia="SimSun"/>
          <w:sz w:val="24"/>
          <w:szCs w:val="24"/>
          <w:lang w:val="en-US"/>
        </w:rPr>
        <w:tab/>
      </w:r>
      <w:r w:rsidRPr="000C0842">
        <w:rPr>
          <w:rFonts w:eastAsia="SimSun"/>
          <w:sz w:val="24"/>
          <w:szCs w:val="24"/>
        </w:rPr>
        <w:fldChar w:fldCharType="begin"/>
      </w:r>
      <w:r w:rsidRPr="000C0842">
        <w:rPr>
          <w:rFonts w:eastAsia="SimSun"/>
          <w:sz w:val="24"/>
          <w:szCs w:val="24"/>
        </w:rPr>
        <w:instrText xml:space="preserve"> PAGEREF _Toc206358196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w:t>
      </w:r>
      <w:r w:rsidRPr="000C0842">
        <w:rPr>
          <w:rFonts w:eastAsia="SimSun"/>
          <w:sz w:val="24"/>
          <w:szCs w:val="24"/>
        </w:rPr>
        <w:fldChar w:fldCharType="end"/>
      </w:r>
    </w:p>
    <w:p w14:paraId="7F39B0B7" w14:textId="77777777" w:rsidR="00646C83" w:rsidRPr="000C0842" w:rsidRDefault="00AE4772" w:rsidP="00493F8B">
      <w:pPr>
        <w:pStyle w:val="TOC2"/>
        <w:ind w:left="994" w:hanging="504"/>
        <w:contextualSpacing/>
        <w:rPr>
          <w:rFonts w:eastAsia="SimSun"/>
          <w:sz w:val="24"/>
          <w:szCs w:val="24"/>
        </w:rPr>
      </w:pPr>
      <w:r w:rsidRPr="000C0842">
        <w:rPr>
          <w:rFonts w:eastAsia="SimSun"/>
          <w:sz w:val="24"/>
          <w:szCs w:val="24"/>
        </w:rPr>
        <w:t>16/5.</w:t>
      </w:r>
      <w:r w:rsidRPr="000C0842">
        <w:rPr>
          <w:rFonts w:eastAsia="SimSun"/>
          <w:kern w:val="2"/>
          <w:sz w:val="24"/>
          <w:szCs w:val="24"/>
          <w:lang w:val="en-US"/>
          <w14:ligatures w14:val="standardContextual"/>
        </w:rPr>
        <w:tab/>
      </w:r>
      <w:r w:rsidRPr="000C0842">
        <w:rPr>
          <w:rFonts w:eastAsia="SimSun"/>
          <w:sz w:val="24"/>
          <w:szCs w:val="24"/>
        </w:rPr>
        <w:t xml:space="preserve"> </w:t>
      </w:r>
      <w:r w:rsidR="009A3F11" w:rsidRPr="000C0842">
        <w:rPr>
          <w:rFonts w:eastAsia="SimSun"/>
          <w:sz w:val="24"/>
          <w:szCs w:val="24"/>
        </w:rPr>
        <w:tab/>
      </w:r>
      <w:r w:rsidRPr="000C0842">
        <w:rPr>
          <w:rFonts w:eastAsia="SimSun"/>
          <w:sz w:val="24"/>
          <w:szCs w:val="24"/>
        </w:rPr>
        <w:t>土著人民和地方社区充分有效参与</w:t>
      </w:r>
      <w:r w:rsidR="00646C83" w:rsidRPr="000C0842">
        <w:rPr>
          <w:rFonts w:eastAsia="SimSun" w:hint="eastAsia"/>
          <w:sz w:val="24"/>
          <w:szCs w:val="24"/>
        </w:rPr>
        <w:t>《</w:t>
      </w:r>
      <w:r w:rsidRPr="000C0842">
        <w:rPr>
          <w:rFonts w:eastAsia="SimSun"/>
          <w:sz w:val="24"/>
          <w:szCs w:val="24"/>
        </w:rPr>
        <w:t>生物多样性公约</w:t>
      </w:r>
      <w:r w:rsidR="00646C83" w:rsidRPr="000C0842">
        <w:rPr>
          <w:rFonts w:eastAsia="SimSun" w:hint="eastAsia"/>
          <w:sz w:val="24"/>
          <w:szCs w:val="24"/>
        </w:rPr>
        <w:t>》</w:t>
      </w:r>
      <w:r w:rsidRPr="000C0842">
        <w:rPr>
          <w:rFonts w:eastAsia="SimSun"/>
          <w:sz w:val="24"/>
          <w:szCs w:val="24"/>
        </w:rPr>
        <w:t>工作的体制</w:t>
      </w:r>
    </w:p>
    <w:p w14:paraId="2705F80C" w14:textId="0421C3C0" w:rsidR="00AE4772" w:rsidRPr="000C0842" w:rsidRDefault="00646C83"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ab/>
      </w:r>
      <w:r w:rsidRPr="000C0842">
        <w:rPr>
          <w:rFonts w:eastAsia="SimSun"/>
          <w:sz w:val="24"/>
          <w:szCs w:val="24"/>
        </w:rPr>
        <w:tab/>
      </w:r>
      <w:r w:rsidR="00AE4772" w:rsidRPr="000C0842">
        <w:rPr>
          <w:rFonts w:eastAsia="SimSun"/>
          <w:sz w:val="24"/>
          <w:szCs w:val="24"/>
        </w:rPr>
        <w:t>安排</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_Toc206358197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34</w:t>
      </w:r>
      <w:r w:rsidR="00AE4772" w:rsidRPr="000C0842">
        <w:rPr>
          <w:rFonts w:eastAsia="SimSun"/>
          <w:sz w:val="24"/>
          <w:szCs w:val="24"/>
        </w:rPr>
        <w:fldChar w:fldCharType="end"/>
      </w:r>
    </w:p>
    <w:p w14:paraId="4BB17DB6" w14:textId="77777777" w:rsidR="006B3095" w:rsidRPr="000C0842" w:rsidRDefault="00AE4772" w:rsidP="00493F8B">
      <w:pPr>
        <w:pStyle w:val="TOC2"/>
        <w:ind w:left="994" w:hanging="504"/>
        <w:contextualSpacing/>
        <w:rPr>
          <w:rFonts w:eastAsia="SimSun"/>
          <w:sz w:val="24"/>
          <w:szCs w:val="24"/>
          <w:lang w:val="en-US"/>
        </w:rPr>
      </w:pPr>
      <w:r w:rsidRPr="000C0842">
        <w:rPr>
          <w:rFonts w:eastAsia="SimSun"/>
          <w:sz w:val="24"/>
          <w:szCs w:val="24"/>
        </w:rPr>
        <w:t xml:space="preserve">16/6. </w:t>
      </w:r>
      <w:r w:rsidR="009A3F11" w:rsidRPr="000C0842">
        <w:rPr>
          <w:rFonts w:eastAsia="SimSun"/>
          <w:sz w:val="24"/>
          <w:szCs w:val="24"/>
        </w:rPr>
        <w:tab/>
      </w:r>
      <w:r w:rsidRPr="000C0842">
        <w:rPr>
          <w:rFonts w:eastAsia="SimSun"/>
          <w:sz w:val="24"/>
          <w:szCs w:val="24"/>
        </w:rPr>
        <w:t>非洲人后裔、包括体现传统生活方式的集体在执行《生物多样性</w:t>
      </w:r>
    </w:p>
    <w:p w14:paraId="2B09B835" w14:textId="46A474A0" w:rsidR="00AE4772" w:rsidRPr="000C0842" w:rsidRDefault="006B3095"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lang w:val="en-US"/>
        </w:rPr>
        <w:tab/>
      </w:r>
      <w:r w:rsidRPr="000C0842">
        <w:rPr>
          <w:rFonts w:eastAsia="SimSun"/>
          <w:sz w:val="24"/>
          <w:szCs w:val="24"/>
          <w:lang w:val="en-US"/>
        </w:rPr>
        <w:tab/>
      </w:r>
      <w:r w:rsidR="00AE4772" w:rsidRPr="000C0842">
        <w:rPr>
          <w:rFonts w:eastAsia="SimSun"/>
          <w:sz w:val="24"/>
          <w:szCs w:val="24"/>
        </w:rPr>
        <w:t>公约》方面的作用</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_Toc206358198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36</w:t>
      </w:r>
      <w:r w:rsidR="00AE4772" w:rsidRPr="000C0842">
        <w:rPr>
          <w:rFonts w:eastAsia="SimSun"/>
          <w:sz w:val="24"/>
          <w:szCs w:val="24"/>
        </w:rPr>
        <w:fldChar w:fldCharType="end"/>
      </w:r>
    </w:p>
    <w:p w14:paraId="2EEC868C" w14:textId="5C6B079B"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16/7.  </w:t>
      </w:r>
      <w:r w:rsidR="009A3F11" w:rsidRPr="000C0842">
        <w:rPr>
          <w:rFonts w:eastAsia="SimSun"/>
          <w:sz w:val="24"/>
          <w:szCs w:val="24"/>
        </w:rPr>
        <w:tab/>
      </w:r>
      <w:r w:rsidRPr="000C0842">
        <w:rPr>
          <w:rFonts w:eastAsia="SimSun"/>
          <w:sz w:val="24"/>
          <w:szCs w:val="24"/>
        </w:rPr>
        <w:t>深入对话：</w:t>
      </w:r>
      <w:r w:rsidRPr="000C0842">
        <w:rPr>
          <w:rFonts w:eastAsia="SimSun"/>
          <w:sz w:val="24"/>
          <w:szCs w:val="24"/>
        </w:rPr>
        <w:t>“</w:t>
      </w:r>
      <w:r w:rsidRPr="000C0842">
        <w:rPr>
          <w:rFonts w:eastAsia="SimSun"/>
          <w:sz w:val="24"/>
          <w:szCs w:val="24"/>
        </w:rPr>
        <w:t>语言在传统知识、创新和做法代际传承中的作用</w:t>
      </w:r>
      <w:r w:rsidRPr="000C0842">
        <w:rPr>
          <w:rFonts w:eastAsia="SimSun"/>
          <w:sz w:val="24"/>
          <w:szCs w:val="24"/>
        </w:rPr>
        <w:t>”</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_Toc206358199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37</w:t>
      </w:r>
      <w:r w:rsidRPr="000C0842">
        <w:rPr>
          <w:rFonts w:eastAsia="SimSun"/>
          <w:sz w:val="24"/>
          <w:szCs w:val="24"/>
        </w:rPr>
        <w:fldChar w:fldCharType="end"/>
      </w:r>
    </w:p>
    <w:p w14:paraId="42F272AA" w14:textId="23475937"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16/8.  </w:t>
      </w:r>
      <w:r w:rsidR="009A3F11" w:rsidRPr="000C0842">
        <w:rPr>
          <w:rFonts w:eastAsia="SimSun"/>
          <w:sz w:val="24"/>
          <w:szCs w:val="24"/>
        </w:rPr>
        <w:tab/>
      </w:r>
      <w:r w:rsidRPr="000C0842">
        <w:rPr>
          <w:rFonts w:eastAsia="SimSun"/>
          <w:sz w:val="24"/>
          <w:szCs w:val="24"/>
        </w:rPr>
        <w:t>土著问题常设论坛关于《生物多样性公约》的建议</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_Toc206358200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39</w:t>
      </w:r>
      <w:r w:rsidRPr="000C0842">
        <w:rPr>
          <w:rFonts w:eastAsia="SimSun"/>
          <w:sz w:val="24"/>
          <w:szCs w:val="24"/>
        </w:rPr>
        <w:fldChar w:fldCharType="end"/>
      </w:r>
    </w:p>
    <w:p w14:paraId="6A25BA5F" w14:textId="5678AE4F"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16/9.</w:t>
      </w:r>
      <w:r w:rsidRPr="000C0842">
        <w:rPr>
          <w:rFonts w:eastAsia="SimSun"/>
          <w:kern w:val="2"/>
          <w:sz w:val="24"/>
          <w:szCs w:val="24"/>
          <w:lang w:val="en-US"/>
          <w14:ligatures w14:val="standardContextual"/>
        </w:rPr>
        <w:tab/>
      </w:r>
      <w:r w:rsidRPr="000C0842">
        <w:rPr>
          <w:rFonts w:eastAsia="SimSun"/>
          <w:sz w:val="24"/>
          <w:szCs w:val="24"/>
        </w:rPr>
        <w:t xml:space="preserve"> </w:t>
      </w:r>
      <w:r w:rsidR="009A3F11" w:rsidRPr="000C0842">
        <w:rPr>
          <w:rFonts w:eastAsia="SimSun"/>
          <w:sz w:val="24"/>
          <w:szCs w:val="24"/>
        </w:rPr>
        <w:tab/>
      </w:r>
      <w:r w:rsidRPr="000C0842">
        <w:rPr>
          <w:rFonts w:eastAsia="SimSun"/>
          <w:sz w:val="24"/>
          <w:szCs w:val="24"/>
        </w:rPr>
        <w:t>信息交换所机制和知识管理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_Toc206358201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40</w:t>
      </w:r>
      <w:r w:rsidRPr="000C0842">
        <w:rPr>
          <w:rFonts w:eastAsia="SimSun"/>
          <w:sz w:val="24"/>
          <w:szCs w:val="24"/>
        </w:rPr>
        <w:fldChar w:fldCharType="end"/>
      </w:r>
    </w:p>
    <w:p w14:paraId="76C395B4" w14:textId="6F55C370" w:rsidR="00AE4772" w:rsidRPr="000C0842" w:rsidRDefault="009A3F11" w:rsidP="00493F8B">
      <w:pPr>
        <w:pStyle w:val="TOC3"/>
        <w:tabs>
          <w:tab w:val="right" w:leader="dot" w:pos="9350"/>
        </w:tabs>
        <w:ind w:left="994" w:right="720" w:hanging="504"/>
        <w:contextualSpacing/>
        <w:rPr>
          <w:rFonts w:eastAsia="SimSun"/>
          <w:noProof/>
          <w:kern w:val="2"/>
          <w:sz w:val="24"/>
          <w:lang w:val="en-US"/>
          <w14:ligatures w14:val="standardContextual"/>
        </w:rPr>
      </w:pPr>
      <w:r w:rsidRPr="000C0842">
        <w:rPr>
          <w:rFonts w:eastAsia="SimSun"/>
          <w:noProof/>
          <w:sz w:val="24"/>
        </w:rPr>
        <w:tab/>
        <w:t xml:space="preserve">        </w:t>
      </w:r>
      <w:r w:rsidR="00AE4772" w:rsidRPr="000C0842">
        <w:rPr>
          <w:rFonts w:eastAsia="SimSun"/>
          <w:noProof/>
          <w:sz w:val="24"/>
        </w:rPr>
        <w:t>A</w:t>
      </w:r>
      <w:r w:rsidRPr="000C0842">
        <w:rPr>
          <w:rFonts w:eastAsia="SimSun"/>
          <w:noProof/>
          <w:sz w:val="24"/>
        </w:rPr>
        <w:t xml:space="preserve">    </w:t>
      </w:r>
      <w:r w:rsidR="00AE4772" w:rsidRPr="000C0842">
        <w:rPr>
          <w:rFonts w:eastAsia="SimSun"/>
          <w:noProof/>
          <w:sz w:val="24"/>
        </w:rPr>
        <w:t>信息交换所机制</w:t>
      </w:r>
      <w:r w:rsidRPr="000C0842">
        <w:rPr>
          <w:rFonts w:eastAsia="SimSun"/>
          <w:noProof/>
          <w:sz w:val="24"/>
          <w:lang w:val="en-US"/>
        </w:rPr>
        <w:tab/>
      </w:r>
      <w:r w:rsidR="00AE4772" w:rsidRPr="000C0842">
        <w:rPr>
          <w:rFonts w:eastAsia="SimSun"/>
          <w:noProof/>
          <w:sz w:val="24"/>
        </w:rPr>
        <w:fldChar w:fldCharType="begin"/>
      </w:r>
      <w:r w:rsidR="00AE4772" w:rsidRPr="000C0842">
        <w:rPr>
          <w:rFonts w:eastAsia="SimSun"/>
          <w:noProof/>
          <w:sz w:val="24"/>
        </w:rPr>
        <w:instrText xml:space="preserve"> PAGEREF _Toc206358203 \h </w:instrText>
      </w:r>
      <w:r w:rsidR="00AE4772" w:rsidRPr="000C0842">
        <w:rPr>
          <w:rFonts w:eastAsia="SimSun"/>
          <w:noProof/>
          <w:sz w:val="24"/>
        </w:rPr>
      </w:r>
      <w:r w:rsidR="00AE4772" w:rsidRPr="000C0842">
        <w:rPr>
          <w:rFonts w:eastAsia="SimSun"/>
          <w:noProof/>
          <w:sz w:val="24"/>
        </w:rPr>
        <w:fldChar w:fldCharType="separate"/>
      </w:r>
      <w:r w:rsidR="001A4065">
        <w:rPr>
          <w:rFonts w:eastAsia="SimSun"/>
          <w:noProof/>
          <w:sz w:val="24"/>
        </w:rPr>
        <w:t>40</w:t>
      </w:r>
      <w:r w:rsidR="00AE4772" w:rsidRPr="000C0842">
        <w:rPr>
          <w:rFonts w:eastAsia="SimSun"/>
          <w:noProof/>
          <w:sz w:val="24"/>
        </w:rPr>
        <w:fldChar w:fldCharType="end"/>
      </w:r>
    </w:p>
    <w:p w14:paraId="33087AD1" w14:textId="19373CFE" w:rsidR="00AE4772" w:rsidRPr="000C0842" w:rsidRDefault="009A3F11" w:rsidP="00493F8B">
      <w:pPr>
        <w:pStyle w:val="TOC3"/>
        <w:tabs>
          <w:tab w:val="right" w:leader="dot" w:pos="9350"/>
        </w:tabs>
        <w:ind w:left="994" w:right="720" w:hanging="504"/>
        <w:contextualSpacing/>
        <w:rPr>
          <w:rFonts w:eastAsia="SimSun"/>
          <w:noProof/>
          <w:kern w:val="2"/>
          <w:sz w:val="24"/>
          <w:lang w:val="en-US"/>
          <w14:ligatures w14:val="standardContextual"/>
        </w:rPr>
      </w:pPr>
      <w:r w:rsidRPr="000C0842">
        <w:rPr>
          <w:rFonts w:eastAsia="SimSun"/>
          <w:noProof/>
          <w:sz w:val="24"/>
        </w:rPr>
        <w:tab/>
        <w:t xml:space="preserve">        </w:t>
      </w:r>
      <w:r w:rsidR="00AE4772" w:rsidRPr="000C0842">
        <w:rPr>
          <w:rFonts w:eastAsia="SimSun"/>
          <w:noProof/>
          <w:sz w:val="24"/>
        </w:rPr>
        <w:t>B</w:t>
      </w:r>
      <w:r w:rsidRPr="000C0842">
        <w:rPr>
          <w:rFonts w:eastAsia="SimSun"/>
          <w:noProof/>
          <w:sz w:val="24"/>
        </w:rPr>
        <w:t xml:space="preserve">    </w:t>
      </w:r>
      <w:r w:rsidR="00AE4772" w:rsidRPr="000C0842">
        <w:rPr>
          <w:rFonts w:eastAsia="SimSun"/>
          <w:noProof/>
          <w:sz w:val="24"/>
        </w:rPr>
        <w:t>知识管理</w:t>
      </w:r>
      <w:r w:rsidRPr="000C0842">
        <w:rPr>
          <w:rFonts w:eastAsia="SimSun"/>
          <w:noProof/>
          <w:sz w:val="24"/>
          <w:lang w:val="en-US"/>
        </w:rPr>
        <w:tab/>
      </w:r>
      <w:r w:rsidR="00AE4772" w:rsidRPr="000C0842">
        <w:rPr>
          <w:rFonts w:eastAsia="SimSun"/>
          <w:noProof/>
          <w:sz w:val="24"/>
        </w:rPr>
        <w:fldChar w:fldCharType="begin"/>
      </w:r>
      <w:r w:rsidR="00AE4772" w:rsidRPr="000C0842">
        <w:rPr>
          <w:rFonts w:eastAsia="SimSun"/>
          <w:noProof/>
          <w:sz w:val="24"/>
        </w:rPr>
        <w:instrText xml:space="preserve"> PAGEREF _Toc206358205 \h </w:instrText>
      </w:r>
      <w:r w:rsidR="00AE4772" w:rsidRPr="000C0842">
        <w:rPr>
          <w:rFonts w:eastAsia="SimSun"/>
          <w:noProof/>
          <w:sz w:val="24"/>
        </w:rPr>
      </w:r>
      <w:r w:rsidR="00AE4772" w:rsidRPr="000C0842">
        <w:rPr>
          <w:rFonts w:eastAsia="SimSun"/>
          <w:noProof/>
          <w:sz w:val="24"/>
        </w:rPr>
        <w:fldChar w:fldCharType="separate"/>
      </w:r>
      <w:r w:rsidR="001A4065">
        <w:rPr>
          <w:rFonts w:eastAsia="SimSun"/>
          <w:noProof/>
          <w:sz w:val="24"/>
        </w:rPr>
        <w:t>48</w:t>
      </w:r>
      <w:r w:rsidR="00AE4772" w:rsidRPr="000C0842">
        <w:rPr>
          <w:rFonts w:eastAsia="SimSun"/>
          <w:noProof/>
          <w:sz w:val="24"/>
        </w:rPr>
        <w:fldChar w:fldCharType="end"/>
      </w:r>
    </w:p>
    <w:p w14:paraId="675C7A8A" w14:textId="5D5628FF"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16/10.  </w:t>
      </w:r>
      <w:r w:rsidR="009A3F11" w:rsidRPr="000C0842">
        <w:rPr>
          <w:rFonts w:eastAsia="SimSun"/>
          <w:sz w:val="24"/>
          <w:szCs w:val="24"/>
        </w:rPr>
        <w:tab/>
      </w:r>
      <w:r w:rsidRPr="000C0842">
        <w:rPr>
          <w:rFonts w:eastAsia="SimSun"/>
          <w:sz w:val="24"/>
          <w:szCs w:val="24"/>
        </w:rPr>
        <w:t>传播、教育和公众意识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_Toc206358206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57</w:t>
      </w:r>
      <w:r w:rsidRPr="000C0842">
        <w:rPr>
          <w:rFonts w:eastAsia="SimSun"/>
          <w:sz w:val="24"/>
          <w:szCs w:val="24"/>
        </w:rPr>
        <w:fldChar w:fldCharType="end"/>
      </w:r>
    </w:p>
    <w:p w14:paraId="17F43DBE" w14:textId="77777777" w:rsidR="009A3F11" w:rsidRPr="000C0842" w:rsidRDefault="00AE4772" w:rsidP="00493F8B">
      <w:pPr>
        <w:pStyle w:val="TOC2"/>
        <w:ind w:left="994" w:hanging="504"/>
        <w:contextualSpacing/>
        <w:rPr>
          <w:rFonts w:eastAsia="SimSun"/>
          <w:sz w:val="24"/>
          <w:szCs w:val="24"/>
          <w:lang w:val="en-US"/>
        </w:rPr>
      </w:pPr>
      <w:r w:rsidRPr="000C0842">
        <w:rPr>
          <w:rFonts w:eastAsia="SimSun"/>
          <w:sz w:val="24"/>
          <w:szCs w:val="24"/>
        </w:rPr>
        <w:t xml:space="preserve">16/11. </w:t>
      </w:r>
      <w:r w:rsidR="009A3F11" w:rsidRPr="000C0842">
        <w:rPr>
          <w:rFonts w:eastAsia="SimSun"/>
          <w:sz w:val="24"/>
          <w:szCs w:val="24"/>
        </w:rPr>
        <w:tab/>
      </w:r>
      <w:r w:rsidRPr="000C0842">
        <w:rPr>
          <w:rFonts w:eastAsia="SimSun"/>
          <w:sz w:val="24"/>
          <w:szCs w:val="24"/>
        </w:rPr>
        <w:t>与生物多样性和生态系统服务政府间科学与政策平台工作方案</w:t>
      </w:r>
    </w:p>
    <w:p w14:paraId="61D5FF6F" w14:textId="51DF5C73" w:rsidR="00AE4772" w:rsidRPr="000C0842" w:rsidRDefault="009A3F11"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lang w:val="en-US"/>
        </w:rPr>
        <w:tab/>
      </w:r>
      <w:r w:rsidRPr="000C0842">
        <w:rPr>
          <w:rFonts w:eastAsia="SimSun"/>
          <w:sz w:val="24"/>
          <w:szCs w:val="24"/>
          <w:lang w:val="en-US"/>
        </w:rPr>
        <w:tab/>
      </w:r>
      <w:r w:rsidR="00AE4772" w:rsidRPr="000C0842">
        <w:rPr>
          <w:rFonts w:eastAsia="SimSun"/>
          <w:sz w:val="24"/>
          <w:szCs w:val="24"/>
        </w:rPr>
        <w:t>有关的事项</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_Toc206358207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64</w:t>
      </w:r>
      <w:r w:rsidR="00AE4772" w:rsidRPr="000C0842">
        <w:rPr>
          <w:rFonts w:eastAsia="SimSun"/>
          <w:sz w:val="24"/>
          <w:szCs w:val="24"/>
        </w:rPr>
        <w:fldChar w:fldCharType="end"/>
      </w:r>
    </w:p>
    <w:p w14:paraId="69B53677" w14:textId="427239EE"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16/12.  </w:t>
      </w:r>
      <w:r w:rsidR="009A3F11" w:rsidRPr="000C0842">
        <w:rPr>
          <w:rFonts w:eastAsia="SimSun"/>
          <w:sz w:val="24"/>
          <w:szCs w:val="24"/>
        </w:rPr>
        <w:tab/>
      </w:r>
      <w:r w:rsidRPr="000C0842">
        <w:rPr>
          <w:rFonts w:eastAsia="SimSun"/>
          <w:sz w:val="24"/>
          <w:szCs w:val="24"/>
        </w:rPr>
        <w:t>用于支持执行《昆明</w:t>
      </w:r>
      <w:r w:rsidRPr="000C0842">
        <w:rPr>
          <w:rFonts w:eastAsia="SimSun"/>
          <w:sz w:val="24"/>
          <w:szCs w:val="24"/>
        </w:rPr>
        <w:t>-</w:t>
      </w:r>
      <w:r w:rsidRPr="000C0842">
        <w:rPr>
          <w:rFonts w:eastAsia="SimSun"/>
          <w:sz w:val="24"/>
          <w:szCs w:val="24"/>
        </w:rPr>
        <w:t>蒙特利尔全球生物多样性框架》的科技需求</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_Toc206358208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67</w:t>
      </w:r>
      <w:r w:rsidRPr="000C0842">
        <w:rPr>
          <w:rFonts w:eastAsia="SimSun"/>
          <w:sz w:val="24"/>
          <w:szCs w:val="24"/>
        </w:rPr>
        <w:fldChar w:fldCharType="end"/>
      </w:r>
    </w:p>
    <w:p w14:paraId="67F757B5" w14:textId="33F1F4AE"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16/13.  </w:t>
      </w:r>
      <w:r w:rsidR="009A3F11" w:rsidRPr="000C0842">
        <w:rPr>
          <w:rFonts w:eastAsia="SimSun"/>
          <w:sz w:val="24"/>
          <w:szCs w:val="24"/>
        </w:rPr>
        <w:tab/>
      </w:r>
      <w:r w:rsidRPr="000C0842">
        <w:rPr>
          <w:rFonts w:eastAsia="SimSun"/>
          <w:sz w:val="24"/>
          <w:szCs w:val="24"/>
        </w:rPr>
        <w:t>生物多样性在部门内和部门之间的主流化</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_Toc206358209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69</w:t>
      </w:r>
      <w:r w:rsidRPr="000C0842">
        <w:rPr>
          <w:rFonts w:eastAsia="SimSun"/>
          <w:sz w:val="24"/>
          <w:szCs w:val="24"/>
        </w:rPr>
        <w:fldChar w:fldCharType="end"/>
      </w:r>
    </w:p>
    <w:p w14:paraId="70640F94" w14:textId="77777777" w:rsidR="009A3F11" w:rsidRPr="000C0842" w:rsidRDefault="00AE4772" w:rsidP="00493F8B">
      <w:pPr>
        <w:pStyle w:val="TOC2"/>
        <w:ind w:left="994" w:hanging="504"/>
        <w:contextualSpacing/>
        <w:rPr>
          <w:rFonts w:eastAsia="SimSun"/>
          <w:sz w:val="24"/>
          <w:szCs w:val="24"/>
          <w:lang w:val="en-US"/>
        </w:rPr>
      </w:pPr>
      <w:r w:rsidRPr="000C0842">
        <w:rPr>
          <w:rFonts w:eastAsia="SimSun"/>
          <w:sz w:val="24"/>
          <w:szCs w:val="24"/>
        </w:rPr>
        <w:t xml:space="preserve">16/14. </w:t>
      </w:r>
      <w:r w:rsidR="009A3F11" w:rsidRPr="000C0842">
        <w:rPr>
          <w:rFonts w:eastAsia="SimSun"/>
          <w:sz w:val="24"/>
          <w:szCs w:val="24"/>
        </w:rPr>
        <w:tab/>
      </w:r>
      <w:r w:rsidRPr="000C0842">
        <w:rPr>
          <w:rFonts w:eastAsia="SimSun"/>
          <w:sz w:val="24"/>
          <w:szCs w:val="24"/>
        </w:rPr>
        <w:t>审议生物多样性和生态系统服务政府间科学与政策平台《自然的</w:t>
      </w:r>
    </w:p>
    <w:p w14:paraId="16ECAAD9" w14:textId="369444DA" w:rsidR="00AE4772" w:rsidRPr="000C0842" w:rsidRDefault="009A3F11"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lang w:val="en-US"/>
        </w:rPr>
        <w:tab/>
      </w:r>
      <w:r w:rsidRPr="000C0842">
        <w:rPr>
          <w:rFonts w:eastAsia="SimSun"/>
          <w:sz w:val="24"/>
          <w:szCs w:val="24"/>
          <w:lang w:val="en-US"/>
        </w:rPr>
        <w:tab/>
      </w:r>
      <w:r w:rsidR="00AE4772" w:rsidRPr="000C0842">
        <w:rPr>
          <w:rFonts w:eastAsia="SimSun"/>
          <w:sz w:val="24"/>
          <w:szCs w:val="24"/>
        </w:rPr>
        <w:t>多重价值和估值方法评估报告》的结果及其对《公约》工作的影响</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_Toc206358210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72</w:t>
      </w:r>
      <w:r w:rsidR="00AE4772" w:rsidRPr="000C0842">
        <w:rPr>
          <w:rFonts w:eastAsia="SimSun"/>
          <w:sz w:val="24"/>
          <w:szCs w:val="24"/>
        </w:rPr>
        <w:fldChar w:fldCharType="end"/>
      </w:r>
    </w:p>
    <w:p w14:paraId="1063167C" w14:textId="46779C86"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16/15. </w:t>
      </w:r>
      <w:r w:rsidR="009A3F11" w:rsidRPr="000C0842">
        <w:rPr>
          <w:rFonts w:eastAsia="SimSun"/>
          <w:sz w:val="24"/>
          <w:szCs w:val="24"/>
        </w:rPr>
        <w:tab/>
      </w:r>
      <w:r w:rsidRPr="000C0842">
        <w:rPr>
          <w:rFonts w:eastAsia="SimSun"/>
          <w:sz w:val="24"/>
          <w:szCs w:val="24"/>
        </w:rPr>
        <w:t>可持续的野生生物管理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74</w:t>
      </w:r>
      <w:r w:rsidRPr="000C0842">
        <w:rPr>
          <w:rFonts w:eastAsia="SimSun"/>
          <w:sz w:val="24"/>
          <w:szCs w:val="24"/>
        </w:rPr>
        <w:fldChar w:fldCharType="end"/>
      </w:r>
    </w:p>
    <w:p w14:paraId="446249BF" w14:textId="5DF403D5"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16/16. </w:t>
      </w:r>
      <w:r w:rsidR="009A3F11" w:rsidRPr="000C0842">
        <w:rPr>
          <w:rFonts w:eastAsia="SimSun"/>
          <w:sz w:val="24"/>
          <w:szCs w:val="24"/>
        </w:rPr>
        <w:tab/>
      </w:r>
      <w:r w:rsidRPr="000C0842">
        <w:rPr>
          <w:rFonts w:eastAsia="SimSun"/>
          <w:sz w:val="24"/>
          <w:szCs w:val="24"/>
        </w:rPr>
        <w:t>关于具有重要生态或生物意义的海洋区域的进一步工作</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_Toc206358212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77</w:t>
      </w:r>
      <w:r w:rsidRPr="000C0842">
        <w:rPr>
          <w:rFonts w:eastAsia="SimSun"/>
          <w:sz w:val="24"/>
          <w:szCs w:val="24"/>
        </w:rPr>
        <w:fldChar w:fldCharType="end"/>
      </w:r>
    </w:p>
    <w:p w14:paraId="09B3EECB" w14:textId="4C0FEC37"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16/17. </w:t>
      </w:r>
      <w:r w:rsidR="009A3F11" w:rsidRPr="000C0842">
        <w:rPr>
          <w:rFonts w:eastAsia="SimSun"/>
          <w:sz w:val="24"/>
          <w:szCs w:val="24"/>
        </w:rPr>
        <w:tab/>
      </w:r>
      <w:r w:rsidRPr="000C0842">
        <w:rPr>
          <w:rFonts w:eastAsia="SimSun"/>
          <w:sz w:val="24"/>
          <w:szCs w:val="24"/>
        </w:rPr>
        <w:t>保护和可持续利用海洋和沿海生物多样性</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84</w:t>
      </w:r>
      <w:r w:rsidRPr="000C0842">
        <w:rPr>
          <w:rFonts w:eastAsia="SimSun"/>
          <w:sz w:val="24"/>
          <w:szCs w:val="24"/>
        </w:rPr>
        <w:fldChar w:fldCharType="end"/>
      </w:r>
    </w:p>
    <w:p w14:paraId="56DCA362" w14:textId="22BC5CCA"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16/18. </w:t>
      </w:r>
      <w:r w:rsidR="009A3F11" w:rsidRPr="000C0842">
        <w:rPr>
          <w:rFonts w:eastAsia="SimSun"/>
          <w:sz w:val="24"/>
          <w:szCs w:val="24"/>
        </w:rPr>
        <w:tab/>
      </w:r>
      <w:r w:rsidRPr="000C0842">
        <w:rPr>
          <w:rFonts w:eastAsia="SimSun"/>
          <w:sz w:val="24"/>
          <w:szCs w:val="24"/>
        </w:rPr>
        <w:t>外来入侵物种</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_Toc206358214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90</w:t>
      </w:r>
      <w:r w:rsidRPr="000C0842">
        <w:rPr>
          <w:rFonts w:eastAsia="SimSun"/>
          <w:sz w:val="24"/>
          <w:szCs w:val="24"/>
        </w:rPr>
        <w:fldChar w:fldCharType="end"/>
      </w:r>
    </w:p>
    <w:p w14:paraId="3FB3F8F7" w14:textId="55BD4E55"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16/19.</w:t>
      </w:r>
      <w:r w:rsidR="0070083D" w:rsidRPr="000C0842">
        <w:rPr>
          <w:rFonts w:eastAsia="SimSun"/>
          <w:sz w:val="24"/>
          <w:szCs w:val="24"/>
        </w:rPr>
        <w:tab/>
      </w:r>
      <w:r w:rsidRPr="000C0842">
        <w:rPr>
          <w:rFonts w:eastAsia="SimSun"/>
          <w:sz w:val="24"/>
          <w:szCs w:val="24"/>
        </w:rPr>
        <w:t>生物多样性与健康</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114</w:t>
      </w:r>
      <w:r w:rsidRPr="000C0842">
        <w:rPr>
          <w:rFonts w:eastAsia="SimSun"/>
          <w:sz w:val="24"/>
          <w:szCs w:val="24"/>
        </w:rPr>
        <w:fldChar w:fldCharType="end"/>
      </w:r>
    </w:p>
    <w:p w14:paraId="7662E409" w14:textId="07BC0BD4"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16/20. </w:t>
      </w:r>
      <w:r w:rsidR="0070083D" w:rsidRPr="000C0842">
        <w:rPr>
          <w:rFonts w:eastAsia="SimSun"/>
          <w:sz w:val="24"/>
          <w:szCs w:val="24"/>
        </w:rPr>
        <w:tab/>
      </w:r>
      <w:r w:rsidRPr="000C0842">
        <w:rPr>
          <w:rFonts w:eastAsia="SimSun"/>
          <w:sz w:val="24"/>
          <w:szCs w:val="24"/>
        </w:rPr>
        <w:t>植物保护</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131</w:t>
      </w:r>
      <w:r w:rsidRPr="000C0842">
        <w:rPr>
          <w:rFonts w:eastAsia="SimSun"/>
          <w:sz w:val="24"/>
          <w:szCs w:val="24"/>
        </w:rPr>
        <w:fldChar w:fldCharType="end"/>
      </w:r>
    </w:p>
    <w:p w14:paraId="4AD311F9" w14:textId="2EB5BBA3"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16/21. </w:t>
      </w:r>
      <w:r w:rsidR="0070083D" w:rsidRPr="000C0842">
        <w:rPr>
          <w:rFonts w:eastAsia="SimSun"/>
          <w:sz w:val="24"/>
          <w:szCs w:val="24"/>
        </w:rPr>
        <w:tab/>
      </w:r>
      <w:r w:rsidRPr="000C0842">
        <w:rPr>
          <w:rFonts w:eastAsia="SimSun"/>
          <w:sz w:val="24"/>
          <w:szCs w:val="24"/>
        </w:rPr>
        <w:t>合成生物学</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141</w:t>
      </w:r>
      <w:r w:rsidRPr="000C0842">
        <w:rPr>
          <w:rFonts w:eastAsia="SimSun"/>
          <w:sz w:val="24"/>
          <w:szCs w:val="24"/>
        </w:rPr>
        <w:fldChar w:fldCharType="end"/>
      </w:r>
    </w:p>
    <w:p w14:paraId="1E655C18" w14:textId="5C920C61"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16/22. </w:t>
      </w:r>
      <w:r w:rsidR="0070083D" w:rsidRPr="000C0842">
        <w:rPr>
          <w:rFonts w:eastAsia="SimSun"/>
          <w:sz w:val="24"/>
          <w:szCs w:val="24"/>
        </w:rPr>
        <w:tab/>
      </w:r>
      <w:r w:rsidRPr="000C0842">
        <w:rPr>
          <w:rFonts w:eastAsia="SimSun"/>
          <w:sz w:val="24"/>
          <w:szCs w:val="24"/>
        </w:rPr>
        <w:t>生物多样性与气候变化</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_Toc206358219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144</w:t>
      </w:r>
      <w:r w:rsidRPr="000C0842">
        <w:rPr>
          <w:rFonts w:eastAsia="SimSun"/>
          <w:sz w:val="24"/>
          <w:szCs w:val="24"/>
        </w:rPr>
        <w:fldChar w:fldCharType="end"/>
      </w:r>
    </w:p>
    <w:p w14:paraId="318AC801" w14:textId="7A367431"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16/23. </w:t>
      </w:r>
      <w:r w:rsidR="0070083D" w:rsidRPr="000C0842">
        <w:rPr>
          <w:rFonts w:eastAsia="SimSun"/>
          <w:sz w:val="24"/>
          <w:szCs w:val="24"/>
        </w:rPr>
        <w:tab/>
      </w:r>
      <w:r w:rsidRPr="000C0842">
        <w:rPr>
          <w:rFonts w:eastAsia="SimSun"/>
          <w:sz w:val="24"/>
          <w:szCs w:val="24"/>
        </w:rPr>
        <w:t>赔偿责任和补救（第</w:t>
      </w:r>
      <w:r w:rsidRPr="000C0842">
        <w:rPr>
          <w:rFonts w:eastAsia="SimSun"/>
          <w:sz w:val="24"/>
          <w:szCs w:val="24"/>
        </w:rPr>
        <w:t>14</w:t>
      </w:r>
      <w:r w:rsidRPr="000C0842">
        <w:rPr>
          <w:rFonts w:eastAsia="SimSun"/>
          <w:sz w:val="24"/>
          <w:szCs w:val="24"/>
        </w:rPr>
        <w:t>条第</w:t>
      </w:r>
      <w:r w:rsidRPr="000C0842">
        <w:rPr>
          <w:rFonts w:eastAsia="SimSun"/>
          <w:sz w:val="24"/>
          <w:szCs w:val="24"/>
        </w:rPr>
        <w:t>2</w:t>
      </w:r>
      <w:r w:rsidRPr="000C0842">
        <w:rPr>
          <w:rFonts w:eastAsia="SimSun"/>
          <w:sz w:val="24"/>
          <w:szCs w:val="24"/>
        </w:rPr>
        <w:t>款）</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149</w:t>
      </w:r>
      <w:r w:rsidRPr="000C0842">
        <w:rPr>
          <w:rFonts w:eastAsia="SimSun"/>
          <w:sz w:val="24"/>
          <w:szCs w:val="24"/>
        </w:rPr>
        <w:fldChar w:fldCharType="end"/>
      </w:r>
    </w:p>
    <w:p w14:paraId="3427AC8D" w14:textId="2C10F6A9"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16/24. </w:t>
      </w:r>
      <w:r w:rsidR="0070083D" w:rsidRPr="000C0842">
        <w:rPr>
          <w:rFonts w:eastAsia="SimSun"/>
          <w:sz w:val="24"/>
          <w:szCs w:val="24"/>
        </w:rPr>
        <w:tab/>
      </w:r>
      <w:r w:rsidRPr="000C0842">
        <w:rPr>
          <w:rFonts w:eastAsia="SimSun"/>
          <w:sz w:val="24"/>
          <w:szCs w:val="24"/>
        </w:rPr>
        <w:t>召开在线和混合会议的程序</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150</w:t>
      </w:r>
      <w:r w:rsidRPr="000C0842">
        <w:rPr>
          <w:rFonts w:eastAsia="SimSun"/>
          <w:sz w:val="24"/>
          <w:szCs w:val="24"/>
        </w:rPr>
        <w:fldChar w:fldCharType="end"/>
      </w:r>
    </w:p>
    <w:p w14:paraId="71135D0F" w14:textId="4B8E6E99"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16/25.  </w:t>
      </w:r>
      <w:r w:rsidR="0070083D" w:rsidRPr="000C0842">
        <w:rPr>
          <w:rFonts w:eastAsia="SimSun"/>
          <w:sz w:val="24"/>
          <w:szCs w:val="24"/>
        </w:rPr>
        <w:tab/>
      </w:r>
      <w:r w:rsidRPr="000C0842">
        <w:rPr>
          <w:rFonts w:eastAsia="SimSun"/>
          <w:sz w:val="24"/>
          <w:szCs w:val="24"/>
        </w:rPr>
        <w:t>进一步提高《公约》及其议定书下各进程的成效的备选方案</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_Toc206358222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151</w:t>
      </w:r>
      <w:r w:rsidRPr="000C0842">
        <w:rPr>
          <w:rFonts w:eastAsia="SimSun"/>
          <w:sz w:val="24"/>
          <w:szCs w:val="24"/>
        </w:rPr>
        <w:fldChar w:fldCharType="end"/>
      </w:r>
    </w:p>
    <w:p w14:paraId="0EE5FF5D" w14:textId="533D8392"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16/26. </w:t>
      </w:r>
      <w:r w:rsidR="0070083D" w:rsidRPr="000C0842">
        <w:rPr>
          <w:rFonts w:eastAsia="SimSun"/>
          <w:sz w:val="24"/>
          <w:szCs w:val="24"/>
        </w:rPr>
        <w:tab/>
      </w:r>
      <w:r w:rsidRPr="000C0842">
        <w:rPr>
          <w:rFonts w:eastAsia="SimSun"/>
          <w:sz w:val="24"/>
          <w:szCs w:val="24"/>
        </w:rPr>
        <w:t>规避或管理专家组利益冲突的程序</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153</w:t>
      </w:r>
      <w:r w:rsidRPr="000C0842">
        <w:rPr>
          <w:rFonts w:eastAsia="SimSun"/>
          <w:sz w:val="24"/>
          <w:szCs w:val="24"/>
        </w:rPr>
        <w:fldChar w:fldCharType="end"/>
      </w:r>
    </w:p>
    <w:p w14:paraId="28825074" w14:textId="1ED5A8A6"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16/27. </w:t>
      </w:r>
      <w:r w:rsidR="0070083D" w:rsidRPr="000C0842">
        <w:rPr>
          <w:rFonts w:eastAsia="SimSun"/>
          <w:sz w:val="24"/>
          <w:szCs w:val="24"/>
        </w:rPr>
        <w:tab/>
      </w:r>
      <w:r w:rsidRPr="000C0842">
        <w:rPr>
          <w:rFonts w:eastAsia="SimSun"/>
          <w:sz w:val="24"/>
          <w:szCs w:val="24"/>
        </w:rPr>
        <w:t>缔约方大会今后会议的日期和地点</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_Toc206358224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154</w:t>
      </w:r>
      <w:r w:rsidRPr="000C0842">
        <w:rPr>
          <w:rFonts w:eastAsia="SimSun"/>
          <w:sz w:val="24"/>
          <w:szCs w:val="24"/>
        </w:rPr>
        <w:fldChar w:fldCharType="end"/>
      </w:r>
    </w:p>
    <w:p w14:paraId="2A55386D" w14:textId="57355046"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16/28.</w:t>
      </w:r>
      <w:r w:rsidR="0070083D" w:rsidRPr="000C0842">
        <w:rPr>
          <w:rFonts w:eastAsia="SimSun"/>
          <w:sz w:val="24"/>
          <w:szCs w:val="24"/>
        </w:rPr>
        <w:tab/>
      </w:r>
      <w:r w:rsidRPr="000C0842">
        <w:rPr>
          <w:rFonts w:eastAsia="SimSun"/>
          <w:sz w:val="24"/>
          <w:szCs w:val="24"/>
        </w:rPr>
        <w:t>《公约》的行政管理和信托基金的预算</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155</w:t>
      </w:r>
      <w:r w:rsidRPr="000C0842">
        <w:rPr>
          <w:rFonts w:eastAsia="SimSun"/>
          <w:sz w:val="24"/>
          <w:szCs w:val="24"/>
        </w:rPr>
        <w:fldChar w:fldCharType="end"/>
      </w:r>
    </w:p>
    <w:p w14:paraId="22626F9D" w14:textId="711974B3"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16/29. </w:t>
      </w:r>
      <w:r w:rsidR="0070083D" w:rsidRPr="000C0842">
        <w:rPr>
          <w:rFonts w:eastAsia="SimSun"/>
          <w:sz w:val="24"/>
          <w:szCs w:val="24"/>
        </w:rPr>
        <w:tab/>
      </w:r>
      <w:r w:rsidRPr="000C0842">
        <w:rPr>
          <w:rFonts w:eastAsia="SimSun"/>
          <w:sz w:val="24"/>
          <w:szCs w:val="24"/>
        </w:rPr>
        <w:t>举行生物多样性公约缔约方大会第十六届会议面对面续会的费用</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171</w:t>
      </w:r>
      <w:r w:rsidRPr="000C0842">
        <w:rPr>
          <w:rFonts w:eastAsia="SimSun"/>
          <w:sz w:val="24"/>
          <w:szCs w:val="24"/>
        </w:rPr>
        <w:fldChar w:fldCharType="end"/>
      </w:r>
    </w:p>
    <w:p w14:paraId="35608E7C" w14:textId="00F058B1"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16/30. </w:t>
      </w:r>
      <w:r w:rsidR="0070083D" w:rsidRPr="000C0842">
        <w:rPr>
          <w:rFonts w:eastAsia="SimSun"/>
          <w:sz w:val="24"/>
          <w:szCs w:val="24"/>
        </w:rPr>
        <w:tab/>
      </w:r>
      <w:r w:rsidRPr="000C0842">
        <w:rPr>
          <w:rFonts w:eastAsia="SimSun"/>
          <w:sz w:val="24"/>
          <w:szCs w:val="24"/>
        </w:rPr>
        <w:t>生物多样性公约执行秘书任命事项</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172</w:t>
      </w:r>
      <w:r w:rsidRPr="000C0842">
        <w:rPr>
          <w:rFonts w:eastAsia="SimSun"/>
          <w:sz w:val="24"/>
          <w:szCs w:val="24"/>
        </w:rPr>
        <w:fldChar w:fldCharType="end"/>
      </w:r>
    </w:p>
    <w:p w14:paraId="54470A94" w14:textId="1F513F32"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16/31. </w:t>
      </w:r>
      <w:r w:rsidR="0070083D" w:rsidRPr="000C0842">
        <w:rPr>
          <w:rFonts w:eastAsia="SimSun"/>
          <w:sz w:val="24"/>
          <w:szCs w:val="24"/>
        </w:rPr>
        <w:tab/>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蒙特利尔全球生物多样性框架》的监测框架</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174</w:t>
      </w:r>
      <w:r w:rsidRPr="000C0842">
        <w:rPr>
          <w:rFonts w:eastAsia="SimSun"/>
          <w:sz w:val="24"/>
          <w:szCs w:val="24"/>
        </w:rPr>
        <w:fldChar w:fldCharType="end"/>
      </w:r>
    </w:p>
    <w:p w14:paraId="446DC04F" w14:textId="04A87256" w:rsidR="00AE4772" w:rsidRPr="000C0842" w:rsidRDefault="00AE4772" w:rsidP="00493F8B">
      <w:pPr>
        <w:pStyle w:val="TOC2"/>
        <w:ind w:left="1437" w:hanging="947"/>
        <w:contextualSpacing/>
        <w:rPr>
          <w:rFonts w:eastAsia="SimSun"/>
          <w:kern w:val="2"/>
          <w:sz w:val="24"/>
          <w:szCs w:val="24"/>
          <w:lang w:val="en-US"/>
          <w14:ligatures w14:val="standardContextual"/>
        </w:rPr>
      </w:pPr>
      <w:r w:rsidRPr="000C0842">
        <w:rPr>
          <w:rFonts w:eastAsia="SimSun"/>
          <w:sz w:val="24"/>
          <w:szCs w:val="24"/>
        </w:rPr>
        <w:lastRenderedPageBreak/>
        <w:t xml:space="preserve">16/32. </w:t>
      </w:r>
      <w:r w:rsidR="0070083D" w:rsidRPr="000C0842">
        <w:rPr>
          <w:rFonts w:eastAsia="SimSun"/>
          <w:sz w:val="24"/>
          <w:szCs w:val="24"/>
        </w:rPr>
        <w:tab/>
      </w:r>
      <w:r w:rsidRPr="000C0842">
        <w:rPr>
          <w:rFonts w:eastAsia="SimSun"/>
          <w:sz w:val="24"/>
          <w:szCs w:val="24"/>
        </w:rPr>
        <w:t>规划、监测、报告和审查机制，包括将在缔约方大会第十七届和第十九届会议上进行的《昆明</w:t>
      </w:r>
      <w:r w:rsidRPr="000C0842">
        <w:rPr>
          <w:rFonts w:eastAsia="SimSun"/>
          <w:sz w:val="24"/>
          <w:szCs w:val="24"/>
        </w:rPr>
        <w:t>-</w:t>
      </w:r>
      <w:r w:rsidRPr="000C0842">
        <w:rPr>
          <w:rFonts w:eastAsia="SimSun"/>
          <w:sz w:val="24"/>
          <w:szCs w:val="24"/>
        </w:rPr>
        <w:t>蒙特利尔全球生物多样性框架》集体执行进度全球审查</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_Toc206358229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204</w:t>
      </w:r>
      <w:r w:rsidRPr="000C0842">
        <w:rPr>
          <w:rFonts w:eastAsia="SimSun"/>
          <w:sz w:val="24"/>
          <w:szCs w:val="24"/>
        </w:rPr>
        <w:fldChar w:fldCharType="end"/>
      </w:r>
    </w:p>
    <w:p w14:paraId="417769CC" w14:textId="50A685A7"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16/33. </w:t>
      </w:r>
      <w:r w:rsidR="0070083D" w:rsidRPr="000C0842">
        <w:rPr>
          <w:rFonts w:eastAsia="SimSun"/>
          <w:sz w:val="24"/>
          <w:szCs w:val="24"/>
        </w:rPr>
        <w:tab/>
      </w:r>
      <w:r w:rsidRPr="000C0842">
        <w:rPr>
          <w:rFonts w:eastAsia="SimSun"/>
          <w:sz w:val="24"/>
          <w:szCs w:val="24"/>
        </w:rPr>
        <w:t>财务机制</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219</w:t>
      </w:r>
      <w:r w:rsidRPr="000C0842">
        <w:rPr>
          <w:rFonts w:eastAsia="SimSun"/>
          <w:sz w:val="24"/>
          <w:szCs w:val="24"/>
        </w:rPr>
        <w:fldChar w:fldCharType="end"/>
      </w:r>
    </w:p>
    <w:p w14:paraId="1D227B72" w14:textId="13770C65"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16/34. </w:t>
      </w:r>
      <w:r w:rsidR="0070083D" w:rsidRPr="000C0842">
        <w:rPr>
          <w:rFonts w:eastAsia="SimSun"/>
          <w:sz w:val="24"/>
          <w:szCs w:val="24"/>
        </w:rPr>
        <w:tab/>
      </w:r>
      <w:r w:rsidRPr="000C0842">
        <w:rPr>
          <w:rFonts w:eastAsia="SimSun"/>
          <w:sz w:val="24"/>
          <w:szCs w:val="24"/>
        </w:rPr>
        <w:t>资源调动</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233</w:t>
      </w:r>
      <w:r w:rsidRPr="000C0842">
        <w:rPr>
          <w:rFonts w:eastAsia="SimSun"/>
          <w:sz w:val="24"/>
          <w:szCs w:val="24"/>
        </w:rPr>
        <w:fldChar w:fldCharType="end"/>
      </w:r>
    </w:p>
    <w:p w14:paraId="4EE69111" w14:textId="384AF625"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16/35. </w:t>
      </w:r>
      <w:r w:rsidR="0070083D" w:rsidRPr="000C0842">
        <w:rPr>
          <w:rFonts w:eastAsia="SimSun"/>
          <w:sz w:val="24"/>
          <w:szCs w:val="24"/>
        </w:rPr>
        <w:tab/>
      </w:r>
      <w:r w:rsidRPr="000C0842">
        <w:rPr>
          <w:rFonts w:eastAsia="SimSun"/>
          <w:sz w:val="24"/>
          <w:szCs w:val="24"/>
        </w:rPr>
        <w:t>与其他公约和国际组织的合作</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_Toc206358232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245</w:t>
      </w:r>
      <w:r w:rsidRPr="000C0842">
        <w:rPr>
          <w:rFonts w:eastAsia="SimSun"/>
          <w:sz w:val="24"/>
          <w:szCs w:val="24"/>
        </w:rPr>
        <w:fldChar w:fldCharType="end"/>
      </w:r>
    </w:p>
    <w:p w14:paraId="7E580C0B" w14:textId="3EDBE2BC" w:rsidR="00AE4772" w:rsidRPr="000C0842" w:rsidRDefault="00AE4772" w:rsidP="00493F8B">
      <w:pPr>
        <w:pStyle w:val="TOC2"/>
        <w:ind w:left="994" w:hanging="504"/>
        <w:contextualSpacing/>
        <w:rPr>
          <w:rFonts w:eastAsia="SimSun"/>
          <w:kern w:val="2"/>
          <w:sz w:val="24"/>
          <w:szCs w:val="24"/>
          <w:lang w:val="en-US"/>
          <w14:ligatures w14:val="standardContextual"/>
        </w:rPr>
      </w:pPr>
      <w:r w:rsidRPr="000C0842">
        <w:rPr>
          <w:rFonts w:eastAsia="SimSun"/>
          <w:sz w:val="24"/>
          <w:szCs w:val="24"/>
        </w:rPr>
        <w:t xml:space="preserve">16/36. </w:t>
      </w:r>
      <w:r w:rsidR="0070083D" w:rsidRPr="000C0842">
        <w:rPr>
          <w:rFonts w:eastAsia="SimSun"/>
          <w:sz w:val="24"/>
          <w:szCs w:val="24"/>
        </w:rPr>
        <w:tab/>
      </w:r>
      <w:r w:rsidRPr="000C0842">
        <w:rPr>
          <w:rFonts w:eastAsia="SimSun"/>
          <w:sz w:val="24"/>
          <w:szCs w:val="24"/>
        </w:rPr>
        <w:t>缔约方大会多年期工作方案</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249</w:t>
      </w:r>
      <w:r w:rsidRPr="000C0842">
        <w:rPr>
          <w:rFonts w:eastAsia="SimSun"/>
          <w:sz w:val="24"/>
          <w:szCs w:val="24"/>
        </w:rPr>
        <w:fldChar w:fldCharType="end"/>
      </w:r>
    </w:p>
    <w:p w14:paraId="12D2FE28" w14:textId="5F83C311" w:rsidR="00AE4772" w:rsidRPr="000C0842" w:rsidRDefault="00AE4772" w:rsidP="00596036">
      <w:pPr>
        <w:pStyle w:val="TOC1"/>
        <w:rPr>
          <w:kern w:val="2"/>
          <w14:ligatures w14:val="standardContextual"/>
        </w:rPr>
      </w:pPr>
      <w:r w:rsidRPr="000C0842">
        <w:t>二</w:t>
      </w:r>
      <w:r w:rsidRPr="000C0842">
        <w:t>.</w:t>
      </w:r>
      <w:r w:rsidR="0070083D" w:rsidRPr="000C0842">
        <w:tab/>
      </w:r>
      <w:r w:rsidRPr="000C0842">
        <w:t>会议记录</w:t>
      </w:r>
      <w:r w:rsidR="0070083D" w:rsidRPr="000C0842">
        <w:rPr>
          <w:b w:val="0"/>
          <w:bCs w:val="0"/>
        </w:rPr>
        <w:t>……………………………………………………………..……</w:t>
      </w:r>
      <w:r w:rsidR="006B3095" w:rsidRPr="000C0842">
        <w:rPr>
          <w:b w:val="0"/>
          <w:bCs w:val="0"/>
        </w:rPr>
        <w:t>……………...</w:t>
      </w:r>
      <w:r w:rsidRPr="000C0842">
        <w:rPr>
          <w:b w:val="0"/>
          <w:bCs w:val="0"/>
        </w:rPr>
        <w:fldChar w:fldCharType="begin"/>
      </w:r>
      <w:r w:rsidRPr="000C0842">
        <w:rPr>
          <w:b w:val="0"/>
          <w:bCs w:val="0"/>
        </w:rPr>
        <w:instrText xml:space="preserve"> PAGEREF _Toc206358234 \h </w:instrText>
      </w:r>
      <w:r w:rsidRPr="000C0842">
        <w:rPr>
          <w:b w:val="0"/>
          <w:bCs w:val="0"/>
        </w:rPr>
      </w:r>
      <w:r w:rsidRPr="000C0842">
        <w:rPr>
          <w:b w:val="0"/>
          <w:bCs w:val="0"/>
        </w:rPr>
        <w:fldChar w:fldCharType="separate"/>
      </w:r>
      <w:r w:rsidR="001A4065">
        <w:rPr>
          <w:b w:val="0"/>
          <w:bCs w:val="0"/>
        </w:rPr>
        <w:t>250</w:t>
      </w:r>
      <w:r w:rsidRPr="000C0842">
        <w:rPr>
          <w:b w:val="0"/>
          <w:bCs w:val="0"/>
        </w:rPr>
        <w:fldChar w:fldCharType="end"/>
      </w:r>
    </w:p>
    <w:p w14:paraId="436CF742" w14:textId="7AC4792A"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背景</w:t>
      </w:r>
      <w:r w:rsidR="0070083D" w:rsidRPr="000C0842">
        <w:rPr>
          <w:rFonts w:eastAsia="SimSun"/>
          <w:sz w:val="24"/>
          <w:szCs w:val="24"/>
          <w:lang w:val="en-US"/>
        </w:rPr>
        <w:tab/>
      </w:r>
      <w:r w:rsidR="006B3095" w:rsidRPr="000C0842">
        <w:rPr>
          <w:rFonts w:eastAsia="SimSun"/>
          <w:sz w:val="24"/>
          <w:szCs w:val="24"/>
          <w:lang w:val="en-US"/>
        </w:rPr>
        <w:tab/>
      </w:r>
      <w:r w:rsidR="0070083D" w:rsidRPr="000C0842">
        <w:rPr>
          <w:rFonts w:eastAsia="SimSun"/>
          <w:sz w:val="24"/>
          <w:szCs w:val="24"/>
          <w:lang w:val="en-US"/>
        </w:rPr>
        <w:tab/>
      </w:r>
      <w:r w:rsidRPr="000C0842">
        <w:rPr>
          <w:rFonts w:eastAsia="SimSun"/>
          <w:sz w:val="24"/>
          <w:szCs w:val="24"/>
        </w:rPr>
        <w:fldChar w:fldCharType="begin"/>
      </w:r>
      <w:r w:rsidRPr="000C0842">
        <w:rPr>
          <w:rFonts w:eastAsia="SimSun"/>
          <w:sz w:val="24"/>
          <w:szCs w:val="24"/>
        </w:rPr>
        <w:instrText xml:space="preserve"> PAGEREF _Toc206358235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250</w:t>
      </w:r>
      <w:r w:rsidRPr="000C0842">
        <w:rPr>
          <w:rFonts w:eastAsia="SimSun"/>
          <w:sz w:val="24"/>
          <w:szCs w:val="24"/>
        </w:rPr>
        <w:fldChar w:fldCharType="end"/>
      </w:r>
    </w:p>
    <w:p w14:paraId="465677B1" w14:textId="07E054ED"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与会情况</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250</w:t>
      </w:r>
      <w:r w:rsidRPr="000C0842">
        <w:rPr>
          <w:rFonts w:eastAsia="SimSun"/>
          <w:sz w:val="24"/>
          <w:szCs w:val="24"/>
        </w:rPr>
        <w:fldChar w:fldCharType="end"/>
      </w:r>
    </w:p>
    <w:p w14:paraId="7E3A9D89" w14:textId="1A870424"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 </w:t>
      </w:r>
      <w:r w:rsidR="0070083D" w:rsidRPr="000C0842">
        <w:rPr>
          <w:rFonts w:eastAsia="SimSun"/>
          <w:sz w:val="24"/>
          <w:szCs w:val="24"/>
        </w:rPr>
        <w:t xml:space="preserve">   </w:t>
      </w:r>
      <w:r w:rsidRPr="000C0842">
        <w:rPr>
          <w:rFonts w:eastAsia="SimSun"/>
          <w:sz w:val="24"/>
          <w:szCs w:val="24"/>
        </w:rPr>
        <w:t>会议开幕</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250</w:t>
      </w:r>
      <w:r w:rsidRPr="000C0842">
        <w:rPr>
          <w:rFonts w:eastAsia="SimSun"/>
          <w:sz w:val="24"/>
          <w:szCs w:val="24"/>
        </w:rPr>
        <w:fldChar w:fldCharType="end"/>
      </w:r>
    </w:p>
    <w:p w14:paraId="29BA819D" w14:textId="1FF2C179"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 </w:t>
      </w:r>
      <w:r w:rsidR="0070083D" w:rsidRPr="000C0842">
        <w:rPr>
          <w:rFonts w:eastAsia="SimSun"/>
          <w:sz w:val="24"/>
          <w:szCs w:val="24"/>
        </w:rPr>
        <w:t xml:space="preserve">   </w:t>
      </w:r>
      <w:r w:rsidRPr="000C0842">
        <w:rPr>
          <w:rFonts w:eastAsia="SimSun"/>
          <w:sz w:val="24"/>
          <w:szCs w:val="24"/>
        </w:rPr>
        <w:t>组织事项</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252</w:t>
      </w:r>
      <w:r w:rsidRPr="000C0842">
        <w:rPr>
          <w:rFonts w:eastAsia="SimSun"/>
          <w:sz w:val="24"/>
          <w:szCs w:val="24"/>
        </w:rPr>
        <w:fldChar w:fldCharType="end"/>
      </w:r>
    </w:p>
    <w:p w14:paraId="730B2CCA" w14:textId="5932D965"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3 </w:t>
      </w:r>
      <w:r w:rsidR="0070083D" w:rsidRPr="000C0842">
        <w:rPr>
          <w:rFonts w:eastAsia="SimSun"/>
          <w:sz w:val="24"/>
          <w:szCs w:val="24"/>
        </w:rPr>
        <w:t xml:space="preserve">   </w:t>
      </w:r>
      <w:r w:rsidRPr="000C0842">
        <w:rPr>
          <w:rFonts w:eastAsia="SimSun"/>
          <w:sz w:val="24"/>
          <w:szCs w:val="24"/>
        </w:rPr>
        <w:t>关于缔约方大会第十六届会议代表的全权证书的报告</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_Toc206358239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256</w:t>
      </w:r>
      <w:r w:rsidRPr="000C0842">
        <w:rPr>
          <w:rFonts w:eastAsia="SimSun"/>
          <w:sz w:val="24"/>
          <w:szCs w:val="24"/>
        </w:rPr>
        <w:fldChar w:fldCharType="end"/>
      </w:r>
    </w:p>
    <w:p w14:paraId="0EC22989" w14:textId="19365927"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4 </w:t>
      </w:r>
      <w:r w:rsidR="0070083D" w:rsidRPr="000C0842">
        <w:rPr>
          <w:rFonts w:eastAsia="SimSun"/>
          <w:sz w:val="24"/>
          <w:szCs w:val="24"/>
        </w:rPr>
        <w:t xml:space="preserve">   </w:t>
      </w:r>
      <w:r w:rsidRPr="000C0842">
        <w:rPr>
          <w:rFonts w:eastAsia="SimSun"/>
          <w:sz w:val="24"/>
          <w:szCs w:val="24"/>
        </w:rPr>
        <w:t>未决问题</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257</w:t>
      </w:r>
      <w:r w:rsidRPr="000C0842">
        <w:rPr>
          <w:rFonts w:eastAsia="SimSun"/>
          <w:sz w:val="24"/>
          <w:szCs w:val="24"/>
        </w:rPr>
        <w:fldChar w:fldCharType="end"/>
      </w:r>
    </w:p>
    <w:p w14:paraId="49C032D4" w14:textId="07A7E04B"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5 </w:t>
      </w:r>
      <w:r w:rsidR="0070083D" w:rsidRPr="000C0842">
        <w:rPr>
          <w:rFonts w:eastAsia="SimSun"/>
          <w:sz w:val="24"/>
          <w:szCs w:val="24"/>
        </w:rPr>
        <w:t xml:space="preserve">   </w:t>
      </w:r>
      <w:r w:rsidRPr="000C0842">
        <w:rPr>
          <w:rFonts w:eastAsia="SimSun"/>
          <w:sz w:val="24"/>
          <w:szCs w:val="24"/>
        </w:rPr>
        <w:t>缔约方大会今后会议的日期和地点</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257</w:t>
      </w:r>
      <w:r w:rsidRPr="000C0842">
        <w:rPr>
          <w:rFonts w:eastAsia="SimSun"/>
          <w:sz w:val="24"/>
          <w:szCs w:val="24"/>
        </w:rPr>
        <w:fldChar w:fldCharType="end"/>
      </w:r>
    </w:p>
    <w:p w14:paraId="6D6AC27C" w14:textId="13AC7AC1"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6 </w:t>
      </w:r>
      <w:r w:rsidR="0070083D" w:rsidRPr="000C0842">
        <w:rPr>
          <w:rFonts w:eastAsia="SimSun"/>
          <w:sz w:val="24"/>
          <w:szCs w:val="24"/>
        </w:rPr>
        <w:t xml:space="preserve">   </w:t>
      </w:r>
      <w:r w:rsidRPr="000C0842">
        <w:rPr>
          <w:rFonts w:eastAsia="SimSun"/>
          <w:sz w:val="24"/>
          <w:szCs w:val="24"/>
        </w:rPr>
        <w:t>闭会期间会议和区域筹备会议的报告</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_Toc206358242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258</w:t>
      </w:r>
      <w:r w:rsidRPr="000C0842">
        <w:rPr>
          <w:rFonts w:eastAsia="SimSun"/>
          <w:sz w:val="24"/>
          <w:szCs w:val="24"/>
        </w:rPr>
        <w:fldChar w:fldCharType="end"/>
      </w:r>
    </w:p>
    <w:p w14:paraId="33B3F639" w14:textId="74AAA76A"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7 </w:t>
      </w:r>
      <w:r w:rsidR="0070083D" w:rsidRPr="000C0842">
        <w:rPr>
          <w:rFonts w:eastAsia="SimSun"/>
          <w:sz w:val="24"/>
          <w:szCs w:val="24"/>
        </w:rPr>
        <w:t xml:space="preserve"> </w:t>
      </w:r>
      <w:r w:rsidRPr="000C0842">
        <w:rPr>
          <w:rFonts w:eastAsia="SimSun"/>
          <w:sz w:val="24"/>
          <w:szCs w:val="24"/>
        </w:rPr>
        <w:t>《公约》的行政管理和信托基金的预算</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258</w:t>
      </w:r>
      <w:r w:rsidRPr="000C0842">
        <w:rPr>
          <w:rFonts w:eastAsia="SimSun"/>
          <w:sz w:val="24"/>
          <w:szCs w:val="24"/>
        </w:rPr>
        <w:fldChar w:fldCharType="end"/>
      </w:r>
    </w:p>
    <w:p w14:paraId="2D7FED15" w14:textId="77777777" w:rsidR="0070083D" w:rsidRPr="000C0842" w:rsidRDefault="00AE4772" w:rsidP="00493F8B">
      <w:pPr>
        <w:pStyle w:val="TOC2"/>
        <w:ind w:left="994" w:hanging="504"/>
        <w:rPr>
          <w:rFonts w:eastAsia="SimSun"/>
          <w:sz w:val="24"/>
          <w:szCs w:val="24"/>
          <w:lang w:val="en-US"/>
        </w:rPr>
      </w:pPr>
      <w:r w:rsidRPr="000C0842">
        <w:rPr>
          <w:rFonts w:eastAsia="SimSun"/>
          <w:sz w:val="24"/>
          <w:szCs w:val="24"/>
        </w:rPr>
        <w:t>项目</w:t>
      </w:r>
      <w:r w:rsidRPr="000C0842">
        <w:rPr>
          <w:rFonts w:eastAsia="SimSun"/>
          <w:sz w:val="24"/>
          <w:szCs w:val="24"/>
        </w:rPr>
        <w:t xml:space="preserve">8 </w:t>
      </w:r>
      <w:r w:rsidR="0070083D" w:rsidRPr="000C0842">
        <w:rPr>
          <w:rFonts w:eastAsia="SimSun"/>
          <w:sz w:val="24"/>
          <w:szCs w:val="24"/>
        </w:rPr>
        <w:t xml:space="preserve">   </w:t>
      </w:r>
      <w:r w:rsidRPr="000C0842">
        <w:rPr>
          <w:rFonts w:eastAsia="SimSun"/>
          <w:sz w:val="24"/>
          <w:szCs w:val="24"/>
        </w:rPr>
        <w:t>缔约方根据《昆明</w:t>
      </w:r>
      <w:r w:rsidRPr="000C0842">
        <w:rPr>
          <w:rFonts w:eastAsia="SimSun"/>
          <w:sz w:val="24"/>
          <w:szCs w:val="24"/>
        </w:rPr>
        <w:t>-</w:t>
      </w:r>
      <w:r w:rsidRPr="000C0842">
        <w:rPr>
          <w:rFonts w:eastAsia="SimSun"/>
          <w:sz w:val="24"/>
          <w:szCs w:val="24"/>
        </w:rPr>
        <w:t>蒙特利尔全球生物多样性框架》制定目标和</w:t>
      </w:r>
    </w:p>
    <w:p w14:paraId="19F9C732" w14:textId="6BD6CF2E" w:rsidR="00AE4772" w:rsidRPr="000C0842" w:rsidRDefault="0070083D" w:rsidP="00493F8B">
      <w:pPr>
        <w:pStyle w:val="TOC2"/>
        <w:ind w:left="994" w:hanging="504"/>
        <w:rPr>
          <w:rFonts w:eastAsia="SimSun"/>
          <w:kern w:val="2"/>
          <w:sz w:val="24"/>
          <w:szCs w:val="24"/>
          <w:lang w:val="en-US"/>
          <w14:ligatures w14:val="standardContextual"/>
        </w:rPr>
      </w:pPr>
      <w:r w:rsidRPr="000C0842">
        <w:rPr>
          <w:rFonts w:eastAsia="SimSun"/>
          <w:sz w:val="24"/>
          <w:szCs w:val="24"/>
          <w:lang w:val="en-US"/>
        </w:rPr>
        <w:tab/>
        <w:t xml:space="preserve">   </w:t>
      </w:r>
      <w:r w:rsidR="006B3095" w:rsidRPr="000C0842">
        <w:rPr>
          <w:rFonts w:eastAsia="SimSun"/>
          <w:sz w:val="24"/>
          <w:szCs w:val="24"/>
          <w:lang w:val="en-US"/>
        </w:rPr>
        <w:t xml:space="preserve">   </w:t>
      </w:r>
      <w:r w:rsidR="00AE4772" w:rsidRPr="000C0842">
        <w:rPr>
          <w:rFonts w:eastAsia="SimSun"/>
          <w:sz w:val="24"/>
          <w:szCs w:val="24"/>
        </w:rPr>
        <w:t>更新国家生物多样性战略和行动计划的进展情况</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_Toc206358244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260</w:t>
      </w:r>
      <w:r w:rsidR="00AE4772" w:rsidRPr="000C0842">
        <w:rPr>
          <w:rFonts w:eastAsia="SimSun"/>
          <w:sz w:val="24"/>
          <w:szCs w:val="24"/>
        </w:rPr>
        <w:fldChar w:fldCharType="end"/>
      </w:r>
    </w:p>
    <w:p w14:paraId="1E5B7E84" w14:textId="145390A8"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9 </w:t>
      </w:r>
      <w:r w:rsidR="0070083D" w:rsidRPr="000C0842">
        <w:rPr>
          <w:rFonts w:eastAsia="SimSun"/>
          <w:sz w:val="24"/>
          <w:szCs w:val="24"/>
        </w:rPr>
        <w:t xml:space="preserve">   </w:t>
      </w:r>
      <w:r w:rsidRPr="000C0842">
        <w:rPr>
          <w:rFonts w:eastAsia="SimSun"/>
          <w:sz w:val="24"/>
          <w:szCs w:val="24"/>
        </w:rPr>
        <w:t>遗传资源数字序列信息</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260</w:t>
      </w:r>
      <w:r w:rsidRPr="000C0842">
        <w:rPr>
          <w:rFonts w:eastAsia="SimSun"/>
          <w:sz w:val="24"/>
          <w:szCs w:val="24"/>
        </w:rPr>
        <w:fldChar w:fldCharType="end"/>
      </w:r>
    </w:p>
    <w:p w14:paraId="37114E05" w14:textId="31533744"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10 </w:t>
      </w:r>
      <w:r w:rsidR="0070083D" w:rsidRPr="000C0842">
        <w:rPr>
          <w:rFonts w:eastAsia="SimSun"/>
          <w:sz w:val="24"/>
          <w:szCs w:val="24"/>
        </w:rPr>
        <w:t xml:space="preserve"> </w:t>
      </w:r>
      <w:r w:rsidRPr="000C0842">
        <w:rPr>
          <w:rFonts w:eastAsia="SimSun"/>
          <w:sz w:val="24"/>
          <w:szCs w:val="24"/>
        </w:rPr>
        <w:t>规划、监测、报告和审查机制</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261</w:t>
      </w:r>
      <w:r w:rsidRPr="000C0842">
        <w:rPr>
          <w:rFonts w:eastAsia="SimSun"/>
          <w:sz w:val="24"/>
          <w:szCs w:val="24"/>
        </w:rPr>
        <w:fldChar w:fldCharType="end"/>
      </w:r>
    </w:p>
    <w:p w14:paraId="2DEAD4E8" w14:textId="0F5DE926"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11 </w:t>
      </w:r>
      <w:r w:rsidR="0070083D" w:rsidRPr="000C0842">
        <w:rPr>
          <w:rFonts w:eastAsia="SimSun"/>
          <w:sz w:val="24"/>
          <w:szCs w:val="24"/>
        </w:rPr>
        <w:t xml:space="preserve"> </w:t>
      </w:r>
      <w:r w:rsidRPr="000C0842">
        <w:rPr>
          <w:rFonts w:eastAsia="SimSun"/>
          <w:sz w:val="24"/>
          <w:szCs w:val="24"/>
        </w:rPr>
        <w:t>资源调动和财务机制</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263</w:t>
      </w:r>
      <w:r w:rsidRPr="000C0842">
        <w:rPr>
          <w:rFonts w:eastAsia="SimSun"/>
          <w:sz w:val="24"/>
          <w:szCs w:val="24"/>
        </w:rPr>
        <w:fldChar w:fldCharType="end"/>
      </w:r>
    </w:p>
    <w:p w14:paraId="24F69FE0" w14:textId="680F6321"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12 </w:t>
      </w:r>
      <w:r w:rsidR="0070083D" w:rsidRPr="000C0842">
        <w:rPr>
          <w:rFonts w:eastAsia="SimSun"/>
          <w:sz w:val="24"/>
          <w:szCs w:val="24"/>
        </w:rPr>
        <w:t xml:space="preserve"> </w:t>
      </w:r>
      <w:r w:rsidRPr="000C0842">
        <w:rPr>
          <w:rFonts w:eastAsia="SimSun"/>
          <w:sz w:val="24"/>
          <w:szCs w:val="24"/>
        </w:rPr>
        <w:t>能力建设和发展、科技合作、信息交换所机制和知识管理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267</w:t>
      </w:r>
      <w:r w:rsidRPr="000C0842">
        <w:rPr>
          <w:rFonts w:eastAsia="SimSun"/>
          <w:sz w:val="24"/>
          <w:szCs w:val="24"/>
        </w:rPr>
        <w:fldChar w:fldCharType="end"/>
      </w:r>
    </w:p>
    <w:p w14:paraId="246014D1" w14:textId="0432D6B2"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13 </w:t>
      </w:r>
      <w:r w:rsidR="0070083D" w:rsidRPr="000C0842">
        <w:rPr>
          <w:rFonts w:eastAsia="SimSun"/>
          <w:sz w:val="24"/>
          <w:szCs w:val="24"/>
        </w:rPr>
        <w:t xml:space="preserve"> </w:t>
      </w:r>
      <w:r w:rsidRPr="000C0842">
        <w:rPr>
          <w:rFonts w:eastAsia="SimSun"/>
          <w:sz w:val="24"/>
          <w:szCs w:val="24"/>
        </w:rPr>
        <w:t>与国际组织和根据其他公约建立的机构的合作</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_Toc206358249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268</w:t>
      </w:r>
      <w:r w:rsidRPr="000C0842">
        <w:rPr>
          <w:rFonts w:eastAsia="SimSun"/>
          <w:sz w:val="24"/>
          <w:szCs w:val="24"/>
        </w:rPr>
        <w:fldChar w:fldCharType="end"/>
      </w:r>
    </w:p>
    <w:p w14:paraId="150B517F" w14:textId="50CFA27F"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14 </w:t>
      </w:r>
      <w:r w:rsidR="0070083D" w:rsidRPr="000C0842">
        <w:rPr>
          <w:rFonts w:eastAsia="SimSun"/>
          <w:sz w:val="24"/>
          <w:szCs w:val="24"/>
        </w:rPr>
        <w:t xml:space="preserve"> </w:t>
      </w:r>
      <w:r w:rsidRPr="000C0842">
        <w:rPr>
          <w:rFonts w:eastAsia="SimSun"/>
          <w:sz w:val="24"/>
          <w:szCs w:val="24"/>
        </w:rPr>
        <w:t>第</w:t>
      </w:r>
      <w:r w:rsidRPr="000C0842">
        <w:rPr>
          <w:rFonts w:eastAsia="SimSun"/>
          <w:sz w:val="24"/>
          <w:szCs w:val="24"/>
        </w:rPr>
        <w:t>8(j)</w:t>
      </w:r>
      <w:r w:rsidRPr="000C0842">
        <w:rPr>
          <w:rFonts w:eastAsia="SimSun"/>
          <w:sz w:val="24"/>
          <w:szCs w:val="24"/>
        </w:rPr>
        <w:t>条和相关条款的执行情况</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270</w:t>
      </w:r>
      <w:r w:rsidRPr="000C0842">
        <w:rPr>
          <w:rFonts w:eastAsia="SimSun"/>
          <w:sz w:val="24"/>
          <w:szCs w:val="24"/>
        </w:rPr>
        <w:fldChar w:fldCharType="end"/>
      </w:r>
    </w:p>
    <w:p w14:paraId="6E42381F" w14:textId="4DD88B77"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15 </w:t>
      </w:r>
      <w:r w:rsidR="0070083D" w:rsidRPr="000C0842">
        <w:rPr>
          <w:rFonts w:eastAsia="SimSun"/>
          <w:sz w:val="24"/>
          <w:szCs w:val="24"/>
        </w:rPr>
        <w:t xml:space="preserve"> </w:t>
      </w:r>
      <w:r w:rsidRPr="000C0842">
        <w:rPr>
          <w:rFonts w:eastAsia="SimSun"/>
          <w:sz w:val="24"/>
          <w:szCs w:val="24"/>
        </w:rPr>
        <w:t>传播、教育和公众意识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273</w:t>
      </w:r>
      <w:r w:rsidRPr="000C0842">
        <w:rPr>
          <w:rFonts w:eastAsia="SimSun"/>
          <w:sz w:val="24"/>
          <w:szCs w:val="24"/>
        </w:rPr>
        <w:fldChar w:fldCharType="end"/>
      </w:r>
    </w:p>
    <w:p w14:paraId="1B7B5E46" w14:textId="77777777" w:rsidR="0070083D" w:rsidRPr="000C0842" w:rsidRDefault="00AE4772" w:rsidP="00493F8B">
      <w:pPr>
        <w:pStyle w:val="TOC2"/>
        <w:ind w:left="994" w:hanging="504"/>
        <w:rPr>
          <w:rFonts w:eastAsia="SimSun"/>
          <w:sz w:val="24"/>
          <w:szCs w:val="24"/>
          <w:lang w:val="en-US"/>
        </w:rPr>
      </w:pPr>
      <w:r w:rsidRPr="000C0842">
        <w:rPr>
          <w:rFonts w:eastAsia="SimSun"/>
          <w:sz w:val="24"/>
          <w:szCs w:val="24"/>
        </w:rPr>
        <w:t>项目</w:t>
      </w:r>
      <w:r w:rsidRPr="000C0842">
        <w:rPr>
          <w:rFonts w:eastAsia="SimSun"/>
          <w:sz w:val="24"/>
          <w:szCs w:val="24"/>
        </w:rPr>
        <w:t xml:space="preserve">16 </w:t>
      </w:r>
      <w:r w:rsidR="0070083D" w:rsidRPr="000C0842">
        <w:rPr>
          <w:rFonts w:eastAsia="SimSun"/>
          <w:sz w:val="24"/>
          <w:szCs w:val="24"/>
        </w:rPr>
        <w:t xml:space="preserve"> </w:t>
      </w:r>
      <w:r w:rsidRPr="000C0842">
        <w:rPr>
          <w:rFonts w:eastAsia="SimSun"/>
          <w:sz w:val="24"/>
          <w:szCs w:val="24"/>
        </w:rPr>
        <w:t>用于支持执行《昆明</w:t>
      </w:r>
      <w:r w:rsidRPr="000C0842">
        <w:rPr>
          <w:rFonts w:eastAsia="SimSun"/>
          <w:sz w:val="24"/>
          <w:szCs w:val="24"/>
        </w:rPr>
        <w:t>-</w:t>
      </w:r>
      <w:r w:rsidRPr="000C0842">
        <w:rPr>
          <w:rFonts w:eastAsia="SimSun"/>
          <w:sz w:val="24"/>
          <w:szCs w:val="24"/>
        </w:rPr>
        <w:t>蒙特利尔全球生物多样性框架》的科技</w:t>
      </w:r>
    </w:p>
    <w:p w14:paraId="7D6FE5EF" w14:textId="35D05A57" w:rsidR="00AE4772" w:rsidRPr="000C0842" w:rsidRDefault="0070083D" w:rsidP="00493F8B">
      <w:pPr>
        <w:pStyle w:val="TOC2"/>
        <w:ind w:left="994" w:hanging="504"/>
        <w:rPr>
          <w:rFonts w:eastAsia="SimSun"/>
          <w:kern w:val="2"/>
          <w:sz w:val="24"/>
          <w:szCs w:val="24"/>
          <w:lang w:val="en-US"/>
          <w14:ligatures w14:val="standardContextual"/>
        </w:rPr>
      </w:pPr>
      <w:r w:rsidRPr="000C0842">
        <w:rPr>
          <w:rFonts w:eastAsia="SimSun"/>
          <w:sz w:val="24"/>
          <w:szCs w:val="24"/>
          <w:lang w:val="en-US"/>
        </w:rPr>
        <w:tab/>
        <w:t xml:space="preserve">   </w:t>
      </w:r>
      <w:r w:rsidR="006B3095" w:rsidRPr="000C0842">
        <w:rPr>
          <w:rFonts w:eastAsia="SimSun"/>
          <w:sz w:val="24"/>
          <w:szCs w:val="24"/>
          <w:lang w:val="en-US"/>
        </w:rPr>
        <w:t xml:space="preserve">   </w:t>
      </w:r>
      <w:r w:rsidR="00AE4772" w:rsidRPr="000C0842">
        <w:rPr>
          <w:rFonts w:eastAsia="SimSun"/>
          <w:sz w:val="24"/>
          <w:szCs w:val="24"/>
        </w:rPr>
        <w:t>需求，包括对《公约》各项工作方案的影响</w:t>
      </w:r>
      <w:r w:rsidR="00AE4772" w:rsidRPr="000C0842">
        <w:rPr>
          <w:rFonts w:eastAsia="SimSun"/>
          <w:sz w:val="24"/>
          <w:szCs w:val="24"/>
        </w:rPr>
        <w:tab/>
      </w:r>
      <w:r w:rsidR="00AE4772" w:rsidRPr="000C0842">
        <w:rPr>
          <w:rFonts w:eastAsia="SimSun"/>
          <w:sz w:val="24"/>
          <w:szCs w:val="24"/>
        </w:rPr>
        <w:fldChar w:fldCharType="begin"/>
      </w:r>
      <w:r w:rsidR="00AE4772" w:rsidRPr="000C0842">
        <w:rPr>
          <w:rFonts w:eastAsia="SimSun"/>
          <w:sz w:val="24"/>
          <w:szCs w:val="24"/>
        </w:rPr>
        <w:instrText xml:space="preserve"> PAGEREF _Toc206358252 \h </w:instrText>
      </w:r>
      <w:r w:rsidR="00AE4772" w:rsidRPr="000C0842">
        <w:rPr>
          <w:rFonts w:eastAsia="SimSun"/>
          <w:sz w:val="24"/>
          <w:szCs w:val="24"/>
        </w:rPr>
      </w:r>
      <w:r w:rsidR="00AE4772" w:rsidRPr="000C0842">
        <w:rPr>
          <w:rFonts w:eastAsia="SimSun"/>
          <w:sz w:val="24"/>
          <w:szCs w:val="24"/>
        </w:rPr>
        <w:fldChar w:fldCharType="separate"/>
      </w:r>
      <w:r w:rsidR="001A4065">
        <w:rPr>
          <w:rFonts w:eastAsia="SimSun"/>
          <w:sz w:val="24"/>
          <w:szCs w:val="24"/>
        </w:rPr>
        <w:t>273</w:t>
      </w:r>
      <w:r w:rsidR="00AE4772" w:rsidRPr="000C0842">
        <w:rPr>
          <w:rFonts w:eastAsia="SimSun"/>
          <w:sz w:val="24"/>
          <w:szCs w:val="24"/>
        </w:rPr>
        <w:fldChar w:fldCharType="end"/>
      </w:r>
    </w:p>
    <w:p w14:paraId="48D4F896" w14:textId="04CCE1C1"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17 </w:t>
      </w:r>
      <w:r w:rsidR="0070083D" w:rsidRPr="000C0842">
        <w:rPr>
          <w:rFonts w:eastAsia="SimSun"/>
          <w:sz w:val="24"/>
          <w:szCs w:val="24"/>
        </w:rPr>
        <w:t xml:space="preserve"> </w:t>
      </w:r>
      <w:r w:rsidRPr="000C0842">
        <w:rPr>
          <w:rFonts w:eastAsia="SimSun"/>
          <w:sz w:val="24"/>
          <w:szCs w:val="24"/>
        </w:rPr>
        <w:t>生物多样性在部门内和部门之间的主流化</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274</w:t>
      </w:r>
      <w:r w:rsidRPr="000C0842">
        <w:rPr>
          <w:rFonts w:eastAsia="SimSun"/>
          <w:sz w:val="24"/>
          <w:szCs w:val="24"/>
        </w:rPr>
        <w:fldChar w:fldCharType="end"/>
      </w:r>
    </w:p>
    <w:p w14:paraId="2D516896" w14:textId="0B4090C4"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18 </w:t>
      </w:r>
      <w:r w:rsidR="0070083D" w:rsidRPr="000C0842">
        <w:rPr>
          <w:rFonts w:eastAsia="SimSun"/>
          <w:sz w:val="24"/>
          <w:szCs w:val="24"/>
        </w:rPr>
        <w:t xml:space="preserve"> </w:t>
      </w:r>
      <w:r w:rsidRPr="000C0842">
        <w:rPr>
          <w:rFonts w:eastAsia="SimSun"/>
          <w:sz w:val="24"/>
          <w:szCs w:val="24"/>
        </w:rPr>
        <w:t>生物多样性的多重价值</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_Toc206358254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275</w:t>
      </w:r>
      <w:r w:rsidRPr="000C0842">
        <w:rPr>
          <w:rFonts w:eastAsia="SimSun"/>
          <w:sz w:val="24"/>
          <w:szCs w:val="24"/>
        </w:rPr>
        <w:fldChar w:fldCharType="end"/>
      </w:r>
    </w:p>
    <w:p w14:paraId="27261105" w14:textId="28E2D5F6"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19 </w:t>
      </w:r>
      <w:r w:rsidR="0070083D" w:rsidRPr="000C0842">
        <w:rPr>
          <w:rFonts w:eastAsia="SimSun"/>
          <w:sz w:val="24"/>
          <w:szCs w:val="24"/>
        </w:rPr>
        <w:t xml:space="preserve"> </w:t>
      </w:r>
      <w:r w:rsidRPr="000C0842">
        <w:rPr>
          <w:rFonts w:eastAsia="SimSun"/>
          <w:sz w:val="24"/>
          <w:szCs w:val="24"/>
        </w:rPr>
        <w:t>可持续的野生生物管理</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275</w:t>
      </w:r>
      <w:r w:rsidRPr="000C0842">
        <w:rPr>
          <w:rFonts w:eastAsia="SimSun"/>
          <w:sz w:val="24"/>
          <w:szCs w:val="24"/>
        </w:rPr>
        <w:fldChar w:fldCharType="end"/>
      </w:r>
    </w:p>
    <w:p w14:paraId="7A67AE13" w14:textId="5738B6FD"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20 </w:t>
      </w:r>
      <w:r w:rsidR="0070083D" w:rsidRPr="000C0842">
        <w:rPr>
          <w:rFonts w:eastAsia="SimSun"/>
          <w:sz w:val="24"/>
          <w:szCs w:val="24"/>
        </w:rPr>
        <w:t xml:space="preserve"> </w:t>
      </w:r>
      <w:r w:rsidRPr="000C0842">
        <w:rPr>
          <w:rFonts w:eastAsia="SimSun"/>
          <w:sz w:val="24"/>
          <w:szCs w:val="24"/>
        </w:rPr>
        <w:t>海洋和沿海生物多样性以及岛屿生物多样性</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277</w:t>
      </w:r>
      <w:r w:rsidRPr="000C0842">
        <w:rPr>
          <w:rFonts w:eastAsia="SimSun"/>
          <w:sz w:val="24"/>
          <w:szCs w:val="24"/>
        </w:rPr>
        <w:fldChar w:fldCharType="end"/>
      </w:r>
    </w:p>
    <w:p w14:paraId="768E171E" w14:textId="2B2920A3"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21 </w:t>
      </w:r>
      <w:r w:rsidR="0070083D" w:rsidRPr="000C0842">
        <w:rPr>
          <w:rFonts w:eastAsia="SimSun"/>
          <w:sz w:val="24"/>
          <w:szCs w:val="24"/>
        </w:rPr>
        <w:t xml:space="preserve"> </w:t>
      </w:r>
      <w:r w:rsidRPr="000C0842">
        <w:rPr>
          <w:rFonts w:eastAsia="SimSun"/>
          <w:sz w:val="24"/>
          <w:szCs w:val="24"/>
        </w:rPr>
        <w:t>外来入侵物种</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279</w:t>
      </w:r>
      <w:r w:rsidRPr="000C0842">
        <w:rPr>
          <w:rFonts w:eastAsia="SimSun"/>
          <w:sz w:val="24"/>
          <w:szCs w:val="24"/>
        </w:rPr>
        <w:fldChar w:fldCharType="end"/>
      </w:r>
    </w:p>
    <w:p w14:paraId="4419E2CB" w14:textId="1D7B9360"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22 </w:t>
      </w:r>
      <w:r w:rsidR="0070083D" w:rsidRPr="000C0842">
        <w:rPr>
          <w:rFonts w:eastAsia="SimSun"/>
          <w:sz w:val="24"/>
          <w:szCs w:val="24"/>
        </w:rPr>
        <w:t xml:space="preserve"> </w:t>
      </w:r>
      <w:r w:rsidRPr="000C0842">
        <w:rPr>
          <w:rFonts w:eastAsia="SimSun"/>
          <w:sz w:val="24"/>
          <w:szCs w:val="24"/>
        </w:rPr>
        <w:t>生物多样性与健康</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_Toc206358258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280</w:t>
      </w:r>
      <w:r w:rsidRPr="000C0842">
        <w:rPr>
          <w:rFonts w:eastAsia="SimSun"/>
          <w:sz w:val="24"/>
          <w:szCs w:val="24"/>
        </w:rPr>
        <w:fldChar w:fldCharType="end"/>
      </w:r>
    </w:p>
    <w:p w14:paraId="301E5A31" w14:textId="0B23F072"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23 </w:t>
      </w:r>
      <w:r w:rsidR="0070083D" w:rsidRPr="000C0842">
        <w:rPr>
          <w:rFonts w:eastAsia="SimSun"/>
          <w:sz w:val="24"/>
          <w:szCs w:val="24"/>
        </w:rPr>
        <w:t xml:space="preserve"> </w:t>
      </w:r>
      <w:r w:rsidRPr="000C0842">
        <w:rPr>
          <w:rFonts w:eastAsia="SimSun"/>
          <w:sz w:val="24"/>
          <w:szCs w:val="24"/>
        </w:rPr>
        <w:t>植物保护</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_Toc206358259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280</w:t>
      </w:r>
      <w:r w:rsidRPr="000C0842">
        <w:rPr>
          <w:rFonts w:eastAsia="SimSun"/>
          <w:sz w:val="24"/>
          <w:szCs w:val="24"/>
        </w:rPr>
        <w:fldChar w:fldCharType="end"/>
      </w:r>
    </w:p>
    <w:p w14:paraId="1776D87A" w14:textId="361B4B64"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24 </w:t>
      </w:r>
      <w:r w:rsidR="0070083D" w:rsidRPr="000C0842">
        <w:rPr>
          <w:rFonts w:eastAsia="SimSun"/>
          <w:sz w:val="24"/>
          <w:szCs w:val="24"/>
        </w:rPr>
        <w:t xml:space="preserve"> </w:t>
      </w:r>
      <w:r w:rsidRPr="000C0842">
        <w:rPr>
          <w:rFonts w:eastAsia="SimSun"/>
          <w:sz w:val="24"/>
          <w:szCs w:val="24"/>
        </w:rPr>
        <w:t>合成生物学</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_Toc206358260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281</w:t>
      </w:r>
      <w:r w:rsidRPr="000C0842">
        <w:rPr>
          <w:rFonts w:eastAsia="SimSun"/>
          <w:sz w:val="24"/>
          <w:szCs w:val="24"/>
        </w:rPr>
        <w:fldChar w:fldCharType="end"/>
      </w:r>
    </w:p>
    <w:p w14:paraId="455B8F85" w14:textId="2CC6A409"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25 </w:t>
      </w:r>
      <w:r w:rsidR="0070083D" w:rsidRPr="000C0842">
        <w:rPr>
          <w:rFonts w:eastAsia="SimSun"/>
          <w:sz w:val="24"/>
          <w:szCs w:val="24"/>
        </w:rPr>
        <w:t xml:space="preserve"> </w:t>
      </w:r>
      <w:r w:rsidRPr="000C0842">
        <w:rPr>
          <w:rFonts w:eastAsia="SimSun"/>
          <w:sz w:val="24"/>
          <w:szCs w:val="24"/>
        </w:rPr>
        <w:t>生物多样性与气候变化</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_Toc206358261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282</w:t>
      </w:r>
      <w:r w:rsidRPr="000C0842">
        <w:rPr>
          <w:rFonts w:eastAsia="SimSun"/>
          <w:sz w:val="24"/>
          <w:szCs w:val="24"/>
        </w:rPr>
        <w:fldChar w:fldCharType="end"/>
      </w:r>
    </w:p>
    <w:p w14:paraId="649DBAEE" w14:textId="3488DDD9"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26 </w:t>
      </w:r>
      <w:r w:rsidR="0070083D" w:rsidRPr="000C0842">
        <w:rPr>
          <w:rFonts w:eastAsia="SimSun"/>
          <w:sz w:val="24"/>
          <w:szCs w:val="24"/>
        </w:rPr>
        <w:t xml:space="preserve"> </w:t>
      </w:r>
      <w:r w:rsidRPr="000C0842">
        <w:rPr>
          <w:rFonts w:eastAsia="SimSun"/>
          <w:sz w:val="24"/>
          <w:szCs w:val="24"/>
        </w:rPr>
        <w:t>赔偿责任和补救（第</w:t>
      </w:r>
      <w:r w:rsidRPr="000C0842">
        <w:rPr>
          <w:rFonts w:eastAsia="SimSun"/>
          <w:sz w:val="24"/>
          <w:szCs w:val="24"/>
        </w:rPr>
        <w:t>14</w:t>
      </w:r>
      <w:r w:rsidRPr="000C0842">
        <w:rPr>
          <w:rFonts w:eastAsia="SimSun"/>
          <w:sz w:val="24"/>
          <w:szCs w:val="24"/>
        </w:rPr>
        <w:t>条第</w:t>
      </w:r>
      <w:r w:rsidRPr="000C0842">
        <w:rPr>
          <w:rFonts w:eastAsia="SimSun"/>
          <w:sz w:val="24"/>
          <w:szCs w:val="24"/>
        </w:rPr>
        <w:t>2</w:t>
      </w:r>
      <w:r w:rsidRPr="000C0842">
        <w:rPr>
          <w:rFonts w:eastAsia="SimSun"/>
          <w:sz w:val="24"/>
          <w:szCs w:val="24"/>
        </w:rPr>
        <w:t>款）</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_Toc206358262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283</w:t>
      </w:r>
      <w:r w:rsidRPr="000C0842">
        <w:rPr>
          <w:rFonts w:eastAsia="SimSun"/>
          <w:sz w:val="24"/>
          <w:szCs w:val="24"/>
        </w:rPr>
        <w:fldChar w:fldCharType="end"/>
      </w:r>
    </w:p>
    <w:p w14:paraId="12191F98" w14:textId="6109A7A0"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27 </w:t>
      </w:r>
      <w:r w:rsidR="0070083D" w:rsidRPr="000C0842">
        <w:rPr>
          <w:rFonts w:eastAsia="SimSun"/>
          <w:sz w:val="24"/>
          <w:szCs w:val="24"/>
        </w:rPr>
        <w:t xml:space="preserve"> </w:t>
      </w:r>
      <w:r w:rsidRPr="000C0842">
        <w:rPr>
          <w:rFonts w:eastAsia="SimSun"/>
          <w:sz w:val="24"/>
          <w:szCs w:val="24"/>
        </w:rPr>
        <w:t>审查《公约》及其议定书下各进程的成效</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_Toc206358263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283</w:t>
      </w:r>
      <w:r w:rsidRPr="000C0842">
        <w:rPr>
          <w:rFonts w:eastAsia="SimSun"/>
          <w:sz w:val="24"/>
          <w:szCs w:val="24"/>
        </w:rPr>
        <w:fldChar w:fldCharType="end"/>
      </w:r>
    </w:p>
    <w:p w14:paraId="68DDC99B" w14:textId="5A619FC8"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28 </w:t>
      </w:r>
      <w:r w:rsidR="0070083D" w:rsidRPr="000C0842">
        <w:rPr>
          <w:rFonts w:eastAsia="SimSun"/>
          <w:sz w:val="24"/>
          <w:szCs w:val="24"/>
        </w:rPr>
        <w:t xml:space="preserve"> </w:t>
      </w:r>
      <w:r w:rsidRPr="000C0842">
        <w:rPr>
          <w:rFonts w:eastAsia="SimSun"/>
          <w:sz w:val="24"/>
          <w:szCs w:val="24"/>
        </w:rPr>
        <w:t>缔约方大会多年期工作方案</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_Toc206358264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284</w:t>
      </w:r>
      <w:r w:rsidRPr="000C0842">
        <w:rPr>
          <w:rFonts w:eastAsia="SimSun"/>
          <w:sz w:val="24"/>
          <w:szCs w:val="24"/>
        </w:rPr>
        <w:fldChar w:fldCharType="end"/>
      </w:r>
    </w:p>
    <w:p w14:paraId="1F8C32C7" w14:textId="0083C80F"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29 </w:t>
      </w:r>
      <w:r w:rsidR="0070083D" w:rsidRPr="000C0842">
        <w:rPr>
          <w:rFonts w:eastAsia="SimSun"/>
          <w:sz w:val="24"/>
          <w:szCs w:val="24"/>
        </w:rPr>
        <w:t xml:space="preserve"> </w:t>
      </w:r>
      <w:r w:rsidRPr="000C0842">
        <w:rPr>
          <w:rFonts w:eastAsia="SimSun"/>
          <w:sz w:val="24"/>
          <w:szCs w:val="24"/>
        </w:rPr>
        <w:t>其他事项</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_Toc206358265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284</w:t>
      </w:r>
      <w:r w:rsidRPr="000C0842">
        <w:rPr>
          <w:rFonts w:eastAsia="SimSun"/>
          <w:sz w:val="24"/>
          <w:szCs w:val="24"/>
        </w:rPr>
        <w:fldChar w:fldCharType="end"/>
      </w:r>
    </w:p>
    <w:p w14:paraId="6084AC3F" w14:textId="140BAC5B" w:rsidR="00AE4772" w:rsidRPr="000C0842" w:rsidRDefault="00AE4772" w:rsidP="00493F8B">
      <w:pPr>
        <w:pStyle w:val="TOC2"/>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30 </w:t>
      </w:r>
      <w:r w:rsidR="0070083D" w:rsidRPr="000C0842">
        <w:rPr>
          <w:rFonts w:eastAsia="SimSun"/>
          <w:sz w:val="24"/>
          <w:szCs w:val="24"/>
        </w:rPr>
        <w:t xml:space="preserve"> </w:t>
      </w:r>
      <w:r w:rsidRPr="000C0842">
        <w:rPr>
          <w:rFonts w:eastAsia="SimSun"/>
          <w:sz w:val="24"/>
          <w:szCs w:val="24"/>
        </w:rPr>
        <w:t>通过报告</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_Toc206358266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285</w:t>
      </w:r>
      <w:r w:rsidRPr="000C0842">
        <w:rPr>
          <w:rFonts w:eastAsia="SimSun"/>
          <w:sz w:val="24"/>
          <w:szCs w:val="24"/>
        </w:rPr>
        <w:fldChar w:fldCharType="end"/>
      </w:r>
    </w:p>
    <w:p w14:paraId="5CD0D051" w14:textId="0E90A16F" w:rsidR="00AE4772" w:rsidRPr="000C0842" w:rsidRDefault="00AE4772" w:rsidP="00493F8B">
      <w:pPr>
        <w:pStyle w:val="TOC2"/>
        <w:keepLines/>
        <w:ind w:left="994" w:hanging="504"/>
        <w:rPr>
          <w:rFonts w:eastAsia="SimSun"/>
          <w:kern w:val="2"/>
          <w:sz w:val="24"/>
          <w:szCs w:val="24"/>
          <w:lang w:val="en-US"/>
          <w14:ligatures w14:val="standardContextual"/>
        </w:rPr>
      </w:pPr>
      <w:r w:rsidRPr="000C0842">
        <w:rPr>
          <w:rFonts w:eastAsia="SimSun"/>
          <w:sz w:val="24"/>
          <w:szCs w:val="24"/>
        </w:rPr>
        <w:t>项目</w:t>
      </w:r>
      <w:r w:rsidRPr="000C0842">
        <w:rPr>
          <w:rFonts w:eastAsia="SimSun"/>
          <w:sz w:val="24"/>
          <w:szCs w:val="24"/>
        </w:rPr>
        <w:t xml:space="preserve">31 </w:t>
      </w:r>
      <w:r w:rsidR="0070083D" w:rsidRPr="000C0842">
        <w:rPr>
          <w:rFonts w:eastAsia="SimSun"/>
          <w:sz w:val="24"/>
          <w:szCs w:val="24"/>
        </w:rPr>
        <w:t xml:space="preserve"> </w:t>
      </w:r>
      <w:r w:rsidRPr="000C0842">
        <w:rPr>
          <w:rFonts w:eastAsia="SimSun"/>
          <w:sz w:val="24"/>
          <w:szCs w:val="24"/>
        </w:rPr>
        <w:t>会议闭幕</w:t>
      </w:r>
      <w:r w:rsidRPr="000C0842">
        <w:rPr>
          <w:rFonts w:eastAsia="SimSun"/>
          <w:sz w:val="24"/>
          <w:szCs w:val="24"/>
        </w:rPr>
        <w:tab/>
      </w:r>
      <w:r w:rsidRPr="000C0842">
        <w:rPr>
          <w:rFonts w:eastAsia="SimSun"/>
          <w:sz w:val="24"/>
          <w:szCs w:val="24"/>
        </w:rPr>
        <w:fldChar w:fldCharType="begin"/>
      </w:r>
      <w:r w:rsidRPr="000C0842">
        <w:rPr>
          <w:rFonts w:eastAsia="SimSun"/>
          <w:sz w:val="24"/>
          <w:szCs w:val="24"/>
        </w:rPr>
        <w:instrText xml:space="preserve"> PAGEREF _Toc206358267 \h </w:instrText>
      </w:r>
      <w:r w:rsidRPr="000C0842">
        <w:rPr>
          <w:rFonts w:eastAsia="SimSun"/>
          <w:sz w:val="24"/>
          <w:szCs w:val="24"/>
        </w:rPr>
      </w:r>
      <w:r w:rsidRPr="000C0842">
        <w:rPr>
          <w:rFonts w:eastAsia="SimSun"/>
          <w:sz w:val="24"/>
          <w:szCs w:val="24"/>
        </w:rPr>
        <w:fldChar w:fldCharType="separate"/>
      </w:r>
      <w:r w:rsidR="001A4065">
        <w:rPr>
          <w:rFonts w:eastAsia="SimSun"/>
          <w:sz w:val="24"/>
          <w:szCs w:val="24"/>
        </w:rPr>
        <w:t>285</w:t>
      </w:r>
      <w:r w:rsidRPr="000C0842">
        <w:rPr>
          <w:rFonts w:eastAsia="SimSun"/>
          <w:sz w:val="24"/>
          <w:szCs w:val="24"/>
        </w:rPr>
        <w:fldChar w:fldCharType="end"/>
      </w:r>
    </w:p>
    <w:p w14:paraId="5944A9EA" w14:textId="55613381" w:rsidR="004E50B1" w:rsidRPr="000C0842" w:rsidRDefault="00F112D7" w:rsidP="002D7708">
      <w:pPr>
        <w:rPr>
          <w:rStyle w:val="ReportL1"/>
          <w:rFonts w:hint="eastAsia"/>
          <w:bCs/>
        </w:rPr>
      </w:pPr>
      <w:r w:rsidRPr="000C0842">
        <w:rPr>
          <w:sz w:val="24"/>
          <w:szCs w:val="24"/>
        </w:rPr>
        <w:lastRenderedPageBreak/>
        <w:fldChar w:fldCharType="end"/>
      </w:r>
      <w:bookmarkStart w:id="2" w:name="_Toc206341493"/>
      <w:bookmarkStart w:id="3" w:name="_Toc206358192"/>
      <w:r w:rsidR="002D7708" w:rsidRPr="000C0842">
        <w:rPr>
          <w:rStyle w:val="ReportL1"/>
          <w:rFonts w:hint="eastAsia"/>
          <w:bCs/>
        </w:rPr>
        <w:t>一</w:t>
      </w:r>
      <w:r w:rsidR="002D7708" w:rsidRPr="000C0842">
        <w:rPr>
          <w:rStyle w:val="ReportL1"/>
          <w:rFonts w:hint="eastAsia"/>
          <w:bCs/>
        </w:rPr>
        <w:t>.</w:t>
      </w:r>
      <w:r w:rsidR="002D7708" w:rsidRPr="000C0842">
        <w:rPr>
          <w:rStyle w:val="ReportL1"/>
          <w:bCs/>
        </w:rPr>
        <w:tab/>
      </w:r>
      <w:r w:rsidR="004E50B1" w:rsidRPr="000C0842">
        <w:rPr>
          <w:rStyle w:val="ReportL1"/>
          <w:bCs/>
        </w:rPr>
        <w:t>生物多样性公约缔约方大会通过的决定</w:t>
      </w:r>
      <w:bookmarkEnd w:id="2"/>
      <w:bookmarkEnd w:id="3"/>
    </w:p>
    <w:p w14:paraId="67729728" w14:textId="255E93BE" w:rsidR="00184519" w:rsidRPr="000C0842" w:rsidRDefault="00184519" w:rsidP="00C55A08">
      <w:pPr>
        <w:pStyle w:val="a1"/>
        <w:rPr>
          <w:rFonts w:hint="eastAsia"/>
          <w:lang w:eastAsia="zh-CN"/>
        </w:rPr>
      </w:pPr>
      <w:bookmarkStart w:id="4" w:name="_Toc180388112"/>
      <w:bookmarkStart w:id="5" w:name="_Toc206358193"/>
      <w:r w:rsidRPr="000C0842">
        <w:rPr>
          <w:lang w:eastAsia="zh-CN"/>
        </w:rPr>
        <w:t>16/1</w:t>
      </w:r>
      <w:r w:rsidR="00153FC9" w:rsidRPr="000C0842">
        <w:rPr>
          <w:rFonts w:hint="eastAsia"/>
          <w:lang w:eastAsia="zh-CN"/>
        </w:rPr>
        <w:t xml:space="preserve">. </w:t>
      </w:r>
      <w:r w:rsidRPr="000C0842">
        <w:rPr>
          <w:lang w:eastAsia="zh-CN"/>
        </w:rPr>
        <w:t>审查执行情况：制定国家目标和更新国家生物多样性战略和行动计划方面的进展</w:t>
      </w:r>
      <w:bookmarkEnd w:id="4"/>
      <w:bookmarkEnd w:id="5"/>
    </w:p>
    <w:p w14:paraId="321DD6D0" w14:textId="6266818B" w:rsidR="00184519" w:rsidRPr="000C0842" w:rsidRDefault="00184519" w:rsidP="00CC5FCC">
      <w:pPr>
        <w:tabs>
          <w:tab w:val="clear" w:pos="567"/>
          <w:tab w:val="clear" w:pos="1134"/>
          <w:tab w:val="clear" w:pos="1701"/>
          <w:tab w:val="clear" w:pos="2268"/>
        </w:tabs>
        <w:adjustRightInd w:val="0"/>
        <w:snapToGrid w:val="0"/>
        <w:spacing w:before="240" w:after="120" w:line="240" w:lineRule="atLeast"/>
        <w:ind w:left="490"/>
        <w:rPr>
          <w:snapToGrid w:val="0"/>
          <w:kern w:val="22"/>
          <w:sz w:val="24"/>
          <w:szCs w:val="24"/>
        </w:rPr>
      </w:pPr>
      <w:r w:rsidRPr="000C0842">
        <w:rPr>
          <w:rFonts w:eastAsia="KaiTi"/>
          <w:snapToGrid w:val="0"/>
          <w:kern w:val="22"/>
          <w:sz w:val="24"/>
          <w:szCs w:val="24"/>
        </w:rPr>
        <w:tab/>
      </w:r>
      <w:r w:rsidRPr="000C0842">
        <w:rPr>
          <w:rFonts w:eastAsia="KaiTi"/>
          <w:snapToGrid w:val="0"/>
          <w:kern w:val="22"/>
          <w:sz w:val="24"/>
          <w:szCs w:val="24"/>
        </w:rPr>
        <w:t>缔约方</w:t>
      </w:r>
      <w:r w:rsidRPr="000C0842">
        <w:rPr>
          <w:rFonts w:eastAsia="KaiTi" w:hint="eastAsia"/>
          <w:snapToGrid w:val="0"/>
          <w:kern w:val="22"/>
          <w:sz w:val="24"/>
          <w:szCs w:val="24"/>
        </w:rPr>
        <w:t>大会</w:t>
      </w:r>
      <w:r w:rsidRPr="000C0842">
        <w:rPr>
          <w:snapToGrid w:val="0"/>
          <w:kern w:val="22"/>
          <w:sz w:val="24"/>
          <w:szCs w:val="24"/>
        </w:rPr>
        <w:t>，</w:t>
      </w:r>
    </w:p>
    <w:p w14:paraId="3DC6B803" w14:textId="77777777" w:rsidR="00184519" w:rsidRPr="000C0842" w:rsidRDefault="00184519" w:rsidP="0076638B">
      <w:pPr>
        <w:tabs>
          <w:tab w:val="clear" w:pos="567"/>
          <w:tab w:val="clear" w:pos="1134"/>
          <w:tab w:val="clear" w:pos="1701"/>
          <w:tab w:val="clear" w:pos="2268"/>
        </w:tabs>
        <w:adjustRightInd w:val="0"/>
        <w:snapToGrid w:val="0"/>
        <w:spacing w:before="120" w:after="120" w:line="240" w:lineRule="atLeast"/>
        <w:ind w:left="490" w:firstLine="490"/>
        <w:rPr>
          <w:rFonts w:eastAsia="SimSun"/>
          <w:snapToGrid w:val="0"/>
          <w:kern w:val="22"/>
          <w:sz w:val="24"/>
          <w:szCs w:val="24"/>
        </w:rPr>
      </w:pPr>
      <w:r w:rsidRPr="000C0842">
        <w:rPr>
          <w:rFonts w:eastAsia="KaiTi"/>
          <w:snapToGrid w:val="0"/>
          <w:kern w:val="22"/>
          <w:sz w:val="24"/>
          <w:szCs w:val="24"/>
        </w:rPr>
        <w:t>回顾</w:t>
      </w:r>
      <w:r w:rsidRPr="000C0842">
        <w:rPr>
          <w:rFonts w:eastAsia="SimSun"/>
          <w:snapToGrid w:val="0"/>
          <w:kern w:val="22"/>
          <w:sz w:val="24"/>
          <w:szCs w:val="24"/>
        </w:rPr>
        <w:t>其</w:t>
      </w:r>
      <w:r w:rsidRPr="000C0842">
        <w:rPr>
          <w:rFonts w:eastAsia="SimSun"/>
          <w:snapToGrid w:val="0"/>
          <w:kern w:val="22"/>
          <w:sz w:val="24"/>
          <w:szCs w:val="24"/>
        </w:rPr>
        <w:t>2022</w:t>
      </w:r>
      <w:r w:rsidRPr="000C0842">
        <w:rPr>
          <w:rFonts w:eastAsia="SimSun"/>
          <w:snapToGrid w:val="0"/>
          <w:kern w:val="22"/>
          <w:sz w:val="24"/>
          <w:szCs w:val="24"/>
        </w:rPr>
        <w:t>年</w:t>
      </w:r>
      <w:r w:rsidRPr="000C0842">
        <w:rPr>
          <w:rFonts w:eastAsia="SimSun"/>
          <w:snapToGrid w:val="0"/>
          <w:kern w:val="22"/>
          <w:sz w:val="24"/>
          <w:szCs w:val="24"/>
        </w:rPr>
        <w:t>12</w:t>
      </w:r>
      <w:r w:rsidRPr="000C0842">
        <w:rPr>
          <w:rFonts w:eastAsia="SimSun"/>
          <w:snapToGrid w:val="0"/>
          <w:kern w:val="22"/>
          <w:sz w:val="24"/>
          <w:szCs w:val="24"/>
        </w:rPr>
        <w:t>月</w:t>
      </w:r>
      <w:r w:rsidRPr="000C0842">
        <w:rPr>
          <w:rFonts w:eastAsia="SimSun"/>
          <w:snapToGrid w:val="0"/>
          <w:kern w:val="22"/>
          <w:sz w:val="24"/>
          <w:szCs w:val="24"/>
        </w:rPr>
        <w:t>19</w:t>
      </w:r>
      <w:r w:rsidRPr="000C0842">
        <w:rPr>
          <w:rFonts w:eastAsia="SimSun"/>
          <w:snapToGrid w:val="0"/>
          <w:kern w:val="22"/>
          <w:sz w:val="24"/>
          <w:szCs w:val="24"/>
        </w:rPr>
        <w:t>日第</w:t>
      </w:r>
      <w:hyperlink r:id="rId14" w:history="1">
        <w:r w:rsidRPr="000C0842">
          <w:rPr>
            <w:rStyle w:val="Hyperlink"/>
            <w:rFonts w:eastAsia="SimSun"/>
            <w:snapToGrid w:val="0"/>
            <w:color w:val="auto"/>
            <w:kern w:val="22"/>
            <w:sz w:val="24"/>
            <w:szCs w:val="24"/>
          </w:rPr>
          <w:t>15/6</w:t>
        </w:r>
      </w:hyperlink>
      <w:r w:rsidRPr="000C0842">
        <w:rPr>
          <w:rFonts w:eastAsia="SimSun"/>
          <w:snapToGrid w:val="0"/>
          <w:kern w:val="22"/>
          <w:sz w:val="24"/>
          <w:szCs w:val="24"/>
        </w:rPr>
        <w:t>号决定，</w:t>
      </w:r>
    </w:p>
    <w:p w14:paraId="0B8E2BC0" w14:textId="77777777" w:rsidR="00184519" w:rsidRPr="000C0842" w:rsidRDefault="00184519" w:rsidP="0076638B">
      <w:pPr>
        <w:tabs>
          <w:tab w:val="clear" w:pos="567"/>
          <w:tab w:val="clear" w:pos="1134"/>
          <w:tab w:val="clear" w:pos="1701"/>
          <w:tab w:val="clear" w:pos="2268"/>
        </w:tabs>
        <w:adjustRightInd w:val="0"/>
        <w:snapToGrid w:val="0"/>
        <w:spacing w:before="120" w:after="120" w:line="240" w:lineRule="atLeast"/>
        <w:ind w:left="490" w:firstLine="490"/>
        <w:rPr>
          <w:rFonts w:eastAsia="SimSun"/>
          <w:snapToGrid w:val="0"/>
          <w:kern w:val="22"/>
          <w:sz w:val="24"/>
          <w:szCs w:val="24"/>
        </w:rPr>
      </w:pPr>
      <w:r w:rsidRPr="000C0842">
        <w:rPr>
          <w:rFonts w:eastAsia="KaiTi"/>
          <w:snapToGrid w:val="0"/>
          <w:kern w:val="22"/>
          <w:sz w:val="24"/>
          <w:szCs w:val="24"/>
        </w:rPr>
        <w:t>注意到</w:t>
      </w:r>
      <w:r w:rsidRPr="000C0842">
        <w:rPr>
          <w:rFonts w:eastAsia="SimSun"/>
          <w:snapToGrid w:val="0"/>
          <w:kern w:val="22"/>
          <w:sz w:val="24"/>
          <w:szCs w:val="24"/>
        </w:rPr>
        <w:t>区域和次区域关于国家生物多样性战略和行动计划的对话的成果以及对话期间分享的信息和经验，并向主办对话的缔约方以及为其提供资金和后勤支持的组织表示感谢，</w:t>
      </w:r>
    </w:p>
    <w:p w14:paraId="6831245D" w14:textId="4C34B301" w:rsidR="00184519" w:rsidRPr="000C0842" w:rsidRDefault="00184519" w:rsidP="0076638B">
      <w:pPr>
        <w:tabs>
          <w:tab w:val="clear" w:pos="567"/>
          <w:tab w:val="clear" w:pos="1134"/>
          <w:tab w:val="clear" w:pos="1701"/>
          <w:tab w:val="clear" w:pos="2268"/>
        </w:tabs>
        <w:adjustRightInd w:val="0"/>
        <w:snapToGrid w:val="0"/>
        <w:spacing w:before="120" w:after="120" w:line="240" w:lineRule="atLeast"/>
        <w:ind w:left="490" w:firstLine="490"/>
        <w:rPr>
          <w:rFonts w:eastAsia="SimSun"/>
          <w:snapToGrid w:val="0"/>
          <w:kern w:val="22"/>
          <w:sz w:val="24"/>
          <w:szCs w:val="24"/>
        </w:rPr>
      </w:pPr>
      <w:r w:rsidRPr="000C0842">
        <w:rPr>
          <w:rFonts w:eastAsia="KaiTi"/>
          <w:snapToGrid w:val="0"/>
          <w:kern w:val="22"/>
          <w:sz w:val="24"/>
          <w:szCs w:val="24"/>
        </w:rPr>
        <w:t>赞赏地注意到</w:t>
      </w:r>
      <w:r w:rsidRPr="000C0842">
        <w:rPr>
          <w:rFonts w:eastAsia="SimSun"/>
          <w:snapToGrid w:val="0"/>
          <w:kern w:val="22"/>
          <w:sz w:val="24"/>
          <w:szCs w:val="24"/>
        </w:rPr>
        <w:t>全球环境基金及其执行机构向许多缔约方提供支持，促进其修订或更新国家生物多样性战略和行动计划，同时关切地注意到并非所有符合条件的缔约方都得到了支持或及时的支持，</w:t>
      </w:r>
    </w:p>
    <w:p w14:paraId="404CE5CB" w14:textId="3F2E6083" w:rsidR="00184519" w:rsidRPr="000C0842" w:rsidRDefault="00184519" w:rsidP="0076638B">
      <w:pPr>
        <w:tabs>
          <w:tab w:val="clear" w:pos="567"/>
          <w:tab w:val="clear" w:pos="1134"/>
          <w:tab w:val="clear" w:pos="1701"/>
          <w:tab w:val="clear" w:pos="2268"/>
        </w:tabs>
        <w:adjustRightInd w:val="0"/>
        <w:snapToGrid w:val="0"/>
        <w:spacing w:before="120" w:after="120" w:line="240" w:lineRule="atLeast"/>
        <w:ind w:left="490" w:firstLine="490"/>
        <w:rPr>
          <w:rFonts w:eastAsia="SimSun"/>
          <w:snapToGrid w:val="0"/>
          <w:kern w:val="22"/>
          <w:sz w:val="24"/>
          <w:szCs w:val="24"/>
        </w:rPr>
      </w:pPr>
      <w:r w:rsidRPr="000C0842">
        <w:rPr>
          <w:rFonts w:eastAsia="KaiTi"/>
          <w:snapToGrid w:val="0"/>
          <w:kern w:val="22"/>
          <w:sz w:val="24"/>
          <w:szCs w:val="24"/>
        </w:rPr>
        <w:t>认识到</w:t>
      </w:r>
      <w:r w:rsidRPr="000C0842">
        <w:rPr>
          <w:rFonts w:eastAsia="SimSun"/>
          <w:snapToGrid w:val="0"/>
          <w:kern w:val="22"/>
          <w:sz w:val="24"/>
          <w:szCs w:val="24"/>
        </w:rPr>
        <w:t>根据《昆明</w:t>
      </w:r>
      <w:r w:rsidRPr="000C0842">
        <w:rPr>
          <w:rFonts w:eastAsia="SimSun"/>
          <w:snapToGrid w:val="0"/>
          <w:kern w:val="22"/>
          <w:sz w:val="24"/>
          <w:szCs w:val="24"/>
        </w:rPr>
        <w:t>-</w:t>
      </w:r>
      <w:r w:rsidRPr="000C0842">
        <w:rPr>
          <w:rFonts w:eastAsia="SimSun"/>
          <w:snapToGrid w:val="0"/>
          <w:kern w:val="22"/>
          <w:sz w:val="24"/>
          <w:szCs w:val="24"/>
        </w:rPr>
        <w:t>蒙特利尔全球生物多样性框架》</w:t>
      </w:r>
      <w:r w:rsidRPr="000C0842">
        <w:rPr>
          <w:rFonts w:eastAsia="SimSun"/>
          <w:snapToGrid w:val="0"/>
          <w:kern w:val="22"/>
          <w:sz w:val="24"/>
          <w:szCs w:val="24"/>
          <w:vertAlign w:val="superscript"/>
          <w:lang w:val="en-GB"/>
        </w:rPr>
        <w:footnoteReference w:id="2"/>
      </w:r>
      <w:r w:rsidRPr="000C0842">
        <w:rPr>
          <w:rFonts w:eastAsia="SimSun"/>
          <w:snapToGrid w:val="0"/>
          <w:kern w:val="22"/>
          <w:sz w:val="24"/>
          <w:szCs w:val="24"/>
        </w:rPr>
        <w:t>修订或更新国家生物多样性战略和行动计划的工作取决于提供充足、充分、可预测和可获取的执行手段，包括财政资源、能力建设和能力发展、科技合作以及技术转让，对发展中国家缔约方而言尤其如此，</w:t>
      </w:r>
    </w:p>
    <w:p w14:paraId="611866B3" w14:textId="77777777" w:rsidR="00184519" w:rsidRPr="000C0842" w:rsidRDefault="00184519">
      <w:pPr>
        <w:numPr>
          <w:ilvl w:val="0"/>
          <w:numId w:val="21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snapToGrid w:val="0"/>
          <w:kern w:val="22"/>
          <w:sz w:val="24"/>
          <w:szCs w:val="24"/>
        </w:rPr>
        <w:t>祝贺</w:t>
      </w:r>
      <w:r w:rsidRPr="000C0842">
        <w:rPr>
          <w:rFonts w:eastAsia="SimSun"/>
          <w:snapToGrid w:val="0"/>
          <w:kern w:val="22"/>
          <w:sz w:val="24"/>
          <w:szCs w:val="24"/>
        </w:rPr>
        <w:t>已提交根据《昆明</w:t>
      </w:r>
      <w:r w:rsidRPr="000C0842">
        <w:rPr>
          <w:rFonts w:eastAsia="SimSun"/>
          <w:snapToGrid w:val="0"/>
          <w:kern w:val="22"/>
          <w:sz w:val="24"/>
          <w:szCs w:val="24"/>
        </w:rPr>
        <w:t>-</w:t>
      </w:r>
      <w:r w:rsidRPr="000C0842">
        <w:rPr>
          <w:rFonts w:eastAsia="SimSun"/>
          <w:snapToGrid w:val="0"/>
          <w:kern w:val="22"/>
          <w:sz w:val="24"/>
          <w:szCs w:val="24"/>
        </w:rPr>
        <w:t>蒙特利尔全球生物多样性框架》修订和更新的国家生物多样性战略和行动计划的缔约方（名单见附件一）；</w:t>
      </w:r>
    </w:p>
    <w:p w14:paraId="0028C596" w14:textId="47B30597" w:rsidR="00184519" w:rsidRPr="000C0842" w:rsidRDefault="00184519">
      <w:pPr>
        <w:numPr>
          <w:ilvl w:val="0"/>
          <w:numId w:val="21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snapToGrid w:val="0"/>
          <w:kern w:val="22"/>
          <w:sz w:val="24"/>
          <w:szCs w:val="24"/>
        </w:rPr>
        <w:t>满意地注意到</w:t>
      </w:r>
      <w:r w:rsidRPr="000C0842">
        <w:rPr>
          <w:rFonts w:eastAsia="SimSun"/>
          <w:snapToGrid w:val="0"/>
          <w:kern w:val="22"/>
          <w:sz w:val="24"/>
          <w:szCs w:val="24"/>
        </w:rPr>
        <w:t>附件二所列缔约方或是作为独立呈件，或是作为国家生物多样性战略和行动计划文件的一部分，通报了与《</w:t>
      </w:r>
      <w:r w:rsidR="0011188E" w:rsidRPr="000C0842">
        <w:rPr>
          <w:rFonts w:eastAsia="SimSun" w:hint="eastAsia"/>
          <w:snapToGrid w:val="0"/>
          <w:kern w:val="22"/>
          <w:sz w:val="24"/>
          <w:szCs w:val="24"/>
        </w:rPr>
        <w:t>昆蒙</w:t>
      </w:r>
      <w:r w:rsidRPr="000C0842">
        <w:rPr>
          <w:rFonts w:eastAsia="SimSun"/>
          <w:snapToGrid w:val="0"/>
          <w:kern w:val="22"/>
          <w:sz w:val="24"/>
          <w:szCs w:val="24"/>
        </w:rPr>
        <w:t>框架》全球行动目标相一致的国家目标，并使用第</w:t>
      </w:r>
      <w:hyperlink r:id="rId15" w:history="1">
        <w:r w:rsidRPr="000C0842">
          <w:rPr>
            <w:rStyle w:val="Hyperlink"/>
            <w:rFonts w:eastAsia="SimSun"/>
            <w:snapToGrid w:val="0"/>
            <w:color w:val="auto"/>
            <w:kern w:val="22"/>
            <w:sz w:val="24"/>
            <w:szCs w:val="24"/>
          </w:rPr>
          <w:t>15/6</w:t>
        </w:r>
      </w:hyperlink>
      <w:r w:rsidRPr="000C0842">
        <w:rPr>
          <w:rFonts w:eastAsia="SimSun"/>
          <w:snapToGrid w:val="0"/>
          <w:kern w:val="22"/>
          <w:sz w:val="24"/>
          <w:szCs w:val="24"/>
        </w:rPr>
        <w:t>号决定附件一提供的模板，通过信息交换所机制的在线报告工具提交了这些目标；</w:t>
      </w:r>
    </w:p>
    <w:p w14:paraId="3730B5D4" w14:textId="77777777" w:rsidR="00184519" w:rsidRPr="000C0842" w:rsidRDefault="00184519">
      <w:pPr>
        <w:numPr>
          <w:ilvl w:val="0"/>
          <w:numId w:val="21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snapToGrid w:val="0"/>
          <w:kern w:val="22"/>
          <w:sz w:val="24"/>
          <w:szCs w:val="24"/>
        </w:rPr>
        <w:t>敦促</w:t>
      </w:r>
      <w:r w:rsidRPr="000C0842">
        <w:rPr>
          <w:rFonts w:eastAsia="SimSun"/>
          <w:snapToGrid w:val="0"/>
          <w:kern w:val="22"/>
          <w:sz w:val="24"/>
          <w:szCs w:val="24"/>
        </w:rPr>
        <w:t>尚未这样做的缔约方尽快按照第</w:t>
      </w:r>
      <w:hyperlink r:id="rId16" w:history="1">
        <w:r w:rsidRPr="000C0842">
          <w:rPr>
            <w:rStyle w:val="Hyperlink"/>
            <w:rFonts w:eastAsia="SimSun"/>
            <w:snapToGrid w:val="0"/>
            <w:color w:val="auto"/>
            <w:kern w:val="22"/>
            <w:sz w:val="24"/>
            <w:szCs w:val="24"/>
          </w:rPr>
          <w:t>15/6</w:t>
        </w:r>
      </w:hyperlink>
      <w:r w:rsidRPr="000C0842">
        <w:rPr>
          <w:rFonts w:eastAsia="SimSun"/>
          <w:snapToGrid w:val="0"/>
          <w:kern w:val="22"/>
          <w:sz w:val="24"/>
          <w:szCs w:val="24"/>
        </w:rPr>
        <w:t>号决定的要求修订或更新其国家生物多样性战略和行动计划；</w:t>
      </w:r>
    </w:p>
    <w:p w14:paraId="62BC518B" w14:textId="77777777" w:rsidR="00184519" w:rsidRPr="000C0842" w:rsidRDefault="00184519">
      <w:pPr>
        <w:numPr>
          <w:ilvl w:val="0"/>
          <w:numId w:val="21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napToGrid w:val="0"/>
          <w:spacing w:val="-2"/>
          <w:kern w:val="22"/>
          <w:sz w:val="24"/>
          <w:szCs w:val="24"/>
        </w:rPr>
      </w:pPr>
      <w:r w:rsidRPr="000C0842">
        <w:rPr>
          <w:rFonts w:eastAsia="KaiTi"/>
          <w:snapToGrid w:val="0"/>
          <w:kern w:val="22"/>
          <w:sz w:val="24"/>
          <w:szCs w:val="24"/>
        </w:rPr>
        <w:t>鼓励</w:t>
      </w:r>
      <w:r w:rsidRPr="000C0842">
        <w:rPr>
          <w:rFonts w:eastAsia="SimSun"/>
          <w:snapToGrid w:val="0"/>
          <w:spacing w:val="-2"/>
          <w:kern w:val="22"/>
          <w:sz w:val="24"/>
          <w:szCs w:val="24"/>
        </w:rPr>
        <w:t>缔约方采取包容和透明的方式，使妇女、土著人民和地方社区、青年、民间社会组织、学术界、私营部门、各级政府和所有其他相关部门的利益攸关方能够充分有效地参与和加入各级修订或更新国家生物多样性战略和行动计划的工作；</w:t>
      </w:r>
    </w:p>
    <w:p w14:paraId="6D912D51" w14:textId="77777777" w:rsidR="00184519" w:rsidRPr="000C0842" w:rsidRDefault="00184519">
      <w:pPr>
        <w:numPr>
          <w:ilvl w:val="0"/>
          <w:numId w:val="21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snapToGrid w:val="0"/>
          <w:kern w:val="22"/>
          <w:sz w:val="24"/>
          <w:szCs w:val="24"/>
        </w:rPr>
        <w:t>请</w:t>
      </w:r>
      <w:r w:rsidRPr="000C0842">
        <w:rPr>
          <w:rFonts w:eastAsia="SimSun"/>
          <w:snapToGrid w:val="0"/>
          <w:kern w:val="22"/>
          <w:sz w:val="24"/>
          <w:szCs w:val="24"/>
        </w:rPr>
        <w:t>全球环境基金及其执行机构根据各国国情和需要，应请求及时向所有符合条件的缔约方提供支持，使其能够修订和更新国家生物多样性战略和行动计划；</w:t>
      </w:r>
    </w:p>
    <w:p w14:paraId="758464DF" w14:textId="720148A4" w:rsidR="00184519" w:rsidRDefault="00184519" w:rsidP="0076638B">
      <w:pPr>
        <w:tabs>
          <w:tab w:val="clear" w:pos="567"/>
          <w:tab w:val="clear" w:pos="1134"/>
          <w:tab w:val="clear" w:pos="1701"/>
          <w:tab w:val="clear" w:pos="2268"/>
        </w:tabs>
        <w:adjustRightInd w:val="0"/>
        <w:snapToGrid w:val="0"/>
        <w:spacing w:before="120" w:after="120" w:line="240" w:lineRule="atLeast"/>
        <w:ind w:left="490" w:firstLine="490"/>
        <w:rPr>
          <w:rFonts w:eastAsia="SimSun"/>
          <w:snapToGrid w:val="0"/>
          <w:kern w:val="22"/>
          <w:sz w:val="24"/>
          <w:szCs w:val="24"/>
        </w:rPr>
      </w:pPr>
      <w:r w:rsidRPr="000C0842">
        <w:rPr>
          <w:rFonts w:eastAsia="SimSun"/>
          <w:snapToGrid w:val="0"/>
          <w:kern w:val="22"/>
          <w:sz w:val="24"/>
          <w:szCs w:val="24"/>
        </w:rPr>
        <w:t>6</w:t>
      </w:r>
      <w:r w:rsidRPr="000C0842">
        <w:rPr>
          <w:rFonts w:eastAsia="SimSun"/>
          <w:snapToGrid w:val="0"/>
          <w:kern w:val="22"/>
          <w:sz w:val="24"/>
          <w:szCs w:val="24"/>
        </w:rPr>
        <w:t>．</w:t>
      </w:r>
      <w:r w:rsidRPr="000C0842">
        <w:rPr>
          <w:rFonts w:eastAsia="SimSun"/>
          <w:snapToGrid w:val="0"/>
          <w:kern w:val="22"/>
          <w:sz w:val="24"/>
          <w:szCs w:val="24"/>
        </w:rPr>
        <w:tab/>
      </w:r>
      <w:r w:rsidRPr="000C0842">
        <w:rPr>
          <w:rFonts w:eastAsia="KaiTi"/>
          <w:snapToGrid w:val="0"/>
          <w:kern w:val="22"/>
          <w:sz w:val="24"/>
          <w:szCs w:val="24"/>
        </w:rPr>
        <w:t>敦促</w:t>
      </w:r>
      <w:r w:rsidRPr="000C0842">
        <w:rPr>
          <w:rFonts w:eastAsia="SimSun"/>
          <w:snapToGrid w:val="0"/>
          <w:kern w:val="22"/>
          <w:sz w:val="24"/>
          <w:szCs w:val="24"/>
        </w:rPr>
        <w:t>所有缔约方根据《生物多样性公约》</w:t>
      </w:r>
      <w:r w:rsidRPr="000C0842">
        <w:rPr>
          <w:rStyle w:val="FootnoteReference"/>
          <w:rFonts w:eastAsia="SimSun"/>
          <w:snapToGrid w:val="0"/>
          <w:kern w:val="22"/>
          <w:sz w:val="24"/>
          <w:szCs w:val="24"/>
        </w:rPr>
        <w:footnoteReference w:id="3"/>
      </w:r>
      <w:r w:rsidRPr="000C0842">
        <w:rPr>
          <w:rFonts w:eastAsia="SimSun"/>
          <w:snapToGrid w:val="0"/>
          <w:kern w:val="22"/>
          <w:sz w:val="24"/>
          <w:szCs w:val="24"/>
        </w:rPr>
        <w:t>第</w:t>
      </w:r>
      <w:r w:rsidRPr="000C0842">
        <w:rPr>
          <w:rFonts w:eastAsia="SimSun"/>
          <w:snapToGrid w:val="0"/>
          <w:kern w:val="22"/>
          <w:sz w:val="24"/>
          <w:szCs w:val="24"/>
        </w:rPr>
        <w:t>20</w:t>
      </w:r>
      <w:r w:rsidRPr="000C0842">
        <w:rPr>
          <w:rFonts w:eastAsia="SimSun"/>
          <w:snapToGrid w:val="0"/>
          <w:kern w:val="22"/>
          <w:sz w:val="24"/>
          <w:szCs w:val="24"/>
        </w:rPr>
        <w:t>条，按照国情、优先事项和能力，执行其国家生物多样性战略和行动计划，同时认识到需要通过按需求提供各种来源的充足、及时、可预测和容易获得的执行手段，加强尤其是对发展中国家、特别是最不发达国家和小岛屿发展中国家以及经济转型国家的支持，并顾及《</w:t>
      </w:r>
      <w:r w:rsidR="0011188E" w:rsidRPr="000C0842">
        <w:rPr>
          <w:rFonts w:eastAsia="SimSun" w:hint="eastAsia"/>
          <w:snapToGrid w:val="0"/>
          <w:kern w:val="22"/>
          <w:sz w:val="24"/>
          <w:szCs w:val="24"/>
        </w:rPr>
        <w:t>昆蒙</w:t>
      </w:r>
      <w:r w:rsidRPr="000C0842">
        <w:rPr>
          <w:rFonts w:eastAsia="SimSun"/>
          <w:snapToGrid w:val="0"/>
          <w:kern w:val="22"/>
          <w:sz w:val="24"/>
          <w:szCs w:val="24"/>
        </w:rPr>
        <w:t>框架》</w:t>
      </w:r>
      <w:r w:rsidRPr="000C0842">
        <w:rPr>
          <w:rFonts w:eastAsia="SimSun"/>
          <w:snapToGrid w:val="0"/>
          <w:kern w:val="22"/>
          <w:sz w:val="24"/>
          <w:szCs w:val="24"/>
        </w:rPr>
        <w:t>C</w:t>
      </w:r>
      <w:r w:rsidRPr="000C0842">
        <w:rPr>
          <w:rFonts w:eastAsia="SimSun"/>
          <w:snapToGrid w:val="0"/>
          <w:kern w:val="22"/>
          <w:sz w:val="24"/>
          <w:szCs w:val="24"/>
        </w:rPr>
        <w:t>部分所述执行工作考虑因素。</w:t>
      </w:r>
    </w:p>
    <w:p w14:paraId="6DCC1AE8" w14:textId="77777777" w:rsidR="00F9092A" w:rsidRDefault="00F9092A" w:rsidP="00F9092A">
      <w:pPr>
        <w:rPr>
          <w:rFonts w:eastAsia="SimSun"/>
          <w:snapToGrid w:val="0"/>
          <w:kern w:val="22"/>
          <w:sz w:val="24"/>
          <w:szCs w:val="24"/>
        </w:rPr>
      </w:pPr>
    </w:p>
    <w:p w14:paraId="382AF9F0" w14:textId="77777777" w:rsidR="00F9092A" w:rsidRPr="00F9092A" w:rsidRDefault="00F9092A" w:rsidP="00F9092A">
      <w:pPr>
        <w:rPr>
          <w:sz w:val="24"/>
          <w:szCs w:val="24"/>
        </w:rPr>
      </w:pPr>
    </w:p>
    <w:p w14:paraId="731EC74E" w14:textId="77777777" w:rsidR="00184519" w:rsidRPr="000C0842" w:rsidRDefault="00184519" w:rsidP="0011188E">
      <w:pPr>
        <w:keepNext/>
        <w:tabs>
          <w:tab w:val="clear" w:pos="567"/>
          <w:tab w:val="clear" w:pos="1134"/>
          <w:tab w:val="clear" w:pos="1701"/>
          <w:tab w:val="clear" w:pos="2268"/>
        </w:tabs>
        <w:spacing w:before="240"/>
        <w:ind w:left="490"/>
        <w:jc w:val="left"/>
        <w:rPr>
          <w:rFonts w:eastAsia="SimSun"/>
          <w:b/>
          <w:bCs/>
          <w:snapToGrid w:val="0"/>
          <w:kern w:val="22"/>
          <w:sz w:val="24"/>
          <w:szCs w:val="24"/>
        </w:rPr>
      </w:pPr>
      <w:r w:rsidRPr="000C0842">
        <w:rPr>
          <w:rFonts w:eastAsia="SimSun"/>
          <w:b/>
          <w:bCs/>
          <w:snapToGrid w:val="0"/>
          <w:kern w:val="22"/>
          <w:sz w:val="24"/>
          <w:szCs w:val="24"/>
        </w:rPr>
        <w:lastRenderedPageBreak/>
        <w:t>附件一</w:t>
      </w:r>
    </w:p>
    <w:p w14:paraId="7ED0E4C2" w14:textId="77777777" w:rsidR="00184519" w:rsidRPr="000C0842" w:rsidRDefault="00184519" w:rsidP="0011188E">
      <w:pPr>
        <w:tabs>
          <w:tab w:val="clear" w:pos="567"/>
          <w:tab w:val="clear" w:pos="1134"/>
          <w:tab w:val="clear" w:pos="1701"/>
          <w:tab w:val="clear" w:pos="2268"/>
        </w:tabs>
        <w:adjustRightInd w:val="0"/>
        <w:snapToGrid w:val="0"/>
        <w:spacing w:after="120" w:line="240" w:lineRule="atLeast"/>
        <w:ind w:left="490"/>
        <w:rPr>
          <w:b/>
          <w:bCs/>
          <w:snapToGrid w:val="0"/>
          <w:kern w:val="22"/>
          <w:sz w:val="24"/>
          <w:szCs w:val="24"/>
        </w:rPr>
      </w:pPr>
      <w:r w:rsidRPr="000C0842">
        <w:rPr>
          <w:rFonts w:eastAsia="SimSun"/>
          <w:b/>
          <w:bCs/>
          <w:snapToGrid w:val="0"/>
          <w:kern w:val="22"/>
          <w:sz w:val="24"/>
          <w:szCs w:val="24"/>
        </w:rPr>
        <w:t>2022</w:t>
      </w:r>
      <w:r w:rsidRPr="000C0842">
        <w:rPr>
          <w:rFonts w:eastAsia="SimSun"/>
          <w:b/>
          <w:bCs/>
          <w:snapToGrid w:val="0"/>
          <w:kern w:val="22"/>
          <w:sz w:val="24"/>
          <w:szCs w:val="24"/>
        </w:rPr>
        <w:t>年</w:t>
      </w:r>
      <w:r w:rsidRPr="000C0842">
        <w:rPr>
          <w:rFonts w:eastAsia="SimSun"/>
          <w:b/>
          <w:bCs/>
          <w:snapToGrid w:val="0"/>
          <w:kern w:val="22"/>
          <w:sz w:val="24"/>
          <w:szCs w:val="24"/>
        </w:rPr>
        <w:t>12</w:t>
      </w:r>
      <w:r w:rsidRPr="000C0842">
        <w:rPr>
          <w:rFonts w:eastAsia="SimSun"/>
          <w:b/>
          <w:bCs/>
          <w:snapToGrid w:val="0"/>
          <w:kern w:val="22"/>
          <w:sz w:val="24"/>
          <w:szCs w:val="24"/>
        </w:rPr>
        <w:t>月以来向秘书处提交与《昆明</w:t>
      </w:r>
      <w:r w:rsidRPr="000C0842">
        <w:rPr>
          <w:rFonts w:eastAsia="SimSun"/>
          <w:b/>
          <w:bCs/>
          <w:snapToGrid w:val="0"/>
          <w:kern w:val="22"/>
          <w:sz w:val="24"/>
          <w:szCs w:val="24"/>
        </w:rPr>
        <w:t>-</w:t>
      </w:r>
      <w:r w:rsidRPr="000C0842">
        <w:rPr>
          <w:rFonts w:eastAsia="SimSun"/>
          <w:b/>
          <w:bCs/>
          <w:snapToGrid w:val="0"/>
          <w:kern w:val="22"/>
          <w:sz w:val="24"/>
          <w:szCs w:val="24"/>
        </w:rPr>
        <w:t>蒙特利尔全球生物多样性框架》相一致的国家生物多样性战略和行动计划的缔约方名单，截至</w:t>
      </w:r>
      <w:r w:rsidRPr="000C0842">
        <w:rPr>
          <w:rFonts w:eastAsia="SimSun"/>
          <w:b/>
          <w:bCs/>
          <w:snapToGrid w:val="0"/>
          <w:kern w:val="22"/>
          <w:sz w:val="24"/>
          <w:szCs w:val="24"/>
        </w:rPr>
        <w:t>2024</w:t>
      </w:r>
      <w:r w:rsidRPr="000C0842">
        <w:rPr>
          <w:rFonts w:eastAsia="SimSun"/>
          <w:b/>
          <w:bCs/>
          <w:snapToGrid w:val="0"/>
          <w:kern w:val="22"/>
          <w:sz w:val="24"/>
          <w:szCs w:val="24"/>
        </w:rPr>
        <w:t>年</w:t>
      </w:r>
      <w:r w:rsidRPr="000C0842">
        <w:rPr>
          <w:rFonts w:eastAsia="SimSun"/>
          <w:b/>
          <w:bCs/>
          <w:snapToGrid w:val="0"/>
          <w:kern w:val="22"/>
          <w:sz w:val="24"/>
          <w:szCs w:val="24"/>
        </w:rPr>
        <w:t>10</w:t>
      </w:r>
      <w:r w:rsidRPr="000C0842">
        <w:rPr>
          <w:rFonts w:eastAsia="SimSun"/>
          <w:b/>
          <w:bCs/>
          <w:snapToGrid w:val="0"/>
          <w:kern w:val="22"/>
          <w:sz w:val="24"/>
          <w:szCs w:val="24"/>
        </w:rPr>
        <w:t>月</w:t>
      </w:r>
      <w:r w:rsidRPr="000C0842">
        <w:rPr>
          <w:rFonts w:eastAsia="SimSun"/>
          <w:b/>
          <w:bCs/>
          <w:snapToGrid w:val="0"/>
          <w:kern w:val="22"/>
          <w:sz w:val="24"/>
          <w:szCs w:val="24"/>
        </w:rPr>
        <w:t>31</w:t>
      </w:r>
      <w:r w:rsidRPr="000C0842">
        <w:rPr>
          <w:rFonts w:eastAsia="SimSun"/>
          <w:b/>
          <w:bCs/>
          <w:snapToGrid w:val="0"/>
          <w:kern w:val="22"/>
          <w:sz w:val="24"/>
          <w:szCs w:val="24"/>
        </w:rPr>
        <w:t>日</w:t>
      </w:r>
    </w:p>
    <w:tbl>
      <w:tblPr>
        <w:tblStyle w:val="TableGrid2"/>
        <w:tblW w:w="7083" w:type="dxa"/>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4"/>
        <w:gridCol w:w="3544"/>
        <w:gridCol w:w="2835"/>
      </w:tblGrid>
      <w:tr w:rsidR="000C0842" w:rsidRPr="000C0842" w14:paraId="76F92A47" w14:textId="77777777" w:rsidTr="00D35C99">
        <w:tc>
          <w:tcPr>
            <w:tcW w:w="704" w:type="dxa"/>
          </w:tcPr>
          <w:p w14:paraId="2EE4D632" w14:textId="77777777" w:rsidR="00184519" w:rsidRPr="000C0842" w:rsidRDefault="00184519" w:rsidP="009E25D8">
            <w:pPr>
              <w:tabs>
                <w:tab w:val="clear" w:pos="567"/>
                <w:tab w:val="clear" w:pos="1134"/>
                <w:tab w:val="clear" w:pos="1701"/>
                <w:tab w:val="clear" w:pos="2268"/>
              </w:tabs>
              <w:spacing w:after="40" w:line="240" w:lineRule="atLeast"/>
              <w:jc w:val="right"/>
              <w:rPr>
                <w:rFonts w:eastAsia="KaiTi"/>
                <w:sz w:val="20"/>
                <w:szCs w:val="20"/>
                <w:lang w:val="en-GB" w:eastAsia="zh-CN"/>
              </w:rPr>
            </w:pPr>
          </w:p>
        </w:tc>
        <w:tc>
          <w:tcPr>
            <w:tcW w:w="3544" w:type="dxa"/>
          </w:tcPr>
          <w:p w14:paraId="1BFA0F69" w14:textId="77777777" w:rsidR="00184519" w:rsidRPr="000C0842" w:rsidRDefault="00184519" w:rsidP="009E25D8">
            <w:pPr>
              <w:tabs>
                <w:tab w:val="clear" w:pos="567"/>
                <w:tab w:val="clear" w:pos="1134"/>
                <w:tab w:val="clear" w:pos="1701"/>
                <w:tab w:val="clear" w:pos="2268"/>
              </w:tabs>
              <w:spacing w:after="40" w:line="240" w:lineRule="atLeast"/>
              <w:jc w:val="left"/>
              <w:rPr>
                <w:rFonts w:eastAsia="KaiTi"/>
                <w:sz w:val="20"/>
                <w:szCs w:val="20"/>
                <w:lang w:val="en-GB" w:eastAsia="zh-CN"/>
              </w:rPr>
            </w:pPr>
            <w:r w:rsidRPr="000C0842">
              <w:rPr>
                <w:rFonts w:eastAsia="KaiTi"/>
                <w:sz w:val="20"/>
                <w:szCs w:val="20"/>
                <w:lang w:val="en-GB" w:eastAsia="zh-CN"/>
              </w:rPr>
              <w:t>缔约方</w:t>
            </w:r>
          </w:p>
        </w:tc>
        <w:tc>
          <w:tcPr>
            <w:tcW w:w="2835" w:type="dxa"/>
          </w:tcPr>
          <w:p w14:paraId="632E016A" w14:textId="77777777" w:rsidR="00184519" w:rsidRPr="000C0842" w:rsidRDefault="00184519" w:rsidP="009E25D8">
            <w:pPr>
              <w:tabs>
                <w:tab w:val="clear" w:pos="567"/>
                <w:tab w:val="clear" w:pos="1134"/>
                <w:tab w:val="clear" w:pos="1701"/>
                <w:tab w:val="clear" w:pos="2268"/>
              </w:tabs>
              <w:spacing w:after="40" w:line="240" w:lineRule="atLeast"/>
              <w:jc w:val="left"/>
              <w:rPr>
                <w:rFonts w:eastAsia="KaiTi"/>
                <w:sz w:val="20"/>
                <w:szCs w:val="20"/>
                <w:lang w:val="en-GB" w:eastAsia="zh-CN"/>
              </w:rPr>
            </w:pPr>
            <w:r w:rsidRPr="000C0842">
              <w:rPr>
                <w:rFonts w:eastAsia="KaiTi"/>
                <w:sz w:val="20"/>
                <w:szCs w:val="20"/>
                <w:lang w:val="en-GB" w:eastAsia="zh-CN"/>
              </w:rPr>
              <w:t>秘书处收到日期</w:t>
            </w:r>
          </w:p>
        </w:tc>
      </w:tr>
      <w:tr w:rsidR="000C0842" w:rsidRPr="000C0842" w14:paraId="0482F0C1" w14:textId="77777777" w:rsidTr="00D35C99">
        <w:tc>
          <w:tcPr>
            <w:tcW w:w="704" w:type="dxa"/>
          </w:tcPr>
          <w:p w14:paraId="4FD7DFC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bookmarkStart w:id="6" w:name="_Hlk176758838"/>
            <w:r w:rsidRPr="000C0842">
              <w:rPr>
                <w:sz w:val="21"/>
                <w:szCs w:val="21"/>
                <w:lang w:val="en-GB" w:eastAsia="zh-CN"/>
              </w:rPr>
              <w:t>1</w:t>
            </w:r>
          </w:p>
        </w:tc>
        <w:tc>
          <w:tcPr>
            <w:tcW w:w="3544" w:type="dxa"/>
          </w:tcPr>
          <w:p w14:paraId="27B0A40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阿富汗</w:t>
            </w:r>
          </w:p>
        </w:tc>
        <w:tc>
          <w:tcPr>
            <w:tcW w:w="2835" w:type="dxa"/>
          </w:tcPr>
          <w:p w14:paraId="3E92102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28</w:t>
            </w:r>
            <w:r w:rsidRPr="000C0842">
              <w:rPr>
                <w:sz w:val="20"/>
                <w:szCs w:val="20"/>
                <w:lang w:eastAsia="zh-CN"/>
              </w:rPr>
              <w:t>日</w:t>
            </w:r>
          </w:p>
        </w:tc>
      </w:tr>
      <w:tr w:rsidR="000C0842" w:rsidRPr="000C0842" w14:paraId="070AABDC" w14:textId="77777777" w:rsidTr="00D35C99">
        <w:tc>
          <w:tcPr>
            <w:tcW w:w="704" w:type="dxa"/>
          </w:tcPr>
          <w:p w14:paraId="2E5AD942"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2</w:t>
            </w:r>
          </w:p>
        </w:tc>
        <w:tc>
          <w:tcPr>
            <w:tcW w:w="3544" w:type="dxa"/>
          </w:tcPr>
          <w:p w14:paraId="6E4D74D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阿根廷</w:t>
            </w:r>
          </w:p>
        </w:tc>
        <w:tc>
          <w:tcPr>
            <w:tcW w:w="2835" w:type="dxa"/>
          </w:tcPr>
          <w:p w14:paraId="2C8861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30</w:t>
            </w:r>
            <w:r w:rsidRPr="000C0842">
              <w:rPr>
                <w:rFonts w:hint="eastAsia"/>
                <w:sz w:val="20"/>
                <w:szCs w:val="20"/>
                <w:lang w:eastAsia="zh-CN"/>
              </w:rPr>
              <w:t>日</w:t>
            </w:r>
          </w:p>
        </w:tc>
      </w:tr>
      <w:tr w:rsidR="000C0842" w:rsidRPr="000C0842" w14:paraId="081A9F9D" w14:textId="77777777" w:rsidTr="00D35C99">
        <w:tc>
          <w:tcPr>
            <w:tcW w:w="704" w:type="dxa"/>
          </w:tcPr>
          <w:p w14:paraId="3F6FD05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w:t>
            </w:r>
          </w:p>
        </w:tc>
        <w:tc>
          <w:tcPr>
            <w:tcW w:w="3544" w:type="dxa"/>
          </w:tcPr>
          <w:p w14:paraId="3F97928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澳大利亚</w:t>
            </w:r>
          </w:p>
        </w:tc>
        <w:tc>
          <w:tcPr>
            <w:tcW w:w="2835" w:type="dxa"/>
          </w:tcPr>
          <w:p w14:paraId="34DC725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27</w:t>
            </w:r>
            <w:r w:rsidRPr="000C0842">
              <w:rPr>
                <w:sz w:val="20"/>
                <w:szCs w:val="20"/>
                <w:lang w:eastAsia="zh-CN"/>
              </w:rPr>
              <w:t>日</w:t>
            </w:r>
          </w:p>
        </w:tc>
      </w:tr>
      <w:tr w:rsidR="000C0842" w:rsidRPr="000C0842" w14:paraId="4067AD16" w14:textId="77777777" w:rsidTr="00D35C99">
        <w:tc>
          <w:tcPr>
            <w:tcW w:w="704" w:type="dxa"/>
          </w:tcPr>
          <w:p w14:paraId="006A0C2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4</w:t>
            </w:r>
          </w:p>
        </w:tc>
        <w:tc>
          <w:tcPr>
            <w:tcW w:w="3544" w:type="dxa"/>
          </w:tcPr>
          <w:p w14:paraId="7F5FE30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奥地利</w:t>
            </w:r>
            <w:r w:rsidRPr="000C0842">
              <w:rPr>
                <w:rFonts w:hint="eastAsia"/>
                <w:i/>
                <w:iCs/>
                <w:sz w:val="20"/>
                <w:szCs w:val="20"/>
                <w:vertAlign w:val="superscript"/>
                <w:lang w:eastAsia="zh-CN"/>
              </w:rPr>
              <w:t>a</w:t>
            </w:r>
          </w:p>
        </w:tc>
        <w:tc>
          <w:tcPr>
            <w:tcW w:w="2835" w:type="dxa"/>
          </w:tcPr>
          <w:p w14:paraId="1C95F86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5</w:t>
            </w:r>
            <w:r w:rsidRPr="000C0842">
              <w:rPr>
                <w:sz w:val="20"/>
                <w:szCs w:val="20"/>
                <w:lang w:eastAsia="zh-CN"/>
              </w:rPr>
              <w:t>月</w:t>
            </w:r>
            <w:r w:rsidRPr="000C0842">
              <w:rPr>
                <w:sz w:val="20"/>
                <w:szCs w:val="20"/>
                <w:lang w:eastAsia="zh-CN"/>
              </w:rPr>
              <w:t>3</w:t>
            </w:r>
            <w:r w:rsidRPr="000C0842">
              <w:rPr>
                <w:sz w:val="20"/>
                <w:szCs w:val="20"/>
                <w:lang w:eastAsia="zh-CN"/>
              </w:rPr>
              <w:t>日</w:t>
            </w:r>
          </w:p>
        </w:tc>
      </w:tr>
      <w:tr w:rsidR="000C0842" w:rsidRPr="000C0842" w14:paraId="79EFA501" w14:textId="77777777" w:rsidTr="00D35C99">
        <w:tc>
          <w:tcPr>
            <w:tcW w:w="704" w:type="dxa"/>
          </w:tcPr>
          <w:p w14:paraId="6467EFC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5</w:t>
            </w:r>
          </w:p>
        </w:tc>
        <w:tc>
          <w:tcPr>
            <w:tcW w:w="3544" w:type="dxa"/>
          </w:tcPr>
          <w:p w14:paraId="02663D0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布基纳法索</w:t>
            </w:r>
          </w:p>
        </w:tc>
        <w:tc>
          <w:tcPr>
            <w:tcW w:w="2835" w:type="dxa"/>
          </w:tcPr>
          <w:p w14:paraId="2740BF1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291A8259" w14:textId="77777777" w:rsidTr="00D35C99">
        <w:tc>
          <w:tcPr>
            <w:tcW w:w="704" w:type="dxa"/>
          </w:tcPr>
          <w:p w14:paraId="799A0B6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6</w:t>
            </w:r>
          </w:p>
        </w:tc>
        <w:tc>
          <w:tcPr>
            <w:tcW w:w="3544" w:type="dxa"/>
          </w:tcPr>
          <w:p w14:paraId="25B53C6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加拿大</w:t>
            </w:r>
          </w:p>
        </w:tc>
        <w:tc>
          <w:tcPr>
            <w:tcW w:w="2835" w:type="dxa"/>
          </w:tcPr>
          <w:p w14:paraId="34D9F86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6</w:t>
            </w:r>
            <w:r w:rsidRPr="000C0842">
              <w:rPr>
                <w:sz w:val="20"/>
                <w:szCs w:val="20"/>
                <w:lang w:eastAsia="zh-CN"/>
              </w:rPr>
              <w:t>月</w:t>
            </w:r>
            <w:r w:rsidRPr="000C0842">
              <w:rPr>
                <w:sz w:val="20"/>
                <w:szCs w:val="20"/>
                <w:lang w:eastAsia="zh-CN"/>
              </w:rPr>
              <w:t>21</w:t>
            </w:r>
            <w:r w:rsidRPr="000C0842">
              <w:rPr>
                <w:sz w:val="20"/>
                <w:szCs w:val="20"/>
                <w:lang w:eastAsia="zh-CN"/>
              </w:rPr>
              <w:t>日</w:t>
            </w:r>
          </w:p>
        </w:tc>
      </w:tr>
      <w:tr w:rsidR="000C0842" w:rsidRPr="000C0842" w14:paraId="25EF3090" w14:textId="77777777" w:rsidTr="00D35C99">
        <w:tc>
          <w:tcPr>
            <w:tcW w:w="704" w:type="dxa"/>
          </w:tcPr>
          <w:p w14:paraId="7907536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7</w:t>
            </w:r>
          </w:p>
        </w:tc>
        <w:tc>
          <w:tcPr>
            <w:tcW w:w="3544" w:type="dxa"/>
          </w:tcPr>
          <w:p w14:paraId="291712F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中国</w:t>
            </w:r>
          </w:p>
        </w:tc>
        <w:tc>
          <w:tcPr>
            <w:tcW w:w="2835" w:type="dxa"/>
          </w:tcPr>
          <w:p w14:paraId="753FA6C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w:t>
            </w:r>
            <w:r w:rsidRPr="000C0842">
              <w:rPr>
                <w:sz w:val="20"/>
                <w:szCs w:val="20"/>
                <w:lang w:eastAsia="zh-CN"/>
              </w:rPr>
              <w:t>月</w:t>
            </w:r>
            <w:r w:rsidRPr="000C0842">
              <w:rPr>
                <w:sz w:val="20"/>
                <w:szCs w:val="20"/>
                <w:lang w:eastAsia="zh-CN"/>
              </w:rPr>
              <w:t>25</w:t>
            </w:r>
            <w:r w:rsidRPr="000C0842">
              <w:rPr>
                <w:sz w:val="20"/>
                <w:szCs w:val="20"/>
                <w:lang w:eastAsia="zh-CN"/>
              </w:rPr>
              <w:t>日</w:t>
            </w:r>
          </w:p>
        </w:tc>
      </w:tr>
      <w:tr w:rsidR="000C0842" w:rsidRPr="000C0842" w14:paraId="2817449D" w14:textId="77777777" w:rsidTr="00D35C99">
        <w:tc>
          <w:tcPr>
            <w:tcW w:w="704" w:type="dxa"/>
          </w:tcPr>
          <w:p w14:paraId="6426C460"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sidRPr="000C0842">
              <w:rPr>
                <w:rFonts w:hint="eastAsia"/>
                <w:sz w:val="21"/>
                <w:szCs w:val="21"/>
                <w:lang w:val="en-GB" w:eastAsia="zh-CN"/>
              </w:rPr>
              <w:t>8</w:t>
            </w:r>
          </w:p>
        </w:tc>
        <w:tc>
          <w:tcPr>
            <w:tcW w:w="3544" w:type="dxa"/>
          </w:tcPr>
          <w:p w14:paraId="3E487C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哥伦比亚</w:t>
            </w:r>
          </w:p>
        </w:tc>
        <w:tc>
          <w:tcPr>
            <w:tcW w:w="2835" w:type="dxa"/>
          </w:tcPr>
          <w:p w14:paraId="7DD67A1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r w:rsidR="000C0842" w:rsidRPr="000C0842" w14:paraId="051E1210" w14:textId="77777777" w:rsidTr="00D35C99">
        <w:tc>
          <w:tcPr>
            <w:tcW w:w="704" w:type="dxa"/>
          </w:tcPr>
          <w:p w14:paraId="1FAFF69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9</w:t>
            </w:r>
          </w:p>
        </w:tc>
        <w:tc>
          <w:tcPr>
            <w:tcW w:w="3544" w:type="dxa"/>
          </w:tcPr>
          <w:p w14:paraId="3C945B4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古巴</w:t>
            </w:r>
          </w:p>
        </w:tc>
        <w:tc>
          <w:tcPr>
            <w:tcW w:w="2835" w:type="dxa"/>
          </w:tcPr>
          <w:p w14:paraId="227F34E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251BDE97" w14:textId="77777777" w:rsidTr="00D35C99">
        <w:tc>
          <w:tcPr>
            <w:tcW w:w="704" w:type="dxa"/>
          </w:tcPr>
          <w:p w14:paraId="6DA7987F"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sidRPr="000C0842">
              <w:rPr>
                <w:rFonts w:hint="eastAsia"/>
                <w:sz w:val="21"/>
                <w:szCs w:val="21"/>
                <w:lang w:val="en-GB" w:eastAsia="zh-CN"/>
              </w:rPr>
              <w:t>10</w:t>
            </w:r>
          </w:p>
        </w:tc>
        <w:tc>
          <w:tcPr>
            <w:tcW w:w="3544" w:type="dxa"/>
          </w:tcPr>
          <w:p w14:paraId="5192322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丹麦</w:t>
            </w:r>
          </w:p>
        </w:tc>
        <w:tc>
          <w:tcPr>
            <w:tcW w:w="2835" w:type="dxa"/>
          </w:tcPr>
          <w:p w14:paraId="709BD3D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r w:rsidR="000C0842" w:rsidRPr="000C0842" w14:paraId="71A849C4" w14:textId="77777777" w:rsidTr="00D35C99">
        <w:tc>
          <w:tcPr>
            <w:tcW w:w="704" w:type="dxa"/>
          </w:tcPr>
          <w:p w14:paraId="393712E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11</w:t>
            </w:r>
          </w:p>
        </w:tc>
        <w:tc>
          <w:tcPr>
            <w:tcW w:w="3544" w:type="dxa"/>
          </w:tcPr>
          <w:p w14:paraId="10DD362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欧洲联盟</w:t>
            </w:r>
          </w:p>
        </w:tc>
        <w:tc>
          <w:tcPr>
            <w:tcW w:w="2835" w:type="dxa"/>
          </w:tcPr>
          <w:p w14:paraId="117286C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2023</w:t>
            </w:r>
            <w:r w:rsidRPr="000C0842">
              <w:rPr>
                <w:sz w:val="20"/>
                <w:szCs w:val="20"/>
                <w:lang w:eastAsia="zh-CN"/>
              </w:rPr>
              <w:t>年</w:t>
            </w:r>
            <w:r w:rsidRPr="000C0842">
              <w:rPr>
                <w:sz w:val="20"/>
                <w:szCs w:val="20"/>
                <w:lang w:eastAsia="zh-CN"/>
              </w:rPr>
              <w:t>11</w:t>
            </w:r>
            <w:r w:rsidRPr="000C0842">
              <w:rPr>
                <w:sz w:val="20"/>
                <w:szCs w:val="20"/>
                <w:lang w:eastAsia="zh-CN"/>
              </w:rPr>
              <w:t>月</w:t>
            </w:r>
            <w:r w:rsidRPr="000C0842">
              <w:rPr>
                <w:sz w:val="20"/>
                <w:szCs w:val="20"/>
                <w:lang w:eastAsia="zh-CN"/>
              </w:rPr>
              <w:t>14</w:t>
            </w:r>
            <w:r w:rsidRPr="000C0842">
              <w:rPr>
                <w:sz w:val="20"/>
                <w:szCs w:val="20"/>
                <w:lang w:eastAsia="zh-CN"/>
              </w:rPr>
              <w:t>日</w:t>
            </w:r>
          </w:p>
        </w:tc>
      </w:tr>
      <w:tr w:rsidR="000C0842" w:rsidRPr="000C0842" w14:paraId="648EEA0C" w14:textId="77777777" w:rsidTr="00D35C99">
        <w:tc>
          <w:tcPr>
            <w:tcW w:w="704" w:type="dxa"/>
          </w:tcPr>
          <w:p w14:paraId="6022D21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12</w:t>
            </w:r>
          </w:p>
        </w:tc>
        <w:tc>
          <w:tcPr>
            <w:tcW w:w="3544" w:type="dxa"/>
          </w:tcPr>
          <w:p w14:paraId="32E3DB1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法国</w:t>
            </w:r>
          </w:p>
        </w:tc>
        <w:tc>
          <w:tcPr>
            <w:tcW w:w="2835" w:type="dxa"/>
          </w:tcPr>
          <w:p w14:paraId="6A589D1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2023</w:t>
            </w:r>
            <w:r w:rsidRPr="000C0842">
              <w:rPr>
                <w:sz w:val="20"/>
                <w:szCs w:val="20"/>
                <w:lang w:eastAsia="zh-CN"/>
              </w:rPr>
              <w:t>年</w:t>
            </w:r>
            <w:r w:rsidRPr="000C0842">
              <w:rPr>
                <w:sz w:val="20"/>
                <w:szCs w:val="20"/>
                <w:lang w:eastAsia="zh-CN"/>
              </w:rPr>
              <w:t>12</w:t>
            </w:r>
            <w:r w:rsidRPr="000C0842">
              <w:rPr>
                <w:sz w:val="20"/>
                <w:szCs w:val="20"/>
                <w:lang w:eastAsia="zh-CN"/>
              </w:rPr>
              <w:t>月</w:t>
            </w:r>
            <w:r w:rsidRPr="000C0842">
              <w:rPr>
                <w:sz w:val="20"/>
                <w:szCs w:val="20"/>
                <w:lang w:eastAsia="zh-CN"/>
              </w:rPr>
              <w:t>11</w:t>
            </w:r>
            <w:r w:rsidRPr="000C0842">
              <w:rPr>
                <w:sz w:val="20"/>
                <w:szCs w:val="20"/>
                <w:lang w:eastAsia="zh-CN"/>
              </w:rPr>
              <w:t>日</w:t>
            </w:r>
          </w:p>
        </w:tc>
      </w:tr>
      <w:tr w:rsidR="000C0842" w:rsidRPr="000C0842" w14:paraId="4D6CF0DB" w14:textId="77777777" w:rsidTr="00D35C99">
        <w:tc>
          <w:tcPr>
            <w:tcW w:w="704" w:type="dxa"/>
          </w:tcPr>
          <w:p w14:paraId="59B5A9C5"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13</w:t>
            </w:r>
          </w:p>
        </w:tc>
        <w:tc>
          <w:tcPr>
            <w:tcW w:w="3544" w:type="dxa"/>
          </w:tcPr>
          <w:p w14:paraId="293EDB7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德国</w:t>
            </w:r>
            <w:r w:rsidRPr="000C0842">
              <w:rPr>
                <w:bCs/>
                <w:i/>
                <w:iCs/>
                <w:sz w:val="20"/>
                <w:szCs w:val="20"/>
                <w:vertAlign w:val="superscript"/>
                <w:lang w:eastAsia="zh-CN"/>
              </w:rPr>
              <w:t>a</w:t>
            </w:r>
          </w:p>
        </w:tc>
        <w:tc>
          <w:tcPr>
            <w:tcW w:w="2835" w:type="dxa"/>
          </w:tcPr>
          <w:p w14:paraId="6B76F39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27</w:t>
            </w:r>
            <w:r w:rsidRPr="000C0842">
              <w:rPr>
                <w:rFonts w:hint="eastAsia"/>
                <w:sz w:val="20"/>
                <w:szCs w:val="20"/>
                <w:lang w:eastAsia="zh-CN"/>
              </w:rPr>
              <w:t>日</w:t>
            </w:r>
          </w:p>
        </w:tc>
      </w:tr>
      <w:tr w:rsidR="000C0842" w:rsidRPr="000C0842" w14:paraId="34D4362E" w14:textId="77777777" w:rsidTr="00D35C99">
        <w:tc>
          <w:tcPr>
            <w:tcW w:w="704" w:type="dxa"/>
          </w:tcPr>
          <w:p w14:paraId="6760D02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14</w:t>
            </w:r>
          </w:p>
        </w:tc>
        <w:tc>
          <w:tcPr>
            <w:tcW w:w="3544" w:type="dxa"/>
          </w:tcPr>
          <w:p w14:paraId="081E7D2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匈牙利</w:t>
            </w:r>
          </w:p>
        </w:tc>
        <w:tc>
          <w:tcPr>
            <w:tcW w:w="2835" w:type="dxa"/>
          </w:tcPr>
          <w:p w14:paraId="14B3125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2023</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28</w:t>
            </w:r>
            <w:r w:rsidRPr="000C0842">
              <w:rPr>
                <w:sz w:val="20"/>
                <w:szCs w:val="20"/>
                <w:lang w:eastAsia="zh-CN"/>
              </w:rPr>
              <w:t>日</w:t>
            </w:r>
          </w:p>
        </w:tc>
      </w:tr>
      <w:tr w:rsidR="000C0842" w:rsidRPr="000C0842" w14:paraId="4667544F" w14:textId="77777777" w:rsidTr="00D35C99">
        <w:tc>
          <w:tcPr>
            <w:tcW w:w="704" w:type="dxa"/>
          </w:tcPr>
          <w:p w14:paraId="4C2F459F"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15</w:t>
            </w:r>
          </w:p>
        </w:tc>
        <w:tc>
          <w:tcPr>
            <w:tcW w:w="3544" w:type="dxa"/>
          </w:tcPr>
          <w:p w14:paraId="4C8EC67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印度</w:t>
            </w:r>
          </w:p>
        </w:tc>
        <w:tc>
          <w:tcPr>
            <w:tcW w:w="2835" w:type="dxa"/>
          </w:tcPr>
          <w:p w14:paraId="1C60BE0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5A259580" w14:textId="77777777" w:rsidTr="00D35C99">
        <w:tc>
          <w:tcPr>
            <w:tcW w:w="704" w:type="dxa"/>
          </w:tcPr>
          <w:p w14:paraId="051A29E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sz w:val="21"/>
                <w:szCs w:val="21"/>
                <w:lang w:val="en-GB" w:eastAsia="zh-CN"/>
              </w:rPr>
              <w:t>1</w:t>
            </w:r>
            <w:r w:rsidRPr="000C0842">
              <w:rPr>
                <w:rFonts w:hint="eastAsia"/>
                <w:sz w:val="21"/>
                <w:szCs w:val="21"/>
                <w:lang w:val="en-GB" w:eastAsia="zh-CN"/>
              </w:rPr>
              <w:t>6</w:t>
            </w:r>
          </w:p>
        </w:tc>
        <w:tc>
          <w:tcPr>
            <w:tcW w:w="3544" w:type="dxa"/>
          </w:tcPr>
          <w:p w14:paraId="57C6362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印度尼西亚</w:t>
            </w:r>
          </w:p>
        </w:tc>
        <w:tc>
          <w:tcPr>
            <w:tcW w:w="2835" w:type="dxa"/>
          </w:tcPr>
          <w:p w14:paraId="6A18F2C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12</w:t>
            </w:r>
            <w:r w:rsidRPr="000C0842">
              <w:rPr>
                <w:sz w:val="20"/>
                <w:szCs w:val="20"/>
                <w:lang w:eastAsia="zh-CN"/>
              </w:rPr>
              <w:t>日</w:t>
            </w:r>
          </w:p>
        </w:tc>
      </w:tr>
      <w:tr w:rsidR="000C0842" w:rsidRPr="000C0842" w14:paraId="179B27B9" w14:textId="77777777" w:rsidTr="00D35C99">
        <w:tc>
          <w:tcPr>
            <w:tcW w:w="704" w:type="dxa"/>
          </w:tcPr>
          <w:p w14:paraId="6EE542F6"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17</w:t>
            </w:r>
          </w:p>
        </w:tc>
        <w:tc>
          <w:tcPr>
            <w:tcW w:w="3544" w:type="dxa"/>
          </w:tcPr>
          <w:p w14:paraId="6C46D40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伊朗伊斯兰共和国</w:t>
            </w:r>
          </w:p>
        </w:tc>
        <w:tc>
          <w:tcPr>
            <w:tcW w:w="2835" w:type="dxa"/>
          </w:tcPr>
          <w:p w14:paraId="7441B3C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29</w:t>
            </w:r>
            <w:r w:rsidRPr="000C0842">
              <w:rPr>
                <w:rFonts w:hint="eastAsia"/>
                <w:sz w:val="20"/>
                <w:szCs w:val="20"/>
                <w:lang w:eastAsia="zh-CN"/>
              </w:rPr>
              <w:t>日</w:t>
            </w:r>
          </w:p>
        </w:tc>
      </w:tr>
      <w:tr w:rsidR="000C0842" w:rsidRPr="000C0842" w14:paraId="15DC95D2" w14:textId="77777777" w:rsidTr="00D35C99">
        <w:tc>
          <w:tcPr>
            <w:tcW w:w="704" w:type="dxa"/>
          </w:tcPr>
          <w:p w14:paraId="364FA7D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18</w:t>
            </w:r>
          </w:p>
        </w:tc>
        <w:tc>
          <w:tcPr>
            <w:tcW w:w="3544" w:type="dxa"/>
          </w:tcPr>
          <w:p w14:paraId="28E7CA5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爱尔兰</w:t>
            </w:r>
          </w:p>
        </w:tc>
        <w:tc>
          <w:tcPr>
            <w:tcW w:w="2835" w:type="dxa"/>
          </w:tcPr>
          <w:p w14:paraId="5F4930A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2</w:t>
            </w:r>
            <w:r w:rsidRPr="000C0842">
              <w:rPr>
                <w:sz w:val="20"/>
                <w:szCs w:val="20"/>
                <w:lang w:eastAsia="zh-CN"/>
              </w:rPr>
              <w:t>月</w:t>
            </w:r>
            <w:r w:rsidRPr="000C0842">
              <w:rPr>
                <w:sz w:val="20"/>
                <w:szCs w:val="20"/>
                <w:lang w:eastAsia="zh-CN"/>
              </w:rPr>
              <w:t>8</w:t>
            </w:r>
            <w:r w:rsidRPr="000C0842">
              <w:rPr>
                <w:sz w:val="20"/>
                <w:szCs w:val="20"/>
                <w:lang w:eastAsia="zh-CN"/>
              </w:rPr>
              <w:t>日</w:t>
            </w:r>
          </w:p>
        </w:tc>
      </w:tr>
      <w:tr w:rsidR="000C0842" w:rsidRPr="000C0842" w14:paraId="12008728" w14:textId="77777777" w:rsidTr="00D35C99">
        <w:tc>
          <w:tcPr>
            <w:tcW w:w="704" w:type="dxa"/>
          </w:tcPr>
          <w:p w14:paraId="4A6C454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19</w:t>
            </w:r>
          </w:p>
        </w:tc>
        <w:tc>
          <w:tcPr>
            <w:tcW w:w="3544" w:type="dxa"/>
          </w:tcPr>
          <w:p w14:paraId="36AA59C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意大利</w:t>
            </w:r>
            <w:r w:rsidRPr="000C0842">
              <w:rPr>
                <w:rFonts w:hint="eastAsia"/>
                <w:i/>
                <w:iCs/>
                <w:sz w:val="20"/>
                <w:szCs w:val="20"/>
                <w:vertAlign w:val="superscript"/>
                <w:lang w:eastAsia="zh-CN"/>
              </w:rPr>
              <w:t>b</w:t>
            </w:r>
          </w:p>
        </w:tc>
        <w:tc>
          <w:tcPr>
            <w:tcW w:w="2835" w:type="dxa"/>
          </w:tcPr>
          <w:p w14:paraId="404429B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9</w:t>
            </w:r>
            <w:r w:rsidRPr="000C0842">
              <w:rPr>
                <w:sz w:val="20"/>
                <w:szCs w:val="20"/>
                <w:lang w:eastAsia="zh-CN"/>
              </w:rPr>
              <w:t>日</w:t>
            </w:r>
          </w:p>
        </w:tc>
      </w:tr>
      <w:tr w:rsidR="000C0842" w:rsidRPr="000C0842" w14:paraId="5463693F" w14:textId="77777777" w:rsidTr="00D35C99">
        <w:tc>
          <w:tcPr>
            <w:tcW w:w="704" w:type="dxa"/>
          </w:tcPr>
          <w:p w14:paraId="394DB5D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20</w:t>
            </w:r>
          </w:p>
        </w:tc>
        <w:tc>
          <w:tcPr>
            <w:tcW w:w="3544" w:type="dxa"/>
          </w:tcPr>
          <w:p w14:paraId="7544D3D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日本</w:t>
            </w:r>
          </w:p>
        </w:tc>
        <w:tc>
          <w:tcPr>
            <w:tcW w:w="2835" w:type="dxa"/>
          </w:tcPr>
          <w:p w14:paraId="6C7EB7F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2023</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11</w:t>
            </w:r>
            <w:r w:rsidRPr="000C0842">
              <w:rPr>
                <w:sz w:val="20"/>
                <w:szCs w:val="20"/>
                <w:lang w:eastAsia="zh-CN"/>
              </w:rPr>
              <w:t>日</w:t>
            </w:r>
          </w:p>
        </w:tc>
      </w:tr>
      <w:tr w:rsidR="000C0842" w:rsidRPr="000C0842" w14:paraId="41B09B86" w14:textId="77777777" w:rsidTr="00D35C99">
        <w:tc>
          <w:tcPr>
            <w:tcW w:w="704" w:type="dxa"/>
          </w:tcPr>
          <w:p w14:paraId="04C987D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21</w:t>
            </w:r>
          </w:p>
        </w:tc>
        <w:tc>
          <w:tcPr>
            <w:tcW w:w="3544" w:type="dxa"/>
          </w:tcPr>
          <w:p w14:paraId="426D9A9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约旦</w:t>
            </w:r>
          </w:p>
        </w:tc>
        <w:tc>
          <w:tcPr>
            <w:tcW w:w="2835" w:type="dxa"/>
          </w:tcPr>
          <w:p w14:paraId="01D0C8B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11</w:t>
            </w:r>
            <w:r w:rsidRPr="000C0842">
              <w:rPr>
                <w:sz w:val="20"/>
                <w:szCs w:val="20"/>
                <w:lang w:eastAsia="zh-CN"/>
              </w:rPr>
              <w:t>日</w:t>
            </w:r>
          </w:p>
        </w:tc>
      </w:tr>
      <w:tr w:rsidR="000C0842" w:rsidRPr="000C0842" w14:paraId="37193B7D" w14:textId="77777777" w:rsidTr="00D35C99">
        <w:tc>
          <w:tcPr>
            <w:tcW w:w="704" w:type="dxa"/>
          </w:tcPr>
          <w:p w14:paraId="2F4B405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22</w:t>
            </w:r>
          </w:p>
        </w:tc>
        <w:tc>
          <w:tcPr>
            <w:tcW w:w="3544" w:type="dxa"/>
          </w:tcPr>
          <w:p w14:paraId="74F13B1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利比亚</w:t>
            </w:r>
          </w:p>
        </w:tc>
        <w:tc>
          <w:tcPr>
            <w:tcW w:w="2835" w:type="dxa"/>
          </w:tcPr>
          <w:p w14:paraId="65743B7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4E100D8D" w14:textId="77777777" w:rsidTr="00D35C99">
        <w:tc>
          <w:tcPr>
            <w:tcW w:w="704" w:type="dxa"/>
          </w:tcPr>
          <w:p w14:paraId="5E0BF14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23</w:t>
            </w:r>
          </w:p>
        </w:tc>
        <w:tc>
          <w:tcPr>
            <w:tcW w:w="3544" w:type="dxa"/>
          </w:tcPr>
          <w:p w14:paraId="0B349DA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卢森堡</w:t>
            </w:r>
          </w:p>
        </w:tc>
        <w:tc>
          <w:tcPr>
            <w:tcW w:w="2835" w:type="dxa"/>
          </w:tcPr>
          <w:p w14:paraId="7C907CC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2023</w:t>
            </w:r>
            <w:r w:rsidRPr="000C0842">
              <w:rPr>
                <w:sz w:val="20"/>
                <w:szCs w:val="20"/>
                <w:lang w:eastAsia="zh-CN"/>
              </w:rPr>
              <w:t>年</w:t>
            </w:r>
            <w:r w:rsidRPr="000C0842">
              <w:rPr>
                <w:sz w:val="20"/>
                <w:szCs w:val="20"/>
                <w:lang w:eastAsia="zh-CN"/>
              </w:rPr>
              <w:t>11</w:t>
            </w:r>
            <w:r w:rsidRPr="000C0842">
              <w:rPr>
                <w:sz w:val="20"/>
                <w:szCs w:val="20"/>
                <w:lang w:eastAsia="zh-CN"/>
              </w:rPr>
              <w:t>月</w:t>
            </w:r>
            <w:r w:rsidRPr="000C0842">
              <w:rPr>
                <w:sz w:val="20"/>
                <w:szCs w:val="20"/>
                <w:lang w:eastAsia="zh-CN"/>
              </w:rPr>
              <w:t>7</w:t>
            </w:r>
            <w:r w:rsidRPr="000C0842">
              <w:rPr>
                <w:sz w:val="20"/>
                <w:szCs w:val="20"/>
                <w:lang w:eastAsia="zh-CN"/>
              </w:rPr>
              <w:t>日</w:t>
            </w:r>
          </w:p>
        </w:tc>
      </w:tr>
      <w:tr w:rsidR="000C0842" w:rsidRPr="000C0842" w14:paraId="7B0AB14F" w14:textId="77777777" w:rsidTr="00D35C99">
        <w:tc>
          <w:tcPr>
            <w:tcW w:w="704" w:type="dxa"/>
          </w:tcPr>
          <w:p w14:paraId="58E4AEA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24</w:t>
            </w:r>
          </w:p>
        </w:tc>
        <w:tc>
          <w:tcPr>
            <w:tcW w:w="3544" w:type="dxa"/>
          </w:tcPr>
          <w:p w14:paraId="580DA4C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马来西亚</w:t>
            </w:r>
          </w:p>
        </w:tc>
        <w:tc>
          <w:tcPr>
            <w:tcW w:w="2835" w:type="dxa"/>
          </w:tcPr>
          <w:p w14:paraId="1E77F55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2221AA26" w14:textId="77777777" w:rsidTr="00D35C99">
        <w:tc>
          <w:tcPr>
            <w:tcW w:w="704" w:type="dxa"/>
          </w:tcPr>
          <w:p w14:paraId="64412D3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25</w:t>
            </w:r>
          </w:p>
        </w:tc>
        <w:tc>
          <w:tcPr>
            <w:tcW w:w="3544" w:type="dxa"/>
          </w:tcPr>
          <w:p w14:paraId="336F96A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马耳他</w:t>
            </w:r>
          </w:p>
        </w:tc>
        <w:tc>
          <w:tcPr>
            <w:tcW w:w="2835" w:type="dxa"/>
          </w:tcPr>
          <w:p w14:paraId="5AF2728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23</w:t>
            </w:r>
            <w:r w:rsidRPr="000C0842">
              <w:rPr>
                <w:sz w:val="20"/>
                <w:szCs w:val="20"/>
                <w:lang w:eastAsia="zh-CN"/>
              </w:rPr>
              <w:t>日</w:t>
            </w:r>
          </w:p>
        </w:tc>
      </w:tr>
      <w:tr w:rsidR="000C0842" w:rsidRPr="000C0842" w14:paraId="7688F679" w14:textId="77777777" w:rsidTr="00D35C99">
        <w:tc>
          <w:tcPr>
            <w:tcW w:w="704" w:type="dxa"/>
          </w:tcPr>
          <w:p w14:paraId="00893140"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sidRPr="000C0842">
              <w:rPr>
                <w:rFonts w:hint="eastAsia"/>
                <w:sz w:val="21"/>
                <w:szCs w:val="21"/>
                <w:lang w:val="en-GB" w:eastAsia="zh-CN"/>
              </w:rPr>
              <w:t>26</w:t>
            </w:r>
          </w:p>
        </w:tc>
        <w:tc>
          <w:tcPr>
            <w:tcW w:w="3544" w:type="dxa"/>
          </w:tcPr>
          <w:p w14:paraId="2A3315A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毛里塔尼亚</w:t>
            </w:r>
          </w:p>
        </w:tc>
        <w:tc>
          <w:tcPr>
            <w:tcW w:w="2835" w:type="dxa"/>
          </w:tcPr>
          <w:p w14:paraId="04D18FD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20</w:t>
            </w:r>
            <w:r w:rsidRPr="000C0842">
              <w:rPr>
                <w:rFonts w:hint="eastAsia"/>
                <w:sz w:val="20"/>
                <w:szCs w:val="20"/>
                <w:lang w:eastAsia="zh-CN"/>
              </w:rPr>
              <w:t>日</w:t>
            </w:r>
          </w:p>
        </w:tc>
      </w:tr>
      <w:tr w:rsidR="000C0842" w:rsidRPr="000C0842" w14:paraId="140BAD0B" w14:textId="77777777" w:rsidTr="00D35C99">
        <w:tc>
          <w:tcPr>
            <w:tcW w:w="704" w:type="dxa"/>
          </w:tcPr>
          <w:p w14:paraId="7F6478B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27</w:t>
            </w:r>
          </w:p>
        </w:tc>
        <w:tc>
          <w:tcPr>
            <w:tcW w:w="3544" w:type="dxa"/>
          </w:tcPr>
          <w:p w14:paraId="4C77737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墨西哥</w:t>
            </w:r>
          </w:p>
        </w:tc>
        <w:tc>
          <w:tcPr>
            <w:tcW w:w="2835" w:type="dxa"/>
          </w:tcPr>
          <w:p w14:paraId="1D95B9F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22</w:t>
            </w:r>
            <w:r w:rsidRPr="000C0842">
              <w:rPr>
                <w:sz w:val="20"/>
                <w:szCs w:val="20"/>
                <w:lang w:eastAsia="zh-CN"/>
              </w:rPr>
              <w:t>日</w:t>
            </w:r>
          </w:p>
        </w:tc>
      </w:tr>
      <w:tr w:rsidR="000C0842" w:rsidRPr="000C0842" w14:paraId="0F9444E9" w14:textId="77777777" w:rsidTr="00D35C99">
        <w:tc>
          <w:tcPr>
            <w:tcW w:w="704" w:type="dxa"/>
          </w:tcPr>
          <w:p w14:paraId="1EFA4BF3"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28</w:t>
            </w:r>
          </w:p>
        </w:tc>
        <w:tc>
          <w:tcPr>
            <w:tcW w:w="3544" w:type="dxa"/>
          </w:tcPr>
          <w:p w14:paraId="034071A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荷兰王国</w:t>
            </w:r>
            <w:r w:rsidRPr="000C0842">
              <w:rPr>
                <w:i/>
                <w:iCs/>
                <w:sz w:val="21"/>
                <w:szCs w:val="21"/>
                <w:vertAlign w:val="superscript"/>
                <w:lang w:eastAsia="zh-CN"/>
              </w:rPr>
              <w:t>c</w:t>
            </w:r>
          </w:p>
        </w:tc>
        <w:tc>
          <w:tcPr>
            <w:tcW w:w="2835" w:type="dxa"/>
          </w:tcPr>
          <w:p w14:paraId="5A5525B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rFonts w:hint="eastAsia"/>
                <w:sz w:val="20"/>
                <w:szCs w:val="20"/>
                <w:lang w:eastAsia="zh-CN"/>
              </w:rPr>
              <w:t>18</w:t>
            </w:r>
            <w:r w:rsidRPr="000C0842">
              <w:rPr>
                <w:sz w:val="20"/>
                <w:szCs w:val="20"/>
                <w:lang w:eastAsia="zh-CN"/>
              </w:rPr>
              <w:t>日</w:t>
            </w:r>
          </w:p>
        </w:tc>
      </w:tr>
      <w:tr w:rsidR="000C0842" w:rsidRPr="000C0842" w14:paraId="5CDF806F" w14:textId="77777777" w:rsidTr="00D35C99">
        <w:tc>
          <w:tcPr>
            <w:tcW w:w="704" w:type="dxa"/>
          </w:tcPr>
          <w:p w14:paraId="462452F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29</w:t>
            </w:r>
          </w:p>
        </w:tc>
        <w:tc>
          <w:tcPr>
            <w:tcW w:w="3544" w:type="dxa"/>
          </w:tcPr>
          <w:p w14:paraId="7A8EDF8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挪威</w:t>
            </w:r>
          </w:p>
        </w:tc>
        <w:tc>
          <w:tcPr>
            <w:tcW w:w="2835" w:type="dxa"/>
          </w:tcPr>
          <w:p w14:paraId="5621770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7</w:t>
            </w:r>
            <w:r w:rsidRPr="000C0842">
              <w:rPr>
                <w:sz w:val="20"/>
                <w:szCs w:val="20"/>
                <w:lang w:eastAsia="zh-CN"/>
              </w:rPr>
              <w:t>日</w:t>
            </w:r>
          </w:p>
        </w:tc>
      </w:tr>
      <w:tr w:rsidR="000C0842" w:rsidRPr="000C0842" w14:paraId="106EE91B" w14:textId="77777777" w:rsidTr="00D35C99">
        <w:tc>
          <w:tcPr>
            <w:tcW w:w="704" w:type="dxa"/>
          </w:tcPr>
          <w:p w14:paraId="054F1412"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30</w:t>
            </w:r>
          </w:p>
        </w:tc>
        <w:tc>
          <w:tcPr>
            <w:tcW w:w="3544" w:type="dxa"/>
          </w:tcPr>
          <w:p w14:paraId="45C19FA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秘鲁</w:t>
            </w:r>
          </w:p>
        </w:tc>
        <w:tc>
          <w:tcPr>
            <w:tcW w:w="2835" w:type="dxa"/>
          </w:tcPr>
          <w:p w14:paraId="30177EF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30</w:t>
            </w:r>
            <w:r w:rsidRPr="000C0842">
              <w:rPr>
                <w:rFonts w:hint="eastAsia"/>
                <w:sz w:val="20"/>
                <w:szCs w:val="20"/>
                <w:lang w:eastAsia="zh-CN"/>
              </w:rPr>
              <w:t>日</w:t>
            </w:r>
          </w:p>
        </w:tc>
      </w:tr>
      <w:tr w:rsidR="000C0842" w:rsidRPr="000C0842" w14:paraId="00C44D53" w14:textId="77777777" w:rsidTr="00D35C99">
        <w:tc>
          <w:tcPr>
            <w:tcW w:w="704" w:type="dxa"/>
          </w:tcPr>
          <w:p w14:paraId="09F171B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31</w:t>
            </w:r>
          </w:p>
        </w:tc>
        <w:tc>
          <w:tcPr>
            <w:tcW w:w="3544" w:type="dxa"/>
          </w:tcPr>
          <w:p w14:paraId="0EA39F0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大韩民国</w:t>
            </w:r>
          </w:p>
        </w:tc>
        <w:tc>
          <w:tcPr>
            <w:tcW w:w="2835" w:type="dxa"/>
          </w:tcPr>
          <w:p w14:paraId="3619399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7BDEE5C5" w14:textId="77777777" w:rsidTr="00D35C99">
        <w:tc>
          <w:tcPr>
            <w:tcW w:w="704" w:type="dxa"/>
          </w:tcPr>
          <w:p w14:paraId="05D7245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32</w:t>
            </w:r>
          </w:p>
        </w:tc>
        <w:tc>
          <w:tcPr>
            <w:tcW w:w="3544" w:type="dxa"/>
          </w:tcPr>
          <w:p w14:paraId="299A30D8" w14:textId="77777777" w:rsidR="00184519" w:rsidRPr="000C0842" w:rsidRDefault="00184519" w:rsidP="000C57F4">
            <w:pPr>
              <w:tabs>
                <w:tab w:val="clear" w:pos="567"/>
                <w:tab w:val="clear" w:pos="1134"/>
                <w:tab w:val="clear" w:pos="1701"/>
                <w:tab w:val="clear" w:pos="2268"/>
              </w:tabs>
              <w:spacing w:after="40" w:line="240" w:lineRule="atLeast"/>
              <w:jc w:val="left"/>
              <w:rPr>
                <w:rFonts w:asciiTheme="minorHAnsi" w:hAnsiTheme="minorHAnsi"/>
                <w:sz w:val="20"/>
                <w:szCs w:val="20"/>
                <w:lang w:eastAsia="zh-CN"/>
              </w:rPr>
            </w:pPr>
            <w:r w:rsidRPr="000C0842">
              <w:rPr>
                <w:rFonts w:asciiTheme="minorHAnsi" w:hAnsiTheme="minorHAnsi" w:hint="eastAsia"/>
                <w:sz w:val="20"/>
                <w:szCs w:val="20"/>
                <w:lang w:eastAsia="zh-CN"/>
              </w:rPr>
              <w:t>摩尔多瓦共和国</w:t>
            </w:r>
          </w:p>
        </w:tc>
        <w:tc>
          <w:tcPr>
            <w:tcW w:w="2835" w:type="dxa"/>
          </w:tcPr>
          <w:p w14:paraId="1B508A8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rFonts w:hint="eastAsia"/>
                <w:sz w:val="20"/>
                <w:szCs w:val="20"/>
                <w:lang w:eastAsia="zh-CN"/>
              </w:rPr>
              <w:t>10</w:t>
            </w:r>
            <w:r w:rsidRPr="000C0842">
              <w:rPr>
                <w:sz w:val="20"/>
                <w:szCs w:val="20"/>
                <w:lang w:eastAsia="zh-CN"/>
              </w:rPr>
              <w:t>月</w:t>
            </w:r>
            <w:r w:rsidRPr="000C0842">
              <w:rPr>
                <w:sz w:val="20"/>
                <w:szCs w:val="20"/>
                <w:lang w:eastAsia="zh-CN"/>
              </w:rPr>
              <w:t>1</w:t>
            </w:r>
            <w:r w:rsidRPr="000C0842">
              <w:rPr>
                <w:rFonts w:hint="eastAsia"/>
                <w:sz w:val="20"/>
                <w:szCs w:val="20"/>
                <w:lang w:eastAsia="zh-CN"/>
              </w:rPr>
              <w:t>6</w:t>
            </w:r>
            <w:r w:rsidRPr="000C0842">
              <w:rPr>
                <w:sz w:val="20"/>
                <w:szCs w:val="20"/>
                <w:lang w:eastAsia="zh-CN"/>
              </w:rPr>
              <w:t>日</w:t>
            </w:r>
          </w:p>
        </w:tc>
      </w:tr>
      <w:tr w:rsidR="000C0842" w:rsidRPr="000C0842" w14:paraId="3DE98F5D" w14:textId="77777777" w:rsidTr="00D35C99">
        <w:tc>
          <w:tcPr>
            <w:tcW w:w="704" w:type="dxa"/>
          </w:tcPr>
          <w:p w14:paraId="3121A9C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33</w:t>
            </w:r>
          </w:p>
        </w:tc>
        <w:tc>
          <w:tcPr>
            <w:tcW w:w="3544" w:type="dxa"/>
          </w:tcPr>
          <w:p w14:paraId="737ABBB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斯洛文尼亚</w:t>
            </w:r>
          </w:p>
        </w:tc>
        <w:tc>
          <w:tcPr>
            <w:tcW w:w="2835" w:type="dxa"/>
          </w:tcPr>
          <w:p w14:paraId="46802A7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10</w:t>
            </w:r>
            <w:r w:rsidRPr="000C0842">
              <w:rPr>
                <w:sz w:val="20"/>
                <w:szCs w:val="20"/>
                <w:lang w:eastAsia="zh-CN"/>
              </w:rPr>
              <w:t>日</w:t>
            </w:r>
          </w:p>
        </w:tc>
      </w:tr>
      <w:tr w:rsidR="000C0842" w:rsidRPr="000C0842" w14:paraId="64475339" w14:textId="77777777" w:rsidTr="00D35C99">
        <w:tc>
          <w:tcPr>
            <w:tcW w:w="704" w:type="dxa"/>
          </w:tcPr>
          <w:p w14:paraId="442DB9D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34</w:t>
            </w:r>
          </w:p>
        </w:tc>
        <w:tc>
          <w:tcPr>
            <w:tcW w:w="3544" w:type="dxa"/>
          </w:tcPr>
          <w:p w14:paraId="293FBC9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西班牙</w:t>
            </w:r>
          </w:p>
        </w:tc>
        <w:tc>
          <w:tcPr>
            <w:tcW w:w="2835" w:type="dxa"/>
          </w:tcPr>
          <w:p w14:paraId="0D32788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2023</w:t>
            </w:r>
            <w:r w:rsidRPr="000C0842">
              <w:rPr>
                <w:sz w:val="20"/>
                <w:szCs w:val="20"/>
                <w:lang w:eastAsia="zh-CN"/>
              </w:rPr>
              <w:t>年</w:t>
            </w:r>
            <w:r w:rsidRPr="000C0842">
              <w:rPr>
                <w:sz w:val="20"/>
                <w:szCs w:val="20"/>
                <w:lang w:eastAsia="zh-CN"/>
              </w:rPr>
              <w:t>1</w:t>
            </w:r>
            <w:r w:rsidRPr="000C0842">
              <w:rPr>
                <w:sz w:val="20"/>
                <w:szCs w:val="20"/>
                <w:lang w:eastAsia="zh-CN"/>
              </w:rPr>
              <w:t>月</w:t>
            </w:r>
            <w:r w:rsidRPr="000C0842">
              <w:rPr>
                <w:sz w:val="20"/>
                <w:szCs w:val="20"/>
                <w:lang w:eastAsia="zh-CN"/>
              </w:rPr>
              <w:t>30</w:t>
            </w:r>
            <w:r w:rsidRPr="000C0842">
              <w:rPr>
                <w:sz w:val="20"/>
                <w:szCs w:val="20"/>
                <w:lang w:eastAsia="zh-CN"/>
              </w:rPr>
              <w:t>日</w:t>
            </w:r>
          </w:p>
        </w:tc>
      </w:tr>
      <w:tr w:rsidR="000C0842" w:rsidRPr="000C0842" w14:paraId="25A20861" w14:textId="77777777" w:rsidTr="00D35C99">
        <w:tc>
          <w:tcPr>
            <w:tcW w:w="704" w:type="dxa"/>
          </w:tcPr>
          <w:p w14:paraId="1F508CAC"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35</w:t>
            </w:r>
          </w:p>
        </w:tc>
        <w:tc>
          <w:tcPr>
            <w:tcW w:w="3544" w:type="dxa"/>
          </w:tcPr>
          <w:p w14:paraId="70316997" w14:textId="77777777" w:rsidR="00184519" w:rsidRPr="000C0842" w:rsidRDefault="00184519" w:rsidP="000C57F4">
            <w:pPr>
              <w:tabs>
                <w:tab w:val="clear" w:pos="567"/>
                <w:tab w:val="clear" w:pos="1134"/>
                <w:tab w:val="clear" w:pos="1701"/>
                <w:tab w:val="clear" w:pos="2268"/>
              </w:tabs>
              <w:spacing w:after="40" w:line="240" w:lineRule="atLeast"/>
              <w:jc w:val="left"/>
              <w:rPr>
                <w:rFonts w:asciiTheme="minorHAnsi" w:hAnsiTheme="minorHAnsi"/>
                <w:sz w:val="20"/>
                <w:szCs w:val="20"/>
                <w:lang w:eastAsia="zh-CN"/>
              </w:rPr>
            </w:pPr>
            <w:r w:rsidRPr="000C0842">
              <w:rPr>
                <w:rFonts w:asciiTheme="minorHAnsi" w:hAnsiTheme="minorHAnsi" w:hint="eastAsia"/>
                <w:sz w:val="20"/>
                <w:szCs w:val="20"/>
                <w:lang w:eastAsia="zh-CN"/>
              </w:rPr>
              <w:t>巴勒斯坦国</w:t>
            </w:r>
          </w:p>
        </w:tc>
        <w:tc>
          <w:tcPr>
            <w:tcW w:w="2835" w:type="dxa"/>
          </w:tcPr>
          <w:p w14:paraId="32ACAE2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5E86F5BC" w14:textId="77777777" w:rsidTr="00D35C99">
        <w:tc>
          <w:tcPr>
            <w:tcW w:w="704" w:type="dxa"/>
          </w:tcPr>
          <w:p w14:paraId="54282E8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36</w:t>
            </w:r>
          </w:p>
        </w:tc>
        <w:tc>
          <w:tcPr>
            <w:tcW w:w="3544" w:type="dxa"/>
          </w:tcPr>
          <w:p w14:paraId="248DE13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苏里南</w:t>
            </w:r>
          </w:p>
        </w:tc>
        <w:tc>
          <w:tcPr>
            <w:tcW w:w="2835" w:type="dxa"/>
          </w:tcPr>
          <w:p w14:paraId="7205AB3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3B67364A" w14:textId="77777777" w:rsidTr="00D35C99">
        <w:tc>
          <w:tcPr>
            <w:tcW w:w="704" w:type="dxa"/>
          </w:tcPr>
          <w:p w14:paraId="7A8E1E83"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37</w:t>
            </w:r>
          </w:p>
        </w:tc>
        <w:tc>
          <w:tcPr>
            <w:tcW w:w="3544" w:type="dxa"/>
          </w:tcPr>
          <w:p w14:paraId="3935730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泰国</w:t>
            </w:r>
            <w:r w:rsidRPr="000C0842">
              <w:rPr>
                <w:bCs/>
                <w:i/>
                <w:iCs/>
                <w:sz w:val="20"/>
                <w:szCs w:val="20"/>
                <w:vertAlign w:val="superscript"/>
                <w:lang w:eastAsia="zh-CN"/>
              </w:rPr>
              <w:t>b</w:t>
            </w:r>
          </w:p>
        </w:tc>
        <w:tc>
          <w:tcPr>
            <w:tcW w:w="2835" w:type="dxa"/>
          </w:tcPr>
          <w:p w14:paraId="528B0C6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7431E199" w14:textId="77777777" w:rsidTr="00D35C99">
        <w:tc>
          <w:tcPr>
            <w:tcW w:w="704" w:type="dxa"/>
          </w:tcPr>
          <w:p w14:paraId="019A862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38</w:t>
            </w:r>
          </w:p>
        </w:tc>
        <w:tc>
          <w:tcPr>
            <w:tcW w:w="3544" w:type="dxa"/>
          </w:tcPr>
          <w:p w14:paraId="201A6FA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汤加</w:t>
            </w:r>
          </w:p>
        </w:tc>
        <w:tc>
          <w:tcPr>
            <w:tcW w:w="2835" w:type="dxa"/>
          </w:tcPr>
          <w:p w14:paraId="3139099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27</w:t>
            </w:r>
            <w:r w:rsidRPr="000C0842">
              <w:rPr>
                <w:sz w:val="20"/>
                <w:szCs w:val="20"/>
                <w:lang w:eastAsia="zh-CN"/>
              </w:rPr>
              <w:t>日</w:t>
            </w:r>
          </w:p>
        </w:tc>
      </w:tr>
      <w:tr w:rsidR="000C0842" w:rsidRPr="000C0842" w14:paraId="5D08BA53" w14:textId="77777777" w:rsidTr="00D35C99">
        <w:tc>
          <w:tcPr>
            <w:tcW w:w="704" w:type="dxa"/>
          </w:tcPr>
          <w:p w14:paraId="38A896D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39</w:t>
            </w:r>
          </w:p>
        </w:tc>
        <w:tc>
          <w:tcPr>
            <w:tcW w:w="3544" w:type="dxa"/>
          </w:tcPr>
          <w:p w14:paraId="36AEA54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突尼斯</w:t>
            </w:r>
          </w:p>
        </w:tc>
        <w:tc>
          <w:tcPr>
            <w:tcW w:w="2835" w:type="dxa"/>
          </w:tcPr>
          <w:p w14:paraId="65071DA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rFonts w:hint="eastAsia"/>
                <w:sz w:val="20"/>
                <w:szCs w:val="20"/>
                <w:lang w:eastAsia="zh-CN"/>
              </w:rPr>
              <w:t>15</w:t>
            </w:r>
            <w:r w:rsidRPr="000C0842">
              <w:rPr>
                <w:sz w:val="20"/>
                <w:szCs w:val="20"/>
                <w:lang w:eastAsia="zh-CN"/>
              </w:rPr>
              <w:t>日</w:t>
            </w:r>
          </w:p>
        </w:tc>
      </w:tr>
      <w:tr w:rsidR="000C0842" w:rsidRPr="000C0842" w14:paraId="76C7D344" w14:textId="77777777" w:rsidTr="00D35C99">
        <w:tc>
          <w:tcPr>
            <w:tcW w:w="704" w:type="dxa"/>
          </w:tcPr>
          <w:p w14:paraId="32E0E04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lastRenderedPageBreak/>
              <w:t>40</w:t>
            </w:r>
          </w:p>
        </w:tc>
        <w:tc>
          <w:tcPr>
            <w:tcW w:w="3544" w:type="dxa"/>
          </w:tcPr>
          <w:p w14:paraId="78084992" w14:textId="77777777" w:rsidR="00184519" w:rsidRPr="000C0842" w:rsidRDefault="00184519" w:rsidP="000C57F4">
            <w:pPr>
              <w:tabs>
                <w:tab w:val="clear" w:pos="567"/>
                <w:tab w:val="clear" w:pos="1134"/>
                <w:tab w:val="clear" w:pos="1701"/>
                <w:tab w:val="clear" w:pos="2268"/>
              </w:tabs>
              <w:spacing w:after="40" w:line="240" w:lineRule="atLeast"/>
              <w:jc w:val="left"/>
              <w:rPr>
                <w:rFonts w:asciiTheme="minorHAnsi" w:hAnsiTheme="minorHAnsi"/>
                <w:sz w:val="20"/>
                <w:szCs w:val="20"/>
                <w:lang w:eastAsia="zh-CN"/>
              </w:rPr>
            </w:pPr>
            <w:r w:rsidRPr="000C0842">
              <w:rPr>
                <w:rFonts w:asciiTheme="minorHAnsi" w:hAnsiTheme="minorHAnsi" w:hint="eastAsia"/>
                <w:sz w:val="20"/>
                <w:szCs w:val="20"/>
                <w:lang w:eastAsia="zh-CN"/>
              </w:rPr>
              <w:t>乌干达</w:t>
            </w:r>
          </w:p>
        </w:tc>
        <w:tc>
          <w:tcPr>
            <w:tcW w:w="2835" w:type="dxa"/>
          </w:tcPr>
          <w:p w14:paraId="70FB611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4C9A648F" w14:textId="77777777" w:rsidTr="00D35C99">
        <w:tc>
          <w:tcPr>
            <w:tcW w:w="704" w:type="dxa"/>
          </w:tcPr>
          <w:p w14:paraId="6B00CEE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1"/>
                <w:szCs w:val="21"/>
                <w:lang w:val="en-GB" w:eastAsia="zh-CN"/>
              </w:rPr>
              <w:t>41</w:t>
            </w:r>
          </w:p>
        </w:tc>
        <w:tc>
          <w:tcPr>
            <w:tcW w:w="3544" w:type="dxa"/>
          </w:tcPr>
          <w:p w14:paraId="190EC08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阿拉伯联合酋长国</w:t>
            </w:r>
          </w:p>
        </w:tc>
        <w:tc>
          <w:tcPr>
            <w:tcW w:w="2835" w:type="dxa"/>
          </w:tcPr>
          <w:p w14:paraId="65FD971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9</w:t>
            </w:r>
            <w:r w:rsidRPr="000C0842">
              <w:rPr>
                <w:sz w:val="20"/>
                <w:szCs w:val="20"/>
                <w:lang w:eastAsia="zh-CN"/>
              </w:rPr>
              <w:t>日</w:t>
            </w:r>
          </w:p>
        </w:tc>
      </w:tr>
      <w:tr w:rsidR="000C0842" w:rsidRPr="000C0842" w14:paraId="13C46FBB" w14:textId="77777777" w:rsidTr="00D35C99">
        <w:tc>
          <w:tcPr>
            <w:tcW w:w="704" w:type="dxa"/>
          </w:tcPr>
          <w:p w14:paraId="5A10B0EB"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42</w:t>
            </w:r>
          </w:p>
        </w:tc>
        <w:tc>
          <w:tcPr>
            <w:tcW w:w="3544" w:type="dxa"/>
          </w:tcPr>
          <w:p w14:paraId="4D60019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坦桑尼亚联合共和国</w:t>
            </w:r>
          </w:p>
        </w:tc>
        <w:tc>
          <w:tcPr>
            <w:tcW w:w="2835" w:type="dxa"/>
          </w:tcPr>
          <w:p w14:paraId="7729A5A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52432770" w14:textId="77777777" w:rsidTr="00D35C99">
        <w:tc>
          <w:tcPr>
            <w:tcW w:w="704" w:type="dxa"/>
          </w:tcPr>
          <w:p w14:paraId="71FF02D1"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43</w:t>
            </w:r>
          </w:p>
        </w:tc>
        <w:tc>
          <w:tcPr>
            <w:tcW w:w="3544" w:type="dxa"/>
          </w:tcPr>
          <w:p w14:paraId="5F1BFA5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委内瑞拉玻利瓦尔共和国</w:t>
            </w:r>
          </w:p>
        </w:tc>
        <w:tc>
          <w:tcPr>
            <w:tcW w:w="2835" w:type="dxa"/>
          </w:tcPr>
          <w:p w14:paraId="4F60DE7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30</w:t>
            </w:r>
            <w:r w:rsidRPr="000C0842">
              <w:rPr>
                <w:rFonts w:hint="eastAsia"/>
                <w:sz w:val="20"/>
                <w:szCs w:val="20"/>
                <w:lang w:eastAsia="zh-CN"/>
              </w:rPr>
              <w:t>日</w:t>
            </w:r>
          </w:p>
        </w:tc>
      </w:tr>
      <w:tr w:rsidR="000C0842" w:rsidRPr="000C0842" w14:paraId="7726A8AC" w14:textId="77777777" w:rsidTr="00D35C99">
        <w:tc>
          <w:tcPr>
            <w:tcW w:w="704" w:type="dxa"/>
          </w:tcPr>
          <w:p w14:paraId="754CD3F8" w14:textId="77777777" w:rsidR="00184519" w:rsidRPr="000C0842" w:rsidRDefault="00184519" w:rsidP="000C57F4">
            <w:pPr>
              <w:tabs>
                <w:tab w:val="clear" w:pos="567"/>
                <w:tab w:val="clear" w:pos="1134"/>
                <w:tab w:val="clear" w:pos="1701"/>
                <w:tab w:val="clear" w:pos="2268"/>
              </w:tabs>
              <w:spacing w:after="40" w:line="240" w:lineRule="atLeast"/>
              <w:jc w:val="right"/>
              <w:rPr>
                <w:sz w:val="21"/>
                <w:szCs w:val="21"/>
                <w:lang w:val="en-GB" w:eastAsia="zh-CN"/>
              </w:rPr>
            </w:pPr>
            <w:r w:rsidRPr="000C0842">
              <w:rPr>
                <w:rFonts w:hint="eastAsia"/>
                <w:sz w:val="21"/>
                <w:szCs w:val="21"/>
                <w:lang w:val="en-GB" w:eastAsia="zh-CN"/>
              </w:rPr>
              <w:t>44</w:t>
            </w:r>
          </w:p>
        </w:tc>
        <w:tc>
          <w:tcPr>
            <w:tcW w:w="3544" w:type="dxa"/>
          </w:tcPr>
          <w:p w14:paraId="1F6CBA9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越南</w:t>
            </w:r>
          </w:p>
        </w:tc>
        <w:tc>
          <w:tcPr>
            <w:tcW w:w="2835" w:type="dxa"/>
          </w:tcPr>
          <w:p w14:paraId="293F297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bl>
    <w:bookmarkEnd w:id="6"/>
    <w:p w14:paraId="2121C4A6" w14:textId="77777777" w:rsidR="00184519" w:rsidRPr="000C0842" w:rsidRDefault="00184519" w:rsidP="009E25D8">
      <w:pPr>
        <w:tabs>
          <w:tab w:val="clear" w:pos="567"/>
          <w:tab w:val="clear" w:pos="1134"/>
          <w:tab w:val="clear" w:pos="1701"/>
          <w:tab w:val="clear" w:pos="2268"/>
        </w:tabs>
        <w:spacing w:before="120"/>
        <w:ind w:left="562"/>
        <w:jc w:val="left"/>
        <w:rPr>
          <w:rFonts w:eastAsia="SimSun"/>
          <w:bCs/>
          <w:sz w:val="20"/>
          <w:szCs w:val="20"/>
          <w:lang w:val="en-CA"/>
        </w:rPr>
      </w:pPr>
      <w:r w:rsidRPr="000C0842">
        <w:rPr>
          <w:rFonts w:eastAsia="SimSun"/>
          <w:bCs/>
          <w:i/>
          <w:iCs/>
          <w:sz w:val="20"/>
          <w:szCs w:val="20"/>
          <w:vertAlign w:val="superscript"/>
          <w:lang w:val="en-CA"/>
        </w:rPr>
        <w:t>a</w:t>
      </w:r>
      <w:r w:rsidRPr="000C0842">
        <w:rPr>
          <w:rFonts w:eastAsia="SimSun"/>
          <w:bCs/>
          <w:i/>
          <w:iCs/>
          <w:sz w:val="20"/>
          <w:szCs w:val="20"/>
          <w:lang w:val="en-CA"/>
        </w:rPr>
        <w:t xml:space="preserve"> </w:t>
      </w:r>
      <w:r w:rsidRPr="000C0842">
        <w:rPr>
          <w:rFonts w:eastAsia="SimSun"/>
          <w:bCs/>
          <w:sz w:val="20"/>
          <w:szCs w:val="20"/>
          <w:lang w:val="en-CA"/>
        </w:rPr>
        <w:t>未以联合国正式语文提交。</w:t>
      </w:r>
    </w:p>
    <w:p w14:paraId="2781D904" w14:textId="77777777" w:rsidR="00184519" w:rsidRPr="000C0842" w:rsidRDefault="00184519" w:rsidP="009E25D8">
      <w:pPr>
        <w:tabs>
          <w:tab w:val="clear" w:pos="567"/>
          <w:tab w:val="clear" w:pos="1134"/>
          <w:tab w:val="clear" w:pos="1701"/>
          <w:tab w:val="clear" w:pos="2268"/>
        </w:tabs>
        <w:ind w:left="562"/>
        <w:jc w:val="left"/>
        <w:rPr>
          <w:rFonts w:eastAsia="SimSun"/>
          <w:bCs/>
          <w:sz w:val="20"/>
          <w:szCs w:val="20"/>
          <w:lang w:val="en-CA"/>
        </w:rPr>
      </w:pPr>
      <w:r w:rsidRPr="000C0842">
        <w:rPr>
          <w:rFonts w:eastAsia="SimSun"/>
          <w:bCs/>
          <w:i/>
          <w:iCs/>
          <w:sz w:val="20"/>
          <w:szCs w:val="20"/>
          <w:vertAlign w:val="superscript"/>
          <w:lang w:val="en-CA"/>
        </w:rPr>
        <w:t>b</w:t>
      </w:r>
      <w:r w:rsidRPr="000C0842">
        <w:rPr>
          <w:rFonts w:eastAsia="SimSun"/>
          <w:bCs/>
          <w:i/>
          <w:iCs/>
          <w:sz w:val="20"/>
          <w:szCs w:val="20"/>
          <w:lang w:val="en-CA"/>
        </w:rPr>
        <w:t xml:space="preserve"> </w:t>
      </w:r>
      <w:r w:rsidRPr="000C0842">
        <w:rPr>
          <w:rFonts w:eastAsia="SimSun"/>
          <w:bCs/>
          <w:sz w:val="20"/>
          <w:szCs w:val="20"/>
          <w:lang w:val="en-CA"/>
        </w:rPr>
        <w:t>只有摘要是以联合国正式语文之一提交。</w:t>
      </w:r>
    </w:p>
    <w:p w14:paraId="3B6F3795" w14:textId="77777777" w:rsidR="00184519" w:rsidRPr="000C0842" w:rsidRDefault="00184519" w:rsidP="00D221A0">
      <w:pPr>
        <w:tabs>
          <w:tab w:val="clear" w:pos="567"/>
          <w:tab w:val="clear" w:pos="1134"/>
          <w:tab w:val="clear" w:pos="1701"/>
          <w:tab w:val="clear" w:pos="2268"/>
        </w:tabs>
        <w:ind w:left="562"/>
        <w:jc w:val="left"/>
        <w:rPr>
          <w:rFonts w:eastAsiaTheme="minorEastAsia"/>
          <w:bCs/>
          <w:sz w:val="24"/>
          <w:lang w:val="en-GB"/>
        </w:rPr>
      </w:pPr>
      <w:r w:rsidRPr="000C0842">
        <w:rPr>
          <w:rFonts w:eastAsia="SimSun"/>
          <w:i/>
          <w:iCs/>
          <w:sz w:val="20"/>
          <w:szCs w:val="20"/>
          <w:vertAlign w:val="superscript"/>
        </w:rPr>
        <w:t xml:space="preserve">c </w:t>
      </w:r>
      <w:r w:rsidRPr="000C0842">
        <w:rPr>
          <w:rFonts w:eastAsia="SimSun"/>
          <w:sz w:val="20"/>
          <w:szCs w:val="20"/>
        </w:rPr>
        <w:t>目前只有荷兰王国的阿鲁巴和库拉索的国家生物多样性战略和行动计划。</w:t>
      </w:r>
    </w:p>
    <w:p w14:paraId="34B433C2" w14:textId="77777777" w:rsidR="00184519" w:rsidRPr="000C0842" w:rsidRDefault="00184519" w:rsidP="007B1011">
      <w:pPr>
        <w:keepNext/>
        <w:tabs>
          <w:tab w:val="clear" w:pos="567"/>
          <w:tab w:val="clear" w:pos="1134"/>
          <w:tab w:val="clear" w:pos="1701"/>
          <w:tab w:val="clear" w:pos="2268"/>
        </w:tabs>
        <w:adjustRightInd w:val="0"/>
        <w:snapToGrid w:val="0"/>
        <w:spacing w:before="240" w:line="240" w:lineRule="atLeast"/>
        <w:ind w:left="490"/>
        <w:rPr>
          <w:rFonts w:eastAsia="SimSun"/>
          <w:b/>
          <w:bCs/>
          <w:snapToGrid w:val="0"/>
          <w:kern w:val="22"/>
          <w:sz w:val="24"/>
          <w:szCs w:val="24"/>
        </w:rPr>
      </w:pPr>
      <w:r w:rsidRPr="000C0842">
        <w:rPr>
          <w:rFonts w:eastAsia="SimSun"/>
          <w:b/>
          <w:bCs/>
          <w:snapToGrid w:val="0"/>
          <w:kern w:val="22"/>
          <w:sz w:val="24"/>
          <w:szCs w:val="24"/>
        </w:rPr>
        <w:t>附件二</w:t>
      </w:r>
    </w:p>
    <w:p w14:paraId="00327126" w14:textId="77777777" w:rsidR="00184519" w:rsidRPr="000C0842" w:rsidRDefault="00184519" w:rsidP="007B1011">
      <w:pPr>
        <w:keepNext/>
        <w:tabs>
          <w:tab w:val="clear" w:pos="567"/>
          <w:tab w:val="clear" w:pos="1134"/>
          <w:tab w:val="clear" w:pos="1701"/>
          <w:tab w:val="clear" w:pos="2268"/>
        </w:tabs>
        <w:adjustRightInd w:val="0"/>
        <w:snapToGrid w:val="0"/>
        <w:spacing w:after="120" w:line="240" w:lineRule="atLeast"/>
        <w:ind w:left="490"/>
        <w:rPr>
          <w:b/>
          <w:bCs/>
          <w:snapToGrid w:val="0"/>
          <w:kern w:val="22"/>
          <w:sz w:val="24"/>
          <w:szCs w:val="24"/>
        </w:rPr>
      </w:pPr>
      <w:r w:rsidRPr="000C0842">
        <w:rPr>
          <w:rFonts w:eastAsia="SimSun"/>
          <w:b/>
          <w:bCs/>
          <w:snapToGrid w:val="0"/>
          <w:kern w:val="22"/>
          <w:sz w:val="24"/>
          <w:szCs w:val="24"/>
        </w:rPr>
        <w:t>通过在线报告工具提交与《昆明</w:t>
      </w:r>
      <w:r w:rsidRPr="000C0842">
        <w:rPr>
          <w:rFonts w:eastAsia="SimSun"/>
          <w:b/>
          <w:bCs/>
          <w:snapToGrid w:val="0"/>
          <w:kern w:val="22"/>
          <w:sz w:val="24"/>
          <w:szCs w:val="24"/>
        </w:rPr>
        <w:t>-</w:t>
      </w:r>
      <w:r w:rsidRPr="000C0842">
        <w:rPr>
          <w:rFonts w:eastAsia="SimSun"/>
          <w:b/>
          <w:bCs/>
          <w:snapToGrid w:val="0"/>
          <w:kern w:val="22"/>
          <w:sz w:val="24"/>
          <w:szCs w:val="24"/>
        </w:rPr>
        <w:t>蒙特利尔全球生物多样性框架》相一致的国家目标的缔约方名单，截至</w:t>
      </w:r>
      <w:r w:rsidRPr="000C0842">
        <w:rPr>
          <w:rFonts w:eastAsia="SimSun"/>
          <w:b/>
          <w:bCs/>
          <w:snapToGrid w:val="0"/>
          <w:kern w:val="22"/>
          <w:sz w:val="24"/>
          <w:szCs w:val="24"/>
        </w:rPr>
        <w:t>2024</w:t>
      </w:r>
      <w:r w:rsidRPr="000C0842">
        <w:rPr>
          <w:rFonts w:eastAsia="SimSun"/>
          <w:b/>
          <w:bCs/>
          <w:snapToGrid w:val="0"/>
          <w:kern w:val="22"/>
          <w:sz w:val="24"/>
          <w:szCs w:val="24"/>
        </w:rPr>
        <w:t>年</w:t>
      </w:r>
      <w:r w:rsidRPr="000C0842">
        <w:rPr>
          <w:rFonts w:eastAsia="SimSun"/>
          <w:b/>
          <w:bCs/>
          <w:snapToGrid w:val="0"/>
          <w:kern w:val="22"/>
          <w:sz w:val="24"/>
          <w:szCs w:val="24"/>
        </w:rPr>
        <w:t>10</w:t>
      </w:r>
      <w:r w:rsidRPr="000C0842">
        <w:rPr>
          <w:rFonts w:eastAsia="SimSun"/>
          <w:b/>
          <w:bCs/>
          <w:snapToGrid w:val="0"/>
          <w:kern w:val="22"/>
          <w:sz w:val="24"/>
          <w:szCs w:val="24"/>
        </w:rPr>
        <w:t>月</w:t>
      </w:r>
      <w:r w:rsidRPr="000C0842">
        <w:rPr>
          <w:rFonts w:eastAsia="SimSun"/>
          <w:b/>
          <w:bCs/>
          <w:snapToGrid w:val="0"/>
          <w:kern w:val="22"/>
          <w:sz w:val="24"/>
          <w:szCs w:val="24"/>
        </w:rPr>
        <w:t>31</w:t>
      </w:r>
      <w:r w:rsidRPr="000C0842">
        <w:rPr>
          <w:rFonts w:eastAsia="SimSun"/>
          <w:b/>
          <w:bCs/>
          <w:snapToGrid w:val="0"/>
          <w:kern w:val="22"/>
          <w:sz w:val="24"/>
          <w:szCs w:val="24"/>
        </w:rPr>
        <w:t>日</w:t>
      </w:r>
    </w:p>
    <w:tbl>
      <w:tblPr>
        <w:tblStyle w:val="TableGrid3"/>
        <w:tblW w:w="8125" w:type="dxa"/>
        <w:tblInd w:w="5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50"/>
        <w:gridCol w:w="3571"/>
        <w:gridCol w:w="3904"/>
      </w:tblGrid>
      <w:tr w:rsidR="000C0842" w:rsidRPr="000C0842" w14:paraId="02798C4D" w14:textId="77777777" w:rsidTr="00D35C99">
        <w:trPr>
          <w:trHeight w:val="300"/>
        </w:trPr>
        <w:tc>
          <w:tcPr>
            <w:tcW w:w="650" w:type="dxa"/>
            <w:noWrap/>
            <w:hideMark/>
          </w:tcPr>
          <w:p w14:paraId="2A2B5FDA" w14:textId="77777777" w:rsidR="00184519" w:rsidRPr="000C0842" w:rsidRDefault="00184519" w:rsidP="009E25D8">
            <w:pPr>
              <w:keepNext/>
              <w:tabs>
                <w:tab w:val="clear" w:pos="567"/>
                <w:tab w:val="clear" w:pos="1134"/>
                <w:tab w:val="clear" w:pos="1701"/>
                <w:tab w:val="clear" w:pos="2268"/>
              </w:tabs>
              <w:spacing w:after="40"/>
              <w:jc w:val="right"/>
              <w:rPr>
                <w:rFonts w:asciiTheme="majorBidi" w:eastAsia="KaiTi" w:hAnsiTheme="majorBidi" w:cstheme="majorBidi"/>
                <w:sz w:val="20"/>
                <w:szCs w:val="20"/>
                <w:lang w:val="en-GB" w:eastAsia="zh-CN"/>
              </w:rPr>
            </w:pPr>
          </w:p>
        </w:tc>
        <w:tc>
          <w:tcPr>
            <w:tcW w:w="3571" w:type="dxa"/>
            <w:noWrap/>
            <w:hideMark/>
          </w:tcPr>
          <w:p w14:paraId="5D08E5A4" w14:textId="77777777" w:rsidR="00184519" w:rsidRPr="000C0842" w:rsidRDefault="00184519"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eastAsia="zh-CN"/>
              </w:rPr>
            </w:pPr>
            <w:r w:rsidRPr="000C0842">
              <w:rPr>
                <w:rFonts w:ascii="SimSun" w:eastAsia="KaiTi" w:hAnsi="SimSun" w:cs="SimSun" w:hint="eastAsia"/>
                <w:sz w:val="20"/>
                <w:szCs w:val="20"/>
                <w:lang w:val="en-GB" w:eastAsia="zh-CN"/>
              </w:rPr>
              <w:t>缔约方</w:t>
            </w:r>
          </w:p>
        </w:tc>
        <w:tc>
          <w:tcPr>
            <w:tcW w:w="3904" w:type="dxa"/>
            <w:noWrap/>
            <w:hideMark/>
          </w:tcPr>
          <w:p w14:paraId="395EBCB0" w14:textId="77777777" w:rsidR="00184519" w:rsidRPr="000C0842" w:rsidRDefault="00184519"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eastAsia="zh-CN"/>
              </w:rPr>
            </w:pPr>
            <w:r w:rsidRPr="000C0842">
              <w:rPr>
                <w:rFonts w:ascii="SimSun" w:eastAsia="KaiTi" w:hAnsi="SimSun" w:cs="SimSun" w:hint="eastAsia"/>
                <w:sz w:val="20"/>
                <w:szCs w:val="20"/>
                <w:lang w:val="en-GB" w:eastAsia="zh-CN"/>
              </w:rPr>
              <w:t>发布日期</w:t>
            </w:r>
          </w:p>
        </w:tc>
      </w:tr>
      <w:tr w:rsidR="000C0842" w:rsidRPr="000C0842" w14:paraId="12D8E497" w14:textId="77777777" w:rsidTr="00D35C99">
        <w:tc>
          <w:tcPr>
            <w:tcW w:w="650" w:type="dxa"/>
            <w:noWrap/>
            <w:vAlign w:val="bottom"/>
            <w:hideMark/>
          </w:tcPr>
          <w:p w14:paraId="0C0809B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1</w:t>
            </w:r>
          </w:p>
        </w:tc>
        <w:tc>
          <w:tcPr>
            <w:tcW w:w="3571" w:type="dxa"/>
            <w:noWrap/>
            <w:hideMark/>
          </w:tcPr>
          <w:p w14:paraId="2B697D9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阿尔及利亚</w:t>
            </w:r>
          </w:p>
        </w:tc>
        <w:tc>
          <w:tcPr>
            <w:tcW w:w="3904" w:type="dxa"/>
            <w:noWrap/>
            <w:hideMark/>
          </w:tcPr>
          <w:p w14:paraId="0904A92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728275DC" w14:textId="77777777" w:rsidTr="00D35C99">
        <w:tc>
          <w:tcPr>
            <w:tcW w:w="650" w:type="dxa"/>
            <w:noWrap/>
            <w:vAlign w:val="bottom"/>
            <w:hideMark/>
          </w:tcPr>
          <w:p w14:paraId="25C63A4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2</w:t>
            </w:r>
          </w:p>
        </w:tc>
        <w:tc>
          <w:tcPr>
            <w:tcW w:w="3571" w:type="dxa"/>
            <w:noWrap/>
            <w:hideMark/>
          </w:tcPr>
          <w:p w14:paraId="40B6879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安哥拉</w:t>
            </w:r>
          </w:p>
        </w:tc>
        <w:tc>
          <w:tcPr>
            <w:tcW w:w="3904" w:type="dxa"/>
            <w:noWrap/>
            <w:hideMark/>
          </w:tcPr>
          <w:p w14:paraId="357C096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13</w:t>
            </w:r>
            <w:r w:rsidRPr="000C0842">
              <w:rPr>
                <w:sz w:val="20"/>
                <w:szCs w:val="20"/>
                <w:lang w:eastAsia="zh-CN"/>
              </w:rPr>
              <w:t>日</w:t>
            </w:r>
          </w:p>
        </w:tc>
      </w:tr>
      <w:tr w:rsidR="000C0842" w:rsidRPr="000C0842" w14:paraId="4BE4D409" w14:textId="77777777" w:rsidTr="00D35C99">
        <w:tc>
          <w:tcPr>
            <w:tcW w:w="650" w:type="dxa"/>
            <w:noWrap/>
            <w:vAlign w:val="bottom"/>
          </w:tcPr>
          <w:p w14:paraId="11F05BE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3</w:t>
            </w:r>
          </w:p>
        </w:tc>
        <w:tc>
          <w:tcPr>
            <w:tcW w:w="3571" w:type="dxa"/>
            <w:noWrap/>
          </w:tcPr>
          <w:p w14:paraId="4D0284C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val="en-GB" w:eastAsia="zh-CN"/>
              </w:rPr>
              <w:t>澳大利亚</w:t>
            </w:r>
          </w:p>
        </w:tc>
        <w:tc>
          <w:tcPr>
            <w:tcW w:w="3904" w:type="dxa"/>
            <w:noWrap/>
          </w:tcPr>
          <w:p w14:paraId="74ADD58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val="en-GB" w:eastAsia="zh-CN"/>
              </w:rPr>
              <w:t>2024</w:t>
            </w:r>
            <w:r w:rsidRPr="000C0842">
              <w:rPr>
                <w:sz w:val="20"/>
                <w:szCs w:val="20"/>
                <w:lang w:val="en-GB" w:eastAsia="zh-CN"/>
              </w:rPr>
              <w:t>年</w:t>
            </w:r>
            <w:r w:rsidRPr="000C0842">
              <w:rPr>
                <w:sz w:val="20"/>
                <w:szCs w:val="20"/>
                <w:lang w:val="en-GB" w:eastAsia="zh-CN"/>
              </w:rPr>
              <w:t>10</w:t>
            </w:r>
            <w:r w:rsidRPr="000C0842">
              <w:rPr>
                <w:sz w:val="20"/>
                <w:szCs w:val="20"/>
                <w:lang w:val="en-GB" w:eastAsia="zh-CN"/>
              </w:rPr>
              <w:t>月</w:t>
            </w:r>
            <w:r w:rsidRPr="000C0842">
              <w:rPr>
                <w:sz w:val="20"/>
                <w:szCs w:val="20"/>
                <w:lang w:val="en-GB" w:eastAsia="zh-CN"/>
              </w:rPr>
              <w:t>18</w:t>
            </w:r>
            <w:r w:rsidRPr="000C0842">
              <w:rPr>
                <w:sz w:val="20"/>
                <w:szCs w:val="20"/>
                <w:lang w:val="en-GB" w:eastAsia="zh-CN"/>
              </w:rPr>
              <w:t>日</w:t>
            </w:r>
          </w:p>
        </w:tc>
      </w:tr>
      <w:tr w:rsidR="000C0842" w:rsidRPr="000C0842" w14:paraId="5C8A9D60" w14:textId="77777777" w:rsidTr="00D35C99">
        <w:tc>
          <w:tcPr>
            <w:tcW w:w="650" w:type="dxa"/>
            <w:noWrap/>
            <w:vAlign w:val="bottom"/>
          </w:tcPr>
          <w:p w14:paraId="24A7483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sz w:val="21"/>
                <w:szCs w:val="21"/>
                <w:lang w:eastAsia="zh-CN"/>
              </w:rPr>
              <w:t>4</w:t>
            </w:r>
          </w:p>
        </w:tc>
        <w:tc>
          <w:tcPr>
            <w:tcW w:w="3571" w:type="dxa"/>
            <w:noWrap/>
          </w:tcPr>
          <w:p w14:paraId="4089615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奥地利</w:t>
            </w:r>
          </w:p>
        </w:tc>
        <w:tc>
          <w:tcPr>
            <w:tcW w:w="3904" w:type="dxa"/>
            <w:noWrap/>
          </w:tcPr>
          <w:p w14:paraId="7168CCE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599F592B" w14:textId="77777777" w:rsidTr="00D35C99">
        <w:tc>
          <w:tcPr>
            <w:tcW w:w="650" w:type="dxa"/>
            <w:noWrap/>
            <w:vAlign w:val="bottom"/>
            <w:hideMark/>
          </w:tcPr>
          <w:p w14:paraId="4CC460B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5</w:t>
            </w:r>
          </w:p>
        </w:tc>
        <w:tc>
          <w:tcPr>
            <w:tcW w:w="3571" w:type="dxa"/>
            <w:noWrap/>
            <w:hideMark/>
          </w:tcPr>
          <w:p w14:paraId="24BE209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阿塞拜疆</w:t>
            </w:r>
          </w:p>
        </w:tc>
        <w:tc>
          <w:tcPr>
            <w:tcW w:w="3904" w:type="dxa"/>
            <w:noWrap/>
            <w:hideMark/>
          </w:tcPr>
          <w:p w14:paraId="2CF54D3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20</w:t>
            </w:r>
            <w:r w:rsidRPr="000C0842">
              <w:rPr>
                <w:sz w:val="20"/>
                <w:szCs w:val="20"/>
                <w:lang w:eastAsia="zh-CN"/>
              </w:rPr>
              <w:t>日</w:t>
            </w:r>
          </w:p>
        </w:tc>
      </w:tr>
      <w:tr w:rsidR="000C0842" w:rsidRPr="000C0842" w14:paraId="70188ABB" w14:textId="77777777" w:rsidTr="00D35C99">
        <w:tc>
          <w:tcPr>
            <w:tcW w:w="650" w:type="dxa"/>
            <w:noWrap/>
            <w:vAlign w:val="bottom"/>
            <w:hideMark/>
          </w:tcPr>
          <w:p w14:paraId="512CB6F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6</w:t>
            </w:r>
          </w:p>
        </w:tc>
        <w:tc>
          <w:tcPr>
            <w:tcW w:w="3571" w:type="dxa"/>
            <w:noWrap/>
            <w:hideMark/>
          </w:tcPr>
          <w:p w14:paraId="3B72F9B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孟加拉国</w:t>
            </w:r>
          </w:p>
        </w:tc>
        <w:tc>
          <w:tcPr>
            <w:tcW w:w="3904" w:type="dxa"/>
            <w:noWrap/>
            <w:hideMark/>
          </w:tcPr>
          <w:p w14:paraId="44E3BEB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29</w:t>
            </w:r>
            <w:r w:rsidRPr="000C0842">
              <w:rPr>
                <w:sz w:val="20"/>
                <w:szCs w:val="20"/>
                <w:lang w:eastAsia="zh-CN"/>
              </w:rPr>
              <w:t>日</w:t>
            </w:r>
          </w:p>
        </w:tc>
      </w:tr>
      <w:tr w:rsidR="000C0842" w:rsidRPr="000C0842" w14:paraId="4DC5AFC7" w14:textId="77777777" w:rsidTr="00D35C99">
        <w:tc>
          <w:tcPr>
            <w:tcW w:w="650" w:type="dxa"/>
            <w:noWrap/>
            <w:vAlign w:val="bottom"/>
            <w:hideMark/>
          </w:tcPr>
          <w:p w14:paraId="788F2BB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7</w:t>
            </w:r>
          </w:p>
        </w:tc>
        <w:tc>
          <w:tcPr>
            <w:tcW w:w="3571" w:type="dxa"/>
            <w:noWrap/>
            <w:hideMark/>
          </w:tcPr>
          <w:p w14:paraId="278D924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贝宁</w:t>
            </w:r>
          </w:p>
        </w:tc>
        <w:tc>
          <w:tcPr>
            <w:tcW w:w="3904" w:type="dxa"/>
            <w:noWrap/>
            <w:hideMark/>
          </w:tcPr>
          <w:p w14:paraId="7D30A20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30</w:t>
            </w:r>
            <w:r w:rsidRPr="000C0842">
              <w:rPr>
                <w:sz w:val="20"/>
                <w:szCs w:val="20"/>
                <w:lang w:eastAsia="zh-CN"/>
              </w:rPr>
              <w:t>日</w:t>
            </w:r>
          </w:p>
        </w:tc>
      </w:tr>
      <w:tr w:rsidR="000C0842" w:rsidRPr="000C0842" w14:paraId="7495550D" w14:textId="77777777" w:rsidTr="00D35C99">
        <w:tc>
          <w:tcPr>
            <w:tcW w:w="650" w:type="dxa"/>
            <w:noWrap/>
            <w:vAlign w:val="bottom"/>
            <w:hideMark/>
          </w:tcPr>
          <w:p w14:paraId="33F5443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8</w:t>
            </w:r>
          </w:p>
        </w:tc>
        <w:tc>
          <w:tcPr>
            <w:tcW w:w="3571" w:type="dxa"/>
            <w:noWrap/>
            <w:hideMark/>
          </w:tcPr>
          <w:p w14:paraId="6347443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不丹</w:t>
            </w:r>
          </w:p>
        </w:tc>
        <w:tc>
          <w:tcPr>
            <w:tcW w:w="3904" w:type="dxa"/>
            <w:noWrap/>
            <w:hideMark/>
          </w:tcPr>
          <w:p w14:paraId="4011592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25</w:t>
            </w:r>
            <w:r w:rsidRPr="000C0842">
              <w:rPr>
                <w:sz w:val="20"/>
                <w:szCs w:val="20"/>
                <w:lang w:eastAsia="zh-CN"/>
              </w:rPr>
              <w:t>日</w:t>
            </w:r>
          </w:p>
        </w:tc>
      </w:tr>
      <w:tr w:rsidR="000C0842" w:rsidRPr="000C0842" w14:paraId="2CFA31DC" w14:textId="77777777" w:rsidTr="00D35C99">
        <w:tc>
          <w:tcPr>
            <w:tcW w:w="650" w:type="dxa"/>
            <w:noWrap/>
            <w:vAlign w:val="bottom"/>
          </w:tcPr>
          <w:p w14:paraId="1FECBC8D"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9</w:t>
            </w:r>
          </w:p>
        </w:tc>
        <w:tc>
          <w:tcPr>
            <w:tcW w:w="3571" w:type="dxa"/>
            <w:noWrap/>
          </w:tcPr>
          <w:p w14:paraId="580A253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多民族玻利维亚国</w:t>
            </w:r>
          </w:p>
        </w:tc>
        <w:tc>
          <w:tcPr>
            <w:tcW w:w="3904" w:type="dxa"/>
            <w:noWrap/>
          </w:tcPr>
          <w:p w14:paraId="1841BCF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793DB2FE" w14:textId="77777777" w:rsidTr="00D35C99">
        <w:tc>
          <w:tcPr>
            <w:tcW w:w="650" w:type="dxa"/>
            <w:noWrap/>
            <w:vAlign w:val="bottom"/>
            <w:hideMark/>
          </w:tcPr>
          <w:p w14:paraId="1557834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w:t>
            </w:r>
          </w:p>
        </w:tc>
        <w:tc>
          <w:tcPr>
            <w:tcW w:w="3571" w:type="dxa"/>
            <w:noWrap/>
            <w:hideMark/>
          </w:tcPr>
          <w:p w14:paraId="59537FF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波斯尼亚和黑塞哥维那</w:t>
            </w:r>
          </w:p>
        </w:tc>
        <w:tc>
          <w:tcPr>
            <w:tcW w:w="3904" w:type="dxa"/>
            <w:noWrap/>
            <w:hideMark/>
          </w:tcPr>
          <w:p w14:paraId="73615D1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16B833B8" w14:textId="77777777" w:rsidTr="00D35C99">
        <w:tc>
          <w:tcPr>
            <w:tcW w:w="650" w:type="dxa"/>
            <w:noWrap/>
            <w:vAlign w:val="bottom"/>
          </w:tcPr>
          <w:p w14:paraId="4F08A08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11</w:t>
            </w:r>
          </w:p>
        </w:tc>
        <w:tc>
          <w:tcPr>
            <w:tcW w:w="3571" w:type="dxa"/>
            <w:noWrap/>
          </w:tcPr>
          <w:p w14:paraId="190418D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博茨瓦纳</w:t>
            </w:r>
          </w:p>
        </w:tc>
        <w:tc>
          <w:tcPr>
            <w:tcW w:w="3904" w:type="dxa"/>
            <w:noWrap/>
          </w:tcPr>
          <w:p w14:paraId="4D38CA5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14</w:t>
            </w:r>
            <w:r w:rsidRPr="000C0842">
              <w:rPr>
                <w:sz w:val="20"/>
                <w:szCs w:val="20"/>
                <w:lang w:eastAsia="zh-CN"/>
              </w:rPr>
              <w:t>日</w:t>
            </w:r>
          </w:p>
        </w:tc>
      </w:tr>
      <w:tr w:rsidR="000C0842" w:rsidRPr="000C0842" w14:paraId="5618282C" w14:textId="77777777" w:rsidTr="00D35C99">
        <w:tc>
          <w:tcPr>
            <w:tcW w:w="650" w:type="dxa"/>
            <w:noWrap/>
            <w:vAlign w:val="bottom"/>
            <w:hideMark/>
          </w:tcPr>
          <w:p w14:paraId="33A4DCD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12</w:t>
            </w:r>
          </w:p>
        </w:tc>
        <w:tc>
          <w:tcPr>
            <w:tcW w:w="3571" w:type="dxa"/>
            <w:noWrap/>
            <w:hideMark/>
          </w:tcPr>
          <w:p w14:paraId="56B899B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布基纳法索</w:t>
            </w:r>
          </w:p>
        </w:tc>
        <w:tc>
          <w:tcPr>
            <w:tcW w:w="3904" w:type="dxa"/>
            <w:noWrap/>
            <w:hideMark/>
          </w:tcPr>
          <w:p w14:paraId="02ECEBA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2CEF22A6" w14:textId="77777777" w:rsidTr="00D35C99">
        <w:tc>
          <w:tcPr>
            <w:tcW w:w="650" w:type="dxa"/>
            <w:noWrap/>
            <w:vAlign w:val="bottom"/>
            <w:hideMark/>
          </w:tcPr>
          <w:p w14:paraId="77CA120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13</w:t>
            </w:r>
          </w:p>
        </w:tc>
        <w:tc>
          <w:tcPr>
            <w:tcW w:w="3571" w:type="dxa"/>
            <w:noWrap/>
            <w:hideMark/>
          </w:tcPr>
          <w:p w14:paraId="1E22728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布隆迪</w:t>
            </w:r>
          </w:p>
        </w:tc>
        <w:tc>
          <w:tcPr>
            <w:tcW w:w="3904" w:type="dxa"/>
            <w:noWrap/>
            <w:hideMark/>
          </w:tcPr>
          <w:p w14:paraId="2A918D8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25</w:t>
            </w:r>
            <w:r w:rsidRPr="000C0842">
              <w:rPr>
                <w:sz w:val="20"/>
                <w:szCs w:val="20"/>
                <w:lang w:eastAsia="zh-CN"/>
              </w:rPr>
              <w:t>日</w:t>
            </w:r>
          </w:p>
        </w:tc>
      </w:tr>
      <w:tr w:rsidR="000C0842" w:rsidRPr="000C0842" w14:paraId="04C3664D" w14:textId="77777777" w:rsidTr="00D35C99">
        <w:tc>
          <w:tcPr>
            <w:tcW w:w="650" w:type="dxa"/>
            <w:noWrap/>
            <w:vAlign w:val="bottom"/>
          </w:tcPr>
          <w:p w14:paraId="6D11136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14</w:t>
            </w:r>
          </w:p>
        </w:tc>
        <w:tc>
          <w:tcPr>
            <w:tcW w:w="3571" w:type="dxa"/>
            <w:noWrap/>
          </w:tcPr>
          <w:p w14:paraId="4321E26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佛得角</w:t>
            </w:r>
          </w:p>
        </w:tc>
        <w:tc>
          <w:tcPr>
            <w:tcW w:w="3904" w:type="dxa"/>
            <w:noWrap/>
          </w:tcPr>
          <w:p w14:paraId="05F78C0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18</w:t>
            </w:r>
            <w:r w:rsidRPr="000C0842">
              <w:rPr>
                <w:sz w:val="20"/>
                <w:szCs w:val="20"/>
                <w:lang w:eastAsia="zh-CN"/>
              </w:rPr>
              <w:t>日</w:t>
            </w:r>
          </w:p>
        </w:tc>
      </w:tr>
      <w:tr w:rsidR="000C0842" w:rsidRPr="000C0842" w14:paraId="22717E36" w14:textId="77777777" w:rsidTr="00D35C99">
        <w:tc>
          <w:tcPr>
            <w:tcW w:w="650" w:type="dxa"/>
            <w:noWrap/>
            <w:vAlign w:val="bottom"/>
            <w:hideMark/>
          </w:tcPr>
          <w:p w14:paraId="57383A3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15</w:t>
            </w:r>
          </w:p>
        </w:tc>
        <w:tc>
          <w:tcPr>
            <w:tcW w:w="3571" w:type="dxa"/>
            <w:noWrap/>
            <w:hideMark/>
          </w:tcPr>
          <w:p w14:paraId="231E2A3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柬埔寨</w:t>
            </w:r>
          </w:p>
        </w:tc>
        <w:tc>
          <w:tcPr>
            <w:tcW w:w="3904" w:type="dxa"/>
            <w:noWrap/>
            <w:hideMark/>
          </w:tcPr>
          <w:p w14:paraId="57458E5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29</w:t>
            </w:r>
            <w:r w:rsidRPr="000C0842">
              <w:rPr>
                <w:sz w:val="20"/>
                <w:szCs w:val="20"/>
                <w:lang w:eastAsia="zh-CN"/>
              </w:rPr>
              <w:t>日</w:t>
            </w:r>
          </w:p>
        </w:tc>
      </w:tr>
      <w:tr w:rsidR="000C0842" w:rsidRPr="000C0842" w14:paraId="15417E87" w14:textId="77777777" w:rsidTr="00D35C99">
        <w:tc>
          <w:tcPr>
            <w:tcW w:w="650" w:type="dxa"/>
            <w:noWrap/>
            <w:vAlign w:val="bottom"/>
            <w:hideMark/>
          </w:tcPr>
          <w:p w14:paraId="7703ADB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16</w:t>
            </w:r>
          </w:p>
        </w:tc>
        <w:tc>
          <w:tcPr>
            <w:tcW w:w="3571" w:type="dxa"/>
            <w:noWrap/>
            <w:hideMark/>
          </w:tcPr>
          <w:p w14:paraId="632C25F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喀麦隆</w:t>
            </w:r>
          </w:p>
        </w:tc>
        <w:tc>
          <w:tcPr>
            <w:tcW w:w="3904" w:type="dxa"/>
            <w:noWrap/>
            <w:hideMark/>
          </w:tcPr>
          <w:p w14:paraId="2FBA32F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23</w:t>
            </w:r>
            <w:r w:rsidRPr="000C0842">
              <w:rPr>
                <w:sz w:val="20"/>
                <w:szCs w:val="20"/>
                <w:lang w:eastAsia="zh-CN"/>
              </w:rPr>
              <w:t>日</w:t>
            </w:r>
          </w:p>
        </w:tc>
      </w:tr>
      <w:tr w:rsidR="000C0842" w:rsidRPr="000C0842" w14:paraId="1C658501" w14:textId="77777777" w:rsidTr="00D35C99">
        <w:tc>
          <w:tcPr>
            <w:tcW w:w="650" w:type="dxa"/>
            <w:noWrap/>
            <w:vAlign w:val="bottom"/>
            <w:hideMark/>
          </w:tcPr>
          <w:p w14:paraId="0C9FCA4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17</w:t>
            </w:r>
          </w:p>
        </w:tc>
        <w:tc>
          <w:tcPr>
            <w:tcW w:w="3571" w:type="dxa"/>
            <w:noWrap/>
            <w:hideMark/>
          </w:tcPr>
          <w:p w14:paraId="691EBE7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加拿大</w:t>
            </w:r>
          </w:p>
        </w:tc>
        <w:tc>
          <w:tcPr>
            <w:tcW w:w="3904" w:type="dxa"/>
            <w:noWrap/>
            <w:hideMark/>
          </w:tcPr>
          <w:p w14:paraId="5B7E6E9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20</w:t>
            </w:r>
            <w:r w:rsidRPr="000C0842">
              <w:rPr>
                <w:sz w:val="20"/>
                <w:szCs w:val="20"/>
                <w:lang w:eastAsia="zh-CN"/>
              </w:rPr>
              <w:t>日</w:t>
            </w:r>
          </w:p>
        </w:tc>
      </w:tr>
      <w:tr w:rsidR="000C0842" w:rsidRPr="000C0842" w14:paraId="4300EB04" w14:textId="77777777" w:rsidTr="00D35C99">
        <w:tc>
          <w:tcPr>
            <w:tcW w:w="650" w:type="dxa"/>
            <w:noWrap/>
            <w:vAlign w:val="bottom"/>
            <w:hideMark/>
          </w:tcPr>
          <w:p w14:paraId="7DAC2B4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18</w:t>
            </w:r>
          </w:p>
        </w:tc>
        <w:tc>
          <w:tcPr>
            <w:tcW w:w="3571" w:type="dxa"/>
            <w:noWrap/>
            <w:hideMark/>
          </w:tcPr>
          <w:p w14:paraId="51058B0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中非共和国</w:t>
            </w:r>
          </w:p>
        </w:tc>
        <w:tc>
          <w:tcPr>
            <w:tcW w:w="3904" w:type="dxa"/>
            <w:noWrap/>
            <w:hideMark/>
          </w:tcPr>
          <w:p w14:paraId="5CB2660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67261794" w14:textId="77777777" w:rsidTr="00D35C99">
        <w:tc>
          <w:tcPr>
            <w:tcW w:w="650" w:type="dxa"/>
            <w:noWrap/>
            <w:vAlign w:val="bottom"/>
            <w:hideMark/>
          </w:tcPr>
          <w:p w14:paraId="1544D57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19</w:t>
            </w:r>
          </w:p>
        </w:tc>
        <w:tc>
          <w:tcPr>
            <w:tcW w:w="3571" w:type="dxa"/>
            <w:noWrap/>
            <w:hideMark/>
          </w:tcPr>
          <w:p w14:paraId="0CBD137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highlight w:val="magenta"/>
                <w:lang w:val="en-GB" w:eastAsia="zh-CN"/>
              </w:rPr>
            </w:pPr>
            <w:r w:rsidRPr="000C0842">
              <w:rPr>
                <w:sz w:val="20"/>
                <w:szCs w:val="20"/>
                <w:lang w:eastAsia="zh-CN"/>
              </w:rPr>
              <w:t>乍得</w:t>
            </w:r>
          </w:p>
        </w:tc>
        <w:tc>
          <w:tcPr>
            <w:tcW w:w="3904" w:type="dxa"/>
            <w:noWrap/>
            <w:hideMark/>
          </w:tcPr>
          <w:p w14:paraId="4CA1682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12</w:t>
            </w:r>
            <w:r w:rsidRPr="000C0842">
              <w:rPr>
                <w:sz w:val="20"/>
                <w:szCs w:val="20"/>
                <w:lang w:eastAsia="zh-CN"/>
              </w:rPr>
              <w:t>日</w:t>
            </w:r>
          </w:p>
        </w:tc>
      </w:tr>
      <w:tr w:rsidR="000C0842" w:rsidRPr="000C0842" w14:paraId="4E8CF167" w14:textId="77777777" w:rsidTr="00D35C99">
        <w:tc>
          <w:tcPr>
            <w:tcW w:w="650" w:type="dxa"/>
            <w:noWrap/>
            <w:vAlign w:val="bottom"/>
          </w:tcPr>
          <w:p w14:paraId="3B63806D"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20</w:t>
            </w:r>
          </w:p>
        </w:tc>
        <w:tc>
          <w:tcPr>
            <w:tcW w:w="3571" w:type="dxa"/>
            <w:noWrap/>
          </w:tcPr>
          <w:p w14:paraId="7342B28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智利</w:t>
            </w:r>
          </w:p>
        </w:tc>
        <w:tc>
          <w:tcPr>
            <w:tcW w:w="3904" w:type="dxa"/>
            <w:noWrap/>
          </w:tcPr>
          <w:p w14:paraId="60C7080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r w:rsidR="000C0842" w:rsidRPr="000C0842" w14:paraId="3E04C7E3" w14:textId="77777777" w:rsidTr="00D35C99">
        <w:tc>
          <w:tcPr>
            <w:tcW w:w="650" w:type="dxa"/>
            <w:noWrap/>
            <w:vAlign w:val="bottom"/>
            <w:hideMark/>
          </w:tcPr>
          <w:p w14:paraId="1015E0F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21</w:t>
            </w:r>
          </w:p>
        </w:tc>
        <w:tc>
          <w:tcPr>
            <w:tcW w:w="3571" w:type="dxa"/>
            <w:noWrap/>
            <w:hideMark/>
          </w:tcPr>
          <w:p w14:paraId="3264812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中国</w:t>
            </w:r>
          </w:p>
        </w:tc>
        <w:tc>
          <w:tcPr>
            <w:tcW w:w="3904" w:type="dxa"/>
            <w:noWrap/>
            <w:hideMark/>
          </w:tcPr>
          <w:p w14:paraId="54BBA70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6</w:t>
            </w:r>
            <w:r w:rsidRPr="000C0842">
              <w:rPr>
                <w:sz w:val="20"/>
                <w:szCs w:val="20"/>
                <w:lang w:eastAsia="zh-CN"/>
              </w:rPr>
              <w:t>日</w:t>
            </w:r>
          </w:p>
        </w:tc>
      </w:tr>
      <w:tr w:rsidR="000C0842" w:rsidRPr="000C0842" w14:paraId="099AB6D4" w14:textId="77777777" w:rsidTr="00D35C99">
        <w:tc>
          <w:tcPr>
            <w:tcW w:w="650" w:type="dxa"/>
            <w:noWrap/>
            <w:vAlign w:val="bottom"/>
            <w:hideMark/>
          </w:tcPr>
          <w:p w14:paraId="5875165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22</w:t>
            </w:r>
          </w:p>
        </w:tc>
        <w:tc>
          <w:tcPr>
            <w:tcW w:w="3571" w:type="dxa"/>
            <w:noWrap/>
            <w:hideMark/>
          </w:tcPr>
          <w:p w14:paraId="1EE727B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哥伦比亚</w:t>
            </w:r>
          </w:p>
        </w:tc>
        <w:tc>
          <w:tcPr>
            <w:tcW w:w="3904" w:type="dxa"/>
            <w:noWrap/>
            <w:hideMark/>
          </w:tcPr>
          <w:p w14:paraId="24EBEAC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39CDBD43" w14:textId="77777777" w:rsidTr="00D35C99">
        <w:tc>
          <w:tcPr>
            <w:tcW w:w="650" w:type="dxa"/>
            <w:noWrap/>
            <w:vAlign w:val="bottom"/>
            <w:hideMark/>
          </w:tcPr>
          <w:p w14:paraId="0F64910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23</w:t>
            </w:r>
          </w:p>
        </w:tc>
        <w:tc>
          <w:tcPr>
            <w:tcW w:w="3571" w:type="dxa"/>
            <w:noWrap/>
            <w:hideMark/>
          </w:tcPr>
          <w:p w14:paraId="201C5AE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科摩罗</w:t>
            </w:r>
          </w:p>
        </w:tc>
        <w:tc>
          <w:tcPr>
            <w:tcW w:w="3904" w:type="dxa"/>
            <w:noWrap/>
            <w:hideMark/>
          </w:tcPr>
          <w:p w14:paraId="7AD789C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3075688F" w14:textId="77777777" w:rsidTr="00D35C99">
        <w:tc>
          <w:tcPr>
            <w:tcW w:w="650" w:type="dxa"/>
            <w:noWrap/>
            <w:vAlign w:val="bottom"/>
          </w:tcPr>
          <w:p w14:paraId="24E273B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24</w:t>
            </w:r>
          </w:p>
        </w:tc>
        <w:tc>
          <w:tcPr>
            <w:tcW w:w="3571" w:type="dxa"/>
            <w:noWrap/>
          </w:tcPr>
          <w:p w14:paraId="1E7D9B5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库克群岛</w:t>
            </w:r>
          </w:p>
        </w:tc>
        <w:tc>
          <w:tcPr>
            <w:tcW w:w="3904" w:type="dxa"/>
            <w:noWrap/>
          </w:tcPr>
          <w:p w14:paraId="53BDB92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0E454A54" w14:textId="77777777" w:rsidTr="00D35C99">
        <w:tc>
          <w:tcPr>
            <w:tcW w:w="650" w:type="dxa"/>
            <w:noWrap/>
            <w:vAlign w:val="bottom"/>
            <w:hideMark/>
          </w:tcPr>
          <w:p w14:paraId="233909CC"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25</w:t>
            </w:r>
          </w:p>
        </w:tc>
        <w:tc>
          <w:tcPr>
            <w:tcW w:w="3571" w:type="dxa"/>
            <w:noWrap/>
            <w:hideMark/>
          </w:tcPr>
          <w:p w14:paraId="5E39946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哥斯达黎加</w:t>
            </w:r>
          </w:p>
        </w:tc>
        <w:tc>
          <w:tcPr>
            <w:tcW w:w="3904" w:type="dxa"/>
            <w:noWrap/>
            <w:hideMark/>
          </w:tcPr>
          <w:p w14:paraId="61FEFD3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2397C521" w14:textId="77777777" w:rsidTr="00D35C99">
        <w:tc>
          <w:tcPr>
            <w:tcW w:w="650" w:type="dxa"/>
            <w:noWrap/>
            <w:vAlign w:val="bottom"/>
          </w:tcPr>
          <w:p w14:paraId="13412B1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26</w:t>
            </w:r>
          </w:p>
        </w:tc>
        <w:tc>
          <w:tcPr>
            <w:tcW w:w="3571" w:type="dxa"/>
            <w:noWrap/>
          </w:tcPr>
          <w:p w14:paraId="461F027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科特迪瓦</w:t>
            </w:r>
          </w:p>
        </w:tc>
        <w:tc>
          <w:tcPr>
            <w:tcW w:w="3904" w:type="dxa"/>
            <w:noWrap/>
          </w:tcPr>
          <w:p w14:paraId="2EAFA69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3320102A" w14:textId="77777777" w:rsidTr="00D35C99">
        <w:tc>
          <w:tcPr>
            <w:tcW w:w="650" w:type="dxa"/>
            <w:noWrap/>
            <w:vAlign w:val="bottom"/>
            <w:hideMark/>
          </w:tcPr>
          <w:p w14:paraId="107252A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27</w:t>
            </w:r>
          </w:p>
        </w:tc>
        <w:tc>
          <w:tcPr>
            <w:tcW w:w="3571" w:type="dxa"/>
            <w:noWrap/>
            <w:hideMark/>
          </w:tcPr>
          <w:p w14:paraId="0CD9144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克罗地亚</w:t>
            </w:r>
          </w:p>
        </w:tc>
        <w:tc>
          <w:tcPr>
            <w:tcW w:w="3904" w:type="dxa"/>
            <w:noWrap/>
            <w:hideMark/>
          </w:tcPr>
          <w:p w14:paraId="7EEBB23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7BA918FE" w14:textId="77777777" w:rsidTr="00D35C99">
        <w:tc>
          <w:tcPr>
            <w:tcW w:w="650" w:type="dxa"/>
            <w:noWrap/>
            <w:vAlign w:val="bottom"/>
            <w:hideMark/>
          </w:tcPr>
          <w:p w14:paraId="7018F99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28</w:t>
            </w:r>
          </w:p>
        </w:tc>
        <w:tc>
          <w:tcPr>
            <w:tcW w:w="3571" w:type="dxa"/>
            <w:noWrap/>
            <w:hideMark/>
          </w:tcPr>
          <w:p w14:paraId="092C09F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古巴</w:t>
            </w:r>
          </w:p>
        </w:tc>
        <w:tc>
          <w:tcPr>
            <w:tcW w:w="3904" w:type="dxa"/>
            <w:noWrap/>
            <w:hideMark/>
          </w:tcPr>
          <w:p w14:paraId="7988441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25</w:t>
            </w:r>
            <w:r w:rsidRPr="000C0842">
              <w:rPr>
                <w:sz w:val="20"/>
                <w:szCs w:val="20"/>
                <w:lang w:eastAsia="zh-CN"/>
              </w:rPr>
              <w:t>日</w:t>
            </w:r>
          </w:p>
        </w:tc>
      </w:tr>
      <w:tr w:rsidR="000C0842" w:rsidRPr="000C0842" w14:paraId="6A7716F3" w14:textId="77777777" w:rsidTr="00D35C99">
        <w:tc>
          <w:tcPr>
            <w:tcW w:w="650" w:type="dxa"/>
            <w:noWrap/>
            <w:vAlign w:val="bottom"/>
          </w:tcPr>
          <w:p w14:paraId="2130C52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29</w:t>
            </w:r>
          </w:p>
        </w:tc>
        <w:tc>
          <w:tcPr>
            <w:tcW w:w="3571" w:type="dxa"/>
            <w:noWrap/>
          </w:tcPr>
          <w:p w14:paraId="670947C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塞浦路斯</w:t>
            </w:r>
          </w:p>
        </w:tc>
        <w:tc>
          <w:tcPr>
            <w:tcW w:w="3904" w:type="dxa"/>
            <w:noWrap/>
          </w:tcPr>
          <w:p w14:paraId="6A12B35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18</w:t>
            </w:r>
            <w:r w:rsidRPr="000C0842">
              <w:rPr>
                <w:sz w:val="20"/>
                <w:szCs w:val="20"/>
                <w:lang w:eastAsia="zh-CN"/>
              </w:rPr>
              <w:t>日</w:t>
            </w:r>
          </w:p>
        </w:tc>
      </w:tr>
      <w:tr w:rsidR="000C0842" w:rsidRPr="000C0842" w14:paraId="7C342CD2" w14:textId="77777777" w:rsidTr="00D35C99">
        <w:tc>
          <w:tcPr>
            <w:tcW w:w="650" w:type="dxa"/>
            <w:noWrap/>
            <w:vAlign w:val="bottom"/>
            <w:hideMark/>
          </w:tcPr>
          <w:p w14:paraId="75B85C4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30</w:t>
            </w:r>
          </w:p>
        </w:tc>
        <w:tc>
          <w:tcPr>
            <w:tcW w:w="3571" w:type="dxa"/>
            <w:noWrap/>
            <w:hideMark/>
          </w:tcPr>
          <w:p w14:paraId="3CB87D7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捷克</w:t>
            </w:r>
          </w:p>
        </w:tc>
        <w:tc>
          <w:tcPr>
            <w:tcW w:w="3904" w:type="dxa"/>
            <w:noWrap/>
            <w:hideMark/>
          </w:tcPr>
          <w:p w14:paraId="0CB0F85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468326C6" w14:textId="77777777" w:rsidTr="00D35C99">
        <w:tc>
          <w:tcPr>
            <w:tcW w:w="650" w:type="dxa"/>
            <w:noWrap/>
            <w:vAlign w:val="bottom"/>
            <w:hideMark/>
          </w:tcPr>
          <w:p w14:paraId="78A860D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31</w:t>
            </w:r>
          </w:p>
        </w:tc>
        <w:tc>
          <w:tcPr>
            <w:tcW w:w="3571" w:type="dxa"/>
            <w:noWrap/>
            <w:hideMark/>
          </w:tcPr>
          <w:p w14:paraId="6E98B96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刚果民主共和国</w:t>
            </w:r>
          </w:p>
        </w:tc>
        <w:tc>
          <w:tcPr>
            <w:tcW w:w="3904" w:type="dxa"/>
            <w:noWrap/>
            <w:hideMark/>
          </w:tcPr>
          <w:p w14:paraId="740D8A6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2411CE86" w14:textId="77777777" w:rsidTr="00D35C99">
        <w:tc>
          <w:tcPr>
            <w:tcW w:w="650" w:type="dxa"/>
            <w:noWrap/>
            <w:vAlign w:val="bottom"/>
            <w:hideMark/>
          </w:tcPr>
          <w:p w14:paraId="30734AE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32</w:t>
            </w:r>
          </w:p>
        </w:tc>
        <w:tc>
          <w:tcPr>
            <w:tcW w:w="3571" w:type="dxa"/>
            <w:noWrap/>
            <w:hideMark/>
          </w:tcPr>
          <w:p w14:paraId="520E4D7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吉布提</w:t>
            </w:r>
          </w:p>
        </w:tc>
        <w:tc>
          <w:tcPr>
            <w:tcW w:w="3904" w:type="dxa"/>
            <w:noWrap/>
            <w:hideMark/>
          </w:tcPr>
          <w:p w14:paraId="09BFF47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408622B7" w14:textId="77777777" w:rsidTr="00D35C99">
        <w:tc>
          <w:tcPr>
            <w:tcW w:w="650" w:type="dxa"/>
            <w:noWrap/>
            <w:vAlign w:val="bottom"/>
            <w:hideMark/>
          </w:tcPr>
          <w:p w14:paraId="5A2CAFF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33</w:t>
            </w:r>
          </w:p>
        </w:tc>
        <w:tc>
          <w:tcPr>
            <w:tcW w:w="3571" w:type="dxa"/>
            <w:noWrap/>
            <w:hideMark/>
          </w:tcPr>
          <w:p w14:paraId="7F68576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多米尼加共和国</w:t>
            </w:r>
          </w:p>
        </w:tc>
        <w:tc>
          <w:tcPr>
            <w:tcW w:w="3904" w:type="dxa"/>
            <w:noWrap/>
            <w:hideMark/>
          </w:tcPr>
          <w:p w14:paraId="60EEB44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20</w:t>
            </w:r>
            <w:r w:rsidRPr="000C0842">
              <w:rPr>
                <w:sz w:val="20"/>
                <w:szCs w:val="20"/>
                <w:lang w:eastAsia="zh-CN"/>
              </w:rPr>
              <w:t>日</w:t>
            </w:r>
          </w:p>
        </w:tc>
      </w:tr>
      <w:tr w:rsidR="000C0842" w:rsidRPr="000C0842" w14:paraId="4F9DF9A0" w14:textId="77777777" w:rsidTr="00D35C99">
        <w:tc>
          <w:tcPr>
            <w:tcW w:w="650" w:type="dxa"/>
            <w:noWrap/>
            <w:vAlign w:val="bottom"/>
            <w:hideMark/>
          </w:tcPr>
          <w:p w14:paraId="74EE9F0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0"/>
                <w:szCs w:val="20"/>
                <w:lang w:eastAsia="zh-CN"/>
              </w:rPr>
              <w:t>34</w:t>
            </w:r>
          </w:p>
        </w:tc>
        <w:tc>
          <w:tcPr>
            <w:tcW w:w="3571" w:type="dxa"/>
            <w:noWrap/>
            <w:hideMark/>
          </w:tcPr>
          <w:p w14:paraId="01585DA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厄瓜多尔</w:t>
            </w:r>
          </w:p>
        </w:tc>
        <w:tc>
          <w:tcPr>
            <w:tcW w:w="3904" w:type="dxa"/>
            <w:noWrap/>
            <w:hideMark/>
          </w:tcPr>
          <w:p w14:paraId="360DEF3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24F7383E" w14:textId="77777777" w:rsidTr="00D35C99">
        <w:tc>
          <w:tcPr>
            <w:tcW w:w="650" w:type="dxa"/>
            <w:noWrap/>
            <w:vAlign w:val="bottom"/>
          </w:tcPr>
          <w:p w14:paraId="7A7E57B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35</w:t>
            </w:r>
          </w:p>
        </w:tc>
        <w:tc>
          <w:tcPr>
            <w:tcW w:w="3571" w:type="dxa"/>
            <w:noWrap/>
          </w:tcPr>
          <w:p w14:paraId="5BF843E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萨尔瓦多</w:t>
            </w:r>
          </w:p>
        </w:tc>
        <w:tc>
          <w:tcPr>
            <w:tcW w:w="3904" w:type="dxa"/>
            <w:noWrap/>
          </w:tcPr>
          <w:p w14:paraId="5E52AE5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74C6B76C" w14:textId="77777777" w:rsidTr="00D35C99">
        <w:tc>
          <w:tcPr>
            <w:tcW w:w="650" w:type="dxa"/>
            <w:noWrap/>
            <w:vAlign w:val="bottom"/>
            <w:hideMark/>
          </w:tcPr>
          <w:p w14:paraId="3B3566E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36</w:t>
            </w:r>
          </w:p>
        </w:tc>
        <w:tc>
          <w:tcPr>
            <w:tcW w:w="3571" w:type="dxa"/>
            <w:noWrap/>
            <w:hideMark/>
          </w:tcPr>
          <w:p w14:paraId="0ABAB27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赤道几内亚</w:t>
            </w:r>
          </w:p>
        </w:tc>
        <w:tc>
          <w:tcPr>
            <w:tcW w:w="3904" w:type="dxa"/>
            <w:noWrap/>
            <w:hideMark/>
          </w:tcPr>
          <w:p w14:paraId="375C8E2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13</w:t>
            </w:r>
            <w:r w:rsidRPr="000C0842">
              <w:rPr>
                <w:sz w:val="20"/>
                <w:szCs w:val="20"/>
                <w:lang w:eastAsia="zh-CN"/>
              </w:rPr>
              <w:t>日</w:t>
            </w:r>
          </w:p>
        </w:tc>
      </w:tr>
      <w:tr w:rsidR="000C0842" w:rsidRPr="000C0842" w14:paraId="5CF74DEB" w14:textId="77777777" w:rsidTr="00D35C99">
        <w:tc>
          <w:tcPr>
            <w:tcW w:w="650" w:type="dxa"/>
            <w:noWrap/>
            <w:vAlign w:val="bottom"/>
          </w:tcPr>
          <w:p w14:paraId="0677A61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37</w:t>
            </w:r>
          </w:p>
        </w:tc>
        <w:tc>
          <w:tcPr>
            <w:tcW w:w="3571" w:type="dxa"/>
            <w:noWrap/>
          </w:tcPr>
          <w:p w14:paraId="372BA3F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厄立特里亚</w:t>
            </w:r>
          </w:p>
        </w:tc>
        <w:tc>
          <w:tcPr>
            <w:tcW w:w="3904" w:type="dxa"/>
            <w:noWrap/>
          </w:tcPr>
          <w:p w14:paraId="203CF10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70E14B35" w14:textId="77777777" w:rsidTr="00D35C99">
        <w:tc>
          <w:tcPr>
            <w:tcW w:w="650" w:type="dxa"/>
            <w:noWrap/>
            <w:vAlign w:val="bottom"/>
            <w:hideMark/>
          </w:tcPr>
          <w:p w14:paraId="167508F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38</w:t>
            </w:r>
          </w:p>
        </w:tc>
        <w:tc>
          <w:tcPr>
            <w:tcW w:w="3571" w:type="dxa"/>
            <w:noWrap/>
            <w:hideMark/>
          </w:tcPr>
          <w:p w14:paraId="22E4AD7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斯威士兰</w:t>
            </w:r>
          </w:p>
        </w:tc>
        <w:tc>
          <w:tcPr>
            <w:tcW w:w="3904" w:type="dxa"/>
            <w:noWrap/>
            <w:hideMark/>
          </w:tcPr>
          <w:p w14:paraId="39E0672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71330612" w14:textId="77777777" w:rsidTr="00D35C99">
        <w:tc>
          <w:tcPr>
            <w:tcW w:w="650" w:type="dxa"/>
            <w:noWrap/>
            <w:vAlign w:val="bottom"/>
            <w:hideMark/>
          </w:tcPr>
          <w:p w14:paraId="0E0F118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39</w:t>
            </w:r>
          </w:p>
        </w:tc>
        <w:tc>
          <w:tcPr>
            <w:tcW w:w="3571" w:type="dxa"/>
            <w:noWrap/>
            <w:hideMark/>
          </w:tcPr>
          <w:p w14:paraId="731F9FB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埃塞俄比亚</w:t>
            </w:r>
          </w:p>
        </w:tc>
        <w:tc>
          <w:tcPr>
            <w:tcW w:w="3904" w:type="dxa"/>
            <w:noWrap/>
            <w:hideMark/>
          </w:tcPr>
          <w:p w14:paraId="1F3FE4A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5</w:t>
            </w:r>
            <w:r w:rsidRPr="000C0842">
              <w:rPr>
                <w:sz w:val="20"/>
                <w:szCs w:val="20"/>
                <w:lang w:eastAsia="zh-CN"/>
              </w:rPr>
              <w:t>日</w:t>
            </w:r>
          </w:p>
        </w:tc>
      </w:tr>
      <w:tr w:rsidR="000C0842" w:rsidRPr="000C0842" w14:paraId="70514B96" w14:textId="77777777" w:rsidTr="00D35C99">
        <w:tc>
          <w:tcPr>
            <w:tcW w:w="650" w:type="dxa"/>
            <w:noWrap/>
            <w:vAlign w:val="bottom"/>
            <w:hideMark/>
          </w:tcPr>
          <w:p w14:paraId="4D7CDDF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40</w:t>
            </w:r>
          </w:p>
        </w:tc>
        <w:tc>
          <w:tcPr>
            <w:tcW w:w="3571" w:type="dxa"/>
            <w:noWrap/>
            <w:hideMark/>
          </w:tcPr>
          <w:p w14:paraId="4A5C4FA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欧洲联盟</w:t>
            </w:r>
          </w:p>
        </w:tc>
        <w:tc>
          <w:tcPr>
            <w:tcW w:w="3904" w:type="dxa"/>
            <w:noWrap/>
            <w:hideMark/>
          </w:tcPr>
          <w:p w14:paraId="5267B9D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w:t>
            </w:r>
            <w:r w:rsidRPr="000C0842">
              <w:rPr>
                <w:rFonts w:hint="eastAsia"/>
                <w:sz w:val="20"/>
                <w:szCs w:val="20"/>
                <w:lang w:eastAsia="zh-CN"/>
              </w:rPr>
              <w:t>4</w:t>
            </w:r>
            <w:r w:rsidRPr="000C0842">
              <w:rPr>
                <w:sz w:val="20"/>
                <w:szCs w:val="20"/>
                <w:lang w:eastAsia="zh-CN"/>
              </w:rPr>
              <w:t>年</w:t>
            </w:r>
            <w:r w:rsidRPr="000C0842">
              <w:rPr>
                <w:rFonts w:hint="eastAsia"/>
                <w:sz w:val="20"/>
                <w:szCs w:val="20"/>
                <w:lang w:eastAsia="zh-CN"/>
              </w:rPr>
              <w:t>8</w:t>
            </w:r>
            <w:r w:rsidRPr="000C0842">
              <w:rPr>
                <w:sz w:val="20"/>
                <w:szCs w:val="20"/>
                <w:lang w:eastAsia="zh-CN"/>
              </w:rPr>
              <w:t>月</w:t>
            </w:r>
            <w:r w:rsidRPr="000C0842">
              <w:rPr>
                <w:rFonts w:hint="eastAsia"/>
                <w:sz w:val="20"/>
                <w:szCs w:val="20"/>
                <w:lang w:eastAsia="zh-CN"/>
              </w:rPr>
              <w:t>1</w:t>
            </w:r>
            <w:r w:rsidRPr="000C0842">
              <w:rPr>
                <w:sz w:val="20"/>
                <w:szCs w:val="20"/>
                <w:lang w:eastAsia="zh-CN"/>
              </w:rPr>
              <w:t>日</w:t>
            </w:r>
          </w:p>
        </w:tc>
      </w:tr>
      <w:tr w:rsidR="000C0842" w:rsidRPr="000C0842" w14:paraId="2871A105" w14:textId="77777777" w:rsidTr="00D35C99">
        <w:tc>
          <w:tcPr>
            <w:tcW w:w="650" w:type="dxa"/>
            <w:noWrap/>
            <w:vAlign w:val="bottom"/>
            <w:hideMark/>
          </w:tcPr>
          <w:p w14:paraId="79CDBB9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41</w:t>
            </w:r>
          </w:p>
        </w:tc>
        <w:tc>
          <w:tcPr>
            <w:tcW w:w="3571" w:type="dxa"/>
            <w:noWrap/>
            <w:hideMark/>
          </w:tcPr>
          <w:p w14:paraId="64A1901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斐济</w:t>
            </w:r>
          </w:p>
        </w:tc>
        <w:tc>
          <w:tcPr>
            <w:tcW w:w="3904" w:type="dxa"/>
            <w:noWrap/>
            <w:hideMark/>
          </w:tcPr>
          <w:p w14:paraId="25221AF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8</w:t>
            </w:r>
            <w:r w:rsidRPr="000C0842">
              <w:rPr>
                <w:sz w:val="20"/>
                <w:szCs w:val="20"/>
                <w:lang w:eastAsia="zh-CN"/>
              </w:rPr>
              <w:t>日</w:t>
            </w:r>
          </w:p>
        </w:tc>
      </w:tr>
      <w:tr w:rsidR="000C0842" w:rsidRPr="000C0842" w14:paraId="4C0C7CFE" w14:textId="77777777" w:rsidTr="00D35C99">
        <w:tc>
          <w:tcPr>
            <w:tcW w:w="650" w:type="dxa"/>
            <w:noWrap/>
            <w:vAlign w:val="bottom"/>
            <w:hideMark/>
          </w:tcPr>
          <w:p w14:paraId="2A3AF92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42</w:t>
            </w:r>
          </w:p>
        </w:tc>
        <w:tc>
          <w:tcPr>
            <w:tcW w:w="3571" w:type="dxa"/>
            <w:noWrap/>
            <w:hideMark/>
          </w:tcPr>
          <w:p w14:paraId="33746FA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芬兰</w:t>
            </w:r>
          </w:p>
        </w:tc>
        <w:tc>
          <w:tcPr>
            <w:tcW w:w="3904" w:type="dxa"/>
            <w:noWrap/>
            <w:hideMark/>
          </w:tcPr>
          <w:p w14:paraId="14EC65D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19</w:t>
            </w:r>
            <w:r w:rsidRPr="000C0842">
              <w:rPr>
                <w:sz w:val="20"/>
                <w:szCs w:val="20"/>
                <w:lang w:eastAsia="zh-CN"/>
              </w:rPr>
              <w:t>日</w:t>
            </w:r>
          </w:p>
        </w:tc>
      </w:tr>
      <w:tr w:rsidR="000C0842" w:rsidRPr="000C0842" w14:paraId="42A6BD8F" w14:textId="77777777" w:rsidTr="00D35C99">
        <w:tc>
          <w:tcPr>
            <w:tcW w:w="650" w:type="dxa"/>
            <w:noWrap/>
            <w:vAlign w:val="bottom"/>
            <w:hideMark/>
          </w:tcPr>
          <w:p w14:paraId="1623EE7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43</w:t>
            </w:r>
          </w:p>
        </w:tc>
        <w:tc>
          <w:tcPr>
            <w:tcW w:w="3571" w:type="dxa"/>
            <w:noWrap/>
            <w:hideMark/>
          </w:tcPr>
          <w:p w14:paraId="7B80556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法国</w:t>
            </w:r>
          </w:p>
        </w:tc>
        <w:tc>
          <w:tcPr>
            <w:tcW w:w="3904" w:type="dxa"/>
            <w:noWrap/>
            <w:hideMark/>
          </w:tcPr>
          <w:p w14:paraId="055901C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15B84200" w14:textId="77777777" w:rsidTr="00D35C99">
        <w:tc>
          <w:tcPr>
            <w:tcW w:w="650" w:type="dxa"/>
            <w:noWrap/>
            <w:vAlign w:val="bottom"/>
            <w:hideMark/>
          </w:tcPr>
          <w:p w14:paraId="11C2F79C"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44</w:t>
            </w:r>
          </w:p>
        </w:tc>
        <w:tc>
          <w:tcPr>
            <w:tcW w:w="3571" w:type="dxa"/>
            <w:noWrap/>
            <w:hideMark/>
          </w:tcPr>
          <w:p w14:paraId="7FA1DB4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加蓬</w:t>
            </w:r>
          </w:p>
        </w:tc>
        <w:tc>
          <w:tcPr>
            <w:tcW w:w="3904" w:type="dxa"/>
            <w:noWrap/>
            <w:hideMark/>
          </w:tcPr>
          <w:p w14:paraId="7F66618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9</w:t>
            </w:r>
            <w:r w:rsidRPr="000C0842">
              <w:rPr>
                <w:sz w:val="20"/>
                <w:szCs w:val="20"/>
                <w:lang w:eastAsia="zh-CN"/>
              </w:rPr>
              <w:t>日</w:t>
            </w:r>
          </w:p>
        </w:tc>
      </w:tr>
      <w:tr w:rsidR="000C0842" w:rsidRPr="000C0842" w14:paraId="681B0C2E" w14:textId="77777777" w:rsidTr="00D35C99">
        <w:tc>
          <w:tcPr>
            <w:tcW w:w="650" w:type="dxa"/>
            <w:noWrap/>
            <w:vAlign w:val="bottom"/>
            <w:hideMark/>
          </w:tcPr>
          <w:p w14:paraId="58C8B844"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45</w:t>
            </w:r>
          </w:p>
        </w:tc>
        <w:tc>
          <w:tcPr>
            <w:tcW w:w="3571" w:type="dxa"/>
            <w:noWrap/>
            <w:hideMark/>
          </w:tcPr>
          <w:p w14:paraId="2751E05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加纳</w:t>
            </w:r>
          </w:p>
        </w:tc>
        <w:tc>
          <w:tcPr>
            <w:tcW w:w="3904" w:type="dxa"/>
            <w:noWrap/>
            <w:hideMark/>
          </w:tcPr>
          <w:p w14:paraId="0B1963E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0FC61316" w14:textId="77777777" w:rsidTr="00D35C99">
        <w:tc>
          <w:tcPr>
            <w:tcW w:w="650" w:type="dxa"/>
            <w:noWrap/>
            <w:vAlign w:val="bottom"/>
            <w:hideMark/>
          </w:tcPr>
          <w:p w14:paraId="70AF2A6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46</w:t>
            </w:r>
          </w:p>
        </w:tc>
        <w:tc>
          <w:tcPr>
            <w:tcW w:w="3571" w:type="dxa"/>
            <w:noWrap/>
            <w:hideMark/>
          </w:tcPr>
          <w:p w14:paraId="0AFBC97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危地马拉</w:t>
            </w:r>
          </w:p>
        </w:tc>
        <w:tc>
          <w:tcPr>
            <w:tcW w:w="3904" w:type="dxa"/>
            <w:noWrap/>
            <w:hideMark/>
          </w:tcPr>
          <w:p w14:paraId="786D2F8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13</w:t>
            </w:r>
            <w:r w:rsidRPr="000C0842">
              <w:rPr>
                <w:sz w:val="20"/>
                <w:szCs w:val="20"/>
                <w:lang w:eastAsia="zh-CN"/>
              </w:rPr>
              <w:t>日</w:t>
            </w:r>
          </w:p>
        </w:tc>
      </w:tr>
      <w:tr w:rsidR="000C0842" w:rsidRPr="000C0842" w14:paraId="3D5F37E4" w14:textId="77777777" w:rsidTr="00D35C99">
        <w:tc>
          <w:tcPr>
            <w:tcW w:w="650" w:type="dxa"/>
            <w:noWrap/>
            <w:vAlign w:val="bottom"/>
            <w:hideMark/>
          </w:tcPr>
          <w:p w14:paraId="3CD6E4F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47</w:t>
            </w:r>
          </w:p>
        </w:tc>
        <w:tc>
          <w:tcPr>
            <w:tcW w:w="3571" w:type="dxa"/>
            <w:noWrap/>
            <w:hideMark/>
          </w:tcPr>
          <w:p w14:paraId="1B1ADDD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几内亚</w:t>
            </w:r>
          </w:p>
        </w:tc>
        <w:tc>
          <w:tcPr>
            <w:tcW w:w="3904" w:type="dxa"/>
            <w:noWrap/>
            <w:hideMark/>
          </w:tcPr>
          <w:p w14:paraId="70BDD34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8</w:t>
            </w:r>
            <w:r w:rsidRPr="000C0842">
              <w:rPr>
                <w:sz w:val="20"/>
                <w:szCs w:val="20"/>
                <w:lang w:eastAsia="zh-CN"/>
              </w:rPr>
              <w:t>日</w:t>
            </w:r>
          </w:p>
        </w:tc>
      </w:tr>
      <w:tr w:rsidR="000C0842" w:rsidRPr="000C0842" w14:paraId="3F769ADD" w14:textId="77777777" w:rsidTr="00D35C99">
        <w:tc>
          <w:tcPr>
            <w:tcW w:w="650" w:type="dxa"/>
            <w:noWrap/>
            <w:vAlign w:val="bottom"/>
            <w:hideMark/>
          </w:tcPr>
          <w:p w14:paraId="08EFEB4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48</w:t>
            </w:r>
          </w:p>
        </w:tc>
        <w:tc>
          <w:tcPr>
            <w:tcW w:w="3571" w:type="dxa"/>
            <w:noWrap/>
            <w:hideMark/>
          </w:tcPr>
          <w:p w14:paraId="772237F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洪都拉斯</w:t>
            </w:r>
          </w:p>
        </w:tc>
        <w:tc>
          <w:tcPr>
            <w:tcW w:w="3904" w:type="dxa"/>
            <w:noWrap/>
            <w:hideMark/>
          </w:tcPr>
          <w:p w14:paraId="76CA06D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274B57EC" w14:textId="77777777" w:rsidTr="00D35C99">
        <w:tc>
          <w:tcPr>
            <w:tcW w:w="650" w:type="dxa"/>
            <w:noWrap/>
            <w:vAlign w:val="bottom"/>
            <w:hideMark/>
          </w:tcPr>
          <w:p w14:paraId="441FE1E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49</w:t>
            </w:r>
          </w:p>
        </w:tc>
        <w:tc>
          <w:tcPr>
            <w:tcW w:w="3571" w:type="dxa"/>
            <w:noWrap/>
            <w:hideMark/>
          </w:tcPr>
          <w:p w14:paraId="16296D8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匈牙利</w:t>
            </w:r>
          </w:p>
        </w:tc>
        <w:tc>
          <w:tcPr>
            <w:tcW w:w="3904" w:type="dxa"/>
            <w:noWrap/>
            <w:hideMark/>
          </w:tcPr>
          <w:p w14:paraId="4E5B800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3911F47D" w14:textId="77777777" w:rsidTr="00D35C99">
        <w:tc>
          <w:tcPr>
            <w:tcW w:w="650" w:type="dxa"/>
            <w:noWrap/>
            <w:vAlign w:val="bottom"/>
            <w:hideMark/>
          </w:tcPr>
          <w:p w14:paraId="1078C83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50</w:t>
            </w:r>
          </w:p>
        </w:tc>
        <w:tc>
          <w:tcPr>
            <w:tcW w:w="3571" w:type="dxa"/>
            <w:noWrap/>
            <w:hideMark/>
          </w:tcPr>
          <w:p w14:paraId="04A674E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印度</w:t>
            </w:r>
          </w:p>
        </w:tc>
        <w:tc>
          <w:tcPr>
            <w:tcW w:w="3904" w:type="dxa"/>
            <w:noWrap/>
            <w:hideMark/>
          </w:tcPr>
          <w:p w14:paraId="00E0546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10</w:t>
            </w:r>
            <w:r w:rsidRPr="000C0842">
              <w:rPr>
                <w:sz w:val="20"/>
                <w:szCs w:val="20"/>
                <w:lang w:eastAsia="zh-CN"/>
              </w:rPr>
              <w:t>日</w:t>
            </w:r>
          </w:p>
        </w:tc>
      </w:tr>
      <w:tr w:rsidR="000C0842" w:rsidRPr="000C0842" w14:paraId="42F6EDD0" w14:textId="77777777" w:rsidTr="00D35C99">
        <w:tc>
          <w:tcPr>
            <w:tcW w:w="650" w:type="dxa"/>
            <w:noWrap/>
            <w:vAlign w:val="bottom"/>
            <w:hideMark/>
          </w:tcPr>
          <w:p w14:paraId="00DD44C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51</w:t>
            </w:r>
          </w:p>
        </w:tc>
        <w:tc>
          <w:tcPr>
            <w:tcW w:w="3571" w:type="dxa"/>
            <w:noWrap/>
            <w:hideMark/>
          </w:tcPr>
          <w:p w14:paraId="43A4D57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印度尼西亚</w:t>
            </w:r>
          </w:p>
        </w:tc>
        <w:tc>
          <w:tcPr>
            <w:tcW w:w="3904" w:type="dxa"/>
            <w:noWrap/>
            <w:hideMark/>
          </w:tcPr>
          <w:p w14:paraId="259E3F8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12</w:t>
            </w:r>
            <w:r w:rsidRPr="000C0842">
              <w:rPr>
                <w:sz w:val="20"/>
                <w:szCs w:val="20"/>
                <w:lang w:eastAsia="zh-CN"/>
              </w:rPr>
              <w:t>日</w:t>
            </w:r>
          </w:p>
        </w:tc>
      </w:tr>
      <w:tr w:rsidR="000C0842" w:rsidRPr="000C0842" w14:paraId="3DB634E7" w14:textId="77777777" w:rsidTr="00D35C99">
        <w:tc>
          <w:tcPr>
            <w:tcW w:w="650" w:type="dxa"/>
            <w:noWrap/>
            <w:vAlign w:val="bottom"/>
          </w:tcPr>
          <w:p w14:paraId="160E1603"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52</w:t>
            </w:r>
          </w:p>
        </w:tc>
        <w:tc>
          <w:tcPr>
            <w:tcW w:w="3571" w:type="dxa"/>
            <w:noWrap/>
          </w:tcPr>
          <w:p w14:paraId="356F359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伊拉克</w:t>
            </w:r>
          </w:p>
        </w:tc>
        <w:tc>
          <w:tcPr>
            <w:tcW w:w="3904" w:type="dxa"/>
            <w:noWrap/>
          </w:tcPr>
          <w:p w14:paraId="066722F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r w:rsidR="000C0842" w:rsidRPr="000C0842" w14:paraId="601ECD77" w14:textId="77777777" w:rsidTr="00D35C99">
        <w:tc>
          <w:tcPr>
            <w:tcW w:w="650" w:type="dxa"/>
            <w:noWrap/>
            <w:vAlign w:val="bottom"/>
            <w:hideMark/>
          </w:tcPr>
          <w:p w14:paraId="1218587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53</w:t>
            </w:r>
          </w:p>
        </w:tc>
        <w:tc>
          <w:tcPr>
            <w:tcW w:w="3571" w:type="dxa"/>
            <w:noWrap/>
            <w:hideMark/>
          </w:tcPr>
          <w:p w14:paraId="4B0678D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爱尔兰</w:t>
            </w:r>
          </w:p>
        </w:tc>
        <w:tc>
          <w:tcPr>
            <w:tcW w:w="3904" w:type="dxa"/>
            <w:noWrap/>
            <w:hideMark/>
          </w:tcPr>
          <w:p w14:paraId="52569F0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20</w:t>
            </w:r>
            <w:r w:rsidRPr="000C0842">
              <w:rPr>
                <w:sz w:val="20"/>
                <w:szCs w:val="20"/>
                <w:lang w:eastAsia="zh-CN"/>
              </w:rPr>
              <w:t>日</w:t>
            </w:r>
          </w:p>
        </w:tc>
      </w:tr>
      <w:tr w:rsidR="000C0842" w:rsidRPr="000C0842" w14:paraId="668ED9B4" w14:textId="77777777" w:rsidTr="00D35C99">
        <w:tc>
          <w:tcPr>
            <w:tcW w:w="650" w:type="dxa"/>
            <w:noWrap/>
            <w:vAlign w:val="bottom"/>
          </w:tcPr>
          <w:p w14:paraId="18BD41D9"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54</w:t>
            </w:r>
          </w:p>
        </w:tc>
        <w:tc>
          <w:tcPr>
            <w:tcW w:w="3571" w:type="dxa"/>
            <w:noWrap/>
          </w:tcPr>
          <w:p w14:paraId="2F93DFB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伊朗伊斯兰共和国</w:t>
            </w:r>
          </w:p>
        </w:tc>
        <w:tc>
          <w:tcPr>
            <w:tcW w:w="3904" w:type="dxa"/>
            <w:noWrap/>
          </w:tcPr>
          <w:p w14:paraId="56FA976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29</w:t>
            </w:r>
            <w:r w:rsidRPr="000C0842">
              <w:rPr>
                <w:rFonts w:hint="eastAsia"/>
                <w:sz w:val="20"/>
                <w:szCs w:val="20"/>
                <w:lang w:eastAsia="zh-CN"/>
              </w:rPr>
              <w:t>日</w:t>
            </w:r>
          </w:p>
        </w:tc>
      </w:tr>
      <w:tr w:rsidR="000C0842" w:rsidRPr="000C0842" w14:paraId="08E2626F" w14:textId="77777777" w:rsidTr="00D35C99">
        <w:tc>
          <w:tcPr>
            <w:tcW w:w="650" w:type="dxa"/>
            <w:noWrap/>
            <w:vAlign w:val="bottom"/>
            <w:hideMark/>
          </w:tcPr>
          <w:p w14:paraId="1142AA5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55</w:t>
            </w:r>
          </w:p>
        </w:tc>
        <w:tc>
          <w:tcPr>
            <w:tcW w:w="3571" w:type="dxa"/>
            <w:noWrap/>
            <w:hideMark/>
          </w:tcPr>
          <w:p w14:paraId="458D2D7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以色列</w:t>
            </w:r>
          </w:p>
        </w:tc>
        <w:tc>
          <w:tcPr>
            <w:tcW w:w="3904" w:type="dxa"/>
            <w:noWrap/>
            <w:hideMark/>
          </w:tcPr>
          <w:p w14:paraId="5416C72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9</w:t>
            </w:r>
            <w:r w:rsidRPr="000C0842">
              <w:rPr>
                <w:sz w:val="20"/>
                <w:szCs w:val="20"/>
                <w:lang w:eastAsia="zh-CN"/>
              </w:rPr>
              <w:t>日</w:t>
            </w:r>
          </w:p>
        </w:tc>
      </w:tr>
      <w:tr w:rsidR="000C0842" w:rsidRPr="000C0842" w14:paraId="1C8ED8D6" w14:textId="77777777" w:rsidTr="00D35C99">
        <w:tc>
          <w:tcPr>
            <w:tcW w:w="650" w:type="dxa"/>
            <w:noWrap/>
            <w:vAlign w:val="bottom"/>
            <w:hideMark/>
          </w:tcPr>
          <w:p w14:paraId="6FE6F23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56</w:t>
            </w:r>
          </w:p>
        </w:tc>
        <w:tc>
          <w:tcPr>
            <w:tcW w:w="3571" w:type="dxa"/>
            <w:noWrap/>
            <w:hideMark/>
          </w:tcPr>
          <w:p w14:paraId="09E6590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日本</w:t>
            </w:r>
          </w:p>
        </w:tc>
        <w:tc>
          <w:tcPr>
            <w:tcW w:w="3904" w:type="dxa"/>
            <w:noWrap/>
            <w:hideMark/>
          </w:tcPr>
          <w:p w14:paraId="64F16A7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7A243F92" w14:textId="77777777" w:rsidTr="00D35C99">
        <w:tc>
          <w:tcPr>
            <w:tcW w:w="650" w:type="dxa"/>
            <w:noWrap/>
            <w:vAlign w:val="bottom"/>
            <w:hideMark/>
          </w:tcPr>
          <w:p w14:paraId="2F214FA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57</w:t>
            </w:r>
          </w:p>
        </w:tc>
        <w:tc>
          <w:tcPr>
            <w:tcW w:w="3571" w:type="dxa"/>
            <w:noWrap/>
            <w:hideMark/>
          </w:tcPr>
          <w:p w14:paraId="2BF97F3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约旦</w:t>
            </w:r>
          </w:p>
        </w:tc>
        <w:tc>
          <w:tcPr>
            <w:tcW w:w="3904" w:type="dxa"/>
            <w:noWrap/>
            <w:hideMark/>
          </w:tcPr>
          <w:p w14:paraId="1D91B6F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3</w:t>
            </w:r>
            <w:r w:rsidRPr="000C0842">
              <w:rPr>
                <w:sz w:val="20"/>
                <w:szCs w:val="20"/>
                <w:lang w:eastAsia="zh-CN"/>
              </w:rPr>
              <w:t>日</w:t>
            </w:r>
          </w:p>
        </w:tc>
      </w:tr>
      <w:tr w:rsidR="000C0842" w:rsidRPr="000C0842" w14:paraId="1CE50FFA" w14:textId="77777777" w:rsidTr="00D35C99">
        <w:tc>
          <w:tcPr>
            <w:tcW w:w="650" w:type="dxa"/>
            <w:noWrap/>
            <w:vAlign w:val="bottom"/>
          </w:tcPr>
          <w:p w14:paraId="5BA7C630"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58</w:t>
            </w:r>
          </w:p>
        </w:tc>
        <w:tc>
          <w:tcPr>
            <w:tcW w:w="3571" w:type="dxa"/>
            <w:noWrap/>
          </w:tcPr>
          <w:p w14:paraId="4E6B0CE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哈萨克斯坦</w:t>
            </w:r>
          </w:p>
        </w:tc>
        <w:tc>
          <w:tcPr>
            <w:tcW w:w="3904" w:type="dxa"/>
            <w:noWrap/>
          </w:tcPr>
          <w:p w14:paraId="7BDB089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24</w:t>
            </w:r>
            <w:r w:rsidRPr="000C0842">
              <w:rPr>
                <w:rFonts w:hint="eastAsia"/>
                <w:sz w:val="20"/>
                <w:szCs w:val="20"/>
                <w:lang w:eastAsia="zh-CN"/>
              </w:rPr>
              <w:t>日</w:t>
            </w:r>
          </w:p>
        </w:tc>
      </w:tr>
      <w:tr w:rsidR="000C0842" w:rsidRPr="000C0842" w14:paraId="4F3B08ED" w14:textId="77777777" w:rsidTr="00D35C99">
        <w:tc>
          <w:tcPr>
            <w:tcW w:w="650" w:type="dxa"/>
            <w:noWrap/>
            <w:vAlign w:val="bottom"/>
            <w:hideMark/>
          </w:tcPr>
          <w:p w14:paraId="1AA2A73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59</w:t>
            </w:r>
          </w:p>
        </w:tc>
        <w:tc>
          <w:tcPr>
            <w:tcW w:w="3571" w:type="dxa"/>
            <w:noWrap/>
            <w:hideMark/>
          </w:tcPr>
          <w:p w14:paraId="6CF4AD3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肯尼亚</w:t>
            </w:r>
          </w:p>
        </w:tc>
        <w:tc>
          <w:tcPr>
            <w:tcW w:w="3904" w:type="dxa"/>
            <w:noWrap/>
            <w:hideMark/>
          </w:tcPr>
          <w:p w14:paraId="01A5C31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2C9CD322" w14:textId="77777777" w:rsidTr="00D35C99">
        <w:tc>
          <w:tcPr>
            <w:tcW w:w="650" w:type="dxa"/>
            <w:noWrap/>
            <w:vAlign w:val="bottom"/>
            <w:hideMark/>
          </w:tcPr>
          <w:p w14:paraId="26D23A5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60</w:t>
            </w:r>
          </w:p>
        </w:tc>
        <w:tc>
          <w:tcPr>
            <w:tcW w:w="3571" w:type="dxa"/>
            <w:noWrap/>
            <w:hideMark/>
          </w:tcPr>
          <w:p w14:paraId="6A14595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老挝人民民主共和国</w:t>
            </w:r>
          </w:p>
        </w:tc>
        <w:tc>
          <w:tcPr>
            <w:tcW w:w="3904" w:type="dxa"/>
            <w:noWrap/>
            <w:hideMark/>
          </w:tcPr>
          <w:p w14:paraId="29B5557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9</w:t>
            </w:r>
            <w:r w:rsidRPr="000C0842">
              <w:rPr>
                <w:sz w:val="20"/>
                <w:szCs w:val="20"/>
                <w:lang w:eastAsia="zh-CN"/>
              </w:rPr>
              <w:t>日</w:t>
            </w:r>
          </w:p>
        </w:tc>
      </w:tr>
      <w:tr w:rsidR="000C0842" w:rsidRPr="000C0842" w14:paraId="71AE1EA4" w14:textId="77777777" w:rsidTr="00D35C99">
        <w:tc>
          <w:tcPr>
            <w:tcW w:w="650" w:type="dxa"/>
            <w:noWrap/>
            <w:vAlign w:val="bottom"/>
            <w:hideMark/>
          </w:tcPr>
          <w:p w14:paraId="175C807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61</w:t>
            </w:r>
          </w:p>
        </w:tc>
        <w:tc>
          <w:tcPr>
            <w:tcW w:w="3571" w:type="dxa"/>
            <w:noWrap/>
            <w:hideMark/>
          </w:tcPr>
          <w:p w14:paraId="52B9292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黎巴嫩</w:t>
            </w:r>
          </w:p>
        </w:tc>
        <w:tc>
          <w:tcPr>
            <w:tcW w:w="3904" w:type="dxa"/>
            <w:noWrap/>
            <w:hideMark/>
          </w:tcPr>
          <w:p w14:paraId="246C816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75605EB0" w14:textId="77777777" w:rsidTr="00D35C99">
        <w:tc>
          <w:tcPr>
            <w:tcW w:w="650" w:type="dxa"/>
            <w:noWrap/>
            <w:vAlign w:val="bottom"/>
            <w:hideMark/>
          </w:tcPr>
          <w:p w14:paraId="3FDA76E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62</w:t>
            </w:r>
          </w:p>
        </w:tc>
        <w:tc>
          <w:tcPr>
            <w:tcW w:w="3571" w:type="dxa"/>
            <w:noWrap/>
            <w:hideMark/>
          </w:tcPr>
          <w:p w14:paraId="3B11845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莱索托</w:t>
            </w:r>
          </w:p>
        </w:tc>
        <w:tc>
          <w:tcPr>
            <w:tcW w:w="3904" w:type="dxa"/>
            <w:noWrap/>
            <w:hideMark/>
          </w:tcPr>
          <w:p w14:paraId="2A0DFAE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9</w:t>
            </w:r>
            <w:r w:rsidRPr="000C0842">
              <w:rPr>
                <w:sz w:val="20"/>
                <w:szCs w:val="20"/>
                <w:lang w:eastAsia="zh-CN"/>
              </w:rPr>
              <w:t>月</w:t>
            </w:r>
            <w:r w:rsidRPr="000C0842">
              <w:rPr>
                <w:sz w:val="20"/>
                <w:szCs w:val="20"/>
                <w:lang w:eastAsia="zh-CN"/>
              </w:rPr>
              <w:t>27</w:t>
            </w:r>
            <w:r w:rsidRPr="000C0842">
              <w:rPr>
                <w:sz w:val="20"/>
                <w:szCs w:val="20"/>
                <w:lang w:eastAsia="zh-CN"/>
              </w:rPr>
              <w:t>日</w:t>
            </w:r>
          </w:p>
        </w:tc>
      </w:tr>
      <w:tr w:rsidR="000C0842" w:rsidRPr="000C0842" w14:paraId="21BECBAC" w14:textId="77777777" w:rsidTr="00D35C99">
        <w:tc>
          <w:tcPr>
            <w:tcW w:w="650" w:type="dxa"/>
            <w:noWrap/>
            <w:vAlign w:val="bottom"/>
            <w:hideMark/>
          </w:tcPr>
          <w:p w14:paraId="0D1D8B2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63</w:t>
            </w:r>
          </w:p>
        </w:tc>
        <w:tc>
          <w:tcPr>
            <w:tcW w:w="3571" w:type="dxa"/>
            <w:noWrap/>
            <w:hideMark/>
          </w:tcPr>
          <w:p w14:paraId="41707C3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利比里亚</w:t>
            </w:r>
          </w:p>
        </w:tc>
        <w:tc>
          <w:tcPr>
            <w:tcW w:w="3904" w:type="dxa"/>
            <w:noWrap/>
            <w:hideMark/>
          </w:tcPr>
          <w:p w14:paraId="135AE98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3</w:t>
            </w:r>
            <w:r w:rsidRPr="000C0842">
              <w:rPr>
                <w:sz w:val="20"/>
                <w:szCs w:val="20"/>
                <w:lang w:eastAsia="zh-CN"/>
              </w:rPr>
              <w:t>日</w:t>
            </w:r>
          </w:p>
        </w:tc>
      </w:tr>
      <w:tr w:rsidR="000C0842" w:rsidRPr="000C0842" w14:paraId="7B050C84" w14:textId="77777777" w:rsidTr="00D35C99">
        <w:tc>
          <w:tcPr>
            <w:tcW w:w="650" w:type="dxa"/>
            <w:noWrap/>
            <w:vAlign w:val="bottom"/>
          </w:tcPr>
          <w:p w14:paraId="2F984C3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64</w:t>
            </w:r>
          </w:p>
        </w:tc>
        <w:tc>
          <w:tcPr>
            <w:tcW w:w="3571" w:type="dxa"/>
            <w:noWrap/>
          </w:tcPr>
          <w:p w14:paraId="00B0C5C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利比亚</w:t>
            </w:r>
          </w:p>
        </w:tc>
        <w:tc>
          <w:tcPr>
            <w:tcW w:w="3904" w:type="dxa"/>
            <w:noWrap/>
          </w:tcPr>
          <w:p w14:paraId="18A131E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6822A8E4" w14:textId="77777777" w:rsidTr="00D35C99">
        <w:tc>
          <w:tcPr>
            <w:tcW w:w="650" w:type="dxa"/>
            <w:noWrap/>
            <w:vAlign w:val="bottom"/>
            <w:hideMark/>
          </w:tcPr>
          <w:p w14:paraId="0BBE0AD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6</w:t>
            </w:r>
            <w:r w:rsidRPr="000C0842">
              <w:rPr>
                <w:rFonts w:asciiTheme="majorBidi" w:hAnsiTheme="majorBidi" w:cstheme="majorBidi" w:hint="eastAsia"/>
                <w:sz w:val="21"/>
                <w:szCs w:val="21"/>
                <w:lang w:eastAsia="zh-CN"/>
              </w:rPr>
              <w:t>5</w:t>
            </w:r>
          </w:p>
        </w:tc>
        <w:tc>
          <w:tcPr>
            <w:tcW w:w="3571" w:type="dxa"/>
            <w:noWrap/>
            <w:hideMark/>
          </w:tcPr>
          <w:p w14:paraId="14B3BFE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卢森堡</w:t>
            </w:r>
          </w:p>
        </w:tc>
        <w:tc>
          <w:tcPr>
            <w:tcW w:w="3904" w:type="dxa"/>
            <w:noWrap/>
            <w:hideMark/>
          </w:tcPr>
          <w:p w14:paraId="4ED54E1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30</w:t>
            </w:r>
            <w:r w:rsidRPr="000C0842">
              <w:rPr>
                <w:sz w:val="20"/>
                <w:szCs w:val="20"/>
                <w:lang w:eastAsia="zh-CN"/>
              </w:rPr>
              <w:t>日</w:t>
            </w:r>
          </w:p>
        </w:tc>
      </w:tr>
      <w:tr w:rsidR="000C0842" w:rsidRPr="000C0842" w14:paraId="02116339" w14:textId="77777777" w:rsidTr="00D35C99">
        <w:tc>
          <w:tcPr>
            <w:tcW w:w="650" w:type="dxa"/>
            <w:noWrap/>
            <w:vAlign w:val="bottom"/>
            <w:hideMark/>
          </w:tcPr>
          <w:p w14:paraId="14B6246C"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6</w:t>
            </w:r>
            <w:r w:rsidRPr="000C0842">
              <w:rPr>
                <w:rFonts w:asciiTheme="majorBidi" w:hAnsiTheme="majorBidi" w:cstheme="majorBidi" w:hint="eastAsia"/>
                <w:sz w:val="21"/>
                <w:szCs w:val="21"/>
                <w:lang w:eastAsia="zh-CN"/>
              </w:rPr>
              <w:t>6</w:t>
            </w:r>
          </w:p>
        </w:tc>
        <w:tc>
          <w:tcPr>
            <w:tcW w:w="3571" w:type="dxa"/>
            <w:noWrap/>
            <w:hideMark/>
          </w:tcPr>
          <w:p w14:paraId="2AA004C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马达加斯加</w:t>
            </w:r>
          </w:p>
        </w:tc>
        <w:tc>
          <w:tcPr>
            <w:tcW w:w="3904" w:type="dxa"/>
            <w:noWrap/>
            <w:hideMark/>
          </w:tcPr>
          <w:p w14:paraId="57E4DD7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29</w:t>
            </w:r>
            <w:r w:rsidRPr="000C0842">
              <w:rPr>
                <w:sz w:val="20"/>
                <w:szCs w:val="20"/>
                <w:lang w:eastAsia="zh-CN"/>
              </w:rPr>
              <w:t>日</w:t>
            </w:r>
          </w:p>
        </w:tc>
      </w:tr>
      <w:tr w:rsidR="000C0842" w:rsidRPr="000C0842" w14:paraId="6923955A" w14:textId="77777777" w:rsidTr="00D35C99">
        <w:tc>
          <w:tcPr>
            <w:tcW w:w="650" w:type="dxa"/>
            <w:noWrap/>
            <w:vAlign w:val="bottom"/>
            <w:hideMark/>
          </w:tcPr>
          <w:p w14:paraId="7018234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6</w:t>
            </w:r>
            <w:r w:rsidRPr="000C0842">
              <w:rPr>
                <w:rFonts w:asciiTheme="majorBidi" w:hAnsiTheme="majorBidi" w:cstheme="majorBidi" w:hint="eastAsia"/>
                <w:sz w:val="21"/>
                <w:szCs w:val="21"/>
                <w:lang w:eastAsia="zh-CN"/>
              </w:rPr>
              <w:t>7</w:t>
            </w:r>
          </w:p>
        </w:tc>
        <w:tc>
          <w:tcPr>
            <w:tcW w:w="3571" w:type="dxa"/>
            <w:noWrap/>
            <w:hideMark/>
          </w:tcPr>
          <w:p w14:paraId="690E1CA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马拉维</w:t>
            </w:r>
          </w:p>
        </w:tc>
        <w:tc>
          <w:tcPr>
            <w:tcW w:w="3904" w:type="dxa"/>
            <w:noWrap/>
            <w:hideMark/>
          </w:tcPr>
          <w:p w14:paraId="5D6E3CE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61D5D6EA" w14:textId="77777777" w:rsidTr="00D35C99">
        <w:tc>
          <w:tcPr>
            <w:tcW w:w="650" w:type="dxa"/>
            <w:noWrap/>
            <w:vAlign w:val="bottom"/>
            <w:hideMark/>
          </w:tcPr>
          <w:p w14:paraId="15258E5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sz w:val="21"/>
                <w:szCs w:val="21"/>
                <w:lang w:eastAsia="zh-CN"/>
              </w:rPr>
              <w:t>6</w:t>
            </w:r>
            <w:r w:rsidRPr="000C0842">
              <w:rPr>
                <w:rFonts w:asciiTheme="majorBidi" w:hAnsiTheme="majorBidi" w:cstheme="majorBidi" w:hint="eastAsia"/>
                <w:sz w:val="21"/>
                <w:szCs w:val="21"/>
                <w:lang w:eastAsia="zh-CN"/>
              </w:rPr>
              <w:t>8</w:t>
            </w:r>
          </w:p>
        </w:tc>
        <w:tc>
          <w:tcPr>
            <w:tcW w:w="3571" w:type="dxa"/>
            <w:noWrap/>
            <w:hideMark/>
          </w:tcPr>
          <w:p w14:paraId="5CD16D2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马来西亚</w:t>
            </w:r>
          </w:p>
        </w:tc>
        <w:tc>
          <w:tcPr>
            <w:tcW w:w="3904" w:type="dxa"/>
            <w:noWrap/>
            <w:hideMark/>
          </w:tcPr>
          <w:p w14:paraId="69544B3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7E039B57" w14:textId="77777777" w:rsidTr="00D35C99">
        <w:tc>
          <w:tcPr>
            <w:tcW w:w="650" w:type="dxa"/>
            <w:noWrap/>
            <w:vAlign w:val="bottom"/>
          </w:tcPr>
          <w:p w14:paraId="63A2C4B8"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sz w:val="21"/>
                <w:szCs w:val="21"/>
                <w:lang w:eastAsia="zh-CN"/>
              </w:rPr>
              <w:t>6</w:t>
            </w:r>
            <w:r w:rsidRPr="000C0842">
              <w:rPr>
                <w:rFonts w:asciiTheme="majorBidi" w:hAnsiTheme="majorBidi" w:cstheme="majorBidi" w:hint="eastAsia"/>
                <w:sz w:val="21"/>
                <w:szCs w:val="21"/>
                <w:lang w:eastAsia="zh-CN"/>
              </w:rPr>
              <w:t>9</w:t>
            </w:r>
          </w:p>
        </w:tc>
        <w:tc>
          <w:tcPr>
            <w:tcW w:w="3571" w:type="dxa"/>
            <w:noWrap/>
          </w:tcPr>
          <w:p w14:paraId="7661AE6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马里</w:t>
            </w:r>
          </w:p>
        </w:tc>
        <w:tc>
          <w:tcPr>
            <w:tcW w:w="3904" w:type="dxa"/>
            <w:noWrap/>
          </w:tcPr>
          <w:p w14:paraId="1C6C339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7F4DFCD6" w14:textId="77777777" w:rsidTr="00D35C99">
        <w:tc>
          <w:tcPr>
            <w:tcW w:w="650" w:type="dxa"/>
            <w:noWrap/>
            <w:vAlign w:val="bottom"/>
            <w:hideMark/>
          </w:tcPr>
          <w:p w14:paraId="6B6B4BF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hint="eastAsia"/>
                <w:sz w:val="20"/>
                <w:szCs w:val="20"/>
                <w:lang w:eastAsia="zh-CN"/>
              </w:rPr>
              <w:t>70</w:t>
            </w:r>
          </w:p>
        </w:tc>
        <w:tc>
          <w:tcPr>
            <w:tcW w:w="3571" w:type="dxa"/>
            <w:noWrap/>
            <w:hideMark/>
          </w:tcPr>
          <w:p w14:paraId="0E4F44F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马耳他</w:t>
            </w:r>
          </w:p>
        </w:tc>
        <w:tc>
          <w:tcPr>
            <w:tcW w:w="3904" w:type="dxa"/>
            <w:noWrap/>
            <w:hideMark/>
          </w:tcPr>
          <w:p w14:paraId="12165F2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6BDD6233" w14:textId="77777777" w:rsidTr="00D35C99">
        <w:tc>
          <w:tcPr>
            <w:tcW w:w="650" w:type="dxa"/>
            <w:noWrap/>
            <w:vAlign w:val="bottom"/>
          </w:tcPr>
          <w:p w14:paraId="6DE9A67C"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71</w:t>
            </w:r>
          </w:p>
        </w:tc>
        <w:tc>
          <w:tcPr>
            <w:tcW w:w="3571" w:type="dxa"/>
            <w:noWrap/>
          </w:tcPr>
          <w:p w14:paraId="37A4CFE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马绍尔群岛</w:t>
            </w:r>
          </w:p>
        </w:tc>
        <w:tc>
          <w:tcPr>
            <w:tcW w:w="3904" w:type="dxa"/>
            <w:noWrap/>
          </w:tcPr>
          <w:p w14:paraId="48C9415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22</w:t>
            </w:r>
            <w:r w:rsidRPr="000C0842">
              <w:rPr>
                <w:rFonts w:hint="eastAsia"/>
                <w:sz w:val="20"/>
                <w:szCs w:val="20"/>
                <w:lang w:eastAsia="zh-CN"/>
              </w:rPr>
              <w:t>日</w:t>
            </w:r>
          </w:p>
        </w:tc>
      </w:tr>
      <w:tr w:rsidR="000C0842" w:rsidRPr="000C0842" w14:paraId="4F943E71" w14:textId="77777777" w:rsidTr="00D35C99">
        <w:tc>
          <w:tcPr>
            <w:tcW w:w="650" w:type="dxa"/>
            <w:noWrap/>
            <w:vAlign w:val="bottom"/>
            <w:hideMark/>
          </w:tcPr>
          <w:p w14:paraId="270D416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72</w:t>
            </w:r>
          </w:p>
        </w:tc>
        <w:tc>
          <w:tcPr>
            <w:tcW w:w="3571" w:type="dxa"/>
            <w:noWrap/>
            <w:hideMark/>
          </w:tcPr>
          <w:p w14:paraId="4293D90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墨西哥</w:t>
            </w:r>
          </w:p>
        </w:tc>
        <w:tc>
          <w:tcPr>
            <w:tcW w:w="3904" w:type="dxa"/>
            <w:noWrap/>
            <w:hideMark/>
          </w:tcPr>
          <w:p w14:paraId="3CF9A0A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31</w:t>
            </w:r>
            <w:r w:rsidRPr="000C0842">
              <w:rPr>
                <w:sz w:val="20"/>
                <w:szCs w:val="20"/>
                <w:lang w:eastAsia="zh-CN"/>
              </w:rPr>
              <w:t>日</w:t>
            </w:r>
          </w:p>
        </w:tc>
      </w:tr>
      <w:tr w:rsidR="000C0842" w:rsidRPr="000C0842" w14:paraId="7E2B1921" w14:textId="77777777" w:rsidTr="00D35C99">
        <w:tc>
          <w:tcPr>
            <w:tcW w:w="650" w:type="dxa"/>
            <w:noWrap/>
            <w:vAlign w:val="bottom"/>
            <w:hideMark/>
          </w:tcPr>
          <w:p w14:paraId="052C5BD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73</w:t>
            </w:r>
          </w:p>
        </w:tc>
        <w:tc>
          <w:tcPr>
            <w:tcW w:w="3571" w:type="dxa"/>
            <w:noWrap/>
            <w:hideMark/>
          </w:tcPr>
          <w:p w14:paraId="11CC9C2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蒙古</w:t>
            </w:r>
          </w:p>
        </w:tc>
        <w:tc>
          <w:tcPr>
            <w:tcW w:w="3904" w:type="dxa"/>
            <w:noWrap/>
            <w:hideMark/>
          </w:tcPr>
          <w:p w14:paraId="718E60F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4</w:t>
            </w:r>
            <w:r w:rsidRPr="000C0842">
              <w:rPr>
                <w:sz w:val="20"/>
                <w:szCs w:val="20"/>
                <w:lang w:eastAsia="zh-CN"/>
              </w:rPr>
              <w:t>日</w:t>
            </w:r>
          </w:p>
        </w:tc>
      </w:tr>
      <w:tr w:rsidR="000C0842" w:rsidRPr="000C0842" w14:paraId="141597E7" w14:textId="77777777" w:rsidTr="00D35C99">
        <w:tc>
          <w:tcPr>
            <w:tcW w:w="650" w:type="dxa"/>
            <w:noWrap/>
            <w:vAlign w:val="bottom"/>
            <w:hideMark/>
          </w:tcPr>
          <w:p w14:paraId="566FFDC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74</w:t>
            </w:r>
          </w:p>
        </w:tc>
        <w:tc>
          <w:tcPr>
            <w:tcW w:w="3571" w:type="dxa"/>
            <w:noWrap/>
            <w:hideMark/>
          </w:tcPr>
          <w:p w14:paraId="216684D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摩洛哥</w:t>
            </w:r>
          </w:p>
        </w:tc>
        <w:tc>
          <w:tcPr>
            <w:tcW w:w="3904" w:type="dxa"/>
            <w:noWrap/>
            <w:vAlign w:val="bottom"/>
            <w:hideMark/>
          </w:tcPr>
          <w:p w14:paraId="750320F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2</w:t>
            </w:r>
            <w:r w:rsidRPr="000C0842">
              <w:rPr>
                <w:rFonts w:hint="eastAsia"/>
                <w:sz w:val="20"/>
                <w:szCs w:val="20"/>
                <w:lang w:eastAsia="zh-CN"/>
              </w:rPr>
              <w:t>日</w:t>
            </w:r>
          </w:p>
        </w:tc>
      </w:tr>
      <w:tr w:rsidR="000C0842" w:rsidRPr="000C0842" w14:paraId="0182D77A" w14:textId="77777777" w:rsidTr="00D35C99">
        <w:tc>
          <w:tcPr>
            <w:tcW w:w="650" w:type="dxa"/>
            <w:noWrap/>
            <w:vAlign w:val="bottom"/>
            <w:hideMark/>
          </w:tcPr>
          <w:p w14:paraId="1B71347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75</w:t>
            </w:r>
          </w:p>
        </w:tc>
        <w:tc>
          <w:tcPr>
            <w:tcW w:w="3571" w:type="dxa"/>
            <w:noWrap/>
            <w:hideMark/>
          </w:tcPr>
          <w:p w14:paraId="60F76265"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莫桑比克</w:t>
            </w:r>
          </w:p>
        </w:tc>
        <w:tc>
          <w:tcPr>
            <w:tcW w:w="3904" w:type="dxa"/>
            <w:noWrap/>
            <w:vAlign w:val="bottom"/>
            <w:hideMark/>
          </w:tcPr>
          <w:p w14:paraId="0D86A55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12C22C93" w14:textId="77777777" w:rsidTr="00D35C99">
        <w:tc>
          <w:tcPr>
            <w:tcW w:w="650" w:type="dxa"/>
            <w:noWrap/>
            <w:vAlign w:val="bottom"/>
          </w:tcPr>
          <w:p w14:paraId="13910C02"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76</w:t>
            </w:r>
          </w:p>
        </w:tc>
        <w:tc>
          <w:tcPr>
            <w:tcW w:w="3571" w:type="dxa"/>
            <w:noWrap/>
          </w:tcPr>
          <w:p w14:paraId="3E86746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纳米比亚</w:t>
            </w:r>
          </w:p>
        </w:tc>
        <w:tc>
          <w:tcPr>
            <w:tcW w:w="3904" w:type="dxa"/>
            <w:noWrap/>
            <w:vAlign w:val="bottom"/>
          </w:tcPr>
          <w:p w14:paraId="472C8A4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25</w:t>
            </w:r>
            <w:r w:rsidRPr="000C0842">
              <w:rPr>
                <w:rFonts w:hint="eastAsia"/>
                <w:sz w:val="20"/>
                <w:szCs w:val="20"/>
                <w:lang w:eastAsia="zh-CN"/>
              </w:rPr>
              <w:t>日</w:t>
            </w:r>
          </w:p>
        </w:tc>
      </w:tr>
      <w:tr w:rsidR="000C0842" w:rsidRPr="000C0842" w14:paraId="00B0450A" w14:textId="77777777" w:rsidTr="00D35C99">
        <w:tc>
          <w:tcPr>
            <w:tcW w:w="650" w:type="dxa"/>
            <w:noWrap/>
            <w:vAlign w:val="bottom"/>
            <w:hideMark/>
          </w:tcPr>
          <w:p w14:paraId="3E34C84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77</w:t>
            </w:r>
          </w:p>
        </w:tc>
        <w:tc>
          <w:tcPr>
            <w:tcW w:w="3571" w:type="dxa"/>
            <w:noWrap/>
            <w:hideMark/>
          </w:tcPr>
          <w:p w14:paraId="09F3896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尼泊尔</w:t>
            </w:r>
          </w:p>
        </w:tc>
        <w:tc>
          <w:tcPr>
            <w:tcW w:w="3904" w:type="dxa"/>
            <w:noWrap/>
            <w:vAlign w:val="bottom"/>
            <w:hideMark/>
          </w:tcPr>
          <w:p w14:paraId="5EEB372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1</w:t>
            </w:r>
            <w:r w:rsidRPr="000C0842">
              <w:rPr>
                <w:rFonts w:hint="eastAsia"/>
                <w:sz w:val="20"/>
                <w:szCs w:val="20"/>
                <w:lang w:eastAsia="zh-CN"/>
              </w:rPr>
              <w:t>日</w:t>
            </w:r>
          </w:p>
        </w:tc>
      </w:tr>
      <w:tr w:rsidR="000C0842" w:rsidRPr="000C0842" w14:paraId="3A20612B" w14:textId="77777777" w:rsidTr="00D35C99">
        <w:tc>
          <w:tcPr>
            <w:tcW w:w="650" w:type="dxa"/>
            <w:noWrap/>
            <w:vAlign w:val="bottom"/>
            <w:hideMark/>
          </w:tcPr>
          <w:p w14:paraId="0555510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78</w:t>
            </w:r>
          </w:p>
        </w:tc>
        <w:tc>
          <w:tcPr>
            <w:tcW w:w="3571" w:type="dxa"/>
            <w:noWrap/>
            <w:hideMark/>
          </w:tcPr>
          <w:p w14:paraId="3511219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新西兰</w:t>
            </w:r>
          </w:p>
        </w:tc>
        <w:tc>
          <w:tcPr>
            <w:tcW w:w="3904" w:type="dxa"/>
            <w:noWrap/>
            <w:vAlign w:val="bottom"/>
            <w:hideMark/>
          </w:tcPr>
          <w:p w14:paraId="6D42E38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7</w:t>
            </w:r>
            <w:r w:rsidRPr="000C0842">
              <w:rPr>
                <w:rFonts w:hint="eastAsia"/>
                <w:sz w:val="20"/>
                <w:szCs w:val="20"/>
                <w:lang w:eastAsia="zh-CN"/>
              </w:rPr>
              <w:t>日</w:t>
            </w:r>
          </w:p>
        </w:tc>
      </w:tr>
      <w:tr w:rsidR="000C0842" w:rsidRPr="000C0842" w14:paraId="57AE5027" w14:textId="77777777" w:rsidTr="00D35C99">
        <w:tc>
          <w:tcPr>
            <w:tcW w:w="650" w:type="dxa"/>
            <w:noWrap/>
            <w:vAlign w:val="bottom"/>
            <w:hideMark/>
          </w:tcPr>
          <w:p w14:paraId="073C6EB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79</w:t>
            </w:r>
          </w:p>
        </w:tc>
        <w:tc>
          <w:tcPr>
            <w:tcW w:w="3571" w:type="dxa"/>
            <w:noWrap/>
            <w:hideMark/>
          </w:tcPr>
          <w:p w14:paraId="346F150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尼日尔</w:t>
            </w:r>
          </w:p>
        </w:tc>
        <w:tc>
          <w:tcPr>
            <w:tcW w:w="3904" w:type="dxa"/>
            <w:noWrap/>
            <w:vAlign w:val="bottom"/>
            <w:hideMark/>
          </w:tcPr>
          <w:p w14:paraId="2486852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63F36B9C" w14:textId="77777777" w:rsidTr="00D35C99">
        <w:tc>
          <w:tcPr>
            <w:tcW w:w="650" w:type="dxa"/>
            <w:noWrap/>
            <w:vAlign w:val="bottom"/>
            <w:hideMark/>
          </w:tcPr>
          <w:p w14:paraId="5545CA1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80</w:t>
            </w:r>
          </w:p>
        </w:tc>
        <w:tc>
          <w:tcPr>
            <w:tcW w:w="3571" w:type="dxa"/>
            <w:noWrap/>
            <w:hideMark/>
          </w:tcPr>
          <w:p w14:paraId="71670A6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尼日利亚</w:t>
            </w:r>
          </w:p>
        </w:tc>
        <w:tc>
          <w:tcPr>
            <w:tcW w:w="3904" w:type="dxa"/>
            <w:noWrap/>
            <w:vAlign w:val="bottom"/>
            <w:hideMark/>
          </w:tcPr>
          <w:p w14:paraId="190806A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63C580A2" w14:textId="77777777" w:rsidTr="00D35C99">
        <w:tc>
          <w:tcPr>
            <w:tcW w:w="650" w:type="dxa"/>
            <w:noWrap/>
            <w:vAlign w:val="bottom"/>
          </w:tcPr>
          <w:p w14:paraId="0C743C0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81</w:t>
            </w:r>
          </w:p>
        </w:tc>
        <w:tc>
          <w:tcPr>
            <w:tcW w:w="3571" w:type="dxa"/>
            <w:noWrap/>
          </w:tcPr>
          <w:p w14:paraId="6230ACA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巴基斯坦</w:t>
            </w:r>
          </w:p>
        </w:tc>
        <w:tc>
          <w:tcPr>
            <w:tcW w:w="3904" w:type="dxa"/>
            <w:noWrap/>
            <w:vAlign w:val="bottom"/>
          </w:tcPr>
          <w:p w14:paraId="005BFB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15</w:t>
            </w:r>
            <w:r w:rsidRPr="000C0842">
              <w:rPr>
                <w:rFonts w:hint="eastAsia"/>
                <w:sz w:val="20"/>
                <w:szCs w:val="20"/>
                <w:lang w:eastAsia="zh-CN"/>
              </w:rPr>
              <w:t>日</w:t>
            </w:r>
          </w:p>
        </w:tc>
      </w:tr>
      <w:tr w:rsidR="000C0842" w:rsidRPr="000C0842" w14:paraId="4FDF82B6" w14:textId="77777777" w:rsidTr="00D35C99">
        <w:tc>
          <w:tcPr>
            <w:tcW w:w="650" w:type="dxa"/>
            <w:noWrap/>
            <w:vAlign w:val="bottom"/>
          </w:tcPr>
          <w:p w14:paraId="2AE4ACC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82</w:t>
            </w:r>
          </w:p>
        </w:tc>
        <w:tc>
          <w:tcPr>
            <w:tcW w:w="3571" w:type="dxa"/>
            <w:noWrap/>
          </w:tcPr>
          <w:p w14:paraId="21C4518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巴拿马</w:t>
            </w:r>
          </w:p>
        </w:tc>
        <w:tc>
          <w:tcPr>
            <w:tcW w:w="3904" w:type="dxa"/>
            <w:noWrap/>
            <w:vAlign w:val="bottom"/>
          </w:tcPr>
          <w:p w14:paraId="0378E46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2233D934" w14:textId="77777777" w:rsidTr="00D35C99">
        <w:tc>
          <w:tcPr>
            <w:tcW w:w="650" w:type="dxa"/>
            <w:noWrap/>
            <w:vAlign w:val="bottom"/>
          </w:tcPr>
          <w:p w14:paraId="4CA64F8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83</w:t>
            </w:r>
          </w:p>
        </w:tc>
        <w:tc>
          <w:tcPr>
            <w:tcW w:w="3571" w:type="dxa"/>
            <w:noWrap/>
          </w:tcPr>
          <w:p w14:paraId="23464FA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巴布亚新几内亚</w:t>
            </w:r>
          </w:p>
        </w:tc>
        <w:tc>
          <w:tcPr>
            <w:tcW w:w="3904" w:type="dxa"/>
            <w:noWrap/>
          </w:tcPr>
          <w:p w14:paraId="5B6A906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14</w:t>
            </w:r>
            <w:r w:rsidRPr="000C0842">
              <w:rPr>
                <w:sz w:val="20"/>
                <w:szCs w:val="20"/>
                <w:lang w:eastAsia="zh-CN"/>
              </w:rPr>
              <w:t>日</w:t>
            </w:r>
          </w:p>
        </w:tc>
      </w:tr>
      <w:tr w:rsidR="000C0842" w:rsidRPr="000C0842" w14:paraId="6F554531" w14:textId="77777777" w:rsidTr="00D35C99">
        <w:tc>
          <w:tcPr>
            <w:tcW w:w="650" w:type="dxa"/>
            <w:noWrap/>
            <w:vAlign w:val="bottom"/>
          </w:tcPr>
          <w:p w14:paraId="3A20626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84</w:t>
            </w:r>
          </w:p>
        </w:tc>
        <w:tc>
          <w:tcPr>
            <w:tcW w:w="3571" w:type="dxa"/>
            <w:noWrap/>
          </w:tcPr>
          <w:p w14:paraId="076CD4D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巴拉圭</w:t>
            </w:r>
          </w:p>
        </w:tc>
        <w:tc>
          <w:tcPr>
            <w:tcW w:w="3904" w:type="dxa"/>
            <w:noWrap/>
            <w:vAlign w:val="bottom"/>
          </w:tcPr>
          <w:p w14:paraId="752D8BB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363285C1" w14:textId="77777777" w:rsidTr="00D35C99">
        <w:tc>
          <w:tcPr>
            <w:tcW w:w="650" w:type="dxa"/>
            <w:noWrap/>
            <w:vAlign w:val="bottom"/>
          </w:tcPr>
          <w:p w14:paraId="354C49A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85</w:t>
            </w:r>
          </w:p>
        </w:tc>
        <w:tc>
          <w:tcPr>
            <w:tcW w:w="3571" w:type="dxa"/>
            <w:noWrap/>
          </w:tcPr>
          <w:p w14:paraId="4AB3932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秘鲁</w:t>
            </w:r>
          </w:p>
        </w:tc>
        <w:tc>
          <w:tcPr>
            <w:tcW w:w="3904" w:type="dxa"/>
            <w:noWrap/>
          </w:tcPr>
          <w:p w14:paraId="6621B53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18</w:t>
            </w:r>
            <w:r w:rsidRPr="000C0842">
              <w:rPr>
                <w:sz w:val="20"/>
                <w:szCs w:val="20"/>
                <w:lang w:eastAsia="zh-CN"/>
              </w:rPr>
              <w:t>日</w:t>
            </w:r>
          </w:p>
        </w:tc>
      </w:tr>
      <w:tr w:rsidR="000C0842" w:rsidRPr="000C0842" w14:paraId="62987FC9" w14:textId="77777777" w:rsidTr="00D35C99">
        <w:tc>
          <w:tcPr>
            <w:tcW w:w="650" w:type="dxa"/>
            <w:noWrap/>
            <w:vAlign w:val="bottom"/>
          </w:tcPr>
          <w:p w14:paraId="4B42177A"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86</w:t>
            </w:r>
          </w:p>
        </w:tc>
        <w:tc>
          <w:tcPr>
            <w:tcW w:w="3571" w:type="dxa"/>
            <w:noWrap/>
          </w:tcPr>
          <w:p w14:paraId="418B7F6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卡塔尔</w:t>
            </w:r>
          </w:p>
        </w:tc>
        <w:tc>
          <w:tcPr>
            <w:tcW w:w="3904" w:type="dxa"/>
            <w:noWrap/>
          </w:tcPr>
          <w:p w14:paraId="1FA39BB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23</w:t>
            </w:r>
            <w:r w:rsidRPr="000C0842">
              <w:rPr>
                <w:rFonts w:hint="eastAsia"/>
                <w:sz w:val="20"/>
                <w:szCs w:val="20"/>
                <w:lang w:eastAsia="zh-CN"/>
              </w:rPr>
              <w:t>日</w:t>
            </w:r>
          </w:p>
        </w:tc>
      </w:tr>
      <w:tr w:rsidR="000C0842" w:rsidRPr="000C0842" w14:paraId="06DF15E3" w14:textId="77777777" w:rsidTr="00D35C99">
        <w:tc>
          <w:tcPr>
            <w:tcW w:w="650" w:type="dxa"/>
            <w:noWrap/>
            <w:vAlign w:val="bottom"/>
          </w:tcPr>
          <w:p w14:paraId="0F6B1B7D"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87</w:t>
            </w:r>
          </w:p>
        </w:tc>
        <w:tc>
          <w:tcPr>
            <w:tcW w:w="3571" w:type="dxa"/>
            <w:noWrap/>
          </w:tcPr>
          <w:p w14:paraId="1B0A393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大韩民国</w:t>
            </w:r>
          </w:p>
        </w:tc>
        <w:tc>
          <w:tcPr>
            <w:tcW w:w="3904" w:type="dxa"/>
            <w:noWrap/>
            <w:vAlign w:val="bottom"/>
          </w:tcPr>
          <w:p w14:paraId="7242C72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1</w:t>
            </w:r>
            <w:r w:rsidRPr="000C0842">
              <w:rPr>
                <w:rFonts w:hint="eastAsia"/>
                <w:sz w:val="20"/>
                <w:szCs w:val="20"/>
                <w:lang w:eastAsia="zh-CN"/>
              </w:rPr>
              <w:t>日</w:t>
            </w:r>
          </w:p>
        </w:tc>
      </w:tr>
      <w:tr w:rsidR="000C0842" w:rsidRPr="000C0842" w14:paraId="61504A0A" w14:textId="77777777" w:rsidTr="00D35C99">
        <w:tc>
          <w:tcPr>
            <w:tcW w:w="650" w:type="dxa"/>
            <w:noWrap/>
            <w:vAlign w:val="bottom"/>
          </w:tcPr>
          <w:p w14:paraId="37575C8A"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88</w:t>
            </w:r>
          </w:p>
        </w:tc>
        <w:tc>
          <w:tcPr>
            <w:tcW w:w="3571" w:type="dxa"/>
            <w:noWrap/>
          </w:tcPr>
          <w:p w14:paraId="2D85E10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摩尔多瓦共和国</w:t>
            </w:r>
          </w:p>
        </w:tc>
        <w:tc>
          <w:tcPr>
            <w:tcW w:w="3904" w:type="dxa"/>
            <w:noWrap/>
            <w:vAlign w:val="bottom"/>
          </w:tcPr>
          <w:p w14:paraId="041629D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7</w:t>
            </w:r>
            <w:r w:rsidRPr="000C0842">
              <w:rPr>
                <w:rFonts w:hint="eastAsia"/>
                <w:sz w:val="20"/>
                <w:szCs w:val="20"/>
                <w:lang w:eastAsia="zh-CN"/>
              </w:rPr>
              <w:t>月</w:t>
            </w:r>
            <w:r w:rsidRPr="000C0842">
              <w:rPr>
                <w:rFonts w:hint="eastAsia"/>
                <w:sz w:val="20"/>
                <w:szCs w:val="20"/>
                <w:lang w:eastAsia="zh-CN"/>
              </w:rPr>
              <w:t>30</w:t>
            </w:r>
            <w:r w:rsidRPr="000C0842">
              <w:rPr>
                <w:rFonts w:hint="eastAsia"/>
                <w:sz w:val="20"/>
                <w:szCs w:val="20"/>
                <w:lang w:eastAsia="zh-CN"/>
              </w:rPr>
              <w:t>日</w:t>
            </w:r>
          </w:p>
        </w:tc>
      </w:tr>
      <w:tr w:rsidR="000C0842" w:rsidRPr="000C0842" w14:paraId="7CFD448E" w14:textId="77777777" w:rsidTr="00D35C99">
        <w:tc>
          <w:tcPr>
            <w:tcW w:w="650" w:type="dxa"/>
            <w:noWrap/>
            <w:vAlign w:val="bottom"/>
          </w:tcPr>
          <w:p w14:paraId="60354429"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89</w:t>
            </w:r>
          </w:p>
        </w:tc>
        <w:tc>
          <w:tcPr>
            <w:tcW w:w="3571" w:type="dxa"/>
            <w:noWrap/>
          </w:tcPr>
          <w:p w14:paraId="7684D3A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俄罗斯联邦</w:t>
            </w:r>
          </w:p>
        </w:tc>
        <w:tc>
          <w:tcPr>
            <w:tcW w:w="3904" w:type="dxa"/>
            <w:noWrap/>
            <w:vAlign w:val="bottom"/>
          </w:tcPr>
          <w:p w14:paraId="60B78F3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21</w:t>
            </w:r>
            <w:r w:rsidRPr="000C0842">
              <w:rPr>
                <w:rFonts w:hint="eastAsia"/>
                <w:sz w:val="20"/>
                <w:szCs w:val="20"/>
                <w:lang w:eastAsia="zh-CN"/>
              </w:rPr>
              <w:t>日</w:t>
            </w:r>
          </w:p>
        </w:tc>
      </w:tr>
      <w:tr w:rsidR="000C0842" w:rsidRPr="000C0842" w14:paraId="52E397C8" w14:textId="77777777" w:rsidTr="00D35C99">
        <w:tc>
          <w:tcPr>
            <w:tcW w:w="650" w:type="dxa"/>
            <w:noWrap/>
            <w:vAlign w:val="bottom"/>
          </w:tcPr>
          <w:p w14:paraId="1B3C022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90</w:t>
            </w:r>
          </w:p>
        </w:tc>
        <w:tc>
          <w:tcPr>
            <w:tcW w:w="3571" w:type="dxa"/>
            <w:noWrap/>
          </w:tcPr>
          <w:p w14:paraId="682B9B0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卢旺达</w:t>
            </w:r>
          </w:p>
        </w:tc>
        <w:tc>
          <w:tcPr>
            <w:tcW w:w="3904" w:type="dxa"/>
            <w:noWrap/>
            <w:vAlign w:val="bottom"/>
          </w:tcPr>
          <w:p w14:paraId="6BE8892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1</w:t>
            </w:r>
            <w:r w:rsidRPr="000C0842">
              <w:rPr>
                <w:rFonts w:hint="eastAsia"/>
                <w:sz w:val="20"/>
                <w:szCs w:val="20"/>
                <w:lang w:eastAsia="zh-CN"/>
              </w:rPr>
              <w:t>日</w:t>
            </w:r>
          </w:p>
        </w:tc>
      </w:tr>
      <w:tr w:rsidR="000C0842" w:rsidRPr="000C0842" w14:paraId="470FF403" w14:textId="77777777" w:rsidTr="00D35C99">
        <w:tc>
          <w:tcPr>
            <w:tcW w:w="650" w:type="dxa"/>
            <w:noWrap/>
            <w:vAlign w:val="bottom"/>
          </w:tcPr>
          <w:p w14:paraId="0042A70E"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91</w:t>
            </w:r>
          </w:p>
        </w:tc>
        <w:tc>
          <w:tcPr>
            <w:tcW w:w="3571" w:type="dxa"/>
            <w:noWrap/>
          </w:tcPr>
          <w:p w14:paraId="180F7DE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萨摩亚</w:t>
            </w:r>
          </w:p>
        </w:tc>
        <w:tc>
          <w:tcPr>
            <w:tcW w:w="3904" w:type="dxa"/>
            <w:noWrap/>
            <w:vAlign w:val="bottom"/>
          </w:tcPr>
          <w:p w14:paraId="255EF5F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31</w:t>
            </w:r>
            <w:r w:rsidRPr="000C0842">
              <w:rPr>
                <w:rFonts w:hint="eastAsia"/>
                <w:sz w:val="20"/>
                <w:szCs w:val="20"/>
                <w:lang w:eastAsia="zh-CN"/>
              </w:rPr>
              <w:t>日</w:t>
            </w:r>
          </w:p>
        </w:tc>
      </w:tr>
      <w:tr w:rsidR="000C0842" w:rsidRPr="000C0842" w14:paraId="29FAE77F" w14:textId="77777777" w:rsidTr="00D35C99">
        <w:tc>
          <w:tcPr>
            <w:tcW w:w="650" w:type="dxa"/>
            <w:noWrap/>
            <w:vAlign w:val="bottom"/>
          </w:tcPr>
          <w:p w14:paraId="4A10E1D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92</w:t>
            </w:r>
          </w:p>
        </w:tc>
        <w:tc>
          <w:tcPr>
            <w:tcW w:w="3571" w:type="dxa"/>
            <w:noWrap/>
          </w:tcPr>
          <w:p w14:paraId="04B5E62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沙特阿拉伯</w:t>
            </w:r>
          </w:p>
        </w:tc>
        <w:tc>
          <w:tcPr>
            <w:tcW w:w="3904" w:type="dxa"/>
            <w:noWrap/>
          </w:tcPr>
          <w:p w14:paraId="514A49B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4D5E9D63" w14:textId="77777777" w:rsidTr="00D35C99">
        <w:tc>
          <w:tcPr>
            <w:tcW w:w="650" w:type="dxa"/>
            <w:noWrap/>
            <w:vAlign w:val="bottom"/>
          </w:tcPr>
          <w:p w14:paraId="198FA9D6"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93</w:t>
            </w:r>
          </w:p>
        </w:tc>
        <w:tc>
          <w:tcPr>
            <w:tcW w:w="3571" w:type="dxa"/>
            <w:noWrap/>
          </w:tcPr>
          <w:p w14:paraId="3773412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塞内加尔</w:t>
            </w:r>
          </w:p>
        </w:tc>
        <w:tc>
          <w:tcPr>
            <w:tcW w:w="3904" w:type="dxa"/>
            <w:noWrap/>
            <w:vAlign w:val="bottom"/>
          </w:tcPr>
          <w:p w14:paraId="5B97107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rFonts w:hint="eastAsia"/>
                <w:sz w:val="20"/>
                <w:szCs w:val="20"/>
                <w:lang w:eastAsia="zh-CN"/>
              </w:rPr>
              <w:t>年</w:t>
            </w:r>
            <w:r w:rsidRPr="000C0842">
              <w:rPr>
                <w:rFonts w:hint="eastAsia"/>
                <w:sz w:val="20"/>
                <w:szCs w:val="20"/>
                <w:lang w:eastAsia="zh-CN"/>
              </w:rPr>
              <w:t>8</w:t>
            </w:r>
            <w:r w:rsidRPr="000C0842">
              <w:rPr>
                <w:rFonts w:hint="eastAsia"/>
                <w:sz w:val="20"/>
                <w:szCs w:val="20"/>
                <w:lang w:eastAsia="zh-CN"/>
              </w:rPr>
              <w:t>月</w:t>
            </w:r>
            <w:r w:rsidRPr="000C0842">
              <w:rPr>
                <w:rFonts w:hint="eastAsia"/>
                <w:sz w:val="20"/>
                <w:szCs w:val="20"/>
                <w:lang w:eastAsia="zh-CN"/>
              </w:rPr>
              <w:t>24</w:t>
            </w:r>
            <w:r w:rsidRPr="000C0842">
              <w:rPr>
                <w:rFonts w:hint="eastAsia"/>
                <w:sz w:val="20"/>
                <w:szCs w:val="20"/>
                <w:lang w:eastAsia="zh-CN"/>
              </w:rPr>
              <w:t>日</w:t>
            </w:r>
          </w:p>
        </w:tc>
      </w:tr>
      <w:tr w:rsidR="000C0842" w:rsidRPr="000C0842" w14:paraId="564556FA" w14:textId="77777777" w:rsidTr="00D35C99">
        <w:tc>
          <w:tcPr>
            <w:tcW w:w="650" w:type="dxa"/>
            <w:noWrap/>
            <w:vAlign w:val="bottom"/>
          </w:tcPr>
          <w:p w14:paraId="41C8ACB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94</w:t>
            </w:r>
          </w:p>
        </w:tc>
        <w:tc>
          <w:tcPr>
            <w:tcW w:w="3571" w:type="dxa"/>
            <w:noWrap/>
          </w:tcPr>
          <w:p w14:paraId="4A97BD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塞拉利昂</w:t>
            </w:r>
          </w:p>
        </w:tc>
        <w:tc>
          <w:tcPr>
            <w:tcW w:w="3904" w:type="dxa"/>
            <w:noWrap/>
          </w:tcPr>
          <w:p w14:paraId="3A47243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609327AF" w14:textId="77777777" w:rsidTr="00D35C99">
        <w:tc>
          <w:tcPr>
            <w:tcW w:w="650" w:type="dxa"/>
            <w:noWrap/>
            <w:vAlign w:val="bottom"/>
          </w:tcPr>
          <w:p w14:paraId="3D269E78"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95</w:t>
            </w:r>
          </w:p>
        </w:tc>
        <w:tc>
          <w:tcPr>
            <w:tcW w:w="3571" w:type="dxa"/>
            <w:noWrap/>
          </w:tcPr>
          <w:p w14:paraId="0D9A3FC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新加坡</w:t>
            </w:r>
          </w:p>
        </w:tc>
        <w:tc>
          <w:tcPr>
            <w:tcW w:w="3904" w:type="dxa"/>
            <w:noWrap/>
          </w:tcPr>
          <w:p w14:paraId="718D9B7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20</w:t>
            </w:r>
            <w:r w:rsidRPr="000C0842">
              <w:rPr>
                <w:rFonts w:hint="eastAsia"/>
                <w:sz w:val="20"/>
                <w:szCs w:val="20"/>
                <w:lang w:eastAsia="zh-CN"/>
              </w:rPr>
              <w:t>日</w:t>
            </w:r>
          </w:p>
        </w:tc>
      </w:tr>
      <w:tr w:rsidR="000C0842" w:rsidRPr="000C0842" w14:paraId="0AD7DF40" w14:textId="77777777" w:rsidTr="00D35C99">
        <w:tc>
          <w:tcPr>
            <w:tcW w:w="650" w:type="dxa"/>
            <w:noWrap/>
            <w:vAlign w:val="bottom"/>
          </w:tcPr>
          <w:p w14:paraId="0866489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96</w:t>
            </w:r>
          </w:p>
        </w:tc>
        <w:tc>
          <w:tcPr>
            <w:tcW w:w="3571" w:type="dxa"/>
            <w:noWrap/>
          </w:tcPr>
          <w:p w14:paraId="56FC289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斯洛文尼亚</w:t>
            </w:r>
          </w:p>
        </w:tc>
        <w:tc>
          <w:tcPr>
            <w:tcW w:w="3904" w:type="dxa"/>
            <w:noWrap/>
          </w:tcPr>
          <w:p w14:paraId="22AE113C"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26E9DFA5" w14:textId="77777777" w:rsidTr="00D35C99">
        <w:tc>
          <w:tcPr>
            <w:tcW w:w="650" w:type="dxa"/>
            <w:noWrap/>
            <w:vAlign w:val="bottom"/>
          </w:tcPr>
          <w:p w14:paraId="169C536C"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97</w:t>
            </w:r>
          </w:p>
        </w:tc>
        <w:tc>
          <w:tcPr>
            <w:tcW w:w="3571" w:type="dxa"/>
            <w:noWrap/>
          </w:tcPr>
          <w:p w14:paraId="0639206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索马里</w:t>
            </w:r>
          </w:p>
        </w:tc>
        <w:tc>
          <w:tcPr>
            <w:tcW w:w="3904" w:type="dxa"/>
            <w:noWrap/>
          </w:tcPr>
          <w:p w14:paraId="589D559A"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19</w:t>
            </w:r>
            <w:r w:rsidRPr="000C0842">
              <w:rPr>
                <w:sz w:val="20"/>
                <w:szCs w:val="20"/>
                <w:lang w:eastAsia="zh-CN"/>
              </w:rPr>
              <w:t>日</w:t>
            </w:r>
          </w:p>
        </w:tc>
      </w:tr>
      <w:tr w:rsidR="000C0842" w:rsidRPr="000C0842" w14:paraId="606C098F" w14:textId="77777777" w:rsidTr="00D35C99">
        <w:tc>
          <w:tcPr>
            <w:tcW w:w="650" w:type="dxa"/>
            <w:noWrap/>
            <w:vAlign w:val="bottom"/>
          </w:tcPr>
          <w:p w14:paraId="7535899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98</w:t>
            </w:r>
          </w:p>
        </w:tc>
        <w:tc>
          <w:tcPr>
            <w:tcW w:w="3571" w:type="dxa"/>
            <w:noWrap/>
          </w:tcPr>
          <w:p w14:paraId="21EC5F1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南非</w:t>
            </w:r>
          </w:p>
        </w:tc>
        <w:tc>
          <w:tcPr>
            <w:tcW w:w="3904" w:type="dxa"/>
            <w:noWrap/>
          </w:tcPr>
          <w:p w14:paraId="0408CB4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18</w:t>
            </w:r>
            <w:r w:rsidRPr="000C0842">
              <w:rPr>
                <w:sz w:val="20"/>
                <w:szCs w:val="20"/>
                <w:lang w:eastAsia="zh-CN"/>
              </w:rPr>
              <w:t>日</w:t>
            </w:r>
          </w:p>
        </w:tc>
      </w:tr>
      <w:tr w:rsidR="000C0842" w:rsidRPr="000C0842" w14:paraId="62E2E728" w14:textId="77777777" w:rsidTr="00D35C99">
        <w:tc>
          <w:tcPr>
            <w:tcW w:w="650" w:type="dxa"/>
            <w:noWrap/>
            <w:vAlign w:val="bottom"/>
          </w:tcPr>
          <w:p w14:paraId="2BB7A2D2"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99</w:t>
            </w:r>
          </w:p>
        </w:tc>
        <w:tc>
          <w:tcPr>
            <w:tcW w:w="3571" w:type="dxa"/>
            <w:noWrap/>
          </w:tcPr>
          <w:p w14:paraId="3EEE0D0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南苏丹</w:t>
            </w:r>
          </w:p>
        </w:tc>
        <w:tc>
          <w:tcPr>
            <w:tcW w:w="3904" w:type="dxa"/>
            <w:noWrap/>
          </w:tcPr>
          <w:p w14:paraId="4D76D5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0771A75F" w14:textId="77777777" w:rsidTr="00D35C99">
        <w:tc>
          <w:tcPr>
            <w:tcW w:w="650" w:type="dxa"/>
            <w:noWrap/>
            <w:vAlign w:val="bottom"/>
          </w:tcPr>
          <w:p w14:paraId="35CADC1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100</w:t>
            </w:r>
          </w:p>
        </w:tc>
        <w:tc>
          <w:tcPr>
            <w:tcW w:w="3571" w:type="dxa"/>
            <w:noWrap/>
          </w:tcPr>
          <w:p w14:paraId="426A7A8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西班牙</w:t>
            </w:r>
          </w:p>
        </w:tc>
        <w:tc>
          <w:tcPr>
            <w:tcW w:w="3904" w:type="dxa"/>
            <w:noWrap/>
          </w:tcPr>
          <w:p w14:paraId="09EA956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22</w:t>
            </w:r>
            <w:r w:rsidRPr="000C0842">
              <w:rPr>
                <w:sz w:val="20"/>
                <w:szCs w:val="20"/>
                <w:lang w:eastAsia="zh-CN"/>
              </w:rPr>
              <w:t>日</w:t>
            </w:r>
          </w:p>
        </w:tc>
      </w:tr>
      <w:tr w:rsidR="000C0842" w:rsidRPr="000C0842" w14:paraId="7E916DD2" w14:textId="77777777" w:rsidTr="00D35C99">
        <w:tc>
          <w:tcPr>
            <w:tcW w:w="650" w:type="dxa"/>
            <w:noWrap/>
            <w:vAlign w:val="bottom"/>
          </w:tcPr>
          <w:p w14:paraId="2E2EA80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101</w:t>
            </w:r>
          </w:p>
        </w:tc>
        <w:tc>
          <w:tcPr>
            <w:tcW w:w="3571" w:type="dxa"/>
            <w:noWrap/>
          </w:tcPr>
          <w:p w14:paraId="4EF0D71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苏丹</w:t>
            </w:r>
          </w:p>
        </w:tc>
        <w:tc>
          <w:tcPr>
            <w:tcW w:w="3904" w:type="dxa"/>
            <w:noWrap/>
          </w:tcPr>
          <w:p w14:paraId="0877FF7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26</w:t>
            </w:r>
            <w:r w:rsidRPr="000C0842">
              <w:rPr>
                <w:sz w:val="20"/>
                <w:szCs w:val="20"/>
                <w:lang w:eastAsia="zh-CN"/>
              </w:rPr>
              <w:t>日</w:t>
            </w:r>
          </w:p>
        </w:tc>
      </w:tr>
      <w:tr w:rsidR="000C0842" w:rsidRPr="000C0842" w14:paraId="7C04E9AB" w14:textId="77777777" w:rsidTr="00D35C99">
        <w:tc>
          <w:tcPr>
            <w:tcW w:w="650" w:type="dxa"/>
            <w:noWrap/>
            <w:vAlign w:val="bottom"/>
          </w:tcPr>
          <w:p w14:paraId="2C2F0475"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102</w:t>
            </w:r>
          </w:p>
        </w:tc>
        <w:tc>
          <w:tcPr>
            <w:tcW w:w="3571" w:type="dxa"/>
            <w:noWrap/>
          </w:tcPr>
          <w:p w14:paraId="22CAB70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苏里南</w:t>
            </w:r>
          </w:p>
        </w:tc>
        <w:tc>
          <w:tcPr>
            <w:tcW w:w="3904" w:type="dxa"/>
            <w:noWrap/>
          </w:tcPr>
          <w:p w14:paraId="55DC35B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20</w:t>
            </w:r>
            <w:r w:rsidRPr="000C0842">
              <w:rPr>
                <w:rFonts w:hint="eastAsia"/>
                <w:sz w:val="20"/>
                <w:szCs w:val="20"/>
                <w:lang w:eastAsia="zh-CN"/>
              </w:rPr>
              <w:t>日</w:t>
            </w:r>
          </w:p>
        </w:tc>
      </w:tr>
      <w:tr w:rsidR="000C0842" w:rsidRPr="000C0842" w14:paraId="402C8A0F" w14:textId="77777777" w:rsidTr="00D35C99">
        <w:tc>
          <w:tcPr>
            <w:tcW w:w="650" w:type="dxa"/>
            <w:noWrap/>
            <w:vAlign w:val="bottom"/>
          </w:tcPr>
          <w:p w14:paraId="63853690"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103</w:t>
            </w:r>
          </w:p>
        </w:tc>
        <w:tc>
          <w:tcPr>
            <w:tcW w:w="3571" w:type="dxa"/>
            <w:noWrap/>
          </w:tcPr>
          <w:p w14:paraId="088B0C7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瑞典</w:t>
            </w:r>
          </w:p>
        </w:tc>
        <w:tc>
          <w:tcPr>
            <w:tcW w:w="3904" w:type="dxa"/>
            <w:noWrap/>
          </w:tcPr>
          <w:p w14:paraId="5969855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3</w:t>
            </w:r>
            <w:r w:rsidRPr="000C0842">
              <w:rPr>
                <w:sz w:val="20"/>
                <w:szCs w:val="20"/>
                <w:lang w:eastAsia="zh-CN"/>
              </w:rPr>
              <w:t>日</w:t>
            </w:r>
          </w:p>
        </w:tc>
      </w:tr>
      <w:tr w:rsidR="000C0842" w:rsidRPr="000C0842" w14:paraId="4BDCE8AC" w14:textId="77777777" w:rsidTr="00D35C99">
        <w:tc>
          <w:tcPr>
            <w:tcW w:w="650" w:type="dxa"/>
            <w:noWrap/>
            <w:vAlign w:val="bottom"/>
          </w:tcPr>
          <w:p w14:paraId="07B9312D"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104</w:t>
            </w:r>
          </w:p>
        </w:tc>
        <w:tc>
          <w:tcPr>
            <w:tcW w:w="3571" w:type="dxa"/>
            <w:noWrap/>
          </w:tcPr>
          <w:p w14:paraId="66A0490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泰国</w:t>
            </w:r>
          </w:p>
        </w:tc>
        <w:tc>
          <w:tcPr>
            <w:tcW w:w="3904" w:type="dxa"/>
            <w:noWrap/>
          </w:tcPr>
          <w:p w14:paraId="2E1DE4BD"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30</w:t>
            </w:r>
            <w:r w:rsidRPr="000C0842">
              <w:rPr>
                <w:rFonts w:hint="eastAsia"/>
                <w:sz w:val="20"/>
                <w:szCs w:val="20"/>
                <w:lang w:eastAsia="zh-CN"/>
              </w:rPr>
              <w:t>日</w:t>
            </w:r>
          </w:p>
        </w:tc>
      </w:tr>
      <w:tr w:rsidR="000C0842" w:rsidRPr="000C0842" w14:paraId="0F2C8FCE" w14:textId="77777777" w:rsidTr="00D35C99">
        <w:tc>
          <w:tcPr>
            <w:tcW w:w="650" w:type="dxa"/>
            <w:noWrap/>
            <w:vAlign w:val="bottom"/>
          </w:tcPr>
          <w:p w14:paraId="74D6E94B"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105</w:t>
            </w:r>
          </w:p>
        </w:tc>
        <w:tc>
          <w:tcPr>
            <w:tcW w:w="3571" w:type="dxa"/>
            <w:noWrap/>
          </w:tcPr>
          <w:p w14:paraId="73C0E82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多哥</w:t>
            </w:r>
          </w:p>
        </w:tc>
        <w:tc>
          <w:tcPr>
            <w:tcW w:w="3904" w:type="dxa"/>
            <w:noWrap/>
          </w:tcPr>
          <w:p w14:paraId="4A969DB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7</w:t>
            </w:r>
            <w:r w:rsidRPr="000C0842">
              <w:rPr>
                <w:sz w:val="20"/>
                <w:szCs w:val="20"/>
                <w:lang w:eastAsia="zh-CN"/>
              </w:rPr>
              <w:t>月</w:t>
            </w:r>
            <w:r w:rsidRPr="000C0842">
              <w:rPr>
                <w:sz w:val="20"/>
                <w:szCs w:val="20"/>
                <w:lang w:eastAsia="zh-CN"/>
              </w:rPr>
              <w:t>25</w:t>
            </w:r>
            <w:r w:rsidRPr="000C0842">
              <w:rPr>
                <w:sz w:val="20"/>
                <w:szCs w:val="20"/>
                <w:lang w:eastAsia="zh-CN"/>
              </w:rPr>
              <w:t>日</w:t>
            </w:r>
          </w:p>
        </w:tc>
      </w:tr>
      <w:tr w:rsidR="000C0842" w:rsidRPr="000C0842" w14:paraId="5495BB7D" w14:textId="77777777" w:rsidTr="00D35C99">
        <w:tc>
          <w:tcPr>
            <w:tcW w:w="650" w:type="dxa"/>
            <w:noWrap/>
            <w:vAlign w:val="bottom"/>
          </w:tcPr>
          <w:p w14:paraId="3B95990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106</w:t>
            </w:r>
          </w:p>
        </w:tc>
        <w:tc>
          <w:tcPr>
            <w:tcW w:w="3571" w:type="dxa"/>
            <w:noWrap/>
          </w:tcPr>
          <w:p w14:paraId="751C1DB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汤加</w:t>
            </w:r>
          </w:p>
        </w:tc>
        <w:tc>
          <w:tcPr>
            <w:tcW w:w="3904" w:type="dxa"/>
            <w:noWrap/>
          </w:tcPr>
          <w:p w14:paraId="52AD11E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16</w:t>
            </w:r>
            <w:r w:rsidRPr="000C0842">
              <w:rPr>
                <w:sz w:val="20"/>
                <w:szCs w:val="20"/>
                <w:lang w:eastAsia="zh-CN"/>
              </w:rPr>
              <w:t>日</w:t>
            </w:r>
          </w:p>
        </w:tc>
      </w:tr>
      <w:tr w:rsidR="000C0842" w:rsidRPr="000C0842" w14:paraId="767273BE" w14:textId="77777777" w:rsidTr="00D35C99">
        <w:tc>
          <w:tcPr>
            <w:tcW w:w="650" w:type="dxa"/>
            <w:noWrap/>
            <w:vAlign w:val="bottom"/>
          </w:tcPr>
          <w:p w14:paraId="0F46970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107</w:t>
            </w:r>
          </w:p>
        </w:tc>
        <w:tc>
          <w:tcPr>
            <w:tcW w:w="3571" w:type="dxa"/>
            <w:noWrap/>
          </w:tcPr>
          <w:p w14:paraId="221DDC7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突尼斯</w:t>
            </w:r>
          </w:p>
        </w:tc>
        <w:tc>
          <w:tcPr>
            <w:tcW w:w="3904" w:type="dxa"/>
            <w:noWrap/>
          </w:tcPr>
          <w:p w14:paraId="6E9F75A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15</w:t>
            </w:r>
            <w:r w:rsidRPr="000C0842">
              <w:rPr>
                <w:sz w:val="20"/>
                <w:szCs w:val="20"/>
                <w:lang w:eastAsia="zh-CN"/>
              </w:rPr>
              <w:t>日</w:t>
            </w:r>
          </w:p>
        </w:tc>
      </w:tr>
      <w:tr w:rsidR="000C0842" w:rsidRPr="000C0842" w14:paraId="477A0C73" w14:textId="77777777" w:rsidTr="00D35C99">
        <w:tc>
          <w:tcPr>
            <w:tcW w:w="650" w:type="dxa"/>
            <w:noWrap/>
            <w:vAlign w:val="bottom"/>
          </w:tcPr>
          <w:p w14:paraId="1FCF30A5"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eastAsia="zh-CN"/>
              </w:rPr>
            </w:pPr>
            <w:r w:rsidRPr="000C0842">
              <w:rPr>
                <w:rFonts w:asciiTheme="majorBidi" w:hAnsiTheme="majorBidi" w:cstheme="majorBidi" w:hint="eastAsia"/>
                <w:sz w:val="21"/>
                <w:szCs w:val="21"/>
                <w:lang w:eastAsia="zh-CN"/>
              </w:rPr>
              <w:t>108</w:t>
            </w:r>
          </w:p>
        </w:tc>
        <w:tc>
          <w:tcPr>
            <w:tcW w:w="3571" w:type="dxa"/>
            <w:noWrap/>
          </w:tcPr>
          <w:p w14:paraId="6A89DDB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土耳其</w:t>
            </w:r>
          </w:p>
        </w:tc>
        <w:tc>
          <w:tcPr>
            <w:tcW w:w="3904" w:type="dxa"/>
            <w:noWrap/>
          </w:tcPr>
          <w:p w14:paraId="460BA30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17</w:t>
            </w:r>
            <w:r w:rsidRPr="000C0842">
              <w:rPr>
                <w:sz w:val="20"/>
                <w:szCs w:val="20"/>
                <w:lang w:eastAsia="zh-CN"/>
              </w:rPr>
              <w:t>日</w:t>
            </w:r>
          </w:p>
        </w:tc>
      </w:tr>
      <w:tr w:rsidR="000C0842" w:rsidRPr="000C0842" w14:paraId="501A9850" w14:textId="77777777" w:rsidTr="00D35C99">
        <w:tc>
          <w:tcPr>
            <w:tcW w:w="650" w:type="dxa"/>
            <w:noWrap/>
            <w:vAlign w:val="bottom"/>
          </w:tcPr>
          <w:p w14:paraId="303C678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109</w:t>
            </w:r>
          </w:p>
        </w:tc>
        <w:tc>
          <w:tcPr>
            <w:tcW w:w="3571" w:type="dxa"/>
            <w:noWrap/>
          </w:tcPr>
          <w:p w14:paraId="185B7D88"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乌干达</w:t>
            </w:r>
          </w:p>
        </w:tc>
        <w:tc>
          <w:tcPr>
            <w:tcW w:w="3904" w:type="dxa"/>
            <w:noWrap/>
          </w:tcPr>
          <w:p w14:paraId="08EB90B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4</w:t>
            </w:r>
            <w:r w:rsidRPr="000C0842">
              <w:rPr>
                <w:sz w:val="20"/>
                <w:szCs w:val="20"/>
                <w:lang w:eastAsia="zh-CN"/>
              </w:rPr>
              <w:t>日</w:t>
            </w:r>
          </w:p>
        </w:tc>
      </w:tr>
      <w:tr w:rsidR="000C0842" w:rsidRPr="000C0842" w14:paraId="7DB110BF" w14:textId="77777777" w:rsidTr="00D35C99">
        <w:tc>
          <w:tcPr>
            <w:tcW w:w="650" w:type="dxa"/>
            <w:noWrap/>
            <w:vAlign w:val="bottom"/>
          </w:tcPr>
          <w:p w14:paraId="27520FE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110</w:t>
            </w:r>
          </w:p>
        </w:tc>
        <w:tc>
          <w:tcPr>
            <w:tcW w:w="3571" w:type="dxa"/>
            <w:noWrap/>
          </w:tcPr>
          <w:p w14:paraId="1237E3E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阿拉伯联合酋长国</w:t>
            </w:r>
          </w:p>
        </w:tc>
        <w:tc>
          <w:tcPr>
            <w:tcW w:w="3904" w:type="dxa"/>
            <w:noWrap/>
          </w:tcPr>
          <w:p w14:paraId="052F2BD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28907782" w14:textId="77777777" w:rsidTr="00D35C99">
        <w:tc>
          <w:tcPr>
            <w:tcW w:w="650" w:type="dxa"/>
            <w:noWrap/>
          </w:tcPr>
          <w:p w14:paraId="0CDC5A17"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111</w:t>
            </w:r>
          </w:p>
        </w:tc>
        <w:tc>
          <w:tcPr>
            <w:tcW w:w="3571" w:type="dxa"/>
            <w:noWrap/>
          </w:tcPr>
          <w:p w14:paraId="7C78CAA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大不列颠及北爱尔兰联合王国</w:t>
            </w:r>
          </w:p>
        </w:tc>
        <w:tc>
          <w:tcPr>
            <w:tcW w:w="3904" w:type="dxa"/>
            <w:noWrap/>
          </w:tcPr>
          <w:p w14:paraId="4102EED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4FA3BF99" w14:textId="77777777" w:rsidTr="00D35C99">
        <w:tc>
          <w:tcPr>
            <w:tcW w:w="650" w:type="dxa"/>
            <w:noWrap/>
            <w:vAlign w:val="bottom"/>
          </w:tcPr>
          <w:p w14:paraId="494576D1"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112</w:t>
            </w:r>
          </w:p>
        </w:tc>
        <w:tc>
          <w:tcPr>
            <w:tcW w:w="3571" w:type="dxa"/>
            <w:noWrap/>
          </w:tcPr>
          <w:p w14:paraId="08EBF96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坦桑尼亚联合共和国</w:t>
            </w:r>
          </w:p>
        </w:tc>
        <w:tc>
          <w:tcPr>
            <w:tcW w:w="3904" w:type="dxa"/>
            <w:noWrap/>
          </w:tcPr>
          <w:p w14:paraId="5FCCD211"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20</w:t>
            </w:r>
            <w:r w:rsidRPr="000C0842">
              <w:rPr>
                <w:rFonts w:hint="eastAsia"/>
                <w:sz w:val="20"/>
                <w:szCs w:val="20"/>
                <w:lang w:eastAsia="zh-CN"/>
              </w:rPr>
              <w:t>日</w:t>
            </w:r>
          </w:p>
        </w:tc>
      </w:tr>
      <w:tr w:rsidR="000C0842" w:rsidRPr="000C0842" w14:paraId="45F79AB7" w14:textId="77777777" w:rsidTr="00D35C99">
        <w:tc>
          <w:tcPr>
            <w:tcW w:w="650" w:type="dxa"/>
            <w:noWrap/>
            <w:vAlign w:val="bottom"/>
          </w:tcPr>
          <w:p w14:paraId="57FA4039" w14:textId="77777777" w:rsidR="00184519" w:rsidRPr="000C0842" w:rsidRDefault="00184519" w:rsidP="000C57F4">
            <w:pPr>
              <w:tabs>
                <w:tab w:val="clear" w:pos="567"/>
                <w:tab w:val="clear" w:pos="1134"/>
                <w:tab w:val="clear" w:pos="1701"/>
                <w:tab w:val="clear" w:pos="2268"/>
              </w:tabs>
              <w:spacing w:after="40" w:line="240" w:lineRule="atLeast"/>
              <w:jc w:val="right"/>
              <w:rPr>
                <w:rFonts w:asciiTheme="majorBidi" w:hAnsiTheme="majorBidi" w:cstheme="majorBidi"/>
                <w:sz w:val="21"/>
                <w:szCs w:val="21"/>
                <w:lang w:eastAsia="zh-CN"/>
              </w:rPr>
            </w:pPr>
            <w:r w:rsidRPr="000C0842">
              <w:rPr>
                <w:rFonts w:asciiTheme="majorBidi" w:hAnsiTheme="majorBidi" w:cstheme="majorBidi" w:hint="eastAsia"/>
                <w:sz w:val="21"/>
                <w:szCs w:val="21"/>
                <w:lang w:eastAsia="zh-CN"/>
              </w:rPr>
              <w:t>113</w:t>
            </w:r>
          </w:p>
        </w:tc>
        <w:tc>
          <w:tcPr>
            <w:tcW w:w="3571" w:type="dxa"/>
            <w:noWrap/>
          </w:tcPr>
          <w:p w14:paraId="367EBD4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乌拉圭</w:t>
            </w:r>
          </w:p>
        </w:tc>
        <w:tc>
          <w:tcPr>
            <w:tcW w:w="3904" w:type="dxa"/>
            <w:noWrap/>
          </w:tcPr>
          <w:p w14:paraId="372FF5D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25</w:t>
            </w:r>
            <w:r w:rsidRPr="000C0842">
              <w:rPr>
                <w:rFonts w:hint="eastAsia"/>
                <w:sz w:val="20"/>
                <w:szCs w:val="20"/>
                <w:lang w:eastAsia="zh-CN"/>
              </w:rPr>
              <w:t>日</w:t>
            </w:r>
          </w:p>
        </w:tc>
      </w:tr>
      <w:tr w:rsidR="000C0842" w:rsidRPr="000C0842" w14:paraId="195E8CE4" w14:textId="77777777" w:rsidTr="00D35C99">
        <w:tc>
          <w:tcPr>
            <w:tcW w:w="650" w:type="dxa"/>
            <w:noWrap/>
            <w:vAlign w:val="bottom"/>
          </w:tcPr>
          <w:p w14:paraId="46F7353F"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114</w:t>
            </w:r>
          </w:p>
        </w:tc>
        <w:tc>
          <w:tcPr>
            <w:tcW w:w="3571" w:type="dxa"/>
            <w:noWrap/>
          </w:tcPr>
          <w:p w14:paraId="14C298C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乌兹别克斯坦</w:t>
            </w:r>
          </w:p>
        </w:tc>
        <w:tc>
          <w:tcPr>
            <w:tcW w:w="3904" w:type="dxa"/>
            <w:noWrap/>
          </w:tcPr>
          <w:p w14:paraId="086B59BE"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7</w:t>
            </w:r>
            <w:r w:rsidRPr="000C0842">
              <w:rPr>
                <w:sz w:val="20"/>
                <w:szCs w:val="20"/>
                <w:lang w:eastAsia="zh-CN"/>
              </w:rPr>
              <w:t>日</w:t>
            </w:r>
          </w:p>
        </w:tc>
      </w:tr>
      <w:tr w:rsidR="000C0842" w:rsidRPr="000C0842" w14:paraId="3C166849" w14:textId="77777777" w:rsidTr="00D35C99">
        <w:tc>
          <w:tcPr>
            <w:tcW w:w="650" w:type="dxa"/>
            <w:noWrap/>
            <w:vAlign w:val="bottom"/>
          </w:tcPr>
          <w:p w14:paraId="5B4FC983"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115</w:t>
            </w:r>
          </w:p>
        </w:tc>
        <w:tc>
          <w:tcPr>
            <w:tcW w:w="3571" w:type="dxa"/>
            <w:noWrap/>
          </w:tcPr>
          <w:p w14:paraId="1EF299C2"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瓦努阿图</w:t>
            </w:r>
          </w:p>
        </w:tc>
        <w:tc>
          <w:tcPr>
            <w:tcW w:w="3904" w:type="dxa"/>
            <w:noWrap/>
          </w:tcPr>
          <w:p w14:paraId="5C0161EB"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1C66A732" w14:textId="77777777" w:rsidTr="00D35C99">
        <w:tc>
          <w:tcPr>
            <w:tcW w:w="650" w:type="dxa"/>
            <w:noWrap/>
            <w:vAlign w:val="bottom"/>
          </w:tcPr>
          <w:p w14:paraId="42AB9249"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116</w:t>
            </w:r>
          </w:p>
        </w:tc>
        <w:tc>
          <w:tcPr>
            <w:tcW w:w="3571" w:type="dxa"/>
            <w:noWrap/>
          </w:tcPr>
          <w:p w14:paraId="4B17C539"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委内瑞拉玻利瓦尔共和国</w:t>
            </w:r>
          </w:p>
        </w:tc>
        <w:tc>
          <w:tcPr>
            <w:tcW w:w="3904" w:type="dxa"/>
            <w:noWrap/>
          </w:tcPr>
          <w:p w14:paraId="69F5F937"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2</w:t>
            </w:r>
            <w:r w:rsidRPr="000C0842">
              <w:rPr>
                <w:sz w:val="20"/>
                <w:szCs w:val="20"/>
                <w:lang w:eastAsia="zh-CN"/>
              </w:rPr>
              <w:t>日</w:t>
            </w:r>
          </w:p>
        </w:tc>
      </w:tr>
      <w:tr w:rsidR="000C0842" w:rsidRPr="000C0842" w14:paraId="631DE607" w14:textId="77777777" w:rsidTr="00D35C99">
        <w:tc>
          <w:tcPr>
            <w:tcW w:w="650" w:type="dxa"/>
            <w:noWrap/>
            <w:vAlign w:val="bottom"/>
          </w:tcPr>
          <w:p w14:paraId="2928F871"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117</w:t>
            </w:r>
          </w:p>
        </w:tc>
        <w:tc>
          <w:tcPr>
            <w:tcW w:w="3571" w:type="dxa"/>
            <w:noWrap/>
          </w:tcPr>
          <w:p w14:paraId="23CFC14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也门</w:t>
            </w:r>
          </w:p>
        </w:tc>
        <w:tc>
          <w:tcPr>
            <w:tcW w:w="3904" w:type="dxa"/>
            <w:noWrap/>
          </w:tcPr>
          <w:p w14:paraId="74365313"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8</w:t>
            </w:r>
            <w:r w:rsidRPr="000C0842">
              <w:rPr>
                <w:sz w:val="20"/>
                <w:szCs w:val="20"/>
                <w:lang w:eastAsia="zh-CN"/>
              </w:rPr>
              <w:t>月</w:t>
            </w:r>
            <w:r w:rsidRPr="000C0842">
              <w:rPr>
                <w:sz w:val="20"/>
                <w:szCs w:val="20"/>
                <w:lang w:eastAsia="zh-CN"/>
              </w:rPr>
              <w:t>1</w:t>
            </w:r>
            <w:r w:rsidRPr="000C0842">
              <w:rPr>
                <w:sz w:val="20"/>
                <w:szCs w:val="20"/>
                <w:lang w:eastAsia="zh-CN"/>
              </w:rPr>
              <w:t>日</w:t>
            </w:r>
          </w:p>
        </w:tc>
      </w:tr>
      <w:tr w:rsidR="000C0842" w:rsidRPr="000C0842" w14:paraId="3764CD89" w14:textId="77777777" w:rsidTr="00D35C99">
        <w:tc>
          <w:tcPr>
            <w:tcW w:w="650" w:type="dxa"/>
            <w:noWrap/>
            <w:vAlign w:val="bottom"/>
          </w:tcPr>
          <w:p w14:paraId="0D0E8A90" w14:textId="77777777" w:rsidR="00184519" w:rsidRPr="000C0842" w:rsidRDefault="00184519" w:rsidP="000C57F4">
            <w:pPr>
              <w:tabs>
                <w:tab w:val="clear" w:pos="567"/>
                <w:tab w:val="clear" w:pos="1134"/>
                <w:tab w:val="clear" w:pos="1701"/>
                <w:tab w:val="clear" w:pos="2268"/>
              </w:tabs>
              <w:spacing w:after="40" w:line="240" w:lineRule="atLeast"/>
              <w:jc w:val="right"/>
              <w:rPr>
                <w:rFonts w:eastAsia="Times New Roman"/>
                <w:sz w:val="20"/>
                <w:szCs w:val="20"/>
                <w:lang w:eastAsia="zh-CN"/>
              </w:rPr>
            </w:pPr>
            <w:r w:rsidRPr="000C0842">
              <w:rPr>
                <w:rFonts w:asciiTheme="majorBidi" w:hAnsiTheme="majorBidi" w:cstheme="majorBidi" w:hint="eastAsia"/>
                <w:sz w:val="21"/>
                <w:szCs w:val="21"/>
                <w:lang w:eastAsia="zh-CN"/>
              </w:rPr>
              <w:t>118</w:t>
            </w:r>
          </w:p>
        </w:tc>
        <w:tc>
          <w:tcPr>
            <w:tcW w:w="3571" w:type="dxa"/>
            <w:noWrap/>
          </w:tcPr>
          <w:p w14:paraId="01E67EFF"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赞比亚</w:t>
            </w:r>
          </w:p>
        </w:tc>
        <w:tc>
          <w:tcPr>
            <w:tcW w:w="3904" w:type="dxa"/>
            <w:noWrap/>
          </w:tcPr>
          <w:p w14:paraId="02A2B776"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eastAsia="zh-CN"/>
              </w:rPr>
            </w:pPr>
            <w:r w:rsidRPr="000C0842">
              <w:rPr>
                <w:rFonts w:hint="eastAsia"/>
                <w:sz w:val="20"/>
                <w:szCs w:val="20"/>
                <w:lang w:eastAsia="zh-CN"/>
              </w:rPr>
              <w:t>2024</w:t>
            </w:r>
            <w:r w:rsidRPr="000C0842">
              <w:rPr>
                <w:rFonts w:hint="eastAsia"/>
                <w:sz w:val="20"/>
                <w:szCs w:val="20"/>
                <w:lang w:eastAsia="zh-CN"/>
              </w:rPr>
              <w:t>年</w:t>
            </w:r>
            <w:r w:rsidRPr="000C0842">
              <w:rPr>
                <w:rFonts w:hint="eastAsia"/>
                <w:sz w:val="20"/>
                <w:szCs w:val="20"/>
                <w:lang w:eastAsia="zh-CN"/>
              </w:rPr>
              <w:t>10</w:t>
            </w:r>
            <w:r w:rsidRPr="000C0842">
              <w:rPr>
                <w:rFonts w:hint="eastAsia"/>
                <w:sz w:val="20"/>
                <w:szCs w:val="20"/>
                <w:lang w:eastAsia="zh-CN"/>
              </w:rPr>
              <w:t>月</w:t>
            </w:r>
            <w:r w:rsidRPr="000C0842">
              <w:rPr>
                <w:rFonts w:hint="eastAsia"/>
                <w:sz w:val="20"/>
                <w:szCs w:val="20"/>
                <w:lang w:eastAsia="zh-CN"/>
              </w:rPr>
              <w:t>23</w:t>
            </w:r>
            <w:r w:rsidRPr="000C0842">
              <w:rPr>
                <w:rFonts w:hint="eastAsia"/>
                <w:sz w:val="20"/>
                <w:szCs w:val="20"/>
                <w:lang w:eastAsia="zh-CN"/>
              </w:rPr>
              <w:t>日</w:t>
            </w:r>
          </w:p>
        </w:tc>
      </w:tr>
      <w:tr w:rsidR="00184519" w:rsidRPr="000C0842" w14:paraId="06CC1E12" w14:textId="77777777" w:rsidTr="00D35C99">
        <w:tc>
          <w:tcPr>
            <w:tcW w:w="650" w:type="dxa"/>
            <w:noWrap/>
            <w:vAlign w:val="bottom"/>
          </w:tcPr>
          <w:p w14:paraId="312DDCEE" w14:textId="77777777" w:rsidR="00184519" w:rsidRPr="000C0842" w:rsidRDefault="00184519" w:rsidP="000C57F4">
            <w:pPr>
              <w:tabs>
                <w:tab w:val="clear" w:pos="567"/>
                <w:tab w:val="clear" w:pos="1134"/>
                <w:tab w:val="clear" w:pos="1701"/>
                <w:tab w:val="clear" w:pos="2268"/>
              </w:tabs>
              <w:spacing w:after="40" w:line="240" w:lineRule="atLeast"/>
              <w:jc w:val="right"/>
              <w:rPr>
                <w:sz w:val="20"/>
                <w:szCs w:val="20"/>
                <w:lang w:val="en-GB" w:eastAsia="zh-CN"/>
              </w:rPr>
            </w:pPr>
            <w:r w:rsidRPr="000C0842">
              <w:rPr>
                <w:rFonts w:asciiTheme="majorBidi" w:hAnsiTheme="majorBidi" w:cstheme="majorBidi" w:hint="eastAsia"/>
                <w:sz w:val="21"/>
                <w:szCs w:val="21"/>
                <w:lang w:eastAsia="zh-CN"/>
              </w:rPr>
              <w:t>119</w:t>
            </w:r>
          </w:p>
        </w:tc>
        <w:tc>
          <w:tcPr>
            <w:tcW w:w="3571" w:type="dxa"/>
            <w:noWrap/>
          </w:tcPr>
          <w:p w14:paraId="47815254"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津巴布韦</w:t>
            </w:r>
          </w:p>
        </w:tc>
        <w:tc>
          <w:tcPr>
            <w:tcW w:w="3904" w:type="dxa"/>
            <w:noWrap/>
          </w:tcPr>
          <w:p w14:paraId="47403F60" w14:textId="77777777" w:rsidR="00184519" w:rsidRPr="000C0842" w:rsidRDefault="00184519" w:rsidP="000C57F4">
            <w:pPr>
              <w:tabs>
                <w:tab w:val="clear" w:pos="567"/>
                <w:tab w:val="clear" w:pos="1134"/>
                <w:tab w:val="clear" w:pos="1701"/>
                <w:tab w:val="clear" w:pos="2268"/>
              </w:tabs>
              <w:spacing w:after="40" w:line="240" w:lineRule="atLeast"/>
              <w:jc w:val="left"/>
              <w:rPr>
                <w:sz w:val="20"/>
                <w:szCs w:val="20"/>
                <w:lang w:val="en-GB" w:eastAsia="zh-CN"/>
              </w:rPr>
            </w:pPr>
            <w:r w:rsidRPr="000C0842">
              <w:rPr>
                <w:sz w:val="20"/>
                <w:szCs w:val="20"/>
                <w:lang w:eastAsia="zh-CN"/>
              </w:rPr>
              <w:t>2024</w:t>
            </w:r>
            <w:r w:rsidRPr="000C0842">
              <w:rPr>
                <w:sz w:val="20"/>
                <w:szCs w:val="20"/>
                <w:lang w:eastAsia="zh-CN"/>
              </w:rPr>
              <w:t>年</w:t>
            </w:r>
            <w:r w:rsidRPr="000C0842">
              <w:rPr>
                <w:sz w:val="20"/>
                <w:szCs w:val="20"/>
                <w:lang w:eastAsia="zh-CN"/>
              </w:rPr>
              <w:t>10</w:t>
            </w:r>
            <w:r w:rsidRPr="000C0842">
              <w:rPr>
                <w:sz w:val="20"/>
                <w:szCs w:val="20"/>
                <w:lang w:eastAsia="zh-CN"/>
              </w:rPr>
              <w:t>月</w:t>
            </w:r>
            <w:r w:rsidRPr="000C0842">
              <w:rPr>
                <w:sz w:val="20"/>
                <w:szCs w:val="20"/>
                <w:lang w:eastAsia="zh-CN"/>
              </w:rPr>
              <w:t>9</w:t>
            </w:r>
            <w:r w:rsidRPr="000C0842">
              <w:rPr>
                <w:sz w:val="20"/>
                <w:szCs w:val="20"/>
                <w:lang w:eastAsia="zh-CN"/>
              </w:rPr>
              <w:t>日</w:t>
            </w:r>
          </w:p>
        </w:tc>
      </w:tr>
    </w:tbl>
    <w:p w14:paraId="5FAA43FF" w14:textId="74FF4B9A" w:rsidR="00153FC9" w:rsidRPr="000C0842" w:rsidRDefault="00153FC9" w:rsidP="00D54AB1">
      <w:pPr>
        <w:pStyle w:val="Heading1"/>
        <w:numPr>
          <w:ilvl w:val="0"/>
          <w:numId w:val="0"/>
        </w:numPr>
        <w:tabs>
          <w:tab w:val="clear" w:pos="1134"/>
          <w:tab w:val="clear" w:pos="1701"/>
          <w:tab w:val="clear" w:pos="2268"/>
        </w:tabs>
        <w:rPr>
          <w:rFonts w:eastAsia="SimSun"/>
          <w:sz w:val="24"/>
          <w:szCs w:val="24"/>
          <w:lang w:val="en-US"/>
        </w:rPr>
      </w:pPr>
    </w:p>
    <w:p w14:paraId="01045A58" w14:textId="77777777" w:rsidR="00153FC9" w:rsidRPr="000C0842" w:rsidRDefault="00153FC9">
      <w:pPr>
        <w:tabs>
          <w:tab w:val="clear" w:pos="567"/>
          <w:tab w:val="clear" w:pos="1134"/>
          <w:tab w:val="clear" w:pos="1701"/>
          <w:tab w:val="clear" w:pos="2268"/>
        </w:tabs>
        <w:jc w:val="left"/>
        <w:rPr>
          <w:rFonts w:eastAsia="SimSun"/>
          <w:b/>
          <w:bCs/>
          <w:kern w:val="2"/>
          <w:sz w:val="24"/>
          <w:szCs w:val="24"/>
        </w:rPr>
      </w:pPr>
      <w:r w:rsidRPr="000C0842">
        <w:rPr>
          <w:rFonts w:eastAsia="SimSun"/>
          <w:sz w:val="24"/>
          <w:szCs w:val="24"/>
        </w:rPr>
        <w:br w:type="page"/>
      </w:r>
    </w:p>
    <w:p w14:paraId="270A08FB" w14:textId="4A4C832F" w:rsidR="00184519" w:rsidRPr="000C0842" w:rsidRDefault="00184519" w:rsidP="00C55A08">
      <w:pPr>
        <w:pStyle w:val="a1"/>
        <w:rPr>
          <w:rFonts w:hint="eastAsia"/>
          <w:lang w:eastAsia="zh-CN"/>
        </w:rPr>
      </w:pPr>
      <w:bookmarkStart w:id="7" w:name="_Toc178609087"/>
      <w:bookmarkStart w:id="8" w:name="_Toc206358194"/>
      <w:r w:rsidRPr="000C0842">
        <w:rPr>
          <w:lang w:eastAsia="zh-CN"/>
        </w:rPr>
        <w:t>16/2.</w:t>
      </w:r>
      <w:r w:rsidRPr="000C0842">
        <w:rPr>
          <w:lang w:eastAsia="zh-CN"/>
        </w:rPr>
        <w:tab/>
      </w:r>
      <w:r w:rsidR="00153FC9" w:rsidRPr="000C0842">
        <w:rPr>
          <w:rFonts w:hint="eastAsia"/>
          <w:lang w:eastAsia="zh-CN"/>
        </w:rPr>
        <w:t xml:space="preserve"> </w:t>
      </w:r>
      <w:r w:rsidRPr="000C0842">
        <w:rPr>
          <w:lang w:eastAsia="zh-CN"/>
        </w:rPr>
        <w:t>遗传资源数字序列信息</w:t>
      </w:r>
      <w:bookmarkEnd w:id="7"/>
      <w:bookmarkEnd w:id="8"/>
    </w:p>
    <w:p w14:paraId="4707453F" w14:textId="77777777" w:rsidR="00184519" w:rsidRPr="000C0842" w:rsidRDefault="00184519" w:rsidP="00085142">
      <w:pPr>
        <w:keepNext/>
        <w:suppressLineNumbers/>
        <w:tabs>
          <w:tab w:val="clear" w:pos="567"/>
          <w:tab w:val="clear" w:pos="1134"/>
          <w:tab w:val="clear" w:pos="1701"/>
          <w:tab w:val="clear" w:pos="2268"/>
        </w:tabs>
        <w:suppressAutoHyphens/>
        <w:spacing w:before="240" w:after="120"/>
        <w:ind w:left="490" w:firstLine="490"/>
        <w:jc w:val="left"/>
        <w:outlineLvl w:val="0"/>
        <w:rPr>
          <w:bCs/>
          <w:sz w:val="24"/>
          <w:szCs w:val="24"/>
          <w:lang w:val="en-GB"/>
        </w:rPr>
      </w:pPr>
      <w:r w:rsidRPr="000C0842">
        <w:rPr>
          <w:rFonts w:eastAsia="KaiTi"/>
          <w:bCs/>
          <w:sz w:val="24"/>
          <w:szCs w:val="24"/>
          <w:lang w:val="en-GB"/>
        </w:rPr>
        <w:t>缔约方</w:t>
      </w:r>
      <w:r w:rsidRPr="000C0842">
        <w:rPr>
          <w:rFonts w:eastAsia="KaiTi" w:hint="eastAsia"/>
          <w:bCs/>
          <w:sz w:val="24"/>
          <w:szCs w:val="24"/>
          <w:lang w:val="en-GB"/>
        </w:rPr>
        <w:t>大会</w:t>
      </w:r>
      <w:r w:rsidRPr="000C0842">
        <w:rPr>
          <w:bCs/>
          <w:sz w:val="24"/>
          <w:szCs w:val="24"/>
          <w:lang w:val="en-GB"/>
        </w:rPr>
        <w:t>，</w:t>
      </w:r>
    </w:p>
    <w:p w14:paraId="7CF86756"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回顾</w:t>
      </w:r>
      <w:r w:rsidRPr="000C0842">
        <w:rPr>
          <w:rFonts w:eastAsia="SimSun"/>
          <w:bCs/>
          <w:sz w:val="24"/>
          <w:szCs w:val="24"/>
          <w:lang w:val="en-GB"/>
        </w:rPr>
        <w:t>2022</w:t>
      </w:r>
      <w:r w:rsidRPr="000C0842">
        <w:rPr>
          <w:rFonts w:eastAsia="SimSun"/>
          <w:bCs/>
          <w:sz w:val="24"/>
          <w:szCs w:val="24"/>
          <w:lang w:val="en-GB"/>
        </w:rPr>
        <w:t>年</w:t>
      </w:r>
      <w:r w:rsidRPr="000C0842">
        <w:rPr>
          <w:rFonts w:eastAsia="SimSun"/>
          <w:bCs/>
          <w:sz w:val="24"/>
          <w:szCs w:val="24"/>
          <w:lang w:val="en-GB"/>
        </w:rPr>
        <w:t>12</w:t>
      </w:r>
      <w:r w:rsidRPr="000C0842">
        <w:rPr>
          <w:rFonts w:eastAsia="SimSun"/>
          <w:bCs/>
          <w:sz w:val="24"/>
          <w:szCs w:val="24"/>
          <w:lang w:val="en-GB"/>
        </w:rPr>
        <w:t>月</w:t>
      </w:r>
      <w:r w:rsidRPr="000C0842">
        <w:rPr>
          <w:rFonts w:eastAsia="SimSun"/>
          <w:bCs/>
          <w:sz w:val="24"/>
          <w:szCs w:val="24"/>
          <w:lang w:val="en-GB"/>
        </w:rPr>
        <w:t>19</w:t>
      </w:r>
      <w:r w:rsidRPr="000C0842">
        <w:rPr>
          <w:rFonts w:eastAsia="SimSun"/>
          <w:bCs/>
          <w:sz w:val="24"/>
          <w:szCs w:val="24"/>
          <w:lang w:val="en-GB"/>
        </w:rPr>
        <w:t>日第</w:t>
      </w:r>
      <w:hyperlink r:id="rId17" w:history="1">
        <w:r w:rsidRPr="000C0842">
          <w:rPr>
            <w:rStyle w:val="Hyperlink"/>
            <w:rFonts w:eastAsia="SimSun"/>
            <w:color w:val="auto"/>
            <w:sz w:val="24"/>
            <w:szCs w:val="24"/>
            <w:lang w:val="en-GB"/>
          </w:rPr>
          <w:t>15/4</w:t>
        </w:r>
      </w:hyperlink>
      <w:r w:rsidRPr="000C0842">
        <w:rPr>
          <w:rFonts w:eastAsia="SimSun"/>
          <w:bCs/>
          <w:sz w:val="24"/>
          <w:szCs w:val="24"/>
          <w:lang w:val="en-GB"/>
        </w:rPr>
        <w:t>号和第</w:t>
      </w:r>
      <w:hyperlink r:id="rId18" w:history="1">
        <w:r w:rsidRPr="000C0842">
          <w:rPr>
            <w:rStyle w:val="Hyperlink"/>
            <w:rFonts w:eastAsia="SimSun"/>
            <w:color w:val="auto"/>
            <w:sz w:val="24"/>
            <w:szCs w:val="24"/>
            <w:lang w:val="en-GB"/>
          </w:rPr>
          <w:t>15/9</w:t>
        </w:r>
      </w:hyperlink>
      <w:r w:rsidRPr="000C0842">
        <w:rPr>
          <w:rFonts w:eastAsia="SimSun"/>
          <w:bCs/>
          <w:sz w:val="24"/>
          <w:szCs w:val="24"/>
          <w:lang w:val="en-GB"/>
        </w:rPr>
        <w:t>号决定，</w:t>
      </w:r>
    </w:p>
    <w:p w14:paraId="60A14C32"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表示注意到</w:t>
      </w:r>
      <w:r w:rsidRPr="000C0842">
        <w:rPr>
          <w:rFonts w:eastAsia="SimSun"/>
          <w:bCs/>
          <w:sz w:val="24"/>
          <w:szCs w:val="24"/>
          <w:lang w:val="en-GB"/>
        </w:rPr>
        <w:t>分享利用遗传资源数字序列信息所产生惠益问题不限成员名额特设工作组</w:t>
      </w:r>
      <w:r w:rsidRPr="000C0842">
        <w:rPr>
          <w:rFonts w:eastAsia="SimSun"/>
          <w:bCs/>
          <w:sz w:val="24"/>
          <w:szCs w:val="24"/>
          <w:lang w:val="en-GB"/>
        </w:rPr>
        <w:t>2014</w:t>
      </w:r>
      <w:r w:rsidRPr="000C0842">
        <w:rPr>
          <w:rFonts w:eastAsia="SimSun"/>
          <w:bCs/>
          <w:sz w:val="24"/>
          <w:szCs w:val="24"/>
          <w:lang w:val="en-GB"/>
        </w:rPr>
        <w:t>年</w:t>
      </w:r>
      <w:r w:rsidRPr="000C0842">
        <w:rPr>
          <w:rFonts w:eastAsia="SimSun"/>
          <w:bCs/>
          <w:sz w:val="24"/>
          <w:szCs w:val="24"/>
          <w:lang w:val="en-GB"/>
        </w:rPr>
        <w:t>8</w:t>
      </w:r>
      <w:r w:rsidRPr="000C0842">
        <w:rPr>
          <w:rFonts w:eastAsia="SimSun"/>
          <w:bCs/>
          <w:sz w:val="24"/>
          <w:szCs w:val="24"/>
          <w:lang w:val="en-GB"/>
        </w:rPr>
        <w:t>月</w:t>
      </w:r>
      <w:r w:rsidRPr="000C0842">
        <w:rPr>
          <w:rFonts w:eastAsia="SimSun"/>
          <w:bCs/>
          <w:sz w:val="24"/>
          <w:szCs w:val="24"/>
          <w:lang w:val="en-GB"/>
        </w:rPr>
        <w:t>16</w:t>
      </w:r>
      <w:r w:rsidRPr="000C0842">
        <w:rPr>
          <w:rFonts w:eastAsia="SimSun"/>
          <w:bCs/>
          <w:sz w:val="24"/>
          <w:szCs w:val="24"/>
          <w:lang w:val="en-GB"/>
        </w:rPr>
        <w:t>日第</w:t>
      </w:r>
      <w:hyperlink r:id="rId19" w:history="1">
        <w:r w:rsidRPr="000C0842">
          <w:rPr>
            <w:rStyle w:val="Hyperlink"/>
            <w:rFonts w:eastAsia="SimSun"/>
            <w:color w:val="auto"/>
            <w:sz w:val="24"/>
            <w:szCs w:val="24"/>
            <w:lang w:val="en-GB"/>
          </w:rPr>
          <w:t>2/1</w:t>
        </w:r>
      </w:hyperlink>
      <w:r w:rsidRPr="000C0842">
        <w:rPr>
          <w:rFonts w:eastAsia="SimSun"/>
          <w:bCs/>
          <w:sz w:val="24"/>
          <w:szCs w:val="24"/>
          <w:lang w:val="en-GB"/>
        </w:rPr>
        <w:t>号建议，</w:t>
      </w:r>
    </w:p>
    <w:p w14:paraId="26F5010B"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rPr>
      </w:pPr>
      <w:r w:rsidRPr="000C0842">
        <w:rPr>
          <w:rFonts w:eastAsia="KaiTi"/>
          <w:bCs/>
          <w:sz w:val="24"/>
          <w:szCs w:val="24"/>
          <w:lang w:val="en-GB"/>
        </w:rPr>
        <w:t>注意到</w:t>
      </w:r>
      <w:r w:rsidRPr="000C0842">
        <w:rPr>
          <w:rFonts w:eastAsia="SimSun"/>
          <w:bCs/>
          <w:sz w:val="24"/>
          <w:szCs w:val="24"/>
          <w:lang w:val="en-GB"/>
        </w:rPr>
        <w:t>粮食和农业植物遗传资源国际条约</w:t>
      </w:r>
      <w:r w:rsidRPr="000C0842">
        <w:rPr>
          <w:rStyle w:val="FootnoteReference"/>
          <w:rFonts w:eastAsia="SimSun"/>
          <w:sz w:val="24"/>
          <w:szCs w:val="24"/>
        </w:rPr>
        <w:footnoteReference w:id="4"/>
      </w:r>
      <w:r w:rsidRPr="000C0842">
        <w:rPr>
          <w:rFonts w:eastAsia="SimSun"/>
          <w:bCs/>
          <w:sz w:val="24"/>
          <w:szCs w:val="24"/>
          <w:lang w:val="en-GB"/>
        </w:rPr>
        <w:t>、世界卫生组织、</w:t>
      </w:r>
      <w:r w:rsidRPr="000C0842">
        <w:rPr>
          <w:rFonts w:eastAsia="SimSun"/>
          <w:sz w:val="24"/>
          <w:szCs w:val="24"/>
        </w:rPr>
        <w:t>联合国海洋法公约下国家管辖范围以外区域海洋生物多样性的养护和可持续利用协定等</w:t>
      </w:r>
      <w:r w:rsidRPr="000C0842">
        <w:rPr>
          <w:rFonts w:eastAsia="SimSun"/>
          <w:bCs/>
          <w:sz w:val="24"/>
          <w:szCs w:val="24"/>
          <w:lang w:val="en-GB"/>
        </w:rPr>
        <w:t>其他联合国机构和条约下对遗传资源数字序列信息和有关问题的相关讨论</w:t>
      </w:r>
      <w:r w:rsidRPr="000C0842">
        <w:rPr>
          <w:rStyle w:val="FootnoteReference"/>
          <w:rFonts w:eastAsia="SimSun"/>
          <w:sz w:val="24"/>
          <w:szCs w:val="24"/>
        </w:rPr>
        <w:footnoteReference w:id="5"/>
      </w:r>
      <w:r w:rsidRPr="000C0842">
        <w:rPr>
          <w:rFonts w:eastAsia="SimSun"/>
          <w:bCs/>
          <w:sz w:val="24"/>
          <w:szCs w:val="24"/>
          <w:lang w:val="en-GB"/>
        </w:rPr>
        <w:t>，</w:t>
      </w:r>
    </w:p>
    <w:p w14:paraId="2035C589" w14:textId="7139605F"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认识到</w:t>
      </w:r>
      <w:r w:rsidRPr="000C0842">
        <w:rPr>
          <w:rFonts w:eastAsia="SimSun"/>
          <w:bCs/>
          <w:sz w:val="24"/>
          <w:szCs w:val="24"/>
          <w:lang w:val="en-GB"/>
        </w:rPr>
        <w:t>本决定中所列公正和公平分享利用遗传资源数字序列信息所产生惠益的办法不妨碍国家获取和惠益分享措施，也不影响任何缔约方源自任何现有国际协定的权利和义务，</w:t>
      </w:r>
    </w:p>
    <w:p w14:paraId="49E7D7A2"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承认</w:t>
      </w:r>
      <w:r w:rsidRPr="000C0842">
        <w:rPr>
          <w:rFonts w:eastAsia="SimSun"/>
          <w:bCs/>
          <w:sz w:val="24"/>
          <w:szCs w:val="24"/>
          <w:lang w:val="en-GB"/>
        </w:rPr>
        <w:t>遗传资源数字序列信息以及开放获取此种信息在科学研究和可持续发展中的重要作用，</w:t>
      </w:r>
    </w:p>
    <w:p w14:paraId="5E484AE6"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认识到</w:t>
      </w:r>
      <w:r w:rsidRPr="000C0842">
        <w:rPr>
          <w:rFonts w:eastAsia="SimSun"/>
          <w:bCs/>
          <w:sz w:val="24"/>
          <w:szCs w:val="24"/>
          <w:lang w:val="en-GB"/>
        </w:rPr>
        <w:t>公正和公平分享利用遗传资源数字序列信息所产生惠益对于实现《昆明</w:t>
      </w:r>
      <w:r w:rsidRPr="000C0842">
        <w:rPr>
          <w:rFonts w:eastAsia="SimSun"/>
          <w:bCs/>
          <w:sz w:val="24"/>
          <w:szCs w:val="24"/>
          <w:lang w:val="en-GB"/>
        </w:rPr>
        <w:t>-</w:t>
      </w:r>
      <w:r w:rsidRPr="000C0842">
        <w:rPr>
          <w:rFonts w:eastAsia="SimSun"/>
          <w:bCs/>
          <w:sz w:val="24"/>
          <w:szCs w:val="24"/>
          <w:lang w:val="en-GB"/>
        </w:rPr>
        <w:t>蒙特利尔全球生物多样性框架》长期目标</w:t>
      </w:r>
      <w:r w:rsidRPr="000C0842">
        <w:rPr>
          <w:rFonts w:eastAsia="SimSun"/>
          <w:bCs/>
          <w:sz w:val="24"/>
          <w:szCs w:val="24"/>
          <w:lang w:val="en-GB"/>
        </w:rPr>
        <w:t>C</w:t>
      </w:r>
      <w:r w:rsidRPr="000C0842">
        <w:rPr>
          <w:rFonts w:eastAsia="SimSun"/>
          <w:bCs/>
          <w:sz w:val="24"/>
          <w:szCs w:val="24"/>
          <w:lang w:val="en-GB"/>
        </w:rPr>
        <w:t>和行动目标</w:t>
      </w:r>
      <w:r w:rsidRPr="000C0842">
        <w:rPr>
          <w:rFonts w:eastAsia="SimSun"/>
          <w:bCs/>
          <w:sz w:val="24"/>
          <w:szCs w:val="24"/>
          <w:lang w:val="en-GB"/>
        </w:rPr>
        <w:t>13</w:t>
      </w:r>
      <w:r w:rsidRPr="000C0842">
        <w:rPr>
          <w:rFonts w:eastAsia="SimSun"/>
          <w:bCs/>
          <w:sz w:val="24"/>
          <w:szCs w:val="24"/>
          <w:lang w:val="en-GB"/>
        </w:rPr>
        <w:t>的重要性</w:t>
      </w:r>
      <w:r w:rsidRPr="000C0842">
        <w:rPr>
          <w:rStyle w:val="FootnoteReference"/>
          <w:rFonts w:eastAsia="SimSun"/>
          <w:sz w:val="24"/>
          <w:szCs w:val="24"/>
        </w:rPr>
        <w:footnoteReference w:id="6"/>
      </w:r>
      <w:r w:rsidRPr="000C0842">
        <w:rPr>
          <w:rFonts w:eastAsia="SimSun"/>
          <w:bCs/>
          <w:sz w:val="24"/>
          <w:szCs w:val="24"/>
          <w:lang w:val="en-GB"/>
        </w:rPr>
        <w:t>，</w:t>
      </w:r>
    </w:p>
    <w:p w14:paraId="166E4CB9"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确认</w:t>
      </w:r>
      <w:r w:rsidRPr="000C0842">
        <w:rPr>
          <w:rFonts w:eastAsia="SimSun"/>
          <w:bCs/>
          <w:sz w:val="24"/>
          <w:szCs w:val="24"/>
          <w:lang w:val="en-GB"/>
        </w:rPr>
        <w:t>《联合国土著人民权利宣言》</w:t>
      </w:r>
      <w:r w:rsidRPr="000C0842">
        <w:rPr>
          <w:rStyle w:val="FootnoteReference"/>
          <w:rFonts w:eastAsia="SimSun"/>
          <w:sz w:val="24"/>
          <w:szCs w:val="24"/>
        </w:rPr>
        <w:footnoteReference w:id="7"/>
      </w:r>
      <w:r w:rsidRPr="000C0842">
        <w:rPr>
          <w:rFonts w:eastAsia="SimSun"/>
          <w:bCs/>
          <w:sz w:val="24"/>
          <w:szCs w:val="24"/>
          <w:lang w:val="en-GB"/>
        </w:rPr>
        <w:t>，</w:t>
      </w:r>
    </w:p>
    <w:p w14:paraId="20820FA7"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认识到</w:t>
      </w:r>
      <w:r w:rsidRPr="000C0842">
        <w:rPr>
          <w:rFonts w:eastAsia="SimSun"/>
          <w:bCs/>
          <w:sz w:val="24"/>
          <w:szCs w:val="24"/>
          <w:lang w:val="en-GB"/>
        </w:rPr>
        <w:t>土著人民和地方社区在保护和可持续利用遗传资源方面发挥的重要作用，</w:t>
      </w:r>
    </w:p>
    <w:p w14:paraId="389F4738" w14:textId="77777777" w:rsidR="00184519" w:rsidRPr="000C0842" w:rsidRDefault="00184519" w:rsidP="00085142">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注意到</w:t>
      </w:r>
      <w:r w:rsidRPr="000C0842">
        <w:rPr>
          <w:rFonts w:eastAsia="SimSun"/>
          <w:bCs/>
          <w:sz w:val="24"/>
          <w:szCs w:val="24"/>
          <w:lang w:val="en-GB"/>
        </w:rPr>
        <w:t>在某些世界观中，所有自然遗传信息都属于地球母亲，</w:t>
      </w:r>
    </w:p>
    <w:p w14:paraId="517C091B" w14:textId="77777777" w:rsidR="00184519" w:rsidRPr="000C0842" w:rsidRDefault="00184519" w:rsidP="008A2519">
      <w:pPr>
        <w:tabs>
          <w:tab w:val="clear" w:pos="567"/>
          <w:tab w:val="clear" w:pos="1134"/>
          <w:tab w:val="clear" w:pos="1701"/>
          <w:tab w:val="clear" w:pos="2268"/>
        </w:tabs>
        <w:spacing w:before="120" w:after="120"/>
        <w:ind w:left="490" w:firstLine="490"/>
        <w:rPr>
          <w:rFonts w:eastAsia="SimSun"/>
          <w:bCs/>
          <w:sz w:val="24"/>
          <w:szCs w:val="24"/>
          <w:lang w:val="en-GB"/>
        </w:rPr>
      </w:pPr>
      <w:r w:rsidRPr="000C0842">
        <w:rPr>
          <w:rFonts w:eastAsia="KaiTi"/>
          <w:bCs/>
          <w:sz w:val="24"/>
          <w:szCs w:val="24"/>
          <w:lang w:val="en-GB"/>
        </w:rPr>
        <w:t>回顾</w:t>
      </w:r>
      <w:r w:rsidRPr="000C0842">
        <w:rPr>
          <w:rFonts w:eastAsia="SimSun"/>
          <w:bCs/>
          <w:sz w:val="24"/>
          <w:szCs w:val="24"/>
          <w:lang w:val="en-GB"/>
        </w:rPr>
        <w:t>各国对其自然资源的主权权利，</w:t>
      </w:r>
    </w:p>
    <w:p w14:paraId="1E7641E1"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通过</w:t>
      </w:r>
      <w:r w:rsidRPr="000C0842">
        <w:rPr>
          <w:rFonts w:eastAsia="SimSun"/>
          <w:sz w:val="24"/>
          <w:szCs w:val="24"/>
          <w:lang w:val="en-GB"/>
        </w:rPr>
        <w:t>本决定附件所载公正和公平分享利用遗传资源数字序列信息所产生惠益的多边机制包括一个全球基金的运作模式；</w:t>
      </w:r>
    </w:p>
    <w:p w14:paraId="39CA0BE3"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决定</w:t>
      </w:r>
      <w:r w:rsidRPr="000C0842">
        <w:rPr>
          <w:rFonts w:eastAsia="SimSun"/>
          <w:sz w:val="24"/>
          <w:szCs w:val="24"/>
          <w:lang w:val="en-GB"/>
        </w:rPr>
        <w:t>将全球基金称为公正和公平分享利用遗传资源数字序列信息所产生惠益卡利基金；</w:t>
      </w:r>
    </w:p>
    <w:p w14:paraId="1736D151"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又决定</w:t>
      </w:r>
      <w:r w:rsidRPr="000C0842">
        <w:rPr>
          <w:rFonts w:eastAsia="SimSun"/>
          <w:sz w:val="24"/>
          <w:szCs w:val="24"/>
          <w:lang w:val="en-GB"/>
        </w:rPr>
        <w:t>进一步探讨多边机制的模式，包括在第</w:t>
      </w:r>
      <w:r w:rsidRPr="000C0842">
        <w:rPr>
          <w:rFonts w:eastAsia="SimSun"/>
          <w:sz w:val="24"/>
          <w:szCs w:val="24"/>
          <w:lang w:val="en-GB"/>
        </w:rPr>
        <w:t xml:space="preserve"> </w:t>
      </w:r>
      <w:hyperlink r:id="rId20" w:history="1">
        <w:r w:rsidRPr="000C0842">
          <w:rPr>
            <w:rStyle w:val="Hyperlink"/>
            <w:rFonts w:eastAsia="SimSun"/>
            <w:color w:val="auto"/>
            <w:sz w:val="24"/>
            <w:szCs w:val="24"/>
            <w:lang w:val="en-GB"/>
          </w:rPr>
          <w:t>15/9</w:t>
        </w:r>
      </w:hyperlink>
      <w:r w:rsidRPr="000C0842">
        <w:rPr>
          <w:rFonts w:eastAsia="SimSun"/>
          <w:sz w:val="24"/>
          <w:szCs w:val="24"/>
          <w:lang w:val="en-GB"/>
        </w:rPr>
        <w:t xml:space="preserve"> </w:t>
      </w:r>
      <w:r w:rsidRPr="000C0842">
        <w:rPr>
          <w:rFonts w:eastAsia="SimSun"/>
          <w:sz w:val="24"/>
          <w:szCs w:val="24"/>
          <w:lang w:val="en-GB"/>
        </w:rPr>
        <w:t>号决定第</w:t>
      </w:r>
      <w:r w:rsidRPr="000C0842">
        <w:rPr>
          <w:rFonts w:eastAsia="SimSun"/>
          <w:sz w:val="24"/>
          <w:szCs w:val="24"/>
          <w:lang w:val="en-GB"/>
        </w:rPr>
        <w:t xml:space="preserve"> 7 </w:t>
      </w:r>
      <w:r w:rsidRPr="000C0842">
        <w:rPr>
          <w:rFonts w:eastAsia="SimSun"/>
          <w:sz w:val="24"/>
          <w:szCs w:val="24"/>
          <w:lang w:val="en-GB"/>
        </w:rPr>
        <w:t>段和本决定附件的范围内考虑到产品和服务的其他可能模式；</w:t>
      </w:r>
    </w:p>
    <w:p w14:paraId="2D08DFB4"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还决定</w:t>
      </w:r>
      <w:r w:rsidRPr="000C0842">
        <w:rPr>
          <w:rFonts w:eastAsia="SimSun"/>
          <w:sz w:val="24"/>
          <w:szCs w:val="24"/>
          <w:lang w:val="en-GB"/>
        </w:rPr>
        <w:t>探讨可能的新工具和模式，如数据库，以便以透明和负责任的方式向所有缔约方开放遗传资源数字序列信息，任由获取；</w:t>
      </w:r>
    </w:p>
    <w:p w14:paraId="487AB69C"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缔约方、其他国家政府、土著人民和地方社区以及相关组织就第</w:t>
      </w:r>
      <w:r w:rsidRPr="000C0842">
        <w:rPr>
          <w:rFonts w:eastAsia="SimSun"/>
          <w:sz w:val="24"/>
          <w:szCs w:val="24"/>
          <w:lang w:val="en-GB"/>
        </w:rPr>
        <w:t>3</w:t>
      </w:r>
      <w:r w:rsidRPr="000C0842">
        <w:rPr>
          <w:rFonts w:eastAsia="SimSun"/>
          <w:sz w:val="24"/>
          <w:szCs w:val="24"/>
          <w:lang w:val="en-GB"/>
        </w:rPr>
        <w:t>段和第</w:t>
      </w:r>
      <w:r w:rsidRPr="000C0842">
        <w:rPr>
          <w:rFonts w:eastAsia="SimSun"/>
          <w:sz w:val="24"/>
          <w:szCs w:val="24"/>
          <w:lang w:val="en-GB"/>
        </w:rPr>
        <w:t>4</w:t>
      </w:r>
      <w:r w:rsidRPr="000C0842">
        <w:rPr>
          <w:rFonts w:eastAsia="SimSun"/>
          <w:sz w:val="24"/>
          <w:szCs w:val="24"/>
          <w:lang w:val="en-GB"/>
        </w:rPr>
        <w:t>段中提到的问题提交意见；</w:t>
      </w:r>
    </w:p>
    <w:p w14:paraId="26BC5DAF" w14:textId="77777777" w:rsidR="00184519" w:rsidRPr="000C0842" w:rsidRDefault="00184519" w:rsidP="005D751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请</w:t>
      </w:r>
      <w:r w:rsidRPr="000C0842">
        <w:rPr>
          <w:rFonts w:eastAsia="SimSun"/>
          <w:sz w:val="24"/>
          <w:szCs w:val="24"/>
          <w:lang w:val="en-GB"/>
        </w:rPr>
        <w:t>执行秘书在资源允许的情况下：</w:t>
      </w:r>
      <w:r w:rsidRPr="000C0842">
        <w:rPr>
          <w:rFonts w:eastAsia="SimSun"/>
          <w:sz w:val="24"/>
          <w:szCs w:val="24"/>
          <w:lang w:val="en-GB"/>
        </w:rPr>
        <w:t xml:space="preserve"> </w:t>
      </w:r>
    </w:p>
    <w:p w14:paraId="2362C257"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(a)</w:t>
      </w:r>
      <w:r w:rsidRPr="000C0842">
        <w:rPr>
          <w:rFonts w:eastAsia="SimSun"/>
          <w:sz w:val="24"/>
          <w:szCs w:val="24"/>
        </w:rPr>
        <w:tab/>
      </w:r>
      <w:r w:rsidRPr="000C0842">
        <w:rPr>
          <w:rFonts w:eastAsia="SimSun"/>
          <w:sz w:val="24"/>
          <w:szCs w:val="24"/>
          <w:lang w:val="en-GB"/>
        </w:rPr>
        <w:t>综合根据第</w:t>
      </w:r>
      <w:r w:rsidRPr="000C0842">
        <w:rPr>
          <w:rFonts w:eastAsia="SimSun"/>
          <w:sz w:val="24"/>
          <w:szCs w:val="24"/>
          <w:lang w:val="en-GB"/>
        </w:rPr>
        <w:t>5</w:t>
      </w:r>
      <w:r w:rsidRPr="000C0842">
        <w:rPr>
          <w:rFonts w:eastAsia="SimSun"/>
          <w:sz w:val="24"/>
          <w:szCs w:val="24"/>
          <w:lang w:val="en-GB"/>
        </w:rPr>
        <w:t>段提交的意见；</w:t>
      </w:r>
    </w:p>
    <w:p w14:paraId="1EC64D30"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(b)</w:t>
      </w:r>
      <w:r w:rsidRPr="000C0842">
        <w:rPr>
          <w:rFonts w:eastAsia="SimSun"/>
          <w:sz w:val="24"/>
          <w:szCs w:val="24"/>
        </w:rPr>
        <w:tab/>
      </w:r>
      <w:r w:rsidRPr="000C0842">
        <w:rPr>
          <w:rFonts w:eastAsia="SimSun"/>
          <w:sz w:val="24"/>
          <w:szCs w:val="24"/>
          <w:lang w:val="en-GB"/>
        </w:rPr>
        <w:t>委托开展一项研究，探讨以透明和负责任的方式开放遗传资源数字序列信息任由获取的备选方案；</w:t>
      </w:r>
    </w:p>
    <w:p w14:paraId="388BEC27"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(c)</w:t>
      </w:r>
      <w:r w:rsidRPr="000C0842">
        <w:rPr>
          <w:rFonts w:eastAsia="SimSun"/>
          <w:sz w:val="24"/>
          <w:szCs w:val="24"/>
        </w:rPr>
        <w:tab/>
      </w:r>
      <w:r w:rsidRPr="000C0842">
        <w:rPr>
          <w:rFonts w:eastAsia="SimSun"/>
          <w:sz w:val="24"/>
          <w:szCs w:val="24"/>
          <w:lang w:val="en-GB"/>
        </w:rPr>
        <w:t>将综合意见和研究报告提交执行问题附属机构第六次会议审议；</w:t>
      </w:r>
    </w:p>
    <w:p w14:paraId="6AEF531B"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(d)</w:t>
      </w:r>
      <w:r w:rsidRPr="000C0842">
        <w:rPr>
          <w:rFonts w:eastAsia="SimSun"/>
          <w:sz w:val="24"/>
          <w:szCs w:val="24"/>
        </w:rPr>
        <w:tab/>
      </w:r>
      <w:r w:rsidRPr="000C0842">
        <w:rPr>
          <w:rFonts w:eastAsia="SimSun"/>
          <w:sz w:val="24"/>
          <w:szCs w:val="24"/>
          <w:lang w:val="en-GB"/>
        </w:rPr>
        <w:t>编写一份本决定附件第</w:t>
      </w:r>
      <w:r w:rsidRPr="000C0842">
        <w:rPr>
          <w:rFonts w:eastAsia="SimSun"/>
          <w:sz w:val="24"/>
          <w:szCs w:val="24"/>
          <w:lang w:val="en-GB"/>
        </w:rPr>
        <w:t>3</w:t>
      </w:r>
      <w:r w:rsidRPr="000C0842">
        <w:rPr>
          <w:rFonts w:eastAsia="SimSun"/>
          <w:sz w:val="24"/>
          <w:szCs w:val="24"/>
          <w:lang w:val="en-GB"/>
        </w:rPr>
        <w:t>段所述关于确定大、中、小型实体的国家和国际标准的研究报告；</w:t>
      </w:r>
    </w:p>
    <w:p w14:paraId="7A5422D3"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(e)</w:t>
      </w:r>
      <w:r w:rsidRPr="000C0842">
        <w:rPr>
          <w:rFonts w:eastAsia="SimSun"/>
          <w:sz w:val="24"/>
          <w:szCs w:val="24"/>
        </w:rPr>
        <w:tab/>
      </w:r>
      <w:r w:rsidRPr="000C0842">
        <w:rPr>
          <w:rFonts w:eastAsia="SimSun"/>
          <w:sz w:val="24"/>
          <w:szCs w:val="24"/>
          <w:lang w:val="en-GB"/>
        </w:rPr>
        <w:t>委托进行一项关于捐款率包括对创收和经济竞争力的影响的研究；</w:t>
      </w:r>
    </w:p>
    <w:p w14:paraId="08C8E7C6" w14:textId="4079863F" w:rsidR="00184519" w:rsidRPr="000C0842" w:rsidRDefault="00184519" w:rsidP="00671994">
      <w:pPr>
        <w:pStyle w:val="ListParagraph"/>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sz w:val="24"/>
          <w:szCs w:val="24"/>
          <w:lang w:val="en-GB"/>
        </w:rPr>
        <w:t>请</w:t>
      </w:r>
      <w:r w:rsidRPr="000C0842">
        <w:rPr>
          <w:rFonts w:eastAsia="SimSun"/>
          <w:sz w:val="24"/>
          <w:szCs w:val="24"/>
          <w:lang w:val="en-GB"/>
        </w:rPr>
        <w:t>执行问题附属机构审议第</w:t>
      </w:r>
      <w:r w:rsidRPr="000C0842">
        <w:rPr>
          <w:rFonts w:eastAsia="SimSun"/>
          <w:sz w:val="24"/>
          <w:szCs w:val="24"/>
          <w:lang w:val="en-GB"/>
        </w:rPr>
        <w:t>6 (a)</w:t>
      </w:r>
      <w:r w:rsidRPr="000C0842">
        <w:rPr>
          <w:rFonts w:eastAsia="SimSun"/>
          <w:sz w:val="24"/>
          <w:szCs w:val="24"/>
          <w:lang w:val="en-GB"/>
        </w:rPr>
        <w:t>和</w:t>
      </w:r>
      <w:r w:rsidRPr="000C0842">
        <w:rPr>
          <w:rFonts w:eastAsia="SimSun"/>
          <w:sz w:val="24"/>
          <w:szCs w:val="24"/>
          <w:lang w:val="en-GB"/>
        </w:rPr>
        <w:t>(b)</w:t>
      </w:r>
      <w:r w:rsidRPr="000C0842">
        <w:rPr>
          <w:rFonts w:eastAsia="SimSun"/>
          <w:sz w:val="24"/>
          <w:szCs w:val="24"/>
          <w:lang w:val="en-GB"/>
        </w:rPr>
        <w:t>段所述综合意见和研究报告，并就下列问题向缔约方</w:t>
      </w:r>
      <w:r w:rsidR="004D457F" w:rsidRPr="000C0842">
        <w:rPr>
          <w:rFonts w:eastAsia="SimSun" w:hint="eastAsia"/>
          <w:sz w:val="24"/>
          <w:szCs w:val="24"/>
          <w:lang w:val="en-GB"/>
        </w:rPr>
        <w:t>大会</w:t>
      </w:r>
      <w:r w:rsidRPr="000C0842">
        <w:rPr>
          <w:rFonts w:eastAsia="SimSun"/>
          <w:sz w:val="24"/>
          <w:szCs w:val="24"/>
          <w:lang w:val="en-GB"/>
        </w:rPr>
        <w:t>第十七届会议提出建议：</w:t>
      </w:r>
    </w:p>
    <w:p w14:paraId="1E7058CB"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(a)</w:t>
      </w:r>
      <w:r w:rsidRPr="000C0842">
        <w:rPr>
          <w:rFonts w:eastAsia="SimSun"/>
          <w:sz w:val="24"/>
          <w:szCs w:val="24"/>
        </w:rPr>
        <w:tab/>
      </w:r>
      <w:r w:rsidRPr="000C0842">
        <w:rPr>
          <w:rFonts w:eastAsia="SimSun"/>
          <w:sz w:val="24"/>
          <w:szCs w:val="24"/>
          <w:lang w:val="en-GB"/>
        </w:rPr>
        <w:t>公正和</w:t>
      </w:r>
      <w:r w:rsidRPr="000C0842">
        <w:rPr>
          <w:rFonts w:eastAsia="SimSun"/>
          <w:snapToGrid w:val="0"/>
          <w:kern w:val="22"/>
          <w:sz w:val="24"/>
          <w:szCs w:val="24"/>
        </w:rPr>
        <w:t>公平</w:t>
      </w:r>
      <w:r w:rsidRPr="000C0842">
        <w:rPr>
          <w:rFonts w:eastAsia="SimSun"/>
          <w:sz w:val="24"/>
          <w:szCs w:val="24"/>
          <w:lang w:val="en-GB"/>
        </w:rPr>
        <w:t>分享利用遗传资源数字序列信息所产生惠益的其他可能模式；</w:t>
      </w:r>
    </w:p>
    <w:p w14:paraId="570B309F"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b/>
        </w:rPr>
      </w:pPr>
      <w:r w:rsidRPr="000C0842">
        <w:rPr>
          <w:rFonts w:eastAsia="SimSun"/>
          <w:sz w:val="24"/>
          <w:szCs w:val="24"/>
        </w:rPr>
        <w:t>(b)</w:t>
      </w:r>
      <w:r w:rsidRPr="000C0842">
        <w:rPr>
          <w:rFonts w:eastAsia="SimSun"/>
          <w:sz w:val="24"/>
          <w:szCs w:val="24"/>
        </w:rPr>
        <w:tab/>
      </w:r>
      <w:r w:rsidRPr="000C0842">
        <w:rPr>
          <w:rFonts w:eastAsia="SimSun"/>
          <w:sz w:val="24"/>
          <w:szCs w:val="24"/>
          <w:lang w:val="en-GB"/>
        </w:rPr>
        <w:t>以透明和负责任的方式提供任由获取的遗传资源数字序列信息的可能工具和平台，如数据库。</w:t>
      </w:r>
    </w:p>
    <w:p w14:paraId="55741690" w14:textId="77777777" w:rsidR="00184519" w:rsidRPr="000C0842" w:rsidRDefault="00184519" w:rsidP="004D457F">
      <w:pPr>
        <w:tabs>
          <w:tab w:val="clear" w:pos="567"/>
          <w:tab w:val="clear" w:pos="1134"/>
          <w:tab w:val="clear" w:pos="1701"/>
          <w:tab w:val="clear" w:pos="2268"/>
        </w:tabs>
        <w:spacing w:before="240"/>
        <w:ind w:firstLine="490"/>
        <w:jc w:val="left"/>
        <w:rPr>
          <w:rFonts w:eastAsia="SimSun"/>
          <w:b/>
          <w:sz w:val="28"/>
          <w:szCs w:val="28"/>
          <w:lang w:val="en-GB"/>
        </w:rPr>
      </w:pPr>
      <w:r w:rsidRPr="000C0842">
        <w:rPr>
          <w:rFonts w:eastAsia="SimSun"/>
          <w:b/>
          <w:sz w:val="24"/>
          <w:szCs w:val="24"/>
          <w:lang w:val="en-GB"/>
        </w:rPr>
        <w:t>附件</w:t>
      </w:r>
    </w:p>
    <w:p w14:paraId="61926C73" w14:textId="77777777" w:rsidR="00184519" w:rsidRPr="000C0842" w:rsidRDefault="00184519" w:rsidP="009C1640">
      <w:pPr>
        <w:tabs>
          <w:tab w:val="clear" w:pos="567"/>
          <w:tab w:val="clear" w:pos="1134"/>
          <w:tab w:val="clear" w:pos="1701"/>
          <w:tab w:val="clear" w:pos="2268"/>
        </w:tabs>
        <w:adjustRightInd w:val="0"/>
        <w:spacing w:after="240"/>
        <w:ind w:left="490"/>
        <w:rPr>
          <w:bCs/>
          <w:sz w:val="24"/>
          <w:szCs w:val="24"/>
          <w:lang w:val="en-GB"/>
        </w:rPr>
      </w:pPr>
      <w:r w:rsidRPr="000C0842">
        <w:rPr>
          <w:rFonts w:eastAsia="SimSun"/>
          <w:b/>
          <w:sz w:val="24"/>
          <w:szCs w:val="24"/>
          <w:lang w:val="en-GB"/>
        </w:rPr>
        <w:t>公正和公平分享利用遗传资源数字序列信息所产生惠益的多边机制包括一个全球基金的运作模式</w:t>
      </w:r>
      <w:r w:rsidRPr="000C0842">
        <w:rPr>
          <w:rFonts w:eastAsia="SimSun"/>
          <w:b/>
          <w:sz w:val="24"/>
          <w:szCs w:val="24"/>
          <w:lang w:val="en-GB"/>
        </w:rPr>
        <w:t xml:space="preserve"> </w:t>
      </w:r>
    </w:p>
    <w:p w14:paraId="49576552"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公正和公平分享利用</w:t>
      </w:r>
      <w:r w:rsidRPr="000C0842">
        <w:rPr>
          <w:rFonts w:eastAsia="SimSun"/>
          <w:snapToGrid w:val="0"/>
          <w:kern w:val="22"/>
          <w:sz w:val="24"/>
          <w:szCs w:val="24"/>
          <w:lang w:eastAsia="zh-CN"/>
        </w:rPr>
        <w:t>遗传资源</w:t>
      </w:r>
      <w:r w:rsidRPr="000C0842">
        <w:rPr>
          <w:rFonts w:eastAsia="SimSun"/>
          <w:sz w:val="24"/>
          <w:szCs w:val="24"/>
          <w:lang w:val="en-GB" w:eastAsia="zh-CN"/>
        </w:rPr>
        <w:t>数字序列信息所产生惠益的多边机制涵盖以下遗传资源数字序列信息，而不影响国家法律：</w:t>
      </w:r>
      <w:r w:rsidRPr="000C0842">
        <w:rPr>
          <w:rFonts w:eastAsia="SimSun"/>
          <w:sz w:val="24"/>
          <w:szCs w:val="24"/>
          <w:lang w:val="en-GB" w:eastAsia="zh-CN"/>
        </w:rPr>
        <w:t> </w:t>
      </w:r>
    </w:p>
    <w:p w14:paraId="38D6EA0F"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(a)</w:t>
      </w:r>
      <w:r w:rsidRPr="000C0842">
        <w:rPr>
          <w:rFonts w:eastAsia="SimSun"/>
          <w:sz w:val="24"/>
          <w:szCs w:val="24"/>
        </w:rPr>
        <w:tab/>
      </w:r>
      <w:r w:rsidRPr="000C0842">
        <w:rPr>
          <w:rFonts w:eastAsia="SimSun"/>
          <w:sz w:val="24"/>
          <w:szCs w:val="24"/>
          <w:lang w:val="en-GB"/>
        </w:rPr>
        <w:t>酌情根据国家法律向公众开放；</w:t>
      </w:r>
    </w:p>
    <w:p w14:paraId="27DE112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(b)</w:t>
      </w:r>
      <w:r w:rsidRPr="000C0842">
        <w:rPr>
          <w:rFonts w:eastAsia="SimSun"/>
          <w:sz w:val="24"/>
          <w:szCs w:val="24"/>
        </w:rPr>
        <w:tab/>
      </w:r>
      <w:r w:rsidRPr="000C0842">
        <w:rPr>
          <w:rFonts w:eastAsia="SimSun"/>
          <w:sz w:val="24"/>
          <w:szCs w:val="24"/>
          <w:lang w:val="en-GB"/>
        </w:rPr>
        <w:t>不受获取产生数字序列信息的遗传资源时共同商定条件的限制，除非这些条件允许免费提供遗传资源数字序列信息；</w:t>
      </w:r>
      <w:r w:rsidRPr="000C0842">
        <w:rPr>
          <w:rFonts w:eastAsia="SimSun"/>
          <w:sz w:val="24"/>
          <w:szCs w:val="24"/>
          <w:lang w:val="en-GB"/>
        </w:rPr>
        <w:t>  </w:t>
      </w:r>
    </w:p>
    <w:p w14:paraId="0D45A904"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(c)</w:t>
      </w:r>
      <w:r w:rsidRPr="000C0842">
        <w:rPr>
          <w:rFonts w:eastAsia="SimSun"/>
          <w:sz w:val="24"/>
          <w:szCs w:val="24"/>
        </w:rPr>
        <w:tab/>
      </w:r>
      <w:r w:rsidRPr="000C0842">
        <w:rPr>
          <w:rFonts w:eastAsia="SimSun"/>
          <w:sz w:val="24"/>
          <w:szCs w:val="24"/>
          <w:lang w:val="en-GB"/>
        </w:rPr>
        <w:t>其他关于获取和惠益分享的国际文书未对公正和公平分享利用遗传资源数字序列信息所产生惠益作出规定，除非这些文书规定选择为此目的采用多边机制。</w:t>
      </w:r>
      <w:r w:rsidRPr="000C0842">
        <w:rPr>
          <w:rFonts w:eastAsia="SimSun"/>
          <w:sz w:val="24"/>
          <w:szCs w:val="24"/>
          <w:lang w:val="en-GB"/>
        </w:rPr>
        <w:t>  </w:t>
      </w:r>
    </w:p>
    <w:p w14:paraId="4471C4BC"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在多边机制下，所有遗传资源数字序列信息的用户都应公正公平地分享其利用所产生的惠益。</w:t>
      </w:r>
    </w:p>
    <w:p w14:paraId="5B9548AC"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在商业活动中直接或间接受益于遗传资源数字序列信息的行业，其用户应根据其规模向全球基金缴纳一定比例的利润或收入。</w:t>
      </w:r>
      <w:r w:rsidRPr="000C0842">
        <w:rPr>
          <w:rFonts w:eastAsia="SimSun"/>
          <w:sz w:val="24"/>
          <w:szCs w:val="24"/>
          <w:lang w:val="en-GB" w:eastAsia="zh-CN"/>
        </w:rPr>
        <w:t> </w:t>
      </w:r>
      <w:r w:rsidRPr="000C0842">
        <w:rPr>
          <w:rFonts w:eastAsia="SimSun"/>
          <w:sz w:val="24"/>
          <w:szCs w:val="24"/>
          <w:lang w:val="en-GB" w:eastAsia="zh-CN"/>
        </w:rPr>
        <w:t>考虑到第</w:t>
      </w:r>
      <w:r w:rsidRPr="000C0842">
        <w:rPr>
          <w:rFonts w:eastAsia="SimSun"/>
          <w:sz w:val="24"/>
          <w:szCs w:val="24"/>
          <w:lang w:val="en-GB" w:eastAsia="zh-CN"/>
        </w:rPr>
        <w:t>13</w:t>
      </w:r>
      <w:r w:rsidRPr="000C0842">
        <w:rPr>
          <w:rFonts w:eastAsia="SimSun"/>
          <w:sz w:val="24"/>
          <w:szCs w:val="24"/>
          <w:lang w:val="en-GB" w:eastAsia="zh-CN"/>
        </w:rPr>
        <w:t>段，作为一个提示性比率，在资产负债表日超过前三年平均三项阈值（即，总资产：</w:t>
      </w:r>
      <w:r w:rsidRPr="000C0842">
        <w:rPr>
          <w:rFonts w:eastAsia="SimSun"/>
          <w:sz w:val="24"/>
          <w:szCs w:val="24"/>
          <w:lang w:val="en-GB" w:eastAsia="zh-CN"/>
        </w:rPr>
        <w:t>2000</w:t>
      </w:r>
      <w:r w:rsidRPr="000C0842">
        <w:rPr>
          <w:rFonts w:eastAsia="SimSun"/>
          <w:sz w:val="24"/>
          <w:szCs w:val="24"/>
          <w:lang w:val="en-GB" w:eastAsia="zh-CN"/>
        </w:rPr>
        <w:t>万美元；销售额：</w:t>
      </w:r>
      <w:r w:rsidRPr="000C0842">
        <w:rPr>
          <w:rFonts w:eastAsia="SimSun"/>
          <w:sz w:val="24"/>
          <w:szCs w:val="24"/>
          <w:lang w:val="en-GB" w:eastAsia="zh-CN"/>
        </w:rPr>
        <w:t>5000</w:t>
      </w:r>
      <w:r w:rsidRPr="000C0842">
        <w:rPr>
          <w:rFonts w:eastAsia="SimSun"/>
          <w:sz w:val="24"/>
          <w:szCs w:val="24"/>
          <w:lang w:val="en-GB" w:eastAsia="zh-CN"/>
        </w:rPr>
        <w:t>万美元；利润：</w:t>
      </w:r>
      <w:r w:rsidRPr="000C0842">
        <w:rPr>
          <w:rFonts w:eastAsia="SimSun"/>
          <w:sz w:val="24"/>
          <w:szCs w:val="24"/>
          <w:lang w:val="en-GB" w:eastAsia="zh-CN"/>
        </w:rPr>
        <w:t>500</w:t>
      </w:r>
      <w:r w:rsidRPr="000C0842">
        <w:rPr>
          <w:rFonts w:eastAsia="SimSun"/>
          <w:sz w:val="24"/>
          <w:szCs w:val="24"/>
          <w:lang w:val="en-GB" w:eastAsia="zh-CN"/>
        </w:rPr>
        <w:t>万美元）中至少两项阈值的实体，应向全球基金捐出其利润的</w:t>
      </w:r>
      <w:r w:rsidRPr="000C0842">
        <w:rPr>
          <w:rFonts w:eastAsia="SimSun"/>
          <w:sz w:val="24"/>
          <w:szCs w:val="24"/>
          <w:lang w:val="en-GB" w:eastAsia="zh-CN"/>
        </w:rPr>
        <w:t>1%</w:t>
      </w:r>
      <w:r w:rsidRPr="000C0842">
        <w:rPr>
          <w:rFonts w:eastAsia="SimSun"/>
          <w:sz w:val="24"/>
          <w:szCs w:val="24"/>
          <w:lang w:val="en-GB" w:eastAsia="zh-CN"/>
        </w:rPr>
        <w:t>或收入的</w:t>
      </w:r>
      <w:r w:rsidRPr="000C0842">
        <w:rPr>
          <w:rFonts w:eastAsia="SimSun"/>
          <w:sz w:val="24"/>
          <w:szCs w:val="24"/>
          <w:lang w:val="en-GB" w:eastAsia="zh-CN"/>
        </w:rPr>
        <w:t xml:space="preserve"> 0.1%</w:t>
      </w:r>
      <w:r w:rsidRPr="000C0842">
        <w:rPr>
          <w:rFonts w:eastAsia="SimSun"/>
          <w:sz w:val="24"/>
          <w:szCs w:val="24"/>
          <w:lang w:val="en-GB" w:eastAsia="zh-CN"/>
        </w:rPr>
        <w:t>。</w:t>
      </w:r>
      <w:r w:rsidRPr="000C0842">
        <w:rPr>
          <w:rFonts w:eastAsia="SimSun"/>
          <w:sz w:val="24"/>
          <w:szCs w:val="24"/>
          <w:lang w:val="en-GB" w:eastAsia="zh-CN"/>
        </w:rPr>
        <w:t> </w:t>
      </w:r>
      <w:r w:rsidRPr="000C0842">
        <w:rPr>
          <w:rFonts w:eastAsia="SimSun"/>
          <w:sz w:val="24"/>
          <w:szCs w:val="24"/>
          <w:lang w:val="en-GB" w:eastAsia="zh-CN"/>
        </w:rPr>
        <w:t>附录一载有此类用户可能所属行业的指示性清单。</w:t>
      </w:r>
      <w:r w:rsidRPr="000C0842">
        <w:rPr>
          <w:rFonts w:eastAsia="SimSun"/>
          <w:sz w:val="24"/>
          <w:szCs w:val="24"/>
          <w:lang w:val="en-GB" w:eastAsia="zh-CN"/>
        </w:rPr>
        <w:t>  </w:t>
      </w:r>
    </w:p>
    <w:p w14:paraId="0911C94D" w14:textId="6C4BD592"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根据关于确定大、中、小型实体的国家和国际标准以及捐款率包括对创收和经济竞争力的影响的研究</w:t>
      </w:r>
      <w:r w:rsidR="001C7F7E" w:rsidRPr="000C0842">
        <w:rPr>
          <w:rStyle w:val="FootnoteReference"/>
          <w:rFonts w:eastAsia="SimSun"/>
          <w:sz w:val="24"/>
          <w:szCs w:val="24"/>
          <w:lang w:val="en-GB" w:eastAsia="zh-CN"/>
        </w:rPr>
        <w:footnoteReference w:id="8"/>
      </w:r>
      <w:r w:rsidRPr="000C0842">
        <w:rPr>
          <w:rFonts w:eastAsia="SimSun"/>
          <w:sz w:val="24"/>
          <w:szCs w:val="24"/>
          <w:lang w:val="en-GB" w:eastAsia="zh-CN"/>
        </w:rPr>
        <w:t>，缔约方大会在第十七届会议将确定门槛和捐款率，并在此后进行定期审查。</w:t>
      </w:r>
    </w:p>
    <w:p w14:paraId="0A644826"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第</w:t>
      </w:r>
      <w:r w:rsidRPr="000C0842">
        <w:rPr>
          <w:rFonts w:eastAsia="SimSun"/>
          <w:sz w:val="24"/>
          <w:szCs w:val="24"/>
          <w:lang w:val="en-GB" w:eastAsia="zh-CN"/>
        </w:rPr>
        <w:t xml:space="preserve"> 3 </w:t>
      </w:r>
      <w:r w:rsidRPr="000C0842">
        <w:rPr>
          <w:rFonts w:eastAsia="SimSun"/>
          <w:sz w:val="24"/>
          <w:szCs w:val="24"/>
          <w:lang w:val="en-GB" w:eastAsia="zh-CN"/>
        </w:rPr>
        <w:t>段的规定对活跃于附文一所列行业但不直接或间接使用遗传资源数字序列信息的实体不适用。</w:t>
      </w:r>
      <w:r w:rsidRPr="000C0842">
        <w:rPr>
          <w:rFonts w:eastAsia="SimSun"/>
          <w:sz w:val="24"/>
          <w:szCs w:val="24"/>
          <w:lang w:val="en-GB" w:eastAsia="zh-CN"/>
        </w:rPr>
        <w:t> </w:t>
      </w:r>
    </w:p>
    <w:p w14:paraId="44307D9F"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遗传资源数字序列信息的所有用户应酌情以公正公平的方式分享非货币惠益。非货币惠益分享是对这些模式中货币惠益分享规定的补充。</w:t>
      </w:r>
      <w:r w:rsidRPr="000C0842">
        <w:rPr>
          <w:rFonts w:eastAsia="SimSun"/>
          <w:sz w:val="24"/>
          <w:szCs w:val="24"/>
          <w:lang w:val="en-GB" w:eastAsia="zh-CN"/>
        </w:rPr>
        <w:t xml:space="preserve"> </w:t>
      </w:r>
    </w:p>
    <w:p w14:paraId="13500FDC" w14:textId="401E590B"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非货币惠益分享应支持自我确定的能力和技术发展需求和优先事项，包括遗传资源数字序列信息的生成、获取、使用和存储方面的能力建设，以及土著人民和地方社区，包括这些社区中妇女和青年自我确定的需求。非货币惠益的分享以正在开展的活动为基础，并将通过《生物多样性公约》的能力建设和发展长期战略框架</w:t>
      </w:r>
      <w:r w:rsidR="001C7F7E" w:rsidRPr="000C0842">
        <w:rPr>
          <w:rStyle w:val="FootnoteReference"/>
          <w:rFonts w:eastAsia="SimSun"/>
          <w:sz w:val="24"/>
          <w:szCs w:val="24"/>
          <w:lang w:val="en-GB" w:eastAsia="zh-CN"/>
        </w:rPr>
        <w:footnoteReference w:id="9"/>
      </w:r>
      <w:r w:rsidRPr="000C0842">
        <w:rPr>
          <w:rFonts w:eastAsia="SimSun"/>
          <w:sz w:val="24"/>
          <w:szCs w:val="24"/>
          <w:lang w:val="en-GB" w:eastAsia="zh-CN"/>
        </w:rPr>
        <w:t>及其加强技术和科学合作的机制加以促进，以支持《昆明</w:t>
      </w:r>
      <w:r w:rsidRPr="000C0842">
        <w:rPr>
          <w:rFonts w:eastAsia="SimSun"/>
          <w:sz w:val="24"/>
          <w:szCs w:val="24"/>
          <w:lang w:val="en-GB" w:eastAsia="zh-CN"/>
        </w:rPr>
        <w:t>-</w:t>
      </w:r>
      <w:r w:rsidRPr="000C0842">
        <w:rPr>
          <w:rFonts w:eastAsia="SimSun"/>
          <w:sz w:val="24"/>
          <w:szCs w:val="24"/>
          <w:lang w:val="en-GB" w:eastAsia="zh-CN"/>
        </w:rPr>
        <w:t>蒙特利尔全球生物多样性框架》</w:t>
      </w:r>
      <w:r w:rsidR="001C7F7E" w:rsidRPr="000C0842">
        <w:rPr>
          <w:rStyle w:val="FootnoteReference"/>
          <w:rFonts w:eastAsia="SimSun"/>
          <w:sz w:val="24"/>
          <w:szCs w:val="24"/>
          <w:lang w:val="en-GB" w:eastAsia="zh-CN"/>
        </w:rPr>
        <w:footnoteReference w:id="10"/>
      </w:r>
      <w:r w:rsidRPr="000C0842">
        <w:rPr>
          <w:rFonts w:eastAsia="SimSun"/>
          <w:sz w:val="24"/>
          <w:szCs w:val="24"/>
          <w:lang w:val="en-GB" w:eastAsia="zh-CN"/>
        </w:rPr>
        <w:t>。</w:t>
      </w:r>
      <w:r w:rsidRPr="000C0842">
        <w:rPr>
          <w:rFonts w:eastAsia="SimSun"/>
          <w:sz w:val="24"/>
          <w:szCs w:val="24"/>
          <w:lang w:val="en-GB" w:eastAsia="zh-CN"/>
        </w:rPr>
        <w:t>  </w:t>
      </w:r>
    </w:p>
    <w:p w14:paraId="017D2F43"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将通过《公约》下现有信息交流中心促进非货币惠益的分享，该信息交流中心将主要提供能力建设需求、知识交流以及正在开展的非货币惠益分享活动的展示和报告方面的信息。</w:t>
      </w:r>
      <w:r w:rsidRPr="000C0842">
        <w:rPr>
          <w:rFonts w:eastAsia="SimSun"/>
          <w:sz w:val="24"/>
          <w:szCs w:val="24"/>
          <w:lang w:val="en-GB" w:eastAsia="zh-CN"/>
        </w:rPr>
        <w:t> </w:t>
      </w:r>
    </w:p>
    <w:p w14:paraId="3A8AC3A1"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运营公共数据库的实体以及公共研究和学术机构不需向全球基金捐款。</w:t>
      </w:r>
      <w:r w:rsidRPr="000C0842">
        <w:rPr>
          <w:rFonts w:eastAsia="SimSun"/>
          <w:sz w:val="24"/>
          <w:szCs w:val="24"/>
          <w:lang w:val="en-GB" w:eastAsia="zh-CN"/>
        </w:rPr>
        <w:t> </w:t>
      </w:r>
    </w:p>
    <w:p w14:paraId="787FCA5B"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运营依赖遗传资源数字序列信息的数据库、工具和模型的实体，在公开提供此种信息时，应</w:t>
      </w:r>
      <w:r w:rsidRPr="000C0842">
        <w:rPr>
          <w:rFonts w:eastAsia="SimSun"/>
          <w:sz w:val="24"/>
          <w:szCs w:val="24"/>
          <w:lang w:val="en-GB" w:eastAsia="zh-CN"/>
        </w:rPr>
        <w:t>:</w:t>
      </w:r>
    </w:p>
    <w:p w14:paraId="59830CA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(a)</w:t>
      </w:r>
      <w:r w:rsidRPr="000C0842">
        <w:rPr>
          <w:rFonts w:eastAsia="SimSun"/>
          <w:sz w:val="24"/>
          <w:szCs w:val="24"/>
        </w:rPr>
        <w:tab/>
      </w:r>
      <w:r w:rsidRPr="000C0842">
        <w:rPr>
          <w:rFonts w:eastAsia="SimSun"/>
          <w:sz w:val="24"/>
          <w:szCs w:val="24"/>
          <w:lang w:val="en-GB"/>
        </w:rPr>
        <w:t>向数据库访问者提供关于公正和公平分享利用遗传资源数字序列信息所产生惠益的</w:t>
      </w:r>
      <w:r w:rsidRPr="000C0842">
        <w:rPr>
          <w:rFonts w:eastAsia="SimSun"/>
          <w:snapToGrid w:val="0"/>
          <w:kern w:val="22"/>
          <w:sz w:val="24"/>
          <w:szCs w:val="24"/>
        </w:rPr>
        <w:t>多边</w:t>
      </w:r>
      <w:r w:rsidRPr="000C0842">
        <w:rPr>
          <w:rFonts w:eastAsia="SimSun"/>
          <w:sz w:val="24"/>
          <w:szCs w:val="24"/>
          <w:lang w:val="en-GB"/>
        </w:rPr>
        <w:t>机制的信息，并强调通过数据库访问利用此种信息而产生货币惠益可能需要通过多边机制分享这些惠益；</w:t>
      </w:r>
    </w:p>
    <w:p w14:paraId="138A405C"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(b)</w:t>
      </w:r>
      <w:r w:rsidRPr="000C0842">
        <w:rPr>
          <w:rFonts w:eastAsia="SimSun"/>
          <w:sz w:val="24"/>
          <w:szCs w:val="24"/>
        </w:rPr>
        <w:tab/>
      </w:r>
      <w:r w:rsidRPr="000C0842">
        <w:rPr>
          <w:rFonts w:eastAsia="SimSun"/>
          <w:sz w:val="24"/>
          <w:szCs w:val="24"/>
          <w:lang w:val="en-GB"/>
        </w:rPr>
        <w:t>告知提交</w:t>
      </w:r>
      <w:r w:rsidRPr="000C0842">
        <w:rPr>
          <w:rFonts w:eastAsia="SimSun"/>
          <w:snapToGrid w:val="0"/>
          <w:kern w:val="22"/>
          <w:sz w:val="24"/>
          <w:szCs w:val="24"/>
        </w:rPr>
        <w:t>数据</w:t>
      </w:r>
      <w:r w:rsidRPr="000C0842">
        <w:rPr>
          <w:rFonts w:eastAsia="SimSun"/>
          <w:sz w:val="24"/>
          <w:szCs w:val="24"/>
          <w:lang w:val="en-GB"/>
        </w:rPr>
        <w:t>者必须遵守适用的国家和国际获取和惠益分享义务；</w:t>
      </w:r>
      <w:r w:rsidRPr="000C0842">
        <w:rPr>
          <w:rFonts w:eastAsia="SimSun"/>
          <w:sz w:val="24"/>
          <w:szCs w:val="24"/>
          <w:lang w:val="en-GB"/>
        </w:rPr>
        <w:t> </w:t>
      </w:r>
    </w:p>
    <w:p w14:paraId="39D3D866"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(c)</w:t>
      </w:r>
      <w:r w:rsidRPr="000C0842">
        <w:rPr>
          <w:rFonts w:eastAsia="SimSun"/>
          <w:sz w:val="24"/>
          <w:szCs w:val="24"/>
        </w:rPr>
        <w:tab/>
      </w:r>
      <w:r w:rsidRPr="000C0842">
        <w:rPr>
          <w:rFonts w:eastAsia="SimSun"/>
          <w:sz w:val="24"/>
          <w:szCs w:val="24"/>
          <w:lang w:val="en-GB"/>
        </w:rPr>
        <w:t>要求提供</w:t>
      </w:r>
      <w:r w:rsidRPr="000C0842">
        <w:rPr>
          <w:rFonts w:eastAsia="SimSun"/>
          <w:snapToGrid w:val="0"/>
          <w:kern w:val="22"/>
          <w:sz w:val="24"/>
          <w:szCs w:val="24"/>
        </w:rPr>
        <w:t>数字</w:t>
      </w:r>
      <w:r w:rsidRPr="000C0842">
        <w:rPr>
          <w:rFonts w:eastAsia="SimSun"/>
          <w:sz w:val="24"/>
          <w:szCs w:val="24"/>
          <w:lang w:val="en-GB"/>
        </w:rPr>
        <w:t>序列信息来源的遗传资源原产国信息（如果已知），并酌情提供与数字序列信息来源的遗传资源相关的元数据，包括说明与遗传资源相关的传统知识的使用情况及其来源或出处；</w:t>
      </w:r>
      <w:r w:rsidRPr="000C0842">
        <w:rPr>
          <w:rFonts w:eastAsia="SimSun"/>
          <w:sz w:val="24"/>
          <w:szCs w:val="24"/>
          <w:lang w:val="en-GB"/>
        </w:rPr>
        <w:t> </w:t>
      </w:r>
    </w:p>
    <w:p w14:paraId="0F2185C4"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(d)</w:t>
      </w:r>
      <w:r w:rsidRPr="000C0842">
        <w:rPr>
          <w:rFonts w:eastAsia="SimSun"/>
          <w:sz w:val="24"/>
          <w:szCs w:val="24"/>
        </w:rPr>
        <w:tab/>
      </w:r>
      <w:r w:rsidRPr="000C0842">
        <w:rPr>
          <w:rFonts w:eastAsia="SimSun"/>
          <w:sz w:val="24"/>
          <w:szCs w:val="24"/>
          <w:lang w:val="en-GB"/>
        </w:rPr>
        <w:t>在</w:t>
      </w:r>
      <w:r w:rsidRPr="000C0842">
        <w:rPr>
          <w:rFonts w:eastAsia="SimSun"/>
          <w:snapToGrid w:val="0"/>
          <w:kern w:val="22"/>
          <w:sz w:val="24"/>
          <w:szCs w:val="24"/>
        </w:rPr>
        <w:t>数据治理</w:t>
      </w:r>
      <w:r w:rsidRPr="000C0842">
        <w:rPr>
          <w:rFonts w:eastAsia="SimSun"/>
          <w:sz w:val="24"/>
          <w:szCs w:val="24"/>
          <w:lang w:val="en-GB"/>
        </w:rPr>
        <w:t>方面，保持数据开放获取的一致性，同时考虑到可找寻、可访问、可交互和可再用原则（</w:t>
      </w:r>
      <w:r w:rsidRPr="000C0842">
        <w:rPr>
          <w:rFonts w:eastAsia="SimSun"/>
          <w:sz w:val="24"/>
          <w:szCs w:val="24"/>
          <w:lang w:val="en-GB"/>
        </w:rPr>
        <w:t>FAIR</w:t>
      </w:r>
      <w:r w:rsidRPr="000C0842">
        <w:rPr>
          <w:rFonts w:eastAsia="SimSun"/>
          <w:sz w:val="24"/>
          <w:szCs w:val="24"/>
          <w:lang w:val="en-GB"/>
        </w:rPr>
        <w:t>）、集体利益、控制权、责任和伦理原则（</w:t>
      </w:r>
      <w:r w:rsidRPr="000C0842">
        <w:rPr>
          <w:rFonts w:eastAsia="SimSun"/>
          <w:sz w:val="24"/>
          <w:szCs w:val="24"/>
          <w:lang w:val="en-GB"/>
        </w:rPr>
        <w:t>CARE</w:t>
      </w:r>
      <w:r w:rsidRPr="000C0842">
        <w:rPr>
          <w:rFonts w:eastAsia="SimSun"/>
          <w:sz w:val="24"/>
          <w:szCs w:val="24"/>
          <w:lang w:val="en-GB"/>
        </w:rPr>
        <w:t>）、透明度、责任、以用户为中心、可持续性和技术原则（</w:t>
      </w:r>
      <w:r w:rsidRPr="000C0842">
        <w:rPr>
          <w:rFonts w:eastAsia="SimSun"/>
          <w:sz w:val="24"/>
          <w:szCs w:val="24"/>
          <w:lang w:val="en-GB"/>
        </w:rPr>
        <w:t>TRUST</w:t>
      </w:r>
      <w:r w:rsidRPr="000C0842">
        <w:rPr>
          <w:rFonts w:eastAsia="SimSun"/>
          <w:sz w:val="24"/>
          <w:szCs w:val="24"/>
          <w:lang w:val="en-GB"/>
        </w:rPr>
        <w:t>），以及联合国教科文组织《开放科学建议书》第三部分提出的建议；</w:t>
      </w:r>
    </w:p>
    <w:p w14:paraId="14157956"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rPr>
        <w:t xml:space="preserve">(e)  </w:t>
      </w:r>
      <w:r w:rsidRPr="000C0842">
        <w:rPr>
          <w:rFonts w:eastAsia="SimSun"/>
          <w:sz w:val="24"/>
          <w:szCs w:val="24"/>
          <w:lang w:val="en-GB"/>
        </w:rPr>
        <w:t>要求提交</w:t>
      </w:r>
      <w:r w:rsidRPr="000C0842">
        <w:rPr>
          <w:rFonts w:eastAsia="SimSun"/>
          <w:snapToGrid w:val="0"/>
          <w:kern w:val="22"/>
          <w:sz w:val="24"/>
          <w:szCs w:val="24"/>
        </w:rPr>
        <w:t>遗传资源</w:t>
      </w:r>
      <w:r w:rsidRPr="000C0842">
        <w:rPr>
          <w:rFonts w:eastAsia="SimSun"/>
          <w:sz w:val="24"/>
          <w:szCs w:val="24"/>
          <w:lang w:val="en-GB"/>
        </w:rPr>
        <w:t>数字序列信息者说明这些信息不受任何禁止共享的限制。</w:t>
      </w:r>
    </w:p>
    <w:p w14:paraId="16DC9683"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资助、赞助或主持序列数据库的缔约方应确保运营此类数据库的实体采取措施，确保有效执行本决定和缔约方大会今后的其他相关决定。</w:t>
      </w:r>
      <w:r w:rsidRPr="000C0842">
        <w:rPr>
          <w:rFonts w:eastAsia="SimSun"/>
          <w:sz w:val="24"/>
          <w:szCs w:val="24"/>
          <w:lang w:val="en-GB" w:eastAsia="zh-CN"/>
        </w:rPr>
        <w:t> </w:t>
      </w:r>
    </w:p>
    <w:p w14:paraId="2786D0E5"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鼓励资助、赞助或主持序列数据库的其他国家政府确保运营此类数据库的实体采取措施，确保有效执行本决定和缔约方大会今后的其他相关决定。</w:t>
      </w:r>
      <w:r w:rsidRPr="000C0842">
        <w:rPr>
          <w:rFonts w:eastAsia="SimSun"/>
          <w:sz w:val="24"/>
          <w:szCs w:val="24"/>
          <w:lang w:val="en-GB" w:eastAsia="zh-CN"/>
        </w:rPr>
        <w:t> </w:t>
      </w:r>
    </w:p>
    <w:p w14:paraId="7A08A898"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请缔约方和非缔约方采取符合国家法律的行政、政策或法律措施，鼓励其管辖范围内的用户按照多边机制的模式向全球基金捐款。</w:t>
      </w:r>
      <w:r w:rsidRPr="000C0842">
        <w:rPr>
          <w:rFonts w:eastAsia="SimSun"/>
          <w:sz w:val="24"/>
          <w:szCs w:val="24"/>
          <w:lang w:val="en-GB" w:eastAsia="zh-CN"/>
        </w:rPr>
        <w:t>  </w:t>
      </w:r>
    </w:p>
    <w:p w14:paraId="3938D365"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对全球基金的捐款应直接提供，也可通过国家当局提供。全球基金收到捐款时将开具收据。</w:t>
      </w:r>
    </w:p>
    <w:p w14:paraId="54128D0D"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用户每年按照多边机制的模式向基金提供捐款，将视为已在多边机制下公正公平地分享了利用遗传资源数字序列信息所产生的货币惠益，并将获得相应的证书。这种证书意味着用户当年无需在多边机制范围内再分享从利用此种信息所获得的其他货币惠益。</w:t>
      </w:r>
    </w:p>
    <w:p w14:paraId="66BA10E0"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鼓励向全球基金提供上文各段规定之外的捐款。</w:t>
      </w:r>
      <w:r w:rsidRPr="000C0842">
        <w:rPr>
          <w:rFonts w:eastAsia="SimSun"/>
          <w:sz w:val="24"/>
          <w:szCs w:val="24"/>
          <w:lang w:val="en-GB" w:eastAsia="zh-CN"/>
        </w:rPr>
        <w:t> </w:t>
      </w:r>
    </w:p>
    <w:p w14:paraId="0B264376"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pacing w:val="-20"/>
          <w:sz w:val="24"/>
          <w:szCs w:val="24"/>
          <w:lang w:val="en-GB" w:eastAsia="zh-CN"/>
        </w:rPr>
      </w:pPr>
      <w:r w:rsidRPr="000C0842">
        <w:rPr>
          <w:rFonts w:eastAsia="SimSun"/>
          <w:spacing w:val="-20"/>
          <w:sz w:val="24"/>
          <w:szCs w:val="24"/>
          <w:lang w:val="en-GB" w:eastAsia="zh-CN"/>
        </w:rPr>
        <w:t>来自全球基金的资金应以公正、公平、透明、负责任和促进性别平等的方式分配。</w:t>
      </w:r>
    </w:p>
    <w:p w14:paraId="55F6B06D"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资金应支持发展中国家缔约方，特别是最不发达国家、小岛屿发展中国家和经济转型国家缔约方实现《公约》的各项目标，特别是保护和可持续利用生物多样性的目标，包括通过开展国家生物多样性战略和行动计划中所述活动，促进生物多样性科学研究，惠及土著人民和地方社区，包括这些社区中的妇女和青年，并根据《公约》第</w:t>
      </w:r>
      <w:r w:rsidRPr="000C0842">
        <w:rPr>
          <w:rFonts w:eastAsia="SimSun"/>
          <w:sz w:val="24"/>
          <w:szCs w:val="24"/>
          <w:lang w:val="en-GB" w:eastAsia="zh-CN"/>
        </w:rPr>
        <w:t xml:space="preserve"> 16 </w:t>
      </w:r>
      <w:r w:rsidRPr="000C0842">
        <w:rPr>
          <w:rFonts w:eastAsia="SimSun"/>
          <w:sz w:val="24"/>
          <w:szCs w:val="24"/>
          <w:lang w:val="en-GB" w:eastAsia="zh-CN"/>
        </w:rPr>
        <w:t>条支持能力建设，以根据能力需求生成、获取、使用、分析和储存遗传资源数字序列信息。发达国家的土著人民和地方社区在适当情况下也可获得用于这些目的的资金。如果任何其他政府间论坛决定利用多边机制分享利用遗传资源数字序列信息所产生的惠益，则资金也应支持其目标的实现。</w:t>
      </w:r>
    </w:p>
    <w:p w14:paraId="73DB2607"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资金的分配将考虑到全球基金的总体可用资金水平和附文二所载指示性标准清单。缔约方大会第十七届会议将根据设立的附文三所载职权范围小组的工作确定一个公式。</w:t>
      </w:r>
    </w:p>
    <w:p w14:paraId="394ED1FB"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如第</w:t>
      </w:r>
      <w:r w:rsidRPr="000C0842">
        <w:rPr>
          <w:rFonts w:eastAsia="SimSun"/>
          <w:sz w:val="24"/>
          <w:szCs w:val="24"/>
          <w:lang w:val="en-GB" w:eastAsia="zh-CN"/>
        </w:rPr>
        <w:t>19</w:t>
      </w:r>
      <w:r w:rsidRPr="000C0842">
        <w:rPr>
          <w:rFonts w:eastAsia="SimSun"/>
          <w:sz w:val="24"/>
          <w:szCs w:val="24"/>
          <w:lang w:val="en-GB" w:eastAsia="zh-CN"/>
        </w:rPr>
        <w:t>段所述，对缔约方的资金将通过直接向各国拨款的方式发放。请各受援缔约方酌情指定或设立一个国家实体，如国家生物多样性基金，以透明的方式接收和分配资金，支持第</w:t>
      </w:r>
      <w:r w:rsidRPr="000C0842">
        <w:rPr>
          <w:rFonts w:eastAsia="SimSun"/>
          <w:sz w:val="24"/>
          <w:szCs w:val="24"/>
          <w:lang w:val="en-GB" w:eastAsia="zh-CN"/>
        </w:rPr>
        <w:t>18</w:t>
      </w:r>
      <w:r w:rsidRPr="000C0842">
        <w:rPr>
          <w:rFonts w:eastAsia="SimSun"/>
          <w:sz w:val="24"/>
          <w:szCs w:val="24"/>
          <w:lang w:val="en-GB" w:eastAsia="zh-CN"/>
        </w:rPr>
        <w:t>段所述活动。这类实体可以根据通过国家或社区驱动的进程制定的项目以透明方式分配资源，并应负责确保资金用于所分配资源的自我确定目的。它们应根据国际公认的信托标准运作，并就基金开展的活动及其影响提供报告。受援缔约方也可自行决定指定一个国际、区域或次区域实体履行这些职能。</w:t>
      </w:r>
    </w:p>
    <w:p w14:paraId="1FDA5258"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应酌情并根据国情和国家法律，将全球基金至少一半资金通过政府主管部门或通过土著人民和地方社区选定的机构直接发放，支持土著人民和地方社区包括这些社区的妇女和青年自我确定的需求。</w:t>
      </w:r>
    </w:p>
    <w:p w14:paraId="1595AA60"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缔约方大会可拨出一定比例的资金支持能力建设和能力发展，确保发展中国家缔约方特别是最不发达国家、小岛屿发展中国家和经济转型国家缔约方获得必要的工具和专门知识，充分参与并受益于遗传资源数字序列信息。</w:t>
      </w:r>
    </w:p>
    <w:p w14:paraId="29B5E564"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该基金将根据缔约方大会的决定，由联合国通过多伙伴信托基金办公室进行管理，其运作接受缔约方大会的领导并对其负责。</w:t>
      </w:r>
      <w:r w:rsidRPr="000C0842">
        <w:rPr>
          <w:rFonts w:eastAsia="SimSun"/>
          <w:sz w:val="24"/>
          <w:szCs w:val="24"/>
          <w:lang w:val="en-GB" w:eastAsia="zh-CN"/>
        </w:rPr>
        <w:t xml:space="preserve"> </w:t>
      </w:r>
    </w:p>
    <w:p w14:paraId="422DEFDD"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多边机制及其基金在运作中将遵循包容、公平和透明的原则。</w:t>
      </w:r>
      <w:r w:rsidRPr="000C0842">
        <w:rPr>
          <w:rFonts w:eastAsia="SimSun"/>
          <w:sz w:val="24"/>
          <w:szCs w:val="24"/>
          <w:lang w:val="en-GB" w:eastAsia="zh-CN"/>
        </w:rPr>
        <w:t xml:space="preserve">  </w:t>
      </w:r>
    </w:p>
    <w:p w14:paraId="7757D683"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多边机制必须尊重土著人民和地方社区的权利，包括这些社区中妇女和青年的权利。</w:t>
      </w:r>
    </w:p>
    <w:p w14:paraId="7FCD48A3"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在不影响国家获取和惠益分享措施的情况下，如果缔约方制定了有关遗传资源数字序列信息的获取和惠益分享的国家措施，应使之与多边机制保持一致，从而避免多重期望在多边机制下分享利用遗传资源数字序列信息所产生的惠益。</w:t>
      </w:r>
      <w:r w:rsidRPr="000C0842">
        <w:rPr>
          <w:rFonts w:eastAsia="SimSun"/>
          <w:sz w:val="24"/>
          <w:szCs w:val="24"/>
          <w:lang w:val="en-GB" w:eastAsia="zh-CN"/>
        </w:rPr>
        <w:t xml:space="preserve"> </w:t>
      </w:r>
    </w:p>
    <w:p w14:paraId="01688889"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多边机制的实施方式将与利用遗传资源数字序列信息相关的其他国际获取和惠益分享文书相互支持和相互适应，以避免叠加义务，并酌情简化程序。邀请其他获取和惠益分享国际文书理事机构与多边机制合作，并酌情简化程序。该机制的规定不会影响任何缔约方在任何现有国际协定中的权利和义务。</w:t>
      </w:r>
      <w:r w:rsidRPr="000C0842">
        <w:rPr>
          <w:rFonts w:eastAsia="SimSun"/>
          <w:sz w:val="24"/>
          <w:szCs w:val="24"/>
          <w:lang w:val="en-GB" w:eastAsia="zh-CN"/>
        </w:rPr>
        <w:t xml:space="preserve"> </w:t>
      </w:r>
    </w:p>
    <w:p w14:paraId="224A91DD"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包括全球基金在内的多边机制将在缔约方大会领导和指导下运作，并对缔约方大会负责。为支持缔约方大会作为该机制理事机构发挥的作用，在缔约方大会指导下设立一个指导委员会，其职权范围和构成载于附文四。设立一个秘书处，其职能载于附文五，为指导委员会服务，并支持该机制的运作。多边机制的运作将由全球基金提供资金。</w:t>
      </w:r>
    </w:p>
    <w:p w14:paraId="21CA9791" w14:textId="64B98D1C"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包括全球基金在内的多边机制的成效，将由缔约方大会第十八届会议并且随后每隔一次会议，根据第</w:t>
      </w:r>
      <w:hyperlink r:id="rId21" w:history="1">
        <w:r w:rsidRPr="000C0842">
          <w:rPr>
            <w:rStyle w:val="Hyperlink"/>
            <w:color w:val="auto"/>
            <w:lang w:val="en-GB" w:eastAsia="zh-CN"/>
          </w:rPr>
          <w:t>15/9</w:t>
        </w:r>
      </w:hyperlink>
      <w:r w:rsidRPr="000C0842">
        <w:rPr>
          <w:rFonts w:eastAsia="SimSun"/>
          <w:sz w:val="24"/>
          <w:szCs w:val="24"/>
          <w:lang w:val="en-GB" w:eastAsia="zh-CN"/>
        </w:rPr>
        <w:t>号决定确立的原则，同时考虑到附文六所列因素和缔约方大会将在第十七届会议上通过的方法加以审查，同时注意到根据第</w:t>
      </w:r>
      <w:hyperlink r:id="rId22" w:history="1">
        <w:r w:rsidRPr="000C0842">
          <w:rPr>
            <w:rStyle w:val="Hyperlink"/>
            <w:color w:val="auto"/>
            <w:lang w:val="en-GB" w:eastAsia="zh-CN"/>
          </w:rPr>
          <w:t>15/6</w:t>
        </w:r>
      </w:hyperlink>
      <w:r w:rsidRPr="000C0842">
        <w:rPr>
          <w:rFonts w:eastAsia="SimSun"/>
          <w:sz w:val="24"/>
          <w:szCs w:val="24"/>
          <w:lang w:val="en-GB" w:eastAsia="zh-CN"/>
        </w:rPr>
        <w:t>号决定，将为缔约方大会第十七届和第十九届会议进行的《昆明</w:t>
      </w:r>
      <w:r w:rsidRPr="000C0842">
        <w:rPr>
          <w:rFonts w:eastAsia="SimSun"/>
          <w:sz w:val="24"/>
          <w:szCs w:val="24"/>
          <w:lang w:val="en-GB" w:eastAsia="zh-CN"/>
        </w:rPr>
        <w:t>-</w:t>
      </w:r>
      <w:r w:rsidRPr="000C0842">
        <w:rPr>
          <w:rFonts w:eastAsia="SimSun"/>
          <w:sz w:val="24"/>
          <w:szCs w:val="24"/>
          <w:lang w:val="en-GB" w:eastAsia="zh-CN"/>
        </w:rPr>
        <w:t>蒙特利尔全球生物多样性框架》执行工作集体进展全球审查的相关性。</w:t>
      </w:r>
    </w:p>
    <w:p w14:paraId="74255134"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ind w:left="490" w:firstLine="0"/>
        <w:rPr>
          <w:rFonts w:eastAsia="SimSun"/>
          <w:sz w:val="24"/>
          <w:szCs w:val="24"/>
          <w:lang w:val="en-GB" w:eastAsia="zh-CN"/>
        </w:rPr>
      </w:pPr>
      <w:r w:rsidRPr="000C0842">
        <w:rPr>
          <w:rFonts w:eastAsia="SimSun"/>
          <w:sz w:val="24"/>
          <w:szCs w:val="24"/>
          <w:lang w:val="en-GB" w:eastAsia="zh-CN"/>
        </w:rPr>
        <w:t>审查还将参考《昆明</w:t>
      </w:r>
      <w:r w:rsidRPr="000C0842">
        <w:rPr>
          <w:rFonts w:eastAsia="SimSun"/>
          <w:sz w:val="24"/>
          <w:szCs w:val="24"/>
          <w:lang w:val="en-GB" w:eastAsia="zh-CN"/>
        </w:rPr>
        <w:t>-</w:t>
      </w:r>
      <w:r w:rsidRPr="000C0842">
        <w:rPr>
          <w:rFonts w:eastAsia="SimSun"/>
          <w:sz w:val="24"/>
          <w:szCs w:val="24"/>
          <w:lang w:val="en-GB" w:eastAsia="zh-CN"/>
        </w:rPr>
        <w:t>蒙特利尔全球生物多样性框架》监测框架的相关指标，包括长期目标</w:t>
      </w:r>
      <w:r w:rsidRPr="000C0842">
        <w:rPr>
          <w:rFonts w:eastAsia="SimSun"/>
          <w:sz w:val="24"/>
          <w:szCs w:val="24"/>
          <w:lang w:val="en-GB" w:eastAsia="zh-CN"/>
        </w:rPr>
        <w:t>C</w:t>
      </w:r>
      <w:r w:rsidRPr="000C0842">
        <w:rPr>
          <w:rFonts w:eastAsia="SimSun"/>
          <w:sz w:val="24"/>
          <w:szCs w:val="24"/>
          <w:lang w:val="en-GB" w:eastAsia="zh-CN"/>
        </w:rPr>
        <w:t>和行动目标</w:t>
      </w:r>
      <w:r w:rsidRPr="000C0842">
        <w:rPr>
          <w:rFonts w:eastAsia="SimSun"/>
          <w:sz w:val="24"/>
          <w:szCs w:val="24"/>
          <w:lang w:val="en-GB" w:eastAsia="zh-CN"/>
        </w:rPr>
        <w:t>13</w:t>
      </w:r>
      <w:r w:rsidRPr="000C0842">
        <w:rPr>
          <w:rFonts w:eastAsia="SimSun"/>
          <w:sz w:val="24"/>
          <w:szCs w:val="24"/>
          <w:lang w:val="en-GB" w:eastAsia="zh-CN"/>
        </w:rPr>
        <w:t>的标题指标，以及行动目标</w:t>
      </w:r>
      <w:r w:rsidRPr="000C0842">
        <w:rPr>
          <w:rFonts w:eastAsia="SimSun"/>
          <w:sz w:val="24"/>
          <w:szCs w:val="24"/>
          <w:lang w:val="en-GB" w:eastAsia="zh-CN"/>
        </w:rPr>
        <w:t>13</w:t>
      </w:r>
      <w:r w:rsidRPr="000C0842">
        <w:rPr>
          <w:rFonts w:eastAsia="SimSun"/>
          <w:sz w:val="24"/>
          <w:szCs w:val="24"/>
          <w:lang w:val="en-GB" w:eastAsia="zh-CN"/>
        </w:rPr>
        <w:t>的二元指标。</w:t>
      </w:r>
    </w:p>
    <w:p w14:paraId="56A930F0" w14:textId="77777777" w:rsidR="00184519" w:rsidRPr="000C0842" w:rsidRDefault="00184519">
      <w:pPr>
        <w:pStyle w:val="CBDNormalNoNumber"/>
        <w:numPr>
          <w:ilvl w:val="0"/>
          <w:numId w:val="220"/>
        </w:numPr>
        <w:tabs>
          <w:tab w:val="clear" w:pos="567"/>
          <w:tab w:val="clear" w:pos="1134"/>
          <w:tab w:val="clear" w:pos="1701"/>
          <w:tab w:val="clear" w:pos="2268"/>
          <w:tab w:val="clear" w:pos="2835"/>
          <w:tab w:val="clear" w:pos="3402"/>
        </w:tabs>
        <w:spacing w:after="160"/>
        <w:ind w:left="490" w:firstLine="0"/>
        <w:rPr>
          <w:rFonts w:eastAsia="SimSun"/>
          <w:sz w:val="24"/>
          <w:szCs w:val="24"/>
          <w:lang w:val="en-GB" w:eastAsia="zh-CN"/>
        </w:rPr>
      </w:pPr>
      <w:r w:rsidRPr="000C0842">
        <w:rPr>
          <w:rFonts w:eastAsia="SimSun"/>
          <w:sz w:val="24"/>
          <w:szCs w:val="24"/>
          <w:lang w:val="en-GB" w:eastAsia="zh-CN"/>
        </w:rPr>
        <w:t>根据第</w:t>
      </w:r>
      <w:r w:rsidRPr="000C0842">
        <w:rPr>
          <w:rFonts w:eastAsia="SimSun"/>
          <w:sz w:val="24"/>
          <w:szCs w:val="24"/>
          <w:lang w:val="en-GB" w:eastAsia="zh-CN"/>
        </w:rPr>
        <w:t>29</w:t>
      </w:r>
      <w:r w:rsidRPr="000C0842">
        <w:rPr>
          <w:rFonts w:eastAsia="SimSun"/>
          <w:sz w:val="24"/>
          <w:szCs w:val="24"/>
          <w:lang w:val="en-GB" w:eastAsia="zh-CN"/>
        </w:rPr>
        <w:t>段所述审查，缔约方大会第十八届会议将审议任何必要的调整，以提高包括全球基金在内的多边机制在公正和公平分享利用遗传资源数字序列信息所产生惠益方面的成效和效率。</w:t>
      </w:r>
    </w:p>
    <w:p w14:paraId="0DB292BB" w14:textId="77777777" w:rsidR="00184519" w:rsidRPr="000C0842" w:rsidRDefault="00184519" w:rsidP="009C1640">
      <w:pPr>
        <w:tabs>
          <w:tab w:val="clear" w:pos="567"/>
          <w:tab w:val="clear" w:pos="1134"/>
          <w:tab w:val="clear" w:pos="1701"/>
          <w:tab w:val="clear" w:pos="2268"/>
        </w:tabs>
        <w:spacing w:before="240"/>
        <w:ind w:firstLine="490"/>
        <w:jc w:val="left"/>
        <w:rPr>
          <w:rFonts w:eastAsia="SimSun"/>
          <w:b/>
          <w:bCs/>
          <w:sz w:val="24"/>
          <w:szCs w:val="24"/>
          <w:lang w:val="en-GB"/>
        </w:rPr>
      </w:pPr>
      <w:r w:rsidRPr="000C0842">
        <w:rPr>
          <w:rFonts w:eastAsia="SimSun"/>
          <w:b/>
          <w:bCs/>
          <w:sz w:val="24"/>
          <w:szCs w:val="24"/>
          <w:lang w:val="en-GB"/>
        </w:rPr>
        <w:t>附文一</w:t>
      </w:r>
    </w:p>
    <w:p w14:paraId="16B3D937" w14:textId="77777777" w:rsidR="00184519" w:rsidRPr="000C0842" w:rsidRDefault="00184519" w:rsidP="002A6F87">
      <w:pPr>
        <w:tabs>
          <w:tab w:val="clear" w:pos="567"/>
          <w:tab w:val="clear" w:pos="1134"/>
          <w:tab w:val="clear" w:pos="1701"/>
          <w:tab w:val="clear" w:pos="2268"/>
        </w:tabs>
        <w:adjustRightInd w:val="0"/>
        <w:ind w:firstLine="490"/>
        <w:rPr>
          <w:b/>
          <w:bCs/>
          <w:sz w:val="24"/>
          <w:szCs w:val="24"/>
          <w:lang w:val="en-GB"/>
        </w:rPr>
      </w:pPr>
      <w:r w:rsidRPr="000C0842">
        <w:rPr>
          <w:rFonts w:eastAsia="SimSun"/>
          <w:b/>
          <w:bCs/>
          <w:sz w:val="24"/>
          <w:szCs w:val="24"/>
          <w:lang w:val="en-GB"/>
        </w:rPr>
        <w:t>有可能从遗传资源数字序列信息使用中直接或间接受益行业的指示性清单</w:t>
      </w:r>
      <w:r w:rsidRPr="000C0842">
        <w:rPr>
          <w:rStyle w:val="FootnoteReference"/>
          <w:rFonts w:eastAsia="SimSun"/>
          <w:sz w:val="24"/>
          <w:szCs w:val="24"/>
          <w:lang w:val="en-GB"/>
        </w:rPr>
        <w:footnoteReference w:id="11"/>
      </w:r>
    </w:p>
    <w:p w14:paraId="0CA0DF30" w14:textId="77777777" w:rsidR="00184519" w:rsidRPr="000C0842" w:rsidRDefault="00184519" w:rsidP="009C1640">
      <w:pPr>
        <w:pStyle w:val="Para1"/>
        <w:keepNext/>
        <w:numPr>
          <w:ilvl w:val="0"/>
          <w:numId w:val="0"/>
        </w:numPr>
        <w:tabs>
          <w:tab w:val="clear" w:pos="567"/>
          <w:tab w:val="clear" w:pos="1134"/>
          <w:tab w:val="clear" w:pos="1701"/>
          <w:tab w:val="clear" w:pos="2268"/>
        </w:tabs>
        <w:ind w:left="490"/>
        <w:rPr>
          <w:rFonts w:eastAsia="SimSun"/>
          <w:bCs/>
          <w:sz w:val="24"/>
          <w:szCs w:val="24"/>
          <w:lang w:val="en-GB"/>
        </w:rPr>
      </w:pPr>
      <w:r w:rsidRPr="000C0842">
        <w:rPr>
          <w:rFonts w:eastAsia="SimSun"/>
          <w:bCs/>
          <w:sz w:val="24"/>
          <w:szCs w:val="24"/>
          <w:lang w:val="en-GB"/>
        </w:rPr>
        <w:t>1.</w:t>
      </w:r>
      <w:r w:rsidRPr="000C0842">
        <w:rPr>
          <w:rFonts w:eastAsia="SimSun"/>
          <w:bCs/>
          <w:sz w:val="24"/>
          <w:szCs w:val="24"/>
          <w:lang w:val="en-GB"/>
        </w:rPr>
        <w:tab/>
      </w:r>
      <w:r w:rsidRPr="000C0842">
        <w:rPr>
          <w:rFonts w:eastAsia="SimSun"/>
          <w:bCs/>
          <w:sz w:val="24"/>
          <w:szCs w:val="24"/>
          <w:lang w:val="en-GB"/>
        </w:rPr>
        <w:t>有可能</w:t>
      </w:r>
      <w:r w:rsidRPr="000C0842">
        <w:rPr>
          <w:rFonts w:eastAsia="SimSun"/>
          <w:sz w:val="24"/>
          <w:szCs w:val="24"/>
          <w:lang w:val="en-GB"/>
        </w:rPr>
        <w:t>从遗传资源</w:t>
      </w:r>
      <w:r w:rsidRPr="000C0842">
        <w:rPr>
          <w:rFonts w:eastAsia="SimSun"/>
          <w:bCs/>
          <w:sz w:val="24"/>
          <w:szCs w:val="24"/>
          <w:lang w:val="en-GB"/>
        </w:rPr>
        <w:t>数字序列信息使用中</w:t>
      </w:r>
      <w:r w:rsidRPr="000C0842">
        <w:rPr>
          <w:rFonts w:eastAsia="SimSun"/>
          <w:sz w:val="24"/>
          <w:szCs w:val="24"/>
          <w:lang w:val="en-GB"/>
        </w:rPr>
        <w:t>直接或间接</w:t>
      </w:r>
      <w:r w:rsidRPr="000C0842">
        <w:rPr>
          <w:rFonts w:eastAsia="SimSun"/>
          <w:bCs/>
          <w:sz w:val="24"/>
          <w:szCs w:val="24"/>
          <w:lang w:val="en-GB"/>
        </w:rPr>
        <w:t>受益的行业包括：</w:t>
      </w:r>
    </w:p>
    <w:p w14:paraId="129EDD80"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(a)</w:t>
      </w:r>
      <w:r w:rsidRPr="000C0842">
        <w:rPr>
          <w:rFonts w:eastAsia="SimSun"/>
          <w:sz w:val="24"/>
          <w:szCs w:val="24"/>
        </w:rPr>
        <w:tab/>
      </w:r>
      <w:r w:rsidRPr="000C0842">
        <w:rPr>
          <w:rFonts w:eastAsia="SimSun"/>
          <w:bCs/>
          <w:sz w:val="24"/>
          <w:szCs w:val="24"/>
          <w:lang w:val="en-GB"/>
        </w:rPr>
        <w:t>制药；</w:t>
      </w:r>
    </w:p>
    <w:p w14:paraId="73A43FA7"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(b)</w:t>
      </w:r>
      <w:r w:rsidRPr="000C0842">
        <w:rPr>
          <w:rFonts w:eastAsia="SimSun"/>
          <w:sz w:val="24"/>
          <w:szCs w:val="24"/>
        </w:rPr>
        <w:tab/>
      </w:r>
      <w:r w:rsidRPr="000C0842">
        <w:rPr>
          <w:rFonts w:eastAsia="SimSun"/>
          <w:bCs/>
          <w:sz w:val="24"/>
          <w:szCs w:val="24"/>
          <w:lang w:val="en-GB"/>
        </w:rPr>
        <w:t>营养素（食品和保健补充品）；</w:t>
      </w:r>
    </w:p>
    <w:p w14:paraId="7F2AE6CB"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(c)</w:t>
      </w:r>
      <w:r w:rsidRPr="000C0842">
        <w:rPr>
          <w:rFonts w:eastAsia="SimSun"/>
          <w:sz w:val="24"/>
          <w:szCs w:val="24"/>
        </w:rPr>
        <w:tab/>
      </w:r>
      <w:r w:rsidRPr="000C0842">
        <w:rPr>
          <w:rFonts w:eastAsia="SimSun"/>
          <w:bCs/>
          <w:sz w:val="24"/>
          <w:szCs w:val="24"/>
          <w:lang w:val="en-GB"/>
        </w:rPr>
        <w:t>化妆品；</w:t>
      </w:r>
    </w:p>
    <w:p w14:paraId="2BE50723"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(d)</w:t>
      </w:r>
      <w:r w:rsidRPr="000C0842">
        <w:rPr>
          <w:rFonts w:eastAsia="SimSun"/>
          <w:sz w:val="24"/>
          <w:szCs w:val="24"/>
        </w:rPr>
        <w:tab/>
      </w:r>
      <w:r w:rsidRPr="000C0842">
        <w:rPr>
          <w:rFonts w:eastAsia="SimSun"/>
          <w:bCs/>
          <w:sz w:val="24"/>
          <w:szCs w:val="24"/>
          <w:lang w:val="en-GB"/>
        </w:rPr>
        <w:t>动植物</w:t>
      </w:r>
      <w:r w:rsidRPr="000C0842">
        <w:rPr>
          <w:rFonts w:eastAsia="SimSun"/>
          <w:snapToGrid w:val="0"/>
          <w:kern w:val="22"/>
          <w:sz w:val="24"/>
          <w:szCs w:val="24"/>
        </w:rPr>
        <w:t>育种</w:t>
      </w:r>
      <w:r w:rsidRPr="000C0842">
        <w:rPr>
          <w:rFonts w:eastAsia="SimSun"/>
          <w:bCs/>
          <w:sz w:val="24"/>
          <w:szCs w:val="24"/>
          <w:lang w:val="en-GB"/>
        </w:rPr>
        <w:t>；</w:t>
      </w:r>
    </w:p>
    <w:p w14:paraId="0C4F9A44"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(e)</w:t>
      </w:r>
      <w:r w:rsidRPr="000C0842">
        <w:rPr>
          <w:rFonts w:eastAsia="SimSun"/>
          <w:sz w:val="24"/>
          <w:szCs w:val="24"/>
        </w:rPr>
        <w:tab/>
      </w:r>
      <w:r w:rsidRPr="000C0842">
        <w:rPr>
          <w:rFonts w:eastAsia="SimSun"/>
          <w:bCs/>
          <w:sz w:val="24"/>
          <w:szCs w:val="24"/>
          <w:lang w:val="en-GB"/>
        </w:rPr>
        <w:t>生物技术；</w:t>
      </w:r>
    </w:p>
    <w:p w14:paraId="64DDE04B"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(f)</w:t>
      </w:r>
      <w:r w:rsidRPr="000C0842">
        <w:rPr>
          <w:rFonts w:eastAsia="SimSun"/>
          <w:sz w:val="24"/>
          <w:szCs w:val="24"/>
        </w:rPr>
        <w:tab/>
      </w:r>
      <w:r w:rsidRPr="000C0842">
        <w:rPr>
          <w:rFonts w:eastAsia="SimSun"/>
          <w:bCs/>
          <w:spacing w:val="-2"/>
          <w:sz w:val="24"/>
          <w:szCs w:val="24"/>
          <w:lang w:val="en-GB"/>
        </w:rPr>
        <w:t>与遗传资源数字序列信息测序和利用有关的实验室设备，包括试剂</w:t>
      </w:r>
      <w:r w:rsidRPr="000C0842">
        <w:rPr>
          <w:rFonts w:eastAsia="SimSun"/>
          <w:bCs/>
          <w:sz w:val="24"/>
          <w:szCs w:val="24"/>
          <w:lang w:val="en-GB"/>
        </w:rPr>
        <w:t>和用品；</w:t>
      </w:r>
    </w:p>
    <w:p w14:paraId="2EF282E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(g)</w:t>
      </w:r>
      <w:r w:rsidRPr="000C0842">
        <w:rPr>
          <w:rFonts w:eastAsia="SimSun"/>
          <w:sz w:val="24"/>
          <w:szCs w:val="24"/>
        </w:rPr>
        <w:tab/>
      </w:r>
      <w:r w:rsidRPr="000C0842">
        <w:rPr>
          <w:rFonts w:eastAsia="SimSun"/>
          <w:bCs/>
          <w:sz w:val="24"/>
          <w:szCs w:val="24"/>
          <w:lang w:val="en-GB"/>
        </w:rPr>
        <w:t>与遗传资源数字序列信息有关的信息和科技服务，包括人工智能。</w:t>
      </w:r>
    </w:p>
    <w:p w14:paraId="2895843B"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rPr>
          <w:rFonts w:eastAsia="SimSun"/>
          <w:bCs/>
          <w:sz w:val="24"/>
          <w:szCs w:val="24"/>
          <w:lang w:val="en-GB"/>
        </w:rPr>
      </w:pPr>
      <w:r w:rsidRPr="000C0842">
        <w:rPr>
          <w:rFonts w:eastAsia="SimSun"/>
          <w:bCs/>
          <w:sz w:val="24"/>
          <w:szCs w:val="24"/>
          <w:lang w:val="en-GB"/>
        </w:rPr>
        <w:t>2.</w:t>
      </w:r>
      <w:r w:rsidRPr="000C0842">
        <w:rPr>
          <w:rFonts w:eastAsia="SimSun"/>
          <w:bCs/>
          <w:sz w:val="24"/>
          <w:szCs w:val="24"/>
          <w:lang w:val="en-GB"/>
        </w:rPr>
        <w:tab/>
      </w:r>
      <w:r w:rsidRPr="000C0842">
        <w:rPr>
          <w:rFonts w:eastAsia="SimSun"/>
          <w:bCs/>
          <w:sz w:val="24"/>
          <w:szCs w:val="24"/>
          <w:lang w:val="en-GB"/>
        </w:rPr>
        <w:t>将对本清单进行不断审查，特别注意所有经济活动的国际标准行业分类、产品总分类和相应的区域或国家代码。</w:t>
      </w:r>
    </w:p>
    <w:p w14:paraId="662E3F11" w14:textId="77777777" w:rsidR="00184519" w:rsidRPr="000C0842" w:rsidRDefault="00184519" w:rsidP="00432C5D">
      <w:pPr>
        <w:keepNext/>
        <w:tabs>
          <w:tab w:val="clear" w:pos="567"/>
          <w:tab w:val="clear" w:pos="1134"/>
          <w:tab w:val="clear" w:pos="1701"/>
          <w:tab w:val="clear" w:pos="2268"/>
        </w:tabs>
        <w:adjustRightInd w:val="0"/>
        <w:spacing w:before="240"/>
        <w:ind w:firstLine="490"/>
        <w:rPr>
          <w:rFonts w:eastAsia="SimSun"/>
          <w:b/>
          <w:bCs/>
          <w:sz w:val="24"/>
          <w:szCs w:val="24"/>
          <w:lang w:val="en-GB"/>
        </w:rPr>
      </w:pPr>
      <w:r w:rsidRPr="000C0842">
        <w:rPr>
          <w:rFonts w:eastAsia="SimSun"/>
          <w:b/>
          <w:bCs/>
          <w:sz w:val="24"/>
          <w:szCs w:val="24"/>
          <w:lang w:val="en-GB"/>
        </w:rPr>
        <w:t>附文二</w:t>
      </w:r>
    </w:p>
    <w:p w14:paraId="17364DF6" w14:textId="77777777" w:rsidR="00184519" w:rsidRPr="000C0842" w:rsidRDefault="00184519" w:rsidP="00432C5D">
      <w:pPr>
        <w:keepNext/>
        <w:tabs>
          <w:tab w:val="clear" w:pos="567"/>
          <w:tab w:val="clear" w:pos="1134"/>
          <w:tab w:val="clear" w:pos="1701"/>
          <w:tab w:val="clear" w:pos="2268"/>
        </w:tabs>
        <w:adjustRightInd w:val="0"/>
        <w:ind w:firstLine="490"/>
        <w:rPr>
          <w:rFonts w:eastAsia="SimSun"/>
          <w:b/>
          <w:bCs/>
          <w:sz w:val="24"/>
          <w:szCs w:val="24"/>
          <w:lang w:val="en-GB"/>
        </w:rPr>
      </w:pPr>
      <w:r w:rsidRPr="000C0842">
        <w:rPr>
          <w:rFonts w:eastAsia="SimSun"/>
          <w:b/>
          <w:bCs/>
          <w:sz w:val="24"/>
          <w:szCs w:val="24"/>
          <w:lang w:val="en-GB"/>
        </w:rPr>
        <w:t>资金分配标准指示性清单</w:t>
      </w:r>
    </w:p>
    <w:p w14:paraId="1959A798" w14:textId="77777777" w:rsidR="00184519" w:rsidRPr="000C0842" w:rsidRDefault="00184519" w:rsidP="00432C5D">
      <w:pPr>
        <w:pStyle w:val="Para1"/>
        <w:keepNext/>
        <w:numPr>
          <w:ilvl w:val="0"/>
          <w:numId w:val="0"/>
        </w:numPr>
        <w:ind w:left="490"/>
        <w:rPr>
          <w:rFonts w:eastAsia="SimSun"/>
          <w:sz w:val="24"/>
          <w:szCs w:val="24"/>
          <w:lang w:val="en-GB"/>
        </w:rPr>
      </w:pPr>
      <w:r w:rsidRPr="000C0842">
        <w:rPr>
          <w:rFonts w:eastAsia="SimSun"/>
          <w:sz w:val="24"/>
          <w:szCs w:val="24"/>
          <w:lang w:val="en-GB"/>
        </w:rPr>
        <w:t>资金分配标准指示性清单如下：</w:t>
      </w:r>
    </w:p>
    <w:p w14:paraId="1F7F21C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bCs/>
          <w:sz w:val="24"/>
          <w:szCs w:val="24"/>
          <w:lang w:val="en-GB"/>
        </w:rPr>
      </w:pPr>
      <w:r w:rsidRPr="000C0842">
        <w:rPr>
          <w:rFonts w:eastAsia="SimSun"/>
          <w:sz w:val="24"/>
          <w:szCs w:val="24"/>
        </w:rPr>
        <w:t>(a)</w:t>
      </w:r>
      <w:r w:rsidRPr="000C0842">
        <w:rPr>
          <w:rFonts w:eastAsia="SimSun"/>
          <w:sz w:val="24"/>
          <w:szCs w:val="24"/>
        </w:rPr>
        <w:tab/>
      </w:r>
      <w:r w:rsidRPr="000C0842">
        <w:rPr>
          <w:rFonts w:eastAsia="SimSun"/>
          <w:bCs/>
          <w:spacing w:val="-2"/>
          <w:sz w:val="24"/>
          <w:szCs w:val="24"/>
          <w:lang w:val="en-GB"/>
        </w:rPr>
        <w:t>生物多样性的丰富性和国家一级容易获得数据的其他生物多样性相关</w:t>
      </w:r>
      <w:r w:rsidRPr="000C0842">
        <w:rPr>
          <w:rFonts w:eastAsia="SimSun"/>
          <w:bCs/>
          <w:sz w:val="24"/>
          <w:szCs w:val="24"/>
          <w:lang w:val="en-GB"/>
        </w:rPr>
        <w:t>标准；</w:t>
      </w:r>
    </w:p>
    <w:p w14:paraId="6B40760F"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(b)</w:t>
      </w:r>
      <w:r w:rsidRPr="000C0842">
        <w:rPr>
          <w:rFonts w:eastAsia="SimSun"/>
          <w:sz w:val="24"/>
          <w:szCs w:val="24"/>
        </w:rPr>
        <w:tab/>
      </w:r>
      <w:r w:rsidRPr="000C0842">
        <w:rPr>
          <w:rFonts w:eastAsia="SimSun"/>
          <w:sz w:val="24"/>
          <w:szCs w:val="24"/>
        </w:rPr>
        <w:t>产生数据库中数字序列信息的遗传资源的地理来源（注意目前有关地理来源的数据常常不完整或没有代表性）；</w:t>
      </w:r>
    </w:p>
    <w:p w14:paraId="22FE0D52" w14:textId="77777777" w:rsidR="00184519" w:rsidRPr="000C0842" w:rsidRDefault="00184519" w:rsidP="00672268">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(c)</w:t>
      </w:r>
      <w:r w:rsidRPr="000C0842">
        <w:rPr>
          <w:rFonts w:eastAsia="SimSun"/>
          <w:sz w:val="24"/>
          <w:szCs w:val="24"/>
        </w:rPr>
        <w:tab/>
      </w:r>
      <w:r w:rsidRPr="000C0842">
        <w:rPr>
          <w:rFonts w:eastAsia="SimSun"/>
          <w:sz w:val="24"/>
          <w:szCs w:val="24"/>
        </w:rPr>
        <w:t>保护和可持续利用生物多样性的能力需求，同时考虑到发展中国家缔约方特别是最不发达国家、小岛屿</w:t>
      </w:r>
      <w:r w:rsidRPr="000C0842">
        <w:rPr>
          <w:rFonts w:eastAsia="SimSun"/>
          <w:snapToGrid w:val="0"/>
          <w:kern w:val="22"/>
          <w:sz w:val="24"/>
          <w:szCs w:val="24"/>
        </w:rPr>
        <w:t>发展中国家</w:t>
      </w:r>
      <w:r w:rsidRPr="000C0842">
        <w:rPr>
          <w:rFonts w:eastAsia="SimSun"/>
          <w:sz w:val="24"/>
          <w:szCs w:val="24"/>
        </w:rPr>
        <w:t>和经济转型国家缔约方以及土著人民和地方社区的情况。</w:t>
      </w:r>
    </w:p>
    <w:p w14:paraId="65E3D3B3" w14:textId="77777777" w:rsidR="00184519" w:rsidRPr="000C0842" w:rsidRDefault="00184519" w:rsidP="00EA4245">
      <w:pPr>
        <w:tabs>
          <w:tab w:val="clear" w:pos="567"/>
          <w:tab w:val="clear" w:pos="1134"/>
          <w:tab w:val="clear" w:pos="1701"/>
          <w:tab w:val="clear" w:pos="2268"/>
        </w:tabs>
        <w:adjustRightInd w:val="0"/>
        <w:spacing w:before="240"/>
        <w:ind w:firstLine="490"/>
        <w:rPr>
          <w:rFonts w:eastAsia="SimSun"/>
          <w:b/>
          <w:bCs/>
          <w:sz w:val="24"/>
          <w:szCs w:val="24"/>
          <w:lang w:val="en-GB"/>
        </w:rPr>
      </w:pPr>
      <w:r w:rsidRPr="000C0842">
        <w:rPr>
          <w:rFonts w:eastAsia="SimSun"/>
          <w:b/>
          <w:bCs/>
          <w:sz w:val="24"/>
          <w:szCs w:val="24"/>
          <w:lang w:val="en-GB"/>
        </w:rPr>
        <w:t>附文三</w:t>
      </w:r>
    </w:p>
    <w:p w14:paraId="703D658C" w14:textId="77777777" w:rsidR="00184519" w:rsidRPr="000C0842" w:rsidRDefault="00184519" w:rsidP="002A6F87">
      <w:pPr>
        <w:tabs>
          <w:tab w:val="clear" w:pos="567"/>
          <w:tab w:val="clear" w:pos="1134"/>
          <w:tab w:val="clear" w:pos="1701"/>
          <w:tab w:val="clear" w:pos="2268"/>
        </w:tabs>
        <w:adjustRightInd w:val="0"/>
        <w:ind w:firstLine="490"/>
        <w:rPr>
          <w:rFonts w:eastAsia="SimSun"/>
          <w:b/>
          <w:bCs/>
          <w:sz w:val="24"/>
          <w:szCs w:val="24"/>
          <w:lang w:val="en-GB"/>
        </w:rPr>
      </w:pPr>
      <w:r w:rsidRPr="000C0842">
        <w:rPr>
          <w:rFonts w:eastAsia="SimSun"/>
          <w:b/>
          <w:bCs/>
          <w:sz w:val="24"/>
          <w:szCs w:val="24"/>
          <w:lang w:val="en-GB"/>
        </w:rPr>
        <w:t>分配方法问题特设技术专家组的职权范围</w:t>
      </w:r>
    </w:p>
    <w:p w14:paraId="7E6D9ECC"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rPr>
          <w:rFonts w:eastAsia="SimSun"/>
          <w:bCs/>
          <w:sz w:val="24"/>
          <w:szCs w:val="24"/>
          <w:lang w:val="en-GB"/>
        </w:rPr>
      </w:pPr>
      <w:r w:rsidRPr="000C0842">
        <w:rPr>
          <w:rFonts w:eastAsia="SimSun"/>
          <w:bCs/>
          <w:sz w:val="24"/>
          <w:szCs w:val="24"/>
          <w:lang w:val="en-GB"/>
        </w:rPr>
        <w:t>1.</w:t>
      </w:r>
      <w:r w:rsidRPr="000C0842">
        <w:rPr>
          <w:rFonts w:eastAsia="SimSun"/>
          <w:bCs/>
          <w:sz w:val="24"/>
          <w:szCs w:val="24"/>
          <w:lang w:val="en-GB"/>
        </w:rPr>
        <w:tab/>
      </w:r>
      <w:r w:rsidRPr="000C0842">
        <w:rPr>
          <w:rFonts w:eastAsia="SimSun"/>
          <w:bCs/>
          <w:sz w:val="24"/>
          <w:szCs w:val="24"/>
          <w:lang w:val="en-GB"/>
        </w:rPr>
        <w:t>分配方法问题</w:t>
      </w:r>
      <w:r w:rsidRPr="000C0842">
        <w:rPr>
          <w:rFonts w:eastAsia="SimSun"/>
          <w:sz w:val="24"/>
          <w:szCs w:val="24"/>
          <w:lang w:val="en-GB"/>
        </w:rPr>
        <w:t>特设技术专家组</w:t>
      </w:r>
      <w:r w:rsidRPr="000C0842">
        <w:rPr>
          <w:rFonts w:eastAsia="SimSun"/>
          <w:bCs/>
          <w:sz w:val="24"/>
          <w:szCs w:val="24"/>
          <w:lang w:val="en-GB"/>
        </w:rPr>
        <w:t>将以本决定附件第</w:t>
      </w:r>
      <w:r w:rsidRPr="000C0842">
        <w:rPr>
          <w:rFonts w:eastAsia="SimSun"/>
          <w:bCs/>
          <w:sz w:val="24"/>
          <w:szCs w:val="24"/>
          <w:lang w:val="en-GB"/>
        </w:rPr>
        <w:t>20</w:t>
      </w:r>
      <w:r w:rsidRPr="000C0842">
        <w:rPr>
          <w:rFonts w:eastAsia="SimSun"/>
          <w:bCs/>
          <w:sz w:val="24"/>
          <w:szCs w:val="24"/>
          <w:lang w:val="en-GB"/>
        </w:rPr>
        <w:t>段为基础，就第</w:t>
      </w:r>
      <w:hyperlink r:id="rId23" w:history="1">
        <w:r w:rsidRPr="000C0842">
          <w:rPr>
            <w:rStyle w:val="Hyperlink"/>
            <w:rFonts w:eastAsia="SimSun"/>
            <w:color w:val="auto"/>
            <w:sz w:val="24"/>
            <w:szCs w:val="24"/>
            <w:lang w:val="en-GB"/>
          </w:rPr>
          <w:t>15/9</w:t>
        </w:r>
      </w:hyperlink>
      <w:r w:rsidRPr="000C0842">
        <w:rPr>
          <w:rFonts w:eastAsia="SimSun"/>
          <w:bCs/>
          <w:sz w:val="24"/>
          <w:szCs w:val="24"/>
          <w:lang w:val="en-GB"/>
        </w:rPr>
        <w:t>号决定第</w:t>
      </w:r>
      <w:r w:rsidRPr="000C0842">
        <w:rPr>
          <w:rFonts w:eastAsia="SimSun"/>
          <w:bCs/>
          <w:sz w:val="24"/>
          <w:szCs w:val="24"/>
          <w:lang w:val="en-GB"/>
        </w:rPr>
        <w:t>16</w:t>
      </w:r>
      <w:r w:rsidRPr="000C0842">
        <w:rPr>
          <w:rFonts w:eastAsia="SimSun"/>
          <w:bCs/>
          <w:sz w:val="24"/>
          <w:szCs w:val="24"/>
          <w:lang w:val="en-GB"/>
        </w:rPr>
        <w:t>段所设全球基金的资金发放的剩余和未决问题提供技术咨询和指导。具体而言，根据附文二所确定标准，专家组将拟定一套发放全球基金资金的方法，供缔约方大会第十七届会议审议。</w:t>
      </w:r>
      <w:r w:rsidRPr="000C0842">
        <w:rPr>
          <w:rFonts w:eastAsia="SimSun"/>
          <w:bCs/>
          <w:sz w:val="24"/>
          <w:szCs w:val="24"/>
          <w:lang w:val="en-GB"/>
        </w:rPr>
        <w:t xml:space="preserve"> </w:t>
      </w:r>
    </w:p>
    <w:p w14:paraId="4E71EA86"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rPr>
          <w:rFonts w:eastAsia="SimSun"/>
          <w:bCs/>
          <w:sz w:val="24"/>
          <w:szCs w:val="24"/>
          <w:lang w:val="en-GB"/>
        </w:rPr>
      </w:pPr>
      <w:r w:rsidRPr="000C0842">
        <w:rPr>
          <w:rFonts w:eastAsia="SimSun"/>
          <w:bCs/>
          <w:sz w:val="24"/>
          <w:szCs w:val="24"/>
          <w:lang w:val="en-GB"/>
        </w:rPr>
        <w:t>2.</w:t>
      </w:r>
      <w:r w:rsidRPr="000C0842">
        <w:rPr>
          <w:rFonts w:eastAsia="SimSun"/>
          <w:bCs/>
          <w:sz w:val="24"/>
          <w:szCs w:val="24"/>
          <w:lang w:val="en-GB"/>
        </w:rPr>
        <w:tab/>
      </w:r>
      <w:r w:rsidRPr="000C0842">
        <w:rPr>
          <w:rFonts w:eastAsia="SimSun"/>
          <w:bCs/>
          <w:sz w:val="24"/>
          <w:szCs w:val="24"/>
          <w:lang w:val="en-GB"/>
        </w:rPr>
        <w:t>技术专家组将由以下</w:t>
      </w:r>
      <w:r w:rsidRPr="000C0842">
        <w:rPr>
          <w:rFonts w:eastAsia="SimSun"/>
          <w:snapToGrid w:val="0"/>
          <w:kern w:val="22"/>
          <w:sz w:val="24"/>
          <w:szCs w:val="24"/>
          <w:lang w:val="en-US"/>
        </w:rPr>
        <w:t>技术</w:t>
      </w:r>
      <w:r w:rsidRPr="000C0842">
        <w:rPr>
          <w:rFonts w:eastAsia="SimSun"/>
          <w:bCs/>
          <w:sz w:val="24"/>
          <w:szCs w:val="24"/>
          <w:lang w:val="en-GB"/>
        </w:rPr>
        <w:t>专家组成：</w:t>
      </w:r>
      <w:r w:rsidRPr="000C0842">
        <w:rPr>
          <w:rFonts w:eastAsia="SimSun"/>
          <w:bCs/>
          <w:sz w:val="24"/>
          <w:szCs w:val="24"/>
          <w:lang w:val="en-GB"/>
        </w:rPr>
        <w:t>15</w:t>
      </w:r>
      <w:r w:rsidRPr="000C0842">
        <w:rPr>
          <w:rFonts w:eastAsia="SimSun"/>
          <w:bCs/>
          <w:sz w:val="24"/>
          <w:szCs w:val="24"/>
          <w:lang w:val="en-GB"/>
        </w:rPr>
        <w:t>名由缔约方提名，</w:t>
      </w:r>
      <w:r w:rsidRPr="000C0842">
        <w:rPr>
          <w:rFonts w:eastAsia="SimSun"/>
          <w:bCs/>
          <w:sz w:val="24"/>
          <w:szCs w:val="24"/>
          <w:lang w:val="en-GB"/>
        </w:rPr>
        <w:t>7</w:t>
      </w:r>
      <w:r w:rsidRPr="000C0842">
        <w:rPr>
          <w:rFonts w:eastAsia="SimSun"/>
          <w:bCs/>
          <w:sz w:val="24"/>
          <w:szCs w:val="24"/>
          <w:lang w:val="en-GB"/>
        </w:rPr>
        <w:t>名由七个社会文化区域的土著人民和地方社区代表提名，</w:t>
      </w:r>
      <w:r w:rsidRPr="000C0842">
        <w:rPr>
          <w:rFonts w:eastAsia="SimSun"/>
          <w:bCs/>
          <w:sz w:val="24"/>
          <w:szCs w:val="24"/>
          <w:lang w:val="en-GB"/>
        </w:rPr>
        <w:t>4</w:t>
      </w:r>
      <w:r w:rsidRPr="000C0842">
        <w:rPr>
          <w:rFonts w:eastAsia="SimSun"/>
          <w:bCs/>
          <w:sz w:val="24"/>
          <w:szCs w:val="24"/>
          <w:lang w:val="en-GB"/>
        </w:rPr>
        <w:t>名由相关组织提名。执行秘书将与主席团协商，根据从缔约方收到的提名挑选专家，同时考虑到候选人的性别和相关技术专长，适用经第</w:t>
      </w:r>
      <w:r w:rsidRPr="000C0842">
        <w:rPr>
          <w:rFonts w:eastAsia="SimSun"/>
          <w:bCs/>
          <w:sz w:val="24"/>
          <w:szCs w:val="24"/>
          <w:lang w:val="en-GB"/>
        </w:rPr>
        <w:t>16/26</w:t>
      </w:r>
      <w:r w:rsidRPr="000C0842">
        <w:rPr>
          <w:rFonts w:eastAsia="SimSun"/>
          <w:bCs/>
          <w:sz w:val="24"/>
          <w:szCs w:val="24"/>
          <w:lang w:val="en-GB"/>
        </w:rPr>
        <w:t>号决定修改的第</w:t>
      </w:r>
      <w:hyperlink r:id="rId24" w:history="1">
        <w:r w:rsidRPr="000C0842">
          <w:rPr>
            <w:rStyle w:val="Hyperlink"/>
            <w:rFonts w:eastAsia="SimSun"/>
            <w:color w:val="auto"/>
            <w:sz w:val="24"/>
            <w:szCs w:val="24"/>
            <w:lang w:val="en-GB"/>
          </w:rPr>
          <w:t>14/33</w:t>
        </w:r>
      </w:hyperlink>
      <w:r w:rsidRPr="000C0842">
        <w:rPr>
          <w:rFonts w:eastAsia="SimSun"/>
          <w:bCs/>
          <w:sz w:val="24"/>
          <w:szCs w:val="24"/>
          <w:lang w:val="en-GB"/>
        </w:rPr>
        <w:t>号决定附件规定的规避或管理利益冲突的程序。</w:t>
      </w:r>
    </w:p>
    <w:p w14:paraId="033EFE9C"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rPr>
          <w:rFonts w:eastAsia="SimSun"/>
          <w:bCs/>
          <w:sz w:val="24"/>
          <w:szCs w:val="24"/>
          <w:lang w:val="en-GB"/>
        </w:rPr>
      </w:pPr>
      <w:r w:rsidRPr="000C0842">
        <w:rPr>
          <w:rFonts w:eastAsia="SimSun"/>
          <w:bCs/>
          <w:sz w:val="24"/>
          <w:szCs w:val="24"/>
          <w:lang w:val="en-GB"/>
        </w:rPr>
        <w:t>3.</w:t>
      </w:r>
      <w:r w:rsidRPr="000C0842">
        <w:rPr>
          <w:rFonts w:eastAsia="SimSun"/>
          <w:bCs/>
          <w:sz w:val="24"/>
          <w:szCs w:val="24"/>
          <w:lang w:val="en-GB"/>
        </w:rPr>
        <w:tab/>
      </w:r>
      <w:r w:rsidRPr="000C0842">
        <w:rPr>
          <w:rFonts w:eastAsia="SimSun"/>
          <w:bCs/>
          <w:sz w:val="24"/>
          <w:szCs w:val="24"/>
          <w:lang w:val="en-GB"/>
        </w:rPr>
        <w:t>技术专家组执行任务时可利用现有专业人员并酌情与相关组织进行联络。</w:t>
      </w:r>
    </w:p>
    <w:p w14:paraId="22BA57AD"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jc w:val="left"/>
        <w:rPr>
          <w:rFonts w:eastAsia="SimSun"/>
          <w:bCs/>
          <w:sz w:val="24"/>
          <w:szCs w:val="24"/>
        </w:rPr>
      </w:pPr>
      <w:r w:rsidRPr="000C0842">
        <w:rPr>
          <w:rFonts w:eastAsia="SimSun"/>
          <w:bCs/>
          <w:sz w:val="24"/>
          <w:szCs w:val="24"/>
          <w:lang w:val="en-GB"/>
        </w:rPr>
        <w:t>4.</w:t>
      </w:r>
      <w:r w:rsidRPr="000C0842">
        <w:rPr>
          <w:rFonts w:eastAsia="SimSun"/>
          <w:bCs/>
          <w:sz w:val="24"/>
          <w:szCs w:val="24"/>
          <w:lang w:val="en-GB"/>
        </w:rPr>
        <w:tab/>
      </w:r>
      <w:r w:rsidRPr="000C0842">
        <w:rPr>
          <w:rFonts w:eastAsia="SimSun"/>
          <w:bCs/>
          <w:sz w:val="24"/>
          <w:szCs w:val="24"/>
          <w:lang w:val="en-GB"/>
        </w:rPr>
        <w:t>在资金允许的情况下，技术专家组将视需要举行会议，确保及时提供咨询意见，并尽可能</w:t>
      </w:r>
      <w:r w:rsidRPr="000C0842">
        <w:rPr>
          <w:rFonts w:eastAsia="SimSun"/>
          <w:sz w:val="24"/>
          <w:szCs w:val="24"/>
          <w:lang w:val="en-GB"/>
        </w:rPr>
        <w:t>与其</w:t>
      </w:r>
      <w:r w:rsidRPr="000C0842">
        <w:rPr>
          <w:rFonts w:eastAsia="SimSun"/>
          <w:bCs/>
          <w:sz w:val="24"/>
          <w:szCs w:val="24"/>
          <w:lang w:val="en-GB"/>
        </w:rPr>
        <w:t>他相关会议</w:t>
      </w:r>
      <w:r w:rsidRPr="000C0842">
        <w:rPr>
          <w:rFonts w:eastAsia="SimSun"/>
          <w:snapToGrid w:val="0"/>
          <w:kern w:val="22"/>
          <w:sz w:val="24"/>
          <w:szCs w:val="24"/>
          <w:lang w:val="en-US"/>
        </w:rPr>
        <w:t>前后</w:t>
      </w:r>
      <w:r w:rsidRPr="000C0842">
        <w:rPr>
          <w:rFonts w:eastAsia="SimSun"/>
          <w:bCs/>
          <w:sz w:val="24"/>
          <w:szCs w:val="24"/>
          <w:lang w:val="en-GB"/>
        </w:rPr>
        <w:t>衔接举行。如可能，秘书处将利用现有的电子通信手段，减少面对面会议。</w:t>
      </w:r>
    </w:p>
    <w:p w14:paraId="77F9D351" w14:textId="77777777" w:rsidR="00184519" w:rsidRPr="000C0842" w:rsidRDefault="00184519" w:rsidP="00EA4245">
      <w:pPr>
        <w:pStyle w:val="CBDTitle"/>
        <w:tabs>
          <w:tab w:val="clear" w:pos="567"/>
          <w:tab w:val="clear" w:pos="1134"/>
          <w:tab w:val="clear" w:pos="1701"/>
          <w:tab w:val="clear" w:pos="2268"/>
          <w:tab w:val="clear" w:pos="2835"/>
          <w:tab w:val="clear" w:pos="3402"/>
        </w:tabs>
        <w:topLinePunct/>
        <w:spacing w:after="120"/>
        <w:ind w:left="490"/>
        <w:rPr>
          <w:rFonts w:eastAsia="SimSun"/>
          <w:b w:val="0"/>
          <w:sz w:val="24"/>
          <w:szCs w:val="24"/>
          <w:lang w:eastAsia="zh-CN"/>
        </w:rPr>
      </w:pPr>
      <w:r w:rsidRPr="000C0842">
        <w:rPr>
          <w:rFonts w:eastAsia="SimSun"/>
          <w:sz w:val="24"/>
          <w:szCs w:val="24"/>
          <w:lang w:val="zh-CN" w:eastAsia="zh-CN"/>
        </w:rPr>
        <w:t>附文四</w:t>
      </w:r>
      <w:r w:rsidRPr="000C0842">
        <w:rPr>
          <w:rFonts w:eastAsia="SimSun"/>
          <w:sz w:val="24"/>
          <w:szCs w:val="24"/>
          <w:lang w:val="zh-CN" w:eastAsia="zh-CN"/>
        </w:rPr>
        <w:br/>
      </w:r>
      <w:r w:rsidRPr="000C0842">
        <w:rPr>
          <w:rFonts w:eastAsia="SimSun"/>
          <w:sz w:val="24"/>
          <w:szCs w:val="24"/>
          <w:lang w:val="zh-CN" w:eastAsia="zh-CN"/>
        </w:rPr>
        <w:t>指导委员会的职权范围</w:t>
      </w:r>
    </w:p>
    <w:p w14:paraId="462CCFF3" w14:textId="77777777" w:rsidR="00184519" w:rsidRPr="000C0842" w:rsidRDefault="00184519" w:rsidP="0084218B">
      <w:pPr>
        <w:pStyle w:val="CBDH4"/>
        <w:tabs>
          <w:tab w:val="clear" w:pos="567"/>
          <w:tab w:val="clear" w:pos="1134"/>
          <w:tab w:val="clear" w:pos="1701"/>
          <w:tab w:val="clear" w:pos="2268"/>
          <w:tab w:val="clear" w:pos="2835"/>
          <w:tab w:val="clear" w:pos="3402"/>
        </w:tabs>
        <w:adjustRightInd w:val="0"/>
        <w:snapToGrid w:val="0"/>
        <w:ind w:left="490" w:firstLine="0"/>
        <w:jc w:val="both"/>
        <w:rPr>
          <w:rFonts w:eastAsia="SimSun"/>
          <w:sz w:val="24"/>
          <w:szCs w:val="24"/>
          <w:lang w:val="zh-CN" w:eastAsia="zh-CN"/>
        </w:rPr>
      </w:pPr>
      <w:r w:rsidRPr="000C0842">
        <w:rPr>
          <w:rFonts w:eastAsia="SimSun"/>
          <w:sz w:val="24"/>
          <w:szCs w:val="24"/>
          <w:lang w:val="zh-CN" w:eastAsia="zh-CN"/>
        </w:rPr>
        <w:t>1.</w:t>
      </w:r>
      <w:r w:rsidRPr="000C0842">
        <w:rPr>
          <w:rFonts w:eastAsia="SimSun"/>
          <w:sz w:val="24"/>
          <w:szCs w:val="24"/>
          <w:lang w:val="zh-CN" w:eastAsia="zh-CN"/>
        </w:rPr>
        <w:tab/>
      </w:r>
      <w:r w:rsidRPr="000C0842">
        <w:rPr>
          <w:rFonts w:eastAsia="SimSun"/>
          <w:sz w:val="24"/>
          <w:szCs w:val="24"/>
          <w:lang w:val="zh-CN" w:eastAsia="zh-CN"/>
        </w:rPr>
        <w:t>指导委员会的职能</w:t>
      </w:r>
    </w:p>
    <w:p w14:paraId="40326B21"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sz w:val="24"/>
          <w:szCs w:val="24"/>
        </w:rPr>
      </w:pPr>
      <w:r w:rsidRPr="000C0842">
        <w:rPr>
          <w:rFonts w:eastAsia="SimSun"/>
          <w:sz w:val="24"/>
          <w:szCs w:val="24"/>
          <w:lang w:val="zh-CN"/>
        </w:rPr>
        <w:t>1.</w:t>
      </w:r>
      <w:r w:rsidRPr="000C0842">
        <w:rPr>
          <w:rFonts w:eastAsia="SimSun"/>
          <w:sz w:val="24"/>
          <w:szCs w:val="24"/>
          <w:lang w:val="zh-CN"/>
        </w:rPr>
        <w:tab/>
      </w:r>
      <w:r w:rsidRPr="000C0842">
        <w:rPr>
          <w:rFonts w:eastAsia="SimSun"/>
          <w:sz w:val="24"/>
          <w:szCs w:val="24"/>
          <w:lang w:val="zh-CN"/>
        </w:rPr>
        <w:t>指导委员会将：</w:t>
      </w:r>
    </w:p>
    <w:p w14:paraId="6944A043" w14:textId="77777777" w:rsidR="00184519" w:rsidRPr="000C0842" w:rsidRDefault="00184519">
      <w:pPr>
        <w:numPr>
          <w:ilvl w:val="0"/>
          <w:numId w:val="221"/>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监督基金托管方的运作，确保基金按照这些模式发放资金；</w:t>
      </w:r>
    </w:p>
    <w:p w14:paraId="08C50AED" w14:textId="77777777" w:rsidR="00184519" w:rsidRPr="000C0842" w:rsidRDefault="00184519">
      <w:pPr>
        <w:numPr>
          <w:ilvl w:val="0"/>
          <w:numId w:val="221"/>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指导</w:t>
      </w:r>
      <w:r w:rsidRPr="000C0842">
        <w:rPr>
          <w:rFonts w:eastAsia="SimSun"/>
          <w:sz w:val="24"/>
          <w:szCs w:val="24"/>
          <w:lang w:val="en-GB"/>
        </w:rPr>
        <w:t>公正和公平</w:t>
      </w:r>
      <w:r w:rsidRPr="000C0842">
        <w:rPr>
          <w:rFonts w:eastAsia="SimSun"/>
          <w:snapToGrid w:val="0"/>
          <w:kern w:val="22"/>
          <w:sz w:val="24"/>
          <w:szCs w:val="24"/>
        </w:rPr>
        <w:t>分享</w:t>
      </w:r>
      <w:r w:rsidRPr="000C0842">
        <w:rPr>
          <w:rFonts w:eastAsia="SimSun"/>
          <w:sz w:val="24"/>
          <w:szCs w:val="24"/>
          <w:lang w:val="en-GB"/>
        </w:rPr>
        <w:t>利用遗传资源数字序列信息所产生惠益的</w:t>
      </w:r>
      <w:r w:rsidRPr="000C0842">
        <w:rPr>
          <w:rFonts w:eastAsia="SimSun"/>
          <w:sz w:val="24"/>
          <w:szCs w:val="24"/>
          <w:lang w:val="zh-CN"/>
        </w:rPr>
        <w:t>多边机制秘书处的运作；</w:t>
      </w:r>
    </w:p>
    <w:p w14:paraId="0A40DEBF" w14:textId="77777777" w:rsidR="00184519" w:rsidRPr="000C0842" w:rsidRDefault="00184519">
      <w:pPr>
        <w:numPr>
          <w:ilvl w:val="0"/>
          <w:numId w:val="221"/>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向缔约方大会</w:t>
      </w:r>
      <w:r w:rsidRPr="000C0842">
        <w:rPr>
          <w:rFonts w:eastAsia="SimSun"/>
          <w:snapToGrid w:val="0"/>
          <w:kern w:val="22"/>
          <w:sz w:val="24"/>
          <w:szCs w:val="24"/>
        </w:rPr>
        <w:t>提交</w:t>
      </w:r>
      <w:r w:rsidRPr="000C0842">
        <w:rPr>
          <w:rFonts w:eastAsia="SimSun"/>
          <w:sz w:val="24"/>
          <w:szCs w:val="24"/>
          <w:lang w:val="zh-CN"/>
        </w:rPr>
        <w:t>报告并提供咨询意见；</w:t>
      </w:r>
    </w:p>
    <w:p w14:paraId="75AE0526" w14:textId="77777777" w:rsidR="00184519" w:rsidRPr="000C0842" w:rsidRDefault="00184519">
      <w:pPr>
        <w:numPr>
          <w:ilvl w:val="0"/>
          <w:numId w:val="221"/>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制定执行问题附属机构进行审查的方法，供缔约方大会第十七届会议通过，并酌情以附文六中所述审查要考虑的因素的指标，同时考虑到《昆明</w:t>
      </w:r>
      <w:r w:rsidRPr="000C0842">
        <w:rPr>
          <w:rFonts w:eastAsia="SimSun"/>
          <w:sz w:val="24"/>
          <w:szCs w:val="24"/>
          <w:lang w:val="zh-CN"/>
        </w:rPr>
        <w:t>-</w:t>
      </w:r>
      <w:r w:rsidRPr="000C0842">
        <w:rPr>
          <w:rFonts w:eastAsia="SimSun"/>
          <w:sz w:val="24"/>
          <w:szCs w:val="24"/>
          <w:lang w:val="zh-CN"/>
        </w:rPr>
        <w:t>蒙特利尔全球生物多样性框架》监测框架的相关指标，审查包括全球基金在内的多边机制的有效性。</w:t>
      </w:r>
    </w:p>
    <w:p w14:paraId="300872C0" w14:textId="77777777" w:rsidR="00184519" w:rsidRPr="000C0842" w:rsidRDefault="00184519">
      <w:pPr>
        <w:pStyle w:val="CBDH4"/>
        <w:numPr>
          <w:ilvl w:val="2"/>
          <w:numId w:val="222"/>
        </w:numPr>
        <w:tabs>
          <w:tab w:val="clear" w:pos="567"/>
          <w:tab w:val="clear" w:pos="1134"/>
          <w:tab w:val="clear" w:pos="1701"/>
          <w:tab w:val="clear" w:pos="2268"/>
          <w:tab w:val="clear" w:pos="2835"/>
          <w:tab w:val="clear" w:pos="3402"/>
        </w:tabs>
        <w:ind w:left="490" w:firstLine="0"/>
        <w:rPr>
          <w:rFonts w:eastAsia="SimSun"/>
          <w:sz w:val="24"/>
          <w:szCs w:val="24"/>
          <w:lang w:eastAsia="zh-CN"/>
        </w:rPr>
      </w:pPr>
      <w:r w:rsidRPr="000C0842">
        <w:rPr>
          <w:rFonts w:eastAsia="SimSun"/>
          <w:sz w:val="24"/>
          <w:szCs w:val="24"/>
          <w:lang w:val="zh-CN" w:eastAsia="zh-CN"/>
        </w:rPr>
        <w:t>指导委员会的组成</w:t>
      </w:r>
    </w:p>
    <w:p w14:paraId="4F26F19D"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sz w:val="24"/>
          <w:szCs w:val="24"/>
        </w:rPr>
      </w:pPr>
      <w:r w:rsidRPr="000C0842">
        <w:rPr>
          <w:rFonts w:eastAsia="SimSun"/>
          <w:sz w:val="24"/>
          <w:szCs w:val="24"/>
          <w:lang w:val="zh-CN"/>
        </w:rPr>
        <w:t>2.</w:t>
      </w:r>
      <w:r w:rsidRPr="000C0842">
        <w:rPr>
          <w:rFonts w:eastAsia="SimSun"/>
          <w:sz w:val="24"/>
          <w:szCs w:val="24"/>
          <w:lang w:val="zh-CN"/>
        </w:rPr>
        <w:tab/>
      </w:r>
      <w:r w:rsidRPr="000C0842">
        <w:rPr>
          <w:rFonts w:eastAsia="SimSun"/>
          <w:sz w:val="24"/>
          <w:szCs w:val="24"/>
          <w:lang w:val="zh-CN"/>
        </w:rPr>
        <w:t>指导委员会将由以下人员组成：</w:t>
      </w:r>
    </w:p>
    <w:p w14:paraId="240FE0EA" w14:textId="77777777" w:rsidR="00184519" w:rsidRPr="000C0842" w:rsidRDefault="00184519">
      <w:pPr>
        <w:numPr>
          <w:ilvl w:val="0"/>
          <w:numId w:val="22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具有联合国公平地域代表性的缔约方代表；</w:t>
      </w:r>
    </w:p>
    <w:p w14:paraId="1034326C" w14:textId="77777777" w:rsidR="00184519" w:rsidRPr="000C0842" w:rsidRDefault="00184519">
      <w:pPr>
        <w:numPr>
          <w:ilvl w:val="0"/>
          <w:numId w:val="22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土著人民和地方社区代表；</w:t>
      </w:r>
    </w:p>
    <w:p w14:paraId="3D7F22AA" w14:textId="77777777" w:rsidR="00184519" w:rsidRPr="000C0842" w:rsidRDefault="00184519">
      <w:pPr>
        <w:numPr>
          <w:ilvl w:val="0"/>
          <w:numId w:val="22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来自民间社会、</w:t>
      </w:r>
      <w:r w:rsidRPr="000C0842">
        <w:rPr>
          <w:rFonts w:eastAsia="SimSun"/>
          <w:snapToGrid w:val="0"/>
          <w:kern w:val="22"/>
          <w:sz w:val="24"/>
          <w:szCs w:val="24"/>
        </w:rPr>
        <w:t>学术界</w:t>
      </w:r>
      <w:r w:rsidRPr="000C0842">
        <w:rPr>
          <w:rFonts w:eastAsia="SimSun"/>
          <w:sz w:val="24"/>
          <w:szCs w:val="24"/>
          <w:lang w:val="zh-CN"/>
        </w:rPr>
        <w:t>/</w:t>
      </w:r>
      <w:r w:rsidRPr="000C0842">
        <w:rPr>
          <w:rFonts w:eastAsia="SimSun"/>
          <w:sz w:val="24"/>
          <w:szCs w:val="24"/>
          <w:lang w:val="zh-CN"/>
        </w:rPr>
        <w:t>运营公共数据库的实体和私营部门的利益攸关方的代表；</w:t>
      </w:r>
    </w:p>
    <w:p w14:paraId="5161ADE5" w14:textId="77777777" w:rsidR="00184519" w:rsidRPr="000C0842" w:rsidRDefault="00184519">
      <w:pPr>
        <w:numPr>
          <w:ilvl w:val="0"/>
          <w:numId w:val="223"/>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联合国系统的</w:t>
      </w:r>
      <w:r w:rsidRPr="000C0842">
        <w:rPr>
          <w:rFonts w:eastAsia="SimSun"/>
          <w:snapToGrid w:val="0"/>
          <w:kern w:val="22"/>
          <w:sz w:val="24"/>
          <w:szCs w:val="24"/>
        </w:rPr>
        <w:t>代表</w:t>
      </w:r>
      <w:r w:rsidRPr="000C0842">
        <w:rPr>
          <w:rStyle w:val="FootnoteReference"/>
          <w:rFonts w:eastAsia="SimSun"/>
          <w:sz w:val="24"/>
          <w:szCs w:val="24"/>
        </w:rPr>
        <w:footnoteReference w:id="12"/>
      </w:r>
      <w:r w:rsidRPr="000C0842">
        <w:rPr>
          <w:rFonts w:eastAsia="SimSun"/>
          <w:sz w:val="24"/>
          <w:szCs w:val="24"/>
          <w:lang w:val="zh-CN"/>
        </w:rPr>
        <w:t>。</w:t>
      </w:r>
    </w:p>
    <w:p w14:paraId="2B5917BD"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sz w:val="24"/>
          <w:szCs w:val="24"/>
          <w:lang w:val="zh-CN"/>
        </w:rPr>
      </w:pPr>
      <w:r w:rsidRPr="000C0842">
        <w:rPr>
          <w:rFonts w:eastAsia="SimSun"/>
          <w:sz w:val="24"/>
          <w:szCs w:val="24"/>
          <w:lang w:val="zh-CN"/>
        </w:rPr>
        <w:t>3.</w:t>
      </w:r>
      <w:r w:rsidRPr="000C0842">
        <w:rPr>
          <w:rFonts w:eastAsia="SimSun"/>
          <w:sz w:val="24"/>
          <w:szCs w:val="24"/>
          <w:lang w:val="zh-CN"/>
        </w:rPr>
        <w:tab/>
      </w:r>
      <w:r w:rsidRPr="000C0842">
        <w:rPr>
          <w:rFonts w:eastAsia="SimSun"/>
          <w:sz w:val="24"/>
          <w:szCs w:val="24"/>
          <w:lang w:val="zh-CN"/>
        </w:rPr>
        <w:t>指导委员会由缔约方大会设立。指导委员会成员将根据缔约方和观察员小组的提名人选依照既定程序选出。指导委员会主席将从代表生物多样性公约缔约方的委员会成员中指定。</w:t>
      </w:r>
    </w:p>
    <w:p w14:paraId="13F07692" w14:textId="77777777"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sz w:val="24"/>
          <w:szCs w:val="24"/>
          <w:lang w:val="zh-CN"/>
        </w:rPr>
      </w:pPr>
      <w:r w:rsidRPr="000C0842">
        <w:rPr>
          <w:rFonts w:eastAsia="SimSun"/>
          <w:sz w:val="24"/>
          <w:szCs w:val="24"/>
          <w:lang w:val="zh-CN"/>
        </w:rPr>
        <w:t>4.</w:t>
      </w:r>
      <w:r w:rsidRPr="000C0842">
        <w:rPr>
          <w:rFonts w:eastAsia="SimSun"/>
          <w:sz w:val="24"/>
          <w:szCs w:val="24"/>
          <w:lang w:val="zh-CN"/>
        </w:rPr>
        <w:tab/>
      </w:r>
      <w:r w:rsidRPr="000C0842">
        <w:rPr>
          <w:rFonts w:eastAsia="SimSun"/>
          <w:sz w:val="24"/>
          <w:szCs w:val="24"/>
          <w:lang w:val="zh-CN"/>
        </w:rPr>
        <w:t>指导委员会必要时将举行面对面会议和在线会议。监督机构的决策将通过成员协商一致作出。</w:t>
      </w:r>
    </w:p>
    <w:p w14:paraId="0B016867" w14:textId="1FC71614"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sz w:val="24"/>
          <w:szCs w:val="24"/>
          <w:lang w:val="zh-CN"/>
        </w:rPr>
      </w:pPr>
      <w:r w:rsidRPr="000C0842">
        <w:rPr>
          <w:rFonts w:eastAsia="SimSun"/>
          <w:sz w:val="24"/>
          <w:szCs w:val="24"/>
          <w:lang w:val="zh-CN"/>
        </w:rPr>
        <w:t>5.</w:t>
      </w:r>
      <w:r w:rsidRPr="000C0842">
        <w:rPr>
          <w:rFonts w:eastAsia="SimSun"/>
          <w:sz w:val="24"/>
          <w:szCs w:val="24"/>
          <w:lang w:val="zh-CN"/>
        </w:rPr>
        <w:tab/>
      </w:r>
      <w:r w:rsidRPr="000C0842">
        <w:rPr>
          <w:rFonts w:eastAsia="SimSun"/>
          <w:sz w:val="24"/>
          <w:szCs w:val="24"/>
          <w:lang w:val="zh-CN"/>
        </w:rPr>
        <w:t>指导委员会的初步组成如下</w:t>
      </w:r>
      <w:r w:rsidR="00EA4245" w:rsidRPr="000C0842">
        <w:rPr>
          <w:rStyle w:val="FootnoteReference"/>
          <w:rFonts w:eastAsia="SimSun"/>
          <w:sz w:val="24"/>
          <w:szCs w:val="24"/>
          <w:lang w:val="zh-CN"/>
        </w:rPr>
        <w:footnoteReference w:id="13"/>
      </w:r>
      <w:r w:rsidRPr="000C0842">
        <w:rPr>
          <w:rFonts w:eastAsia="SimSun"/>
          <w:sz w:val="24"/>
          <w:szCs w:val="24"/>
          <w:lang w:val="zh-CN"/>
        </w:rPr>
        <w:t>：</w:t>
      </w:r>
    </w:p>
    <w:p w14:paraId="500EF515"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(a)</w:t>
      </w:r>
      <w:r w:rsidRPr="000C0842">
        <w:rPr>
          <w:rFonts w:eastAsia="SimSun"/>
          <w:sz w:val="24"/>
          <w:szCs w:val="24"/>
        </w:rPr>
        <w:tab/>
        <w:t>24</w:t>
      </w:r>
      <w:r w:rsidRPr="000C0842">
        <w:rPr>
          <w:rFonts w:eastAsia="SimSun"/>
          <w:sz w:val="24"/>
          <w:szCs w:val="24"/>
        </w:rPr>
        <w:t>名成员的</w:t>
      </w:r>
      <w:r w:rsidRPr="000C0842">
        <w:rPr>
          <w:rFonts w:eastAsia="SimSun"/>
          <w:snapToGrid w:val="0"/>
          <w:kern w:val="22"/>
          <w:sz w:val="24"/>
          <w:szCs w:val="24"/>
        </w:rPr>
        <w:t>构成是</w:t>
      </w:r>
      <w:r w:rsidRPr="000C0842">
        <w:rPr>
          <w:rFonts w:eastAsia="SimSun"/>
          <w:sz w:val="24"/>
          <w:szCs w:val="24"/>
        </w:rPr>
        <w:t>：</w:t>
      </w:r>
    </w:p>
    <w:p w14:paraId="68DD1346" w14:textId="795E5EC5" w:rsidR="00184519" w:rsidRPr="000C0842" w:rsidRDefault="00184519">
      <w:pPr>
        <w:pStyle w:val="CBDDesicionText"/>
        <w:numPr>
          <w:ilvl w:val="0"/>
          <w:numId w:val="224"/>
        </w:numPr>
        <w:tabs>
          <w:tab w:val="clear" w:pos="567"/>
          <w:tab w:val="clear" w:pos="1134"/>
          <w:tab w:val="clear" w:pos="1701"/>
          <w:tab w:val="clear" w:pos="2268"/>
          <w:tab w:val="clear" w:pos="2835"/>
          <w:tab w:val="clear" w:pos="3402"/>
        </w:tabs>
        <w:ind w:left="1440" w:firstLine="0"/>
        <w:rPr>
          <w:rFonts w:eastAsia="SimSun"/>
          <w:sz w:val="24"/>
          <w:szCs w:val="24"/>
          <w:lang w:eastAsia="zh-CN"/>
        </w:rPr>
      </w:pPr>
      <w:r w:rsidRPr="000C0842">
        <w:rPr>
          <w:rFonts w:eastAsia="SimSun"/>
          <w:sz w:val="24"/>
          <w:szCs w:val="24"/>
          <w:lang w:eastAsia="zh-CN"/>
        </w:rPr>
        <w:t>来自缔约方的</w:t>
      </w:r>
      <w:r w:rsidRPr="000C0842">
        <w:rPr>
          <w:rFonts w:eastAsia="SimSun"/>
          <w:sz w:val="24"/>
          <w:szCs w:val="24"/>
          <w:lang w:eastAsia="zh-CN"/>
        </w:rPr>
        <w:t>15</w:t>
      </w:r>
      <w:r w:rsidRPr="000C0842">
        <w:rPr>
          <w:rFonts w:eastAsia="SimSun"/>
          <w:sz w:val="24"/>
          <w:szCs w:val="24"/>
          <w:lang w:eastAsia="zh-CN"/>
        </w:rPr>
        <w:t>名成员</w:t>
      </w:r>
      <w:r w:rsidR="00D40E31" w:rsidRPr="000C0842">
        <w:rPr>
          <w:rFonts w:eastAsia="SimSun" w:hint="eastAsia"/>
          <w:sz w:val="24"/>
          <w:szCs w:val="24"/>
          <w:lang w:eastAsia="zh-CN"/>
        </w:rPr>
        <w:t>（</w:t>
      </w:r>
      <w:r w:rsidRPr="000C0842">
        <w:rPr>
          <w:rFonts w:eastAsia="SimSun"/>
          <w:sz w:val="24"/>
          <w:szCs w:val="24"/>
          <w:lang w:eastAsia="zh-CN"/>
        </w:rPr>
        <w:t>每个区域</w:t>
      </w:r>
      <w:r w:rsidRPr="000C0842">
        <w:rPr>
          <w:rFonts w:eastAsia="SimSun"/>
          <w:sz w:val="24"/>
          <w:szCs w:val="24"/>
          <w:lang w:eastAsia="zh-CN"/>
        </w:rPr>
        <w:t>3</w:t>
      </w:r>
      <w:r w:rsidRPr="000C0842">
        <w:rPr>
          <w:rFonts w:eastAsia="SimSun"/>
          <w:sz w:val="24"/>
          <w:szCs w:val="24"/>
          <w:lang w:eastAsia="zh-CN"/>
        </w:rPr>
        <w:t>名</w:t>
      </w:r>
      <w:r w:rsidR="00D40E31" w:rsidRPr="000C0842">
        <w:rPr>
          <w:rFonts w:eastAsia="SimSun" w:hint="eastAsia"/>
          <w:sz w:val="24"/>
          <w:szCs w:val="24"/>
          <w:lang w:eastAsia="zh-CN"/>
        </w:rPr>
        <w:t>）</w:t>
      </w:r>
      <w:r w:rsidRPr="000C0842">
        <w:rPr>
          <w:rFonts w:eastAsia="SimSun"/>
          <w:sz w:val="24"/>
          <w:szCs w:val="24"/>
          <w:lang w:eastAsia="zh-CN"/>
        </w:rPr>
        <w:t>，包括从其中指定的主席</w:t>
      </w:r>
    </w:p>
    <w:p w14:paraId="04394CCF" w14:textId="465600E2" w:rsidR="00184519" w:rsidRPr="000C0842" w:rsidRDefault="00184519">
      <w:pPr>
        <w:pStyle w:val="CBDDesicionText"/>
        <w:numPr>
          <w:ilvl w:val="0"/>
          <w:numId w:val="224"/>
        </w:numPr>
        <w:tabs>
          <w:tab w:val="clear" w:pos="567"/>
          <w:tab w:val="clear" w:pos="1134"/>
          <w:tab w:val="clear" w:pos="1701"/>
          <w:tab w:val="clear" w:pos="2268"/>
          <w:tab w:val="clear" w:pos="2835"/>
          <w:tab w:val="clear" w:pos="3402"/>
        </w:tabs>
        <w:ind w:left="1440" w:firstLine="0"/>
        <w:rPr>
          <w:rFonts w:eastAsia="SimSun"/>
          <w:sz w:val="24"/>
          <w:szCs w:val="24"/>
          <w:lang w:eastAsia="zh-CN"/>
        </w:rPr>
      </w:pPr>
      <w:r w:rsidRPr="000C0842">
        <w:rPr>
          <w:rFonts w:eastAsia="SimSun"/>
          <w:sz w:val="24"/>
          <w:szCs w:val="24"/>
          <w:lang w:eastAsia="zh-CN"/>
        </w:rPr>
        <w:t>来自土著人民和地方社区的</w:t>
      </w:r>
      <w:r w:rsidRPr="000C0842">
        <w:rPr>
          <w:rFonts w:eastAsia="SimSun"/>
          <w:sz w:val="24"/>
          <w:szCs w:val="24"/>
          <w:lang w:eastAsia="zh-CN"/>
        </w:rPr>
        <w:t>7</w:t>
      </w:r>
      <w:r w:rsidRPr="000C0842">
        <w:rPr>
          <w:rFonts w:eastAsia="SimSun"/>
          <w:sz w:val="24"/>
          <w:szCs w:val="24"/>
          <w:lang w:eastAsia="zh-CN"/>
        </w:rPr>
        <w:t>名成员</w:t>
      </w:r>
      <w:r w:rsidR="00D40E31" w:rsidRPr="000C0842">
        <w:rPr>
          <w:rFonts w:eastAsia="SimSun" w:hint="eastAsia"/>
          <w:sz w:val="24"/>
          <w:szCs w:val="24"/>
          <w:lang w:eastAsia="zh-CN"/>
        </w:rPr>
        <w:t>（</w:t>
      </w:r>
      <w:r w:rsidRPr="000C0842">
        <w:rPr>
          <w:rFonts w:eastAsia="SimSun"/>
          <w:sz w:val="24"/>
          <w:szCs w:val="24"/>
          <w:lang w:eastAsia="zh-CN"/>
        </w:rPr>
        <w:t>每个社会文化区域</w:t>
      </w:r>
      <w:r w:rsidRPr="000C0842">
        <w:rPr>
          <w:rFonts w:eastAsia="SimSun"/>
          <w:sz w:val="24"/>
          <w:szCs w:val="24"/>
          <w:lang w:eastAsia="zh-CN"/>
        </w:rPr>
        <w:t>1</w:t>
      </w:r>
      <w:r w:rsidRPr="000C0842">
        <w:rPr>
          <w:rFonts w:eastAsia="SimSun"/>
          <w:sz w:val="24"/>
          <w:szCs w:val="24"/>
          <w:lang w:eastAsia="zh-CN"/>
        </w:rPr>
        <w:t>名</w:t>
      </w:r>
      <w:r w:rsidR="00D40E31" w:rsidRPr="000C0842">
        <w:rPr>
          <w:rFonts w:eastAsia="SimSun" w:hint="eastAsia"/>
          <w:sz w:val="24"/>
          <w:szCs w:val="24"/>
          <w:lang w:eastAsia="zh-CN"/>
        </w:rPr>
        <w:t>）</w:t>
      </w:r>
      <w:r w:rsidRPr="000C0842">
        <w:rPr>
          <w:rFonts w:eastAsia="SimSun"/>
          <w:sz w:val="24"/>
          <w:szCs w:val="24"/>
          <w:lang w:eastAsia="zh-CN"/>
        </w:rPr>
        <w:t xml:space="preserve"> </w:t>
      </w:r>
    </w:p>
    <w:p w14:paraId="254455A7" w14:textId="77777777" w:rsidR="00184519" w:rsidRPr="000C0842" w:rsidRDefault="00184519">
      <w:pPr>
        <w:pStyle w:val="CBDDesicionText"/>
        <w:numPr>
          <w:ilvl w:val="0"/>
          <w:numId w:val="224"/>
        </w:numPr>
        <w:tabs>
          <w:tab w:val="clear" w:pos="567"/>
          <w:tab w:val="clear" w:pos="1134"/>
          <w:tab w:val="clear" w:pos="1701"/>
          <w:tab w:val="clear" w:pos="2268"/>
          <w:tab w:val="clear" w:pos="2835"/>
          <w:tab w:val="clear" w:pos="3402"/>
        </w:tabs>
        <w:ind w:left="1440" w:firstLine="0"/>
        <w:rPr>
          <w:rFonts w:eastAsia="SimSun"/>
          <w:sz w:val="24"/>
          <w:szCs w:val="24"/>
          <w:lang w:eastAsia="zh-CN"/>
        </w:rPr>
      </w:pPr>
      <w:r w:rsidRPr="000C0842">
        <w:rPr>
          <w:rFonts w:eastAsia="SimSun"/>
          <w:sz w:val="24"/>
          <w:szCs w:val="24"/>
          <w:lang w:eastAsia="zh-CN"/>
        </w:rPr>
        <w:t>来自联合国实体的</w:t>
      </w:r>
      <w:r w:rsidRPr="000C0842">
        <w:rPr>
          <w:rFonts w:eastAsia="SimSun"/>
          <w:sz w:val="24"/>
          <w:szCs w:val="24"/>
          <w:lang w:eastAsia="zh-CN"/>
        </w:rPr>
        <w:t>2</w:t>
      </w:r>
      <w:r w:rsidRPr="000C0842">
        <w:rPr>
          <w:rFonts w:eastAsia="SimSun"/>
          <w:sz w:val="24"/>
          <w:szCs w:val="24"/>
          <w:lang w:eastAsia="zh-CN"/>
        </w:rPr>
        <w:t>名成员</w:t>
      </w:r>
      <w:r w:rsidRPr="000C0842">
        <w:rPr>
          <w:rFonts w:eastAsia="SimSun"/>
          <w:sz w:val="24"/>
          <w:szCs w:val="24"/>
          <w:lang w:eastAsia="zh-CN"/>
        </w:rPr>
        <w:t xml:space="preserve"> </w:t>
      </w:r>
    </w:p>
    <w:p w14:paraId="4996A0D7" w14:textId="5D4D297F" w:rsidR="00184519" w:rsidRPr="000C0842" w:rsidRDefault="00184519" w:rsidP="00D6521B">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(b)</w:t>
      </w:r>
      <w:r w:rsidRPr="000C0842">
        <w:rPr>
          <w:rFonts w:eastAsia="SimSun"/>
          <w:sz w:val="24"/>
          <w:szCs w:val="24"/>
        </w:rPr>
        <w:tab/>
      </w:r>
      <w:r w:rsidRPr="000C0842">
        <w:rPr>
          <w:rFonts w:eastAsia="SimSun"/>
          <w:sz w:val="24"/>
          <w:szCs w:val="24"/>
        </w:rPr>
        <w:t>来自民间社会、科学机构和私营部门的</w:t>
      </w:r>
      <w:r w:rsidRPr="000C0842">
        <w:rPr>
          <w:rFonts w:eastAsia="SimSun"/>
          <w:sz w:val="24"/>
          <w:szCs w:val="24"/>
        </w:rPr>
        <w:t>6</w:t>
      </w:r>
      <w:r w:rsidRPr="000C0842">
        <w:rPr>
          <w:rFonts w:eastAsia="SimSun"/>
          <w:sz w:val="24"/>
          <w:szCs w:val="24"/>
        </w:rPr>
        <w:t>名观察员</w:t>
      </w:r>
      <w:r w:rsidR="00D40E31" w:rsidRPr="000C0842">
        <w:rPr>
          <w:rFonts w:eastAsia="SimSun"/>
          <w:sz w:val="24"/>
          <w:szCs w:val="24"/>
        </w:rPr>
        <w:t>（</w:t>
      </w:r>
      <w:r w:rsidRPr="000C0842">
        <w:rPr>
          <w:rFonts w:eastAsia="SimSun"/>
          <w:sz w:val="24"/>
          <w:szCs w:val="24"/>
        </w:rPr>
        <w:t>每个类别</w:t>
      </w:r>
      <w:r w:rsidRPr="000C0842">
        <w:rPr>
          <w:rFonts w:eastAsia="SimSun"/>
          <w:sz w:val="24"/>
          <w:szCs w:val="24"/>
        </w:rPr>
        <w:t>2</w:t>
      </w:r>
      <w:r w:rsidRPr="000C0842">
        <w:rPr>
          <w:rFonts w:eastAsia="SimSun"/>
          <w:sz w:val="24"/>
          <w:szCs w:val="24"/>
        </w:rPr>
        <w:t>名</w:t>
      </w:r>
      <w:r w:rsidR="00D40E31" w:rsidRPr="000C0842">
        <w:rPr>
          <w:rFonts w:eastAsia="SimSun" w:hint="eastAsia"/>
          <w:sz w:val="24"/>
          <w:szCs w:val="24"/>
        </w:rPr>
        <w:t>）</w:t>
      </w:r>
      <w:r w:rsidRPr="000C0842">
        <w:rPr>
          <w:rFonts w:eastAsia="SimSun"/>
          <w:sz w:val="24"/>
          <w:szCs w:val="24"/>
        </w:rPr>
        <w:t>。</w:t>
      </w:r>
    </w:p>
    <w:p w14:paraId="04211D9E" w14:textId="7BB9717A" w:rsidR="00184519" w:rsidRPr="000C0842" w:rsidRDefault="00184519" w:rsidP="00DD1B99">
      <w:pPr>
        <w:pStyle w:val="CBDTitle"/>
        <w:topLinePunct/>
        <w:spacing w:before="360" w:after="120"/>
        <w:ind w:left="562"/>
        <w:rPr>
          <w:rFonts w:eastAsia="SimSun"/>
          <w:sz w:val="24"/>
          <w:szCs w:val="24"/>
          <w:lang w:eastAsia="zh-CN"/>
        </w:rPr>
      </w:pPr>
      <w:r w:rsidRPr="000C0842">
        <w:rPr>
          <w:rFonts w:eastAsia="SimSun"/>
          <w:sz w:val="24"/>
          <w:szCs w:val="24"/>
          <w:lang w:val="zh-CN" w:eastAsia="zh-CN"/>
        </w:rPr>
        <w:t>附文五</w:t>
      </w:r>
      <w:r w:rsidRPr="000C0842">
        <w:rPr>
          <w:rFonts w:eastAsia="SimSun"/>
          <w:sz w:val="24"/>
          <w:szCs w:val="24"/>
          <w:lang w:val="zh-CN" w:eastAsia="zh-CN"/>
        </w:rPr>
        <w:br/>
      </w:r>
      <w:r w:rsidRPr="000C0842">
        <w:rPr>
          <w:rFonts w:eastAsia="SimSun"/>
          <w:sz w:val="24"/>
          <w:szCs w:val="24"/>
          <w:lang w:val="zh-CN" w:eastAsia="zh-CN"/>
        </w:rPr>
        <w:t>秘书处的职能</w:t>
      </w:r>
      <w:r w:rsidRPr="000C0842">
        <w:rPr>
          <w:rFonts w:eastAsia="SimSun"/>
          <w:sz w:val="24"/>
          <w:szCs w:val="24"/>
          <w:lang w:val="zh-CN" w:eastAsia="zh-CN"/>
        </w:rPr>
        <w:t xml:space="preserve"> </w:t>
      </w:r>
    </w:p>
    <w:p w14:paraId="0579FABD" w14:textId="653536E3" w:rsidR="00184519" w:rsidRPr="000C0842" w:rsidRDefault="00184519" w:rsidP="00432C5D">
      <w:pPr>
        <w:pStyle w:val="Para1"/>
        <w:keepNext/>
        <w:numPr>
          <w:ilvl w:val="0"/>
          <w:numId w:val="0"/>
        </w:numPr>
        <w:tabs>
          <w:tab w:val="clear" w:pos="567"/>
          <w:tab w:val="clear" w:pos="1134"/>
          <w:tab w:val="clear" w:pos="1701"/>
          <w:tab w:val="clear" w:pos="2268"/>
        </w:tabs>
        <w:ind w:left="490" w:firstLine="432"/>
        <w:rPr>
          <w:rFonts w:eastAsia="SimSun"/>
          <w:sz w:val="24"/>
          <w:szCs w:val="24"/>
        </w:rPr>
      </w:pPr>
      <w:r w:rsidRPr="000C0842">
        <w:rPr>
          <w:rFonts w:eastAsia="SimSun"/>
          <w:sz w:val="24"/>
          <w:szCs w:val="24"/>
          <w:lang w:val="zh-CN"/>
        </w:rPr>
        <w:t>多边机制秘书处依照作为机制理事机构的缔约方大会的决定，并在指导委员会的指导下</w:t>
      </w:r>
      <w:r w:rsidRPr="000C0842">
        <w:rPr>
          <w:rFonts w:eastAsia="SimSun"/>
          <w:sz w:val="24"/>
          <w:szCs w:val="24"/>
          <w:lang w:val="en-GB"/>
        </w:rPr>
        <w:t>，</w:t>
      </w:r>
      <w:r w:rsidRPr="000C0842">
        <w:rPr>
          <w:rFonts w:eastAsia="SimSun"/>
          <w:sz w:val="24"/>
          <w:szCs w:val="24"/>
          <w:lang w:val="zh-CN"/>
        </w:rPr>
        <w:t>支持</w:t>
      </w:r>
      <w:r w:rsidRPr="000C0842">
        <w:rPr>
          <w:rFonts w:eastAsia="SimSun"/>
          <w:sz w:val="24"/>
          <w:szCs w:val="24"/>
          <w:lang w:val="en-GB"/>
        </w:rPr>
        <w:t>公正和</w:t>
      </w:r>
      <w:r w:rsidRPr="000C0842">
        <w:rPr>
          <w:rFonts w:eastAsia="SimSun"/>
          <w:bCs/>
          <w:sz w:val="24"/>
          <w:szCs w:val="24"/>
          <w:lang w:val="en-GB"/>
        </w:rPr>
        <w:t>公平</w:t>
      </w:r>
      <w:r w:rsidRPr="000C0842">
        <w:rPr>
          <w:rFonts w:eastAsia="SimSun"/>
          <w:sz w:val="24"/>
          <w:szCs w:val="24"/>
          <w:lang w:val="en-GB"/>
        </w:rPr>
        <w:t>分享利用遗传资源数字序列信息所产生惠益的</w:t>
      </w:r>
      <w:r w:rsidRPr="000C0842">
        <w:rPr>
          <w:rFonts w:eastAsia="SimSun"/>
          <w:sz w:val="24"/>
          <w:szCs w:val="24"/>
          <w:lang w:val="zh-CN"/>
        </w:rPr>
        <w:t>多边机制包括全球基金的运作。具体而言，秘书处将：</w:t>
      </w:r>
    </w:p>
    <w:p w14:paraId="3394CAF3"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(a)</w:t>
      </w:r>
      <w:r w:rsidRPr="000C0842">
        <w:rPr>
          <w:rFonts w:eastAsia="SimSun"/>
          <w:sz w:val="24"/>
          <w:szCs w:val="24"/>
          <w:lang w:val="zh-CN"/>
        </w:rPr>
        <w:tab/>
      </w:r>
      <w:r w:rsidRPr="000C0842">
        <w:rPr>
          <w:rFonts w:eastAsia="SimSun"/>
          <w:sz w:val="24"/>
          <w:szCs w:val="24"/>
          <w:lang w:val="zh-CN"/>
        </w:rPr>
        <w:t>根据基金托管</w:t>
      </w:r>
      <w:r w:rsidRPr="000C0842">
        <w:rPr>
          <w:rFonts w:eastAsia="SimSun"/>
          <w:snapToGrid w:val="0"/>
          <w:kern w:val="22"/>
          <w:sz w:val="24"/>
          <w:szCs w:val="24"/>
        </w:rPr>
        <w:t>机构</w:t>
      </w:r>
      <w:r w:rsidRPr="000C0842">
        <w:rPr>
          <w:rFonts w:eastAsia="SimSun"/>
          <w:sz w:val="24"/>
          <w:szCs w:val="24"/>
          <w:lang w:val="zh-CN"/>
        </w:rPr>
        <w:t>提供的信息</w:t>
      </w:r>
      <w:r w:rsidRPr="000C0842">
        <w:rPr>
          <w:rFonts w:eastAsia="SimSun"/>
          <w:sz w:val="24"/>
          <w:szCs w:val="24"/>
        </w:rPr>
        <w:t>，</w:t>
      </w:r>
      <w:r w:rsidRPr="000C0842">
        <w:rPr>
          <w:rFonts w:eastAsia="SimSun"/>
          <w:sz w:val="24"/>
          <w:szCs w:val="24"/>
          <w:lang w:val="zh-CN"/>
        </w:rPr>
        <w:t>编写关于向全球基金捐款情况的定期报告和分析；</w:t>
      </w:r>
    </w:p>
    <w:p w14:paraId="6E3A9F25"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(b)</w:t>
      </w:r>
      <w:r w:rsidRPr="000C0842">
        <w:rPr>
          <w:rFonts w:eastAsia="SimSun"/>
          <w:sz w:val="24"/>
          <w:szCs w:val="24"/>
          <w:lang w:val="zh-CN"/>
        </w:rPr>
        <w:tab/>
      </w:r>
      <w:r w:rsidRPr="000C0842">
        <w:rPr>
          <w:rFonts w:eastAsia="SimSun"/>
          <w:sz w:val="24"/>
          <w:szCs w:val="24"/>
          <w:lang w:val="zh-CN"/>
        </w:rPr>
        <w:t>根据接收方实体</w:t>
      </w:r>
      <w:r w:rsidRPr="000C0842">
        <w:rPr>
          <w:rFonts w:eastAsia="SimSun"/>
          <w:snapToGrid w:val="0"/>
          <w:kern w:val="22"/>
          <w:sz w:val="24"/>
          <w:szCs w:val="24"/>
        </w:rPr>
        <w:t>提供</w:t>
      </w:r>
      <w:r w:rsidRPr="000C0842">
        <w:rPr>
          <w:rFonts w:eastAsia="SimSun"/>
          <w:sz w:val="24"/>
          <w:szCs w:val="24"/>
          <w:lang w:val="zh-CN"/>
        </w:rPr>
        <w:t>的信息</w:t>
      </w:r>
      <w:r w:rsidRPr="000C0842">
        <w:rPr>
          <w:rFonts w:eastAsia="SimSun"/>
          <w:sz w:val="24"/>
          <w:szCs w:val="24"/>
        </w:rPr>
        <w:t>，</w:t>
      </w:r>
      <w:r w:rsidRPr="000C0842">
        <w:rPr>
          <w:rFonts w:eastAsia="SimSun"/>
          <w:sz w:val="24"/>
          <w:szCs w:val="24"/>
          <w:lang w:val="zh-CN"/>
        </w:rPr>
        <w:t>编写关于基金使用情况的定期报告和分析；</w:t>
      </w:r>
    </w:p>
    <w:p w14:paraId="59F84A99"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zh-CN"/>
        </w:rPr>
        <w:t>(c)</w:t>
      </w:r>
      <w:r w:rsidRPr="000C0842">
        <w:rPr>
          <w:rFonts w:eastAsia="SimSun"/>
          <w:sz w:val="24"/>
          <w:szCs w:val="24"/>
          <w:lang w:val="zh-CN"/>
        </w:rPr>
        <w:tab/>
      </w:r>
      <w:r w:rsidRPr="000C0842">
        <w:rPr>
          <w:rFonts w:eastAsia="SimSun"/>
          <w:sz w:val="24"/>
          <w:szCs w:val="24"/>
          <w:lang w:val="zh-CN"/>
        </w:rPr>
        <w:t>为指导委员会会议提供服务；</w:t>
      </w:r>
    </w:p>
    <w:p w14:paraId="2552A8AC" w14:textId="77777777" w:rsidR="00184519" w:rsidRPr="000C0842" w:rsidRDefault="00184519" w:rsidP="00672268">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zh-CN"/>
        </w:rPr>
      </w:pPr>
      <w:r w:rsidRPr="000C0842">
        <w:rPr>
          <w:rFonts w:eastAsia="SimSun"/>
          <w:sz w:val="24"/>
          <w:szCs w:val="24"/>
          <w:lang w:val="zh-CN"/>
        </w:rPr>
        <w:t>(d)</w:t>
      </w:r>
      <w:r w:rsidRPr="000C0842">
        <w:rPr>
          <w:rFonts w:eastAsia="SimSun"/>
          <w:sz w:val="24"/>
          <w:szCs w:val="24"/>
          <w:lang w:val="zh-CN"/>
        </w:rPr>
        <w:tab/>
      </w:r>
      <w:r w:rsidRPr="000C0842">
        <w:rPr>
          <w:rFonts w:eastAsia="SimSun"/>
          <w:sz w:val="24"/>
          <w:szCs w:val="24"/>
          <w:lang w:val="zh-CN"/>
        </w:rPr>
        <w:t>作为该机制的理事机构</w:t>
      </w:r>
      <w:r w:rsidRPr="000C0842">
        <w:rPr>
          <w:rFonts w:eastAsia="SimSun"/>
          <w:sz w:val="24"/>
          <w:szCs w:val="24"/>
        </w:rPr>
        <w:t>，</w:t>
      </w:r>
      <w:r w:rsidRPr="000C0842">
        <w:rPr>
          <w:rFonts w:eastAsia="SimSun"/>
          <w:sz w:val="24"/>
          <w:szCs w:val="24"/>
          <w:lang w:val="zh-CN"/>
        </w:rPr>
        <w:t>执行缔约方大会确定的任何其他任务。</w:t>
      </w:r>
    </w:p>
    <w:p w14:paraId="5FA42BC3" w14:textId="77777777" w:rsidR="00184519" w:rsidRPr="000C0842" w:rsidRDefault="00184519" w:rsidP="00432C5D">
      <w:pPr>
        <w:pStyle w:val="CBDTitle"/>
        <w:topLinePunct/>
        <w:spacing w:after="120"/>
        <w:ind w:left="562"/>
        <w:rPr>
          <w:rFonts w:eastAsia="SimSun"/>
          <w:sz w:val="24"/>
          <w:szCs w:val="24"/>
          <w:lang w:val="zh-CN" w:eastAsia="zh-CN"/>
        </w:rPr>
      </w:pPr>
      <w:r w:rsidRPr="000C0842">
        <w:rPr>
          <w:rFonts w:eastAsia="SimSun"/>
          <w:sz w:val="24"/>
          <w:szCs w:val="24"/>
          <w:lang w:val="zh-CN" w:eastAsia="zh-CN"/>
        </w:rPr>
        <w:t>附文六</w:t>
      </w:r>
      <w:r w:rsidRPr="000C0842">
        <w:rPr>
          <w:rFonts w:eastAsia="SimSun"/>
          <w:sz w:val="24"/>
          <w:szCs w:val="24"/>
          <w:lang w:val="zh-CN" w:eastAsia="zh-CN"/>
        </w:rPr>
        <w:br/>
      </w:r>
      <w:r w:rsidRPr="000C0842">
        <w:rPr>
          <w:rFonts w:eastAsia="SimSun"/>
          <w:sz w:val="24"/>
          <w:szCs w:val="24"/>
          <w:lang w:val="zh-CN" w:eastAsia="zh-CN"/>
        </w:rPr>
        <w:t>审查中需要考虑的因素</w:t>
      </w:r>
    </w:p>
    <w:p w14:paraId="382FC8C2" w14:textId="043E2228" w:rsidR="00184519" w:rsidRPr="000C0842" w:rsidRDefault="00184519" w:rsidP="00DD1B99">
      <w:pPr>
        <w:pStyle w:val="Para1"/>
        <w:keepNext/>
        <w:numPr>
          <w:ilvl w:val="0"/>
          <w:numId w:val="0"/>
        </w:numPr>
        <w:tabs>
          <w:tab w:val="clear" w:pos="567"/>
          <w:tab w:val="clear" w:pos="1134"/>
          <w:tab w:val="clear" w:pos="1701"/>
          <w:tab w:val="clear" w:pos="2268"/>
        </w:tabs>
        <w:ind w:left="490" w:firstLine="490"/>
        <w:rPr>
          <w:rFonts w:eastAsia="SimSun"/>
          <w:bCs/>
          <w:sz w:val="24"/>
          <w:szCs w:val="24"/>
          <w:lang w:val="zh-CN"/>
        </w:rPr>
      </w:pPr>
      <w:r w:rsidRPr="000C0842">
        <w:rPr>
          <w:rFonts w:eastAsia="SimSun"/>
          <w:sz w:val="24"/>
          <w:szCs w:val="24"/>
          <w:lang w:val="en-GB"/>
        </w:rPr>
        <w:t>审查中必须考虑的因素如下</w:t>
      </w:r>
      <w:r w:rsidRPr="000C0842">
        <w:rPr>
          <w:rFonts w:eastAsia="SimSun"/>
          <w:bCs/>
          <w:sz w:val="24"/>
          <w:szCs w:val="24"/>
          <w:lang w:val="zh-CN"/>
        </w:rPr>
        <w:t>：</w:t>
      </w:r>
    </w:p>
    <w:p w14:paraId="1C358A0E"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(a)</w:t>
      </w:r>
      <w:r w:rsidRPr="000C0842">
        <w:rPr>
          <w:rFonts w:eastAsia="SimSun"/>
          <w:sz w:val="24"/>
          <w:szCs w:val="24"/>
          <w:lang w:val="en-GB"/>
        </w:rPr>
        <w:tab/>
      </w:r>
      <w:r w:rsidRPr="000C0842">
        <w:rPr>
          <w:rFonts w:eastAsia="SimSun"/>
          <w:sz w:val="24"/>
          <w:szCs w:val="24"/>
          <w:lang w:val="zh-CN"/>
        </w:rPr>
        <w:t>通过全球基金调动的资金数额，按总额并按捐助者和接受者</w:t>
      </w:r>
      <w:r w:rsidRPr="000C0842">
        <w:rPr>
          <w:rFonts w:eastAsia="SimSun"/>
          <w:sz w:val="24"/>
          <w:szCs w:val="24"/>
          <w:lang w:val="en-GB"/>
        </w:rPr>
        <w:t>（</w:t>
      </w:r>
      <w:r w:rsidRPr="000C0842">
        <w:rPr>
          <w:rFonts w:eastAsia="SimSun"/>
          <w:sz w:val="24"/>
          <w:szCs w:val="24"/>
          <w:lang w:val="zh-CN"/>
        </w:rPr>
        <w:t>国家、土著人民和地方社区，包括这些社区内的妇女和青年</w:t>
      </w:r>
      <w:r w:rsidRPr="000C0842">
        <w:rPr>
          <w:rFonts w:eastAsia="SimSun"/>
          <w:sz w:val="24"/>
          <w:szCs w:val="24"/>
          <w:lang w:val="en-GB"/>
        </w:rPr>
        <w:t>）</w:t>
      </w:r>
      <w:r w:rsidRPr="000C0842">
        <w:rPr>
          <w:rFonts w:eastAsia="SimSun"/>
          <w:sz w:val="24"/>
          <w:szCs w:val="24"/>
          <w:lang w:val="zh-CN"/>
        </w:rPr>
        <w:t>分列</w:t>
      </w:r>
      <w:r w:rsidRPr="000C0842">
        <w:rPr>
          <w:rFonts w:eastAsia="SimSun"/>
          <w:sz w:val="24"/>
          <w:szCs w:val="24"/>
          <w:lang w:val="en-GB"/>
        </w:rPr>
        <w:t>；</w:t>
      </w:r>
    </w:p>
    <w:p w14:paraId="4CFDEAD1"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(b)</w:t>
      </w:r>
      <w:r w:rsidRPr="000C0842">
        <w:rPr>
          <w:rFonts w:eastAsia="SimSun"/>
          <w:sz w:val="24"/>
          <w:szCs w:val="24"/>
        </w:rPr>
        <w:tab/>
      </w:r>
      <w:r w:rsidRPr="000C0842">
        <w:rPr>
          <w:rFonts w:eastAsia="SimSun"/>
          <w:sz w:val="24"/>
          <w:szCs w:val="24"/>
          <w:lang w:val="zh-CN"/>
        </w:rPr>
        <w:t>附文</w:t>
      </w:r>
      <w:r w:rsidRPr="000C0842">
        <w:rPr>
          <w:rFonts w:eastAsia="SimSun"/>
          <w:sz w:val="24"/>
          <w:szCs w:val="24"/>
        </w:rPr>
        <w:t>一</w:t>
      </w:r>
      <w:r w:rsidRPr="000C0842">
        <w:rPr>
          <w:rFonts w:eastAsia="SimSun"/>
          <w:sz w:val="24"/>
          <w:szCs w:val="24"/>
          <w:lang w:val="zh-CN"/>
        </w:rPr>
        <w:t>所列的</w:t>
      </w:r>
      <w:r w:rsidRPr="000C0842">
        <w:rPr>
          <w:rFonts w:eastAsia="SimSun"/>
          <w:snapToGrid w:val="0"/>
          <w:kern w:val="22"/>
          <w:sz w:val="24"/>
          <w:szCs w:val="24"/>
        </w:rPr>
        <w:t>指示</w:t>
      </w:r>
      <w:r w:rsidRPr="000C0842">
        <w:rPr>
          <w:rFonts w:eastAsia="SimSun"/>
          <w:sz w:val="24"/>
          <w:szCs w:val="24"/>
          <w:lang w:val="zh-CN"/>
        </w:rPr>
        <w:t>性行业清单</w:t>
      </w:r>
      <w:r w:rsidRPr="000C0842">
        <w:rPr>
          <w:rFonts w:eastAsia="SimSun"/>
          <w:sz w:val="24"/>
          <w:szCs w:val="24"/>
        </w:rPr>
        <w:t>，</w:t>
      </w:r>
      <w:r w:rsidRPr="000C0842">
        <w:rPr>
          <w:rFonts w:eastAsia="SimSun"/>
          <w:sz w:val="24"/>
          <w:szCs w:val="24"/>
          <w:lang w:val="zh-CN"/>
        </w:rPr>
        <w:t>其中考虑到</w:t>
      </w:r>
      <w:r w:rsidRPr="000C0842">
        <w:rPr>
          <w:rFonts w:eastAsia="SimSun"/>
          <w:sz w:val="24"/>
          <w:szCs w:val="24"/>
          <w:lang w:val="en-GB"/>
        </w:rPr>
        <w:t>公正和公平分享利用遗传资源数字序列信息所产生惠益的</w:t>
      </w:r>
      <w:r w:rsidRPr="000C0842">
        <w:rPr>
          <w:rFonts w:eastAsia="SimSun"/>
          <w:sz w:val="24"/>
          <w:szCs w:val="24"/>
          <w:lang w:val="zh-CN"/>
        </w:rPr>
        <w:t>多边机制的经验以及新的技术和商业发展情况</w:t>
      </w:r>
      <w:r w:rsidRPr="000C0842">
        <w:rPr>
          <w:rFonts w:eastAsia="SimSun"/>
          <w:sz w:val="24"/>
          <w:szCs w:val="24"/>
        </w:rPr>
        <w:t>；</w:t>
      </w:r>
    </w:p>
    <w:p w14:paraId="44262273"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(c)</w:t>
      </w:r>
      <w:r w:rsidRPr="000C0842">
        <w:rPr>
          <w:rFonts w:eastAsia="SimSun"/>
          <w:sz w:val="24"/>
          <w:szCs w:val="24"/>
          <w:lang w:val="en-GB"/>
        </w:rPr>
        <w:tab/>
      </w:r>
      <w:r w:rsidRPr="000C0842">
        <w:rPr>
          <w:rFonts w:eastAsia="SimSun"/>
          <w:sz w:val="24"/>
          <w:szCs w:val="24"/>
          <w:lang w:val="zh-CN"/>
        </w:rPr>
        <w:t>基金支持的活动的汇总信息</w:t>
      </w:r>
      <w:r w:rsidRPr="000C0842">
        <w:rPr>
          <w:rFonts w:eastAsia="SimSun"/>
          <w:sz w:val="24"/>
          <w:szCs w:val="24"/>
        </w:rPr>
        <w:t>；</w:t>
      </w:r>
    </w:p>
    <w:p w14:paraId="06047D68" w14:textId="77777777" w:rsidR="00184519" w:rsidRPr="000C0842" w:rsidRDefault="00184519" w:rsidP="00432C5D">
      <w:pPr>
        <w:pStyle w:val="Para1"/>
        <w:numPr>
          <w:ilvl w:val="0"/>
          <w:numId w:val="0"/>
        </w:numPr>
        <w:tabs>
          <w:tab w:val="clear" w:pos="567"/>
          <w:tab w:val="clear" w:pos="1134"/>
          <w:tab w:val="clear" w:pos="1701"/>
          <w:tab w:val="clear" w:pos="2268"/>
        </w:tabs>
        <w:spacing w:before="80" w:after="80"/>
        <w:ind w:left="490" w:firstLine="490"/>
        <w:rPr>
          <w:rFonts w:eastAsia="SimSun"/>
          <w:sz w:val="24"/>
          <w:szCs w:val="24"/>
        </w:rPr>
      </w:pPr>
      <w:r w:rsidRPr="000C0842">
        <w:rPr>
          <w:rFonts w:eastAsia="SimSun"/>
          <w:sz w:val="24"/>
          <w:szCs w:val="24"/>
        </w:rPr>
        <w:t>(d)</w:t>
      </w:r>
      <w:r w:rsidRPr="000C0842">
        <w:rPr>
          <w:rFonts w:eastAsia="SimSun"/>
          <w:sz w:val="24"/>
          <w:szCs w:val="24"/>
        </w:rPr>
        <w:tab/>
      </w:r>
      <w:r w:rsidRPr="000C0842">
        <w:rPr>
          <w:rFonts w:eastAsia="SimSun"/>
          <w:sz w:val="24"/>
          <w:szCs w:val="24"/>
          <w:lang w:val="zh-CN"/>
        </w:rPr>
        <w:t>评估多边机制促进的非货币惠益的范围及其与受益方自我确定的需求的一致性</w:t>
      </w:r>
      <w:r w:rsidRPr="000C0842">
        <w:rPr>
          <w:rFonts w:eastAsia="SimSun"/>
          <w:sz w:val="24"/>
          <w:szCs w:val="24"/>
        </w:rPr>
        <w:t>；</w:t>
      </w:r>
    </w:p>
    <w:p w14:paraId="754BBA45"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(e)</w:t>
      </w:r>
      <w:r w:rsidRPr="000C0842">
        <w:rPr>
          <w:rFonts w:eastAsia="SimSun"/>
          <w:sz w:val="24"/>
          <w:szCs w:val="24"/>
        </w:rPr>
        <w:tab/>
      </w:r>
      <w:r w:rsidRPr="000C0842">
        <w:rPr>
          <w:rFonts w:eastAsia="SimSun"/>
          <w:sz w:val="24"/>
          <w:szCs w:val="24"/>
          <w:lang w:val="zh-CN"/>
        </w:rPr>
        <w:t>评估多边机制</w:t>
      </w:r>
      <w:r w:rsidRPr="000C0842">
        <w:rPr>
          <w:rFonts w:eastAsia="SimSun"/>
          <w:snapToGrid w:val="0"/>
          <w:kern w:val="22"/>
          <w:sz w:val="24"/>
          <w:szCs w:val="24"/>
        </w:rPr>
        <w:t>包括</w:t>
      </w:r>
      <w:r w:rsidRPr="000C0842">
        <w:rPr>
          <w:rFonts w:eastAsia="SimSun"/>
          <w:sz w:val="24"/>
          <w:szCs w:val="24"/>
          <w:lang w:val="zh-CN"/>
        </w:rPr>
        <w:t>全球基金的效率</w:t>
      </w:r>
      <w:r w:rsidRPr="000C0842">
        <w:rPr>
          <w:rFonts w:eastAsia="SimSun"/>
          <w:sz w:val="24"/>
          <w:szCs w:val="24"/>
        </w:rPr>
        <w:t>，</w:t>
      </w:r>
      <w:r w:rsidRPr="000C0842">
        <w:rPr>
          <w:rFonts w:eastAsia="SimSun"/>
          <w:sz w:val="24"/>
          <w:szCs w:val="24"/>
          <w:lang w:val="zh-CN"/>
        </w:rPr>
        <w:t>同时考虑到其运作成本以及货币捐款触发机制的适用性</w:t>
      </w:r>
      <w:r w:rsidRPr="000C0842">
        <w:rPr>
          <w:rFonts w:eastAsia="SimSun"/>
          <w:sz w:val="24"/>
          <w:szCs w:val="24"/>
        </w:rPr>
        <w:t>；</w:t>
      </w:r>
    </w:p>
    <w:p w14:paraId="7535F1CF"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(f)</w:t>
      </w:r>
      <w:r w:rsidRPr="000C0842">
        <w:rPr>
          <w:rFonts w:eastAsia="SimSun"/>
          <w:sz w:val="24"/>
          <w:szCs w:val="24"/>
        </w:rPr>
        <w:tab/>
      </w:r>
      <w:r w:rsidRPr="000C0842">
        <w:rPr>
          <w:rFonts w:eastAsia="SimSun"/>
          <w:sz w:val="24"/>
          <w:szCs w:val="24"/>
          <w:lang w:val="zh-CN"/>
        </w:rPr>
        <w:t>评估多边机制对实现《生物多样性公约》三项目标以及落实《昆明</w:t>
      </w:r>
      <w:r w:rsidRPr="000C0842">
        <w:rPr>
          <w:rFonts w:eastAsia="SimSun"/>
          <w:sz w:val="24"/>
          <w:szCs w:val="24"/>
        </w:rPr>
        <w:t>-</w:t>
      </w:r>
      <w:r w:rsidRPr="000C0842">
        <w:rPr>
          <w:rFonts w:eastAsia="SimSun"/>
          <w:sz w:val="24"/>
          <w:szCs w:val="24"/>
          <w:lang w:val="zh-CN"/>
        </w:rPr>
        <w:t>蒙特利尔全球生物多样性框架》的相关长期目标和行动目标及其执行考虑因素</w:t>
      </w:r>
      <w:r w:rsidRPr="000C0842">
        <w:rPr>
          <w:rStyle w:val="FootnoteReference"/>
          <w:rFonts w:eastAsia="SimSun"/>
          <w:sz w:val="24"/>
          <w:szCs w:val="24"/>
          <w:lang w:val="zh-CN"/>
        </w:rPr>
        <w:footnoteReference w:id="14"/>
      </w:r>
      <w:r w:rsidRPr="000C0842">
        <w:rPr>
          <w:rFonts w:eastAsia="SimSun"/>
          <w:sz w:val="24"/>
          <w:szCs w:val="24"/>
          <w:lang w:val="zh-CN"/>
        </w:rPr>
        <w:t>的贡献</w:t>
      </w:r>
      <w:r w:rsidRPr="000C0842">
        <w:rPr>
          <w:rFonts w:eastAsia="SimSun"/>
          <w:sz w:val="24"/>
          <w:szCs w:val="24"/>
        </w:rPr>
        <w:t>；</w:t>
      </w:r>
    </w:p>
    <w:p w14:paraId="318A7F12" w14:textId="77777777" w:rsidR="00184519" w:rsidRPr="000C0842" w:rsidRDefault="00184519" w:rsidP="00DD1B99">
      <w:pPr>
        <w:pStyle w:val="Para1"/>
        <w:numPr>
          <w:ilvl w:val="0"/>
          <w:numId w:val="0"/>
        </w:numPr>
        <w:tabs>
          <w:tab w:val="clear" w:pos="567"/>
          <w:tab w:val="clear" w:pos="1134"/>
          <w:tab w:val="clear" w:pos="1701"/>
          <w:tab w:val="clear" w:pos="2268"/>
        </w:tabs>
        <w:spacing w:before="80" w:after="80"/>
        <w:ind w:left="980"/>
        <w:rPr>
          <w:rFonts w:eastAsia="SimSun"/>
          <w:sz w:val="24"/>
          <w:szCs w:val="24"/>
        </w:rPr>
      </w:pPr>
      <w:r w:rsidRPr="000C0842">
        <w:rPr>
          <w:rFonts w:eastAsia="SimSun"/>
          <w:sz w:val="24"/>
          <w:szCs w:val="24"/>
        </w:rPr>
        <w:t>(g)</w:t>
      </w:r>
      <w:r w:rsidRPr="000C0842">
        <w:rPr>
          <w:rFonts w:eastAsia="SimSun"/>
          <w:sz w:val="24"/>
          <w:szCs w:val="24"/>
        </w:rPr>
        <w:tab/>
      </w:r>
      <w:r w:rsidRPr="000C0842">
        <w:rPr>
          <w:rFonts w:eastAsia="SimSun"/>
          <w:sz w:val="24"/>
          <w:szCs w:val="24"/>
          <w:lang w:val="zh-CN"/>
        </w:rPr>
        <w:t>评估多边机制在向遗传资源数字序列信息提供者和用户提供法律确定性方面的有效性</w:t>
      </w:r>
      <w:r w:rsidRPr="000C0842">
        <w:rPr>
          <w:rFonts w:eastAsia="SimSun"/>
          <w:sz w:val="24"/>
          <w:szCs w:val="24"/>
        </w:rPr>
        <w:t>；</w:t>
      </w:r>
    </w:p>
    <w:p w14:paraId="2939AC88"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(h)</w:t>
      </w:r>
      <w:r w:rsidRPr="000C0842">
        <w:rPr>
          <w:rFonts w:eastAsia="SimSun"/>
          <w:sz w:val="24"/>
          <w:szCs w:val="24"/>
        </w:rPr>
        <w:tab/>
      </w:r>
      <w:r w:rsidRPr="000C0842">
        <w:rPr>
          <w:rFonts w:eastAsia="SimSun"/>
          <w:sz w:val="24"/>
          <w:szCs w:val="24"/>
          <w:lang w:val="zh-CN"/>
        </w:rPr>
        <w:t>关于多边机制与任何国家获取和惠益分享安排之间相互作用的信息</w:t>
      </w:r>
      <w:r w:rsidRPr="000C0842">
        <w:rPr>
          <w:rFonts w:eastAsia="SimSun"/>
          <w:sz w:val="24"/>
          <w:szCs w:val="24"/>
        </w:rPr>
        <w:t>；</w:t>
      </w:r>
    </w:p>
    <w:p w14:paraId="249CB2D4"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(i)</w:t>
      </w:r>
      <w:r w:rsidRPr="000C0842">
        <w:rPr>
          <w:rFonts w:eastAsia="SimSun"/>
          <w:sz w:val="24"/>
          <w:szCs w:val="24"/>
        </w:rPr>
        <w:tab/>
      </w:r>
      <w:r w:rsidRPr="000C0842">
        <w:rPr>
          <w:rFonts w:eastAsia="SimSun"/>
          <w:sz w:val="24"/>
          <w:szCs w:val="24"/>
          <w:lang w:val="zh-CN"/>
        </w:rPr>
        <w:t>关于通过多边</w:t>
      </w:r>
      <w:r w:rsidRPr="000C0842">
        <w:rPr>
          <w:rFonts w:eastAsia="SimSun"/>
          <w:snapToGrid w:val="0"/>
          <w:kern w:val="22"/>
          <w:sz w:val="24"/>
          <w:szCs w:val="24"/>
        </w:rPr>
        <w:t>机制</w:t>
      </w:r>
      <w:r w:rsidRPr="000C0842">
        <w:rPr>
          <w:rFonts w:eastAsia="SimSun"/>
          <w:sz w:val="24"/>
          <w:szCs w:val="24"/>
          <w:lang w:val="zh-CN"/>
        </w:rPr>
        <w:t>和根据国家获取和惠益分享措施分享货币惠益的任何可用信息</w:t>
      </w:r>
      <w:r w:rsidRPr="000C0842">
        <w:rPr>
          <w:rFonts w:eastAsia="SimSun"/>
          <w:sz w:val="24"/>
          <w:szCs w:val="24"/>
        </w:rPr>
        <w:t>；</w:t>
      </w:r>
    </w:p>
    <w:p w14:paraId="2A852531"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(j)</w:t>
      </w:r>
      <w:r w:rsidRPr="000C0842">
        <w:rPr>
          <w:rFonts w:eastAsia="SimSun"/>
          <w:sz w:val="24"/>
          <w:szCs w:val="24"/>
        </w:rPr>
        <w:tab/>
      </w:r>
      <w:r w:rsidRPr="000C0842">
        <w:rPr>
          <w:rFonts w:eastAsia="SimSun"/>
          <w:sz w:val="24"/>
          <w:szCs w:val="24"/>
          <w:lang w:val="zh-CN"/>
        </w:rPr>
        <w:t>关于多边机制的运作对土著人民和地方社区包括其中妇女和青年权利的影响的信息</w:t>
      </w:r>
      <w:r w:rsidRPr="000C0842">
        <w:rPr>
          <w:rFonts w:eastAsia="SimSun"/>
          <w:sz w:val="24"/>
          <w:szCs w:val="24"/>
        </w:rPr>
        <w:t>；</w:t>
      </w:r>
    </w:p>
    <w:p w14:paraId="50F088CA"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(k)</w:t>
      </w:r>
      <w:r w:rsidRPr="000C0842">
        <w:rPr>
          <w:rFonts w:eastAsia="SimSun"/>
          <w:sz w:val="24"/>
          <w:szCs w:val="24"/>
        </w:rPr>
        <w:tab/>
      </w:r>
      <w:r w:rsidRPr="000C0842">
        <w:rPr>
          <w:rFonts w:eastAsia="SimSun"/>
          <w:sz w:val="24"/>
          <w:szCs w:val="24"/>
          <w:lang w:val="zh-CN"/>
        </w:rPr>
        <w:t>关于多边机制的运作对遗传资源数字序列信息公共数据库运作影响的信息</w:t>
      </w:r>
      <w:r w:rsidRPr="000C0842">
        <w:rPr>
          <w:rFonts w:eastAsia="SimSun"/>
          <w:sz w:val="24"/>
          <w:szCs w:val="24"/>
        </w:rPr>
        <w:t>，</w:t>
      </w:r>
      <w:r w:rsidRPr="000C0842">
        <w:rPr>
          <w:rFonts w:eastAsia="SimSun"/>
          <w:sz w:val="24"/>
          <w:szCs w:val="24"/>
          <w:lang w:val="zh-CN"/>
        </w:rPr>
        <w:t>特别是在开放式获取方面</w:t>
      </w:r>
      <w:r w:rsidRPr="000C0842">
        <w:rPr>
          <w:rFonts w:eastAsia="SimSun"/>
          <w:sz w:val="24"/>
          <w:szCs w:val="24"/>
        </w:rPr>
        <w:t>，</w:t>
      </w:r>
      <w:r w:rsidRPr="000C0842">
        <w:rPr>
          <w:rFonts w:eastAsia="SimSun"/>
          <w:sz w:val="24"/>
          <w:szCs w:val="24"/>
          <w:lang w:val="zh-CN"/>
        </w:rPr>
        <w:t>以及对研究和创新的影响</w:t>
      </w:r>
      <w:r w:rsidRPr="000C0842">
        <w:rPr>
          <w:rFonts w:eastAsia="SimSun"/>
          <w:sz w:val="24"/>
          <w:szCs w:val="24"/>
        </w:rPr>
        <w:t>，</w:t>
      </w:r>
      <w:r w:rsidRPr="000C0842">
        <w:rPr>
          <w:rFonts w:eastAsia="SimSun"/>
          <w:sz w:val="24"/>
          <w:szCs w:val="24"/>
          <w:lang w:val="zh-CN"/>
        </w:rPr>
        <w:t>包括对数据治理</w:t>
      </w:r>
      <w:r w:rsidRPr="000C0842">
        <w:rPr>
          <w:rFonts w:eastAsia="SimSun"/>
          <w:sz w:val="24"/>
          <w:szCs w:val="24"/>
        </w:rPr>
        <w:t>（</w:t>
      </w:r>
      <w:r w:rsidRPr="000C0842">
        <w:rPr>
          <w:rFonts w:eastAsia="SimSun"/>
          <w:sz w:val="24"/>
          <w:szCs w:val="24"/>
          <w:lang w:val="zh-CN"/>
        </w:rPr>
        <w:t>包括本土数据治理</w:t>
      </w:r>
      <w:r w:rsidRPr="000C0842">
        <w:rPr>
          <w:rFonts w:eastAsia="SimSun"/>
          <w:sz w:val="24"/>
          <w:szCs w:val="24"/>
        </w:rPr>
        <w:t>）</w:t>
      </w:r>
      <w:r w:rsidRPr="000C0842">
        <w:rPr>
          <w:rFonts w:eastAsia="SimSun"/>
          <w:sz w:val="24"/>
          <w:szCs w:val="24"/>
          <w:lang w:val="zh-CN"/>
        </w:rPr>
        <w:t>的潜在影响</w:t>
      </w:r>
      <w:r w:rsidRPr="000C0842">
        <w:rPr>
          <w:rFonts w:eastAsia="SimSun"/>
          <w:sz w:val="24"/>
          <w:szCs w:val="24"/>
        </w:rPr>
        <w:t>；</w:t>
      </w:r>
    </w:p>
    <w:p w14:paraId="36BC8BDE"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(l)</w:t>
      </w:r>
      <w:r w:rsidRPr="000C0842">
        <w:rPr>
          <w:rFonts w:eastAsia="SimSun"/>
          <w:sz w:val="24"/>
          <w:szCs w:val="24"/>
        </w:rPr>
        <w:tab/>
      </w:r>
      <w:r w:rsidRPr="000C0842">
        <w:rPr>
          <w:rFonts w:eastAsia="SimSun"/>
          <w:sz w:val="24"/>
          <w:szCs w:val="24"/>
          <w:lang w:val="zh-CN"/>
        </w:rPr>
        <w:t>关于多边机制的运作与其他多边获取和惠益分享工具之间的互动和任何协同增效的信息</w:t>
      </w:r>
      <w:r w:rsidRPr="000C0842">
        <w:rPr>
          <w:rFonts w:eastAsia="SimSun"/>
          <w:sz w:val="24"/>
          <w:szCs w:val="24"/>
        </w:rPr>
        <w:t>；</w:t>
      </w:r>
    </w:p>
    <w:p w14:paraId="7A4E9F5C"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(m)</w:t>
      </w:r>
      <w:r w:rsidRPr="000C0842">
        <w:rPr>
          <w:rFonts w:eastAsia="SimSun"/>
          <w:sz w:val="24"/>
          <w:szCs w:val="24"/>
        </w:rPr>
        <w:tab/>
      </w:r>
      <w:r w:rsidRPr="000C0842">
        <w:rPr>
          <w:rFonts w:eastAsia="SimSun"/>
          <w:sz w:val="24"/>
          <w:szCs w:val="24"/>
          <w:lang w:val="zh-CN"/>
        </w:rPr>
        <w:t>对多边机制与任何现有的遗传资源数字序列信息获取和惠益分享国家措施之间相互作用的审查</w:t>
      </w:r>
      <w:r w:rsidRPr="000C0842">
        <w:rPr>
          <w:rFonts w:eastAsia="SimSun"/>
          <w:sz w:val="24"/>
          <w:szCs w:val="24"/>
        </w:rPr>
        <w:t>；</w:t>
      </w:r>
    </w:p>
    <w:p w14:paraId="354472DA"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(n)</w:t>
      </w:r>
      <w:r w:rsidRPr="000C0842">
        <w:rPr>
          <w:rFonts w:eastAsia="SimSun"/>
          <w:sz w:val="24"/>
          <w:szCs w:val="24"/>
        </w:rPr>
        <w:tab/>
      </w:r>
      <w:r w:rsidRPr="000C0842">
        <w:rPr>
          <w:rFonts w:eastAsia="SimSun"/>
          <w:sz w:val="24"/>
          <w:szCs w:val="24"/>
          <w:lang w:val="zh-CN"/>
        </w:rPr>
        <w:t>根据国情</w:t>
      </w:r>
      <w:r w:rsidRPr="000C0842">
        <w:rPr>
          <w:rFonts w:eastAsia="SimSun"/>
          <w:sz w:val="24"/>
          <w:szCs w:val="24"/>
        </w:rPr>
        <w:t>，</w:t>
      </w:r>
      <w:r w:rsidRPr="000C0842">
        <w:rPr>
          <w:rFonts w:eastAsia="SimSun"/>
          <w:sz w:val="24"/>
          <w:szCs w:val="24"/>
          <w:lang w:val="zh-CN"/>
        </w:rPr>
        <w:t>以后将多边机制自愿扩展到遗传资源的可行性方面的任何相关因素</w:t>
      </w:r>
      <w:r w:rsidRPr="000C0842">
        <w:rPr>
          <w:rFonts w:eastAsia="SimSun"/>
          <w:sz w:val="24"/>
          <w:szCs w:val="24"/>
        </w:rPr>
        <w:t>；</w:t>
      </w:r>
    </w:p>
    <w:p w14:paraId="1DF6D45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(o)</w:t>
      </w:r>
      <w:r w:rsidRPr="000C0842">
        <w:rPr>
          <w:rFonts w:eastAsia="SimSun"/>
          <w:sz w:val="24"/>
          <w:szCs w:val="24"/>
        </w:rPr>
        <w:tab/>
      </w:r>
      <w:r w:rsidRPr="000C0842">
        <w:rPr>
          <w:rFonts w:eastAsia="SimSun"/>
          <w:sz w:val="24"/>
          <w:szCs w:val="24"/>
          <w:lang w:val="zh-CN"/>
        </w:rPr>
        <w:t>与多边机制运作</w:t>
      </w:r>
      <w:r w:rsidRPr="000C0842">
        <w:rPr>
          <w:rFonts w:eastAsia="SimSun"/>
          <w:snapToGrid w:val="0"/>
          <w:kern w:val="22"/>
          <w:sz w:val="24"/>
          <w:szCs w:val="24"/>
        </w:rPr>
        <w:t>相关</w:t>
      </w:r>
      <w:r w:rsidRPr="000C0842">
        <w:rPr>
          <w:rFonts w:eastAsia="SimSun"/>
          <w:sz w:val="24"/>
          <w:szCs w:val="24"/>
          <w:lang w:val="zh-CN"/>
        </w:rPr>
        <w:t>的新兴技术的信息</w:t>
      </w:r>
      <w:r w:rsidRPr="000C0842">
        <w:rPr>
          <w:rFonts w:eastAsia="SimSun"/>
          <w:sz w:val="24"/>
          <w:szCs w:val="24"/>
        </w:rPr>
        <w:t>；</w:t>
      </w:r>
    </w:p>
    <w:p w14:paraId="213DABFC" w14:textId="77777777" w:rsidR="00184519" w:rsidRPr="000C0842" w:rsidRDefault="00184519" w:rsidP="00DD1B99">
      <w:pPr>
        <w:pStyle w:val="Para1"/>
        <w:numPr>
          <w:ilvl w:val="0"/>
          <w:numId w:val="0"/>
        </w:numPr>
        <w:tabs>
          <w:tab w:val="clear" w:pos="567"/>
          <w:tab w:val="clear" w:pos="1134"/>
          <w:tab w:val="clear" w:pos="1701"/>
          <w:tab w:val="clear" w:pos="2268"/>
        </w:tabs>
        <w:spacing w:before="80" w:after="80"/>
        <w:ind w:left="490" w:firstLine="490"/>
        <w:rPr>
          <w:rFonts w:eastAsia="SimSun"/>
          <w:sz w:val="24"/>
          <w:szCs w:val="24"/>
        </w:rPr>
      </w:pPr>
      <w:r w:rsidRPr="000C0842">
        <w:rPr>
          <w:rFonts w:eastAsia="SimSun"/>
          <w:sz w:val="24"/>
          <w:szCs w:val="24"/>
        </w:rPr>
        <w:t>(p)</w:t>
      </w:r>
      <w:r w:rsidRPr="000C0842">
        <w:rPr>
          <w:rFonts w:eastAsia="SimSun"/>
          <w:sz w:val="24"/>
          <w:szCs w:val="24"/>
        </w:rPr>
        <w:tab/>
      </w:r>
      <w:r w:rsidRPr="000C0842">
        <w:rPr>
          <w:rFonts w:eastAsia="SimSun"/>
          <w:sz w:val="24"/>
          <w:szCs w:val="24"/>
          <w:lang w:val="zh-CN"/>
        </w:rPr>
        <w:t>关于多边机制的运作对遗传资源数字序列信息公共数据库运作的任何影响的信息</w:t>
      </w:r>
      <w:r w:rsidRPr="000C0842">
        <w:rPr>
          <w:rFonts w:eastAsia="SimSun"/>
          <w:sz w:val="24"/>
          <w:szCs w:val="24"/>
        </w:rPr>
        <w:t>，</w:t>
      </w:r>
      <w:r w:rsidRPr="000C0842">
        <w:rPr>
          <w:rFonts w:eastAsia="SimSun"/>
          <w:sz w:val="24"/>
          <w:szCs w:val="24"/>
          <w:lang w:val="zh-CN"/>
        </w:rPr>
        <w:t>包括对数据治理以及运营此类数据库的实体根据本附件第</w:t>
      </w:r>
      <w:r w:rsidRPr="000C0842">
        <w:rPr>
          <w:rFonts w:eastAsia="SimSun"/>
          <w:sz w:val="24"/>
          <w:szCs w:val="24"/>
        </w:rPr>
        <w:t>10</w:t>
      </w:r>
      <w:r w:rsidRPr="000C0842">
        <w:rPr>
          <w:rFonts w:eastAsia="SimSun"/>
          <w:sz w:val="24"/>
          <w:szCs w:val="24"/>
          <w:lang w:val="zh-CN"/>
        </w:rPr>
        <w:t>段所采取措施的潜在影响的信息</w:t>
      </w:r>
      <w:r w:rsidRPr="000C0842">
        <w:rPr>
          <w:rFonts w:eastAsia="SimSun"/>
          <w:sz w:val="24"/>
          <w:szCs w:val="24"/>
        </w:rPr>
        <w:t>；</w:t>
      </w:r>
    </w:p>
    <w:p w14:paraId="55FB9EDD"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(q)</w:t>
      </w:r>
      <w:r w:rsidRPr="000C0842">
        <w:rPr>
          <w:rFonts w:eastAsia="SimSun"/>
          <w:sz w:val="24"/>
          <w:szCs w:val="24"/>
        </w:rPr>
        <w:tab/>
      </w:r>
      <w:r w:rsidRPr="000C0842">
        <w:rPr>
          <w:rFonts w:eastAsia="SimSun"/>
          <w:sz w:val="24"/>
          <w:szCs w:val="24"/>
          <w:lang w:val="zh-CN"/>
        </w:rPr>
        <w:t>有关缔约方根据本附件第</w:t>
      </w:r>
      <w:r w:rsidRPr="000C0842">
        <w:rPr>
          <w:rFonts w:eastAsia="SimSun"/>
          <w:sz w:val="24"/>
          <w:szCs w:val="24"/>
        </w:rPr>
        <w:t xml:space="preserve"> 11 </w:t>
      </w:r>
      <w:r w:rsidRPr="000C0842">
        <w:rPr>
          <w:rFonts w:eastAsia="SimSun"/>
          <w:sz w:val="24"/>
          <w:szCs w:val="24"/>
          <w:lang w:val="zh-CN"/>
        </w:rPr>
        <w:t>段所采取措施的信息；</w:t>
      </w:r>
    </w:p>
    <w:p w14:paraId="310A6698" w14:textId="77777777" w:rsidR="00184519" w:rsidRPr="000C0842" w:rsidRDefault="00184519" w:rsidP="00FB4426">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lang w:val="zh-CN"/>
        </w:rPr>
      </w:pPr>
      <w:r w:rsidRPr="000C0842">
        <w:rPr>
          <w:rFonts w:eastAsia="SimSun"/>
          <w:sz w:val="24"/>
          <w:szCs w:val="24"/>
        </w:rPr>
        <w:t>(r)</w:t>
      </w:r>
      <w:r w:rsidRPr="000C0842">
        <w:rPr>
          <w:rFonts w:eastAsia="SimSun"/>
          <w:sz w:val="24"/>
          <w:szCs w:val="24"/>
        </w:rPr>
        <w:tab/>
      </w:r>
      <w:r w:rsidRPr="000C0842">
        <w:rPr>
          <w:rFonts w:eastAsia="SimSun"/>
          <w:sz w:val="24"/>
          <w:szCs w:val="24"/>
          <w:lang w:val="zh-CN"/>
        </w:rPr>
        <w:t>关于分配公式运作的信息。</w:t>
      </w:r>
    </w:p>
    <w:p w14:paraId="770E94AE" w14:textId="69693651" w:rsidR="00DD1B99" w:rsidRPr="000C0842" w:rsidRDefault="00DD1B99">
      <w:pPr>
        <w:tabs>
          <w:tab w:val="clear" w:pos="567"/>
          <w:tab w:val="clear" w:pos="1134"/>
          <w:tab w:val="clear" w:pos="1701"/>
          <w:tab w:val="clear" w:pos="2268"/>
        </w:tabs>
        <w:jc w:val="left"/>
        <w:rPr>
          <w:rFonts w:hAnsi="SimSun"/>
          <w:sz w:val="24"/>
          <w:szCs w:val="24"/>
          <w:lang w:val="zh-CN"/>
        </w:rPr>
      </w:pPr>
      <w:r w:rsidRPr="000C0842">
        <w:rPr>
          <w:rFonts w:hAnsi="SimSun"/>
          <w:sz w:val="24"/>
          <w:szCs w:val="24"/>
          <w:lang w:val="zh-CN"/>
        </w:rPr>
        <w:br w:type="page"/>
      </w:r>
    </w:p>
    <w:p w14:paraId="479301EC" w14:textId="0A04D9FC" w:rsidR="00175F49" w:rsidRPr="000C0842" w:rsidRDefault="00175F49" w:rsidP="002437E6">
      <w:pPr>
        <w:pStyle w:val="a1"/>
        <w:rPr>
          <w:rFonts w:hint="eastAsia"/>
          <w:lang w:eastAsia="zh-CN"/>
        </w:rPr>
      </w:pPr>
      <w:bookmarkStart w:id="9" w:name="_Toc206358195"/>
      <w:r w:rsidRPr="000C0842">
        <w:rPr>
          <w:lang w:eastAsia="zh-CN"/>
        </w:rPr>
        <w:t>16/3.</w:t>
      </w:r>
      <w:r w:rsidRPr="000C0842">
        <w:rPr>
          <w:lang w:eastAsia="zh-CN"/>
        </w:rPr>
        <w:tab/>
      </w:r>
      <w:r w:rsidR="002437E6" w:rsidRPr="000C0842">
        <w:rPr>
          <w:rFonts w:hint="eastAsia"/>
          <w:lang w:eastAsia="zh-CN"/>
        </w:rPr>
        <w:t xml:space="preserve"> </w:t>
      </w:r>
      <w:r w:rsidRPr="000C0842">
        <w:rPr>
          <w:rFonts w:hint="eastAsia"/>
          <w:lang w:eastAsia="zh-CN"/>
        </w:rPr>
        <w:t>能力建设和发展、科技合作和技术转让</w:t>
      </w:r>
      <w:bookmarkEnd w:id="9"/>
    </w:p>
    <w:p w14:paraId="6DBDA55B" w14:textId="77777777" w:rsidR="00175F49" w:rsidRPr="000C0842" w:rsidRDefault="00175F49" w:rsidP="00444037">
      <w:pPr>
        <w:keepNext/>
        <w:tabs>
          <w:tab w:val="clear" w:pos="567"/>
          <w:tab w:val="clear" w:pos="1134"/>
          <w:tab w:val="clear" w:pos="1701"/>
          <w:tab w:val="clear" w:pos="2268"/>
        </w:tabs>
        <w:spacing w:before="240" w:after="120"/>
        <w:ind w:left="490" w:firstLine="490"/>
        <w:rPr>
          <w:rFonts w:eastAsia="SimSun"/>
          <w:sz w:val="24"/>
          <w:szCs w:val="24"/>
          <w:lang w:val="en-GB"/>
        </w:rPr>
      </w:pPr>
      <w:r w:rsidRPr="000C0842">
        <w:rPr>
          <w:rFonts w:eastAsia="KaiTi"/>
          <w:sz w:val="24"/>
          <w:szCs w:val="24"/>
          <w:lang w:val="en-GB"/>
        </w:rPr>
        <w:t>缔约方大会，</w:t>
      </w:r>
    </w:p>
    <w:p w14:paraId="1F7D801C" w14:textId="2F220230" w:rsidR="00175F49" w:rsidRPr="000C0842" w:rsidRDefault="00175F49" w:rsidP="00175F49">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回顾</w:t>
      </w:r>
      <w:r w:rsidRPr="000C0842">
        <w:rPr>
          <w:rFonts w:eastAsia="SimSun"/>
          <w:sz w:val="24"/>
          <w:szCs w:val="24"/>
          <w:lang w:val="en-GB"/>
        </w:rPr>
        <w:t>2016</w:t>
      </w:r>
      <w:r w:rsidRPr="000C0842">
        <w:rPr>
          <w:rFonts w:eastAsia="SimSun"/>
          <w:sz w:val="24"/>
          <w:szCs w:val="24"/>
          <w:lang w:val="en-GB"/>
        </w:rPr>
        <w:t>年</w:t>
      </w:r>
      <w:r w:rsidRPr="000C0842">
        <w:rPr>
          <w:rFonts w:eastAsia="SimSun"/>
          <w:sz w:val="24"/>
          <w:szCs w:val="24"/>
          <w:lang w:val="en-GB"/>
        </w:rPr>
        <w:t>12</w:t>
      </w:r>
      <w:r w:rsidRPr="000C0842">
        <w:rPr>
          <w:rFonts w:eastAsia="SimSun"/>
          <w:sz w:val="24"/>
          <w:szCs w:val="24"/>
          <w:lang w:val="en-GB"/>
        </w:rPr>
        <w:t>月</w:t>
      </w:r>
      <w:r w:rsidRPr="000C0842">
        <w:rPr>
          <w:rFonts w:eastAsia="SimSun"/>
          <w:sz w:val="24"/>
          <w:szCs w:val="24"/>
          <w:lang w:val="en-GB"/>
        </w:rPr>
        <w:t>17</w:t>
      </w:r>
      <w:r w:rsidRPr="000C0842">
        <w:rPr>
          <w:rFonts w:eastAsia="SimSun"/>
          <w:sz w:val="24"/>
          <w:szCs w:val="24"/>
          <w:lang w:val="en-GB"/>
        </w:rPr>
        <w:t>日第</w:t>
      </w:r>
      <w:hyperlink r:id="rId25" w:history="1">
        <w:r w:rsidRPr="000C0842">
          <w:rPr>
            <w:rFonts w:eastAsia="SimSun"/>
            <w:sz w:val="24"/>
            <w:szCs w:val="24"/>
            <w:u w:val="single"/>
            <w:lang w:val="en-GB"/>
          </w:rPr>
          <w:t>XIII/23</w:t>
        </w:r>
      </w:hyperlink>
      <w:r w:rsidRPr="000C0842">
        <w:rPr>
          <w:rFonts w:eastAsia="SimSun"/>
          <w:sz w:val="24"/>
          <w:szCs w:val="24"/>
          <w:lang w:val="en-GB"/>
        </w:rPr>
        <w:t>号决定</w:t>
      </w:r>
      <w:r w:rsidRPr="000C0842">
        <w:rPr>
          <w:rFonts w:eastAsia="SimSun" w:hint="eastAsia"/>
          <w:sz w:val="24"/>
          <w:szCs w:val="24"/>
          <w:lang w:val="en-GB"/>
        </w:rPr>
        <w:t>、</w:t>
      </w:r>
      <w:r w:rsidRPr="000C0842">
        <w:rPr>
          <w:rFonts w:eastAsia="SimSun"/>
          <w:sz w:val="24"/>
          <w:szCs w:val="24"/>
          <w:lang w:val="en-GB"/>
        </w:rPr>
        <w:t>2018</w:t>
      </w:r>
      <w:r w:rsidRPr="000C0842">
        <w:rPr>
          <w:rFonts w:eastAsia="SimSun"/>
          <w:sz w:val="24"/>
          <w:szCs w:val="24"/>
          <w:lang w:val="en-GB"/>
        </w:rPr>
        <w:t>年</w:t>
      </w:r>
      <w:r w:rsidRPr="000C0842">
        <w:rPr>
          <w:rFonts w:eastAsia="SimSun"/>
          <w:sz w:val="24"/>
          <w:szCs w:val="24"/>
          <w:lang w:val="en-GB"/>
        </w:rPr>
        <w:t>11</w:t>
      </w:r>
      <w:r w:rsidRPr="000C0842">
        <w:rPr>
          <w:rFonts w:eastAsia="SimSun"/>
          <w:sz w:val="24"/>
          <w:szCs w:val="24"/>
          <w:lang w:val="en-GB"/>
        </w:rPr>
        <w:t>月</w:t>
      </w:r>
      <w:r w:rsidRPr="000C0842">
        <w:rPr>
          <w:rFonts w:eastAsia="SimSun"/>
          <w:sz w:val="24"/>
          <w:szCs w:val="24"/>
          <w:lang w:val="en-GB"/>
        </w:rPr>
        <w:t>29</w:t>
      </w:r>
      <w:r w:rsidRPr="000C0842">
        <w:rPr>
          <w:rFonts w:eastAsia="SimSun"/>
          <w:sz w:val="24"/>
          <w:szCs w:val="24"/>
          <w:lang w:val="en-GB"/>
        </w:rPr>
        <w:t>日第</w:t>
      </w:r>
      <w:hyperlink r:id="rId26" w:history="1">
        <w:r w:rsidRPr="000C0842">
          <w:rPr>
            <w:rFonts w:eastAsia="SimSun"/>
            <w:sz w:val="24"/>
            <w:szCs w:val="24"/>
            <w:u w:val="single"/>
            <w:lang w:val="en-GB"/>
          </w:rPr>
          <w:t>14/2</w:t>
        </w:r>
        <w:r w:rsidRPr="000C0842">
          <w:rPr>
            <w:rFonts w:eastAsia="SimSun" w:hint="eastAsia"/>
            <w:sz w:val="24"/>
            <w:szCs w:val="24"/>
            <w:u w:val="single"/>
            <w:lang w:val="en-GB"/>
          </w:rPr>
          <w:t>4</w:t>
        </w:r>
      </w:hyperlink>
      <w:r w:rsidRPr="000C0842">
        <w:rPr>
          <w:rFonts w:eastAsia="SimSun"/>
          <w:sz w:val="24"/>
          <w:szCs w:val="24"/>
          <w:lang w:val="en-GB"/>
        </w:rPr>
        <w:t>号决定和</w:t>
      </w:r>
      <w:r w:rsidRPr="000C0842">
        <w:rPr>
          <w:rFonts w:eastAsia="SimSun"/>
          <w:sz w:val="24"/>
          <w:szCs w:val="24"/>
          <w:lang w:val="en-GB"/>
        </w:rPr>
        <w:t>2022</w:t>
      </w:r>
      <w:r w:rsidRPr="000C0842">
        <w:rPr>
          <w:rFonts w:eastAsia="SimSun"/>
          <w:sz w:val="24"/>
          <w:szCs w:val="24"/>
          <w:lang w:val="en-GB"/>
        </w:rPr>
        <w:t>年</w:t>
      </w:r>
      <w:r w:rsidRPr="000C0842">
        <w:rPr>
          <w:rFonts w:eastAsia="SimSun"/>
          <w:sz w:val="24"/>
          <w:szCs w:val="24"/>
          <w:lang w:val="en-GB"/>
        </w:rPr>
        <w:t>12</w:t>
      </w:r>
      <w:r w:rsidRPr="000C0842">
        <w:rPr>
          <w:rFonts w:eastAsia="SimSun"/>
          <w:sz w:val="24"/>
          <w:szCs w:val="24"/>
          <w:lang w:val="en-GB"/>
        </w:rPr>
        <w:t>月</w:t>
      </w:r>
      <w:r w:rsidRPr="000C0842">
        <w:rPr>
          <w:rFonts w:eastAsia="SimSun"/>
          <w:sz w:val="24"/>
          <w:szCs w:val="24"/>
          <w:lang w:val="en-GB"/>
        </w:rPr>
        <w:t>19</w:t>
      </w:r>
      <w:r w:rsidRPr="000C0842">
        <w:rPr>
          <w:rFonts w:eastAsia="SimSun"/>
          <w:sz w:val="24"/>
          <w:szCs w:val="24"/>
          <w:lang w:val="en-GB"/>
        </w:rPr>
        <w:t>日第</w:t>
      </w:r>
      <w:hyperlink r:id="rId27" w:history="1">
        <w:r w:rsidRPr="000C0842">
          <w:rPr>
            <w:rFonts w:eastAsia="SimSun"/>
            <w:sz w:val="24"/>
            <w:szCs w:val="24"/>
            <w:u w:val="single"/>
            <w:lang w:val="en-GB"/>
          </w:rPr>
          <w:t>15/8</w:t>
        </w:r>
      </w:hyperlink>
      <w:r w:rsidRPr="000C0842">
        <w:rPr>
          <w:rFonts w:eastAsia="SimSun"/>
          <w:sz w:val="24"/>
          <w:szCs w:val="24"/>
          <w:lang w:val="en-GB"/>
        </w:rPr>
        <w:t>号决定</w:t>
      </w:r>
      <w:r w:rsidRPr="000C0842">
        <w:rPr>
          <w:rFonts w:eastAsia="SimSun" w:hint="eastAsia"/>
          <w:sz w:val="24"/>
          <w:szCs w:val="24"/>
          <w:lang w:val="en-GB"/>
        </w:rPr>
        <w:t>，</w:t>
      </w:r>
    </w:p>
    <w:p w14:paraId="2CA862F4" w14:textId="77777777" w:rsidR="00175F49" w:rsidRPr="000C0842" w:rsidRDefault="00175F49" w:rsidP="00175F49">
      <w:pPr>
        <w:widowControl w:val="0"/>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表示注意到</w:t>
      </w:r>
      <w:r w:rsidRPr="000C0842">
        <w:rPr>
          <w:rFonts w:eastAsia="SimSun" w:hint="eastAsia"/>
          <w:sz w:val="24"/>
          <w:szCs w:val="24"/>
          <w:lang w:val="en-GB"/>
        </w:rPr>
        <w:t>生物多样性公约</w:t>
      </w:r>
      <w:r w:rsidRPr="000C0842">
        <w:rPr>
          <w:rFonts w:eastAsia="Times New Roman"/>
          <w:sz w:val="24"/>
          <w:szCs w:val="24"/>
          <w:vertAlign w:val="superscript"/>
          <w:lang w:val="en-GB"/>
        </w:rPr>
        <w:footnoteReference w:id="15"/>
      </w:r>
      <w:r w:rsidRPr="000C0842">
        <w:rPr>
          <w:rFonts w:eastAsia="SimSun" w:hint="eastAsia"/>
          <w:sz w:val="24"/>
          <w:szCs w:val="24"/>
          <w:lang w:val="en-GB"/>
        </w:rPr>
        <w:t xml:space="preserve"> </w:t>
      </w:r>
      <w:r w:rsidRPr="000C0842">
        <w:rPr>
          <w:rFonts w:eastAsia="SimSun" w:hint="eastAsia"/>
          <w:sz w:val="24"/>
          <w:szCs w:val="24"/>
          <w:lang w:val="en-GB"/>
        </w:rPr>
        <w:t>关于执行</w:t>
      </w:r>
      <w:r w:rsidRPr="000C0842">
        <w:rPr>
          <w:rFonts w:eastAsia="SimSun"/>
          <w:sz w:val="24"/>
          <w:szCs w:val="24"/>
          <w:lang w:val="en-GB"/>
        </w:rPr>
        <w:t>能力建设和发展、科技合作、信息交换所机制和知识管理</w:t>
      </w:r>
      <w:r w:rsidRPr="000C0842">
        <w:rPr>
          <w:rFonts w:eastAsia="SimSun" w:hint="eastAsia"/>
          <w:sz w:val="24"/>
          <w:szCs w:val="24"/>
          <w:lang w:val="en-GB"/>
        </w:rPr>
        <w:t>问题以往</w:t>
      </w:r>
      <w:r w:rsidRPr="000C0842">
        <w:rPr>
          <w:rFonts w:eastAsia="SimSun"/>
          <w:sz w:val="24"/>
          <w:szCs w:val="24"/>
          <w:lang w:val="en-GB"/>
        </w:rPr>
        <w:t>各项决定的进度报告</w:t>
      </w:r>
      <w:r w:rsidRPr="000C0842">
        <w:rPr>
          <w:rFonts w:eastAsia="Times New Roman"/>
          <w:szCs w:val="24"/>
          <w:vertAlign w:val="superscript"/>
        </w:rPr>
        <w:footnoteReference w:id="16"/>
      </w:r>
      <w:r w:rsidRPr="000C0842">
        <w:rPr>
          <w:rFonts w:eastAsia="SimSun" w:hint="eastAsia"/>
          <w:sz w:val="24"/>
          <w:szCs w:val="24"/>
          <w:lang w:val="en-GB"/>
        </w:rPr>
        <w:t>，</w:t>
      </w:r>
    </w:p>
    <w:p w14:paraId="52E8E7A2" w14:textId="77777777" w:rsidR="00175F49" w:rsidRPr="000C0842" w:rsidRDefault="00175F49" w:rsidP="00175F49">
      <w:pPr>
        <w:widowControl w:val="0"/>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eastAsia="KaiTi"/>
          <w:sz w:val="24"/>
          <w:szCs w:val="24"/>
          <w:lang w:val="en-GB"/>
        </w:rPr>
        <w:t>认识到</w:t>
      </w:r>
      <w:r w:rsidRPr="000C0842">
        <w:rPr>
          <w:rFonts w:eastAsia="SimSun"/>
          <w:sz w:val="24"/>
          <w:szCs w:val="24"/>
          <w:lang w:val="en-GB"/>
        </w:rPr>
        <w:t>能力建设和发展、科技合作和技术转让、信息交换所机制和知识管理方面的协调行动对于支持执行</w:t>
      </w:r>
      <w:r w:rsidRPr="000C0842">
        <w:rPr>
          <w:rFonts w:eastAsia="SimSun"/>
          <w:snapToGrid w:val="0"/>
          <w:kern w:val="22"/>
          <w:sz w:val="24"/>
          <w:szCs w:val="24"/>
          <w:lang w:val="en-CA"/>
        </w:rPr>
        <w:t>《昆明</w:t>
      </w:r>
      <w:r w:rsidRPr="000C0842">
        <w:rPr>
          <w:rFonts w:eastAsia="SimSun"/>
          <w:snapToGrid w:val="0"/>
          <w:kern w:val="22"/>
          <w:sz w:val="24"/>
          <w:szCs w:val="24"/>
          <w:lang w:val="en-CA"/>
        </w:rPr>
        <w:t>-</w:t>
      </w:r>
      <w:r w:rsidRPr="000C0842">
        <w:rPr>
          <w:rFonts w:eastAsia="SimSun"/>
          <w:snapToGrid w:val="0"/>
          <w:kern w:val="22"/>
          <w:sz w:val="24"/>
          <w:szCs w:val="24"/>
          <w:lang w:val="en-CA"/>
        </w:rPr>
        <w:t>蒙特利尔全球生物多样性框架》</w:t>
      </w:r>
      <w:r w:rsidRPr="000C0842">
        <w:rPr>
          <w:rFonts w:eastAsia="Times New Roman"/>
          <w:sz w:val="24"/>
          <w:szCs w:val="24"/>
          <w:vertAlign w:val="superscript"/>
          <w:lang w:val="en-GB"/>
        </w:rPr>
        <w:footnoteReference w:id="17"/>
      </w:r>
      <w:r w:rsidRPr="000C0842">
        <w:rPr>
          <w:rFonts w:eastAsia="SimSun"/>
          <w:sz w:val="24"/>
          <w:szCs w:val="24"/>
          <w:lang w:val="en-GB"/>
        </w:rPr>
        <w:t>的重要性，</w:t>
      </w:r>
      <w:r w:rsidRPr="000C0842">
        <w:rPr>
          <w:rFonts w:eastAsia="Times New Roman"/>
          <w:sz w:val="24"/>
          <w:szCs w:val="24"/>
          <w:lang w:val="en-GB"/>
        </w:rPr>
        <w:t xml:space="preserve"> </w:t>
      </w:r>
    </w:p>
    <w:p w14:paraId="4C0B0625" w14:textId="4647F0C7" w:rsidR="00175F49" w:rsidRPr="000C0842" w:rsidRDefault="00175F49" w:rsidP="00175F49">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强调</w:t>
      </w:r>
      <w:r w:rsidRPr="000C0842">
        <w:rPr>
          <w:rFonts w:eastAsia="SimSun" w:hint="eastAsia"/>
          <w:sz w:val="24"/>
          <w:szCs w:val="24"/>
          <w:lang w:val="en-GB"/>
        </w:rPr>
        <w:t>需要尽快运行科技合作机制，以支持</w:t>
      </w:r>
      <w:r w:rsidR="001A5C0A" w:rsidRPr="000C0842">
        <w:rPr>
          <w:rFonts w:eastAsia="SimSun" w:hint="eastAsia"/>
          <w:sz w:val="24"/>
          <w:szCs w:val="24"/>
          <w:lang w:val="en-GB"/>
        </w:rPr>
        <w:t>《昆蒙框架》</w:t>
      </w:r>
      <w:r w:rsidRPr="000C0842">
        <w:rPr>
          <w:rFonts w:eastAsia="SimSun" w:hint="eastAsia"/>
          <w:sz w:val="24"/>
          <w:szCs w:val="24"/>
          <w:lang w:val="en-GB"/>
        </w:rPr>
        <w:t>的执行，</w:t>
      </w:r>
    </w:p>
    <w:p w14:paraId="5DF7A08B" w14:textId="77777777" w:rsidR="00175F49" w:rsidRPr="000C0842" w:rsidRDefault="00175F49" w:rsidP="00175F49">
      <w:pPr>
        <w:widowControl w:val="0"/>
        <w:tabs>
          <w:tab w:val="clear" w:pos="567"/>
          <w:tab w:val="clear" w:pos="1134"/>
          <w:tab w:val="clear" w:pos="1701"/>
          <w:tab w:val="clear" w:pos="2268"/>
        </w:tabs>
        <w:spacing w:before="120" w:after="120"/>
        <w:ind w:left="490" w:firstLine="490"/>
        <w:rPr>
          <w:rFonts w:eastAsia="SimSun"/>
          <w:szCs w:val="24"/>
          <w:lang w:val="en-GB"/>
        </w:rPr>
      </w:pPr>
      <w:r w:rsidRPr="000C0842">
        <w:rPr>
          <w:rFonts w:eastAsia="KaiTi" w:hint="eastAsia"/>
          <w:sz w:val="24"/>
          <w:szCs w:val="24"/>
          <w:lang w:val="en-GB"/>
        </w:rPr>
        <w:t>赞赏地注意到</w:t>
      </w:r>
      <w:r w:rsidRPr="000C0842">
        <w:rPr>
          <w:rFonts w:eastAsia="SimSun" w:hint="eastAsia"/>
          <w:sz w:val="24"/>
          <w:szCs w:val="24"/>
          <w:lang w:val="en-GB"/>
        </w:rPr>
        <w:t>科技合作问题非正式咨询小组在闭会期间开展的工作，</w:t>
      </w:r>
    </w:p>
    <w:p w14:paraId="7FD6CBEF" w14:textId="77777777" w:rsidR="00175F49" w:rsidRPr="000C0842" w:rsidRDefault="00175F49" w:rsidP="00175F49">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注意到</w:t>
      </w:r>
      <w:r w:rsidRPr="000C0842">
        <w:rPr>
          <w:rFonts w:eastAsia="SimSun" w:hint="eastAsia"/>
          <w:sz w:val="24"/>
          <w:szCs w:val="24"/>
          <w:lang w:val="en-GB"/>
        </w:rPr>
        <w:t>在运行科技合作机制方面取得的进展，</w:t>
      </w:r>
    </w:p>
    <w:p w14:paraId="6E5A8F0D" w14:textId="28B1E271" w:rsidR="00175F49" w:rsidRPr="000C0842" w:rsidRDefault="00175F49" w:rsidP="00175F49">
      <w:p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eastAsia="KaiTi" w:hint="eastAsia"/>
          <w:sz w:val="24"/>
          <w:szCs w:val="24"/>
          <w:lang w:val="en-GB"/>
        </w:rPr>
        <w:t>强调</w:t>
      </w:r>
      <w:r w:rsidRPr="000C0842">
        <w:rPr>
          <w:rFonts w:ascii="SimSun" w:eastAsia="SimSun" w:hAnsi="SimSun" w:cs="SimSun" w:hint="eastAsia"/>
          <w:sz w:val="24"/>
          <w:szCs w:val="24"/>
          <w:lang w:val="en-GB"/>
        </w:rPr>
        <w:t>有效执行</w:t>
      </w:r>
      <w:r w:rsidR="001A5C0A" w:rsidRPr="000C0842">
        <w:rPr>
          <w:rFonts w:ascii="SimSun" w:eastAsia="SimSun" w:hAnsi="SimSun" w:cs="SimSun" w:hint="eastAsia"/>
          <w:sz w:val="24"/>
          <w:szCs w:val="24"/>
          <w:lang w:val="en-GB"/>
        </w:rPr>
        <w:t>《昆蒙框架》</w:t>
      </w:r>
      <w:r w:rsidRPr="000C0842">
        <w:rPr>
          <w:rFonts w:ascii="SimSun" w:eastAsia="SimSun" w:hAnsi="SimSun" w:cs="SimSun" w:hint="eastAsia"/>
          <w:sz w:val="24"/>
          <w:szCs w:val="24"/>
          <w:lang w:val="en-GB"/>
        </w:rPr>
        <w:t>和国家生物多样性战略和行动计划依赖促进科技合作和技术的获得和转让，包括从发达国家缔约方向发展中国家缔约方的转让，</w:t>
      </w:r>
      <w:r w:rsidRPr="000C0842">
        <w:rPr>
          <w:rFonts w:eastAsia="Times New Roman"/>
          <w:sz w:val="24"/>
          <w:szCs w:val="24"/>
          <w:lang w:val="en-GB"/>
        </w:rPr>
        <w:t xml:space="preserve"> </w:t>
      </w:r>
    </w:p>
    <w:p w14:paraId="232ED00C" w14:textId="77777777" w:rsidR="00175F49" w:rsidRPr="000C0842" w:rsidRDefault="00175F49" w:rsidP="00175F49">
      <w:p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eastAsia="KaiTi" w:hint="eastAsia"/>
          <w:sz w:val="24"/>
          <w:szCs w:val="24"/>
          <w:lang w:val="en-GB"/>
        </w:rPr>
        <w:t>认识到</w:t>
      </w:r>
      <w:r w:rsidRPr="000C0842">
        <w:rPr>
          <w:rFonts w:ascii="SimSun" w:eastAsia="SimSun" w:hAnsi="SimSun" w:cs="SimSun" w:hint="eastAsia"/>
          <w:sz w:val="24"/>
          <w:szCs w:val="24"/>
          <w:lang w:val="en-GB"/>
        </w:rPr>
        <w:t>迫切需要解决所查明、特别是发展中国家缔约方所查明的科学、技术和创新能力差距</w:t>
      </w:r>
      <w:r w:rsidRPr="000C0842">
        <w:rPr>
          <w:rFonts w:eastAsia="Times New Roman"/>
          <w:sz w:val="24"/>
          <w:szCs w:val="24"/>
          <w:lang w:val="en-GB"/>
        </w:rPr>
        <w:t xml:space="preserve"> </w:t>
      </w:r>
      <w:r w:rsidRPr="000C0842">
        <w:rPr>
          <w:rFonts w:ascii="SimSun" w:eastAsia="SimSun" w:hAnsi="SimSun" w:cs="SimSun" w:hint="eastAsia"/>
          <w:sz w:val="24"/>
          <w:szCs w:val="24"/>
          <w:lang w:val="en-GB"/>
        </w:rPr>
        <w:t>。</w:t>
      </w:r>
    </w:p>
    <w:p w14:paraId="55F02C9B" w14:textId="77777777" w:rsidR="00175F49" w:rsidRPr="000C0842" w:rsidRDefault="00175F49" w:rsidP="00175F49">
      <w:pPr>
        <w:keepNext/>
        <w:tabs>
          <w:tab w:val="clear" w:pos="567"/>
          <w:tab w:val="clear" w:pos="1134"/>
          <w:tab w:val="clear" w:pos="1701"/>
          <w:tab w:val="clear" w:pos="2268"/>
        </w:tabs>
        <w:spacing w:before="120" w:after="120"/>
        <w:rPr>
          <w:rFonts w:eastAsia="Times New Roman"/>
          <w:b/>
          <w:bCs/>
          <w:sz w:val="24"/>
          <w:szCs w:val="24"/>
          <w:lang w:val="en-GB"/>
        </w:rPr>
      </w:pPr>
      <w:r w:rsidRPr="000C0842">
        <w:rPr>
          <w:rFonts w:ascii="SimSun" w:eastAsia="SimSun" w:hAnsi="SimSun" w:cs="SimSun" w:hint="eastAsia"/>
          <w:b/>
          <w:bCs/>
          <w:sz w:val="24"/>
          <w:szCs w:val="24"/>
          <w:lang w:val="en-GB"/>
        </w:rPr>
        <w:t>一</w:t>
      </w:r>
      <w:r w:rsidRPr="000C0842">
        <w:rPr>
          <w:rFonts w:eastAsia="Times New Roman"/>
          <w:b/>
          <w:bCs/>
          <w:sz w:val="24"/>
          <w:szCs w:val="24"/>
          <w:lang w:val="en-GB"/>
        </w:rPr>
        <w:t>.</w:t>
      </w:r>
      <w:r w:rsidRPr="000C0842">
        <w:rPr>
          <w:rFonts w:eastAsia="Times New Roman"/>
          <w:b/>
          <w:bCs/>
          <w:sz w:val="24"/>
          <w:szCs w:val="24"/>
          <w:lang w:val="en-GB"/>
        </w:rPr>
        <w:tab/>
      </w:r>
      <w:r w:rsidRPr="000C0842">
        <w:rPr>
          <w:rFonts w:ascii="SimSun" w:eastAsia="SimSun" w:hAnsi="SimSun" w:cs="SimSun" w:hint="eastAsia"/>
          <w:b/>
          <w:bCs/>
          <w:sz w:val="24"/>
          <w:szCs w:val="24"/>
          <w:lang w:val="en-GB"/>
        </w:rPr>
        <w:t>能力建设和发展</w:t>
      </w:r>
    </w:p>
    <w:p w14:paraId="79EC24C0" w14:textId="77777777" w:rsidR="00175F49" w:rsidRPr="000C0842" w:rsidRDefault="00175F49">
      <w:pPr>
        <w:numPr>
          <w:ilvl w:val="0"/>
          <w:numId w:val="22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缔约方、土著人民和地方社区、妇女和青年</w:t>
      </w:r>
      <w:r w:rsidRPr="000C0842">
        <w:rPr>
          <w:rFonts w:eastAsia="SimSun" w:hint="eastAsia"/>
          <w:sz w:val="24"/>
          <w:szCs w:val="24"/>
          <w:lang w:val="en-GB"/>
        </w:rPr>
        <w:t>代表</w:t>
      </w:r>
      <w:r w:rsidRPr="000C0842">
        <w:rPr>
          <w:rFonts w:eastAsia="SimSun"/>
          <w:sz w:val="24"/>
          <w:szCs w:val="24"/>
          <w:lang w:val="en-GB"/>
        </w:rPr>
        <w:t>以及其他相关利益攸关方、倡议、网络和伙伴关系</w:t>
      </w:r>
      <w:r w:rsidRPr="000C0842">
        <w:rPr>
          <w:rFonts w:eastAsia="SimSun" w:hint="eastAsia"/>
          <w:sz w:val="24"/>
          <w:szCs w:val="24"/>
          <w:lang w:val="en-GB"/>
        </w:rPr>
        <w:t>，</w:t>
      </w:r>
      <w:r w:rsidRPr="000C0842">
        <w:rPr>
          <w:rFonts w:eastAsia="SimSun"/>
          <w:sz w:val="24"/>
          <w:szCs w:val="24"/>
          <w:lang w:val="en-GB"/>
        </w:rPr>
        <w:t>通过信息交换所机制中央门户网站分享其正在进行和计划进行的能力建设和发展活动的信息，支持在国家和区域层面执行和监测《昆明</w:t>
      </w:r>
      <w:r w:rsidRPr="000C0842">
        <w:rPr>
          <w:rFonts w:eastAsia="SimSun"/>
          <w:sz w:val="24"/>
          <w:szCs w:val="24"/>
          <w:lang w:val="en-GB"/>
        </w:rPr>
        <w:t>-</w:t>
      </w:r>
      <w:r w:rsidRPr="000C0842">
        <w:rPr>
          <w:rFonts w:eastAsia="SimSun"/>
          <w:sz w:val="24"/>
          <w:szCs w:val="24"/>
          <w:lang w:val="en-GB"/>
        </w:rPr>
        <w:t>蒙特利尔全球生物多样性框架》，以期促进</w:t>
      </w:r>
      <w:r w:rsidRPr="000C0842">
        <w:rPr>
          <w:rFonts w:eastAsia="SimSun" w:hint="eastAsia"/>
          <w:sz w:val="24"/>
          <w:szCs w:val="24"/>
          <w:lang w:val="en-GB"/>
        </w:rPr>
        <w:t>协调和协作，并</w:t>
      </w:r>
      <w:r w:rsidRPr="000C0842">
        <w:rPr>
          <w:rFonts w:eastAsia="SimSun"/>
          <w:sz w:val="24"/>
          <w:szCs w:val="24"/>
          <w:lang w:val="en-GB"/>
        </w:rPr>
        <w:t>分享关于加强南北、南南和三边合作机会的信息；</w:t>
      </w:r>
    </w:p>
    <w:p w14:paraId="734ACFE9" w14:textId="77777777" w:rsidR="00175F49" w:rsidRPr="000C0842" w:rsidRDefault="00175F49">
      <w:pPr>
        <w:numPr>
          <w:ilvl w:val="0"/>
          <w:numId w:val="225"/>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缔约方和其他国家政府与土著人民和地方社区、妇女和青年</w:t>
      </w:r>
      <w:r w:rsidRPr="000C0842">
        <w:rPr>
          <w:rFonts w:eastAsia="SimSun" w:hint="eastAsia"/>
          <w:sz w:val="24"/>
          <w:szCs w:val="24"/>
          <w:lang w:val="en-GB"/>
        </w:rPr>
        <w:t>代表</w:t>
      </w:r>
      <w:r w:rsidRPr="000C0842">
        <w:rPr>
          <w:rFonts w:eastAsia="SimSun"/>
          <w:sz w:val="24"/>
          <w:szCs w:val="24"/>
          <w:lang w:val="en-GB"/>
        </w:rPr>
        <w:t>及其他相关利益攸关方合作，继续查明和通过信息交换所机制中央门户分享其生物多样性相关能力建设和发展需要，包括技术评估需要，邀请缔约方、其他国家政府和相关组织为解决</w:t>
      </w:r>
      <w:r w:rsidRPr="000C0842">
        <w:rPr>
          <w:rFonts w:eastAsia="SimSun" w:hint="eastAsia"/>
          <w:sz w:val="24"/>
          <w:szCs w:val="24"/>
          <w:lang w:val="en-GB"/>
        </w:rPr>
        <w:t>如此</w:t>
      </w:r>
      <w:r w:rsidRPr="000C0842">
        <w:rPr>
          <w:rFonts w:eastAsia="SimSun"/>
          <w:sz w:val="24"/>
          <w:szCs w:val="24"/>
          <w:lang w:val="en-GB"/>
        </w:rPr>
        <w:t>确定的能力需要提供支持；</w:t>
      </w:r>
    </w:p>
    <w:p w14:paraId="181708B8" w14:textId="77777777" w:rsidR="00175F49" w:rsidRPr="000C0842" w:rsidRDefault="00175F49">
      <w:pPr>
        <w:numPr>
          <w:ilvl w:val="0"/>
          <w:numId w:val="225"/>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hint="eastAsia"/>
          <w:sz w:val="24"/>
          <w:szCs w:val="24"/>
          <w:lang w:val="en-GB"/>
        </w:rPr>
        <w:t>邀请</w:t>
      </w:r>
      <w:r w:rsidRPr="000C0842">
        <w:rPr>
          <w:rFonts w:eastAsia="SimSun" w:hint="eastAsia"/>
          <w:sz w:val="24"/>
          <w:szCs w:val="24"/>
          <w:lang w:val="en-GB"/>
        </w:rPr>
        <w:t>缔约方根据其需要、国情和本地情况，并邀请其他国家政府和相关组织继续执行能力建设和发展长期战略框架</w:t>
      </w:r>
      <w:r w:rsidRPr="000C0842">
        <w:rPr>
          <w:rFonts w:eastAsia="Times New Roman"/>
          <w:sz w:val="24"/>
          <w:szCs w:val="24"/>
          <w:vertAlign w:val="superscript"/>
          <w:lang w:val="en-GB"/>
        </w:rPr>
        <w:footnoteReference w:id="18"/>
      </w:r>
      <w:r w:rsidRPr="000C0842">
        <w:rPr>
          <w:rFonts w:eastAsia="SimSun" w:hint="eastAsia"/>
          <w:sz w:val="24"/>
          <w:szCs w:val="24"/>
          <w:lang w:val="en-GB"/>
        </w:rPr>
        <w:t>，</w:t>
      </w:r>
      <w:r w:rsidRPr="000C0842">
        <w:rPr>
          <w:rFonts w:eastAsia="SimSun" w:hint="eastAsia"/>
          <w:sz w:val="24"/>
          <w:szCs w:val="24"/>
          <w:lang w:val="en-GB"/>
        </w:rPr>
        <w:t xml:space="preserve"> </w:t>
      </w:r>
      <w:r w:rsidRPr="000C0842">
        <w:rPr>
          <w:rFonts w:eastAsia="SimSun" w:hint="eastAsia"/>
          <w:sz w:val="24"/>
          <w:szCs w:val="24"/>
          <w:lang w:val="en-GB"/>
        </w:rPr>
        <w:t>包括酌情制定专门的生物多样性能力建设和发展行动计划和方案；</w:t>
      </w:r>
    </w:p>
    <w:p w14:paraId="46B6440C" w14:textId="3DF24AA3" w:rsidR="00175F49" w:rsidRPr="000C0842" w:rsidRDefault="00175F49">
      <w:pPr>
        <w:numPr>
          <w:ilvl w:val="0"/>
          <w:numId w:val="225"/>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hint="eastAsia"/>
          <w:sz w:val="24"/>
          <w:szCs w:val="24"/>
          <w:lang w:val="en-GB"/>
        </w:rPr>
        <w:t>欢迎</w:t>
      </w:r>
      <w:r w:rsidRPr="000C0842">
        <w:rPr>
          <w:rFonts w:eastAsia="SimSun" w:hint="eastAsia"/>
          <w:sz w:val="24"/>
          <w:szCs w:val="24"/>
          <w:lang w:val="en-GB"/>
        </w:rPr>
        <w:t>科技合作问题非正式咨询小组在</w:t>
      </w:r>
      <w:r w:rsidRPr="000C0842">
        <w:rPr>
          <w:rFonts w:eastAsia="SimSun"/>
          <w:sz w:val="24"/>
          <w:szCs w:val="24"/>
          <w:lang w:val="en-GB"/>
        </w:rPr>
        <w:t xml:space="preserve"> </w:t>
      </w:r>
      <w:hyperlink r:id="rId28" w:history="1">
        <w:r w:rsidRPr="000C0842">
          <w:rPr>
            <w:rStyle w:val="Hyperlink"/>
            <w:rFonts w:eastAsia="SimSun"/>
            <w:color w:val="auto"/>
            <w:sz w:val="24"/>
            <w:szCs w:val="24"/>
            <w:lang w:val="en-GB"/>
          </w:rPr>
          <w:t>CBD/TSC/IAG/2024/1/2</w:t>
        </w:r>
      </w:hyperlink>
      <w:r w:rsidRPr="000C0842">
        <w:rPr>
          <w:rFonts w:eastAsia="SimSun"/>
          <w:sz w:val="24"/>
          <w:szCs w:val="24"/>
          <w:lang w:val="en-GB"/>
        </w:rPr>
        <w:t xml:space="preserve"> </w:t>
      </w:r>
      <w:r w:rsidRPr="000C0842">
        <w:rPr>
          <w:rFonts w:eastAsia="SimSun" w:hint="eastAsia"/>
          <w:sz w:val="24"/>
          <w:szCs w:val="24"/>
          <w:lang w:val="en-GB"/>
        </w:rPr>
        <w:t>号文件中提出的指标，供小组用于监测能力建设和发展长期战略框架及科技合作机制的执行进展情况；</w:t>
      </w:r>
    </w:p>
    <w:p w14:paraId="595D6BF5" w14:textId="77777777" w:rsidR="00175F49" w:rsidRPr="000C0842" w:rsidRDefault="00175F49">
      <w:pPr>
        <w:numPr>
          <w:ilvl w:val="0"/>
          <w:numId w:val="225"/>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hint="eastAsia"/>
          <w:sz w:val="24"/>
          <w:szCs w:val="24"/>
          <w:lang w:val="en-GB"/>
        </w:rPr>
        <w:t>决定</w:t>
      </w:r>
      <w:r w:rsidRPr="000C0842">
        <w:rPr>
          <w:rFonts w:eastAsia="SimSun" w:hint="eastAsia"/>
          <w:sz w:val="24"/>
          <w:szCs w:val="24"/>
          <w:lang w:val="en-GB"/>
        </w:rPr>
        <w:t>根据</w:t>
      </w:r>
      <w:r w:rsidRPr="000C0842">
        <w:rPr>
          <w:rFonts w:eastAsia="SimSun" w:hint="eastAsia"/>
          <w:sz w:val="24"/>
          <w:szCs w:val="24"/>
          <w:lang w:val="en-GB"/>
        </w:rPr>
        <w:t>2022</w:t>
      </w:r>
      <w:r w:rsidRPr="000C0842">
        <w:rPr>
          <w:rFonts w:eastAsia="SimSun" w:hint="eastAsia"/>
          <w:sz w:val="24"/>
          <w:szCs w:val="24"/>
          <w:lang w:val="en-GB"/>
        </w:rPr>
        <w:t>年</w:t>
      </w:r>
      <w:r w:rsidRPr="000C0842">
        <w:rPr>
          <w:rFonts w:eastAsia="SimSun" w:hint="eastAsia"/>
          <w:sz w:val="24"/>
          <w:szCs w:val="24"/>
          <w:lang w:val="en-GB"/>
        </w:rPr>
        <w:t>12</w:t>
      </w:r>
      <w:r w:rsidRPr="000C0842">
        <w:rPr>
          <w:rFonts w:eastAsia="SimSun" w:hint="eastAsia"/>
          <w:sz w:val="24"/>
          <w:szCs w:val="24"/>
          <w:lang w:val="en-GB"/>
        </w:rPr>
        <w:t>月</w:t>
      </w:r>
      <w:r w:rsidRPr="000C0842">
        <w:rPr>
          <w:rFonts w:eastAsia="SimSun" w:hint="eastAsia"/>
          <w:sz w:val="24"/>
          <w:szCs w:val="24"/>
          <w:lang w:val="en-GB"/>
        </w:rPr>
        <w:t>19</w:t>
      </w:r>
      <w:r w:rsidRPr="000C0842">
        <w:rPr>
          <w:rFonts w:eastAsia="SimSun" w:hint="eastAsia"/>
          <w:sz w:val="24"/>
          <w:szCs w:val="24"/>
          <w:lang w:val="en-GB"/>
        </w:rPr>
        <w:t>日第</w:t>
      </w:r>
      <w:hyperlink r:id="rId29" w:history="1">
        <w:r w:rsidRPr="000C0842">
          <w:rPr>
            <w:rFonts w:eastAsia="SimSun"/>
            <w:sz w:val="24"/>
            <w:szCs w:val="24"/>
            <w:lang w:val="en-GB"/>
          </w:rPr>
          <w:t>15/8</w:t>
        </w:r>
      </w:hyperlink>
      <w:r w:rsidRPr="000C0842">
        <w:rPr>
          <w:rFonts w:eastAsia="SimSun" w:hint="eastAsia"/>
          <w:sz w:val="24"/>
          <w:szCs w:val="24"/>
          <w:lang w:val="en-GB"/>
        </w:rPr>
        <w:t>号和第</w:t>
      </w:r>
      <w:hyperlink r:id="rId30" w:history="1">
        <w:r w:rsidRPr="000C0842">
          <w:rPr>
            <w:rFonts w:eastAsia="SimSun"/>
            <w:sz w:val="24"/>
            <w:szCs w:val="24"/>
            <w:u w:val="single"/>
            <w:lang w:val="en-GB"/>
          </w:rPr>
          <w:t>15/6</w:t>
        </w:r>
      </w:hyperlink>
      <w:r w:rsidRPr="000C0842">
        <w:rPr>
          <w:rFonts w:eastAsia="SimSun" w:hint="eastAsia"/>
          <w:sz w:val="24"/>
          <w:szCs w:val="24"/>
          <w:lang w:val="en-GB"/>
        </w:rPr>
        <w:t>号决定以及</w:t>
      </w:r>
      <w:r w:rsidRPr="000C0842">
        <w:rPr>
          <w:rFonts w:eastAsia="SimSun" w:hint="eastAsia"/>
          <w:sz w:val="24"/>
          <w:szCs w:val="24"/>
          <w:lang w:val="en-GB"/>
        </w:rPr>
        <w:t>2025</w:t>
      </w:r>
      <w:r w:rsidRPr="000C0842">
        <w:rPr>
          <w:rFonts w:eastAsia="SimSun" w:hint="eastAsia"/>
          <w:sz w:val="24"/>
          <w:szCs w:val="24"/>
          <w:lang w:val="en-GB"/>
        </w:rPr>
        <w:t>年</w:t>
      </w:r>
      <w:r w:rsidRPr="000C0842">
        <w:rPr>
          <w:rFonts w:eastAsia="SimSun" w:hint="eastAsia"/>
          <w:sz w:val="24"/>
          <w:szCs w:val="24"/>
          <w:lang w:val="en-GB"/>
        </w:rPr>
        <w:t>2</w:t>
      </w:r>
      <w:r w:rsidRPr="000C0842">
        <w:rPr>
          <w:rFonts w:eastAsia="SimSun" w:hint="eastAsia"/>
          <w:sz w:val="24"/>
          <w:szCs w:val="24"/>
          <w:lang w:val="en-GB"/>
        </w:rPr>
        <w:t>月</w:t>
      </w:r>
      <w:r w:rsidRPr="000C0842">
        <w:rPr>
          <w:rFonts w:eastAsia="SimSun" w:hint="eastAsia"/>
          <w:sz w:val="24"/>
          <w:szCs w:val="24"/>
          <w:lang w:val="en-GB"/>
        </w:rPr>
        <w:t>27</w:t>
      </w:r>
      <w:r w:rsidRPr="000C0842">
        <w:rPr>
          <w:rFonts w:eastAsia="SimSun" w:hint="eastAsia"/>
          <w:sz w:val="24"/>
          <w:szCs w:val="24"/>
          <w:lang w:val="en-GB"/>
        </w:rPr>
        <w:t>日第</w:t>
      </w:r>
      <w:r w:rsidRPr="000C0842">
        <w:rPr>
          <w:rFonts w:eastAsia="SimSun"/>
          <w:sz w:val="24"/>
          <w:szCs w:val="24"/>
          <w:lang w:val="en-GB"/>
        </w:rPr>
        <w:t>16/</w:t>
      </w:r>
      <w:r w:rsidRPr="000C0842">
        <w:rPr>
          <w:rFonts w:eastAsia="SimSun" w:hint="eastAsia"/>
          <w:sz w:val="24"/>
          <w:szCs w:val="24"/>
          <w:lang w:val="en-GB"/>
        </w:rPr>
        <w:t>31</w:t>
      </w:r>
      <w:r w:rsidRPr="000C0842">
        <w:rPr>
          <w:rFonts w:eastAsia="SimSun" w:hint="eastAsia"/>
          <w:sz w:val="24"/>
          <w:szCs w:val="24"/>
          <w:lang w:val="en-GB"/>
        </w:rPr>
        <w:t>号决定，结合《昆明</w:t>
      </w:r>
      <w:r w:rsidRPr="000C0842">
        <w:rPr>
          <w:rFonts w:eastAsia="SimSun" w:hint="eastAsia"/>
          <w:sz w:val="24"/>
          <w:szCs w:val="24"/>
          <w:lang w:val="en-GB"/>
        </w:rPr>
        <w:t>-</w:t>
      </w:r>
      <w:r w:rsidRPr="000C0842">
        <w:rPr>
          <w:rFonts w:eastAsia="SimSun" w:hint="eastAsia"/>
          <w:sz w:val="24"/>
          <w:szCs w:val="24"/>
          <w:lang w:val="en-GB"/>
        </w:rPr>
        <w:t>蒙特利尔全球生物多样性框架》执行进度监测和报告进程，对能力建设和发展长期战略框架和科技合作机制的执行进展情况进行监测和报告，同时利用全球协调实体和区域和次区域科技合作支持中心编写的进展报告以及缔约方提交的国家报告中所载信息；</w:t>
      </w:r>
    </w:p>
    <w:p w14:paraId="7003698C" w14:textId="423004CC" w:rsidR="00175F49" w:rsidRPr="000C0842" w:rsidRDefault="00175F49" w:rsidP="00175F49">
      <w:p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hint="eastAsia"/>
          <w:sz w:val="24"/>
          <w:szCs w:val="24"/>
          <w:lang w:val="en-GB"/>
        </w:rPr>
        <w:t>6</w:t>
      </w:r>
      <w:r w:rsidRPr="000C0842">
        <w:rPr>
          <w:rFonts w:eastAsia="Times New Roman"/>
          <w:sz w:val="24"/>
          <w:szCs w:val="24"/>
          <w:lang w:val="en-GB"/>
        </w:rPr>
        <w:t>.</w:t>
      </w:r>
      <w:r w:rsidRPr="000C0842">
        <w:rPr>
          <w:rFonts w:eastAsia="Times New Roman"/>
          <w:sz w:val="24"/>
          <w:szCs w:val="24"/>
          <w:lang w:val="en-GB"/>
        </w:rPr>
        <w:tab/>
      </w:r>
      <w:r w:rsidRPr="000C0842">
        <w:rPr>
          <w:rFonts w:eastAsia="KaiTi" w:hint="eastAsia"/>
          <w:sz w:val="24"/>
          <w:szCs w:val="24"/>
          <w:lang w:val="en-GB"/>
        </w:rPr>
        <w:t>请</w:t>
      </w:r>
      <w:r w:rsidRPr="000C0842">
        <w:rPr>
          <w:rFonts w:ascii="SimSun" w:eastAsia="SimSun" w:hAnsi="SimSun" w:cs="SimSun" w:hint="eastAsia"/>
          <w:sz w:val="24"/>
          <w:szCs w:val="24"/>
          <w:lang w:val="en-GB"/>
        </w:rPr>
        <w:t>非正式咨询小组查明适宜的备选办法，进一步解决所查明、特别是发展中国家缔约方查明的工艺、技术和体制能力差距，重点是</w:t>
      </w:r>
      <w:r w:rsidR="001A5C0A" w:rsidRPr="000C0842">
        <w:rPr>
          <w:rFonts w:ascii="SimSun" w:eastAsia="SimSun" w:hAnsi="SimSun" w:cs="SimSun" w:hint="eastAsia"/>
          <w:sz w:val="24"/>
          <w:szCs w:val="24"/>
          <w:lang w:val="en-GB"/>
        </w:rPr>
        <w:t>《昆蒙框架》</w:t>
      </w:r>
      <w:r w:rsidRPr="000C0842">
        <w:rPr>
          <w:rFonts w:ascii="SimSun" w:eastAsia="SimSun" w:hAnsi="SimSun" w:cs="SimSun" w:hint="eastAsia"/>
          <w:sz w:val="24"/>
          <w:szCs w:val="24"/>
          <w:lang w:val="en-GB"/>
        </w:rPr>
        <w:t>的各项行动目标和跨领域考虑因素，包括与《生物多样性公约》各项议定书相关的行动目标，供执行问题附属机构在缔约方大会第十七届会议之前举行的某次会议和缔约方大会第十七届会议审议；</w:t>
      </w:r>
    </w:p>
    <w:p w14:paraId="4DF50E01" w14:textId="77777777" w:rsidR="00175F49" w:rsidRPr="000C0842" w:rsidRDefault="00175F49">
      <w:pPr>
        <w:numPr>
          <w:ilvl w:val="0"/>
          <w:numId w:val="228"/>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hint="eastAsia"/>
          <w:sz w:val="24"/>
          <w:szCs w:val="24"/>
          <w:lang w:val="en-GB"/>
        </w:rPr>
        <w:t>又请</w:t>
      </w:r>
      <w:r w:rsidRPr="000C0842">
        <w:rPr>
          <w:rFonts w:eastAsia="SimSun" w:hint="eastAsia"/>
          <w:sz w:val="24"/>
          <w:szCs w:val="24"/>
          <w:lang w:val="en-GB"/>
        </w:rPr>
        <w:t>非正式咨询小组主要利用《昆明</w:t>
      </w:r>
      <w:r w:rsidRPr="000C0842">
        <w:rPr>
          <w:rFonts w:eastAsia="SimSun" w:hint="eastAsia"/>
          <w:sz w:val="24"/>
          <w:szCs w:val="24"/>
          <w:lang w:val="en-GB"/>
        </w:rPr>
        <w:t>-</w:t>
      </w:r>
      <w:r w:rsidRPr="000C0842">
        <w:rPr>
          <w:rFonts w:eastAsia="SimSun" w:hint="eastAsia"/>
          <w:sz w:val="24"/>
          <w:szCs w:val="24"/>
          <w:lang w:val="en-GB"/>
        </w:rPr>
        <w:t>蒙特利尔全球生物多样性框架》的监测框架</w:t>
      </w:r>
      <w:r w:rsidRPr="000C0842">
        <w:rPr>
          <w:rFonts w:eastAsia="Times New Roman"/>
          <w:szCs w:val="24"/>
          <w:vertAlign w:val="superscript"/>
        </w:rPr>
        <w:footnoteReference w:id="19"/>
      </w:r>
      <w:r w:rsidRPr="000C0842">
        <w:rPr>
          <w:rFonts w:eastAsia="SimSun" w:hint="eastAsia"/>
          <w:sz w:val="24"/>
          <w:szCs w:val="24"/>
          <w:lang w:val="en-GB"/>
        </w:rPr>
        <w:t>的相关指标，包括行动目标</w:t>
      </w:r>
      <w:r w:rsidRPr="000C0842">
        <w:rPr>
          <w:rFonts w:eastAsia="SimSun"/>
          <w:sz w:val="24"/>
          <w:szCs w:val="24"/>
          <w:lang w:val="en-GB"/>
        </w:rPr>
        <w:t>20</w:t>
      </w:r>
      <w:r w:rsidRPr="000C0842">
        <w:rPr>
          <w:rFonts w:eastAsia="SimSun" w:hint="eastAsia"/>
          <w:sz w:val="24"/>
          <w:szCs w:val="24"/>
          <w:lang w:val="en-GB"/>
        </w:rPr>
        <w:t>中的指标，结合执行《昆明</w:t>
      </w:r>
      <w:r w:rsidRPr="000C0842">
        <w:rPr>
          <w:rFonts w:eastAsia="SimSun" w:hint="eastAsia"/>
          <w:sz w:val="24"/>
          <w:szCs w:val="24"/>
          <w:lang w:val="en-GB"/>
        </w:rPr>
        <w:t>-</w:t>
      </w:r>
      <w:r w:rsidRPr="000C0842">
        <w:rPr>
          <w:rFonts w:eastAsia="SimSun" w:hint="eastAsia"/>
          <w:sz w:val="24"/>
          <w:szCs w:val="24"/>
          <w:lang w:val="en-GB"/>
        </w:rPr>
        <w:t>蒙特利尔全球生物多样性框架》的集体进展的全球审查，</w:t>
      </w:r>
      <w:r w:rsidRPr="000C0842">
        <w:rPr>
          <w:rFonts w:ascii="SimSun" w:eastAsia="SimSun" w:hAnsi="SimSun" w:cs="SimSun" w:hint="eastAsia"/>
          <w:sz w:val="24"/>
          <w:szCs w:val="24"/>
          <w:lang w:val="en-GB"/>
        </w:rPr>
        <w:t>编制将于</w:t>
      </w:r>
      <w:r w:rsidRPr="000C0842">
        <w:rPr>
          <w:rFonts w:eastAsia="SimSun"/>
          <w:sz w:val="24"/>
          <w:szCs w:val="24"/>
          <w:lang w:val="en-GB"/>
        </w:rPr>
        <w:t>2029</w:t>
      </w:r>
      <w:r w:rsidRPr="000C0842">
        <w:rPr>
          <w:rFonts w:eastAsia="SimSun" w:hint="eastAsia"/>
          <w:sz w:val="24"/>
          <w:szCs w:val="24"/>
          <w:lang w:val="en-GB"/>
        </w:rPr>
        <w:t>年进行的能力建设和发展长期战</w:t>
      </w:r>
      <w:r w:rsidRPr="000C0842">
        <w:rPr>
          <w:rFonts w:eastAsia="SimSun" w:hint="eastAsia"/>
          <w:spacing w:val="-2"/>
          <w:sz w:val="24"/>
          <w:szCs w:val="24"/>
          <w:lang w:val="en-GB"/>
        </w:rPr>
        <w:t>略框架及科技合作机制的相关性和有效性独立评价</w:t>
      </w:r>
      <w:r w:rsidRPr="000C0842">
        <w:rPr>
          <w:rFonts w:eastAsia="SimSun"/>
          <w:spacing w:val="-2"/>
          <w:sz w:val="24"/>
          <w:szCs w:val="24"/>
          <w:lang w:val="en-GB"/>
        </w:rPr>
        <w:t>的任务范围，供执行问题附属机构</w:t>
      </w:r>
      <w:r w:rsidRPr="000C0842">
        <w:rPr>
          <w:rFonts w:eastAsia="SimSun" w:hint="eastAsia"/>
          <w:spacing w:val="-2"/>
          <w:sz w:val="24"/>
          <w:szCs w:val="24"/>
          <w:lang w:val="en-GB"/>
        </w:rPr>
        <w:t>在缔约方大会第十七届会议之前举行的某次会议</w:t>
      </w:r>
      <w:r w:rsidRPr="000C0842">
        <w:rPr>
          <w:rFonts w:eastAsia="SimSun"/>
          <w:spacing w:val="-2"/>
          <w:sz w:val="24"/>
          <w:szCs w:val="24"/>
          <w:lang w:val="en-GB"/>
        </w:rPr>
        <w:t>和缔约方大会第十七</w:t>
      </w:r>
      <w:r w:rsidRPr="000C0842">
        <w:rPr>
          <w:rFonts w:eastAsia="SimSun"/>
          <w:sz w:val="24"/>
          <w:szCs w:val="24"/>
          <w:lang w:val="en-GB"/>
        </w:rPr>
        <w:t>届会议审议</w:t>
      </w:r>
      <w:r w:rsidRPr="000C0842">
        <w:rPr>
          <w:rFonts w:eastAsia="SimSun" w:hint="eastAsia"/>
          <w:sz w:val="24"/>
          <w:szCs w:val="24"/>
          <w:lang w:val="en-GB"/>
        </w:rPr>
        <w:t>；</w:t>
      </w:r>
    </w:p>
    <w:p w14:paraId="4D2716CD" w14:textId="77777777" w:rsidR="00175F49" w:rsidRPr="000C0842" w:rsidRDefault="00175F49">
      <w:pPr>
        <w:numPr>
          <w:ilvl w:val="0"/>
          <w:numId w:val="228"/>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KaiTi" w:hint="eastAsia"/>
          <w:sz w:val="24"/>
          <w:szCs w:val="24"/>
          <w:lang w:val="en-GB"/>
        </w:rPr>
        <w:t>请</w:t>
      </w:r>
      <w:r w:rsidRPr="000C0842">
        <w:rPr>
          <w:rFonts w:eastAsia="SimSun" w:hint="eastAsia"/>
          <w:sz w:val="24"/>
          <w:szCs w:val="24"/>
          <w:lang w:val="en-GB"/>
        </w:rPr>
        <w:t>执行秘书在非正式咨询小组的支持下，并在资源允许的情况下：</w:t>
      </w:r>
      <w:r w:rsidRPr="000C0842">
        <w:rPr>
          <w:rFonts w:eastAsia="SimSun"/>
          <w:sz w:val="24"/>
          <w:szCs w:val="24"/>
          <w:lang w:val="en-GB"/>
        </w:rPr>
        <w:t xml:space="preserve"> </w:t>
      </w:r>
    </w:p>
    <w:p w14:paraId="6FA29986" w14:textId="77777777" w:rsidR="00175F49" w:rsidRPr="000C0842" w:rsidRDefault="00175F49">
      <w:pPr>
        <w:numPr>
          <w:ilvl w:val="0"/>
          <w:numId w:val="226"/>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SimSun" w:hint="eastAsia"/>
          <w:sz w:val="24"/>
          <w:szCs w:val="24"/>
          <w:lang w:val="en-GB"/>
        </w:rPr>
        <w:t>与区域和次区域支持中心及相关组织合作，继续支持缔约方、土著人民和地方社区、妇女和青年代表及其他相关利益攸关方，通过信息交换所机制的中央门户网站，评估和交流其能力需求和优先事项；</w:t>
      </w:r>
    </w:p>
    <w:p w14:paraId="4BE8AED4" w14:textId="550FA176" w:rsidR="00175F49" w:rsidRPr="000C0842" w:rsidRDefault="00175F49">
      <w:pPr>
        <w:numPr>
          <w:ilvl w:val="0"/>
          <w:numId w:val="226"/>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SimSun" w:hint="eastAsia"/>
          <w:sz w:val="24"/>
          <w:szCs w:val="24"/>
          <w:lang w:val="en-GB"/>
        </w:rPr>
        <w:t>与区域和次区域支持中心合作，进一步确定和规划为执行</w:t>
      </w:r>
      <w:r w:rsidR="001A5C0A" w:rsidRPr="000C0842">
        <w:rPr>
          <w:rFonts w:eastAsia="SimSun" w:hint="eastAsia"/>
          <w:sz w:val="24"/>
          <w:szCs w:val="24"/>
          <w:lang w:val="en-GB"/>
        </w:rPr>
        <w:t>《昆蒙框架》</w:t>
      </w:r>
      <w:r w:rsidRPr="000C0842">
        <w:rPr>
          <w:rFonts w:eastAsia="SimSun" w:hint="eastAsia"/>
          <w:sz w:val="24"/>
          <w:szCs w:val="24"/>
          <w:lang w:val="en-GB"/>
        </w:rPr>
        <w:t>支持开展能力建设和发展的相关举措和伙伴关系，从全球视角了解其覆盖范围、找出差距，最大限度地减少重复工作，并促进协调与协作</w:t>
      </w:r>
      <w:r w:rsidRPr="000C0842">
        <w:rPr>
          <w:rFonts w:eastAsia="SimSun"/>
          <w:sz w:val="24"/>
          <w:szCs w:val="24"/>
          <w:lang w:val="en-GB"/>
        </w:rPr>
        <w:t>；</w:t>
      </w:r>
      <w:r w:rsidRPr="000C0842">
        <w:rPr>
          <w:rFonts w:eastAsia="SimSun"/>
          <w:sz w:val="24"/>
          <w:szCs w:val="24"/>
          <w:lang w:val="en-GB"/>
        </w:rPr>
        <w:t xml:space="preserve"> </w:t>
      </w:r>
    </w:p>
    <w:p w14:paraId="3887CC50" w14:textId="77777777" w:rsidR="00175F49" w:rsidRPr="000C0842" w:rsidRDefault="00175F49">
      <w:pPr>
        <w:numPr>
          <w:ilvl w:val="0"/>
          <w:numId w:val="226"/>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SimSun" w:hint="eastAsia"/>
          <w:sz w:val="24"/>
          <w:szCs w:val="24"/>
          <w:lang w:val="en-GB"/>
        </w:rPr>
        <w:t>通过信息交换机制的中央门户网站共享通过上文</w:t>
      </w:r>
      <w:r w:rsidRPr="000C0842">
        <w:rPr>
          <w:rFonts w:eastAsia="SimSun" w:hint="eastAsia"/>
          <w:sz w:val="24"/>
          <w:szCs w:val="24"/>
          <w:lang w:val="en-GB"/>
        </w:rPr>
        <w:t>(b)</w:t>
      </w:r>
      <w:r w:rsidRPr="000C0842">
        <w:rPr>
          <w:rFonts w:eastAsia="SimSun" w:hint="eastAsia"/>
          <w:sz w:val="24"/>
          <w:szCs w:val="24"/>
          <w:lang w:val="en-GB"/>
        </w:rPr>
        <w:t>分段所述程序收集的信息；</w:t>
      </w:r>
    </w:p>
    <w:p w14:paraId="4CB5F5F9" w14:textId="77777777" w:rsidR="00175F49" w:rsidRPr="000C0842" w:rsidRDefault="00175F49">
      <w:pPr>
        <w:numPr>
          <w:ilvl w:val="0"/>
          <w:numId w:val="226"/>
        </w:num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SimSun" w:hint="eastAsia"/>
          <w:sz w:val="24"/>
          <w:szCs w:val="24"/>
          <w:lang w:val="en-GB"/>
        </w:rPr>
        <w:t>继续与联合国气候变化框架公约</w:t>
      </w:r>
      <w:r w:rsidRPr="000C0842">
        <w:rPr>
          <w:rFonts w:eastAsia="Times New Roman"/>
          <w:sz w:val="24"/>
          <w:szCs w:val="24"/>
          <w:vertAlign w:val="superscript"/>
          <w:lang w:val="en-GB"/>
        </w:rPr>
        <w:footnoteReference w:id="20"/>
      </w:r>
      <w:r w:rsidRPr="000C0842">
        <w:rPr>
          <w:rFonts w:eastAsia="SimSun" w:hint="eastAsia"/>
          <w:sz w:val="24"/>
          <w:szCs w:val="24"/>
          <w:lang w:val="en-GB"/>
        </w:rPr>
        <w:t xml:space="preserve"> </w:t>
      </w:r>
      <w:r w:rsidRPr="000C0842">
        <w:rPr>
          <w:rFonts w:eastAsia="SimSun" w:hint="eastAsia"/>
          <w:sz w:val="24"/>
          <w:szCs w:val="24"/>
          <w:lang w:val="en-GB"/>
        </w:rPr>
        <w:t>秘书处、</w:t>
      </w:r>
      <w:r w:rsidRPr="000C0842">
        <w:rPr>
          <w:rFonts w:eastAsia="SimSun"/>
          <w:sz w:val="24"/>
          <w:szCs w:val="24"/>
          <w:lang w:val="en-GB"/>
        </w:rPr>
        <w:t>联合国关于在发生严重干旱和</w:t>
      </w:r>
      <w:r w:rsidRPr="000C0842">
        <w:rPr>
          <w:rFonts w:eastAsia="SimSun" w:hint="eastAsia"/>
          <w:sz w:val="24"/>
          <w:szCs w:val="24"/>
          <w:lang w:val="en-GB"/>
        </w:rPr>
        <w:t>（</w:t>
      </w:r>
      <w:r w:rsidRPr="000C0842">
        <w:rPr>
          <w:rFonts w:eastAsia="SimSun"/>
          <w:sz w:val="24"/>
          <w:szCs w:val="24"/>
          <w:lang w:val="en-GB"/>
        </w:rPr>
        <w:t>或</w:t>
      </w:r>
      <w:r w:rsidRPr="000C0842">
        <w:rPr>
          <w:rFonts w:eastAsia="SimSun" w:hint="eastAsia"/>
          <w:sz w:val="24"/>
          <w:szCs w:val="24"/>
          <w:lang w:val="en-GB"/>
        </w:rPr>
        <w:t>）</w:t>
      </w:r>
      <w:r w:rsidRPr="000C0842">
        <w:rPr>
          <w:rFonts w:eastAsia="SimSun"/>
          <w:sz w:val="24"/>
          <w:szCs w:val="24"/>
          <w:lang w:val="en-GB"/>
        </w:rPr>
        <w:t>荒漠化的国家特别是在非洲防治荒漠化的公约</w:t>
      </w:r>
      <w:r w:rsidRPr="000C0842">
        <w:rPr>
          <w:rFonts w:eastAsia="Times New Roman"/>
          <w:sz w:val="24"/>
          <w:szCs w:val="24"/>
          <w:vertAlign w:val="superscript"/>
          <w:lang w:val="en-GB"/>
        </w:rPr>
        <w:footnoteReference w:id="21"/>
      </w:r>
      <w:r w:rsidRPr="000C0842">
        <w:rPr>
          <w:rFonts w:eastAsia="SimSun" w:hint="eastAsia"/>
          <w:sz w:val="24"/>
          <w:szCs w:val="24"/>
          <w:lang w:val="en-GB"/>
        </w:rPr>
        <w:t xml:space="preserve"> </w:t>
      </w:r>
      <w:r w:rsidRPr="000C0842">
        <w:rPr>
          <w:rFonts w:eastAsia="SimSun" w:hint="eastAsia"/>
          <w:sz w:val="24"/>
          <w:szCs w:val="24"/>
          <w:lang w:val="en-GB"/>
        </w:rPr>
        <w:t>秘书处和各生物多样性相关公约秘书处制定和执行联合能力建设活动和方案，以酌情加强合作、协作和协同增效，在区域、次区域和国家层面执行其各自的公约和实现《</w:t>
      </w:r>
      <w:r w:rsidRPr="000C0842">
        <w:rPr>
          <w:rFonts w:eastAsia="SimSun"/>
          <w:sz w:val="24"/>
          <w:szCs w:val="24"/>
          <w:lang w:val="en-GB"/>
        </w:rPr>
        <w:t xml:space="preserve">2030 </w:t>
      </w:r>
      <w:r w:rsidRPr="000C0842">
        <w:rPr>
          <w:rFonts w:eastAsia="SimSun" w:hint="eastAsia"/>
          <w:sz w:val="24"/>
          <w:szCs w:val="24"/>
          <w:lang w:val="en-GB"/>
        </w:rPr>
        <w:t>年可持续发展议程》</w:t>
      </w:r>
      <w:r w:rsidRPr="000C0842">
        <w:rPr>
          <w:rFonts w:eastAsia="Times New Roman"/>
          <w:sz w:val="24"/>
          <w:szCs w:val="24"/>
          <w:vertAlign w:val="superscript"/>
          <w:lang w:val="en-GB"/>
        </w:rPr>
        <w:footnoteReference w:id="22"/>
      </w:r>
      <w:r w:rsidRPr="000C0842">
        <w:rPr>
          <w:rFonts w:eastAsia="SimSun" w:hint="eastAsia"/>
          <w:sz w:val="24"/>
          <w:szCs w:val="24"/>
          <w:lang w:val="en-GB"/>
        </w:rPr>
        <w:t>，</w:t>
      </w:r>
      <w:r w:rsidRPr="000C0842">
        <w:rPr>
          <w:rFonts w:eastAsia="SimSun" w:hint="eastAsia"/>
          <w:sz w:val="24"/>
          <w:szCs w:val="24"/>
          <w:lang w:val="en-GB"/>
        </w:rPr>
        <w:t xml:space="preserve"> </w:t>
      </w:r>
      <w:r w:rsidRPr="000C0842">
        <w:rPr>
          <w:rFonts w:eastAsia="SimSun" w:hint="eastAsia"/>
          <w:sz w:val="24"/>
          <w:szCs w:val="24"/>
          <w:lang w:val="en-GB"/>
        </w:rPr>
        <w:t>同时尊重各自的具体任务规定；</w:t>
      </w:r>
    </w:p>
    <w:p w14:paraId="7BAA3449"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cs="SimSun"/>
          <w:b/>
          <w:bCs/>
          <w:sz w:val="24"/>
          <w:szCs w:val="24"/>
          <w:lang w:val="en-GB"/>
        </w:rPr>
      </w:pPr>
      <w:r w:rsidRPr="000C0842">
        <w:rPr>
          <w:rFonts w:ascii="SimSun" w:eastAsia="SimSun" w:hAnsi="SimSun" w:cs="SimSun" w:hint="eastAsia"/>
          <w:b/>
          <w:bCs/>
          <w:sz w:val="24"/>
          <w:szCs w:val="24"/>
          <w:lang w:val="en-GB"/>
        </w:rPr>
        <w:t>二</w:t>
      </w:r>
      <w:r w:rsidRPr="000C0842">
        <w:rPr>
          <w:rFonts w:ascii="SimSun" w:eastAsia="SimSun" w:hAnsi="SimSun" w:cs="SimSun"/>
          <w:b/>
          <w:bCs/>
          <w:sz w:val="24"/>
          <w:szCs w:val="24"/>
          <w:lang w:val="en-GB"/>
        </w:rPr>
        <w:t xml:space="preserve">.  </w:t>
      </w:r>
      <w:r w:rsidRPr="000C0842">
        <w:rPr>
          <w:rFonts w:ascii="SimSun" w:eastAsia="SimSun" w:hAnsi="SimSun" w:cs="SimSun" w:hint="eastAsia"/>
          <w:b/>
          <w:bCs/>
          <w:sz w:val="24"/>
          <w:szCs w:val="24"/>
          <w:lang w:val="en-GB"/>
        </w:rPr>
        <w:t>科技合作和技术转让</w:t>
      </w:r>
    </w:p>
    <w:p w14:paraId="4BA4C4C3"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9</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欢迎</w:t>
      </w:r>
      <w:r w:rsidRPr="000C0842">
        <w:rPr>
          <w:rFonts w:eastAsia="SimSun" w:hint="eastAsia"/>
          <w:kern w:val="22"/>
          <w:sz w:val="24"/>
          <w:lang w:val="en-GB"/>
        </w:rPr>
        <w:t>缔约方大会主席团选定作为本决定附件一所列区域和次区域科技合作支持中心东道主的实体和组织；</w:t>
      </w:r>
      <w:r w:rsidRPr="000C0842">
        <w:rPr>
          <w:rFonts w:eastAsia="SimSun"/>
          <w:kern w:val="22"/>
          <w:sz w:val="24"/>
          <w:lang w:val="en-GB"/>
        </w:rPr>
        <w:t xml:space="preserve"> </w:t>
      </w:r>
    </w:p>
    <w:p w14:paraId="0B1D4A94"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0</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决定</w:t>
      </w:r>
      <w:r w:rsidRPr="000C0842">
        <w:rPr>
          <w:rFonts w:eastAsia="SimSun" w:hint="eastAsia"/>
          <w:kern w:val="22"/>
          <w:sz w:val="24"/>
          <w:lang w:val="en-GB"/>
        </w:rPr>
        <w:t>科技合作机制全球协调实体将设在生物多样性公约秘书处；</w:t>
      </w:r>
    </w:p>
    <w:p w14:paraId="7DC2CC28"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1</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通过</w:t>
      </w:r>
      <w:r w:rsidRPr="000C0842">
        <w:rPr>
          <w:rFonts w:eastAsia="SimSun" w:hint="eastAsia"/>
          <w:kern w:val="22"/>
          <w:sz w:val="24"/>
          <w:lang w:val="en-GB"/>
        </w:rPr>
        <w:t>本决定附件二所载科技合作机制全球协调实体的业务模式；</w:t>
      </w:r>
      <w:r w:rsidRPr="000C0842">
        <w:rPr>
          <w:rFonts w:eastAsia="SimSun"/>
          <w:kern w:val="22"/>
          <w:sz w:val="24"/>
          <w:lang w:val="en-GB"/>
        </w:rPr>
        <w:t xml:space="preserve"> </w:t>
      </w:r>
    </w:p>
    <w:p w14:paraId="351F03CE"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2</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请</w:t>
      </w:r>
      <w:r w:rsidRPr="000C0842">
        <w:rPr>
          <w:rFonts w:eastAsia="SimSun" w:hint="eastAsia"/>
          <w:kern w:val="22"/>
          <w:sz w:val="24"/>
          <w:lang w:val="en-GB"/>
        </w:rPr>
        <w:t>全球协调实体采用本决定附件二第三节概述的业务模式和程序</w:t>
      </w:r>
      <w:r w:rsidRPr="000C0842">
        <w:rPr>
          <w:rFonts w:eastAsia="SimSun"/>
          <w:kern w:val="22"/>
          <w:sz w:val="24"/>
          <w:lang w:val="en-GB"/>
        </w:rPr>
        <w:t>；</w:t>
      </w:r>
    </w:p>
    <w:p w14:paraId="01E1D79F"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3</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决定</w:t>
      </w:r>
      <w:r w:rsidRPr="000C0842">
        <w:rPr>
          <w:rFonts w:eastAsia="SimSun" w:hint="eastAsia"/>
          <w:kern w:val="22"/>
          <w:sz w:val="24"/>
          <w:lang w:val="en-GB"/>
        </w:rPr>
        <w:t>在此期间，并考虑到第</w:t>
      </w:r>
      <w:r w:rsidRPr="000C0842">
        <w:rPr>
          <w:rFonts w:eastAsia="SimSun"/>
          <w:kern w:val="22"/>
          <w:sz w:val="24"/>
          <w:lang w:val="en-GB"/>
        </w:rPr>
        <w:t xml:space="preserve"> </w:t>
      </w:r>
      <w:hyperlink r:id="rId31" w:history="1">
        <w:r w:rsidRPr="000C0842">
          <w:rPr>
            <w:rFonts w:eastAsia="SimSun"/>
            <w:kern w:val="22"/>
            <w:sz w:val="24"/>
            <w:u w:val="single"/>
            <w:lang w:val="en-GB"/>
          </w:rPr>
          <w:t xml:space="preserve">15/8 </w:t>
        </w:r>
      </w:hyperlink>
      <w:r w:rsidRPr="000C0842">
        <w:rPr>
          <w:rFonts w:eastAsia="SimSun" w:hint="eastAsia"/>
          <w:kern w:val="22"/>
          <w:sz w:val="24"/>
          <w:lang w:val="en-GB"/>
        </w:rPr>
        <w:t>号决定第</w:t>
      </w:r>
      <w:r w:rsidRPr="000C0842">
        <w:rPr>
          <w:rFonts w:eastAsia="SimSun"/>
          <w:kern w:val="22"/>
          <w:sz w:val="24"/>
          <w:lang w:val="en-GB"/>
        </w:rPr>
        <w:t xml:space="preserve"> 28 </w:t>
      </w:r>
      <w:r w:rsidRPr="000C0842">
        <w:rPr>
          <w:rFonts w:eastAsia="SimSun" w:hint="eastAsia"/>
          <w:kern w:val="22"/>
          <w:sz w:val="24"/>
          <w:lang w:val="en-GB"/>
        </w:rPr>
        <w:t>段的规定，生物桥倡议将继续提供协调支持，直至全球协调实体成立并全面运作为止</w:t>
      </w:r>
      <w:r w:rsidRPr="000C0842">
        <w:rPr>
          <w:rFonts w:eastAsia="SimSun"/>
          <w:kern w:val="22"/>
          <w:sz w:val="24"/>
          <w:lang w:val="en-GB"/>
        </w:rPr>
        <w:t>；</w:t>
      </w:r>
      <w:r w:rsidRPr="000C0842">
        <w:rPr>
          <w:rFonts w:eastAsia="SimSun"/>
          <w:kern w:val="22"/>
          <w:sz w:val="24"/>
          <w:lang w:val="en-GB"/>
        </w:rPr>
        <w:t xml:space="preserve"> </w:t>
      </w:r>
    </w:p>
    <w:p w14:paraId="5019A3CF"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4</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鼓励</w:t>
      </w:r>
      <w:r w:rsidRPr="000C0842">
        <w:rPr>
          <w:rFonts w:eastAsia="SimSun" w:hint="eastAsia"/>
          <w:kern w:val="22"/>
          <w:sz w:val="24"/>
          <w:lang w:val="en-GB"/>
        </w:rPr>
        <w:t>全球协调实体及区域和次区域支持中心，从各种来源，包括国际和国内、公共和私人来源筹集必要的资金，以及从被选为中心东道机构的实体和组织那里筹集财务和实物捐助，以支持科技合作机制的运作和活动；</w:t>
      </w:r>
      <w:r w:rsidRPr="000C0842">
        <w:rPr>
          <w:rFonts w:eastAsia="SimSun"/>
          <w:kern w:val="22"/>
          <w:sz w:val="24"/>
          <w:lang w:val="en-GB"/>
        </w:rPr>
        <w:t xml:space="preserve"> </w:t>
      </w:r>
    </w:p>
    <w:p w14:paraId="02AE2D1F" w14:textId="7A8AE5F2"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5</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请</w:t>
      </w:r>
      <w:r w:rsidRPr="000C0842">
        <w:rPr>
          <w:rFonts w:eastAsia="SimSun" w:hint="eastAsia"/>
          <w:kern w:val="22"/>
          <w:sz w:val="24"/>
          <w:lang w:val="en-GB"/>
        </w:rPr>
        <w:t>选定的区域和次区域支持中心在全球协调实体和非正式咨询小组的支持下，根据第</w:t>
      </w:r>
      <w:r w:rsidRPr="000C0842">
        <w:rPr>
          <w:rFonts w:eastAsia="SimSun"/>
          <w:kern w:val="22"/>
          <w:sz w:val="24"/>
          <w:lang w:val="en-GB"/>
        </w:rPr>
        <w:t xml:space="preserve"> </w:t>
      </w:r>
      <w:hyperlink r:id="rId32" w:history="1">
        <w:r w:rsidRPr="000C0842">
          <w:rPr>
            <w:rFonts w:eastAsia="SimSun"/>
            <w:kern w:val="22"/>
            <w:sz w:val="24"/>
            <w:u w:val="single"/>
            <w:lang w:val="en-GB"/>
          </w:rPr>
          <w:t xml:space="preserve">15/8 </w:t>
        </w:r>
      </w:hyperlink>
      <w:r w:rsidRPr="000C0842">
        <w:rPr>
          <w:rFonts w:eastAsia="SimSun" w:hint="eastAsia"/>
          <w:kern w:val="22"/>
          <w:sz w:val="24"/>
          <w:lang w:val="en-GB"/>
        </w:rPr>
        <w:t>号决定第</w:t>
      </w:r>
      <w:r w:rsidRPr="000C0842">
        <w:rPr>
          <w:rFonts w:eastAsia="SimSun"/>
          <w:kern w:val="22"/>
          <w:sz w:val="24"/>
          <w:lang w:val="en-GB"/>
        </w:rPr>
        <w:t xml:space="preserve"> 26 </w:t>
      </w:r>
      <w:r w:rsidRPr="000C0842">
        <w:rPr>
          <w:rFonts w:eastAsia="SimSun" w:hint="eastAsia"/>
          <w:kern w:val="22"/>
          <w:sz w:val="24"/>
          <w:lang w:val="en-GB"/>
        </w:rPr>
        <w:t>段规定的任务和</w:t>
      </w:r>
      <w:hyperlink r:id="rId33" w:history="1">
        <w:r w:rsidRPr="000C0842">
          <w:rPr>
            <w:rStyle w:val="Hyperlink"/>
            <w:rFonts w:eastAsia="SimSun"/>
            <w:color w:val="auto"/>
            <w:kern w:val="22"/>
            <w:sz w:val="24"/>
            <w:lang w:val="en-GB"/>
          </w:rPr>
          <w:t>CBD/COP/16/INF/24</w:t>
        </w:r>
      </w:hyperlink>
      <w:r w:rsidRPr="000C0842">
        <w:rPr>
          <w:rFonts w:eastAsia="SimSun" w:hint="eastAsia"/>
          <w:kern w:val="22"/>
          <w:sz w:val="24"/>
          <w:lang w:val="en-GB"/>
        </w:rPr>
        <w:t>号文件提供并根据下文第</w:t>
      </w:r>
      <w:r w:rsidRPr="000C0842">
        <w:rPr>
          <w:rFonts w:eastAsia="SimSun" w:hint="eastAsia"/>
          <w:kern w:val="22"/>
          <w:sz w:val="24"/>
          <w:lang w:val="en-GB"/>
        </w:rPr>
        <w:t>26(c)</w:t>
      </w:r>
      <w:r w:rsidRPr="000C0842">
        <w:rPr>
          <w:rFonts w:eastAsia="SimSun" w:hint="eastAsia"/>
          <w:kern w:val="22"/>
          <w:sz w:val="24"/>
          <w:lang w:val="en-GB"/>
        </w:rPr>
        <w:t>段更新的指导意见，制定</w:t>
      </w:r>
      <w:r w:rsidRPr="000C0842">
        <w:rPr>
          <w:rFonts w:eastAsia="SimSun"/>
          <w:kern w:val="22"/>
          <w:sz w:val="24"/>
          <w:lang w:val="en-GB"/>
        </w:rPr>
        <w:t xml:space="preserve"> 2025-2026 </w:t>
      </w:r>
      <w:r w:rsidRPr="000C0842">
        <w:rPr>
          <w:rFonts w:eastAsia="SimSun" w:hint="eastAsia"/>
          <w:kern w:val="22"/>
          <w:sz w:val="24"/>
          <w:lang w:val="en-GB"/>
        </w:rPr>
        <w:t>两年期工作计划</w:t>
      </w:r>
      <w:r w:rsidRPr="000C0842">
        <w:rPr>
          <w:rFonts w:eastAsia="SimSun"/>
          <w:kern w:val="22"/>
          <w:sz w:val="24"/>
          <w:lang w:val="en-GB"/>
        </w:rPr>
        <w:t>；</w:t>
      </w:r>
    </w:p>
    <w:p w14:paraId="6F05BE79"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16.</w:t>
      </w:r>
      <w:r w:rsidRPr="000C0842">
        <w:rPr>
          <w:rFonts w:eastAsia="SimSun"/>
          <w:kern w:val="22"/>
          <w:sz w:val="24"/>
          <w:lang w:val="en-GB"/>
        </w:rPr>
        <w:tab/>
      </w:r>
      <w:r w:rsidRPr="000C0842">
        <w:rPr>
          <w:rFonts w:ascii="KaiTi" w:eastAsia="KaiTi" w:hAnsi="KaiTi" w:hint="eastAsia"/>
          <w:kern w:val="22"/>
          <w:sz w:val="24"/>
          <w:lang w:val="en-GB"/>
        </w:rPr>
        <w:t>请</w:t>
      </w:r>
      <w:r w:rsidRPr="000C0842">
        <w:rPr>
          <w:rFonts w:eastAsia="SimSun" w:hint="eastAsia"/>
          <w:kern w:val="22"/>
          <w:sz w:val="24"/>
          <w:lang w:val="en-GB"/>
        </w:rPr>
        <w:t>缔约方大会主席团在全球协调实体成立后审议并暂时核准其第一个方案的重点和工作计划；</w:t>
      </w:r>
    </w:p>
    <w:p w14:paraId="4A691B59"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17.</w:t>
      </w:r>
      <w:r w:rsidRPr="000C0842">
        <w:rPr>
          <w:rFonts w:eastAsia="SimSun"/>
          <w:kern w:val="22"/>
          <w:sz w:val="24"/>
          <w:lang w:val="en-GB"/>
        </w:rPr>
        <w:tab/>
      </w:r>
      <w:r w:rsidRPr="000C0842">
        <w:rPr>
          <w:rFonts w:eastAsia="KaiTi" w:hint="eastAsia"/>
          <w:sz w:val="24"/>
          <w:szCs w:val="24"/>
          <w:lang w:val="en-GB"/>
        </w:rPr>
        <w:t>邀请</w:t>
      </w:r>
      <w:r w:rsidRPr="000C0842">
        <w:rPr>
          <w:rFonts w:eastAsia="SimSun" w:hint="eastAsia"/>
          <w:kern w:val="22"/>
          <w:sz w:val="24"/>
          <w:lang w:val="en-GB"/>
        </w:rPr>
        <w:t>各缔约方并酌情邀请土著人民和地方社区、妇女和青年代表以及其他相关利益攸关方，充分利用区域和次区域支持中心，加强其能力并相互合作，促进在土著人民和地方社区自由、事先和知情同意</w:t>
      </w:r>
      <w:r w:rsidRPr="000C0842">
        <w:rPr>
          <w:rFonts w:eastAsia="SimSun"/>
          <w:kern w:val="22"/>
          <w:sz w:val="24"/>
          <w:vertAlign w:val="superscript"/>
        </w:rPr>
        <w:footnoteReference w:id="23"/>
      </w:r>
      <w:r w:rsidRPr="000C0842">
        <w:rPr>
          <w:rFonts w:eastAsia="SimSun" w:hint="eastAsia"/>
          <w:kern w:val="22"/>
          <w:sz w:val="24"/>
          <w:lang w:val="en-GB"/>
        </w:rPr>
        <w:t>的情况下，有效利用科学、各种知识来源、技术和创新，包括土著人民和地方社区的传统知识、创新和做法，支持执行《公约》及其议定书和《昆明</w:t>
      </w:r>
      <w:r w:rsidRPr="000C0842">
        <w:rPr>
          <w:rFonts w:eastAsia="SimSun"/>
          <w:kern w:val="22"/>
          <w:sz w:val="24"/>
          <w:lang w:val="en-GB"/>
        </w:rPr>
        <w:t>-</w:t>
      </w:r>
      <w:r w:rsidRPr="000C0842">
        <w:rPr>
          <w:rFonts w:eastAsia="SimSun" w:hint="eastAsia"/>
          <w:kern w:val="22"/>
          <w:sz w:val="24"/>
          <w:lang w:val="en-GB"/>
        </w:rPr>
        <w:t>蒙特利尔全球生物多样性框架》；</w:t>
      </w:r>
    </w:p>
    <w:p w14:paraId="3D4B0BC2"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kern w:val="22"/>
          <w:sz w:val="24"/>
          <w:lang w:val="en-GB"/>
        </w:rPr>
        <w:t>1</w:t>
      </w:r>
      <w:r w:rsidRPr="000C0842">
        <w:rPr>
          <w:rFonts w:eastAsia="SimSun" w:hint="eastAsia"/>
          <w:kern w:val="22"/>
          <w:sz w:val="24"/>
          <w:lang w:val="en-GB"/>
        </w:rPr>
        <w:t>8</w:t>
      </w:r>
      <w:r w:rsidRPr="000C0842">
        <w:rPr>
          <w:rFonts w:eastAsia="SimSun"/>
          <w:kern w:val="22"/>
          <w:sz w:val="24"/>
          <w:lang w:val="en-GB"/>
        </w:rPr>
        <w:t>.</w:t>
      </w:r>
      <w:r w:rsidRPr="000C0842">
        <w:rPr>
          <w:rFonts w:eastAsia="SimSun"/>
          <w:kern w:val="22"/>
          <w:sz w:val="24"/>
          <w:lang w:val="en-GB"/>
        </w:rPr>
        <w:tab/>
      </w:r>
      <w:r w:rsidRPr="000C0842">
        <w:rPr>
          <w:rFonts w:eastAsia="KaiTi" w:hint="eastAsia"/>
          <w:sz w:val="24"/>
          <w:szCs w:val="24"/>
          <w:lang w:val="en-GB"/>
        </w:rPr>
        <w:t>请</w:t>
      </w:r>
      <w:r w:rsidRPr="000C0842">
        <w:rPr>
          <w:rFonts w:eastAsia="SimSun" w:hint="eastAsia"/>
          <w:kern w:val="22"/>
          <w:sz w:val="24"/>
          <w:lang w:val="en-GB"/>
        </w:rPr>
        <w:t>各区域和次区域支持中心相互合作，并与缔约方、相关组织、生物多样性科学合作伙伴联合会和发展合作机构合作，向各自区域和次区域的缔约方提供支持，考虑填补地理和专题覆盖方面的空白，促进方案协调、互补和协同增效，包括酌情制定谅解备忘录</w:t>
      </w:r>
      <w:r w:rsidRPr="000C0842">
        <w:rPr>
          <w:rFonts w:eastAsia="SimSun"/>
          <w:kern w:val="22"/>
          <w:sz w:val="24"/>
          <w:lang w:val="en-GB"/>
        </w:rPr>
        <w:t>；</w:t>
      </w:r>
    </w:p>
    <w:p w14:paraId="030EF6EF"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19.</w:t>
      </w:r>
      <w:r w:rsidRPr="000C0842">
        <w:rPr>
          <w:rFonts w:eastAsia="SimSun"/>
          <w:kern w:val="22"/>
          <w:sz w:val="24"/>
          <w:lang w:val="en-GB"/>
        </w:rPr>
        <w:tab/>
      </w:r>
      <w:r w:rsidRPr="000C0842">
        <w:rPr>
          <w:rFonts w:eastAsia="KaiTi" w:hint="eastAsia"/>
          <w:sz w:val="24"/>
          <w:szCs w:val="24"/>
          <w:lang w:val="en-GB"/>
        </w:rPr>
        <w:t>又请</w:t>
      </w:r>
      <w:r w:rsidRPr="000C0842">
        <w:rPr>
          <w:rFonts w:eastAsia="SimSun" w:hint="eastAsia"/>
          <w:kern w:val="22"/>
          <w:sz w:val="24"/>
          <w:lang w:val="en-GB"/>
        </w:rPr>
        <w:t>区域和次区域支持中心向</w:t>
      </w:r>
      <w:r w:rsidRPr="000C0842">
        <w:rPr>
          <w:rFonts w:eastAsia="SimSun"/>
          <w:kern w:val="22"/>
          <w:sz w:val="24"/>
          <w:lang w:val="en-GB"/>
        </w:rPr>
        <w:t>全球协调实体</w:t>
      </w:r>
      <w:r w:rsidRPr="000C0842">
        <w:rPr>
          <w:rFonts w:eastAsia="SimSun" w:hint="eastAsia"/>
          <w:kern w:val="22"/>
          <w:sz w:val="24"/>
          <w:lang w:val="en-GB"/>
        </w:rPr>
        <w:t>提交其</w:t>
      </w:r>
      <w:r w:rsidRPr="000C0842">
        <w:rPr>
          <w:rFonts w:eastAsia="SimSun"/>
          <w:kern w:val="22"/>
          <w:sz w:val="24"/>
          <w:lang w:val="en-GB"/>
        </w:rPr>
        <w:t>2025-2026</w:t>
      </w:r>
      <w:r w:rsidRPr="000C0842">
        <w:rPr>
          <w:rFonts w:eastAsia="SimSun" w:hint="eastAsia"/>
          <w:kern w:val="22"/>
          <w:sz w:val="24"/>
          <w:lang w:val="en-GB"/>
        </w:rPr>
        <w:t>年期间的活动报告，供执行问题附属机构在缔约方大会第十七届会议之前举行的某次会议审查，以便其可以确定可能的差距和更好地提供科技合作的解决办法，供缔约方大会第十七届会议审议；</w:t>
      </w:r>
      <w:r w:rsidRPr="000C0842">
        <w:rPr>
          <w:rFonts w:eastAsia="SimSun"/>
          <w:kern w:val="22"/>
          <w:sz w:val="24"/>
          <w:lang w:val="en-GB"/>
        </w:rPr>
        <w:t xml:space="preserve"> </w:t>
      </w:r>
    </w:p>
    <w:p w14:paraId="7023E00D"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20.</w:t>
      </w:r>
      <w:r w:rsidRPr="000C0842">
        <w:rPr>
          <w:rFonts w:eastAsia="SimSun"/>
          <w:kern w:val="22"/>
          <w:sz w:val="24"/>
          <w:lang w:val="en-GB"/>
        </w:rPr>
        <w:tab/>
      </w:r>
      <w:r w:rsidRPr="000C0842">
        <w:rPr>
          <w:rFonts w:eastAsia="KaiTi" w:hint="eastAsia"/>
          <w:sz w:val="24"/>
          <w:szCs w:val="24"/>
          <w:lang w:val="en-GB"/>
        </w:rPr>
        <w:t>邀请</w:t>
      </w:r>
      <w:r w:rsidRPr="000C0842">
        <w:rPr>
          <w:rFonts w:eastAsia="SimSun" w:hint="eastAsia"/>
          <w:kern w:val="22"/>
          <w:sz w:val="24"/>
          <w:lang w:val="en-GB"/>
        </w:rPr>
        <w:t>全球协调实体与相关国际组织、倡议和伙伴关系合作，利用专门知识和资源促进科技合作；</w:t>
      </w:r>
      <w:r w:rsidRPr="000C0842">
        <w:rPr>
          <w:rFonts w:eastAsia="SimSun"/>
          <w:kern w:val="22"/>
          <w:sz w:val="24"/>
          <w:lang w:val="en-GB"/>
        </w:rPr>
        <w:t xml:space="preserve"> </w:t>
      </w:r>
    </w:p>
    <w:p w14:paraId="2B573987"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21.</w:t>
      </w:r>
      <w:r w:rsidRPr="000C0842">
        <w:rPr>
          <w:rFonts w:eastAsia="SimSun"/>
          <w:kern w:val="22"/>
          <w:sz w:val="24"/>
          <w:lang w:val="en-GB"/>
        </w:rPr>
        <w:tab/>
      </w:r>
      <w:r w:rsidRPr="000C0842">
        <w:rPr>
          <w:rFonts w:eastAsia="KaiTi" w:hint="eastAsia"/>
          <w:sz w:val="24"/>
          <w:szCs w:val="24"/>
          <w:lang w:val="en-GB"/>
        </w:rPr>
        <w:t>邀请</w:t>
      </w:r>
      <w:r w:rsidRPr="000C0842">
        <w:rPr>
          <w:rFonts w:eastAsia="SimSun" w:hint="eastAsia"/>
          <w:kern w:val="22"/>
          <w:sz w:val="24"/>
          <w:lang w:val="en-GB"/>
        </w:rPr>
        <w:t>有能力的缔约方、其他各国政府和组织为支持区域和次区域支持中心以及全球协调实体进行的方案和活动提供财务和实物捐助以及其他资源；</w:t>
      </w:r>
    </w:p>
    <w:p w14:paraId="4C46C2B0"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22.</w:t>
      </w:r>
      <w:r w:rsidRPr="000C0842">
        <w:rPr>
          <w:rFonts w:eastAsia="SimSun"/>
          <w:kern w:val="22"/>
          <w:sz w:val="24"/>
          <w:lang w:val="en-GB"/>
        </w:rPr>
        <w:tab/>
      </w:r>
      <w:r w:rsidRPr="000C0842">
        <w:rPr>
          <w:rFonts w:eastAsia="KaiTi" w:hint="eastAsia"/>
          <w:sz w:val="24"/>
          <w:szCs w:val="24"/>
          <w:lang w:val="en-GB"/>
        </w:rPr>
        <w:t>邀请</w:t>
      </w:r>
      <w:r w:rsidRPr="000C0842">
        <w:rPr>
          <w:rFonts w:eastAsia="SimSun" w:hint="eastAsia"/>
          <w:kern w:val="22"/>
          <w:sz w:val="24"/>
          <w:lang w:val="en-GB"/>
        </w:rPr>
        <w:t>昆明生物多样性基金支持发展中国家的科技合作、技术转让和能力建设和发展支持方案和活动；</w:t>
      </w:r>
      <w:r w:rsidRPr="000C0842">
        <w:rPr>
          <w:rFonts w:eastAsia="SimSun"/>
          <w:kern w:val="22"/>
          <w:sz w:val="24"/>
          <w:lang w:val="en-GB"/>
        </w:rPr>
        <w:t xml:space="preserve"> </w:t>
      </w:r>
    </w:p>
    <w:p w14:paraId="51A7C130" w14:textId="23B00CCF"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23.</w:t>
      </w:r>
      <w:r w:rsidRPr="000C0842">
        <w:rPr>
          <w:rFonts w:eastAsia="SimSun"/>
          <w:kern w:val="22"/>
          <w:sz w:val="24"/>
          <w:lang w:val="en-GB"/>
        </w:rPr>
        <w:tab/>
      </w:r>
      <w:r w:rsidRPr="000C0842">
        <w:rPr>
          <w:rFonts w:eastAsia="KaiTi" w:hint="eastAsia"/>
          <w:sz w:val="24"/>
          <w:szCs w:val="24"/>
          <w:lang w:val="en-GB"/>
        </w:rPr>
        <w:t>请</w:t>
      </w:r>
      <w:r w:rsidRPr="000C0842">
        <w:rPr>
          <w:rFonts w:eastAsia="SimSun" w:hint="eastAsia"/>
          <w:kern w:val="22"/>
          <w:sz w:val="24"/>
          <w:lang w:val="en-GB"/>
        </w:rPr>
        <w:t>全球环境基金，包括通过全球生物多样性框架基金，根据其任务授权，</w:t>
      </w:r>
      <w:r w:rsidRPr="000C0842">
        <w:rPr>
          <w:rFonts w:eastAsia="SimSun"/>
          <w:kern w:val="22"/>
          <w:sz w:val="24"/>
        </w:rPr>
        <w:t>在所有符合条件的国家</w:t>
      </w:r>
      <w:r w:rsidRPr="000C0842">
        <w:rPr>
          <w:rFonts w:eastAsia="SimSun" w:hint="eastAsia"/>
          <w:kern w:val="22"/>
          <w:sz w:val="24"/>
          <w:lang w:val="en-GB"/>
        </w:rPr>
        <w:t>继续支持包括科技合作、技术转让和能力建设在内的国家驱动项目，以执行《</w:t>
      </w:r>
      <w:r w:rsidR="00F616A3" w:rsidRPr="000C0842">
        <w:rPr>
          <w:rFonts w:eastAsia="SimSun" w:hint="eastAsia"/>
          <w:kern w:val="22"/>
          <w:sz w:val="24"/>
          <w:lang w:val="en-GB"/>
        </w:rPr>
        <w:t>昆蒙</w:t>
      </w:r>
      <w:r w:rsidRPr="000C0842">
        <w:rPr>
          <w:rFonts w:eastAsia="SimSun" w:hint="eastAsia"/>
          <w:kern w:val="22"/>
          <w:sz w:val="24"/>
          <w:lang w:val="en-GB"/>
        </w:rPr>
        <w:t>框架》；</w:t>
      </w:r>
    </w:p>
    <w:p w14:paraId="2BAB33D1"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24.</w:t>
      </w:r>
      <w:r w:rsidRPr="000C0842">
        <w:rPr>
          <w:rFonts w:eastAsia="SimSun"/>
          <w:kern w:val="22"/>
          <w:sz w:val="24"/>
          <w:lang w:val="en-GB"/>
        </w:rPr>
        <w:tab/>
      </w:r>
      <w:r w:rsidRPr="000C0842">
        <w:rPr>
          <w:rFonts w:ascii="KaiTi" w:eastAsia="KaiTi" w:hAnsi="KaiTi" w:hint="eastAsia"/>
          <w:kern w:val="22"/>
          <w:sz w:val="24"/>
          <w:lang w:val="en-GB"/>
        </w:rPr>
        <w:t>又</w:t>
      </w:r>
      <w:r w:rsidRPr="000C0842">
        <w:rPr>
          <w:rFonts w:eastAsia="KaiTi" w:hint="eastAsia"/>
          <w:sz w:val="24"/>
          <w:szCs w:val="24"/>
          <w:lang w:val="en-GB"/>
        </w:rPr>
        <w:t>请</w:t>
      </w:r>
      <w:r w:rsidRPr="000C0842">
        <w:rPr>
          <w:rFonts w:eastAsia="SimSun" w:hint="eastAsia"/>
          <w:kern w:val="22"/>
          <w:sz w:val="24"/>
          <w:lang w:val="en-GB"/>
        </w:rPr>
        <w:t>全球环境基金，包括通过全球生物多样性框架基金，根据其任务授权，并邀请昆明生物多样性基金和其他基金，支持区域和次区域支持中心酌情根据其各自次区域内的发展中国家，尤其是最不发达国家和小岛屿发展中国家，以及经济转型国家各缔约方在的请求开展的运作和活动；</w:t>
      </w:r>
    </w:p>
    <w:p w14:paraId="61EFA98C"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kern w:val="22"/>
          <w:sz w:val="24"/>
          <w:lang w:val="zh-CN"/>
        </w:rPr>
      </w:pPr>
      <w:r w:rsidRPr="000C0842">
        <w:rPr>
          <w:rFonts w:eastAsia="SimSun" w:hint="eastAsia"/>
          <w:kern w:val="22"/>
          <w:sz w:val="24"/>
          <w:lang w:val="en-GB"/>
        </w:rPr>
        <w:t>25.</w:t>
      </w:r>
      <w:r w:rsidRPr="000C0842">
        <w:rPr>
          <w:rFonts w:eastAsia="SimSun"/>
          <w:kern w:val="22"/>
          <w:sz w:val="24"/>
          <w:lang w:val="en-GB"/>
        </w:rPr>
        <w:tab/>
      </w:r>
      <w:r w:rsidRPr="000C0842">
        <w:rPr>
          <w:rFonts w:eastAsia="KaiTi"/>
          <w:sz w:val="24"/>
          <w:szCs w:val="24"/>
          <w:lang w:val="en-GB"/>
        </w:rPr>
        <w:t>请</w:t>
      </w:r>
      <w:r w:rsidRPr="000C0842">
        <w:rPr>
          <w:rFonts w:eastAsia="SimSun"/>
          <w:kern w:val="22"/>
          <w:sz w:val="24"/>
          <w:lang w:val="en-GB"/>
        </w:rPr>
        <w:t>执行秘书在资源允许的情况下：</w:t>
      </w:r>
    </w:p>
    <w:p w14:paraId="42484AC8"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(a)</w:t>
      </w:r>
      <w:r w:rsidRPr="000C0842">
        <w:rPr>
          <w:rFonts w:eastAsia="SimSun"/>
          <w:kern w:val="22"/>
          <w:sz w:val="24"/>
          <w:lang w:val="en-GB"/>
        </w:rPr>
        <w:tab/>
      </w:r>
      <w:r w:rsidRPr="000C0842">
        <w:rPr>
          <w:rFonts w:eastAsia="SimSun"/>
          <w:kern w:val="22"/>
          <w:sz w:val="24"/>
        </w:rPr>
        <w:t>按照附件二规定的模式，</w:t>
      </w:r>
      <w:r w:rsidRPr="000C0842">
        <w:rPr>
          <w:rFonts w:eastAsia="SimSun"/>
          <w:kern w:val="22"/>
          <w:sz w:val="24"/>
          <w:lang w:val="en-GB"/>
        </w:rPr>
        <w:t>尽快启动</w:t>
      </w:r>
      <w:r w:rsidRPr="000C0842">
        <w:rPr>
          <w:rFonts w:eastAsia="SimSun" w:hint="eastAsia"/>
          <w:kern w:val="22"/>
          <w:sz w:val="24"/>
          <w:lang w:val="en-GB"/>
        </w:rPr>
        <w:t>全球协调实体的运作模式；</w:t>
      </w:r>
    </w:p>
    <w:p w14:paraId="6A69BC36"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(b)</w:t>
      </w:r>
      <w:r w:rsidRPr="000C0842">
        <w:rPr>
          <w:rFonts w:eastAsia="SimSun"/>
          <w:kern w:val="22"/>
          <w:sz w:val="24"/>
          <w:lang w:val="en-GB"/>
        </w:rPr>
        <w:tab/>
      </w:r>
      <w:r w:rsidRPr="000C0842">
        <w:rPr>
          <w:rFonts w:eastAsia="SimSun" w:hint="eastAsia"/>
          <w:kern w:val="22"/>
          <w:sz w:val="24"/>
          <w:lang w:val="en-GB"/>
        </w:rPr>
        <w:t>确定并协助调动更多财务资源和技术援助，使区域和次区域支持中心能够尽快在各自次区域内启动支持方案和活动，以满足缔约方确定的能力需求和优先事项；</w:t>
      </w:r>
    </w:p>
    <w:p w14:paraId="7566507C" w14:textId="36F88496"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(c)</w:t>
      </w:r>
      <w:r w:rsidRPr="000C0842">
        <w:rPr>
          <w:rFonts w:eastAsia="SimSun"/>
          <w:kern w:val="22"/>
          <w:sz w:val="24"/>
          <w:lang w:val="en-GB"/>
        </w:rPr>
        <w:tab/>
      </w:r>
      <w:r w:rsidRPr="000C0842">
        <w:rPr>
          <w:rFonts w:eastAsia="SimSun" w:hint="eastAsia"/>
          <w:kern w:val="22"/>
          <w:sz w:val="24"/>
          <w:lang w:val="en-GB"/>
        </w:rPr>
        <w:t>根据缔约方大会和作为各项议定书缔约方会议的缔约方大会决定中关于为能力建设和发展活动、科技合作以及技术转让提供支持的相关请求，更新</w:t>
      </w:r>
      <w:hyperlink r:id="rId34" w:history="1">
        <w:r w:rsidRPr="000C0842">
          <w:rPr>
            <w:rStyle w:val="Hyperlink"/>
            <w:rFonts w:eastAsia="SimSun"/>
            <w:color w:val="auto"/>
            <w:kern w:val="22"/>
            <w:sz w:val="24"/>
            <w:lang w:val="en-GB"/>
          </w:rPr>
          <w:t>CBD/COP/16/INF/24</w:t>
        </w:r>
      </w:hyperlink>
      <w:r w:rsidRPr="000C0842">
        <w:rPr>
          <w:rFonts w:eastAsia="SimSun" w:hint="eastAsia"/>
          <w:kern w:val="22"/>
          <w:sz w:val="24"/>
          <w:lang w:val="en-GB"/>
        </w:rPr>
        <w:t>号文件，并将这些请求传达给区域和次区域支持中心以及全球协调实体；</w:t>
      </w:r>
    </w:p>
    <w:p w14:paraId="712AA253" w14:textId="12223B95"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(d)</w:t>
      </w:r>
      <w:r w:rsidRPr="000C0842">
        <w:rPr>
          <w:rFonts w:eastAsia="SimSun"/>
          <w:kern w:val="22"/>
          <w:sz w:val="24"/>
          <w:lang w:val="en-GB"/>
        </w:rPr>
        <w:tab/>
      </w:r>
      <w:r w:rsidRPr="000C0842">
        <w:rPr>
          <w:rFonts w:eastAsia="SimSun" w:hint="eastAsia"/>
          <w:kern w:val="22"/>
          <w:sz w:val="24"/>
          <w:lang w:val="en-GB"/>
        </w:rPr>
        <w:t>与科技合作问题非正式咨询小组合作并按照</w:t>
      </w:r>
      <w:r w:rsidRPr="000C0842">
        <w:rPr>
          <w:rFonts w:eastAsia="SimSun"/>
          <w:kern w:val="22"/>
          <w:sz w:val="24"/>
          <w:lang w:val="en-GB"/>
        </w:rPr>
        <w:t xml:space="preserve"> </w:t>
      </w:r>
      <w:hyperlink r:id="rId35" w:history="1">
        <w:r w:rsidRPr="000C0842">
          <w:rPr>
            <w:rStyle w:val="Hyperlink"/>
            <w:rFonts w:eastAsia="SimSun"/>
            <w:color w:val="auto"/>
            <w:kern w:val="22"/>
            <w:sz w:val="24"/>
            <w:lang w:val="en-GB"/>
          </w:rPr>
          <w:t>CBD/TSC/IAG/2024/1/2</w:t>
        </w:r>
      </w:hyperlink>
      <w:r w:rsidRPr="000C0842">
        <w:rPr>
          <w:rFonts w:eastAsia="SimSun" w:hint="eastAsia"/>
          <w:kern w:val="22"/>
          <w:sz w:val="24"/>
          <w:lang w:val="en-GB"/>
        </w:rPr>
        <w:t>号文件中概述的指标，制订评估区域和次区域支持中心及全球协调实体业绩的标准；</w:t>
      </w:r>
    </w:p>
    <w:p w14:paraId="0BA23EF8" w14:textId="77777777" w:rsidR="00175F49" w:rsidRPr="000C0842" w:rsidRDefault="00175F49" w:rsidP="00175F49">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ind w:left="490" w:firstLine="490"/>
        <w:rPr>
          <w:rFonts w:eastAsia="SimSun"/>
          <w:kern w:val="22"/>
          <w:sz w:val="24"/>
          <w:lang w:val="en-GB"/>
        </w:rPr>
      </w:pPr>
      <w:r w:rsidRPr="000C0842">
        <w:rPr>
          <w:rFonts w:eastAsia="SimSun" w:hint="eastAsia"/>
          <w:kern w:val="22"/>
          <w:sz w:val="24"/>
          <w:lang w:val="en-GB"/>
        </w:rPr>
        <w:t>(e)</w:t>
      </w:r>
      <w:r w:rsidRPr="000C0842">
        <w:rPr>
          <w:rFonts w:eastAsia="SimSun"/>
          <w:kern w:val="22"/>
          <w:sz w:val="24"/>
          <w:lang w:val="en-GB"/>
        </w:rPr>
        <w:tab/>
      </w:r>
      <w:r w:rsidRPr="000C0842">
        <w:rPr>
          <w:rFonts w:eastAsia="SimSun" w:hint="eastAsia"/>
          <w:kern w:val="22"/>
          <w:sz w:val="24"/>
          <w:lang w:val="en-GB"/>
        </w:rPr>
        <w:t>依据区域和次区域支持中心和全球协调实体的年度活动报告编写进度报告，包括区域和次区域支持中心的运作情况，供执行问题附属机构在缔约方大会第十七届会议之前举行的一次会议和缔约方大会第十七届会议审议。</w:t>
      </w:r>
    </w:p>
    <w:p w14:paraId="103F1DD1" w14:textId="77777777" w:rsidR="00175F49" w:rsidRPr="000C0842" w:rsidRDefault="00175F49" w:rsidP="00175F49">
      <w:pPr>
        <w:keepNext/>
        <w:tabs>
          <w:tab w:val="clear" w:pos="567"/>
          <w:tab w:val="clear" w:pos="1134"/>
          <w:tab w:val="clear" w:pos="1701"/>
          <w:tab w:val="clear" w:pos="2268"/>
        </w:tabs>
        <w:spacing w:before="240"/>
        <w:ind w:left="490"/>
        <w:rPr>
          <w:rFonts w:ascii="SimSun" w:eastAsia="SimSun" w:hAnsi="SimSun"/>
          <w:b/>
          <w:bCs/>
          <w:kern w:val="22"/>
          <w:sz w:val="24"/>
          <w:szCs w:val="24"/>
        </w:rPr>
      </w:pPr>
      <w:r w:rsidRPr="000C0842">
        <w:rPr>
          <w:rFonts w:ascii="SimSun" w:eastAsia="SimSun" w:hAnsi="SimSun" w:hint="eastAsia"/>
          <w:b/>
          <w:bCs/>
          <w:kern w:val="22"/>
          <w:sz w:val="24"/>
          <w:szCs w:val="24"/>
          <w:lang w:val="en-GB"/>
        </w:rPr>
        <w:t>附件一</w:t>
      </w:r>
    </w:p>
    <w:p w14:paraId="60679272" w14:textId="77777777" w:rsidR="00175F49" w:rsidRPr="000C0842" w:rsidRDefault="00175F49" w:rsidP="00175F49">
      <w:pPr>
        <w:keepNext/>
        <w:tabs>
          <w:tab w:val="clear" w:pos="567"/>
          <w:tab w:val="clear" w:pos="1134"/>
          <w:tab w:val="clear" w:pos="1701"/>
          <w:tab w:val="clear" w:pos="2268"/>
        </w:tabs>
        <w:ind w:left="490"/>
        <w:rPr>
          <w:rFonts w:ascii="SimSun" w:eastAsia="SimSun" w:hAnsi="SimSun"/>
          <w:b/>
          <w:bCs/>
          <w:kern w:val="22"/>
          <w:sz w:val="24"/>
          <w:szCs w:val="24"/>
          <w:lang w:val="en-CA"/>
        </w:rPr>
      </w:pPr>
      <w:r w:rsidRPr="000C0842">
        <w:rPr>
          <w:rFonts w:ascii="SimSun" w:eastAsia="SimSun" w:hAnsi="SimSun"/>
          <w:b/>
          <w:bCs/>
          <w:kern w:val="22"/>
          <w:sz w:val="24"/>
          <w:szCs w:val="24"/>
          <w:lang w:val="en-CA"/>
        </w:rPr>
        <w:t>选定主办区域和次区域科技合作</w:t>
      </w:r>
      <w:r w:rsidRPr="000C0842">
        <w:rPr>
          <w:rFonts w:ascii="SimSun" w:eastAsia="SimSun" w:hAnsi="SimSun" w:hint="eastAsia"/>
          <w:b/>
          <w:bCs/>
          <w:kern w:val="22"/>
          <w:sz w:val="24"/>
          <w:szCs w:val="24"/>
          <w:lang w:val="en-CA"/>
        </w:rPr>
        <w:t>支持中心</w:t>
      </w:r>
      <w:r w:rsidRPr="000C0842">
        <w:rPr>
          <w:rFonts w:ascii="SimSun" w:eastAsia="SimSun" w:hAnsi="SimSun"/>
          <w:b/>
          <w:bCs/>
          <w:kern w:val="22"/>
          <w:sz w:val="24"/>
          <w:szCs w:val="24"/>
          <w:lang w:val="en-CA"/>
        </w:rPr>
        <w:t>的实体和组织</w:t>
      </w:r>
    </w:p>
    <w:p w14:paraId="006A101C" w14:textId="77777777" w:rsidR="00175F49" w:rsidRPr="000C0842" w:rsidRDefault="00175F49" w:rsidP="00175F49">
      <w:pPr>
        <w:tabs>
          <w:tab w:val="clear" w:pos="567"/>
          <w:tab w:val="clear" w:pos="1134"/>
          <w:tab w:val="clear" w:pos="1701"/>
          <w:tab w:val="clear" w:pos="2268"/>
        </w:tabs>
        <w:spacing w:before="120" w:after="120"/>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en-GB"/>
        </w:rPr>
        <w:t>非洲</w:t>
      </w:r>
      <w:r w:rsidRPr="000C0842">
        <w:rPr>
          <w:rFonts w:ascii="SimSun" w:eastAsia="SimSun" w:hAnsi="SimSun"/>
          <w:b/>
          <w:bCs/>
          <w:kern w:val="22"/>
          <w:sz w:val="24"/>
          <w:szCs w:val="24"/>
          <w:lang w:val="en-GB"/>
        </w:rPr>
        <w:t xml:space="preserve"> </w:t>
      </w:r>
    </w:p>
    <w:p w14:paraId="7FF8BCD6"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rPr>
      </w:pPr>
      <w:r w:rsidRPr="000C0842">
        <w:rPr>
          <w:rFonts w:ascii="SimSun" w:eastAsia="SimSun" w:hAnsi="SimSun" w:cs="SimSun" w:hint="eastAsia"/>
          <w:sz w:val="24"/>
          <w:szCs w:val="24"/>
          <w:shd w:val="clear" w:color="auto" w:fill="FFFFFF"/>
          <w:lang w:val="en-CA"/>
        </w:rPr>
        <w:t>中部非洲森林委员会</w:t>
      </w:r>
      <w:r w:rsidRPr="000C0842">
        <w:rPr>
          <w:rFonts w:ascii="Arial" w:eastAsia="Times New Roman" w:hAnsi="Arial" w:cs="Arial"/>
          <w:sz w:val="24"/>
          <w:szCs w:val="24"/>
          <w:shd w:val="clear" w:color="auto" w:fill="FFFFFF"/>
          <w:lang w:val="en-CA"/>
        </w:rPr>
        <w:t xml:space="preserve"> </w:t>
      </w:r>
    </w:p>
    <w:p w14:paraId="04716691"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生态监测中心</w:t>
      </w:r>
      <w:r w:rsidRPr="000C0842">
        <w:rPr>
          <w:rFonts w:ascii="SimSun" w:eastAsia="SimSun" w:hAnsi="SimSun" w:cs="SimSun"/>
          <w:sz w:val="24"/>
          <w:szCs w:val="24"/>
          <w:shd w:val="clear" w:color="auto" w:fill="FFFFFF"/>
          <w:lang w:val="en-CA"/>
        </w:rPr>
        <w:t xml:space="preserve"> </w:t>
      </w:r>
    </w:p>
    <w:p w14:paraId="0D787E1A"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区域发展资源测绘中心</w:t>
      </w:r>
      <w:r w:rsidRPr="000C0842">
        <w:rPr>
          <w:rFonts w:ascii="SimSun" w:eastAsia="SimSun" w:hAnsi="SimSun" w:cs="SimSun"/>
          <w:sz w:val="24"/>
          <w:szCs w:val="24"/>
          <w:shd w:val="clear" w:color="auto" w:fill="FFFFFF"/>
          <w:lang w:val="en-CA"/>
        </w:rPr>
        <w:t xml:space="preserve"> </w:t>
      </w:r>
    </w:p>
    <w:p w14:paraId="628A727A"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撒哈拉和萨赫勒</w:t>
      </w:r>
      <w:r w:rsidRPr="000C0842">
        <w:rPr>
          <w:rFonts w:ascii="SimSun" w:eastAsia="SimSun" w:hAnsi="SimSun" w:cs="SimSun" w:hint="eastAsia"/>
          <w:sz w:val="24"/>
          <w:szCs w:val="24"/>
          <w:shd w:val="clear" w:color="auto" w:fill="FFFFFF"/>
        </w:rPr>
        <w:t>观测站</w:t>
      </w:r>
      <w:r w:rsidRPr="000C0842">
        <w:rPr>
          <w:rFonts w:ascii="SimSun" w:eastAsia="SimSun" w:hAnsi="SimSun" w:cs="SimSun"/>
          <w:sz w:val="24"/>
          <w:szCs w:val="24"/>
          <w:shd w:val="clear" w:color="auto" w:fill="FFFFFF"/>
          <w:lang w:val="en-CA"/>
        </w:rPr>
        <w:t xml:space="preserve"> </w:t>
      </w:r>
    </w:p>
    <w:p w14:paraId="745693A6"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rPr>
      </w:pPr>
      <w:r w:rsidRPr="000C0842">
        <w:rPr>
          <w:rFonts w:ascii="SimSun" w:eastAsia="SimSun" w:hAnsi="SimSun" w:cs="SimSun" w:hint="eastAsia"/>
          <w:sz w:val="24"/>
          <w:szCs w:val="24"/>
          <w:shd w:val="clear" w:color="auto" w:fill="FFFFFF"/>
          <w:lang w:val="en-CA"/>
        </w:rPr>
        <w:t>南非国家生物多样性研究所</w:t>
      </w:r>
      <w:r w:rsidRPr="000C0842">
        <w:rPr>
          <w:rFonts w:ascii="Arial" w:eastAsia="Times New Roman" w:hAnsi="Arial" w:cs="Arial"/>
          <w:sz w:val="24"/>
          <w:szCs w:val="24"/>
          <w:shd w:val="clear" w:color="auto" w:fill="FFFFFF"/>
          <w:lang w:val="en-CA"/>
        </w:rPr>
        <w:t xml:space="preserve"> </w:t>
      </w:r>
    </w:p>
    <w:p w14:paraId="386B45A2" w14:textId="77777777" w:rsidR="00175F49" w:rsidRPr="000C0842" w:rsidRDefault="00175F49" w:rsidP="00175F49">
      <w:pPr>
        <w:tabs>
          <w:tab w:val="clear" w:pos="567"/>
          <w:tab w:val="clear" w:pos="1134"/>
          <w:tab w:val="clear" w:pos="1701"/>
          <w:tab w:val="clear" w:pos="2268"/>
        </w:tabs>
        <w:spacing w:before="120" w:after="120"/>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en-GB"/>
        </w:rPr>
        <w:t>美洲</w:t>
      </w:r>
      <w:r w:rsidRPr="000C0842">
        <w:rPr>
          <w:rFonts w:ascii="SimSun" w:eastAsia="SimSun" w:hAnsi="SimSun"/>
          <w:b/>
          <w:bCs/>
          <w:kern w:val="22"/>
          <w:sz w:val="24"/>
          <w:szCs w:val="24"/>
          <w:lang w:val="en-GB"/>
        </w:rPr>
        <w:t xml:space="preserve"> </w:t>
      </w:r>
    </w:p>
    <w:p w14:paraId="065B3B49"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亚历山大</w:t>
      </w:r>
      <w:r w:rsidRPr="000C0842">
        <w:rPr>
          <w:rFonts w:ascii="Arial" w:eastAsia="Times New Roman" w:hAnsi="Arial" w:cs="Arial"/>
          <w:sz w:val="24"/>
          <w:szCs w:val="24"/>
          <w:shd w:val="clear" w:color="auto" w:fill="FFFFFF"/>
          <w:lang w:val="en-CA"/>
        </w:rPr>
        <w:t>·</w:t>
      </w:r>
      <w:r w:rsidRPr="000C0842">
        <w:rPr>
          <w:rFonts w:ascii="SimSun" w:eastAsia="SimSun" w:hAnsi="SimSun" w:cs="SimSun" w:hint="eastAsia"/>
          <w:sz w:val="24"/>
          <w:szCs w:val="24"/>
          <w:shd w:val="clear" w:color="auto" w:fill="FFFFFF"/>
          <w:lang w:val="en-CA"/>
        </w:rPr>
        <w:t>冯</w:t>
      </w:r>
      <w:r w:rsidRPr="000C0842">
        <w:rPr>
          <w:rFonts w:ascii="Arial" w:eastAsia="Times New Roman" w:hAnsi="Arial" w:cs="Arial"/>
          <w:sz w:val="24"/>
          <w:szCs w:val="24"/>
          <w:shd w:val="clear" w:color="auto" w:fill="FFFFFF"/>
          <w:lang w:val="en-CA"/>
        </w:rPr>
        <w:t>·</w:t>
      </w:r>
      <w:r w:rsidRPr="000C0842">
        <w:rPr>
          <w:rFonts w:ascii="SimSun" w:eastAsia="SimSun" w:hAnsi="SimSun" w:cs="SimSun" w:hint="eastAsia"/>
          <w:sz w:val="24"/>
          <w:szCs w:val="24"/>
          <w:shd w:val="clear" w:color="auto" w:fill="FFFFFF"/>
          <w:lang w:val="en-CA"/>
        </w:rPr>
        <w:t>洪堡生物资源研究所</w:t>
      </w:r>
      <w:r w:rsidRPr="000C0842">
        <w:rPr>
          <w:rFonts w:ascii="SimSun" w:eastAsia="SimSun" w:hAnsi="SimSun" w:cs="SimSun"/>
          <w:sz w:val="24"/>
          <w:szCs w:val="24"/>
          <w:shd w:val="clear" w:color="auto" w:fill="FFFFFF"/>
          <w:lang w:val="en-CA"/>
        </w:rPr>
        <w:t xml:space="preserve"> </w:t>
      </w:r>
    </w:p>
    <w:p w14:paraId="74FE146A"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加勒比共同体</w:t>
      </w:r>
      <w:r w:rsidRPr="000C0842">
        <w:rPr>
          <w:rFonts w:ascii="SimSun" w:eastAsia="SimSun" w:hAnsi="SimSun" w:cs="SimSun"/>
          <w:sz w:val="24"/>
          <w:szCs w:val="24"/>
          <w:shd w:val="clear" w:color="auto" w:fill="FFFFFF"/>
          <w:lang w:val="en-CA"/>
        </w:rPr>
        <w:t xml:space="preserve"> </w:t>
      </w:r>
    </w:p>
    <w:p w14:paraId="52622FDA"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rPr>
      </w:pPr>
      <w:r w:rsidRPr="000C0842">
        <w:rPr>
          <w:rFonts w:ascii="SimSun" w:eastAsia="SimSun" w:hAnsi="SimSun" w:cs="SimSun" w:hint="eastAsia"/>
          <w:sz w:val="24"/>
          <w:szCs w:val="24"/>
          <w:shd w:val="clear" w:color="auto" w:fill="FFFFFF"/>
          <w:lang w:val="en-CA"/>
        </w:rPr>
        <w:t>中美洲环境与发展委员会</w:t>
      </w:r>
      <w:r w:rsidRPr="000C0842">
        <w:rPr>
          <w:rFonts w:ascii="Arial" w:eastAsia="Times New Roman" w:hAnsi="Arial" w:cs="Arial"/>
          <w:sz w:val="24"/>
          <w:szCs w:val="24"/>
          <w:shd w:val="clear" w:color="auto" w:fill="FFFFFF"/>
          <w:lang w:val="en-CA"/>
        </w:rPr>
        <w:t xml:space="preserve"> </w:t>
      </w:r>
    </w:p>
    <w:p w14:paraId="1BD29617" w14:textId="77777777" w:rsidR="00175F49" w:rsidRPr="000C0842" w:rsidRDefault="00175F49" w:rsidP="00175F49">
      <w:pPr>
        <w:tabs>
          <w:tab w:val="clear" w:pos="567"/>
          <w:tab w:val="clear" w:pos="1134"/>
          <w:tab w:val="clear" w:pos="1701"/>
          <w:tab w:val="clear" w:pos="2268"/>
        </w:tabs>
        <w:spacing w:before="120" w:after="120"/>
        <w:ind w:left="490"/>
        <w:rPr>
          <w:rFonts w:ascii="Arial" w:eastAsia="Times New Roman" w:hAnsi="Arial" w:cs="Arial"/>
          <w:sz w:val="24"/>
          <w:szCs w:val="24"/>
          <w:shd w:val="clear" w:color="auto" w:fill="FFFFFF"/>
          <w:lang w:val="en-GB"/>
        </w:rPr>
      </w:pPr>
      <w:r w:rsidRPr="000C0842">
        <w:rPr>
          <w:rFonts w:ascii="SimSun" w:eastAsia="SimSun" w:hAnsi="SimSun" w:hint="eastAsia"/>
          <w:b/>
          <w:bCs/>
          <w:kern w:val="22"/>
          <w:sz w:val="24"/>
          <w:szCs w:val="24"/>
          <w:lang w:val="en-GB"/>
        </w:rPr>
        <w:t>亚洲</w:t>
      </w:r>
      <w:r w:rsidRPr="000C0842">
        <w:rPr>
          <w:rFonts w:ascii="Arial" w:eastAsia="Times New Roman" w:hAnsi="Arial" w:cs="Arial"/>
          <w:sz w:val="24"/>
          <w:szCs w:val="24"/>
          <w:shd w:val="clear" w:color="auto" w:fill="FFFFFF"/>
          <w:lang w:val="en-GB"/>
        </w:rPr>
        <w:t xml:space="preserve"> </w:t>
      </w:r>
    </w:p>
    <w:p w14:paraId="78D4A64D"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东盟生物多样性中心</w:t>
      </w:r>
      <w:r w:rsidRPr="000C0842">
        <w:rPr>
          <w:rFonts w:ascii="SimSun" w:eastAsia="SimSun" w:hAnsi="SimSun" w:cs="SimSun"/>
          <w:sz w:val="24"/>
          <w:szCs w:val="24"/>
          <w:shd w:val="clear" w:color="auto" w:fill="FFFFFF"/>
          <w:lang w:val="en-CA"/>
        </w:rPr>
        <w:t xml:space="preserve"> </w:t>
      </w:r>
    </w:p>
    <w:p w14:paraId="10FCCFC9"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国际自然保护联盟亚洲区域办事处</w:t>
      </w:r>
      <w:r w:rsidRPr="000C0842">
        <w:rPr>
          <w:rFonts w:ascii="SimSun" w:eastAsia="SimSun" w:hAnsi="SimSun" w:cs="SimSun"/>
          <w:sz w:val="24"/>
          <w:szCs w:val="24"/>
          <w:shd w:val="clear" w:color="auto" w:fill="FFFFFF"/>
          <w:lang w:val="en-CA"/>
        </w:rPr>
        <w:t xml:space="preserve"> </w:t>
      </w:r>
    </w:p>
    <w:p w14:paraId="4DBC1694"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国际自然保护联盟西亚区域办事处</w:t>
      </w:r>
      <w:r w:rsidRPr="000C0842">
        <w:rPr>
          <w:rFonts w:ascii="SimSun" w:eastAsia="SimSun" w:hAnsi="SimSun" w:cs="SimSun"/>
          <w:sz w:val="24"/>
          <w:szCs w:val="24"/>
          <w:shd w:val="clear" w:color="auto" w:fill="FFFFFF"/>
          <w:lang w:val="en-CA"/>
        </w:rPr>
        <w:t xml:space="preserve"> </w:t>
      </w:r>
    </w:p>
    <w:p w14:paraId="43BB0D53"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南京环境科学研究所</w:t>
      </w:r>
      <w:r w:rsidRPr="000C0842">
        <w:rPr>
          <w:rFonts w:ascii="SimSun" w:eastAsia="SimSun" w:hAnsi="SimSun" w:cs="SimSun"/>
          <w:sz w:val="24"/>
          <w:szCs w:val="24"/>
          <w:shd w:val="clear" w:color="auto" w:fill="FFFFFF"/>
          <w:lang w:val="en-CA"/>
        </w:rPr>
        <w:t xml:space="preserve"> </w:t>
      </w:r>
    </w:p>
    <w:p w14:paraId="79FAEFA8"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rPr>
      </w:pPr>
      <w:r w:rsidRPr="000C0842">
        <w:rPr>
          <w:rFonts w:ascii="SimSun" w:eastAsia="SimSun" w:hAnsi="SimSun" w:cs="SimSun" w:hint="eastAsia"/>
          <w:sz w:val="24"/>
          <w:szCs w:val="24"/>
          <w:shd w:val="clear" w:color="auto" w:fill="FFFFFF"/>
          <w:lang w:val="en-CA"/>
        </w:rPr>
        <w:t>中亚区域环境中心</w:t>
      </w:r>
      <w:r w:rsidRPr="000C0842">
        <w:rPr>
          <w:rFonts w:ascii="Arial" w:eastAsia="Times New Roman" w:hAnsi="Arial" w:cs="Arial"/>
          <w:sz w:val="24"/>
          <w:szCs w:val="24"/>
          <w:shd w:val="clear" w:color="auto" w:fill="FFFFFF"/>
          <w:lang w:val="en-CA"/>
        </w:rPr>
        <w:t xml:space="preserve"> </w:t>
      </w:r>
    </w:p>
    <w:p w14:paraId="2AC8FD50" w14:textId="77777777" w:rsidR="00175F49" w:rsidRPr="000C0842" w:rsidRDefault="00175F49" w:rsidP="00175F49">
      <w:pPr>
        <w:tabs>
          <w:tab w:val="clear" w:pos="567"/>
          <w:tab w:val="clear" w:pos="1134"/>
          <w:tab w:val="clear" w:pos="1701"/>
          <w:tab w:val="clear" w:pos="2268"/>
        </w:tabs>
        <w:spacing w:before="120" w:after="120"/>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en-GB"/>
        </w:rPr>
        <w:t>欧洲</w:t>
      </w:r>
      <w:r w:rsidRPr="000C0842">
        <w:rPr>
          <w:rFonts w:ascii="SimSun" w:eastAsia="SimSun" w:hAnsi="SimSun"/>
          <w:b/>
          <w:bCs/>
          <w:kern w:val="22"/>
          <w:sz w:val="24"/>
          <w:szCs w:val="24"/>
          <w:lang w:val="en-GB"/>
        </w:rPr>
        <w:t xml:space="preserve"> </w:t>
      </w:r>
    </w:p>
    <w:p w14:paraId="7BAAB482"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Arial" w:eastAsia="Times New Roman" w:hAnsi="Arial" w:cs="Arial"/>
          <w:sz w:val="24"/>
          <w:szCs w:val="24"/>
          <w:shd w:val="clear" w:color="auto" w:fill="FFFFFF"/>
          <w:lang w:val="en-CA"/>
        </w:rPr>
      </w:pPr>
      <w:r w:rsidRPr="000C0842">
        <w:rPr>
          <w:rFonts w:ascii="SimSun" w:eastAsia="SimSun" w:hAnsi="SimSun" w:cs="SimSun" w:hint="eastAsia"/>
          <w:sz w:val="24"/>
          <w:szCs w:val="24"/>
          <w:shd w:val="clear" w:color="auto" w:fill="FFFFFF"/>
          <w:lang w:val="en-CA"/>
        </w:rPr>
        <w:t>欧洲联盟委员会联合研究中心</w:t>
      </w:r>
      <w:r w:rsidRPr="000C0842">
        <w:rPr>
          <w:rFonts w:ascii="Arial" w:eastAsia="Times New Roman" w:hAnsi="Arial" w:cs="Arial"/>
          <w:sz w:val="24"/>
          <w:szCs w:val="24"/>
          <w:shd w:val="clear" w:color="auto" w:fill="FFFFFF"/>
          <w:lang w:val="en-CA"/>
        </w:rPr>
        <w:t xml:space="preserve"> </w:t>
      </w:r>
    </w:p>
    <w:p w14:paraId="5EDBE63F"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国际自然保护联盟地中海合作中心</w:t>
      </w:r>
      <w:r w:rsidRPr="000C0842">
        <w:rPr>
          <w:rFonts w:ascii="SimSun" w:eastAsia="SimSun" w:hAnsi="SimSun" w:cs="SimSun"/>
          <w:sz w:val="24"/>
          <w:szCs w:val="24"/>
          <w:shd w:val="clear" w:color="auto" w:fill="FFFFFF"/>
          <w:lang w:val="en-CA"/>
        </w:rPr>
        <w:t xml:space="preserve"> </w:t>
      </w:r>
    </w:p>
    <w:p w14:paraId="351CE504"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lang w:val="en-CA"/>
        </w:rPr>
      </w:pPr>
      <w:r w:rsidRPr="000C0842">
        <w:rPr>
          <w:rFonts w:ascii="SimSun" w:eastAsia="SimSun" w:hAnsi="SimSun" w:cs="SimSun" w:hint="eastAsia"/>
          <w:sz w:val="24"/>
          <w:szCs w:val="24"/>
          <w:shd w:val="clear" w:color="auto" w:fill="FFFFFF"/>
          <w:lang w:val="en-CA"/>
        </w:rPr>
        <w:t>国际自然保护联盟东欧和中亚区域办事处</w:t>
      </w:r>
      <w:r w:rsidRPr="000C0842">
        <w:rPr>
          <w:rFonts w:ascii="SimSun" w:eastAsia="SimSun" w:hAnsi="SimSun" w:cs="SimSun"/>
          <w:sz w:val="24"/>
          <w:szCs w:val="24"/>
          <w:shd w:val="clear" w:color="auto" w:fill="FFFFFF"/>
          <w:lang w:val="en-CA"/>
        </w:rPr>
        <w:t xml:space="preserve"> </w:t>
      </w:r>
    </w:p>
    <w:p w14:paraId="308A9409"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rPr>
      </w:pPr>
      <w:r w:rsidRPr="000C0842">
        <w:rPr>
          <w:rFonts w:ascii="SimSun" w:eastAsia="SimSun" w:hAnsi="SimSun" w:cs="SimSun" w:hint="eastAsia"/>
          <w:sz w:val="24"/>
          <w:szCs w:val="24"/>
          <w:shd w:val="clear" w:color="auto" w:fill="FFFFFF"/>
          <w:lang w:val="en-CA"/>
        </w:rPr>
        <w:t>比利时皇家自然科学学院</w:t>
      </w:r>
    </w:p>
    <w:p w14:paraId="4F5DDEFB" w14:textId="77777777" w:rsidR="00175F49" w:rsidRPr="000C0842" w:rsidRDefault="00175F49" w:rsidP="00175F49">
      <w:pPr>
        <w:tabs>
          <w:tab w:val="clear" w:pos="567"/>
          <w:tab w:val="clear" w:pos="1134"/>
          <w:tab w:val="clear" w:pos="1701"/>
          <w:tab w:val="clear" w:pos="2268"/>
        </w:tabs>
        <w:spacing w:before="120" w:after="120"/>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en-GB"/>
        </w:rPr>
        <w:t>大洋洲</w:t>
      </w:r>
      <w:r w:rsidRPr="000C0842">
        <w:rPr>
          <w:rFonts w:ascii="SimSun" w:eastAsia="SimSun" w:hAnsi="SimSun"/>
          <w:b/>
          <w:bCs/>
          <w:kern w:val="22"/>
          <w:sz w:val="24"/>
          <w:szCs w:val="24"/>
          <w:lang w:val="en-GB"/>
        </w:rPr>
        <w:t xml:space="preserve"> </w:t>
      </w:r>
    </w:p>
    <w:p w14:paraId="5F40287C" w14:textId="77777777" w:rsidR="00175F49" w:rsidRPr="000C0842" w:rsidRDefault="00175F49">
      <w:pPr>
        <w:numPr>
          <w:ilvl w:val="0"/>
          <w:numId w:val="227"/>
        </w:numPr>
        <w:tabs>
          <w:tab w:val="clear" w:pos="567"/>
          <w:tab w:val="clear" w:pos="1134"/>
          <w:tab w:val="clear" w:pos="1701"/>
          <w:tab w:val="clear" w:pos="2268"/>
        </w:tabs>
        <w:spacing w:before="120" w:after="120"/>
        <w:contextualSpacing/>
        <w:jc w:val="left"/>
        <w:rPr>
          <w:rFonts w:ascii="SimSun" w:eastAsia="SimSun" w:hAnsi="SimSun" w:cs="SimSun"/>
          <w:sz w:val="24"/>
          <w:szCs w:val="24"/>
          <w:shd w:val="clear" w:color="auto" w:fill="FFFFFF"/>
        </w:rPr>
      </w:pPr>
      <w:r w:rsidRPr="000C0842">
        <w:rPr>
          <w:rFonts w:ascii="SimSun" w:eastAsia="SimSun" w:hAnsi="SimSun" w:cs="SimSun" w:hint="eastAsia"/>
          <w:sz w:val="24"/>
          <w:szCs w:val="24"/>
          <w:shd w:val="clear" w:color="auto" w:fill="FFFFFF"/>
          <w:lang w:val="en-CA"/>
        </w:rPr>
        <w:t>太平洋区域环境方案秘书处</w:t>
      </w:r>
    </w:p>
    <w:p w14:paraId="22280DDC" w14:textId="77777777" w:rsidR="00175F49" w:rsidRPr="000C0842" w:rsidRDefault="00175F49" w:rsidP="00F616A3">
      <w:pPr>
        <w:tabs>
          <w:tab w:val="clear" w:pos="567"/>
          <w:tab w:val="clear" w:pos="1134"/>
          <w:tab w:val="clear" w:pos="1701"/>
          <w:tab w:val="clear" w:pos="2268"/>
        </w:tabs>
        <w:spacing w:before="240"/>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zh-CN"/>
        </w:rPr>
        <w:t>附件二</w:t>
      </w:r>
    </w:p>
    <w:p w14:paraId="75A86BBD" w14:textId="77777777" w:rsidR="00175F49" w:rsidRPr="000C0842" w:rsidRDefault="00175F49" w:rsidP="00175F49">
      <w:pPr>
        <w:tabs>
          <w:tab w:val="clear" w:pos="567"/>
          <w:tab w:val="clear" w:pos="1134"/>
          <w:tab w:val="clear" w:pos="1701"/>
          <w:tab w:val="clear" w:pos="2268"/>
        </w:tabs>
        <w:ind w:left="490"/>
        <w:rPr>
          <w:rFonts w:ascii="SimSun" w:eastAsia="SimSun" w:hAnsi="SimSun"/>
          <w:b/>
          <w:bCs/>
          <w:kern w:val="22"/>
          <w:sz w:val="24"/>
          <w:szCs w:val="24"/>
          <w:lang w:val="en-GB"/>
        </w:rPr>
      </w:pPr>
      <w:r w:rsidRPr="000C0842">
        <w:rPr>
          <w:rFonts w:ascii="SimSun" w:eastAsia="SimSun" w:hAnsi="SimSun" w:hint="eastAsia"/>
          <w:b/>
          <w:bCs/>
          <w:kern w:val="22"/>
          <w:sz w:val="24"/>
          <w:szCs w:val="24"/>
          <w:lang w:val="zh-CN"/>
        </w:rPr>
        <w:t>科技合作机制的全球协调实体的运作模式</w:t>
      </w:r>
    </w:p>
    <w:p w14:paraId="593A220D" w14:textId="77777777" w:rsidR="00175F49" w:rsidRPr="000C0842" w:rsidRDefault="00175F49">
      <w:pPr>
        <w:numPr>
          <w:ilvl w:val="0"/>
          <w:numId w:val="20"/>
        </w:numPr>
        <w:tabs>
          <w:tab w:val="clear" w:pos="567"/>
          <w:tab w:val="clear" w:pos="1134"/>
          <w:tab w:val="clear" w:pos="1701"/>
          <w:tab w:val="clear" w:pos="2268"/>
        </w:tabs>
        <w:spacing w:before="120" w:after="120"/>
        <w:ind w:left="490" w:firstLine="0"/>
        <w:rPr>
          <w:rFonts w:eastAsia="SimSun"/>
          <w:kern w:val="22"/>
          <w:sz w:val="24"/>
          <w:szCs w:val="24"/>
          <w:lang w:val="en-GB"/>
        </w:rPr>
      </w:pPr>
      <w:r w:rsidRPr="000C0842">
        <w:rPr>
          <w:rFonts w:eastAsia="SimSun"/>
          <w:kern w:val="22"/>
          <w:sz w:val="24"/>
          <w:szCs w:val="24"/>
          <w:lang w:val="zh-CN"/>
        </w:rPr>
        <w:t>依照第</w:t>
      </w:r>
      <w:hyperlink r:id="rId36" w:history="1">
        <w:r w:rsidRPr="000C0842">
          <w:rPr>
            <w:rFonts w:eastAsia="SimSun"/>
            <w:kern w:val="22"/>
            <w:sz w:val="24"/>
            <w:szCs w:val="24"/>
            <w:u w:val="single"/>
            <w:lang w:val="en-GB"/>
          </w:rPr>
          <w:t>15/8</w:t>
        </w:r>
      </w:hyperlink>
      <w:r w:rsidRPr="000C0842">
        <w:rPr>
          <w:rFonts w:eastAsia="SimSun"/>
          <w:kern w:val="22"/>
          <w:sz w:val="24"/>
          <w:szCs w:val="24"/>
          <w:lang w:val="zh-CN"/>
        </w:rPr>
        <w:t>号决定第</w:t>
      </w:r>
      <w:r w:rsidRPr="000C0842">
        <w:rPr>
          <w:rFonts w:eastAsia="SimSun"/>
          <w:kern w:val="22"/>
          <w:sz w:val="24"/>
          <w:szCs w:val="24"/>
          <w:lang w:val="en-GB"/>
        </w:rPr>
        <w:t>27</w:t>
      </w:r>
      <w:r w:rsidRPr="000C0842">
        <w:rPr>
          <w:rFonts w:eastAsia="SimSun"/>
          <w:kern w:val="22"/>
          <w:sz w:val="24"/>
          <w:szCs w:val="24"/>
          <w:lang w:val="zh-CN"/>
        </w:rPr>
        <w:t>段的规定</w:t>
      </w:r>
      <w:r w:rsidRPr="000C0842">
        <w:rPr>
          <w:rFonts w:eastAsia="SimSun"/>
          <w:kern w:val="22"/>
          <w:sz w:val="24"/>
          <w:szCs w:val="24"/>
          <w:lang w:val="en-GB"/>
        </w:rPr>
        <w:t>，</w:t>
      </w:r>
      <w:r w:rsidRPr="000C0842">
        <w:rPr>
          <w:rFonts w:eastAsia="SimSun"/>
          <w:kern w:val="22"/>
          <w:sz w:val="24"/>
          <w:szCs w:val="24"/>
          <w:lang w:val="zh-CN"/>
        </w:rPr>
        <w:t>科技合作机制的全球协调实体将按照下述模式并依照该决定概述的</w:t>
      </w:r>
      <w:r w:rsidRPr="000C0842">
        <w:rPr>
          <w:rFonts w:eastAsia="SimSun" w:hint="eastAsia"/>
          <w:kern w:val="22"/>
          <w:sz w:val="24"/>
          <w:szCs w:val="24"/>
          <w:lang w:val="zh-CN"/>
        </w:rPr>
        <w:t>核心职能</w:t>
      </w:r>
      <w:r w:rsidRPr="000C0842">
        <w:rPr>
          <w:rFonts w:eastAsia="SimSun"/>
          <w:kern w:val="22"/>
          <w:sz w:val="24"/>
          <w:szCs w:val="24"/>
          <w:lang w:val="zh-CN"/>
        </w:rPr>
        <w:t>开展运作。实体将以透明和包容的方式支持查明科学、技术和创新能力差距，特别是发展中国家缔约方的差距，同时考虑到</w:t>
      </w:r>
      <w:r w:rsidRPr="000C0842">
        <w:rPr>
          <w:rFonts w:eastAsia="SimSun" w:hint="eastAsia"/>
          <w:kern w:val="22"/>
          <w:sz w:val="24"/>
          <w:szCs w:val="24"/>
          <w:lang w:val="zh-CN"/>
        </w:rPr>
        <w:t>各种</w:t>
      </w:r>
      <w:r w:rsidRPr="000C0842">
        <w:rPr>
          <w:rFonts w:eastAsia="SimSun"/>
          <w:kern w:val="22"/>
          <w:sz w:val="24"/>
          <w:szCs w:val="24"/>
          <w:lang w:val="zh-CN"/>
        </w:rPr>
        <w:t>区域观点。它还将在需求驱动的基础上促进缔约方之间，特别是</w:t>
      </w:r>
      <w:r w:rsidRPr="000C0842">
        <w:rPr>
          <w:rFonts w:eastAsia="SimSun" w:hint="eastAsia"/>
          <w:kern w:val="22"/>
          <w:sz w:val="24"/>
          <w:szCs w:val="24"/>
          <w:lang w:val="zh-CN"/>
        </w:rPr>
        <w:t>对</w:t>
      </w:r>
      <w:r w:rsidRPr="000C0842">
        <w:rPr>
          <w:rFonts w:eastAsia="SimSun"/>
          <w:kern w:val="22"/>
          <w:sz w:val="24"/>
          <w:szCs w:val="24"/>
          <w:lang w:val="zh-CN"/>
        </w:rPr>
        <w:t>发展中国家缔约方的科技合作和技术转让，以支持执行《</w:t>
      </w:r>
      <w:r w:rsidRPr="000C0842">
        <w:rPr>
          <w:rFonts w:eastAsia="SimSun" w:hint="eastAsia"/>
          <w:kern w:val="22"/>
          <w:sz w:val="24"/>
          <w:szCs w:val="24"/>
          <w:lang w:val="zh-CN"/>
        </w:rPr>
        <w:t>生物多样性</w:t>
      </w:r>
      <w:r w:rsidRPr="000C0842">
        <w:rPr>
          <w:rFonts w:eastAsia="SimSun"/>
          <w:kern w:val="22"/>
          <w:sz w:val="24"/>
          <w:szCs w:val="24"/>
          <w:lang w:val="zh-CN"/>
        </w:rPr>
        <w:t>公约》及其议定书和《昆明</w:t>
      </w:r>
      <w:r w:rsidRPr="000C0842">
        <w:rPr>
          <w:rFonts w:eastAsia="SimSun"/>
          <w:kern w:val="22"/>
          <w:sz w:val="24"/>
          <w:szCs w:val="24"/>
          <w:lang w:val="zh-CN"/>
        </w:rPr>
        <w:t>-</w:t>
      </w:r>
      <w:r w:rsidRPr="000C0842">
        <w:rPr>
          <w:rFonts w:eastAsia="SimSun"/>
          <w:kern w:val="22"/>
          <w:sz w:val="24"/>
          <w:szCs w:val="24"/>
          <w:lang w:val="zh-CN"/>
        </w:rPr>
        <w:t>蒙特利尔全球生物多样性框架》，包括通过联合研究方案和技术开发合资企业的方式。</w:t>
      </w:r>
      <w:r w:rsidRPr="000C0842">
        <w:rPr>
          <w:rFonts w:eastAsia="SimSun"/>
          <w:kern w:val="22"/>
          <w:sz w:val="24"/>
          <w:szCs w:val="24"/>
          <w:lang w:val="zh-CN"/>
        </w:rPr>
        <w:t xml:space="preserve"> </w:t>
      </w:r>
    </w:p>
    <w:p w14:paraId="2639383F"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一</w:t>
      </w:r>
      <w:r w:rsidRPr="000C0842">
        <w:rPr>
          <w:rFonts w:ascii="SimSun" w:eastAsia="SimSun" w:hAnsi="SimSun"/>
          <w:b/>
          <w:bCs/>
          <w:kern w:val="22"/>
          <w:sz w:val="24"/>
          <w:szCs w:val="24"/>
          <w:lang w:val="zh-CN"/>
        </w:rPr>
        <w:t>.</w:t>
      </w:r>
      <w:r w:rsidRPr="000C0842">
        <w:rPr>
          <w:rFonts w:ascii="SimSun" w:eastAsia="SimSun" w:hAnsi="SimSun"/>
          <w:b/>
          <w:bCs/>
          <w:kern w:val="22"/>
          <w:sz w:val="24"/>
          <w:szCs w:val="24"/>
          <w:lang w:val="zh-CN"/>
        </w:rPr>
        <w:tab/>
      </w:r>
      <w:r w:rsidRPr="000C0842">
        <w:rPr>
          <w:rFonts w:ascii="SimSun" w:eastAsia="SimSun" w:hAnsi="SimSun" w:hint="eastAsia"/>
          <w:b/>
          <w:bCs/>
          <w:kern w:val="22"/>
          <w:sz w:val="24"/>
          <w:szCs w:val="24"/>
          <w:lang w:val="zh-CN"/>
        </w:rPr>
        <w:t>组织架构</w:t>
      </w:r>
    </w:p>
    <w:p w14:paraId="7C2F9576" w14:textId="77777777" w:rsidR="00175F49" w:rsidRPr="000C0842" w:rsidRDefault="00175F49" w:rsidP="00175F49">
      <w:pPr>
        <w:numPr>
          <w:ilvl w:val="0"/>
          <w:numId w:val="1"/>
        </w:numPr>
        <w:tabs>
          <w:tab w:val="clear" w:pos="567"/>
          <w:tab w:val="clear" w:pos="1134"/>
          <w:tab w:val="clear" w:pos="1701"/>
          <w:tab w:val="clear" w:pos="2268"/>
        </w:tabs>
        <w:spacing w:before="120" w:after="120"/>
        <w:ind w:left="490" w:firstLine="0"/>
        <w:rPr>
          <w:rFonts w:eastAsia="SimSun"/>
          <w:kern w:val="22"/>
          <w:sz w:val="24"/>
          <w:szCs w:val="24"/>
          <w:lang w:val="zh-CN"/>
        </w:rPr>
      </w:pPr>
      <w:r w:rsidRPr="000C0842">
        <w:rPr>
          <w:rFonts w:eastAsia="SimSun" w:hint="eastAsia"/>
          <w:kern w:val="22"/>
          <w:sz w:val="24"/>
          <w:szCs w:val="24"/>
          <w:lang w:val="zh-CN"/>
        </w:rPr>
        <w:t>全球协调实体将拥有一支精干和灵活的专业和行政人员团队，它将依照第</w:t>
      </w:r>
      <w:hyperlink r:id="rId37" w:history="1">
        <w:r w:rsidRPr="000C0842">
          <w:rPr>
            <w:rFonts w:eastAsia="SimSun"/>
            <w:kern w:val="22"/>
            <w:sz w:val="24"/>
            <w:szCs w:val="24"/>
            <w:u w:val="single"/>
            <w:lang w:val="zh-CN"/>
          </w:rPr>
          <w:t>15/8</w:t>
        </w:r>
      </w:hyperlink>
      <w:r w:rsidRPr="000C0842">
        <w:rPr>
          <w:rFonts w:eastAsia="SimSun" w:hint="eastAsia"/>
          <w:kern w:val="22"/>
          <w:sz w:val="24"/>
          <w:szCs w:val="24"/>
          <w:lang w:val="zh-CN"/>
        </w:rPr>
        <w:t>号决定第</w:t>
      </w:r>
      <w:r w:rsidRPr="000C0842">
        <w:rPr>
          <w:rFonts w:eastAsia="SimSun"/>
          <w:kern w:val="22"/>
          <w:sz w:val="24"/>
          <w:szCs w:val="24"/>
          <w:lang w:val="zh-CN"/>
        </w:rPr>
        <w:t>27</w:t>
      </w:r>
      <w:r w:rsidRPr="000C0842">
        <w:rPr>
          <w:rFonts w:eastAsia="SimSun" w:hint="eastAsia"/>
          <w:kern w:val="22"/>
          <w:sz w:val="24"/>
          <w:szCs w:val="24"/>
          <w:lang w:val="zh-CN"/>
        </w:rPr>
        <w:t>段规定的核心职能，负责各项活动和业务的日常行政和管理工作。</w:t>
      </w:r>
    </w:p>
    <w:p w14:paraId="4885C222" w14:textId="77777777" w:rsidR="00175F49" w:rsidRPr="000C0842" w:rsidRDefault="00175F49" w:rsidP="00175F49">
      <w:pPr>
        <w:numPr>
          <w:ilvl w:val="0"/>
          <w:numId w:val="1"/>
        </w:numPr>
        <w:tabs>
          <w:tab w:val="clear" w:pos="567"/>
          <w:tab w:val="clear" w:pos="1134"/>
          <w:tab w:val="clear" w:pos="1701"/>
          <w:tab w:val="clear" w:pos="2268"/>
        </w:tabs>
        <w:spacing w:before="120" w:after="120"/>
        <w:ind w:left="490" w:firstLine="0"/>
        <w:rPr>
          <w:rFonts w:eastAsia="SimSun"/>
          <w:kern w:val="22"/>
          <w:sz w:val="24"/>
          <w:szCs w:val="24"/>
          <w:lang w:val="zh-CN"/>
        </w:rPr>
      </w:pPr>
      <w:r w:rsidRPr="000C0842">
        <w:rPr>
          <w:rFonts w:eastAsia="SimSun" w:hint="eastAsia"/>
          <w:kern w:val="22"/>
          <w:sz w:val="24"/>
          <w:szCs w:val="24"/>
          <w:lang w:val="zh-CN"/>
        </w:rPr>
        <w:t>全球协调实体将与</w:t>
      </w:r>
      <w:r w:rsidRPr="000C0842">
        <w:rPr>
          <w:rFonts w:eastAsia="SimSun"/>
          <w:kern w:val="22"/>
          <w:sz w:val="24"/>
          <w:szCs w:val="24"/>
          <w:lang w:val="zh-CN"/>
        </w:rPr>
        <w:t>生物多样性科学伙伴联合会等</w:t>
      </w:r>
      <w:r w:rsidRPr="000C0842">
        <w:rPr>
          <w:rFonts w:eastAsia="SimSun" w:hint="eastAsia"/>
          <w:kern w:val="22"/>
          <w:sz w:val="24"/>
          <w:szCs w:val="24"/>
          <w:lang w:val="zh-CN"/>
        </w:rPr>
        <w:t>在生物多样性相关领域拥有专门知识的国际组织建立伙伴关系，通过区域和次区域</w:t>
      </w:r>
      <w:r w:rsidRPr="000C0842">
        <w:rPr>
          <w:rFonts w:eastAsia="SimSun"/>
          <w:kern w:val="22"/>
          <w:sz w:val="24"/>
          <w:szCs w:val="24"/>
          <w:lang w:val="zh-CN"/>
        </w:rPr>
        <w:t>科技合作</w:t>
      </w:r>
      <w:r w:rsidRPr="000C0842">
        <w:rPr>
          <w:rFonts w:eastAsia="SimSun" w:hint="eastAsia"/>
          <w:kern w:val="22"/>
          <w:sz w:val="24"/>
          <w:szCs w:val="24"/>
          <w:lang w:val="zh-CN"/>
        </w:rPr>
        <w:t>支持中心，在缔约方缺乏专门知识或能力的领域提供支持，应对缔约方提出的所有需要</w:t>
      </w:r>
      <w:r w:rsidRPr="000C0842">
        <w:rPr>
          <w:rFonts w:eastAsia="SimSun"/>
          <w:kern w:val="22"/>
          <w:sz w:val="24"/>
          <w:szCs w:val="24"/>
          <w:lang w:val="zh-CN"/>
        </w:rPr>
        <w:t>。</w:t>
      </w:r>
      <w:r w:rsidRPr="000C0842">
        <w:rPr>
          <w:rFonts w:eastAsia="SimSun"/>
          <w:kern w:val="22"/>
          <w:sz w:val="24"/>
          <w:szCs w:val="24"/>
          <w:lang w:val="zh-CN"/>
        </w:rPr>
        <w:t xml:space="preserve"> </w:t>
      </w:r>
    </w:p>
    <w:p w14:paraId="4E756C57"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二</w:t>
      </w:r>
      <w:r w:rsidRPr="000C0842">
        <w:rPr>
          <w:rFonts w:ascii="SimSun" w:eastAsia="SimSun" w:hAnsi="SimSun"/>
          <w:b/>
          <w:bCs/>
          <w:kern w:val="22"/>
          <w:sz w:val="24"/>
          <w:szCs w:val="24"/>
          <w:lang w:val="zh-CN"/>
        </w:rPr>
        <w:t>.</w:t>
      </w:r>
      <w:r w:rsidRPr="000C0842">
        <w:rPr>
          <w:rFonts w:ascii="SimSun" w:eastAsia="SimSun" w:hAnsi="SimSun"/>
          <w:b/>
          <w:bCs/>
          <w:kern w:val="22"/>
          <w:sz w:val="24"/>
          <w:szCs w:val="24"/>
          <w:lang w:val="zh-CN"/>
        </w:rPr>
        <w:tab/>
      </w:r>
      <w:r w:rsidRPr="000C0842">
        <w:rPr>
          <w:rFonts w:ascii="SimSun" w:eastAsia="SimSun" w:hAnsi="SimSun" w:hint="eastAsia"/>
          <w:b/>
          <w:bCs/>
          <w:kern w:val="22"/>
          <w:sz w:val="24"/>
          <w:szCs w:val="24"/>
          <w:lang w:val="zh-CN"/>
        </w:rPr>
        <w:t>治理和监督</w:t>
      </w:r>
    </w:p>
    <w:p w14:paraId="09CA2538" w14:textId="77777777" w:rsidR="00175F49" w:rsidRPr="000C0842" w:rsidRDefault="00175F49" w:rsidP="00175F49">
      <w:pPr>
        <w:numPr>
          <w:ilvl w:val="0"/>
          <w:numId w:val="1"/>
        </w:numPr>
        <w:tabs>
          <w:tab w:val="clear" w:pos="567"/>
          <w:tab w:val="clear" w:pos="1134"/>
          <w:tab w:val="clear" w:pos="1701"/>
          <w:tab w:val="clear" w:pos="2268"/>
        </w:tabs>
        <w:spacing w:before="120" w:after="120"/>
        <w:ind w:left="490" w:firstLine="0"/>
        <w:rPr>
          <w:rFonts w:eastAsia="SimSun"/>
          <w:kern w:val="22"/>
          <w:sz w:val="24"/>
          <w:szCs w:val="24"/>
          <w:lang w:val="zh-CN"/>
        </w:rPr>
      </w:pPr>
      <w:r w:rsidRPr="000C0842">
        <w:rPr>
          <w:rFonts w:eastAsia="SimSun" w:hint="eastAsia"/>
          <w:kern w:val="22"/>
          <w:sz w:val="24"/>
          <w:szCs w:val="24"/>
          <w:lang w:val="zh-CN"/>
        </w:rPr>
        <w:t>全球协调实体将对公约缔约方大会负责，并在其战略指导和指挥下运作。</w:t>
      </w:r>
      <w:r w:rsidRPr="000C0842">
        <w:rPr>
          <w:rFonts w:eastAsia="SimSun"/>
          <w:kern w:val="22"/>
          <w:sz w:val="24"/>
          <w:szCs w:val="24"/>
          <w:lang w:val="zh-CN"/>
        </w:rPr>
        <w:t>缔约方大会将向</w:t>
      </w:r>
      <w:r w:rsidRPr="000C0842">
        <w:rPr>
          <w:rFonts w:eastAsia="SimSun" w:hint="eastAsia"/>
          <w:kern w:val="22"/>
          <w:sz w:val="24"/>
          <w:szCs w:val="24"/>
          <w:lang w:val="zh-CN"/>
        </w:rPr>
        <w:t>该</w:t>
      </w:r>
      <w:r w:rsidRPr="000C0842">
        <w:rPr>
          <w:rFonts w:eastAsia="SimSun"/>
          <w:kern w:val="22"/>
          <w:sz w:val="24"/>
          <w:szCs w:val="24"/>
          <w:lang w:val="zh-CN"/>
        </w:rPr>
        <w:t>实体提供指导，支持起草其两年期工作计划和预算。</w:t>
      </w:r>
      <w:r w:rsidRPr="000C0842">
        <w:rPr>
          <w:rFonts w:eastAsia="SimSun" w:hint="eastAsia"/>
          <w:kern w:val="22"/>
          <w:sz w:val="24"/>
          <w:szCs w:val="24"/>
          <w:lang w:val="zh-CN"/>
        </w:rPr>
        <w:t>总体方案优先次序、两年期工作计划以及交付方法将由缔约方大会</w:t>
      </w:r>
      <w:r w:rsidRPr="000C0842">
        <w:rPr>
          <w:rFonts w:eastAsia="SimSun"/>
          <w:kern w:val="22"/>
          <w:sz w:val="24"/>
          <w:szCs w:val="24"/>
          <w:lang w:val="zh-CN"/>
        </w:rPr>
        <w:t>在</w:t>
      </w:r>
      <w:r w:rsidRPr="000C0842">
        <w:rPr>
          <w:rFonts w:eastAsia="SimSun" w:hint="eastAsia"/>
          <w:kern w:val="22"/>
          <w:sz w:val="24"/>
          <w:szCs w:val="24"/>
          <w:lang w:val="zh-CN"/>
        </w:rPr>
        <w:t>其</w:t>
      </w:r>
      <w:r w:rsidRPr="000C0842">
        <w:rPr>
          <w:rFonts w:eastAsia="SimSun"/>
          <w:kern w:val="22"/>
          <w:sz w:val="24"/>
          <w:szCs w:val="24"/>
          <w:lang w:val="zh-CN"/>
        </w:rPr>
        <w:t>每</w:t>
      </w:r>
      <w:r w:rsidRPr="000C0842">
        <w:rPr>
          <w:rFonts w:eastAsia="SimSun" w:hint="eastAsia"/>
          <w:kern w:val="22"/>
          <w:sz w:val="24"/>
          <w:szCs w:val="24"/>
          <w:lang w:val="zh-CN"/>
        </w:rPr>
        <w:t>届常会上根据执行问题附属机构的建议予以核准。该实体通过执行问题附属机构向缔约方大会报告其工作进展情况以及区域和次区域支持中心的工作进展情况。</w:t>
      </w:r>
      <w:r w:rsidRPr="000C0842">
        <w:rPr>
          <w:rFonts w:eastAsia="SimSun"/>
          <w:kern w:val="22"/>
          <w:sz w:val="24"/>
          <w:szCs w:val="24"/>
          <w:lang w:val="zh-CN"/>
        </w:rPr>
        <w:t xml:space="preserve"> </w:t>
      </w:r>
    </w:p>
    <w:p w14:paraId="2B028021"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5.</w:t>
      </w:r>
      <w:r w:rsidRPr="000C0842">
        <w:rPr>
          <w:rFonts w:eastAsia="SimSun"/>
          <w:kern w:val="22"/>
          <w:sz w:val="24"/>
          <w:szCs w:val="24"/>
          <w:lang w:val="zh-CN"/>
        </w:rPr>
        <w:tab/>
      </w:r>
      <w:r w:rsidRPr="000C0842">
        <w:rPr>
          <w:rFonts w:eastAsia="SimSun" w:hint="eastAsia"/>
          <w:kern w:val="22"/>
          <w:sz w:val="24"/>
          <w:szCs w:val="24"/>
          <w:lang w:val="zh-CN"/>
        </w:rPr>
        <w:t>科技合作问题非正式咨询小组将为全球协调实体以及区域和次区域支持中心的有效和及时运作提供技术咨询。</w:t>
      </w:r>
    </w:p>
    <w:p w14:paraId="19FA40F7"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6.</w:t>
      </w:r>
      <w:r w:rsidRPr="000C0842">
        <w:rPr>
          <w:rFonts w:eastAsia="SimSun"/>
          <w:kern w:val="22"/>
          <w:sz w:val="24"/>
          <w:szCs w:val="24"/>
          <w:lang w:val="zh-CN"/>
        </w:rPr>
        <w:tab/>
      </w:r>
      <w:r w:rsidRPr="000C0842">
        <w:rPr>
          <w:rFonts w:eastAsia="SimSun" w:hint="eastAsia"/>
          <w:kern w:val="22"/>
          <w:sz w:val="24"/>
          <w:szCs w:val="24"/>
          <w:lang w:val="zh-CN"/>
        </w:rPr>
        <w:t>执行秘书将向全球协调实体以及区域和次区域支持中心通报缔约方在其国家生物多样性战略和行动计划及其关于能力建设和发展、科技合作和技术转让方面的国家报告中确定的优先事项、</w:t>
      </w:r>
      <w:r w:rsidRPr="000C0842">
        <w:rPr>
          <w:rFonts w:eastAsia="SimSun"/>
          <w:kern w:val="22"/>
          <w:sz w:val="24"/>
          <w:szCs w:val="24"/>
          <w:lang w:val="zh-CN"/>
        </w:rPr>
        <w:t>缔约方大会提供的指导以及缔约方大会决定中关于能力建设和发展以及科技合作的要求，</w:t>
      </w:r>
      <w:r w:rsidRPr="000C0842">
        <w:rPr>
          <w:rFonts w:eastAsia="SimSun" w:hint="eastAsia"/>
          <w:kern w:val="22"/>
          <w:sz w:val="24"/>
          <w:szCs w:val="24"/>
          <w:lang w:val="zh-CN"/>
        </w:rPr>
        <w:t>并将保持与生物多样性相关公约及相关组织和倡议之间的协同增效和合作。</w:t>
      </w:r>
    </w:p>
    <w:p w14:paraId="309B0871"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7.</w:t>
      </w:r>
      <w:r w:rsidRPr="000C0842">
        <w:rPr>
          <w:rFonts w:eastAsia="SimSun"/>
          <w:kern w:val="22"/>
          <w:sz w:val="24"/>
          <w:szCs w:val="24"/>
          <w:lang w:val="zh-CN"/>
        </w:rPr>
        <w:tab/>
      </w:r>
      <w:r w:rsidRPr="000C0842">
        <w:rPr>
          <w:rFonts w:eastAsia="SimSun"/>
          <w:kern w:val="22"/>
          <w:sz w:val="24"/>
          <w:szCs w:val="24"/>
          <w:lang w:val="zh-CN"/>
        </w:rPr>
        <w:t>全球协调实体东道组织的初始任期将</w:t>
      </w:r>
      <w:r w:rsidRPr="000C0842">
        <w:rPr>
          <w:rFonts w:eastAsia="SimSun" w:hint="eastAsia"/>
          <w:kern w:val="22"/>
          <w:sz w:val="24"/>
          <w:szCs w:val="24"/>
          <w:lang w:val="zh-CN"/>
        </w:rPr>
        <w:t>定为</w:t>
      </w:r>
      <w:r w:rsidRPr="000C0842">
        <w:rPr>
          <w:rFonts w:eastAsia="SimSun"/>
          <w:kern w:val="22"/>
          <w:sz w:val="24"/>
          <w:szCs w:val="24"/>
          <w:lang w:val="zh-CN"/>
        </w:rPr>
        <w:t>持续到</w:t>
      </w:r>
      <w:r w:rsidRPr="000C0842">
        <w:rPr>
          <w:rFonts w:eastAsia="SimSun"/>
          <w:kern w:val="22"/>
          <w:sz w:val="24"/>
          <w:szCs w:val="24"/>
          <w:lang w:val="zh-CN"/>
        </w:rPr>
        <w:t>2030</w:t>
      </w:r>
      <w:r w:rsidRPr="000C0842">
        <w:rPr>
          <w:rFonts w:eastAsia="SimSun"/>
          <w:kern w:val="22"/>
          <w:sz w:val="24"/>
          <w:szCs w:val="24"/>
          <w:lang w:val="zh-CN"/>
        </w:rPr>
        <w:t>年底。</w:t>
      </w:r>
      <w:r w:rsidRPr="000C0842">
        <w:rPr>
          <w:rFonts w:eastAsia="SimSun" w:hint="eastAsia"/>
          <w:kern w:val="22"/>
          <w:sz w:val="24"/>
          <w:szCs w:val="24"/>
          <w:lang w:val="zh-CN"/>
        </w:rPr>
        <w:t>将根据下文第</w:t>
      </w:r>
      <w:r w:rsidRPr="000C0842">
        <w:rPr>
          <w:rFonts w:eastAsia="SimSun" w:hint="eastAsia"/>
          <w:kern w:val="22"/>
          <w:sz w:val="24"/>
          <w:szCs w:val="24"/>
          <w:lang w:val="zh-CN"/>
        </w:rPr>
        <w:t>17</w:t>
      </w:r>
      <w:r w:rsidRPr="000C0842">
        <w:rPr>
          <w:rFonts w:eastAsia="SimSun" w:hint="eastAsia"/>
          <w:kern w:val="22"/>
          <w:sz w:val="24"/>
          <w:szCs w:val="24"/>
          <w:lang w:val="zh-CN"/>
        </w:rPr>
        <w:t>段评价该实体的业绩。缔约方大会将审议</w:t>
      </w:r>
      <w:r w:rsidRPr="000C0842">
        <w:rPr>
          <w:rFonts w:eastAsia="SimSun"/>
          <w:kern w:val="22"/>
          <w:sz w:val="24"/>
          <w:szCs w:val="24"/>
          <w:lang w:val="zh-CN"/>
        </w:rPr>
        <w:t>独立</w:t>
      </w:r>
      <w:r w:rsidRPr="000C0842">
        <w:rPr>
          <w:rFonts w:eastAsia="SimSun" w:hint="eastAsia"/>
          <w:kern w:val="22"/>
          <w:sz w:val="24"/>
          <w:szCs w:val="24"/>
          <w:lang w:val="zh-CN"/>
        </w:rPr>
        <w:t>评价</w:t>
      </w:r>
      <w:r w:rsidRPr="000C0842">
        <w:rPr>
          <w:rFonts w:eastAsia="SimSun"/>
          <w:kern w:val="22"/>
          <w:sz w:val="24"/>
          <w:szCs w:val="24"/>
          <w:lang w:val="zh-CN"/>
        </w:rPr>
        <w:t>的结果</w:t>
      </w:r>
      <w:r w:rsidRPr="000C0842">
        <w:rPr>
          <w:rFonts w:eastAsia="SimSun" w:hint="eastAsia"/>
          <w:kern w:val="22"/>
          <w:sz w:val="24"/>
          <w:szCs w:val="24"/>
          <w:lang w:val="zh-CN"/>
        </w:rPr>
        <w:t>，决定是否延长该实体的任期，如果需要，还决定改进实体业绩的方式或是</w:t>
      </w:r>
      <w:r w:rsidRPr="000C0842">
        <w:rPr>
          <w:rFonts w:eastAsia="SimSun"/>
          <w:kern w:val="22"/>
          <w:sz w:val="24"/>
          <w:szCs w:val="24"/>
          <w:lang w:val="zh-CN"/>
        </w:rPr>
        <w:t>接替</w:t>
      </w:r>
      <w:r w:rsidRPr="000C0842">
        <w:rPr>
          <w:rFonts w:eastAsia="SimSun" w:hint="eastAsia"/>
          <w:kern w:val="22"/>
          <w:sz w:val="24"/>
          <w:szCs w:val="24"/>
          <w:lang w:val="zh-CN"/>
        </w:rPr>
        <w:t>实体的</w:t>
      </w:r>
      <w:r w:rsidRPr="000C0842">
        <w:rPr>
          <w:rFonts w:eastAsia="SimSun"/>
          <w:kern w:val="22"/>
          <w:sz w:val="24"/>
          <w:szCs w:val="24"/>
          <w:lang w:val="zh-CN"/>
        </w:rPr>
        <w:t>战略。</w:t>
      </w:r>
    </w:p>
    <w:p w14:paraId="469FA02E"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三.</w:t>
      </w:r>
      <w:r w:rsidRPr="000C0842">
        <w:rPr>
          <w:rFonts w:ascii="SimSun" w:eastAsia="SimSun" w:hAnsi="SimSun" w:hint="eastAsia"/>
          <w:b/>
          <w:bCs/>
          <w:kern w:val="22"/>
          <w:sz w:val="24"/>
          <w:szCs w:val="24"/>
          <w:lang w:val="zh-CN"/>
        </w:rPr>
        <w:tab/>
        <w:t>运作模式和程序</w:t>
      </w:r>
    </w:p>
    <w:p w14:paraId="74D0E956"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8.</w:t>
      </w:r>
      <w:r w:rsidRPr="000C0842">
        <w:rPr>
          <w:rFonts w:eastAsia="SimSun" w:hint="eastAsia"/>
          <w:kern w:val="22"/>
          <w:sz w:val="24"/>
          <w:szCs w:val="24"/>
          <w:lang w:val="zh-CN"/>
        </w:rPr>
        <w:tab/>
      </w:r>
      <w:r w:rsidRPr="000C0842">
        <w:rPr>
          <w:rFonts w:eastAsia="SimSun" w:hint="eastAsia"/>
          <w:kern w:val="22"/>
          <w:sz w:val="24"/>
          <w:szCs w:val="24"/>
          <w:lang w:val="zh-CN"/>
        </w:rPr>
        <w:t>全球协调实体将实施依照非正式咨询小组的意见制定的与其职能相关的“符合目的”的运作模式、程序、标准和准则。这些运作模式和程序的制订将考虑到第</w:t>
      </w:r>
      <w:hyperlink r:id="rId38" w:history="1">
        <w:r w:rsidRPr="000C0842">
          <w:rPr>
            <w:rFonts w:eastAsia="SimSun" w:hint="eastAsia"/>
            <w:kern w:val="22"/>
            <w:sz w:val="24"/>
            <w:szCs w:val="24"/>
            <w:u w:val="single"/>
            <w:lang w:val="zh-CN"/>
          </w:rPr>
          <w:t>15/8</w:t>
        </w:r>
      </w:hyperlink>
      <w:r w:rsidRPr="000C0842">
        <w:rPr>
          <w:rFonts w:eastAsia="SimSun" w:hint="eastAsia"/>
          <w:kern w:val="22"/>
          <w:sz w:val="24"/>
          <w:szCs w:val="24"/>
          <w:lang w:val="zh-CN"/>
        </w:rPr>
        <w:t>号决定附件二概述的科技合作机制的指导原则，并由执行问题附属机构酌情根据汲取的经验教训不断加以完善和修订。核心模式和程序可包括以下内容：</w:t>
      </w:r>
    </w:p>
    <w:p w14:paraId="0D948646"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spacing w:val="-4"/>
          <w:kern w:val="22"/>
          <w:sz w:val="24"/>
          <w:szCs w:val="24"/>
          <w:lang w:val="en-GB"/>
        </w:rPr>
        <w:t>在区域和次区域支持中心之间促进和保持相互协调、合作和协同增效的</w:t>
      </w:r>
      <w:r w:rsidRPr="000C0842">
        <w:rPr>
          <w:rFonts w:ascii="SimSun" w:eastAsia="SimSun" w:hAnsi="SimSun" w:cs="SimSun" w:hint="eastAsia"/>
          <w:kern w:val="22"/>
          <w:sz w:val="24"/>
          <w:szCs w:val="24"/>
          <w:lang w:val="en-GB"/>
        </w:rPr>
        <w:t>模式；</w:t>
      </w:r>
    </w:p>
    <w:p w14:paraId="15EFF2FD"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设定优先事项和方案拟订的标准，包括提供支持工具的准则；</w:t>
      </w:r>
    </w:p>
    <w:p w14:paraId="3149994C"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确保各区域平衡和公平地向缔约方、土著人民和地方社区、妇女和青年提供支持的模式，包括获取有关科技合作机会的信息方面；</w:t>
      </w:r>
    </w:p>
    <w:p w14:paraId="6F8AB3BA" w14:textId="726BE193"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使区域和次区域支持中心能够确保其工作与《公约》及其议定书和</w:t>
      </w:r>
      <w:r w:rsidR="001A5C0A" w:rsidRPr="000C0842">
        <w:rPr>
          <w:rFonts w:ascii="SimSun" w:eastAsia="SimSun" w:hAnsi="SimSun" w:cs="SimSun" w:hint="eastAsia"/>
          <w:kern w:val="22"/>
          <w:sz w:val="24"/>
          <w:szCs w:val="24"/>
          <w:lang w:val="en-GB"/>
        </w:rPr>
        <w:t>《昆蒙框架》</w:t>
      </w:r>
      <w:r w:rsidRPr="000C0842">
        <w:rPr>
          <w:rFonts w:eastAsia="Times New Roman"/>
          <w:kern w:val="22"/>
          <w:sz w:val="24"/>
          <w:szCs w:val="24"/>
          <w:lang w:val="en-GB"/>
        </w:rPr>
        <w:t xml:space="preserve"> </w:t>
      </w:r>
      <w:r w:rsidRPr="000C0842">
        <w:rPr>
          <w:rFonts w:ascii="SimSun" w:eastAsia="SimSun" w:hAnsi="SimSun" w:cs="SimSun" w:hint="eastAsia"/>
          <w:kern w:val="22"/>
          <w:sz w:val="24"/>
          <w:szCs w:val="24"/>
          <w:lang w:val="en-GB"/>
        </w:rPr>
        <w:t>保持一致并符合缔约方、特别是发展中国家缔约方确定的能力需求和优先事项的准则和模式，包括确保采取促进性别平等办法的准则；</w:t>
      </w:r>
    </w:p>
    <w:p w14:paraId="371DCC79"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确定可调动的组织和专家，用于应区域和次区域支持中心的请求协助其工作的标准；</w:t>
      </w:r>
    </w:p>
    <w:p w14:paraId="0D3A1900"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确保土著人民和地方社区、妇女、青年以及其他相关利益攸关方积极参与的准则；</w:t>
      </w:r>
    </w:p>
    <w:p w14:paraId="08DDBCB7"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用于确保经土著人民和地方社区的自由、事先和知情同意，将其传统知识、创新和做法考虑在内的模式</w:t>
      </w:r>
      <w:r w:rsidRPr="000C0842">
        <w:rPr>
          <w:rFonts w:eastAsia="Times New Roman"/>
          <w:szCs w:val="24"/>
          <w:vertAlign w:val="superscript"/>
          <w:lang w:val="en-GB"/>
        </w:rPr>
        <w:footnoteReference w:id="24"/>
      </w:r>
      <w:r w:rsidRPr="000C0842">
        <w:rPr>
          <w:rFonts w:ascii="SimSun" w:eastAsia="SimSun" w:hAnsi="SimSun" w:cs="SimSun" w:hint="eastAsia"/>
          <w:kern w:val="22"/>
          <w:sz w:val="24"/>
          <w:szCs w:val="24"/>
          <w:lang w:val="en-GB"/>
        </w:rPr>
        <w:t>，使区域和次区域支持中心能够根据相关的国家法律以及国际文书和条约行事；</w:t>
      </w:r>
    </w:p>
    <w:p w14:paraId="3D9D764C"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在相关组织协助下运行一个服务台以应区域和次区域支持中心的要求提供信息、咨询建议和技术支持的模式；</w:t>
      </w:r>
    </w:p>
    <w:p w14:paraId="5CD015D4"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协助区域和次区域支持中心通过执行问题附属机构向缔约方大会报告其工作的准则、模板和程序；</w:t>
      </w:r>
    </w:p>
    <w:p w14:paraId="35E24626" w14:textId="77777777" w:rsidR="00175F49" w:rsidRPr="000C0842" w:rsidRDefault="00175F49">
      <w:pPr>
        <w:numPr>
          <w:ilvl w:val="0"/>
          <w:numId w:val="229"/>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促进研究合作。</w:t>
      </w:r>
    </w:p>
    <w:p w14:paraId="44A9FB5E"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9.</w:t>
      </w:r>
      <w:r w:rsidRPr="000C0842">
        <w:rPr>
          <w:rFonts w:eastAsia="SimSun" w:hint="eastAsia"/>
          <w:kern w:val="22"/>
          <w:sz w:val="24"/>
          <w:szCs w:val="24"/>
          <w:lang w:val="zh-CN"/>
        </w:rPr>
        <w:tab/>
      </w:r>
      <w:r w:rsidRPr="000C0842">
        <w:rPr>
          <w:rFonts w:eastAsia="SimSun" w:hint="eastAsia"/>
          <w:kern w:val="22"/>
          <w:sz w:val="24"/>
          <w:szCs w:val="24"/>
          <w:lang w:val="zh-CN"/>
        </w:rPr>
        <w:t>全球协调实体将与区域和次区域支持中心合作，将寻求专门技术援助的缔约方与能够且最适合提供所需支持的组织、倡议、网络和专家联系起来。</w:t>
      </w:r>
    </w:p>
    <w:p w14:paraId="481D1DA3"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四.</w:t>
      </w:r>
      <w:r w:rsidRPr="000C0842">
        <w:rPr>
          <w:rFonts w:ascii="SimSun" w:eastAsia="SimSun" w:hAnsi="SimSun" w:hint="eastAsia"/>
          <w:b/>
          <w:bCs/>
          <w:kern w:val="22"/>
          <w:sz w:val="24"/>
          <w:szCs w:val="24"/>
          <w:lang w:val="zh-CN"/>
        </w:rPr>
        <w:tab/>
        <w:t>全球协调实体东道组织的特点</w:t>
      </w:r>
    </w:p>
    <w:p w14:paraId="2006E3EA"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10.</w:t>
      </w:r>
      <w:r w:rsidRPr="000C0842">
        <w:rPr>
          <w:rFonts w:eastAsia="SimSun" w:hint="eastAsia"/>
          <w:kern w:val="22"/>
          <w:sz w:val="24"/>
          <w:szCs w:val="24"/>
          <w:lang w:val="zh-CN"/>
        </w:rPr>
        <w:tab/>
      </w:r>
      <w:r w:rsidRPr="000C0842">
        <w:rPr>
          <w:rFonts w:eastAsia="SimSun" w:hint="eastAsia"/>
          <w:kern w:val="22"/>
          <w:sz w:val="24"/>
          <w:szCs w:val="24"/>
          <w:lang w:val="zh-CN"/>
        </w:rPr>
        <w:t>全球协调实体的东道组织将具备以下特点：</w:t>
      </w:r>
    </w:p>
    <w:p w14:paraId="4362387D"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能够调动不同来源的资源；</w:t>
      </w:r>
    </w:p>
    <w:p w14:paraId="2A1DDAE5"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熟悉《公约》及其议定书规定的程序并有相关经验；</w:t>
      </w:r>
    </w:p>
    <w:p w14:paraId="5663419B"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能够利用外部联系人和网络的专门知识；</w:t>
      </w:r>
    </w:p>
    <w:p w14:paraId="38D8BCEA"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具有生物多样性相关问题的专门知识；</w:t>
      </w:r>
    </w:p>
    <w:p w14:paraId="6DD41C2B"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拥有强大的召集力；</w:t>
      </w:r>
    </w:p>
    <w:p w14:paraId="7D49A28A"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被认可为中立召集人；</w:t>
      </w:r>
    </w:p>
    <w:p w14:paraId="0CED9154"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显示出与多方利益攸关方、土著人民和地方社区、妇女和青年进行互动的经验；</w:t>
      </w:r>
      <w:r w:rsidRPr="000C0842">
        <w:rPr>
          <w:rFonts w:eastAsia="Times New Roman"/>
          <w:kern w:val="22"/>
          <w:sz w:val="24"/>
          <w:szCs w:val="24"/>
          <w:lang w:val="en-GB"/>
        </w:rPr>
        <w:t xml:space="preserve"> </w:t>
      </w:r>
    </w:p>
    <w:p w14:paraId="10ED0D79" w14:textId="77777777" w:rsidR="00175F49" w:rsidRPr="000C0842" w:rsidRDefault="00175F49">
      <w:pPr>
        <w:numPr>
          <w:ilvl w:val="0"/>
          <w:numId w:val="230"/>
        </w:numPr>
        <w:tabs>
          <w:tab w:val="clear" w:pos="567"/>
          <w:tab w:val="clear" w:pos="1134"/>
          <w:tab w:val="clear" w:pos="1701"/>
          <w:tab w:val="clear" w:pos="2268"/>
        </w:tabs>
        <w:spacing w:before="120" w:after="120"/>
        <w:ind w:left="490" w:firstLine="490"/>
        <w:rPr>
          <w:rFonts w:eastAsia="Times New Roman"/>
          <w:kern w:val="22"/>
          <w:sz w:val="24"/>
          <w:szCs w:val="24"/>
          <w:lang w:val="en-GB"/>
        </w:rPr>
      </w:pPr>
      <w:r w:rsidRPr="000C0842">
        <w:rPr>
          <w:rFonts w:ascii="SimSun" w:eastAsia="SimSun" w:hAnsi="SimSun" w:cs="SimSun" w:hint="eastAsia"/>
          <w:kern w:val="22"/>
          <w:sz w:val="24"/>
          <w:szCs w:val="24"/>
          <w:lang w:val="en-GB"/>
        </w:rPr>
        <w:t>具有方案和项目管理的经验。</w:t>
      </w:r>
    </w:p>
    <w:p w14:paraId="712A9925"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五.</w:t>
      </w:r>
      <w:r w:rsidRPr="000C0842">
        <w:rPr>
          <w:rFonts w:ascii="SimSun" w:eastAsia="SimSun" w:hAnsi="SimSun" w:hint="eastAsia"/>
          <w:b/>
          <w:bCs/>
          <w:kern w:val="22"/>
          <w:sz w:val="24"/>
          <w:szCs w:val="24"/>
          <w:lang w:val="zh-CN"/>
        </w:rPr>
        <w:tab/>
        <w:t>协调和协作</w:t>
      </w:r>
    </w:p>
    <w:p w14:paraId="0A421782"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11.</w:t>
      </w:r>
      <w:r w:rsidRPr="000C0842">
        <w:rPr>
          <w:rFonts w:eastAsia="SimSun" w:hint="eastAsia"/>
          <w:kern w:val="22"/>
          <w:sz w:val="24"/>
          <w:szCs w:val="24"/>
          <w:lang w:val="zh-CN"/>
        </w:rPr>
        <w:tab/>
      </w:r>
      <w:r w:rsidRPr="000C0842">
        <w:rPr>
          <w:rFonts w:eastAsia="SimSun" w:hint="eastAsia"/>
          <w:kern w:val="22"/>
          <w:sz w:val="24"/>
          <w:szCs w:val="24"/>
          <w:lang w:val="zh-CN"/>
        </w:rPr>
        <w:t>全球协调实体将通过各种方式，包括组织与区域和次区域支持中心协调员的年度会议和维护一个协作平台，支持这些中心之间的协调与协作，促进各中心之间的协同增效作用，为缔约方提供支持并分享经验、最佳做法和教训。这也将使这些中心能够最大限度地利用其他中心可以提供的专业知识和资源，并促进经验、最佳做法和教训的分享。可以通过信息交换所机制的中央门户网站访问该在线协作平台。</w:t>
      </w:r>
    </w:p>
    <w:p w14:paraId="248C7B78" w14:textId="030353B8" w:rsidR="00175F49" w:rsidRPr="000C0842" w:rsidRDefault="00175F49" w:rsidP="00175F49">
      <w:pPr>
        <w:tabs>
          <w:tab w:val="clear" w:pos="567"/>
          <w:tab w:val="clear" w:pos="1134"/>
          <w:tab w:val="clear" w:pos="1701"/>
          <w:tab w:val="clear" w:pos="2268"/>
        </w:tabs>
        <w:spacing w:before="120" w:after="120"/>
        <w:ind w:left="490"/>
        <w:rPr>
          <w:kern w:val="22"/>
          <w:sz w:val="24"/>
          <w:szCs w:val="24"/>
          <w:lang w:val="en-GB"/>
        </w:rPr>
      </w:pPr>
      <w:r w:rsidRPr="000C0842">
        <w:rPr>
          <w:rFonts w:eastAsia="SimSun" w:hint="eastAsia"/>
          <w:kern w:val="22"/>
          <w:sz w:val="24"/>
          <w:szCs w:val="24"/>
          <w:lang w:val="zh-CN"/>
        </w:rPr>
        <w:t>12.</w:t>
      </w:r>
      <w:r w:rsidRPr="000C0842">
        <w:rPr>
          <w:rFonts w:eastAsia="SimSun" w:hint="eastAsia"/>
          <w:kern w:val="22"/>
          <w:sz w:val="24"/>
          <w:szCs w:val="24"/>
          <w:lang w:val="zh-CN"/>
        </w:rPr>
        <w:tab/>
      </w:r>
      <w:r w:rsidRPr="000C0842">
        <w:rPr>
          <w:rFonts w:eastAsia="SimSun" w:hint="eastAsia"/>
          <w:kern w:val="22"/>
          <w:sz w:val="24"/>
          <w:szCs w:val="24"/>
          <w:lang w:val="zh-CN"/>
        </w:rPr>
        <w:t>全球协调实体将酌情组织选定区域和次区域支持中心的会议，使其了解其任务规定和业务程序，并向其提供指导。该实体还将协助会议和其他活动，酌情促进与支持执行</w:t>
      </w:r>
      <w:r w:rsidR="001A5C0A" w:rsidRPr="000C0842">
        <w:rPr>
          <w:rFonts w:eastAsia="SimSun" w:hint="eastAsia"/>
          <w:kern w:val="22"/>
          <w:sz w:val="24"/>
          <w:szCs w:val="24"/>
          <w:lang w:val="zh-CN"/>
        </w:rPr>
        <w:t>《昆蒙框架》</w:t>
      </w:r>
      <w:r w:rsidRPr="000C0842">
        <w:rPr>
          <w:rFonts w:eastAsia="SimSun" w:hint="eastAsia"/>
          <w:kern w:val="22"/>
          <w:sz w:val="24"/>
          <w:szCs w:val="24"/>
          <w:lang w:val="zh-CN"/>
        </w:rPr>
        <w:t>的相关倡议以及与其他多边环境协定和相关组织领导的相关技术合作机制的合作</w:t>
      </w:r>
      <w:r w:rsidRPr="000C0842">
        <w:rPr>
          <w:rFonts w:hint="eastAsia"/>
          <w:kern w:val="22"/>
          <w:sz w:val="24"/>
          <w:szCs w:val="24"/>
          <w:lang w:val="en-GB"/>
        </w:rPr>
        <w:t>。</w:t>
      </w:r>
    </w:p>
    <w:p w14:paraId="3C6968A3"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六.</w:t>
      </w:r>
      <w:r w:rsidRPr="000C0842">
        <w:rPr>
          <w:rFonts w:ascii="SimSun" w:eastAsia="SimSun" w:hAnsi="SimSun" w:hint="eastAsia"/>
          <w:b/>
          <w:bCs/>
          <w:kern w:val="22"/>
          <w:sz w:val="24"/>
          <w:szCs w:val="24"/>
          <w:lang w:val="zh-CN"/>
        </w:rPr>
        <w:tab/>
        <w:t>财务安排</w:t>
      </w:r>
    </w:p>
    <w:p w14:paraId="32DFF7FA" w14:textId="77777777" w:rsidR="00175F49" w:rsidRPr="000C0842" w:rsidRDefault="00175F49" w:rsidP="00175F49">
      <w:pPr>
        <w:tabs>
          <w:tab w:val="clear" w:pos="567"/>
          <w:tab w:val="clear" w:pos="1134"/>
          <w:tab w:val="clear" w:pos="1701"/>
          <w:tab w:val="clear" w:pos="2268"/>
        </w:tabs>
        <w:spacing w:before="120" w:after="120"/>
        <w:ind w:left="490"/>
        <w:rPr>
          <w:kern w:val="22"/>
          <w:sz w:val="24"/>
          <w:szCs w:val="24"/>
          <w:lang w:val="en-GB"/>
        </w:rPr>
      </w:pPr>
      <w:r w:rsidRPr="000C0842">
        <w:rPr>
          <w:rFonts w:eastAsia="SimSun" w:hint="eastAsia"/>
          <w:kern w:val="22"/>
          <w:sz w:val="24"/>
          <w:szCs w:val="24"/>
          <w:lang w:val="zh-CN"/>
        </w:rPr>
        <w:t>13.</w:t>
      </w:r>
      <w:r w:rsidRPr="000C0842">
        <w:rPr>
          <w:rFonts w:eastAsia="SimSun" w:hint="eastAsia"/>
          <w:kern w:val="22"/>
          <w:sz w:val="24"/>
          <w:szCs w:val="24"/>
          <w:lang w:val="zh-CN"/>
        </w:rPr>
        <w:tab/>
      </w:r>
      <w:r w:rsidRPr="000C0842">
        <w:rPr>
          <w:rFonts w:eastAsia="SimSun" w:hint="eastAsia"/>
          <w:kern w:val="22"/>
          <w:sz w:val="24"/>
          <w:szCs w:val="24"/>
          <w:lang w:val="zh-CN"/>
        </w:rPr>
        <w:t>全球协调实体将从各种来源调集更多资源，包括从公共和私人赠款以及在适当情况下从创新融资工具调集更多资源，并将这些资源用于资助区域和次区域支持中心的科技合作支持方案</w:t>
      </w:r>
      <w:r w:rsidRPr="000C0842">
        <w:rPr>
          <w:rFonts w:hint="eastAsia"/>
          <w:kern w:val="22"/>
          <w:sz w:val="24"/>
          <w:szCs w:val="24"/>
          <w:lang w:val="en-GB"/>
        </w:rPr>
        <w:t>。</w:t>
      </w:r>
    </w:p>
    <w:p w14:paraId="55390597" w14:textId="77777777" w:rsidR="00175F49" w:rsidRPr="000C0842" w:rsidRDefault="00175F49" w:rsidP="00175F49">
      <w:pPr>
        <w:keepNext/>
        <w:tabs>
          <w:tab w:val="clear" w:pos="567"/>
          <w:tab w:val="clear" w:pos="1134"/>
          <w:tab w:val="clear" w:pos="1701"/>
          <w:tab w:val="clear" w:pos="2268"/>
        </w:tabs>
        <w:spacing w:before="120" w:after="120"/>
        <w:rPr>
          <w:rFonts w:ascii="SimSun" w:eastAsia="SimSun" w:hAnsi="SimSun"/>
          <w:b/>
          <w:bCs/>
          <w:kern w:val="22"/>
          <w:sz w:val="24"/>
          <w:szCs w:val="24"/>
          <w:lang w:val="zh-CN"/>
        </w:rPr>
      </w:pPr>
      <w:r w:rsidRPr="000C0842">
        <w:rPr>
          <w:rFonts w:ascii="SimSun" w:eastAsia="SimSun" w:hAnsi="SimSun" w:hint="eastAsia"/>
          <w:b/>
          <w:bCs/>
          <w:kern w:val="22"/>
          <w:sz w:val="24"/>
          <w:szCs w:val="24"/>
          <w:lang w:val="zh-CN"/>
        </w:rPr>
        <w:t>七.</w:t>
      </w:r>
      <w:r w:rsidRPr="000C0842">
        <w:rPr>
          <w:rFonts w:ascii="SimSun" w:eastAsia="SimSun" w:hAnsi="SimSun" w:hint="eastAsia"/>
          <w:b/>
          <w:bCs/>
          <w:kern w:val="22"/>
          <w:sz w:val="24"/>
          <w:szCs w:val="24"/>
          <w:lang w:val="zh-CN"/>
        </w:rPr>
        <w:tab/>
        <w:t>监测和审查</w:t>
      </w:r>
    </w:p>
    <w:p w14:paraId="07984E8C" w14:textId="77777777" w:rsidR="00175F49" w:rsidRPr="000C0842" w:rsidRDefault="00175F49" w:rsidP="00175F49">
      <w:pPr>
        <w:tabs>
          <w:tab w:val="clear" w:pos="567"/>
          <w:tab w:val="clear" w:pos="1134"/>
          <w:tab w:val="clear" w:pos="1701"/>
          <w:tab w:val="clear" w:pos="2268"/>
        </w:tabs>
        <w:spacing w:before="120" w:after="120"/>
        <w:ind w:left="490"/>
        <w:rPr>
          <w:rFonts w:eastAsia="SimSun"/>
          <w:kern w:val="22"/>
          <w:sz w:val="24"/>
          <w:szCs w:val="24"/>
          <w:lang w:val="zh-CN"/>
        </w:rPr>
      </w:pPr>
      <w:r w:rsidRPr="000C0842">
        <w:rPr>
          <w:rFonts w:eastAsia="SimSun" w:hint="eastAsia"/>
          <w:kern w:val="22"/>
          <w:sz w:val="24"/>
          <w:szCs w:val="24"/>
          <w:lang w:val="zh-CN"/>
        </w:rPr>
        <w:t>14.</w:t>
      </w:r>
      <w:r w:rsidRPr="000C0842">
        <w:rPr>
          <w:rFonts w:eastAsia="SimSun" w:hint="eastAsia"/>
          <w:kern w:val="22"/>
          <w:sz w:val="24"/>
          <w:szCs w:val="24"/>
          <w:lang w:val="zh-CN"/>
        </w:rPr>
        <w:tab/>
      </w:r>
      <w:r w:rsidRPr="000C0842">
        <w:rPr>
          <w:rFonts w:eastAsia="SimSun" w:hint="eastAsia"/>
          <w:kern w:val="22"/>
          <w:sz w:val="24"/>
          <w:szCs w:val="24"/>
          <w:lang w:val="zh-CN"/>
        </w:rPr>
        <w:t>执行问题附属机构将在非正式咨询小组的支持下，定期审查全球协调实体以及区域和次区域支持中心的运作情况，包括对其定期报告进行分析。第一次审查将由缔约方大会第十七届会议审议。这些实体基于成果的工作计划和向缔约方大会提交的报告，将是监测和评估该机制的主要信息来源。</w:t>
      </w:r>
    </w:p>
    <w:p w14:paraId="7909F86B" w14:textId="77777777" w:rsidR="00175F49" w:rsidRPr="000C0842" w:rsidRDefault="00175F49" w:rsidP="00175F49">
      <w:pPr>
        <w:tabs>
          <w:tab w:val="clear" w:pos="567"/>
          <w:tab w:val="clear" w:pos="1134"/>
          <w:tab w:val="clear" w:pos="1701"/>
          <w:tab w:val="clear" w:pos="2268"/>
        </w:tabs>
        <w:spacing w:before="120" w:after="120"/>
        <w:ind w:left="490"/>
        <w:rPr>
          <w:rFonts w:eastAsia="Times New Roman"/>
          <w:szCs w:val="24"/>
          <w:lang w:val="en-GB"/>
        </w:rPr>
      </w:pPr>
      <w:r w:rsidRPr="000C0842">
        <w:rPr>
          <w:rFonts w:eastAsia="SimSun" w:hint="eastAsia"/>
          <w:kern w:val="22"/>
          <w:sz w:val="24"/>
          <w:szCs w:val="24"/>
          <w:lang w:val="zh-CN"/>
        </w:rPr>
        <w:t>15.</w:t>
      </w:r>
      <w:r w:rsidRPr="000C0842">
        <w:rPr>
          <w:rFonts w:eastAsia="SimSun" w:hint="eastAsia"/>
          <w:kern w:val="22"/>
          <w:sz w:val="24"/>
          <w:szCs w:val="24"/>
          <w:lang w:val="zh-CN"/>
        </w:rPr>
        <w:tab/>
      </w:r>
      <w:r w:rsidRPr="000C0842">
        <w:rPr>
          <w:rFonts w:eastAsia="SimSun" w:hint="eastAsia"/>
          <w:kern w:val="22"/>
          <w:sz w:val="24"/>
          <w:szCs w:val="24"/>
          <w:lang w:val="zh-CN"/>
        </w:rPr>
        <w:t>执行秘书将根据第</w:t>
      </w:r>
      <w:r w:rsidRPr="000C0842">
        <w:rPr>
          <w:rFonts w:eastAsia="SimSun" w:hint="eastAsia"/>
          <w:kern w:val="22"/>
          <w:sz w:val="24"/>
          <w:szCs w:val="24"/>
          <w:lang w:val="zh-CN"/>
        </w:rPr>
        <w:t xml:space="preserve"> </w:t>
      </w:r>
      <w:hyperlink r:id="rId39" w:history="1">
        <w:r w:rsidRPr="000C0842">
          <w:rPr>
            <w:rFonts w:eastAsia="SimSun" w:hint="eastAsia"/>
            <w:kern w:val="22"/>
            <w:sz w:val="24"/>
            <w:szCs w:val="24"/>
            <w:u w:val="single"/>
            <w:lang w:val="zh-CN"/>
          </w:rPr>
          <w:t>15/8</w:t>
        </w:r>
      </w:hyperlink>
      <w:r w:rsidRPr="000C0842">
        <w:rPr>
          <w:rFonts w:eastAsia="SimSun" w:hint="eastAsia"/>
          <w:kern w:val="22"/>
          <w:sz w:val="24"/>
          <w:szCs w:val="24"/>
          <w:lang w:val="zh-CN"/>
        </w:rPr>
        <w:t xml:space="preserve"> </w:t>
      </w:r>
      <w:r w:rsidRPr="000C0842">
        <w:rPr>
          <w:rFonts w:eastAsia="SimSun" w:hint="eastAsia"/>
          <w:kern w:val="22"/>
          <w:sz w:val="24"/>
          <w:szCs w:val="24"/>
          <w:lang w:val="zh-CN"/>
        </w:rPr>
        <w:t>号决定委托对全球协调实体以及区域和次区域支持中心进行独立评价。评价报告将由执行问题附属机构在缔约方大会第十九届会议之前举行的某次会议审议，并由缔约方大会第十九届会议审议。</w:t>
      </w:r>
      <w:r w:rsidRPr="000C0842">
        <w:rPr>
          <w:rFonts w:eastAsia="SimSun" w:hint="eastAsia"/>
          <w:kern w:val="22"/>
          <w:sz w:val="24"/>
          <w:szCs w:val="24"/>
          <w:lang w:val="zh-CN"/>
        </w:rPr>
        <w:t xml:space="preserve"> </w:t>
      </w:r>
    </w:p>
    <w:p w14:paraId="54175A34" w14:textId="77777777" w:rsidR="00184519" w:rsidRPr="000C0842" w:rsidRDefault="00184519" w:rsidP="005D0C65">
      <w:pPr>
        <w:tabs>
          <w:tab w:val="clear" w:pos="567"/>
          <w:tab w:val="clear" w:pos="1134"/>
          <w:tab w:val="clear" w:pos="1701"/>
          <w:tab w:val="clear" w:pos="2268"/>
        </w:tabs>
        <w:spacing w:after="160" w:line="259" w:lineRule="auto"/>
        <w:jc w:val="left"/>
        <w:rPr>
          <w:rFonts w:ascii="SimSun" w:hAnsi="SimSun"/>
          <w:b/>
          <w:bCs/>
          <w:kern w:val="22"/>
          <w:sz w:val="24"/>
          <w:szCs w:val="24"/>
          <w:lang w:val="en-GB"/>
        </w:rPr>
      </w:pPr>
      <w:r w:rsidRPr="000C0842">
        <w:rPr>
          <w:rFonts w:ascii="SimSun" w:hAnsi="SimSun"/>
          <w:b/>
          <w:bCs/>
          <w:kern w:val="22"/>
          <w:sz w:val="24"/>
          <w:szCs w:val="24"/>
          <w:lang w:val="en-GB"/>
        </w:rPr>
        <w:br w:type="page"/>
      </w:r>
    </w:p>
    <w:p w14:paraId="342DA1D7" w14:textId="6044F052" w:rsidR="006D5DBD" w:rsidRPr="000C0842" w:rsidRDefault="006D5DBD" w:rsidP="002437E6">
      <w:pPr>
        <w:pStyle w:val="a1"/>
        <w:rPr>
          <w:rFonts w:hint="eastAsia"/>
          <w:lang w:eastAsia="zh-CN"/>
        </w:rPr>
      </w:pPr>
      <w:bookmarkStart w:id="10" w:name="_Toc206358196"/>
      <w:r w:rsidRPr="000C0842">
        <w:rPr>
          <w:lang w:eastAsia="zh-CN"/>
        </w:rPr>
        <w:t>16/4.</w:t>
      </w:r>
      <w:r w:rsidRPr="000C0842">
        <w:rPr>
          <w:lang w:eastAsia="zh-CN"/>
        </w:rPr>
        <w:tab/>
      </w:r>
      <w:r w:rsidR="002437E6" w:rsidRPr="000C0842">
        <w:rPr>
          <w:rFonts w:hint="eastAsia"/>
          <w:lang w:eastAsia="zh-CN"/>
        </w:rPr>
        <w:t xml:space="preserve"> </w:t>
      </w:r>
      <w:r w:rsidRPr="000C0842">
        <w:rPr>
          <w:lang w:eastAsia="zh-CN"/>
        </w:rPr>
        <w:t>至</w:t>
      </w:r>
      <w:r w:rsidRPr="000C0842">
        <w:rPr>
          <w:lang w:eastAsia="zh-CN"/>
        </w:rPr>
        <w:t>2030</w:t>
      </w:r>
      <w:r w:rsidRPr="000C0842">
        <w:rPr>
          <w:lang w:eastAsia="zh-CN"/>
        </w:rPr>
        <w:t>年《生物多样性公约》关于土著人民和地方社区的第</w:t>
      </w:r>
      <w:r w:rsidRPr="000C0842">
        <w:rPr>
          <w:lang w:eastAsia="zh-CN"/>
        </w:rPr>
        <w:t>8(j)</w:t>
      </w:r>
      <w:r w:rsidRPr="000C0842">
        <w:rPr>
          <w:lang w:eastAsia="zh-CN"/>
        </w:rPr>
        <w:t>条和其他条款的工作方案</w:t>
      </w:r>
      <w:bookmarkEnd w:id="10"/>
    </w:p>
    <w:p w14:paraId="55A67F49" w14:textId="77777777" w:rsidR="006D5DBD" w:rsidRPr="000C0842" w:rsidRDefault="006D5DBD" w:rsidP="00444037">
      <w:pPr>
        <w:tabs>
          <w:tab w:val="clear" w:pos="567"/>
          <w:tab w:val="clear" w:pos="1134"/>
          <w:tab w:val="clear" w:pos="1701"/>
          <w:tab w:val="clear" w:pos="2268"/>
        </w:tabs>
        <w:spacing w:before="240" w:after="120"/>
        <w:ind w:left="490" w:firstLine="490"/>
        <w:rPr>
          <w:rFonts w:eastAsia="KaiTi"/>
          <w:sz w:val="24"/>
          <w:szCs w:val="24"/>
          <w:lang w:val="en-GB"/>
        </w:rPr>
      </w:pPr>
      <w:r w:rsidRPr="000C0842">
        <w:rPr>
          <w:rFonts w:eastAsia="KaiTi"/>
          <w:sz w:val="24"/>
          <w:szCs w:val="24"/>
          <w:lang w:val="en-GB"/>
        </w:rPr>
        <w:t>缔约方大会，</w:t>
      </w:r>
    </w:p>
    <w:p w14:paraId="6F6DE69D"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回顾</w:t>
      </w:r>
      <w:r w:rsidRPr="000C0842">
        <w:rPr>
          <w:rFonts w:eastAsia="SimSun"/>
          <w:sz w:val="24"/>
          <w:szCs w:val="24"/>
          <w:lang w:val="en-GB"/>
        </w:rPr>
        <w:t>其</w:t>
      </w:r>
      <w:r w:rsidRPr="000C0842">
        <w:rPr>
          <w:rFonts w:eastAsia="SimSun"/>
          <w:sz w:val="24"/>
          <w:szCs w:val="24"/>
          <w:lang w:val="en-GB"/>
        </w:rPr>
        <w:t>2000</w:t>
      </w:r>
      <w:r w:rsidRPr="000C0842">
        <w:rPr>
          <w:rFonts w:eastAsia="SimSun"/>
          <w:sz w:val="24"/>
          <w:szCs w:val="24"/>
          <w:lang w:val="en-GB"/>
        </w:rPr>
        <w:t>年</w:t>
      </w:r>
      <w:r w:rsidRPr="000C0842">
        <w:rPr>
          <w:rFonts w:eastAsia="SimSun"/>
          <w:sz w:val="24"/>
          <w:szCs w:val="24"/>
          <w:lang w:val="en-GB"/>
        </w:rPr>
        <w:t>5</w:t>
      </w:r>
      <w:r w:rsidRPr="000C0842">
        <w:rPr>
          <w:rFonts w:eastAsia="SimSun"/>
          <w:sz w:val="24"/>
          <w:szCs w:val="24"/>
          <w:lang w:val="en-GB"/>
        </w:rPr>
        <w:t>月</w:t>
      </w:r>
      <w:r w:rsidRPr="000C0842">
        <w:rPr>
          <w:rFonts w:eastAsia="SimSun"/>
          <w:sz w:val="24"/>
          <w:szCs w:val="24"/>
          <w:lang w:val="en-GB"/>
        </w:rPr>
        <w:t>26</w:t>
      </w:r>
      <w:r w:rsidRPr="000C0842">
        <w:rPr>
          <w:rFonts w:eastAsia="SimSun"/>
          <w:sz w:val="24"/>
          <w:szCs w:val="24"/>
          <w:lang w:val="en-GB"/>
        </w:rPr>
        <w:t>日第</w:t>
      </w:r>
      <w:hyperlink r:id="rId40" w:history="1">
        <w:r w:rsidRPr="000C0842">
          <w:rPr>
            <w:rFonts w:eastAsia="SimSun"/>
            <w:sz w:val="24"/>
            <w:szCs w:val="24"/>
            <w:u w:val="single"/>
            <w:lang w:val="en-GB"/>
          </w:rPr>
          <w:t>V/16</w:t>
        </w:r>
      </w:hyperlink>
      <w:r w:rsidRPr="000C0842">
        <w:rPr>
          <w:rFonts w:eastAsia="SimSun"/>
          <w:sz w:val="24"/>
          <w:szCs w:val="24"/>
          <w:lang w:val="en-GB"/>
        </w:rPr>
        <w:t>号决定，其中认可该决定所附关于执行《生物多样性公约》</w:t>
      </w:r>
      <w:r w:rsidRPr="000C0842">
        <w:rPr>
          <w:rFonts w:eastAsia="SimSun"/>
          <w:sz w:val="24"/>
          <w:vertAlign w:val="superscript"/>
        </w:rPr>
        <w:footnoteReference w:id="25"/>
      </w:r>
      <w:r w:rsidRPr="000C0842">
        <w:rPr>
          <w:rFonts w:eastAsia="SimSun"/>
          <w:sz w:val="24"/>
          <w:szCs w:val="24"/>
          <w:lang w:val="en-GB"/>
        </w:rPr>
        <w:t>第</w:t>
      </w:r>
      <w:r w:rsidRPr="000C0842">
        <w:rPr>
          <w:rFonts w:eastAsia="SimSun"/>
          <w:sz w:val="24"/>
          <w:szCs w:val="24"/>
          <w:lang w:val="en-GB"/>
        </w:rPr>
        <w:t>8(j)</w:t>
      </w:r>
      <w:r w:rsidRPr="000C0842">
        <w:rPr>
          <w:rFonts w:eastAsia="SimSun"/>
          <w:sz w:val="24"/>
          <w:szCs w:val="24"/>
          <w:lang w:val="en-GB"/>
        </w:rPr>
        <w:t>条及相关条款的工作方案，以及</w:t>
      </w:r>
      <w:r w:rsidRPr="000C0842">
        <w:rPr>
          <w:rFonts w:eastAsia="SimSun"/>
          <w:sz w:val="24"/>
          <w:szCs w:val="24"/>
          <w:lang w:val="en-GB"/>
        </w:rPr>
        <w:t>2010</w:t>
      </w:r>
      <w:r w:rsidRPr="000C0842">
        <w:rPr>
          <w:rFonts w:eastAsia="SimSun"/>
          <w:sz w:val="24"/>
          <w:szCs w:val="24"/>
          <w:lang w:val="en-GB"/>
        </w:rPr>
        <w:t>年</w:t>
      </w: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29</w:t>
      </w:r>
      <w:r w:rsidRPr="000C0842">
        <w:rPr>
          <w:rFonts w:eastAsia="SimSun"/>
          <w:sz w:val="24"/>
          <w:szCs w:val="24"/>
          <w:lang w:val="en-GB"/>
        </w:rPr>
        <w:t>日第</w:t>
      </w:r>
      <w:hyperlink r:id="rId41" w:history="1">
        <w:r w:rsidRPr="000C0842">
          <w:rPr>
            <w:rFonts w:eastAsia="SimSun"/>
            <w:sz w:val="24"/>
            <w:szCs w:val="24"/>
            <w:u w:val="single"/>
            <w:lang w:val="en-GB"/>
          </w:rPr>
          <w:t>X/43</w:t>
        </w:r>
      </w:hyperlink>
      <w:r w:rsidRPr="000C0842">
        <w:rPr>
          <w:rFonts w:eastAsia="SimSun"/>
          <w:sz w:val="24"/>
          <w:szCs w:val="24"/>
          <w:lang w:val="en-GB"/>
        </w:rPr>
        <w:t>号决定，其中修订了</w:t>
      </w:r>
      <w:r w:rsidRPr="000C0842">
        <w:rPr>
          <w:rFonts w:eastAsia="SimSun"/>
          <w:sz w:val="24"/>
          <w:szCs w:val="24"/>
          <w:lang w:val="en-GB"/>
        </w:rPr>
        <w:t>2010-2020</w:t>
      </w:r>
      <w:r w:rsidRPr="000C0842">
        <w:rPr>
          <w:rFonts w:eastAsia="SimSun"/>
          <w:sz w:val="24"/>
          <w:szCs w:val="24"/>
          <w:lang w:val="en-GB"/>
        </w:rPr>
        <w:t>年期间的上述工作方案，</w:t>
      </w:r>
    </w:p>
    <w:p w14:paraId="6634FFBB"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认识到</w:t>
      </w:r>
      <w:r w:rsidRPr="000C0842">
        <w:rPr>
          <w:rFonts w:eastAsia="SimSun"/>
          <w:sz w:val="24"/>
          <w:szCs w:val="24"/>
          <w:lang w:val="en-GB"/>
        </w:rPr>
        <w:t>需要一个符合并支持执行《昆明</w:t>
      </w:r>
      <w:r w:rsidRPr="000C0842">
        <w:rPr>
          <w:rFonts w:eastAsia="SimSun"/>
          <w:sz w:val="24"/>
          <w:szCs w:val="24"/>
          <w:lang w:val="en-GB"/>
        </w:rPr>
        <w:t>-</w:t>
      </w:r>
      <w:r w:rsidRPr="000C0842">
        <w:rPr>
          <w:rFonts w:eastAsia="SimSun"/>
          <w:sz w:val="24"/>
          <w:szCs w:val="24"/>
          <w:lang w:val="en-GB"/>
        </w:rPr>
        <w:t>蒙特利尔全球生物多样性框架》</w:t>
      </w:r>
      <w:r w:rsidRPr="000C0842">
        <w:rPr>
          <w:rFonts w:eastAsia="SimSun"/>
          <w:sz w:val="24"/>
          <w:vertAlign w:val="superscript"/>
        </w:rPr>
        <w:footnoteReference w:id="26"/>
      </w:r>
      <w:r w:rsidRPr="000C0842">
        <w:rPr>
          <w:rFonts w:eastAsia="SimSun"/>
          <w:sz w:val="24"/>
          <w:szCs w:val="24"/>
          <w:lang w:val="en-GB"/>
        </w:rPr>
        <w:t>的更全面、更具前瞻性和统筹性的工作方案，</w:t>
      </w:r>
    </w:p>
    <w:p w14:paraId="1A439BF3"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又认识到</w:t>
      </w:r>
      <w:r w:rsidRPr="000C0842">
        <w:rPr>
          <w:rFonts w:eastAsia="SimSun"/>
          <w:sz w:val="24"/>
          <w:szCs w:val="24"/>
          <w:lang w:val="en-GB"/>
        </w:rPr>
        <w:t>并尊重《公约》的范围和条款，</w:t>
      </w:r>
    </w:p>
    <w:p w14:paraId="2EC28C26"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借鉴</w:t>
      </w:r>
      <w:r w:rsidRPr="000C0842">
        <w:rPr>
          <w:rFonts w:eastAsia="SimSun"/>
          <w:sz w:val="24"/>
          <w:szCs w:val="24"/>
          <w:lang w:val="en-GB"/>
        </w:rPr>
        <w:t>关于土著人民和地方社区有关生物多样性养护和可持续利用的知识、创新和做法的现状和趋势的综合报告</w:t>
      </w:r>
      <w:r w:rsidRPr="000C0842">
        <w:rPr>
          <w:rFonts w:eastAsia="SimSun"/>
          <w:sz w:val="24"/>
          <w:vertAlign w:val="superscript"/>
        </w:rPr>
        <w:footnoteReference w:id="27"/>
      </w:r>
      <w:r w:rsidRPr="000C0842">
        <w:rPr>
          <w:rFonts w:eastAsia="SimSun"/>
          <w:sz w:val="24"/>
          <w:szCs w:val="24"/>
          <w:lang w:val="en-GB"/>
        </w:rPr>
        <w:t>，以及公约第</w:t>
      </w:r>
      <w:r w:rsidRPr="000C0842">
        <w:rPr>
          <w:rFonts w:eastAsia="SimSun"/>
          <w:sz w:val="24"/>
          <w:szCs w:val="24"/>
          <w:lang w:val="en-GB"/>
        </w:rPr>
        <w:t>8(j)</w:t>
      </w:r>
      <w:r w:rsidRPr="000C0842">
        <w:rPr>
          <w:rFonts w:eastAsia="SimSun"/>
          <w:sz w:val="24"/>
          <w:szCs w:val="24"/>
          <w:lang w:val="en-GB"/>
        </w:rPr>
        <w:t>条和相关条款问题不限成员名额闭会期间特设工作组已经制定并经缔约方大会通过的准则</w:t>
      </w:r>
      <w:r w:rsidRPr="000C0842">
        <w:rPr>
          <w:rFonts w:eastAsia="SimSun"/>
          <w:sz w:val="24"/>
          <w:vertAlign w:val="superscript"/>
        </w:rPr>
        <w:footnoteReference w:id="28"/>
      </w:r>
      <w:r w:rsidRPr="000C0842">
        <w:rPr>
          <w:rFonts w:eastAsia="SimSun"/>
          <w:sz w:val="24"/>
          <w:szCs w:val="24"/>
          <w:lang w:val="en-GB"/>
        </w:rPr>
        <w:t>和其他工具，</w:t>
      </w:r>
    </w:p>
    <w:p w14:paraId="78876398" w14:textId="2F1EF5B4"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强调</w:t>
      </w:r>
      <w:r w:rsidRPr="000C0842">
        <w:rPr>
          <w:rFonts w:eastAsia="SimSun"/>
          <w:sz w:val="24"/>
          <w:szCs w:val="24"/>
          <w:lang w:val="en-GB"/>
        </w:rPr>
        <w:t>需要在国家层面有效执行缔约方大会通过的关于《公约》第</w:t>
      </w:r>
      <w:r w:rsidRPr="000C0842">
        <w:rPr>
          <w:rFonts w:eastAsia="SimSun"/>
          <w:sz w:val="24"/>
          <w:szCs w:val="24"/>
          <w:lang w:val="en-GB"/>
        </w:rPr>
        <w:t>8(j)</w:t>
      </w:r>
      <w:r w:rsidRPr="000C0842">
        <w:rPr>
          <w:rFonts w:eastAsia="SimSun"/>
          <w:sz w:val="24"/>
          <w:szCs w:val="24"/>
          <w:lang w:val="en-GB"/>
        </w:rPr>
        <w:t>条和其他条款的准则和其他工具，以支持执行</w:t>
      </w:r>
      <w:r w:rsidR="001A5C0A" w:rsidRPr="000C0842">
        <w:rPr>
          <w:rFonts w:eastAsia="SimSun"/>
          <w:sz w:val="24"/>
          <w:szCs w:val="24"/>
          <w:lang w:val="en-GB"/>
        </w:rPr>
        <w:t>《昆蒙框架》</w:t>
      </w:r>
      <w:r w:rsidRPr="000C0842">
        <w:rPr>
          <w:rFonts w:eastAsia="SimSun"/>
          <w:sz w:val="24"/>
          <w:szCs w:val="24"/>
          <w:lang w:val="en-GB"/>
        </w:rPr>
        <w:t>的相关长期目标和行动目标，</w:t>
      </w:r>
    </w:p>
    <w:p w14:paraId="7D04BD98"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注意到</w:t>
      </w:r>
      <w:r w:rsidRPr="000C0842">
        <w:rPr>
          <w:rFonts w:eastAsia="SimSun"/>
          <w:sz w:val="24"/>
          <w:szCs w:val="24"/>
          <w:lang w:val="en-GB"/>
        </w:rPr>
        <w:t>缔约方仍在执行第</w:t>
      </w:r>
      <w:hyperlink r:id="rId42" w:history="1">
        <w:r w:rsidRPr="000C0842">
          <w:rPr>
            <w:rFonts w:eastAsia="SimSun"/>
            <w:sz w:val="24"/>
            <w:szCs w:val="24"/>
            <w:u w:val="single"/>
            <w:lang w:val="en-GB"/>
          </w:rPr>
          <w:t>V/16</w:t>
        </w:r>
      </w:hyperlink>
      <w:r w:rsidRPr="000C0842">
        <w:rPr>
          <w:rFonts w:eastAsia="SimSun"/>
          <w:sz w:val="24"/>
          <w:szCs w:val="24"/>
          <w:lang w:val="en-GB"/>
        </w:rPr>
        <w:t>号决定通过和第</w:t>
      </w:r>
      <w:hyperlink r:id="rId43" w:history="1">
        <w:r w:rsidRPr="000C0842">
          <w:rPr>
            <w:rFonts w:eastAsia="SimSun"/>
            <w:sz w:val="24"/>
            <w:szCs w:val="24"/>
            <w:u w:val="single"/>
            <w:lang w:val="en-GB"/>
          </w:rPr>
          <w:t>X/43</w:t>
        </w:r>
      </w:hyperlink>
      <w:r w:rsidRPr="000C0842">
        <w:rPr>
          <w:rFonts w:eastAsia="SimSun"/>
          <w:sz w:val="24"/>
          <w:szCs w:val="24"/>
          <w:lang w:val="en-GB"/>
        </w:rPr>
        <w:t>号决定修订的《公约》第</w:t>
      </w:r>
      <w:r w:rsidRPr="000C0842">
        <w:rPr>
          <w:rFonts w:eastAsia="SimSun"/>
          <w:sz w:val="24"/>
          <w:szCs w:val="24"/>
          <w:lang w:val="en-GB"/>
        </w:rPr>
        <w:t>8(j)</w:t>
      </w:r>
      <w:r w:rsidRPr="000C0842">
        <w:rPr>
          <w:rFonts w:eastAsia="SimSun"/>
          <w:sz w:val="24"/>
          <w:szCs w:val="24"/>
          <w:lang w:val="en-GB"/>
        </w:rPr>
        <w:t>条和相关条款工作方案中的一些任务，</w:t>
      </w:r>
    </w:p>
    <w:p w14:paraId="39EA6854"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决定</w:t>
      </w:r>
      <w:r w:rsidRPr="000C0842">
        <w:rPr>
          <w:rFonts w:ascii="SimSun" w:eastAsia="SimSun" w:hAnsi="SimSun" w:cs="SimSun" w:hint="eastAsia"/>
          <w:sz w:val="24"/>
          <w:szCs w:val="24"/>
          <w:lang w:val="en-GB"/>
        </w:rPr>
        <w:t>通过本决定附件所载至</w:t>
      </w:r>
      <w:r w:rsidRPr="000C0842">
        <w:rPr>
          <w:rFonts w:eastAsia="Times New Roman"/>
          <w:sz w:val="24"/>
          <w:szCs w:val="24"/>
          <w:lang w:val="en-GB"/>
        </w:rPr>
        <w:t>2030</w:t>
      </w:r>
      <w:r w:rsidRPr="000C0842">
        <w:rPr>
          <w:rFonts w:ascii="SimSun" w:eastAsia="SimSun" w:hAnsi="SimSun" w:cs="SimSun" w:hint="eastAsia"/>
          <w:sz w:val="24"/>
          <w:szCs w:val="24"/>
          <w:lang w:val="en-GB"/>
        </w:rPr>
        <w:t>年《生物多样性公约》关于土著人民和地方社区的第</w:t>
      </w:r>
      <w:r w:rsidRPr="000C0842">
        <w:rPr>
          <w:rFonts w:eastAsia="Times New Roman"/>
          <w:sz w:val="24"/>
          <w:szCs w:val="24"/>
          <w:lang w:val="en-GB"/>
        </w:rPr>
        <w:t>8(j)</w:t>
      </w:r>
      <w:r w:rsidRPr="000C0842">
        <w:rPr>
          <w:rFonts w:ascii="SimSun" w:eastAsia="SimSun" w:hAnsi="SimSun" w:cs="SimSun" w:hint="eastAsia"/>
          <w:sz w:val="24"/>
          <w:szCs w:val="24"/>
          <w:lang w:val="en-GB"/>
        </w:rPr>
        <w:t>条和其他条款的工作方案，优先考虑那些直接有助于及时、全面和有效执行《昆明</w:t>
      </w:r>
      <w:r w:rsidRPr="000C0842">
        <w:rPr>
          <w:rFonts w:eastAsia="Times New Roman"/>
          <w:sz w:val="24"/>
          <w:szCs w:val="24"/>
          <w:lang w:val="en-GB"/>
        </w:rPr>
        <w:t>-</w:t>
      </w:r>
      <w:r w:rsidRPr="000C0842">
        <w:rPr>
          <w:rFonts w:ascii="SimSun" w:eastAsia="SimSun" w:hAnsi="SimSun" w:cs="SimSun" w:hint="eastAsia"/>
          <w:sz w:val="24"/>
          <w:szCs w:val="24"/>
          <w:lang w:val="en-GB"/>
        </w:rPr>
        <w:t>蒙特利尔全球生物多样性框架》的任务；</w:t>
      </w:r>
    </w:p>
    <w:p w14:paraId="70B13EF2"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请</w:t>
      </w:r>
      <w:r w:rsidRPr="000C0842">
        <w:rPr>
          <w:rFonts w:ascii="SimSun" w:eastAsia="SimSun" w:hAnsi="SimSun" w:cs="SimSun" w:hint="eastAsia"/>
          <w:sz w:val="24"/>
          <w:szCs w:val="24"/>
          <w:lang w:val="en-GB"/>
        </w:rPr>
        <w:t>缔约方并邀请其他国家政府在其国家报告中报告《公约》关于土著人民和地方社区的第</w:t>
      </w:r>
      <w:r w:rsidRPr="000C0842">
        <w:rPr>
          <w:rFonts w:eastAsia="Times New Roman"/>
          <w:sz w:val="24"/>
          <w:szCs w:val="24"/>
          <w:lang w:val="en-GB"/>
        </w:rPr>
        <w:t>8(j)</w:t>
      </w:r>
      <w:r w:rsidRPr="000C0842">
        <w:rPr>
          <w:rFonts w:ascii="SimSun" w:eastAsia="SimSun" w:hAnsi="SimSun" w:cs="SimSun" w:hint="eastAsia"/>
          <w:sz w:val="24"/>
          <w:szCs w:val="24"/>
          <w:lang w:val="en-GB"/>
        </w:rPr>
        <w:t>条和其他条款的工作方案的执行进度，包括现有相关准则和标准的应用情况；</w:t>
      </w:r>
    </w:p>
    <w:p w14:paraId="5AC8C159" w14:textId="1015923F"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决定</w:t>
      </w:r>
      <w:r w:rsidRPr="000C0842">
        <w:rPr>
          <w:rFonts w:ascii="SimSun" w:eastAsia="SimSun" w:hAnsi="SimSun" w:cs="SimSun" w:hint="eastAsia"/>
          <w:sz w:val="24"/>
          <w:szCs w:val="24"/>
          <w:lang w:val="en-GB"/>
        </w:rPr>
        <w:t>执行《公约》关于土著人民和地方社区的第</w:t>
      </w:r>
      <w:r w:rsidRPr="000C0842">
        <w:rPr>
          <w:rFonts w:eastAsia="Times New Roman"/>
          <w:sz w:val="24"/>
          <w:szCs w:val="24"/>
          <w:lang w:val="en-GB"/>
        </w:rPr>
        <w:t>8</w:t>
      </w:r>
      <w:r w:rsidR="00D40E31" w:rsidRPr="000C0842">
        <w:rPr>
          <w:rFonts w:eastAsia="Times New Roman"/>
          <w:sz w:val="24"/>
          <w:szCs w:val="24"/>
          <w:lang w:val="en-GB"/>
        </w:rPr>
        <w:t>(j)</w:t>
      </w:r>
      <w:r w:rsidRPr="000C0842">
        <w:rPr>
          <w:rFonts w:ascii="SimSun" w:eastAsia="SimSun" w:hAnsi="SimSun" w:cs="SimSun" w:hint="eastAsia"/>
          <w:sz w:val="24"/>
          <w:szCs w:val="24"/>
          <w:lang w:val="en-GB"/>
        </w:rPr>
        <w:t>条和其他条款的工作方案，同时酌情考虑到各国法律、国情和优先事项；</w:t>
      </w:r>
    </w:p>
    <w:p w14:paraId="62AE61D9"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重申</w:t>
      </w:r>
      <w:r w:rsidRPr="000C0842">
        <w:rPr>
          <w:rFonts w:ascii="SimSun" w:eastAsia="SimSun" w:hAnsi="SimSun" w:cs="SimSun" w:hint="eastAsia"/>
          <w:sz w:val="24"/>
          <w:szCs w:val="24"/>
          <w:lang w:val="en-GB"/>
        </w:rPr>
        <w:t>其在</w:t>
      </w:r>
      <w:r w:rsidRPr="000C0842">
        <w:rPr>
          <w:rFonts w:eastAsia="Times New Roman"/>
          <w:sz w:val="24"/>
          <w:szCs w:val="24"/>
          <w:lang w:val="en-GB"/>
        </w:rPr>
        <w:t xml:space="preserve"> 2010 </w:t>
      </w:r>
      <w:r w:rsidRPr="000C0842">
        <w:rPr>
          <w:rFonts w:ascii="SimSun" w:eastAsia="SimSun" w:hAnsi="SimSun" w:cs="SimSun" w:hint="eastAsia"/>
          <w:sz w:val="24"/>
          <w:szCs w:val="24"/>
          <w:lang w:val="en-GB"/>
        </w:rPr>
        <w:t>年</w:t>
      </w:r>
      <w:r w:rsidRPr="000C0842">
        <w:rPr>
          <w:rFonts w:eastAsia="Times New Roman"/>
          <w:sz w:val="24"/>
          <w:szCs w:val="24"/>
          <w:lang w:val="en-GB"/>
        </w:rPr>
        <w:t xml:space="preserve"> 10 </w:t>
      </w:r>
      <w:r w:rsidRPr="000C0842">
        <w:rPr>
          <w:rFonts w:ascii="SimSun" w:eastAsia="SimSun" w:hAnsi="SimSun" w:cs="SimSun" w:hint="eastAsia"/>
          <w:sz w:val="24"/>
          <w:szCs w:val="24"/>
          <w:lang w:val="en-GB"/>
        </w:rPr>
        <w:t>月</w:t>
      </w:r>
      <w:r w:rsidRPr="000C0842">
        <w:rPr>
          <w:rFonts w:eastAsia="Times New Roman"/>
          <w:sz w:val="24"/>
          <w:szCs w:val="24"/>
          <w:lang w:val="en-GB"/>
        </w:rPr>
        <w:t xml:space="preserve"> 29 </w:t>
      </w:r>
      <w:r w:rsidRPr="000C0842">
        <w:rPr>
          <w:rFonts w:ascii="SimSun" w:eastAsia="SimSun" w:hAnsi="SimSun" w:cs="SimSun" w:hint="eastAsia"/>
          <w:sz w:val="24"/>
          <w:szCs w:val="24"/>
          <w:lang w:val="en-GB"/>
        </w:rPr>
        <w:t>日第</w:t>
      </w:r>
      <w:r w:rsidRPr="000C0842">
        <w:rPr>
          <w:rFonts w:eastAsia="Times New Roman"/>
          <w:sz w:val="24"/>
          <w:szCs w:val="24"/>
          <w:lang w:val="en-GB"/>
        </w:rPr>
        <w:t xml:space="preserve"> </w:t>
      </w:r>
      <w:hyperlink r:id="rId44" w:history="1">
        <w:r w:rsidRPr="000C0842">
          <w:rPr>
            <w:rFonts w:eastAsia="Times New Roman"/>
            <w:sz w:val="24"/>
            <w:szCs w:val="24"/>
            <w:u w:val="single"/>
            <w:lang w:val="en-GB"/>
          </w:rPr>
          <w:t>X/40 B</w:t>
        </w:r>
      </w:hyperlink>
      <w:r w:rsidRPr="000C0842">
        <w:rPr>
          <w:rFonts w:eastAsia="Times New Roman"/>
          <w:sz w:val="24"/>
          <w:szCs w:val="24"/>
          <w:lang w:val="en-GB"/>
        </w:rPr>
        <w:t xml:space="preserve"> </w:t>
      </w:r>
      <w:r w:rsidRPr="000C0842">
        <w:rPr>
          <w:rFonts w:ascii="SimSun" w:eastAsia="SimSun" w:hAnsi="SimSun" w:cs="SimSun" w:hint="eastAsia"/>
          <w:sz w:val="24"/>
          <w:szCs w:val="24"/>
          <w:lang w:val="en-GB"/>
        </w:rPr>
        <w:t>号决定第</w:t>
      </w:r>
      <w:r w:rsidRPr="000C0842">
        <w:rPr>
          <w:rFonts w:eastAsia="Times New Roman"/>
          <w:sz w:val="24"/>
          <w:szCs w:val="24"/>
          <w:lang w:val="en-GB"/>
        </w:rPr>
        <w:t xml:space="preserve"> 7 </w:t>
      </w:r>
      <w:r w:rsidRPr="000C0842">
        <w:rPr>
          <w:rFonts w:ascii="SimSun" w:eastAsia="SimSun" w:hAnsi="SimSun" w:cs="SimSun" w:hint="eastAsia"/>
          <w:sz w:val="24"/>
          <w:szCs w:val="24"/>
          <w:lang w:val="en-GB"/>
        </w:rPr>
        <w:t>段中向缔约方发出的邀请，考虑指定《公约》第</w:t>
      </w:r>
      <w:r w:rsidRPr="000C0842">
        <w:rPr>
          <w:rFonts w:eastAsia="Times New Roman"/>
          <w:sz w:val="24"/>
          <w:szCs w:val="24"/>
          <w:lang w:val="en-GB"/>
        </w:rPr>
        <w:t xml:space="preserve"> 8(j)</w:t>
      </w:r>
      <w:r w:rsidRPr="000C0842">
        <w:rPr>
          <w:rFonts w:ascii="SimSun" w:eastAsia="SimSun" w:hAnsi="SimSun" w:cs="SimSun" w:hint="eastAsia"/>
          <w:sz w:val="24"/>
          <w:szCs w:val="24"/>
          <w:lang w:val="en-GB"/>
        </w:rPr>
        <w:t>条和相关条款的国家联络点，以支持国家联络点，促进与土著人民和地方社区的沟通，并推动关于《公约》第</w:t>
      </w:r>
      <w:r w:rsidRPr="000C0842">
        <w:rPr>
          <w:rFonts w:eastAsia="Times New Roman"/>
          <w:sz w:val="24"/>
          <w:szCs w:val="24"/>
          <w:lang w:val="en-GB"/>
        </w:rPr>
        <w:t xml:space="preserve"> 8(j)</w:t>
      </w:r>
      <w:r w:rsidRPr="000C0842">
        <w:rPr>
          <w:rFonts w:ascii="SimSun" w:eastAsia="SimSun" w:hAnsi="SimSun" w:cs="SimSun" w:hint="eastAsia"/>
          <w:sz w:val="24"/>
          <w:szCs w:val="24"/>
          <w:lang w:val="en-GB"/>
        </w:rPr>
        <w:t>条和其他条款的工作方案的有效执行；</w:t>
      </w:r>
    </w:p>
    <w:p w14:paraId="56ECBEF6"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鼓励</w:t>
      </w:r>
      <w:r w:rsidRPr="000C0842">
        <w:rPr>
          <w:rFonts w:ascii="SimSun" w:eastAsia="SimSun" w:hAnsi="SimSun" w:cs="SimSun" w:hint="eastAsia"/>
          <w:sz w:val="24"/>
          <w:szCs w:val="24"/>
          <w:lang w:val="en-GB"/>
        </w:rPr>
        <w:t>缔约方与土著人民和地方社区作为实地伙伴一起执行《公约》，包括承认、支持和重视其集体行动，尊重其土著和传统领地，及其在应用、保存和维护其传统知识、创新和做法以促进生物多样性的养护和可持续利用方面的努力；</w:t>
      </w:r>
    </w:p>
    <w:p w14:paraId="5366CA3E"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敦促</w:t>
      </w:r>
      <w:r w:rsidRPr="000C0842">
        <w:rPr>
          <w:rFonts w:ascii="SimSun" w:eastAsia="SimSun" w:hAnsi="SimSun" w:cs="SimSun" w:hint="eastAsia"/>
          <w:sz w:val="24"/>
          <w:szCs w:val="24"/>
          <w:lang w:val="en-GB"/>
        </w:rPr>
        <w:t>缔约方使土著人民和地方社区能够充分和有效参与编写国家报告，制定、修订、更新和执行国家生物多样性战略和行动计划；</w:t>
      </w:r>
      <w:r w:rsidRPr="000C0842">
        <w:rPr>
          <w:rFonts w:eastAsia="Times New Roman"/>
          <w:sz w:val="24"/>
          <w:szCs w:val="24"/>
          <w:lang w:val="en-GB"/>
        </w:rPr>
        <w:t xml:space="preserve"> </w:t>
      </w:r>
    </w:p>
    <w:p w14:paraId="2969956D"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邀请</w:t>
      </w:r>
      <w:r w:rsidRPr="000C0842">
        <w:rPr>
          <w:rFonts w:ascii="SimSun" w:eastAsia="SimSun" w:hAnsi="SimSun" w:cs="SimSun" w:hint="eastAsia"/>
          <w:sz w:val="24"/>
          <w:szCs w:val="24"/>
          <w:lang w:val="en-GB"/>
        </w:rPr>
        <w:t>缔约方为自愿供资机制提供更多资金，以支持土著人民和地方社区有效参与《公约》及其议定书的相关进程；</w:t>
      </w:r>
    </w:p>
    <w:p w14:paraId="52963576"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请</w:t>
      </w:r>
      <w:r w:rsidRPr="000C0842">
        <w:rPr>
          <w:rFonts w:ascii="SimSun" w:eastAsia="SimSun" w:hAnsi="SimSun" w:cs="SimSun" w:hint="eastAsia"/>
          <w:sz w:val="24"/>
          <w:szCs w:val="24"/>
          <w:lang w:val="en-GB"/>
        </w:rPr>
        <w:t>所有缔约方和利益攸关方并邀请其他国家政府继续努力从所有来源调动财务资源，并为土著人民和地方社区提供非财务资源，以加强集体行动，执行国家生物多样性战略和行动计划；</w:t>
      </w:r>
    </w:p>
    <w:p w14:paraId="678DD8EA"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请</w:t>
      </w:r>
      <w:r w:rsidRPr="000C0842">
        <w:rPr>
          <w:rFonts w:ascii="SimSun" w:eastAsia="SimSun" w:hAnsi="SimSun" w:cs="SimSun" w:hint="eastAsia"/>
          <w:sz w:val="24"/>
          <w:szCs w:val="24"/>
          <w:lang w:val="en-GB"/>
        </w:rPr>
        <w:t>执行秘书在资源允许的情况下，设立和支持《公约》第</w:t>
      </w:r>
      <w:r w:rsidRPr="000C0842">
        <w:rPr>
          <w:rFonts w:eastAsia="Times New Roman"/>
          <w:sz w:val="24"/>
          <w:szCs w:val="24"/>
          <w:lang w:val="en-GB"/>
        </w:rPr>
        <w:t>8(j)</w:t>
      </w:r>
      <w:r w:rsidRPr="000C0842">
        <w:rPr>
          <w:rFonts w:ascii="SimSun" w:eastAsia="SimSun" w:hAnsi="SimSun" w:cs="SimSun" w:hint="eastAsia"/>
          <w:sz w:val="24"/>
          <w:szCs w:val="24"/>
          <w:lang w:val="en-GB"/>
        </w:rPr>
        <w:t>条和相关条款国家联络点全球网络，以支持国家和国际层面执行《公约》及其议定书的工作；</w:t>
      </w:r>
      <w:r w:rsidRPr="000C0842">
        <w:rPr>
          <w:rFonts w:eastAsia="Times New Roman"/>
          <w:sz w:val="24"/>
          <w:szCs w:val="24"/>
          <w:lang w:val="en-GB"/>
        </w:rPr>
        <w:t> </w:t>
      </w:r>
    </w:p>
    <w:p w14:paraId="47C77C2C" w14:textId="77777777" w:rsidR="006D5DBD" w:rsidRPr="000C0842" w:rsidRDefault="006D5DBD">
      <w:pPr>
        <w:numPr>
          <w:ilvl w:val="0"/>
          <w:numId w:val="232"/>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KaiTi"/>
          <w:sz w:val="24"/>
          <w:szCs w:val="24"/>
          <w:lang w:val="en-GB"/>
        </w:rPr>
        <w:t>还请</w:t>
      </w:r>
      <w:r w:rsidRPr="000C0842">
        <w:rPr>
          <w:rFonts w:ascii="SimSun" w:eastAsia="SimSun" w:hAnsi="SimSun" w:cs="SimSun" w:hint="eastAsia"/>
          <w:sz w:val="24"/>
          <w:szCs w:val="24"/>
          <w:lang w:val="en-GB"/>
        </w:rPr>
        <w:t>执行秘书在资源允许的情况下，与其他相关全球进程和机制协作，促进就</w:t>
      </w:r>
      <w:r w:rsidRPr="000C0842">
        <w:rPr>
          <w:rFonts w:eastAsia="Times New Roman"/>
          <w:sz w:val="24"/>
          <w:szCs w:val="24"/>
          <w:lang w:val="en-GB"/>
        </w:rPr>
        <w:t>2022</w:t>
      </w:r>
      <w:r w:rsidRPr="000C0842">
        <w:rPr>
          <w:rFonts w:ascii="SimSun" w:eastAsia="SimSun" w:hAnsi="SimSun" w:cs="SimSun" w:hint="eastAsia"/>
          <w:sz w:val="24"/>
          <w:szCs w:val="24"/>
          <w:lang w:val="en-GB"/>
        </w:rPr>
        <w:t>年</w:t>
      </w:r>
      <w:r w:rsidRPr="000C0842">
        <w:rPr>
          <w:rFonts w:eastAsia="Times New Roman"/>
          <w:sz w:val="24"/>
          <w:szCs w:val="24"/>
          <w:lang w:val="en-GB"/>
        </w:rPr>
        <w:t>12</w:t>
      </w:r>
      <w:r w:rsidRPr="000C0842">
        <w:rPr>
          <w:rFonts w:ascii="SimSun" w:eastAsia="SimSun" w:hAnsi="SimSun" w:cs="SimSun" w:hint="eastAsia"/>
          <w:sz w:val="24"/>
          <w:szCs w:val="24"/>
          <w:lang w:val="en-GB"/>
        </w:rPr>
        <w:t>月</w:t>
      </w:r>
      <w:r w:rsidRPr="000C0842">
        <w:rPr>
          <w:rFonts w:eastAsia="Times New Roman"/>
          <w:sz w:val="24"/>
          <w:szCs w:val="24"/>
          <w:lang w:val="en-GB"/>
        </w:rPr>
        <w:t>10</w:t>
      </w:r>
      <w:r w:rsidRPr="000C0842">
        <w:rPr>
          <w:rFonts w:ascii="SimSun" w:eastAsia="SimSun" w:hAnsi="SimSun" w:cs="SimSun" w:hint="eastAsia"/>
          <w:sz w:val="24"/>
          <w:szCs w:val="24"/>
          <w:lang w:val="en-GB"/>
        </w:rPr>
        <w:t>日第</w:t>
      </w:r>
      <w:hyperlink r:id="rId45" w:history="1">
        <w:r w:rsidRPr="000C0842">
          <w:rPr>
            <w:rFonts w:eastAsia="Times New Roman"/>
            <w:sz w:val="24"/>
            <w:szCs w:val="24"/>
            <w:u w:val="single"/>
            <w:lang w:val="en-GB"/>
          </w:rPr>
          <w:t>15/21</w:t>
        </w:r>
      </w:hyperlink>
      <w:r w:rsidRPr="000C0842">
        <w:rPr>
          <w:rFonts w:ascii="SimSun" w:eastAsia="SimSun" w:hAnsi="SimSun" w:cs="SimSun" w:hint="eastAsia"/>
          <w:sz w:val="24"/>
          <w:szCs w:val="24"/>
          <w:lang w:val="en-GB"/>
        </w:rPr>
        <w:t>号决定以及《公约》关于土著人民和地方社区的第</w:t>
      </w:r>
      <w:r w:rsidRPr="000C0842">
        <w:rPr>
          <w:rFonts w:eastAsia="Times New Roman"/>
          <w:sz w:val="24"/>
          <w:szCs w:val="24"/>
          <w:lang w:val="en-GB"/>
        </w:rPr>
        <w:t>8(j)</w:t>
      </w:r>
      <w:r w:rsidRPr="000C0842">
        <w:rPr>
          <w:rFonts w:ascii="SimSun" w:eastAsia="SimSun" w:hAnsi="SimSun" w:cs="SimSun" w:hint="eastAsia"/>
          <w:sz w:val="24"/>
          <w:szCs w:val="24"/>
          <w:lang w:val="en-GB"/>
        </w:rPr>
        <w:t>条和其他条款的执行情况进行交流，同时考虑到国家法律和国际文书。</w:t>
      </w:r>
    </w:p>
    <w:p w14:paraId="7B3A2D4B" w14:textId="77777777" w:rsidR="006D5DBD" w:rsidRPr="000C0842" w:rsidRDefault="006D5DBD" w:rsidP="00AB3D8F">
      <w:pPr>
        <w:keepNext/>
        <w:tabs>
          <w:tab w:val="clear" w:pos="567"/>
          <w:tab w:val="clear" w:pos="1134"/>
          <w:tab w:val="clear" w:pos="1701"/>
          <w:tab w:val="clear" w:pos="2268"/>
        </w:tabs>
        <w:spacing w:before="240"/>
        <w:ind w:left="490"/>
        <w:jc w:val="left"/>
        <w:rPr>
          <w:rFonts w:eastAsia="SimSun"/>
          <w:b/>
          <w:sz w:val="24"/>
          <w:szCs w:val="24"/>
          <w:lang w:val="en-GB"/>
        </w:rPr>
      </w:pPr>
      <w:r w:rsidRPr="000C0842">
        <w:rPr>
          <w:rFonts w:eastAsia="SimSun"/>
          <w:b/>
          <w:sz w:val="24"/>
          <w:szCs w:val="24"/>
          <w:lang w:val="en-GB"/>
        </w:rPr>
        <w:t>附件</w:t>
      </w:r>
    </w:p>
    <w:p w14:paraId="01E89661" w14:textId="77777777" w:rsidR="006D5DBD" w:rsidRPr="000C0842" w:rsidRDefault="006D5DBD" w:rsidP="00D66C64">
      <w:pPr>
        <w:keepNext/>
        <w:tabs>
          <w:tab w:val="clear" w:pos="567"/>
          <w:tab w:val="clear" w:pos="1134"/>
          <w:tab w:val="clear" w:pos="1701"/>
          <w:tab w:val="clear" w:pos="2268"/>
        </w:tabs>
        <w:ind w:left="490" w:right="288"/>
        <w:jc w:val="left"/>
        <w:rPr>
          <w:rFonts w:eastAsia="SimSun"/>
          <w:b/>
          <w:sz w:val="24"/>
          <w:szCs w:val="24"/>
          <w:lang w:val="en-GB"/>
        </w:rPr>
      </w:pPr>
      <w:r w:rsidRPr="000C0842">
        <w:rPr>
          <w:rFonts w:eastAsia="SimSun"/>
          <w:b/>
          <w:sz w:val="24"/>
          <w:szCs w:val="24"/>
          <w:lang w:val="en-GB"/>
        </w:rPr>
        <w:t>至</w:t>
      </w:r>
      <w:r w:rsidRPr="000C0842">
        <w:rPr>
          <w:rFonts w:eastAsia="SimSun"/>
          <w:b/>
          <w:sz w:val="24"/>
          <w:szCs w:val="24"/>
          <w:lang w:val="en-GB"/>
        </w:rPr>
        <w:t>2030</w:t>
      </w:r>
      <w:r w:rsidRPr="000C0842">
        <w:rPr>
          <w:rFonts w:eastAsia="SimSun"/>
          <w:b/>
          <w:sz w:val="24"/>
          <w:szCs w:val="24"/>
          <w:lang w:val="en-GB"/>
        </w:rPr>
        <w:t>年《生物多样性公约》关于土著人民和地方社区的第</w:t>
      </w:r>
      <w:r w:rsidRPr="000C0842">
        <w:rPr>
          <w:rFonts w:eastAsia="SimSun"/>
          <w:b/>
          <w:sz w:val="24"/>
          <w:szCs w:val="24"/>
          <w:lang w:val="en-GB"/>
        </w:rPr>
        <w:t>8(j)</w:t>
      </w:r>
      <w:r w:rsidRPr="000C0842">
        <w:rPr>
          <w:rFonts w:eastAsia="SimSun"/>
          <w:b/>
          <w:sz w:val="24"/>
          <w:szCs w:val="24"/>
          <w:lang w:val="en-GB"/>
        </w:rPr>
        <w:t>条和其他条款的工作方案</w:t>
      </w:r>
    </w:p>
    <w:p w14:paraId="52DDABBA" w14:textId="77777777" w:rsidR="006D5DBD" w:rsidRPr="000C0842" w:rsidRDefault="006D5DBD" w:rsidP="006D5DBD">
      <w:pPr>
        <w:keepNext/>
        <w:keepLines/>
        <w:tabs>
          <w:tab w:val="clear" w:pos="567"/>
          <w:tab w:val="clear" w:pos="1134"/>
          <w:tab w:val="clear" w:pos="1701"/>
          <w:tab w:val="clear" w:pos="2268"/>
        </w:tabs>
        <w:spacing w:before="240" w:after="120"/>
        <w:jc w:val="left"/>
        <w:outlineLvl w:val="0"/>
        <w:rPr>
          <w:rFonts w:eastAsia="SimSun"/>
          <w:b/>
          <w:bCs/>
          <w:sz w:val="24"/>
          <w:szCs w:val="24"/>
          <w:lang w:val="en-GB"/>
        </w:rPr>
      </w:pPr>
      <w:r w:rsidRPr="000C0842">
        <w:rPr>
          <w:rFonts w:eastAsia="SimSun"/>
          <w:b/>
          <w:bCs/>
          <w:sz w:val="24"/>
          <w:szCs w:val="24"/>
          <w:lang w:val="en-GB"/>
        </w:rPr>
        <w:t>一</w:t>
      </w:r>
      <w:r w:rsidRPr="000C0842">
        <w:rPr>
          <w:rFonts w:eastAsia="SimSun"/>
          <w:b/>
          <w:bCs/>
          <w:sz w:val="24"/>
          <w:szCs w:val="24"/>
          <w:lang w:val="en-GB"/>
        </w:rPr>
        <w:t>.</w:t>
      </w:r>
      <w:r w:rsidRPr="000C0842">
        <w:rPr>
          <w:rFonts w:eastAsia="SimSun"/>
          <w:b/>
          <w:bCs/>
          <w:sz w:val="24"/>
          <w:szCs w:val="24"/>
          <w:lang w:val="en-GB"/>
        </w:rPr>
        <w:tab/>
      </w:r>
      <w:r w:rsidRPr="000C0842">
        <w:rPr>
          <w:rFonts w:eastAsia="SimSun"/>
          <w:b/>
          <w:bCs/>
          <w:sz w:val="24"/>
          <w:szCs w:val="24"/>
          <w:lang w:val="en-GB"/>
        </w:rPr>
        <w:t>目标</w:t>
      </w:r>
    </w:p>
    <w:p w14:paraId="1D11EA06"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Times New Roman"/>
          <w:kern w:val="22"/>
          <w:sz w:val="24"/>
          <w:szCs w:val="24"/>
          <w:lang w:val="en-GB"/>
        </w:rPr>
      </w:pPr>
      <w:r w:rsidRPr="000C0842">
        <w:rPr>
          <w:rFonts w:ascii="SimSun" w:eastAsia="SimSun" w:hAnsi="SimSun" w:cs="SimSun" w:hint="eastAsia"/>
          <w:sz w:val="24"/>
          <w:szCs w:val="24"/>
          <w:lang w:val="en-GB"/>
        </w:rPr>
        <w:t>本工作方案的目标是根据《生物多样性公约》的目标并</w:t>
      </w:r>
      <w:r w:rsidRPr="000C0842">
        <w:rPr>
          <w:rFonts w:ascii="SimSun" w:eastAsia="SimSun" w:hAnsi="SimSun" w:cs="SimSun" w:hint="eastAsia"/>
          <w:sz w:val="24"/>
          <w:szCs w:val="24"/>
          <w:lang w:val="en-CA"/>
        </w:rPr>
        <w:t>在其范围</w:t>
      </w:r>
      <w:r w:rsidRPr="000C0842">
        <w:rPr>
          <w:rFonts w:ascii="SimSun" w:eastAsia="SimSun" w:hAnsi="SimSun" w:cs="SimSun" w:hint="eastAsia"/>
          <w:kern w:val="22"/>
          <w:sz w:val="24"/>
          <w:szCs w:val="24"/>
          <w:lang w:val="zh-CN"/>
        </w:rPr>
        <w:t>内</w:t>
      </w:r>
      <w:r w:rsidRPr="000C0842">
        <w:rPr>
          <w:rFonts w:ascii="SimSun" w:eastAsia="SimSun" w:hAnsi="SimSun" w:cs="SimSun" w:hint="eastAsia"/>
          <w:kern w:val="22"/>
          <w:sz w:val="24"/>
          <w:szCs w:val="24"/>
          <w:lang w:val="en-CA"/>
        </w:rPr>
        <w:t>，</w:t>
      </w:r>
      <w:r w:rsidRPr="000C0842">
        <w:rPr>
          <w:rFonts w:ascii="SimSun" w:eastAsia="SimSun" w:hAnsi="SimSun" w:cs="SimSun" w:hint="eastAsia"/>
          <w:kern w:val="22"/>
          <w:sz w:val="24"/>
          <w:szCs w:val="24"/>
          <w:lang w:val="zh-CN"/>
        </w:rPr>
        <w:t>促进地方、国家、次区域、区域和国际层面执行《公约》关于土著人民和地方社区的第</w:t>
      </w:r>
      <w:r w:rsidRPr="000C0842">
        <w:rPr>
          <w:rFonts w:eastAsia="Times New Roman"/>
          <w:kern w:val="22"/>
          <w:sz w:val="24"/>
          <w:szCs w:val="24"/>
          <w:lang w:val="en-CA"/>
        </w:rPr>
        <w:t>8(j)</w:t>
      </w:r>
      <w:r w:rsidRPr="000C0842">
        <w:rPr>
          <w:rFonts w:ascii="SimSun" w:eastAsia="SimSun" w:hAnsi="SimSun" w:cs="SimSun" w:hint="eastAsia"/>
          <w:kern w:val="22"/>
          <w:sz w:val="24"/>
          <w:szCs w:val="24"/>
          <w:lang w:val="zh-CN"/>
        </w:rPr>
        <w:t>条和其他条款以及《昆明</w:t>
      </w:r>
      <w:r w:rsidRPr="000C0842">
        <w:rPr>
          <w:rFonts w:eastAsia="Times New Roman"/>
          <w:kern w:val="22"/>
          <w:sz w:val="24"/>
          <w:szCs w:val="24"/>
          <w:lang w:val="en-CA"/>
        </w:rPr>
        <w:t>-</w:t>
      </w:r>
      <w:r w:rsidRPr="000C0842">
        <w:rPr>
          <w:rFonts w:ascii="SimSun" w:eastAsia="SimSun" w:hAnsi="SimSun" w:cs="SimSun" w:hint="eastAsia"/>
          <w:kern w:val="22"/>
          <w:sz w:val="24"/>
          <w:szCs w:val="24"/>
          <w:lang w:val="zh-CN"/>
        </w:rPr>
        <w:t>蒙特利尔全球生物多样性框架》</w:t>
      </w:r>
      <w:r w:rsidRPr="000C0842">
        <w:rPr>
          <w:rFonts w:ascii="SimSun" w:eastAsia="SimSun" w:hAnsi="SimSun" w:cs="SimSun" w:hint="eastAsia"/>
          <w:kern w:val="22"/>
          <w:sz w:val="24"/>
          <w:szCs w:val="24"/>
          <w:lang w:val="en-CA"/>
        </w:rPr>
        <w:t>，</w:t>
      </w:r>
      <w:r w:rsidRPr="000C0842">
        <w:rPr>
          <w:rFonts w:ascii="SimSun" w:eastAsia="SimSun" w:hAnsi="SimSun" w:cs="SimSun" w:hint="eastAsia"/>
          <w:kern w:val="22"/>
          <w:sz w:val="24"/>
          <w:szCs w:val="24"/>
          <w:lang w:val="zh-CN"/>
        </w:rPr>
        <w:t>确保土著人民和地方社区充分有效地参与其执行的所有阶段和所有层面</w:t>
      </w:r>
      <w:r w:rsidRPr="000C0842">
        <w:rPr>
          <w:rFonts w:ascii="SimSun" w:eastAsia="SimSun" w:hAnsi="SimSun" w:cs="SimSun" w:hint="eastAsia"/>
          <w:kern w:val="22"/>
          <w:sz w:val="24"/>
          <w:szCs w:val="24"/>
          <w:lang w:val="en-CA"/>
        </w:rPr>
        <w:t>，</w:t>
      </w:r>
      <w:r w:rsidRPr="000C0842">
        <w:rPr>
          <w:rFonts w:ascii="SimSun" w:eastAsia="SimSun" w:hAnsi="SimSun" w:cs="SimSun" w:hint="eastAsia"/>
          <w:kern w:val="22"/>
          <w:sz w:val="24"/>
          <w:szCs w:val="24"/>
          <w:lang w:val="zh-CN"/>
        </w:rPr>
        <w:t>从而确保持续承认土著人民和地方社区与生物多样性和《公约》及其议定书的密切关系。</w:t>
      </w:r>
    </w:p>
    <w:p w14:paraId="534B9E6D" w14:textId="77777777" w:rsidR="006D5DBD" w:rsidRPr="000C0842" w:rsidRDefault="006D5DBD" w:rsidP="006D5DBD">
      <w:pPr>
        <w:keepNext/>
        <w:keepLines/>
        <w:tabs>
          <w:tab w:val="clear" w:pos="567"/>
          <w:tab w:val="clear" w:pos="1134"/>
          <w:tab w:val="clear" w:pos="1701"/>
          <w:tab w:val="clear" w:pos="2268"/>
        </w:tabs>
        <w:spacing w:before="240" w:after="120"/>
        <w:jc w:val="left"/>
        <w:outlineLvl w:val="0"/>
        <w:rPr>
          <w:rFonts w:eastAsia="SimSun"/>
          <w:b/>
          <w:bCs/>
          <w:kern w:val="2"/>
          <w:sz w:val="24"/>
          <w:szCs w:val="24"/>
          <w:lang w:val="zh-CN"/>
        </w:rPr>
      </w:pPr>
      <w:r w:rsidRPr="000C0842">
        <w:rPr>
          <w:rFonts w:eastAsia="SimSun"/>
          <w:b/>
          <w:bCs/>
          <w:kern w:val="2"/>
          <w:sz w:val="24"/>
          <w:szCs w:val="24"/>
          <w:lang w:val="zh-CN"/>
        </w:rPr>
        <w:t>二．</w:t>
      </w:r>
      <w:r w:rsidRPr="000C0842">
        <w:rPr>
          <w:rFonts w:eastAsia="SimSun"/>
          <w:b/>
          <w:bCs/>
          <w:kern w:val="2"/>
          <w:sz w:val="24"/>
          <w:szCs w:val="24"/>
          <w:lang w:val="zh-CN"/>
        </w:rPr>
        <w:tab/>
      </w:r>
      <w:r w:rsidRPr="000C0842">
        <w:rPr>
          <w:rFonts w:eastAsia="SimSun"/>
          <w:b/>
          <w:bCs/>
          <w:kern w:val="2"/>
          <w:sz w:val="24"/>
          <w:szCs w:val="24"/>
          <w:lang w:val="zh-CN"/>
        </w:rPr>
        <w:t>总则</w:t>
      </w:r>
    </w:p>
    <w:p w14:paraId="1709A8EC"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应从地方到全球层面，确保土著人民和地方社区</w:t>
      </w:r>
      <w:r w:rsidRPr="000C0842">
        <w:rPr>
          <w:rFonts w:eastAsia="SimSun"/>
          <w:kern w:val="22"/>
          <w:sz w:val="24"/>
          <w:szCs w:val="24"/>
          <w:lang w:val="en-CA"/>
        </w:rPr>
        <w:t>，</w:t>
      </w:r>
      <w:r w:rsidRPr="000C0842">
        <w:rPr>
          <w:rFonts w:eastAsia="SimSun"/>
          <w:kern w:val="22"/>
          <w:sz w:val="24"/>
          <w:szCs w:val="24"/>
          <w:lang w:val="zh-CN"/>
        </w:rPr>
        <w:t>特别是其中的妇女、女童和青年，以充分、公平、包容、有效和促进性别平等的方式参与确定、执行和监测工作方案各构成部分的所有阶段。与土著人民和地方社区建立的伙伴关系应符合道德、公平并以相互尊重和诚信为基础。</w:t>
      </w:r>
    </w:p>
    <w:p w14:paraId="68A219BC"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工作方案旨在应对土著人民和地方社区，特别是在发展中国家面临的具体挑战，以及需要确保土著人民和地方社区在《公约》执行工作中拥有适当和区域均衡的代表性。</w:t>
      </w:r>
      <w:r w:rsidRPr="000C0842">
        <w:rPr>
          <w:rFonts w:eastAsia="SimSun"/>
          <w:kern w:val="22"/>
          <w:sz w:val="24"/>
          <w:szCs w:val="24"/>
          <w:lang w:val="zh-CN"/>
        </w:rPr>
        <w:t xml:space="preserve"> </w:t>
      </w:r>
    </w:p>
    <w:p w14:paraId="2DC21D63"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工作方案还旨在促进执行关于土著人民和地方社区的《公约》第</w:t>
      </w:r>
      <w:r w:rsidRPr="000C0842">
        <w:rPr>
          <w:rFonts w:eastAsia="SimSun"/>
          <w:kern w:val="22"/>
          <w:sz w:val="24"/>
          <w:szCs w:val="24"/>
          <w:lang w:val="zh-CN"/>
        </w:rPr>
        <w:t>8(j)</w:t>
      </w:r>
      <w:r w:rsidRPr="000C0842">
        <w:rPr>
          <w:rFonts w:eastAsia="SimSun"/>
          <w:kern w:val="22"/>
          <w:sz w:val="24"/>
          <w:szCs w:val="24"/>
          <w:lang w:val="zh-CN"/>
        </w:rPr>
        <w:t>条和其他条款，同时考虑到发展中国家缔约方在促进执行方面的具体挑战。</w:t>
      </w:r>
    </w:p>
    <w:p w14:paraId="0AEE1B83"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Times New Roman"/>
          <w:sz w:val="24"/>
          <w:szCs w:val="24"/>
          <w:lang w:val="en-GB"/>
        </w:rPr>
      </w:pPr>
      <w:r w:rsidRPr="000C0842">
        <w:rPr>
          <w:rFonts w:eastAsia="SimSun"/>
          <w:kern w:val="22"/>
          <w:sz w:val="24"/>
          <w:szCs w:val="24"/>
          <w:lang w:val="zh-CN"/>
        </w:rPr>
        <w:t>土著人民和地方社区的传统知识、创新、做法和技术应受到重视，视为必不可</w:t>
      </w:r>
      <w:r w:rsidRPr="000C0842">
        <w:rPr>
          <w:rFonts w:ascii="SimSun" w:eastAsia="SimSun" w:hAnsi="SimSun" w:cs="SimSun" w:hint="eastAsia"/>
          <w:kern w:val="22"/>
          <w:sz w:val="24"/>
          <w:szCs w:val="24"/>
          <w:lang w:val="zh-CN"/>
        </w:rPr>
        <w:t>少</w:t>
      </w:r>
      <w:r w:rsidRPr="000C0842">
        <w:rPr>
          <w:rFonts w:ascii="SimSun" w:eastAsia="SimSun" w:hAnsi="SimSun" w:cs="SimSun" w:hint="eastAsia"/>
          <w:kern w:val="22"/>
          <w:sz w:val="24"/>
          <w:szCs w:val="24"/>
          <w:lang w:val="en-GB"/>
        </w:rPr>
        <w:t>，</w:t>
      </w:r>
      <w:r w:rsidRPr="000C0842">
        <w:rPr>
          <w:rFonts w:ascii="SimSun" w:eastAsia="SimSun" w:hAnsi="SimSun" w:cs="SimSun" w:hint="eastAsia"/>
          <w:kern w:val="22"/>
          <w:sz w:val="24"/>
          <w:szCs w:val="24"/>
          <w:lang w:val="zh-CN"/>
        </w:rPr>
        <w:t>得到与其他形式的知识相同的尊重和考虑。应以尊重知识生成过程和每个知识体系完整性的方式，促进真正的协作和知识的共同生产。应将来自不同体系和实践的知识纳入制定和执行生物多样性保护、可持续利用和惠益分享政策的主流。</w:t>
      </w:r>
      <w:r w:rsidRPr="000C0842">
        <w:rPr>
          <w:rFonts w:eastAsia="Times New Roman"/>
          <w:b/>
          <w:kern w:val="22"/>
          <w:sz w:val="24"/>
          <w:szCs w:val="24"/>
          <w:lang w:val="en-GB"/>
        </w:rPr>
        <w:t xml:space="preserve"> </w:t>
      </w:r>
    </w:p>
    <w:p w14:paraId="6BA21B12"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应采取符合土著人民和地方社区的精神和文化价值和习惯做法的整体办法</w:t>
      </w:r>
      <w:r w:rsidRPr="000C0842">
        <w:rPr>
          <w:rFonts w:eastAsia="SimSun"/>
          <w:kern w:val="22"/>
          <w:sz w:val="24"/>
          <w:szCs w:val="24"/>
          <w:lang w:val="en-GB"/>
        </w:rPr>
        <w:t>，</w:t>
      </w:r>
      <w:r w:rsidRPr="000C0842">
        <w:rPr>
          <w:rFonts w:eastAsia="SimSun"/>
          <w:kern w:val="22"/>
          <w:sz w:val="24"/>
          <w:szCs w:val="24"/>
          <w:lang w:val="zh-CN"/>
        </w:rPr>
        <w:t>承认它们之间的一切关系，包括与其领地、土地和资源的关系，以及根据相关国家法律和国际文书管控其传统知识、创新、做法和技术的权利。</w:t>
      </w:r>
    </w:p>
    <w:p w14:paraId="44F5815E"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生态系统方法是一项对土地、水和生物资源进行综合管理的战略，能够促进其公平的养护和可持续利用。</w:t>
      </w:r>
    </w:p>
    <w:p w14:paraId="1970C87F"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kern w:val="22"/>
          <w:sz w:val="24"/>
          <w:szCs w:val="24"/>
          <w:lang w:val="zh-CN"/>
        </w:rPr>
      </w:pPr>
      <w:r w:rsidRPr="000C0842">
        <w:rPr>
          <w:rFonts w:eastAsia="SimSun"/>
          <w:kern w:val="22"/>
          <w:sz w:val="24"/>
          <w:szCs w:val="24"/>
          <w:lang w:val="zh-CN"/>
        </w:rPr>
        <w:t>土著人民和地方社区的传统知识、创新、做法和技术只有根据国家法律和相关国际义务，在获得其自由、事先和知情同意</w:t>
      </w:r>
      <w:r w:rsidRPr="000C0842">
        <w:rPr>
          <w:rFonts w:eastAsia="SimSun"/>
          <w:kern w:val="22"/>
          <w:sz w:val="24"/>
          <w:szCs w:val="24"/>
          <w:vertAlign w:val="superscript"/>
          <w:lang w:val="en-GB"/>
        </w:rPr>
        <w:footnoteReference w:id="29"/>
      </w:r>
      <w:r w:rsidRPr="000C0842">
        <w:rPr>
          <w:rFonts w:eastAsia="SimSun"/>
          <w:kern w:val="22"/>
          <w:sz w:val="24"/>
          <w:szCs w:val="24"/>
          <w:lang w:val="zh-CN"/>
        </w:rPr>
        <w:t>的情况下方可获取。土著人民和地方社区应以公平和公正的方式从使用与其所拥有的遗传资源相关的传统知识中获益</w:t>
      </w:r>
      <w:r w:rsidRPr="000C0842">
        <w:rPr>
          <w:rFonts w:eastAsia="SimSun"/>
          <w:kern w:val="22"/>
          <w:sz w:val="24"/>
          <w:szCs w:val="24"/>
          <w:lang w:val="zh-CN"/>
        </w:rPr>
        <w:t xml:space="preserve"> </w:t>
      </w:r>
      <w:r w:rsidRPr="000C0842">
        <w:rPr>
          <w:rFonts w:eastAsia="SimSun"/>
          <w:kern w:val="22"/>
          <w:sz w:val="24"/>
          <w:szCs w:val="24"/>
          <w:lang w:val="zh-CN"/>
        </w:rPr>
        <w:t>。</w:t>
      </w:r>
    </w:p>
    <w:p w14:paraId="16C85F58" w14:textId="719CF590"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Times New Roman"/>
          <w:kern w:val="22"/>
          <w:sz w:val="24"/>
          <w:szCs w:val="24"/>
          <w:lang w:val="zh-CN"/>
        </w:rPr>
      </w:pPr>
      <w:r w:rsidRPr="000C0842">
        <w:rPr>
          <w:rFonts w:eastAsia="SimSun"/>
          <w:kern w:val="22"/>
          <w:sz w:val="24"/>
          <w:szCs w:val="24"/>
          <w:lang w:val="zh-CN"/>
        </w:rPr>
        <w:t>执行工作方案时应采用促进性别平等的方法、实施《性别平等行动计划（</w:t>
      </w:r>
      <w:r w:rsidRPr="000C0842">
        <w:rPr>
          <w:rFonts w:eastAsia="SimSun"/>
          <w:kern w:val="22"/>
          <w:sz w:val="24"/>
          <w:szCs w:val="24"/>
          <w:lang w:val="zh-CN"/>
        </w:rPr>
        <w:t>2023-2030</w:t>
      </w:r>
      <w:r w:rsidRPr="000C0842">
        <w:rPr>
          <w:rFonts w:eastAsia="SimSun"/>
          <w:kern w:val="22"/>
          <w:sz w:val="24"/>
          <w:szCs w:val="24"/>
          <w:lang w:val="zh-CN"/>
        </w:rPr>
        <w:t>）》</w:t>
      </w:r>
      <w:r w:rsidRPr="000C0842">
        <w:rPr>
          <w:rFonts w:eastAsia="SimSun"/>
          <w:sz w:val="24"/>
          <w:szCs w:val="24"/>
          <w:vertAlign w:val="superscript"/>
          <w:lang w:val="en-GB"/>
        </w:rPr>
        <w:footnoteReference w:id="30"/>
      </w:r>
      <w:r w:rsidRPr="000C0842">
        <w:rPr>
          <w:rFonts w:eastAsia="SimSun"/>
          <w:kern w:val="22"/>
          <w:sz w:val="24"/>
          <w:szCs w:val="24"/>
          <w:lang w:val="zh-CN"/>
        </w:rPr>
        <w:t>和基于人权的方法，尊重、保护、促进和实现人权。《</w:t>
      </w:r>
      <w:r w:rsidR="00D66C64" w:rsidRPr="000C0842">
        <w:rPr>
          <w:rFonts w:eastAsia="SimSun" w:hint="eastAsia"/>
          <w:kern w:val="22"/>
          <w:sz w:val="24"/>
          <w:szCs w:val="24"/>
          <w:lang w:val="zh-CN"/>
        </w:rPr>
        <w:t>昆蒙</w:t>
      </w:r>
      <w:r w:rsidRPr="000C0842">
        <w:rPr>
          <w:rFonts w:eastAsia="SimSun"/>
          <w:kern w:val="22"/>
          <w:sz w:val="24"/>
          <w:szCs w:val="24"/>
          <w:lang w:val="zh-CN"/>
        </w:rPr>
        <w:t>框架》承认享有清洁、健康和可持续环境的人权，承诺确保诉诸司法和获得信息的权利，充分保护环境人</w:t>
      </w:r>
      <w:r w:rsidRPr="000C0842">
        <w:rPr>
          <w:rFonts w:ascii="SimSun" w:eastAsia="SimSun" w:hAnsi="SimSun" w:cs="SimSun" w:hint="eastAsia"/>
          <w:kern w:val="22"/>
          <w:sz w:val="24"/>
          <w:szCs w:val="24"/>
          <w:lang w:val="zh-CN"/>
        </w:rPr>
        <w:t>权维护者。如《联合国土著人民权利宣言》</w:t>
      </w:r>
      <w:r w:rsidRPr="000C0842">
        <w:rPr>
          <w:rFonts w:eastAsia="Times New Roman"/>
          <w:kern w:val="22"/>
          <w:sz w:val="24"/>
          <w:szCs w:val="24"/>
          <w:vertAlign w:val="superscript"/>
          <w:lang w:val="zh-CN"/>
        </w:rPr>
        <w:footnoteReference w:id="31"/>
      </w:r>
      <w:r w:rsidRPr="000C0842">
        <w:rPr>
          <w:rFonts w:ascii="SimSun" w:eastAsia="SimSun" w:hAnsi="SimSun" w:cs="SimSun" w:hint="eastAsia"/>
          <w:kern w:val="22"/>
          <w:sz w:val="24"/>
          <w:szCs w:val="24"/>
          <w:lang w:val="zh-CN"/>
        </w:rPr>
        <w:t>所述</w:t>
      </w:r>
      <w:r w:rsidRPr="000C0842">
        <w:rPr>
          <w:rFonts w:ascii="SimSun" w:eastAsia="SimSun" w:hAnsi="SimSun" w:cs="SimSun" w:hint="eastAsia"/>
          <w:kern w:val="22"/>
          <w:sz w:val="24"/>
          <w:szCs w:val="24"/>
          <w:lang w:val="en-GB"/>
        </w:rPr>
        <w:t>，</w:t>
      </w:r>
      <w:r w:rsidRPr="000C0842">
        <w:rPr>
          <w:rFonts w:ascii="SimSun" w:eastAsia="SimSun" w:hAnsi="SimSun" w:cs="SimSun" w:hint="eastAsia"/>
          <w:kern w:val="22"/>
          <w:sz w:val="24"/>
          <w:szCs w:val="24"/>
          <w:lang w:val="zh-CN"/>
        </w:rPr>
        <w:t>本工作方案中任何内容都不得解释为削弱或取消土著人民目前拥有或未来可能获得的权利。</w:t>
      </w:r>
    </w:p>
    <w:p w14:paraId="1FFE7715" w14:textId="77777777" w:rsidR="006D5DBD" w:rsidRPr="000C0842" w:rsidRDefault="006D5DBD" w:rsidP="006D5DBD">
      <w:pPr>
        <w:keepNext/>
        <w:keepLines/>
        <w:tabs>
          <w:tab w:val="clear" w:pos="567"/>
          <w:tab w:val="clear" w:pos="1134"/>
          <w:tab w:val="clear" w:pos="1701"/>
          <w:tab w:val="clear" w:pos="2268"/>
        </w:tabs>
        <w:spacing w:before="240" w:after="120"/>
        <w:rPr>
          <w:rFonts w:eastAsia="SimSun"/>
          <w:bCs/>
          <w:sz w:val="24"/>
          <w:szCs w:val="24"/>
          <w:lang w:val="en-GB"/>
        </w:rPr>
      </w:pPr>
      <w:bookmarkStart w:id="11" w:name="_Toc118354980"/>
      <w:r w:rsidRPr="000C0842">
        <w:rPr>
          <w:rFonts w:eastAsia="SimSun"/>
          <w:b/>
          <w:sz w:val="24"/>
          <w:szCs w:val="24"/>
          <w:lang w:val="en-GB"/>
        </w:rPr>
        <w:t>三</w:t>
      </w:r>
      <w:r w:rsidRPr="000C0842">
        <w:rPr>
          <w:rFonts w:eastAsia="SimSun"/>
          <w:b/>
          <w:sz w:val="24"/>
          <w:szCs w:val="24"/>
          <w:lang w:val="en-GB"/>
        </w:rPr>
        <w:t>.</w:t>
      </w:r>
      <w:r w:rsidRPr="000C0842">
        <w:rPr>
          <w:rFonts w:eastAsia="SimSun"/>
          <w:b/>
          <w:sz w:val="24"/>
          <w:szCs w:val="24"/>
          <w:lang w:val="en-GB"/>
        </w:rPr>
        <w:tab/>
      </w:r>
      <w:bookmarkEnd w:id="11"/>
      <w:r w:rsidRPr="000C0842">
        <w:rPr>
          <w:rFonts w:eastAsia="SimSun"/>
          <w:b/>
          <w:sz w:val="24"/>
          <w:szCs w:val="24"/>
          <w:lang w:val="en-GB"/>
        </w:rPr>
        <w:t>构成部分</w:t>
      </w:r>
    </w:p>
    <w:p w14:paraId="002B1861" w14:textId="77777777" w:rsidR="006D5DBD" w:rsidRPr="000C0842" w:rsidRDefault="006D5DBD">
      <w:pPr>
        <w:numPr>
          <w:ilvl w:val="0"/>
          <w:numId w:val="233"/>
        </w:numPr>
        <w:suppressLineNumbers/>
        <w:tabs>
          <w:tab w:val="clear" w:pos="567"/>
          <w:tab w:val="clear" w:pos="1134"/>
          <w:tab w:val="clear" w:pos="1701"/>
          <w:tab w:val="clear" w:pos="2268"/>
        </w:tabs>
        <w:suppressAutoHyphens/>
        <w:spacing w:before="120" w:after="120" w:line="240" w:lineRule="atLeast"/>
        <w:ind w:left="490" w:firstLine="0"/>
        <w:rPr>
          <w:rFonts w:eastAsia="SimSun"/>
          <w:b/>
          <w:bCs/>
          <w:sz w:val="24"/>
          <w:szCs w:val="24"/>
          <w:lang w:val="en-GB"/>
        </w:rPr>
      </w:pPr>
      <w:r w:rsidRPr="000C0842">
        <w:rPr>
          <w:rFonts w:eastAsia="SimSun"/>
          <w:bCs/>
          <w:sz w:val="24"/>
          <w:szCs w:val="24"/>
          <w:lang w:val="en-GB"/>
        </w:rPr>
        <w:t>本工作方案旨在及时和分步实施，并在</w:t>
      </w:r>
      <w:r w:rsidRPr="000C0842">
        <w:rPr>
          <w:rFonts w:eastAsia="SimSun"/>
          <w:bCs/>
          <w:sz w:val="24"/>
          <w:szCs w:val="24"/>
          <w:lang w:val="en-GB"/>
        </w:rPr>
        <w:t xml:space="preserve"> 2030 </w:t>
      </w:r>
      <w:r w:rsidRPr="000C0842">
        <w:rPr>
          <w:rFonts w:eastAsia="SimSun"/>
          <w:bCs/>
          <w:sz w:val="24"/>
          <w:szCs w:val="24"/>
          <w:lang w:val="en-GB"/>
        </w:rPr>
        <w:t>年后对工作方案进行审查、修订和更新，使其与《公约》</w:t>
      </w:r>
      <w:r w:rsidRPr="000C0842">
        <w:rPr>
          <w:rFonts w:ascii="SimSun" w:eastAsia="SimSun" w:hAnsi="SimSun" w:cs="SimSun" w:hint="eastAsia"/>
          <w:kern w:val="22"/>
          <w:sz w:val="24"/>
          <w:szCs w:val="24"/>
          <w:lang w:val="zh-CN"/>
        </w:rPr>
        <w:t>下任何</w:t>
      </w:r>
      <w:r w:rsidRPr="000C0842">
        <w:rPr>
          <w:rFonts w:eastAsia="SimSun"/>
          <w:bCs/>
          <w:sz w:val="24"/>
          <w:szCs w:val="24"/>
          <w:lang w:val="en-GB"/>
        </w:rPr>
        <w:t xml:space="preserve"> 2030 </w:t>
      </w:r>
      <w:r w:rsidRPr="000C0842">
        <w:rPr>
          <w:rFonts w:eastAsia="SimSun"/>
          <w:bCs/>
          <w:sz w:val="24"/>
          <w:szCs w:val="24"/>
          <w:lang w:val="en-GB"/>
        </w:rPr>
        <w:t>年后框架保持一致。</w:t>
      </w:r>
    </w:p>
    <w:tbl>
      <w:tblPr>
        <w:tblStyle w:val="TableGrid141"/>
        <w:tblW w:w="8789" w:type="dxa"/>
        <w:tblInd w:w="562" w:type="dxa"/>
        <w:shd w:val="clear" w:color="auto" w:fill="FFFFFF"/>
        <w:tblLook w:val="04A0" w:firstRow="1" w:lastRow="0" w:firstColumn="1" w:lastColumn="0" w:noHBand="0" w:noVBand="1"/>
      </w:tblPr>
      <w:tblGrid>
        <w:gridCol w:w="6663"/>
        <w:gridCol w:w="2126"/>
      </w:tblGrid>
      <w:tr w:rsidR="000C0842" w:rsidRPr="000C0842" w14:paraId="10F8A20E" w14:textId="77777777" w:rsidTr="006D5DBD">
        <w:trPr>
          <w:trHeight w:val="57"/>
          <w:tblHeader/>
        </w:trPr>
        <w:tc>
          <w:tcPr>
            <w:tcW w:w="6663" w:type="dxa"/>
            <w:shd w:val="clear" w:color="auto" w:fill="FFFFFF"/>
          </w:tcPr>
          <w:p w14:paraId="1052FA1D" w14:textId="77777777" w:rsidR="006D5DBD" w:rsidRPr="000C0842" w:rsidRDefault="006D5DBD" w:rsidP="006D5DBD">
            <w:pPr>
              <w:keepNext/>
              <w:keepLines/>
              <w:spacing w:before="40" w:after="80"/>
              <w:jc w:val="left"/>
              <w:rPr>
                <w:rFonts w:eastAsia="KaiTi"/>
                <w:iCs/>
                <w:caps/>
                <w:snapToGrid w:val="0"/>
                <w:sz w:val="24"/>
                <w:szCs w:val="24"/>
                <w:lang w:val="en-GB" w:eastAsia="zh-CN"/>
              </w:rPr>
            </w:pPr>
            <w:r w:rsidRPr="000C0842">
              <w:rPr>
                <w:rFonts w:eastAsia="KaiTi" w:hint="eastAsia"/>
                <w:iCs/>
                <w:sz w:val="24"/>
                <w:szCs w:val="24"/>
                <w:lang w:val="en-GB" w:eastAsia="zh-CN"/>
              </w:rPr>
              <w:t>任务</w:t>
            </w:r>
          </w:p>
        </w:tc>
        <w:tc>
          <w:tcPr>
            <w:tcW w:w="2126" w:type="dxa"/>
            <w:shd w:val="clear" w:color="auto" w:fill="FFFFFF"/>
          </w:tcPr>
          <w:p w14:paraId="5A51D8D7" w14:textId="77777777" w:rsidR="006D5DBD" w:rsidRPr="000C0842" w:rsidRDefault="006D5DBD" w:rsidP="006D5DBD">
            <w:pPr>
              <w:keepNext/>
              <w:keepLines/>
              <w:spacing w:before="40" w:after="80"/>
              <w:jc w:val="left"/>
              <w:rPr>
                <w:rFonts w:eastAsia="KaiTi"/>
                <w:iCs/>
                <w:sz w:val="24"/>
                <w:szCs w:val="24"/>
                <w:lang w:val="en-GB" w:eastAsia="zh-CN"/>
              </w:rPr>
            </w:pPr>
            <w:r w:rsidRPr="000C0842">
              <w:rPr>
                <w:rFonts w:eastAsia="KaiTi" w:hint="eastAsia"/>
                <w:iCs/>
                <w:sz w:val="24"/>
                <w:szCs w:val="24"/>
                <w:lang w:val="en-GB" w:eastAsia="zh-CN"/>
              </w:rPr>
              <w:t>行为体</w:t>
            </w:r>
          </w:p>
        </w:tc>
      </w:tr>
      <w:tr w:rsidR="000C0842" w:rsidRPr="000C0842" w14:paraId="655ED42B" w14:textId="77777777" w:rsidTr="006D5DBD">
        <w:trPr>
          <w:trHeight w:val="57"/>
        </w:trPr>
        <w:tc>
          <w:tcPr>
            <w:tcW w:w="8789" w:type="dxa"/>
            <w:gridSpan w:val="2"/>
            <w:shd w:val="clear" w:color="auto" w:fill="FFFFFF"/>
          </w:tcPr>
          <w:p w14:paraId="2D6DB8FF" w14:textId="77777777" w:rsidR="006D5DBD" w:rsidRPr="000C0842" w:rsidRDefault="006D5DBD" w:rsidP="006D5DBD">
            <w:pPr>
              <w:keepNext/>
              <w:keepLines/>
              <w:tabs>
                <w:tab w:val="left" w:pos="1298"/>
              </w:tabs>
              <w:spacing w:before="40" w:after="80"/>
              <w:jc w:val="left"/>
              <w:rPr>
                <w:b/>
                <w:bCs/>
                <w:caps/>
                <w:snapToGrid w:val="0"/>
                <w:sz w:val="24"/>
                <w:szCs w:val="24"/>
                <w:lang w:val="en-GB" w:eastAsia="zh-CN"/>
              </w:rPr>
            </w:pPr>
            <w:r w:rsidRPr="000C0842">
              <w:rPr>
                <w:b/>
                <w:sz w:val="24"/>
                <w:szCs w:val="24"/>
                <w:lang w:val="zh-CN" w:eastAsia="zh-CN"/>
              </w:rPr>
              <w:t>构成部分</w:t>
            </w:r>
            <w:r w:rsidRPr="000C0842">
              <w:rPr>
                <w:b/>
                <w:sz w:val="24"/>
                <w:szCs w:val="24"/>
                <w:lang w:val="zh-CN" w:eastAsia="zh-CN"/>
              </w:rPr>
              <w:t xml:space="preserve"> 1. </w:t>
            </w:r>
            <w:r w:rsidRPr="000C0842">
              <w:rPr>
                <w:b/>
                <w:sz w:val="24"/>
                <w:szCs w:val="24"/>
                <w:lang w:val="zh-CN" w:eastAsia="zh-CN"/>
              </w:rPr>
              <w:t>养护和恢复</w:t>
            </w:r>
          </w:p>
        </w:tc>
      </w:tr>
      <w:tr w:rsidR="000C0842" w:rsidRPr="000C0842" w14:paraId="17770E4C" w14:textId="77777777" w:rsidTr="006D5DBD">
        <w:trPr>
          <w:trHeight w:val="57"/>
        </w:trPr>
        <w:tc>
          <w:tcPr>
            <w:tcW w:w="8789" w:type="dxa"/>
            <w:gridSpan w:val="2"/>
            <w:shd w:val="clear" w:color="auto" w:fill="FFFFFF"/>
          </w:tcPr>
          <w:p w14:paraId="01FE650B" w14:textId="77777777" w:rsidR="006D5DBD" w:rsidRPr="000C0842" w:rsidRDefault="006D5DBD" w:rsidP="006D5DBD">
            <w:pPr>
              <w:keepLines/>
              <w:suppressLineNumbers/>
              <w:suppressAutoHyphens/>
              <w:spacing w:before="40" w:after="80"/>
              <w:jc w:val="left"/>
              <w:rPr>
                <w:rFonts w:eastAsia="KaiTi"/>
                <w:i/>
                <w:kern w:val="22"/>
                <w:sz w:val="24"/>
                <w:szCs w:val="24"/>
                <w:lang w:val="en-GB" w:eastAsia="zh-CN"/>
              </w:rPr>
            </w:pPr>
            <w:r w:rsidRPr="000C0842">
              <w:rPr>
                <w:rFonts w:eastAsia="KaiTi"/>
                <w:sz w:val="24"/>
                <w:szCs w:val="24"/>
                <w:lang w:val="zh-CN" w:eastAsia="zh-CN"/>
              </w:rPr>
              <w:t>促进和支持土著人民和地方社区主导的生物多样性养护、保护和恢复</w:t>
            </w:r>
            <w:r w:rsidRPr="000C0842">
              <w:rPr>
                <w:rFonts w:eastAsia="KaiTi"/>
                <w:sz w:val="24"/>
                <w:szCs w:val="24"/>
                <w:lang w:val="en-GB" w:eastAsia="zh-CN"/>
              </w:rPr>
              <w:t>，</w:t>
            </w:r>
            <w:r w:rsidRPr="000C0842">
              <w:rPr>
                <w:rFonts w:eastAsia="KaiTi"/>
                <w:sz w:val="24"/>
                <w:szCs w:val="24"/>
                <w:lang w:val="zh-CN" w:eastAsia="zh-CN"/>
              </w:rPr>
              <w:t>从而推动执行《昆明</w:t>
            </w:r>
            <w:r w:rsidRPr="000C0842">
              <w:rPr>
                <w:rFonts w:eastAsia="KaiTi"/>
                <w:sz w:val="24"/>
                <w:szCs w:val="24"/>
                <w:lang w:val="en-GB" w:eastAsia="zh-CN"/>
              </w:rPr>
              <w:t>-</w:t>
            </w:r>
            <w:r w:rsidRPr="000C0842">
              <w:rPr>
                <w:rFonts w:eastAsia="KaiTi"/>
                <w:sz w:val="24"/>
                <w:szCs w:val="24"/>
                <w:lang w:val="zh-CN" w:eastAsia="zh-CN"/>
              </w:rPr>
              <w:t>蒙特利尔全球生物多样性框架》的相关长期目标和行动目标。</w:t>
            </w:r>
          </w:p>
        </w:tc>
      </w:tr>
      <w:tr w:rsidR="000C0842" w:rsidRPr="000C0842" w14:paraId="21D66EBD" w14:textId="77777777" w:rsidTr="006D5DBD">
        <w:trPr>
          <w:trHeight w:val="57"/>
        </w:trPr>
        <w:tc>
          <w:tcPr>
            <w:tcW w:w="6663" w:type="dxa"/>
            <w:shd w:val="clear" w:color="auto" w:fill="FFFFFF"/>
          </w:tcPr>
          <w:p w14:paraId="4D6C2F09" w14:textId="026E6264" w:rsidR="006D5DBD" w:rsidRPr="000C0842" w:rsidRDefault="006D5DBD" w:rsidP="006D5DBD">
            <w:pPr>
              <w:suppressLineNumbers/>
              <w:tabs>
                <w:tab w:val="clear" w:pos="567"/>
                <w:tab w:val="clear" w:pos="1134"/>
                <w:tab w:val="clear" w:pos="1701"/>
                <w:tab w:val="clear" w:pos="2268"/>
                <w:tab w:val="left" w:pos="452"/>
              </w:tabs>
              <w:suppressAutoHyphens/>
              <w:spacing w:after="120"/>
              <w:jc w:val="left"/>
              <w:rPr>
                <w:sz w:val="24"/>
                <w:szCs w:val="24"/>
                <w:lang w:val="en-GB" w:eastAsia="zh-CN"/>
              </w:rPr>
            </w:pPr>
            <w:r w:rsidRPr="000C0842">
              <w:rPr>
                <w:kern w:val="22"/>
                <w:sz w:val="24"/>
                <w:szCs w:val="24"/>
                <w:lang w:val="en-GB" w:eastAsia="zh-CN"/>
              </w:rPr>
              <w:t>1.1</w:t>
            </w:r>
            <w:r w:rsidRPr="000C0842">
              <w:rPr>
                <w:kern w:val="22"/>
                <w:sz w:val="24"/>
                <w:szCs w:val="24"/>
                <w:lang w:val="en-GB" w:eastAsia="zh-CN"/>
              </w:rPr>
              <w:tab/>
            </w:r>
            <w:r w:rsidRPr="000C0842">
              <w:rPr>
                <w:sz w:val="24"/>
                <w:szCs w:val="24"/>
                <w:lang w:val="zh-CN" w:eastAsia="zh-CN"/>
              </w:rPr>
              <w:t>在土著人民和地方社区的充分和有效参与下</w:t>
            </w:r>
            <w:r w:rsidRPr="000C0842">
              <w:rPr>
                <w:kern w:val="22"/>
                <w:sz w:val="24"/>
                <w:szCs w:val="24"/>
                <w:vertAlign w:val="superscript"/>
                <w:lang w:val="zh-CN" w:eastAsia="zh-CN"/>
              </w:rPr>
              <w:footnoteReference w:id="32"/>
            </w:r>
            <w:r w:rsidRPr="000C0842">
              <w:rPr>
                <w:sz w:val="24"/>
                <w:szCs w:val="24"/>
                <w:lang w:val="zh-CN" w:eastAsia="zh-CN"/>
              </w:rPr>
              <w:t>制定准则</w:t>
            </w:r>
            <w:r w:rsidRPr="000C0842">
              <w:rPr>
                <w:kern w:val="22"/>
                <w:sz w:val="24"/>
                <w:szCs w:val="24"/>
                <w:vertAlign w:val="superscript"/>
                <w:lang w:val="zh-CN" w:eastAsia="zh-CN"/>
              </w:rPr>
              <w:footnoteReference w:id="33"/>
            </w:r>
            <w:r w:rsidRPr="000C0842">
              <w:rPr>
                <w:sz w:val="24"/>
                <w:szCs w:val="24"/>
                <w:lang w:val="en-GB" w:eastAsia="zh-CN"/>
              </w:rPr>
              <w:t>，</w:t>
            </w:r>
            <w:r w:rsidRPr="000C0842">
              <w:rPr>
                <w:sz w:val="24"/>
                <w:szCs w:val="24"/>
                <w:lang w:val="zh-CN" w:eastAsia="zh-CN"/>
              </w:rPr>
              <w:t>以加强落实</w:t>
            </w:r>
            <w:r w:rsidR="001A5C0A" w:rsidRPr="000C0842">
              <w:rPr>
                <w:sz w:val="24"/>
                <w:szCs w:val="24"/>
                <w:lang w:val="zh-CN" w:eastAsia="zh-CN"/>
              </w:rPr>
              <w:t>《昆蒙框架》</w:t>
            </w:r>
            <w:r w:rsidRPr="000C0842">
              <w:rPr>
                <w:sz w:val="24"/>
                <w:szCs w:val="24"/>
                <w:lang w:val="zh-CN" w:eastAsia="zh-CN"/>
              </w:rPr>
              <w:t>行动目标</w:t>
            </w:r>
            <w:r w:rsidRPr="000C0842">
              <w:rPr>
                <w:sz w:val="24"/>
                <w:szCs w:val="24"/>
                <w:lang w:val="en-GB" w:eastAsia="zh-CN"/>
              </w:rPr>
              <w:t xml:space="preserve"> 2 </w:t>
            </w:r>
            <w:r w:rsidRPr="000C0842">
              <w:rPr>
                <w:sz w:val="24"/>
                <w:szCs w:val="24"/>
                <w:lang w:val="zh-CN" w:eastAsia="zh-CN"/>
              </w:rPr>
              <w:t>和</w:t>
            </w:r>
            <w:r w:rsidRPr="000C0842">
              <w:rPr>
                <w:sz w:val="24"/>
                <w:szCs w:val="24"/>
                <w:lang w:val="en-GB" w:eastAsia="zh-CN"/>
              </w:rPr>
              <w:t xml:space="preserve"> 3 </w:t>
            </w:r>
            <w:r w:rsidRPr="000C0842">
              <w:rPr>
                <w:sz w:val="24"/>
                <w:szCs w:val="24"/>
                <w:lang w:val="zh-CN" w:eastAsia="zh-CN"/>
              </w:rPr>
              <w:t>的法律和政策框架</w:t>
            </w:r>
            <w:r w:rsidRPr="000C0842">
              <w:rPr>
                <w:sz w:val="24"/>
                <w:szCs w:val="24"/>
                <w:lang w:val="en-GB" w:eastAsia="zh-CN"/>
              </w:rPr>
              <w:t>，</w:t>
            </w:r>
            <w:r w:rsidRPr="000C0842">
              <w:rPr>
                <w:sz w:val="24"/>
                <w:szCs w:val="24"/>
                <w:lang w:val="zh-CN" w:eastAsia="zh-CN"/>
              </w:rPr>
              <w:t>包括在土著和传统领地上的法律和政策框架</w:t>
            </w:r>
            <w:r w:rsidRPr="000C0842">
              <w:rPr>
                <w:sz w:val="24"/>
                <w:szCs w:val="24"/>
                <w:lang w:val="en-GB" w:eastAsia="zh-CN"/>
              </w:rPr>
              <w:t>，</w:t>
            </w:r>
            <w:r w:rsidRPr="000C0842">
              <w:rPr>
                <w:sz w:val="24"/>
                <w:szCs w:val="24"/>
                <w:lang w:val="zh-CN" w:eastAsia="zh-CN"/>
              </w:rPr>
              <w:t>支持土著人民和地方社区主导的保护和恢复做法。</w:t>
            </w:r>
          </w:p>
          <w:p w14:paraId="4A554A4E"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p>
        </w:tc>
        <w:tc>
          <w:tcPr>
            <w:tcW w:w="2126" w:type="dxa"/>
            <w:shd w:val="clear" w:color="auto" w:fill="FFFFFF"/>
          </w:tcPr>
          <w:p w14:paraId="45106A9A"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lang w:eastAsia="zh-CN"/>
              </w:rPr>
              <w:t>第</w:t>
            </w:r>
            <w:r w:rsidRPr="000C0842">
              <w:rPr>
                <w:lang w:eastAsia="zh-CN"/>
              </w:rPr>
              <w:t>8(j)</w:t>
            </w:r>
            <w:r w:rsidRPr="000C0842">
              <w:rPr>
                <w:lang w:eastAsia="zh-CN"/>
              </w:rPr>
              <w:t>条附属机构</w:t>
            </w:r>
            <w:r w:rsidRPr="000C0842">
              <w:rPr>
                <w:kern w:val="22"/>
                <w:sz w:val="24"/>
                <w:szCs w:val="24"/>
                <w:vertAlign w:val="superscript"/>
                <w:lang w:eastAsia="zh-CN"/>
              </w:rPr>
              <w:footnoteReference w:id="34"/>
            </w:r>
          </w:p>
        </w:tc>
      </w:tr>
      <w:tr w:rsidR="000C0842" w:rsidRPr="000C0842" w14:paraId="67310FAF" w14:textId="77777777" w:rsidTr="006D5DBD">
        <w:trPr>
          <w:trHeight w:val="57"/>
        </w:trPr>
        <w:tc>
          <w:tcPr>
            <w:tcW w:w="6663" w:type="dxa"/>
            <w:shd w:val="clear" w:color="auto" w:fill="FFFFFF"/>
          </w:tcPr>
          <w:p w14:paraId="3A630581"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1.2</w:t>
            </w:r>
            <w:r w:rsidRPr="000C0842">
              <w:rPr>
                <w:kern w:val="22"/>
                <w:sz w:val="24"/>
                <w:szCs w:val="24"/>
                <w:lang w:val="en-GB" w:eastAsia="zh-CN"/>
              </w:rPr>
              <w:tab/>
            </w:r>
            <w:r w:rsidRPr="000C0842">
              <w:rPr>
                <w:sz w:val="24"/>
                <w:szCs w:val="24"/>
                <w:lang w:val="zh-CN" w:eastAsia="zh-CN"/>
              </w:rPr>
              <w:t>依照国家立法和国际义务</w:t>
            </w:r>
            <w:r w:rsidRPr="000C0842">
              <w:rPr>
                <w:sz w:val="24"/>
                <w:szCs w:val="24"/>
                <w:lang w:val="en-GB" w:eastAsia="zh-CN"/>
              </w:rPr>
              <w:t>，</w:t>
            </w:r>
            <w:r w:rsidRPr="000C0842">
              <w:rPr>
                <w:sz w:val="24"/>
                <w:szCs w:val="24"/>
                <w:lang w:val="zh-CN" w:eastAsia="zh-CN"/>
              </w:rPr>
              <w:t>确定和推广确保土著人民和地方社区的土地保有权和治理的最佳做法</w:t>
            </w:r>
            <w:r w:rsidRPr="000C0842">
              <w:rPr>
                <w:sz w:val="24"/>
                <w:szCs w:val="24"/>
                <w:lang w:val="en-GB" w:eastAsia="zh-CN"/>
              </w:rPr>
              <w:t>，</w:t>
            </w:r>
            <w:r w:rsidRPr="000C0842">
              <w:rPr>
                <w:sz w:val="24"/>
                <w:szCs w:val="24"/>
                <w:lang w:val="zh-CN" w:eastAsia="zh-CN"/>
              </w:rPr>
              <w:t>制定在空间规划和环境影响评估中纳入和考虑传统土地和资源利用的准则。</w:t>
            </w:r>
          </w:p>
        </w:tc>
        <w:tc>
          <w:tcPr>
            <w:tcW w:w="2126" w:type="dxa"/>
            <w:shd w:val="clear" w:color="auto" w:fill="FFFFFF"/>
          </w:tcPr>
          <w:p w14:paraId="03D6EC3A"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条附属机构、缔约方</w:t>
            </w:r>
          </w:p>
        </w:tc>
      </w:tr>
      <w:tr w:rsidR="000C0842" w:rsidRPr="000C0842" w14:paraId="38E1C0B6" w14:textId="77777777" w:rsidTr="006D5DBD">
        <w:trPr>
          <w:trHeight w:val="57"/>
        </w:trPr>
        <w:tc>
          <w:tcPr>
            <w:tcW w:w="6663" w:type="dxa"/>
            <w:shd w:val="clear" w:color="auto" w:fill="FFFFFF"/>
          </w:tcPr>
          <w:p w14:paraId="6033A9A1"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1.3</w:t>
            </w:r>
            <w:r w:rsidRPr="000C0842">
              <w:rPr>
                <w:kern w:val="22"/>
                <w:sz w:val="24"/>
                <w:szCs w:val="24"/>
                <w:lang w:val="en-GB" w:eastAsia="zh-CN"/>
              </w:rPr>
              <w:tab/>
            </w:r>
            <w:r w:rsidRPr="000C0842">
              <w:rPr>
                <w:kern w:val="22"/>
                <w:sz w:val="24"/>
                <w:szCs w:val="24"/>
                <w:lang w:val="zh-CN" w:eastAsia="zh-CN"/>
              </w:rPr>
              <w:t>促进无正式渠道获得土地的土著人民和地方社区的权利</w:t>
            </w:r>
            <w:r w:rsidRPr="000C0842">
              <w:rPr>
                <w:kern w:val="22"/>
                <w:sz w:val="24"/>
                <w:szCs w:val="24"/>
                <w:lang w:val="en-GB" w:eastAsia="zh-CN"/>
              </w:rPr>
              <w:t>，</w:t>
            </w:r>
            <w:r w:rsidRPr="000C0842">
              <w:rPr>
                <w:kern w:val="22"/>
                <w:sz w:val="24"/>
                <w:szCs w:val="24"/>
                <w:lang w:val="zh-CN" w:eastAsia="zh-CN"/>
              </w:rPr>
              <w:t>包括在城市地区</w:t>
            </w:r>
            <w:r w:rsidRPr="000C0842">
              <w:rPr>
                <w:kern w:val="22"/>
                <w:sz w:val="24"/>
                <w:szCs w:val="24"/>
                <w:lang w:val="en-GB" w:eastAsia="zh-CN"/>
              </w:rPr>
              <w:t>，</w:t>
            </w:r>
            <w:r w:rsidRPr="000C0842">
              <w:rPr>
                <w:kern w:val="22"/>
                <w:sz w:val="24"/>
                <w:szCs w:val="24"/>
                <w:lang w:val="zh-CN" w:eastAsia="zh-CN"/>
              </w:rPr>
              <w:t>并与</w:t>
            </w:r>
            <w:r w:rsidRPr="000C0842">
              <w:rPr>
                <w:rFonts w:hint="eastAsia"/>
                <w:kern w:val="22"/>
                <w:sz w:val="24"/>
                <w:szCs w:val="24"/>
                <w:lang w:val="zh-CN" w:eastAsia="zh-CN"/>
              </w:rPr>
              <w:t>其</w:t>
            </w:r>
            <w:r w:rsidRPr="000C0842">
              <w:rPr>
                <w:kern w:val="22"/>
                <w:sz w:val="24"/>
                <w:szCs w:val="24"/>
                <w:lang w:val="zh-CN" w:eastAsia="zh-CN"/>
              </w:rPr>
              <w:t>合作养护、保护和恢复生物多样性</w:t>
            </w:r>
            <w:r w:rsidRPr="000C0842">
              <w:rPr>
                <w:kern w:val="22"/>
                <w:sz w:val="24"/>
                <w:szCs w:val="24"/>
                <w:lang w:val="en-GB" w:eastAsia="zh-CN"/>
              </w:rPr>
              <w:t>，</w:t>
            </w:r>
            <w:r w:rsidRPr="000C0842">
              <w:rPr>
                <w:kern w:val="22"/>
                <w:sz w:val="24"/>
                <w:szCs w:val="24"/>
                <w:lang w:val="zh-CN" w:eastAsia="zh-CN"/>
              </w:rPr>
              <w:t>创建和维护蓝色和绿色空间。</w:t>
            </w:r>
          </w:p>
        </w:tc>
        <w:tc>
          <w:tcPr>
            <w:tcW w:w="2126" w:type="dxa"/>
            <w:shd w:val="clear" w:color="auto" w:fill="FFFFFF"/>
          </w:tcPr>
          <w:p w14:paraId="38FF6566"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75901329" w14:textId="77777777" w:rsidTr="006D5DBD">
        <w:trPr>
          <w:trHeight w:val="57"/>
        </w:trPr>
        <w:tc>
          <w:tcPr>
            <w:tcW w:w="6663" w:type="dxa"/>
            <w:shd w:val="clear" w:color="auto" w:fill="FFFFFF"/>
          </w:tcPr>
          <w:p w14:paraId="47AAEAF8"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 xml:space="preserve">1.4 </w:t>
            </w:r>
            <w:r w:rsidRPr="000C0842">
              <w:rPr>
                <w:kern w:val="22"/>
                <w:sz w:val="24"/>
                <w:szCs w:val="24"/>
                <w:lang w:val="en-GB" w:eastAsia="zh-CN"/>
              </w:rPr>
              <w:tab/>
            </w:r>
            <w:r w:rsidRPr="000C0842">
              <w:rPr>
                <w:kern w:val="22"/>
                <w:sz w:val="24"/>
                <w:szCs w:val="24"/>
                <w:lang w:val="zh-CN" w:eastAsia="zh-CN"/>
              </w:rPr>
              <w:t>与土著人民和地方社区接触并协作</w:t>
            </w:r>
            <w:r w:rsidRPr="000C0842">
              <w:rPr>
                <w:kern w:val="22"/>
                <w:sz w:val="24"/>
                <w:szCs w:val="24"/>
                <w:lang w:val="en-GB" w:eastAsia="zh-CN"/>
              </w:rPr>
              <w:t>，</w:t>
            </w:r>
            <w:r w:rsidRPr="000C0842">
              <w:rPr>
                <w:kern w:val="22"/>
                <w:sz w:val="24"/>
                <w:szCs w:val="24"/>
                <w:lang w:val="zh-CN" w:eastAsia="zh-CN"/>
              </w:rPr>
              <w:t>改善针对生物多样性丧失直接驱动因素的影响的管理行动成果</w:t>
            </w:r>
            <w:r w:rsidRPr="000C0842">
              <w:rPr>
                <w:kern w:val="22"/>
                <w:sz w:val="24"/>
                <w:szCs w:val="24"/>
                <w:vertAlign w:val="superscript"/>
                <w:lang w:val="en-GB" w:eastAsia="zh-CN"/>
              </w:rPr>
              <w:footnoteReference w:id="35"/>
            </w:r>
            <w:r w:rsidRPr="000C0842">
              <w:rPr>
                <w:kern w:val="22"/>
                <w:sz w:val="24"/>
                <w:szCs w:val="24"/>
                <w:lang w:val="en-GB" w:eastAsia="zh-CN"/>
              </w:rPr>
              <w:t xml:space="preserve"> </w:t>
            </w:r>
            <w:r w:rsidRPr="000C0842">
              <w:rPr>
                <w:kern w:val="22"/>
                <w:sz w:val="24"/>
                <w:szCs w:val="24"/>
                <w:lang w:val="zh-CN" w:eastAsia="zh-CN"/>
              </w:rPr>
              <w:t>。</w:t>
            </w:r>
          </w:p>
        </w:tc>
        <w:tc>
          <w:tcPr>
            <w:tcW w:w="2126" w:type="dxa"/>
            <w:shd w:val="clear" w:color="auto" w:fill="FFFFFF"/>
          </w:tcPr>
          <w:p w14:paraId="030518AB"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226C7AF7" w14:textId="77777777" w:rsidTr="006D5DBD">
        <w:trPr>
          <w:trHeight w:val="57"/>
        </w:trPr>
        <w:tc>
          <w:tcPr>
            <w:tcW w:w="8789" w:type="dxa"/>
            <w:gridSpan w:val="2"/>
            <w:shd w:val="clear" w:color="auto" w:fill="FFFFFF"/>
          </w:tcPr>
          <w:p w14:paraId="333C1132" w14:textId="77777777" w:rsidR="006D5DBD" w:rsidRPr="000C0842" w:rsidRDefault="006D5DBD" w:rsidP="006D5DBD">
            <w:pPr>
              <w:keepNext/>
              <w:suppressLineNumbers/>
              <w:tabs>
                <w:tab w:val="left" w:pos="1298"/>
              </w:tabs>
              <w:suppressAutoHyphens/>
              <w:spacing w:before="40" w:after="80"/>
              <w:jc w:val="left"/>
              <w:rPr>
                <w:b/>
                <w:kern w:val="22"/>
                <w:sz w:val="24"/>
                <w:szCs w:val="24"/>
                <w:lang w:val="en-GB" w:eastAsia="zh-CN"/>
              </w:rPr>
            </w:pPr>
            <w:r w:rsidRPr="000C0842">
              <w:rPr>
                <w:b/>
                <w:sz w:val="24"/>
                <w:szCs w:val="24"/>
                <w:lang w:val="zh-CN" w:eastAsia="zh-CN"/>
              </w:rPr>
              <w:t>构成部分</w:t>
            </w:r>
            <w:r w:rsidRPr="000C0842">
              <w:rPr>
                <w:b/>
                <w:sz w:val="24"/>
                <w:szCs w:val="24"/>
                <w:lang w:eastAsia="zh-CN"/>
              </w:rPr>
              <w:t xml:space="preserve"> 2. </w:t>
            </w:r>
            <w:r w:rsidRPr="000C0842">
              <w:rPr>
                <w:b/>
                <w:sz w:val="24"/>
                <w:szCs w:val="24"/>
                <w:lang w:val="zh-CN" w:eastAsia="zh-CN"/>
              </w:rPr>
              <w:t>可持续利用生物多样性</w:t>
            </w:r>
          </w:p>
        </w:tc>
      </w:tr>
      <w:tr w:rsidR="000C0842" w:rsidRPr="000C0842" w14:paraId="031E4A50" w14:textId="77777777" w:rsidTr="006D5DBD">
        <w:trPr>
          <w:trHeight w:val="57"/>
        </w:trPr>
        <w:tc>
          <w:tcPr>
            <w:tcW w:w="8789" w:type="dxa"/>
            <w:gridSpan w:val="2"/>
            <w:shd w:val="clear" w:color="auto" w:fill="FFFFFF"/>
          </w:tcPr>
          <w:p w14:paraId="36B61A5E" w14:textId="2F3DC0E3" w:rsidR="006D5DBD" w:rsidRPr="000C0842" w:rsidRDefault="006D5DBD" w:rsidP="006D5DBD">
            <w:pPr>
              <w:suppressLineNumbers/>
              <w:suppressAutoHyphens/>
              <w:spacing w:before="40" w:after="80"/>
              <w:jc w:val="left"/>
              <w:rPr>
                <w:rFonts w:eastAsia="KaiTi"/>
                <w:i/>
                <w:kern w:val="22"/>
                <w:sz w:val="24"/>
                <w:szCs w:val="24"/>
                <w:lang w:val="en-GB" w:eastAsia="zh-CN"/>
              </w:rPr>
            </w:pPr>
            <w:r w:rsidRPr="000C0842">
              <w:rPr>
                <w:rFonts w:eastAsia="KaiTi"/>
                <w:sz w:val="24"/>
                <w:szCs w:val="24"/>
                <w:lang w:val="zh-CN" w:eastAsia="zh-CN"/>
              </w:rPr>
              <w:t>促进、鼓励和确保生物多样性的可持续利用</w:t>
            </w:r>
            <w:r w:rsidRPr="000C0842">
              <w:rPr>
                <w:rFonts w:eastAsia="KaiTi"/>
                <w:sz w:val="24"/>
                <w:szCs w:val="24"/>
                <w:lang w:val="en-GB" w:eastAsia="zh-CN"/>
              </w:rPr>
              <w:t>，</w:t>
            </w:r>
            <w:r w:rsidRPr="000C0842">
              <w:rPr>
                <w:rFonts w:eastAsia="KaiTi"/>
                <w:sz w:val="24"/>
                <w:szCs w:val="24"/>
                <w:lang w:val="zh-CN" w:eastAsia="zh-CN"/>
              </w:rPr>
              <w:t>除其他外</w:t>
            </w:r>
            <w:r w:rsidRPr="000C0842">
              <w:rPr>
                <w:rFonts w:eastAsia="KaiTi"/>
                <w:sz w:val="24"/>
                <w:szCs w:val="24"/>
                <w:lang w:val="en-GB" w:eastAsia="zh-CN"/>
              </w:rPr>
              <w:t>，</w:t>
            </w:r>
            <w:r w:rsidRPr="000C0842">
              <w:rPr>
                <w:rFonts w:eastAsia="KaiTi"/>
                <w:sz w:val="24"/>
                <w:szCs w:val="24"/>
                <w:lang w:val="zh-CN" w:eastAsia="zh-CN"/>
              </w:rPr>
              <w:t>尊重和保护土著人民和地方社区的可持续习惯使用</w:t>
            </w:r>
            <w:r w:rsidRPr="000C0842">
              <w:rPr>
                <w:rFonts w:eastAsia="KaiTi"/>
                <w:sz w:val="24"/>
                <w:szCs w:val="24"/>
                <w:lang w:val="en-GB" w:eastAsia="zh-CN"/>
              </w:rPr>
              <w:t>，</w:t>
            </w:r>
            <w:r w:rsidRPr="000C0842">
              <w:rPr>
                <w:rFonts w:eastAsia="KaiTi"/>
                <w:sz w:val="24"/>
                <w:szCs w:val="24"/>
                <w:lang w:val="zh-CN" w:eastAsia="zh-CN"/>
              </w:rPr>
              <w:t>从而推动执行《公约》第</w:t>
            </w:r>
            <w:r w:rsidRPr="000C0842">
              <w:rPr>
                <w:rFonts w:eastAsia="KaiTi"/>
                <w:sz w:val="24"/>
                <w:szCs w:val="24"/>
                <w:lang w:val="en-GB" w:eastAsia="zh-CN"/>
              </w:rPr>
              <w:t>10</w:t>
            </w:r>
            <w:r w:rsidR="00D40E31" w:rsidRPr="000C0842">
              <w:rPr>
                <w:rFonts w:eastAsia="KaiTi" w:hint="eastAsia"/>
                <w:sz w:val="24"/>
                <w:szCs w:val="24"/>
                <w:lang w:val="en-GB" w:eastAsia="zh-CN"/>
              </w:rPr>
              <w:t>(</w:t>
            </w:r>
            <w:r w:rsidRPr="000C0842">
              <w:rPr>
                <w:rFonts w:eastAsia="KaiTi"/>
                <w:sz w:val="24"/>
                <w:szCs w:val="24"/>
                <w:lang w:val="en-GB" w:eastAsia="zh-CN"/>
              </w:rPr>
              <w:t>c</w:t>
            </w:r>
            <w:r w:rsidR="00D40E31" w:rsidRPr="000C0842">
              <w:rPr>
                <w:rFonts w:eastAsia="KaiTi" w:hint="eastAsia"/>
                <w:sz w:val="24"/>
                <w:szCs w:val="24"/>
                <w:lang w:val="en-GB" w:eastAsia="zh-CN"/>
              </w:rPr>
              <w:t>)</w:t>
            </w:r>
            <w:r w:rsidRPr="000C0842">
              <w:rPr>
                <w:rFonts w:eastAsia="KaiTi"/>
                <w:sz w:val="24"/>
                <w:szCs w:val="24"/>
                <w:lang w:val="zh-CN" w:eastAsia="zh-CN"/>
              </w:rPr>
              <w:t>条、《生物多样性可持续习惯使用行动计划》</w:t>
            </w:r>
            <w:r w:rsidRPr="000C0842">
              <w:rPr>
                <w:rFonts w:eastAsia="KaiTi"/>
                <w:sz w:val="24"/>
                <w:szCs w:val="24"/>
                <w:vertAlign w:val="superscript"/>
                <w:lang w:val="zh-CN" w:eastAsia="zh-CN"/>
              </w:rPr>
              <w:footnoteReference w:id="36"/>
            </w:r>
            <w:r w:rsidRPr="000C0842">
              <w:rPr>
                <w:rFonts w:eastAsia="KaiTi"/>
                <w:sz w:val="24"/>
                <w:szCs w:val="24"/>
                <w:lang w:val="zh-CN" w:eastAsia="zh-CN"/>
              </w:rPr>
              <w:t>和《昆明</w:t>
            </w:r>
            <w:r w:rsidRPr="000C0842">
              <w:rPr>
                <w:rFonts w:eastAsia="KaiTi"/>
                <w:sz w:val="24"/>
                <w:szCs w:val="24"/>
                <w:lang w:val="en-GB" w:eastAsia="zh-CN"/>
              </w:rPr>
              <w:t>-</w:t>
            </w:r>
            <w:r w:rsidRPr="000C0842">
              <w:rPr>
                <w:rFonts w:eastAsia="KaiTi"/>
                <w:sz w:val="24"/>
                <w:szCs w:val="24"/>
                <w:lang w:val="zh-CN" w:eastAsia="zh-CN"/>
              </w:rPr>
              <w:t>蒙特利尔全球生物多样性框架》的相关长期目标和行动目标。</w:t>
            </w:r>
          </w:p>
        </w:tc>
      </w:tr>
      <w:tr w:rsidR="000C0842" w:rsidRPr="000C0842" w14:paraId="2FA6E479" w14:textId="77777777" w:rsidTr="006D5DBD">
        <w:trPr>
          <w:trHeight w:val="57"/>
        </w:trPr>
        <w:tc>
          <w:tcPr>
            <w:tcW w:w="6663" w:type="dxa"/>
            <w:shd w:val="clear" w:color="auto" w:fill="FFFFFF"/>
          </w:tcPr>
          <w:p w14:paraId="3C15A173"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2.1</w:t>
            </w:r>
            <w:r w:rsidRPr="000C0842">
              <w:rPr>
                <w:kern w:val="22"/>
                <w:sz w:val="24"/>
                <w:szCs w:val="24"/>
                <w:lang w:val="en-GB" w:eastAsia="zh-CN"/>
              </w:rPr>
              <w:tab/>
            </w:r>
            <w:r w:rsidRPr="000C0842">
              <w:rPr>
                <w:sz w:val="24"/>
                <w:szCs w:val="24"/>
                <w:lang w:val="zh-CN" w:eastAsia="zh-CN"/>
              </w:rPr>
              <w:t>依照《生物多样性可持续习惯使用行动计划》</w:t>
            </w:r>
            <w:r w:rsidRPr="000C0842">
              <w:rPr>
                <w:sz w:val="24"/>
                <w:szCs w:val="24"/>
                <w:lang w:val="en-GB" w:eastAsia="zh-CN"/>
              </w:rPr>
              <w:t>，</w:t>
            </w:r>
            <w:r w:rsidRPr="000C0842">
              <w:rPr>
                <w:sz w:val="24"/>
                <w:szCs w:val="24"/>
                <w:lang w:val="zh-CN" w:eastAsia="zh-CN"/>
              </w:rPr>
              <w:t>并酌情在土著人民和地方社区的充分和有效参与以及领导下</w:t>
            </w:r>
            <w:r w:rsidRPr="000C0842">
              <w:rPr>
                <w:sz w:val="24"/>
                <w:szCs w:val="24"/>
                <w:lang w:val="en-GB" w:eastAsia="zh-CN"/>
              </w:rPr>
              <w:t>，</w:t>
            </w:r>
            <w:r w:rsidRPr="000C0842">
              <w:rPr>
                <w:sz w:val="24"/>
                <w:szCs w:val="24"/>
                <w:lang w:val="zh-CN" w:eastAsia="zh-CN"/>
              </w:rPr>
              <w:t>将可持续习惯使用的做法或政策纳入国家生物多样性战略和行动计划。</w:t>
            </w:r>
          </w:p>
        </w:tc>
        <w:tc>
          <w:tcPr>
            <w:tcW w:w="2126" w:type="dxa"/>
            <w:shd w:val="clear" w:color="auto" w:fill="FFFFFF"/>
          </w:tcPr>
          <w:p w14:paraId="24DF901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34C02765" w14:textId="77777777" w:rsidTr="006D5DBD">
        <w:trPr>
          <w:trHeight w:val="57"/>
        </w:trPr>
        <w:tc>
          <w:tcPr>
            <w:tcW w:w="6663" w:type="dxa"/>
            <w:shd w:val="clear" w:color="auto" w:fill="FFFFFF"/>
          </w:tcPr>
          <w:p w14:paraId="3097B8F2"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2.2</w:t>
            </w:r>
            <w:r w:rsidRPr="000C0842">
              <w:rPr>
                <w:kern w:val="22"/>
                <w:sz w:val="24"/>
                <w:szCs w:val="24"/>
                <w:lang w:val="en-GB" w:eastAsia="zh-CN"/>
              </w:rPr>
              <w:tab/>
            </w:r>
            <w:r w:rsidRPr="000C0842">
              <w:rPr>
                <w:sz w:val="24"/>
                <w:szCs w:val="24"/>
                <w:lang w:val="zh-CN" w:eastAsia="zh-CN"/>
              </w:rPr>
              <w:t>促进和加强土著人民和地方社区制定的基于社区的举措</w:t>
            </w:r>
            <w:r w:rsidRPr="000C0842">
              <w:rPr>
                <w:sz w:val="24"/>
                <w:szCs w:val="24"/>
                <w:lang w:val="en-GB" w:eastAsia="zh-CN"/>
              </w:rPr>
              <w:t>，</w:t>
            </w:r>
            <w:r w:rsidRPr="000C0842">
              <w:rPr>
                <w:sz w:val="24"/>
                <w:szCs w:val="24"/>
                <w:lang w:val="zh-CN" w:eastAsia="zh-CN"/>
              </w:rPr>
              <w:t>包括与其他行为体</w:t>
            </w:r>
            <w:r w:rsidRPr="000C0842">
              <w:rPr>
                <w:rFonts w:hint="eastAsia"/>
                <w:sz w:val="24"/>
                <w:szCs w:val="24"/>
                <w:lang w:val="zh-CN" w:eastAsia="zh-CN"/>
              </w:rPr>
              <w:t>协作</w:t>
            </w:r>
            <w:r w:rsidRPr="000C0842">
              <w:rPr>
                <w:sz w:val="24"/>
                <w:szCs w:val="24"/>
                <w:lang w:val="en-GB" w:eastAsia="zh-CN"/>
              </w:rPr>
              <w:t>，</w:t>
            </w:r>
            <w:r w:rsidRPr="000C0842">
              <w:rPr>
                <w:sz w:val="24"/>
                <w:szCs w:val="24"/>
                <w:lang w:val="zh-CN" w:eastAsia="zh-CN"/>
              </w:rPr>
              <w:t>支持和促进生物多样性的可持续利用以及尊重和保护生物多样性的可持续习惯使用。</w:t>
            </w:r>
          </w:p>
        </w:tc>
        <w:tc>
          <w:tcPr>
            <w:tcW w:w="2126" w:type="dxa"/>
            <w:shd w:val="clear" w:color="auto" w:fill="FFFFFF"/>
          </w:tcPr>
          <w:p w14:paraId="479EDE3A"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1D536E67" w14:textId="77777777" w:rsidTr="006D5DBD">
        <w:trPr>
          <w:trHeight w:val="57"/>
        </w:trPr>
        <w:tc>
          <w:tcPr>
            <w:tcW w:w="6663" w:type="dxa"/>
            <w:shd w:val="clear" w:color="auto" w:fill="FFFFFF"/>
          </w:tcPr>
          <w:p w14:paraId="4AB41CBE" w14:textId="77777777" w:rsidR="006D5DBD" w:rsidRPr="000C0842" w:rsidRDefault="006D5DBD" w:rsidP="006D5DBD">
            <w:pPr>
              <w:suppressLineNumbers/>
              <w:suppressAutoHyphens/>
              <w:spacing w:before="40" w:after="80"/>
              <w:jc w:val="left"/>
              <w:rPr>
                <w:kern w:val="22"/>
                <w:sz w:val="24"/>
                <w:szCs w:val="24"/>
                <w:highlight w:val="yellow"/>
                <w:lang w:val="en-GB" w:eastAsia="zh-CN"/>
              </w:rPr>
            </w:pPr>
            <w:r w:rsidRPr="000C0842">
              <w:rPr>
                <w:kern w:val="22"/>
                <w:sz w:val="24"/>
                <w:szCs w:val="24"/>
                <w:lang w:val="en-GB" w:eastAsia="zh-CN"/>
              </w:rPr>
              <w:t>2.3</w:t>
            </w:r>
            <w:r w:rsidRPr="000C0842">
              <w:rPr>
                <w:kern w:val="22"/>
                <w:sz w:val="24"/>
                <w:szCs w:val="24"/>
                <w:lang w:val="en-GB" w:eastAsia="zh-CN"/>
              </w:rPr>
              <w:tab/>
            </w:r>
            <w:r w:rsidRPr="000C0842">
              <w:rPr>
                <w:sz w:val="24"/>
                <w:szCs w:val="24"/>
                <w:lang w:val="zh-CN" w:eastAsia="zh-CN"/>
              </w:rPr>
              <w:t>支持土著人民和地方社区根据生物多样性可持续习惯使用的传统知识、创新、技术和做法采取的解决生物多样性与气候变化相互联系的举措。</w:t>
            </w:r>
          </w:p>
        </w:tc>
        <w:tc>
          <w:tcPr>
            <w:tcW w:w="2126" w:type="dxa"/>
            <w:shd w:val="clear" w:color="auto" w:fill="FFFFFF"/>
          </w:tcPr>
          <w:p w14:paraId="7ABF70B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r w:rsidRPr="000C0842">
              <w:rPr>
                <w:kern w:val="22"/>
                <w:sz w:val="24"/>
                <w:szCs w:val="24"/>
                <w:lang w:val="en-GB" w:eastAsia="zh-CN"/>
              </w:rPr>
              <w:t xml:space="preserve"> </w:t>
            </w:r>
          </w:p>
        </w:tc>
      </w:tr>
      <w:tr w:rsidR="000C0842" w:rsidRPr="000C0842" w14:paraId="6E5D3546" w14:textId="77777777" w:rsidTr="006D5DBD">
        <w:trPr>
          <w:trHeight w:val="57"/>
        </w:trPr>
        <w:tc>
          <w:tcPr>
            <w:tcW w:w="6663" w:type="dxa"/>
            <w:shd w:val="clear" w:color="auto" w:fill="FFFFFF"/>
          </w:tcPr>
          <w:p w14:paraId="24BF2423"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2.4</w:t>
            </w:r>
            <w:r w:rsidRPr="000C0842">
              <w:rPr>
                <w:kern w:val="22"/>
                <w:sz w:val="24"/>
                <w:szCs w:val="24"/>
                <w:lang w:val="en-GB" w:eastAsia="zh-CN"/>
              </w:rPr>
              <w:tab/>
            </w:r>
            <w:r w:rsidRPr="000C0842">
              <w:rPr>
                <w:sz w:val="24"/>
                <w:szCs w:val="24"/>
                <w:lang w:val="zh-CN" w:eastAsia="zh-CN"/>
              </w:rPr>
              <w:t>通过促进生物多样性可持续习惯使用的活动</w:t>
            </w:r>
            <w:r w:rsidRPr="000C0842">
              <w:rPr>
                <w:sz w:val="24"/>
                <w:szCs w:val="24"/>
                <w:lang w:val="en-GB" w:eastAsia="zh-CN"/>
              </w:rPr>
              <w:t>，</w:t>
            </w:r>
            <w:r w:rsidRPr="000C0842">
              <w:rPr>
                <w:sz w:val="24"/>
                <w:szCs w:val="24"/>
                <w:lang w:val="zh-CN" w:eastAsia="zh-CN"/>
              </w:rPr>
              <w:t>支持土著人民和地方社区的生计。</w:t>
            </w:r>
          </w:p>
        </w:tc>
        <w:tc>
          <w:tcPr>
            <w:tcW w:w="2126" w:type="dxa"/>
            <w:shd w:val="clear" w:color="auto" w:fill="FFFFFF"/>
          </w:tcPr>
          <w:p w14:paraId="53DA0777"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6CB9F627" w14:textId="77777777" w:rsidTr="006D5DBD">
        <w:trPr>
          <w:trHeight w:val="57"/>
        </w:trPr>
        <w:tc>
          <w:tcPr>
            <w:tcW w:w="8789" w:type="dxa"/>
            <w:gridSpan w:val="2"/>
            <w:shd w:val="clear" w:color="auto" w:fill="FFFFFF"/>
          </w:tcPr>
          <w:p w14:paraId="08D19E7E" w14:textId="77777777" w:rsidR="006D5DBD" w:rsidRPr="000C0842" w:rsidRDefault="006D5DBD" w:rsidP="006D5DBD">
            <w:pPr>
              <w:keepNext/>
              <w:tabs>
                <w:tab w:val="left" w:pos="1290"/>
              </w:tabs>
              <w:spacing w:before="40" w:after="80"/>
              <w:jc w:val="left"/>
              <w:rPr>
                <w:b/>
                <w:bCs/>
                <w:caps/>
                <w:snapToGrid w:val="0"/>
                <w:sz w:val="24"/>
                <w:szCs w:val="24"/>
                <w:lang w:val="en-GB" w:eastAsia="zh-CN"/>
              </w:rPr>
            </w:pPr>
            <w:r w:rsidRPr="000C0842">
              <w:rPr>
                <w:b/>
                <w:sz w:val="24"/>
                <w:szCs w:val="24"/>
                <w:lang w:val="zh-CN" w:eastAsia="zh-CN"/>
              </w:rPr>
              <w:t>构成部分</w:t>
            </w:r>
            <w:r w:rsidRPr="000C0842">
              <w:rPr>
                <w:b/>
                <w:sz w:val="24"/>
                <w:szCs w:val="24"/>
                <w:lang w:eastAsia="zh-CN"/>
              </w:rPr>
              <w:t xml:space="preserve"> 3. </w:t>
            </w:r>
            <w:r w:rsidRPr="000C0842">
              <w:rPr>
                <w:b/>
                <w:sz w:val="24"/>
                <w:szCs w:val="24"/>
                <w:lang w:val="zh-CN" w:eastAsia="zh-CN"/>
              </w:rPr>
              <w:t>分享利用遗传资源和遗传资源数字序列信息以及与遗传资源相关的传统知识所产生的惠益</w:t>
            </w:r>
          </w:p>
        </w:tc>
      </w:tr>
      <w:tr w:rsidR="000C0842" w:rsidRPr="000C0842" w14:paraId="6C64F1B5" w14:textId="77777777" w:rsidTr="006D5DBD">
        <w:trPr>
          <w:trHeight w:val="57"/>
        </w:trPr>
        <w:tc>
          <w:tcPr>
            <w:tcW w:w="8789" w:type="dxa"/>
            <w:gridSpan w:val="2"/>
            <w:shd w:val="clear" w:color="auto" w:fill="FFFFFF"/>
          </w:tcPr>
          <w:p w14:paraId="352520B8" w14:textId="77777777" w:rsidR="006D5DBD" w:rsidRPr="000C0842" w:rsidRDefault="006D5DBD" w:rsidP="006D5DBD">
            <w:pPr>
              <w:suppressLineNumbers/>
              <w:suppressAutoHyphens/>
              <w:spacing w:before="40" w:after="80"/>
              <w:jc w:val="left"/>
              <w:rPr>
                <w:rFonts w:eastAsia="KaiTi"/>
                <w:i/>
                <w:kern w:val="22"/>
                <w:sz w:val="24"/>
                <w:szCs w:val="24"/>
                <w:lang w:val="en-GB" w:eastAsia="zh-CN"/>
              </w:rPr>
            </w:pPr>
            <w:r w:rsidRPr="000C0842">
              <w:rPr>
                <w:rFonts w:eastAsia="KaiTi"/>
                <w:sz w:val="24"/>
                <w:szCs w:val="24"/>
                <w:lang w:val="zh-CN" w:eastAsia="zh-CN"/>
              </w:rPr>
              <w:t>促进公正和公平地分享利用遗传资源、与遗传资源相关的传统知识和遗传资源数字序列信息所产生的惠益</w:t>
            </w:r>
            <w:r w:rsidRPr="000C0842">
              <w:rPr>
                <w:rFonts w:eastAsia="KaiTi"/>
                <w:sz w:val="24"/>
                <w:szCs w:val="24"/>
                <w:lang w:val="en-GB" w:eastAsia="zh-CN"/>
              </w:rPr>
              <w:t>，</w:t>
            </w:r>
            <w:r w:rsidRPr="000C0842">
              <w:rPr>
                <w:rFonts w:eastAsia="KaiTi"/>
                <w:sz w:val="24"/>
                <w:szCs w:val="24"/>
                <w:lang w:val="zh-CN" w:eastAsia="zh-CN"/>
              </w:rPr>
              <w:t>从而</w:t>
            </w:r>
            <w:r w:rsidRPr="000C0842">
              <w:rPr>
                <w:rFonts w:eastAsia="KaiTi" w:hint="eastAsia"/>
                <w:sz w:val="24"/>
                <w:szCs w:val="24"/>
                <w:lang w:val="zh-CN" w:eastAsia="zh-CN"/>
              </w:rPr>
              <w:t>，</w:t>
            </w:r>
            <w:r w:rsidRPr="000C0842">
              <w:rPr>
                <w:rFonts w:eastAsia="KaiTi"/>
                <w:sz w:val="24"/>
                <w:szCs w:val="24"/>
                <w:lang w:val="zh-CN" w:eastAsia="zh-CN"/>
              </w:rPr>
              <w:t>除其他外</w:t>
            </w:r>
            <w:r w:rsidRPr="000C0842">
              <w:rPr>
                <w:rFonts w:eastAsia="KaiTi"/>
                <w:sz w:val="24"/>
                <w:szCs w:val="24"/>
                <w:lang w:val="en-GB" w:eastAsia="zh-CN"/>
              </w:rPr>
              <w:t>，</w:t>
            </w:r>
            <w:r w:rsidRPr="000C0842">
              <w:rPr>
                <w:rFonts w:eastAsia="KaiTi"/>
                <w:sz w:val="24"/>
                <w:szCs w:val="24"/>
                <w:lang w:val="zh-CN" w:eastAsia="zh-CN"/>
              </w:rPr>
              <w:t>促进实施《昆明</w:t>
            </w:r>
            <w:r w:rsidRPr="000C0842">
              <w:rPr>
                <w:rFonts w:eastAsia="KaiTi"/>
                <w:sz w:val="24"/>
                <w:szCs w:val="24"/>
                <w:lang w:val="en-GB" w:eastAsia="zh-CN"/>
              </w:rPr>
              <w:t>-</w:t>
            </w:r>
            <w:r w:rsidRPr="000C0842">
              <w:rPr>
                <w:rFonts w:eastAsia="KaiTi"/>
                <w:sz w:val="24"/>
                <w:szCs w:val="24"/>
                <w:lang w:val="zh-CN" w:eastAsia="zh-CN"/>
              </w:rPr>
              <w:t>蒙特利尔全球生物多样性框架》的相关长期目标和行动目标。</w:t>
            </w:r>
            <w:r w:rsidRPr="000C0842">
              <w:rPr>
                <w:rFonts w:eastAsia="KaiTi"/>
                <w:i/>
                <w:kern w:val="22"/>
                <w:sz w:val="24"/>
                <w:szCs w:val="24"/>
                <w:lang w:val="en-GB" w:eastAsia="zh-CN"/>
              </w:rPr>
              <w:t xml:space="preserve"> </w:t>
            </w:r>
          </w:p>
        </w:tc>
      </w:tr>
      <w:tr w:rsidR="000C0842" w:rsidRPr="000C0842" w14:paraId="6B0129D6" w14:textId="77777777" w:rsidTr="006D5DBD">
        <w:trPr>
          <w:trHeight w:val="57"/>
        </w:trPr>
        <w:tc>
          <w:tcPr>
            <w:tcW w:w="6663" w:type="dxa"/>
            <w:shd w:val="clear" w:color="auto" w:fill="FFFFFF"/>
          </w:tcPr>
          <w:p w14:paraId="779995CD" w14:textId="6F1D916A"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3.1</w:t>
            </w:r>
            <w:r w:rsidRPr="000C0842">
              <w:rPr>
                <w:kern w:val="22"/>
                <w:sz w:val="24"/>
                <w:szCs w:val="24"/>
                <w:lang w:val="en-GB" w:eastAsia="zh-CN"/>
              </w:rPr>
              <w:tab/>
            </w:r>
            <w:r w:rsidRPr="000C0842">
              <w:rPr>
                <w:kern w:val="22"/>
                <w:sz w:val="24"/>
                <w:szCs w:val="24"/>
                <w:lang w:val="en-GB" w:eastAsia="zh-CN"/>
              </w:rPr>
              <w:t>制定一项</w:t>
            </w:r>
            <w:r w:rsidRPr="000C0842">
              <w:rPr>
                <w:rFonts w:hint="eastAsia"/>
                <w:kern w:val="22"/>
                <w:sz w:val="24"/>
                <w:szCs w:val="24"/>
                <w:lang w:eastAsia="zh-CN"/>
              </w:rPr>
              <w:t>有关</w:t>
            </w:r>
            <w:r w:rsidRPr="000C0842">
              <w:rPr>
                <w:kern w:val="22"/>
                <w:sz w:val="24"/>
                <w:szCs w:val="24"/>
                <w:lang w:eastAsia="zh-CN"/>
              </w:rPr>
              <w:t>遗传资源和与土著人民和地方社区拥有的遗传资源相关的传统知识的</w:t>
            </w:r>
            <w:r w:rsidRPr="000C0842">
              <w:rPr>
                <w:kern w:val="22"/>
                <w:sz w:val="24"/>
                <w:szCs w:val="24"/>
                <w:lang w:val="en-GB" w:eastAsia="zh-CN"/>
              </w:rPr>
              <w:t>行动计划，支持执行《公约》</w:t>
            </w:r>
            <w:r w:rsidRPr="000C0842">
              <w:rPr>
                <w:rFonts w:hint="eastAsia"/>
                <w:kern w:val="22"/>
                <w:sz w:val="24"/>
                <w:szCs w:val="24"/>
                <w:lang w:val="en-GB" w:eastAsia="zh-CN"/>
              </w:rPr>
              <w:t>、</w:t>
            </w:r>
            <w:r w:rsidRPr="000C0842">
              <w:rPr>
                <w:kern w:val="22"/>
                <w:sz w:val="24"/>
                <w:szCs w:val="24"/>
                <w:lang w:val="en-GB" w:eastAsia="zh-CN"/>
              </w:rPr>
              <w:t>《生物多样性公约关于获取遗传资源和公正和公平分享其利用所产生惠益的名古屋议定书》</w:t>
            </w:r>
            <w:r w:rsidRPr="000C0842">
              <w:rPr>
                <w:rFonts w:eastAsia="KaiTi"/>
                <w:sz w:val="24"/>
                <w:szCs w:val="24"/>
                <w:vertAlign w:val="superscript"/>
                <w:lang w:val="zh-CN" w:eastAsia="zh-CN"/>
              </w:rPr>
              <w:footnoteReference w:id="37"/>
            </w:r>
            <w:r w:rsidRPr="000C0842">
              <w:rPr>
                <w:rFonts w:hint="eastAsia"/>
                <w:kern w:val="22"/>
                <w:sz w:val="24"/>
                <w:szCs w:val="24"/>
                <w:lang w:val="en-GB" w:eastAsia="zh-CN"/>
              </w:rPr>
              <w:t>以及</w:t>
            </w:r>
            <w:r w:rsidRPr="000C0842">
              <w:rPr>
                <w:kern w:val="22"/>
                <w:sz w:val="24"/>
                <w:szCs w:val="24"/>
                <w:lang w:eastAsia="zh-CN"/>
              </w:rPr>
              <w:t>公平公正分享</w:t>
            </w:r>
            <w:r w:rsidRPr="000C0842">
              <w:rPr>
                <w:rFonts w:hint="eastAsia"/>
                <w:kern w:val="22"/>
                <w:sz w:val="24"/>
                <w:szCs w:val="24"/>
                <w:lang w:eastAsia="zh-CN"/>
              </w:rPr>
              <w:t>利用</w:t>
            </w:r>
            <w:r w:rsidRPr="000C0842">
              <w:rPr>
                <w:kern w:val="22"/>
                <w:sz w:val="24"/>
                <w:szCs w:val="24"/>
                <w:lang w:eastAsia="zh-CN"/>
              </w:rPr>
              <w:t>遗传资源数字序列信息所产生惠益</w:t>
            </w:r>
            <w:r w:rsidRPr="000C0842">
              <w:rPr>
                <w:rFonts w:hint="eastAsia"/>
                <w:kern w:val="22"/>
                <w:sz w:val="24"/>
                <w:szCs w:val="24"/>
                <w:lang w:eastAsia="zh-CN"/>
              </w:rPr>
              <w:t>的</w:t>
            </w:r>
            <w:r w:rsidRPr="000C0842">
              <w:rPr>
                <w:kern w:val="22"/>
                <w:sz w:val="24"/>
                <w:szCs w:val="24"/>
                <w:lang w:eastAsia="zh-CN"/>
              </w:rPr>
              <w:t>多边机制</w:t>
            </w:r>
            <w:r w:rsidRPr="000C0842">
              <w:rPr>
                <w:rFonts w:eastAsia="KaiTi"/>
                <w:sz w:val="24"/>
                <w:szCs w:val="24"/>
                <w:vertAlign w:val="superscript"/>
                <w:lang w:val="zh-CN" w:eastAsia="zh-CN"/>
              </w:rPr>
              <w:footnoteReference w:id="38"/>
            </w:r>
            <w:r w:rsidRPr="000C0842">
              <w:rPr>
                <w:kern w:val="22"/>
                <w:sz w:val="24"/>
                <w:szCs w:val="24"/>
                <w:lang w:val="en-GB" w:eastAsia="zh-CN"/>
              </w:rPr>
              <w:t>。这一行动计划应包括能力建设活动，</w:t>
            </w:r>
            <w:r w:rsidRPr="000C0842">
              <w:rPr>
                <w:rFonts w:hint="eastAsia"/>
                <w:kern w:val="22"/>
                <w:sz w:val="24"/>
                <w:szCs w:val="24"/>
                <w:lang w:val="en-GB" w:eastAsia="zh-CN"/>
              </w:rPr>
              <w:t>并</w:t>
            </w:r>
            <w:r w:rsidRPr="000C0842">
              <w:rPr>
                <w:kern w:val="22"/>
                <w:sz w:val="24"/>
                <w:szCs w:val="24"/>
                <w:lang w:val="en-GB" w:eastAsia="zh-CN"/>
              </w:rPr>
              <w:t>支持发展和利用现有的生物文化社区</w:t>
            </w:r>
            <w:r w:rsidRPr="000C0842">
              <w:rPr>
                <w:rFonts w:hint="eastAsia"/>
                <w:kern w:val="22"/>
                <w:sz w:val="24"/>
                <w:szCs w:val="24"/>
                <w:lang w:val="en-GB" w:eastAsia="zh-CN"/>
              </w:rPr>
              <w:t>规约</w:t>
            </w:r>
            <w:r w:rsidRPr="000C0842">
              <w:rPr>
                <w:kern w:val="22"/>
                <w:sz w:val="24"/>
                <w:szCs w:val="24"/>
                <w:lang w:val="en-GB" w:eastAsia="zh-CN"/>
              </w:rPr>
              <w:t>、知识交流平台、技术和法律支持、使用者和提供者</w:t>
            </w:r>
            <w:r w:rsidRPr="000C0842">
              <w:rPr>
                <w:rFonts w:hint="eastAsia"/>
                <w:kern w:val="22"/>
                <w:sz w:val="24"/>
                <w:szCs w:val="24"/>
                <w:lang w:val="en-GB" w:eastAsia="zh-CN"/>
              </w:rPr>
              <w:t>在</w:t>
            </w:r>
            <w:r w:rsidRPr="000C0842">
              <w:rPr>
                <w:kern w:val="22"/>
                <w:sz w:val="24"/>
                <w:szCs w:val="24"/>
                <w:lang w:val="en-GB" w:eastAsia="zh-CN"/>
              </w:rPr>
              <w:t>生物文化社区</w:t>
            </w:r>
            <w:r w:rsidRPr="000C0842">
              <w:rPr>
                <w:rFonts w:hint="eastAsia"/>
                <w:kern w:val="22"/>
                <w:sz w:val="24"/>
                <w:szCs w:val="24"/>
                <w:lang w:val="en-GB" w:eastAsia="zh-CN"/>
              </w:rPr>
              <w:t>规约框架内</w:t>
            </w:r>
            <w:r w:rsidRPr="000C0842">
              <w:rPr>
                <w:kern w:val="22"/>
                <w:sz w:val="24"/>
                <w:szCs w:val="24"/>
                <w:lang w:val="en-GB" w:eastAsia="zh-CN"/>
              </w:rPr>
              <w:t>的对话</w:t>
            </w:r>
            <w:r w:rsidRPr="000C0842">
              <w:rPr>
                <w:rFonts w:hint="eastAsia"/>
                <w:kern w:val="22"/>
                <w:sz w:val="24"/>
                <w:szCs w:val="24"/>
                <w:lang w:val="en-GB" w:eastAsia="zh-CN"/>
              </w:rPr>
              <w:t>与</w:t>
            </w:r>
            <w:r w:rsidRPr="000C0842">
              <w:rPr>
                <w:kern w:val="22"/>
                <w:sz w:val="24"/>
                <w:szCs w:val="24"/>
                <w:lang w:val="en-GB" w:eastAsia="zh-CN"/>
              </w:rPr>
              <w:t>合作，</w:t>
            </w:r>
            <w:r w:rsidRPr="000C0842">
              <w:rPr>
                <w:rFonts w:hint="eastAsia"/>
                <w:kern w:val="22"/>
                <w:sz w:val="24"/>
                <w:szCs w:val="24"/>
                <w:lang w:val="en-GB" w:eastAsia="zh-CN"/>
              </w:rPr>
              <w:t>落实</w:t>
            </w:r>
            <w:r w:rsidRPr="000C0842">
              <w:rPr>
                <w:kern w:val="22"/>
                <w:sz w:val="24"/>
                <w:szCs w:val="24"/>
                <w:lang w:val="en-GB" w:eastAsia="zh-CN"/>
              </w:rPr>
              <w:t>《</w:t>
            </w:r>
            <w:r w:rsidRPr="000C0842">
              <w:rPr>
                <w:rFonts w:hint="eastAsia"/>
                <w:sz w:val="24"/>
                <w:szCs w:val="24"/>
                <w:lang w:val="en-GB" w:eastAsia="zh-CN"/>
              </w:rPr>
              <w:t>“</w:t>
            </w:r>
            <w:r w:rsidRPr="000C0842">
              <w:rPr>
                <w:sz w:val="24"/>
                <w:szCs w:val="24"/>
                <w:lang w:val="en-GB" w:eastAsia="zh-CN"/>
              </w:rPr>
              <w:t>生命之根</w:t>
            </w:r>
            <w:r w:rsidRPr="000C0842">
              <w:rPr>
                <w:rFonts w:hint="eastAsia"/>
                <w:sz w:val="24"/>
                <w:szCs w:val="24"/>
                <w:lang w:val="en-GB" w:eastAsia="zh-CN"/>
              </w:rPr>
              <w:t>”</w:t>
            </w:r>
            <w:r w:rsidRPr="000C0842">
              <w:rPr>
                <w:sz w:val="24"/>
                <w:szCs w:val="24"/>
                <w:lang w:val="en-GB" w:eastAsia="zh-CN"/>
              </w:rPr>
              <w:t>自愿准则</w:t>
            </w:r>
            <w:r w:rsidRPr="000C0842">
              <w:rPr>
                <w:kern w:val="22"/>
                <w:sz w:val="24"/>
                <w:szCs w:val="24"/>
                <w:lang w:val="en-GB" w:eastAsia="zh-CN"/>
              </w:rPr>
              <w:t>》以及技术和法律援助</w:t>
            </w:r>
            <w:r w:rsidRPr="000C0842">
              <w:rPr>
                <w:kern w:val="22"/>
                <w:sz w:val="24"/>
                <w:szCs w:val="24"/>
                <w:vertAlign w:val="superscript"/>
                <w:lang w:val="en-GB" w:eastAsia="zh-CN"/>
              </w:rPr>
              <w:footnoteReference w:id="39"/>
            </w:r>
            <w:r w:rsidRPr="000C0842">
              <w:rPr>
                <w:rFonts w:hint="eastAsia"/>
                <w:kern w:val="22"/>
                <w:sz w:val="24"/>
                <w:szCs w:val="24"/>
                <w:lang w:val="en-GB" w:eastAsia="zh-CN"/>
              </w:rPr>
              <w:t>，同时考虑到这些准则。</w:t>
            </w:r>
          </w:p>
        </w:tc>
        <w:tc>
          <w:tcPr>
            <w:tcW w:w="2126" w:type="dxa"/>
            <w:shd w:val="clear" w:color="auto" w:fill="FFFFFF"/>
          </w:tcPr>
          <w:p w14:paraId="5A14CCC9"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w:t>
            </w:r>
          </w:p>
        </w:tc>
      </w:tr>
      <w:tr w:rsidR="000C0842" w:rsidRPr="000C0842" w14:paraId="624FFC69" w14:textId="77777777" w:rsidTr="006D5DBD">
        <w:trPr>
          <w:trHeight w:val="57"/>
        </w:trPr>
        <w:tc>
          <w:tcPr>
            <w:tcW w:w="6663" w:type="dxa"/>
            <w:shd w:val="clear" w:color="auto" w:fill="FFFFFF"/>
          </w:tcPr>
          <w:p w14:paraId="26AEE962" w14:textId="77777777" w:rsidR="006D5DBD" w:rsidRPr="000C0842" w:rsidRDefault="006D5DBD" w:rsidP="006D5DBD">
            <w:pPr>
              <w:suppressLineNumbers/>
              <w:tabs>
                <w:tab w:val="left" w:pos="597"/>
              </w:tabs>
              <w:suppressAutoHyphens/>
              <w:spacing w:before="40" w:after="80"/>
              <w:jc w:val="left"/>
              <w:rPr>
                <w:iCs/>
                <w:kern w:val="22"/>
                <w:sz w:val="24"/>
                <w:szCs w:val="24"/>
                <w:lang w:val="en-GB" w:eastAsia="zh-CN"/>
              </w:rPr>
            </w:pPr>
            <w:r w:rsidRPr="000C0842">
              <w:rPr>
                <w:iCs/>
                <w:kern w:val="22"/>
                <w:sz w:val="24"/>
                <w:szCs w:val="24"/>
                <w:lang w:val="en-GB" w:eastAsia="zh-CN"/>
              </w:rPr>
              <w:t>3.2</w:t>
            </w:r>
            <w:r w:rsidRPr="000C0842">
              <w:rPr>
                <w:iCs/>
                <w:kern w:val="22"/>
                <w:sz w:val="24"/>
                <w:szCs w:val="24"/>
                <w:lang w:val="en-GB" w:eastAsia="zh-CN"/>
              </w:rPr>
              <w:tab/>
            </w:r>
            <w:r w:rsidRPr="000C0842">
              <w:rPr>
                <w:iCs/>
                <w:kern w:val="22"/>
                <w:sz w:val="24"/>
                <w:szCs w:val="24"/>
                <w:lang w:val="en-GB" w:eastAsia="zh-CN"/>
              </w:rPr>
              <w:t>研究土著人民和地方社区在利用遗传资源、与遗传资源相关的传统知识和遗传资源数字序列信息方面获取和惠益分享</w:t>
            </w:r>
            <w:r w:rsidRPr="000C0842">
              <w:rPr>
                <w:rFonts w:hint="eastAsia"/>
                <w:iCs/>
                <w:kern w:val="22"/>
                <w:sz w:val="24"/>
                <w:szCs w:val="24"/>
                <w:lang w:val="en-GB" w:eastAsia="zh-CN"/>
              </w:rPr>
              <w:t>的</w:t>
            </w:r>
            <w:r w:rsidRPr="000C0842">
              <w:rPr>
                <w:iCs/>
                <w:kern w:val="22"/>
                <w:sz w:val="24"/>
                <w:szCs w:val="24"/>
                <w:lang w:val="en-GB" w:eastAsia="zh-CN"/>
              </w:rPr>
              <w:t>经验，确定最佳做法和经验教训。</w:t>
            </w:r>
          </w:p>
        </w:tc>
        <w:tc>
          <w:tcPr>
            <w:tcW w:w="2126" w:type="dxa"/>
            <w:shd w:val="clear" w:color="auto" w:fill="FFFFFF"/>
          </w:tcPr>
          <w:p w14:paraId="1F3C2B25" w14:textId="77777777" w:rsidR="006D5DBD" w:rsidRPr="000C0842" w:rsidRDefault="006D5DBD" w:rsidP="006D5DBD">
            <w:pPr>
              <w:suppressLineNumbers/>
              <w:suppressAutoHyphens/>
              <w:spacing w:before="40" w:after="80"/>
              <w:jc w:val="left"/>
              <w:rPr>
                <w:kern w:val="22"/>
                <w:sz w:val="24"/>
                <w:szCs w:val="24"/>
                <w:highlight w:val="yellow"/>
                <w:lang w:val="en-GB" w:eastAsia="zh-CN"/>
              </w:rPr>
            </w:pPr>
            <w:r w:rsidRPr="000C0842">
              <w:rPr>
                <w:kern w:val="22"/>
                <w:sz w:val="24"/>
                <w:szCs w:val="24"/>
                <w:lang w:val="en-GB" w:eastAsia="zh-CN"/>
              </w:rPr>
              <w:t>秘书处</w:t>
            </w:r>
          </w:p>
        </w:tc>
      </w:tr>
      <w:tr w:rsidR="000C0842" w:rsidRPr="000C0842" w14:paraId="78A7A2E2" w14:textId="77777777" w:rsidTr="006D5DBD">
        <w:trPr>
          <w:trHeight w:val="57"/>
        </w:trPr>
        <w:tc>
          <w:tcPr>
            <w:tcW w:w="8789" w:type="dxa"/>
            <w:gridSpan w:val="2"/>
            <w:shd w:val="clear" w:color="auto" w:fill="FFFFFF"/>
          </w:tcPr>
          <w:p w14:paraId="31933D69" w14:textId="77777777" w:rsidR="006D5DBD" w:rsidRPr="000C0842" w:rsidRDefault="006D5DBD" w:rsidP="006D5DBD">
            <w:pPr>
              <w:keepNext/>
              <w:tabs>
                <w:tab w:val="left" w:pos="311"/>
              </w:tabs>
              <w:spacing w:before="40" w:after="80"/>
              <w:jc w:val="left"/>
              <w:rPr>
                <w:b/>
                <w:bCs/>
                <w:caps/>
                <w:snapToGrid w:val="0"/>
                <w:sz w:val="24"/>
                <w:szCs w:val="24"/>
                <w:lang w:val="en-GB" w:eastAsia="zh-CN"/>
              </w:rPr>
            </w:pPr>
            <w:r w:rsidRPr="000C0842">
              <w:rPr>
                <w:b/>
                <w:bCs/>
                <w:caps/>
                <w:snapToGrid w:val="0"/>
                <w:sz w:val="24"/>
                <w:szCs w:val="24"/>
                <w:lang w:val="en-GB" w:eastAsia="zh-CN"/>
              </w:rPr>
              <w:t>构成部分</w:t>
            </w:r>
            <w:r w:rsidRPr="000C0842">
              <w:rPr>
                <w:b/>
                <w:bCs/>
                <w:caps/>
                <w:snapToGrid w:val="0"/>
                <w:sz w:val="24"/>
                <w:szCs w:val="24"/>
                <w:lang w:val="en-GB" w:eastAsia="zh-CN"/>
              </w:rPr>
              <w:t xml:space="preserve"> 4. </w:t>
            </w:r>
            <w:r w:rsidRPr="000C0842">
              <w:rPr>
                <w:b/>
                <w:bCs/>
                <w:caps/>
                <w:snapToGrid w:val="0"/>
                <w:sz w:val="24"/>
                <w:szCs w:val="24"/>
                <w:lang w:val="en-GB" w:eastAsia="zh-CN"/>
              </w:rPr>
              <w:t>知识和文化</w:t>
            </w:r>
          </w:p>
        </w:tc>
      </w:tr>
      <w:tr w:rsidR="000C0842" w:rsidRPr="000C0842" w14:paraId="4A686FCF" w14:textId="77777777" w:rsidTr="006D5DBD">
        <w:trPr>
          <w:trHeight w:val="57"/>
        </w:trPr>
        <w:tc>
          <w:tcPr>
            <w:tcW w:w="8789" w:type="dxa"/>
            <w:gridSpan w:val="2"/>
            <w:shd w:val="clear" w:color="auto" w:fill="FFFFFF"/>
          </w:tcPr>
          <w:p w14:paraId="5220ABB7" w14:textId="77777777" w:rsidR="006D5DBD" w:rsidRPr="000C0842" w:rsidRDefault="006D5DBD" w:rsidP="006D5DBD">
            <w:pPr>
              <w:spacing w:before="40" w:after="80"/>
              <w:jc w:val="left"/>
              <w:rPr>
                <w:rFonts w:eastAsia="KaiTi"/>
                <w:i/>
                <w:kern w:val="22"/>
                <w:sz w:val="24"/>
                <w:szCs w:val="24"/>
                <w:lang w:val="en-GB" w:eastAsia="zh-CN"/>
              </w:rPr>
            </w:pPr>
            <w:r w:rsidRPr="000C0842">
              <w:rPr>
                <w:rFonts w:eastAsia="KaiTi"/>
                <w:sz w:val="24"/>
                <w:szCs w:val="24"/>
                <w:lang w:val="en-GB" w:eastAsia="zh-CN"/>
              </w:rPr>
              <w:t>支持传统知识的传播和保护，包括代际传承，确保传统知识和其他知识体系得到同等重视，从而促进</w:t>
            </w:r>
            <w:r w:rsidRPr="000C0842">
              <w:rPr>
                <w:rFonts w:eastAsia="KaiTi" w:hint="eastAsia"/>
                <w:sz w:val="24"/>
                <w:szCs w:val="24"/>
                <w:lang w:val="en-GB" w:eastAsia="zh-CN"/>
              </w:rPr>
              <w:t>执行《</w:t>
            </w:r>
            <w:r w:rsidRPr="000C0842">
              <w:rPr>
                <w:rFonts w:eastAsia="KaiTi"/>
                <w:sz w:val="24"/>
                <w:szCs w:val="24"/>
                <w:lang w:val="en-GB" w:eastAsia="zh-CN"/>
              </w:rPr>
              <w:t>公约</w:t>
            </w:r>
            <w:r w:rsidRPr="000C0842">
              <w:rPr>
                <w:rFonts w:eastAsia="KaiTi" w:hint="eastAsia"/>
                <w:sz w:val="24"/>
                <w:szCs w:val="24"/>
                <w:lang w:val="en-GB" w:eastAsia="zh-CN"/>
              </w:rPr>
              <w:t>》</w:t>
            </w:r>
            <w:r w:rsidRPr="000C0842">
              <w:rPr>
                <w:rFonts w:eastAsia="KaiTi"/>
                <w:sz w:val="24"/>
                <w:szCs w:val="24"/>
                <w:lang w:val="en-GB" w:eastAsia="zh-CN"/>
              </w:rPr>
              <w:t>第</w:t>
            </w:r>
            <w:r w:rsidRPr="000C0842">
              <w:rPr>
                <w:rFonts w:eastAsia="KaiTi"/>
                <w:sz w:val="24"/>
                <w:szCs w:val="24"/>
                <w:lang w:val="en-GB" w:eastAsia="zh-CN"/>
              </w:rPr>
              <w:t>8(j)</w:t>
            </w:r>
            <w:r w:rsidRPr="000C0842">
              <w:rPr>
                <w:rFonts w:eastAsia="KaiTi"/>
                <w:sz w:val="24"/>
                <w:szCs w:val="24"/>
                <w:lang w:val="en-GB" w:eastAsia="zh-CN"/>
              </w:rPr>
              <w:t>条和实现《昆明</w:t>
            </w:r>
            <w:r w:rsidRPr="000C0842">
              <w:rPr>
                <w:rFonts w:eastAsia="KaiTi"/>
                <w:sz w:val="24"/>
                <w:szCs w:val="24"/>
                <w:lang w:val="en-GB" w:eastAsia="zh-CN"/>
              </w:rPr>
              <w:t>-</w:t>
            </w:r>
            <w:r w:rsidRPr="000C0842">
              <w:rPr>
                <w:rFonts w:eastAsia="KaiTi"/>
                <w:sz w:val="24"/>
                <w:szCs w:val="24"/>
                <w:lang w:val="en-GB" w:eastAsia="zh-CN"/>
              </w:rPr>
              <w:t>蒙特利尔全球生物多样性框架》的相关长期目标和行动目标。</w:t>
            </w:r>
          </w:p>
        </w:tc>
      </w:tr>
      <w:tr w:rsidR="000C0842" w:rsidRPr="000C0842" w14:paraId="01B12298" w14:textId="77777777" w:rsidTr="006D5DBD">
        <w:trPr>
          <w:trHeight w:val="57"/>
        </w:trPr>
        <w:tc>
          <w:tcPr>
            <w:tcW w:w="6663" w:type="dxa"/>
            <w:shd w:val="clear" w:color="auto" w:fill="FFFFFF"/>
          </w:tcPr>
          <w:p w14:paraId="23963A5B"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4.1</w:t>
            </w:r>
            <w:r w:rsidRPr="000C0842">
              <w:rPr>
                <w:kern w:val="22"/>
                <w:sz w:val="24"/>
                <w:szCs w:val="24"/>
                <w:lang w:val="en-GB" w:eastAsia="zh-CN"/>
              </w:rPr>
              <w:tab/>
            </w:r>
            <w:r w:rsidRPr="000C0842">
              <w:rPr>
                <w:kern w:val="22"/>
                <w:sz w:val="24"/>
                <w:szCs w:val="24"/>
                <w:lang w:val="en-GB" w:eastAsia="zh-CN"/>
              </w:rPr>
              <w:t>支持土著人民和地方社区努力加强代际传承、利用和重振，</w:t>
            </w:r>
            <w:r w:rsidRPr="000C0842">
              <w:rPr>
                <w:rFonts w:hint="eastAsia"/>
                <w:kern w:val="22"/>
                <w:sz w:val="24"/>
                <w:szCs w:val="24"/>
                <w:lang w:val="en-GB" w:eastAsia="zh-CN"/>
              </w:rPr>
              <w:t>并</w:t>
            </w:r>
            <w:r w:rsidRPr="000C0842">
              <w:rPr>
                <w:kern w:val="22"/>
                <w:sz w:val="24"/>
                <w:szCs w:val="24"/>
                <w:lang w:val="en-GB" w:eastAsia="zh-CN"/>
              </w:rPr>
              <w:t>在正规和非正规教育机构以及文化和教育中心加强其语言和传统知识，特别</w:t>
            </w:r>
            <w:r w:rsidRPr="000C0842">
              <w:rPr>
                <w:rFonts w:hint="eastAsia"/>
                <w:kern w:val="22"/>
                <w:sz w:val="24"/>
                <w:szCs w:val="24"/>
                <w:lang w:val="en-GB" w:eastAsia="zh-CN"/>
              </w:rPr>
              <w:t>是在</w:t>
            </w:r>
            <w:r w:rsidRPr="000C0842">
              <w:rPr>
                <w:kern w:val="22"/>
                <w:sz w:val="24"/>
                <w:szCs w:val="24"/>
                <w:lang w:val="en-GB" w:eastAsia="zh-CN"/>
              </w:rPr>
              <w:t>妇女、女童和青年的作用和需求</w:t>
            </w:r>
            <w:r w:rsidRPr="000C0842">
              <w:rPr>
                <w:rFonts w:hint="eastAsia"/>
                <w:kern w:val="22"/>
                <w:sz w:val="24"/>
                <w:szCs w:val="24"/>
                <w:lang w:val="en-GB" w:eastAsia="zh-CN"/>
              </w:rPr>
              <w:t>方面</w:t>
            </w:r>
            <w:r w:rsidRPr="000C0842">
              <w:rPr>
                <w:kern w:val="22"/>
                <w:sz w:val="24"/>
                <w:szCs w:val="24"/>
                <w:lang w:val="en-GB" w:eastAsia="zh-CN"/>
              </w:rPr>
              <w:t>。</w:t>
            </w:r>
          </w:p>
        </w:tc>
        <w:tc>
          <w:tcPr>
            <w:tcW w:w="2126" w:type="dxa"/>
            <w:shd w:val="clear" w:color="auto" w:fill="FFFFFF"/>
          </w:tcPr>
          <w:p w14:paraId="55498CF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0D4AB9E0" w14:textId="77777777" w:rsidTr="006D5DBD">
        <w:trPr>
          <w:trHeight w:val="57"/>
        </w:trPr>
        <w:tc>
          <w:tcPr>
            <w:tcW w:w="6663" w:type="dxa"/>
            <w:shd w:val="clear" w:color="auto" w:fill="FFFFFF"/>
          </w:tcPr>
          <w:p w14:paraId="0388CC4E"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4.2</w:t>
            </w:r>
            <w:r w:rsidRPr="000C0842">
              <w:rPr>
                <w:kern w:val="22"/>
                <w:sz w:val="24"/>
                <w:szCs w:val="24"/>
                <w:lang w:val="en-GB" w:eastAsia="zh-CN"/>
              </w:rPr>
              <w:tab/>
            </w:r>
            <w:r w:rsidRPr="000C0842">
              <w:rPr>
                <w:kern w:val="22"/>
                <w:sz w:val="24"/>
                <w:szCs w:val="24"/>
                <w:lang w:val="en-GB" w:eastAsia="zh-CN"/>
              </w:rPr>
              <w:t>促进执行、加强和传播关于生物多样性和文化多样性之间联系的联合工作方案</w:t>
            </w:r>
            <w:r w:rsidRPr="000C0842">
              <w:rPr>
                <w:kern w:val="22"/>
                <w:sz w:val="24"/>
                <w:szCs w:val="24"/>
                <w:vertAlign w:val="superscript"/>
                <w:lang w:val="en-GB" w:eastAsia="zh-CN"/>
              </w:rPr>
              <w:footnoteReference w:id="40"/>
            </w:r>
            <w:r w:rsidRPr="000C0842">
              <w:rPr>
                <w:kern w:val="22"/>
                <w:sz w:val="24"/>
                <w:szCs w:val="24"/>
                <w:lang w:val="en-GB" w:eastAsia="zh-CN"/>
              </w:rPr>
              <w:t>。</w:t>
            </w:r>
          </w:p>
        </w:tc>
        <w:tc>
          <w:tcPr>
            <w:tcW w:w="2126" w:type="dxa"/>
            <w:shd w:val="clear" w:color="auto" w:fill="FFFFFF"/>
          </w:tcPr>
          <w:p w14:paraId="321290D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秘书处</w:t>
            </w:r>
          </w:p>
        </w:tc>
      </w:tr>
      <w:tr w:rsidR="000C0842" w:rsidRPr="000C0842" w14:paraId="675DC1BB" w14:textId="77777777" w:rsidTr="006D5DBD">
        <w:trPr>
          <w:trHeight w:val="57"/>
        </w:trPr>
        <w:tc>
          <w:tcPr>
            <w:tcW w:w="6663" w:type="dxa"/>
            <w:shd w:val="clear" w:color="auto" w:fill="FFFFFF"/>
          </w:tcPr>
          <w:p w14:paraId="06C978B1"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4.3</w:t>
            </w:r>
            <w:r w:rsidRPr="000C0842">
              <w:rPr>
                <w:kern w:val="22"/>
                <w:sz w:val="24"/>
                <w:szCs w:val="24"/>
                <w:lang w:val="en-GB" w:eastAsia="zh-CN"/>
              </w:rPr>
              <w:tab/>
            </w:r>
            <w:r w:rsidRPr="000C0842">
              <w:rPr>
                <w:kern w:val="22"/>
                <w:sz w:val="24"/>
                <w:szCs w:val="24"/>
                <w:lang w:val="en-GB" w:eastAsia="zh-CN"/>
              </w:rPr>
              <w:t>促进将传统知识、创新和做法纳入《公约》</w:t>
            </w:r>
            <w:r w:rsidRPr="000C0842">
              <w:rPr>
                <w:rFonts w:hint="eastAsia"/>
                <w:kern w:val="22"/>
                <w:sz w:val="24"/>
                <w:szCs w:val="24"/>
                <w:lang w:val="en-GB" w:eastAsia="zh-CN"/>
              </w:rPr>
              <w:t>下成立的</w:t>
            </w:r>
            <w:r w:rsidRPr="000C0842">
              <w:rPr>
                <w:kern w:val="22"/>
                <w:sz w:val="24"/>
                <w:szCs w:val="24"/>
                <w:lang w:val="en-GB" w:eastAsia="zh-CN"/>
              </w:rPr>
              <w:t>所有机构，特别是科学、技术和工艺咨询附属机构，同时考虑到生物多样性和生态系统服务政府间科学与政策平台的工作。</w:t>
            </w:r>
          </w:p>
        </w:tc>
        <w:tc>
          <w:tcPr>
            <w:tcW w:w="2126" w:type="dxa"/>
            <w:shd w:val="clear" w:color="auto" w:fill="FFFFFF"/>
          </w:tcPr>
          <w:p w14:paraId="7A27E3DE"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w:t>
            </w:r>
          </w:p>
        </w:tc>
      </w:tr>
      <w:tr w:rsidR="000C0842" w:rsidRPr="000C0842" w14:paraId="1C7C03B9" w14:textId="77777777" w:rsidTr="006D5DBD">
        <w:trPr>
          <w:trHeight w:val="57"/>
        </w:trPr>
        <w:tc>
          <w:tcPr>
            <w:tcW w:w="6663" w:type="dxa"/>
            <w:shd w:val="clear" w:color="auto" w:fill="FFFFFF"/>
          </w:tcPr>
          <w:p w14:paraId="12DE11C1" w14:textId="16A36538" w:rsidR="006D5DBD" w:rsidRPr="000C0842" w:rsidRDefault="006D5DBD" w:rsidP="006D5DBD">
            <w:pPr>
              <w:suppressLineNumbers/>
              <w:tabs>
                <w:tab w:val="left" w:pos="597"/>
              </w:tabs>
              <w:suppressAutoHyphens/>
              <w:spacing w:before="40" w:after="80"/>
              <w:jc w:val="left"/>
              <w:rPr>
                <w:strike/>
                <w:kern w:val="22"/>
                <w:sz w:val="24"/>
                <w:szCs w:val="24"/>
                <w:lang w:val="en-GB" w:eastAsia="zh-CN"/>
              </w:rPr>
            </w:pPr>
            <w:r w:rsidRPr="000C0842">
              <w:rPr>
                <w:kern w:val="22"/>
                <w:sz w:val="24"/>
                <w:szCs w:val="24"/>
                <w:lang w:val="en-GB" w:eastAsia="zh-CN"/>
              </w:rPr>
              <w:t>4.4</w:t>
            </w:r>
            <w:r w:rsidRPr="000C0842">
              <w:rPr>
                <w:kern w:val="22"/>
                <w:sz w:val="24"/>
                <w:szCs w:val="24"/>
                <w:lang w:val="en-GB" w:eastAsia="zh-CN"/>
              </w:rPr>
              <w:tab/>
            </w:r>
            <w:r w:rsidRPr="000C0842">
              <w:rPr>
                <w:kern w:val="22"/>
                <w:sz w:val="24"/>
                <w:szCs w:val="24"/>
                <w:lang w:val="en-GB" w:eastAsia="zh-CN"/>
              </w:rPr>
              <w:t>根据能力建设和发展长期战略框架</w:t>
            </w:r>
            <w:r w:rsidRPr="000C0842">
              <w:rPr>
                <w:kern w:val="22"/>
                <w:sz w:val="24"/>
                <w:szCs w:val="24"/>
                <w:vertAlign w:val="superscript"/>
                <w:lang w:val="en-GB" w:eastAsia="zh-CN"/>
              </w:rPr>
              <w:footnoteReference w:id="41"/>
            </w:r>
            <w:r w:rsidRPr="000C0842">
              <w:rPr>
                <w:kern w:val="22"/>
                <w:sz w:val="24"/>
                <w:szCs w:val="24"/>
                <w:lang w:val="en-GB" w:eastAsia="zh-CN"/>
              </w:rPr>
              <w:t>以及</w:t>
            </w:r>
            <w:r w:rsidRPr="000C0842">
              <w:rPr>
                <w:rFonts w:hint="eastAsia"/>
                <w:kern w:val="22"/>
                <w:sz w:val="24"/>
                <w:szCs w:val="24"/>
                <w:lang w:val="en-GB" w:eastAsia="zh-CN"/>
              </w:rPr>
              <w:t>支持</w:t>
            </w:r>
            <w:r w:rsidR="001A5C0A" w:rsidRPr="000C0842">
              <w:rPr>
                <w:kern w:val="22"/>
                <w:sz w:val="24"/>
                <w:szCs w:val="24"/>
                <w:lang w:val="en-GB" w:eastAsia="zh-CN"/>
              </w:rPr>
              <w:t>《昆蒙框架》</w:t>
            </w:r>
            <w:r w:rsidRPr="000C0842">
              <w:rPr>
                <w:kern w:val="22"/>
                <w:sz w:val="24"/>
                <w:szCs w:val="24"/>
                <w:vertAlign w:val="superscript"/>
                <w:lang w:val="en-GB" w:eastAsia="zh-CN"/>
              </w:rPr>
              <w:footnoteReference w:id="42"/>
            </w:r>
            <w:r w:rsidRPr="000C0842">
              <w:rPr>
                <w:rFonts w:hint="eastAsia"/>
                <w:kern w:val="22"/>
                <w:sz w:val="24"/>
                <w:szCs w:val="24"/>
                <w:lang w:val="en-GB" w:eastAsia="zh-CN"/>
              </w:rPr>
              <w:t>执行工作的</w:t>
            </w:r>
            <w:r w:rsidRPr="000C0842">
              <w:rPr>
                <w:kern w:val="22"/>
                <w:sz w:val="24"/>
                <w:szCs w:val="24"/>
                <w:lang w:val="en-GB" w:eastAsia="zh-CN"/>
              </w:rPr>
              <w:t>知识管理</w:t>
            </w:r>
            <w:r w:rsidRPr="000C0842">
              <w:rPr>
                <w:rFonts w:hint="eastAsia"/>
                <w:kern w:val="22"/>
                <w:sz w:val="24"/>
                <w:szCs w:val="24"/>
                <w:lang w:val="en-GB" w:eastAsia="zh-CN"/>
              </w:rPr>
              <w:t>战略</w:t>
            </w:r>
            <w:r w:rsidRPr="000C0842">
              <w:rPr>
                <w:kern w:val="22"/>
                <w:sz w:val="24"/>
                <w:szCs w:val="24"/>
                <w:lang w:val="en-GB" w:eastAsia="zh-CN"/>
              </w:rPr>
              <w:t>，开展能力建设、发展和提高认识活动，促进传统知识在指导生物多样性管理方面的作用。</w:t>
            </w:r>
          </w:p>
        </w:tc>
        <w:tc>
          <w:tcPr>
            <w:tcW w:w="2126" w:type="dxa"/>
            <w:shd w:val="clear" w:color="auto" w:fill="FFFFFF"/>
          </w:tcPr>
          <w:p w14:paraId="6C5BE56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秘书处</w:t>
            </w:r>
          </w:p>
        </w:tc>
      </w:tr>
      <w:tr w:rsidR="000C0842" w:rsidRPr="000C0842" w14:paraId="0D33F802" w14:textId="77777777" w:rsidTr="006D5DBD">
        <w:trPr>
          <w:trHeight w:val="57"/>
        </w:trPr>
        <w:tc>
          <w:tcPr>
            <w:tcW w:w="6663" w:type="dxa"/>
            <w:shd w:val="clear" w:color="auto" w:fill="FFFFFF"/>
          </w:tcPr>
          <w:p w14:paraId="5CA79451"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4.5</w:t>
            </w:r>
            <w:r w:rsidRPr="000C0842">
              <w:rPr>
                <w:kern w:val="22"/>
                <w:sz w:val="24"/>
                <w:szCs w:val="24"/>
                <w:lang w:val="en-GB" w:eastAsia="zh-CN"/>
              </w:rPr>
              <w:tab/>
            </w:r>
            <w:r w:rsidRPr="000C0842">
              <w:rPr>
                <w:kern w:val="22"/>
                <w:sz w:val="24"/>
                <w:szCs w:val="24"/>
                <w:lang w:val="en-GB" w:eastAsia="zh-CN"/>
              </w:rPr>
              <w:t>创建、加强和支持</w:t>
            </w:r>
            <w:r w:rsidRPr="000C0842">
              <w:rPr>
                <w:rFonts w:hint="eastAsia"/>
                <w:kern w:val="22"/>
                <w:sz w:val="24"/>
                <w:szCs w:val="24"/>
                <w:lang w:val="en-GB" w:eastAsia="zh-CN"/>
              </w:rPr>
              <w:t>《公约》</w:t>
            </w: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条和相关条款的国家联络点全球网络，支持在国家和国际一级执行《公约》，包括土著人民和地方社区的参与。</w:t>
            </w:r>
          </w:p>
        </w:tc>
        <w:tc>
          <w:tcPr>
            <w:tcW w:w="2126" w:type="dxa"/>
            <w:shd w:val="clear" w:color="auto" w:fill="FFFFFF"/>
          </w:tcPr>
          <w:p w14:paraId="23F1C58A"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秘书处</w:t>
            </w:r>
          </w:p>
        </w:tc>
      </w:tr>
      <w:tr w:rsidR="000C0842" w:rsidRPr="000C0842" w14:paraId="61C5673F" w14:textId="77777777" w:rsidTr="006D5DBD">
        <w:trPr>
          <w:trHeight w:val="57"/>
        </w:trPr>
        <w:tc>
          <w:tcPr>
            <w:tcW w:w="6663" w:type="dxa"/>
            <w:shd w:val="clear" w:color="auto" w:fill="FFFFFF"/>
          </w:tcPr>
          <w:p w14:paraId="1DBE1309"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4.6</w:t>
            </w:r>
            <w:r w:rsidRPr="000C0842">
              <w:rPr>
                <w:kern w:val="22"/>
                <w:sz w:val="24"/>
                <w:szCs w:val="24"/>
                <w:lang w:val="en-GB" w:eastAsia="zh-CN"/>
              </w:rPr>
              <w:tab/>
            </w:r>
            <w:r w:rsidRPr="000C0842">
              <w:rPr>
                <w:kern w:val="22"/>
                <w:sz w:val="24"/>
                <w:szCs w:val="24"/>
                <w:lang w:val="en-GB" w:eastAsia="zh-CN"/>
              </w:rPr>
              <w:t>组织知识交流和学习平台，促进</w:t>
            </w:r>
            <w:r w:rsidRPr="000C0842">
              <w:rPr>
                <w:rFonts w:hint="eastAsia"/>
                <w:kern w:val="22"/>
                <w:sz w:val="24"/>
                <w:szCs w:val="24"/>
                <w:lang w:val="en-GB" w:eastAsia="zh-CN"/>
              </w:rPr>
              <w:t>本</w:t>
            </w:r>
            <w:r w:rsidRPr="000C0842">
              <w:rPr>
                <w:kern w:val="22"/>
                <w:sz w:val="24"/>
                <w:szCs w:val="24"/>
                <w:lang w:val="en-GB" w:eastAsia="zh-CN"/>
              </w:rPr>
              <w:t>工作方案各项任务的执行。</w:t>
            </w:r>
          </w:p>
        </w:tc>
        <w:tc>
          <w:tcPr>
            <w:tcW w:w="2126" w:type="dxa"/>
            <w:shd w:val="clear" w:color="auto" w:fill="FFFFFF"/>
          </w:tcPr>
          <w:p w14:paraId="1FECFD7D"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秘书处、缔约方、民间社会组织，与土著人民和地方社区及相关行为体</w:t>
            </w:r>
            <w:r w:rsidRPr="000C0842">
              <w:rPr>
                <w:rFonts w:hint="eastAsia"/>
                <w:kern w:val="22"/>
                <w:sz w:val="24"/>
                <w:szCs w:val="24"/>
                <w:lang w:val="en-GB" w:eastAsia="zh-CN"/>
              </w:rPr>
              <w:t>协作</w:t>
            </w:r>
          </w:p>
        </w:tc>
      </w:tr>
      <w:tr w:rsidR="000C0842" w:rsidRPr="000C0842" w14:paraId="23E684C1" w14:textId="77777777" w:rsidTr="006D5DBD">
        <w:trPr>
          <w:trHeight w:val="57"/>
        </w:trPr>
        <w:tc>
          <w:tcPr>
            <w:tcW w:w="6663" w:type="dxa"/>
            <w:shd w:val="clear" w:color="auto" w:fill="FFFFFF"/>
          </w:tcPr>
          <w:p w14:paraId="6D16B69F" w14:textId="77777777" w:rsidR="006D5DBD" w:rsidRPr="000C0842" w:rsidRDefault="006D5DBD" w:rsidP="006D5DBD">
            <w:pPr>
              <w:suppressLineNumbers/>
              <w:tabs>
                <w:tab w:val="left" w:pos="597"/>
              </w:tabs>
              <w:suppressAutoHyphens/>
              <w:spacing w:before="40" w:after="80"/>
              <w:jc w:val="left"/>
              <w:rPr>
                <w:sz w:val="24"/>
                <w:szCs w:val="24"/>
                <w:lang w:val="en-GB" w:eastAsia="zh-CN"/>
              </w:rPr>
            </w:pPr>
            <w:r w:rsidRPr="000C0842">
              <w:rPr>
                <w:kern w:val="22"/>
                <w:sz w:val="24"/>
                <w:szCs w:val="24"/>
                <w:lang w:val="en-GB" w:eastAsia="zh-CN"/>
              </w:rPr>
              <w:t>4.7</w:t>
            </w:r>
            <w:r w:rsidRPr="000C0842">
              <w:rPr>
                <w:kern w:val="22"/>
                <w:sz w:val="24"/>
                <w:szCs w:val="24"/>
                <w:lang w:val="en-GB" w:eastAsia="zh-CN"/>
              </w:rPr>
              <w:tab/>
            </w:r>
            <w:r w:rsidRPr="000C0842">
              <w:rPr>
                <w:kern w:val="22"/>
                <w:sz w:val="24"/>
                <w:szCs w:val="24"/>
                <w:lang w:val="en-GB" w:eastAsia="zh-CN"/>
              </w:rPr>
              <w:t>促进土著人民和地方社区、科学家和其他利益攸关方共同创造新知识，这些是在快速环境变化</w:t>
            </w:r>
            <w:r w:rsidRPr="000C0842">
              <w:rPr>
                <w:rFonts w:hint="eastAsia"/>
                <w:kern w:val="22"/>
                <w:sz w:val="24"/>
                <w:szCs w:val="24"/>
                <w:lang w:val="en-GB" w:eastAsia="zh-CN"/>
              </w:rPr>
              <w:t>情况下</w:t>
            </w:r>
            <w:r w:rsidRPr="000C0842">
              <w:rPr>
                <w:kern w:val="22"/>
                <w:sz w:val="24"/>
                <w:szCs w:val="24"/>
                <w:lang w:val="en-GB" w:eastAsia="zh-CN"/>
              </w:rPr>
              <w:t>，如气候变化、土地和海洋使用的变化、外来入侵物种和污染</w:t>
            </w:r>
            <w:r w:rsidRPr="000C0842">
              <w:rPr>
                <w:rFonts w:hint="eastAsia"/>
                <w:kern w:val="22"/>
                <w:sz w:val="24"/>
                <w:szCs w:val="24"/>
                <w:lang w:val="en-GB" w:eastAsia="zh-CN"/>
              </w:rPr>
              <w:t>情况</w:t>
            </w:r>
            <w:r w:rsidRPr="000C0842">
              <w:rPr>
                <w:kern w:val="22"/>
                <w:sz w:val="24"/>
                <w:szCs w:val="24"/>
                <w:lang w:val="en-GB" w:eastAsia="zh-CN"/>
              </w:rPr>
              <w:t>下复原、适应和继续可持续习惯使用和生物多样性保护做法所必需的。</w:t>
            </w:r>
          </w:p>
        </w:tc>
        <w:tc>
          <w:tcPr>
            <w:tcW w:w="2126" w:type="dxa"/>
            <w:shd w:val="clear" w:color="auto" w:fill="FFFFFF"/>
          </w:tcPr>
          <w:p w14:paraId="1B68F0B1"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秘书处</w:t>
            </w:r>
            <w:r w:rsidRPr="000C0842">
              <w:rPr>
                <w:rFonts w:hint="eastAsia"/>
                <w:kern w:val="22"/>
                <w:sz w:val="24"/>
                <w:szCs w:val="24"/>
                <w:lang w:val="en-GB" w:eastAsia="zh-CN"/>
              </w:rPr>
              <w:t>、</w:t>
            </w:r>
            <w:r w:rsidRPr="000C0842">
              <w:rPr>
                <w:kern w:val="22"/>
                <w:sz w:val="24"/>
                <w:szCs w:val="24"/>
                <w:lang w:val="en-GB" w:eastAsia="zh-CN"/>
              </w:rPr>
              <w:t>缔约方</w:t>
            </w:r>
          </w:p>
        </w:tc>
      </w:tr>
      <w:tr w:rsidR="000C0842" w:rsidRPr="000C0842" w14:paraId="32A68D7C" w14:textId="77777777" w:rsidTr="006D5DBD">
        <w:trPr>
          <w:trHeight w:val="57"/>
        </w:trPr>
        <w:tc>
          <w:tcPr>
            <w:tcW w:w="6663" w:type="dxa"/>
            <w:shd w:val="clear" w:color="auto" w:fill="FFFFFF"/>
          </w:tcPr>
          <w:p w14:paraId="5D7F9A68"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 xml:space="preserve">4.8  </w:t>
            </w:r>
            <w:r w:rsidRPr="000C0842">
              <w:rPr>
                <w:kern w:val="22"/>
                <w:sz w:val="24"/>
                <w:szCs w:val="24"/>
                <w:lang w:val="en-GB" w:eastAsia="zh-CN"/>
              </w:rPr>
              <w:t>与土著人民和地方社区一起，编写与本工作方案所有</w:t>
            </w:r>
            <w:r w:rsidRPr="000C0842">
              <w:rPr>
                <w:rFonts w:hint="eastAsia"/>
                <w:kern w:val="22"/>
                <w:sz w:val="24"/>
                <w:szCs w:val="24"/>
                <w:lang w:val="en-GB" w:eastAsia="zh-CN"/>
              </w:rPr>
              <w:t>构成部分</w:t>
            </w:r>
            <w:r w:rsidRPr="000C0842">
              <w:rPr>
                <w:kern w:val="22"/>
                <w:sz w:val="24"/>
                <w:szCs w:val="24"/>
                <w:lang w:val="en-GB" w:eastAsia="zh-CN"/>
              </w:rPr>
              <w:t>和任务相关的宣传、教育和增强意识材料，包括以土著人民和地方社区的语言编写。</w:t>
            </w:r>
          </w:p>
        </w:tc>
        <w:tc>
          <w:tcPr>
            <w:tcW w:w="2126" w:type="dxa"/>
            <w:shd w:val="clear" w:color="auto" w:fill="FFFFFF"/>
          </w:tcPr>
          <w:p w14:paraId="03536DC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条附属机构、缔约方</w:t>
            </w:r>
          </w:p>
        </w:tc>
      </w:tr>
      <w:tr w:rsidR="000C0842" w:rsidRPr="000C0842" w14:paraId="0B6A338F" w14:textId="77777777" w:rsidTr="006D5DBD">
        <w:trPr>
          <w:trHeight w:val="57"/>
        </w:trPr>
        <w:tc>
          <w:tcPr>
            <w:tcW w:w="8789" w:type="dxa"/>
            <w:gridSpan w:val="2"/>
            <w:shd w:val="clear" w:color="auto" w:fill="FFFFFF"/>
          </w:tcPr>
          <w:p w14:paraId="3A8E9801" w14:textId="77777777" w:rsidR="006D5DBD" w:rsidRPr="000C0842" w:rsidRDefault="006D5DBD" w:rsidP="006D5DBD">
            <w:pPr>
              <w:keepNext/>
              <w:suppressLineNumbers/>
              <w:suppressAutoHyphens/>
              <w:spacing w:before="40" w:after="80"/>
              <w:jc w:val="left"/>
              <w:rPr>
                <w:b/>
                <w:bCs/>
                <w:caps/>
                <w:snapToGrid w:val="0"/>
                <w:sz w:val="24"/>
                <w:szCs w:val="24"/>
                <w:lang w:val="en-GB" w:eastAsia="zh-CN"/>
              </w:rPr>
            </w:pPr>
            <w:r w:rsidRPr="000C0842">
              <w:rPr>
                <w:b/>
                <w:bCs/>
                <w:iCs/>
                <w:sz w:val="24"/>
                <w:szCs w:val="24"/>
                <w:lang w:val="en-GB" w:eastAsia="zh-CN"/>
              </w:rPr>
              <w:t>构成部分</w:t>
            </w:r>
            <w:r w:rsidRPr="000C0842">
              <w:rPr>
                <w:b/>
                <w:bCs/>
                <w:iCs/>
                <w:sz w:val="24"/>
                <w:szCs w:val="24"/>
                <w:lang w:val="en-GB" w:eastAsia="zh-CN"/>
              </w:rPr>
              <w:t xml:space="preserve">5. </w:t>
            </w:r>
            <w:r w:rsidRPr="000C0842">
              <w:rPr>
                <w:b/>
                <w:bCs/>
                <w:iCs/>
                <w:sz w:val="24"/>
                <w:szCs w:val="24"/>
                <w:lang w:val="en-GB" w:eastAsia="zh-CN"/>
              </w:rPr>
              <w:t>加强执行和监测进度</w:t>
            </w:r>
          </w:p>
        </w:tc>
      </w:tr>
      <w:tr w:rsidR="000C0842" w:rsidRPr="000C0842" w14:paraId="75776C7A" w14:textId="77777777" w:rsidTr="006D5DBD">
        <w:trPr>
          <w:trHeight w:val="57"/>
        </w:trPr>
        <w:tc>
          <w:tcPr>
            <w:tcW w:w="8789" w:type="dxa"/>
            <w:gridSpan w:val="2"/>
            <w:shd w:val="clear" w:color="auto" w:fill="FFFFFF"/>
          </w:tcPr>
          <w:p w14:paraId="0448BC96" w14:textId="77777777" w:rsidR="006D5DBD" w:rsidRPr="000C0842" w:rsidRDefault="006D5DBD" w:rsidP="006D5DBD">
            <w:pPr>
              <w:spacing w:before="40" w:after="80"/>
              <w:jc w:val="left"/>
              <w:rPr>
                <w:rFonts w:eastAsia="KaiTi"/>
                <w:i/>
                <w:iCs/>
                <w:sz w:val="24"/>
                <w:szCs w:val="24"/>
                <w:lang w:val="en-GB" w:eastAsia="zh-CN"/>
              </w:rPr>
            </w:pPr>
            <w:r w:rsidRPr="000C0842">
              <w:rPr>
                <w:rFonts w:eastAsia="KaiTi"/>
                <w:sz w:val="24"/>
                <w:szCs w:val="24"/>
                <w:lang w:val="en-GB" w:eastAsia="zh-CN"/>
              </w:rPr>
              <w:t>通过全面有效地执行与土著人民和地方社区相关的决定、原则和准则，促进《昆明</w:t>
            </w:r>
            <w:r w:rsidRPr="000C0842">
              <w:rPr>
                <w:rFonts w:eastAsia="KaiTi"/>
                <w:sz w:val="24"/>
                <w:szCs w:val="24"/>
                <w:lang w:val="en-GB" w:eastAsia="zh-CN"/>
              </w:rPr>
              <w:t>-</w:t>
            </w:r>
            <w:r w:rsidRPr="000C0842">
              <w:rPr>
                <w:rFonts w:eastAsia="KaiTi"/>
                <w:sz w:val="24"/>
                <w:szCs w:val="24"/>
                <w:lang w:val="en-GB" w:eastAsia="zh-CN"/>
              </w:rPr>
              <w:t>蒙特利尔全球生物多样性框架》的执行，加强力度将</w:t>
            </w:r>
            <w:r w:rsidRPr="000C0842">
              <w:rPr>
                <w:rFonts w:eastAsia="KaiTi" w:hint="eastAsia"/>
                <w:sz w:val="24"/>
                <w:szCs w:val="24"/>
                <w:lang w:val="en-GB" w:eastAsia="zh-CN"/>
              </w:rPr>
              <w:t>《</w:t>
            </w:r>
            <w:r w:rsidRPr="000C0842">
              <w:rPr>
                <w:rFonts w:eastAsia="KaiTi"/>
                <w:sz w:val="24"/>
                <w:szCs w:val="24"/>
                <w:lang w:val="en-GB" w:eastAsia="zh-CN"/>
              </w:rPr>
              <w:t>公约</w:t>
            </w:r>
            <w:r w:rsidRPr="000C0842">
              <w:rPr>
                <w:rFonts w:eastAsia="KaiTi" w:hint="eastAsia"/>
                <w:sz w:val="24"/>
                <w:szCs w:val="24"/>
                <w:lang w:val="en-GB" w:eastAsia="zh-CN"/>
              </w:rPr>
              <w:t>》</w:t>
            </w:r>
            <w:r w:rsidRPr="000C0842">
              <w:rPr>
                <w:rFonts w:eastAsia="KaiTi"/>
                <w:sz w:val="24"/>
                <w:szCs w:val="24"/>
                <w:lang w:val="en-GB" w:eastAsia="zh-CN"/>
              </w:rPr>
              <w:t>第</w:t>
            </w:r>
            <w:r w:rsidRPr="000C0842">
              <w:rPr>
                <w:rFonts w:eastAsia="KaiTi"/>
                <w:sz w:val="24"/>
                <w:szCs w:val="24"/>
                <w:lang w:val="en-GB" w:eastAsia="zh-CN"/>
              </w:rPr>
              <w:t>8(j)</w:t>
            </w:r>
            <w:r w:rsidRPr="000C0842">
              <w:rPr>
                <w:rFonts w:eastAsia="KaiTi"/>
                <w:sz w:val="24"/>
                <w:szCs w:val="24"/>
                <w:lang w:val="en-GB" w:eastAsia="zh-CN"/>
              </w:rPr>
              <w:t>条和其他条款纳入《公约》及其议定书的工作。</w:t>
            </w:r>
          </w:p>
        </w:tc>
      </w:tr>
      <w:tr w:rsidR="000C0842" w:rsidRPr="000C0842" w14:paraId="3A648D12" w14:textId="77777777" w:rsidTr="006D5DBD">
        <w:trPr>
          <w:trHeight w:val="57"/>
        </w:trPr>
        <w:tc>
          <w:tcPr>
            <w:tcW w:w="6663" w:type="dxa"/>
            <w:shd w:val="clear" w:color="auto" w:fill="FFFFFF"/>
          </w:tcPr>
          <w:p w14:paraId="0189880C" w14:textId="77777777" w:rsidR="006D5DBD" w:rsidRPr="000C0842" w:rsidRDefault="006D5DBD" w:rsidP="006D5DBD">
            <w:pPr>
              <w:suppressLineNumbers/>
              <w:tabs>
                <w:tab w:val="clear" w:pos="567"/>
                <w:tab w:val="clear" w:pos="1134"/>
                <w:tab w:val="clear" w:pos="1701"/>
                <w:tab w:val="clear" w:pos="2268"/>
                <w:tab w:val="left" w:pos="426"/>
              </w:tabs>
              <w:suppressAutoHyphens/>
              <w:spacing w:before="60" w:after="60"/>
              <w:jc w:val="left"/>
              <w:rPr>
                <w:i/>
                <w:iCs/>
                <w:kern w:val="22"/>
                <w:sz w:val="24"/>
                <w:szCs w:val="24"/>
                <w:lang w:val="en-GB" w:eastAsia="zh-CN"/>
              </w:rPr>
            </w:pPr>
            <w:r w:rsidRPr="000C0842">
              <w:rPr>
                <w:kern w:val="22"/>
                <w:sz w:val="24"/>
                <w:szCs w:val="24"/>
                <w:lang w:val="en-GB" w:eastAsia="zh-CN"/>
              </w:rPr>
              <w:t>5.1</w:t>
            </w:r>
            <w:r w:rsidRPr="000C0842">
              <w:rPr>
                <w:kern w:val="22"/>
                <w:sz w:val="24"/>
                <w:szCs w:val="24"/>
                <w:lang w:val="en-GB" w:eastAsia="zh-CN"/>
              </w:rPr>
              <w:tab/>
            </w:r>
            <w:r w:rsidRPr="000C0842">
              <w:rPr>
                <w:sz w:val="24"/>
                <w:szCs w:val="24"/>
                <w:lang w:val="en-GB" w:eastAsia="zh-CN"/>
              </w:rPr>
              <w:t>促进在国家一级更广泛地应用、执行和监测已通过的行动计划、准则和原则，例如：</w:t>
            </w:r>
          </w:p>
          <w:p w14:paraId="1434F46D"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0C0842">
              <w:rPr>
                <w:rFonts w:hint="eastAsia"/>
                <w:kern w:val="22"/>
                <w:sz w:val="24"/>
                <w:szCs w:val="24"/>
                <w:lang w:val="en-GB" w:eastAsia="zh-CN"/>
              </w:rPr>
              <w:t>《公约》</w:t>
            </w: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条和相关条款范围内的关键术语和概念自愿词汇表</w:t>
            </w:r>
            <w:r w:rsidRPr="000C0842">
              <w:rPr>
                <w:kern w:val="22"/>
                <w:sz w:val="24"/>
                <w:szCs w:val="24"/>
                <w:vertAlign w:val="superscript"/>
                <w:lang w:val="en-GB" w:eastAsia="zh-CN"/>
              </w:rPr>
              <w:footnoteReference w:id="43"/>
            </w:r>
            <w:r w:rsidRPr="000C0842">
              <w:rPr>
                <w:kern w:val="22"/>
                <w:sz w:val="24"/>
                <w:szCs w:val="24"/>
                <w:lang w:val="en-GB" w:eastAsia="zh-CN"/>
              </w:rPr>
              <w:t>；</w:t>
            </w:r>
          </w:p>
          <w:p w14:paraId="4E91B8B0"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0C0842">
              <w:rPr>
                <w:kern w:val="22"/>
                <w:sz w:val="24"/>
                <w:szCs w:val="24"/>
                <w:lang w:val="en-GB" w:eastAsia="zh-CN"/>
              </w:rPr>
              <w:t>对拟议在圣地和土著和地方社区历来居住或使用的土地</w:t>
            </w:r>
            <w:r w:rsidRPr="000C0842">
              <w:rPr>
                <w:spacing w:val="-4"/>
                <w:kern w:val="22"/>
                <w:sz w:val="24"/>
                <w:szCs w:val="24"/>
                <w:lang w:val="en-GB" w:eastAsia="zh-CN"/>
              </w:rPr>
              <w:t>和水域上进行的或可能对这些土地和水域产生影响的开发活动进行文化、环境和社会影响评估的阿格维古自愿性准</w:t>
            </w:r>
            <w:r w:rsidRPr="000C0842">
              <w:rPr>
                <w:kern w:val="22"/>
                <w:sz w:val="24"/>
                <w:szCs w:val="24"/>
                <w:lang w:val="en-GB" w:eastAsia="zh-CN"/>
              </w:rPr>
              <w:t>则</w:t>
            </w:r>
            <w:r w:rsidRPr="000C0842">
              <w:rPr>
                <w:kern w:val="22"/>
                <w:sz w:val="24"/>
                <w:szCs w:val="24"/>
                <w:vertAlign w:val="superscript"/>
                <w:lang w:val="en-GB" w:eastAsia="zh-CN"/>
              </w:rPr>
              <w:footnoteReference w:id="44"/>
            </w:r>
            <w:r w:rsidRPr="000C0842">
              <w:rPr>
                <w:rFonts w:hint="eastAsia"/>
                <w:kern w:val="22"/>
                <w:sz w:val="24"/>
                <w:szCs w:val="24"/>
                <w:lang w:val="en-GB" w:eastAsia="zh-CN"/>
              </w:rPr>
              <w:t>；</w:t>
            </w:r>
          </w:p>
          <w:p w14:paraId="47671B08"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0C0842">
              <w:rPr>
                <w:sz w:val="24"/>
                <w:szCs w:val="24"/>
                <w:lang w:val="en-GB" w:eastAsia="zh-CN"/>
              </w:rPr>
              <w:t>确保尊重土著和地方社区文化和知识遗产的特加里瓦伊埃里道德行为守则</w:t>
            </w:r>
            <w:r w:rsidRPr="000C0842">
              <w:rPr>
                <w:kern w:val="22"/>
                <w:sz w:val="24"/>
                <w:szCs w:val="24"/>
                <w:vertAlign w:val="superscript"/>
                <w:lang w:val="en-GB" w:eastAsia="zh-CN"/>
              </w:rPr>
              <w:footnoteReference w:id="45"/>
            </w:r>
            <w:r w:rsidRPr="000C0842">
              <w:rPr>
                <w:kern w:val="22"/>
                <w:sz w:val="24"/>
                <w:szCs w:val="24"/>
                <w:lang w:val="en-GB" w:eastAsia="zh-CN"/>
              </w:rPr>
              <w:t>；</w:t>
            </w:r>
          </w:p>
          <w:p w14:paraId="5984D107"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18"/>
                <w:sz w:val="24"/>
                <w:szCs w:val="24"/>
                <w:lang w:val="en-GB" w:eastAsia="zh-CN"/>
              </w:rPr>
            </w:pPr>
            <w:r w:rsidRPr="000C0842">
              <w:rPr>
                <w:kern w:val="22"/>
                <w:sz w:val="24"/>
                <w:szCs w:val="24"/>
                <w:lang w:val="en-GB" w:eastAsia="zh-CN"/>
              </w:rPr>
              <w:t>生物多样性可持续习惯使用行动计划；</w:t>
            </w:r>
          </w:p>
          <w:p w14:paraId="5753F28D"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0C0842">
              <w:rPr>
                <w:rFonts w:hint="eastAsia"/>
                <w:sz w:val="24"/>
                <w:szCs w:val="24"/>
                <w:lang w:val="en-GB" w:eastAsia="zh-CN"/>
              </w:rPr>
              <w:t>“</w:t>
            </w:r>
            <w:r w:rsidRPr="000C0842">
              <w:rPr>
                <w:sz w:val="24"/>
                <w:szCs w:val="24"/>
                <w:lang w:val="en-GB" w:eastAsia="zh-CN"/>
              </w:rPr>
              <w:t>生命之根</w:t>
            </w:r>
            <w:r w:rsidRPr="000C0842">
              <w:rPr>
                <w:rFonts w:hint="eastAsia"/>
                <w:sz w:val="24"/>
                <w:szCs w:val="24"/>
                <w:lang w:val="en-GB" w:eastAsia="zh-CN"/>
              </w:rPr>
              <w:t>”</w:t>
            </w:r>
            <w:r w:rsidRPr="000C0842">
              <w:rPr>
                <w:kern w:val="22"/>
                <w:sz w:val="24"/>
                <w:szCs w:val="24"/>
                <w:lang w:val="en-GB" w:eastAsia="zh-CN"/>
              </w:rPr>
              <w:t>自愿准则；</w:t>
            </w:r>
          </w:p>
          <w:p w14:paraId="4A8CF279"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0C0842">
              <w:rPr>
                <w:sz w:val="24"/>
                <w:szCs w:val="24"/>
                <w:lang w:val="en-GB" w:eastAsia="zh-CN"/>
              </w:rPr>
              <w:t>关于返还与保护和可持续利用生物多样性相关传统知识的卢佐利希里沙希克自愿准则</w:t>
            </w:r>
            <w:r w:rsidRPr="000C0842">
              <w:rPr>
                <w:kern w:val="22"/>
                <w:sz w:val="24"/>
                <w:szCs w:val="24"/>
                <w:vertAlign w:val="superscript"/>
                <w:lang w:val="en-GB" w:eastAsia="zh-CN"/>
              </w:rPr>
              <w:footnoteReference w:id="46"/>
            </w:r>
            <w:r w:rsidRPr="000C0842">
              <w:rPr>
                <w:kern w:val="22"/>
                <w:sz w:val="24"/>
                <w:szCs w:val="24"/>
                <w:lang w:val="en-GB" w:eastAsia="zh-CN"/>
              </w:rPr>
              <w:t>；</w:t>
            </w:r>
          </w:p>
          <w:p w14:paraId="1C3EF156"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0C0842">
              <w:rPr>
                <w:kern w:val="22"/>
                <w:sz w:val="24"/>
                <w:szCs w:val="24"/>
                <w:lang w:val="en-GB" w:eastAsia="zh-CN"/>
              </w:rPr>
              <w:t>关于生物多样性融资机制保障措施的自愿准则</w:t>
            </w:r>
            <w:r w:rsidRPr="000C0842">
              <w:rPr>
                <w:kern w:val="22"/>
                <w:sz w:val="24"/>
                <w:szCs w:val="24"/>
                <w:vertAlign w:val="superscript"/>
                <w:lang w:val="en-GB" w:eastAsia="zh-CN"/>
              </w:rPr>
              <w:footnoteReference w:id="47"/>
            </w:r>
            <w:r w:rsidRPr="000C0842">
              <w:rPr>
                <w:kern w:val="22"/>
                <w:sz w:val="24"/>
                <w:szCs w:val="24"/>
                <w:lang w:val="en-GB" w:eastAsia="zh-CN"/>
              </w:rPr>
              <w:t>；</w:t>
            </w:r>
          </w:p>
          <w:p w14:paraId="35BD40DE" w14:textId="520F35F5"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0C0842">
              <w:rPr>
                <w:kern w:val="22"/>
                <w:sz w:val="24"/>
                <w:szCs w:val="24"/>
                <w:lang w:val="en-GB" w:eastAsia="zh-CN"/>
              </w:rPr>
              <w:t>性别平等行动计划</w:t>
            </w:r>
            <w:r w:rsidR="00D40E31" w:rsidRPr="000C0842">
              <w:rPr>
                <w:rFonts w:hint="eastAsia"/>
                <w:kern w:val="22"/>
                <w:sz w:val="24"/>
                <w:szCs w:val="24"/>
                <w:lang w:val="en-GB" w:eastAsia="zh-CN"/>
              </w:rPr>
              <w:t>（</w:t>
            </w:r>
            <w:r w:rsidRPr="000C0842">
              <w:rPr>
                <w:kern w:val="22"/>
                <w:sz w:val="24"/>
                <w:szCs w:val="24"/>
                <w:lang w:val="en-GB" w:eastAsia="zh-CN"/>
              </w:rPr>
              <w:t>2023–2030</w:t>
            </w:r>
            <w:r w:rsidR="00D40E31" w:rsidRPr="000C0842">
              <w:rPr>
                <w:rFonts w:hint="eastAsia"/>
                <w:kern w:val="22"/>
                <w:sz w:val="24"/>
                <w:szCs w:val="24"/>
                <w:lang w:val="en-GB" w:eastAsia="zh-CN"/>
              </w:rPr>
              <w:t>）</w:t>
            </w:r>
            <w:r w:rsidRPr="000C0842">
              <w:rPr>
                <w:kern w:val="22"/>
                <w:sz w:val="24"/>
                <w:szCs w:val="24"/>
                <w:lang w:val="en-GB" w:eastAsia="zh-CN"/>
              </w:rPr>
              <w:t>；</w:t>
            </w:r>
          </w:p>
          <w:p w14:paraId="386E4935" w14:textId="77777777" w:rsidR="006D5DBD" w:rsidRPr="000C0842" w:rsidRDefault="006D5DBD">
            <w:pPr>
              <w:numPr>
                <w:ilvl w:val="0"/>
                <w:numId w:val="231"/>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0C0842">
              <w:rPr>
                <w:kern w:val="22"/>
                <w:sz w:val="24"/>
                <w:szCs w:val="24"/>
                <w:lang w:val="en-GB" w:eastAsia="zh-CN"/>
              </w:rPr>
              <w:t>评估土著人民和地方社区集体行动贡献的指导原则</w:t>
            </w:r>
            <w:r w:rsidRPr="000C0842">
              <w:rPr>
                <w:kern w:val="22"/>
                <w:sz w:val="24"/>
                <w:szCs w:val="24"/>
                <w:vertAlign w:val="superscript"/>
                <w:lang w:val="en-GB" w:eastAsia="zh-CN"/>
              </w:rPr>
              <w:footnoteReference w:id="48"/>
            </w:r>
            <w:r w:rsidRPr="000C0842">
              <w:rPr>
                <w:kern w:val="22"/>
                <w:sz w:val="24"/>
                <w:szCs w:val="24"/>
                <w:lang w:val="en-GB" w:eastAsia="zh-CN"/>
              </w:rPr>
              <w:t>。</w:t>
            </w:r>
          </w:p>
        </w:tc>
        <w:tc>
          <w:tcPr>
            <w:tcW w:w="2126" w:type="dxa"/>
            <w:shd w:val="clear" w:color="auto" w:fill="FFFFFF"/>
          </w:tcPr>
          <w:p w14:paraId="79FB57CF"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sz w:val="24"/>
                <w:szCs w:val="24"/>
                <w:lang w:val="en-GB" w:eastAsia="zh-CN"/>
              </w:rPr>
              <w:t>缔约方</w:t>
            </w:r>
            <w:r w:rsidRPr="000C0842">
              <w:rPr>
                <w:rFonts w:hint="eastAsia"/>
                <w:sz w:val="24"/>
                <w:szCs w:val="24"/>
                <w:lang w:val="en-GB" w:eastAsia="zh-CN"/>
              </w:rPr>
              <w:t>和《公约》</w:t>
            </w:r>
            <w:r w:rsidRPr="000C0842">
              <w:rPr>
                <w:sz w:val="24"/>
                <w:szCs w:val="24"/>
                <w:lang w:val="en-GB" w:eastAsia="zh-CN"/>
              </w:rPr>
              <w:t>第</w:t>
            </w:r>
            <w:r w:rsidRPr="000C0842">
              <w:rPr>
                <w:sz w:val="24"/>
                <w:szCs w:val="24"/>
                <w:lang w:val="en-GB" w:eastAsia="zh-CN"/>
              </w:rPr>
              <w:t>8(j)</w:t>
            </w:r>
            <w:r w:rsidRPr="000C0842">
              <w:rPr>
                <w:sz w:val="24"/>
                <w:szCs w:val="24"/>
                <w:lang w:val="en-GB" w:eastAsia="zh-CN"/>
              </w:rPr>
              <w:t>条和相关条款国家联络点</w:t>
            </w:r>
          </w:p>
        </w:tc>
      </w:tr>
      <w:tr w:rsidR="000C0842" w:rsidRPr="000C0842" w14:paraId="3BB76B30" w14:textId="77777777" w:rsidTr="006D5DBD">
        <w:trPr>
          <w:trHeight w:val="57"/>
        </w:trPr>
        <w:tc>
          <w:tcPr>
            <w:tcW w:w="6663" w:type="dxa"/>
            <w:shd w:val="clear" w:color="auto" w:fill="FFFFFF"/>
          </w:tcPr>
          <w:p w14:paraId="3E84C288" w14:textId="77777777" w:rsidR="006D5DBD" w:rsidRPr="000C0842" w:rsidRDefault="006D5DBD" w:rsidP="006D5DBD">
            <w:pPr>
              <w:suppressLineNumbers/>
              <w:tabs>
                <w:tab w:val="left" w:pos="597"/>
              </w:tabs>
              <w:suppressAutoHyphens/>
              <w:spacing w:before="40" w:after="80"/>
              <w:jc w:val="left"/>
              <w:rPr>
                <w:spacing w:val="-2"/>
                <w:kern w:val="22"/>
                <w:sz w:val="24"/>
                <w:szCs w:val="24"/>
                <w:lang w:val="en-GB" w:eastAsia="zh-CN"/>
              </w:rPr>
            </w:pPr>
            <w:r w:rsidRPr="000C0842">
              <w:rPr>
                <w:kern w:val="22"/>
                <w:sz w:val="24"/>
                <w:szCs w:val="24"/>
                <w:lang w:val="en-GB" w:eastAsia="zh-CN"/>
              </w:rPr>
              <w:t>5.2</w:t>
            </w:r>
            <w:r w:rsidRPr="000C0842">
              <w:rPr>
                <w:spacing w:val="-2"/>
                <w:kern w:val="22"/>
                <w:sz w:val="24"/>
                <w:szCs w:val="24"/>
                <w:lang w:val="en-GB" w:eastAsia="zh-CN"/>
              </w:rPr>
              <w:tab/>
            </w:r>
            <w:r w:rsidRPr="000C0842">
              <w:rPr>
                <w:spacing w:val="-2"/>
                <w:kern w:val="22"/>
                <w:sz w:val="24"/>
                <w:szCs w:val="24"/>
                <w:lang w:val="en-GB" w:eastAsia="zh-CN"/>
              </w:rPr>
              <w:t>制定准则，为土著人民和地方社区建立创新激励计划，以</w:t>
            </w:r>
            <w:r w:rsidRPr="000C0842">
              <w:rPr>
                <w:rFonts w:hint="eastAsia"/>
                <w:spacing w:val="-2"/>
                <w:kern w:val="22"/>
                <w:sz w:val="24"/>
                <w:szCs w:val="24"/>
                <w:lang w:val="en-GB" w:eastAsia="zh-CN"/>
              </w:rPr>
              <w:t>维护</w:t>
            </w:r>
            <w:r w:rsidRPr="000C0842">
              <w:rPr>
                <w:spacing w:val="-2"/>
                <w:kern w:val="22"/>
                <w:sz w:val="24"/>
                <w:szCs w:val="24"/>
                <w:lang w:val="en-GB" w:eastAsia="zh-CN"/>
              </w:rPr>
              <w:t>和保持其传统知识、创新和做法，并将其应用于</w:t>
            </w:r>
            <w:r w:rsidRPr="000C0842">
              <w:rPr>
                <w:rFonts w:hint="eastAsia"/>
                <w:spacing w:val="-2"/>
                <w:kern w:val="22"/>
                <w:sz w:val="24"/>
                <w:szCs w:val="24"/>
                <w:lang w:val="en-GB" w:eastAsia="zh-CN"/>
              </w:rPr>
              <w:t>养护</w:t>
            </w:r>
            <w:r w:rsidRPr="000C0842">
              <w:rPr>
                <w:spacing w:val="-2"/>
                <w:kern w:val="22"/>
                <w:sz w:val="24"/>
                <w:szCs w:val="24"/>
                <w:lang w:val="en-GB" w:eastAsia="zh-CN"/>
              </w:rPr>
              <w:t>和可持续利用生物多样性的计划。</w:t>
            </w:r>
          </w:p>
        </w:tc>
        <w:tc>
          <w:tcPr>
            <w:tcW w:w="2126" w:type="dxa"/>
            <w:shd w:val="clear" w:color="auto" w:fill="FFFFFF"/>
          </w:tcPr>
          <w:p w14:paraId="0627B0D4"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条附属机构、缔约方和其他行为体</w:t>
            </w:r>
          </w:p>
        </w:tc>
      </w:tr>
      <w:tr w:rsidR="000C0842" w:rsidRPr="000C0842" w14:paraId="48F9FD5C" w14:textId="77777777" w:rsidTr="006D5DBD">
        <w:trPr>
          <w:trHeight w:val="57"/>
        </w:trPr>
        <w:tc>
          <w:tcPr>
            <w:tcW w:w="6663" w:type="dxa"/>
            <w:shd w:val="clear" w:color="auto" w:fill="FFFFFF"/>
          </w:tcPr>
          <w:p w14:paraId="0697F6CB" w14:textId="77777777" w:rsidR="006D5DBD" w:rsidRPr="000C0842" w:rsidRDefault="006D5DBD" w:rsidP="006D5DBD">
            <w:pPr>
              <w:suppressLineNumbers/>
              <w:tabs>
                <w:tab w:val="left" w:pos="597"/>
              </w:tabs>
              <w:suppressAutoHyphens/>
              <w:spacing w:before="40" w:after="80"/>
              <w:jc w:val="left"/>
              <w:rPr>
                <w:kern w:val="22"/>
                <w:sz w:val="24"/>
                <w:szCs w:val="24"/>
                <w:lang w:val="en-GB" w:eastAsia="zh-CN"/>
              </w:rPr>
            </w:pPr>
            <w:r w:rsidRPr="000C0842">
              <w:rPr>
                <w:kern w:val="22"/>
                <w:sz w:val="24"/>
                <w:szCs w:val="24"/>
                <w:lang w:val="en-GB" w:eastAsia="zh-CN"/>
              </w:rPr>
              <w:t>5.3</w:t>
            </w:r>
            <w:r w:rsidRPr="000C0842">
              <w:rPr>
                <w:kern w:val="22"/>
                <w:sz w:val="24"/>
                <w:szCs w:val="24"/>
                <w:lang w:val="en-GB" w:eastAsia="zh-CN"/>
              </w:rPr>
              <w:tab/>
            </w:r>
            <w:r w:rsidRPr="000C0842">
              <w:rPr>
                <w:kern w:val="22"/>
                <w:sz w:val="24"/>
                <w:szCs w:val="24"/>
                <w:lang w:val="en-GB" w:eastAsia="zh-CN"/>
              </w:rPr>
              <w:t>根据关于生物多样性和文化多样性之间联系的联合工作方案，进一步运作四项传统知识指标</w:t>
            </w:r>
            <w:r w:rsidRPr="000C0842">
              <w:rPr>
                <w:kern w:val="22"/>
                <w:sz w:val="24"/>
                <w:szCs w:val="24"/>
                <w:vertAlign w:val="superscript"/>
                <w:lang w:val="en-GB" w:eastAsia="zh-CN"/>
              </w:rPr>
              <w:footnoteReference w:id="49"/>
            </w:r>
            <w:r w:rsidRPr="000C0842">
              <w:rPr>
                <w:kern w:val="22"/>
                <w:sz w:val="24"/>
                <w:szCs w:val="24"/>
                <w:lang w:val="en-GB" w:eastAsia="zh-CN"/>
              </w:rPr>
              <w:t>，</w:t>
            </w:r>
            <w:r w:rsidRPr="000C0842">
              <w:rPr>
                <w:rFonts w:hint="eastAsia"/>
                <w:kern w:val="22"/>
                <w:sz w:val="24"/>
                <w:szCs w:val="24"/>
                <w:lang w:val="en-GB" w:eastAsia="zh-CN"/>
              </w:rPr>
              <w:t>促进</w:t>
            </w:r>
            <w:r w:rsidRPr="000C0842">
              <w:rPr>
                <w:kern w:val="22"/>
                <w:sz w:val="24"/>
                <w:szCs w:val="24"/>
                <w:lang w:val="en-GB" w:eastAsia="zh-CN"/>
              </w:rPr>
              <w:t>持续监测</w:t>
            </w:r>
            <w:r w:rsidRPr="000C0842">
              <w:rPr>
                <w:rFonts w:hint="eastAsia"/>
                <w:kern w:val="22"/>
                <w:sz w:val="24"/>
                <w:szCs w:val="24"/>
                <w:lang w:val="en-GB" w:eastAsia="zh-CN"/>
              </w:rPr>
              <w:t>本</w:t>
            </w:r>
            <w:r w:rsidRPr="000C0842">
              <w:rPr>
                <w:kern w:val="22"/>
                <w:sz w:val="24"/>
                <w:szCs w:val="24"/>
                <w:lang w:val="en-GB" w:eastAsia="zh-CN"/>
              </w:rPr>
              <w:t>工作方案的执行情况。</w:t>
            </w:r>
          </w:p>
        </w:tc>
        <w:tc>
          <w:tcPr>
            <w:tcW w:w="2126" w:type="dxa"/>
            <w:shd w:val="clear" w:color="auto" w:fill="FFFFFF"/>
          </w:tcPr>
          <w:p w14:paraId="0EE381DF"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条附属机构、缔约方</w:t>
            </w:r>
          </w:p>
        </w:tc>
      </w:tr>
      <w:tr w:rsidR="000C0842" w:rsidRPr="000C0842" w14:paraId="0603A21D" w14:textId="77777777" w:rsidTr="006D5DBD">
        <w:trPr>
          <w:trHeight w:val="57"/>
        </w:trPr>
        <w:tc>
          <w:tcPr>
            <w:tcW w:w="6663" w:type="dxa"/>
            <w:shd w:val="clear" w:color="auto" w:fill="FFFFFF"/>
          </w:tcPr>
          <w:p w14:paraId="397998D9"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 xml:space="preserve">5.4   </w:t>
            </w:r>
            <w:r w:rsidRPr="000C0842">
              <w:rPr>
                <w:kern w:val="22"/>
                <w:sz w:val="24"/>
                <w:szCs w:val="24"/>
                <w:lang w:val="en-GB" w:eastAsia="zh-CN"/>
              </w:rPr>
              <w:t>鉴于通过了《昆明</w:t>
            </w:r>
            <w:r w:rsidRPr="000C0842">
              <w:rPr>
                <w:kern w:val="22"/>
                <w:sz w:val="24"/>
                <w:szCs w:val="24"/>
                <w:lang w:val="en-GB" w:eastAsia="zh-CN"/>
              </w:rPr>
              <w:t>-</w:t>
            </w:r>
            <w:r w:rsidRPr="000C0842">
              <w:rPr>
                <w:kern w:val="22"/>
                <w:sz w:val="24"/>
                <w:szCs w:val="24"/>
                <w:lang w:val="en-GB" w:eastAsia="zh-CN"/>
              </w:rPr>
              <w:t>蒙特利尔全球生物多样性框架》，视需要审查和更新</w:t>
            </w:r>
            <w:r w:rsidRPr="000C0842">
              <w:rPr>
                <w:rFonts w:hint="eastAsia"/>
                <w:kern w:val="22"/>
                <w:sz w:val="24"/>
                <w:szCs w:val="24"/>
                <w:lang w:val="en-GB" w:eastAsia="zh-CN"/>
              </w:rPr>
              <w:t>《公约》</w:t>
            </w: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条和相关条款范围内关键术语和概念自愿词汇表。</w:t>
            </w:r>
          </w:p>
        </w:tc>
        <w:tc>
          <w:tcPr>
            <w:tcW w:w="2126" w:type="dxa"/>
            <w:shd w:val="clear" w:color="auto" w:fill="FFFFFF"/>
          </w:tcPr>
          <w:p w14:paraId="08E9A24A" w14:textId="77777777" w:rsidR="006D5DBD" w:rsidRPr="000C0842" w:rsidRDefault="006D5DBD" w:rsidP="006D5DBD">
            <w:pPr>
              <w:suppressLineNumbers/>
              <w:suppressAutoHyphens/>
              <w:spacing w:before="40" w:after="80"/>
              <w:jc w:val="left"/>
              <w:rPr>
                <w:b/>
                <w:bCs/>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w:t>
            </w:r>
          </w:p>
        </w:tc>
      </w:tr>
      <w:tr w:rsidR="000C0842" w:rsidRPr="000C0842" w14:paraId="3F6C1C63" w14:textId="77777777" w:rsidTr="006D5DBD">
        <w:trPr>
          <w:trHeight w:val="57"/>
        </w:trPr>
        <w:tc>
          <w:tcPr>
            <w:tcW w:w="8789" w:type="dxa"/>
            <w:gridSpan w:val="2"/>
            <w:shd w:val="clear" w:color="auto" w:fill="FFFFFF"/>
          </w:tcPr>
          <w:p w14:paraId="546EF2F9" w14:textId="77777777" w:rsidR="006D5DBD" w:rsidRPr="000C0842" w:rsidRDefault="006D5DBD" w:rsidP="006D5DBD">
            <w:pPr>
              <w:keepNext/>
              <w:tabs>
                <w:tab w:val="left" w:pos="1230"/>
                <w:tab w:val="left" w:pos="1298"/>
              </w:tabs>
              <w:spacing w:before="40" w:after="80"/>
              <w:jc w:val="left"/>
              <w:rPr>
                <w:b/>
                <w:bCs/>
                <w:caps/>
                <w:snapToGrid w:val="0"/>
                <w:sz w:val="24"/>
                <w:szCs w:val="24"/>
                <w:lang w:val="en-GB" w:eastAsia="zh-CN"/>
              </w:rPr>
            </w:pPr>
            <w:r w:rsidRPr="000C0842">
              <w:rPr>
                <w:b/>
                <w:bCs/>
                <w:iCs/>
                <w:sz w:val="24"/>
                <w:szCs w:val="24"/>
                <w:lang w:val="en-GB" w:eastAsia="zh-CN"/>
              </w:rPr>
              <w:t>构成部分</w:t>
            </w:r>
            <w:r w:rsidRPr="000C0842">
              <w:rPr>
                <w:b/>
                <w:bCs/>
                <w:iCs/>
                <w:sz w:val="24"/>
                <w:szCs w:val="24"/>
                <w:lang w:val="en-GB" w:eastAsia="zh-CN"/>
              </w:rPr>
              <w:t>6</w:t>
            </w:r>
            <w:r w:rsidRPr="000C0842">
              <w:rPr>
                <w:rFonts w:hint="eastAsia"/>
                <w:b/>
                <w:bCs/>
                <w:iCs/>
                <w:sz w:val="24"/>
                <w:szCs w:val="24"/>
                <w:lang w:val="en-GB" w:eastAsia="zh-CN"/>
              </w:rPr>
              <w:t>.</w:t>
            </w:r>
            <w:r w:rsidRPr="000C0842">
              <w:rPr>
                <w:b/>
                <w:bCs/>
                <w:iCs/>
                <w:sz w:val="24"/>
                <w:szCs w:val="24"/>
                <w:lang w:val="en-GB" w:eastAsia="zh-CN"/>
              </w:rPr>
              <w:t xml:space="preserve"> </w:t>
            </w:r>
            <w:r w:rsidRPr="000C0842">
              <w:rPr>
                <w:b/>
                <w:sz w:val="24"/>
                <w:szCs w:val="24"/>
                <w:lang w:val="en-GB" w:eastAsia="zh-CN"/>
              </w:rPr>
              <w:t>土著人民和地方社区的充分和有效参与</w:t>
            </w:r>
          </w:p>
        </w:tc>
      </w:tr>
      <w:tr w:rsidR="000C0842" w:rsidRPr="000C0842" w14:paraId="131544BE" w14:textId="77777777" w:rsidTr="006D5DBD">
        <w:trPr>
          <w:trHeight w:val="57"/>
        </w:trPr>
        <w:tc>
          <w:tcPr>
            <w:tcW w:w="8789" w:type="dxa"/>
            <w:gridSpan w:val="2"/>
            <w:shd w:val="clear" w:color="auto" w:fill="FFFFFF"/>
          </w:tcPr>
          <w:p w14:paraId="3189EB51" w14:textId="77777777" w:rsidR="006D5DBD" w:rsidRPr="000C0842" w:rsidRDefault="006D5DBD" w:rsidP="006D5DBD">
            <w:pPr>
              <w:spacing w:before="40" w:after="80"/>
              <w:jc w:val="left"/>
              <w:rPr>
                <w:rFonts w:eastAsia="KaiTi"/>
                <w:i/>
                <w:iCs/>
                <w:sz w:val="24"/>
                <w:szCs w:val="24"/>
                <w:lang w:val="en-GB" w:eastAsia="zh-CN"/>
              </w:rPr>
            </w:pPr>
            <w:r w:rsidRPr="000C0842">
              <w:rPr>
                <w:rFonts w:eastAsia="KaiTi"/>
                <w:sz w:val="24"/>
                <w:szCs w:val="24"/>
                <w:lang w:val="en-GB" w:eastAsia="zh-CN"/>
              </w:rPr>
              <w:t>使土著人民和地方社区</w:t>
            </w:r>
            <w:r w:rsidRPr="000C0842">
              <w:rPr>
                <w:rFonts w:eastAsia="KaiTi" w:hint="eastAsia"/>
                <w:sz w:val="24"/>
                <w:szCs w:val="24"/>
                <w:lang w:val="en-GB" w:eastAsia="zh-CN"/>
              </w:rPr>
              <w:t>，</w:t>
            </w:r>
            <w:r w:rsidRPr="000C0842">
              <w:rPr>
                <w:rFonts w:eastAsia="KaiTi"/>
                <w:sz w:val="24"/>
                <w:szCs w:val="24"/>
                <w:lang w:val="en-GB" w:eastAsia="zh-CN"/>
              </w:rPr>
              <w:t>包括</w:t>
            </w:r>
            <w:r w:rsidRPr="000C0842">
              <w:rPr>
                <w:rFonts w:eastAsia="KaiTi" w:hint="eastAsia"/>
                <w:sz w:val="24"/>
                <w:szCs w:val="24"/>
                <w:lang w:val="en-GB" w:eastAsia="zh-CN"/>
              </w:rPr>
              <w:t>其中</w:t>
            </w:r>
            <w:r w:rsidRPr="000C0842">
              <w:rPr>
                <w:rFonts w:eastAsia="KaiTi"/>
                <w:sz w:val="24"/>
                <w:szCs w:val="24"/>
                <w:lang w:val="en-GB" w:eastAsia="zh-CN"/>
              </w:rPr>
              <w:t>妇女、女童和青年</w:t>
            </w:r>
            <w:r w:rsidRPr="000C0842">
              <w:rPr>
                <w:rFonts w:eastAsia="KaiTi" w:hint="eastAsia"/>
                <w:sz w:val="24"/>
                <w:szCs w:val="24"/>
                <w:lang w:val="en-GB" w:eastAsia="zh-CN"/>
              </w:rPr>
              <w:t>，</w:t>
            </w:r>
            <w:r w:rsidRPr="000C0842">
              <w:rPr>
                <w:rFonts w:eastAsia="KaiTi"/>
                <w:sz w:val="24"/>
                <w:szCs w:val="24"/>
                <w:lang w:val="en-GB" w:eastAsia="zh-CN"/>
              </w:rPr>
              <w:t>能够充分有效地参与</w:t>
            </w:r>
            <w:r w:rsidRPr="000C0842">
              <w:rPr>
                <w:rFonts w:eastAsia="KaiTi" w:hint="eastAsia"/>
                <w:sz w:val="24"/>
                <w:szCs w:val="24"/>
                <w:lang w:val="en-GB" w:eastAsia="zh-CN"/>
              </w:rPr>
              <w:t>有关</w:t>
            </w:r>
            <w:r w:rsidRPr="000C0842">
              <w:rPr>
                <w:rFonts w:eastAsia="KaiTi"/>
                <w:sz w:val="24"/>
                <w:szCs w:val="24"/>
                <w:lang w:val="en-GB" w:eastAsia="zh-CN"/>
              </w:rPr>
              <w:t>生物多样性和执行《昆明</w:t>
            </w:r>
            <w:r w:rsidRPr="000C0842">
              <w:rPr>
                <w:rFonts w:eastAsia="KaiTi"/>
                <w:sz w:val="24"/>
                <w:szCs w:val="24"/>
                <w:lang w:val="en-GB" w:eastAsia="zh-CN"/>
              </w:rPr>
              <w:t>-</w:t>
            </w:r>
            <w:r w:rsidRPr="000C0842">
              <w:rPr>
                <w:rFonts w:eastAsia="KaiTi"/>
                <w:sz w:val="24"/>
                <w:szCs w:val="24"/>
                <w:lang w:val="en-GB" w:eastAsia="zh-CN"/>
              </w:rPr>
              <w:t>蒙特利尔全球生物多样性框架》的决策。</w:t>
            </w:r>
          </w:p>
        </w:tc>
      </w:tr>
      <w:tr w:rsidR="000C0842" w:rsidRPr="000C0842" w14:paraId="161EC943" w14:textId="77777777" w:rsidTr="006D5DBD">
        <w:trPr>
          <w:trHeight w:val="57"/>
        </w:trPr>
        <w:tc>
          <w:tcPr>
            <w:tcW w:w="6663" w:type="dxa"/>
            <w:shd w:val="clear" w:color="auto" w:fill="FFFFFF"/>
          </w:tcPr>
          <w:p w14:paraId="31FAD6FC"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sz w:val="24"/>
                <w:szCs w:val="24"/>
                <w:lang w:val="en-GB" w:eastAsia="zh-CN"/>
              </w:rPr>
              <w:t>6.1</w:t>
            </w:r>
            <w:r w:rsidRPr="000C0842">
              <w:rPr>
                <w:sz w:val="24"/>
                <w:szCs w:val="24"/>
                <w:lang w:val="en-GB" w:eastAsia="zh-CN"/>
              </w:rPr>
              <w:tab/>
            </w:r>
            <w:r w:rsidRPr="000C0842">
              <w:rPr>
                <w:sz w:val="24"/>
                <w:szCs w:val="24"/>
                <w:lang w:val="en-GB" w:eastAsia="zh-CN"/>
              </w:rPr>
              <w:t>执行和进一步完善公约第</w:t>
            </w:r>
            <w:r w:rsidRPr="000C0842">
              <w:rPr>
                <w:sz w:val="24"/>
                <w:szCs w:val="24"/>
                <w:lang w:val="en-GB" w:eastAsia="zh-CN"/>
              </w:rPr>
              <w:t>8(j)</w:t>
            </w:r>
            <w:r w:rsidRPr="000C0842">
              <w:rPr>
                <w:sz w:val="24"/>
                <w:szCs w:val="24"/>
                <w:lang w:val="en-GB" w:eastAsia="zh-CN"/>
              </w:rPr>
              <w:t>条和相关条款问题不限成员名额闭会期间特设工作组使用的强化参与机制。</w:t>
            </w:r>
          </w:p>
        </w:tc>
        <w:tc>
          <w:tcPr>
            <w:tcW w:w="2126" w:type="dxa"/>
            <w:shd w:val="clear" w:color="auto" w:fill="FFFFFF"/>
          </w:tcPr>
          <w:p w14:paraId="7F165098"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w:t>
            </w:r>
          </w:p>
        </w:tc>
      </w:tr>
      <w:tr w:rsidR="000C0842" w:rsidRPr="000C0842" w14:paraId="7D884188" w14:textId="77777777" w:rsidTr="006D5DBD">
        <w:trPr>
          <w:trHeight w:val="57"/>
        </w:trPr>
        <w:tc>
          <w:tcPr>
            <w:tcW w:w="6663" w:type="dxa"/>
            <w:shd w:val="clear" w:color="auto" w:fill="FFFFFF"/>
          </w:tcPr>
          <w:p w14:paraId="361BD480" w14:textId="77777777" w:rsidR="006D5DBD" w:rsidRPr="000C0842" w:rsidRDefault="006D5DBD" w:rsidP="006D5DBD">
            <w:pPr>
              <w:suppressLineNumbers/>
              <w:suppressAutoHyphens/>
              <w:spacing w:before="40" w:after="80"/>
              <w:jc w:val="left"/>
              <w:rPr>
                <w:sz w:val="24"/>
                <w:szCs w:val="24"/>
                <w:lang w:val="en-GB" w:eastAsia="zh-CN"/>
              </w:rPr>
            </w:pPr>
            <w:r w:rsidRPr="000C0842">
              <w:rPr>
                <w:sz w:val="24"/>
                <w:szCs w:val="24"/>
                <w:lang w:val="en-GB" w:eastAsia="zh-CN"/>
              </w:rPr>
              <w:t>6.2</w:t>
            </w:r>
            <w:r w:rsidRPr="000C0842">
              <w:rPr>
                <w:sz w:val="24"/>
                <w:szCs w:val="24"/>
                <w:lang w:val="en-GB" w:eastAsia="zh-CN"/>
              </w:rPr>
              <w:tab/>
            </w:r>
            <w:r w:rsidRPr="000C0842">
              <w:rPr>
                <w:sz w:val="24"/>
                <w:szCs w:val="24"/>
                <w:lang w:val="en-GB" w:eastAsia="zh-CN"/>
              </w:rPr>
              <w:t>确保土著人民和地方社区充分有效地参与制定、修订和执行国家生物多样性战略和行动计划以及国家报告，加强与土著人民和地方社区的伙伴关系和协作，承认</w:t>
            </w:r>
            <w:r w:rsidRPr="000C0842">
              <w:rPr>
                <w:rFonts w:hint="eastAsia"/>
                <w:sz w:val="24"/>
                <w:szCs w:val="24"/>
                <w:lang w:val="en-GB" w:eastAsia="zh-CN"/>
              </w:rPr>
              <w:t>其</w:t>
            </w:r>
            <w:r w:rsidRPr="000C0842">
              <w:rPr>
                <w:sz w:val="24"/>
                <w:szCs w:val="24"/>
                <w:lang w:val="en-GB" w:eastAsia="zh-CN"/>
              </w:rPr>
              <w:t>为执行</w:t>
            </w:r>
            <w:r w:rsidRPr="000C0842">
              <w:rPr>
                <w:rFonts w:hint="eastAsia"/>
                <w:sz w:val="24"/>
                <w:szCs w:val="24"/>
                <w:lang w:val="en-GB" w:eastAsia="zh-CN"/>
              </w:rPr>
              <w:t>《</w:t>
            </w:r>
            <w:r w:rsidRPr="000C0842">
              <w:rPr>
                <w:sz w:val="24"/>
                <w:szCs w:val="24"/>
                <w:lang w:val="en-GB" w:eastAsia="zh-CN"/>
              </w:rPr>
              <w:t>公约</w:t>
            </w:r>
            <w:r w:rsidRPr="000C0842">
              <w:rPr>
                <w:rFonts w:hint="eastAsia"/>
                <w:sz w:val="24"/>
                <w:szCs w:val="24"/>
                <w:lang w:val="en-GB" w:eastAsia="zh-CN"/>
              </w:rPr>
              <w:t>》</w:t>
            </w:r>
            <w:r w:rsidRPr="000C0842">
              <w:rPr>
                <w:sz w:val="24"/>
                <w:szCs w:val="24"/>
                <w:lang w:val="en-GB" w:eastAsia="zh-CN"/>
              </w:rPr>
              <w:t>所采取的集体行动和作出的贡献。</w:t>
            </w:r>
          </w:p>
        </w:tc>
        <w:tc>
          <w:tcPr>
            <w:tcW w:w="2126" w:type="dxa"/>
            <w:shd w:val="clear" w:color="auto" w:fill="FFFFFF"/>
          </w:tcPr>
          <w:p w14:paraId="64B3FF1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p w14:paraId="684D6E2A" w14:textId="77777777" w:rsidR="006D5DBD" w:rsidRPr="000C0842" w:rsidRDefault="006D5DBD" w:rsidP="006D5DBD">
            <w:pPr>
              <w:suppressLineNumbers/>
              <w:suppressAutoHyphens/>
              <w:spacing w:before="40" w:after="80"/>
              <w:jc w:val="left"/>
              <w:rPr>
                <w:kern w:val="22"/>
                <w:sz w:val="24"/>
                <w:szCs w:val="24"/>
                <w:lang w:val="en-GB" w:eastAsia="zh-CN"/>
              </w:rPr>
            </w:pPr>
          </w:p>
        </w:tc>
      </w:tr>
      <w:tr w:rsidR="000C0842" w:rsidRPr="000C0842" w14:paraId="11747A7E" w14:textId="77777777" w:rsidTr="006D5DBD">
        <w:trPr>
          <w:trHeight w:val="57"/>
        </w:trPr>
        <w:tc>
          <w:tcPr>
            <w:tcW w:w="8789" w:type="dxa"/>
            <w:gridSpan w:val="2"/>
            <w:shd w:val="clear" w:color="auto" w:fill="FFFFFF"/>
          </w:tcPr>
          <w:p w14:paraId="6F46FD68" w14:textId="77777777" w:rsidR="006D5DBD" w:rsidRPr="000C0842" w:rsidRDefault="006D5DBD" w:rsidP="006D5DBD">
            <w:pPr>
              <w:keepNext/>
              <w:suppressLineNumbers/>
              <w:suppressAutoHyphens/>
              <w:spacing w:before="40" w:after="80"/>
              <w:jc w:val="left"/>
              <w:rPr>
                <w:b/>
                <w:bCs/>
                <w:kern w:val="22"/>
                <w:sz w:val="24"/>
                <w:szCs w:val="24"/>
                <w:lang w:val="en-GB" w:eastAsia="zh-CN"/>
              </w:rPr>
            </w:pPr>
            <w:bookmarkStart w:id="12" w:name="_Toc118354981"/>
            <w:r w:rsidRPr="000C0842">
              <w:rPr>
                <w:b/>
                <w:bCs/>
                <w:iCs/>
                <w:sz w:val="24"/>
                <w:szCs w:val="24"/>
                <w:lang w:val="en-GB" w:eastAsia="zh-CN"/>
              </w:rPr>
              <w:t>构成部分</w:t>
            </w:r>
            <w:r w:rsidRPr="000C0842">
              <w:rPr>
                <w:b/>
                <w:iCs/>
                <w:sz w:val="24"/>
                <w:szCs w:val="24"/>
                <w:lang w:val="en-GB" w:eastAsia="zh-CN"/>
              </w:rPr>
              <w:t>7.</w:t>
            </w:r>
            <w:r w:rsidRPr="000C0842">
              <w:rPr>
                <w:b/>
                <w:bCs/>
                <w:iCs/>
                <w:sz w:val="24"/>
                <w:szCs w:val="24"/>
                <w:lang w:val="en-GB" w:eastAsia="zh-CN"/>
              </w:rPr>
              <w:t xml:space="preserve"> </w:t>
            </w:r>
            <w:r w:rsidRPr="000C0842">
              <w:rPr>
                <w:b/>
                <w:bCs/>
                <w:sz w:val="24"/>
                <w:szCs w:val="24"/>
                <w:lang w:val="en-GB" w:eastAsia="zh-CN"/>
              </w:rPr>
              <w:t>基于人权的方法</w:t>
            </w:r>
          </w:p>
        </w:tc>
      </w:tr>
      <w:tr w:rsidR="000C0842" w:rsidRPr="000C0842" w14:paraId="5D925B2A" w14:textId="77777777" w:rsidTr="006D5DBD">
        <w:trPr>
          <w:trHeight w:val="57"/>
        </w:trPr>
        <w:tc>
          <w:tcPr>
            <w:tcW w:w="8789" w:type="dxa"/>
            <w:gridSpan w:val="2"/>
            <w:shd w:val="clear" w:color="auto" w:fill="FFFFFF"/>
          </w:tcPr>
          <w:p w14:paraId="3C8BE30E" w14:textId="77777777" w:rsidR="006D5DBD" w:rsidRPr="000C0842" w:rsidRDefault="006D5DBD" w:rsidP="006D5DBD">
            <w:pPr>
              <w:spacing w:before="40" w:after="80"/>
              <w:jc w:val="left"/>
              <w:rPr>
                <w:rFonts w:eastAsia="KaiTi"/>
                <w:i/>
                <w:iCs/>
                <w:kern w:val="22"/>
                <w:sz w:val="24"/>
                <w:szCs w:val="24"/>
                <w:lang w:val="en-GB" w:eastAsia="zh-CN"/>
              </w:rPr>
            </w:pPr>
            <w:r w:rsidRPr="000C0842">
              <w:rPr>
                <w:rFonts w:eastAsia="KaiTi"/>
                <w:sz w:val="24"/>
                <w:szCs w:val="24"/>
                <w:lang w:val="en-GB" w:eastAsia="zh-CN"/>
              </w:rPr>
              <w:t>根据《昆明</w:t>
            </w:r>
            <w:r w:rsidRPr="000C0842">
              <w:rPr>
                <w:rFonts w:eastAsia="KaiTi"/>
                <w:sz w:val="24"/>
                <w:szCs w:val="24"/>
                <w:lang w:val="en-GB" w:eastAsia="zh-CN"/>
              </w:rPr>
              <w:t>-</w:t>
            </w:r>
            <w:r w:rsidRPr="000C0842">
              <w:rPr>
                <w:rFonts w:eastAsia="KaiTi"/>
                <w:sz w:val="24"/>
                <w:szCs w:val="24"/>
                <w:lang w:val="en-GB" w:eastAsia="zh-CN"/>
              </w:rPr>
              <w:t>蒙特利尔全球生物多样性框架》，采用基于人权的方法，</w:t>
            </w:r>
            <w:r w:rsidRPr="000C0842">
              <w:rPr>
                <w:rFonts w:eastAsia="KaiTi" w:hint="eastAsia"/>
                <w:sz w:val="24"/>
                <w:szCs w:val="24"/>
                <w:lang w:val="en-GB" w:eastAsia="zh-CN"/>
              </w:rPr>
              <w:t>促进</w:t>
            </w:r>
            <w:r w:rsidRPr="000C0842">
              <w:rPr>
                <w:rFonts w:eastAsia="KaiTi"/>
                <w:sz w:val="24"/>
                <w:szCs w:val="24"/>
                <w:lang w:val="en-GB" w:eastAsia="zh-CN"/>
              </w:rPr>
              <w:t>加强土著人民和地方社区</w:t>
            </w:r>
            <w:r w:rsidRPr="000C0842">
              <w:rPr>
                <w:rFonts w:eastAsia="KaiTi" w:hint="eastAsia"/>
                <w:sz w:val="24"/>
                <w:szCs w:val="24"/>
                <w:lang w:val="en-GB" w:eastAsia="zh-CN"/>
              </w:rPr>
              <w:t>有关</w:t>
            </w:r>
            <w:r w:rsidRPr="000C0842">
              <w:rPr>
                <w:rFonts w:eastAsia="KaiTi"/>
                <w:sz w:val="24"/>
                <w:szCs w:val="24"/>
                <w:lang w:val="en-GB" w:eastAsia="zh-CN"/>
              </w:rPr>
              <w:t>保护和可持续利用生物多样性的权利。</w:t>
            </w:r>
          </w:p>
        </w:tc>
      </w:tr>
      <w:bookmarkEnd w:id="12"/>
      <w:tr w:rsidR="000C0842" w:rsidRPr="000C0842" w14:paraId="6D67BD48" w14:textId="77777777" w:rsidTr="006D5DBD">
        <w:trPr>
          <w:trHeight w:val="57"/>
        </w:trPr>
        <w:tc>
          <w:tcPr>
            <w:tcW w:w="6663" w:type="dxa"/>
            <w:shd w:val="clear" w:color="auto" w:fill="FFFFFF"/>
          </w:tcPr>
          <w:p w14:paraId="52C0343F" w14:textId="77777777" w:rsidR="006D5DBD" w:rsidRPr="000C0842" w:rsidRDefault="006D5DBD" w:rsidP="006D5DBD">
            <w:pPr>
              <w:suppressLineNumbers/>
              <w:tabs>
                <w:tab w:val="left" w:pos="597"/>
              </w:tabs>
              <w:suppressAutoHyphens/>
              <w:spacing w:before="40" w:after="80"/>
              <w:jc w:val="left"/>
              <w:rPr>
                <w:b/>
                <w:bCs/>
                <w:kern w:val="22"/>
                <w:sz w:val="24"/>
                <w:szCs w:val="24"/>
                <w:lang w:val="en-GB" w:eastAsia="zh-CN"/>
              </w:rPr>
            </w:pPr>
            <w:r w:rsidRPr="000C0842">
              <w:rPr>
                <w:sz w:val="24"/>
                <w:szCs w:val="24"/>
                <w:lang w:val="en-GB" w:eastAsia="zh-CN"/>
              </w:rPr>
              <w:t>7.1</w:t>
            </w:r>
            <w:r w:rsidRPr="000C0842">
              <w:rPr>
                <w:sz w:val="24"/>
                <w:szCs w:val="24"/>
                <w:lang w:val="en-GB" w:eastAsia="zh-CN"/>
              </w:rPr>
              <w:tab/>
            </w:r>
            <w:r w:rsidRPr="000C0842">
              <w:rPr>
                <w:sz w:val="24"/>
                <w:szCs w:val="24"/>
                <w:lang w:val="en-GB" w:eastAsia="zh-CN"/>
              </w:rPr>
              <w:t>与联合国相关机构并与土著人民和地方社区</w:t>
            </w:r>
            <w:r w:rsidRPr="000C0842">
              <w:rPr>
                <w:rFonts w:hint="eastAsia"/>
                <w:sz w:val="24"/>
                <w:szCs w:val="24"/>
                <w:lang w:val="en-GB" w:eastAsia="zh-CN"/>
              </w:rPr>
              <w:t>协作</w:t>
            </w:r>
            <w:r w:rsidRPr="000C0842">
              <w:rPr>
                <w:sz w:val="24"/>
                <w:szCs w:val="24"/>
                <w:lang w:val="en-GB" w:eastAsia="zh-CN"/>
              </w:rPr>
              <w:t>，依照相关国际义务和文书并采用基于人权的方法，制定准则以增强土著人民和地方社区对保护和可持续利用生物多样性的贡献。</w:t>
            </w:r>
          </w:p>
        </w:tc>
        <w:tc>
          <w:tcPr>
            <w:tcW w:w="2126" w:type="dxa"/>
            <w:shd w:val="clear" w:color="auto" w:fill="FFFFFF"/>
          </w:tcPr>
          <w:p w14:paraId="32A1347F" w14:textId="77777777" w:rsidR="006D5DBD" w:rsidRPr="000C0842" w:rsidRDefault="006D5DBD" w:rsidP="006D5DBD">
            <w:pPr>
              <w:suppressLineNumbers/>
              <w:suppressAutoHyphens/>
              <w:spacing w:before="40" w:after="80"/>
              <w:jc w:val="left"/>
              <w:rPr>
                <w:kern w:val="22"/>
                <w:sz w:val="24"/>
                <w:szCs w:val="24"/>
                <w:highlight w:val="yellow"/>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w:t>
            </w:r>
          </w:p>
        </w:tc>
      </w:tr>
      <w:tr w:rsidR="000C0842" w:rsidRPr="000C0842" w14:paraId="725ED1B3" w14:textId="77777777" w:rsidTr="006D5DBD">
        <w:trPr>
          <w:trHeight w:val="57"/>
        </w:trPr>
        <w:tc>
          <w:tcPr>
            <w:tcW w:w="6663" w:type="dxa"/>
            <w:shd w:val="clear" w:color="auto" w:fill="FFFFFF"/>
          </w:tcPr>
          <w:p w14:paraId="3FD5687F"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sz w:val="24"/>
                <w:szCs w:val="24"/>
                <w:lang w:val="en-GB" w:eastAsia="zh-CN"/>
              </w:rPr>
              <w:t>7.2</w:t>
            </w:r>
            <w:r w:rsidRPr="000C0842">
              <w:rPr>
                <w:i/>
                <w:iCs/>
                <w:sz w:val="24"/>
                <w:szCs w:val="24"/>
                <w:lang w:val="en-GB" w:eastAsia="zh-CN"/>
              </w:rPr>
              <w:tab/>
            </w:r>
            <w:r w:rsidRPr="000C0842">
              <w:rPr>
                <w:sz w:val="24"/>
                <w:szCs w:val="24"/>
                <w:lang w:val="en-GB" w:eastAsia="zh-CN"/>
              </w:rPr>
              <w:t>依据国家法律</w:t>
            </w:r>
            <w:r w:rsidRPr="000C0842">
              <w:rPr>
                <w:rFonts w:hint="eastAsia"/>
                <w:sz w:val="24"/>
                <w:szCs w:val="24"/>
                <w:lang w:val="en-GB" w:eastAsia="zh-CN"/>
              </w:rPr>
              <w:t>，</w:t>
            </w:r>
            <w:r w:rsidRPr="000C0842">
              <w:rPr>
                <w:sz w:val="24"/>
                <w:szCs w:val="24"/>
                <w:lang w:val="en-GB" w:eastAsia="zh-CN"/>
              </w:rPr>
              <w:t>酌情支持和促进传统土地保有权</w:t>
            </w:r>
            <w:r w:rsidRPr="000C0842">
              <w:rPr>
                <w:sz w:val="24"/>
                <w:szCs w:val="24"/>
                <w:vertAlign w:val="superscript"/>
                <w:lang w:val="en-GB" w:eastAsia="zh-CN"/>
              </w:rPr>
              <w:footnoteReference w:id="50"/>
            </w:r>
            <w:r w:rsidRPr="000C0842">
              <w:rPr>
                <w:sz w:val="24"/>
                <w:szCs w:val="24"/>
                <w:lang w:val="en-GB" w:eastAsia="zh-CN"/>
              </w:rPr>
              <w:t>，保障土著人民和地方社区的土地保有权，</w:t>
            </w:r>
            <w:r w:rsidRPr="000C0842">
              <w:rPr>
                <w:rFonts w:hint="eastAsia"/>
                <w:sz w:val="24"/>
                <w:szCs w:val="24"/>
                <w:lang w:val="en-GB" w:eastAsia="zh-CN"/>
              </w:rPr>
              <w:t>养护</w:t>
            </w:r>
            <w:r w:rsidRPr="000C0842">
              <w:rPr>
                <w:sz w:val="24"/>
                <w:szCs w:val="24"/>
                <w:lang w:val="en-GB" w:eastAsia="zh-CN"/>
              </w:rPr>
              <w:t>和可持续利用生物多样性。</w:t>
            </w:r>
          </w:p>
        </w:tc>
        <w:tc>
          <w:tcPr>
            <w:tcW w:w="2126" w:type="dxa"/>
            <w:shd w:val="clear" w:color="auto" w:fill="FFFFFF"/>
          </w:tcPr>
          <w:p w14:paraId="791694FE"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缔约方</w:t>
            </w:r>
          </w:p>
        </w:tc>
      </w:tr>
      <w:tr w:rsidR="000C0842" w:rsidRPr="000C0842" w14:paraId="631CCE21" w14:textId="77777777" w:rsidTr="006D5DBD">
        <w:trPr>
          <w:trHeight w:val="57"/>
        </w:trPr>
        <w:tc>
          <w:tcPr>
            <w:tcW w:w="6663" w:type="dxa"/>
            <w:shd w:val="clear" w:color="auto" w:fill="FFFFFF"/>
          </w:tcPr>
          <w:p w14:paraId="3A9FC2ED" w14:textId="619C3726" w:rsidR="006D5DBD" w:rsidRPr="000C0842" w:rsidRDefault="006D5DBD" w:rsidP="006D5DBD">
            <w:pPr>
              <w:suppressLineNumbers/>
              <w:suppressAutoHyphens/>
              <w:spacing w:before="40" w:after="80"/>
              <w:jc w:val="left"/>
              <w:rPr>
                <w:sz w:val="24"/>
                <w:szCs w:val="24"/>
                <w:lang w:val="en-GB" w:eastAsia="zh-CN"/>
              </w:rPr>
            </w:pPr>
            <w:r w:rsidRPr="000C0842">
              <w:rPr>
                <w:sz w:val="24"/>
                <w:szCs w:val="24"/>
                <w:lang w:val="en-GB" w:eastAsia="zh-CN"/>
              </w:rPr>
              <w:t>7.3</w:t>
            </w:r>
            <w:r w:rsidRPr="000C0842">
              <w:rPr>
                <w:sz w:val="24"/>
                <w:szCs w:val="24"/>
                <w:lang w:val="en-GB" w:eastAsia="zh-CN"/>
              </w:rPr>
              <w:tab/>
            </w:r>
            <w:r w:rsidRPr="000C0842">
              <w:rPr>
                <w:sz w:val="24"/>
                <w:szCs w:val="24"/>
                <w:lang w:eastAsia="zh-CN"/>
              </w:rPr>
              <w:t>制定</w:t>
            </w:r>
            <w:r w:rsidR="001A5C0A" w:rsidRPr="000C0842">
              <w:rPr>
                <w:rFonts w:hint="eastAsia"/>
                <w:sz w:val="24"/>
                <w:szCs w:val="24"/>
                <w:lang w:eastAsia="zh-CN"/>
              </w:rPr>
              <w:t>《昆蒙框架》</w:t>
            </w:r>
            <w:r w:rsidRPr="000C0842">
              <w:rPr>
                <w:sz w:val="24"/>
                <w:szCs w:val="24"/>
                <w:lang w:eastAsia="zh-CN"/>
              </w:rPr>
              <w:t>行动目标</w:t>
            </w:r>
            <w:r w:rsidRPr="000C0842">
              <w:rPr>
                <w:sz w:val="24"/>
                <w:szCs w:val="24"/>
                <w:lang w:eastAsia="zh-CN"/>
              </w:rPr>
              <w:t xml:space="preserve"> 22 </w:t>
            </w:r>
            <w:r w:rsidRPr="000C0842">
              <w:rPr>
                <w:sz w:val="24"/>
                <w:szCs w:val="24"/>
                <w:lang w:eastAsia="zh-CN"/>
              </w:rPr>
              <w:t>的执行准则，包括</w:t>
            </w:r>
            <w:r w:rsidRPr="000C0842">
              <w:rPr>
                <w:rFonts w:hint="eastAsia"/>
                <w:sz w:val="24"/>
                <w:szCs w:val="24"/>
                <w:lang w:eastAsia="zh-CN"/>
              </w:rPr>
              <w:t>有关</w:t>
            </w:r>
            <w:r w:rsidRPr="000C0842">
              <w:rPr>
                <w:sz w:val="24"/>
                <w:szCs w:val="24"/>
                <w:lang w:eastAsia="zh-CN"/>
              </w:rPr>
              <w:t>充分保护环境人权维护者，特别是在《性别平等行动计划</w:t>
            </w:r>
            <w:r w:rsidR="00D40E31" w:rsidRPr="000C0842">
              <w:rPr>
                <w:rFonts w:hint="eastAsia"/>
                <w:sz w:val="24"/>
                <w:szCs w:val="24"/>
                <w:lang w:eastAsia="zh-CN"/>
              </w:rPr>
              <w:t>（</w:t>
            </w:r>
            <w:r w:rsidRPr="000C0842">
              <w:rPr>
                <w:sz w:val="24"/>
                <w:szCs w:val="24"/>
                <w:lang w:val="en-GB" w:eastAsia="zh-CN"/>
              </w:rPr>
              <w:t>2023–2030</w:t>
            </w:r>
            <w:r w:rsidR="00D40E31" w:rsidRPr="000C0842">
              <w:rPr>
                <w:rFonts w:hint="eastAsia"/>
                <w:sz w:val="24"/>
                <w:szCs w:val="24"/>
                <w:lang w:val="en-GB" w:eastAsia="zh-CN"/>
              </w:rPr>
              <w:t>）</w:t>
            </w:r>
            <w:r w:rsidRPr="000C0842">
              <w:rPr>
                <w:sz w:val="24"/>
                <w:szCs w:val="24"/>
                <w:lang w:eastAsia="zh-CN"/>
              </w:rPr>
              <w:t>》</w:t>
            </w:r>
            <w:r w:rsidRPr="000C0842">
              <w:rPr>
                <w:sz w:val="24"/>
                <w:szCs w:val="24"/>
                <w:lang w:eastAsia="zh-CN"/>
              </w:rPr>
              <w:t xml:space="preserve"> </w:t>
            </w:r>
            <w:r w:rsidRPr="000C0842">
              <w:rPr>
                <w:sz w:val="24"/>
                <w:szCs w:val="24"/>
                <w:lang w:eastAsia="zh-CN"/>
              </w:rPr>
              <w:t>所反映的生物多样性控制、拥有以及可持续利用和保护机会方面</w:t>
            </w:r>
            <w:r w:rsidRPr="000C0842">
              <w:rPr>
                <w:rFonts w:hint="eastAsia"/>
                <w:sz w:val="24"/>
                <w:szCs w:val="24"/>
                <w:lang w:eastAsia="zh-CN"/>
              </w:rPr>
              <w:t>，</w:t>
            </w:r>
            <w:r w:rsidRPr="000C0842">
              <w:rPr>
                <w:sz w:val="24"/>
                <w:szCs w:val="24"/>
                <w:lang w:eastAsia="zh-CN"/>
              </w:rPr>
              <w:t>保护妇女免受一切形式的性别歧视和暴力。</w:t>
            </w:r>
          </w:p>
        </w:tc>
        <w:tc>
          <w:tcPr>
            <w:tcW w:w="2126" w:type="dxa"/>
            <w:shd w:val="clear" w:color="auto" w:fill="FFFFFF"/>
          </w:tcPr>
          <w:p w14:paraId="1E05E487" w14:textId="77777777" w:rsidR="006D5DBD" w:rsidRPr="000C0842" w:rsidRDefault="006D5DBD" w:rsidP="006D5DBD">
            <w:pPr>
              <w:suppressLineNumbers/>
              <w:suppressAutoHyphens/>
              <w:spacing w:before="40" w:after="80"/>
              <w:jc w:val="left"/>
              <w:rPr>
                <w:sz w:val="24"/>
                <w:szCs w:val="24"/>
                <w:highlight w:val="yellow"/>
                <w:lang w:val="en-GB" w:eastAsia="zh-CN"/>
              </w:rPr>
            </w:pPr>
            <w:r w:rsidRPr="000C0842">
              <w:rPr>
                <w:kern w:val="22"/>
                <w:sz w:val="24"/>
                <w:szCs w:val="24"/>
                <w:lang w:val="en-GB" w:eastAsia="zh-CN"/>
              </w:rPr>
              <w:t>第</w:t>
            </w:r>
            <w:r w:rsidRPr="000C0842">
              <w:rPr>
                <w:kern w:val="22"/>
                <w:sz w:val="24"/>
                <w:szCs w:val="24"/>
                <w:lang w:val="en-GB" w:eastAsia="zh-CN"/>
              </w:rPr>
              <w:t>8(j)</w:t>
            </w:r>
            <w:r w:rsidRPr="000C0842">
              <w:rPr>
                <w:kern w:val="22"/>
                <w:sz w:val="24"/>
                <w:szCs w:val="24"/>
                <w:lang w:val="en-GB" w:eastAsia="zh-CN"/>
              </w:rPr>
              <w:t>条附属机构、秘书处</w:t>
            </w:r>
          </w:p>
        </w:tc>
      </w:tr>
      <w:tr w:rsidR="000C0842" w:rsidRPr="000C0842" w14:paraId="61E2955A" w14:textId="77777777" w:rsidTr="006D5DBD">
        <w:trPr>
          <w:trHeight w:val="57"/>
        </w:trPr>
        <w:tc>
          <w:tcPr>
            <w:tcW w:w="8789" w:type="dxa"/>
            <w:gridSpan w:val="2"/>
            <w:shd w:val="clear" w:color="auto" w:fill="FFFFFF"/>
          </w:tcPr>
          <w:p w14:paraId="631CC5F1" w14:textId="77777777" w:rsidR="006D5DBD" w:rsidRPr="000C0842" w:rsidRDefault="006D5DBD" w:rsidP="006D5DBD">
            <w:pPr>
              <w:suppressLineNumbers/>
              <w:suppressAutoHyphens/>
              <w:spacing w:before="40" w:after="80"/>
              <w:jc w:val="left"/>
              <w:rPr>
                <w:b/>
                <w:bCs/>
                <w:kern w:val="22"/>
                <w:sz w:val="24"/>
                <w:szCs w:val="24"/>
                <w:lang w:val="en-GB" w:eastAsia="zh-CN"/>
              </w:rPr>
            </w:pPr>
            <w:r w:rsidRPr="000C0842">
              <w:rPr>
                <w:b/>
                <w:bCs/>
                <w:iCs/>
                <w:sz w:val="24"/>
                <w:szCs w:val="24"/>
                <w:lang w:eastAsia="zh-CN"/>
              </w:rPr>
              <w:t>构成部分</w:t>
            </w:r>
            <w:r w:rsidRPr="000C0842">
              <w:rPr>
                <w:b/>
                <w:bCs/>
                <w:sz w:val="24"/>
                <w:szCs w:val="24"/>
                <w:lang w:eastAsia="zh-CN"/>
              </w:rPr>
              <w:t xml:space="preserve"> 8.</w:t>
            </w:r>
            <w:r w:rsidRPr="000C0842">
              <w:rPr>
                <w:rFonts w:hint="eastAsia"/>
                <w:b/>
                <w:bCs/>
                <w:sz w:val="24"/>
                <w:szCs w:val="24"/>
                <w:lang w:eastAsia="zh-CN"/>
              </w:rPr>
              <w:t xml:space="preserve"> </w:t>
            </w:r>
            <w:r w:rsidRPr="000C0842">
              <w:rPr>
                <w:b/>
                <w:bCs/>
                <w:sz w:val="24"/>
                <w:szCs w:val="24"/>
                <w:lang w:eastAsia="zh-CN"/>
              </w:rPr>
              <w:t>土著人民和地方社区获得资金，包括直接获得资金，用于</w:t>
            </w:r>
            <w:r w:rsidRPr="000C0842">
              <w:rPr>
                <w:rFonts w:hint="eastAsia"/>
                <w:b/>
                <w:bCs/>
                <w:sz w:val="24"/>
                <w:szCs w:val="24"/>
                <w:lang w:eastAsia="zh-CN"/>
              </w:rPr>
              <w:t>养护</w:t>
            </w:r>
            <w:r w:rsidRPr="000C0842">
              <w:rPr>
                <w:b/>
                <w:bCs/>
                <w:sz w:val="24"/>
                <w:szCs w:val="24"/>
                <w:lang w:eastAsia="zh-CN"/>
              </w:rPr>
              <w:t>、恢复和可持续利用生物多样性</w:t>
            </w:r>
            <w:bookmarkStart w:id="13" w:name="_Hlk146618440"/>
          </w:p>
        </w:tc>
      </w:tr>
      <w:bookmarkEnd w:id="13"/>
      <w:tr w:rsidR="000C0842" w:rsidRPr="000C0842" w14:paraId="2B95067A" w14:textId="77777777" w:rsidTr="006D5DBD">
        <w:trPr>
          <w:trHeight w:val="57"/>
        </w:trPr>
        <w:tc>
          <w:tcPr>
            <w:tcW w:w="8789" w:type="dxa"/>
            <w:gridSpan w:val="2"/>
            <w:shd w:val="clear" w:color="auto" w:fill="FFFFFF"/>
          </w:tcPr>
          <w:p w14:paraId="4C887FA0" w14:textId="77777777" w:rsidR="006D5DBD" w:rsidRPr="000C0842" w:rsidRDefault="006D5DBD" w:rsidP="006D5DBD">
            <w:pPr>
              <w:suppressLineNumbers/>
              <w:suppressAutoHyphens/>
              <w:spacing w:before="40" w:after="80"/>
              <w:jc w:val="left"/>
              <w:rPr>
                <w:rFonts w:eastAsia="KaiTi"/>
                <w:kern w:val="22"/>
                <w:sz w:val="24"/>
                <w:szCs w:val="24"/>
                <w:lang w:val="en-GB" w:eastAsia="zh-CN"/>
              </w:rPr>
            </w:pPr>
            <w:r w:rsidRPr="000C0842">
              <w:rPr>
                <w:rFonts w:eastAsia="KaiTi"/>
                <w:sz w:val="24"/>
                <w:szCs w:val="24"/>
                <w:lang w:eastAsia="zh-CN"/>
              </w:rPr>
              <w:t>促进执行《昆明</w:t>
            </w:r>
            <w:r w:rsidRPr="000C0842">
              <w:rPr>
                <w:rFonts w:eastAsia="KaiTi"/>
                <w:sz w:val="24"/>
                <w:szCs w:val="24"/>
                <w:lang w:eastAsia="zh-CN"/>
              </w:rPr>
              <w:t>-</w:t>
            </w:r>
            <w:r w:rsidRPr="000C0842">
              <w:rPr>
                <w:rFonts w:eastAsia="KaiTi"/>
                <w:sz w:val="24"/>
                <w:szCs w:val="24"/>
                <w:lang w:eastAsia="zh-CN"/>
              </w:rPr>
              <w:t>蒙特利尔全球生物多样性框架》的相关目标，特别是酌情在国家政策、计划、项目、方案或系统中支持土著人民和地方社区获得资金，包括直接获得资金</w:t>
            </w:r>
          </w:p>
        </w:tc>
      </w:tr>
      <w:tr w:rsidR="000C0842" w:rsidRPr="000C0842" w14:paraId="5D50E065" w14:textId="77777777" w:rsidTr="006D5DBD">
        <w:trPr>
          <w:trHeight w:val="57"/>
        </w:trPr>
        <w:tc>
          <w:tcPr>
            <w:tcW w:w="6663" w:type="dxa"/>
            <w:shd w:val="clear" w:color="auto" w:fill="FFFFFF"/>
          </w:tcPr>
          <w:p w14:paraId="0F2638A3" w14:textId="77777777" w:rsidR="006D5DBD" w:rsidRPr="000C0842" w:rsidRDefault="006D5DBD" w:rsidP="006D5DBD">
            <w:pPr>
              <w:suppressLineNumbers/>
              <w:suppressAutoHyphens/>
              <w:spacing w:before="40" w:after="80"/>
              <w:jc w:val="left"/>
              <w:rPr>
                <w:kern w:val="22"/>
                <w:sz w:val="24"/>
                <w:szCs w:val="24"/>
                <w:lang w:val="en-GB" w:eastAsia="zh-CN"/>
              </w:rPr>
            </w:pPr>
            <w:r w:rsidRPr="000C0842">
              <w:rPr>
                <w:kern w:val="22"/>
                <w:sz w:val="24"/>
                <w:szCs w:val="24"/>
                <w:lang w:val="en-GB" w:eastAsia="zh-CN"/>
              </w:rPr>
              <w:t>8.1</w:t>
            </w:r>
            <w:r w:rsidRPr="000C0842">
              <w:rPr>
                <w:kern w:val="22"/>
                <w:sz w:val="24"/>
                <w:szCs w:val="24"/>
                <w:lang w:val="en-GB" w:eastAsia="zh-CN"/>
              </w:rPr>
              <w:tab/>
            </w:r>
            <w:r w:rsidRPr="000C0842">
              <w:rPr>
                <w:sz w:val="24"/>
                <w:szCs w:val="24"/>
                <w:lang w:eastAsia="zh-CN"/>
              </w:rPr>
              <w:t>根据</w:t>
            </w:r>
            <w:r w:rsidRPr="000C0842">
              <w:rPr>
                <w:sz w:val="24"/>
                <w:szCs w:val="24"/>
                <w:lang w:eastAsia="zh-CN"/>
              </w:rPr>
              <w:t>2025-2030</w:t>
            </w:r>
            <w:r w:rsidRPr="000C0842">
              <w:rPr>
                <w:rFonts w:hint="eastAsia"/>
                <w:sz w:val="24"/>
                <w:szCs w:val="24"/>
                <w:lang w:eastAsia="zh-CN"/>
              </w:rPr>
              <w:t>年</w:t>
            </w:r>
            <w:r w:rsidRPr="000C0842">
              <w:rPr>
                <w:sz w:val="24"/>
                <w:szCs w:val="24"/>
                <w:lang w:eastAsia="zh-CN"/>
              </w:rPr>
              <w:t>资源调动战略并在此战略的范围内，支持努力为土著人民和地方社区调动财</w:t>
            </w:r>
            <w:r w:rsidRPr="000C0842">
              <w:rPr>
                <w:rFonts w:hint="eastAsia"/>
                <w:sz w:val="24"/>
                <w:szCs w:val="24"/>
                <w:lang w:eastAsia="zh-CN"/>
              </w:rPr>
              <w:t>务</w:t>
            </w:r>
            <w:r w:rsidRPr="000C0842">
              <w:rPr>
                <w:sz w:val="24"/>
                <w:szCs w:val="24"/>
                <w:lang w:eastAsia="zh-CN"/>
              </w:rPr>
              <w:t>资源</w:t>
            </w:r>
            <w:r w:rsidRPr="000C0842">
              <w:rPr>
                <w:rFonts w:hint="eastAsia"/>
                <w:sz w:val="24"/>
                <w:szCs w:val="24"/>
                <w:lang w:eastAsia="zh-CN"/>
              </w:rPr>
              <w:t>。</w:t>
            </w:r>
            <w:r w:rsidRPr="000C0842">
              <w:rPr>
                <w:sz w:val="24"/>
                <w:szCs w:val="24"/>
                <w:lang w:eastAsia="zh-CN"/>
              </w:rPr>
              <w:t xml:space="preserve"> </w:t>
            </w:r>
          </w:p>
        </w:tc>
        <w:tc>
          <w:tcPr>
            <w:tcW w:w="2126" w:type="dxa"/>
            <w:shd w:val="clear" w:color="auto" w:fill="FFFFFF"/>
          </w:tcPr>
          <w:p w14:paraId="48576F2D" w14:textId="77777777" w:rsidR="006D5DBD" w:rsidRPr="000C0842" w:rsidRDefault="006D5DBD" w:rsidP="006D5DBD">
            <w:pPr>
              <w:spacing w:after="160" w:line="259" w:lineRule="auto"/>
              <w:rPr>
                <w:kern w:val="22"/>
                <w:sz w:val="24"/>
                <w:szCs w:val="24"/>
                <w:lang w:val="en-GB" w:eastAsia="zh-CN"/>
              </w:rPr>
            </w:pPr>
            <w:r w:rsidRPr="000C0842">
              <w:rPr>
                <w:sz w:val="24"/>
                <w:szCs w:val="24"/>
                <w:lang w:eastAsia="zh-CN"/>
              </w:rPr>
              <w:t>全球环境基金、全球生物多样性框架基金、捐助方、缔约方和秘书处</w:t>
            </w:r>
          </w:p>
        </w:tc>
      </w:tr>
      <w:tr w:rsidR="000C0842" w:rsidRPr="000C0842" w14:paraId="1E223658" w14:textId="77777777" w:rsidTr="006D5DBD">
        <w:trPr>
          <w:trHeight w:val="57"/>
        </w:trPr>
        <w:tc>
          <w:tcPr>
            <w:tcW w:w="6663" w:type="dxa"/>
            <w:shd w:val="clear" w:color="auto" w:fill="FFFFFF"/>
          </w:tcPr>
          <w:p w14:paraId="02BD74BD" w14:textId="77777777" w:rsidR="006D5DBD" w:rsidRPr="000C0842" w:rsidRDefault="006D5DBD" w:rsidP="006D5DBD">
            <w:pPr>
              <w:suppressLineNumbers/>
              <w:suppressAutoHyphens/>
              <w:spacing w:before="40" w:after="80"/>
              <w:jc w:val="left"/>
              <w:rPr>
                <w:sz w:val="24"/>
                <w:szCs w:val="24"/>
                <w:lang w:val="en-GB" w:eastAsia="zh-CN"/>
              </w:rPr>
            </w:pPr>
            <w:r w:rsidRPr="000C0842">
              <w:rPr>
                <w:sz w:val="24"/>
                <w:szCs w:val="24"/>
                <w:lang w:val="en-GB" w:eastAsia="zh-CN"/>
              </w:rPr>
              <w:t>8.2</w:t>
            </w:r>
            <w:r w:rsidRPr="000C0842">
              <w:rPr>
                <w:sz w:val="24"/>
                <w:szCs w:val="24"/>
                <w:lang w:val="en-GB" w:eastAsia="zh-CN"/>
              </w:rPr>
              <w:tab/>
            </w:r>
            <w:r w:rsidRPr="000C0842">
              <w:rPr>
                <w:sz w:val="24"/>
                <w:szCs w:val="24"/>
                <w:lang w:val="en-GB" w:eastAsia="zh-CN"/>
              </w:rPr>
              <w:t>找出差距，推广良好做法，进一步探索制定或改进现有政策、机制及其他适当倡议和措施的备选方案，以增加土著人民和地方社区获得资金的机会，包括直接获得资金，用于生物多样性</w:t>
            </w:r>
            <w:r w:rsidRPr="000C0842">
              <w:rPr>
                <w:rFonts w:hint="eastAsia"/>
                <w:sz w:val="24"/>
                <w:szCs w:val="24"/>
                <w:lang w:val="en-GB" w:eastAsia="zh-CN"/>
              </w:rPr>
              <w:t>养护</w:t>
            </w:r>
            <w:r w:rsidRPr="000C0842">
              <w:rPr>
                <w:sz w:val="24"/>
                <w:szCs w:val="24"/>
                <w:lang w:val="en-GB" w:eastAsia="zh-CN"/>
              </w:rPr>
              <w:t>和可持续利用方面的集体行动，特别是妇女和青年领导的行动。</w:t>
            </w:r>
          </w:p>
        </w:tc>
        <w:tc>
          <w:tcPr>
            <w:tcW w:w="2126" w:type="dxa"/>
            <w:shd w:val="clear" w:color="auto" w:fill="FFFFFF"/>
          </w:tcPr>
          <w:p w14:paraId="3934154E" w14:textId="77777777" w:rsidR="006D5DBD" w:rsidRPr="000C0842" w:rsidRDefault="006D5DBD" w:rsidP="006D5DBD">
            <w:pPr>
              <w:spacing w:after="160" w:line="259" w:lineRule="auto"/>
              <w:rPr>
                <w:kern w:val="22"/>
                <w:sz w:val="24"/>
                <w:szCs w:val="24"/>
                <w:lang w:val="en-GB" w:eastAsia="zh-CN"/>
              </w:rPr>
            </w:pPr>
            <w:r w:rsidRPr="000C0842">
              <w:rPr>
                <w:sz w:val="24"/>
                <w:szCs w:val="24"/>
                <w:lang w:eastAsia="zh-CN"/>
              </w:rPr>
              <w:t>公约第</w:t>
            </w:r>
            <w:r w:rsidRPr="000C0842">
              <w:rPr>
                <w:sz w:val="24"/>
                <w:szCs w:val="24"/>
                <w:lang w:eastAsia="zh-CN"/>
              </w:rPr>
              <w:t>8(j)</w:t>
            </w:r>
            <w:r w:rsidRPr="000C0842">
              <w:rPr>
                <w:sz w:val="24"/>
                <w:szCs w:val="24"/>
                <w:lang w:eastAsia="zh-CN"/>
              </w:rPr>
              <w:t>条附属机构、缔约方、全</w:t>
            </w:r>
            <w:r w:rsidRPr="000C0842">
              <w:rPr>
                <w:rFonts w:hint="eastAsia"/>
                <w:sz w:val="24"/>
                <w:szCs w:val="24"/>
                <w:lang w:eastAsia="zh-CN"/>
              </w:rPr>
              <w:t>球</w:t>
            </w:r>
            <w:r w:rsidRPr="000C0842">
              <w:rPr>
                <w:sz w:val="24"/>
                <w:szCs w:val="24"/>
                <w:lang w:eastAsia="zh-CN"/>
              </w:rPr>
              <w:t>环境基金和其他相关组织</w:t>
            </w:r>
          </w:p>
        </w:tc>
      </w:tr>
    </w:tbl>
    <w:p w14:paraId="218B92C1" w14:textId="77777777" w:rsidR="006D5DBD" w:rsidRPr="000C0842" w:rsidRDefault="006D5DBD" w:rsidP="006D5DBD">
      <w:pPr>
        <w:keepNext/>
        <w:spacing w:before="120"/>
        <w:ind w:left="562" w:firstLine="68"/>
        <w:jc w:val="left"/>
        <w:rPr>
          <w:rFonts w:eastAsia="SimSun"/>
          <w:sz w:val="24"/>
          <w:szCs w:val="24"/>
          <w:lang w:val="en-GB"/>
        </w:rPr>
      </w:pPr>
      <w:r w:rsidRPr="000C0842">
        <w:rPr>
          <w:rFonts w:eastAsia="SimSun"/>
          <w:i/>
          <w:iCs/>
          <w:sz w:val="24"/>
          <w:szCs w:val="24"/>
          <w:lang w:val="en-GB"/>
        </w:rPr>
        <w:tab/>
      </w:r>
    </w:p>
    <w:p w14:paraId="0289C637" w14:textId="544A1646" w:rsidR="006D5DBD" w:rsidRPr="000C0842" w:rsidRDefault="006D5DBD">
      <w:pPr>
        <w:tabs>
          <w:tab w:val="clear" w:pos="567"/>
          <w:tab w:val="clear" w:pos="1134"/>
          <w:tab w:val="clear" w:pos="1701"/>
          <w:tab w:val="clear" w:pos="2268"/>
        </w:tabs>
        <w:jc w:val="left"/>
        <w:rPr>
          <w:rFonts w:eastAsia="SimSun"/>
        </w:rPr>
      </w:pPr>
      <w:r w:rsidRPr="000C0842">
        <w:rPr>
          <w:rFonts w:eastAsia="SimSun"/>
        </w:rPr>
        <w:br w:type="page"/>
      </w:r>
    </w:p>
    <w:p w14:paraId="28E4150F" w14:textId="707E424A" w:rsidR="006D5DBD" w:rsidRPr="000C0842" w:rsidRDefault="006D5DBD" w:rsidP="00835BE0">
      <w:pPr>
        <w:pStyle w:val="a1"/>
        <w:ind w:right="0"/>
        <w:rPr>
          <w:rFonts w:hint="eastAsia"/>
          <w:lang w:eastAsia="zh-CN"/>
        </w:rPr>
      </w:pPr>
      <w:bookmarkStart w:id="14" w:name="_Toc206358197"/>
      <w:r w:rsidRPr="000C0842">
        <w:rPr>
          <w:lang w:eastAsia="zh-CN"/>
        </w:rPr>
        <w:t>16/5.</w:t>
      </w:r>
      <w:r w:rsidRPr="000C0842">
        <w:rPr>
          <w:lang w:eastAsia="zh-CN"/>
        </w:rPr>
        <w:tab/>
      </w:r>
      <w:r w:rsidR="002437E6" w:rsidRPr="000C0842">
        <w:rPr>
          <w:rFonts w:hint="eastAsia"/>
          <w:lang w:eastAsia="zh-CN"/>
        </w:rPr>
        <w:t xml:space="preserve"> </w:t>
      </w:r>
      <w:r w:rsidRPr="000C0842">
        <w:rPr>
          <w:lang w:eastAsia="zh-CN"/>
        </w:rPr>
        <w:t>土著人民和地方社区充分有效参与</w:t>
      </w:r>
      <w:r w:rsidR="00646C83" w:rsidRPr="000C0842">
        <w:rPr>
          <w:rFonts w:asciiTheme="minorHAnsi" w:hAnsiTheme="minorHAnsi" w:hint="eastAsia"/>
          <w:lang w:val="en-US" w:eastAsia="zh-CN"/>
        </w:rPr>
        <w:t>《</w:t>
      </w:r>
      <w:r w:rsidRPr="000C0842">
        <w:rPr>
          <w:lang w:eastAsia="zh-CN"/>
        </w:rPr>
        <w:t>生物多样性公约</w:t>
      </w:r>
      <w:r w:rsidR="00646C83" w:rsidRPr="000C0842">
        <w:rPr>
          <w:rFonts w:hint="eastAsia"/>
          <w:lang w:eastAsia="zh-CN"/>
        </w:rPr>
        <w:t>》</w:t>
      </w:r>
      <w:r w:rsidRPr="000C0842">
        <w:rPr>
          <w:lang w:eastAsia="zh-CN"/>
        </w:rPr>
        <w:t>工作的体制安排</w:t>
      </w:r>
      <w:bookmarkEnd w:id="14"/>
    </w:p>
    <w:p w14:paraId="5108B7D1" w14:textId="77777777" w:rsidR="006D5DBD" w:rsidRPr="000C0842" w:rsidRDefault="006D5DBD" w:rsidP="006D5DBD">
      <w:pPr>
        <w:tabs>
          <w:tab w:val="clear" w:pos="567"/>
          <w:tab w:val="clear" w:pos="1134"/>
          <w:tab w:val="clear" w:pos="1701"/>
          <w:tab w:val="clear" w:pos="2268"/>
        </w:tabs>
        <w:adjustRightInd w:val="0"/>
        <w:snapToGrid w:val="0"/>
        <w:spacing w:before="240" w:after="120"/>
        <w:ind w:left="490" w:firstLine="490"/>
        <w:rPr>
          <w:rFonts w:eastAsia="KaiTi"/>
          <w:sz w:val="24"/>
          <w:szCs w:val="24"/>
        </w:rPr>
      </w:pPr>
      <w:r w:rsidRPr="000C0842">
        <w:rPr>
          <w:rFonts w:eastAsia="KaiTi"/>
          <w:sz w:val="24"/>
          <w:szCs w:val="24"/>
        </w:rPr>
        <w:t>缔约方大会，</w:t>
      </w:r>
    </w:p>
    <w:p w14:paraId="56809ED2" w14:textId="77777777"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14:ligatures w14:val="standardContextual"/>
        </w:rPr>
      </w:pPr>
      <w:r w:rsidRPr="000C0842">
        <w:rPr>
          <w:rFonts w:eastAsia="KaiTi"/>
          <w:sz w:val="24"/>
          <w:szCs w:val="24"/>
        </w:rPr>
        <w:t>肯定</w:t>
      </w:r>
      <w:r w:rsidRPr="000C0842">
        <w:rPr>
          <w:rFonts w:eastAsia="SimSun"/>
          <w:spacing w:val="-4"/>
          <w:sz w:val="24"/>
          <w:szCs w:val="24"/>
          <w14:ligatures w14:val="standardContextual"/>
        </w:rPr>
        <w:t>土著人民和地方社区及其创新、做法和传统知识在执行</w:t>
      </w:r>
      <w:r w:rsidRPr="000C0842">
        <w:rPr>
          <w:rFonts w:eastAsia="SimSun"/>
          <w:spacing w:val="-4"/>
          <w:w w:val="90"/>
          <w:sz w:val="24"/>
          <w:szCs w:val="24"/>
          <w14:ligatures w14:val="standardContextual"/>
        </w:rPr>
        <w:t>《</w:t>
      </w:r>
      <w:r w:rsidRPr="000C0842">
        <w:rPr>
          <w:rFonts w:eastAsia="SimSun"/>
          <w:spacing w:val="-4"/>
          <w:sz w:val="24"/>
          <w:szCs w:val="24"/>
          <w14:ligatures w14:val="standardContextual"/>
        </w:rPr>
        <w:t>生物多样性公约</w:t>
      </w:r>
      <w:r w:rsidRPr="000C0842">
        <w:rPr>
          <w:rFonts w:eastAsia="SimSun"/>
          <w:w w:val="90"/>
          <w:sz w:val="24"/>
          <w:szCs w:val="24"/>
          <w14:ligatures w14:val="standardContextual"/>
        </w:rPr>
        <w:t>》</w:t>
      </w:r>
      <w:r w:rsidRPr="000C0842">
        <w:rPr>
          <w:rFonts w:eastAsia="SimSun"/>
          <w:sz w:val="24"/>
          <w:szCs w:val="24"/>
          <w:vertAlign w:val="superscript"/>
          <w:lang w:val="en-GB"/>
        </w:rPr>
        <w:footnoteReference w:id="51"/>
      </w:r>
      <w:r w:rsidRPr="000C0842">
        <w:rPr>
          <w:rFonts w:eastAsia="SimSun"/>
          <w:sz w:val="24"/>
          <w:szCs w:val="24"/>
          <w14:ligatures w14:val="standardContextual"/>
        </w:rPr>
        <w:t>及其议定书和</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sz w:val="24"/>
          <w:szCs w:val="24"/>
          <w:vertAlign w:val="superscript"/>
          <w:lang w:val="en-GB"/>
        </w:rPr>
        <w:footnoteReference w:id="52"/>
      </w:r>
      <w:r w:rsidRPr="000C0842">
        <w:rPr>
          <w:rFonts w:eastAsia="SimSun"/>
          <w:sz w:val="24"/>
          <w:szCs w:val="24"/>
          <w14:ligatures w14:val="standardContextual"/>
        </w:rPr>
        <w:t>方面以及在关于土著人民和地方社区的公约第</w:t>
      </w:r>
      <w:r w:rsidRPr="000C0842">
        <w:rPr>
          <w:rFonts w:eastAsia="SimSun"/>
          <w:sz w:val="24"/>
          <w:szCs w:val="24"/>
          <w14:ligatures w14:val="standardContextual"/>
        </w:rPr>
        <w:t>8(j)</w:t>
      </w:r>
      <w:r w:rsidRPr="000C0842">
        <w:rPr>
          <w:rFonts w:eastAsia="SimSun"/>
          <w:sz w:val="24"/>
          <w:szCs w:val="24"/>
          <w14:ligatures w14:val="standardContextual"/>
        </w:rPr>
        <w:t>条和相关条款问题不限成员名额闭会期间特设工作组的工作中发挥的独特作用，并认识到土著人民和地方社区</w:t>
      </w:r>
      <w:r w:rsidRPr="000C0842">
        <w:rPr>
          <w:rFonts w:eastAsia="SimSun"/>
          <w:sz w:val="24"/>
          <w:szCs w:val="24"/>
        </w:rPr>
        <w:t>需要</w:t>
      </w:r>
      <w:r w:rsidRPr="000C0842">
        <w:rPr>
          <w:rFonts w:eastAsia="SimSun"/>
          <w:sz w:val="24"/>
          <w:szCs w:val="24"/>
          <w14:ligatures w14:val="standardContextual"/>
        </w:rPr>
        <w:t>通过一个常设附属机构充分有效地参与</w:t>
      </w:r>
      <w:r w:rsidRPr="000C0842">
        <w:rPr>
          <w:rFonts w:eastAsia="SimSun"/>
          <w:sz w:val="24"/>
          <w:szCs w:val="24"/>
          <w:lang w:val="en-GB"/>
          <w14:ligatures w14:val="standardContextual"/>
        </w:rPr>
        <w:t>,</w:t>
      </w:r>
    </w:p>
    <w:p w14:paraId="1F59CC96"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14:ligatures w14:val="standardContextual"/>
        </w:rPr>
      </w:pPr>
      <w:r w:rsidRPr="000C0842">
        <w:rPr>
          <w:rFonts w:eastAsia="SimSun"/>
          <w:sz w:val="24"/>
          <w:szCs w:val="24"/>
          <w14:ligatures w14:val="standardContextual"/>
        </w:rPr>
        <w:t>1.</w:t>
      </w:r>
      <w:r w:rsidRPr="000C0842">
        <w:rPr>
          <w:rFonts w:eastAsia="SimSun"/>
          <w:sz w:val="24"/>
          <w:szCs w:val="24"/>
          <w14:ligatures w14:val="standardContextual"/>
        </w:rPr>
        <w:tab/>
      </w:r>
      <w:r w:rsidRPr="000C0842">
        <w:rPr>
          <w:rFonts w:eastAsia="KaiTi"/>
          <w:sz w:val="24"/>
          <w:szCs w:val="24"/>
          <w14:ligatures w14:val="standardContextual"/>
        </w:rPr>
        <w:t>决定</w:t>
      </w:r>
      <w:r w:rsidRPr="000C0842">
        <w:rPr>
          <w:rFonts w:eastAsia="SimSun"/>
          <w:sz w:val="24"/>
          <w:szCs w:val="24"/>
          <w14:ligatures w14:val="standardContextual"/>
        </w:rPr>
        <w:t>设立一个《生物多样性公约》关于土著人民和地方社区的第</w:t>
      </w:r>
      <w:r w:rsidRPr="000C0842">
        <w:rPr>
          <w:rFonts w:eastAsia="SimSun"/>
          <w:sz w:val="24"/>
          <w:szCs w:val="24"/>
          <w14:ligatures w14:val="standardContextual"/>
        </w:rPr>
        <w:t>8(j)</w:t>
      </w:r>
      <w:r w:rsidRPr="000C0842">
        <w:rPr>
          <w:rFonts w:eastAsia="SimSun"/>
          <w:sz w:val="24"/>
          <w:szCs w:val="24"/>
          <w14:ligatures w14:val="standardContextual"/>
        </w:rPr>
        <w:t>条和其他条款的附属机构，负责就《公约》及其议定书范围内与土著人民和地方社区相关的事项，向缔约方大会、其他附属机构，并应要求向作为</w:t>
      </w:r>
      <w:r w:rsidRPr="000C0842">
        <w:rPr>
          <w:rFonts w:eastAsia="SimSun"/>
          <w:sz w:val="24"/>
        </w:rPr>
        <w:t>卡塔赫纳生物安全议定书</w:t>
      </w:r>
      <w:r w:rsidRPr="000C0842">
        <w:rPr>
          <w:rFonts w:eastAsia="SimSun"/>
          <w:sz w:val="24"/>
          <w:szCs w:val="24"/>
          <w14:ligatures w14:val="standardContextual"/>
        </w:rPr>
        <w:t>缔约方会议的缔约方大会</w:t>
      </w:r>
      <w:r w:rsidRPr="000C0842">
        <w:rPr>
          <w:rFonts w:eastAsia="SimSun"/>
          <w:sz w:val="24"/>
          <w:szCs w:val="24"/>
          <w:vertAlign w:val="superscript"/>
        </w:rPr>
        <w:footnoteReference w:id="53"/>
      </w:r>
      <w:r w:rsidRPr="000C0842">
        <w:rPr>
          <w:rFonts w:eastAsia="SimSun"/>
          <w:sz w:val="24"/>
          <w:szCs w:val="24"/>
          <w14:ligatures w14:val="standardContextual"/>
        </w:rPr>
        <w:t>和作为</w:t>
      </w:r>
      <w:r w:rsidRPr="000C0842">
        <w:rPr>
          <w:rFonts w:eastAsia="SimSun"/>
          <w:sz w:val="24"/>
          <w:szCs w:val="24"/>
        </w:rPr>
        <w:t>关于获取遗传资源和公正和公平分享其利用所产生惠益的名古屋议定书</w:t>
      </w:r>
      <w:r w:rsidRPr="000C0842">
        <w:rPr>
          <w:rFonts w:eastAsia="SimSun"/>
          <w:sz w:val="24"/>
          <w:szCs w:val="24"/>
          <w14:ligatures w14:val="standardContextual"/>
        </w:rPr>
        <w:t>缔约方会议的缔约方大会</w:t>
      </w:r>
      <w:r w:rsidRPr="000C0842">
        <w:rPr>
          <w:rFonts w:eastAsia="SimSun"/>
          <w:vertAlign w:val="superscript"/>
        </w:rPr>
        <w:footnoteReference w:id="54"/>
      </w:r>
      <w:r w:rsidRPr="000C0842">
        <w:rPr>
          <w:rFonts w:eastAsia="SimSun"/>
          <w:sz w:val="24"/>
          <w:szCs w:val="24"/>
          <w14:ligatures w14:val="standardContextual"/>
        </w:rPr>
        <w:t>提供咨询意见；</w:t>
      </w:r>
    </w:p>
    <w:p w14:paraId="530A585A"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14:ligatures w14:val="standardContextual"/>
        </w:rPr>
      </w:pPr>
      <w:r w:rsidRPr="000C0842">
        <w:rPr>
          <w:rFonts w:eastAsia="SimSun"/>
          <w:sz w:val="24"/>
          <w14:ligatures w14:val="standardContextual"/>
        </w:rPr>
        <w:t>2.</w:t>
      </w:r>
      <w:r w:rsidRPr="000C0842">
        <w:rPr>
          <w:rFonts w:eastAsia="SimSun"/>
          <w:sz w:val="24"/>
          <w14:ligatures w14:val="standardContextual"/>
        </w:rPr>
        <w:tab/>
      </w:r>
      <w:r w:rsidRPr="000C0842">
        <w:rPr>
          <w:rFonts w:eastAsia="KaiTi"/>
          <w:sz w:val="24"/>
          <w14:ligatures w14:val="standardContextual"/>
        </w:rPr>
        <w:t>请</w:t>
      </w:r>
      <w:r w:rsidRPr="000C0842">
        <w:rPr>
          <w:rFonts w:eastAsia="SimSun"/>
          <w:sz w:val="24"/>
          <w:szCs w:val="24"/>
          <w14:ligatures w14:val="standardContextual"/>
        </w:rPr>
        <w:t>关于土著人民和地方社区的生物多样性公约第</w:t>
      </w:r>
      <w:r w:rsidRPr="000C0842">
        <w:rPr>
          <w:rFonts w:eastAsia="SimSun"/>
          <w:sz w:val="24"/>
          <w:szCs w:val="24"/>
          <w14:ligatures w14:val="standardContextual"/>
        </w:rPr>
        <w:t>8(j)</w:t>
      </w:r>
      <w:r w:rsidRPr="000C0842">
        <w:rPr>
          <w:rFonts w:eastAsia="SimSun"/>
          <w:sz w:val="24"/>
          <w:szCs w:val="24"/>
          <w14:ligatures w14:val="standardContextual"/>
        </w:rPr>
        <w:t>条和其他条款附属机构</w:t>
      </w:r>
      <w:r w:rsidRPr="000C0842">
        <w:rPr>
          <w:rFonts w:eastAsia="SimSun"/>
          <w:sz w:val="24"/>
          <w14:ligatures w14:val="standardContextual"/>
        </w:rPr>
        <w:t>在其第一次会议，根据公约第</w:t>
      </w:r>
      <w:r w:rsidRPr="000C0842">
        <w:rPr>
          <w:rFonts w:eastAsia="SimSun"/>
          <w:sz w:val="24"/>
          <w14:ligatures w14:val="standardContextual"/>
        </w:rPr>
        <w:t>8(j)</w:t>
      </w:r>
      <w:r w:rsidRPr="000C0842">
        <w:rPr>
          <w:rFonts w:eastAsia="SimSun"/>
          <w:sz w:val="24"/>
          <w14:ligatures w14:val="standardContextual"/>
        </w:rPr>
        <w:t>条和相关条款问题不限成员名额特设闭会期间工作组第</w:t>
      </w:r>
      <w:hyperlink r:id="rId46" w:history="1">
        <w:r w:rsidRPr="000C0842">
          <w:rPr>
            <w:rFonts w:eastAsia="SimSun"/>
            <w:sz w:val="24"/>
            <w:u w:val="single"/>
            <w14:ligatures w14:val="standardContextual"/>
          </w:rPr>
          <w:t>12/2</w:t>
        </w:r>
      </w:hyperlink>
      <w:r w:rsidRPr="000C0842">
        <w:rPr>
          <w:rFonts w:eastAsia="SimSun"/>
          <w:sz w:val="24"/>
          <w14:ligatures w14:val="standardContextual"/>
        </w:rPr>
        <w:t>号建议所载草案，进一步拟定并最后确定其工作</w:t>
      </w:r>
      <w:r w:rsidRPr="000C0842">
        <w:rPr>
          <w:rFonts w:eastAsia="SimSun" w:hint="eastAsia"/>
          <w:sz w:val="24"/>
          <w14:ligatures w14:val="standardContextual"/>
        </w:rPr>
        <w:t>方法</w:t>
      </w:r>
      <w:r w:rsidRPr="000C0842">
        <w:rPr>
          <w:rFonts w:eastAsia="SimSun"/>
          <w:sz w:val="24"/>
          <w14:ligatures w14:val="standardContextual"/>
        </w:rPr>
        <w:t>，同时考虑到科学、技术和工艺咨询附属机构的综合工作</w:t>
      </w:r>
      <w:r w:rsidRPr="000C0842">
        <w:rPr>
          <w:rFonts w:eastAsia="SimSun" w:hint="eastAsia"/>
          <w:sz w:val="24"/>
          <w14:ligatures w14:val="standardContextual"/>
        </w:rPr>
        <w:t>方法</w:t>
      </w:r>
      <w:r w:rsidRPr="000C0842">
        <w:rPr>
          <w:rFonts w:eastAsia="SimSun"/>
          <w:sz w:val="24"/>
          <w:szCs w:val="24"/>
          <w:vertAlign w:val="superscript"/>
        </w:rPr>
        <w:footnoteReference w:id="55"/>
      </w:r>
      <w:r w:rsidRPr="000C0842">
        <w:rPr>
          <w:rFonts w:eastAsia="SimSun"/>
          <w:sz w:val="24"/>
          <w14:ligatures w14:val="standardContextual"/>
        </w:rPr>
        <w:t>和执行问题附属机构的工作方法</w:t>
      </w:r>
      <w:r w:rsidRPr="000C0842">
        <w:rPr>
          <w:rFonts w:eastAsia="SimSun"/>
          <w:vertAlign w:val="superscript"/>
        </w:rPr>
        <w:footnoteReference w:id="56"/>
      </w:r>
      <w:r w:rsidRPr="000C0842">
        <w:rPr>
          <w:rFonts w:eastAsia="SimSun"/>
          <w:sz w:val="24"/>
          <w14:ligatures w14:val="standardContextual"/>
        </w:rPr>
        <w:t>，以及公约第</w:t>
      </w:r>
      <w:r w:rsidRPr="000C0842">
        <w:rPr>
          <w:rFonts w:eastAsia="SimSun"/>
          <w:sz w:val="24"/>
          <w14:ligatures w14:val="standardContextual"/>
        </w:rPr>
        <w:t>8(j)</w:t>
      </w:r>
      <w:r w:rsidRPr="000C0842">
        <w:rPr>
          <w:rFonts w:eastAsia="SimSun"/>
          <w:sz w:val="24"/>
          <w14:ligatures w14:val="standardContextual"/>
        </w:rPr>
        <w:t>条和相关条款问题不限成员名额特设闭会期间工作组的既定程序，并提交缔约方大会第十七届会议审议，以期获得通过；</w:t>
      </w:r>
    </w:p>
    <w:p w14:paraId="4EEC67EF"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14:ligatures w14:val="standardContextual"/>
        </w:rPr>
        <w:t>3.</w:t>
      </w:r>
      <w:r w:rsidRPr="000C0842">
        <w:rPr>
          <w:rFonts w:eastAsia="SimSun"/>
          <w:sz w:val="24"/>
          <w:szCs w:val="24"/>
          <w14:ligatures w14:val="standardContextual"/>
        </w:rPr>
        <w:tab/>
      </w:r>
      <w:r w:rsidRPr="000C0842">
        <w:rPr>
          <w:rFonts w:eastAsia="KaiTi"/>
          <w:sz w:val="24"/>
          <w:szCs w:val="24"/>
          <w14:ligatures w14:val="standardContextual"/>
        </w:rPr>
        <w:t>又请</w:t>
      </w:r>
      <w:r w:rsidRPr="000C0842">
        <w:rPr>
          <w:rFonts w:eastAsia="SimSun"/>
          <w:sz w:val="24"/>
          <w:szCs w:val="24"/>
          <w14:ligatures w14:val="standardContextual"/>
        </w:rPr>
        <w:t>关于土著人民和地方社区的公约第</w:t>
      </w:r>
      <w:r w:rsidRPr="000C0842">
        <w:rPr>
          <w:rFonts w:eastAsia="SimSun"/>
          <w:sz w:val="24"/>
          <w:szCs w:val="24"/>
          <w14:ligatures w14:val="standardContextual"/>
        </w:rPr>
        <w:t>8(j)</w:t>
      </w:r>
      <w:r w:rsidRPr="000C0842">
        <w:rPr>
          <w:rFonts w:eastAsia="SimSun"/>
          <w:sz w:val="24"/>
          <w:szCs w:val="24"/>
          <w14:ligatures w14:val="standardContextual"/>
        </w:rPr>
        <w:t>条和其他条款附属机构在制定其工作方法要点时，除其他外，考虑下列要点</w:t>
      </w:r>
      <w:r w:rsidRPr="000C0842">
        <w:rPr>
          <w:rFonts w:eastAsia="SimSun"/>
          <w:sz w:val="24"/>
          <w:szCs w:val="24"/>
          <w14:ligatures w14:val="standardContextual"/>
        </w:rPr>
        <w:t xml:space="preserve">: </w:t>
      </w:r>
    </w:p>
    <w:p w14:paraId="5E5C2399"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14:ligatures w14:val="standardContextual"/>
        </w:rPr>
        <w:t>(a)</w:t>
      </w:r>
      <w:r w:rsidRPr="000C0842">
        <w:rPr>
          <w:rFonts w:eastAsia="SimSun"/>
          <w:sz w:val="24"/>
          <w:szCs w:val="24"/>
          <w14:ligatures w14:val="standardContextual"/>
        </w:rPr>
        <w:tab/>
      </w:r>
      <w:r w:rsidRPr="000C0842">
        <w:rPr>
          <w:rFonts w:eastAsia="SimSun"/>
          <w:sz w:val="24"/>
          <w:szCs w:val="24"/>
          <w14:ligatures w14:val="standardContextual"/>
        </w:rPr>
        <w:t>土著人民和地方社区充分有效参与的必要性；</w:t>
      </w:r>
      <w:r w:rsidRPr="000C0842">
        <w:rPr>
          <w:rFonts w:eastAsia="SimSun"/>
          <w:sz w:val="24"/>
          <w:szCs w:val="24"/>
          <w14:ligatures w14:val="standardContextual"/>
        </w:rPr>
        <w:t xml:space="preserve"> </w:t>
      </w:r>
    </w:p>
    <w:p w14:paraId="0FCE9461"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14:ligatures w14:val="standardContextual"/>
        </w:rPr>
        <w:t>(b)</w:t>
      </w:r>
      <w:r w:rsidRPr="000C0842">
        <w:rPr>
          <w:rFonts w:eastAsia="SimSun"/>
          <w:sz w:val="24"/>
          <w:szCs w:val="24"/>
          <w14:ligatures w14:val="standardContextual"/>
        </w:rPr>
        <w:tab/>
      </w:r>
      <w:r w:rsidRPr="000C0842">
        <w:rPr>
          <w:rFonts w:eastAsia="SimSun"/>
          <w:sz w:val="24"/>
          <w:szCs w:val="24"/>
          <w14:ligatures w14:val="standardContextual"/>
        </w:rPr>
        <w:t>与公约第</w:t>
      </w:r>
      <w:r w:rsidRPr="000C0842">
        <w:rPr>
          <w:rFonts w:eastAsia="SimSun"/>
          <w:sz w:val="24"/>
          <w:szCs w:val="24"/>
          <w14:ligatures w14:val="standardContextual"/>
        </w:rPr>
        <w:t>8(j)</w:t>
      </w:r>
      <w:r w:rsidRPr="000C0842">
        <w:rPr>
          <w:rFonts w:eastAsia="SimSun"/>
          <w:sz w:val="24"/>
          <w:szCs w:val="24"/>
          <w14:ligatures w14:val="standardContextual"/>
        </w:rPr>
        <w:t>条和相关条款问题不限成员名额特设工作组相比，其业务活动和管理的成本效益；</w:t>
      </w:r>
      <w:r w:rsidRPr="000C0842">
        <w:rPr>
          <w:rFonts w:eastAsia="SimSun"/>
          <w:sz w:val="24"/>
          <w:szCs w:val="24"/>
          <w14:ligatures w14:val="standardContextual"/>
        </w:rPr>
        <w:t xml:space="preserve"> </w:t>
      </w:r>
    </w:p>
    <w:p w14:paraId="031F0105"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rPr>
        <w:t>(c)</w:t>
      </w:r>
      <w:r w:rsidRPr="000C0842">
        <w:rPr>
          <w:rFonts w:eastAsia="SimSun"/>
        </w:rPr>
        <w:tab/>
      </w:r>
      <w:r w:rsidRPr="000C0842">
        <w:rPr>
          <w:rFonts w:eastAsia="SimSun"/>
          <w:sz w:val="24"/>
          <w:szCs w:val="24"/>
          <w14:ligatures w14:val="standardContextual"/>
        </w:rPr>
        <w:t>充分</w:t>
      </w:r>
      <w:r w:rsidRPr="000C0842">
        <w:rPr>
          <w:rFonts w:eastAsia="SimSun" w:hint="eastAsia"/>
          <w:sz w:val="24"/>
          <w:szCs w:val="24"/>
          <w14:ligatures w14:val="standardContextual"/>
        </w:rPr>
        <w:t>确认</w:t>
      </w:r>
      <w:r w:rsidRPr="000C0842">
        <w:rPr>
          <w:rFonts w:eastAsia="SimSun"/>
          <w:sz w:val="24"/>
          <w:szCs w:val="24"/>
          <w14:ligatures w14:val="standardContextual"/>
        </w:rPr>
        <w:t>其业务活动是缔约方领导的进程；</w:t>
      </w:r>
      <w:r w:rsidRPr="000C0842">
        <w:rPr>
          <w:rFonts w:eastAsia="SimSun"/>
          <w:sz w:val="24"/>
          <w:szCs w:val="24"/>
          <w14:ligatures w14:val="standardContextual"/>
        </w:rPr>
        <w:t xml:space="preserve"> </w:t>
      </w:r>
    </w:p>
    <w:p w14:paraId="5776BDA2"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14:ligatures w14:val="standardContextual"/>
        </w:rPr>
        <w:t>(d)</w:t>
      </w:r>
      <w:r w:rsidRPr="000C0842">
        <w:rPr>
          <w:rFonts w:eastAsia="SimSun"/>
          <w:sz w:val="24"/>
          <w:szCs w:val="24"/>
          <w14:ligatures w14:val="standardContextual"/>
        </w:rPr>
        <w:tab/>
      </w:r>
      <w:r w:rsidRPr="000C0842">
        <w:rPr>
          <w:rFonts w:eastAsia="SimSun"/>
          <w:sz w:val="24"/>
          <w:szCs w:val="24"/>
          <w14:ligatures w14:val="standardContextual"/>
        </w:rPr>
        <w:t>每次会议开始时指定来自七个社会文化区域的土著人民和地方社区代表作为主席团之友参加工作的选择标准和程序，以及缔约方和主席团在这些方式中的作用；</w:t>
      </w:r>
      <w:r w:rsidRPr="000C0842">
        <w:rPr>
          <w:rFonts w:eastAsia="SimSun"/>
          <w:sz w:val="24"/>
          <w:szCs w:val="24"/>
          <w14:ligatures w14:val="standardContextual"/>
        </w:rPr>
        <w:t xml:space="preserve"> </w:t>
      </w:r>
    </w:p>
    <w:p w14:paraId="0155DF20"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bCs/>
          <w:iCs/>
          <w:sz w:val="24"/>
          <w:szCs w:val="24"/>
        </w:rPr>
        <w:t>(e)</w:t>
      </w:r>
      <w:r w:rsidRPr="000C0842">
        <w:rPr>
          <w:rFonts w:eastAsia="SimSun"/>
          <w:bCs/>
          <w:iCs/>
        </w:rPr>
        <w:tab/>
      </w:r>
      <w:r w:rsidRPr="000C0842">
        <w:rPr>
          <w:rFonts w:eastAsia="SimSun"/>
          <w:sz w:val="24"/>
          <w:szCs w:val="24"/>
          <w14:ligatures w14:val="standardContextual"/>
        </w:rPr>
        <w:t>与其他附属机构的互动，以期最大限度地减少重复和这些附属机构的任何额外负担，同时加强协同增效；</w:t>
      </w:r>
    </w:p>
    <w:p w14:paraId="565D8EFD"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14:ligatures w14:val="standardContextual"/>
        </w:rPr>
      </w:pPr>
      <w:r w:rsidRPr="000C0842">
        <w:rPr>
          <w:rFonts w:eastAsia="SimSun"/>
          <w:sz w:val="24"/>
          <w14:ligatures w14:val="standardContextual"/>
        </w:rPr>
        <w:t>4.</w:t>
      </w:r>
      <w:r w:rsidRPr="000C0842">
        <w:rPr>
          <w:rFonts w:eastAsia="SimSun"/>
          <w:sz w:val="24"/>
          <w14:ligatures w14:val="standardContextual"/>
        </w:rPr>
        <w:tab/>
      </w:r>
      <w:r w:rsidRPr="000C0842">
        <w:rPr>
          <w:rFonts w:eastAsia="KaiTi"/>
          <w:sz w:val="24"/>
          <w14:ligatures w14:val="standardContextual"/>
        </w:rPr>
        <w:t>决定</w:t>
      </w:r>
      <w:r w:rsidRPr="000C0842">
        <w:rPr>
          <w:rFonts w:eastAsia="SimSun"/>
          <w:sz w:val="24"/>
          <w14:ligatures w14:val="standardContextual"/>
        </w:rPr>
        <w:t>暂时比照适用科学、技术和工艺咨询附属机构的综合工作</w:t>
      </w:r>
      <w:r w:rsidRPr="000C0842">
        <w:rPr>
          <w:rFonts w:eastAsia="SimSun" w:hint="eastAsia"/>
          <w:sz w:val="24"/>
          <w14:ligatures w14:val="standardContextual"/>
        </w:rPr>
        <w:t>方法</w:t>
      </w:r>
      <w:r w:rsidRPr="000C0842">
        <w:rPr>
          <w:rFonts w:eastAsia="SimSun"/>
          <w:sz w:val="24"/>
          <w14:ligatures w14:val="standardContextual"/>
        </w:rPr>
        <w:t>以及公约第</w:t>
      </w:r>
      <w:r w:rsidRPr="000C0842">
        <w:rPr>
          <w:rFonts w:eastAsia="SimSun"/>
          <w:sz w:val="24"/>
          <w14:ligatures w14:val="standardContextual"/>
        </w:rPr>
        <w:t>8(j)</w:t>
      </w:r>
      <w:r w:rsidRPr="000C0842">
        <w:rPr>
          <w:rFonts w:eastAsia="SimSun"/>
          <w:sz w:val="24"/>
          <w14:ligatures w14:val="standardContextual"/>
        </w:rPr>
        <w:t>条和相关条款问题不限成员名额特设工作组的既定程序和做法，直至缔约方大会第十七届会议通过</w:t>
      </w:r>
      <w:r w:rsidRPr="000C0842">
        <w:rPr>
          <w:rFonts w:eastAsia="SimSun"/>
          <w:sz w:val="24"/>
          <w:szCs w:val="24"/>
          <w14:ligatures w14:val="standardContextual"/>
        </w:rPr>
        <w:t>关于土著人民和地方社区的公约第</w:t>
      </w:r>
      <w:r w:rsidRPr="000C0842">
        <w:rPr>
          <w:rFonts w:eastAsia="SimSun"/>
          <w:sz w:val="24"/>
          <w:szCs w:val="24"/>
          <w14:ligatures w14:val="standardContextual"/>
        </w:rPr>
        <w:t>8(j)</w:t>
      </w:r>
      <w:r w:rsidRPr="000C0842">
        <w:rPr>
          <w:rFonts w:eastAsia="SimSun"/>
          <w:sz w:val="24"/>
          <w:szCs w:val="24"/>
          <w14:ligatures w14:val="standardContextual"/>
        </w:rPr>
        <w:t>条和其他条款附属机构</w:t>
      </w:r>
      <w:r w:rsidRPr="000C0842">
        <w:rPr>
          <w:rFonts w:eastAsia="SimSun"/>
          <w:sz w:val="24"/>
          <w14:ligatures w14:val="standardContextual"/>
        </w:rPr>
        <w:t>的工作</w:t>
      </w:r>
      <w:r w:rsidRPr="000C0842">
        <w:rPr>
          <w:rFonts w:eastAsia="SimSun" w:hint="eastAsia"/>
          <w:sz w:val="24"/>
          <w14:ligatures w14:val="standardContextual"/>
        </w:rPr>
        <w:t>方法</w:t>
      </w:r>
      <w:r w:rsidRPr="000C0842">
        <w:rPr>
          <w:rFonts w:eastAsia="SimSun"/>
          <w:sz w:val="24"/>
          <w14:ligatures w14:val="standardContextual"/>
        </w:rPr>
        <w:t>；</w:t>
      </w:r>
    </w:p>
    <w:p w14:paraId="5E435ADF"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14:ligatures w14:val="standardContextual"/>
        </w:rPr>
      </w:pPr>
      <w:r w:rsidRPr="000C0842">
        <w:rPr>
          <w:rFonts w:eastAsia="SimSun"/>
          <w:sz w:val="24"/>
          <w:szCs w:val="24"/>
          <w14:ligatures w14:val="standardContextual"/>
        </w:rPr>
        <w:t>5.</w:t>
      </w:r>
      <w:r w:rsidRPr="000C0842">
        <w:rPr>
          <w:rFonts w:eastAsia="SimSun"/>
          <w:sz w:val="24"/>
          <w:szCs w:val="24"/>
          <w14:ligatures w14:val="standardContextual"/>
        </w:rPr>
        <w:tab/>
      </w:r>
      <w:r w:rsidRPr="000C0842">
        <w:rPr>
          <w:rFonts w:ascii="KaiTi" w:eastAsia="KaiTi" w:hAnsi="KaiTi"/>
          <w:sz w:val="24"/>
          <w:szCs w:val="24"/>
          <w14:ligatures w14:val="standardContextual"/>
        </w:rPr>
        <w:t>鼓励</w:t>
      </w:r>
      <w:r w:rsidRPr="000C0842">
        <w:rPr>
          <w:rFonts w:eastAsia="SimSun"/>
          <w:sz w:val="24"/>
          <w:szCs w:val="24"/>
          <w14:ligatures w14:val="standardContextual"/>
        </w:rPr>
        <w:t>缔约方、其他国家政府和相关组织向土著人民和地方社区的代表提供额外支持，以便他们有效参加科学、技术和工艺咨询附属机构、执行问题附属机构和关于土著人民和地方社区的公约第</w:t>
      </w:r>
      <w:r w:rsidRPr="000C0842">
        <w:rPr>
          <w:rFonts w:eastAsia="SimSun"/>
          <w:sz w:val="24"/>
          <w:szCs w:val="24"/>
          <w14:ligatures w14:val="standardContextual"/>
        </w:rPr>
        <w:t>8(j)</w:t>
      </w:r>
      <w:r w:rsidRPr="000C0842">
        <w:rPr>
          <w:rFonts w:eastAsia="SimSun"/>
          <w:sz w:val="24"/>
          <w:szCs w:val="24"/>
          <w14:ligatures w14:val="standardContextual"/>
        </w:rPr>
        <w:t>条和其他条款附属机构的会议。</w:t>
      </w:r>
    </w:p>
    <w:p w14:paraId="590215F2" w14:textId="77777777" w:rsidR="006D5DBD" w:rsidRPr="000C0842" w:rsidRDefault="006D5DBD" w:rsidP="006D5DBD">
      <w:pPr>
        <w:tabs>
          <w:tab w:val="clear" w:pos="567"/>
          <w:tab w:val="clear" w:pos="1134"/>
          <w:tab w:val="clear" w:pos="1701"/>
          <w:tab w:val="clear" w:pos="2268"/>
        </w:tabs>
        <w:spacing w:after="120"/>
        <w:ind w:left="490" w:firstLine="490"/>
        <w:rPr>
          <w:rFonts w:eastAsia="SimSun"/>
          <w:sz w:val="24"/>
          <w:szCs w:val="24"/>
          <w:lang w:val="en-GB"/>
          <w14:ligatures w14:val="standardContextual"/>
        </w:rPr>
      </w:pPr>
    </w:p>
    <w:p w14:paraId="4010C532" w14:textId="77777777" w:rsidR="006D5DBD" w:rsidRPr="000C0842" w:rsidRDefault="006D5DBD" w:rsidP="006D5DBD">
      <w:pPr>
        <w:tabs>
          <w:tab w:val="clear" w:pos="567"/>
          <w:tab w:val="clear" w:pos="1134"/>
          <w:tab w:val="clear" w:pos="1701"/>
          <w:tab w:val="clear" w:pos="2268"/>
        </w:tabs>
        <w:spacing w:before="120" w:after="120"/>
        <w:ind w:left="490"/>
        <w:rPr>
          <w:rFonts w:eastAsia="SimSun"/>
        </w:rPr>
      </w:pPr>
    </w:p>
    <w:p w14:paraId="5E69F8A9" w14:textId="77777777" w:rsidR="006D5DBD" w:rsidRPr="000C0842" w:rsidRDefault="006D5DBD" w:rsidP="006D5DBD">
      <w:pPr>
        <w:suppressLineNumbers/>
        <w:suppressAutoHyphens/>
        <w:jc w:val="center"/>
        <w:rPr>
          <w:rFonts w:eastAsia="SimSun"/>
          <w:kern w:val="22"/>
        </w:rPr>
      </w:pPr>
    </w:p>
    <w:p w14:paraId="22756202" w14:textId="4998AB8D" w:rsidR="006D5DBD" w:rsidRPr="000C0842" w:rsidRDefault="006D5DBD" w:rsidP="006D5DBD">
      <w:pPr>
        <w:suppressLineNumbers/>
        <w:suppressAutoHyphens/>
        <w:jc w:val="center"/>
        <w:rPr>
          <w:rFonts w:eastAsia="SimSun"/>
        </w:rPr>
      </w:pPr>
    </w:p>
    <w:p w14:paraId="39455292" w14:textId="12198D62" w:rsidR="006D5DBD" w:rsidRPr="000C0842" w:rsidRDefault="006D5DBD">
      <w:pPr>
        <w:tabs>
          <w:tab w:val="clear" w:pos="567"/>
          <w:tab w:val="clear" w:pos="1134"/>
          <w:tab w:val="clear" w:pos="1701"/>
          <w:tab w:val="clear" w:pos="2268"/>
        </w:tabs>
        <w:jc w:val="left"/>
        <w:rPr>
          <w:rFonts w:eastAsia="SimSun"/>
        </w:rPr>
      </w:pPr>
      <w:r w:rsidRPr="000C0842">
        <w:rPr>
          <w:rFonts w:eastAsia="SimSun"/>
        </w:rPr>
        <w:br w:type="page"/>
      </w:r>
    </w:p>
    <w:p w14:paraId="4034E81C" w14:textId="620DE2B0" w:rsidR="006D5DBD" w:rsidRPr="000C0842" w:rsidRDefault="006D5DBD" w:rsidP="008A0182">
      <w:pPr>
        <w:pStyle w:val="a1"/>
        <w:ind w:right="720"/>
        <w:rPr>
          <w:rFonts w:hint="eastAsia"/>
          <w:lang w:eastAsia="zh-CN"/>
        </w:rPr>
      </w:pPr>
      <w:bookmarkStart w:id="15" w:name="_Toc206358198"/>
      <w:r w:rsidRPr="000C0842">
        <w:rPr>
          <w:lang w:eastAsia="zh-CN"/>
        </w:rPr>
        <w:t>16/6.</w:t>
      </w:r>
      <w:r w:rsidR="0077452D" w:rsidRPr="000C0842">
        <w:rPr>
          <w:rFonts w:hint="eastAsia"/>
          <w:lang w:eastAsia="zh-CN"/>
        </w:rPr>
        <w:t xml:space="preserve"> </w:t>
      </w:r>
      <w:r w:rsidRPr="000C0842">
        <w:rPr>
          <w:lang w:eastAsia="zh-CN"/>
        </w:rPr>
        <w:t>非洲人后裔、包括体现传统生活方式的集体在执行《生物多样性公约》方面的作用</w:t>
      </w:r>
      <w:bookmarkEnd w:id="15"/>
    </w:p>
    <w:p w14:paraId="48B93E6E" w14:textId="77777777" w:rsidR="006D5DBD" w:rsidRPr="000C0842" w:rsidRDefault="006D5DBD" w:rsidP="00444037">
      <w:pPr>
        <w:tabs>
          <w:tab w:val="clear" w:pos="567"/>
          <w:tab w:val="clear" w:pos="1134"/>
          <w:tab w:val="clear" w:pos="1701"/>
          <w:tab w:val="clear" w:pos="2268"/>
        </w:tabs>
        <w:snapToGrid w:val="0"/>
        <w:spacing w:before="240" w:after="120" w:line="240" w:lineRule="atLeast"/>
        <w:ind w:left="490" w:firstLine="490"/>
        <w:rPr>
          <w:rFonts w:eastAsia="SimSun"/>
          <w:sz w:val="24"/>
          <w:szCs w:val="24"/>
        </w:rPr>
      </w:pPr>
      <w:r w:rsidRPr="000C0842">
        <w:rPr>
          <w:rFonts w:eastAsia="KaiTi"/>
          <w:sz w:val="24"/>
          <w:szCs w:val="24"/>
        </w:rPr>
        <w:t>缔约方</w:t>
      </w:r>
      <w:r w:rsidRPr="000C0842">
        <w:rPr>
          <w:rFonts w:eastAsia="KaiTi" w:hint="eastAsia"/>
          <w:sz w:val="24"/>
          <w:szCs w:val="24"/>
        </w:rPr>
        <w:t>大会</w:t>
      </w:r>
      <w:r w:rsidRPr="000C0842">
        <w:rPr>
          <w:rFonts w:eastAsia="SimSun" w:hint="eastAsia"/>
          <w:sz w:val="24"/>
          <w:szCs w:val="24"/>
        </w:rPr>
        <w:t>，</w:t>
      </w:r>
    </w:p>
    <w:p w14:paraId="059CEE03" w14:textId="1EC14FDE"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KaiTi"/>
          <w:sz w:val="24"/>
          <w:szCs w:val="24"/>
        </w:rPr>
      </w:pPr>
      <w:r w:rsidRPr="000C0842">
        <w:rPr>
          <w:rFonts w:eastAsia="KaiTi" w:hint="eastAsia"/>
          <w:sz w:val="24"/>
          <w:szCs w:val="24"/>
        </w:rPr>
        <w:t>赞赏</w:t>
      </w:r>
      <w:r w:rsidRPr="000C0842">
        <w:rPr>
          <w:rFonts w:eastAsia="SimSun"/>
          <w:sz w:val="24"/>
          <w:szCs w:val="24"/>
        </w:rPr>
        <w:t>哥伦比亚为在哥伦比亚卡利主办生物多样性公约</w:t>
      </w:r>
      <w:r w:rsidRPr="000C0842">
        <w:rPr>
          <w:rFonts w:eastAsia="SimSun"/>
          <w:sz w:val="24"/>
          <w:szCs w:val="24"/>
          <w:vertAlign w:val="superscript"/>
        </w:rPr>
        <w:footnoteReference w:id="57"/>
      </w:r>
      <w:r w:rsidRPr="000C0842">
        <w:rPr>
          <w:rFonts w:eastAsia="SimSun"/>
          <w:sz w:val="24"/>
          <w:szCs w:val="24"/>
        </w:rPr>
        <w:t>缔约方大会第十六届会议所</w:t>
      </w:r>
      <w:r w:rsidR="004479D3" w:rsidRPr="000C0842">
        <w:rPr>
          <w:rFonts w:eastAsia="SimSun"/>
          <w:sz w:val="24"/>
          <w:szCs w:val="24"/>
        </w:rPr>
        <w:t>作</w:t>
      </w:r>
      <w:r w:rsidRPr="000C0842">
        <w:rPr>
          <w:rFonts w:eastAsia="SimSun"/>
          <w:sz w:val="24"/>
          <w:szCs w:val="24"/>
        </w:rPr>
        <w:t>的努力，并强调非洲人后裔、包括体现传统生活方式的集体</w:t>
      </w:r>
      <w:r w:rsidRPr="000C0842">
        <w:rPr>
          <w:rFonts w:eastAsia="SimSun"/>
          <w:sz w:val="24"/>
          <w:szCs w:val="24"/>
          <w:vertAlign w:val="superscript"/>
        </w:rPr>
        <w:footnoteReference w:id="58"/>
      </w:r>
      <w:r w:rsidRPr="000C0842">
        <w:rPr>
          <w:rFonts w:eastAsia="SimSun"/>
          <w:sz w:val="24"/>
          <w:szCs w:val="24"/>
        </w:rPr>
        <w:t>所</w:t>
      </w:r>
      <w:r w:rsidR="00835BE0" w:rsidRPr="000C0842">
        <w:rPr>
          <w:rFonts w:eastAsia="SimSun" w:hint="eastAsia"/>
          <w:sz w:val="24"/>
          <w:szCs w:val="24"/>
        </w:rPr>
        <w:t>作</w:t>
      </w:r>
      <w:r w:rsidRPr="000C0842">
        <w:rPr>
          <w:rFonts w:eastAsia="SimSun"/>
          <w:sz w:val="24"/>
          <w:szCs w:val="24"/>
        </w:rPr>
        <w:t>的贡献</w:t>
      </w:r>
      <w:r w:rsidRPr="000C0842">
        <w:rPr>
          <w:rFonts w:eastAsia="SimSun"/>
          <w:sz w:val="24"/>
          <w:szCs w:val="24"/>
          <w:vertAlign w:val="superscript"/>
        </w:rPr>
        <w:footnoteReference w:id="59"/>
      </w:r>
      <w:r w:rsidRPr="000C0842">
        <w:rPr>
          <w:rFonts w:eastAsia="SimSun" w:hint="eastAsia"/>
          <w:sz w:val="24"/>
          <w:szCs w:val="24"/>
        </w:rPr>
        <w:t>，</w:t>
      </w:r>
    </w:p>
    <w:p w14:paraId="706399B7" w14:textId="48EA644A"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注意到</w:t>
      </w:r>
      <w:r w:rsidRPr="000C0842">
        <w:rPr>
          <w:rFonts w:eastAsia="SimSun"/>
          <w:sz w:val="24"/>
          <w:szCs w:val="24"/>
        </w:rPr>
        <w:t>资料文件</w:t>
      </w:r>
      <w:r w:rsidRPr="000C0842">
        <w:rPr>
          <w:rFonts w:eastAsia="SimSun"/>
          <w:sz w:val="24"/>
          <w:szCs w:val="24"/>
        </w:rPr>
        <w:t xml:space="preserve"> </w:t>
      </w:r>
      <w:hyperlink r:id="rId47" w:history="1">
        <w:r w:rsidRPr="000C0842">
          <w:rPr>
            <w:rStyle w:val="Hyperlink"/>
            <w:rFonts w:eastAsia="SimSun"/>
            <w:color w:val="auto"/>
            <w:sz w:val="24"/>
            <w:szCs w:val="24"/>
          </w:rPr>
          <w:t>CBD/COP/16/INF/35</w:t>
        </w:r>
      </w:hyperlink>
      <w:r w:rsidRPr="000C0842">
        <w:rPr>
          <w:rFonts w:eastAsia="SimSun"/>
          <w:sz w:val="24"/>
          <w:szCs w:val="24"/>
        </w:rPr>
        <w:t xml:space="preserve"> </w:t>
      </w:r>
      <w:r w:rsidRPr="000C0842">
        <w:rPr>
          <w:rFonts w:eastAsia="SimSun"/>
          <w:sz w:val="24"/>
          <w:szCs w:val="24"/>
        </w:rPr>
        <w:t>所载巴西和哥伦比亚提交的资料，</w:t>
      </w:r>
    </w:p>
    <w:p w14:paraId="380CFD43" w14:textId="77777777"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回顾</w:t>
      </w:r>
      <w:r w:rsidRPr="000C0842">
        <w:rPr>
          <w:rFonts w:eastAsia="KaiTi" w:hint="eastAsia"/>
          <w:sz w:val="24"/>
          <w:szCs w:val="24"/>
        </w:rPr>
        <w:t xml:space="preserve"> </w:t>
      </w:r>
      <w:r w:rsidRPr="000C0842">
        <w:rPr>
          <w:rFonts w:eastAsia="SimSun"/>
          <w:sz w:val="24"/>
          <w:szCs w:val="24"/>
        </w:rPr>
        <w:t xml:space="preserve">2022 </w:t>
      </w:r>
      <w:r w:rsidRPr="000C0842">
        <w:rPr>
          <w:rFonts w:eastAsia="SimSun"/>
          <w:sz w:val="24"/>
          <w:szCs w:val="24"/>
        </w:rPr>
        <w:t>年</w:t>
      </w:r>
      <w:r w:rsidRPr="000C0842">
        <w:rPr>
          <w:rFonts w:eastAsia="SimSun"/>
          <w:sz w:val="24"/>
          <w:szCs w:val="24"/>
        </w:rPr>
        <w:t xml:space="preserve"> 12 </w:t>
      </w:r>
      <w:r w:rsidRPr="000C0842">
        <w:rPr>
          <w:rFonts w:eastAsia="SimSun"/>
          <w:sz w:val="24"/>
          <w:szCs w:val="24"/>
        </w:rPr>
        <w:t>月</w:t>
      </w:r>
      <w:r w:rsidRPr="000C0842">
        <w:rPr>
          <w:rFonts w:eastAsia="SimSun"/>
          <w:sz w:val="24"/>
          <w:szCs w:val="24"/>
        </w:rPr>
        <w:t xml:space="preserve"> 19 </w:t>
      </w:r>
      <w:r w:rsidRPr="000C0842">
        <w:rPr>
          <w:rFonts w:eastAsia="SimSun"/>
          <w:sz w:val="24"/>
          <w:szCs w:val="24"/>
        </w:rPr>
        <w:t>日第</w:t>
      </w:r>
      <w:r w:rsidRPr="000C0842">
        <w:rPr>
          <w:rFonts w:eastAsia="SimSun"/>
          <w:sz w:val="24"/>
          <w:szCs w:val="24"/>
        </w:rPr>
        <w:t xml:space="preserve"> </w:t>
      </w:r>
      <w:hyperlink r:id="rId48" w:history="1">
        <w:r w:rsidRPr="000C0842">
          <w:rPr>
            <w:rFonts w:eastAsia="SimSun"/>
            <w:sz w:val="24"/>
            <w:szCs w:val="24"/>
            <w:u w:val="single"/>
          </w:rPr>
          <w:t>15/4</w:t>
        </w:r>
      </w:hyperlink>
      <w:r w:rsidRPr="000C0842">
        <w:rPr>
          <w:rFonts w:eastAsia="SimSun"/>
          <w:sz w:val="24"/>
          <w:szCs w:val="24"/>
        </w:rPr>
        <w:t xml:space="preserve"> </w:t>
      </w:r>
      <w:r w:rsidRPr="000C0842">
        <w:rPr>
          <w:rFonts w:eastAsia="SimSun"/>
          <w:sz w:val="24"/>
          <w:szCs w:val="24"/>
        </w:rPr>
        <w:t>号决定，缔约方大会经该决定通过了《昆明</w:t>
      </w:r>
      <w:r w:rsidRPr="000C0842">
        <w:rPr>
          <w:rFonts w:eastAsia="SimSun"/>
          <w:sz w:val="24"/>
          <w:szCs w:val="24"/>
        </w:rPr>
        <w:t>-</w:t>
      </w:r>
      <w:r w:rsidRPr="000C0842">
        <w:rPr>
          <w:rFonts w:eastAsia="SimSun"/>
          <w:sz w:val="24"/>
          <w:szCs w:val="24"/>
        </w:rPr>
        <w:t>蒙特利尔全球生物多样性框架》，包括</w:t>
      </w:r>
      <w:r w:rsidRPr="000C0842">
        <w:rPr>
          <w:rFonts w:eastAsia="SimSun" w:hint="eastAsia"/>
          <w:sz w:val="24"/>
          <w:szCs w:val="24"/>
        </w:rPr>
        <w:t>其</w:t>
      </w:r>
      <w:r w:rsidRPr="000C0842">
        <w:rPr>
          <w:rFonts w:eastAsia="SimSun"/>
          <w:sz w:val="24"/>
          <w:szCs w:val="24"/>
        </w:rPr>
        <w:t xml:space="preserve"> C </w:t>
      </w:r>
      <w:r w:rsidRPr="000C0842">
        <w:rPr>
          <w:rFonts w:eastAsia="SimSun"/>
          <w:sz w:val="24"/>
          <w:szCs w:val="24"/>
        </w:rPr>
        <w:t>部分，并审议了全社会办法，</w:t>
      </w:r>
    </w:p>
    <w:p w14:paraId="655CCFE0" w14:textId="77777777"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sz w:val="24"/>
          <w:szCs w:val="24"/>
        </w:rPr>
        <w:t>认识到</w:t>
      </w:r>
      <w:r w:rsidRPr="000C0842">
        <w:rPr>
          <w:rFonts w:eastAsia="SimSun"/>
          <w:sz w:val="24"/>
          <w:szCs w:val="24"/>
        </w:rPr>
        <w:t>土著人民和</w:t>
      </w:r>
      <w:r w:rsidRPr="000C0842">
        <w:rPr>
          <w:rFonts w:eastAsia="SimSun" w:hint="eastAsia"/>
          <w:sz w:val="24"/>
          <w:szCs w:val="24"/>
        </w:rPr>
        <w:t>地方</w:t>
      </w:r>
      <w:r w:rsidRPr="000C0842">
        <w:rPr>
          <w:rFonts w:eastAsia="SimSun"/>
          <w:sz w:val="24"/>
          <w:szCs w:val="24"/>
        </w:rPr>
        <w:t>社区在执行《公约》方面的作用，</w:t>
      </w:r>
    </w:p>
    <w:p w14:paraId="349FAABA" w14:textId="1957EFB0" w:rsidR="006D5DBD" w:rsidRPr="000C0842" w:rsidRDefault="006D5DBD" w:rsidP="006D5DBD">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又认识到</w:t>
      </w:r>
      <w:r w:rsidRPr="000C0842">
        <w:rPr>
          <w:rFonts w:eastAsia="SimSun"/>
          <w:sz w:val="24"/>
          <w:szCs w:val="24"/>
        </w:rPr>
        <w:t>非洲人后裔、包括体现传统生活方式的</w:t>
      </w:r>
      <w:r w:rsidRPr="000C0842">
        <w:rPr>
          <w:rFonts w:eastAsia="SimSun" w:hint="eastAsia"/>
          <w:sz w:val="24"/>
          <w:szCs w:val="24"/>
        </w:rPr>
        <w:t>集体</w:t>
      </w:r>
      <w:r w:rsidRPr="000C0842">
        <w:rPr>
          <w:rFonts w:eastAsia="SimSun"/>
          <w:sz w:val="24"/>
          <w:szCs w:val="24"/>
        </w:rPr>
        <w:t>的努力和行动在保护生物多样性和在一些国家执行《公约》方面发挥的关键作用，在全球一级以及</w:t>
      </w:r>
      <w:r w:rsidRPr="000C0842">
        <w:rPr>
          <w:rFonts w:eastAsia="SimSun" w:hint="eastAsia"/>
          <w:sz w:val="24"/>
          <w:szCs w:val="24"/>
        </w:rPr>
        <w:t>酌情</w:t>
      </w:r>
      <w:r w:rsidRPr="000C0842">
        <w:rPr>
          <w:rFonts w:eastAsia="SimSun"/>
          <w:sz w:val="24"/>
          <w:szCs w:val="24"/>
        </w:rPr>
        <w:t>在执行国家生物多样性战略和行动计划方面</w:t>
      </w:r>
      <w:r w:rsidR="001A5C0A" w:rsidRPr="000C0842">
        <w:rPr>
          <w:rFonts w:eastAsia="SimSun"/>
          <w:sz w:val="24"/>
          <w:szCs w:val="24"/>
        </w:rPr>
        <w:t>作</w:t>
      </w:r>
      <w:r w:rsidRPr="000C0842">
        <w:rPr>
          <w:rFonts w:eastAsia="SimSun"/>
          <w:sz w:val="24"/>
          <w:szCs w:val="24"/>
        </w:rPr>
        <w:t>出了积极贡献，</w:t>
      </w:r>
      <w:r w:rsidRPr="000C0842">
        <w:rPr>
          <w:rFonts w:eastAsia="SimSun" w:hint="eastAsia"/>
          <w:sz w:val="24"/>
          <w:szCs w:val="24"/>
        </w:rPr>
        <w:t xml:space="preserve"> </w:t>
      </w:r>
    </w:p>
    <w:p w14:paraId="32685C37" w14:textId="77777777" w:rsidR="00835BE0" w:rsidRPr="000C0842" w:rsidRDefault="006D5DBD">
      <w:pPr>
        <w:pStyle w:val="ListParagraph"/>
        <w:numPr>
          <w:ilvl w:val="0"/>
          <w:numId w:val="246"/>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ascii="KaiTi" w:eastAsia="KaiTi" w:hAnsi="KaiTi"/>
          <w:sz w:val="24"/>
          <w:szCs w:val="24"/>
          <w:lang w:val="en-GB"/>
        </w:rPr>
        <w:t>邀请</w:t>
      </w:r>
      <w:r w:rsidRPr="000C0842">
        <w:rPr>
          <w:rFonts w:eastAsia="SimSun"/>
          <w:sz w:val="24"/>
          <w:szCs w:val="24"/>
          <w:lang w:val="en-GB"/>
        </w:rPr>
        <w:t>缔约方酌情根据国家立法或国情，承认非洲人后裔、包括体现传统生活方式、共享知识和与其土地相联的集体，在执行《生物多样性公约》和《昆明</w:t>
      </w:r>
      <w:r w:rsidRPr="000C0842">
        <w:rPr>
          <w:rFonts w:eastAsia="SimSun"/>
          <w:sz w:val="24"/>
          <w:szCs w:val="24"/>
          <w:lang w:val="en-GB"/>
        </w:rPr>
        <w:t>—</w:t>
      </w:r>
      <w:r w:rsidRPr="000C0842">
        <w:rPr>
          <w:rFonts w:eastAsia="SimSun"/>
          <w:sz w:val="24"/>
          <w:szCs w:val="24"/>
          <w:lang w:val="en-GB"/>
        </w:rPr>
        <w:t>蒙特利尔全球生物多样性框架》方面的贡献，同时确保这种承认不被解释为削弱或取消土著人民目前拥有或今后可能获得的权利；</w:t>
      </w:r>
      <w:r w:rsidRPr="000C0842">
        <w:rPr>
          <w:rFonts w:eastAsia="SimSun"/>
          <w:sz w:val="24"/>
          <w:szCs w:val="24"/>
          <w:lang w:val="en-GB"/>
        </w:rPr>
        <w:t xml:space="preserve"> </w:t>
      </w:r>
    </w:p>
    <w:p w14:paraId="0CEE74CD" w14:textId="4A72EB62" w:rsidR="006D5DBD" w:rsidRPr="000C0842" w:rsidRDefault="006D5DBD">
      <w:pPr>
        <w:pStyle w:val="ListParagraph"/>
        <w:numPr>
          <w:ilvl w:val="0"/>
          <w:numId w:val="246"/>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ascii="KaiTi" w:eastAsia="KaiTi" w:hAnsi="KaiTi"/>
          <w:sz w:val="24"/>
          <w:szCs w:val="24"/>
          <w:lang w:val="en-GB"/>
        </w:rPr>
        <w:t>鼓励</w:t>
      </w:r>
      <w:r w:rsidRPr="000C0842">
        <w:rPr>
          <w:rFonts w:eastAsia="SimSun"/>
          <w:sz w:val="24"/>
          <w:szCs w:val="24"/>
          <w:lang w:val="en-GB"/>
        </w:rPr>
        <w:t>缔约方酌情根据国家立法和国情，促进非洲人后裔、包括体现传统生活方式的集体，充分有效参与《公约》和《</w:t>
      </w:r>
      <w:r w:rsidR="004D1F41" w:rsidRPr="000C0842">
        <w:rPr>
          <w:rFonts w:eastAsia="SimSun" w:hint="eastAsia"/>
          <w:sz w:val="24"/>
          <w:szCs w:val="24"/>
          <w:lang w:val="en-GB"/>
        </w:rPr>
        <w:t>昆蒙</w:t>
      </w:r>
      <w:r w:rsidRPr="000C0842">
        <w:rPr>
          <w:rFonts w:eastAsia="SimSun"/>
          <w:sz w:val="24"/>
          <w:szCs w:val="24"/>
          <w:lang w:val="en-GB"/>
        </w:rPr>
        <w:t>框架》的执行工作，并与</w:t>
      </w:r>
      <w:r w:rsidRPr="000C0842">
        <w:rPr>
          <w:rFonts w:eastAsia="SimSun" w:hint="eastAsia"/>
          <w:sz w:val="24"/>
          <w:szCs w:val="24"/>
          <w:lang w:val="en-GB"/>
        </w:rPr>
        <w:t>其协作</w:t>
      </w:r>
      <w:r w:rsidRPr="000C0842">
        <w:rPr>
          <w:rFonts w:eastAsia="SimSun"/>
          <w:sz w:val="24"/>
          <w:szCs w:val="24"/>
          <w:lang w:val="en-GB"/>
        </w:rPr>
        <w:t>，以保护和促进其有助于养护和可持续利用生物多样性的共享知识、创新和</w:t>
      </w:r>
      <w:r w:rsidRPr="000C0842">
        <w:rPr>
          <w:rFonts w:eastAsia="SimSun" w:hint="eastAsia"/>
          <w:sz w:val="24"/>
          <w:szCs w:val="24"/>
          <w:lang w:val="en-GB"/>
        </w:rPr>
        <w:t>做法</w:t>
      </w:r>
      <w:r w:rsidRPr="000C0842">
        <w:rPr>
          <w:rFonts w:eastAsia="SimSun"/>
          <w:sz w:val="24"/>
          <w:szCs w:val="24"/>
          <w:lang w:val="en-GB"/>
        </w:rPr>
        <w:t>；</w:t>
      </w:r>
      <w:r w:rsidRPr="000C0842">
        <w:rPr>
          <w:rFonts w:eastAsia="SimSun"/>
          <w:sz w:val="24"/>
          <w:szCs w:val="24"/>
          <w:lang w:val="en-GB"/>
        </w:rPr>
        <w:t xml:space="preserve"> </w:t>
      </w:r>
    </w:p>
    <w:p w14:paraId="33039C8A" w14:textId="77777777" w:rsidR="006D5DBD" w:rsidRPr="000C0842" w:rsidRDefault="006D5DBD">
      <w:pPr>
        <w:pStyle w:val="ListParagraph"/>
        <w:numPr>
          <w:ilvl w:val="0"/>
          <w:numId w:val="246"/>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ascii="KaiTi" w:eastAsia="KaiTi" w:hAnsi="KaiTi"/>
          <w:sz w:val="24"/>
          <w:szCs w:val="24"/>
          <w:lang w:val="en-GB"/>
        </w:rPr>
        <w:t>邀请</w:t>
      </w:r>
      <w:r w:rsidRPr="000C0842">
        <w:rPr>
          <w:rFonts w:eastAsia="SimSun"/>
          <w:sz w:val="24"/>
          <w:szCs w:val="24"/>
          <w:lang w:val="en-GB"/>
        </w:rPr>
        <w:t>缔约方、其他国家政府和相关组织在自愿基础上考虑提供资金援助并加强能力建设，以保护非洲人后裔、包括体现传统生活方式的集体的共享知识、创新和</w:t>
      </w:r>
      <w:r w:rsidRPr="000C0842">
        <w:rPr>
          <w:rFonts w:eastAsia="SimSun" w:hint="eastAsia"/>
          <w:sz w:val="24"/>
          <w:szCs w:val="24"/>
          <w:lang w:val="en-GB"/>
        </w:rPr>
        <w:t>做法</w:t>
      </w:r>
      <w:r w:rsidRPr="000C0842">
        <w:rPr>
          <w:rFonts w:eastAsia="SimSun"/>
          <w:sz w:val="24"/>
          <w:szCs w:val="24"/>
          <w:lang w:val="en-GB"/>
        </w:rPr>
        <w:t>；</w:t>
      </w:r>
    </w:p>
    <w:p w14:paraId="2C991939" w14:textId="35BCDC27" w:rsidR="006D5DBD" w:rsidRPr="000C0842" w:rsidRDefault="006D5DBD">
      <w:pPr>
        <w:pStyle w:val="ListParagraph"/>
        <w:numPr>
          <w:ilvl w:val="0"/>
          <w:numId w:val="246"/>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ascii="KaiTi" w:eastAsia="KaiTi" w:hAnsi="KaiTi"/>
          <w:sz w:val="24"/>
          <w:szCs w:val="24"/>
          <w:lang w:val="en-GB"/>
        </w:rPr>
        <w:t>鼓励</w:t>
      </w:r>
      <w:r w:rsidRPr="000C0842">
        <w:rPr>
          <w:rFonts w:eastAsia="SimSun"/>
          <w:sz w:val="24"/>
          <w:szCs w:val="24"/>
          <w:lang w:val="en-GB"/>
        </w:rPr>
        <w:t>缔约方酌情根据国家立法</w:t>
      </w:r>
      <w:r w:rsidRPr="000C0842">
        <w:rPr>
          <w:rFonts w:eastAsia="SimSun" w:hint="eastAsia"/>
          <w:sz w:val="24"/>
          <w:szCs w:val="24"/>
          <w:lang w:val="en-GB"/>
        </w:rPr>
        <w:t>和</w:t>
      </w:r>
      <w:r w:rsidRPr="000C0842">
        <w:rPr>
          <w:rFonts w:eastAsia="SimSun"/>
          <w:sz w:val="24"/>
          <w:szCs w:val="24"/>
          <w:lang w:val="en-GB"/>
        </w:rPr>
        <w:t>国情，通过国家报告通报非洲人后裔、包括体现传统生活方式的集体对执行《公约》和《</w:t>
      </w:r>
      <w:r w:rsidR="004D1F41" w:rsidRPr="000C0842">
        <w:rPr>
          <w:rFonts w:eastAsia="SimSun" w:hint="eastAsia"/>
          <w:sz w:val="24"/>
          <w:szCs w:val="24"/>
          <w:lang w:val="en-GB"/>
        </w:rPr>
        <w:t>昆蒙</w:t>
      </w:r>
      <w:r w:rsidRPr="000C0842">
        <w:rPr>
          <w:rFonts w:eastAsia="SimSun"/>
          <w:sz w:val="24"/>
          <w:szCs w:val="24"/>
          <w:lang w:val="en-GB"/>
        </w:rPr>
        <w:t>框架》作出的贡献，酌情供</w:t>
      </w:r>
      <w:r w:rsidRPr="000C0842">
        <w:rPr>
          <w:rFonts w:eastAsia="SimSun" w:hint="eastAsia"/>
          <w:sz w:val="24"/>
          <w:szCs w:val="24"/>
          <w:lang w:val="en-GB"/>
        </w:rPr>
        <w:t>各</w:t>
      </w:r>
      <w:r w:rsidRPr="000C0842">
        <w:rPr>
          <w:rFonts w:eastAsia="SimSun"/>
          <w:sz w:val="24"/>
          <w:szCs w:val="24"/>
          <w:lang w:val="en-GB"/>
        </w:rPr>
        <w:t>附属机构参考，</w:t>
      </w:r>
      <w:r w:rsidRPr="000C0842">
        <w:rPr>
          <w:rFonts w:eastAsia="SimSun" w:hint="eastAsia"/>
          <w:sz w:val="24"/>
          <w:szCs w:val="24"/>
          <w:lang w:val="en-GB"/>
        </w:rPr>
        <w:t>并</w:t>
      </w:r>
      <w:r w:rsidRPr="000C0842">
        <w:rPr>
          <w:rFonts w:eastAsia="SimSun"/>
          <w:sz w:val="24"/>
          <w:szCs w:val="24"/>
          <w:lang w:val="en-GB"/>
        </w:rPr>
        <w:t>请执行秘书汇编所提交的信息，并通过信息交换所机制公布。</w:t>
      </w:r>
    </w:p>
    <w:p w14:paraId="0869774D" w14:textId="2C3C5F23" w:rsidR="006D5DBD" w:rsidRPr="000C0842" w:rsidRDefault="006D5DBD">
      <w:pPr>
        <w:tabs>
          <w:tab w:val="clear" w:pos="567"/>
          <w:tab w:val="clear" w:pos="1134"/>
          <w:tab w:val="clear" w:pos="1701"/>
          <w:tab w:val="clear" w:pos="2268"/>
        </w:tabs>
        <w:jc w:val="left"/>
        <w:rPr>
          <w:rFonts w:eastAsia="SimSun"/>
          <w:sz w:val="24"/>
        </w:rPr>
      </w:pPr>
      <w:r w:rsidRPr="000C0842">
        <w:rPr>
          <w:rFonts w:eastAsia="SimSun"/>
          <w:sz w:val="24"/>
        </w:rPr>
        <w:br w:type="page"/>
      </w:r>
    </w:p>
    <w:p w14:paraId="2E4EA904" w14:textId="77777777" w:rsidR="006D5DBD" w:rsidRPr="000C0842" w:rsidRDefault="006D5DBD" w:rsidP="00FA7B37">
      <w:pPr>
        <w:pStyle w:val="a1"/>
        <w:rPr>
          <w:rFonts w:hint="eastAsia"/>
          <w:lang w:eastAsia="zh-CN"/>
        </w:rPr>
      </w:pPr>
      <w:bookmarkStart w:id="16" w:name="_Toc206358199"/>
      <w:r w:rsidRPr="000C0842">
        <w:rPr>
          <w:rFonts w:hint="eastAsia"/>
          <w:lang w:eastAsia="zh-CN"/>
        </w:rPr>
        <w:t xml:space="preserve">16/7.  </w:t>
      </w:r>
      <w:r w:rsidRPr="000C0842">
        <w:rPr>
          <w:lang w:eastAsia="zh-CN"/>
        </w:rPr>
        <w:t>深入对话：</w:t>
      </w:r>
      <w:r w:rsidRPr="000C0842">
        <w:rPr>
          <w:lang w:eastAsia="zh-CN"/>
        </w:rPr>
        <w:t>“</w:t>
      </w:r>
      <w:r w:rsidRPr="000C0842">
        <w:rPr>
          <w:lang w:eastAsia="zh-CN"/>
        </w:rPr>
        <w:t>语言在传统知识、创新和做法代际传承中的作用</w:t>
      </w:r>
      <w:r w:rsidRPr="000C0842">
        <w:rPr>
          <w:lang w:eastAsia="zh-CN"/>
        </w:rPr>
        <w:t>”</w:t>
      </w:r>
      <w:bookmarkEnd w:id="16"/>
    </w:p>
    <w:p w14:paraId="1AB6C4BD" w14:textId="77777777" w:rsidR="006D5DBD" w:rsidRPr="000C0842" w:rsidRDefault="006D5DBD" w:rsidP="00444037">
      <w:pPr>
        <w:keepNext/>
        <w:numPr>
          <w:ilvl w:val="1"/>
          <w:numId w:val="0"/>
        </w:numPr>
        <w:tabs>
          <w:tab w:val="clear" w:pos="567"/>
          <w:tab w:val="clear" w:pos="1134"/>
          <w:tab w:val="clear" w:pos="1701"/>
          <w:tab w:val="clear" w:pos="2268"/>
        </w:tabs>
        <w:spacing w:before="240" w:after="120"/>
        <w:ind w:left="490"/>
        <w:rPr>
          <w:rFonts w:eastAsia="SimSun"/>
          <w:iCs/>
          <w:kern w:val="22"/>
          <w:sz w:val="24"/>
          <w:szCs w:val="24"/>
          <w:lang w:val="en-GB"/>
        </w:rPr>
      </w:pPr>
      <w:r w:rsidRPr="000C0842">
        <w:rPr>
          <w:rFonts w:eastAsia="SimSun" w:hint="eastAsia"/>
          <w:b/>
          <w:bCs/>
          <w:spacing w:val="5"/>
          <w:kern w:val="28"/>
          <w:sz w:val="24"/>
          <w:szCs w:val="24"/>
          <w:lang w:val="en-GB"/>
          <w14:ligatures w14:val="standardContextual"/>
        </w:rPr>
        <w:t xml:space="preserve"> </w:t>
      </w:r>
      <w:r w:rsidRPr="000C0842">
        <w:rPr>
          <w:rFonts w:eastAsia="SimSun"/>
          <w:b/>
          <w:bCs/>
          <w:spacing w:val="5"/>
          <w:kern w:val="28"/>
          <w:sz w:val="24"/>
          <w:szCs w:val="24"/>
          <w:lang w:val="en-GB"/>
          <w14:ligatures w14:val="standardContextual"/>
        </w:rPr>
        <w:tab/>
      </w:r>
      <w:r w:rsidRPr="000C0842">
        <w:rPr>
          <w:rFonts w:ascii="STKaiti" w:eastAsia="STKaiti" w:hAnsi="STKaiti"/>
          <w:iCs/>
          <w:kern w:val="22"/>
          <w:sz w:val="24"/>
          <w:szCs w:val="24"/>
          <w:lang w:val="en-GB"/>
        </w:rPr>
        <w:t>缔约方大会</w:t>
      </w:r>
      <w:r w:rsidRPr="000C0842">
        <w:rPr>
          <w:rFonts w:eastAsia="SimSun"/>
          <w:iCs/>
          <w:kern w:val="22"/>
          <w:sz w:val="24"/>
          <w:szCs w:val="24"/>
          <w:lang w:val="en-GB"/>
        </w:rPr>
        <w:t>，</w:t>
      </w:r>
    </w:p>
    <w:p w14:paraId="70A648AB" w14:textId="77777777"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iCs/>
          <w:kern w:val="22"/>
          <w:sz w:val="24"/>
          <w:szCs w:val="24"/>
          <w:lang w:val="en-GB"/>
        </w:rPr>
      </w:pPr>
      <w:r w:rsidRPr="000C0842">
        <w:rPr>
          <w:rFonts w:eastAsia="KaiTi" w:hint="eastAsia"/>
          <w:iCs/>
          <w:kern w:val="22"/>
          <w:sz w:val="24"/>
          <w:szCs w:val="24"/>
          <w:lang w:val="en-GB"/>
        </w:rPr>
        <w:t>回顾</w:t>
      </w:r>
      <w:r w:rsidRPr="000C0842">
        <w:rPr>
          <w:rFonts w:eastAsia="SimSun"/>
          <w:iCs/>
          <w:kern w:val="22"/>
          <w:sz w:val="24"/>
          <w:szCs w:val="24"/>
          <w:lang w:val="en-GB"/>
        </w:rPr>
        <w:t>2022-2032</w:t>
      </w:r>
      <w:r w:rsidRPr="000C0842">
        <w:rPr>
          <w:rFonts w:eastAsia="SimSun" w:hint="eastAsia"/>
          <w:iCs/>
          <w:kern w:val="22"/>
          <w:sz w:val="24"/>
          <w:szCs w:val="24"/>
          <w:lang w:val="en-GB"/>
        </w:rPr>
        <w:t>国际土著语言十年，</w:t>
      </w:r>
    </w:p>
    <w:p w14:paraId="363EC94C" w14:textId="2B242631"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ascii="STKaiti" w:eastAsia="KaiTi" w:hAnsi="STKaiti"/>
          <w:sz w:val="24"/>
          <w:szCs w:val="24"/>
          <w:lang w:val="en-GB"/>
        </w:rPr>
        <w:t>注意到</w:t>
      </w:r>
      <w:r w:rsidRPr="000C0842">
        <w:rPr>
          <w:rFonts w:eastAsia="SimSun"/>
          <w:sz w:val="24"/>
          <w:szCs w:val="24"/>
          <w:lang w:val="en-GB"/>
        </w:rPr>
        <w:t>生物多样性公约</w:t>
      </w:r>
      <w:r w:rsidRPr="000C0842">
        <w:rPr>
          <w:rFonts w:eastAsia="SimSun"/>
          <w:sz w:val="24"/>
          <w:szCs w:val="24"/>
          <w:vertAlign w:val="superscript"/>
          <w:lang w:val="en-GB"/>
        </w:rPr>
        <w:footnoteReference w:id="60"/>
      </w:r>
      <w:r w:rsidRPr="000C0842">
        <w:rPr>
          <w:rFonts w:eastAsia="SimSun"/>
          <w:sz w:val="24"/>
          <w:szCs w:val="24"/>
          <w:lang w:val="en-GB"/>
        </w:rPr>
        <w:t>第</w:t>
      </w:r>
      <w:r w:rsidRPr="000C0842">
        <w:rPr>
          <w:rFonts w:eastAsia="SimSun"/>
          <w:sz w:val="24"/>
          <w:szCs w:val="24"/>
          <w:lang w:val="en-GB"/>
        </w:rPr>
        <w:t>8(j)</w:t>
      </w:r>
      <w:r w:rsidRPr="000C0842">
        <w:rPr>
          <w:rFonts w:eastAsia="SimSun"/>
          <w:sz w:val="24"/>
          <w:szCs w:val="24"/>
          <w:lang w:val="en-GB"/>
        </w:rPr>
        <w:t>条和相关条款问题不限成员名额闭会期间特设工作组第十二次会议就</w:t>
      </w:r>
      <w:r w:rsidRPr="000C0842">
        <w:rPr>
          <w:rFonts w:eastAsia="SimSun" w:hint="eastAsia"/>
          <w:sz w:val="24"/>
          <w:szCs w:val="24"/>
          <w:lang w:val="en-GB"/>
        </w:rPr>
        <w:t>“</w:t>
      </w:r>
      <w:r w:rsidRPr="000C0842">
        <w:rPr>
          <w:rFonts w:eastAsia="SimSun"/>
          <w:sz w:val="24"/>
          <w:szCs w:val="24"/>
          <w:lang w:val="en-GB"/>
        </w:rPr>
        <w:t>语言在传统知识、创新和做法代际传承中的作用</w:t>
      </w:r>
      <w:r w:rsidRPr="000C0842">
        <w:rPr>
          <w:rFonts w:eastAsia="SimSun" w:hint="eastAsia"/>
          <w:sz w:val="24"/>
          <w:szCs w:val="24"/>
          <w:lang w:val="en-GB"/>
        </w:rPr>
        <w:t>”</w:t>
      </w:r>
      <w:r w:rsidRPr="000C0842">
        <w:rPr>
          <w:rFonts w:eastAsia="SimSun"/>
          <w:sz w:val="24"/>
          <w:szCs w:val="24"/>
          <w:lang w:val="en-GB"/>
        </w:rPr>
        <w:t>这一主题进行了深入对话，</w:t>
      </w:r>
      <w:r w:rsidRPr="000C0842">
        <w:rPr>
          <w:rFonts w:eastAsia="SimSun"/>
          <w:sz w:val="24"/>
          <w:szCs w:val="24"/>
          <w:lang w:val="en-GB"/>
        </w:rPr>
        <w:t xml:space="preserve"> </w:t>
      </w:r>
    </w:p>
    <w:p w14:paraId="21BD4825" w14:textId="77777777"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kern w:val="22"/>
          <w:sz w:val="24"/>
          <w:szCs w:val="24"/>
          <w:lang w:val="en-GB"/>
        </w:rPr>
      </w:pPr>
      <w:r w:rsidRPr="000C0842">
        <w:rPr>
          <w:rFonts w:eastAsia="KaiTi" w:hint="eastAsia"/>
          <w:kern w:val="22"/>
          <w:sz w:val="24"/>
          <w:szCs w:val="24"/>
        </w:rPr>
        <w:t>又</w:t>
      </w:r>
      <w:r w:rsidRPr="000C0842">
        <w:rPr>
          <w:rFonts w:eastAsia="KaiTi" w:hint="eastAsia"/>
          <w:kern w:val="22"/>
          <w:sz w:val="24"/>
          <w:szCs w:val="24"/>
          <w:lang w:val="en-GB"/>
        </w:rPr>
        <w:t>注意到</w:t>
      </w:r>
      <w:r w:rsidRPr="000C0842">
        <w:rPr>
          <w:rFonts w:eastAsia="SimSun" w:hint="eastAsia"/>
          <w:kern w:val="22"/>
          <w:sz w:val="24"/>
          <w:szCs w:val="24"/>
          <w:lang w:val="en-GB"/>
        </w:rPr>
        <w:t>土著人民和地方社区通过语言保存其社区的历史、习俗和传统、记忆、独特的思维方式、意义和表达方式，</w:t>
      </w:r>
      <w:r w:rsidRPr="000C0842">
        <w:rPr>
          <w:rFonts w:eastAsia="SimSun" w:hint="eastAsia"/>
          <w:kern w:val="22"/>
          <w:sz w:val="24"/>
          <w:szCs w:val="24"/>
          <w:lang w:val="en-GB"/>
        </w:rPr>
        <w:t xml:space="preserve"> </w:t>
      </w:r>
    </w:p>
    <w:p w14:paraId="75857D9E" w14:textId="24D9EA36"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ascii="STKaiti" w:eastAsia="KaiTi" w:hAnsi="STKaiti" w:hint="eastAsia"/>
          <w:sz w:val="24"/>
          <w:szCs w:val="24"/>
          <w:lang w:val="en-GB"/>
        </w:rPr>
        <w:t>还</w:t>
      </w:r>
      <w:r w:rsidRPr="000C0842">
        <w:rPr>
          <w:rFonts w:ascii="STKaiti" w:eastAsia="KaiTi" w:hAnsi="STKaiti"/>
          <w:sz w:val="24"/>
          <w:szCs w:val="24"/>
          <w:lang w:val="en-GB"/>
        </w:rPr>
        <w:t>注意到</w:t>
      </w:r>
      <w:r w:rsidRPr="000C0842">
        <w:rPr>
          <w:rFonts w:eastAsia="SimSun"/>
          <w:sz w:val="24"/>
          <w:szCs w:val="24"/>
          <w:lang w:val="en-GB"/>
        </w:rPr>
        <w:t>缔约方大会在《昆明</w:t>
      </w:r>
      <w:r w:rsidRPr="000C0842">
        <w:rPr>
          <w:rFonts w:eastAsia="SimSun"/>
          <w:sz w:val="24"/>
          <w:szCs w:val="24"/>
          <w:lang w:val="en-GB"/>
        </w:rPr>
        <w:t>-</w:t>
      </w:r>
      <w:r w:rsidRPr="000C0842">
        <w:rPr>
          <w:rFonts w:eastAsia="SimSun"/>
          <w:sz w:val="24"/>
          <w:szCs w:val="24"/>
          <w:lang w:val="en-GB"/>
        </w:rPr>
        <w:t>蒙特利尔全球生物多样性框架》</w:t>
      </w:r>
      <w:r w:rsidRPr="000C0842">
        <w:rPr>
          <w:rFonts w:eastAsia="SimSun"/>
          <w:sz w:val="24"/>
          <w:szCs w:val="24"/>
          <w:vertAlign w:val="superscript"/>
          <w:lang w:val="en-GB"/>
        </w:rPr>
        <w:footnoteReference w:id="61"/>
      </w:r>
      <w:r w:rsidRPr="000C0842">
        <w:rPr>
          <w:rFonts w:eastAsia="SimSun"/>
          <w:sz w:val="24"/>
          <w:szCs w:val="24"/>
          <w:lang w:val="en-GB"/>
        </w:rPr>
        <w:t>中承认土著人民和地方社区作为生物多样性保管人的重要作用和贡献，承认他们的权利、知识</w:t>
      </w:r>
      <w:r w:rsidRPr="000C0842">
        <w:rPr>
          <w:rFonts w:eastAsia="SimSun"/>
          <w:sz w:val="24"/>
          <w:szCs w:val="24"/>
        </w:rPr>
        <w:t>，</w:t>
      </w:r>
      <w:r w:rsidRPr="000C0842">
        <w:rPr>
          <w:rFonts w:eastAsia="SimSun"/>
          <w:sz w:val="24"/>
          <w:szCs w:val="24"/>
          <w:lang w:val="en-GB"/>
        </w:rPr>
        <w:t>包括与生物多样性相关的传统知识、创新、世界观、价值观和做法，</w:t>
      </w:r>
    </w:p>
    <w:p w14:paraId="1D310FDC" w14:textId="736C0BE8"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i/>
          <w:kern w:val="22"/>
          <w:sz w:val="24"/>
          <w:szCs w:val="24"/>
          <w:lang w:val="en-GB"/>
        </w:rPr>
      </w:pPr>
      <w:r w:rsidRPr="000C0842">
        <w:rPr>
          <w:rFonts w:ascii="STKaiti" w:eastAsia="KaiTi" w:hAnsi="STKaiti" w:hint="eastAsia"/>
          <w:sz w:val="24"/>
          <w:szCs w:val="24"/>
          <w:lang w:val="en-GB"/>
        </w:rPr>
        <w:t>认识</w:t>
      </w:r>
      <w:r w:rsidRPr="000C0842">
        <w:rPr>
          <w:rFonts w:ascii="STKaiti" w:eastAsia="KaiTi" w:hAnsi="STKaiti"/>
          <w:sz w:val="24"/>
          <w:szCs w:val="24"/>
          <w:lang w:val="en-GB"/>
        </w:rPr>
        <w:t>到</w:t>
      </w:r>
      <w:r w:rsidRPr="000C0842">
        <w:rPr>
          <w:rFonts w:eastAsia="SimSun" w:hint="eastAsia"/>
          <w:sz w:val="24"/>
          <w:szCs w:val="24"/>
          <w:lang w:val="en-GB"/>
        </w:rPr>
        <w:t>缔约方大会在《昆蒙框架》行动目标</w:t>
      </w:r>
      <w:r w:rsidRPr="000C0842">
        <w:rPr>
          <w:rFonts w:eastAsia="SimSun"/>
          <w:sz w:val="24"/>
          <w:szCs w:val="24"/>
          <w:lang w:val="en-GB"/>
        </w:rPr>
        <w:t>21</w:t>
      </w:r>
      <w:r w:rsidRPr="000C0842">
        <w:rPr>
          <w:rFonts w:eastAsia="SimSun" w:hint="eastAsia"/>
          <w:sz w:val="24"/>
          <w:szCs w:val="24"/>
          <w:lang w:val="en-GB"/>
        </w:rPr>
        <w:t>中呼吁向决策者、从业人员和公众提供现有最佳数据、信息和知识，以指导有效和公平的治理以及生物多样性的综合和参与式管理，加强传播、提高认识、教育、监测、研究和知识管理，以及在这方面，土著人民和地方社区的传统知识、创新，做法和技术只有在他们自由、事先和知情同意</w:t>
      </w:r>
      <w:r w:rsidRPr="000C0842">
        <w:rPr>
          <w:rFonts w:eastAsia="SimSun"/>
          <w:sz w:val="24"/>
          <w:szCs w:val="24"/>
          <w:vertAlign w:val="superscript"/>
          <w:lang w:val="en-GB"/>
        </w:rPr>
        <w:footnoteReference w:id="62"/>
      </w:r>
      <w:r w:rsidRPr="000C0842">
        <w:rPr>
          <w:rFonts w:eastAsia="SimSun" w:hint="eastAsia"/>
          <w:sz w:val="24"/>
          <w:szCs w:val="24"/>
          <w:lang w:val="en-GB"/>
        </w:rPr>
        <w:t>的情况下才能获取，在《昆蒙框架》行动目标</w:t>
      </w:r>
      <w:r w:rsidRPr="000C0842">
        <w:rPr>
          <w:rFonts w:eastAsia="SimSun"/>
          <w:sz w:val="24"/>
          <w:szCs w:val="24"/>
          <w:lang w:val="en-GB"/>
        </w:rPr>
        <w:t>22</w:t>
      </w:r>
      <w:r w:rsidRPr="000C0842">
        <w:rPr>
          <w:rFonts w:eastAsia="SimSun" w:hint="eastAsia"/>
          <w:sz w:val="24"/>
          <w:szCs w:val="24"/>
          <w:lang w:val="en-GB"/>
        </w:rPr>
        <w:t>和</w:t>
      </w:r>
      <w:r w:rsidRPr="000C0842">
        <w:rPr>
          <w:rFonts w:eastAsia="SimSun"/>
          <w:sz w:val="24"/>
          <w:szCs w:val="24"/>
          <w:lang w:val="en-GB"/>
        </w:rPr>
        <w:t>23</w:t>
      </w:r>
      <w:r w:rsidRPr="000C0842">
        <w:rPr>
          <w:rFonts w:eastAsia="SimSun" w:hint="eastAsia"/>
          <w:sz w:val="24"/>
          <w:szCs w:val="24"/>
          <w:lang w:val="en-GB"/>
        </w:rPr>
        <w:t>以及《性别平等行动计划》（</w:t>
      </w:r>
      <w:r w:rsidRPr="000C0842">
        <w:rPr>
          <w:rFonts w:eastAsia="SimSun" w:hint="eastAsia"/>
          <w:sz w:val="24"/>
          <w:szCs w:val="24"/>
          <w:lang w:val="en-GB"/>
        </w:rPr>
        <w:t>2023-2020</w:t>
      </w:r>
      <w:r w:rsidRPr="000C0842">
        <w:rPr>
          <w:rFonts w:eastAsia="SimSun" w:hint="eastAsia"/>
          <w:sz w:val="24"/>
          <w:szCs w:val="24"/>
          <w:lang w:val="en-GB"/>
        </w:rPr>
        <w:t>年）</w:t>
      </w:r>
      <w:r w:rsidRPr="000C0842">
        <w:rPr>
          <w:rFonts w:eastAsia="SimSun"/>
          <w:sz w:val="24"/>
          <w:szCs w:val="24"/>
          <w:vertAlign w:val="superscript"/>
          <w:lang w:val="en-GB"/>
        </w:rPr>
        <w:footnoteReference w:id="63"/>
      </w:r>
      <w:r w:rsidRPr="000C0842">
        <w:rPr>
          <w:rFonts w:eastAsia="SimSun" w:hint="eastAsia"/>
          <w:sz w:val="24"/>
          <w:szCs w:val="24"/>
          <w:lang w:val="en-GB"/>
        </w:rPr>
        <w:t>中，缔约方大会还呼吁通过促进性别平等的办法确保《昆蒙框架》执行过程中的性别平等，所有妇女和女童都有平等的机会和能力为《公约》的三个目标作出贡献，</w:t>
      </w:r>
      <w:r w:rsidRPr="000C0842">
        <w:rPr>
          <w:rFonts w:eastAsia="SimSun"/>
          <w:i/>
          <w:kern w:val="22"/>
          <w:sz w:val="24"/>
          <w:szCs w:val="24"/>
          <w:highlight w:val="white"/>
          <w:lang w:val="en-GB"/>
        </w:rPr>
        <w:tab/>
      </w:r>
    </w:p>
    <w:p w14:paraId="7E3A2F54" w14:textId="77777777"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iCs/>
          <w:kern w:val="22"/>
          <w:sz w:val="24"/>
          <w:szCs w:val="24"/>
          <w:lang w:val="en-GB"/>
        </w:rPr>
      </w:pPr>
      <w:r w:rsidRPr="000C0842">
        <w:rPr>
          <w:rFonts w:eastAsia="KaiTi" w:hint="eastAsia"/>
          <w:sz w:val="24"/>
          <w:szCs w:val="24"/>
          <w:lang w:val="en-GB"/>
        </w:rPr>
        <w:t>又</w:t>
      </w:r>
      <w:r w:rsidRPr="000C0842">
        <w:rPr>
          <w:rFonts w:eastAsia="KaiTi"/>
          <w:sz w:val="24"/>
          <w:szCs w:val="24"/>
          <w:lang w:val="en-GB"/>
        </w:rPr>
        <w:t>认识到</w:t>
      </w:r>
      <w:r w:rsidRPr="000C0842">
        <w:rPr>
          <w:rFonts w:eastAsia="SimSun"/>
          <w:sz w:val="24"/>
          <w:szCs w:val="24"/>
          <w:lang w:val="en-GB"/>
        </w:rPr>
        <w:t>土著</w:t>
      </w:r>
      <w:r w:rsidRPr="000C0842">
        <w:rPr>
          <w:rFonts w:eastAsia="SimSun" w:hint="eastAsia"/>
          <w:sz w:val="24"/>
          <w:szCs w:val="24"/>
          <w:lang w:val="en-GB"/>
        </w:rPr>
        <w:t>人民</w:t>
      </w:r>
      <w:r w:rsidRPr="000C0842">
        <w:rPr>
          <w:rFonts w:eastAsia="SimSun"/>
          <w:sz w:val="24"/>
          <w:szCs w:val="24"/>
          <w:lang w:val="en-GB"/>
        </w:rPr>
        <w:t>和地方</w:t>
      </w:r>
      <w:r w:rsidRPr="000C0842">
        <w:rPr>
          <w:rFonts w:eastAsia="SimSun" w:hint="eastAsia"/>
          <w:sz w:val="24"/>
          <w:szCs w:val="24"/>
          <w:lang w:val="en-GB"/>
        </w:rPr>
        <w:t>社区的</w:t>
      </w:r>
      <w:r w:rsidRPr="000C0842">
        <w:rPr>
          <w:rFonts w:eastAsia="SimSun"/>
          <w:sz w:val="24"/>
          <w:szCs w:val="24"/>
          <w:lang w:val="en-GB"/>
        </w:rPr>
        <w:t>语言</w:t>
      </w:r>
      <w:r w:rsidRPr="000C0842">
        <w:rPr>
          <w:rFonts w:eastAsia="SimSun" w:hint="eastAsia"/>
          <w:sz w:val="24"/>
          <w:szCs w:val="24"/>
          <w:lang w:val="en-GB"/>
        </w:rPr>
        <w:t>和</w:t>
      </w:r>
      <w:r w:rsidRPr="000C0842">
        <w:rPr>
          <w:rFonts w:eastAsia="SimSun"/>
          <w:sz w:val="24"/>
          <w:szCs w:val="24"/>
          <w:lang w:val="en-GB"/>
        </w:rPr>
        <w:t>传统知识对解决全球生物多样性丧失的贡献以及土著妇女和地方社区妇女</w:t>
      </w:r>
      <w:r w:rsidRPr="000C0842">
        <w:rPr>
          <w:rFonts w:eastAsia="SimSun" w:hint="eastAsia"/>
          <w:sz w:val="24"/>
          <w:szCs w:val="24"/>
          <w:lang w:val="en-GB"/>
        </w:rPr>
        <w:t>在这方面</w:t>
      </w:r>
      <w:r w:rsidRPr="000C0842">
        <w:rPr>
          <w:rFonts w:eastAsia="SimSun"/>
          <w:sz w:val="24"/>
          <w:szCs w:val="24"/>
          <w:lang w:val="en-GB"/>
        </w:rPr>
        <w:t>知识传播过程中的作用</w:t>
      </w:r>
      <w:r w:rsidRPr="000C0842">
        <w:rPr>
          <w:rFonts w:eastAsia="SimSun"/>
          <w:iCs/>
          <w:kern w:val="22"/>
          <w:sz w:val="24"/>
          <w:szCs w:val="24"/>
          <w:lang w:val="en-GB"/>
        </w:rPr>
        <w:t>，对于实现</w:t>
      </w:r>
      <w:r w:rsidRPr="000C0842">
        <w:rPr>
          <w:rFonts w:eastAsia="SimSun"/>
          <w:iCs/>
          <w:kern w:val="22"/>
          <w:sz w:val="24"/>
          <w:szCs w:val="24"/>
          <w:lang w:val="en-GB"/>
        </w:rPr>
        <w:t>2050</w:t>
      </w:r>
      <w:r w:rsidRPr="000C0842">
        <w:rPr>
          <w:rFonts w:eastAsia="SimSun"/>
          <w:iCs/>
          <w:kern w:val="22"/>
          <w:sz w:val="24"/>
          <w:szCs w:val="24"/>
          <w:lang w:val="en-GB"/>
        </w:rPr>
        <w:t>年与自然和谐相处的愿景是必要的，</w:t>
      </w:r>
    </w:p>
    <w:p w14:paraId="1936A380" w14:textId="77777777"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iCs/>
          <w:kern w:val="22"/>
          <w:sz w:val="24"/>
          <w:szCs w:val="24"/>
          <w:lang w:val="en-GB"/>
        </w:rPr>
      </w:pPr>
      <w:r w:rsidRPr="000C0842">
        <w:rPr>
          <w:rFonts w:eastAsia="KaiTi" w:hint="eastAsia"/>
          <w:iCs/>
          <w:kern w:val="22"/>
          <w:sz w:val="24"/>
          <w:szCs w:val="24"/>
          <w:lang w:val="en-GB"/>
        </w:rPr>
        <w:t>还</w:t>
      </w:r>
      <w:r w:rsidRPr="000C0842">
        <w:rPr>
          <w:rFonts w:eastAsia="KaiTi"/>
          <w:iCs/>
          <w:kern w:val="22"/>
          <w:sz w:val="24"/>
          <w:szCs w:val="24"/>
          <w:lang w:val="en-GB"/>
        </w:rPr>
        <w:t>认识到</w:t>
      </w:r>
      <w:r w:rsidRPr="000C0842">
        <w:rPr>
          <w:rFonts w:eastAsia="SimSun"/>
          <w:iCs/>
          <w:kern w:val="22"/>
          <w:sz w:val="24"/>
          <w:szCs w:val="24"/>
          <w:lang w:val="en-GB"/>
        </w:rPr>
        <w:t>不同的语言和知识体系反映了土著</w:t>
      </w:r>
      <w:r w:rsidRPr="000C0842">
        <w:rPr>
          <w:rFonts w:eastAsia="SimSun" w:hint="eastAsia"/>
          <w:iCs/>
          <w:kern w:val="22"/>
          <w:sz w:val="24"/>
          <w:szCs w:val="24"/>
          <w:lang w:val="en-GB"/>
        </w:rPr>
        <w:t>人民</w:t>
      </w:r>
      <w:r w:rsidRPr="000C0842">
        <w:rPr>
          <w:rFonts w:eastAsia="SimSun"/>
          <w:iCs/>
          <w:kern w:val="22"/>
          <w:sz w:val="24"/>
          <w:szCs w:val="24"/>
          <w:lang w:val="en-GB"/>
        </w:rPr>
        <w:t>和地方社区，包括土著妇女和地方社区妇女，与维护生物多样性</w:t>
      </w:r>
      <w:r w:rsidRPr="000C0842">
        <w:rPr>
          <w:rFonts w:eastAsia="SimSun" w:hint="eastAsia"/>
          <w:iCs/>
          <w:kern w:val="22"/>
          <w:sz w:val="24"/>
          <w:szCs w:val="24"/>
          <w:lang w:val="en-GB"/>
        </w:rPr>
        <w:t>保护</w:t>
      </w:r>
      <w:r w:rsidRPr="000C0842">
        <w:rPr>
          <w:rFonts w:eastAsia="SimSun"/>
          <w:iCs/>
          <w:kern w:val="22"/>
          <w:sz w:val="24"/>
          <w:szCs w:val="24"/>
          <w:lang w:val="en-GB"/>
        </w:rPr>
        <w:t>和可持续利用的自然和文化价值观之间牢固的集体关系，因此能够使人类和生态系统更好地适应和应对当前的危机，并加强社会</w:t>
      </w:r>
      <w:r w:rsidRPr="000C0842">
        <w:rPr>
          <w:rFonts w:eastAsia="SimSun" w:hint="eastAsia"/>
          <w:iCs/>
          <w:kern w:val="22"/>
          <w:sz w:val="24"/>
          <w:szCs w:val="24"/>
          <w:lang w:val="en-GB"/>
        </w:rPr>
        <w:t>、经济</w:t>
      </w:r>
      <w:r w:rsidRPr="000C0842">
        <w:rPr>
          <w:rFonts w:eastAsia="SimSun"/>
          <w:iCs/>
          <w:kern w:val="22"/>
          <w:sz w:val="24"/>
          <w:szCs w:val="24"/>
          <w:lang w:val="en-GB"/>
        </w:rPr>
        <w:t>和生态复原力，</w:t>
      </w:r>
    </w:p>
    <w:p w14:paraId="602B343F" w14:textId="77777777" w:rsidR="006D5DBD" w:rsidRPr="000C0842" w:rsidRDefault="006D5DBD" w:rsidP="006D5DBD">
      <w:pPr>
        <w:tabs>
          <w:tab w:val="clear" w:pos="567"/>
          <w:tab w:val="clear" w:pos="1134"/>
          <w:tab w:val="clear" w:pos="1701"/>
          <w:tab w:val="clear" w:pos="2268"/>
        </w:tabs>
        <w:adjustRightInd w:val="0"/>
        <w:snapToGrid w:val="0"/>
        <w:spacing w:before="120" w:after="120"/>
        <w:ind w:left="490" w:firstLine="490"/>
        <w:rPr>
          <w:rFonts w:eastAsia="SimSun"/>
          <w:kern w:val="22"/>
          <w:sz w:val="24"/>
          <w:szCs w:val="24"/>
          <w:lang w:val="en-GB"/>
        </w:rPr>
      </w:pPr>
      <w:r w:rsidRPr="000C0842">
        <w:rPr>
          <w:rFonts w:eastAsia="KaiTi"/>
          <w:iCs/>
          <w:kern w:val="22"/>
          <w:sz w:val="24"/>
          <w:szCs w:val="24"/>
          <w:lang w:val="en-GB"/>
        </w:rPr>
        <w:t>认识到</w:t>
      </w:r>
      <w:r w:rsidRPr="000C0842">
        <w:rPr>
          <w:rFonts w:eastAsia="SimSun" w:hint="eastAsia"/>
          <w:iCs/>
          <w:kern w:val="22"/>
          <w:sz w:val="24"/>
          <w:szCs w:val="24"/>
          <w:lang w:val="en-GB"/>
        </w:rPr>
        <w:t>关于生物多样性和文化多样性之间联系的联合工作计划</w:t>
      </w:r>
      <w:r w:rsidRPr="000C0842">
        <w:rPr>
          <w:rFonts w:eastAsia="SimSun"/>
          <w:iCs/>
          <w:kern w:val="22"/>
          <w:sz w:val="24"/>
          <w:szCs w:val="24"/>
          <w:vertAlign w:val="superscript"/>
          <w:lang w:val="en-GB"/>
        </w:rPr>
        <w:footnoteReference w:id="64"/>
      </w:r>
      <w:r w:rsidRPr="000C0842">
        <w:rPr>
          <w:rFonts w:eastAsia="SimSun" w:hint="eastAsia"/>
          <w:iCs/>
          <w:kern w:val="22"/>
          <w:sz w:val="24"/>
          <w:szCs w:val="24"/>
          <w:lang w:val="en-GB"/>
        </w:rPr>
        <w:t>与《昆蒙框架》行动目标</w:t>
      </w:r>
      <w:r w:rsidRPr="000C0842">
        <w:rPr>
          <w:rFonts w:eastAsia="SimSun" w:hint="eastAsia"/>
          <w:iCs/>
          <w:kern w:val="22"/>
          <w:sz w:val="24"/>
          <w:szCs w:val="24"/>
          <w:lang w:val="en-GB"/>
        </w:rPr>
        <w:t xml:space="preserve"> 22 </w:t>
      </w:r>
      <w:r w:rsidRPr="000C0842">
        <w:rPr>
          <w:rFonts w:eastAsia="SimSun" w:hint="eastAsia"/>
          <w:iCs/>
          <w:kern w:val="22"/>
          <w:sz w:val="24"/>
          <w:szCs w:val="24"/>
          <w:lang w:val="en-GB"/>
        </w:rPr>
        <w:t>的相关性，并强调缔约方和参与《公约》及其议定书进程的所有行为体需要了解土著人民和地方社区的概念、宇宙观和认识论；</w:t>
      </w:r>
    </w:p>
    <w:p w14:paraId="2933FBB7" w14:textId="77777777" w:rsidR="005E0F58" w:rsidRPr="000C0842" w:rsidRDefault="006D5DBD">
      <w:pPr>
        <w:pStyle w:val="ListParagraph"/>
        <w:numPr>
          <w:ilvl w:val="0"/>
          <w:numId w:val="247"/>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STKaiti" w:eastAsia="KaiTi" w:hAnsi="STKaiti"/>
          <w:sz w:val="24"/>
          <w:szCs w:val="24"/>
          <w:lang w:val="en-GB"/>
        </w:rPr>
        <w:t>邀请</w:t>
      </w:r>
      <w:r w:rsidRPr="000C0842">
        <w:rPr>
          <w:rFonts w:eastAsia="SimSun" w:hint="eastAsia"/>
          <w:sz w:val="24"/>
          <w:szCs w:val="24"/>
          <w:lang w:val="en-GB"/>
        </w:rPr>
        <w:t>缔约方充分承认土著人民和地方社区语言的作用，并在这方面充分承认土著妇女和地方社区妇女、青年和相关利益攸关方在土著人民和地方社区传统知识、创新和做法代际传承中的特殊作用，因为这关系到《生物多样性公约》的目标和《昆明</w:t>
      </w:r>
      <w:r w:rsidRPr="000C0842">
        <w:rPr>
          <w:rFonts w:eastAsia="SimSun" w:hint="eastAsia"/>
          <w:sz w:val="24"/>
          <w:szCs w:val="24"/>
          <w:lang w:val="en-GB"/>
        </w:rPr>
        <w:t>-</w:t>
      </w:r>
      <w:r w:rsidRPr="000C0842">
        <w:rPr>
          <w:rFonts w:eastAsia="SimSun" w:hint="eastAsia"/>
          <w:sz w:val="24"/>
          <w:szCs w:val="24"/>
          <w:lang w:val="en-GB"/>
        </w:rPr>
        <w:t>蒙特利尔全球生物多样性框架》的执行，广而言之，关系到生物多样性和文化多样性之间的联系</w:t>
      </w:r>
      <w:r w:rsidRPr="000C0842">
        <w:rPr>
          <w:rFonts w:eastAsia="SimSun"/>
          <w:sz w:val="24"/>
          <w:szCs w:val="24"/>
          <w:lang w:val="en-GB"/>
        </w:rPr>
        <w:t>；</w:t>
      </w:r>
    </w:p>
    <w:p w14:paraId="0BA8135A" w14:textId="77777777" w:rsidR="005E0F58" w:rsidRPr="000C0842" w:rsidRDefault="006D5DBD">
      <w:pPr>
        <w:pStyle w:val="ListParagraph"/>
        <w:numPr>
          <w:ilvl w:val="0"/>
          <w:numId w:val="247"/>
        </w:numPr>
        <w:tabs>
          <w:tab w:val="clear" w:pos="567"/>
          <w:tab w:val="clear" w:pos="1134"/>
          <w:tab w:val="clear" w:pos="1701"/>
          <w:tab w:val="clear" w:pos="2268"/>
        </w:tabs>
        <w:spacing w:before="120" w:after="120" w:line="240" w:lineRule="atLeast"/>
        <w:ind w:left="490" w:firstLine="490"/>
        <w:rPr>
          <w:rFonts w:eastAsia="SimSun"/>
          <w:szCs w:val="24"/>
          <w:lang w:val="en-GB"/>
        </w:rPr>
      </w:pPr>
      <w:r w:rsidRPr="000C0842">
        <w:rPr>
          <w:rFonts w:ascii="STKaiti" w:eastAsia="KaiTi" w:hAnsi="STKaiti"/>
          <w:sz w:val="24"/>
          <w:szCs w:val="24"/>
          <w:lang w:val="en-GB"/>
        </w:rPr>
        <w:t>鼓励</w:t>
      </w:r>
      <w:r w:rsidRPr="000C0842">
        <w:rPr>
          <w:rFonts w:eastAsia="SimSun"/>
          <w:sz w:val="24"/>
          <w:szCs w:val="24"/>
          <w:lang w:val="en-GB"/>
        </w:rPr>
        <w:t>缔约方、其他国家政府、相关组织、土著人民</w:t>
      </w:r>
      <w:r w:rsidRPr="000C0842">
        <w:rPr>
          <w:rFonts w:eastAsia="SimSun" w:hint="eastAsia"/>
          <w:sz w:val="24"/>
          <w:szCs w:val="24"/>
          <w:lang w:val="en-GB"/>
        </w:rPr>
        <w:t>和</w:t>
      </w:r>
      <w:r w:rsidRPr="000C0842">
        <w:rPr>
          <w:rFonts w:eastAsia="SimSun"/>
          <w:sz w:val="24"/>
          <w:szCs w:val="24"/>
          <w:lang w:val="en-GB"/>
        </w:rPr>
        <w:t>地方社区</w:t>
      </w:r>
      <w:r w:rsidRPr="000C0842">
        <w:rPr>
          <w:rFonts w:eastAsia="SimSun" w:hint="eastAsia"/>
          <w:sz w:val="24"/>
          <w:szCs w:val="24"/>
          <w:lang w:val="en-GB"/>
        </w:rPr>
        <w:t>、妇女、青年</w:t>
      </w:r>
      <w:r w:rsidRPr="000C0842">
        <w:rPr>
          <w:rFonts w:eastAsia="SimSun"/>
          <w:sz w:val="24"/>
          <w:szCs w:val="24"/>
          <w:lang w:val="en-GB"/>
        </w:rPr>
        <w:t>和</w:t>
      </w:r>
      <w:r w:rsidRPr="000C0842">
        <w:rPr>
          <w:rFonts w:eastAsia="SimSun" w:hint="eastAsia"/>
          <w:sz w:val="24"/>
          <w:szCs w:val="24"/>
          <w:lang w:val="en-GB"/>
        </w:rPr>
        <w:t>其他</w:t>
      </w:r>
      <w:r w:rsidRPr="000C0842">
        <w:rPr>
          <w:rFonts w:eastAsia="SimSun"/>
          <w:sz w:val="24"/>
          <w:szCs w:val="24"/>
          <w:lang w:val="en-GB"/>
        </w:rPr>
        <w:t>利益攸关方考虑到土著语言在传统知识代际传承中的重要作用，</w:t>
      </w:r>
      <w:r w:rsidRPr="000C0842">
        <w:rPr>
          <w:rFonts w:eastAsia="SimSun" w:hint="eastAsia"/>
          <w:sz w:val="24"/>
          <w:szCs w:val="24"/>
          <w:lang w:val="en-GB"/>
        </w:rPr>
        <w:t>通过采取具体行动，例如支持社区建立文化资源中心和田间学校的举措，酌情将土著人民和地方社区语言的保护和振兴纳入《公约》及其议定书和《昆蒙框架》的执行工作，包括通过更新和修订国家生物多样性战略和行动计划，编写第七次和其后的国家报告等</w:t>
      </w:r>
      <w:r w:rsidRPr="000C0842">
        <w:rPr>
          <w:rFonts w:eastAsia="SimSun"/>
          <w:sz w:val="24"/>
          <w:szCs w:val="24"/>
          <w:lang w:val="en-GB"/>
        </w:rPr>
        <w:t>；</w:t>
      </w:r>
    </w:p>
    <w:p w14:paraId="6118125D" w14:textId="3E0CC9D7" w:rsidR="006D5DBD" w:rsidRPr="000C0842" w:rsidRDefault="006D5DBD">
      <w:pPr>
        <w:pStyle w:val="ListParagraph"/>
        <w:numPr>
          <w:ilvl w:val="0"/>
          <w:numId w:val="247"/>
        </w:numPr>
        <w:tabs>
          <w:tab w:val="clear" w:pos="567"/>
          <w:tab w:val="clear" w:pos="1134"/>
          <w:tab w:val="clear" w:pos="1701"/>
          <w:tab w:val="clear" w:pos="2268"/>
        </w:tabs>
        <w:spacing w:before="120" w:after="120" w:line="240" w:lineRule="atLeast"/>
        <w:ind w:left="490" w:firstLine="490"/>
        <w:rPr>
          <w:rFonts w:eastAsia="SimSun"/>
          <w:szCs w:val="24"/>
          <w:lang w:val="en-GB"/>
        </w:rPr>
      </w:pPr>
      <w:r w:rsidRPr="000C0842">
        <w:rPr>
          <w:rFonts w:ascii="STKaiti" w:eastAsia="KaiTi" w:hAnsi="STKaiti"/>
          <w:sz w:val="24"/>
          <w:szCs w:val="24"/>
          <w:lang w:val="en-GB"/>
        </w:rPr>
        <w:t>决定</w:t>
      </w:r>
      <w:r w:rsidRPr="000C0842">
        <w:rPr>
          <w:rFonts w:eastAsia="SimSun" w:hint="eastAsia"/>
          <w:sz w:val="24"/>
          <w:szCs w:val="24"/>
          <w:lang w:val="en-GB"/>
        </w:rPr>
        <w:t>下一次深入对话的主题将是“调动资源确保提供和获得财政资源、资金和其他执行手段，包括为妇女和青年在内的土著人民和地方社区提供能力建设、发展和技术支持，以支持全面执行《昆明</w:t>
      </w:r>
      <w:r w:rsidRPr="000C0842">
        <w:rPr>
          <w:rFonts w:eastAsia="SimSun"/>
          <w:sz w:val="24"/>
          <w:szCs w:val="24"/>
          <w:lang w:val="en-GB"/>
        </w:rPr>
        <w:t>-</w:t>
      </w:r>
      <w:r w:rsidRPr="000C0842">
        <w:rPr>
          <w:rFonts w:eastAsia="SimSun" w:hint="eastAsia"/>
          <w:sz w:val="24"/>
          <w:szCs w:val="24"/>
          <w:lang w:val="en-GB"/>
        </w:rPr>
        <w:t>蒙特利尔全球生物多样性框架》的战略”。</w:t>
      </w:r>
      <w:r w:rsidRPr="000C0842">
        <w:rPr>
          <w:rFonts w:eastAsia="SimSun" w:hint="eastAsia"/>
          <w:szCs w:val="24"/>
          <w:lang w:val="en-GB"/>
        </w:rPr>
        <w:t xml:space="preserve"> </w:t>
      </w:r>
    </w:p>
    <w:p w14:paraId="7385630E" w14:textId="77777777" w:rsidR="006D5DBD" w:rsidRPr="000C0842" w:rsidRDefault="006D5DBD" w:rsidP="006D5DBD">
      <w:pPr>
        <w:tabs>
          <w:tab w:val="left" w:pos="2835"/>
          <w:tab w:val="left" w:pos="3402"/>
        </w:tabs>
        <w:spacing w:before="120" w:after="120"/>
        <w:ind w:left="490" w:firstLine="490"/>
        <w:rPr>
          <w:rFonts w:eastAsia="SimSun"/>
          <w:lang w:val="en-GB"/>
        </w:rPr>
      </w:pPr>
    </w:p>
    <w:p w14:paraId="5F361827" w14:textId="77777777" w:rsidR="006D5DBD" w:rsidRPr="000C0842" w:rsidRDefault="006D5DBD" w:rsidP="006D5DBD">
      <w:pPr>
        <w:suppressLineNumbers/>
        <w:suppressAutoHyphens/>
        <w:jc w:val="center"/>
        <w:rPr>
          <w:rFonts w:eastAsia="SimSun"/>
          <w:kern w:val="22"/>
        </w:rPr>
      </w:pPr>
    </w:p>
    <w:p w14:paraId="39498AFA" w14:textId="63981F26" w:rsidR="006D5DBD" w:rsidRPr="000C0842" w:rsidRDefault="006D5DBD">
      <w:pPr>
        <w:tabs>
          <w:tab w:val="clear" w:pos="567"/>
          <w:tab w:val="clear" w:pos="1134"/>
          <w:tab w:val="clear" w:pos="1701"/>
          <w:tab w:val="clear" w:pos="2268"/>
        </w:tabs>
        <w:jc w:val="left"/>
        <w:rPr>
          <w:rFonts w:eastAsia="SimSun"/>
          <w:kern w:val="22"/>
          <w:sz w:val="24"/>
          <w:szCs w:val="24"/>
        </w:rPr>
      </w:pPr>
      <w:r w:rsidRPr="000C0842">
        <w:rPr>
          <w:rFonts w:eastAsia="SimSun"/>
          <w:kern w:val="22"/>
          <w:sz w:val="24"/>
          <w:szCs w:val="24"/>
        </w:rPr>
        <w:br w:type="page"/>
      </w:r>
    </w:p>
    <w:p w14:paraId="6185AE58" w14:textId="6BFD9DA4" w:rsidR="006D5DBD" w:rsidRPr="000C0842" w:rsidRDefault="006D5DBD" w:rsidP="002437E6">
      <w:pPr>
        <w:pStyle w:val="a1"/>
        <w:rPr>
          <w:rFonts w:hint="eastAsia"/>
          <w:lang w:eastAsia="zh-CN"/>
        </w:rPr>
      </w:pPr>
      <w:bookmarkStart w:id="17" w:name="_Toc206358200"/>
      <w:r w:rsidRPr="000C0842">
        <w:rPr>
          <w:lang w:eastAsia="zh-CN"/>
        </w:rPr>
        <w:t>16</w:t>
      </w:r>
      <w:r w:rsidRPr="000C0842">
        <w:rPr>
          <w:rFonts w:hint="eastAsia"/>
          <w:lang w:eastAsia="zh-CN"/>
        </w:rPr>
        <w:t>/</w:t>
      </w:r>
      <w:r w:rsidRPr="000C0842">
        <w:rPr>
          <w:lang w:eastAsia="zh-CN"/>
        </w:rPr>
        <w:t>8</w:t>
      </w:r>
      <w:r w:rsidRPr="000C0842">
        <w:rPr>
          <w:rFonts w:hint="eastAsia"/>
          <w:lang w:eastAsia="zh-CN"/>
        </w:rPr>
        <w:t xml:space="preserve">. </w:t>
      </w:r>
      <w:r w:rsidR="002437E6" w:rsidRPr="000C0842">
        <w:rPr>
          <w:rFonts w:hint="eastAsia"/>
          <w:lang w:eastAsia="zh-CN"/>
        </w:rPr>
        <w:t xml:space="preserve"> </w:t>
      </w:r>
      <w:r w:rsidRPr="000C0842">
        <w:rPr>
          <w:lang w:eastAsia="zh-CN"/>
        </w:rPr>
        <w:t>土著问题常设论坛</w:t>
      </w:r>
      <w:r w:rsidRPr="000C0842">
        <w:rPr>
          <w:rFonts w:hint="eastAsia"/>
          <w:lang w:eastAsia="zh-CN"/>
        </w:rPr>
        <w:t>关于</w:t>
      </w:r>
      <w:r w:rsidRPr="000C0842">
        <w:rPr>
          <w:lang w:eastAsia="zh-CN"/>
        </w:rPr>
        <w:t>《生物多样性公约》的建议</w:t>
      </w:r>
      <w:r w:rsidRPr="000C0842">
        <w:rPr>
          <w:lang w:eastAsia="zh-CN"/>
        </w:rPr>
        <w:footnoteReference w:customMarkFollows="1" w:id="65"/>
        <w:t>*</w:t>
      </w:r>
      <w:bookmarkEnd w:id="17"/>
    </w:p>
    <w:p w14:paraId="607E5CE1" w14:textId="77777777" w:rsidR="006D5DBD" w:rsidRPr="000C0842" w:rsidRDefault="006D5DBD" w:rsidP="00444037">
      <w:pPr>
        <w:keepNext/>
        <w:tabs>
          <w:tab w:val="clear" w:pos="567"/>
          <w:tab w:val="clear" w:pos="1134"/>
          <w:tab w:val="clear" w:pos="2268"/>
        </w:tabs>
        <w:spacing w:before="240" w:after="120"/>
        <w:ind w:left="490" w:firstLine="562"/>
        <w:jc w:val="left"/>
        <w:rPr>
          <w:rFonts w:ascii="STKaiti" w:eastAsia="STKaiti" w:hAnsi="STKaiti"/>
          <w:kern w:val="2"/>
          <w:sz w:val="24"/>
          <w:szCs w:val="24"/>
          <w:lang w:val="en-CA"/>
          <w14:ligatures w14:val="standardContextual"/>
        </w:rPr>
      </w:pPr>
      <w:r w:rsidRPr="000C0842">
        <w:rPr>
          <w:rFonts w:ascii="STKaiti" w:eastAsia="STKaiti" w:hAnsi="STKaiti"/>
          <w:kern w:val="2"/>
          <w:sz w:val="24"/>
          <w:szCs w:val="24"/>
          <w:lang w:val="en-CA"/>
          <w14:ligatures w14:val="standardContextual"/>
        </w:rPr>
        <w:t>缔约方大会</w:t>
      </w:r>
      <w:r w:rsidRPr="000C0842">
        <w:rPr>
          <w:rFonts w:ascii="STKaiti" w:eastAsia="STKaiti" w:hAnsi="STKaiti" w:hint="eastAsia"/>
          <w:kern w:val="2"/>
          <w:sz w:val="24"/>
          <w:szCs w:val="24"/>
          <w:lang w:val="en-CA"/>
          <w14:ligatures w14:val="standardContextual"/>
        </w:rPr>
        <w:t>，</w:t>
      </w:r>
    </w:p>
    <w:p w14:paraId="6ABE07B1" w14:textId="1311BFD1" w:rsidR="006D5DBD" w:rsidRPr="000C0842" w:rsidRDefault="006D5DBD" w:rsidP="0045379F">
      <w:pPr>
        <w:tabs>
          <w:tab w:val="clear" w:pos="567"/>
          <w:tab w:val="clear" w:pos="1134"/>
          <w:tab w:val="clear" w:pos="1701"/>
          <w:tab w:val="clear" w:pos="2268"/>
        </w:tabs>
        <w:spacing w:before="120" w:after="120"/>
        <w:ind w:left="490" w:firstLine="562"/>
        <w:jc w:val="left"/>
        <w:rPr>
          <w:rFonts w:eastAsia="SimSun"/>
          <w:sz w:val="24"/>
          <w:szCs w:val="24"/>
          <w:lang w:val="en-CA"/>
        </w:rPr>
      </w:pPr>
      <w:r w:rsidRPr="000C0842">
        <w:rPr>
          <w:rFonts w:ascii="STKaiti" w:eastAsia="STKaiti" w:hAnsi="STKaiti"/>
          <w:sz w:val="24"/>
          <w:szCs w:val="24"/>
          <w:lang w:val="en-CA"/>
        </w:rPr>
        <w:t>回顾</w:t>
      </w:r>
      <w:r w:rsidRPr="000C0842">
        <w:rPr>
          <w:rFonts w:eastAsia="SimSun"/>
          <w:sz w:val="24"/>
          <w:szCs w:val="24"/>
          <w:lang w:val="en-CA"/>
        </w:rPr>
        <w:t>对《昆明</w:t>
      </w:r>
      <w:r w:rsidRPr="000C0842">
        <w:rPr>
          <w:rFonts w:eastAsia="SimSun"/>
          <w:sz w:val="24"/>
          <w:szCs w:val="24"/>
          <w:lang w:val="en-CA"/>
        </w:rPr>
        <w:t>-</w:t>
      </w:r>
      <w:r w:rsidRPr="000C0842">
        <w:rPr>
          <w:rFonts w:eastAsia="SimSun"/>
          <w:sz w:val="24"/>
          <w:szCs w:val="24"/>
          <w:lang w:val="en-CA"/>
        </w:rPr>
        <w:t>蒙特利尔全球生物多样性框架》</w:t>
      </w:r>
      <w:r w:rsidRPr="000C0842">
        <w:rPr>
          <w:rFonts w:eastAsia="SimSun"/>
          <w:sz w:val="24"/>
          <w:szCs w:val="24"/>
          <w:vertAlign w:val="superscript"/>
          <w:lang w:val="en-CA"/>
        </w:rPr>
        <w:footnoteReference w:id="66"/>
      </w:r>
      <w:r w:rsidRPr="000C0842">
        <w:rPr>
          <w:rFonts w:eastAsia="SimSun"/>
          <w:sz w:val="24"/>
          <w:szCs w:val="24"/>
          <w:lang w:val="en-CA"/>
        </w:rPr>
        <w:t>的理解、行动、执行、报告和</w:t>
      </w:r>
      <w:r w:rsidRPr="000C0842">
        <w:rPr>
          <w:rFonts w:eastAsia="SimSun" w:hint="eastAsia"/>
          <w:sz w:val="24"/>
          <w:szCs w:val="24"/>
          <w:lang w:val="en-CA"/>
        </w:rPr>
        <w:t>评价</w:t>
      </w:r>
      <w:r w:rsidRPr="000C0842">
        <w:rPr>
          <w:rFonts w:eastAsia="SimSun"/>
          <w:sz w:val="24"/>
          <w:szCs w:val="24"/>
          <w:lang w:val="en-CA"/>
        </w:rPr>
        <w:t>应</w:t>
      </w:r>
      <w:r w:rsidRPr="000C0842">
        <w:rPr>
          <w:rFonts w:eastAsia="SimSun" w:hint="eastAsia"/>
          <w:sz w:val="24"/>
          <w:szCs w:val="24"/>
        </w:rPr>
        <w:t>与</w:t>
      </w:r>
      <w:r w:rsidRPr="000C0842">
        <w:rPr>
          <w:rFonts w:eastAsia="SimSun"/>
          <w:sz w:val="24"/>
          <w:szCs w:val="24"/>
          <w:lang w:val="en-CA"/>
        </w:rPr>
        <w:t>土著人民和</w:t>
      </w:r>
      <w:r w:rsidRPr="000C0842">
        <w:rPr>
          <w:rFonts w:eastAsia="SimSun"/>
          <w:sz w:val="24"/>
          <w:szCs w:val="24"/>
        </w:rPr>
        <w:t>地方</w:t>
      </w:r>
      <w:r w:rsidRPr="000C0842">
        <w:rPr>
          <w:rFonts w:eastAsia="SimSun"/>
          <w:sz w:val="24"/>
          <w:szCs w:val="24"/>
          <w:lang w:val="en-CA"/>
        </w:rPr>
        <w:t>社区的贡献和权利</w:t>
      </w:r>
      <w:r w:rsidRPr="000C0842">
        <w:rPr>
          <w:rFonts w:eastAsia="SimSun" w:hint="eastAsia"/>
          <w:sz w:val="24"/>
          <w:szCs w:val="24"/>
          <w:lang w:val="en-CA"/>
        </w:rPr>
        <w:t>相一致</w:t>
      </w:r>
      <w:r w:rsidRPr="000C0842">
        <w:rPr>
          <w:rFonts w:eastAsia="SimSun"/>
          <w:sz w:val="24"/>
          <w:szCs w:val="24"/>
          <w:lang w:val="en-CA"/>
        </w:rPr>
        <w:t>，土著人民和地方社区作为生物多样性的保管者及其保护、恢复和可持续利用的伙伴的重要作用和贡献</w:t>
      </w:r>
      <w:r w:rsidRPr="000C0842">
        <w:rPr>
          <w:rFonts w:eastAsia="SimSun" w:hint="eastAsia"/>
          <w:sz w:val="24"/>
          <w:szCs w:val="24"/>
          <w:lang w:val="en-CA"/>
        </w:rPr>
        <w:t>在</w:t>
      </w:r>
      <w:r w:rsidR="001A5C0A" w:rsidRPr="000C0842">
        <w:rPr>
          <w:rFonts w:eastAsia="SimSun"/>
          <w:sz w:val="24"/>
          <w:szCs w:val="24"/>
          <w:lang w:val="en-CA"/>
        </w:rPr>
        <w:t>《昆蒙框架》</w:t>
      </w:r>
      <w:r w:rsidRPr="000C0842">
        <w:rPr>
          <w:rFonts w:eastAsia="SimSun" w:hint="eastAsia"/>
          <w:sz w:val="24"/>
          <w:szCs w:val="24"/>
          <w:lang w:val="en-CA"/>
        </w:rPr>
        <w:t>中得到</w:t>
      </w:r>
      <w:r w:rsidRPr="000C0842">
        <w:rPr>
          <w:rFonts w:eastAsia="SimSun"/>
          <w:sz w:val="24"/>
          <w:szCs w:val="24"/>
          <w:lang w:val="en-CA"/>
        </w:rPr>
        <w:t>承认，</w:t>
      </w:r>
    </w:p>
    <w:p w14:paraId="1739F6FB" w14:textId="2AF86435" w:rsidR="006D5DBD" w:rsidRPr="000C0842" w:rsidRDefault="006D5DBD" w:rsidP="0045379F">
      <w:pPr>
        <w:tabs>
          <w:tab w:val="clear" w:pos="567"/>
          <w:tab w:val="clear" w:pos="1134"/>
          <w:tab w:val="clear" w:pos="1701"/>
          <w:tab w:val="clear" w:pos="2268"/>
        </w:tabs>
        <w:spacing w:before="120" w:after="120"/>
        <w:ind w:left="490" w:firstLine="562"/>
        <w:jc w:val="left"/>
        <w:rPr>
          <w:rFonts w:eastAsia="SimSun"/>
          <w:sz w:val="24"/>
          <w:szCs w:val="24"/>
          <w:lang w:val="en-CA"/>
        </w:rPr>
      </w:pPr>
      <w:r w:rsidRPr="000C0842">
        <w:rPr>
          <w:rFonts w:ascii="STKaiti" w:eastAsia="STKaiti" w:hAnsi="STKaiti"/>
          <w:sz w:val="24"/>
          <w:szCs w:val="24"/>
          <w:lang w:val="en-CA"/>
        </w:rPr>
        <w:t>又回顾</w:t>
      </w:r>
      <w:r w:rsidR="001A5C0A" w:rsidRPr="000C0842">
        <w:rPr>
          <w:rFonts w:eastAsia="SimSun"/>
          <w:sz w:val="24"/>
          <w:szCs w:val="24"/>
          <w:lang w:val="en-CA"/>
        </w:rPr>
        <w:t>《昆蒙框架》</w:t>
      </w:r>
      <w:r w:rsidRPr="000C0842">
        <w:rPr>
          <w:rFonts w:eastAsia="SimSun" w:hint="eastAsia"/>
          <w:sz w:val="24"/>
          <w:szCs w:val="24"/>
          <w:lang w:val="en-CA"/>
        </w:rPr>
        <w:t>的执行</w:t>
      </w:r>
      <w:r w:rsidRPr="000C0842">
        <w:rPr>
          <w:rFonts w:eastAsia="SimSun"/>
          <w:sz w:val="24"/>
          <w:szCs w:val="24"/>
          <w:lang w:val="en-CA"/>
        </w:rPr>
        <w:t>将</w:t>
      </w:r>
      <w:r w:rsidRPr="000C0842">
        <w:rPr>
          <w:rFonts w:eastAsia="SimSun" w:hint="eastAsia"/>
          <w:sz w:val="24"/>
          <w:szCs w:val="24"/>
          <w:lang w:val="en-CA"/>
        </w:rPr>
        <w:t>以</w:t>
      </w:r>
      <w:r w:rsidRPr="000C0842">
        <w:rPr>
          <w:rFonts w:eastAsia="SimSun"/>
          <w:sz w:val="24"/>
          <w:szCs w:val="24"/>
          <w:lang w:val="en-CA"/>
        </w:rPr>
        <w:t>包括《联合国土著人民权利宣言》</w:t>
      </w:r>
      <w:r w:rsidRPr="000C0842">
        <w:rPr>
          <w:rFonts w:eastAsia="SimSun"/>
          <w:sz w:val="24"/>
          <w:szCs w:val="24"/>
          <w:vertAlign w:val="superscript"/>
          <w:lang w:val="en-CA"/>
        </w:rPr>
        <w:footnoteReference w:id="67"/>
      </w:r>
      <w:r w:rsidRPr="000C0842">
        <w:rPr>
          <w:rFonts w:eastAsia="SimSun"/>
          <w:sz w:val="24"/>
          <w:szCs w:val="24"/>
          <w:lang w:val="en-CA"/>
        </w:rPr>
        <w:t>在内的国际文书和人权法</w:t>
      </w:r>
      <w:r w:rsidRPr="000C0842">
        <w:rPr>
          <w:rFonts w:eastAsia="SimSun" w:hint="eastAsia"/>
          <w:sz w:val="24"/>
          <w:szCs w:val="24"/>
          <w:lang w:val="en-CA"/>
        </w:rPr>
        <w:t>为依据</w:t>
      </w:r>
      <w:r w:rsidRPr="000C0842">
        <w:rPr>
          <w:rFonts w:eastAsia="SimSun"/>
          <w:sz w:val="24"/>
          <w:szCs w:val="24"/>
          <w:lang w:val="en-CA"/>
        </w:rPr>
        <w:t>，为此，</w:t>
      </w:r>
      <w:r w:rsidR="001A5C0A" w:rsidRPr="000C0842">
        <w:rPr>
          <w:rFonts w:eastAsia="SimSun"/>
          <w:sz w:val="24"/>
          <w:szCs w:val="24"/>
          <w:lang w:val="en-CA"/>
        </w:rPr>
        <w:t>《昆蒙框架》</w:t>
      </w:r>
      <w:r w:rsidRPr="000C0842">
        <w:rPr>
          <w:rFonts w:eastAsia="SimSun"/>
          <w:sz w:val="24"/>
          <w:szCs w:val="24"/>
          <w:lang w:val="en-CA"/>
        </w:rPr>
        <w:t>的任何内容都不得被解释为削弱或消除土著人民目前拥有或未来可能获得的权利，</w:t>
      </w:r>
    </w:p>
    <w:p w14:paraId="25C4C152" w14:textId="16291056" w:rsidR="006D5DBD" w:rsidRPr="000C0842" w:rsidRDefault="006D5DBD" w:rsidP="0045379F">
      <w:pPr>
        <w:tabs>
          <w:tab w:val="clear" w:pos="567"/>
          <w:tab w:val="clear" w:pos="1134"/>
          <w:tab w:val="clear" w:pos="1701"/>
          <w:tab w:val="clear" w:pos="2268"/>
        </w:tabs>
        <w:spacing w:before="120" w:after="120"/>
        <w:ind w:left="490" w:firstLine="562"/>
        <w:jc w:val="left"/>
        <w:rPr>
          <w:rFonts w:eastAsia="SimSun"/>
          <w:spacing w:val="6"/>
          <w:kern w:val="2"/>
          <w:sz w:val="24"/>
          <w:szCs w:val="24"/>
          <w:lang w:val="en-CA"/>
          <w14:ligatures w14:val="standardContextual"/>
        </w:rPr>
      </w:pPr>
      <w:r w:rsidRPr="000C0842">
        <w:rPr>
          <w:rFonts w:ascii="STKaiti" w:eastAsia="STKaiti" w:hAnsi="STKaiti"/>
          <w:spacing w:val="6"/>
          <w:kern w:val="2"/>
          <w:sz w:val="24"/>
          <w:szCs w:val="24"/>
          <w:lang w:val="en-CA"/>
          <w14:ligatures w14:val="standardContextual"/>
        </w:rPr>
        <w:t>审议</w:t>
      </w:r>
      <w:r w:rsidRPr="000C0842">
        <w:rPr>
          <w:rFonts w:eastAsia="KaiTi"/>
          <w:spacing w:val="6"/>
          <w:kern w:val="2"/>
          <w:sz w:val="24"/>
          <w:szCs w:val="24"/>
          <w:lang w:val="en-CA"/>
          <w14:ligatures w14:val="standardContextual"/>
        </w:rPr>
        <w:t>了</w:t>
      </w:r>
      <w:r w:rsidRPr="000C0842">
        <w:rPr>
          <w:rFonts w:eastAsia="SimSun"/>
          <w:spacing w:val="6"/>
          <w:kern w:val="2"/>
          <w:sz w:val="24"/>
          <w:szCs w:val="24"/>
          <w:lang w:val="en-CA"/>
          <w14:ligatures w14:val="standardContextual"/>
        </w:rPr>
        <w:t>秘书处关于土著问题常设论坛与《生物多样性公约》</w:t>
      </w:r>
      <w:r w:rsidRPr="000C0842">
        <w:rPr>
          <w:rFonts w:eastAsia="SimSun"/>
          <w:spacing w:val="6"/>
          <w:kern w:val="2"/>
          <w:sz w:val="24"/>
          <w:szCs w:val="24"/>
          <w:vertAlign w:val="superscript"/>
          <w:lang w:val="en-CA"/>
          <w14:ligatures w14:val="standardContextual"/>
        </w:rPr>
        <w:footnoteReference w:id="68"/>
      </w:r>
      <w:r w:rsidRPr="000C0842">
        <w:rPr>
          <w:rFonts w:eastAsia="SimSun"/>
          <w:spacing w:val="6"/>
          <w:kern w:val="2"/>
          <w:sz w:val="24"/>
          <w:szCs w:val="24"/>
          <w:lang w:val="en-CA"/>
          <w14:ligatures w14:val="standardContextual"/>
        </w:rPr>
        <w:t>有关的建议的说明</w:t>
      </w:r>
      <w:r w:rsidRPr="000C0842">
        <w:rPr>
          <w:rFonts w:eastAsia="SimSun"/>
          <w:spacing w:val="6"/>
          <w:kern w:val="2"/>
          <w:sz w:val="24"/>
          <w:szCs w:val="24"/>
          <w:vertAlign w:val="superscript"/>
          <w:lang w:val="en-CA"/>
          <w14:ligatures w14:val="standardContextual"/>
        </w:rPr>
        <w:footnoteReference w:id="69"/>
      </w:r>
      <w:r w:rsidRPr="000C0842">
        <w:rPr>
          <w:rFonts w:eastAsia="SimSun" w:hint="eastAsia"/>
          <w:spacing w:val="6"/>
          <w:kern w:val="2"/>
          <w:sz w:val="24"/>
          <w:szCs w:val="24"/>
          <w:lang w:val="en-CA"/>
          <w14:ligatures w14:val="standardContextual"/>
        </w:rPr>
        <w:t>，</w:t>
      </w:r>
    </w:p>
    <w:p w14:paraId="08391ADE" w14:textId="77777777" w:rsidR="006D5DBD" w:rsidRPr="000C0842" w:rsidRDefault="006D5DBD" w:rsidP="006D5DBD">
      <w:pPr>
        <w:tabs>
          <w:tab w:val="clear" w:pos="567"/>
          <w:tab w:val="clear" w:pos="1134"/>
          <w:tab w:val="clear" w:pos="2268"/>
        </w:tabs>
        <w:spacing w:before="120" w:after="120"/>
        <w:ind w:left="567" w:firstLine="567"/>
        <w:jc w:val="left"/>
        <w:rPr>
          <w:rFonts w:eastAsia="SimSun"/>
          <w:kern w:val="2"/>
          <w:sz w:val="24"/>
          <w:szCs w:val="24"/>
          <w:lang w:val="en-CA"/>
          <w14:ligatures w14:val="standardContextual"/>
        </w:rPr>
      </w:pPr>
      <w:r w:rsidRPr="000C0842">
        <w:rPr>
          <w:rFonts w:eastAsia="SimSun"/>
          <w:kern w:val="2"/>
          <w:sz w:val="24"/>
          <w:szCs w:val="24"/>
          <w:lang w:val="en-CA"/>
          <w14:ligatures w14:val="standardContextual"/>
        </w:rPr>
        <w:t>1.</w:t>
      </w:r>
      <w:r w:rsidRPr="000C0842">
        <w:rPr>
          <w:rFonts w:eastAsia="SimSun"/>
          <w:kern w:val="2"/>
          <w:sz w:val="24"/>
          <w:szCs w:val="24"/>
          <w:lang w:val="en-CA"/>
          <w14:ligatures w14:val="standardContextual"/>
        </w:rPr>
        <w:tab/>
      </w:r>
      <w:r w:rsidRPr="000C0842">
        <w:rPr>
          <w:rFonts w:eastAsia="KaiTi" w:hint="eastAsia"/>
          <w:kern w:val="2"/>
          <w:sz w:val="24"/>
          <w:szCs w:val="24"/>
          <w:lang w:val="en-CA"/>
          <w14:ligatures w14:val="standardContextual"/>
        </w:rPr>
        <w:t>表示</w:t>
      </w:r>
      <w:r w:rsidRPr="000C0842">
        <w:rPr>
          <w:rFonts w:ascii="STKaiti" w:eastAsia="STKaiti" w:hAnsi="STKaiti"/>
          <w:kern w:val="2"/>
          <w:sz w:val="24"/>
          <w:szCs w:val="24"/>
          <w14:ligatures w14:val="standardContextual"/>
        </w:rPr>
        <w:t>注意到</w:t>
      </w:r>
      <w:r w:rsidRPr="000C0842">
        <w:rPr>
          <w:rFonts w:eastAsia="SimSun"/>
          <w:kern w:val="2"/>
          <w:sz w:val="24"/>
          <w:szCs w:val="24"/>
          <w14:ligatures w14:val="standardContextual"/>
        </w:rPr>
        <w:t>土著问题常设论坛第二十</w:t>
      </w:r>
      <w:r w:rsidRPr="000C0842">
        <w:rPr>
          <w:rFonts w:eastAsia="SimSun" w:hint="eastAsia"/>
          <w:kern w:val="2"/>
          <w:sz w:val="24"/>
          <w:szCs w:val="24"/>
          <w14:ligatures w14:val="standardContextual"/>
        </w:rPr>
        <w:t>届</w:t>
      </w:r>
      <w:r w:rsidRPr="000C0842">
        <w:rPr>
          <w:rFonts w:eastAsia="SimSun"/>
          <w:kern w:val="2"/>
          <w:sz w:val="24"/>
          <w:szCs w:val="24"/>
          <w14:ligatures w14:val="standardContextual"/>
        </w:rPr>
        <w:t>、第二十一</w:t>
      </w:r>
      <w:r w:rsidRPr="000C0842">
        <w:rPr>
          <w:rFonts w:eastAsia="SimSun" w:hint="eastAsia"/>
          <w:kern w:val="2"/>
          <w:sz w:val="24"/>
          <w:szCs w:val="24"/>
          <w14:ligatures w14:val="standardContextual"/>
        </w:rPr>
        <w:t>届</w:t>
      </w:r>
      <w:r w:rsidRPr="000C0842">
        <w:rPr>
          <w:rFonts w:eastAsia="SimSun"/>
          <w:kern w:val="2"/>
          <w:sz w:val="24"/>
          <w:szCs w:val="24"/>
          <w14:ligatures w14:val="standardContextual"/>
        </w:rPr>
        <w:t>和第二十二届会议提出的意见和建议；</w:t>
      </w:r>
    </w:p>
    <w:p w14:paraId="11C87358" w14:textId="77777777" w:rsidR="006D5DBD" w:rsidRPr="000C0842" w:rsidRDefault="006D5DBD" w:rsidP="006D5DBD">
      <w:pPr>
        <w:tabs>
          <w:tab w:val="clear" w:pos="567"/>
          <w:tab w:val="clear" w:pos="1134"/>
          <w:tab w:val="clear" w:pos="2268"/>
        </w:tabs>
        <w:spacing w:before="120" w:after="120"/>
        <w:ind w:left="567" w:firstLine="567"/>
        <w:jc w:val="left"/>
        <w:rPr>
          <w:rFonts w:eastAsia="SimSun"/>
          <w:spacing w:val="6"/>
          <w:kern w:val="2"/>
          <w:sz w:val="24"/>
          <w:szCs w:val="24"/>
          <w:lang w:val="en-CA"/>
          <w14:ligatures w14:val="standardContextual"/>
        </w:rPr>
      </w:pPr>
      <w:r w:rsidRPr="000C0842">
        <w:rPr>
          <w:rFonts w:eastAsia="SimSun"/>
          <w:spacing w:val="6"/>
          <w:kern w:val="2"/>
          <w:sz w:val="24"/>
          <w:szCs w:val="24"/>
          <w:lang w:val="en-CA"/>
          <w14:ligatures w14:val="standardContextual"/>
        </w:rPr>
        <w:t>2.</w:t>
      </w:r>
      <w:r w:rsidRPr="000C0842">
        <w:rPr>
          <w:rFonts w:eastAsia="SimSun"/>
          <w:spacing w:val="6"/>
          <w:kern w:val="2"/>
          <w:sz w:val="24"/>
          <w:szCs w:val="24"/>
          <w:lang w:val="en-CA"/>
          <w14:ligatures w14:val="standardContextual"/>
        </w:rPr>
        <w:tab/>
      </w:r>
      <w:r w:rsidRPr="000C0842">
        <w:rPr>
          <w:rFonts w:ascii="KaiTi" w:eastAsia="KaiTi" w:hAnsi="KaiTi"/>
          <w:spacing w:val="6"/>
          <w:kern w:val="2"/>
          <w:sz w:val="24"/>
          <w:szCs w:val="24"/>
          <w14:ligatures w14:val="standardContextual"/>
        </w:rPr>
        <w:t>请</w:t>
      </w:r>
      <w:r w:rsidRPr="000C0842">
        <w:rPr>
          <w:rFonts w:eastAsia="SimSun"/>
          <w:spacing w:val="6"/>
          <w:kern w:val="2"/>
          <w:sz w:val="24"/>
          <w:szCs w:val="24"/>
          <w14:ligatures w14:val="standardContextual"/>
        </w:rPr>
        <w:t>执行秘书继续就共同关心的问题与土著问题常设论坛交流信息，并</w:t>
      </w:r>
      <w:r w:rsidRPr="000C0842">
        <w:rPr>
          <w:rFonts w:eastAsia="SimSun" w:hint="eastAsia"/>
          <w:spacing w:val="6"/>
          <w:kern w:val="2"/>
          <w:sz w:val="24"/>
          <w:szCs w:val="24"/>
          <w14:ligatures w14:val="standardContextual"/>
        </w:rPr>
        <w:t>就</w:t>
      </w:r>
      <w:r w:rsidRPr="000C0842">
        <w:rPr>
          <w:rFonts w:eastAsia="SimSun"/>
          <w:spacing w:val="6"/>
          <w:kern w:val="2"/>
          <w:sz w:val="24"/>
          <w:szCs w:val="24"/>
          <w14:ligatures w14:val="standardContextual"/>
        </w:rPr>
        <w:t>《生物多样性公约》</w:t>
      </w:r>
      <w:r w:rsidRPr="000C0842">
        <w:rPr>
          <w:rFonts w:eastAsia="SimSun" w:hint="eastAsia"/>
          <w:spacing w:val="6"/>
          <w:kern w:val="2"/>
          <w:sz w:val="24"/>
          <w:szCs w:val="24"/>
          <w14:ligatures w14:val="standardContextual"/>
        </w:rPr>
        <w:t>方面</w:t>
      </w:r>
      <w:r w:rsidRPr="000C0842">
        <w:rPr>
          <w:rFonts w:eastAsia="SimSun"/>
          <w:spacing w:val="6"/>
          <w:kern w:val="2"/>
          <w:sz w:val="24"/>
          <w:szCs w:val="24"/>
          <w14:ligatures w14:val="standardContextual"/>
        </w:rPr>
        <w:t>开展的</w:t>
      </w:r>
      <w:r w:rsidRPr="000C0842">
        <w:rPr>
          <w:rFonts w:eastAsia="SimSun" w:hint="eastAsia"/>
          <w:spacing w:val="6"/>
          <w:kern w:val="2"/>
          <w:sz w:val="24"/>
          <w:szCs w:val="24"/>
          <w14:ligatures w14:val="standardContextual"/>
        </w:rPr>
        <w:t>有关</w:t>
      </w:r>
      <w:r w:rsidRPr="000C0842">
        <w:rPr>
          <w:rFonts w:eastAsia="SimSun"/>
          <w:spacing w:val="6"/>
          <w:kern w:val="2"/>
          <w:sz w:val="24"/>
          <w:szCs w:val="24"/>
          <w14:ligatures w14:val="standardContextual"/>
        </w:rPr>
        <w:t>土著人民和地方社区权利的活动向论坛提供信息。</w:t>
      </w:r>
    </w:p>
    <w:p w14:paraId="51FDAF64" w14:textId="2B9A5852" w:rsidR="006D5DBD" w:rsidRPr="000C0842" w:rsidRDefault="006D5DBD" w:rsidP="006D5DBD">
      <w:pPr>
        <w:suppressLineNumbers/>
        <w:suppressAutoHyphens/>
        <w:jc w:val="center"/>
        <w:rPr>
          <w:rFonts w:eastAsia="SimSun"/>
          <w:kern w:val="22"/>
          <w:sz w:val="24"/>
          <w:szCs w:val="24"/>
        </w:rPr>
      </w:pPr>
      <w:r w:rsidRPr="000C0842">
        <w:rPr>
          <w:rFonts w:eastAsia="SimSun" w:hint="eastAsia"/>
          <w:kern w:val="22"/>
          <w:sz w:val="24"/>
          <w:szCs w:val="24"/>
        </w:rPr>
        <w:t xml:space="preserve"> </w:t>
      </w:r>
    </w:p>
    <w:p w14:paraId="16B58E99" w14:textId="595E225C" w:rsidR="006D5DBD" w:rsidRPr="000C0842" w:rsidRDefault="006D5DBD">
      <w:pPr>
        <w:tabs>
          <w:tab w:val="clear" w:pos="567"/>
          <w:tab w:val="clear" w:pos="1134"/>
          <w:tab w:val="clear" w:pos="1701"/>
          <w:tab w:val="clear" w:pos="2268"/>
        </w:tabs>
        <w:jc w:val="left"/>
        <w:rPr>
          <w:rFonts w:eastAsia="SimSun"/>
          <w:kern w:val="22"/>
          <w:sz w:val="24"/>
          <w:szCs w:val="24"/>
        </w:rPr>
      </w:pPr>
      <w:r w:rsidRPr="000C0842">
        <w:rPr>
          <w:rFonts w:eastAsia="SimSun"/>
          <w:kern w:val="22"/>
          <w:sz w:val="24"/>
          <w:szCs w:val="24"/>
        </w:rPr>
        <w:br w:type="page"/>
      </w:r>
    </w:p>
    <w:p w14:paraId="2AF2DB97" w14:textId="59A3F664" w:rsidR="006D5DBD" w:rsidRPr="000C0842" w:rsidRDefault="006D5DBD" w:rsidP="002437E6">
      <w:pPr>
        <w:pStyle w:val="a1"/>
        <w:rPr>
          <w:rFonts w:hint="eastAsia"/>
          <w:lang w:eastAsia="zh-CN"/>
        </w:rPr>
      </w:pPr>
      <w:bookmarkStart w:id="18" w:name="_Toc206358201"/>
      <w:r w:rsidRPr="000C0842">
        <w:rPr>
          <w:lang w:eastAsia="zh-CN"/>
        </w:rPr>
        <w:t>16/9.</w:t>
      </w:r>
      <w:r w:rsidRPr="000C0842">
        <w:rPr>
          <w:lang w:eastAsia="zh-CN"/>
        </w:rPr>
        <w:tab/>
      </w:r>
      <w:r w:rsidRPr="000C0842">
        <w:rPr>
          <w:rFonts w:hint="eastAsia"/>
          <w:lang w:eastAsia="zh-CN"/>
        </w:rPr>
        <w:t xml:space="preserve"> </w:t>
      </w:r>
      <w:r w:rsidRPr="000C0842">
        <w:rPr>
          <w:lang w:eastAsia="zh-CN"/>
        </w:rPr>
        <w:t>信息交换所机制和知识管理</w:t>
      </w:r>
      <w:bookmarkEnd w:id="18"/>
    </w:p>
    <w:p w14:paraId="41DEFB62" w14:textId="77777777" w:rsidR="006D5DBD" w:rsidRPr="000C0842" w:rsidRDefault="006D5DBD" w:rsidP="0034488F">
      <w:pPr>
        <w:pStyle w:val="a0"/>
        <w:rPr>
          <w:rStyle w:val="CBD3"/>
          <w:rFonts w:hint="eastAsia"/>
          <w:b/>
          <w:szCs w:val="22"/>
        </w:rPr>
      </w:pPr>
      <w:bookmarkStart w:id="19" w:name="_Toc206355238"/>
      <w:bookmarkStart w:id="20" w:name="_Toc206358202"/>
      <w:r w:rsidRPr="000C0842">
        <w:rPr>
          <w:rStyle w:val="CBD3"/>
          <w:b/>
          <w:szCs w:val="22"/>
        </w:rPr>
        <w:t>A</w:t>
      </w:r>
      <w:bookmarkEnd w:id="19"/>
      <w:bookmarkEnd w:id="20"/>
    </w:p>
    <w:p w14:paraId="225EBC0A" w14:textId="0B984C53" w:rsidR="006D5DBD" w:rsidRPr="000C0842" w:rsidRDefault="006D5DBD" w:rsidP="0034488F">
      <w:pPr>
        <w:pStyle w:val="a0"/>
        <w:rPr>
          <w:rStyle w:val="CBD3"/>
          <w:rFonts w:hint="eastAsia"/>
        </w:rPr>
      </w:pPr>
      <w:bookmarkStart w:id="21" w:name="_Toc206358203"/>
      <w:r w:rsidRPr="000C0842">
        <w:rPr>
          <w:rStyle w:val="CBD3"/>
          <w:b/>
          <w:szCs w:val="22"/>
        </w:rPr>
        <w:t>信息交换所机制</w:t>
      </w:r>
      <w:bookmarkEnd w:id="21"/>
    </w:p>
    <w:p w14:paraId="27609284" w14:textId="77777777" w:rsidR="006D5DBD" w:rsidRPr="000C0842" w:rsidRDefault="006D5DBD" w:rsidP="006D5DBD">
      <w:pPr>
        <w:spacing w:before="120" w:after="120"/>
        <w:ind w:left="490" w:firstLine="490"/>
        <w:rPr>
          <w:rFonts w:eastAsia="SimSun"/>
          <w:sz w:val="24"/>
          <w:szCs w:val="24"/>
        </w:rPr>
      </w:pPr>
      <w:r w:rsidRPr="000C0842">
        <w:rPr>
          <w:rFonts w:eastAsia="KaiTi"/>
          <w:sz w:val="24"/>
          <w:szCs w:val="24"/>
        </w:rPr>
        <w:t>缔约方大会</w:t>
      </w:r>
      <w:r w:rsidRPr="000C0842">
        <w:rPr>
          <w:rFonts w:eastAsia="SimSun"/>
          <w:sz w:val="24"/>
          <w:szCs w:val="24"/>
        </w:rPr>
        <w:t>，</w:t>
      </w:r>
    </w:p>
    <w:p w14:paraId="3EE1A559" w14:textId="77777777" w:rsidR="006D5DBD" w:rsidRPr="000C0842" w:rsidRDefault="006D5DBD" w:rsidP="006D5DBD">
      <w:pPr>
        <w:spacing w:before="120" w:after="120"/>
        <w:ind w:left="490" w:firstLine="490"/>
        <w:rPr>
          <w:rFonts w:eastAsia="SimSun"/>
          <w:sz w:val="24"/>
          <w:szCs w:val="24"/>
        </w:rPr>
      </w:pPr>
      <w:r w:rsidRPr="000C0842">
        <w:rPr>
          <w:rFonts w:eastAsia="KaiTi"/>
          <w:sz w:val="24"/>
          <w:szCs w:val="24"/>
        </w:rPr>
        <w:t>回顾</w:t>
      </w:r>
      <w:r w:rsidRPr="000C0842">
        <w:rPr>
          <w:rFonts w:eastAsia="SimSun"/>
          <w:sz w:val="24"/>
          <w:szCs w:val="24"/>
        </w:rPr>
        <w:t>2012</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49" w:history="1">
        <w:r w:rsidRPr="000C0842">
          <w:rPr>
            <w:rFonts w:eastAsia="SimSun"/>
            <w:sz w:val="24"/>
            <w:szCs w:val="24"/>
            <w:u w:val="single"/>
          </w:rPr>
          <w:t>XI/2</w:t>
        </w:r>
      </w:hyperlink>
      <w:r w:rsidRPr="000C0842">
        <w:rPr>
          <w:rFonts w:eastAsia="SimSun"/>
          <w:sz w:val="24"/>
          <w:szCs w:val="24"/>
        </w:rPr>
        <w:t>号、</w:t>
      </w:r>
      <w:r w:rsidRPr="000C0842">
        <w:rPr>
          <w:rFonts w:eastAsia="SimSun"/>
          <w:sz w:val="24"/>
          <w:szCs w:val="24"/>
        </w:rPr>
        <w:t>2014</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17</w:t>
      </w:r>
      <w:r w:rsidRPr="000C0842">
        <w:rPr>
          <w:rFonts w:eastAsia="SimSun"/>
          <w:sz w:val="24"/>
          <w:szCs w:val="24"/>
        </w:rPr>
        <w:t>日第</w:t>
      </w:r>
      <w:hyperlink r:id="rId50" w:history="1">
        <w:r w:rsidRPr="000C0842">
          <w:rPr>
            <w:rFonts w:eastAsia="SimSun"/>
            <w:sz w:val="24"/>
            <w:szCs w:val="24"/>
            <w:u w:val="single"/>
          </w:rPr>
          <w:t>XII/2 B</w:t>
        </w:r>
      </w:hyperlink>
      <w:r w:rsidRPr="000C0842">
        <w:rPr>
          <w:rFonts w:eastAsia="SimSun"/>
          <w:sz w:val="24"/>
          <w:szCs w:val="24"/>
        </w:rPr>
        <w:t>号、</w:t>
      </w:r>
      <w:r w:rsidRPr="000C0842">
        <w:rPr>
          <w:rFonts w:eastAsia="SimSun"/>
          <w:sz w:val="24"/>
          <w:szCs w:val="24"/>
        </w:rPr>
        <w:t>2016</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17</w:t>
      </w:r>
      <w:r w:rsidRPr="000C0842">
        <w:rPr>
          <w:rFonts w:eastAsia="SimSun"/>
          <w:sz w:val="24"/>
          <w:szCs w:val="24"/>
        </w:rPr>
        <w:t>日第</w:t>
      </w:r>
      <w:hyperlink r:id="rId51" w:history="1">
        <w:r w:rsidRPr="000C0842">
          <w:rPr>
            <w:rFonts w:eastAsia="SimSun"/>
            <w:sz w:val="24"/>
            <w:szCs w:val="24"/>
            <w:u w:val="single"/>
          </w:rPr>
          <w:t>XIII/23</w:t>
        </w:r>
      </w:hyperlink>
      <w:r w:rsidRPr="000C0842">
        <w:rPr>
          <w:rFonts w:eastAsia="SimSun"/>
          <w:sz w:val="24"/>
          <w:szCs w:val="24"/>
        </w:rPr>
        <w:t>号、</w:t>
      </w:r>
      <w:r w:rsidRPr="000C0842">
        <w:rPr>
          <w:rFonts w:eastAsia="SimSun"/>
          <w:sz w:val="24"/>
          <w:szCs w:val="24"/>
        </w:rPr>
        <w:t>2018</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29</w:t>
      </w:r>
      <w:r w:rsidRPr="000C0842">
        <w:rPr>
          <w:rFonts w:eastAsia="SimSun"/>
          <w:sz w:val="24"/>
          <w:szCs w:val="24"/>
        </w:rPr>
        <w:t>日第</w:t>
      </w:r>
      <w:hyperlink r:id="rId52" w:history="1">
        <w:r w:rsidRPr="000C0842">
          <w:rPr>
            <w:rFonts w:eastAsia="SimSun"/>
            <w:sz w:val="24"/>
            <w:szCs w:val="24"/>
            <w:u w:val="single"/>
          </w:rPr>
          <w:t>14/25</w:t>
        </w:r>
      </w:hyperlink>
      <w:r w:rsidRPr="000C0842">
        <w:rPr>
          <w:rFonts w:eastAsia="SimSun"/>
          <w:sz w:val="24"/>
          <w:szCs w:val="24"/>
        </w:rPr>
        <w:t>号和</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53" w:history="1">
        <w:r w:rsidRPr="000C0842">
          <w:rPr>
            <w:rFonts w:eastAsia="SimSun"/>
            <w:sz w:val="24"/>
            <w:szCs w:val="24"/>
            <w:u w:val="single"/>
          </w:rPr>
          <w:t>15/16</w:t>
        </w:r>
      </w:hyperlink>
      <w:r w:rsidRPr="000C0842">
        <w:rPr>
          <w:rFonts w:eastAsia="SimSun"/>
          <w:sz w:val="24"/>
          <w:szCs w:val="24"/>
        </w:rPr>
        <w:t>号决定，</w:t>
      </w:r>
    </w:p>
    <w:p w14:paraId="7191278A" w14:textId="77777777" w:rsidR="006D5DBD" w:rsidRPr="000C0842" w:rsidRDefault="00000000" w:rsidP="006D5DBD">
      <w:pPr>
        <w:spacing w:before="120" w:after="120"/>
        <w:ind w:left="490" w:firstLine="490"/>
        <w:rPr>
          <w:rFonts w:eastAsia="SimSun"/>
          <w:sz w:val="24"/>
          <w:szCs w:val="24"/>
        </w:rPr>
      </w:pPr>
      <w:sdt>
        <w:sdtPr>
          <w:rPr>
            <w:rFonts w:eastAsia="SimSun"/>
            <w:sz w:val="24"/>
            <w:szCs w:val="24"/>
          </w:rPr>
          <w:tag w:val="goog_rdk_11"/>
          <w:id w:val="-1336603943"/>
        </w:sdtPr>
        <w:sdtContent>
          <w:r w:rsidR="006D5DBD" w:rsidRPr="000C0842">
            <w:rPr>
              <w:rFonts w:eastAsia="KaiTi"/>
              <w:sz w:val="24"/>
              <w:szCs w:val="24"/>
            </w:rPr>
            <w:t>强调</w:t>
          </w:r>
          <w:r w:rsidR="006D5DBD" w:rsidRPr="000C0842">
            <w:rPr>
              <w:rFonts w:eastAsia="SimSun"/>
              <w:sz w:val="24"/>
              <w:szCs w:val="24"/>
            </w:rPr>
            <w:t>信息交换所机制对于支持《昆明</w:t>
          </w:r>
          <w:r w:rsidR="006D5DBD" w:rsidRPr="000C0842">
            <w:rPr>
              <w:rFonts w:eastAsia="SimSun"/>
              <w:sz w:val="24"/>
              <w:szCs w:val="24"/>
            </w:rPr>
            <w:t>-</w:t>
          </w:r>
          <w:r w:rsidR="006D5DBD" w:rsidRPr="000C0842">
            <w:rPr>
              <w:rFonts w:eastAsia="SimSun"/>
              <w:sz w:val="24"/>
              <w:szCs w:val="24"/>
            </w:rPr>
            <w:t>蒙特利尔全球生物多样性框架》</w:t>
          </w:r>
        </w:sdtContent>
      </w:sdt>
      <w:r w:rsidR="006D5DBD" w:rsidRPr="000C0842">
        <w:rPr>
          <w:rFonts w:eastAsia="SimSun"/>
          <w:sz w:val="24"/>
          <w:szCs w:val="24"/>
          <w:vertAlign w:val="superscript"/>
        </w:rPr>
        <w:footnoteReference w:id="70"/>
      </w:r>
      <w:sdt>
        <w:sdtPr>
          <w:rPr>
            <w:rFonts w:eastAsia="SimSun"/>
            <w:sz w:val="24"/>
            <w:szCs w:val="24"/>
          </w:rPr>
          <w:tag w:val="goog_rdk_12"/>
          <w:id w:val="1744528259"/>
        </w:sdtPr>
        <w:sdtContent>
          <w:r w:rsidR="006D5DBD" w:rsidRPr="000C0842">
            <w:rPr>
              <w:rFonts w:eastAsia="SimSun"/>
              <w:sz w:val="24"/>
              <w:szCs w:val="24"/>
            </w:rPr>
            <w:t>的执行至关重要，</w:t>
          </w:r>
        </w:sdtContent>
      </w:sdt>
    </w:p>
    <w:p w14:paraId="68A6BBA9" w14:textId="77777777" w:rsidR="006D5DBD" w:rsidRPr="000C0842" w:rsidRDefault="006D5DBD" w:rsidP="006D5DBD">
      <w:pPr>
        <w:spacing w:before="120" w:after="120"/>
        <w:ind w:left="490" w:firstLine="490"/>
        <w:rPr>
          <w:rFonts w:eastAsia="SimSun"/>
          <w:sz w:val="24"/>
          <w:szCs w:val="24"/>
        </w:rPr>
      </w:pPr>
      <w:r w:rsidRPr="000C0842">
        <w:rPr>
          <w:rFonts w:eastAsia="KaiTi"/>
          <w:sz w:val="24"/>
          <w:szCs w:val="24"/>
        </w:rPr>
        <w:t>认识到</w:t>
      </w:r>
      <w:r w:rsidRPr="000C0842">
        <w:rPr>
          <w:rFonts w:eastAsia="SimSun"/>
          <w:sz w:val="24"/>
          <w:szCs w:val="24"/>
        </w:rPr>
        <w:t>信息交换所机制在支持科技合作机制</w:t>
      </w:r>
      <w:r w:rsidRPr="000C0842">
        <w:rPr>
          <w:rFonts w:eastAsia="SimSun"/>
          <w:sz w:val="24"/>
          <w:szCs w:val="24"/>
          <w:vertAlign w:val="superscript"/>
        </w:rPr>
        <w:footnoteReference w:id="71"/>
      </w:r>
      <w:r w:rsidRPr="000C0842">
        <w:rPr>
          <w:rFonts w:eastAsia="SimSun"/>
          <w:sz w:val="24"/>
          <w:szCs w:val="24"/>
        </w:rPr>
        <w:t>、支持实施</w:t>
      </w:r>
      <w:r w:rsidRPr="000C0842">
        <w:rPr>
          <w:rFonts w:eastAsia="SimSun"/>
          <w:sz w:val="24"/>
          <w:szCs w:val="24"/>
        </w:rPr>
        <w:t>2024</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日第</w:t>
      </w:r>
      <w:r w:rsidRPr="000C0842">
        <w:rPr>
          <w:rFonts w:eastAsia="SimSun"/>
          <w:sz w:val="24"/>
          <w:szCs w:val="24"/>
        </w:rPr>
        <w:t>16/9 B</w:t>
      </w:r>
      <w:r w:rsidRPr="000C0842">
        <w:rPr>
          <w:rFonts w:eastAsia="SimSun"/>
          <w:sz w:val="24"/>
          <w:szCs w:val="24"/>
        </w:rPr>
        <w:t>号决定附件所载《昆蒙框架》</w:t>
      </w:r>
      <w:r w:rsidRPr="000C0842">
        <w:rPr>
          <w:rFonts w:eastAsia="SimSun"/>
          <w:sz w:val="24"/>
          <w:szCs w:val="24"/>
          <w:vertAlign w:val="superscript"/>
        </w:rPr>
        <w:footnoteReference w:id="72"/>
      </w:r>
      <w:r w:rsidRPr="000C0842">
        <w:rPr>
          <w:rFonts w:eastAsia="SimSun"/>
          <w:sz w:val="24"/>
          <w:szCs w:val="24"/>
        </w:rPr>
        <w:t>的知识管理战略、支持执行《昆蒙框架》</w:t>
      </w:r>
      <w:sdt>
        <w:sdtPr>
          <w:rPr>
            <w:rFonts w:eastAsia="SimSun"/>
            <w:sz w:val="24"/>
            <w:szCs w:val="24"/>
          </w:rPr>
          <w:tag w:val="goog_rdk_14"/>
          <w:id w:val="-885175638"/>
        </w:sdtPr>
        <w:sdtContent>
          <w:r w:rsidRPr="000C0842">
            <w:rPr>
              <w:rFonts w:eastAsia="SimSun"/>
              <w:sz w:val="24"/>
              <w:szCs w:val="24"/>
            </w:rPr>
            <w:t>的传播战略以及加强多层面规划、监测、报告和审查方法</w:t>
          </w:r>
          <w:r w:rsidRPr="000C0842">
            <w:rPr>
              <w:rFonts w:eastAsia="SimSun"/>
              <w:sz w:val="24"/>
              <w:szCs w:val="24"/>
              <w:vertAlign w:val="superscript"/>
            </w:rPr>
            <w:footnoteReference w:id="73"/>
          </w:r>
          <w:r w:rsidRPr="000C0842">
            <w:rPr>
              <w:rFonts w:eastAsia="SimSun"/>
              <w:sz w:val="24"/>
              <w:szCs w:val="24"/>
            </w:rPr>
            <w:t>方面的重要性，</w:t>
          </w:r>
        </w:sdtContent>
      </w:sdt>
    </w:p>
    <w:p w14:paraId="5F7A3D33" w14:textId="77777777" w:rsidR="006D5DBD" w:rsidRPr="000C0842" w:rsidRDefault="006D5DBD" w:rsidP="006D5DBD">
      <w:pPr>
        <w:spacing w:before="120" w:after="120"/>
        <w:ind w:left="490" w:firstLine="490"/>
        <w:rPr>
          <w:rFonts w:eastAsia="SimSun"/>
          <w:sz w:val="24"/>
          <w:szCs w:val="24"/>
        </w:rPr>
      </w:pPr>
      <w:r w:rsidRPr="000C0842">
        <w:rPr>
          <w:rFonts w:eastAsia="KaiTi"/>
          <w:sz w:val="24"/>
          <w:szCs w:val="24"/>
        </w:rPr>
        <w:t>又认识到</w:t>
      </w:r>
      <w:r w:rsidRPr="000C0842">
        <w:rPr>
          <w:rFonts w:eastAsia="SimSun"/>
          <w:sz w:val="24"/>
          <w:szCs w:val="24"/>
        </w:rPr>
        <w:t>信息交换所机制应符合并支持数据主权，而数据主权须</w:t>
      </w:r>
      <w:r w:rsidRPr="000C0842">
        <w:rPr>
          <w:rFonts w:eastAsia="SimSun" w:hint="eastAsia"/>
          <w:sz w:val="24"/>
          <w:szCs w:val="24"/>
        </w:rPr>
        <w:t>以</w:t>
      </w:r>
      <w:r w:rsidRPr="000C0842">
        <w:rPr>
          <w:rFonts w:eastAsia="SimSun"/>
          <w:sz w:val="24"/>
          <w:szCs w:val="24"/>
        </w:rPr>
        <w:t>有关数据共享的国家政策和法律以及国际法规</w:t>
      </w:r>
      <w:r w:rsidRPr="000C0842">
        <w:rPr>
          <w:rFonts w:eastAsia="SimSun" w:hint="eastAsia"/>
          <w:sz w:val="24"/>
          <w:szCs w:val="24"/>
        </w:rPr>
        <w:t>为限</w:t>
      </w:r>
      <w:r w:rsidRPr="000C0842">
        <w:rPr>
          <w:rFonts w:eastAsia="SimSun"/>
          <w:sz w:val="24"/>
          <w:szCs w:val="24"/>
        </w:rPr>
        <w:t>，</w:t>
      </w:r>
    </w:p>
    <w:p w14:paraId="464A3019" w14:textId="77777777" w:rsidR="0045379F"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通过</w:t>
      </w:r>
      <w:r w:rsidRPr="000C0842">
        <w:rPr>
          <w:rFonts w:eastAsia="SimSun"/>
          <w:sz w:val="24"/>
          <w:szCs w:val="24"/>
        </w:rPr>
        <w:t>本决定附件一所载</w:t>
      </w:r>
      <w:r w:rsidRPr="000C0842">
        <w:rPr>
          <w:rFonts w:eastAsia="SimSun"/>
          <w:sz w:val="24"/>
          <w:szCs w:val="24"/>
        </w:rPr>
        <w:t>2024-2030</w:t>
      </w:r>
      <w:r w:rsidRPr="000C0842">
        <w:rPr>
          <w:rFonts w:eastAsia="SimSun"/>
          <w:sz w:val="24"/>
          <w:szCs w:val="24"/>
        </w:rPr>
        <w:t>年信息交换所机制工作方案；</w:t>
      </w:r>
    </w:p>
    <w:p w14:paraId="395703E0" w14:textId="406466DE"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邀请</w:t>
      </w:r>
      <w:r w:rsidRPr="000C0842">
        <w:rPr>
          <w:rFonts w:eastAsia="SimSun"/>
          <w:sz w:val="24"/>
          <w:szCs w:val="24"/>
        </w:rPr>
        <w:t>缔约方、其他国家政府、全球协调实体、区域和次区域科技合作支持中心、相关倡议和组织执行</w:t>
      </w:r>
      <w:r w:rsidRPr="000C0842">
        <w:rPr>
          <w:rFonts w:eastAsia="SimSun"/>
          <w:sz w:val="24"/>
          <w:szCs w:val="24"/>
        </w:rPr>
        <w:t>2024-2030</w:t>
      </w:r>
      <w:r w:rsidRPr="000C0842">
        <w:rPr>
          <w:rFonts w:eastAsia="SimSun"/>
          <w:sz w:val="24"/>
          <w:szCs w:val="24"/>
        </w:rPr>
        <w:t>年信息交换所机制工作方案，以支持执行《生物多样性公约》</w:t>
      </w:r>
      <w:r w:rsidRPr="000C0842">
        <w:rPr>
          <w:rFonts w:eastAsia="SimSun"/>
          <w:sz w:val="24"/>
          <w:szCs w:val="24"/>
          <w:vertAlign w:val="superscript"/>
        </w:rPr>
        <w:footnoteReference w:id="74"/>
      </w:r>
      <w:r w:rsidRPr="000C0842">
        <w:rPr>
          <w:rFonts w:eastAsia="SimSun"/>
          <w:sz w:val="24"/>
          <w:szCs w:val="24"/>
        </w:rPr>
        <w:t>及其议定书和《昆明</w:t>
      </w:r>
      <w:r w:rsidRPr="000C0842">
        <w:rPr>
          <w:rFonts w:eastAsia="SimSun"/>
          <w:sz w:val="24"/>
          <w:szCs w:val="24"/>
        </w:rPr>
        <w:t>-</w:t>
      </w:r>
      <w:r w:rsidRPr="000C0842">
        <w:rPr>
          <w:rFonts w:eastAsia="SimSun"/>
          <w:sz w:val="24"/>
          <w:szCs w:val="24"/>
        </w:rPr>
        <w:t>蒙特利尔全球生物多样性框架》；</w:t>
      </w:r>
    </w:p>
    <w:p w14:paraId="5A3C8210"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鼓励</w:t>
      </w:r>
      <w:r w:rsidRPr="000C0842">
        <w:rPr>
          <w:rFonts w:eastAsia="SimSun"/>
          <w:sz w:val="24"/>
          <w:szCs w:val="24"/>
        </w:rPr>
        <w:t>缔约方继续采取必要步骤，设立或加强国家信息交换所机制并确保其可持续性，同时考虑到国家法规；</w:t>
      </w:r>
    </w:p>
    <w:p w14:paraId="5E5689E9"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又鼓励</w:t>
      </w:r>
      <w:r w:rsidRPr="000C0842">
        <w:rPr>
          <w:rFonts w:eastAsia="SimSun"/>
          <w:sz w:val="24"/>
          <w:szCs w:val="24"/>
        </w:rPr>
        <w:t>缔约方</w:t>
      </w:r>
      <w:r w:rsidRPr="000C0842">
        <w:rPr>
          <w:rFonts w:eastAsia="SimSun" w:hint="eastAsia"/>
          <w:sz w:val="24"/>
          <w:szCs w:val="24"/>
        </w:rPr>
        <w:t>指定</w:t>
      </w:r>
      <w:r w:rsidRPr="000C0842">
        <w:rPr>
          <w:rFonts w:eastAsia="SimSun"/>
          <w:sz w:val="24"/>
          <w:szCs w:val="24"/>
        </w:rPr>
        <w:t>一个国家</w:t>
      </w:r>
      <w:r w:rsidRPr="000C0842">
        <w:rPr>
          <w:rFonts w:eastAsia="SimSun" w:hint="eastAsia"/>
          <w:sz w:val="24"/>
          <w:szCs w:val="24"/>
        </w:rPr>
        <w:t>联络点</w:t>
      </w:r>
      <w:r w:rsidRPr="000C0842">
        <w:rPr>
          <w:rFonts w:eastAsia="SimSun"/>
          <w:sz w:val="24"/>
          <w:szCs w:val="24"/>
        </w:rPr>
        <w:t>，或酌情更新其信息交换所机制国家</w:t>
      </w:r>
      <w:r w:rsidRPr="000C0842">
        <w:rPr>
          <w:rFonts w:eastAsia="SimSun" w:hint="eastAsia"/>
          <w:sz w:val="24"/>
          <w:szCs w:val="24"/>
        </w:rPr>
        <w:t>联络点</w:t>
      </w:r>
      <w:r w:rsidRPr="000C0842">
        <w:rPr>
          <w:rFonts w:eastAsia="SimSun"/>
          <w:sz w:val="24"/>
          <w:szCs w:val="24"/>
        </w:rPr>
        <w:t>的信息，并将这些国家</w:t>
      </w:r>
      <w:r w:rsidRPr="000C0842">
        <w:rPr>
          <w:rFonts w:eastAsia="SimSun" w:hint="eastAsia"/>
          <w:sz w:val="24"/>
          <w:szCs w:val="24"/>
        </w:rPr>
        <w:t>联络点</w:t>
      </w:r>
      <w:r w:rsidRPr="000C0842">
        <w:rPr>
          <w:rFonts w:eastAsia="SimSun"/>
          <w:sz w:val="24"/>
          <w:szCs w:val="24"/>
        </w:rPr>
        <w:t>详细情况通报秘书处；</w:t>
      </w:r>
    </w:p>
    <w:p w14:paraId="38F59147"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敦促</w:t>
      </w:r>
      <w:r w:rsidRPr="000C0842">
        <w:rPr>
          <w:rFonts w:eastAsia="SimSun"/>
          <w:sz w:val="24"/>
          <w:szCs w:val="24"/>
        </w:rPr>
        <w:t>缔约方根据《公约》第</w:t>
      </w:r>
      <w:r w:rsidRPr="000C0842">
        <w:rPr>
          <w:rFonts w:eastAsia="SimSun"/>
          <w:sz w:val="24"/>
          <w:szCs w:val="24"/>
        </w:rPr>
        <w:t xml:space="preserve"> 20 </w:t>
      </w:r>
      <w:r w:rsidRPr="000C0842">
        <w:rPr>
          <w:rFonts w:eastAsia="SimSun"/>
          <w:sz w:val="24"/>
          <w:szCs w:val="24"/>
        </w:rPr>
        <w:t>条和第</w:t>
      </w:r>
      <w:r w:rsidRPr="000C0842">
        <w:rPr>
          <w:rFonts w:eastAsia="SimSun"/>
          <w:sz w:val="24"/>
          <w:szCs w:val="24"/>
        </w:rPr>
        <w:t xml:space="preserve">21 </w:t>
      </w:r>
      <w:r w:rsidRPr="000C0842">
        <w:rPr>
          <w:rFonts w:eastAsia="SimSun"/>
          <w:sz w:val="24"/>
          <w:szCs w:val="24"/>
        </w:rPr>
        <w:t>条，并邀请其他国家政府和相关组织为生物多样性能力建设和发展活动提供财务和技术支持，顾及发展中国家缔约方特别是最不发达国家和小岛屿发展中国家以及经济转型国家缔约方的具体情况，以执行信息交换所机制工作方案；</w:t>
      </w:r>
    </w:p>
    <w:p w14:paraId="3FD31E45"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鼓励</w:t>
      </w:r>
      <w:r w:rsidRPr="000C0842">
        <w:rPr>
          <w:rFonts w:eastAsia="SimSun"/>
          <w:sz w:val="24"/>
          <w:szCs w:val="24"/>
        </w:rPr>
        <w:t>缔约方参加有关的生物多样性相关网络和组织</w:t>
      </w:r>
      <w:r w:rsidRPr="000C0842">
        <w:rPr>
          <w:rFonts w:eastAsia="SimSun"/>
          <w:sz w:val="24"/>
          <w:szCs w:val="24"/>
          <w:vertAlign w:val="superscript"/>
          <w:lang w:val="en-GB"/>
        </w:rPr>
        <w:footnoteReference w:id="75"/>
      </w:r>
      <w:r w:rsidRPr="000C0842">
        <w:rPr>
          <w:rFonts w:eastAsia="SimSun"/>
          <w:sz w:val="24"/>
          <w:szCs w:val="24"/>
        </w:rPr>
        <w:t>，建设数据和信息管理和共享能力，从而有效地管理和保护生物多样性；</w:t>
      </w:r>
    </w:p>
    <w:p w14:paraId="213D0FDD"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请</w:t>
      </w:r>
      <w:r w:rsidRPr="000C0842">
        <w:rPr>
          <w:rFonts w:eastAsia="SimSun"/>
          <w:sz w:val="24"/>
          <w:szCs w:val="24"/>
        </w:rPr>
        <w:t>全球环境基金根据其任务授权，考虑所有符合条件的缔约方的供资申请，使其能够执行信息交换所机制工作方案；</w:t>
      </w:r>
    </w:p>
    <w:p w14:paraId="3E96601C"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邀请区域和次区域支持中心、科技合作机制全球协调实体，秘书处及相关组织和倡议开展合作，促进信息交换所机制工作方案的执行；</w:t>
      </w:r>
    </w:p>
    <w:p w14:paraId="29F1EF4F"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注意到</w:t>
      </w:r>
      <w:r w:rsidRPr="000C0842">
        <w:rPr>
          <w:rFonts w:eastAsia="SimSun"/>
          <w:sz w:val="24"/>
          <w:szCs w:val="24"/>
        </w:rPr>
        <w:t>Bioland</w:t>
      </w:r>
      <w:r w:rsidRPr="000C0842">
        <w:rPr>
          <w:rFonts w:eastAsia="SimSun"/>
          <w:sz w:val="24"/>
          <w:szCs w:val="24"/>
        </w:rPr>
        <w:t>工具的开发进度和互操作性功能，以及已使用该工具建立或加强国家信息交换所机制门户网站的缔约方数目；</w:t>
      </w:r>
    </w:p>
    <w:p w14:paraId="41767B12"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邀请</w:t>
      </w:r>
      <w:r w:rsidRPr="000C0842">
        <w:rPr>
          <w:rFonts w:eastAsia="SimSun"/>
          <w:sz w:val="24"/>
          <w:szCs w:val="24"/>
        </w:rPr>
        <w:t>缔约方使用</w:t>
      </w:r>
      <w:r w:rsidRPr="000C0842">
        <w:rPr>
          <w:rFonts w:eastAsia="SimSun"/>
          <w:sz w:val="24"/>
          <w:szCs w:val="24"/>
        </w:rPr>
        <w:t>Bioland</w:t>
      </w:r>
      <w:r w:rsidRPr="000C0842">
        <w:rPr>
          <w:rFonts w:eastAsia="SimSun"/>
          <w:sz w:val="24"/>
          <w:szCs w:val="24"/>
        </w:rPr>
        <w:t>工具建立或加强其国家信息交换所机制门户网站；</w:t>
      </w:r>
    </w:p>
    <w:p w14:paraId="795C456A" w14:textId="77777777" w:rsidR="006D5DBD" w:rsidRPr="000C0842" w:rsidRDefault="006D5DBD">
      <w:pPr>
        <w:numPr>
          <w:ilvl w:val="0"/>
          <w:numId w:val="13"/>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请</w:t>
      </w:r>
      <w:r w:rsidRPr="000C0842">
        <w:rPr>
          <w:rFonts w:eastAsia="SimSun"/>
          <w:sz w:val="24"/>
          <w:szCs w:val="24"/>
        </w:rPr>
        <w:t>执行秘书在资源许可的情况下进行以下工作：</w:t>
      </w:r>
    </w:p>
    <w:p w14:paraId="63DFF894"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与缔约方、科技合作机制的区域和次区域支持中心和全球协调实体合作，并酌情与土著人民和地方社区、妇女和青年代表以及相关举措和组织合作，在科技合作问题非正式咨询小组的指导下执行信息交换所机制工作方案；</w:t>
      </w:r>
    </w:p>
    <w:p w14:paraId="22503663"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与区域和次区域支持中心、相关组织和举措、土著人民和地方社区、妇女和青年合作，促进能力建设和发展活动，使缔约方能够执行工作方案；</w:t>
      </w:r>
    </w:p>
    <w:p w14:paraId="7A4327AA"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依照信息交换所机制的工作方案，进一步开发和加强信息交换所机制的中央门户网站，包括为此改善获得相关信息的途径，例如科学评估需求和活动信息的渠道；</w:t>
      </w:r>
    </w:p>
    <w:p w14:paraId="7D558B55"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加强信息交换所机制中央门户网站内容的组织和管理，便利不同应用程序和平台之间的获取、交换和使用；</w:t>
      </w:r>
    </w:p>
    <w:p w14:paraId="55CF2F58"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进一步改进《公约》网站并确保其内容以联合国所有六种正式语文发表；</w:t>
      </w:r>
    </w:p>
    <w:p w14:paraId="0858195D" w14:textId="77777777" w:rsidR="006D5DBD" w:rsidRPr="000C0842" w:rsidRDefault="006D5DBD">
      <w:pPr>
        <w:numPr>
          <w:ilvl w:val="0"/>
          <w:numId w:val="14"/>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进一步开发</w:t>
      </w:r>
      <w:r w:rsidRPr="000C0842">
        <w:rPr>
          <w:rFonts w:eastAsia="SimSun"/>
          <w:sz w:val="24"/>
          <w:szCs w:val="24"/>
        </w:rPr>
        <w:t>Bioland</w:t>
      </w:r>
      <w:r w:rsidRPr="000C0842">
        <w:rPr>
          <w:rFonts w:eastAsia="SimSun"/>
          <w:sz w:val="24"/>
          <w:szCs w:val="24"/>
        </w:rPr>
        <w:t>工具并建设缔约方的能力，使其能够按照信息交换所机制工作方案，与全球协调机制、区域和次区域支持中心、相关倡议以及已在使用</w:t>
      </w:r>
      <w:r w:rsidRPr="000C0842">
        <w:rPr>
          <w:rFonts w:eastAsia="SimSun"/>
          <w:sz w:val="24"/>
          <w:szCs w:val="24"/>
        </w:rPr>
        <w:t>Bioland</w:t>
      </w:r>
      <w:r w:rsidRPr="000C0842">
        <w:rPr>
          <w:rFonts w:eastAsia="SimSun"/>
          <w:sz w:val="24"/>
          <w:szCs w:val="24"/>
        </w:rPr>
        <w:t>工具的缔约方合作，</w:t>
      </w:r>
      <w:r w:rsidRPr="000C0842">
        <w:rPr>
          <w:rFonts w:eastAsia="SimSun"/>
          <w:spacing w:val="12"/>
          <w:sz w:val="24"/>
          <w:szCs w:val="24"/>
        </w:rPr>
        <w:t>有效利用该工具开发和加强本国信息交换所机制门户网</w:t>
      </w:r>
      <w:r w:rsidRPr="000C0842">
        <w:rPr>
          <w:rFonts w:eastAsia="SimSun"/>
          <w:sz w:val="24"/>
          <w:szCs w:val="24"/>
        </w:rPr>
        <w:t>站。</w:t>
      </w:r>
    </w:p>
    <w:p w14:paraId="2911F76F" w14:textId="6AC3D4F4" w:rsidR="006D5DBD" w:rsidRPr="000C0842" w:rsidRDefault="006D5DBD" w:rsidP="00885CBC">
      <w:pPr>
        <w:spacing w:before="240"/>
        <w:ind w:left="490"/>
        <w:rPr>
          <w:rFonts w:eastAsia="SimSun"/>
          <w:b/>
          <w:sz w:val="24"/>
          <w:szCs w:val="24"/>
        </w:rPr>
      </w:pPr>
      <w:r w:rsidRPr="000C0842">
        <w:rPr>
          <w:rFonts w:eastAsia="SimSun"/>
          <w:b/>
          <w:sz w:val="24"/>
          <w:szCs w:val="24"/>
        </w:rPr>
        <w:t>附件</w:t>
      </w:r>
    </w:p>
    <w:p w14:paraId="314E1A51" w14:textId="77777777" w:rsidR="006D5DBD" w:rsidRPr="000C0842" w:rsidRDefault="006D5DBD" w:rsidP="006D5DBD">
      <w:pPr>
        <w:keepNext/>
        <w:ind w:left="490"/>
        <w:rPr>
          <w:rFonts w:eastAsia="SimSun"/>
          <w:sz w:val="24"/>
          <w:szCs w:val="24"/>
        </w:rPr>
      </w:pPr>
      <w:r w:rsidRPr="000C0842">
        <w:rPr>
          <w:rFonts w:eastAsia="SimSun"/>
          <w:b/>
          <w:sz w:val="24"/>
          <w:szCs w:val="24"/>
        </w:rPr>
        <w:t>2024–2030</w:t>
      </w:r>
      <w:r w:rsidRPr="000C0842">
        <w:rPr>
          <w:rFonts w:eastAsia="SimSun"/>
          <w:b/>
          <w:sz w:val="24"/>
          <w:szCs w:val="24"/>
        </w:rPr>
        <w:t>年信息交换所机制工作方案</w:t>
      </w:r>
    </w:p>
    <w:p w14:paraId="1C5469B9" w14:textId="1C53DF20" w:rsidR="006D5DBD" w:rsidRPr="000C0842" w:rsidRDefault="006D5DBD">
      <w:pPr>
        <w:keepNext/>
        <w:numPr>
          <w:ilvl w:val="0"/>
          <w:numId w:val="10"/>
        </w:numPr>
        <w:tabs>
          <w:tab w:val="clear" w:pos="567"/>
          <w:tab w:val="left" w:pos="490"/>
          <w:tab w:val="left" w:pos="990"/>
        </w:tabs>
        <w:spacing w:before="120" w:after="120"/>
        <w:ind w:left="488" w:firstLine="0"/>
        <w:rPr>
          <w:rFonts w:eastAsia="SimSun"/>
          <w:sz w:val="24"/>
          <w:szCs w:val="24"/>
        </w:rPr>
      </w:pPr>
      <w:r w:rsidRPr="000C0842">
        <w:rPr>
          <w:rFonts w:eastAsia="SimSun"/>
          <w:sz w:val="24"/>
          <w:szCs w:val="24"/>
          <w:highlight w:val="white"/>
        </w:rPr>
        <w:t>2024-2030</w:t>
      </w:r>
      <w:r w:rsidRPr="000C0842">
        <w:rPr>
          <w:rFonts w:eastAsia="SimSun"/>
          <w:sz w:val="24"/>
          <w:szCs w:val="24"/>
          <w:highlight w:val="white"/>
        </w:rPr>
        <w:t>年信息交换所机制工作方案旨在支持和促进《昆明</w:t>
      </w:r>
      <w:r w:rsidRPr="000C0842">
        <w:rPr>
          <w:rFonts w:eastAsia="SimSun"/>
          <w:sz w:val="24"/>
          <w:szCs w:val="24"/>
          <w:highlight w:val="white"/>
        </w:rPr>
        <w:t>-</w:t>
      </w:r>
      <w:r w:rsidRPr="000C0842">
        <w:rPr>
          <w:rFonts w:eastAsia="SimSun"/>
          <w:sz w:val="24"/>
          <w:szCs w:val="24"/>
          <w:highlight w:val="white"/>
        </w:rPr>
        <w:t>蒙特利尔全球生物多样性框架》</w:t>
      </w:r>
      <w:r w:rsidRPr="000C0842">
        <w:rPr>
          <w:rFonts w:eastAsia="SimSun"/>
          <w:sz w:val="24"/>
          <w:szCs w:val="24"/>
          <w:vertAlign w:val="superscript"/>
        </w:rPr>
        <w:footnoteReference w:id="76"/>
      </w:r>
      <w:r w:rsidRPr="000C0842">
        <w:rPr>
          <w:rFonts w:eastAsia="SimSun"/>
          <w:sz w:val="24"/>
          <w:szCs w:val="24"/>
          <w:highlight w:val="white"/>
        </w:rPr>
        <w:t>和国家生物多样性战略和行动计划的执行。根据先前</w:t>
      </w:r>
      <w:r w:rsidRPr="000C0842">
        <w:rPr>
          <w:rFonts w:eastAsia="SimSun"/>
          <w:sz w:val="24"/>
          <w:szCs w:val="24"/>
          <w:highlight w:val="white"/>
        </w:rPr>
        <w:t>2011-2020</w:t>
      </w:r>
      <w:r w:rsidRPr="000C0842">
        <w:rPr>
          <w:rFonts w:eastAsia="SimSun"/>
          <w:sz w:val="24"/>
          <w:szCs w:val="24"/>
          <w:highlight w:val="white"/>
        </w:rPr>
        <w:t>年信息交换所机制工作方案的情况，该方案旨在促进执行手段、技术和科学合作、能力建设和发展、知识管理和交流</w:t>
      </w:r>
      <w:r w:rsidRPr="000C0842">
        <w:rPr>
          <w:rFonts w:eastAsia="SimSun"/>
          <w:sz w:val="24"/>
          <w:szCs w:val="24"/>
          <w:vertAlign w:val="superscript"/>
        </w:rPr>
        <w:footnoteReference w:id="77"/>
      </w:r>
      <w:r w:rsidRPr="000C0842">
        <w:rPr>
          <w:rFonts w:eastAsia="SimSun"/>
          <w:sz w:val="24"/>
          <w:szCs w:val="24"/>
          <w:highlight w:val="white"/>
        </w:rPr>
        <w:t>、资源调动、生物多样性在各部门内部和各部门</w:t>
      </w:r>
      <w:r w:rsidRPr="000C0842">
        <w:rPr>
          <w:rFonts w:eastAsia="SimSun"/>
          <w:sz w:val="24"/>
          <w:szCs w:val="24"/>
        </w:rPr>
        <w:t>之间</w:t>
      </w:r>
      <w:r w:rsidRPr="000C0842">
        <w:rPr>
          <w:rFonts w:eastAsia="SimSun"/>
          <w:sz w:val="24"/>
          <w:szCs w:val="24"/>
          <w:highlight w:val="white"/>
        </w:rPr>
        <w:t>主流</w:t>
      </w:r>
      <w:r w:rsidRPr="000C0842">
        <w:rPr>
          <w:rFonts w:eastAsia="SimSun"/>
          <w:sz w:val="24"/>
          <w:szCs w:val="24"/>
        </w:rPr>
        <w:t>化</w:t>
      </w:r>
      <w:r w:rsidRPr="000C0842">
        <w:rPr>
          <w:rFonts w:eastAsia="SimSun"/>
          <w:sz w:val="24"/>
          <w:szCs w:val="24"/>
          <w:highlight w:val="white"/>
        </w:rPr>
        <w:t>以及其他方案和行动计划，包括性别平等行动计划（</w:t>
      </w:r>
      <w:r w:rsidRPr="000C0842">
        <w:rPr>
          <w:rFonts w:eastAsia="SimSun"/>
          <w:sz w:val="24"/>
          <w:szCs w:val="24"/>
          <w:highlight w:val="white"/>
        </w:rPr>
        <w:t>2023-2030</w:t>
      </w:r>
      <w:r w:rsidRPr="000C0842">
        <w:rPr>
          <w:rFonts w:eastAsia="SimSun"/>
          <w:sz w:val="24"/>
          <w:szCs w:val="24"/>
          <w:highlight w:val="white"/>
        </w:rPr>
        <w:t>年）</w:t>
      </w:r>
      <w:r w:rsidRPr="000C0842">
        <w:rPr>
          <w:rFonts w:eastAsia="SimSun"/>
          <w:sz w:val="24"/>
          <w:szCs w:val="24"/>
          <w:vertAlign w:val="superscript"/>
        </w:rPr>
        <w:footnoteReference w:id="78"/>
      </w:r>
      <w:r w:rsidRPr="000C0842">
        <w:rPr>
          <w:rFonts w:eastAsia="SimSun"/>
          <w:sz w:val="24"/>
          <w:szCs w:val="24"/>
          <w:highlight w:val="white"/>
        </w:rPr>
        <w:t>，以及至</w:t>
      </w:r>
      <w:r w:rsidRPr="000C0842">
        <w:rPr>
          <w:rFonts w:eastAsia="SimSun"/>
          <w:sz w:val="24"/>
          <w:szCs w:val="24"/>
          <w:highlight w:val="white"/>
        </w:rPr>
        <w:t>2030</w:t>
      </w:r>
      <w:r w:rsidRPr="000C0842">
        <w:rPr>
          <w:rFonts w:eastAsia="SimSun"/>
          <w:sz w:val="24"/>
          <w:szCs w:val="24"/>
          <w:highlight w:val="white"/>
        </w:rPr>
        <w:t>年关于《生物多样性公约》</w:t>
      </w:r>
      <w:r w:rsidRPr="000C0842">
        <w:rPr>
          <w:rFonts w:eastAsia="SimSun"/>
          <w:sz w:val="24"/>
          <w:szCs w:val="24"/>
          <w:vertAlign w:val="superscript"/>
        </w:rPr>
        <w:footnoteReference w:id="79"/>
      </w:r>
      <w:r w:rsidRPr="000C0842">
        <w:rPr>
          <w:rFonts w:eastAsia="SimSun"/>
          <w:sz w:val="24"/>
          <w:szCs w:val="24"/>
          <w:highlight w:val="white"/>
        </w:rPr>
        <w:t>第</w:t>
      </w:r>
      <w:r w:rsidRPr="000C0842">
        <w:rPr>
          <w:rFonts w:eastAsia="SimSun"/>
          <w:sz w:val="24"/>
          <w:szCs w:val="24"/>
          <w:highlight w:val="white"/>
        </w:rPr>
        <w:t>8</w:t>
      </w:r>
      <w:r w:rsidRPr="000C0842">
        <w:rPr>
          <w:rFonts w:eastAsia="SimSun"/>
          <w:sz w:val="24"/>
          <w:szCs w:val="24"/>
        </w:rPr>
        <w:t>(j)</w:t>
      </w:r>
      <w:r w:rsidRPr="000C0842">
        <w:rPr>
          <w:rFonts w:eastAsia="SimSun"/>
          <w:sz w:val="24"/>
          <w:szCs w:val="24"/>
          <w:highlight w:val="white"/>
        </w:rPr>
        <w:t>条和其他与土著人民和地方社区的有关条款的工作方案</w:t>
      </w:r>
      <w:r w:rsidRPr="000C0842">
        <w:rPr>
          <w:rFonts w:eastAsia="SimSun"/>
          <w:sz w:val="24"/>
          <w:szCs w:val="24"/>
          <w:vertAlign w:val="superscript"/>
        </w:rPr>
        <w:footnoteReference w:id="80"/>
      </w:r>
      <w:r w:rsidRPr="000C0842">
        <w:rPr>
          <w:rFonts w:eastAsia="SimSun"/>
          <w:sz w:val="24"/>
          <w:szCs w:val="24"/>
          <w:highlight w:val="white"/>
        </w:rPr>
        <w:t>。</w:t>
      </w:r>
    </w:p>
    <w:p w14:paraId="6D689EF1" w14:textId="77777777" w:rsidR="006D5DBD" w:rsidRPr="000C0842" w:rsidRDefault="006D5DBD">
      <w:pPr>
        <w:keepNext/>
        <w:numPr>
          <w:ilvl w:val="0"/>
          <w:numId w:val="10"/>
        </w:numPr>
        <w:tabs>
          <w:tab w:val="clear" w:pos="567"/>
          <w:tab w:val="left" w:pos="490"/>
          <w:tab w:val="left" w:pos="990"/>
        </w:tabs>
        <w:spacing w:before="120" w:after="120"/>
        <w:ind w:left="488" w:firstLine="0"/>
        <w:rPr>
          <w:rFonts w:eastAsia="SimSun"/>
          <w:sz w:val="24"/>
          <w:szCs w:val="24"/>
        </w:rPr>
      </w:pPr>
      <w:r w:rsidRPr="000C0842">
        <w:rPr>
          <w:rFonts w:eastAsia="SimSun"/>
          <w:sz w:val="24"/>
          <w:szCs w:val="24"/>
          <w:highlight w:val="white"/>
        </w:rPr>
        <w:t>2024-2030</w:t>
      </w:r>
      <w:r w:rsidRPr="000C0842">
        <w:rPr>
          <w:rFonts w:eastAsia="SimSun"/>
          <w:sz w:val="24"/>
          <w:szCs w:val="24"/>
          <w:highlight w:val="white"/>
        </w:rPr>
        <w:t>年信息交换所机制工作方案的目标如下：</w:t>
      </w:r>
    </w:p>
    <w:p w14:paraId="61A6815B" w14:textId="77777777" w:rsidR="006D5DBD" w:rsidRPr="000C0842" w:rsidRDefault="006D5DBD">
      <w:pPr>
        <w:pStyle w:val="ListParagraph"/>
        <w:numPr>
          <w:ilvl w:val="0"/>
          <w:numId w:val="248"/>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highlight w:val="white"/>
        </w:rPr>
        <w:t>目标</w:t>
      </w:r>
      <w:r w:rsidRPr="000C0842">
        <w:rPr>
          <w:rFonts w:eastAsia="KaiTi"/>
          <w:sz w:val="24"/>
          <w:szCs w:val="24"/>
          <w:highlight w:val="white"/>
        </w:rPr>
        <w:t xml:space="preserve">1.  </w:t>
      </w:r>
      <w:r w:rsidRPr="000C0842">
        <w:rPr>
          <w:rFonts w:eastAsia="KaiTi"/>
          <w:sz w:val="24"/>
          <w:szCs w:val="24"/>
          <w:highlight w:val="white"/>
        </w:rPr>
        <w:t>促进和便利科技合作</w:t>
      </w:r>
      <w:r w:rsidRPr="000C0842">
        <w:rPr>
          <w:rFonts w:eastAsia="SimSun"/>
          <w:sz w:val="24"/>
          <w:szCs w:val="24"/>
          <w:highlight w:val="white"/>
        </w:rPr>
        <w:t>。信息交换所机制将</w:t>
      </w:r>
      <w:r w:rsidRPr="000C0842">
        <w:rPr>
          <w:rFonts w:eastAsia="SimSun"/>
          <w:sz w:val="24"/>
          <w:szCs w:val="24"/>
        </w:rPr>
        <w:t>强化</w:t>
      </w:r>
      <w:r w:rsidRPr="000C0842">
        <w:rPr>
          <w:rFonts w:eastAsia="SimSun"/>
          <w:sz w:val="24"/>
          <w:szCs w:val="24"/>
          <w:highlight w:val="white"/>
        </w:rPr>
        <w:t>各项进程和服务，以促进和推动平等的科技合作，包括配对举措以及根据能力建设和发展的长期战略框架发展和加强国家能力，从而支持科技合作机制的工作；</w:t>
      </w:r>
    </w:p>
    <w:p w14:paraId="4BBD5900" w14:textId="77777777" w:rsidR="006D5DBD" w:rsidRPr="000C0842" w:rsidRDefault="006D5DBD">
      <w:pPr>
        <w:pStyle w:val="ListParagraph"/>
        <w:numPr>
          <w:ilvl w:val="0"/>
          <w:numId w:val="248"/>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highlight w:val="white"/>
        </w:rPr>
        <w:t>目标</w:t>
      </w:r>
      <w:r w:rsidRPr="000C0842">
        <w:rPr>
          <w:rFonts w:eastAsia="KaiTi"/>
          <w:sz w:val="24"/>
          <w:szCs w:val="24"/>
          <w:highlight w:val="white"/>
        </w:rPr>
        <w:t xml:space="preserve">2. </w:t>
      </w:r>
      <w:r w:rsidRPr="000C0842">
        <w:rPr>
          <w:rFonts w:eastAsia="KaiTi"/>
          <w:sz w:val="24"/>
          <w:szCs w:val="24"/>
          <w:highlight w:val="white"/>
        </w:rPr>
        <w:t>促进信息交流</w:t>
      </w:r>
      <w:r w:rsidRPr="000C0842">
        <w:rPr>
          <w:rFonts w:eastAsia="SimSun"/>
          <w:sz w:val="24"/>
          <w:szCs w:val="24"/>
          <w:highlight w:val="white"/>
        </w:rPr>
        <w:t>。信息交换所机制将根据支持《昆蒙框架》执行工作的知识管理战略，</w:t>
      </w:r>
      <w:r w:rsidRPr="000C0842">
        <w:rPr>
          <w:rFonts w:eastAsia="SimSun"/>
          <w:spacing w:val="-2"/>
          <w:sz w:val="24"/>
          <w:szCs w:val="24"/>
          <w:highlight w:val="white"/>
        </w:rPr>
        <w:t>通过信息交换所机制的中央门户以及全球、区域、次区域、国家和专题信息网络和信息交换所，实现数据、信息和知识的持续和结构化获取和交流</w:t>
      </w:r>
      <w:r w:rsidRPr="000C0842">
        <w:rPr>
          <w:rFonts w:eastAsia="SimSun"/>
          <w:sz w:val="24"/>
          <w:szCs w:val="24"/>
          <w:highlight w:val="white"/>
        </w:rPr>
        <w:t>；</w:t>
      </w:r>
    </w:p>
    <w:p w14:paraId="3A0C1FC7" w14:textId="77777777" w:rsidR="006D5DBD" w:rsidRPr="000C0842" w:rsidRDefault="006D5DBD">
      <w:pPr>
        <w:pStyle w:val="ListParagraph"/>
        <w:numPr>
          <w:ilvl w:val="0"/>
          <w:numId w:val="248"/>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highlight w:val="white"/>
        </w:rPr>
        <w:t>目标</w:t>
      </w:r>
      <w:r w:rsidRPr="000C0842">
        <w:rPr>
          <w:rFonts w:eastAsia="KaiTi"/>
          <w:sz w:val="24"/>
          <w:szCs w:val="24"/>
          <w:highlight w:val="white"/>
        </w:rPr>
        <w:t xml:space="preserve">3.  </w:t>
      </w:r>
      <w:r w:rsidRPr="000C0842">
        <w:rPr>
          <w:rFonts w:eastAsia="KaiTi"/>
          <w:sz w:val="24"/>
          <w:szCs w:val="24"/>
          <w:highlight w:val="white"/>
        </w:rPr>
        <w:t>支持</w:t>
      </w:r>
      <w:r w:rsidRPr="000C0842">
        <w:rPr>
          <w:rFonts w:eastAsia="KaiTi" w:hint="eastAsia"/>
          <w:sz w:val="24"/>
          <w:szCs w:val="24"/>
          <w:highlight w:val="white"/>
        </w:rPr>
        <w:t>规划</w:t>
      </w:r>
      <w:r w:rsidRPr="000C0842">
        <w:rPr>
          <w:rFonts w:eastAsia="KaiTi"/>
          <w:sz w:val="24"/>
          <w:szCs w:val="24"/>
          <w:highlight w:val="white"/>
        </w:rPr>
        <w:t>、</w:t>
      </w:r>
      <w:r w:rsidRPr="000C0842">
        <w:rPr>
          <w:rFonts w:eastAsia="KaiTi" w:hint="eastAsia"/>
          <w:sz w:val="24"/>
          <w:szCs w:val="24"/>
          <w:highlight w:val="white"/>
        </w:rPr>
        <w:t>监测</w:t>
      </w:r>
      <w:r w:rsidRPr="000C0842">
        <w:rPr>
          <w:rFonts w:eastAsia="KaiTi"/>
          <w:sz w:val="24"/>
          <w:szCs w:val="24"/>
          <w:highlight w:val="white"/>
        </w:rPr>
        <w:t>、报告和审查</w:t>
      </w:r>
      <w:r w:rsidRPr="000C0842">
        <w:rPr>
          <w:rFonts w:eastAsia="SimSun"/>
          <w:sz w:val="24"/>
          <w:szCs w:val="24"/>
          <w:highlight w:val="white"/>
        </w:rPr>
        <w:t>。信息交换所机制将提供工具并强化进程和国家信息交换所机制，以支持和促进国家生物多样性战略和行动计划的实施，以及规划、监测、报告和审查的强化方法；</w:t>
      </w:r>
    </w:p>
    <w:p w14:paraId="7E2BF9C5" w14:textId="77777777" w:rsidR="006D5DBD" w:rsidRPr="000C0842" w:rsidRDefault="006D5DBD">
      <w:pPr>
        <w:pStyle w:val="ListParagraph"/>
        <w:numPr>
          <w:ilvl w:val="0"/>
          <w:numId w:val="248"/>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highlight w:val="white"/>
        </w:rPr>
        <w:t>目标</w:t>
      </w:r>
      <w:r w:rsidRPr="000C0842">
        <w:rPr>
          <w:rFonts w:eastAsia="KaiTi"/>
          <w:sz w:val="24"/>
          <w:szCs w:val="24"/>
          <w:highlight w:val="white"/>
        </w:rPr>
        <w:t xml:space="preserve">4.  </w:t>
      </w:r>
      <w:r w:rsidRPr="000C0842">
        <w:rPr>
          <w:rFonts w:eastAsia="KaiTi"/>
          <w:sz w:val="24"/>
          <w:szCs w:val="24"/>
          <w:highlight w:val="white"/>
        </w:rPr>
        <w:t>促进缔约方和合作伙伴之间的网络活动和协作</w:t>
      </w:r>
      <w:r w:rsidRPr="000C0842">
        <w:rPr>
          <w:rFonts w:eastAsia="SimSun"/>
          <w:sz w:val="24"/>
          <w:szCs w:val="24"/>
          <w:highlight w:val="white"/>
        </w:rPr>
        <w:t>。信息交换所机制将促进缔约方、伙伴组织、土著人民和地方社区、妇女和青年代表以及相关利益攸关方之间的跨部门互动、建立网络、分享专门知识和交流，支持执行《公约》及其议定书以及《昆蒙框架》。</w:t>
      </w:r>
    </w:p>
    <w:p w14:paraId="7819EAA8" w14:textId="77777777" w:rsidR="006D5DBD" w:rsidRPr="000C0842" w:rsidRDefault="006D5DBD">
      <w:pPr>
        <w:numPr>
          <w:ilvl w:val="0"/>
          <w:numId w:val="10"/>
        </w:numPr>
        <w:tabs>
          <w:tab w:val="clear" w:pos="567"/>
          <w:tab w:val="clear" w:pos="1134"/>
          <w:tab w:val="clear" w:pos="1701"/>
          <w:tab w:val="clear" w:pos="2268"/>
        </w:tabs>
        <w:spacing w:before="120" w:after="120"/>
        <w:ind w:left="490" w:firstLine="0"/>
        <w:rPr>
          <w:rFonts w:eastAsia="SimSun"/>
          <w:sz w:val="24"/>
          <w:szCs w:val="24"/>
          <w:highlight w:val="white"/>
        </w:rPr>
      </w:pPr>
      <w:r w:rsidRPr="000C0842">
        <w:rPr>
          <w:rFonts w:eastAsia="SimSun"/>
          <w:sz w:val="24"/>
          <w:szCs w:val="24"/>
          <w:highlight w:val="white"/>
        </w:rPr>
        <w:t>更新后的工作方案界定了四个目标中每个目标的预期成果、实现这些成果的战略行动，以及指示性交付时间框架。</w:t>
      </w:r>
    </w:p>
    <w:p w14:paraId="154C250C" w14:textId="77777777" w:rsidR="006D5DBD" w:rsidRPr="000C0842" w:rsidRDefault="006D5DBD">
      <w:pPr>
        <w:numPr>
          <w:ilvl w:val="0"/>
          <w:numId w:val="10"/>
        </w:numPr>
        <w:tabs>
          <w:tab w:val="clear" w:pos="567"/>
          <w:tab w:val="clear" w:pos="1134"/>
          <w:tab w:val="clear" w:pos="1701"/>
          <w:tab w:val="clear" w:pos="2268"/>
        </w:tabs>
        <w:spacing w:before="120" w:after="120"/>
        <w:ind w:left="490" w:firstLine="0"/>
        <w:rPr>
          <w:rFonts w:eastAsia="SimSun"/>
          <w:sz w:val="24"/>
          <w:szCs w:val="24"/>
          <w:highlight w:val="white"/>
        </w:rPr>
      </w:pPr>
      <w:r w:rsidRPr="000C0842">
        <w:rPr>
          <w:rFonts w:eastAsia="SimSun"/>
          <w:sz w:val="24"/>
          <w:szCs w:val="24"/>
          <w:highlight w:val="white"/>
        </w:rPr>
        <w:t>根据《公约》，特别是第</w:t>
      </w:r>
      <w:r w:rsidRPr="000C0842">
        <w:rPr>
          <w:rFonts w:eastAsia="SimSun"/>
          <w:sz w:val="24"/>
          <w:szCs w:val="24"/>
          <w:highlight w:val="white"/>
        </w:rPr>
        <w:t xml:space="preserve"> 16</w:t>
      </w:r>
      <w:r w:rsidRPr="000C0842">
        <w:rPr>
          <w:rFonts w:eastAsia="SimSun"/>
          <w:sz w:val="24"/>
          <w:szCs w:val="24"/>
          <w:highlight w:val="white"/>
        </w:rPr>
        <w:t>、</w:t>
      </w:r>
      <w:r w:rsidRPr="000C0842">
        <w:rPr>
          <w:rFonts w:eastAsia="SimSun"/>
          <w:sz w:val="24"/>
          <w:szCs w:val="24"/>
          <w:highlight w:val="white"/>
        </w:rPr>
        <w:t>17</w:t>
      </w:r>
      <w:r w:rsidRPr="000C0842">
        <w:rPr>
          <w:rFonts w:eastAsia="SimSun"/>
          <w:sz w:val="24"/>
          <w:szCs w:val="24"/>
          <w:highlight w:val="white"/>
        </w:rPr>
        <w:t>、</w:t>
      </w:r>
      <w:r w:rsidRPr="000C0842">
        <w:rPr>
          <w:rFonts w:eastAsia="SimSun"/>
          <w:sz w:val="24"/>
          <w:szCs w:val="24"/>
          <w:highlight w:val="white"/>
        </w:rPr>
        <w:t xml:space="preserve">18 </w:t>
      </w:r>
      <w:r w:rsidRPr="000C0842">
        <w:rPr>
          <w:rFonts w:eastAsia="SimSun"/>
          <w:sz w:val="24"/>
          <w:szCs w:val="24"/>
          <w:highlight w:val="white"/>
        </w:rPr>
        <w:t>和</w:t>
      </w:r>
      <w:r w:rsidRPr="000C0842">
        <w:rPr>
          <w:rFonts w:eastAsia="SimSun"/>
          <w:sz w:val="24"/>
          <w:szCs w:val="24"/>
          <w:highlight w:val="white"/>
        </w:rPr>
        <w:t xml:space="preserve"> 20 </w:t>
      </w:r>
      <w:r w:rsidRPr="000C0842">
        <w:rPr>
          <w:rFonts w:eastAsia="SimSun"/>
          <w:sz w:val="24"/>
          <w:szCs w:val="24"/>
          <w:highlight w:val="white"/>
        </w:rPr>
        <w:t>条，工作方案将主要由《公约》缔约方和秘书处在科技合作机制的全球协调实体、其区域和次区域支助中心以及全球、区域和次区域和专题组织的支持下，采用全政府和全社会办法和根据《昆蒙框架》的考虑因素</w:t>
      </w:r>
      <w:r w:rsidRPr="000C0842">
        <w:rPr>
          <w:rFonts w:eastAsia="SimSun"/>
          <w:sz w:val="24"/>
          <w:szCs w:val="24"/>
          <w:highlight w:val="white"/>
          <w:vertAlign w:val="superscript"/>
        </w:rPr>
        <w:footnoteReference w:id="81"/>
      </w:r>
      <w:r w:rsidRPr="000C0842">
        <w:rPr>
          <w:rFonts w:eastAsia="SimSun"/>
          <w:sz w:val="24"/>
          <w:szCs w:val="24"/>
          <w:highlight w:val="white"/>
        </w:rPr>
        <w:t>加以执行。</w:t>
      </w:r>
    </w:p>
    <w:p w14:paraId="2535F422" w14:textId="77777777" w:rsidR="006D5DBD" w:rsidRPr="000C0842" w:rsidRDefault="006D5DBD">
      <w:pPr>
        <w:numPr>
          <w:ilvl w:val="0"/>
          <w:numId w:val="10"/>
        </w:numPr>
        <w:tabs>
          <w:tab w:val="clear" w:pos="567"/>
          <w:tab w:val="clear" w:pos="1134"/>
          <w:tab w:val="clear" w:pos="1701"/>
          <w:tab w:val="clear" w:pos="2268"/>
        </w:tabs>
        <w:spacing w:before="120" w:after="120"/>
        <w:ind w:left="490" w:firstLine="0"/>
        <w:rPr>
          <w:rFonts w:eastAsia="SimSun"/>
          <w:sz w:val="24"/>
          <w:szCs w:val="24"/>
          <w:highlight w:val="white"/>
        </w:rPr>
      </w:pPr>
      <w:r w:rsidRPr="000C0842">
        <w:rPr>
          <w:rFonts w:eastAsia="SimSun"/>
          <w:sz w:val="24"/>
          <w:szCs w:val="24"/>
          <w:highlight w:val="white"/>
        </w:rPr>
        <w:t>工作方案的执行将支持并符合有关信息交流的国家法律和条例。</w:t>
      </w:r>
    </w:p>
    <w:p w14:paraId="21E38DBA" w14:textId="77777777" w:rsidR="006D5DBD" w:rsidRPr="000C0842" w:rsidRDefault="006D5DBD">
      <w:pPr>
        <w:keepNext/>
        <w:numPr>
          <w:ilvl w:val="0"/>
          <w:numId w:val="10"/>
        </w:numPr>
        <w:tabs>
          <w:tab w:val="clear" w:pos="567"/>
          <w:tab w:val="clear" w:pos="1134"/>
          <w:tab w:val="clear" w:pos="1701"/>
          <w:tab w:val="clear" w:pos="2268"/>
        </w:tabs>
        <w:spacing w:before="120" w:after="240"/>
        <w:ind w:left="490" w:firstLine="0"/>
        <w:rPr>
          <w:rFonts w:eastAsia="SimSun"/>
          <w:sz w:val="24"/>
          <w:szCs w:val="24"/>
          <w:highlight w:val="white"/>
        </w:rPr>
      </w:pPr>
      <w:r w:rsidRPr="000C0842">
        <w:rPr>
          <w:rFonts w:eastAsia="SimSun"/>
          <w:sz w:val="24"/>
          <w:szCs w:val="24"/>
          <w:highlight w:val="white"/>
        </w:rPr>
        <w:t>将结合缔约方大会第十九届会议对《昆蒙框架》集体执行进度的全球审查，对工作方案进行审查和评估。</w:t>
      </w:r>
    </w:p>
    <w:p w14:paraId="31C0D616" w14:textId="77777777" w:rsidR="006D5DBD" w:rsidRPr="000C0842" w:rsidRDefault="006D5DBD" w:rsidP="006D5DBD">
      <w:pPr>
        <w:spacing w:before="120" w:after="120"/>
        <w:rPr>
          <w:b/>
          <w:bCs/>
          <w:lang w:val="en-GB"/>
        </w:rPr>
      </w:pPr>
      <w:bookmarkStart w:id="22" w:name="_Hlk172130740"/>
      <w:r w:rsidRPr="000C0842">
        <w:rPr>
          <w:b/>
          <w:bCs/>
          <w:lang w:val="en-GB"/>
        </w:rPr>
        <w:t>工作方案的目标、成果和战略行动</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160"/>
        <w:gridCol w:w="4050"/>
        <w:gridCol w:w="1530"/>
      </w:tblGrid>
      <w:tr w:rsidR="000C0842" w:rsidRPr="000C0842" w14:paraId="24667152" w14:textId="77777777" w:rsidTr="001F32B3">
        <w:trPr>
          <w:trHeight w:val="404"/>
          <w:tblHeader/>
        </w:trPr>
        <w:tc>
          <w:tcPr>
            <w:tcW w:w="1615" w:type="dxa"/>
          </w:tcPr>
          <w:p w14:paraId="4DE1E8B3"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KaiTi"/>
                <w:bCs/>
                <w:lang w:val="en-CA"/>
              </w:rPr>
            </w:pPr>
            <w:bookmarkStart w:id="23" w:name="_Hlk134803289"/>
            <w:r w:rsidRPr="000C0842">
              <w:rPr>
                <w:rFonts w:eastAsia="KaiTi"/>
                <w:bCs/>
                <w:lang w:val="en-CA"/>
              </w:rPr>
              <w:t>目标</w:t>
            </w:r>
          </w:p>
        </w:tc>
        <w:tc>
          <w:tcPr>
            <w:tcW w:w="2160" w:type="dxa"/>
          </w:tcPr>
          <w:p w14:paraId="6EA90BA4"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rPr>
            </w:pPr>
            <w:r w:rsidRPr="000C0842">
              <w:rPr>
                <w:rFonts w:eastAsia="KaiTi"/>
                <w:bCs/>
                <w:lang w:val="en-CA"/>
              </w:rPr>
              <w:t>成果</w:t>
            </w:r>
          </w:p>
        </w:tc>
        <w:tc>
          <w:tcPr>
            <w:tcW w:w="4050" w:type="dxa"/>
          </w:tcPr>
          <w:p w14:paraId="66309301"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rPr>
            </w:pPr>
            <w:r w:rsidRPr="000C0842">
              <w:rPr>
                <w:rFonts w:eastAsia="KaiTi"/>
                <w:bCs/>
                <w:lang w:val="en-CA"/>
              </w:rPr>
              <w:t>战略行动</w:t>
            </w:r>
          </w:p>
        </w:tc>
        <w:tc>
          <w:tcPr>
            <w:tcW w:w="1530" w:type="dxa"/>
            <w:tcBorders>
              <w:bottom w:val="single" w:sz="4" w:space="0" w:color="auto"/>
            </w:tcBorders>
          </w:tcPr>
          <w:p w14:paraId="70847416"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KaiTi"/>
                <w:bCs/>
                <w:lang w:val="en-CA"/>
              </w:rPr>
            </w:pPr>
            <w:r w:rsidRPr="000C0842">
              <w:rPr>
                <w:rFonts w:eastAsia="KaiTi"/>
                <w:bCs/>
                <w:lang w:val="en-CA"/>
              </w:rPr>
              <w:t>时间框架</w:t>
            </w:r>
          </w:p>
        </w:tc>
      </w:tr>
      <w:tr w:rsidR="000C0842" w:rsidRPr="000C0842" w14:paraId="5DFA6542" w14:textId="77777777" w:rsidTr="001F32B3">
        <w:trPr>
          <w:trHeight w:val="360"/>
        </w:trPr>
        <w:tc>
          <w:tcPr>
            <w:tcW w:w="1615" w:type="dxa"/>
            <w:vMerge w:val="restart"/>
            <w:tcMar>
              <w:top w:w="115" w:type="dxa"/>
              <w:left w:w="115" w:type="dxa"/>
              <w:bottom w:w="115" w:type="dxa"/>
              <w:right w:w="115" w:type="dxa"/>
            </w:tcMar>
          </w:tcPr>
          <w:p w14:paraId="09161E0D"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shd w:val="clear" w:color="auto" w:fill="FFFFFF"/>
                <w:lang w:val="en-CA"/>
              </w:rPr>
            </w:pPr>
            <w:r w:rsidRPr="000C0842">
              <w:rPr>
                <w:rFonts w:eastAsia="SimSun"/>
                <w:lang w:val="en-CA"/>
              </w:rPr>
              <w:t xml:space="preserve">1. </w:t>
            </w:r>
            <w:r w:rsidRPr="000C0842">
              <w:rPr>
                <w:rFonts w:eastAsia="SimSun"/>
                <w:shd w:val="clear" w:color="auto" w:fill="FFFFFF"/>
                <w:lang w:val="en-CA"/>
              </w:rPr>
              <w:t>促进和便利科技合作</w:t>
            </w:r>
          </w:p>
          <w:p w14:paraId="308B823C"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shd w:val="clear" w:color="auto" w:fill="FFFFFF"/>
                <w:lang w:val="en-CA"/>
              </w:rPr>
            </w:pPr>
          </w:p>
        </w:tc>
        <w:tc>
          <w:tcPr>
            <w:tcW w:w="2160" w:type="dxa"/>
            <w:vMerge w:val="restart"/>
            <w:tcMar>
              <w:top w:w="115" w:type="dxa"/>
              <w:left w:w="115" w:type="dxa"/>
              <w:bottom w:w="115" w:type="dxa"/>
              <w:right w:w="115" w:type="dxa"/>
            </w:tcMar>
          </w:tcPr>
          <w:p w14:paraId="73100366"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SimSun"/>
                <w:lang w:val="en-CA"/>
              </w:rPr>
            </w:pPr>
            <w:r w:rsidRPr="000C0842">
              <w:rPr>
                <w:rFonts w:eastAsia="SimSun"/>
                <w:lang w:val="en-CA"/>
              </w:rPr>
              <w:t xml:space="preserve">1.1. </w:t>
            </w:r>
            <w:r w:rsidRPr="000C0842">
              <w:rPr>
                <w:rFonts w:eastAsia="SimSun"/>
              </w:rPr>
              <w:t>制定或加强了在全球、区域、次区域和国家各级促进科技合作的机制</w:t>
            </w:r>
          </w:p>
        </w:tc>
        <w:tc>
          <w:tcPr>
            <w:tcW w:w="4050" w:type="dxa"/>
          </w:tcPr>
          <w:p w14:paraId="485F447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lang w:val="en-CA"/>
              </w:rPr>
              <w:t xml:space="preserve">1.1.A.  </w:t>
            </w:r>
            <w:r w:rsidRPr="000C0842">
              <w:rPr>
                <w:rFonts w:eastAsia="SimSun"/>
                <w:spacing w:val="-12"/>
              </w:rPr>
              <w:t>开发或加强合作平台</w:t>
            </w:r>
            <w:r w:rsidRPr="000C0842">
              <w:rPr>
                <w:rFonts w:eastAsia="SimSun"/>
                <w:spacing w:val="-12"/>
                <w:vertAlign w:val="superscript"/>
              </w:rPr>
              <w:footnoteReference w:id="82"/>
            </w:r>
            <w:r w:rsidRPr="000C0842">
              <w:rPr>
                <w:rFonts w:eastAsia="SimSun"/>
                <w:spacing w:val="-12"/>
              </w:rPr>
              <w:t>，以促进科技合作、技术转让和创新</w:t>
            </w:r>
            <w:r w:rsidRPr="000C0842">
              <w:rPr>
                <w:rFonts w:eastAsia="SimSun"/>
                <w:spacing w:val="-12"/>
                <w:kern w:val="22"/>
                <w:vertAlign w:val="superscript"/>
                <w:lang w:val="en-CA"/>
              </w:rPr>
              <w:footnoteReference w:id="83"/>
            </w:r>
            <w:r w:rsidRPr="000C0842">
              <w:rPr>
                <w:rFonts w:eastAsia="SimSun"/>
                <w:spacing w:val="-12"/>
              </w:rPr>
              <w:t>。</w:t>
            </w:r>
          </w:p>
        </w:tc>
        <w:tc>
          <w:tcPr>
            <w:tcW w:w="1530" w:type="dxa"/>
            <w:shd w:val="clear" w:color="auto" w:fill="FFFFFF"/>
            <w:tcMar>
              <w:top w:w="115" w:type="dxa"/>
              <w:left w:w="115" w:type="dxa"/>
              <w:bottom w:w="115" w:type="dxa"/>
              <w:right w:w="115" w:type="dxa"/>
            </w:tcMar>
          </w:tcPr>
          <w:p w14:paraId="09D225A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23BFD65A" w14:textId="77777777" w:rsidTr="001F32B3">
        <w:trPr>
          <w:trHeight w:val="360"/>
        </w:trPr>
        <w:tc>
          <w:tcPr>
            <w:tcW w:w="1615" w:type="dxa"/>
            <w:vMerge/>
            <w:tcMar>
              <w:top w:w="115" w:type="dxa"/>
              <w:left w:w="115" w:type="dxa"/>
              <w:bottom w:w="115" w:type="dxa"/>
              <w:right w:w="115" w:type="dxa"/>
            </w:tcMar>
          </w:tcPr>
          <w:p w14:paraId="6A0B71A9"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Cs/>
                <w:lang w:val="en-CA"/>
              </w:rPr>
            </w:pPr>
          </w:p>
        </w:tc>
        <w:tc>
          <w:tcPr>
            <w:tcW w:w="2160" w:type="dxa"/>
            <w:vMerge/>
            <w:tcMar>
              <w:top w:w="115" w:type="dxa"/>
              <w:left w:w="115" w:type="dxa"/>
              <w:bottom w:w="115" w:type="dxa"/>
              <w:right w:w="115" w:type="dxa"/>
            </w:tcMar>
          </w:tcPr>
          <w:p w14:paraId="541454AF"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SimSun"/>
                <w:bCs/>
                <w:lang w:val="en-CA"/>
              </w:rPr>
            </w:pPr>
          </w:p>
        </w:tc>
        <w:tc>
          <w:tcPr>
            <w:tcW w:w="4050" w:type="dxa"/>
          </w:tcPr>
          <w:p w14:paraId="2B0193D1" w14:textId="58A39D99"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lang w:val="en-CA"/>
              </w:rPr>
              <w:t xml:space="preserve">1.1.B.  </w:t>
            </w:r>
            <w:r w:rsidRPr="000C0842">
              <w:rPr>
                <w:rFonts w:eastAsia="SimSun"/>
              </w:rPr>
              <w:t>为协作和分享知识、最佳做法和经验教训的活动</w:t>
            </w:r>
            <w:r w:rsidRPr="000C0842">
              <w:rPr>
                <w:rFonts w:eastAsia="SimSun"/>
                <w:kern w:val="22"/>
                <w:vertAlign w:val="superscript"/>
                <w:lang w:val="en-CA"/>
              </w:rPr>
              <w:footnoteReference w:id="84"/>
            </w:r>
            <w:r w:rsidRPr="000C0842">
              <w:rPr>
                <w:rFonts w:eastAsia="SimSun"/>
              </w:rPr>
              <w:t>提供便利。</w:t>
            </w:r>
          </w:p>
        </w:tc>
        <w:tc>
          <w:tcPr>
            <w:tcW w:w="1530" w:type="dxa"/>
            <w:shd w:val="clear" w:color="auto" w:fill="FFFFFF"/>
            <w:tcMar>
              <w:top w:w="115" w:type="dxa"/>
              <w:left w:w="115" w:type="dxa"/>
              <w:bottom w:w="115" w:type="dxa"/>
              <w:right w:w="115" w:type="dxa"/>
            </w:tcMar>
          </w:tcPr>
          <w:p w14:paraId="7690956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017BBA2A" w14:textId="77777777" w:rsidTr="001F32B3">
        <w:trPr>
          <w:trHeight w:val="360"/>
        </w:trPr>
        <w:tc>
          <w:tcPr>
            <w:tcW w:w="1615" w:type="dxa"/>
            <w:vMerge/>
            <w:tcMar>
              <w:top w:w="115" w:type="dxa"/>
              <w:left w:w="115" w:type="dxa"/>
              <w:bottom w:w="115" w:type="dxa"/>
              <w:right w:w="115" w:type="dxa"/>
            </w:tcMar>
          </w:tcPr>
          <w:p w14:paraId="118EF704"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Cs/>
                <w:lang w:val="en-CA"/>
              </w:rPr>
            </w:pPr>
          </w:p>
        </w:tc>
        <w:tc>
          <w:tcPr>
            <w:tcW w:w="2160" w:type="dxa"/>
            <w:vMerge/>
            <w:tcMar>
              <w:top w:w="115" w:type="dxa"/>
              <w:left w:w="115" w:type="dxa"/>
              <w:bottom w:w="115" w:type="dxa"/>
              <w:right w:w="115" w:type="dxa"/>
            </w:tcMar>
          </w:tcPr>
          <w:p w14:paraId="34A71066"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SimSun"/>
                <w:bCs/>
                <w:lang w:val="en-CA"/>
              </w:rPr>
            </w:pPr>
          </w:p>
        </w:tc>
        <w:tc>
          <w:tcPr>
            <w:tcW w:w="4050" w:type="dxa"/>
          </w:tcPr>
          <w:p w14:paraId="082CD886" w14:textId="17E1E1A8"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lang w:val="en-CA"/>
              </w:rPr>
              <w:t xml:space="preserve">1.1.C.  </w:t>
            </w:r>
            <w:r w:rsidRPr="000C0842">
              <w:rPr>
                <w:rFonts w:eastAsia="SimSun"/>
              </w:rPr>
              <w:t>为建立或加强同业交流群和其他交流平台和举措提供便利，包括文化上适当的传统知识、创新和做法，并得到传统知识持有人的自由、事先和知情同意</w:t>
            </w:r>
            <w:r w:rsidRPr="000C0842">
              <w:rPr>
                <w:rFonts w:eastAsia="SimSun"/>
                <w:vertAlign w:val="superscript"/>
                <w:lang w:val="en-GB"/>
              </w:rPr>
              <w:footnoteReference w:id="85"/>
            </w:r>
            <w:r w:rsidRPr="000C0842">
              <w:rPr>
                <w:rFonts w:eastAsia="SimSun"/>
                <w:lang w:val="en-GB"/>
              </w:rPr>
              <w:t>，</w:t>
            </w:r>
            <w:r w:rsidRPr="000C0842">
              <w:rPr>
                <w:rFonts w:eastAsia="SimSun"/>
              </w:rPr>
              <w:t>以便能够分享相关经验、专门知识和诀窍。</w:t>
            </w:r>
          </w:p>
        </w:tc>
        <w:tc>
          <w:tcPr>
            <w:tcW w:w="1530" w:type="dxa"/>
            <w:shd w:val="clear" w:color="auto" w:fill="FFFFFF"/>
            <w:tcMar>
              <w:top w:w="115" w:type="dxa"/>
              <w:left w:w="115" w:type="dxa"/>
              <w:bottom w:w="115" w:type="dxa"/>
              <w:right w:w="115" w:type="dxa"/>
            </w:tcMar>
          </w:tcPr>
          <w:p w14:paraId="3B7B3A63"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lang w:val="en-CA"/>
              </w:rPr>
              <w:t>2025–2030</w:t>
            </w:r>
            <w:r w:rsidRPr="000C0842">
              <w:rPr>
                <w:rFonts w:eastAsia="SimSun"/>
              </w:rPr>
              <w:t>年</w:t>
            </w:r>
          </w:p>
        </w:tc>
      </w:tr>
      <w:tr w:rsidR="000C0842" w:rsidRPr="000C0842" w14:paraId="6A4D6227" w14:textId="77777777" w:rsidTr="001F32B3">
        <w:trPr>
          <w:trHeight w:val="360"/>
        </w:trPr>
        <w:tc>
          <w:tcPr>
            <w:tcW w:w="1615" w:type="dxa"/>
            <w:vMerge/>
            <w:tcMar>
              <w:top w:w="115" w:type="dxa"/>
              <w:left w:w="115" w:type="dxa"/>
              <w:bottom w:w="115" w:type="dxa"/>
              <w:right w:w="115" w:type="dxa"/>
            </w:tcMar>
          </w:tcPr>
          <w:p w14:paraId="02A19AB4"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Cs/>
                <w:lang w:val="en-CA"/>
              </w:rPr>
            </w:pPr>
          </w:p>
        </w:tc>
        <w:tc>
          <w:tcPr>
            <w:tcW w:w="2160" w:type="dxa"/>
            <w:vMerge/>
            <w:tcMar>
              <w:top w:w="115" w:type="dxa"/>
              <w:left w:w="115" w:type="dxa"/>
              <w:bottom w:w="115" w:type="dxa"/>
              <w:right w:w="115" w:type="dxa"/>
            </w:tcMar>
          </w:tcPr>
          <w:p w14:paraId="0CB89CC6"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SimSun"/>
                <w:bCs/>
                <w:lang w:val="en-CA"/>
              </w:rPr>
            </w:pPr>
          </w:p>
        </w:tc>
        <w:tc>
          <w:tcPr>
            <w:tcW w:w="4050" w:type="dxa"/>
          </w:tcPr>
          <w:p w14:paraId="21630B7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lang w:val="en-CA"/>
              </w:rPr>
              <w:t xml:space="preserve">1.1.D.  </w:t>
            </w:r>
            <w:r w:rsidRPr="000C0842">
              <w:rPr>
                <w:rFonts w:eastAsia="SimSun"/>
              </w:rPr>
              <w:t>建立或加强各项机制，促进联合研究方案和合资企业，以开发技术和解决方案。</w:t>
            </w:r>
          </w:p>
        </w:tc>
        <w:tc>
          <w:tcPr>
            <w:tcW w:w="1530" w:type="dxa"/>
            <w:shd w:val="clear" w:color="auto" w:fill="FFFFFF"/>
            <w:tcMar>
              <w:top w:w="115" w:type="dxa"/>
              <w:left w:w="115" w:type="dxa"/>
              <w:bottom w:w="115" w:type="dxa"/>
              <w:right w:w="115" w:type="dxa"/>
            </w:tcMar>
          </w:tcPr>
          <w:p w14:paraId="6FBABF6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lang w:val="en-CA"/>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3B5E7063" w14:textId="77777777" w:rsidTr="001F32B3">
        <w:trPr>
          <w:trHeight w:val="271"/>
        </w:trPr>
        <w:tc>
          <w:tcPr>
            <w:tcW w:w="1615" w:type="dxa"/>
            <w:vMerge/>
            <w:tcMar>
              <w:top w:w="115" w:type="dxa"/>
              <w:left w:w="115" w:type="dxa"/>
              <w:bottom w:w="115" w:type="dxa"/>
              <w:right w:w="115" w:type="dxa"/>
            </w:tcMar>
          </w:tcPr>
          <w:p w14:paraId="35BB51B4"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b/>
                <w:bCs/>
                <w:lang w:val="en-CA"/>
              </w:rPr>
            </w:pPr>
          </w:p>
        </w:tc>
        <w:tc>
          <w:tcPr>
            <w:tcW w:w="2160" w:type="dxa"/>
            <w:vMerge w:val="restart"/>
            <w:tcMar>
              <w:top w:w="115" w:type="dxa"/>
              <w:left w:w="115" w:type="dxa"/>
              <w:bottom w:w="115" w:type="dxa"/>
              <w:right w:w="115" w:type="dxa"/>
            </w:tcMar>
          </w:tcPr>
          <w:p w14:paraId="6E3A3091"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r w:rsidRPr="000C0842">
              <w:rPr>
                <w:rFonts w:eastAsia="SimSun"/>
                <w:lang w:val="en-CA"/>
              </w:rPr>
              <w:t xml:space="preserve">1.2. </w:t>
            </w:r>
            <w:r w:rsidRPr="000C0842">
              <w:rPr>
                <w:rFonts w:eastAsia="SimSun"/>
              </w:rPr>
              <w:t>为有具体科技需求的缔约方与有能力提供必要支持的其他缔约方或机构牵线搭桥，提供了方便。</w:t>
            </w:r>
          </w:p>
          <w:p w14:paraId="49662422"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p w14:paraId="6E85171F"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4050" w:type="dxa"/>
          </w:tcPr>
          <w:p w14:paraId="02D4FA40"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SimSun"/>
                <w:iCs/>
                <w:lang w:val="en-CA"/>
              </w:rPr>
            </w:pPr>
            <w:r w:rsidRPr="000C0842">
              <w:rPr>
                <w:rFonts w:eastAsia="SimSun"/>
                <w:lang w:val="en-CA"/>
              </w:rPr>
              <w:t xml:space="preserve">1.2.A. </w:t>
            </w:r>
            <w:r w:rsidRPr="000C0842">
              <w:rPr>
                <w:rFonts w:eastAsia="SimSun"/>
              </w:rPr>
              <w:t>强化工具和程序，使缔约方和利益攸关方能够确定、优先考虑和交流其生物多样性相关的科技需求和援助请求。</w:t>
            </w:r>
          </w:p>
        </w:tc>
        <w:tc>
          <w:tcPr>
            <w:tcW w:w="1530" w:type="dxa"/>
            <w:shd w:val="clear" w:color="auto" w:fill="FFFFFF"/>
            <w:tcMar>
              <w:top w:w="115" w:type="dxa"/>
              <w:left w:w="115" w:type="dxa"/>
              <w:bottom w:w="115" w:type="dxa"/>
              <w:right w:w="115" w:type="dxa"/>
            </w:tcMar>
          </w:tcPr>
          <w:p w14:paraId="3F9111A3"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snapToGrid w:val="0"/>
                <w:lang w:val="en-GB"/>
              </w:rPr>
            </w:pPr>
            <w:r w:rsidRPr="000C0842">
              <w:rPr>
                <w:rFonts w:eastAsia="SimSun"/>
                <w:lang w:val="en-CA"/>
              </w:rPr>
              <w:t>2025-2030</w:t>
            </w:r>
            <w:r w:rsidRPr="000C0842">
              <w:rPr>
                <w:rFonts w:eastAsia="SimSun"/>
              </w:rPr>
              <w:t>年</w:t>
            </w:r>
          </w:p>
        </w:tc>
      </w:tr>
      <w:tr w:rsidR="000C0842" w:rsidRPr="000C0842" w14:paraId="37E0E593" w14:textId="77777777" w:rsidTr="001F32B3">
        <w:trPr>
          <w:trHeight w:val="270"/>
        </w:trPr>
        <w:tc>
          <w:tcPr>
            <w:tcW w:w="1615" w:type="dxa"/>
            <w:vMerge/>
            <w:tcMar>
              <w:top w:w="115" w:type="dxa"/>
              <w:left w:w="115" w:type="dxa"/>
              <w:bottom w:w="115" w:type="dxa"/>
              <w:right w:w="115" w:type="dxa"/>
            </w:tcMar>
          </w:tcPr>
          <w:p w14:paraId="310A4C19"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b/>
                <w:bCs/>
                <w:lang w:val="en-CA"/>
              </w:rPr>
            </w:pPr>
          </w:p>
        </w:tc>
        <w:tc>
          <w:tcPr>
            <w:tcW w:w="2160" w:type="dxa"/>
            <w:vMerge/>
            <w:tcMar>
              <w:top w:w="115" w:type="dxa"/>
              <w:left w:w="115" w:type="dxa"/>
              <w:bottom w:w="115" w:type="dxa"/>
              <w:right w:w="115" w:type="dxa"/>
            </w:tcMar>
          </w:tcPr>
          <w:p w14:paraId="73163585"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lang w:val="en-CA"/>
              </w:rPr>
            </w:pPr>
          </w:p>
        </w:tc>
        <w:tc>
          <w:tcPr>
            <w:tcW w:w="4050" w:type="dxa"/>
          </w:tcPr>
          <w:p w14:paraId="3610125F"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SimSun"/>
                <w:iCs/>
                <w:lang w:val="en-CA"/>
              </w:rPr>
            </w:pPr>
            <w:r w:rsidRPr="000C0842">
              <w:rPr>
                <w:rFonts w:eastAsia="SimSun"/>
                <w:lang w:val="en-CA"/>
              </w:rPr>
              <w:t xml:space="preserve">1.2.B. </w:t>
            </w:r>
            <w:r w:rsidRPr="000C0842">
              <w:rPr>
                <w:rFonts w:eastAsia="SimSun"/>
              </w:rPr>
              <w:t>盘点可与缔约方共享的专门知识、工具、技术和其他相关科技资产。</w:t>
            </w:r>
          </w:p>
        </w:tc>
        <w:tc>
          <w:tcPr>
            <w:tcW w:w="1530" w:type="dxa"/>
            <w:shd w:val="clear" w:color="auto" w:fill="FFFFFF"/>
            <w:tcMar>
              <w:top w:w="115" w:type="dxa"/>
              <w:left w:w="115" w:type="dxa"/>
              <w:bottom w:w="115" w:type="dxa"/>
              <w:right w:w="115" w:type="dxa"/>
            </w:tcMar>
          </w:tcPr>
          <w:p w14:paraId="219DA573"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snapToGrid w:val="0"/>
                <w:lang w:val="en-GB"/>
              </w:rPr>
            </w:pPr>
            <w:r w:rsidRPr="000C0842">
              <w:rPr>
                <w:rFonts w:eastAsia="SimSun"/>
                <w:lang w:val="en-CA"/>
              </w:rPr>
              <w:t>2025-2030</w:t>
            </w:r>
            <w:r w:rsidRPr="000C0842">
              <w:rPr>
                <w:rFonts w:eastAsia="SimSun"/>
              </w:rPr>
              <w:t>年</w:t>
            </w:r>
          </w:p>
        </w:tc>
      </w:tr>
      <w:tr w:rsidR="000C0842" w:rsidRPr="000C0842" w14:paraId="3EC5DB8A" w14:textId="77777777" w:rsidTr="001F32B3">
        <w:trPr>
          <w:trHeight w:val="99"/>
        </w:trPr>
        <w:tc>
          <w:tcPr>
            <w:tcW w:w="1615" w:type="dxa"/>
            <w:vMerge/>
            <w:tcMar>
              <w:top w:w="115" w:type="dxa"/>
              <w:left w:w="115" w:type="dxa"/>
              <w:bottom w:w="115" w:type="dxa"/>
              <w:right w:w="115" w:type="dxa"/>
            </w:tcMar>
          </w:tcPr>
          <w:p w14:paraId="49D4061A"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b/>
                <w:bCs/>
                <w:lang w:val="en-CA"/>
              </w:rPr>
            </w:pPr>
          </w:p>
        </w:tc>
        <w:tc>
          <w:tcPr>
            <w:tcW w:w="2160" w:type="dxa"/>
            <w:vMerge/>
            <w:tcMar>
              <w:top w:w="115" w:type="dxa"/>
              <w:left w:w="115" w:type="dxa"/>
              <w:bottom w:w="115" w:type="dxa"/>
              <w:right w:w="115" w:type="dxa"/>
            </w:tcMar>
          </w:tcPr>
          <w:p w14:paraId="65FAFB25"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lang w:val="en-CA"/>
              </w:rPr>
            </w:pPr>
          </w:p>
        </w:tc>
        <w:tc>
          <w:tcPr>
            <w:tcW w:w="4050" w:type="dxa"/>
          </w:tcPr>
          <w:p w14:paraId="6881A344"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SimSun"/>
                <w:iCs/>
                <w:lang w:val="en-CA"/>
              </w:rPr>
            </w:pPr>
            <w:r w:rsidRPr="000C0842">
              <w:rPr>
                <w:rFonts w:eastAsia="SimSun"/>
                <w:lang w:val="en-CA"/>
              </w:rPr>
              <w:t xml:space="preserve">1.2.C. </w:t>
            </w:r>
            <w:r w:rsidRPr="000C0842">
              <w:rPr>
                <w:rFonts w:eastAsia="SimSun"/>
              </w:rPr>
              <w:t>开发或加强工具和服务，包括在线平台</w:t>
            </w:r>
            <w:r w:rsidRPr="000C0842">
              <w:rPr>
                <w:rFonts w:eastAsia="SimSun"/>
                <w:kern w:val="22"/>
                <w:vertAlign w:val="superscript"/>
                <w:lang w:val="en-CA"/>
              </w:rPr>
              <w:footnoteReference w:id="86"/>
            </w:r>
            <w:r w:rsidRPr="000C0842">
              <w:rPr>
                <w:rFonts w:eastAsia="SimSun"/>
              </w:rPr>
              <w:t>，以促进需要支持的缔约方与能够提供支持的利益攸关方之间的牵线搭桥。</w:t>
            </w:r>
          </w:p>
        </w:tc>
        <w:tc>
          <w:tcPr>
            <w:tcW w:w="1530" w:type="dxa"/>
            <w:shd w:val="clear" w:color="auto" w:fill="FFFFFF"/>
            <w:tcMar>
              <w:top w:w="115" w:type="dxa"/>
              <w:left w:w="115" w:type="dxa"/>
              <w:bottom w:w="115" w:type="dxa"/>
              <w:right w:w="115" w:type="dxa"/>
            </w:tcMar>
          </w:tcPr>
          <w:p w14:paraId="506145F6"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snapToGrid w:val="0"/>
                <w:lang w:val="en-GB"/>
              </w:rPr>
            </w:pPr>
            <w:r w:rsidRPr="000C0842">
              <w:rPr>
                <w:rFonts w:eastAsia="SimSun"/>
                <w:lang w:val="en-CA"/>
              </w:rPr>
              <w:t>2025-2030</w:t>
            </w:r>
            <w:r w:rsidRPr="000C0842">
              <w:rPr>
                <w:rFonts w:eastAsia="SimSun"/>
              </w:rPr>
              <w:t>年</w:t>
            </w:r>
          </w:p>
        </w:tc>
      </w:tr>
      <w:tr w:rsidR="000C0842" w:rsidRPr="000C0842" w14:paraId="3992A7EF" w14:textId="77777777" w:rsidTr="001F32B3">
        <w:trPr>
          <w:trHeight w:val="99"/>
        </w:trPr>
        <w:tc>
          <w:tcPr>
            <w:tcW w:w="1615" w:type="dxa"/>
            <w:vMerge/>
            <w:tcMar>
              <w:top w:w="115" w:type="dxa"/>
              <w:left w:w="115" w:type="dxa"/>
              <w:bottom w:w="115" w:type="dxa"/>
              <w:right w:w="115" w:type="dxa"/>
            </w:tcMar>
          </w:tcPr>
          <w:p w14:paraId="4784098F"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b/>
                <w:bCs/>
                <w:lang w:val="en-CA"/>
              </w:rPr>
            </w:pPr>
          </w:p>
        </w:tc>
        <w:tc>
          <w:tcPr>
            <w:tcW w:w="2160" w:type="dxa"/>
            <w:vMerge/>
            <w:tcBorders>
              <w:bottom w:val="single" w:sz="4" w:space="0" w:color="auto"/>
            </w:tcBorders>
            <w:tcMar>
              <w:top w:w="115" w:type="dxa"/>
              <w:left w:w="115" w:type="dxa"/>
              <w:bottom w:w="115" w:type="dxa"/>
              <w:right w:w="115" w:type="dxa"/>
            </w:tcMar>
          </w:tcPr>
          <w:p w14:paraId="2F6F9748"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lang w:val="en-CA"/>
              </w:rPr>
            </w:pPr>
          </w:p>
        </w:tc>
        <w:tc>
          <w:tcPr>
            <w:tcW w:w="4050" w:type="dxa"/>
          </w:tcPr>
          <w:p w14:paraId="670B60F2"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SimSun"/>
                <w:iCs/>
                <w:lang w:val="en-CA"/>
              </w:rPr>
            </w:pPr>
            <w:r w:rsidRPr="000C0842">
              <w:rPr>
                <w:rFonts w:eastAsia="SimSun"/>
                <w:lang w:val="en-CA"/>
              </w:rPr>
              <w:t xml:space="preserve">1.2.D. </w:t>
            </w:r>
            <w:r w:rsidRPr="000C0842">
              <w:rPr>
                <w:rFonts w:eastAsia="SimSun"/>
              </w:rPr>
              <w:t>在全球、区域、次区域和国家各级确定、规划、</w:t>
            </w:r>
            <w:r w:rsidRPr="000C0842">
              <w:rPr>
                <w:rFonts w:eastAsia="SimSun" w:hint="eastAsia"/>
              </w:rPr>
              <w:t>连接</w:t>
            </w:r>
            <w:r w:rsidRPr="000C0842">
              <w:rPr>
                <w:rFonts w:eastAsia="SimSun"/>
              </w:rPr>
              <w:t>和促进现有的牵线搭桥服务。</w:t>
            </w:r>
          </w:p>
        </w:tc>
        <w:tc>
          <w:tcPr>
            <w:tcW w:w="1530" w:type="dxa"/>
            <w:shd w:val="clear" w:color="auto" w:fill="FFFFFF"/>
            <w:tcMar>
              <w:top w:w="115" w:type="dxa"/>
              <w:left w:w="115" w:type="dxa"/>
              <w:bottom w:w="115" w:type="dxa"/>
              <w:right w:w="115" w:type="dxa"/>
            </w:tcMar>
          </w:tcPr>
          <w:p w14:paraId="3A93222B"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snapToGrid w:val="0"/>
                <w:lang w:val="en-GB"/>
              </w:rPr>
            </w:pPr>
            <w:r w:rsidRPr="000C0842">
              <w:rPr>
                <w:rFonts w:eastAsia="SimSun"/>
                <w:lang w:val="en-CA"/>
              </w:rPr>
              <w:t>2025-2030</w:t>
            </w:r>
            <w:r w:rsidRPr="000C0842">
              <w:rPr>
                <w:rFonts w:eastAsia="SimSun"/>
              </w:rPr>
              <w:t>年</w:t>
            </w:r>
          </w:p>
        </w:tc>
      </w:tr>
      <w:tr w:rsidR="000C0842" w:rsidRPr="000C0842" w14:paraId="220F546C" w14:textId="77777777" w:rsidTr="001F32B3">
        <w:trPr>
          <w:trHeight w:val="329"/>
        </w:trPr>
        <w:tc>
          <w:tcPr>
            <w:tcW w:w="1615" w:type="dxa"/>
            <w:vMerge w:val="restart"/>
            <w:tcMar>
              <w:top w:w="115" w:type="dxa"/>
              <w:left w:w="115" w:type="dxa"/>
              <w:bottom w:w="115" w:type="dxa"/>
              <w:right w:w="115" w:type="dxa"/>
            </w:tcMar>
          </w:tcPr>
          <w:p w14:paraId="4A414D45"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rPr>
            </w:pPr>
            <w:r w:rsidRPr="000C0842">
              <w:rPr>
                <w:rFonts w:eastAsia="SimSun"/>
                <w:lang w:val="en-CA"/>
              </w:rPr>
              <w:t xml:space="preserve">2. </w:t>
            </w:r>
            <w:r w:rsidRPr="000C0842">
              <w:rPr>
                <w:rFonts w:eastAsia="SimSun"/>
                <w:shd w:val="clear" w:color="auto" w:fill="FFFFFF"/>
                <w:lang w:val="en-CA"/>
              </w:rPr>
              <w:t>促进信息交流</w:t>
            </w:r>
          </w:p>
          <w:p w14:paraId="463E3AEA"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rPr>
            </w:pPr>
          </w:p>
        </w:tc>
        <w:tc>
          <w:tcPr>
            <w:tcW w:w="2160" w:type="dxa"/>
            <w:vMerge w:val="restart"/>
            <w:tcMar>
              <w:top w:w="115" w:type="dxa"/>
              <w:left w:w="115" w:type="dxa"/>
              <w:bottom w:w="115" w:type="dxa"/>
              <w:right w:w="115" w:type="dxa"/>
            </w:tcMar>
          </w:tcPr>
          <w:p w14:paraId="5C66FD98"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 </w:t>
            </w:r>
            <w:r w:rsidRPr="000C0842">
              <w:rPr>
                <w:rFonts w:eastAsia="SimSun"/>
              </w:rPr>
              <w:t>信息交换所机制的中央门户正在提供有效的信息服务，以促进《昆明</w:t>
            </w:r>
            <w:r w:rsidRPr="000C0842">
              <w:rPr>
                <w:rFonts w:eastAsia="SimSun"/>
              </w:rPr>
              <w:t>-</w:t>
            </w:r>
            <w:r w:rsidRPr="000C0842">
              <w:rPr>
                <w:rFonts w:eastAsia="SimSun"/>
              </w:rPr>
              <w:t>蒙特利尔全球生物多样性框架》的执行。</w:t>
            </w:r>
          </w:p>
          <w:p w14:paraId="761BA135"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p>
        </w:tc>
        <w:tc>
          <w:tcPr>
            <w:tcW w:w="4050" w:type="dxa"/>
          </w:tcPr>
          <w:p w14:paraId="1D046B29"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2.1.A. </w:t>
            </w:r>
            <w:r w:rsidRPr="000C0842">
              <w:rPr>
                <w:rFonts w:eastAsia="SimSun"/>
              </w:rPr>
              <w:t>进一步开发、实施和推广信息交换所机制中央门户的用户工作区，以便于缔约方和相关利益攸关方提供信息、保持联系、分享想法和共同</w:t>
            </w:r>
            <w:r w:rsidRPr="000C0842">
              <w:rPr>
                <w:rFonts w:eastAsia="SimSun" w:hint="eastAsia"/>
              </w:rPr>
              <w:t>合作</w:t>
            </w:r>
            <w:r w:rsidRPr="000C0842">
              <w:rPr>
                <w:rFonts w:eastAsia="SimSun"/>
              </w:rPr>
              <w:t>。</w:t>
            </w:r>
          </w:p>
        </w:tc>
        <w:tc>
          <w:tcPr>
            <w:tcW w:w="1530" w:type="dxa"/>
            <w:tcMar>
              <w:top w:w="115" w:type="dxa"/>
              <w:left w:w="115" w:type="dxa"/>
              <w:bottom w:w="115" w:type="dxa"/>
              <w:right w:w="115" w:type="dxa"/>
            </w:tcMar>
          </w:tcPr>
          <w:p w14:paraId="4D8FD5F1"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2024-2026</w:t>
            </w:r>
            <w:r w:rsidRPr="000C0842">
              <w:rPr>
                <w:rFonts w:eastAsia="SimSun"/>
              </w:rPr>
              <w:t>年</w:t>
            </w:r>
          </w:p>
        </w:tc>
      </w:tr>
      <w:tr w:rsidR="000C0842" w:rsidRPr="000C0842" w14:paraId="25493F6A" w14:textId="77777777" w:rsidTr="001F32B3">
        <w:trPr>
          <w:trHeight w:val="324"/>
        </w:trPr>
        <w:tc>
          <w:tcPr>
            <w:tcW w:w="1615" w:type="dxa"/>
            <w:vMerge/>
            <w:tcMar>
              <w:top w:w="115" w:type="dxa"/>
              <w:left w:w="115" w:type="dxa"/>
              <w:bottom w:w="115" w:type="dxa"/>
              <w:right w:w="115" w:type="dxa"/>
            </w:tcMar>
          </w:tcPr>
          <w:p w14:paraId="41266CDB"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
                <w:bCs/>
                <w:lang w:val="en-CA"/>
              </w:rPr>
            </w:pPr>
          </w:p>
        </w:tc>
        <w:tc>
          <w:tcPr>
            <w:tcW w:w="2160" w:type="dxa"/>
            <w:vMerge/>
            <w:tcMar>
              <w:top w:w="115" w:type="dxa"/>
              <w:left w:w="115" w:type="dxa"/>
              <w:bottom w:w="115" w:type="dxa"/>
              <w:right w:w="115" w:type="dxa"/>
            </w:tcMar>
          </w:tcPr>
          <w:p w14:paraId="7A2ADB2E"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lang w:val="en-CA"/>
              </w:rPr>
            </w:pPr>
          </w:p>
        </w:tc>
        <w:tc>
          <w:tcPr>
            <w:tcW w:w="4050" w:type="dxa"/>
          </w:tcPr>
          <w:p w14:paraId="59277ACE" w14:textId="528C69E3"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2.1.B. </w:t>
            </w:r>
            <w:r w:rsidRPr="000C0842">
              <w:rPr>
                <w:rFonts w:eastAsia="SimSun"/>
              </w:rPr>
              <w:t>进一步开发和实施在线提交系统，使缔约方和相关利益攸关方能够提交与其执行《公约》和《昆蒙框架》有关的信息</w:t>
            </w:r>
            <w:r w:rsidRPr="000C0842">
              <w:rPr>
                <w:rFonts w:eastAsia="SimSun"/>
                <w:kern w:val="22"/>
                <w:vertAlign w:val="superscript"/>
                <w:lang w:val="en-CA"/>
              </w:rPr>
              <w:footnoteReference w:id="87"/>
            </w:r>
            <w:r w:rsidR="000D492E" w:rsidRPr="000C0842">
              <w:rPr>
                <w:rFonts w:eastAsia="SimSun"/>
              </w:rPr>
              <w:t>。</w:t>
            </w:r>
          </w:p>
        </w:tc>
        <w:tc>
          <w:tcPr>
            <w:tcW w:w="1530" w:type="dxa"/>
            <w:tcMar>
              <w:top w:w="115" w:type="dxa"/>
              <w:left w:w="115" w:type="dxa"/>
              <w:bottom w:w="115" w:type="dxa"/>
              <w:right w:w="115" w:type="dxa"/>
            </w:tcMar>
          </w:tcPr>
          <w:p w14:paraId="5A9F1DDB"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2024-2028</w:t>
            </w:r>
            <w:r w:rsidRPr="000C0842">
              <w:rPr>
                <w:rFonts w:eastAsia="SimSun"/>
              </w:rPr>
              <w:t>年</w:t>
            </w:r>
          </w:p>
        </w:tc>
      </w:tr>
      <w:tr w:rsidR="000C0842" w:rsidRPr="000C0842" w14:paraId="3AA8CAAF" w14:textId="77777777" w:rsidTr="001F32B3">
        <w:trPr>
          <w:trHeight w:val="324"/>
        </w:trPr>
        <w:tc>
          <w:tcPr>
            <w:tcW w:w="1615" w:type="dxa"/>
            <w:vMerge/>
            <w:tcMar>
              <w:top w:w="115" w:type="dxa"/>
              <w:left w:w="115" w:type="dxa"/>
              <w:bottom w:w="115" w:type="dxa"/>
              <w:right w:w="115" w:type="dxa"/>
            </w:tcMar>
          </w:tcPr>
          <w:p w14:paraId="06128BB8"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
                <w:bCs/>
                <w:lang w:val="en-CA"/>
              </w:rPr>
            </w:pPr>
          </w:p>
        </w:tc>
        <w:tc>
          <w:tcPr>
            <w:tcW w:w="2160" w:type="dxa"/>
            <w:vMerge/>
            <w:tcMar>
              <w:top w:w="115" w:type="dxa"/>
              <w:left w:w="115" w:type="dxa"/>
              <w:bottom w:w="115" w:type="dxa"/>
              <w:right w:w="115" w:type="dxa"/>
            </w:tcMar>
          </w:tcPr>
          <w:p w14:paraId="1086CCE4"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lang w:val="en-CA"/>
              </w:rPr>
            </w:pPr>
          </w:p>
        </w:tc>
        <w:tc>
          <w:tcPr>
            <w:tcW w:w="4050" w:type="dxa"/>
          </w:tcPr>
          <w:p w14:paraId="1E6EFF67"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2.1.C. </w:t>
            </w:r>
            <w:r w:rsidRPr="000C0842">
              <w:rPr>
                <w:rFonts w:eastAsia="SimSun"/>
              </w:rPr>
              <w:t>进一步开发和改进信息交换所机制中央门户的用户界面，以便于发现和获取门户中的数据、信息和知识。</w:t>
            </w:r>
          </w:p>
        </w:tc>
        <w:tc>
          <w:tcPr>
            <w:tcW w:w="1530" w:type="dxa"/>
            <w:tcMar>
              <w:top w:w="115" w:type="dxa"/>
              <w:left w:w="115" w:type="dxa"/>
              <w:bottom w:w="115" w:type="dxa"/>
              <w:right w:w="115" w:type="dxa"/>
            </w:tcMar>
          </w:tcPr>
          <w:p w14:paraId="2348CB37"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2024-2025</w:t>
            </w:r>
            <w:r w:rsidRPr="000C0842">
              <w:rPr>
                <w:rFonts w:eastAsia="SimSun"/>
              </w:rPr>
              <w:t>年</w:t>
            </w:r>
          </w:p>
        </w:tc>
      </w:tr>
      <w:tr w:rsidR="000C0842" w:rsidRPr="000C0842" w14:paraId="1BB92078" w14:textId="77777777" w:rsidTr="001F32B3">
        <w:trPr>
          <w:trHeight w:val="324"/>
        </w:trPr>
        <w:tc>
          <w:tcPr>
            <w:tcW w:w="1615" w:type="dxa"/>
            <w:vMerge/>
            <w:tcMar>
              <w:top w:w="115" w:type="dxa"/>
              <w:left w:w="115" w:type="dxa"/>
              <w:bottom w:w="115" w:type="dxa"/>
              <w:right w:w="115" w:type="dxa"/>
            </w:tcMar>
          </w:tcPr>
          <w:p w14:paraId="78745CE9"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
                <w:bCs/>
                <w:lang w:val="en-CA"/>
              </w:rPr>
            </w:pPr>
          </w:p>
        </w:tc>
        <w:tc>
          <w:tcPr>
            <w:tcW w:w="2160" w:type="dxa"/>
            <w:vMerge/>
            <w:tcMar>
              <w:top w:w="115" w:type="dxa"/>
              <w:left w:w="115" w:type="dxa"/>
              <w:bottom w:w="115" w:type="dxa"/>
              <w:right w:w="115" w:type="dxa"/>
            </w:tcMar>
          </w:tcPr>
          <w:p w14:paraId="231D3F79"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lang w:val="en-CA"/>
              </w:rPr>
            </w:pPr>
          </w:p>
        </w:tc>
        <w:tc>
          <w:tcPr>
            <w:tcW w:w="4050" w:type="dxa"/>
          </w:tcPr>
          <w:p w14:paraId="3418BCEE"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2.1.D. </w:t>
            </w:r>
            <w:r w:rsidRPr="000C0842">
              <w:rPr>
                <w:rFonts w:eastAsia="SimSun"/>
              </w:rPr>
              <w:t>进一步开发工具，使国家信息交换所机制和伙伴组织的信息系</w:t>
            </w:r>
            <w:r w:rsidRPr="000C0842">
              <w:rPr>
                <w:rFonts w:eastAsia="SimSun"/>
                <w:spacing w:val="12"/>
              </w:rPr>
              <w:t>统能够实现互操作，并自动显示来自中央信息交换所机制的相关信息</w:t>
            </w:r>
            <w:r w:rsidRPr="000C0842">
              <w:rPr>
                <w:rFonts w:eastAsia="SimSun"/>
                <w:lang w:val="en-CA"/>
              </w:rPr>
              <w:t>。</w:t>
            </w:r>
          </w:p>
        </w:tc>
        <w:tc>
          <w:tcPr>
            <w:tcW w:w="1530" w:type="dxa"/>
            <w:tcMar>
              <w:top w:w="115" w:type="dxa"/>
              <w:left w:w="115" w:type="dxa"/>
              <w:bottom w:w="115" w:type="dxa"/>
              <w:right w:w="115" w:type="dxa"/>
            </w:tcMar>
          </w:tcPr>
          <w:p w14:paraId="3414C43D"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2024-2025</w:t>
            </w:r>
            <w:r w:rsidRPr="000C0842">
              <w:rPr>
                <w:rFonts w:eastAsia="SimSun"/>
              </w:rPr>
              <w:t>年</w:t>
            </w:r>
          </w:p>
        </w:tc>
      </w:tr>
      <w:tr w:rsidR="000C0842" w:rsidRPr="000C0842" w14:paraId="570E16E5" w14:textId="77777777" w:rsidTr="001F32B3">
        <w:trPr>
          <w:trHeight w:val="324"/>
        </w:trPr>
        <w:tc>
          <w:tcPr>
            <w:tcW w:w="1615" w:type="dxa"/>
            <w:vMerge/>
            <w:tcMar>
              <w:top w:w="115" w:type="dxa"/>
              <w:left w:w="115" w:type="dxa"/>
              <w:bottom w:w="115" w:type="dxa"/>
              <w:right w:w="115" w:type="dxa"/>
            </w:tcMar>
          </w:tcPr>
          <w:p w14:paraId="281F59F0"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
                <w:bCs/>
                <w:lang w:val="en-CA"/>
              </w:rPr>
            </w:pPr>
          </w:p>
        </w:tc>
        <w:tc>
          <w:tcPr>
            <w:tcW w:w="2160" w:type="dxa"/>
            <w:vMerge/>
            <w:tcMar>
              <w:top w:w="115" w:type="dxa"/>
              <w:left w:w="115" w:type="dxa"/>
              <w:bottom w:w="115" w:type="dxa"/>
              <w:right w:w="115" w:type="dxa"/>
            </w:tcMar>
          </w:tcPr>
          <w:p w14:paraId="55CA0475"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lang w:val="en-CA"/>
              </w:rPr>
            </w:pPr>
          </w:p>
        </w:tc>
        <w:tc>
          <w:tcPr>
            <w:tcW w:w="4050" w:type="dxa"/>
          </w:tcPr>
          <w:p w14:paraId="4219E627"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2.1.E. </w:t>
            </w:r>
            <w:r w:rsidRPr="000C0842">
              <w:rPr>
                <w:rFonts w:eastAsia="SimSun"/>
              </w:rPr>
              <w:t>进一步开发数据汇总工具，以利用来自国家信息交换所机制和伙伴组织信息系统的信息。</w:t>
            </w:r>
          </w:p>
        </w:tc>
        <w:tc>
          <w:tcPr>
            <w:tcW w:w="1530" w:type="dxa"/>
            <w:tcMar>
              <w:top w:w="115" w:type="dxa"/>
              <w:left w:w="115" w:type="dxa"/>
              <w:bottom w:w="115" w:type="dxa"/>
              <w:right w:w="115" w:type="dxa"/>
            </w:tcMar>
          </w:tcPr>
          <w:p w14:paraId="769F445A"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2024-2026</w:t>
            </w:r>
            <w:r w:rsidRPr="000C0842">
              <w:rPr>
                <w:rFonts w:eastAsia="SimSun"/>
              </w:rPr>
              <w:t>年</w:t>
            </w:r>
          </w:p>
        </w:tc>
      </w:tr>
      <w:tr w:rsidR="000C0842" w:rsidRPr="000C0842" w14:paraId="611F7166" w14:textId="77777777" w:rsidTr="001F32B3">
        <w:trPr>
          <w:trHeight w:val="324"/>
        </w:trPr>
        <w:tc>
          <w:tcPr>
            <w:tcW w:w="1615" w:type="dxa"/>
            <w:vMerge/>
            <w:tcMar>
              <w:top w:w="115" w:type="dxa"/>
              <w:left w:w="115" w:type="dxa"/>
              <w:bottom w:w="115" w:type="dxa"/>
              <w:right w:w="115" w:type="dxa"/>
            </w:tcMar>
          </w:tcPr>
          <w:p w14:paraId="5291461A"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b/>
                <w:bCs/>
                <w:lang w:val="en-CA"/>
              </w:rPr>
            </w:pPr>
          </w:p>
        </w:tc>
        <w:tc>
          <w:tcPr>
            <w:tcW w:w="2160" w:type="dxa"/>
            <w:vMerge/>
            <w:tcMar>
              <w:top w:w="115" w:type="dxa"/>
              <w:left w:w="115" w:type="dxa"/>
              <w:bottom w:w="115" w:type="dxa"/>
              <w:right w:w="115" w:type="dxa"/>
            </w:tcMar>
          </w:tcPr>
          <w:p w14:paraId="2A3B3767"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lang w:val="en-CA"/>
              </w:rPr>
            </w:pPr>
          </w:p>
        </w:tc>
        <w:tc>
          <w:tcPr>
            <w:tcW w:w="4050" w:type="dxa"/>
          </w:tcPr>
          <w:p w14:paraId="3CC929BC"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 xml:space="preserve">2.1.F. </w:t>
            </w:r>
            <w:r w:rsidRPr="000C0842">
              <w:rPr>
                <w:rFonts w:eastAsia="SimSun"/>
              </w:rPr>
              <w:t>依照缔约方大会的要求提供其他信息服务。</w:t>
            </w:r>
          </w:p>
        </w:tc>
        <w:tc>
          <w:tcPr>
            <w:tcW w:w="1530" w:type="dxa"/>
            <w:tcMar>
              <w:top w:w="115" w:type="dxa"/>
              <w:left w:w="115" w:type="dxa"/>
              <w:bottom w:w="115" w:type="dxa"/>
              <w:right w:w="115" w:type="dxa"/>
            </w:tcMar>
          </w:tcPr>
          <w:p w14:paraId="0C52D76F" w14:textId="77777777" w:rsidR="006D5DBD" w:rsidRPr="000C0842" w:rsidRDefault="006D5DBD" w:rsidP="006D5DBD">
            <w:pPr>
              <w:tabs>
                <w:tab w:val="clear" w:pos="567"/>
                <w:tab w:val="clear" w:pos="1134"/>
                <w:tab w:val="clear" w:pos="1701"/>
                <w:tab w:val="clear" w:pos="2268"/>
                <w:tab w:val="left" w:pos="360"/>
              </w:tabs>
              <w:snapToGrid w:val="0"/>
              <w:spacing w:before="60"/>
              <w:jc w:val="left"/>
              <w:rPr>
                <w:rFonts w:eastAsia="SimSun"/>
              </w:rPr>
            </w:pPr>
            <w:r w:rsidRPr="000C0842">
              <w:rPr>
                <w:rFonts w:eastAsia="SimSun"/>
                <w:lang w:val="en-CA"/>
              </w:rPr>
              <w:t>2025-2030</w:t>
            </w:r>
            <w:r w:rsidRPr="000C0842">
              <w:rPr>
                <w:rFonts w:eastAsia="SimSun"/>
              </w:rPr>
              <w:t>年</w:t>
            </w:r>
          </w:p>
        </w:tc>
      </w:tr>
      <w:bookmarkEnd w:id="23"/>
      <w:tr w:rsidR="000C0842" w:rsidRPr="000C0842" w14:paraId="079A625F" w14:textId="77777777" w:rsidTr="001F32B3">
        <w:trPr>
          <w:trHeight w:val="41"/>
        </w:trPr>
        <w:tc>
          <w:tcPr>
            <w:tcW w:w="1615" w:type="dxa"/>
            <w:vMerge w:val="restart"/>
            <w:tcMar>
              <w:top w:w="115" w:type="dxa"/>
              <w:left w:w="115" w:type="dxa"/>
              <w:bottom w:w="115" w:type="dxa"/>
              <w:right w:w="115" w:type="dxa"/>
            </w:tcMar>
          </w:tcPr>
          <w:p w14:paraId="0E4E391D"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p w14:paraId="69F1C5F4"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2160" w:type="dxa"/>
            <w:vMerge w:val="restart"/>
            <w:tcMar>
              <w:top w:w="115" w:type="dxa"/>
              <w:left w:w="115" w:type="dxa"/>
              <w:bottom w:w="115" w:type="dxa"/>
              <w:right w:w="115" w:type="dxa"/>
            </w:tcMar>
          </w:tcPr>
          <w:p w14:paraId="7B441939" w14:textId="77777777" w:rsidR="006D5DBD" w:rsidRPr="000C0842" w:rsidRDefault="006D5DBD" w:rsidP="006D5DBD">
            <w:pPr>
              <w:tabs>
                <w:tab w:val="clear" w:pos="567"/>
                <w:tab w:val="clear" w:pos="1134"/>
                <w:tab w:val="clear" w:pos="1701"/>
                <w:tab w:val="clear" w:pos="2268"/>
              </w:tabs>
              <w:spacing w:before="60" w:after="60"/>
              <w:jc w:val="left"/>
              <w:rPr>
                <w:rFonts w:eastAsia="SimSun"/>
                <w:lang w:val="en-CA"/>
              </w:rPr>
            </w:pPr>
            <w:r w:rsidRPr="000C0842">
              <w:rPr>
                <w:rFonts w:eastAsia="SimSun"/>
                <w:lang w:val="en-CA"/>
              </w:rPr>
              <w:t xml:space="preserve">2.2. </w:t>
            </w:r>
            <w:r w:rsidRPr="000C0842">
              <w:rPr>
                <w:rFonts w:eastAsia="SimSun"/>
              </w:rPr>
              <w:t>信息的交换、整合和可视化系统得到加强。</w:t>
            </w:r>
          </w:p>
          <w:p w14:paraId="7E889C02" w14:textId="77777777" w:rsidR="006D5DBD" w:rsidRPr="000C0842" w:rsidRDefault="006D5DBD" w:rsidP="006D5DBD">
            <w:pPr>
              <w:tabs>
                <w:tab w:val="clear" w:pos="567"/>
                <w:tab w:val="clear" w:pos="1134"/>
                <w:tab w:val="clear" w:pos="1701"/>
                <w:tab w:val="clear" w:pos="2268"/>
              </w:tabs>
              <w:spacing w:before="60"/>
              <w:jc w:val="left"/>
              <w:rPr>
                <w:rFonts w:eastAsia="SimSun"/>
                <w:lang w:val="en-CA"/>
              </w:rPr>
            </w:pPr>
          </w:p>
        </w:tc>
        <w:tc>
          <w:tcPr>
            <w:tcW w:w="4050" w:type="dxa"/>
          </w:tcPr>
          <w:p w14:paraId="59D6061D"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lang w:val="en-CA"/>
              </w:rPr>
            </w:pPr>
            <w:r w:rsidRPr="000C0842">
              <w:rPr>
                <w:rFonts w:eastAsia="SimSun"/>
                <w:lang w:val="en-CA"/>
              </w:rPr>
              <w:t xml:space="preserve">2.2.A. </w:t>
            </w:r>
            <w:r w:rsidRPr="000C0842">
              <w:rPr>
                <w:rFonts w:eastAsia="SimSun"/>
                <w:lang w:val="en-CA"/>
              </w:rPr>
              <w:t>进一步开发和加强《公约》网站，包括其设计、功能、</w:t>
            </w:r>
            <w:r w:rsidRPr="000C0842">
              <w:rPr>
                <w:rFonts w:eastAsia="SimSun" w:hint="eastAsia"/>
                <w:lang w:val="en-CA"/>
              </w:rPr>
              <w:t>使用方便程度</w:t>
            </w:r>
            <w:r w:rsidRPr="000C0842">
              <w:rPr>
                <w:rFonts w:eastAsia="SimSun"/>
                <w:lang w:val="en-CA"/>
              </w:rPr>
              <w:t>和用户友好度。</w:t>
            </w:r>
          </w:p>
        </w:tc>
        <w:tc>
          <w:tcPr>
            <w:tcW w:w="1530" w:type="dxa"/>
            <w:tcMar>
              <w:top w:w="115" w:type="dxa"/>
              <w:left w:w="115" w:type="dxa"/>
              <w:bottom w:w="115" w:type="dxa"/>
              <w:right w:w="115" w:type="dxa"/>
            </w:tcMar>
          </w:tcPr>
          <w:p w14:paraId="02B57D73"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lang w:val="en-CA"/>
              </w:rPr>
              <w:t>2024–2026</w:t>
            </w:r>
            <w:r w:rsidRPr="000C0842">
              <w:rPr>
                <w:rFonts w:eastAsia="SimSun"/>
              </w:rPr>
              <w:t>年</w:t>
            </w:r>
          </w:p>
        </w:tc>
      </w:tr>
      <w:tr w:rsidR="000C0842" w:rsidRPr="000C0842" w14:paraId="65EAEA10" w14:textId="77777777" w:rsidTr="001F32B3">
        <w:trPr>
          <w:trHeight w:val="40"/>
        </w:trPr>
        <w:tc>
          <w:tcPr>
            <w:tcW w:w="1615" w:type="dxa"/>
            <w:vMerge/>
            <w:tcMar>
              <w:top w:w="115" w:type="dxa"/>
              <w:left w:w="115" w:type="dxa"/>
              <w:bottom w:w="115" w:type="dxa"/>
              <w:right w:w="115" w:type="dxa"/>
            </w:tcMar>
          </w:tcPr>
          <w:p w14:paraId="48BC95D4"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05CCC325"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1B672488"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 xml:space="preserve">2.2.B. </w:t>
            </w:r>
            <w:r w:rsidRPr="000C0842">
              <w:rPr>
                <w:rFonts w:eastAsia="SimSun"/>
                <w:lang w:val="en-CA"/>
              </w:rPr>
              <w:t>进一步开发和更新用于收集、组织和共享信息和元数据的通用模板，以实现信息结构和组织的标准化。</w:t>
            </w:r>
          </w:p>
        </w:tc>
        <w:tc>
          <w:tcPr>
            <w:tcW w:w="1530" w:type="dxa"/>
            <w:tcMar>
              <w:top w:w="115" w:type="dxa"/>
              <w:left w:w="115" w:type="dxa"/>
              <w:bottom w:w="115" w:type="dxa"/>
              <w:right w:w="115" w:type="dxa"/>
            </w:tcMar>
          </w:tcPr>
          <w:p w14:paraId="5EF130D3"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30C11DDC" w14:textId="77777777" w:rsidTr="001F32B3">
        <w:trPr>
          <w:trHeight w:val="40"/>
        </w:trPr>
        <w:tc>
          <w:tcPr>
            <w:tcW w:w="1615" w:type="dxa"/>
            <w:vMerge/>
            <w:tcMar>
              <w:top w:w="115" w:type="dxa"/>
              <w:left w:w="115" w:type="dxa"/>
              <w:bottom w:w="115" w:type="dxa"/>
              <w:right w:w="115" w:type="dxa"/>
            </w:tcMar>
          </w:tcPr>
          <w:p w14:paraId="002258BC"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40B2CD82"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2682CA53"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 xml:space="preserve">2.2.C. </w:t>
            </w:r>
            <w:r w:rsidRPr="000C0842">
              <w:rPr>
                <w:rFonts w:eastAsia="SimSun"/>
                <w:lang w:val="en-CA"/>
              </w:rPr>
              <w:t>进一步开发或修改受控</w:t>
            </w:r>
            <w:r w:rsidRPr="000C0842">
              <w:rPr>
                <w:rFonts w:eastAsia="SimSun" w:hint="eastAsia"/>
                <w:lang w:val="en-CA"/>
              </w:rPr>
              <w:t>词汇</w:t>
            </w:r>
            <w:r w:rsidRPr="000C0842">
              <w:rPr>
                <w:rFonts w:eastAsia="SimSun"/>
                <w:lang w:val="en-CA"/>
              </w:rPr>
              <w:t>、分类和本体，以便在全球、次区域、区域和国家各级以一致和标准化的方式促进信息共享。</w:t>
            </w:r>
          </w:p>
        </w:tc>
        <w:tc>
          <w:tcPr>
            <w:tcW w:w="1530" w:type="dxa"/>
            <w:tcMar>
              <w:top w:w="115" w:type="dxa"/>
              <w:left w:w="115" w:type="dxa"/>
              <w:bottom w:w="115" w:type="dxa"/>
              <w:right w:w="115" w:type="dxa"/>
            </w:tcMar>
          </w:tcPr>
          <w:p w14:paraId="029888B4"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lang w:val="en-CA"/>
              </w:rPr>
              <w:t>2024-2026</w:t>
            </w:r>
            <w:r w:rsidRPr="000C0842">
              <w:rPr>
                <w:rFonts w:eastAsia="SimSun"/>
              </w:rPr>
              <w:t>年</w:t>
            </w:r>
          </w:p>
        </w:tc>
      </w:tr>
      <w:tr w:rsidR="000C0842" w:rsidRPr="000C0842" w14:paraId="3CC6D98D" w14:textId="77777777" w:rsidTr="001F32B3">
        <w:trPr>
          <w:trHeight w:val="40"/>
        </w:trPr>
        <w:tc>
          <w:tcPr>
            <w:tcW w:w="1615" w:type="dxa"/>
            <w:vMerge/>
            <w:tcMar>
              <w:top w:w="115" w:type="dxa"/>
              <w:left w:w="115" w:type="dxa"/>
              <w:bottom w:w="115" w:type="dxa"/>
              <w:right w:w="115" w:type="dxa"/>
            </w:tcMar>
          </w:tcPr>
          <w:p w14:paraId="7BA34ACD"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42798F10"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4C722491"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 xml:space="preserve">2.2.D. </w:t>
            </w:r>
            <w:r w:rsidRPr="000C0842">
              <w:rPr>
                <w:rFonts w:eastAsia="SimSun"/>
                <w:lang w:val="en-CA"/>
              </w:rPr>
              <w:t>进一步加强数据共享机制，包括应用程序接口，以促进相关信息系统与信息交换所机制的中央门户、获取和惠益分享信息交换</w:t>
            </w:r>
            <w:r w:rsidRPr="000C0842">
              <w:rPr>
                <w:rFonts w:eastAsia="SimSun" w:hint="eastAsia"/>
                <w:lang w:val="en-CA"/>
              </w:rPr>
              <w:t>所</w:t>
            </w:r>
            <w:r w:rsidRPr="000C0842">
              <w:rPr>
                <w:rFonts w:eastAsia="SimSun"/>
                <w:lang w:val="en-CA"/>
              </w:rPr>
              <w:t>、</w:t>
            </w:r>
            <w:r w:rsidRPr="000C0842">
              <w:rPr>
                <w:rFonts w:eastAsia="SimSun"/>
                <w:spacing w:val="12"/>
                <w:lang w:val="en-CA"/>
              </w:rPr>
              <w:t>生物安全信息交换</w:t>
            </w:r>
            <w:r w:rsidRPr="000C0842">
              <w:rPr>
                <w:rFonts w:eastAsia="SimSun" w:hint="eastAsia"/>
                <w:spacing w:val="12"/>
                <w:lang w:val="en-CA"/>
              </w:rPr>
              <w:t>所</w:t>
            </w:r>
            <w:r w:rsidRPr="000C0842">
              <w:rPr>
                <w:rFonts w:eastAsia="SimSun"/>
                <w:spacing w:val="12"/>
                <w:lang w:val="en-CA"/>
              </w:rPr>
              <w:t>以及国家信息交换所机制门户的互操作</w:t>
            </w:r>
            <w:r w:rsidRPr="000C0842">
              <w:rPr>
                <w:rFonts w:eastAsia="SimSun"/>
                <w:lang w:val="en-CA"/>
              </w:rPr>
              <w:t>性。</w:t>
            </w:r>
          </w:p>
        </w:tc>
        <w:tc>
          <w:tcPr>
            <w:tcW w:w="1530" w:type="dxa"/>
            <w:tcMar>
              <w:top w:w="115" w:type="dxa"/>
              <w:left w:w="115" w:type="dxa"/>
              <w:bottom w:w="115" w:type="dxa"/>
              <w:right w:w="115" w:type="dxa"/>
            </w:tcMar>
          </w:tcPr>
          <w:p w14:paraId="51F19AA7"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lang w:val="en-CA"/>
              </w:rPr>
              <w:t>2025-2030</w:t>
            </w:r>
            <w:r w:rsidRPr="000C0842">
              <w:rPr>
                <w:rFonts w:eastAsia="SimSun"/>
              </w:rPr>
              <w:t>年</w:t>
            </w:r>
          </w:p>
        </w:tc>
      </w:tr>
      <w:tr w:rsidR="000C0842" w:rsidRPr="000C0842" w14:paraId="4FF2A04D" w14:textId="77777777" w:rsidTr="001F32B3">
        <w:trPr>
          <w:trHeight w:val="40"/>
        </w:trPr>
        <w:tc>
          <w:tcPr>
            <w:tcW w:w="1615" w:type="dxa"/>
            <w:vMerge/>
            <w:tcMar>
              <w:top w:w="115" w:type="dxa"/>
              <w:left w:w="115" w:type="dxa"/>
              <w:bottom w:w="115" w:type="dxa"/>
              <w:right w:w="115" w:type="dxa"/>
            </w:tcMar>
          </w:tcPr>
          <w:p w14:paraId="3394CABE"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6E32B0AA"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29B05B33"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 xml:space="preserve">2.2.E. </w:t>
            </w:r>
            <w:r w:rsidRPr="000C0842">
              <w:rPr>
                <w:rFonts w:eastAsia="SimSun"/>
                <w:lang w:val="en-CA"/>
              </w:rPr>
              <w:t>加强数据可视化工具，如仪表板和交互式地图，从而能够以便于理解的格式呈现复杂的信息。</w:t>
            </w:r>
          </w:p>
        </w:tc>
        <w:tc>
          <w:tcPr>
            <w:tcW w:w="1530" w:type="dxa"/>
            <w:tcMar>
              <w:top w:w="115" w:type="dxa"/>
              <w:left w:w="115" w:type="dxa"/>
              <w:bottom w:w="115" w:type="dxa"/>
              <w:right w:w="115" w:type="dxa"/>
            </w:tcMar>
          </w:tcPr>
          <w:p w14:paraId="6DA78DAA"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lang w:val="en-CA"/>
              </w:rPr>
              <w:t>2024-2030</w:t>
            </w:r>
            <w:r w:rsidRPr="000C0842">
              <w:rPr>
                <w:rFonts w:eastAsia="SimSun"/>
              </w:rPr>
              <w:t>年</w:t>
            </w:r>
          </w:p>
        </w:tc>
      </w:tr>
      <w:tr w:rsidR="000C0842" w:rsidRPr="000C0842" w14:paraId="5776E5C8" w14:textId="77777777" w:rsidTr="001F32B3">
        <w:trPr>
          <w:trHeight w:val="40"/>
        </w:trPr>
        <w:tc>
          <w:tcPr>
            <w:tcW w:w="1615" w:type="dxa"/>
            <w:vMerge/>
            <w:tcMar>
              <w:top w:w="115" w:type="dxa"/>
              <w:left w:w="115" w:type="dxa"/>
              <w:bottom w:w="115" w:type="dxa"/>
              <w:right w:w="115" w:type="dxa"/>
            </w:tcMar>
          </w:tcPr>
          <w:p w14:paraId="29FC9965"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5A956EFD"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31CFBBB3" w14:textId="25D78F5A"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 xml:space="preserve">2.2.F. </w:t>
            </w:r>
            <w:r w:rsidRPr="000C0842">
              <w:rPr>
                <w:rFonts w:eastAsia="SimSun"/>
                <w:lang w:val="en-CA"/>
              </w:rPr>
              <w:t>加强秘书处进一步发展和维持中央信息交换所机制的能力</w:t>
            </w:r>
            <w:r w:rsidRPr="000C0842">
              <w:rPr>
                <w:rFonts w:eastAsia="SimSun"/>
                <w:kern w:val="22"/>
                <w:vertAlign w:val="superscript"/>
                <w:lang w:val="en-CA"/>
              </w:rPr>
              <w:footnoteReference w:id="88"/>
            </w:r>
            <w:r w:rsidR="000D492E" w:rsidRPr="000C0842">
              <w:rPr>
                <w:rFonts w:eastAsia="SimSun"/>
                <w:lang w:val="en-CA"/>
              </w:rPr>
              <w:t>。</w:t>
            </w:r>
          </w:p>
        </w:tc>
        <w:tc>
          <w:tcPr>
            <w:tcW w:w="1530" w:type="dxa"/>
            <w:tcMar>
              <w:top w:w="115" w:type="dxa"/>
              <w:left w:w="115" w:type="dxa"/>
              <w:bottom w:w="115" w:type="dxa"/>
              <w:right w:w="115" w:type="dxa"/>
            </w:tcMar>
          </w:tcPr>
          <w:p w14:paraId="09608910"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lang w:val="en-CA"/>
              </w:rPr>
              <w:t>2024–2030</w:t>
            </w:r>
            <w:r w:rsidRPr="000C0842">
              <w:rPr>
                <w:rFonts w:eastAsia="SimSun"/>
              </w:rPr>
              <w:t>年</w:t>
            </w:r>
          </w:p>
        </w:tc>
      </w:tr>
      <w:tr w:rsidR="000C0842" w:rsidRPr="000C0842" w14:paraId="49E43A28" w14:textId="77777777" w:rsidTr="001F32B3">
        <w:trPr>
          <w:trHeight w:val="829"/>
        </w:trPr>
        <w:tc>
          <w:tcPr>
            <w:tcW w:w="1615" w:type="dxa"/>
            <w:vMerge/>
            <w:tcMar>
              <w:top w:w="115" w:type="dxa"/>
              <w:left w:w="115" w:type="dxa"/>
              <w:bottom w:w="115" w:type="dxa"/>
              <w:right w:w="115" w:type="dxa"/>
            </w:tcMar>
          </w:tcPr>
          <w:p w14:paraId="075A01A0" w14:textId="77777777" w:rsidR="006D5DBD" w:rsidRPr="000C0842" w:rsidRDefault="006D5DBD" w:rsidP="006D5DBD">
            <w:pPr>
              <w:tabs>
                <w:tab w:val="clear" w:pos="567"/>
                <w:tab w:val="clear" w:pos="1134"/>
                <w:tab w:val="clear" w:pos="1701"/>
                <w:tab w:val="clear" w:pos="2268"/>
              </w:tabs>
              <w:adjustRightInd w:val="0"/>
              <w:snapToGrid w:val="0"/>
              <w:spacing w:before="60"/>
              <w:jc w:val="left"/>
              <w:rPr>
                <w:rFonts w:eastAsia="SimSun"/>
              </w:rPr>
            </w:pPr>
          </w:p>
        </w:tc>
        <w:tc>
          <w:tcPr>
            <w:tcW w:w="2160" w:type="dxa"/>
            <w:vMerge/>
            <w:tcMar>
              <w:top w:w="115" w:type="dxa"/>
              <w:left w:w="115" w:type="dxa"/>
              <w:bottom w:w="115" w:type="dxa"/>
              <w:right w:w="115" w:type="dxa"/>
            </w:tcMar>
            <w:vAlign w:val="center"/>
          </w:tcPr>
          <w:p w14:paraId="22FD140B" w14:textId="77777777" w:rsidR="006D5DBD" w:rsidRPr="000C0842" w:rsidRDefault="006D5DBD" w:rsidP="006D5DBD">
            <w:pPr>
              <w:tabs>
                <w:tab w:val="clear" w:pos="567"/>
                <w:tab w:val="clear" w:pos="1134"/>
                <w:tab w:val="clear" w:pos="1701"/>
                <w:tab w:val="clear" w:pos="2268"/>
              </w:tabs>
              <w:spacing w:before="60"/>
              <w:jc w:val="left"/>
              <w:rPr>
                <w:rFonts w:eastAsia="SimSun"/>
              </w:rPr>
            </w:pPr>
          </w:p>
        </w:tc>
        <w:tc>
          <w:tcPr>
            <w:tcW w:w="4050" w:type="dxa"/>
          </w:tcPr>
          <w:p w14:paraId="61F6B752" w14:textId="77777777" w:rsidR="006D5DBD" w:rsidRPr="000C0842" w:rsidRDefault="006D5DBD" w:rsidP="006D5DBD">
            <w:pPr>
              <w:tabs>
                <w:tab w:val="clear" w:pos="567"/>
                <w:tab w:val="clear" w:pos="1134"/>
                <w:tab w:val="clear" w:pos="1701"/>
                <w:tab w:val="clear" w:pos="2268"/>
                <w:tab w:val="left" w:pos="360"/>
              </w:tabs>
              <w:adjustRightInd w:val="0"/>
              <w:snapToGrid w:val="0"/>
              <w:spacing w:before="60"/>
              <w:jc w:val="left"/>
              <w:rPr>
                <w:rFonts w:eastAsia="SimSun"/>
              </w:rPr>
            </w:pPr>
            <w:r w:rsidRPr="000C0842">
              <w:rPr>
                <w:rFonts w:eastAsia="SimSun"/>
                <w:lang w:val="en-CA"/>
              </w:rPr>
              <w:t>2.2.G.</w:t>
            </w:r>
            <w:r w:rsidRPr="000C0842">
              <w:rPr>
                <w:rFonts w:eastAsia="SimSun"/>
              </w:rPr>
              <w:t xml:space="preserve"> </w:t>
            </w:r>
            <w:r w:rsidRPr="000C0842">
              <w:rPr>
                <w:rFonts w:eastAsia="SimSun"/>
                <w:lang w:val="en-CA"/>
              </w:rPr>
              <w:t>为缔约方和利益攸关方提供额外的指导和培训，使其能够有效利用信息交换所机制的中央门户网站交流信息。</w:t>
            </w:r>
          </w:p>
        </w:tc>
        <w:tc>
          <w:tcPr>
            <w:tcW w:w="1530" w:type="dxa"/>
            <w:tcMar>
              <w:top w:w="115" w:type="dxa"/>
              <w:left w:w="115" w:type="dxa"/>
              <w:bottom w:w="115" w:type="dxa"/>
              <w:right w:w="115" w:type="dxa"/>
            </w:tcMar>
          </w:tcPr>
          <w:p w14:paraId="50E3B003" w14:textId="77777777" w:rsidR="006D5DBD" w:rsidRPr="000C0842" w:rsidRDefault="006D5DBD" w:rsidP="006D5DBD">
            <w:pPr>
              <w:tabs>
                <w:tab w:val="clear" w:pos="567"/>
                <w:tab w:val="clear" w:pos="1134"/>
                <w:tab w:val="clear" w:pos="1701"/>
                <w:tab w:val="clear" w:pos="2268"/>
                <w:tab w:val="left" w:pos="360"/>
              </w:tabs>
              <w:spacing w:before="60"/>
              <w:jc w:val="left"/>
              <w:rPr>
                <w:rFonts w:eastAsia="SimSun"/>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5A4A5583" w14:textId="77777777" w:rsidTr="001F32B3">
        <w:trPr>
          <w:trHeight w:val="795"/>
        </w:trPr>
        <w:tc>
          <w:tcPr>
            <w:tcW w:w="1615" w:type="dxa"/>
            <w:vMerge w:val="restart"/>
            <w:tcMar>
              <w:top w:w="115" w:type="dxa"/>
              <w:left w:w="115" w:type="dxa"/>
              <w:bottom w:w="115" w:type="dxa"/>
              <w:right w:w="115" w:type="dxa"/>
            </w:tcMar>
          </w:tcPr>
          <w:p w14:paraId="5397ECEB" w14:textId="77777777" w:rsidR="006D5DBD" w:rsidRPr="000C0842" w:rsidRDefault="006D5DBD" w:rsidP="006D5DBD">
            <w:pPr>
              <w:tabs>
                <w:tab w:val="clear" w:pos="567"/>
                <w:tab w:val="clear" w:pos="1134"/>
                <w:tab w:val="clear" w:pos="1701"/>
                <w:tab w:val="clear" w:pos="2268"/>
              </w:tabs>
              <w:snapToGrid w:val="0"/>
              <w:spacing w:before="60"/>
              <w:jc w:val="left"/>
              <w:rPr>
                <w:rFonts w:eastAsia="SimSun"/>
                <w:lang w:val="en-CA"/>
              </w:rPr>
            </w:pPr>
            <w:r w:rsidRPr="000C0842">
              <w:rPr>
                <w:rFonts w:eastAsia="SimSun"/>
                <w:lang w:val="en-CA"/>
              </w:rPr>
              <w:t xml:space="preserve">3. </w:t>
            </w:r>
            <w:r w:rsidRPr="000C0842">
              <w:rPr>
                <w:rFonts w:eastAsia="SimSun"/>
                <w:shd w:val="clear" w:color="auto" w:fill="FFFFFF"/>
                <w:lang w:val="en-CA"/>
              </w:rPr>
              <w:t>支持规划、监测、报告和审查</w:t>
            </w:r>
            <w:r w:rsidRPr="000C0842">
              <w:rPr>
                <w:rFonts w:eastAsia="SimSun"/>
                <w:shd w:val="clear" w:color="auto" w:fill="FFFFFF"/>
                <w:lang w:val="en-CA"/>
              </w:rPr>
              <w:t xml:space="preserve">   </w:t>
            </w:r>
          </w:p>
        </w:tc>
        <w:tc>
          <w:tcPr>
            <w:tcW w:w="2160" w:type="dxa"/>
            <w:vMerge w:val="restart"/>
            <w:tcMar>
              <w:top w:w="115" w:type="dxa"/>
              <w:left w:w="115" w:type="dxa"/>
              <w:bottom w:w="115" w:type="dxa"/>
              <w:right w:w="115" w:type="dxa"/>
            </w:tcMar>
          </w:tcPr>
          <w:p w14:paraId="0668CBCA" w14:textId="77777777" w:rsidR="006D5DBD" w:rsidRPr="000C0842" w:rsidRDefault="006D5DBD" w:rsidP="006D5DBD">
            <w:pPr>
              <w:tabs>
                <w:tab w:val="clear" w:pos="567"/>
                <w:tab w:val="clear" w:pos="1134"/>
                <w:tab w:val="clear" w:pos="1701"/>
                <w:tab w:val="clear" w:pos="2268"/>
              </w:tabs>
              <w:spacing w:after="60"/>
              <w:jc w:val="left"/>
              <w:rPr>
                <w:rFonts w:eastAsia="SimSun"/>
                <w:iCs/>
                <w:lang w:val="en-CA"/>
              </w:rPr>
            </w:pPr>
            <w:r w:rsidRPr="000C0842">
              <w:rPr>
                <w:rFonts w:eastAsia="SimSun"/>
                <w:lang w:val="en-CA"/>
              </w:rPr>
              <w:t xml:space="preserve">3.1. </w:t>
            </w:r>
            <w:r w:rsidRPr="000C0842">
              <w:rPr>
                <w:rFonts w:eastAsia="SimSun"/>
              </w:rPr>
              <w:t>促进和支持《昆蒙框架》和《公约》执行</w:t>
            </w:r>
            <w:r w:rsidRPr="000C0842">
              <w:rPr>
                <w:rFonts w:eastAsia="SimSun" w:hint="eastAsia"/>
              </w:rPr>
              <w:t>工作</w:t>
            </w:r>
            <w:r w:rsidRPr="000C0842">
              <w:rPr>
                <w:rFonts w:eastAsia="SimSun"/>
              </w:rPr>
              <w:t>的规划、监测、报告和审查的工具和机制得到开发或加强。</w:t>
            </w:r>
          </w:p>
          <w:p w14:paraId="7D5EC4BE" w14:textId="77777777" w:rsidR="006D5DBD" w:rsidRPr="000C0842" w:rsidRDefault="006D5DBD" w:rsidP="006D5DBD">
            <w:pPr>
              <w:tabs>
                <w:tab w:val="clear" w:pos="567"/>
                <w:tab w:val="clear" w:pos="1134"/>
                <w:tab w:val="clear" w:pos="1701"/>
                <w:tab w:val="clear" w:pos="2268"/>
              </w:tabs>
              <w:spacing w:after="60"/>
              <w:jc w:val="left"/>
              <w:rPr>
                <w:rFonts w:eastAsia="SimSun"/>
                <w:iCs/>
                <w:lang w:val="en-CA"/>
              </w:rPr>
            </w:pPr>
          </w:p>
        </w:tc>
        <w:tc>
          <w:tcPr>
            <w:tcW w:w="4050" w:type="dxa"/>
          </w:tcPr>
          <w:p w14:paraId="37AEAE5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kern w:val="22"/>
                <w:lang w:val="en-CA"/>
              </w:rPr>
              <w:t xml:space="preserve">3.1.A. </w:t>
            </w:r>
            <w:r w:rsidRPr="000C0842">
              <w:rPr>
                <w:rFonts w:eastAsia="SimSun"/>
                <w:lang w:val="en-CA"/>
              </w:rPr>
              <w:t>在线报告工具的进一步开发和运作，使缔约方能够就实现《昆蒙框架》长期目标和</w:t>
            </w:r>
            <w:r w:rsidRPr="000C0842">
              <w:rPr>
                <w:rFonts w:eastAsia="SimSun" w:hint="eastAsia"/>
                <w:lang w:val="en-CA"/>
              </w:rPr>
              <w:t>行动</w:t>
            </w:r>
            <w:r w:rsidRPr="000C0842">
              <w:rPr>
                <w:rFonts w:eastAsia="SimSun"/>
                <w:lang w:val="en-CA"/>
              </w:rPr>
              <w:t>目标的进展情况提出报告。</w:t>
            </w:r>
          </w:p>
        </w:tc>
        <w:tc>
          <w:tcPr>
            <w:tcW w:w="1530" w:type="dxa"/>
            <w:tcMar>
              <w:top w:w="115" w:type="dxa"/>
              <w:left w:w="115" w:type="dxa"/>
              <w:bottom w:w="115" w:type="dxa"/>
              <w:right w:w="115" w:type="dxa"/>
            </w:tcMar>
          </w:tcPr>
          <w:p w14:paraId="436379F4" w14:textId="77777777" w:rsidR="006D5DBD" w:rsidRPr="000C0842" w:rsidRDefault="006D5DBD" w:rsidP="006D5DBD">
            <w:pPr>
              <w:tabs>
                <w:tab w:val="clear" w:pos="567"/>
                <w:tab w:val="clear" w:pos="1134"/>
                <w:tab w:val="clear" w:pos="1701"/>
                <w:tab w:val="clear" w:pos="2268"/>
              </w:tabs>
              <w:spacing w:after="60"/>
              <w:jc w:val="left"/>
              <w:rPr>
                <w:rFonts w:eastAsia="SimSun"/>
                <w:iCs/>
                <w:lang w:val="en-CA"/>
              </w:rPr>
            </w:pPr>
            <w:r w:rsidRPr="000C0842">
              <w:rPr>
                <w:rFonts w:eastAsia="SimSun"/>
                <w:lang w:val="en-CA"/>
              </w:rPr>
              <w:t>2024-2026</w:t>
            </w:r>
            <w:r w:rsidRPr="000C0842">
              <w:rPr>
                <w:rFonts w:eastAsia="SimSun"/>
              </w:rPr>
              <w:t>年</w:t>
            </w:r>
          </w:p>
        </w:tc>
      </w:tr>
      <w:tr w:rsidR="000C0842" w:rsidRPr="000C0842" w14:paraId="15D0CB45" w14:textId="77777777" w:rsidTr="001F32B3">
        <w:trPr>
          <w:trHeight w:val="703"/>
        </w:trPr>
        <w:tc>
          <w:tcPr>
            <w:tcW w:w="1615" w:type="dxa"/>
            <w:vMerge/>
            <w:tcMar>
              <w:top w:w="115" w:type="dxa"/>
              <w:left w:w="115" w:type="dxa"/>
              <w:bottom w:w="115" w:type="dxa"/>
              <w:right w:w="115" w:type="dxa"/>
            </w:tcMar>
          </w:tcPr>
          <w:p w14:paraId="70BF748E"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tcMar>
              <w:top w:w="115" w:type="dxa"/>
              <w:left w:w="115" w:type="dxa"/>
              <w:bottom w:w="115" w:type="dxa"/>
              <w:right w:w="115" w:type="dxa"/>
            </w:tcMar>
          </w:tcPr>
          <w:p w14:paraId="7BE74FFD"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73F4860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kern w:val="22"/>
                <w:lang w:val="en-CA"/>
              </w:rPr>
              <w:t xml:space="preserve">3.1.B. </w:t>
            </w:r>
            <w:r w:rsidRPr="000C0842">
              <w:rPr>
                <w:rFonts w:eastAsia="SimSun"/>
                <w:lang w:val="en-CA"/>
              </w:rPr>
              <w:t>决策跟踪工具的进一步开发和运作，以跟踪缔约方大会各项决定的执行进展。</w:t>
            </w:r>
          </w:p>
        </w:tc>
        <w:tc>
          <w:tcPr>
            <w:tcW w:w="1530" w:type="dxa"/>
            <w:tcMar>
              <w:top w:w="115" w:type="dxa"/>
              <w:left w:w="115" w:type="dxa"/>
              <w:bottom w:w="115" w:type="dxa"/>
              <w:right w:w="115" w:type="dxa"/>
            </w:tcMar>
          </w:tcPr>
          <w:p w14:paraId="06C6DB1E"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2025-2026</w:t>
            </w:r>
            <w:r w:rsidRPr="000C0842">
              <w:rPr>
                <w:rFonts w:eastAsia="SimSun"/>
              </w:rPr>
              <w:t>年</w:t>
            </w:r>
          </w:p>
        </w:tc>
      </w:tr>
      <w:tr w:rsidR="000C0842" w:rsidRPr="000C0842" w14:paraId="4DD04623" w14:textId="77777777" w:rsidTr="001F32B3">
        <w:trPr>
          <w:trHeight w:val="794"/>
        </w:trPr>
        <w:tc>
          <w:tcPr>
            <w:tcW w:w="1615" w:type="dxa"/>
            <w:vMerge/>
            <w:tcMar>
              <w:top w:w="115" w:type="dxa"/>
              <w:left w:w="115" w:type="dxa"/>
              <w:bottom w:w="115" w:type="dxa"/>
              <w:right w:w="115" w:type="dxa"/>
            </w:tcMar>
          </w:tcPr>
          <w:p w14:paraId="0612C07B"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val="restart"/>
            <w:tcMar>
              <w:top w:w="115" w:type="dxa"/>
              <w:left w:w="115" w:type="dxa"/>
              <w:bottom w:w="115" w:type="dxa"/>
              <w:right w:w="115" w:type="dxa"/>
            </w:tcMar>
          </w:tcPr>
          <w:p w14:paraId="186EDAD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3.2  </w:t>
            </w:r>
            <w:r w:rsidRPr="000C0842">
              <w:rPr>
                <w:rFonts w:eastAsia="SimSun"/>
              </w:rPr>
              <w:t>国家信息交换所机制得到加强，并</w:t>
            </w:r>
            <w:r w:rsidRPr="000C0842">
              <w:rPr>
                <w:rFonts w:eastAsia="SimSun" w:hint="eastAsia"/>
              </w:rPr>
              <w:t>正</w:t>
            </w:r>
            <w:r w:rsidRPr="000C0842">
              <w:rPr>
                <w:rFonts w:eastAsia="SimSun"/>
              </w:rPr>
              <w:t>在有效促进国家生物多样性战略和行动计划的实施。</w:t>
            </w:r>
          </w:p>
          <w:p w14:paraId="6FCD5D3D"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347EDAC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019BFA9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57E9DEE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42183E0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37103AC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04ABD2E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4EC62C33"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239A834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79AB4A6D"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3B533FAB"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03BE579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3832245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76A95FE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5AD0ADCE"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12A89AF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694DDB7B"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6AE9F12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2BD5152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p w14:paraId="289829B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7084469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kern w:val="22"/>
                <w:lang w:val="en-CA"/>
              </w:rPr>
              <w:t xml:space="preserve">3.2.A. </w:t>
            </w:r>
            <w:r w:rsidRPr="000C0842">
              <w:rPr>
                <w:rFonts w:eastAsia="SimSun"/>
              </w:rPr>
              <w:t>制定或更新国家信息交换所机制的执行战略，</w:t>
            </w:r>
            <w:r w:rsidRPr="000C0842">
              <w:rPr>
                <w:rFonts w:eastAsia="SimSun" w:hint="eastAsia"/>
              </w:rPr>
              <w:t>成为</w:t>
            </w:r>
            <w:r w:rsidRPr="000C0842">
              <w:rPr>
                <w:rFonts w:eastAsia="SimSun"/>
              </w:rPr>
              <w:t>国家生物多样性战略和行动计划的一部分。</w:t>
            </w:r>
          </w:p>
        </w:tc>
        <w:tc>
          <w:tcPr>
            <w:tcW w:w="1530" w:type="dxa"/>
            <w:tcMar>
              <w:top w:w="115" w:type="dxa"/>
              <w:left w:w="115" w:type="dxa"/>
              <w:bottom w:w="115" w:type="dxa"/>
              <w:right w:w="115" w:type="dxa"/>
            </w:tcMar>
          </w:tcPr>
          <w:p w14:paraId="1D93E54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16B00DCF" w14:textId="77777777" w:rsidTr="001F32B3">
        <w:trPr>
          <w:trHeight w:val="794"/>
        </w:trPr>
        <w:tc>
          <w:tcPr>
            <w:tcW w:w="1615" w:type="dxa"/>
            <w:vMerge/>
            <w:tcMar>
              <w:top w:w="115" w:type="dxa"/>
              <w:left w:w="115" w:type="dxa"/>
              <w:bottom w:w="115" w:type="dxa"/>
              <w:right w:w="115" w:type="dxa"/>
            </w:tcMar>
          </w:tcPr>
          <w:p w14:paraId="4A1F8907"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tcMar>
              <w:top w:w="115" w:type="dxa"/>
              <w:left w:w="115" w:type="dxa"/>
              <w:bottom w:w="115" w:type="dxa"/>
              <w:right w:w="115" w:type="dxa"/>
            </w:tcMar>
          </w:tcPr>
          <w:p w14:paraId="36D8A2FE"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2FF1AEC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3.2.B. </w:t>
            </w:r>
            <w:r w:rsidRPr="000C0842">
              <w:rPr>
                <w:rFonts w:eastAsia="SimSun"/>
              </w:rPr>
              <w:t>建立或加强体制结构（包括国家联络点）和程序</w:t>
            </w:r>
            <w:r w:rsidRPr="000C0842">
              <w:rPr>
                <w:rFonts w:eastAsia="SimSun"/>
                <w:vertAlign w:val="superscript"/>
              </w:rPr>
              <w:footnoteReference w:id="89"/>
            </w:r>
            <w:r w:rsidRPr="000C0842">
              <w:rPr>
                <w:rFonts w:eastAsia="SimSun"/>
              </w:rPr>
              <w:t>，使国家信息交换所机制能够支持国家生物多样性战略和行动计划，并监测实现国家和全球目标的进展情况。</w:t>
            </w:r>
          </w:p>
        </w:tc>
        <w:tc>
          <w:tcPr>
            <w:tcW w:w="1530" w:type="dxa"/>
            <w:tcMar>
              <w:top w:w="115" w:type="dxa"/>
              <w:left w:w="115" w:type="dxa"/>
              <w:bottom w:w="115" w:type="dxa"/>
              <w:right w:w="115" w:type="dxa"/>
            </w:tcMar>
          </w:tcPr>
          <w:p w14:paraId="65CA231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63E6675A" w14:textId="77777777" w:rsidTr="001F32B3">
        <w:trPr>
          <w:trHeight w:val="794"/>
        </w:trPr>
        <w:tc>
          <w:tcPr>
            <w:tcW w:w="1615" w:type="dxa"/>
            <w:vMerge/>
            <w:tcMar>
              <w:top w:w="115" w:type="dxa"/>
              <w:left w:w="115" w:type="dxa"/>
              <w:bottom w:w="115" w:type="dxa"/>
              <w:right w:w="115" w:type="dxa"/>
            </w:tcMar>
          </w:tcPr>
          <w:p w14:paraId="7B0E6E60"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tcMar>
              <w:top w:w="115" w:type="dxa"/>
              <w:left w:w="115" w:type="dxa"/>
              <w:bottom w:w="115" w:type="dxa"/>
              <w:right w:w="115" w:type="dxa"/>
            </w:tcMar>
          </w:tcPr>
          <w:p w14:paraId="73AD513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5B1153A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3.2.C. </w:t>
            </w:r>
            <w:r w:rsidRPr="000C0842">
              <w:rPr>
                <w:rFonts w:eastAsia="SimSun"/>
              </w:rPr>
              <w:t>加强信息交流系统，包括通过在国家信息交换所机制和中央门户以及其他网络和数据库之间建立链接和互操作性。</w:t>
            </w:r>
          </w:p>
        </w:tc>
        <w:tc>
          <w:tcPr>
            <w:tcW w:w="1530" w:type="dxa"/>
            <w:tcMar>
              <w:top w:w="115" w:type="dxa"/>
              <w:left w:w="115" w:type="dxa"/>
              <w:bottom w:w="115" w:type="dxa"/>
              <w:right w:w="115" w:type="dxa"/>
            </w:tcMar>
          </w:tcPr>
          <w:p w14:paraId="42C392E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6846833B" w14:textId="77777777" w:rsidTr="001F32B3">
        <w:trPr>
          <w:trHeight w:val="794"/>
        </w:trPr>
        <w:tc>
          <w:tcPr>
            <w:tcW w:w="1615" w:type="dxa"/>
            <w:vMerge/>
            <w:tcMar>
              <w:top w:w="115" w:type="dxa"/>
              <w:left w:w="115" w:type="dxa"/>
              <w:bottom w:w="115" w:type="dxa"/>
              <w:right w:w="115" w:type="dxa"/>
            </w:tcMar>
          </w:tcPr>
          <w:p w14:paraId="1917C895"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tcMar>
              <w:top w:w="115" w:type="dxa"/>
              <w:left w:w="115" w:type="dxa"/>
              <w:bottom w:w="115" w:type="dxa"/>
              <w:right w:w="115" w:type="dxa"/>
            </w:tcMar>
          </w:tcPr>
          <w:p w14:paraId="4076AA4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236F882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3.2.D. </w:t>
            </w:r>
            <w:r w:rsidRPr="000C0842">
              <w:rPr>
                <w:rFonts w:eastAsia="SimSun"/>
              </w:rPr>
              <w:t>按照全政府和全社会办法，推动使用国家信息交换所机制作为协助与相关利益攸关方对话的工具。</w:t>
            </w:r>
          </w:p>
        </w:tc>
        <w:tc>
          <w:tcPr>
            <w:tcW w:w="1530" w:type="dxa"/>
            <w:tcMar>
              <w:top w:w="115" w:type="dxa"/>
              <w:left w:w="115" w:type="dxa"/>
              <w:bottom w:w="115" w:type="dxa"/>
              <w:right w:w="115" w:type="dxa"/>
            </w:tcMar>
          </w:tcPr>
          <w:p w14:paraId="08C77E57"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1B3FAB28" w14:textId="77777777" w:rsidTr="001F32B3">
        <w:trPr>
          <w:trHeight w:val="794"/>
        </w:trPr>
        <w:tc>
          <w:tcPr>
            <w:tcW w:w="1615" w:type="dxa"/>
            <w:vMerge/>
            <w:tcMar>
              <w:top w:w="115" w:type="dxa"/>
              <w:left w:w="115" w:type="dxa"/>
              <w:bottom w:w="115" w:type="dxa"/>
              <w:right w:w="115" w:type="dxa"/>
            </w:tcMar>
          </w:tcPr>
          <w:p w14:paraId="74254E0A"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2160" w:type="dxa"/>
            <w:vMerge/>
            <w:tcMar>
              <w:top w:w="115" w:type="dxa"/>
              <w:left w:w="115" w:type="dxa"/>
              <w:bottom w:w="115" w:type="dxa"/>
              <w:right w:w="115" w:type="dxa"/>
            </w:tcMar>
          </w:tcPr>
          <w:p w14:paraId="562FCD2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p>
        </w:tc>
        <w:tc>
          <w:tcPr>
            <w:tcW w:w="4050" w:type="dxa"/>
          </w:tcPr>
          <w:p w14:paraId="02DDD37F"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3.2.E. </w:t>
            </w:r>
            <w:r w:rsidRPr="000C0842">
              <w:rPr>
                <w:rFonts w:eastAsia="SimSun"/>
              </w:rPr>
              <w:t>开发或加强国家信息交换所机制的信息基础设施，包括用户界面设计、互操作性服务、词汇和分类、元数据标准以及通用报告格式和标准，并与信息交换所机制中央门户的标准保持一致。</w:t>
            </w:r>
          </w:p>
        </w:tc>
        <w:tc>
          <w:tcPr>
            <w:tcW w:w="1530" w:type="dxa"/>
            <w:tcMar>
              <w:top w:w="115" w:type="dxa"/>
              <w:left w:w="115" w:type="dxa"/>
              <w:bottom w:w="115" w:type="dxa"/>
              <w:right w:w="115" w:type="dxa"/>
            </w:tcMar>
          </w:tcPr>
          <w:p w14:paraId="1307547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2024-2026</w:t>
            </w:r>
            <w:r w:rsidRPr="000C0842">
              <w:rPr>
                <w:rFonts w:eastAsia="SimSun"/>
              </w:rPr>
              <w:t>年</w:t>
            </w:r>
          </w:p>
        </w:tc>
      </w:tr>
      <w:tr w:rsidR="000C0842" w:rsidRPr="000C0842" w14:paraId="50597673" w14:textId="77777777" w:rsidTr="001F32B3">
        <w:trPr>
          <w:trHeight w:val="794"/>
        </w:trPr>
        <w:tc>
          <w:tcPr>
            <w:tcW w:w="1615" w:type="dxa"/>
            <w:vMerge/>
            <w:tcMar>
              <w:top w:w="115" w:type="dxa"/>
              <w:left w:w="115" w:type="dxa"/>
              <w:bottom w:w="115" w:type="dxa"/>
              <w:right w:w="115" w:type="dxa"/>
            </w:tcMar>
          </w:tcPr>
          <w:p w14:paraId="7495CCCF"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Mar>
              <w:top w:w="115" w:type="dxa"/>
              <w:left w:w="115" w:type="dxa"/>
              <w:bottom w:w="115" w:type="dxa"/>
              <w:right w:w="115" w:type="dxa"/>
            </w:tcMar>
          </w:tcPr>
          <w:p w14:paraId="31DF12A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sz w:val="20"/>
                <w:szCs w:val="20"/>
              </w:rPr>
            </w:pPr>
          </w:p>
        </w:tc>
        <w:tc>
          <w:tcPr>
            <w:tcW w:w="4050" w:type="dxa"/>
          </w:tcPr>
          <w:p w14:paraId="55DAF7B7"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3.2.F. </w:t>
            </w:r>
            <w:r w:rsidRPr="000C0842">
              <w:rPr>
                <w:rFonts w:eastAsia="SimSun"/>
              </w:rPr>
              <w:t>根据用户需求和相关技术发展，利用</w:t>
            </w:r>
            <w:r w:rsidRPr="000C0842">
              <w:rPr>
                <w:rFonts w:eastAsia="SimSun"/>
              </w:rPr>
              <w:t>Bioland</w:t>
            </w:r>
            <w:r w:rsidRPr="000C0842">
              <w:rPr>
                <w:rFonts w:eastAsia="SimSun"/>
              </w:rPr>
              <w:t>工具或其他解决方案进一步开发和加强国家信息交换所机制门户。</w:t>
            </w:r>
          </w:p>
        </w:tc>
        <w:tc>
          <w:tcPr>
            <w:tcW w:w="1530" w:type="dxa"/>
            <w:tcMar>
              <w:top w:w="115" w:type="dxa"/>
              <w:left w:w="115" w:type="dxa"/>
              <w:bottom w:w="115" w:type="dxa"/>
              <w:right w:w="115" w:type="dxa"/>
            </w:tcMar>
          </w:tcPr>
          <w:p w14:paraId="4C5E150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2024–2026</w:t>
            </w:r>
            <w:r w:rsidRPr="000C0842">
              <w:rPr>
                <w:rFonts w:eastAsia="SimSun"/>
              </w:rPr>
              <w:t>年</w:t>
            </w:r>
          </w:p>
        </w:tc>
      </w:tr>
      <w:tr w:rsidR="000C0842" w:rsidRPr="000C0842" w14:paraId="7BFF31DF" w14:textId="77777777" w:rsidTr="001F32B3">
        <w:trPr>
          <w:trHeight w:val="794"/>
        </w:trPr>
        <w:tc>
          <w:tcPr>
            <w:tcW w:w="1615" w:type="dxa"/>
            <w:vMerge/>
            <w:tcMar>
              <w:top w:w="115" w:type="dxa"/>
              <w:left w:w="115" w:type="dxa"/>
              <w:bottom w:w="115" w:type="dxa"/>
              <w:right w:w="115" w:type="dxa"/>
            </w:tcMar>
          </w:tcPr>
          <w:p w14:paraId="1321E981"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Mar>
              <w:top w:w="115" w:type="dxa"/>
              <w:left w:w="115" w:type="dxa"/>
              <w:bottom w:w="115" w:type="dxa"/>
              <w:right w:w="115" w:type="dxa"/>
            </w:tcMar>
          </w:tcPr>
          <w:p w14:paraId="1707B78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sz w:val="20"/>
                <w:szCs w:val="20"/>
              </w:rPr>
            </w:pPr>
          </w:p>
        </w:tc>
        <w:tc>
          <w:tcPr>
            <w:tcW w:w="4050" w:type="dxa"/>
          </w:tcPr>
          <w:p w14:paraId="1E18A2B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3.2.G. </w:t>
            </w:r>
            <w:r w:rsidRPr="000C0842">
              <w:rPr>
                <w:rFonts w:eastAsia="SimSun"/>
              </w:rPr>
              <w:t>出版和推广工具包、技术规格、准则和培训材料，以协助缔约方使用新的信息技术和系统。</w:t>
            </w:r>
          </w:p>
        </w:tc>
        <w:tc>
          <w:tcPr>
            <w:tcW w:w="1530" w:type="dxa"/>
            <w:tcMar>
              <w:top w:w="115" w:type="dxa"/>
              <w:left w:w="115" w:type="dxa"/>
              <w:bottom w:w="115" w:type="dxa"/>
              <w:right w:w="115" w:type="dxa"/>
            </w:tcMar>
          </w:tcPr>
          <w:p w14:paraId="3226225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rPr>
              <w:t>2024</w:t>
            </w:r>
            <w:r w:rsidRPr="000C0842">
              <w:rPr>
                <w:rFonts w:eastAsia="SimSun"/>
                <w:lang w:val="en-CA"/>
              </w:rPr>
              <w:t>-</w:t>
            </w:r>
            <w:r w:rsidRPr="000C0842">
              <w:rPr>
                <w:rFonts w:eastAsia="SimSun"/>
              </w:rPr>
              <w:t>2030</w:t>
            </w:r>
            <w:r w:rsidRPr="000C0842">
              <w:rPr>
                <w:rFonts w:eastAsia="SimSun"/>
              </w:rPr>
              <w:t>年</w:t>
            </w:r>
          </w:p>
        </w:tc>
      </w:tr>
      <w:tr w:rsidR="000C0842" w:rsidRPr="000C0842" w14:paraId="250594EC" w14:textId="77777777" w:rsidTr="001F32B3">
        <w:trPr>
          <w:trHeight w:val="794"/>
        </w:trPr>
        <w:tc>
          <w:tcPr>
            <w:tcW w:w="1615" w:type="dxa"/>
            <w:vMerge/>
            <w:tcMar>
              <w:top w:w="115" w:type="dxa"/>
              <w:left w:w="115" w:type="dxa"/>
              <w:bottom w:w="115" w:type="dxa"/>
              <w:right w:w="115" w:type="dxa"/>
            </w:tcMar>
          </w:tcPr>
          <w:p w14:paraId="08293DEA"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Mar>
              <w:top w:w="115" w:type="dxa"/>
              <w:left w:w="115" w:type="dxa"/>
              <w:bottom w:w="115" w:type="dxa"/>
              <w:right w:w="115" w:type="dxa"/>
            </w:tcMar>
          </w:tcPr>
          <w:p w14:paraId="3138DDE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sz w:val="20"/>
                <w:szCs w:val="20"/>
              </w:rPr>
            </w:pPr>
          </w:p>
        </w:tc>
        <w:tc>
          <w:tcPr>
            <w:tcW w:w="4050" w:type="dxa"/>
          </w:tcPr>
          <w:p w14:paraId="6DA59A9E"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3.2.H. </w:t>
            </w:r>
            <w:r w:rsidRPr="000C0842">
              <w:rPr>
                <w:rFonts w:eastAsia="SimSun"/>
              </w:rPr>
              <w:t>发展或加强使用现代数字技术的能力，包括自然语言处理、机器学习和人工智能工具。</w:t>
            </w:r>
          </w:p>
        </w:tc>
        <w:tc>
          <w:tcPr>
            <w:tcW w:w="1530" w:type="dxa"/>
            <w:tcMar>
              <w:top w:w="115" w:type="dxa"/>
              <w:left w:w="115" w:type="dxa"/>
              <w:bottom w:w="115" w:type="dxa"/>
              <w:right w:w="115" w:type="dxa"/>
            </w:tcMar>
          </w:tcPr>
          <w:p w14:paraId="052985FB"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7C404C70" w14:textId="77777777" w:rsidTr="001F32B3">
        <w:tc>
          <w:tcPr>
            <w:tcW w:w="1615" w:type="dxa"/>
            <w:tcMar>
              <w:top w:w="115" w:type="dxa"/>
              <w:left w:w="115" w:type="dxa"/>
              <w:bottom w:w="115" w:type="dxa"/>
              <w:right w:w="115" w:type="dxa"/>
            </w:tcMar>
          </w:tcPr>
          <w:p w14:paraId="622EF80D" w14:textId="77777777" w:rsidR="006D5DBD" w:rsidRPr="000C0842" w:rsidRDefault="006D5DBD" w:rsidP="006D5DBD">
            <w:pPr>
              <w:tabs>
                <w:tab w:val="clear" w:pos="567"/>
                <w:tab w:val="clear" w:pos="1134"/>
                <w:tab w:val="clear" w:pos="1701"/>
                <w:tab w:val="clear" w:pos="2268"/>
              </w:tabs>
              <w:spacing w:after="60"/>
              <w:jc w:val="left"/>
              <w:rPr>
                <w:rFonts w:eastAsia="SimSun"/>
                <w:b/>
                <w:bCs/>
                <w:sz w:val="20"/>
                <w:szCs w:val="20"/>
                <w:lang w:val="en-CA"/>
              </w:rPr>
            </w:pPr>
          </w:p>
        </w:tc>
        <w:tc>
          <w:tcPr>
            <w:tcW w:w="2160" w:type="dxa"/>
            <w:tcMar>
              <w:top w:w="115" w:type="dxa"/>
              <w:left w:w="115" w:type="dxa"/>
              <w:bottom w:w="115" w:type="dxa"/>
              <w:right w:w="115" w:type="dxa"/>
            </w:tcMar>
          </w:tcPr>
          <w:p w14:paraId="3EEEEE27" w14:textId="77777777" w:rsidR="006D5DBD" w:rsidRPr="000C0842" w:rsidRDefault="006D5DBD" w:rsidP="006D5DBD">
            <w:pPr>
              <w:tabs>
                <w:tab w:val="clear" w:pos="567"/>
                <w:tab w:val="clear" w:pos="1134"/>
                <w:tab w:val="clear" w:pos="1701"/>
                <w:tab w:val="clear" w:pos="2268"/>
              </w:tabs>
              <w:spacing w:after="60"/>
              <w:jc w:val="left"/>
              <w:rPr>
                <w:rFonts w:eastAsia="SimSun"/>
                <w:iCs/>
                <w:sz w:val="20"/>
                <w:szCs w:val="20"/>
                <w:lang w:val="en-CA"/>
              </w:rPr>
            </w:pPr>
          </w:p>
        </w:tc>
        <w:tc>
          <w:tcPr>
            <w:tcW w:w="4050" w:type="dxa"/>
          </w:tcPr>
          <w:p w14:paraId="6F33296E"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 xml:space="preserve">3.2.I. </w:t>
            </w:r>
            <w:r w:rsidRPr="000C0842">
              <w:rPr>
                <w:rFonts w:eastAsia="SimSun"/>
              </w:rPr>
              <w:t>促进调动资金以加强国家信息交换所机制。</w:t>
            </w:r>
          </w:p>
        </w:tc>
        <w:tc>
          <w:tcPr>
            <w:tcW w:w="1530" w:type="dxa"/>
            <w:tcMar>
              <w:top w:w="115" w:type="dxa"/>
              <w:left w:w="115" w:type="dxa"/>
              <w:bottom w:w="115" w:type="dxa"/>
              <w:right w:w="115" w:type="dxa"/>
            </w:tcMar>
          </w:tcPr>
          <w:p w14:paraId="18C943F2" w14:textId="77777777" w:rsidR="006D5DBD" w:rsidRPr="000C0842" w:rsidRDefault="006D5DBD" w:rsidP="006D5DBD">
            <w:pPr>
              <w:tabs>
                <w:tab w:val="clear" w:pos="567"/>
                <w:tab w:val="clear" w:pos="1134"/>
                <w:tab w:val="clear" w:pos="1701"/>
                <w:tab w:val="clear" w:pos="2268"/>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700B2C16" w14:textId="77777777" w:rsidTr="001F32B3">
        <w:tc>
          <w:tcPr>
            <w:tcW w:w="1615" w:type="dxa"/>
            <w:tcMar>
              <w:top w:w="115" w:type="dxa"/>
              <w:left w:w="115" w:type="dxa"/>
              <w:bottom w:w="115" w:type="dxa"/>
              <w:right w:w="115" w:type="dxa"/>
            </w:tcMar>
          </w:tcPr>
          <w:p w14:paraId="49C1675D"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tcMar>
              <w:top w:w="115" w:type="dxa"/>
              <w:left w:w="115" w:type="dxa"/>
              <w:bottom w:w="115" w:type="dxa"/>
              <w:right w:w="115" w:type="dxa"/>
            </w:tcMar>
          </w:tcPr>
          <w:p w14:paraId="1BA72C3C"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4050" w:type="dxa"/>
          </w:tcPr>
          <w:p w14:paraId="7758BE47"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3.2.J. </w:t>
            </w:r>
            <w:r w:rsidRPr="000C0842">
              <w:rPr>
                <w:rFonts w:eastAsia="SimSun"/>
              </w:rPr>
              <w:t>继续认可在建立或进一步发展国家信息交换所机制方面取得最大进展的缔约方并给予奖励。</w:t>
            </w:r>
          </w:p>
        </w:tc>
        <w:tc>
          <w:tcPr>
            <w:tcW w:w="1530" w:type="dxa"/>
            <w:tcMar>
              <w:top w:w="115" w:type="dxa"/>
              <w:left w:w="115" w:type="dxa"/>
              <w:bottom w:w="115" w:type="dxa"/>
              <w:right w:w="115" w:type="dxa"/>
            </w:tcMar>
          </w:tcPr>
          <w:p w14:paraId="2288AABF"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2042007E" w14:textId="77777777" w:rsidTr="001F32B3">
        <w:trPr>
          <w:trHeight w:val="59"/>
        </w:trPr>
        <w:tc>
          <w:tcPr>
            <w:tcW w:w="1615" w:type="dxa"/>
            <w:vMerge w:val="restart"/>
            <w:tcBorders>
              <w:top w:val="single" w:sz="4" w:space="0" w:color="auto"/>
              <w:left w:val="single" w:sz="4" w:space="0" w:color="auto"/>
              <w:right w:val="single" w:sz="4" w:space="0" w:color="auto"/>
            </w:tcBorders>
            <w:tcMar>
              <w:top w:w="115" w:type="dxa"/>
              <w:left w:w="115" w:type="dxa"/>
              <w:bottom w:w="115" w:type="dxa"/>
              <w:right w:w="115" w:type="dxa"/>
            </w:tcMar>
          </w:tcPr>
          <w:p w14:paraId="77A74BDD" w14:textId="77777777" w:rsidR="006D5DBD" w:rsidRPr="000C0842" w:rsidRDefault="006D5DBD" w:rsidP="006D5DBD">
            <w:pPr>
              <w:tabs>
                <w:tab w:val="clear" w:pos="567"/>
                <w:tab w:val="clear" w:pos="1134"/>
                <w:tab w:val="clear" w:pos="1701"/>
                <w:tab w:val="clear" w:pos="2268"/>
              </w:tabs>
              <w:spacing w:after="60"/>
              <w:jc w:val="left"/>
              <w:rPr>
                <w:rFonts w:eastAsia="SimSun"/>
              </w:rPr>
            </w:pPr>
            <w:r w:rsidRPr="000C0842">
              <w:rPr>
                <w:rFonts w:eastAsia="SimSun"/>
                <w:lang w:val="en-CA"/>
              </w:rPr>
              <w:t xml:space="preserve">4. </w:t>
            </w:r>
            <w:r w:rsidRPr="000C0842">
              <w:rPr>
                <w:rFonts w:eastAsia="SimSun"/>
                <w:shd w:val="clear" w:color="auto" w:fill="FFFFFF"/>
                <w:lang w:val="en-CA"/>
              </w:rPr>
              <w:t>促进缔约方和伙伴之间的网络和合作</w:t>
            </w:r>
          </w:p>
        </w:tc>
        <w:tc>
          <w:tcPr>
            <w:tcW w:w="2160" w:type="dxa"/>
            <w:vMerge w:val="restart"/>
            <w:tcBorders>
              <w:top w:val="single" w:sz="4" w:space="0" w:color="auto"/>
              <w:left w:val="single" w:sz="4" w:space="0" w:color="auto"/>
              <w:right w:val="single" w:sz="4" w:space="0" w:color="auto"/>
            </w:tcBorders>
            <w:tcMar>
              <w:top w:w="115" w:type="dxa"/>
              <w:left w:w="115" w:type="dxa"/>
              <w:bottom w:w="115" w:type="dxa"/>
              <w:right w:w="115" w:type="dxa"/>
            </w:tcMar>
          </w:tcPr>
          <w:p w14:paraId="6816517F" w14:textId="77777777" w:rsidR="006D5DBD" w:rsidRPr="000C0842" w:rsidRDefault="006D5DBD" w:rsidP="006D5DBD">
            <w:pPr>
              <w:tabs>
                <w:tab w:val="clear" w:pos="567"/>
                <w:tab w:val="clear" w:pos="1134"/>
                <w:tab w:val="clear" w:pos="1701"/>
                <w:tab w:val="clear" w:pos="2268"/>
              </w:tabs>
              <w:spacing w:after="60"/>
              <w:jc w:val="left"/>
              <w:rPr>
                <w:rFonts w:eastAsia="SimSun"/>
              </w:rPr>
            </w:pPr>
            <w:r w:rsidRPr="000C0842">
              <w:rPr>
                <w:rFonts w:eastAsia="SimSun"/>
                <w:lang w:val="en-CA"/>
              </w:rPr>
              <w:t xml:space="preserve">4.1. </w:t>
            </w:r>
            <w:r w:rsidRPr="000C0842">
              <w:rPr>
                <w:rFonts w:eastAsia="SimSun"/>
              </w:rPr>
              <w:t>全球、区域、次区域和国家伙伴组织和网络的联络得到扩大和加强。</w:t>
            </w:r>
          </w:p>
        </w:tc>
        <w:tc>
          <w:tcPr>
            <w:tcW w:w="4050" w:type="dxa"/>
            <w:tcBorders>
              <w:top w:val="single" w:sz="4" w:space="0" w:color="auto"/>
              <w:left w:val="single" w:sz="4" w:space="0" w:color="auto"/>
              <w:bottom w:val="single" w:sz="4" w:space="0" w:color="auto"/>
              <w:right w:val="single" w:sz="4" w:space="0" w:color="auto"/>
            </w:tcBorders>
          </w:tcPr>
          <w:p w14:paraId="3B416AD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4.1.A. </w:t>
            </w:r>
            <w:r w:rsidRPr="000C0842">
              <w:rPr>
                <w:rFonts w:eastAsia="SimSun" w:hint="eastAsia"/>
              </w:rPr>
              <w:t>查明</w:t>
            </w:r>
            <w:r w:rsidRPr="000C0842">
              <w:rPr>
                <w:rFonts w:eastAsia="SimSun"/>
              </w:rPr>
              <w:t>、</w:t>
            </w:r>
            <w:r w:rsidRPr="000C0842">
              <w:rPr>
                <w:rFonts w:eastAsia="SimSun" w:hint="eastAsia"/>
              </w:rPr>
              <w:t>全面了解</w:t>
            </w:r>
            <w:r w:rsidRPr="000C0842">
              <w:rPr>
                <w:rFonts w:eastAsia="SimSun"/>
              </w:rPr>
              <w:t>和公布与生物多样性有关的现有全球、区域、次区域和国家网络、同业交流群和伙伴关系。</w:t>
            </w:r>
          </w:p>
        </w:tc>
        <w:tc>
          <w:tcPr>
            <w:tcW w:w="1530" w:type="dxa"/>
            <w:tcBorders>
              <w:top w:val="single" w:sz="4" w:space="0" w:color="auto"/>
              <w:left w:val="single" w:sz="4" w:space="0" w:color="auto"/>
              <w:right w:val="single" w:sz="4" w:space="0" w:color="auto"/>
            </w:tcBorders>
            <w:tcMar>
              <w:top w:w="115" w:type="dxa"/>
              <w:left w:w="115" w:type="dxa"/>
              <w:bottom w:w="115" w:type="dxa"/>
              <w:right w:w="115" w:type="dxa"/>
            </w:tcMar>
          </w:tcPr>
          <w:p w14:paraId="57ACEE6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7772154E" w14:textId="77777777" w:rsidTr="001F32B3">
        <w:trPr>
          <w:trHeight w:val="57"/>
        </w:trPr>
        <w:tc>
          <w:tcPr>
            <w:tcW w:w="1615" w:type="dxa"/>
            <w:vMerge/>
            <w:tcBorders>
              <w:left w:val="single" w:sz="4" w:space="0" w:color="auto"/>
              <w:right w:val="single" w:sz="4" w:space="0" w:color="auto"/>
            </w:tcBorders>
            <w:tcMar>
              <w:top w:w="115" w:type="dxa"/>
              <w:left w:w="115" w:type="dxa"/>
              <w:bottom w:w="115" w:type="dxa"/>
              <w:right w:w="115" w:type="dxa"/>
            </w:tcMar>
          </w:tcPr>
          <w:p w14:paraId="1F19A1EA"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Borders>
              <w:left w:val="single" w:sz="4" w:space="0" w:color="auto"/>
              <w:right w:val="single" w:sz="4" w:space="0" w:color="auto"/>
            </w:tcBorders>
            <w:tcMar>
              <w:top w:w="115" w:type="dxa"/>
              <w:left w:w="115" w:type="dxa"/>
              <w:bottom w:w="115" w:type="dxa"/>
              <w:right w:w="115" w:type="dxa"/>
            </w:tcMar>
          </w:tcPr>
          <w:p w14:paraId="35655411"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4050" w:type="dxa"/>
            <w:tcBorders>
              <w:top w:val="single" w:sz="4" w:space="0" w:color="auto"/>
              <w:left w:val="single" w:sz="4" w:space="0" w:color="auto"/>
              <w:bottom w:val="single" w:sz="4" w:space="0" w:color="auto"/>
              <w:right w:val="single" w:sz="4" w:space="0" w:color="auto"/>
            </w:tcBorders>
          </w:tcPr>
          <w:p w14:paraId="0B56E3A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4.1.B. </w:t>
            </w:r>
            <w:r w:rsidRPr="000C0842">
              <w:rPr>
                <w:rFonts w:eastAsia="SimSun"/>
              </w:rPr>
              <w:t>加强结构、进程和平台，将现有的生物多样性网络、伙伴关系和倡议联系起来。</w:t>
            </w:r>
          </w:p>
        </w:tc>
        <w:tc>
          <w:tcPr>
            <w:tcW w:w="1530" w:type="dxa"/>
            <w:tcBorders>
              <w:left w:val="single" w:sz="4" w:space="0" w:color="auto"/>
              <w:right w:val="single" w:sz="4" w:space="0" w:color="auto"/>
            </w:tcBorders>
            <w:tcMar>
              <w:top w:w="115" w:type="dxa"/>
              <w:left w:w="115" w:type="dxa"/>
              <w:bottom w:w="115" w:type="dxa"/>
              <w:right w:w="115" w:type="dxa"/>
            </w:tcMar>
          </w:tcPr>
          <w:p w14:paraId="1F68181F"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rPr>
              <w:t>2025</w:t>
            </w:r>
            <w:r w:rsidRPr="000C0842">
              <w:rPr>
                <w:rFonts w:eastAsia="SimSun"/>
                <w:lang w:val="en-CA"/>
              </w:rPr>
              <w:t>-</w:t>
            </w:r>
            <w:r w:rsidRPr="000C0842">
              <w:rPr>
                <w:rFonts w:eastAsia="SimSun"/>
              </w:rPr>
              <w:t>2030</w:t>
            </w:r>
            <w:r w:rsidRPr="000C0842">
              <w:rPr>
                <w:rFonts w:eastAsia="SimSun"/>
              </w:rPr>
              <w:t>年</w:t>
            </w:r>
          </w:p>
        </w:tc>
      </w:tr>
      <w:tr w:rsidR="000C0842" w:rsidRPr="000C0842" w14:paraId="45A6EB5D" w14:textId="77777777" w:rsidTr="001F32B3">
        <w:trPr>
          <w:trHeight w:val="811"/>
        </w:trPr>
        <w:tc>
          <w:tcPr>
            <w:tcW w:w="1615" w:type="dxa"/>
            <w:vMerge/>
            <w:tcBorders>
              <w:left w:val="single" w:sz="4" w:space="0" w:color="auto"/>
              <w:right w:val="single" w:sz="4" w:space="0" w:color="auto"/>
            </w:tcBorders>
            <w:tcMar>
              <w:top w:w="115" w:type="dxa"/>
              <w:left w:w="115" w:type="dxa"/>
              <w:bottom w:w="115" w:type="dxa"/>
              <w:right w:w="115" w:type="dxa"/>
            </w:tcMar>
          </w:tcPr>
          <w:p w14:paraId="6EA84C71"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Borders>
              <w:left w:val="single" w:sz="4" w:space="0" w:color="auto"/>
              <w:right w:val="single" w:sz="4" w:space="0" w:color="auto"/>
            </w:tcBorders>
            <w:tcMar>
              <w:top w:w="115" w:type="dxa"/>
              <w:left w:w="115" w:type="dxa"/>
              <w:bottom w:w="115" w:type="dxa"/>
              <w:right w:w="115" w:type="dxa"/>
            </w:tcMar>
          </w:tcPr>
          <w:p w14:paraId="498975AC"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4050" w:type="dxa"/>
            <w:tcBorders>
              <w:top w:val="single" w:sz="4" w:space="0" w:color="auto"/>
              <w:left w:val="single" w:sz="4" w:space="0" w:color="auto"/>
              <w:right w:val="single" w:sz="4" w:space="0" w:color="auto"/>
            </w:tcBorders>
          </w:tcPr>
          <w:p w14:paraId="3974339B"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4.1.C. </w:t>
            </w:r>
            <w:r w:rsidRPr="000C0842">
              <w:rPr>
                <w:rFonts w:eastAsia="SimSun"/>
              </w:rPr>
              <w:t>促进和推动跨学科互动，以利用产生自不同网络的专业知识、良好做法和想法。</w:t>
            </w:r>
          </w:p>
        </w:tc>
        <w:tc>
          <w:tcPr>
            <w:tcW w:w="1530" w:type="dxa"/>
            <w:tcBorders>
              <w:left w:val="single" w:sz="4" w:space="0" w:color="auto"/>
              <w:right w:val="single" w:sz="4" w:space="0" w:color="auto"/>
            </w:tcBorders>
            <w:tcMar>
              <w:top w:w="115" w:type="dxa"/>
              <w:left w:w="115" w:type="dxa"/>
              <w:bottom w:w="115" w:type="dxa"/>
              <w:right w:w="115" w:type="dxa"/>
            </w:tcMar>
          </w:tcPr>
          <w:p w14:paraId="39EC9F4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66305773" w14:textId="77777777" w:rsidTr="001F32B3">
        <w:trPr>
          <w:trHeight w:val="59"/>
        </w:trPr>
        <w:tc>
          <w:tcPr>
            <w:tcW w:w="1615" w:type="dxa"/>
            <w:vMerge/>
            <w:tcBorders>
              <w:left w:val="single" w:sz="4" w:space="0" w:color="auto"/>
              <w:right w:val="single" w:sz="4" w:space="0" w:color="auto"/>
            </w:tcBorders>
            <w:tcMar>
              <w:top w:w="115" w:type="dxa"/>
              <w:left w:w="115" w:type="dxa"/>
              <w:bottom w:w="115" w:type="dxa"/>
              <w:right w:w="115" w:type="dxa"/>
            </w:tcMar>
          </w:tcPr>
          <w:p w14:paraId="2FA02BB3"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val="restart"/>
            <w:tcBorders>
              <w:top w:val="single" w:sz="4" w:space="0" w:color="auto"/>
              <w:left w:val="single" w:sz="4" w:space="0" w:color="auto"/>
              <w:right w:val="single" w:sz="4" w:space="0" w:color="auto"/>
            </w:tcBorders>
            <w:tcMar>
              <w:top w:w="115" w:type="dxa"/>
              <w:left w:w="115" w:type="dxa"/>
              <w:bottom w:w="115" w:type="dxa"/>
              <w:right w:w="115" w:type="dxa"/>
            </w:tcMar>
          </w:tcPr>
          <w:p w14:paraId="2EB92E7F" w14:textId="77777777" w:rsidR="006D5DBD" w:rsidRPr="000C0842" w:rsidRDefault="006D5DBD" w:rsidP="006D5DBD">
            <w:pPr>
              <w:tabs>
                <w:tab w:val="clear" w:pos="567"/>
                <w:tab w:val="clear" w:pos="1134"/>
                <w:tab w:val="clear" w:pos="1701"/>
                <w:tab w:val="clear" w:pos="2268"/>
              </w:tabs>
              <w:spacing w:after="60"/>
              <w:jc w:val="left"/>
              <w:rPr>
                <w:rFonts w:eastAsia="SimSun"/>
              </w:rPr>
            </w:pPr>
            <w:r w:rsidRPr="000C0842">
              <w:rPr>
                <w:rFonts w:eastAsia="SimSun"/>
              </w:rPr>
              <w:t xml:space="preserve">4.2. </w:t>
            </w:r>
            <w:r w:rsidRPr="000C0842">
              <w:rPr>
                <w:rFonts w:eastAsia="SimSun"/>
              </w:rPr>
              <w:t>合作伙伴通过信息交换所机制网络积极建立联系并交流信息、专门知识、想法和其他资源。</w:t>
            </w:r>
          </w:p>
        </w:tc>
        <w:tc>
          <w:tcPr>
            <w:tcW w:w="4050" w:type="dxa"/>
            <w:tcBorders>
              <w:top w:val="single" w:sz="4" w:space="0" w:color="auto"/>
              <w:left w:val="single" w:sz="4" w:space="0" w:color="auto"/>
              <w:bottom w:val="single" w:sz="4" w:space="0" w:color="auto"/>
              <w:right w:val="single" w:sz="4" w:space="0" w:color="auto"/>
            </w:tcBorders>
          </w:tcPr>
          <w:p w14:paraId="1139880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4.2.A. </w:t>
            </w:r>
            <w:r w:rsidRPr="000C0842">
              <w:rPr>
                <w:rFonts w:eastAsia="SimSun"/>
              </w:rPr>
              <w:t>进一步开发和更新将中央信息交换所机制与相关组织和信息网络联系起来的工具和程序。</w:t>
            </w:r>
          </w:p>
        </w:tc>
        <w:tc>
          <w:tcPr>
            <w:tcW w:w="1530" w:type="dxa"/>
            <w:tcBorders>
              <w:top w:val="single" w:sz="4" w:space="0" w:color="auto"/>
              <w:left w:val="single" w:sz="4" w:space="0" w:color="auto"/>
              <w:right w:val="single" w:sz="4" w:space="0" w:color="auto"/>
            </w:tcBorders>
            <w:tcMar>
              <w:top w:w="115" w:type="dxa"/>
              <w:left w:w="115" w:type="dxa"/>
              <w:bottom w:w="115" w:type="dxa"/>
              <w:right w:w="115" w:type="dxa"/>
            </w:tcMar>
          </w:tcPr>
          <w:p w14:paraId="6723DF0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2025-2030</w:t>
            </w:r>
            <w:r w:rsidRPr="000C0842">
              <w:rPr>
                <w:rFonts w:eastAsia="SimSun"/>
              </w:rPr>
              <w:t>年</w:t>
            </w:r>
          </w:p>
        </w:tc>
      </w:tr>
      <w:tr w:rsidR="000C0842" w:rsidRPr="000C0842" w14:paraId="1C84EA4C" w14:textId="77777777" w:rsidTr="001F32B3">
        <w:trPr>
          <w:trHeight w:val="59"/>
        </w:trPr>
        <w:tc>
          <w:tcPr>
            <w:tcW w:w="1615" w:type="dxa"/>
            <w:vMerge/>
            <w:tcBorders>
              <w:left w:val="single" w:sz="4" w:space="0" w:color="auto"/>
              <w:right w:val="single" w:sz="4" w:space="0" w:color="auto"/>
            </w:tcBorders>
            <w:tcMar>
              <w:top w:w="115" w:type="dxa"/>
              <w:left w:w="115" w:type="dxa"/>
              <w:bottom w:w="115" w:type="dxa"/>
              <w:right w:w="115" w:type="dxa"/>
            </w:tcMar>
          </w:tcPr>
          <w:p w14:paraId="6797C84B"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Borders>
              <w:left w:val="single" w:sz="4" w:space="0" w:color="auto"/>
              <w:right w:val="single" w:sz="4" w:space="0" w:color="auto"/>
            </w:tcBorders>
            <w:tcMar>
              <w:top w:w="115" w:type="dxa"/>
              <w:left w:w="115" w:type="dxa"/>
              <w:bottom w:w="115" w:type="dxa"/>
              <w:right w:w="115" w:type="dxa"/>
            </w:tcMar>
          </w:tcPr>
          <w:p w14:paraId="44EBC634" w14:textId="77777777" w:rsidR="006D5DBD" w:rsidRPr="000C0842" w:rsidRDefault="006D5DBD" w:rsidP="006D5DBD">
            <w:pPr>
              <w:tabs>
                <w:tab w:val="clear" w:pos="567"/>
                <w:tab w:val="clear" w:pos="1134"/>
                <w:tab w:val="clear" w:pos="1701"/>
                <w:tab w:val="clear" w:pos="2268"/>
              </w:tabs>
              <w:spacing w:after="60"/>
              <w:jc w:val="left"/>
              <w:rPr>
                <w:rFonts w:eastAsia="SimSun"/>
              </w:rPr>
            </w:pPr>
          </w:p>
        </w:tc>
        <w:tc>
          <w:tcPr>
            <w:tcW w:w="4050" w:type="dxa"/>
            <w:tcBorders>
              <w:top w:val="single" w:sz="4" w:space="0" w:color="auto"/>
              <w:left w:val="single" w:sz="4" w:space="0" w:color="auto"/>
              <w:bottom w:val="single" w:sz="4" w:space="0" w:color="auto"/>
              <w:right w:val="single" w:sz="4" w:space="0" w:color="auto"/>
            </w:tcBorders>
          </w:tcPr>
          <w:p w14:paraId="241F946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4.2.B. </w:t>
            </w:r>
            <w:r w:rsidRPr="000C0842">
              <w:rPr>
                <w:rFonts w:eastAsia="SimSun"/>
              </w:rPr>
              <w:t>进一步开发工具，通过中央门户和国家信息交换所机制促进与伙伴组织的联络和技术交流。</w:t>
            </w:r>
          </w:p>
        </w:tc>
        <w:tc>
          <w:tcPr>
            <w:tcW w:w="1530" w:type="dxa"/>
            <w:tcBorders>
              <w:top w:val="single" w:sz="4" w:space="0" w:color="auto"/>
              <w:left w:val="single" w:sz="4" w:space="0" w:color="auto"/>
              <w:right w:val="single" w:sz="4" w:space="0" w:color="auto"/>
            </w:tcBorders>
            <w:tcMar>
              <w:top w:w="115" w:type="dxa"/>
              <w:left w:w="115" w:type="dxa"/>
              <w:bottom w:w="115" w:type="dxa"/>
              <w:right w:w="115" w:type="dxa"/>
            </w:tcMar>
          </w:tcPr>
          <w:p w14:paraId="6A8C1EC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r w:rsidR="000C0842" w:rsidRPr="000C0842" w14:paraId="52A7C821" w14:textId="77777777" w:rsidTr="001F32B3">
        <w:trPr>
          <w:trHeight w:val="775"/>
        </w:trPr>
        <w:tc>
          <w:tcPr>
            <w:tcW w:w="1615" w:type="dxa"/>
            <w:vMerge/>
            <w:tcBorders>
              <w:left w:val="single" w:sz="4" w:space="0" w:color="auto"/>
              <w:right w:val="single" w:sz="4" w:space="0" w:color="auto"/>
            </w:tcBorders>
            <w:tcMar>
              <w:top w:w="115" w:type="dxa"/>
              <w:left w:w="115" w:type="dxa"/>
              <w:bottom w:w="115" w:type="dxa"/>
              <w:right w:w="115" w:type="dxa"/>
            </w:tcMar>
          </w:tcPr>
          <w:p w14:paraId="321D15B7"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2160" w:type="dxa"/>
            <w:vMerge/>
            <w:tcBorders>
              <w:left w:val="single" w:sz="4" w:space="0" w:color="auto"/>
              <w:right w:val="single" w:sz="4" w:space="0" w:color="auto"/>
            </w:tcBorders>
            <w:tcMar>
              <w:top w:w="115" w:type="dxa"/>
              <w:left w:w="115" w:type="dxa"/>
              <w:bottom w:w="115" w:type="dxa"/>
              <w:right w:w="115" w:type="dxa"/>
            </w:tcMar>
          </w:tcPr>
          <w:p w14:paraId="20D6D87C" w14:textId="77777777" w:rsidR="006D5DBD" w:rsidRPr="000C0842" w:rsidRDefault="006D5DBD" w:rsidP="006D5DBD">
            <w:pPr>
              <w:tabs>
                <w:tab w:val="clear" w:pos="567"/>
                <w:tab w:val="clear" w:pos="1134"/>
                <w:tab w:val="clear" w:pos="1701"/>
                <w:tab w:val="clear" w:pos="2268"/>
              </w:tabs>
              <w:spacing w:after="60"/>
              <w:jc w:val="left"/>
              <w:rPr>
                <w:rFonts w:eastAsia="SimSun"/>
                <w:sz w:val="20"/>
                <w:szCs w:val="20"/>
              </w:rPr>
            </w:pPr>
          </w:p>
        </w:tc>
        <w:tc>
          <w:tcPr>
            <w:tcW w:w="4050" w:type="dxa"/>
            <w:tcBorders>
              <w:top w:val="single" w:sz="4" w:space="0" w:color="auto"/>
              <w:left w:val="single" w:sz="4" w:space="0" w:color="auto"/>
              <w:right w:val="single" w:sz="4" w:space="0" w:color="auto"/>
            </w:tcBorders>
          </w:tcPr>
          <w:p w14:paraId="6D3BE01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lang w:val="en-CA"/>
              </w:rPr>
            </w:pPr>
            <w:r w:rsidRPr="000C0842">
              <w:rPr>
                <w:rFonts w:eastAsia="SimSun"/>
                <w:lang w:val="en-CA"/>
              </w:rPr>
              <w:t xml:space="preserve">4.2.C. </w:t>
            </w:r>
            <w:r w:rsidRPr="000C0842">
              <w:rPr>
                <w:rFonts w:eastAsia="SimSun"/>
                <w:spacing w:val="10"/>
              </w:rPr>
              <w:t>通过中央门户和国家信息交换所机制维护从业人员数据库和网络。</w:t>
            </w:r>
          </w:p>
        </w:tc>
        <w:tc>
          <w:tcPr>
            <w:tcW w:w="1530" w:type="dxa"/>
            <w:tcBorders>
              <w:left w:val="single" w:sz="4" w:space="0" w:color="auto"/>
              <w:right w:val="single" w:sz="4" w:space="0" w:color="auto"/>
            </w:tcBorders>
            <w:tcMar>
              <w:top w:w="115" w:type="dxa"/>
              <w:left w:w="115" w:type="dxa"/>
              <w:bottom w:w="115" w:type="dxa"/>
              <w:right w:w="115" w:type="dxa"/>
            </w:tcMar>
          </w:tcPr>
          <w:p w14:paraId="2D0FCFE8"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rPr>
            </w:pPr>
            <w:r w:rsidRPr="000C0842">
              <w:rPr>
                <w:rFonts w:eastAsia="SimSun"/>
                <w:lang w:val="en-CA"/>
              </w:rPr>
              <w:t>2025-2030</w:t>
            </w:r>
            <w:r w:rsidRPr="000C0842">
              <w:rPr>
                <w:rFonts w:eastAsia="SimSun"/>
              </w:rPr>
              <w:t>年</w:t>
            </w:r>
          </w:p>
        </w:tc>
      </w:tr>
    </w:tbl>
    <w:p w14:paraId="09B57375" w14:textId="77777777" w:rsidR="006D5DBD" w:rsidRPr="000C0842" w:rsidRDefault="006D5DBD" w:rsidP="006D5DBD">
      <w:pPr>
        <w:tabs>
          <w:tab w:val="clear" w:pos="567"/>
          <w:tab w:val="clear" w:pos="1134"/>
          <w:tab w:val="clear" w:pos="1701"/>
          <w:tab w:val="clear" w:pos="2268"/>
        </w:tabs>
        <w:topLinePunct/>
        <w:spacing w:before="120" w:after="120"/>
        <w:ind w:left="90"/>
        <w:rPr>
          <w:bCs/>
          <w:sz w:val="24"/>
          <w:szCs w:val="24"/>
          <w:lang w:val="en-GB"/>
        </w:rPr>
      </w:pPr>
      <w:r w:rsidRPr="000C0842">
        <w:rPr>
          <w:bCs/>
          <w:sz w:val="24"/>
          <w:szCs w:val="24"/>
          <w:lang w:val="en-GB"/>
        </w:rPr>
        <w:br w:type="page"/>
      </w:r>
      <w:bookmarkStart w:id="24" w:name="_Hlk163480816"/>
    </w:p>
    <w:bookmarkEnd w:id="24"/>
    <w:p w14:paraId="111AFE56" w14:textId="77777777" w:rsidR="006D5DBD" w:rsidRPr="000C0842" w:rsidRDefault="006D5DBD" w:rsidP="006D5DBD">
      <w:pPr>
        <w:keepLines/>
        <w:tabs>
          <w:tab w:val="clear" w:pos="567"/>
          <w:tab w:val="clear" w:pos="1134"/>
          <w:tab w:val="clear" w:pos="1701"/>
          <w:tab w:val="clear" w:pos="2268"/>
        </w:tabs>
        <w:topLinePunct/>
        <w:spacing w:before="120" w:after="120"/>
        <w:rPr>
          <w:sz w:val="20"/>
          <w:szCs w:val="24"/>
        </w:rPr>
        <w:sectPr w:rsidR="006D5DBD" w:rsidRPr="000C0842" w:rsidSect="00D83DAC">
          <w:headerReference w:type="even" r:id="rId54"/>
          <w:headerReference w:type="default" r:id="rId55"/>
          <w:footerReference w:type="even" r:id="rId56"/>
          <w:footerReference w:type="default" r:id="rId57"/>
          <w:pgSz w:w="12240" w:h="15840"/>
          <w:pgMar w:top="1134" w:right="1440" w:bottom="1134" w:left="1440" w:header="709" w:footer="709" w:gutter="0"/>
          <w:cols w:space="708"/>
          <w:titlePg/>
          <w:docGrid w:linePitch="360"/>
        </w:sectPr>
      </w:pPr>
    </w:p>
    <w:p w14:paraId="539BF0DF" w14:textId="77777777" w:rsidR="006D5DBD" w:rsidRPr="000C0842" w:rsidRDefault="006D5DBD" w:rsidP="0034488F">
      <w:pPr>
        <w:pStyle w:val="a0"/>
        <w:rPr>
          <w:rStyle w:val="CBD3"/>
          <w:rFonts w:hint="eastAsia"/>
          <w:b/>
          <w:szCs w:val="22"/>
        </w:rPr>
      </w:pPr>
      <w:bookmarkStart w:id="25" w:name="_Toc206355240"/>
      <w:bookmarkStart w:id="26" w:name="_Toc206358204"/>
      <w:r w:rsidRPr="000C0842">
        <w:rPr>
          <w:rStyle w:val="CBD3"/>
          <w:b/>
          <w:szCs w:val="22"/>
        </w:rPr>
        <w:t>B</w:t>
      </w:r>
      <w:bookmarkEnd w:id="25"/>
      <w:bookmarkEnd w:id="26"/>
      <w:r w:rsidRPr="000C0842">
        <w:rPr>
          <w:rStyle w:val="CBD3"/>
          <w:b/>
          <w:szCs w:val="22"/>
        </w:rPr>
        <w:tab/>
      </w:r>
    </w:p>
    <w:p w14:paraId="20748DBB" w14:textId="77777777" w:rsidR="006D5DBD" w:rsidRPr="000C0842" w:rsidRDefault="006D5DBD" w:rsidP="0034488F">
      <w:pPr>
        <w:pStyle w:val="a0"/>
        <w:rPr>
          <w:rFonts w:hint="eastAsia"/>
          <w:b w:val="0"/>
          <w:bCs/>
          <w:szCs w:val="24"/>
          <w:lang w:val="zh-CN"/>
        </w:rPr>
      </w:pPr>
      <w:bookmarkStart w:id="27" w:name="_Toc206358205"/>
      <w:r w:rsidRPr="000C0842">
        <w:rPr>
          <w:rStyle w:val="CBD3"/>
          <w:b/>
          <w:szCs w:val="22"/>
        </w:rPr>
        <w:t>知识管理</w:t>
      </w:r>
      <w:bookmarkEnd w:id="27"/>
    </w:p>
    <w:p w14:paraId="326DF5EF" w14:textId="3028FFC6" w:rsidR="006D5DBD" w:rsidRPr="000C0842" w:rsidRDefault="00885CBC" w:rsidP="00885CBC">
      <w:pPr>
        <w:tabs>
          <w:tab w:val="clear" w:pos="567"/>
          <w:tab w:val="clear" w:pos="1134"/>
          <w:tab w:val="clear" w:pos="1701"/>
          <w:tab w:val="clear" w:pos="2268"/>
        </w:tabs>
        <w:topLinePunct/>
        <w:spacing w:before="120" w:after="120"/>
        <w:rPr>
          <w:rFonts w:eastAsia="KaiTi"/>
          <w:sz w:val="24"/>
          <w:szCs w:val="24"/>
          <w:lang w:val="zh-CN"/>
        </w:rPr>
      </w:pPr>
      <w:r w:rsidRPr="000C0842">
        <w:rPr>
          <w:rFonts w:eastAsia="KaiTi"/>
          <w:sz w:val="24"/>
          <w:szCs w:val="24"/>
          <w:lang w:val="zh-CN"/>
        </w:rPr>
        <w:tab/>
      </w:r>
      <w:r w:rsidRPr="000C0842">
        <w:rPr>
          <w:rFonts w:eastAsia="KaiTi"/>
          <w:sz w:val="24"/>
          <w:szCs w:val="24"/>
          <w:lang w:val="zh-CN"/>
        </w:rPr>
        <w:tab/>
      </w:r>
      <w:r w:rsidR="006D5DBD" w:rsidRPr="000C0842">
        <w:rPr>
          <w:rFonts w:eastAsia="KaiTi"/>
          <w:sz w:val="24"/>
          <w:szCs w:val="24"/>
          <w:lang w:val="zh-CN"/>
        </w:rPr>
        <w:t>缔约方大会，</w:t>
      </w:r>
    </w:p>
    <w:p w14:paraId="3F8091BD" w14:textId="2A28526B" w:rsidR="006D5DBD" w:rsidRPr="000C0842" w:rsidRDefault="006D5DBD" w:rsidP="00885CBC">
      <w:pPr>
        <w:tabs>
          <w:tab w:val="clear" w:pos="567"/>
          <w:tab w:val="clear" w:pos="1701"/>
          <w:tab w:val="clear" w:pos="2268"/>
        </w:tabs>
        <w:topLinePunct/>
        <w:spacing w:before="120" w:after="120"/>
        <w:ind w:left="979"/>
        <w:rPr>
          <w:rFonts w:eastAsia="SimSun"/>
          <w:sz w:val="24"/>
          <w:szCs w:val="24"/>
          <w:lang w:val="zh-CN"/>
        </w:rPr>
      </w:pPr>
      <w:r w:rsidRPr="000C0842">
        <w:rPr>
          <w:rFonts w:eastAsia="KaiTi"/>
          <w:sz w:val="24"/>
          <w:szCs w:val="24"/>
          <w:lang w:val="zh-CN"/>
        </w:rPr>
        <w:t>回顾</w:t>
      </w:r>
      <w:r w:rsidRPr="000C0842">
        <w:rPr>
          <w:rFonts w:eastAsia="SimSun"/>
          <w:sz w:val="24"/>
          <w:szCs w:val="24"/>
          <w:lang w:val="zh-CN"/>
        </w:rPr>
        <w:t xml:space="preserve">2018 </w:t>
      </w:r>
      <w:r w:rsidRPr="000C0842">
        <w:rPr>
          <w:rFonts w:eastAsia="SimSun"/>
          <w:sz w:val="24"/>
          <w:szCs w:val="24"/>
          <w:lang w:val="zh-CN"/>
        </w:rPr>
        <w:t>年</w:t>
      </w:r>
      <w:r w:rsidRPr="000C0842">
        <w:rPr>
          <w:rFonts w:eastAsia="SimSun"/>
          <w:sz w:val="24"/>
          <w:szCs w:val="24"/>
          <w:lang w:val="zh-CN"/>
        </w:rPr>
        <w:t xml:space="preserve"> 11 </w:t>
      </w:r>
      <w:r w:rsidRPr="000C0842">
        <w:rPr>
          <w:rFonts w:eastAsia="SimSun"/>
          <w:sz w:val="24"/>
          <w:szCs w:val="24"/>
          <w:lang w:val="zh-CN"/>
        </w:rPr>
        <w:t>月</w:t>
      </w:r>
      <w:r w:rsidRPr="000C0842">
        <w:rPr>
          <w:rFonts w:eastAsia="SimSun"/>
          <w:sz w:val="24"/>
          <w:szCs w:val="24"/>
          <w:lang w:val="zh-CN"/>
        </w:rPr>
        <w:t xml:space="preserve"> 29 </w:t>
      </w:r>
      <w:r w:rsidRPr="000C0842">
        <w:rPr>
          <w:rFonts w:eastAsia="SimSun"/>
          <w:sz w:val="24"/>
          <w:szCs w:val="24"/>
          <w:lang w:val="zh-CN"/>
        </w:rPr>
        <w:t>日第</w:t>
      </w:r>
      <w:r w:rsidRPr="000C0842">
        <w:rPr>
          <w:rFonts w:eastAsia="SimSun"/>
          <w:sz w:val="24"/>
          <w:szCs w:val="24"/>
          <w:lang w:val="zh-CN"/>
        </w:rPr>
        <w:t xml:space="preserve"> </w:t>
      </w:r>
      <w:hyperlink r:id="rId58" w:history="1">
        <w:r w:rsidRPr="000C0842">
          <w:rPr>
            <w:rFonts w:eastAsia="SimSun"/>
            <w:sz w:val="24"/>
            <w:szCs w:val="24"/>
            <w:u w:val="single"/>
            <w:lang w:val="zh-CN"/>
          </w:rPr>
          <w:t>14/25</w:t>
        </w:r>
      </w:hyperlink>
      <w:r w:rsidRPr="000C0842">
        <w:rPr>
          <w:rFonts w:eastAsia="SimSun"/>
          <w:sz w:val="24"/>
          <w:szCs w:val="24"/>
          <w:lang w:val="zh-CN"/>
        </w:rPr>
        <w:t xml:space="preserve"> </w:t>
      </w:r>
      <w:r w:rsidRPr="000C0842">
        <w:rPr>
          <w:rFonts w:eastAsia="SimSun"/>
          <w:sz w:val="24"/>
          <w:szCs w:val="24"/>
          <w:lang w:val="zh-CN"/>
        </w:rPr>
        <w:t>号决定和</w:t>
      </w:r>
      <w:r w:rsidRPr="000C0842">
        <w:rPr>
          <w:rFonts w:eastAsia="SimSun"/>
          <w:sz w:val="24"/>
          <w:szCs w:val="24"/>
          <w:lang w:val="zh-CN"/>
        </w:rPr>
        <w:t xml:space="preserve"> 2022 </w:t>
      </w:r>
      <w:r w:rsidRPr="000C0842">
        <w:rPr>
          <w:rFonts w:eastAsia="SimSun"/>
          <w:sz w:val="24"/>
          <w:szCs w:val="24"/>
          <w:lang w:val="zh-CN"/>
        </w:rPr>
        <w:t>年</w:t>
      </w:r>
      <w:r w:rsidRPr="000C0842">
        <w:rPr>
          <w:rFonts w:eastAsia="SimSun"/>
          <w:sz w:val="24"/>
          <w:szCs w:val="24"/>
          <w:lang w:val="zh-CN"/>
        </w:rPr>
        <w:t xml:space="preserve"> 12 </w:t>
      </w:r>
      <w:r w:rsidRPr="000C0842">
        <w:rPr>
          <w:rFonts w:eastAsia="SimSun"/>
          <w:sz w:val="24"/>
          <w:szCs w:val="24"/>
          <w:lang w:val="zh-CN"/>
        </w:rPr>
        <w:t>月</w:t>
      </w:r>
      <w:r w:rsidRPr="000C0842">
        <w:rPr>
          <w:rFonts w:eastAsia="SimSun"/>
          <w:sz w:val="24"/>
          <w:szCs w:val="24"/>
          <w:lang w:val="zh-CN"/>
        </w:rPr>
        <w:t xml:space="preserve"> 19 </w:t>
      </w:r>
      <w:r w:rsidRPr="000C0842">
        <w:rPr>
          <w:rFonts w:eastAsia="SimSun"/>
          <w:sz w:val="24"/>
          <w:szCs w:val="24"/>
          <w:lang w:val="zh-CN"/>
        </w:rPr>
        <w:t>日第</w:t>
      </w:r>
      <w:r w:rsidRPr="000C0842">
        <w:rPr>
          <w:rFonts w:eastAsia="SimSun"/>
          <w:sz w:val="24"/>
          <w:szCs w:val="24"/>
          <w:lang w:val="zh-CN"/>
        </w:rPr>
        <w:t xml:space="preserve"> </w:t>
      </w:r>
      <w:hyperlink r:id="rId59" w:history="1">
        <w:r w:rsidRPr="000C0842">
          <w:rPr>
            <w:rFonts w:eastAsia="SimSun"/>
            <w:sz w:val="24"/>
            <w:szCs w:val="24"/>
            <w:u w:val="single"/>
            <w:lang w:val="zh-CN"/>
          </w:rPr>
          <w:t>15/16</w:t>
        </w:r>
      </w:hyperlink>
      <w:r w:rsidRPr="000C0842">
        <w:rPr>
          <w:rFonts w:eastAsia="SimSun"/>
          <w:sz w:val="24"/>
          <w:szCs w:val="24"/>
          <w:lang w:val="zh-CN"/>
        </w:rPr>
        <w:t xml:space="preserve"> </w:t>
      </w:r>
      <w:r w:rsidRPr="000C0842">
        <w:rPr>
          <w:rFonts w:eastAsia="SimSun"/>
          <w:sz w:val="24"/>
          <w:szCs w:val="24"/>
          <w:lang w:val="zh-CN"/>
        </w:rPr>
        <w:t>号决定，</w:t>
      </w:r>
    </w:p>
    <w:p w14:paraId="4263D72D" w14:textId="3DBE6D7D" w:rsidR="006D5DBD" w:rsidRPr="000C0842" w:rsidRDefault="00885CBC" w:rsidP="00885CBC">
      <w:pPr>
        <w:tabs>
          <w:tab w:val="clear" w:pos="567"/>
          <w:tab w:val="clear" w:pos="1134"/>
          <w:tab w:val="clear" w:pos="1701"/>
          <w:tab w:val="clear" w:pos="2268"/>
        </w:tabs>
        <w:topLinePunct/>
        <w:spacing w:before="120" w:after="120"/>
        <w:rPr>
          <w:rFonts w:eastAsia="SimSun"/>
          <w:sz w:val="24"/>
          <w:szCs w:val="24"/>
          <w:lang w:val="zh-CN"/>
        </w:rPr>
      </w:pPr>
      <w:r w:rsidRPr="000C0842">
        <w:rPr>
          <w:rFonts w:eastAsia="KaiTi"/>
          <w:sz w:val="24"/>
          <w:szCs w:val="24"/>
          <w:lang w:val="zh-CN"/>
        </w:rPr>
        <w:tab/>
      </w:r>
      <w:r w:rsidRPr="000C0842">
        <w:rPr>
          <w:rFonts w:eastAsia="KaiTi"/>
          <w:sz w:val="24"/>
          <w:szCs w:val="24"/>
          <w:lang w:val="zh-CN"/>
        </w:rPr>
        <w:tab/>
      </w:r>
      <w:r w:rsidR="006D5DBD" w:rsidRPr="000C0842">
        <w:rPr>
          <w:rFonts w:eastAsia="KaiTi"/>
          <w:sz w:val="24"/>
          <w:szCs w:val="24"/>
          <w:lang w:val="zh-CN"/>
        </w:rPr>
        <w:t>又回顾</w:t>
      </w:r>
      <w:r w:rsidR="006D5DBD" w:rsidRPr="000C0842">
        <w:rPr>
          <w:rFonts w:eastAsia="SimSun"/>
          <w:sz w:val="24"/>
          <w:szCs w:val="24"/>
          <w:lang w:val="zh-CN"/>
        </w:rPr>
        <w:t>《昆明</w:t>
      </w:r>
      <w:r w:rsidR="006D5DBD" w:rsidRPr="000C0842">
        <w:rPr>
          <w:rFonts w:eastAsia="SimSun"/>
          <w:sz w:val="24"/>
          <w:szCs w:val="24"/>
          <w:lang w:val="zh-CN"/>
        </w:rPr>
        <w:t>-</w:t>
      </w:r>
      <w:r w:rsidR="006D5DBD" w:rsidRPr="000C0842">
        <w:rPr>
          <w:rFonts w:eastAsia="SimSun"/>
          <w:sz w:val="24"/>
          <w:szCs w:val="24"/>
          <w:lang w:val="zh-CN"/>
        </w:rPr>
        <w:t>蒙特利尔全球生物多样性框架》</w:t>
      </w:r>
      <w:r w:rsidR="006D5DBD" w:rsidRPr="000C0842">
        <w:rPr>
          <w:rFonts w:eastAsia="SimSun"/>
          <w:sz w:val="24"/>
          <w:szCs w:val="24"/>
          <w:vertAlign w:val="superscript"/>
          <w:lang w:val="zh-CN"/>
        </w:rPr>
        <w:footnoteReference w:id="90"/>
      </w:r>
      <w:r w:rsidR="006D5DBD" w:rsidRPr="000C0842">
        <w:rPr>
          <w:rFonts w:eastAsia="SimSun"/>
          <w:sz w:val="24"/>
          <w:szCs w:val="24"/>
          <w:lang w:val="zh-CN"/>
        </w:rPr>
        <w:t>的行动目标</w:t>
      </w:r>
      <w:r w:rsidR="006D5DBD" w:rsidRPr="000C0842">
        <w:rPr>
          <w:rFonts w:eastAsia="SimSun"/>
          <w:sz w:val="24"/>
          <w:szCs w:val="24"/>
          <w:lang w:val="zh-CN"/>
        </w:rPr>
        <w:t xml:space="preserve"> 21 ,</w:t>
      </w:r>
    </w:p>
    <w:p w14:paraId="0B42B92F" w14:textId="77777777"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KaiTi"/>
          <w:sz w:val="24"/>
          <w:szCs w:val="24"/>
          <w:lang w:val="zh-CN"/>
        </w:rPr>
        <w:t>表示注意到</w:t>
      </w:r>
      <w:r w:rsidRPr="000C0842">
        <w:rPr>
          <w:rFonts w:eastAsia="SimSun"/>
          <w:sz w:val="24"/>
          <w:szCs w:val="24"/>
          <w:lang w:val="zh-CN"/>
        </w:rPr>
        <w:t>2024</w:t>
      </w:r>
      <w:r w:rsidRPr="000C0842">
        <w:rPr>
          <w:rFonts w:eastAsia="SimSun"/>
          <w:sz w:val="24"/>
          <w:szCs w:val="24"/>
          <w:lang w:val="zh-CN"/>
        </w:rPr>
        <w:t>年</w:t>
      </w:r>
      <w:r w:rsidRPr="000C0842">
        <w:rPr>
          <w:rFonts w:eastAsia="SimSun"/>
          <w:sz w:val="24"/>
          <w:szCs w:val="24"/>
          <w:lang w:val="zh-CN"/>
        </w:rPr>
        <w:t>11</w:t>
      </w:r>
      <w:r w:rsidRPr="000C0842">
        <w:rPr>
          <w:rFonts w:eastAsia="SimSun"/>
          <w:sz w:val="24"/>
          <w:szCs w:val="24"/>
          <w:lang w:val="zh-CN"/>
        </w:rPr>
        <w:t>月</w:t>
      </w:r>
      <w:r w:rsidRPr="000C0842">
        <w:rPr>
          <w:rFonts w:eastAsia="SimSun"/>
          <w:sz w:val="24"/>
          <w:szCs w:val="24"/>
          <w:lang w:val="zh-CN"/>
        </w:rPr>
        <w:t>1</w:t>
      </w:r>
      <w:r w:rsidRPr="000C0842">
        <w:rPr>
          <w:rFonts w:eastAsia="SimSun"/>
          <w:sz w:val="24"/>
          <w:szCs w:val="24"/>
          <w:lang w:val="zh-CN"/>
        </w:rPr>
        <w:t>日第</w:t>
      </w:r>
      <w:r w:rsidRPr="000C0842">
        <w:rPr>
          <w:rFonts w:eastAsia="SimSun"/>
          <w:sz w:val="24"/>
          <w:szCs w:val="24"/>
          <w:lang w:val="zh-CN"/>
        </w:rPr>
        <w:t>16/9</w:t>
      </w:r>
      <w:r w:rsidRPr="000C0842">
        <w:rPr>
          <w:rFonts w:eastAsia="SimSun" w:hint="eastAsia"/>
          <w:sz w:val="24"/>
          <w:szCs w:val="24"/>
          <w:lang w:val="zh-CN"/>
        </w:rPr>
        <w:t xml:space="preserve"> </w:t>
      </w:r>
      <w:r w:rsidRPr="000C0842">
        <w:rPr>
          <w:rFonts w:eastAsia="SimSun"/>
          <w:sz w:val="24"/>
          <w:szCs w:val="24"/>
          <w:lang w:val="zh-CN"/>
        </w:rPr>
        <w:t>A</w:t>
      </w:r>
      <w:r w:rsidRPr="000C0842">
        <w:rPr>
          <w:rFonts w:eastAsia="SimSun"/>
          <w:sz w:val="24"/>
          <w:szCs w:val="24"/>
          <w:lang w:val="zh-CN"/>
        </w:rPr>
        <w:t>号决定附件所载信息交换所机制工作方案（</w:t>
      </w:r>
      <w:r w:rsidRPr="000C0842">
        <w:rPr>
          <w:rFonts w:eastAsia="SimSun"/>
          <w:sz w:val="24"/>
          <w:szCs w:val="24"/>
          <w:lang w:val="zh-CN"/>
        </w:rPr>
        <w:t xml:space="preserve">2024-2030 </w:t>
      </w:r>
      <w:r w:rsidRPr="000C0842">
        <w:rPr>
          <w:rFonts w:eastAsia="SimSun"/>
          <w:sz w:val="24"/>
          <w:szCs w:val="24"/>
          <w:lang w:val="zh-CN"/>
        </w:rPr>
        <w:t>年）、科技合作机制、支持执行《昆蒙框架》</w:t>
      </w:r>
      <w:r w:rsidRPr="000C0842">
        <w:rPr>
          <w:rFonts w:eastAsia="SimSun"/>
          <w:sz w:val="24"/>
          <w:szCs w:val="24"/>
          <w:vertAlign w:val="superscript"/>
          <w:lang w:val="en-GB"/>
        </w:rPr>
        <w:footnoteReference w:id="91"/>
      </w:r>
      <w:r w:rsidRPr="000C0842">
        <w:rPr>
          <w:rFonts w:eastAsia="SimSun"/>
          <w:sz w:val="24"/>
          <w:szCs w:val="24"/>
          <w:lang w:val="zh-CN"/>
        </w:rPr>
        <w:t>的传播战略以及加强多层面规划、监测、报告和审查的方法</w:t>
      </w:r>
      <w:r w:rsidRPr="000C0842">
        <w:rPr>
          <w:rFonts w:eastAsia="SimSun"/>
          <w:sz w:val="24"/>
          <w:szCs w:val="24"/>
          <w:vertAlign w:val="superscript"/>
          <w:lang w:val="zh-CN"/>
        </w:rPr>
        <w:footnoteReference w:id="92"/>
      </w:r>
      <w:r w:rsidRPr="000C0842">
        <w:rPr>
          <w:rFonts w:eastAsia="SimSun"/>
          <w:sz w:val="24"/>
          <w:szCs w:val="24"/>
          <w:lang w:val="zh-CN"/>
        </w:rPr>
        <w:t>,</w:t>
      </w:r>
    </w:p>
    <w:p w14:paraId="19C6FFC4" w14:textId="77777777"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KaiTi"/>
          <w:sz w:val="24"/>
          <w:szCs w:val="24"/>
          <w:lang w:val="zh-CN"/>
        </w:rPr>
        <w:t>强调</w:t>
      </w:r>
      <w:r w:rsidRPr="000C0842">
        <w:rPr>
          <w:rFonts w:eastAsia="SimSun"/>
          <w:sz w:val="24"/>
          <w:szCs w:val="24"/>
          <w:lang w:val="zh-CN"/>
        </w:rPr>
        <w:t>确保简便和及时地获取高质量数据、信息和知识以支持《昆蒙框架》的执行至关重要，</w:t>
      </w:r>
    </w:p>
    <w:p w14:paraId="024EC4D2" w14:textId="488F05C8"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KaiTi"/>
          <w:sz w:val="24"/>
          <w:szCs w:val="24"/>
          <w:lang w:val="zh-CN"/>
        </w:rPr>
        <w:t>强调</w:t>
      </w:r>
      <w:r w:rsidRPr="000C0842">
        <w:rPr>
          <w:rFonts w:eastAsia="SimSun"/>
          <w:sz w:val="24"/>
          <w:szCs w:val="24"/>
          <w:lang w:val="zh-CN"/>
        </w:rPr>
        <w:t>生成、收集、组织和共享生物多样性相关数据的能力参差不齐，特别是发展中国家缔约方，</w:t>
      </w:r>
      <w:r w:rsidRPr="000C0842">
        <w:rPr>
          <w:rFonts w:eastAsia="SimSun"/>
          <w:sz w:val="24"/>
          <w:szCs w:val="24"/>
          <w:lang w:val="en-GB"/>
        </w:rPr>
        <w:t>尤其是其中的最不发达国家和小岛屿发展中国家，</w:t>
      </w:r>
      <w:r w:rsidRPr="000C0842">
        <w:rPr>
          <w:rFonts w:eastAsia="SimSun"/>
          <w:sz w:val="24"/>
          <w:szCs w:val="24"/>
          <w:lang w:val="zh-CN"/>
        </w:rPr>
        <w:t>需要通过能力建设和发展、科技合作以及获取和转让技术，获得更多的国际支持，以加强国家信息和监测系统，</w:t>
      </w:r>
    </w:p>
    <w:p w14:paraId="22E14BC3" w14:textId="77777777"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KaiTi"/>
          <w:sz w:val="24"/>
          <w:szCs w:val="24"/>
          <w:lang w:val="zh-CN"/>
        </w:rPr>
        <w:t>认识到</w:t>
      </w:r>
      <w:r w:rsidRPr="000C0842">
        <w:rPr>
          <w:rFonts w:eastAsia="SimSun"/>
          <w:sz w:val="24"/>
          <w:szCs w:val="24"/>
          <w:lang w:val="zh-CN"/>
        </w:rPr>
        <w:t>知识管理活动应符合并支持数据主权，而数据主权须</w:t>
      </w:r>
      <w:r w:rsidRPr="000C0842">
        <w:rPr>
          <w:rFonts w:eastAsia="SimSun" w:hint="eastAsia"/>
          <w:sz w:val="24"/>
          <w:szCs w:val="24"/>
          <w:lang w:val="zh-CN"/>
        </w:rPr>
        <w:t>以</w:t>
      </w:r>
      <w:r w:rsidRPr="000C0842">
        <w:rPr>
          <w:rFonts w:eastAsia="SimSun"/>
          <w:sz w:val="24"/>
          <w:szCs w:val="24"/>
          <w:lang w:val="zh-CN"/>
        </w:rPr>
        <w:t>有关数据共享的国家政策和法律以及国际法规</w:t>
      </w:r>
      <w:r w:rsidRPr="000C0842">
        <w:rPr>
          <w:rFonts w:eastAsia="SimSun" w:hint="eastAsia"/>
          <w:sz w:val="24"/>
          <w:szCs w:val="24"/>
          <w:lang w:val="zh-CN"/>
        </w:rPr>
        <w:t>为限</w:t>
      </w:r>
      <w:r w:rsidRPr="000C0842">
        <w:rPr>
          <w:rFonts w:eastAsia="SimSun"/>
          <w:sz w:val="24"/>
          <w:szCs w:val="24"/>
          <w:lang w:val="zh-CN"/>
        </w:rPr>
        <w:t>，</w:t>
      </w:r>
      <w:r w:rsidRPr="000C0842">
        <w:rPr>
          <w:rFonts w:eastAsia="SimSun"/>
          <w:sz w:val="24"/>
          <w:szCs w:val="24"/>
          <w:lang w:val="zh-CN"/>
        </w:rPr>
        <w:t xml:space="preserve"> </w:t>
      </w:r>
    </w:p>
    <w:p w14:paraId="38243668"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1.</w:t>
      </w:r>
      <w:r w:rsidRPr="000C0842">
        <w:rPr>
          <w:rFonts w:eastAsia="SimSun"/>
          <w:sz w:val="24"/>
          <w:szCs w:val="24"/>
          <w:lang w:val="zh-CN"/>
        </w:rPr>
        <w:tab/>
      </w:r>
      <w:r w:rsidRPr="000C0842">
        <w:rPr>
          <w:rFonts w:eastAsia="KaiTi"/>
          <w:sz w:val="24"/>
          <w:szCs w:val="24"/>
          <w:lang w:val="zh-CN"/>
        </w:rPr>
        <w:t>通过</w:t>
      </w:r>
      <w:r w:rsidRPr="000C0842">
        <w:rPr>
          <w:rFonts w:eastAsia="SimSun"/>
          <w:sz w:val="24"/>
          <w:szCs w:val="24"/>
          <w:lang w:val="zh-CN"/>
        </w:rPr>
        <w:t>本决定附件所载支持《昆明</w:t>
      </w:r>
      <w:r w:rsidRPr="000C0842">
        <w:rPr>
          <w:rFonts w:eastAsia="SimSun"/>
          <w:sz w:val="24"/>
          <w:szCs w:val="24"/>
          <w:lang w:val="zh-CN"/>
        </w:rPr>
        <w:t>-</w:t>
      </w:r>
      <w:r w:rsidRPr="000C0842">
        <w:rPr>
          <w:rFonts w:eastAsia="SimSun"/>
          <w:sz w:val="24"/>
          <w:szCs w:val="24"/>
          <w:lang w:val="zh-CN"/>
        </w:rPr>
        <w:t>蒙特利尔全球生物多样性框架》执行</w:t>
      </w:r>
      <w:r w:rsidRPr="000C0842">
        <w:rPr>
          <w:rFonts w:eastAsia="SimSun" w:hint="eastAsia"/>
          <w:sz w:val="24"/>
          <w:szCs w:val="24"/>
          <w:lang w:val="zh-CN"/>
        </w:rPr>
        <w:t>的</w:t>
      </w:r>
      <w:r w:rsidRPr="000C0842">
        <w:rPr>
          <w:rFonts w:eastAsia="SimSun"/>
          <w:sz w:val="24"/>
          <w:szCs w:val="24"/>
          <w:lang w:val="zh-CN"/>
        </w:rPr>
        <w:t>知识管理战略；</w:t>
      </w:r>
      <w:r w:rsidRPr="000C0842" w:rsidDel="00544CD2">
        <w:rPr>
          <w:rFonts w:eastAsia="SimSun"/>
          <w:sz w:val="24"/>
          <w:szCs w:val="24"/>
          <w:vertAlign w:val="superscript"/>
          <w:lang w:val="zh-CN"/>
        </w:rPr>
        <w:t xml:space="preserve"> </w:t>
      </w:r>
    </w:p>
    <w:p w14:paraId="604817F5" w14:textId="52322082"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2.</w:t>
      </w:r>
      <w:r w:rsidRPr="000C0842">
        <w:rPr>
          <w:rFonts w:eastAsia="SimSun"/>
          <w:sz w:val="24"/>
          <w:szCs w:val="24"/>
          <w:lang w:val="zh-CN"/>
        </w:rPr>
        <w:tab/>
      </w:r>
      <w:r w:rsidRPr="000C0842">
        <w:rPr>
          <w:rFonts w:eastAsia="KaiTi"/>
          <w:sz w:val="24"/>
          <w:szCs w:val="24"/>
          <w:lang w:val="zh-CN"/>
        </w:rPr>
        <w:t>确认</w:t>
      </w:r>
      <w:r w:rsidRPr="000C0842">
        <w:rPr>
          <w:rFonts w:eastAsia="SimSun"/>
          <w:sz w:val="24"/>
          <w:szCs w:val="24"/>
          <w:lang w:val="zh-CN"/>
        </w:rPr>
        <w:t>知识管理战略中任何内容都不应理解为修改缔约方在《生物多样性公约》</w:t>
      </w:r>
      <w:r w:rsidRPr="000C0842">
        <w:rPr>
          <w:rFonts w:eastAsia="SimSun"/>
          <w:sz w:val="24"/>
          <w:szCs w:val="24"/>
          <w:lang w:val="zh-CN"/>
        </w:rPr>
        <w:t xml:space="preserve"> </w:t>
      </w:r>
      <w:r w:rsidRPr="000C0842">
        <w:rPr>
          <w:rFonts w:eastAsia="SimSun"/>
          <w:sz w:val="24"/>
          <w:szCs w:val="24"/>
          <w:vertAlign w:val="superscript"/>
          <w:lang w:val="zh-CN"/>
        </w:rPr>
        <w:footnoteReference w:id="93"/>
      </w:r>
      <w:r w:rsidRPr="000C0842">
        <w:rPr>
          <w:rFonts w:eastAsia="SimSun"/>
          <w:sz w:val="24"/>
          <w:szCs w:val="24"/>
          <w:lang w:val="zh-CN"/>
        </w:rPr>
        <w:t>或任何其他国际协定下的权利和义务；</w:t>
      </w:r>
    </w:p>
    <w:p w14:paraId="48CC0C96"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3.</w:t>
      </w:r>
      <w:r w:rsidRPr="000C0842">
        <w:rPr>
          <w:rFonts w:eastAsia="SimSun"/>
          <w:sz w:val="24"/>
          <w:szCs w:val="24"/>
          <w:lang w:val="zh-CN"/>
        </w:rPr>
        <w:tab/>
      </w:r>
      <w:r w:rsidRPr="000C0842">
        <w:rPr>
          <w:rFonts w:eastAsia="KaiTi"/>
          <w:sz w:val="24"/>
          <w:szCs w:val="24"/>
          <w:lang w:val="zh-CN"/>
        </w:rPr>
        <w:t>邀请</w:t>
      </w:r>
      <w:r w:rsidRPr="000C0842">
        <w:rPr>
          <w:rFonts w:eastAsia="SimSun"/>
          <w:sz w:val="24"/>
          <w:szCs w:val="24"/>
          <w:lang w:val="en-GB"/>
        </w:rPr>
        <w:t>缔约方加强</w:t>
      </w:r>
      <w:r w:rsidRPr="000C0842">
        <w:rPr>
          <w:rFonts w:eastAsia="SimSun"/>
          <w:sz w:val="24"/>
          <w:szCs w:val="24"/>
          <w:lang w:val="zh-CN"/>
        </w:rPr>
        <w:t>能力建设和发展、科技合作、获取和转让技术，这些问题对于确保执行知识管理战略至关重要，包括为此开展南北合作、南南合作和三边合作；</w:t>
      </w:r>
    </w:p>
    <w:p w14:paraId="570BB6A0" w14:textId="57AE5B6D"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4.</w:t>
      </w:r>
      <w:r w:rsidRPr="000C0842">
        <w:rPr>
          <w:rFonts w:eastAsia="SimSun"/>
          <w:sz w:val="24"/>
          <w:szCs w:val="24"/>
          <w:lang w:val="zh-CN"/>
        </w:rPr>
        <w:tab/>
      </w:r>
      <w:r w:rsidRPr="000C0842">
        <w:rPr>
          <w:rFonts w:eastAsia="KaiTi"/>
          <w:sz w:val="24"/>
          <w:szCs w:val="24"/>
          <w:lang w:val="zh-CN"/>
        </w:rPr>
        <w:t>表示注意到</w:t>
      </w:r>
      <w:hyperlink r:id="rId60" w:history="1">
        <w:r w:rsidRPr="000C0842">
          <w:rPr>
            <w:rStyle w:val="Hyperlink"/>
            <w:rFonts w:eastAsia="SimSun"/>
            <w:color w:val="auto"/>
            <w:sz w:val="24"/>
            <w:szCs w:val="24"/>
            <w:lang w:val="zh-CN"/>
          </w:rPr>
          <w:t>CBD/SBI/4/INF/9</w:t>
        </w:r>
      </w:hyperlink>
      <w:r w:rsidRPr="000C0842">
        <w:rPr>
          <w:rFonts w:eastAsia="SimSun"/>
          <w:sz w:val="24"/>
          <w:szCs w:val="24"/>
          <w:lang w:val="zh-CN"/>
        </w:rPr>
        <w:t>号文件所载支持执行《昆蒙框架》的知识管理战略</w:t>
      </w:r>
      <w:r w:rsidRPr="000C0842">
        <w:rPr>
          <w:rFonts w:eastAsia="SimSun"/>
          <w:sz w:val="24"/>
          <w:szCs w:val="24"/>
          <w:lang w:val="zh-CN"/>
        </w:rPr>
        <w:t>2025-2030</w:t>
      </w:r>
      <w:r w:rsidRPr="000C0842">
        <w:rPr>
          <w:rFonts w:eastAsia="SimSun"/>
          <w:sz w:val="24"/>
          <w:szCs w:val="24"/>
          <w:lang w:val="zh-CN"/>
        </w:rPr>
        <w:t>年指示性工作计划；</w:t>
      </w:r>
    </w:p>
    <w:p w14:paraId="7769F3AF" w14:textId="77777777"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5.</w:t>
      </w:r>
      <w:r w:rsidRPr="000C0842">
        <w:rPr>
          <w:rFonts w:eastAsia="SimSun" w:hint="eastAsia"/>
          <w:sz w:val="24"/>
          <w:szCs w:val="24"/>
          <w:lang w:val="zh-CN"/>
        </w:rPr>
        <w:t xml:space="preserve">  </w:t>
      </w:r>
      <w:r w:rsidRPr="000C0842">
        <w:rPr>
          <w:rFonts w:eastAsia="SimSun"/>
          <w:sz w:val="24"/>
          <w:szCs w:val="24"/>
          <w:lang w:val="zh-CN"/>
        </w:rPr>
        <w:tab/>
      </w:r>
      <w:r w:rsidRPr="000C0842">
        <w:rPr>
          <w:rFonts w:eastAsia="SimSun" w:hint="eastAsia"/>
          <w:sz w:val="24"/>
          <w:szCs w:val="24"/>
          <w:lang w:val="zh-CN"/>
        </w:rPr>
        <w:t xml:space="preserve">   </w:t>
      </w:r>
      <w:r w:rsidRPr="000C0842">
        <w:rPr>
          <w:rFonts w:eastAsia="KaiTi"/>
          <w:sz w:val="24"/>
          <w:szCs w:val="24"/>
          <w:lang w:val="zh-CN"/>
        </w:rPr>
        <w:t>邀</w:t>
      </w:r>
      <w:r w:rsidRPr="000C0842">
        <w:rPr>
          <w:rFonts w:eastAsia="SimSun"/>
          <w:sz w:val="24"/>
          <w:szCs w:val="24"/>
          <w:lang w:val="zh-CN"/>
        </w:rPr>
        <w:t>请缔约方、其他国家政府、</w:t>
      </w:r>
      <w:r w:rsidRPr="000C0842">
        <w:rPr>
          <w:rFonts w:eastAsia="SimSun"/>
          <w:sz w:val="24"/>
          <w:szCs w:val="24"/>
          <w:lang w:val="en-GB"/>
        </w:rPr>
        <w:t>土著人民和地方社区、科学和学术机构、妇女和青年代表、私营部门、其他相关利益攸关方和相关组织，在土著人民和地方社区以及妇女和青年代表的有效参与下，</w:t>
      </w:r>
      <w:r w:rsidRPr="000C0842">
        <w:rPr>
          <w:rFonts w:eastAsia="SimSun"/>
          <w:sz w:val="24"/>
          <w:szCs w:val="24"/>
          <w:lang w:val="zh-CN"/>
        </w:rPr>
        <w:t>实施知识管理战略；</w:t>
      </w:r>
      <w:r w:rsidRPr="000C0842">
        <w:rPr>
          <w:rFonts w:eastAsia="SimSun"/>
          <w:sz w:val="24"/>
          <w:szCs w:val="24"/>
          <w:lang w:val="zh-CN"/>
        </w:rPr>
        <w:t xml:space="preserve"> </w:t>
      </w:r>
    </w:p>
    <w:p w14:paraId="36B67F6E"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6.</w:t>
      </w:r>
      <w:r w:rsidRPr="000C0842">
        <w:rPr>
          <w:rFonts w:eastAsia="SimSun"/>
          <w:sz w:val="24"/>
          <w:szCs w:val="24"/>
          <w:lang w:val="zh-CN"/>
        </w:rPr>
        <w:tab/>
      </w:r>
      <w:r w:rsidRPr="000C0842">
        <w:rPr>
          <w:rFonts w:eastAsia="KaiTi"/>
          <w:sz w:val="24"/>
          <w:szCs w:val="24"/>
          <w:lang w:val="zh-CN"/>
        </w:rPr>
        <w:t>敦促</w:t>
      </w:r>
      <w:r w:rsidRPr="000C0842">
        <w:rPr>
          <w:rFonts w:eastAsia="SimSun"/>
          <w:sz w:val="24"/>
          <w:szCs w:val="24"/>
          <w:lang w:val="en-GB"/>
        </w:rPr>
        <w:t>发达国家缔约方根据《公约》第</w:t>
      </w:r>
      <w:r w:rsidRPr="000C0842">
        <w:rPr>
          <w:rFonts w:eastAsia="SimSun"/>
          <w:sz w:val="24"/>
          <w:szCs w:val="24"/>
          <w:lang w:val="en-GB"/>
        </w:rPr>
        <w:t>20</w:t>
      </w:r>
      <w:r w:rsidRPr="000C0842">
        <w:rPr>
          <w:rFonts w:eastAsia="SimSun"/>
          <w:sz w:val="24"/>
          <w:szCs w:val="24"/>
          <w:lang w:val="en-GB"/>
        </w:rPr>
        <w:t>条和第</w:t>
      </w:r>
      <w:r w:rsidRPr="000C0842">
        <w:rPr>
          <w:rFonts w:eastAsia="SimSun"/>
          <w:sz w:val="24"/>
          <w:szCs w:val="24"/>
          <w:lang w:val="en-GB"/>
        </w:rPr>
        <w:t>21</w:t>
      </w:r>
      <w:r w:rsidRPr="000C0842">
        <w:rPr>
          <w:rFonts w:eastAsia="SimSun"/>
          <w:sz w:val="24"/>
          <w:szCs w:val="24"/>
          <w:lang w:val="en-GB"/>
        </w:rPr>
        <w:t>条，并邀请</w:t>
      </w:r>
      <w:r w:rsidRPr="000C0842">
        <w:rPr>
          <w:rFonts w:eastAsia="SimSun" w:hint="eastAsia"/>
          <w:sz w:val="24"/>
          <w:szCs w:val="24"/>
          <w:lang w:val="en-GB"/>
        </w:rPr>
        <w:t>其他国家</w:t>
      </w:r>
      <w:r w:rsidRPr="000C0842">
        <w:rPr>
          <w:rFonts w:eastAsia="SimSun"/>
          <w:sz w:val="24"/>
          <w:szCs w:val="24"/>
          <w:lang w:val="en-GB"/>
        </w:rPr>
        <w:t>政府</w:t>
      </w:r>
      <w:r w:rsidRPr="000C0842">
        <w:rPr>
          <w:rFonts w:eastAsia="SimSun"/>
          <w:sz w:val="24"/>
          <w:szCs w:val="24"/>
          <w:lang w:val="zh-CN"/>
        </w:rPr>
        <w:t>和相关组织</w:t>
      </w:r>
      <w:r w:rsidRPr="000C0842">
        <w:rPr>
          <w:rFonts w:eastAsia="SimSun" w:hint="eastAsia"/>
          <w:sz w:val="24"/>
          <w:szCs w:val="24"/>
          <w:lang w:val="zh-CN"/>
        </w:rPr>
        <w:t>为</w:t>
      </w:r>
      <w:r w:rsidRPr="000C0842">
        <w:rPr>
          <w:rFonts w:eastAsia="SimSun"/>
          <w:sz w:val="24"/>
          <w:szCs w:val="24"/>
          <w:lang w:val="zh-CN"/>
        </w:rPr>
        <w:t>生物多样性能力建设和发展活动提供财政和技术支持，同时考虑到发展中国家缔约方</w:t>
      </w:r>
      <w:r w:rsidRPr="000C0842">
        <w:rPr>
          <w:rFonts w:eastAsia="SimSun"/>
          <w:sz w:val="24"/>
          <w:szCs w:val="24"/>
          <w:lang w:val="en-GB"/>
        </w:rPr>
        <w:t>特别是其中最不发达国家和小岛屿发展中国家</w:t>
      </w:r>
      <w:r w:rsidRPr="000C0842">
        <w:rPr>
          <w:rFonts w:eastAsia="SimSun"/>
          <w:sz w:val="24"/>
          <w:szCs w:val="24"/>
          <w:lang w:val="zh-CN"/>
        </w:rPr>
        <w:t>以及经济转型国家缔约方的具体情况，以便实施知识管理战略；</w:t>
      </w:r>
      <w:r w:rsidRPr="000C0842">
        <w:rPr>
          <w:rFonts w:eastAsia="SimSun"/>
          <w:sz w:val="24"/>
          <w:szCs w:val="24"/>
          <w:lang w:val="zh-CN"/>
        </w:rPr>
        <w:t xml:space="preserve"> </w:t>
      </w:r>
    </w:p>
    <w:p w14:paraId="1243665F" w14:textId="77777777" w:rsidR="006D5DBD" w:rsidRPr="000C0842" w:rsidRDefault="006D5DBD" w:rsidP="00885CBC">
      <w:pPr>
        <w:tabs>
          <w:tab w:val="clear" w:pos="567"/>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7.</w:t>
      </w:r>
      <w:r w:rsidRPr="000C0842">
        <w:rPr>
          <w:rFonts w:eastAsia="SimSun"/>
          <w:sz w:val="24"/>
          <w:szCs w:val="24"/>
          <w:lang w:val="zh-CN"/>
        </w:rPr>
        <w:tab/>
      </w:r>
      <w:r w:rsidRPr="000C0842">
        <w:rPr>
          <w:rFonts w:eastAsia="KaiTi"/>
          <w:sz w:val="24"/>
          <w:szCs w:val="24"/>
          <w:lang w:val="zh-CN"/>
        </w:rPr>
        <w:t>邀请</w:t>
      </w:r>
      <w:r w:rsidRPr="000C0842">
        <w:rPr>
          <w:rFonts w:eastAsia="SimSun"/>
          <w:sz w:val="24"/>
          <w:szCs w:val="24"/>
          <w:lang w:val="zh-CN"/>
        </w:rPr>
        <w:t>全球环境基金根据其任务规定，为国家驱动项目中的知识管理提供支持；</w:t>
      </w:r>
    </w:p>
    <w:p w14:paraId="3EBB01F6"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en-GB"/>
        </w:rPr>
      </w:pPr>
      <w:r w:rsidRPr="000C0842">
        <w:rPr>
          <w:rFonts w:eastAsia="SimSun"/>
          <w:sz w:val="24"/>
          <w:szCs w:val="24"/>
          <w:lang w:val="zh-CN"/>
        </w:rPr>
        <w:t>8.</w:t>
      </w:r>
      <w:r w:rsidRPr="000C0842">
        <w:rPr>
          <w:rFonts w:eastAsia="SimSun"/>
          <w:sz w:val="24"/>
          <w:szCs w:val="24"/>
          <w:lang w:val="zh-CN"/>
        </w:rPr>
        <w:tab/>
      </w:r>
      <w:r w:rsidRPr="000C0842">
        <w:rPr>
          <w:rFonts w:eastAsia="KaiTi"/>
          <w:sz w:val="24"/>
          <w:szCs w:val="24"/>
          <w:lang w:val="zh-CN"/>
        </w:rPr>
        <w:t>邀请</w:t>
      </w:r>
      <w:r w:rsidRPr="000C0842">
        <w:rPr>
          <w:rFonts w:eastAsia="SimSun"/>
          <w:sz w:val="24"/>
          <w:szCs w:val="24"/>
          <w:lang w:val="zh-CN"/>
        </w:rPr>
        <w:t>区域和次区域科技合作支助中心以及科技合作机制全球协调实体与秘书处、相关组织、土著人民和地方社区</w:t>
      </w:r>
      <w:r w:rsidRPr="000C0842">
        <w:rPr>
          <w:rFonts w:eastAsia="SimSun"/>
          <w:sz w:val="24"/>
          <w:szCs w:val="24"/>
          <w:lang w:val="en-GB"/>
        </w:rPr>
        <w:t>、妇女</w:t>
      </w:r>
      <w:r w:rsidRPr="000C0842">
        <w:rPr>
          <w:rFonts w:eastAsia="SimSun"/>
          <w:sz w:val="24"/>
          <w:szCs w:val="24"/>
          <w:lang w:val="zh-CN"/>
        </w:rPr>
        <w:t>和青年代表及相关倡议合作，支持实施知识管理战略；</w:t>
      </w:r>
      <w:r w:rsidRPr="000C0842">
        <w:rPr>
          <w:rFonts w:eastAsia="SimSun"/>
          <w:sz w:val="24"/>
          <w:szCs w:val="24"/>
          <w:lang w:val="en-GB"/>
        </w:rPr>
        <w:t xml:space="preserve"> </w:t>
      </w:r>
    </w:p>
    <w:p w14:paraId="2746FDBB"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9.</w:t>
      </w:r>
      <w:r w:rsidRPr="000C0842">
        <w:rPr>
          <w:rFonts w:eastAsia="SimSun"/>
          <w:sz w:val="24"/>
          <w:szCs w:val="24"/>
          <w:lang w:val="zh-CN"/>
        </w:rPr>
        <w:tab/>
      </w:r>
      <w:r w:rsidRPr="000C0842">
        <w:rPr>
          <w:rFonts w:eastAsia="KaiTi"/>
          <w:sz w:val="24"/>
          <w:szCs w:val="24"/>
          <w:lang w:val="zh-CN"/>
        </w:rPr>
        <w:t>请</w:t>
      </w:r>
      <w:r w:rsidRPr="000C0842">
        <w:rPr>
          <w:rFonts w:eastAsia="SimSun"/>
          <w:sz w:val="24"/>
          <w:szCs w:val="24"/>
          <w:lang w:val="zh-CN"/>
        </w:rPr>
        <w:t>执行秘书在资源允许的情况下：</w:t>
      </w:r>
    </w:p>
    <w:p w14:paraId="6980ADB9"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(a)</w:t>
      </w:r>
      <w:r w:rsidRPr="000C0842">
        <w:rPr>
          <w:rFonts w:eastAsia="SimSun"/>
          <w:sz w:val="24"/>
          <w:szCs w:val="24"/>
          <w:lang w:val="zh-CN"/>
        </w:rPr>
        <w:tab/>
      </w:r>
      <w:r w:rsidRPr="000C0842">
        <w:rPr>
          <w:rFonts w:eastAsia="SimSun"/>
          <w:sz w:val="24"/>
          <w:szCs w:val="24"/>
          <w:lang w:val="zh-CN"/>
        </w:rPr>
        <w:t>在科技合作问题非正式咨询小组的指导下支持知识管理战略的实施；</w:t>
      </w:r>
    </w:p>
    <w:p w14:paraId="0895744B"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(b)</w:t>
      </w:r>
      <w:r w:rsidRPr="000C0842">
        <w:rPr>
          <w:rFonts w:eastAsia="SimSun"/>
          <w:sz w:val="24"/>
          <w:szCs w:val="24"/>
          <w:lang w:val="zh-CN"/>
        </w:rPr>
        <w:tab/>
      </w:r>
      <w:r w:rsidRPr="000C0842">
        <w:rPr>
          <w:rFonts w:eastAsia="SimSun"/>
          <w:sz w:val="24"/>
          <w:szCs w:val="24"/>
          <w:lang w:val="zh-CN"/>
        </w:rPr>
        <w:t>与区域和次区域支助中心以及其他相关倡议、组织、土著人民和地方社区</w:t>
      </w:r>
      <w:r w:rsidRPr="000C0842">
        <w:rPr>
          <w:rFonts w:eastAsia="SimSun"/>
          <w:sz w:val="24"/>
          <w:szCs w:val="24"/>
          <w:lang w:val="en-GB"/>
        </w:rPr>
        <w:t>、</w:t>
      </w:r>
      <w:r w:rsidRPr="000C0842">
        <w:rPr>
          <w:rFonts w:eastAsia="SimSun"/>
          <w:sz w:val="24"/>
          <w:szCs w:val="24"/>
          <w:lang w:val="zh-CN"/>
        </w:rPr>
        <w:t>妇女和青年组织合作，进一步实施生物多样性知识管理倡议，以加强缔约方、土著人民和地方社区、妇女和青年在知识管理方面的能力，包括促进组织培训课程、全球讲习班、网络研讨会和知识博览会，并推动建立和加强生物多样性网络和</w:t>
      </w:r>
      <w:r w:rsidRPr="000C0842">
        <w:rPr>
          <w:rFonts w:eastAsia="SimSun"/>
          <w:sz w:val="24"/>
          <w:szCs w:val="24"/>
        </w:rPr>
        <w:t>同业交流群</w:t>
      </w:r>
      <w:r w:rsidRPr="000C0842">
        <w:rPr>
          <w:rFonts w:eastAsia="SimSun"/>
          <w:sz w:val="24"/>
          <w:szCs w:val="24"/>
          <w:lang w:val="zh-CN"/>
        </w:rPr>
        <w:t>；</w:t>
      </w:r>
    </w:p>
    <w:p w14:paraId="689B0BCE"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(c)</w:t>
      </w:r>
      <w:r w:rsidRPr="000C0842">
        <w:rPr>
          <w:rFonts w:eastAsia="SimSun"/>
          <w:sz w:val="24"/>
          <w:szCs w:val="24"/>
          <w:lang w:val="zh-CN"/>
        </w:rPr>
        <w:tab/>
      </w:r>
      <w:r w:rsidRPr="000C0842">
        <w:rPr>
          <w:rFonts w:eastAsia="SimSun"/>
          <w:sz w:val="24"/>
          <w:szCs w:val="24"/>
          <w:lang w:val="zh-CN"/>
        </w:rPr>
        <w:t>在科技合作问题非正式咨询小组的指导下，通过信息交换所机制的中央门户网站，进一步制定与生物多样性有关的词汇、分类、本体和元数据标准，以改进与《昆蒙框架》的长期目标、行动目标和指标直接相关的生物多样性信息的分类、</w:t>
      </w:r>
      <w:r w:rsidRPr="000C0842">
        <w:rPr>
          <w:rFonts w:eastAsia="SimSun"/>
          <w:sz w:val="24"/>
          <w:szCs w:val="24"/>
          <w:lang w:val="zh-CN"/>
        </w:rPr>
        <w:t xml:space="preserve"> </w:t>
      </w:r>
      <w:r w:rsidRPr="000C0842">
        <w:rPr>
          <w:rFonts w:eastAsia="SimSun"/>
          <w:sz w:val="24"/>
          <w:szCs w:val="24"/>
          <w:lang w:val="zh-CN"/>
        </w:rPr>
        <w:t>标准化、搜索方便程度和检索</w:t>
      </w:r>
      <w:r w:rsidRPr="000C0842">
        <w:rPr>
          <w:rFonts w:eastAsia="SimSun"/>
          <w:sz w:val="24"/>
          <w:szCs w:val="24"/>
          <w:lang w:val="zh-CN"/>
        </w:rPr>
        <w:t>;</w:t>
      </w:r>
    </w:p>
    <w:p w14:paraId="1F20BE45" w14:textId="1AA04140"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sz w:val="24"/>
          <w:szCs w:val="24"/>
          <w:lang w:val="zh-CN"/>
        </w:rPr>
      </w:pPr>
      <w:r w:rsidRPr="000C0842">
        <w:rPr>
          <w:rFonts w:eastAsia="SimSun"/>
          <w:sz w:val="24"/>
          <w:szCs w:val="24"/>
          <w:lang w:val="zh-CN"/>
        </w:rPr>
        <w:t>(d)</w:t>
      </w:r>
      <w:r w:rsidRPr="000C0842">
        <w:rPr>
          <w:rFonts w:eastAsia="SimSun"/>
          <w:sz w:val="24"/>
          <w:szCs w:val="24"/>
          <w:lang w:val="zh-CN"/>
        </w:rPr>
        <w:tab/>
      </w:r>
      <w:r w:rsidRPr="000C0842">
        <w:rPr>
          <w:rFonts w:eastAsia="SimSun"/>
          <w:sz w:val="24"/>
          <w:szCs w:val="24"/>
          <w:lang w:val="zh-CN"/>
        </w:rPr>
        <w:t>利用《公约》信息交换所机制中央门户网站和议定书信息交换所目前界定的适当元数据标准和分类，</w:t>
      </w:r>
      <w:r w:rsidRPr="000C0842">
        <w:rPr>
          <w:rFonts w:eastAsia="SimSun" w:hint="eastAsia"/>
          <w:sz w:val="24"/>
          <w:szCs w:val="24"/>
          <w:lang w:val="zh-CN"/>
        </w:rPr>
        <w:t>对</w:t>
      </w:r>
      <w:r w:rsidRPr="000C0842">
        <w:rPr>
          <w:rFonts w:eastAsia="SimSun"/>
          <w:sz w:val="24"/>
          <w:szCs w:val="24"/>
          <w:lang w:val="zh-CN"/>
        </w:rPr>
        <w:t>行动目标和《昆蒙框架》其他要素的</w:t>
      </w:r>
      <w:r w:rsidRPr="000C0842">
        <w:rPr>
          <w:rFonts w:eastAsia="SimSun" w:hint="eastAsia"/>
          <w:sz w:val="24"/>
          <w:szCs w:val="24"/>
          <w:lang w:val="zh-CN"/>
        </w:rPr>
        <w:t>相关</w:t>
      </w:r>
      <w:r w:rsidRPr="000C0842">
        <w:rPr>
          <w:rFonts w:eastAsia="SimSun"/>
          <w:sz w:val="24"/>
          <w:szCs w:val="24"/>
          <w:lang w:val="zh-CN"/>
        </w:rPr>
        <w:t>现有信息</w:t>
      </w:r>
      <w:r w:rsidRPr="000C0842">
        <w:rPr>
          <w:rFonts w:eastAsia="SimSun" w:hint="eastAsia"/>
          <w:sz w:val="24"/>
          <w:szCs w:val="24"/>
          <w:lang w:val="zh-CN"/>
        </w:rPr>
        <w:t>进行</w:t>
      </w:r>
      <w:r w:rsidRPr="000C0842">
        <w:rPr>
          <w:rFonts w:eastAsia="SimSun"/>
          <w:sz w:val="24"/>
          <w:szCs w:val="24"/>
          <w:lang w:val="zh-CN"/>
        </w:rPr>
        <w:t>进一步分类，包括缔约方和观察员在</w:t>
      </w:r>
      <w:r w:rsidRPr="000C0842">
        <w:rPr>
          <w:rFonts w:eastAsia="SimSun"/>
          <w:sz w:val="24"/>
          <w:szCs w:val="24"/>
          <w:lang w:val="zh-CN"/>
        </w:rPr>
        <w:t xml:space="preserve"> </w:t>
      </w:r>
      <w:hyperlink r:id="rId61" w:history="1">
        <w:r w:rsidRPr="000C0842">
          <w:rPr>
            <w:rStyle w:val="Hyperlink"/>
            <w:rFonts w:eastAsia="SimSun"/>
            <w:color w:val="auto"/>
            <w:sz w:val="24"/>
            <w:szCs w:val="24"/>
            <w:lang w:val="zh-CN"/>
          </w:rPr>
          <w:t>CBD/SBSTTA/26/INF/15</w:t>
        </w:r>
      </w:hyperlink>
      <w:r w:rsidRPr="000C0842">
        <w:rPr>
          <w:rFonts w:eastAsia="SimSun"/>
          <w:sz w:val="24"/>
          <w:szCs w:val="24"/>
          <w:lang w:val="zh-CN"/>
        </w:rPr>
        <w:t xml:space="preserve"> </w:t>
      </w:r>
      <w:r w:rsidRPr="000C0842">
        <w:rPr>
          <w:rFonts w:eastAsia="SimSun"/>
          <w:sz w:val="24"/>
          <w:szCs w:val="24"/>
          <w:lang w:val="zh-CN"/>
        </w:rPr>
        <w:t>和</w:t>
      </w:r>
      <w:r w:rsidRPr="000C0842">
        <w:rPr>
          <w:rFonts w:eastAsia="SimSun"/>
          <w:sz w:val="24"/>
          <w:szCs w:val="24"/>
          <w:lang w:val="zh-CN"/>
        </w:rPr>
        <w:t xml:space="preserve"> </w:t>
      </w:r>
      <w:hyperlink r:id="rId62" w:history="1">
        <w:r w:rsidRPr="000C0842">
          <w:rPr>
            <w:rStyle w:val="Hyperlink"/>
            <w:rFonts w:eastAsia="SimSun"/>
            <w:color w:val="auto"/>
            <w:sz w:val="24"/>
            <w:szCs w:val="24"/>
            <w:lang w:val="zh-CN"/>
          </w:rPr>
          <w:t>CBD/SBSTTA/26/INF/16</w:t>
        </w:r>
        <w:r w:rsidRPr="000C0842">
          <w:rPr>
            <w:rStyle w:val="Hyperlink"/>
            <w:rFonts w:eastAsia="SimSun"/>
            <w:color w:val="auto"/>
            <w:sz w:val="24"/>
            <w:szCs w:val="24"/>
          </w:rPr>
          <w:t>/Rev.1</w:t>
        </w:r>
      </w:hyperlink>
      <w:r w:rsidRPr="000C0842">
        <w:rPr>
          <w:rFonts w:eastAsia="SimSun"/>
          <w:sz w:val="24"/>
          <w:szCs w:val="24"/>
          <w:lang w:val="zh-CN"/>
        </w:rPr>
        <w:t xml:space="preserve"> </w:t>
      </w:r>
      <w:r w:rsidRPr="000C0842">
        <w:rPr>
          <w:rFonts w:eastAsia="SimSun"/>
          <w:sz w:val="24"/>
          <w:szCs w:val="24"/>
          <w:lang w:val="zh-CN"/>
        </w:rPr>
        <w:t>号文件中提交的指南和工具、最佳做法和经验教训；</w:t>
      </w:r>
    </w:p>
    <w:p w14:paraId="46302E24" w14:textId="77777777" w:rsidR="006D5DBD" w:rsidRPr="000C0842" w:rsidRDefault="006D5DBD" w:rsidP="00885CBC">
      <w:pPr>
        <w:tabs>
          <w:tab w:val="clear" w:pos="567"/>
          <w:tab w:val="clear" w:pos="1134"/>
          <w:tab w:val="clear" w:pos="1701"/>
          <w:tab w:val="clear" w:pos="2268"/>
        </w:tabs>
        <w:topLinePunct/>
        <w:spacing w:before="120" w:after="120"/>
        <w:ind w:left="490" w:firstLine="490"/>
        <w:rPr>
          <w:rFonts w:eastAsia="SimSun"/>
          <w:b/>
          <w:sz w:val="28"/>
          <w:szCs w:val="28"/>
          <w:lang w:val="en-GB"/>
        </w:rPr>
      </w:pPr>
      <w:r w:rsidRPr="000C0842">
        <w:rPr>
          <w:rFonts w:eastAsia="SimSun"/>
          <w:sz w:val="24"/>
          <w:szCs w:val="24"/>
          <w:lang w:val="zh-CN"/>
        </w:rPr>
        <w:t>(e)</w:t>
      </w:r>
      <w:r w:rsidRPr="000C0842">
        <w:rPr>
          <w:rFonts w:eastAsia="SimSun"/>
          <w:sz w:val="24"/>
          <w:szCs w:val="24"/>
          <w:lang w:val="zh-CN"/>
        </w:rPr>
        <w:tab/>
      </w:r>
      <w:r w:rsidRPr="000C0842">
        <w:rPr>
          <w:rFonts w:eastAsia="SimSun"/>
          <w:sz w:val="24"/>
          <w:szCs w:val="24"/>
          <w:lang w:val="zh-CN"/>
        </w:rPr>
        <w:t>提交一份关于上述活动执行情况的报告，供执行问题附属机构第六次</w:t>
      </w:r>
      <w:r w:rsidRPr="000C0842">
        <w:rPr>
          <w:rFonts w:eastAsia="SimSun"/>
          <w:sz w:val="24"/>
          <w:szCs w:val="24"/>
          <w:lang w:val="zh-CN"/>
        </w:rPr>
        <w:t xml:space="preserve">                  </w:t>
      </w:r>
      <w:r w:rsidRPr="000C0842">
        <w:rPr>
          <w:rFonts w:eastAsia="SimSun"/>
          <w:sz w:val="24"/>
          <w:szCs w:val="24"/>
          <w:lang w:val="zh-CN"/>
        </w:rPr>
        <w:t>会议和缔约方大会第十七届会议审议并提供进一步指导。</w:t>
      </w:r>
    </w:p>
    <w:p w14:paraId="23228BD3" w14:textId="77777777" w:rsidR="006D5DBD" w:rsidRPr="000C0842" w:rsidRDefault="006D5DBD" w:rsidP="00D6044B">
      <w:pPr>
        <w:tabs>
          <w:tab w:val="clear" w:pos="567"/>
          <w:tab w:val="clear" w:pos="1134"/>
          <w:tab w:val="clear" w:pos="1701"/>
          <w:tab w:val="clear" w:pos="2268"/>
        </w:tabs>
        <w:topLinePunct/>
        <w:spacing w:before="240"/>
        <w:ind w:firstLine="490"/>
        <w:rPr>
          <w:rFonts w:eastAsia="SimSun"/>
          <w:b/>
          <w:sz w:val="24"/>
          <w:szCs w:val="24"/>
          <w:lang w:val="en-GB"/>
        </w:rPr>
      </w:pPr>
      <w:r w:rsidRPr="000C0842">
        <w:rPr>
          <w:rFonts w:eastAsia="SimSun"/>
          <w:b/>
          <w:sz w:val="24"/>
          <w:szCs w:val="24"/>
          <w:lang w:val="en-GB"/>
        </w:rPr>
        <w:t>附件</w:t>
      </w:r>
    </w:p>
    <w:p w14:paraId="7F5AE667" w14:textId="77777777" w:rsidR="006D5DBD" w:rsidRPr="000C0842" w:rsidRDefault="006D5DBD" w:rsidP="00D6044B">
      <w:pPr>
        <w:tabs>
          <w:tab w:val="clear" w:pos="567"/>
          <w:tab w:val="clear" w:pos="1134"/>
          <w:tab w:val="clear" w:pos="1701"/>
          <w:tab w:val="clear" w:pos="2268"/>
        </w:tabs>
        <w:topLinePunct/>
        <w:ind w:firstLine="490"/>
        <w:rPr>
          <w:rFonts w:eastAsia="SimSun"/>
          <w:sz w:val="24"/>
          <w:szCs w:val="24"/>
          <w:lang w:val="en-CA"/>
        </w:rPr>
      </w:pPr>
      <w:r w:rsidRPr="000C0842">
        <w:rPr>
          <w:rFonts w:eastAsia="SimSun"/>
          <w:b/>
          <w:sz w:val="24"/>
          <w:szCs w:val="24"/>
          <w:lang w:val="en-GB"/>
        </w:rPr>
        <w:t>支持执行</w:t>
      </w:r>
      <w:r w:rsidRPr="000C0842">
        <w:rPr>
          <w:rFonts w:eastAsia="SimSun"/>
          <w:b/>
          <w:bCs/>
          <w:sz w:val="24"/>
          <w:szCs w:val="24"/>
          <w:lang w:val="en-CA"/>
        </w:rPr>
        <w:t>《昆明</w:t>
      </w:r>
      <w:r w:rsidRPr="000C0842">
        <w:rPr>
          <w:rFonts w:eastAsia="SimSun"/>
          <w:b/>
          <w:bCs/>
          <w:sz w:val="24"/>
          <w:szCs w:val="24"/>
          <w:lang w:val="en-CA"/>
        </w:rPr>
        <w:t>-</w:t>
      </w:r>
      <w:r w:rsidRPr="000C0842">
        <w:rPr>
          <w:rFonts w:eastAsia="SimSun"/>
          <w:b/>
          <w:bCs/>
          <w:sz w:val="24"/>
          <w:szCs w:val="24"/>
          <w:lang w:val="en-CA"/>
        </w:rPr>
        <w:t>蒙特利尔全球生物多样性框架》的知识管理战略</w:t>
      </w:r>
    </w:p>
    <w:p w14:paraId="5D460BEE"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一</w:t>
      </w:r>
      <w:r w:rsidRPr="000C0842">
        <w:rPr>
          <w:rFonts w:eastAsia="SimSun"/>
          <w:b/>
          <w:sz w:val="24"/>
          <w:szCs w:val="24"/>
          <w:lang w:val="en-GB"/>
        </w:rPr>
        <w:t>.</w:t>
      </w:r>
      <w:r w:rsidRPr="000C0842">
        <w:rPr>
          <w:rFonts w:eastAsia="SimSun"/>
          <w:b/>
          <w:sz w:val="24"/>
          <w:szCs w:val="24"/>
          <w:lang w:val="en-GB"/>
        </w:rPr>
        <w:tab/>
      </w:r>
      <w:r w:rsidRPr="000C0842">
        <w:rPr>
          <w:rFonts w:eastAsia="SimSun"/>
          <w:b/>
          <w:sz w:val="24"/>
          <w:szCs w:val="24"/>
          <w:lang w:val="en-GB"/>
        </w:rPr>
        <w:t>背景情况</w:t>
      </w:r>
    </w:p>
    <w:p w14:paraId="634495E1"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sz w:val="24"/>
          <w:szCs w:val="24"/>
          <w:lang w:val="en-CA"/>
        </w:rPr>
      </w:pPr>
      <w:r w:rsidRPr="000C0842">
        <w:rPr>
          <w:rFonts w:eastAsia="SimSun"/>
          <w:spacing w:val="-4"/>
          <w:sz w:val="24"/>
          <w:szCs w:val="24"/>
          <w:lang w:val="en-CA"/>
        </w:rPr>
        <w:t>如</w:t>
      </w:r>
      <w:r w:rsidRPr="000C0842">
        <w:rPr>
          <w:rFonts w:eastAsia="SimSun"/>
          <w:spacing w:val="-4"/>
          <w:sz w:val="24"/>
          <w:szCs w:val="24"/>
          <w:shd w:val="clear" w:color="auto" w:fill="FFFFFF"/>
          <w:lang w:val="en-CA"/>
        </w:rPr>
        <w:t>《生物多样性公约》</w:t>
      </w:r>
      <w:r w:rsidRPr="000C0842">
        <w:rPr>
          <w:spacing w:val="-4"/>
          <w:sz w:val="24"/>
          <w:szCs w:val="24"/>
          <w:shd w:val="clear" w:color="auto" w:fill="FFFFFF"/>
          <w:vertAlign w:val="superscript"/>
          <w:lang w:val="en-CA"/>
        </w:rPr>
        <w:footnoteReference w:id="94"/>
      </w:r>
      <w:r w:rsidRPr="000C0842">
        <w:rPr>
          <w:rFonts w:eastAsia="SimSun"/>
          <w:spacing w:val="-4"/>
          <w:sz w:val="24"/>
          <w:szCs w:val="24"/>
          <w:shd w:val="clear" w:color="auto" w:fill="FFFFFF"/>
          <w:lang w:val="en-CA"/>
        </w:rPr>
        <w:t>第</w:t>
      </w:r>
      <w:r w:rsidRPr="000C0842">
        <w:rPr>
          <w:rFonts w:eastAsia="SimSun"/>
          <w:spacing w:val="-4"/>
          <w:sz w:val="24"/>
          <w:szCs w:val="24"/>
          <w:shd w:val="clear" w:color="auto" w:fill="FFFFFF"/>
          <w:lang w:val="en-CA"/>
        </w:rPr>
        <w:t>17</w:t>
      </w:r>
      <w:r w:rsidRPr="000C0842">
        <w:rPr>
          <w:rFonts w:eastAsia="SimSun"/>
          <w:spacing w:val="-4"/>
          <w:sz w:val="24"/>
          <w:szCs w:val="24"/>
          <w:shd w:val="clear" w:color="auto" w:fill="FFFFFF"/>
          <w:lang w:val="en-CA"/>
        </w:rPr>
        <w:t>条和</w:t>
      </w:r>
      <w:r w:rsidRPr="000C0842">
        <w:rPr>
          <w:rFonts w:eastAsia="SimSun"/>
          <w:spacing w:val="-4"/>
          <w:sz w:val="24"/>
          <w:szCs w:val="24"/>
          <w:lang w:val="en-CA"/>
        </w:rPr>
        <w:t>《昆明</w:t>
      </w:r>
      <w:r w:rsidRPr="000C0842">
        <w:rPr>
          <w:rFonts w:eastAsia="SimSun"/>
          <w:spacing w:val="-4"/>
          <w:sz w:val="24"/>
          <w:szCs w:val="24"/>
          <w:lang w:val="en-CA"/>
        </w:rPr>
        <w:t>-</w:t>
      </w:r>
      <w:r w:rsidRPr="000C0842">
        <w:rPr>
          <w:rFonts w:eastAsia="SimSun"/>
          <w:spacing w:val="-4"/>
          <w:sz w:val="24"/>
          <w:szCs w:val="24"/>
          <w:lang w:val="en-CA"/>
        </w:rPr>
        <w:t>蒙特利尔全球生物多样性框架</w:t>
      </w:r>
      <w:r w:rsidRPr="000C0842">
        <w:rPr>
          <w:rFonts w:eastAsia="SimSun"/>
          <w:sz w:val="24"/>
          <w:szCs w:val="24"/>
          <w:lang w:val="en-CA"/>
        </w:rPr>
        <w:t>》</w:t>
      </w:r>
      <w:r w:rsidRPr="000C0842">
        <w:rPr>
          <w:sz w:val="24"/>
          <w:szCs w:val="24"/>
          <w:vertAlign w:val="superscript"/>
          <w:lang w:val="en-CA"/>
        </w:rPr>
        <w:footnoteReference w:id="95"/>
      </w:r>
      <w:r w:rsidRPr="000C0842">
        <w:rPr>
          <w:rFonts w:eastAsia="SimSun"/>
          <w:sz w:val="24"/>
          <w:szCs w:val="24"/>
          <w:lang w:val="en-CA"/>
        </w:rPr>
        <w:t>行动目标</w:t>
      </w:r>
      <w:r w:rsidRPr="000C0842">
        <w:rPr>
          <w:rFonts w:eastAsia="SimSun"/>
          <w:sz w:val="24"/>
          <w:szCs w:val="24"/>
          <w:lang w:val="en-CA"/>
        </w:rPr>
        <w:t>21</w:t>
      </w:r>
      <w:r w:rsidRPr="000C0842">
        <w:rPr>
          <w:rFonts w:eastAsia="SimSun"/>
          <w:sz w:val="24"/>
          <w:szCs w:val="24"/>
          <w:lang w:val="en-CA"/>
        </w:rPr>
        <w:t>和</w:t>
      </w:r>
      <w:r w:rsidRPr="000C0842">
        <w:rPr>
          <w:rFonts w:eastAsia="SimSun"/>
          <w:sz w:val="24"/>
          <w:szCs w:val="24"/>
          <w:lang w:val="en-CA"/>
        </w:rPr>
        <w:t>K</w:t>
      </w:r>
      <w:r w:rsidRPr="000C0842">
        <w:rPr>
          <w:rFonts w:eastAsia="SimSun"/>
          <w:sz w:val="24"/>
          <w:szCs w:val="24"/>
          <w:lang w:val="en-CA"/>
        </w:rPr>
        <w:t>部分所确认，知识管理是执行《公约》及其议定书的一个重要战略手段，有助于实现《昆蒙框架》的长期目标和行动目标。</w:t>
      </w:r>
      <w:r w:rsidRPr="000C0842">
        <w:rPr>
          <w:sz w:val="24"/>
          <w:szCs w:val="24"/>
          <w:lang w:val="en-CA"/>
        </w:rPr>
        <w:t xml:space="preserve"> </w:t>
      </w:r>
    </w:p>
    <w:p w14:paraId="5936D292"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知识管理战略支持《昆明</w:t>
      </w:r>
      <w:r w:rsidRPr="000C0842">
        <w:rPr>
          <w:rFonts w:eastAsia="SimSun"/>
          <w:sz w:val="24"/>
          <w:szCs w:val="24"/>
          <w:lang w:val="en-CA"/>
        </w:rPr>
        <w:t>-</w:t>
      </w:r>
      <w:r w:rsidRPr="000C0842">
        <w:rPr>
          <w:rFonts w:eastAsia="SimSun"/>
          <w:sz w:val="24"/>
          <w:szCs w:val="24"/>
          <w:lang w:val="en-CA"/>
        </w:rPr>
        <w:t>蒙特利尔全球生物多样性框架》的有效执行，补充《昆蒙框架》的监测框架</w:t>
      </w:r>
      <w:r w:rsidRPr="000C0842">
        <w:rPr>
          <w:rFonts w:eastAsia="SimSun"/>
          <w:sz w:val="24"/>
          <w:szCs w:val="24"/>
          <w:vertAlign w:val="superscript"/>
          <w:lang w:val="en-CA"/>
        </w:rPr>
        <w:footnoteReference w:id="96"/>
      </w:r>
      <w:r w:rsidRPr="000C0842">
        <w:rPr>
          <w:rFonts w:eastAsia="SimSun"/>
          <w:sz w:val="24"/>
          <w:szCs w:val="24"/>
          <w:lang w:val="en-CA"/>
        </w:rPr>
        <w:t>、能力建设和发展长期战略框架</w:t>
      </w:r>
      <w:r w:rsidRPr="000C0842">
        <w:rPr>
          <w:rFonts w:eastAsia="SimSun"/>
          <w:sz w:val="24"/>
          <w:szCs w:val="24"/>
          <w:vertAlign w:val="superscript"/>
          <w:lang w:val="en-CA"/>
        </w:rPr>
        <w:footnoteReference w:id="97"/>
      </w:r>
      <w:r w:rsidRPr="000C0842">
        <w:rPr>
          <w:rFonts w:eastAsia="SimSun"/>
          <w:sz w:val="24"/>
          <w:szCs w:val="24"/>
          <w:lang w:val="en-CA"/>
        </w:rPr>
        <w:t>、科技合作机制、《公约》的信息交换所机制及</w:t>
      </w:r>
      <w:r w:rsidRPr="000C0842">
        <w:rPr>
          <w:rFonts w:eastAsia="SimSun"/>
          <w:sz w:val="24"/>
          <w:szCs w:val="24"/>
          <w:shd w:val="clear" w:color="auto" w:fill="FFFFFF"/>
          <w:lang w:val="en-CA"/>
        </w:rPr>
        <w:t>其议定书信息交换所机制</w:t>
      </w:r>
      <w:r w:rsidRPr="000C0842">
        <w:rPr>
          <w:rFonts w:eastAsia="SimSun"/>
          <w:sz w:val="24"/>
          <w:szCs w:val="24"/>
          <w:lang w:val="en-CA"/>
        </w:rPr>
        <w:t>。</w:t>
      </w:r>
    </w:p>
    <w:p w14:paraId="27391238" w14:textId="77777777" w:rsidR="006D5DBD" w:rsidRPr="000C0842" w:rsidRDefault="006D5DBD" w:rsidP="003874FD">
      <w:pPr>
        <w:keepNext/>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二．构成部分</w:t>
      </w:r>
    </w:p>
    <w:p w14:paraId="537CA664"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shd w:val="clear" w:color="auto" w:fill="FFFFFF"/>
          <w:lang w:val="en-CA"/>
        </w:rPr>
      </w:pPr>
      <w:r w:rsidRPr="000C0842">
        <w:rPr>
          <w:rFonts w:eastAsia="SimSun"/>
          <w:sz w:val="24"/>
          <w:szCs w:val="24"/>
          <w:shd w:val="clear" w:color="auto" w:fill="FFFFFF"/>
          <w:lang w:val="en-CA"/>
        </w:rPr>
        <w:t>知识管理包括一系列进程、战略和做法，籍此生物多样性数据、信息和知识得以生成、收集、整理、策划、存储和分享，用于</w:t>
      </w:r>
      <w:r w:rsidRPr="000C0842">
        <w:rPr>
          <w:rFonts w:eastAsia="SimSun" w:hint="eastAsia"/>
          <w:sz w:val="24"/>
          <w:szCs w:val="24"/>
          <w:shd w:val="clear" w:color="auto" w:fill="FFFFFF"/>
          <w:lang w:val="en-CA"/>
        </w:rPr>
        <w:t>实现</w:t>
      </w:r>
      <w:r w:rsidRPr="000C0842">
        <w:rPr>
          <w:rFonts w:eastAsia="SimSun"/>
          <w:sz w:val="24"/>
          <w:szCs w:val="24"/>
          <w:shd w:val="clear" w:color="auto" w:fill="FFFFFF"/>
          <w:lang w:val="en-CA"/>
        </w:rPr>
        <w:t>生物多样性的目标和成果。</w:t>
      </w:r>
    </w:p>
    <w:p w14:paraId="70081F12"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shd w:val="clear" w:color="auto" w:fill="FFFFFF"/>
          <w:lang w:val="en-CA"/>
        </w:rPr>
        <w:t>虽然知识管理有各种定义，但支持《昆蒙框架》执行工作的知识管理战略考虑到四个相互依存的构成部分，即：</w:t>
      </w:r>
      <w:r w:rsidRPr="000C0842">
        <w:rPr>
          <w:rFonts w:eastAsia="SimSun"/>
          <w:sz w:val="24"/>
          <w:szCs w:val="24"/>
          <w:shd w:val="clear" w:color="auto" w:fill="FFFFFF"/>
          <w:lang w:val="en-CA"/>
        </w:rPr>
        <w:t xml:space="preserve">(a) </w:t>
      </w:r>
      <w:r w:rsidRPr="000C0842">
        <w:rPr>
          <w:rFonts w:eastAsia="SimSun"/>
          <w:sz w:val="24"/>
          <w:szCs w:val="24"/>
          <w:shd w:val="clear" w:color="auto" w:fill="FFFFFF"/>
          <w:lang w:val="en-CA"/>
        </w:rPr>
        <w:t>人，包括知识持有者、研究人员和从</w:t>
      </w:r>
      <w:r w:rsidRPr="000C0842">
        <w:rPr>
          <w:rFonts w:eastAsia="SimSun"/>
          <w:sz w:val="24"/>
          <w:szCs w:val="24"/>
          <w:lang w:val="en-CA"/>
        </w:rPr>
        <w:t>业者、土著人民和地方社区、妇女和青年、管理者、策划者和使用者；</w:t>
      </w:r>
      <w:r w:rsidRPr="000C0842">
        <w:rPr>
          <w:rFonts w:eastAsia="SimSun"/>
          <w:sz w:val="24"/>
          <w:szCs w:val="24"/>
          <w:lang w:val="en-CA"/>
        </w:rPr>
        <w:t xml:space="preserve">(b) </w:t>
      </w:r>
      <w:r w:rsidRPr="000C0842">
        <w:rPr>
          <w:rFonts w:eastAsia="SimSun"/>
          <w:sz w:val="24"/>
          <w:szCs w:val="24"/>
          <w:lang w:val="en-CA"/>
        </w:rPr>
        <w:t>进程，即相关程序、标准和政策；</w:t>
      </w:r>
      <w:r w:rsidRPr="000C0842">
        <w:rPr>
          <w:rFonts w:eastAsia="SimSun"/>
          <w:sz w:val="24"/>
          <w:szCs w:val="24"/>
          <w:lang w:val="en-CA"/>
        </w:rPr>
        <w:t xml:space="preserve">(c) </w:t>
      </w:r>
      <w:r w:rsidRPr="000C0842">
        <w:rPr>
          <w:rFonts w:eastAsia="SimSun"/>
          <w:sz w:val="24"/>
          <w:szCs w:val="24"/>
          <w:lang w:val="en-CA"/>
        </w:rPr>
        <w:t>技术和技术工具、系统、基础设施和平台；</w:t>
      </w:r>
      <w:r w:rsidRPr="000C0842">
        <w:rPr>
          <w:rFonts w:eastAsia="SimSun"/>
          <w:sz w:val="24"/>
          <w:szCs w:val="24"/>
          <w:lang w:val="en-CA"/>
        </w:rPr>
        <w:t xml:space="preserve">(d) </w:t>
      </w:r>
      <w:r w:rsidRPr="000C0842">
        <w:rPr>
          <w:rFonts w:eastAsia="SimSun"/>
          <w:sz w:val="24"/>
          <w:szCs w:val="24"/>
          <w:lang w:val="en-CA"/>
        </w:rPr>
        <w:t>内容，即生物多样性相关数据、信息和知识，包括如何对其进行管理，例如通过编目、标记和索引、数字化和整理。</w:t>
      </w:r>
    </w:p>
    <w:p w14:paraId="029CE017"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三．总体考虑</w:t>
      </w:r>
    </w:p>
    <w:p w14:paraId="574D9138"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GB"/>
        </w:rPr>
        <w:t>知识管理</w:t>
      </w:r>
      <w:r w:rsidRPr="000C0842">
        <w:rPr>
          <w:rFonts w:eastAsia="SimSun"/>
          <w:sz w:val="24"/>
          <w:szCs w:val="24"/>
          <w:lang w:val="en-CA"/>
        </w:rPr>
        <w:t>战略确认，为了促进实现《昆蒙框架》的</w:t>
      </w:r>
      <w:r w:rsidRPr="000C0842">
        <w:rPr>
          <w:rFonts w:eastAsia="SimSun"/>
          <w:sz w:val="24"/>
          <w:szCs w:val="24"/>
          <w:lang w:val="en-CA"/>
        </w:rPr>
        <w:t>2050</w:t>
      </w:r>
      <w:r w:rsidRPr="000C0842">
        <w:rPr>
          <w:rFonts w:eastAsia="SimSun"/>
          <w:sz w:val="24"/>
          <w:szCs w:val="24"/>
          <w:lang w:val="en-CA"/>
        </w:rPr>
        <w:t>年愿景、长期目标和行动目标，必须及时向决策者、从业者和公众提供容易获得的数据、信息和知识，包括土著人民和地方社区在自由、事先和知情同意</w:t>
      </w:r>
      <w:r w:rsidRPr="000C0842">
        <w:rPr>
          <w:rFonts w:eastAsia="SimSun"/>
          <w:sz w:val="24"/>
          <w:szCs w:val="24"/>
          <w:vertAlign w:val="superscript"/>
          <w:lang w:val="en-CA"/>
        </w:rPr>
        <w:footnoteReference w:id="98"/>
      </w:r>
      <w:r w:rsidRPr="000C0842">
        <w:rPr>
          <w:rFonts w:eastAsia="SimSun"/>
          <w:sz w:val="24"/>
          <w:szCs w:val="24"/>
          <w:lang w:val="en-CA"/>
        </w:rPr>
        <w:t>并了解其进一步应用、可能</w:t>
      </w:r>
      <w:r w:rsidRPr="000C0842">
        <w:rPr>
          <w:rFonts w:eastAsia="SimSun" w:hint="eastAsia"/>
          <w:sz w:val="24"/>
          <w:szCs w:val="24"/>
          <w:lang w:val="en-CA"/>
        </w:rPr>
        <w:t>的</w:t>
      </w:r>
      <w:r w:rsidRPr="000C0842">
        <w:rPr>
          <w:rFonts w:eastAsia="SimSun"/>
          <w:sz w:val="24"/>
          <w:szCs w:val="24"/>
          <w:lang w:val="en-CA"/>
        </w:rPr>
        <w:t>好处和潜在后果</w:t>
      </w:r>
      <w:r w:rsidRPr="000C0842">
        <w:rPr>
          <w:rFonts w:eastAsia="SimSun" w:hint="eastAsia"/>
          <w:sz w:val="24"/>
          <w:szCs w:val="24"/>
          <w:lang w:val="en-CA"/>
        </w:rPr>
        <w:t>的情况</w:t>
      </w:r>
      <w:r w:rsidRPr="000C0842">
        <w:rPr>
          <w:rFonts w:eastAsia="SimSun"/>
          <w:sz w:val="24"/>
          <w:szCs w:val="24"/>
          <w:lang w:val="en-CA"/>
        </w:rPr>
        <w:t>下提供的传统知识、创新和做法。此外，必须使知识在内容和传播形式上与其目的相配。在这方面，本战略认可生物多样性和生态系统服务政府间科学与政策平台承认和利用土著和地方知识的方法</w:t>
      </w:r>
      <w:r w:rsidRPr="000C0842">
        <w:rPr>
          <w:rFonts w:eastAsia="SimSun"/>
          <w:sz w:val="24"/>
          <w:szCs w:val="24"/>
          <w:vertAlign w:val="superscript"/>
          <w:lang w:val="en-CA"/>
        </w:rPr>
        <w:footnoteReference w:id="99"/>
      </w:r>
      <w:r w:rsidRPr="000C0842">
        <w:rPr>
          <w:rFonts w:eastAsia="SimSun"/>
          <w:sz w:val="24"/>
          <w:szCs w:val="24"/>
          <w:lang w:val="en-CA"/>
        </w:rPr>
        <w:t>。</w:t>
      </w:r>
    </w:p>
    <w:p w14:paraId="55C8FA65"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缔约方、其他国家政府、土著人民和地方社区、妇女和青年代表以及其他相关利益攸关方必须</w:t>
      </w:r>
      <w:r w:rsidRPr="000C0842">
        <w:rPr>
          <w:rFonts w:eastAsia="SimSun" w:hint="eastAsia"/>
          <w:sz w:val="24"/>
          <w:szCs w:val="24"/>
          <w:lang w:val="en-CA"/>
        </w:rPr>
        <w:t>培养</w:t>
      </w:r>
      <w:r w:rsidRPr="000C0842">
        <w:rPr>
          <w:rFonts w:eastAsia="SimSun"/>
          <w:sz w:val="24"/>
          <w:szCs w:val="24"/>
          <w:lang w:val="en-CA"/>
        </w:rPr>
        <w:t>分享知识、共同生产知识、不断从经验和多样化知识体系中学习、保留和重复使用知识的文化，以改善决策和执行进程和做法。</w:t>
      </w:r>
    </w:p>
    <w:p w14:paraId="1A3AD880"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知识管理战略确认，有效的知识管理需要承认和优化各种政府和非政府机构、区域和国际组织、基础设施、研究人员、从业人员、土著人民和地方社区、妇女和青年、私营部门以及其他相关利益攸关方的贡献</w:t>
      </w:r>
      <w:r w:rsidRPr="000C0842">
        <w:rPr>
          <w:rFonts w:eastAsia="SimSun"/>
          <w:sz w:val="24"/>
          <w:szCs w:val="24"/>
          <w:vertAlign w:val="superscript"/>
          <w:lang w:val="en-CA"/>
        </w:rPr>
        <w:footnoteReference w:id="100"/>
      </w:r>
      <w:r w:rsidRPr="000C0842">
        <w:rPr>
          <w:rFonts w:eastAsia="SimSun"/>
          <w:sz w:val="24"/>
          <w:szCs w:val="24"/>
          <w:lang w:val="en-CA"/>
        </w:rPr>
        <w:t>。</w:t>
      </w:r>
    </w:p>
    <w:p w14:paraId="5E9057E0"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本战略还确认，必须接受新技术，并鼓励采用创新和前瞻性方法来提高知识管理</w:t>
      </w:r>
      <w:r w:rsidRPr="000C0842">
        <w:rPr>
          <w:rFonts w:eastAsia="SimSun" w:hint="eastAsia"/>
          <w:sz w:val="24"/>
          <w:szCs w:val="24"/>
          <w:lang w:val="en-CA"/>
        </w:rPr>
        <w:t>程序</w:t>
      </w:r>
      <w:r w:rsidRPr="000C0842">
        <w:rPr>
          <w:rFonts w:eastAsia="SimSun"/>
          <w:sz w:val="24"/>
          <w:szCs w:val="24"/>
          <w:lang w:val="en-CA"/>
        </w:rPr>
        <w:t>的</w:t>
      </w:r>
      <w:r w:rsidRPr="000C0842">
        <w:rPr>
          <w:rFonts w:eastAsia="SimSun" w:hint="eastAsia"/>
          <w:sz w:val="24"/>
          <w:szCs w:val="24"/>
          <w:lang w:val="en-CA"/>
        </w:rPr>
        <w:t>成效</w:t>
      </w:r>
      <w:r w:rsidRPr="000C0842">
        <w:rPr>
          <w:rFonts w:eastAsia="SimSun"/>
          <w:sz w:val="24"/>
          <w:szCs w:val="24"/>
          <w:lang w:val="en-CA"/>
        </w:rPr>
        <w:t>和效率。</w:t>
      </w:r>
      <w:r w:rsidRPr="000C0842">
        <w:rPr>
          <w:rFonts w:eastAsia="SimSun"/>
          <w:sz w:val="24"/>
          <w:szCs w:val="24"/>
          <w:lang w:val="en-CA"/>
        </w:rPr>
        <w:t xml:space="preserve"> </w:t>
      </w:r>
    </w:p>
    <w:p w14:paraId="6288211D"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本战略倡导可找寻、可访问、可交互和可再用原则（</w:t>
      </w:r>
      <w:r w:rsidRPr="000C0842">
        <w:rPr>
          <w:rFonts w:eastAsia="SimSun"/>
          <w:sz w:val="24"/>
          <w:szCs w:val="24"/>
          <w:lang w:val="en-CA"/>
        </w:rPr>
        <w:t>FAIR</w:t>
      </w:r>
      <w:r w:rsidRPr="000C0842">
        <w:rPr>
          <w:rFonts w:eastAsia="SimSun"/>
          <w:sz w:val="24"/>
          <w:szCs w:val="24"/>
          <w:lang w:val="en-CA"/>
        </w:rPr>
        <w:t>原则），以期促进公开分享数据、信息和知识，公平公正分享利用土著人民和地方社区与保护和可持续利用生物多样性有关的知识、创新和做法所带来的惠益。</w:t>
      </w:r>
    </w:p>
    <w:p w14:paraId="1B6B2F3A"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 xml:space="preserve"> </w:t>
      </w:r>
      <w:r w:rsidRPr="000C0842">
        <w:rPr>
          <w:rFonts w:eastAsia="SimSun"/>
          <w:sz w:val="24"/>
          <w:szCs w:val="24"/>
          <w:lang w:val="en-CA"/>
        </w:rPr>
        <w:t>为了确保在土著人民和地方社区自由、事先和知情同意</w:t>
      </w:r>
      <w:r w:rsidRPr="000C0842">
        <w:rPr>
          <w:rFonts w:eastAsia="SimSun"/>
          <w:sz w:val="24"/>
          <w:szCs w:val="24"/>
          <w:vertAlign w:val="superscript"/>
          <w:lang w:val="en-CA"/>
        </w:rPr>
        <w:footnoteReference w:id="101"/>
      </w:r>
      <w:r w:rsidRPr="000C0842">
        <w:rPr>
          <w:rFonts w:eastAsia="SimSun"/>
          <w:sz w:val="24"/>
          <w:szCs w:val="24"/>
          <w:lang w:val="en-CA"/>
        </w:rPr>
        <w:t>下获得其传统知识、创新、做法和技术，本战略倡导集体利益、土著人民和地方社区的管控权、责任、互惠和道德原则（</w:t>
      </w:r>
      <w:r w:rsidRPr="000C0842">
        <w:rPr>
          <w:rFonts w:eastAsia="SimSun"/>
          <w:sz w:val="24"/>
          <w:szCs w:val="24"/>
          <w:lang w:val="en-CA"/>
        </w:rPr>
        <w:t>CARE</w:t>
      </w:r>
      <w:r w:rsidRPr="000C0842">
        <w:rPr>
          <w:rFonts w:eastAsia="SimSun"/>
          <w:sz w:val="24"/>
          <w:szCs w:val="24"/>
          <w:lang w:val="en-CA"/>
        </w:rPr>
        <w:t>原则），并加强其技术能力、技能和知识。</w:t>
      </w:r>
    </w:p>
    <w:p w14:paraId="79FF87CD"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四．宗旨</w:t>
      </w:r>
    </w:p>
    <w:p w14:paraId="5B09CB77"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旨在促进相关数据、信息和知识的相互交流和使用，包括在土著人民和地方社区自由、事先和知情同意下的传统知识，以便在政策和实践层面进行知情的政策制定、规划、决策和行动，以支持在各级执行和监测</w:t>
      </w:r>
      <w:r w:rsidRPr="000C0842">
        <w:rPr>
          <w:rFonts w:eastAsia="SimSun" w:hint="eastAsia"/>
          <w:sz w:val="24"/>
          <w:szCs w:val="24"/>
          <w:lang w:val="en-CA"/>
        </w:rPr>
        <w:t>《昆蒙</w:t>
      </w:r>
      <w:r w:rsidRPr="000C0842">
        <w:rPr>
          <w:rFonts w:eastAsia="SimSun"/>
          <w:sz w:val="24"/>
          <w:szCs w:val="24"/>
          <w:lang w:val="en-CA"/>
        </w:rPr>
        <w:t>框架</w:t>
      </w:r>
      <w:r w:rsidRPr="000C0842">
        <w:rPr>
          <w:rFonts w:eastAsia="SimSun" w:hint="eastAsia"/>
          <w:sz w:val="24"/>
          <w:szCs w:val="24"/>
          <w:lang w:val="en-CA"/>
        </w:rPr>
        <w:t>》</w:t>
      </w:r>
      <w:r w:rsidRPr="000C0842">
        <w:rPr>
          <w:rFonts w:eastAsia="SimSun"/>
          <w:sz w:val="24"/>
          <w:szCs w:val="24"/>
          <w:lang w:val="en-CA"/>
        </w:rPr>
        <w:t>。本战略还寻求根据相关国家立法和国际文书，促进工具和系统的开发或加强，以强化决策者、从业人员和其他相关利益攸关方之间的沟通、提高认识、教育、知识共享和组织学习，同时尊重土著人民和地方社区的权利和知识体系。</w:t>
      </w:r>
    </w:p>
    <w:p w14:paraId="21CF8826"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本战略旨在解决由缔约方提出的与生物多样性知识、信息和数据管理有关的一些挑战和需求，以便通过以下方式促进有效执行《昆蒙框架》和缔约方大会的相关决定：</w:t>
      </w:r>
    </w:p>
    <w:p w14:paraId="31A6CD35"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顾及发展中国家</w:t>
      </w:r>
      <w:r w:rsidRPr="000C0842">
        <w:rPr>
          <w:rFonts w:eastAsia="SimSun"/>
          <w:sz w:val="24"/>
          <w:szCs w:val="24"/>
          <w:lang w:val="en-CA"/>
        </w:rPr>
        <w:t>，特别是其中的最不发达国家和小岛屿发展中国家和经济转型缔约方面临的具体挑战</w:t>
      </w:r>
      <w:r w:rsidRPr="000C0842">
        <w:rPr>
          <w:rFonts w:eastAsia="SimSun"/>
          <w:bCs/>
          <w:sz w:val="24"/>
          <w:szCs w:val="24"/>
          <w:lang w:val="en-GB"/>
        </w:rPr>
        <w:t>，解决各国在数据和信息的提供和获取方面的差异以及有效利用现有生物多样性数据、信息和知识的障碍；</w:t>
      </w:r>
    </w:p>
    <w:p w14:paraId="671B34F5"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加强生物多样性数据、信息和知识管理的区域、次区域、国家及适当情况下</w:t>
      </w:r>
      <w:r w:rsidRPr="000C0842">
        <w:rPr>
          <w:rFonts w:eastAsia="SimSun" w:hint="eastAsia"/>
          <w:bCs/>
          <w:sz w:val="24"/>
          <w:szCs w:val="24"/>
          <w:lang w:val="en-GB"/>
        </w:rPr>
        <w:t>次国家一级</w:t>
      </w:r>
      <w:r w:rsidRPr="000C0842">
        <w:rPr>
          <w:rFonts w:eastAsia="SimSun"/>
          <w:bCs/>
          <w:sz w:val="24"/>
          <w:szCs w:val="24"/>
          <w:lang w:val="en-GB"/>
        </w:rPr>
        <w:t>的能力、系统和机制，支持循证的包容性和促进性别平等的决策和行动，监测和报告实现国家目标的进展情况，作为对《昆蒙框架》长期目标和行动目标的贡献；</w:t>
      </w:r>
    </w:p>
    <w:p w14:paraId="19CB7884"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按照法律法规提高标准化水平，加强区域、次区域、国家和次国家生物多样性信息系统、工具和平台之间的协调和互操作性；</w:t>
      </w:r>
    </w:p>
    <w:p w14:paraId="2DDB2DCE"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利用现有的生物多样性数据、信息和知识以及生物多样性知识管理倡议和网络，弥合阻碍其充分和有效利用的差距；</w:t>
      </w:r>
    </w:p>
    <w:p w14:paraId="4C79071C"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制定适当的国家和次国家政策和战略，支持数据的生成以及信息和知识的管理；</w:t>
      </w:r>
    </w:p>
    <w:p w14:paraId="5A129DC1"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Cs/>
          <w:sz w:val="24"/>
          <w:szCs w:val="24"/>
          <w:lang w:val="en-GB"/>
        </w:rPr>
      </w:pPr>
      <w:r w:rsidRPr="000C0842">
        <w:rPr>
          <w:rFonts w:eastAsia="SimSun"/>
          <w:bCs/>
          <w:sz w:val="24"/>
          <w:szCs w:val="24"/>
          <w:lang w:val="en-GB"/>
        </w:rPr>
        <w:t xml:space="preserve"> </w:t>
      </w:r>
      <w:r w:rsidRPr="000C0842">
        <w:rPr>
          <w:rFonts w:eastAsia="SimSun"/>
          <w:bCs/>
          <w:sz w:val="24"/>
          <w:szCs w:val="24"/>
          <w:lang w:val="en-GB"/>
        </w:rPr>
        <w:t>促进生物多样性相关公约和多边协定之间的合作和协调，以根据这些公约各自的任务、法律授权和责任简化信息管理</w:t>
      </w:r>
      <w:r w:rsidRPr="000C0842">
        <w:rPr>
          <w:rFonts w:eastAsia="SimSun" w:hint="eastAsia"/>
          <w:bCs/>
          <w:sz w:val="24"/>
          <w:szCs w:val="24"/>
          <w:lang w:val="en-GB"/>
        </w:rPr>
        <w:t>程序</w:t>
      </w:r>
      <w:r w:rsidRPr="000C0842">
        <w:rPr>
          <w:rFonts w:eastAsia="SimSun"/>
          <w:bCs/>
          <w:sz w:val="24"/>
          <w:szCs w:val="24"/>
          <w:lang w:val="en-GB"/>
        </w:rPr>
        <w:t>，包括国家报告、数据共享和知识交流；</w:t>
      </w:r>
    </w:p>
    <w:p w14:paraId="173AD420" w14:textId="77777777" w:rsidR="006D5DBD" w:rsidRPr="000C0842" w:rsidRDefault="006D5DBD">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bCs/>
          <w:sz w:val="24"/>
          <w:szCs w:val="24"/>
          <w:lang w:val="en-GB"/>
        </w:rPr>
      </w:pPr>
      <w:r w:rsidRPr="000C0842">
        <w:rPr>
          <w:rFonts w:eastAsia="SimSun"/>
          <w:bCs/>
          <w:sz w:val="24"/>
          <w:szCs w:val="24"/>
          <w:lang w:val="en-GB"/>
        </w:rPr>
        <w:t>加强区域、次区域和国家各种生物多样性知识倡议、工具和平台之间的协调与合作，以防止重复，提高效率和可持续性。</w:t>
      </w:r>
    </w:p>
    <w:p w14:paraId="46E88F64"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本战略通过科技合作机制的区域和次区域支持中心，</w:t>
      </w:r>
      <w:r w:rsidRPr="000C0842">
        <w:rPr>
          <w:rFonts w:eastAsia="SimSun"/>
          <w:sz w:val="24"/>
          <w:szCs w:val="24"/>
          <w:lang w:val="en-GB"/>
        </w:rPr>
        <w:t>按照法律法规促进知识管理的区域办法</w:t>
      </w:r>
      <w:r w:rsidRPr="000C0842">
        <w:rPr>
          <w:rFonts w:eastAsia="SimSun"/>
          <w:sz w:val="24"/>
          <w:szCs w:val="24"/>
          <w:lang w:val="en-CA"/>
        </w:rPr>
        <w:t>，鼓励利益攸关方分享相关数据、信息和知识、资源、最佳做法和专门知识，以优化《昆蒙框架》的执行。</w:t>
      </w:r>
    </w:p>
    <w:p w14:paraId="62D1B8E8"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五</w:t>
      </w:r>
      <w:r w:rsidRPr="000C0842">
        <w:rPr>
          <w:rFonts w:eastAsia="SimSun"/>
          <w:b/>
          <w:sz w:val="24"/>
          <w:szCs w:val="24"/>
          <w:lang w:val="en-GB"/>
        </w:rPr>
        <w:t>.</w:t>
      </w:r>
      <w:r w:rsidRPr="000C0842">
        <w:rPr>
          <w:rFonts w:eastAsia="SimSun"/>
          <w:b/>
          <w:sz w:val="24"/>
          <w:szCs w:val="24"/>
          <w:lang w:val="en-GB"/>
        </w:rPr>
        <w:tab/>
      </w:r>
      <w:r w:rsidRPr="000C0842">
        <w:rPr>
          <w:rFonts w:eastAsia="SimSun"/>
          <w:b/>
          <w:sz w:val="24"/>
          <w:szCs w:val="24"/>
          <w:lang w:val="en-GB"/>
        </w:rPr>
        <w:t>预期成果</w:t>
      </w:r>
    </w:p>
    <w:p w14:paraId="22AF845C"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GB"/>
        </w:rPr>
        <w:t>预期本战略的执行将提高政府、土著人民和地方社区、科学和学术机构、妇女和青年代表、私营部门以及相关利益攸关方获取、管理和使用生物多样性</w:t>
      </w:r>
      <w:r w:rsidRPr="000C0842">
        <w:rPr>
          <w:rFonts w:eastAsia="SimSun"/>
          <w:sz w:val="24"/>
          <w:szCs w:val="24"/>
          <w:lang w:val="en-CA"/>
        </w:rPr>
        <w:t>数据、信息和知识的能力</w:t>
      </w:r>
      <w:r w:rsidRPr="000C0842">
        <w:rPr>
          <w:rFonts w:eastAsia="SimSun" w:hint="eastAsia"/>
          <w:sz w:val="24"/>
          <w:szCs w:val="24"/>
          <w:lang w:val="en-CA"/>
        </w:rPr>
        <w:t>，</w:t>
      </w:r>
      <w:r w:rsidRPr="000C0842">
        <w:rPr>
          <w:rFonts w:eastAsia="SimSun"/>
          <w:sz w:val="24"/>
          <w:szCs w:val="24"/>
          <w:lang w:val="en-CA"/>
        </w:rPr>
        <w:t>扩大知识库</w:t>
      </w:r>
      <w:r w:rsidRPr="000C0842">
        <w:rPr>
          <w:rFonts w:eastAsia="SimSun" w:hint="eastAsia"/>
          <w:sz w:val="24"/>
          <w:szCs w:val="24"/>
          <w:lang w:val="en-CA"/>
        </w:rPr>
        <w:t>，</w:t>
      </w:r>
      <w:r w:rsidRPr="000C0842">
        <w:rPr>
          <w:rFonts w:eastAsia="SimSun"/>
          <w:sz w:val="24"/>
          <w:szCs w:val="24"/>
          <w:lang w:val="en-CA"/>
        </w:rPr>
        <w:t>提高所有层面数据、信息和知识的可得性、可及性和吸收程度，以期促进循证方案编制和政策设计、知情决策以及《昆蒙框架》的有效执行、执行情况的监测和报告。</w:t>
      </w:r>
      <w:r w:rsidRPr="000C0842">
        <w:rPr>
          <w:rFonts w:eastAsia="SimSun"/>
          <w:sz w:val="24"/>
          <w:szCs w:val="24"/>
          <w:lang w:val="en-CA"/>
        </w:rPr>
        <w:t xml:space="preserve"> </w:t>
      </w:r>
    </w:p>
    <w:p w14:paraId="42757C5D"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下文第八部分的表格列出了与实现这些成果相关的战略目标和构成行动。</w:t>
      </w:r>
    </w:p>
    <w:p w14:paraId="3030C571"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六</w:t>
      </w:r>
      <w:r w:rsidRPr="000C0842">
        <w:rPr>
          <w:rFonts w:eastAsia="SimSun"/>
          <w:b/>
          <w:sz w:val="24"/>
          <w:szCs w:val="24"/>
          <w:lang w:val="en-GB"/>
        </w:rPr>
        <w:t>.</w:t>
      </w:r>
      <w:r w:rsidRPr="000C0842">
        <w:rPr>
          <w:rFonts w:eastAsia="SimSun"/>
          <w:b/>
          <w:sz w:val="24"/>
          <w:szCs w:val="24"/>
          <w:lang w:val="en-GB"/>
        </w:rPr>
        <w:tab/>
      </w:r>
      <w:r w:rsidRPr="000C0842">
        <w:rPr>
          <w:rFonts w:eastAsia="SimSun"/>
          <w:b/>
          <w:sz w:val="24"/>
          <w:szCs w:val="24"/>
          <w:lang w:val="en-GB"/>
        </w:rPr>
        <w:t>执行（</w:t>
      </w:r>
      <w:r w:rsidRPr="000C0842">
        <w:rPr>
          <w:rFonts w:eastAsia="SimSun"/>
          <w:b/>
          <w:sz w:val="24"/>
          <w:szCs w:val="24"/>
          <w:lang w:val="en-GB"/>
        </w:rPr>
        <w:t>2024-2030</w:t>
      </w:r>
      <w:r w:rsidRPr="000C0842">
        <w:rPr>
          <w:rFonts w:eastAsia="SimSun"/>
          <w:b/>
          <w:sz w:val="24"/>
          <w:szCs w:val="24"/>
          <w:lang w:val="en-GB"/>
        </w:rPr>
        <w:t>年）</w:t>
      </w:r>
    </w:p>
    <w:p w14:paraId="5A1348BB"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GB"/>
        </w:rPr>
        <w:t>缔约方和其他国家政府将在土著人民和地方社区、科学和学术机构、妇女</w:t>
      </w:r>
      <w:r w:rsidRPr="000C0842">
        <w:rPr>
          <w:rFonts w:eastAsia="SimSun"/>
          <w:sz w:val="24"/>
          <w:szCs w:val="24"/>
          <w:lang w:val="en-CA"/>
        </w:rPr>
        <w:t>和青年代表、私营部门以及其他利益攸关方</w:t>
      </w:r>
      <w:r w:rsidRPr="000C0842">
        <w:rPr>
          <w:rFonts w:eastAsia="SimSun"/>
          <w:sz w:val="24"/>
          <w:szCs w:val="24"/>
          <w:vertAlign w:val="superscript"/>
          <w:lang w:val="en-CA"/>
        </w:rPr>
        <w:footnoteReference w:id="102"/>
      </w:r>
      <w:r w:rsidRPr="000C0842">
        <w:rPr>
          <w:rFonts w:eastAsia="SimSun"/>
          <w:sz w:val="24"/>
          <w:szCs w:val="24"/>
          <w:lang w:val="en-CA"/>
        </w:rPr>
        <w:t>的参与下，利用秘书处提供的支持</w:t>
      </w:r>
      <w:r w:rsidRPr="000C0842">
        <w:rPr>
          <w:rFonts w:eastAsia="SimSun" w:hint="eastAsia"/>
          <w:sz w:val="24"/>
          <w:szCs w:val="24"/>
          <w:lang w:val="en-CA"/>
        </w:rPr>
        <w:t>,</w:t>
      </w:r>
      <w:r w:rsidRPr="000C0842">
        <w:rPr>
          <w:rFonts w:eastAsia="SimSun"/>
          <w:sz w:val="24"/>
          <w:szCs w:val="24"/>
          <w:lang w:val="en-CA"/>
        </w:rPr>
        <w:t>以包容和促进性别平等的方式执行本战略</w:t>
      </w:r>
      <w:bookmarkStart w:id="28" w:name="TmpSave"/>
      <w:bookmarkEnd w:id="28"/>
      <w:r w:rsidRPr="000C0842">
        <w:rPr>
          <w:rFonts w:eastAsia="SimSun"/>
          <w:sz w:val="24"/>
          <w:szCs w:val="24"/>
          <w:lang w:val="en-CA"/>
        </w:rPr>
        <w:t>。执行工作将依照国家生物多样性战略和行动计划、《昆蒙框架》和缔约方大会相关决定</w:t>
      </w:r>
      <w:r w:rsidRPr="000C0842">
        <w:rPr>
          <w:rFonts w:eastAsia="SimSun"/>
          <w:sz w:val="24"/>
          <w:szCs w:val="24"/>
          <w:vertAlign w:val="superscript"/>
          <w:lang w:val="en-CA"/>
        </w:rPr>
        <w:footnoteReference w:id="103"/>
      </w:r>
      <w:r w:rsidRPr="000C0842">
        <w:rPr>
          <w:rFonts w:eastAsia="SimSun"/>
          <w:sz w:val="24"/>
          <w:szCs w:val="24"/>
          <w:lang w:val="en-CA"/>
        </w:rPr>
        <w:t>概述的优先事项，通过充分利用现有资源并与相关组织和进程合作，同时有一项谅解，秘书处的任何新的和额外活动都必须在资源允许的情况下进行。</w:t>
      </w:r>
    </w:p>
    <w:p w14:paraId="30DA0F1E"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战略执行工作将支持并符合有关知识管理的国家</w:t>
      </w:r>
      <w:r w:rsidRPr="000C0842">
        <w:rPr>
          <w:rFonts w:eastAsia="SimSun" w:hint="eastAsia"/>
          <w:sz w:val="24"/>
          <w:szCs w:val="24"/>
          <w:lang w:val="en-CA"/>
        </w:rPr>
        <w:t>法律</w:t>
      </w:r>
      <w:r w:rsidRPr="000C0842">
        <w:rPr>
          <w:rFonts w:eastAsia="SimSun"/>
          <w:sz w:val="24"/>
          <w:szCs w:val="24"/>
          <w:lang w:val="en-CA"/>
        </w:rPr>
        <w:t>和条例。</w:t>
      </w:r>
    </w:p>
    <w:p w14:paraId="3882BBEE"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CA"/>
        </w:rPr>
      </w:pPr>
      <w:r w:rsidRPr="000C0842">
        <w:rPr>
          <w:rFonts w:eastAsia="SimSun"/>
          <w:sz w:val="24"/>
          <w:szCs w:val="24"/>
          <w:lang w:val="en-CA"/>
        </w:rPr>
        <w:t>本战略将考虑到各国，特别是发展中国家</w:t>
      </w:r>
      <w:r w:rsidRPr="000C0842">
        <w:rPr>
          <w:rFonts w:eastAsia="SimSun" w:hint="eastAsia"/>
          <w:sz w:val="24"/>
          <w:szCs w:val="24"/>
          <w:lang w:val="en-CA"/>
        </w:rPr>
        <w:t>，尤其</w:t>
      </w:r>
      <w:r w:rsidRPr="000C0842">
        <w:rPr>
          <w:rFonts w:eastAsia="SimSun"/>
          <w:sz w:val="24"/>
          <w:szCs w:val="24"/>
          <w:lang w:val="en-CA"/>
        </w:rPr>
        <w:t>是其中</w:t>
      </w:r>
      <w:r w:rsidRPr="000C0842">
        <w:rPr>
          <w:rFonts w:eastAsia="SimSun" w:hint="eastAsia"/>
          <w:sz w:val="24"/>
          <w:szCs w:val="24"/>
          <w:lang w:val="en-CA"/>
        </w:rPr>
        <w:t>的</w:t>
      </w:r>
      <w:r w:rsidRPr="000C0842">
        <w:rPr>
          <w:rFonts w:eastAsia="SimSun"/>
          <w:sz w:val="24"/>
          <w:szCs w:val="24"/>
          <w:lang w:val="en-CA"/>
        </w:rPr>
        <w:t>最不发达国家和小岛屿发展中国家以及经济转型国家生成和获取生物多样性相关数据、信息和知识的能力、技术、工艺和财政差距。本战略将优先考虑让土著人民和地方社区、妇女、青年和弱势群体参与保护和可持续利用生物多样性研究方案的需要。</w:t>
      </w:r>
    </w:p>
    <w:p w14:paraId="0A705EA0"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rPr>
      </w:pPr>
      <w:r w:rsidRPr="000C0842">
        <w:rPr>
          <w:rFonts w:eastAsia="SimSun"/>
          <w:sz w:val="24"/>
          <w:szCs w:val="24"/>
          <w:lang w:val="en-CA"/>
        </w:rPr>
        <w:t>缔约方将根据《公约》，尤其是第</w:t>
      </w:r>
      <w:r w:rsidRPr="000C0842">
        <w:rPr>
          <w:rFonts w:eastAsia="SimSun"/>
          <w:sz w:val="24"/>
          <w:szCs w:val="24"/>
          <w:lang w:val="en-CA"/>
        </w:rPr>
        <w:t>16</w:t>
      </w:r>
      <w:r w:rsidRPr="000C0842">
        <w:rPr>
          <w:rFonts w:eastAsia="SimSun"/>
          <w:sz w:val="24"/>
          <w:szCs w:val="24"/>
          <w:lang w:val="en-CA"/>
        </w:rPr>
        <w:t>条、第</w:t>
      </w:r>
      <w:r w:rsidRPr="000C0842">
        <w:rPr>
          <w:rFonts w:eastAsia="SimSun"/>
          <w:sz w:val="24"/>
          <w:szCs w:val="24"/>
          <w:lang w:val="en-CA"/>
        </w:rPr>
        <w:t>17</w:t>
      </w:r>
      <w:r w:rsidRPr="000C0842">
        <w:rPr>
          <w:rFonts w:eastAsia="SimSun"/>
          <w:sz w:val="24"/>
          <w:szCs w:val="24"/>
          <w:lang w:val="en-CA"/>
        </w:rPr>
        <w:t>条、第</w:t>
      </w:r>
      <w:r w:rsidRPr="000C0842">
        <w:rPr>
          <w:rFonts w:eastAsia="SimSun"/>
          <w:sz w:val="24"/>
          <w:szCs w:val="24"/>
          <w:lang w:val="en-CA"/>
        </w:rPr>
        <w:t>18</w:t>
      </w:r>
      <w:r w:rsidRPr="000C0842">
        <w:rPr>
          <w:rFonts w:eastAsia="SimSun"/>
          <w:sz w:val="24"/>
          <w:szCs w:val="24"/>
          <w:lang w:val="en-CA"/>
        </w:rPr>
        <w:t>条和第</w:t>
      </w:r>
      <w:r w:rsidRPr="000C0842">
        <w:rPr>
          <w:rFonts w:eastAsia="SimSun"/>
          <w:sz w:val="24"/>
          <w:szCs w:val="24"/>
          <w:lang w:val="en-CA"/>
        </w:rPr>
        <w:t>20</w:t>
      </w:r>
      <w:r w:rsidRPr="000C0842">
        <w:rPr>
          <w:rFonts w:eastAsia="SimSun"/>
          <w:sz w:val="24"/>
          <w:szCs w:val="24"/>
          <w:lang w:val="en-CA"/>
        </w:rPr>
        <w:t>条执行</w:t>
      </w:r>
      <w:r w:rsidRPr="000C0842">
        <w:rPr>
          <w:rFonts w:eastAsia="SimSun"/>
          <w:sz w:val="24"/>
          <w:szCs w:val="24"/>
          <w:lang w:val="en-GB"/>
        </w:rPr>
        <w:t>本战略。</w:t>
      </w:r>
    </w:p>
    <w:p w14:paraId="13EAC657" w14:textId="77777777" w:rsidR="006D5DBD" w:rsidRPr="000C0842" w:rsidRDefault="006D5DBD" w:rsidP="00D6044B">
      <w:pPr>
        <w:tabs>
          <w:tab w:val="clear" w:pos="567"/>
          <w:tab w:val="clear" w:pos="1134"/>
          <w:tab w:val="clear" w:pos="1701"/>
          <w:tab w:val="clear" w:pos="2268"/>
        </w:tabs>
        <w:adjustRightInd w:val="0"/>
        <w:snapToGrid w:val="0"/>
        <w:spacing w:before="240" w:after="120" w:line="240" w:lineRule="atLeast"/>
        <w:rPr>
          <w:rFonts w:eastAsia="SimSun"/>
          <w:b/>
          <w:sz w:val="24"/>
          <w:szCs w:val="24"/>
          <w:lang w:val="en-GB"/>
        </w:rPr>
      </w:pPr>
      <w:r w:rsidRPr="000C0842">
        <w:rPr>
          <w:rFonts w:eastAsia="SimSun"/>
          <w:b/>
          <w:sz w:val="24"/>
          <w:szCs w:val="24"/>
          <w:lang w:val="en-GB"/>
        </w:rPr>
        <w:t>七</w:t>
      </w:r>
      <w:r w:rsidRPr="000C0842">
        <w:rPr>
          <w:rFonts w:eastAsia="SimSun"/>
          <w:b/>
          <w:sz w:val="24"/>
          <w:szCs w:val="24"/>
          <w:lang w:val="en-GB"/>
        </w:rPr>
        <w:t>.</w:t>
      </w:r>
      <w:r w:rsidRPr="000C0842">
        <w:rPr>
          <w:rFonts w:eastAsia="SimSun"/>
          <w:b/>
          <w:sz w:val="24"/>
          <w:szCs w:val="24"/>
          <w:lang w:val="en-GB"/>
        </w:rPr>
        <w:tab/>
      </w:r>
      <w:r w:rsidRPr="000C0842">
        <w:rPr>
          <w:rFonts w:eastAsia="SimSun"/>
          <w:b/>
          <w:sz w:val="24"/>
          <w:szCs w:val="24"/>
          <w:lang w:val="en-GB"/>
        </w:rPr>
        <w:t>监测</w:t>
      </w:r>
    </w:p>
    <w:p w14:paraId="30C7C382" w14:textId="77777777" w:rsidR="006D5DBD" w:rsidRPr="000C0842" w:rsidRDefault="006D5DBD">
      <w:pPr>
        <w:numPr>
          <w:ilvl w:val="0"/>
          <w:numId w:val="12"/>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GB"/>
        </w:rPr>
      </w:pPr>
      <w:r w:rsidRPr="000C0842">
        <w:rPr>
          <w:rFonts w:eastAsia="SimSun"/>
          <w:sz w:val="24"/>
          <w:szCs w:val="24"/>
          <w:lang w:val="en-GB"/>
        </w:rPr>
        <w:t>将与土著人民和地方社区、妇女和青年代表及相关利益攸关方合作，</w:t>
      </w:r>
      <w:r w:rsidRPr="000C0842">
        <w:rPr>
          <w:rFonts w:eastAsia="SimSun"/>
          <w:sz w:val="24"/>
          <w:szCs w:val="24"/>
          <w:lang w:val="en-CA"/>
        </w:rPr>
        <w:t>利用缔约方在其国家报告中提供的信息</w:t>
      </w:r>
      <w:r w:rsidRPr="000C0842">
        <w:rPr>
          <w:rFonts w:eastAsia="SimSun"/>
          <w:sz w:val="24"/>
          <w:szCs w:val="24"/>
          <w:lang w:val="en-GB"/>
        </w:rPr>
        <w:t>，在次国家、国家和区域层面监测本战略的执行情况。在资金和资源允许的情况下，秘书处、区域和次区域支持中心和相关组织将向缔约方、土著人民和地方社区、妇女和青年代表以及相关利益攸关方提供支持，协助其执行本战略并监测其进度。监测过程中产生的信息将在适当情况下用于指导</w:t>
      </w:r>
      <w:r w:rsidRPr="000C0842">
        <w:rPr>
          <w:rFonts w:eastAsia="SimSun"/>
          <w:sz w:val="24"/>
          <w:szCs w:val="24"/>
          <w:lang w:val="en-GB"/>
        </w:rPr>
        <w:t>2030</w:t>
      </w:r>
      <w:r w:rsidRPr="000C0842">
        <w:rPr>
          <w:rFonts w:eastAsia="SimSun"/>
          <w:sz w:val="24"/>
          <w:szCs w:val="24"/>
          <w:lang w:val="en-GB"/>
        </w:rPr>
        <w:t>年对战略的审查和修订。</w:t>
      </w:r>
    </w:p>
    <w:p w14:paraId="79391D2F" w14:textId="77777777" w:rsidR="006D5DBD" w:rsidRPr="000C0842" w:rsidRDefault="006D5DBD" w:rsidP="006D5DBD">
      <w:pPr>
        <w:tabs>
          <w:tab w:val="clear" w:pos="567"/>
          <w:tab w:val="clear" w:pos="1134"/>
          <w:tab w:val="clear" w:pos="1701"/>
          <w:tab w:val="clear" w:pos="2268"/>
        </w:tabs>
        <w:adjustRightInd w:val="0"/>
        <w:snapToGrid w:val="0"/>
        <w:spacing w:before="120" w:after="120" w:line="240" w:lineRule="atLeast"/>
        <w:rPr>
          <w:rFonts w:eastAsia="SimSun"/>
          <w:b/>
          <w:sz w:val="24"/>
          <w:szCs w:val="24"/>
          <w:lang w:val="en-GB"/>
        </w:rPr>
      </w:pPr>
      <w:r w:rsidRPr="000C0842">
        <w:rPr>
          <w:rFonts w:eastAsia="SimSun"/>
          <w:b/>
          <w:sz w:val="24"/>
          <w:szCs w:val="24"/>
          <w:lang w:val="en-GB"/>
        </w:rPr>
        <w:t>八．战略目标和构成行动</w:t>
      </w:r>
    </w:p>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110"/>
      </w:tblGrid>
      <w:tr w:rsidR="000C0842" w:rsidRPr="000C0842" w14:paraId="07FB8F99" w14:textId="77777777" w:rsidTr="001F32B3">
        <w:trPr>
          <w:trHeight w:val="404"/>
          <w:tblHeader/>
        </w:trPr>
        <w:tc>
          <w:tcPr>
            <w:tcW w:w="1800" w:type="dxa"/>
          </w:tcPr>
          <w:p w14:paraId="1F219002"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KaiTi"/>
                <w:bCs/>
                <w:kern w:val="2"/>
                <w:sz w:val="24"/>
                <w:szCs w:val="24"/>
                <w14:ligatures w14:val="standardContextual"/>
              </w:rPr>
            </w:pPr>
            <w:r w:rsidRPr="000C0842">
              <w:rPr>
                <w:rFonts w:eastAsia="KaiTi"/>
                <w:bCs/>
                <w:kern w:val="2"/>
                <w:sz w:val="24"/>
                <w:szCs w:val="24"/>
                <w14:ligatures w14:val="standardContextual"/>
              </w:rPr>
              <w:t>战略目标</w:t>
            </w:r>
          </w:p>
        </w:tc>
        <w:tc>
          <w:tcPr>
            <w:tcW w:w="7110" w:type="dxa"/>
          </w:tcPr>
          <w:p w14:paraId="659E60FC"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KaiTi"/>
                <w:bCs/>
                <w:kern w:val="2"/>
                <w:sz w:val="24"/>
                <w:szCs w:val="24"/>
                <w14:ligatures w14:val="standardContextual"/>
              </w:rPr>
            </w:pPr>
            <w:r w:rsidRPr="000C0842">
              <w:rPr>
                <w:rFonts w:eastAsia="KaiTi"/>
                <w:bCs/>
                <w:kern w:val="2"/>
                <w:sz w:val="24"/>
                <w:szCs w:val="24"/>
                <w14:ligatures w14:val="standardContextual"/>
              </w:rPr>
              <w:t>构成行动</w:t>
            </w:r>
          </w:p>
        </w:tc>
      </w:tr>
      <w:tr w:rsidR="000C0842" w:rsidRPr="000C0842" w14:paraId="44A4F043" w14:textId="77777777" w:rsidTr="001F32B3">
        <w:trPr>
          <w:trHeight w:val="360"/>
        </w:trPr>
        <w:tc>
          <w:tcPr>
            <w:tcW w:w="1800" w:type="dxa"/>
            <w:vMerge w:val="restart"/>
            <w:tcMar>
              <w:top w:w="115" w:type="dxa"/>
              <w:left w:w="115" w:type="dxa"/>
              <w:bottom w:w="115" w:type="dxa"/>
              <w:right w:w="115" w:type="dxa"/>
            </w:tcMar>
          </w:tcPr>
          <w:p w14:paraId="58C09136"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A</w:t>
            </w:r>
            <w:r w:rsidRPr="000C0842">
              <w:rPr>
                <w:rFonts w:eastAsia="SimSun"/>
                <w:b/>
                <w:bCs/>
                <w:kern w:val="2"/>
                <w:sz w:val="24"/>
                <w:szCs w:val="24"/>
                <w14:ligatures w14:val="standardContextual"/>
              </w:rPr>
              <w:t>.</w:t>
            </w:r>
            <w:r w:rsidRPr="000C0842">
              <w:rPr>
                <w:rFonts w:eastAsia="SimSun"/>
                <w:b/>
                <w:bCs/>
                <w:kern w:val="2"/>
                <w:sz w:val="24"/>
                <w:szCs w:val="24"/>
                <w:shd w:val="clear" w:color="auto" w:fill="FFFFFF"/>
                <w14:ligatures w14:val="standardContextual"/>
              </w:rPr>
              <w:t xml:space="preserve"> </w:t>
            </w:r>
            <w:r w:rsidRPr="000C0842">
              <w:rPr>
                <w:rFonts w:eastAsia="SimSun"/>
                <w:kern w:val="2"/>
                <w:sz w:val="24"/>
                <w:szCs w:val="24"/>
                <w14:ligatures w14:val="standardContextual"/>
              </w:rPr>
              <w:t>界定情况和需求</w:t>
            </w:r>
            <w:r w:rsidRPr="000C0842">
              <w:rPr>
                <w:rFonts w:eastAsia="SimSun"/>
                <w:kern w:val="2"/>
                <w:sz w:val="24"/>
                <w:szCs w:val="24"/>
                <w14:ligatures w14:val="standardContextual"/>
              </w:rPr>
              <w:t xml:space="preserve"> </w:t>
            </w:r>
          </w:p>
          <w:p w14:paraId="6E8F9A08"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b/>
                <w:bCs/>
                <w:kern w:val="2"/>
                <w:sz w:val="24"/>
                <w:szCs w:val="24"/>
                <w:shd w:val="clear" w:color="auto" w:fill="FFFFFF"/>
                <w14:ligatures w14:val="standardContextual"/>
              </w:rPr>
            </w:pPr>
          </w:p>
        </w:tc>
        <w:tc>
          <w:tcPr>
            <w:tcW w:w="7110" w:type="dxa"/>
          </w:tcPr>
          <w:p w14:paraId="161527CF"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vertAlign w:val="superscript"/>
                <w14:ligatures w14:val="standardContextual"/>
              </w:rPr>
            </w:pPr>
            <w:r w:rsidRPr="000C0842">
              <w:rPr>
                <w:rFonts w:eastAsia="SimSun"/>
                <w:kern w:val="2"/>
                <w:sz w:val="24"/>
                <w:szCs w:val="24"/>
                <w14:ligatures w14:val="standardContextual"/>
              </w:rPr>
              <w:t xml:space="preserve">1.  </w:t>
            </w:r>
            <w:r w:rsidRPr="000C0842">
              <w:rPr>
                <w:rFonts w:eastAsia="SimSun"/>
                <w:kern w:val="2"/>
                <w:sz w:val="24"/>
                <w:szCs w:val="24"/>
                <w14:ligatures w14:val="standardContextual"/>
              </w:rPr>
              <w:t>查明与《昆明</w:t>
            </w:r>
            <w:r w:rsidRPr="000C0842">
              <w:rPr>
                <w:rFonts w:eastAsia="SimSun"/>
                <w:kern w:val="2"/>
                <w:sz w:val="24"/>
                <w:szCs w:val="24"/>
                <w14:ligatures w14:val="standardContextual"/>
              </w:rPr>
              <w:t>-</w:t>
            </w:r>
            <w:r w:rsidRPr="000C0842">
              <w:rPr>
                <w:rFonts w:eastAsia="SimSun"/>
                <w:kern w:val="2"/>
                <w:sz w:val="24"/>
                <w:szCs w:val="24"/>
                <w14:ligatures w14:val="standardContextual"/>
              </w:rPr>
              <w:t>蒙特利尔全球生物多样性框架》及国家生物多样性战略和行动计划相关的现有知识资产、知识持有者、管理者、资源</w:t>
            </w:r>
            <w:r w:rsidRPr="000C0842">
              <w:rPr>
                <w:rFonts w:eastAsia="SimSun"/>
                <w:kern w:val="2"/>
                <w:sz w:val="24"/>
                <w:szCs w:val="24"/>
                <w:vertAlign w:val="superscript"/>
                <w14:ligatures w14:val="standardContextual"/>
              </w:rPr>
              <w:footnoteReference w:id="104"/>
            </w:r>
            <w:r w:rsidRPr="000C0842">
              <w:rPr>
                <w:rFonts w:eastAsia="SimSun"/>
                <w:kern w:val="2"/>
                <w:sz w:val="24"/>
                <w:szCs w:val="24"/>
                <w14:ligatures w14:val="standardContextual"/>
              </w:rPr>
              <w:t>和平台。</w:t>
            </w:r>
          </w:p>
        </w:tc>
      </w:tr>
      <w:tr w:rsidR="000C0842" w:rsidRPr="000C0842" w14:paraId="6CF0780B" w14:textId="77777777" w:rsidTr="001F32B3">
        <w:trPr>
          <w:trHeight w:val="360"/>
        </w:trPr>
        <w:tc>
          <w:tcPr>
            <w:tcW w:w="1800" w:type="dxa"/>
            <w:vMerge/>
            <w:tcMar>
              <w:top w:w="115" w:type="dxa"/>
              <w:left w:w="115" w:type="dxa"/>
              <w:bottom w:w="115" w:type="dxa"/>
              <w:right w:w="115" w:type="dxa"/>
            </w:tcMar>
          </w:tcPr>
          <w:p w14:paraId="06A21FCC"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Cs/>
                <w:kern w:val="2"/>
                <w:sz w:val="24"/>
                <w:szCs w:val="24"/>
                <w14:ligatures w14:val="standardContextual"/>
              </w:rPr>
            </w:pPr>
          </w:p>
        </w:tc>
        <w:tc>
          <w:tcPr>
            <w:tcW w:w="7110" w:type="dxa"/>
          </w:tcPr>
          <w:p w14:paraId="14AA8657"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2. </w:t>
            </w:r>
            <w:r w:rsidRPr="000C0842">
              <w:rPr>
                <w:rFonts w:eastAsia="SimSun"/>
                <w:kern w:val="22"/>
                <w:sz w:val="24"/>
                <w:szCs w:val="24"/>
                <w14:ligatures w14:val="standardContextual"/>
              </w:rPr>
              <w:t xml:space="preserve"> </w:t>
            </w:r>
            <w:r w:rsidRPr="000C0842">
              <w:rPr>
                <w:rFonts w:eastAsia="SimSun"/>
                <w:kern w:val="2"/>
                <w:sz w:val="24"/>
                <w:szCs w:val="24"/>
                <w14:ligatures w14:val="standardContextual"/>
              </w:rPr>
              <w:t>查明缔约方的知识空白、需求和优先事项。</w:t>
            </w:r>
          </w:p>
        </w:tc>
      </w:tr>
      <w:tr w:rsidR="000C0842" w:rsidRPr="000C0842" w14:paraId="436BCDF6" w14:textId="77777777" w:rsidTr="001F32B3">
        <w:trPr>
          <w:trHeight w:val="360"/>
        </w:trPr>
        <w:tc>
          <w:tcPr>
            <w:tcW w:w="1800" w:type="dxa"/>
            <w:vMerge/>
            <w:tcMar>
              <w:top w:w="115" w:type="dxa"/>
              <w:left w:w="115" w:type="dxa"/>
              <w:bottom w:w="115" w:type="dxa"/>
              <w:right w:w="115" w:type="dxa"/>
            </w:tcMar>
          </w:tcPr>
          <w:p w14:paraId="603A1FED"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Cs/>
                <w:kern w:val="2"/>
                <w:sz w:val="24"/>
                <w:szCs w:val="24"/>
                <w14:ligatures w14:val="standardContextual"/>
              </w:rPr>
            </w:pPr>
          </w:p>
        </w:tc>
        <w:tc>
          <w:tcPr>
            <w:tcW w:w="7110" w:type="dxa"/>
          </w:tcPr>
          <w:p w14:paraId="30E7B08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3. </w:t>
            </w:r>
            <w:r w:rsidRPr="000C0842">
              <w:rPr>
                <w:rFonts w:eastAsia="SimSun"/>
                <w:kern w:val="22"/>
                <w:sz w:val="24"/>
                <w:szCs w:val="24"/>
                <w14:ligatures w14:val="standardContextual"/>
              </w:rPr>
              <w:t xml:space="preserve"> </w:t>
            </w:r>
            <w:r w:rsidRPr="000C0842">
              <w:rPr>
                <w:rFonts w:eastAsia="SimSun"/>
                <w:kern w:val="2"/>
                <w:sz w:val="24"/>
                <w:szCs w:val="24"/>
                <w14:ligatures w14:val="standardContextual"/>
              </w:rPr>
              <w:t>查明</w:t>
            </w:r>
            <w:r w:rsidRPr="000C0842">
              <w:rPr>
                <w:rFonts w:eastAsia="SimSun" w:hint="eastAsia"/>
                <w:kern w:val="2"/>
                <w:sz w:val="24"/>
                <w:szCs w:val="24"/>
                <w14:ligatures w14:val="standardContextual"/>
              </w:rPr>
              <w:t>解决</w:t>
            </w:r>
            <w:r w:rsidRPr="000C0842">
              <w:rPr>
                <w:rFonts w:eastAsia="SimSun"/>
                <w:kern w:val="2"/>
                <w:sz w:val="24"/>
                <w:szCs w:val="24"/>
                <w14:ligatures w14:val="standardContextual"/>
              </w:rPr>
              <w:t>已确定知识空白和需求的备选方案和机制。</w:t>
            </w:r>
          </w:p>
        </w:tc>
      </w:tr>
      <w:tr w:rsidR="000C0842" w:rsidRPr="000C0842" w14:paraId="37DE3F63" w14:textId="77777777" w:rsidTr="001F32B3">
        <w:trPr>
          <w:trHeight w:val="240"/>
        </w:trPr>
        <w:tc>
          <w:tcPr>
            <w:tcW w:w="1800" w:type="dxa"/>
            <w:vMerge/>
            <w:tcMar>
              <w:top w:w="115" w:type="dxa"/>
              <w:left w:w="115" w:type="dxa"/>
              <w:bottom w:w="115" w:type="dxa"/>
              <w:right w:w="115" w:type="dxa"/>
            </w:tcMar>
          </w:tcPr>
          <w:p w14:paraId="19C92292"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Cs/>
                <w:kern w:val="2"/>
                <w:sz w:val="24"/>
                <w:szCs w:val="24"/>
                <w14:ligatures w14:val="standardContextual"/>
              </w:rPr>
            </w:pPr>
          </w:p>
        </w:tc>
        <w:tc>
          <w:tcPr>
            <w:tcW w:w="7110" w:type="dxa"/>
          </w:tcPr>
          <w:p w14:paraId="54400A76"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4. </w:t>
            </w:r>
            <w:r w:rsidRPr="000C0842">
              <w:rPr>
                <w:rFonts w:eastAsia="SimSun"/>
                <w:kern w:val="22"/>
                <w:sz w:val="24"/>
                <w:szCs w:val="24"/>
                <w14:ligatures w14:val="standardContextual"/>
              </w:rPr>
              <w:t xml:space="preserve"> </w:t>
            </w:r>
            <w:r w:rsidRPr="000C0842">
              <w:rPr>
                <w:rFonts w:eastAsia="SimSun"/>
                <w:kern w:val="2"/>
                <w:sz w:val="24"/>
                <w:szCs w:val="24"/>
                <w14:ligatures w14:val="standardContextual"/>
              </w:rPr>
              <w:t>根据缔约方提出的需求和优先事项制定国家和区域知识管理、战略和行动计划。</w:t>
            </w:r>
          </w:p>
        </w:tc>
      </w:tr>
      <w:tr w:rsidR="000C0842" w:rsidRPr="000C0842" w14:paraId="3C56F119" w14:textId="77777777" w:rsidTr="001F32B3">
        <w:trPr>
          <w:trHeight w:val="550"/>
        </w:trPr>
        <w:tc>
          <w:tcPr>
            <w:tcW w:w="1800" w:type="dxa"/>
            <w:vMerge/>
            <w:tcMar>
              <w:top w:w="115" w:type="dxa"/>
              <w:left w:w="115" w:type="dxa"/>
              <w:bottom w:w="115" w:type="dxa"/>
              <w:right w:w="115" w:type="dxa"/>
            </w:tcMar>
          </w:tcPr>
          <w:p w14:paraId="64328FBB"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Cs/>
                <w:kern w:val="2"/>
                <w:sz w:val="24"/>
                <w:szCs w:val="24"/>
                <w14:ligatures w14:val="standardContextual"/>
              </w:rPr>
            </w:pPr>
          </w:p>
        </w:tc>
        <w:tc>
          <w:tcPr>
            <w:tcW w:w="7110" w:type="dxa"/>
          </w:tcPr>
          <w:p w14:paraId="02C0DFD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5. </w:t>
            </w:r>
            <w:r w:rsidRPr="000C0842">
              <w:rPr>
                <w:rFonts w:eastAsia="SimSun"/>
                <w:kern w:val="22"/>
                <w:sz w:val="24"/>
                <w:szCs w:val="24"/>
                <w14:ligatures w14:val="standardContextual"/>
              </w:rPr>
              <w:t xml:space="preserve"> </w:t>
            </w:r>
            <w:r w:rsidRPr="000C0842">
              <w:rPr>
                <w:rFonts w:eastAsia="SimSun"/>
                <w:kern w:val="2"/>
                <w:sz w:val="24"/>
                <w:szCs w:val="24"/>
                <w14:ligatures w14:val="standardContextual"/>
              </w:rPr>
              <w:t>评估全球、区域、国家和次国家各级的现有知识管理系统和平台的有效性。</w:t>
            </w:r>
          </w:p>
        </w:tc>
      </w:tr>
      <w:tr w:rsidR="000C0842" w:rsidRPr="000C0842" w14:paraId="4512E6EC" w14:textId="77777777" w:rsidTr="001F32B3">
        <w:trPr>
          <w:trHeight w:val="271"/>
        </w:trPr>
        <w:tc>
          <w:tcPr>
            <w:tcW w:w="1800" w:type="dxa"/>
            <w:vMerge w:val="restart"/>
            <w:tcMar>
              <w:top w:w="115" w:type="dxa"/>
              <w:left w:w="115" w:type="dxa"/>
              <w:bottom w:w="115" w:type="dxa"/>
              <w:right w:w="115" w:type="dxa"/>
            </w:tcMar>
          </w:tcPr>
          <w:p w14:paraId="6E6C314F"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b/>
                <w:bCs/>
                <w:kern w:val="2"/>
                <w:sz w:val="24"/>
                <w:szCs w:val="24"/>
                <w14:ligatures w14:val="standardContextual"/>
              </w:rPr>
            </w:pPr>
            <w:r w:rsidRPr="000C0842">
              <w:rPr>
                <w:rFonts w:eastAsia="SimSun"/>
                <w:kern w:val="2"/>
                <w:sz w:val="24"/>
                <w:szCs w:val="24"/>
                <w14:ligatures w14:val="standardContextual"/>
              </w:rPr>
              <w:t xml:space="preserve">B. </w:t>
            </w:r>
            <w:r w:rsidRPr="000C0842">
              <w:rPr>
                <w:rFonts w:eastAsia="SimSun"/>
                <w:kern w:val="2"/>
                <w:sz w:val="24"/>
                <w:szCs w:val="24"/>
                <w14:ligatures w14:val="standardContextual"/>
              </w:rPr>
              <w:t>促进知识生成和汇总</w:t>
            </w:r>
          </w:p>
        </w:tc>
        <w:tc>
          <w:tcPr>
            <w:tcW w:w="7110" w:type="dxa"/>
          </w:tcPr>
          <w:p w14:paraId="47ACA3C0"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1. </w:t>
            </w:r>
            <w:r w:rsidRPr="000C0842">
              <w:rPr>
                <w:rFonts w:eastAsia="SimSun"/>
                <w:kern w:val="2"/>
                <w:sz w:val="24"/>
                <w:szCs w:val="24"/>
                <w14:ligatures w14:val="standardContextual"/>
              </w:rPr>
              <w:t>为共同创造和生成知识建立多利益攸关方的程序和机制。</w:t>
            </w:r>
          </w:p>
        </w:tc>
      </w:tr>
      <w:tr w:rsidR="000C0842" w:rsidRPr="000C0842" w14:paraId="28A2B0C1" w14:textId="77777777" w:rsidTr="001F32B3">
        <w:trPr>
          <w:trHeight w:val="451"/>
        </w:trPr>
        <w:tc>
          <w:tcPr>
            <w:tcW w:w="1800" w:type="dxa"/>
            <w:vMerge/>
            <w:tcMar>
              <w:top w:w="115" w:type="dxa"/>
              <w:left w:w="115" w:type="dxa"/>
              <w:bottom w:w="115" w:type="dxa"/>
              <w:right w:w="115" w:type="dxa"/>
            </w:tcMar>
          </w:tcPr>
          <w:p w14:paraId="0131D457"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b/>
                <w:bCs/>
                <w:kern w:val="2"/>
                <w:sz w:val="24"/>
                <w:szCs w:val="24"/>
                <w14:ligatures w14:val="standardContextual"/>
              </w:rPr>
            </w:pPr>
          </w:p>
        </w:tc>
        <w:tc>
          <w:tcPr>
            <w:tcW w:w="7110" w:type="dxa"/>
          </w:tcPr>
          <w:p w14:paraId="6FABB098"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2.  </w:t>
            </w:r>
            <w:r w:rsidRPr="000C0842">
              <w:rPr>
                <w:rFonts w:eastAsia="SimSun"/>
                <w:kern w:val="2"/>
                <w:sz w:val="24"/>
                <w:szCs w:val="24"/>
                <w14:ligatures w14:val="standardContextual"/>
              </w:rPr>
              <w:t>加强各政府机构、各组织、科学和学术机构、私营部门和相关倡议之间的协作，促进知识生成。</w:t>
            </w:r>
          </w:p>
        </w:tc>
      </w:tr>
      <w:tr w:rsidR="000C0842" w:rsidRPr="000C0842" w14:paraId="2F7F01D4" w14:textId="77777777" w:rsidTr="001F32B3">
        <w:trPr>
          <w:trHeight w:val="99"/>
        </w:trPr>
        <w:tc>
          <w:tcPr>
            <w:tcW w:w="1800" w:type="dxa"/>
            <w:vMerge/>
            <w:tcMar>
              <w:top w:w="115" w:type="dxa"/>
              <w:left w:w="115" w:type="dxa"/>
              <w:bottom w:w="115" w:type="dxa"/>
              <w:right w:w="115" w:type="dxa"/>
            </w:tcMar>
          </w:tcPr>
          <w:p w14:paraId="0463B2F6"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b/>
                <w:bCs/>
                <w:kern w:val="2"/>
                <w:sz w:val="24"/>
                <w:szCs w:val="24"/>
                <w14:ligatures w14:val="standardContextual"/>
              </w:rPr>
            </w:pPr>
          </w:p>
        </w:tc>
        <w:tc>
          <w:tcPr>
            <w:tcW w:w="7110" w:type="dxa"/>
          </w:tcPr>
          <w:p w14:paraId="7FD5287B"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3. </w:t>
            </w:r>
            <w:r w:rsidRPr="000C0842">
              <w:rPr>
                <w:rFonts w:eastAsia="SimSun"/>
                <w:kern w:val="2"/>
                <w:sz w:val="24"/>
                <w:szCs w:val="24"/>
                <w14:ligatures w14:val="standardContextual"/>
              </w:rPr>
              <w:t>动员和鼓励研究和学术机构、传统知识持有者以及其他知识机构和社区开展研究并分享相关数据、信息和知识。</w:t>
            </w:r>
          </w:p>
        </w:tc>
      </w:tr>
      <w:tr w:rsidR="000C0842" w:rsidRPr="000C0842" w14:paraId="656E8D87" w14:textId="77777777" w:rsidTr="001F32B3">
        <w:trPr>
          <w:trHeight w:val="99"/>
        </w:trPr>
        <w:tc>
          <w:tcPr>
            <w:tcW w:w="1800" w:type="dxa"/>
            <w:vMerge/>
            <w:tcMar>
              <w:top w:w="115" w:type="dxa"/>
              <w:left w:w="115" w:type="dxa"/>
              <w:bottom w:w="115" w:type="dxa"/>
              <w:right w:w="115" w:type="dxa"/>
            </w:tcMar>
          </w:tcPr>
          <w:p w14:paraId="3675E155"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b/>
                <w:bCs/>
                <w:kern w:val="2"/>
                <w:sz w:val="24"/>
                <w:szCs w:val="24"/>
                <w14:ligatures w14:val="standardContextual"/>
              </w:rPr>
            </w:pPr>
          </w:p>
        </w:tc>
        <w:tc>
          <w:tcPr>
            <w:tcW w:w="7110" w:type="dxa"/>
          </w:tcPr>
          <w:p w14:paraId="63524003" w14:textId="77777777" w:rsidR="006D5DBD" w:rsidRPr="000C0842" w:rsidRDefault="006D5DBD" w:rsidP="006D5DBD">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SimSun"/>
                <w:iCs/>
                <w:kern w:val="2"/>
                <w:sz w:val="24"/>
                <w:szCs w:val="24"/>
                <w14:ligatures w14:val="standardContextual"/>
              </w:rPr>
            </w:pPr>
            <w:r w:rsidRPr="000C0842">
              <w:rPr>
                <w:rFonts w:eastAsia="SimSun"/>
                <w:kern w:val="2"/>
                <w:sz w:val="24"/>
                <w:szCs w:val="24"/>
                <w14:ligatures w14:val="standardContextual"/>
              </w:rPr>
              <w:t xml:space="preserve">4.  </w:t>
            </w:r>
            <w:r w:rsidRPr="000C0842">
              <w:rPr>
                <w:rFonts w:eastAsia="SimSun"/>
                <w:kern w:val="2"/>
                <w:sz w:val="24"/>
                <w:szCs w:val="24"/>
                <w14:ligatures w14:val="standardContextual"/>
              </w:rPr>
              <w:t>加强国家和区域生成知识的能力，包括在次国家和地方各级由普通公民收集数据、信息和知识的能力。</w:t>
            </w:r>
          </w:p>
        </w:tc>
      </w:tr>
      <w:tr w:rsidR="000C0842" w:rsidRPr="000C0842" w14:paraId="040FD9F5" w14:textId="77777777" w:rsidTr="001F32B3">
        <w:trPr>
          <w:trHeight w:val="329"/>
        </w:trPr>
        <w:tc>
          <w:tcPr>
            <w:tcW w:w="1800" w:type="dxa"/>
            <w:vMerge/>
            <w:tcMar>
              <w:top w:w="115" w:type="dxa"/>
              <w:left w:w="115" w:type="dxa"/>
              <w:bottom w:w="115" w:type="dxa"/>
              <w:right w:w="115" w:type="dxa"/>
            </w:tcMar>
          </w:tcPr>
          <w:p w14:paraId="5D385719"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557238DE"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5.  </w:t>
            </w:r>
            <w:r w:rsidRPr="000C0842">
              <w:rPr>
                <w:rFonts w:eastAsia="SimSun"/>
                <w:kern w:val="2"/>
                <w:sz w:val="24"/>
                <w:szCs w:val="24"/>
                <w14:ligatures w14:val="standardContextual"/>
              </w:rPr>
              <w:t>促进使用数字技术收集数据和信息。</w:t>
            </w:r>
          </w:p>
          <w:p w14:paraId="19FC6DE0"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p>
        </w:tc>
      </w:tr>
      <w:tr w:rsidR="000C0842" w:rsidRPr="000C0842" w14:paraId="36FC9664" w14:textId="77777777" w:rsidTr="001F32B3">
        <w:trPr>
          <w:trHeight w:val="324"/>
        </w:trPr>
        <w:tc>
          <w:tcPr>
            <w:tcW w:w="1800" w:type="dxa"/>
            <w:vMerge/>
            <w:tcMar>
              <w:top w:w="115" w:type="dxa"/>
              <w:left w:w="115" w:type="dxa"/>
              <w:bottom w:w="115" w:type="dxa"/>
              <w:right w:w="115" w:type="dxa"/>
            </w:tcMar>
          </w:tcPr>
          <w:p w14:paraId="6F294C97"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1E6C2CBA"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6.  </w:t>
            </w:r>
            <w:r w:rsidRPr="000C0842">
              <w:rPr>
                <w:rFonts w:eastAsia="SimSun"/>
                <w:kern w:val="2"/>
                <w:sz w:val="24"/>
                <w:szCs w:val="24"/>
                <w14:ligatures w14:val="standardContextual"/>
              </w:rPr>
              <w:t>在征得土著人民和地方社区自由、事先和知情同意并明确确认来源的情况下，查明和收集土著人民和地方社区的传统知识，特别关注土著妇女的知识。</w:t>
            </w:r>
          </w:p>
        </w:tc>
      </w:tr>
      <w:tr w:rsidR="000C0842" w:rsidRPr="000C0842" w14:paraId="72F81AB4" w14:textId="77777777" w:rsidTr="001F32B3">
        <w:trPr>
          <w:trHeight w:val="324"/>
        </w:trPr>
        <w:tc>
          <w:tcPr>
            <w:tcW w:w="1800" w:type="dxa"/>
            <w:vMerge/>
            <w:tcMar>
              <w:top w:w="115" w:type="dxa"/>
              <w:left w:w="115" w:type="dxa"/>
              <w:bottom w:w="115" w:type="dxa"/>
              <w:right w:w="115" w:type="dxa"/>
            </w:tcMar>
          </w:tcPr>
          <w:p w14:paraId="1322445C"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24A54295"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7.   </w:t>
            </w:r>
            <w:r w:rsidRPr="000C0842">
              <w:rPr>
                <w:rFonts w:eastAsia="SimSun"/>
                <w:kern w:val="2"/>
                <w:sz w:val="24"/>
                <w:szCs w:val="24"/>
                <w14:ligatures w14:val="standardContextual"/>
              </w:rPr>
              <w:t>建立和召集与执行《昆蒙框架》和知识管理有关的主题和跨界领域同业交流群，包括知识生成、存储、传播和应用。</w:t>
            </w:r>
          </w:p>
        </w:tc>
      </w:tr>
      <w:tr w:rsidR="000C0842" w:rsidRPr="000C0842" w14:paraId="3DE72F6D" w14:textId="77777777" w:rsidTr="001F32B3">
        <w:trPr>
          <w:trHeight w:val="324"/>
        </w:trPr>
        <w:tc>
          <w:tcPr>
            <w:tcW w:w="1800" w:type="dxa"/>
            <w:vMerge/>
            <w:tcMar>
              <w:top w:w="115" w:type="dxa"/>
              <w:left w:w="115" w:type="dxa"/>
              <w:bottom w:w="115" w:type="dxa"/>
              <w:right w:w="115" w:type="dxa"/>
            </w:tcMar>
          </w:tcPr>
          <w:p w14:paraId="33255DA8"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3B86D005"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8. </w:t>
            </w:r>
            <w:r w:rsidRPr="000C0842">
              <w:rPr>
                <w:rFonts w:eastAsia="SimSun"/>
                <w:kern w:val="2"/>
                <w:sz w:val="24"/>
                <w:szCs w:val="24"/>
                <w14:ligatures w14:val="standardContextual"/>
              </w:rPr>
              <w:t>在土著人民和地方社区予以自由、事先和知情同意而且传统知识持有者参与的情况下，促进在研究出版物中记录和出版土著人民和地方社区的传统知识。</w:t>
            </w:r>
          </w:p>
        </w:tc>
      </w:tr>
      <w:tr w:rsidR="000C0842" w:rsidRPr="000C0842" w14:paraId="7330B044" w14:textId="77777777" w:rsidTr="001F32B3">
        <w:trPr>
          <w:trHeight w:val="324"/>
        </w:trPr>
        <w:tc>
          <w:tcPr>
            <w:tcW w:w="1800" w:type="dxa"/>
            <w:vMerge w:val="restart"/>
            <w:tcMar>
              <w:top w:w="115" w:type="dxa"/>
              <w:left w:w="115" w:type="dxa"/>
              <w:bottom w:w="115" w:type="dxa"/>
              <w:right w:w="115" w:type="dxa"/>
            </w:tcMar>
          </w:tcPr>
          <w:p w14:paraId="691339BE"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C. </w:t>
            </w:r>
            <w:r w:rsidRPr="000C0842">
              <w:rPr>
                <w:rFonts w:eastAsia="SimSun"/>
                <w:kern w:val="2"/>
                <w:sz w:val="24"/>
                <w:szCs w:val="24"/>
                <w:lang w:val="zh-CN"/>
                <w14:ligatures w14:val="standardContextual"/>
              </w:rPr>
              <w:t>便利</w:t>
            </w:r>
            <w:r w:rsidRPr="000C0842">
              <w:rPr>
                <w:rFonts w:eastAsia="SimSun"/>
                <w:kern w:val="2"/>
                <w:sz w:val="24"/>
                <w:szCs w:val="24"/>
                <w14:ligatures w14:val="standardContextual"/>
              </w:rPr>
              <w:t>知识</w:t>
            </w:r>
            <w:r w:rsidRPr="000C0842">
              <w:rPr>
                <w:rFonts w:eastAsia="SimSun"/>
                <w:kern w:val="2"/>
                <w:sz w:val="24"/>
                <w:szCs w:val="24"/>
                <w:lang w:val="zh-CN"/>
                <w14:ligatures w14:val="standardContextual"/>
              </w:rPr>
              <w:t>的发现和收集</w:t>
            </w:r>
          </w:p>
          <w:p w14:paraId="219B235D"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57A86B7E"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1.  </w:t>
            </w:r>
            <w:r w:rsidRPr="000C0842">
              <w:rPr>
                <w:rFonts w:eastAsia="SimSun"/>
                <w:kern w:val="22"/>
                <w:sz w:val="24"/>
                <w:szCs w:val="24"/>
                <w:lang w:val="zh-CN"/>
                <w14:ligatures w14:val="standardContextual"/>
              </w:rPr>
              <w:t>开发、加强和使用网络工具</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从各种来源发现和收集数据、信息和知识，</w:t>
            </w:r>
            <w:r w:rsidRPr="000C0842">
              <w:rPr>
                <w:rFonts w:eastAsia="SimSun"/>
                <w:kern w:val="2"/>
                <w:sz w:val="24"/>
                <w:szCs w:val="24"/>
                <w14:ligatures w14:val="standardContextual"/>
              </w:rPr>
              <w:t>包括为此推广现有的工具、平台和服务。</w:t>
            </w:r>
          </w:p>
        </w:tc>
      </w:tr>
      <w:tr w:rsidR="000C0842" w:rsidRPr="000C0842" w14:paraId="137B5324" w14:textId="77777777" w:rsidTr="001F32B3">
        <w:trPr>
          <w:trHeight w:val="300"/>
        </w:trPr>
        <w:tc>
          <w:tcPr>
            <w:tcW w:w="1800" w:type="dxa"/>
            <w:vMerge/>
            <w:tcMar>
              <w:top w:w="115" w:type="dxa"/>
              <w:left w:w="115" w:type="dxa"/>
              <w:bottom w:w="115" w:type="dxa"/>
              <w:right w:w="115" w:type="dxa"/>
            </w:tcMar>
          </w:tcPr>
          <w:p w14:paraId="2DE70555"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12C4659F"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2.  </w:t>
            </w:r>
            <w:r w:rsidRPr="000C0842">
              <w:rPr>
                <w:rFonts w:eastAsia="SimSun"/>
                <w:kern w:val="22"/>
                <w:sz w:val="24"/>
                <w:szCs w:val="24"/>
                <w:lang w:val="zh-CN"/>
                <w14:ligatures w14:val="standardContextual"/>
              </w:rPr>
              <w:t>促进使用工具和技术来发现知识。</w:t>
            </w:r>
          </w:p>
        </w:tc>
      </w:tr>
      <w:tr w:rsidR="000C0842" w:rsidRPr="000C0842" w14:paraId="51D07595" w14:textId="77777777" w:rsidTr="001F32B3">
        <w:trPr>
          <w:trHeight w:val="300"/>
        </w:trPr>
        <w:tc>
          <w:tcPr>
            <w:tcW w:w="1800" w:type="dxa"/>
            <w:vMerge/>
            <w:tcMar>
              <w:top w:w="115" w:type="dxa"/>
              <w:left w:w="115" w:type="dxa"/>
              <w:bottom w:w="115" w:type="dxa"/>
              <w:right w:w="115" w:type="dxa"/>
            </w:tcMar>
          </w:tcPr>
          <w:p w14:paraId="7D313F67"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p>
        </w:tc>
        <w:tc>
          <w:tcPr>
            <w:tcW w:w="7110" w:type="dxa"/>
          </w:tcPr>
          <w:p w14:paraId="655A3C84" w14:textId="77777777" w:rsidR="006D5DBD" w:rsidRPr="000C0842" w:rsidRDefault="006D5DBD" w:rsidP="006D5DBD">
            <w:pPr>
              <w:tabs>
                <w:tab w:val="clear" w:pos="567"/>
                <w:tab w:val="clear" w:pos="1134"/>
                <w:tab w:val="clear" w:pos="1701"/>
                <w:tab w:val="clear" w:pos="2268"/>
                <w:tab w:val="left" w:pos="360"/>
              </w:tabs>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3.  </w:t>
            </w:r>
            <w:r w:rsidRPr="000C0842">
              <w:rPr>
                <w:rFonts w:eastAsia="SimSun"/>
                <w:kern w:val="22"/>
                <w:sz w:val="24"/>
                <w:szCs w:val="24"/>
                <w:lang w:val="zh-CN"/>
                <w14:ligatures w14:val="standardContextual"/>
              </w:rPr>
              <w:t>吸引相关利益攸关方</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包括知识的持有者、生成者、创造者、经纪人和普通公民参与知识的发现和收集。</w:t>
            </w:r>
          </w:p>
        </w:tc>
      </w:tr>
      <w:tr w:rsidR="000C0842" w:rsidRPr="000C0842" w14:paraId="1FE21CCE" w14:textId="77777777" w:rsidTr="001F32B3">
        <w:trPr>
          <w:trHeight w:val="41"/>
        </w:trPr>
        <w:tc>
          <w:tcPr>
            <w:tcW w:w="1800" w:type="dxa"/>
            <w:vMerge w:val="restart"/>
            <w:tcMar>
              <w:top w:w="115" w:type="dxa"/>
              <w:left w:w="115" w:type="dxa"/>
              <w:bottom w:w="115" w:type="dxa"/>
              <w:right w:w="115" w:type="dxa"/>
            </w:tcMar>
          </w:tcPr>
          <w:p w14:paraId="453BC8F8"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p w14:paraId="2199A4E4"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D.  </w:t>
            </w:r>
            <w:r w:rsidRPr="000C0842">
              <w:rPr>
                <w:rFonts w:eastAsia="SimSun"/>
                <w:kern w:val="2"/>
                <w:sz w:val="24"/>
                <w:szCs w:val="24"/>
                <w14:ligatures w14:val="standardContextual"/>
              </w:rPr>
              <w:t>加强知识</w:t>
            </w:r>
            <w:r w:rsidRPr="000C0842">
              <w:rPr>
                <w:rFonts w:eastAsia="SimSun"/>
                <w:kern w:val="22"/>
                <w:sz w:val="24"/>
                <w:szCs w:val="24"/>
                <w:lang w:val="zh-CN"/>
                <w14:ligatures w14:val="standardContextual"/>
              </w:rPr>
              <w:t>整理</w:t>
            </w:r>
            <w:r w:rsidRPr="000C0842">
              <w:rPr>
                <w:rFonts w:eastAsia="SimSun"/>
                <w:kern w:val="2"/>
                <w:sz w:val="24"/>
                <w:szCs w:val="24"/>
                <w14:ligatures w14:val="standardContextual"/>
              </w:rPr>
              <w:t>和分享</w:t>
            </w:r>
          </w:p>
        </w:tc>
        <w:tc>
          <w:tcPr>
            <w:tcW w:w="7110" w:type="dxa"/>
          </w:tcPr>
          <w:p w14:paraId="1E578DA8"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1.  </w:t>
            </w:r>
            <w:r w:rsidRPr="000C0842">
              <w:rPr>
                <w:rFonts w:eastAsia="SimSun"/>
                <w:kern w:val="22"/>
                <w:sz w:val="24"/>
                <w:szCs w:val="24"/>
                <w:lang w:val="zh-CN"/>
                <w14:ligatures w14:val="standardContextual"/>
              </w:rPr>
              <w:t>审核元数据</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加强各种来源的知识对象的标记和</w:t>
            </w:r>
            <w:r w:rsidRPr="000C0842">
              <w:rPr>
                <w:rFonts w:eastAsia="SimSun" w:hint="eastAsia"/>
                <w:kern w:val="22"/>
                <w:sz w:val="24"/>
                <w:szCs w:val="24"/>
                <w:lang w:val="zh-CN"/>
                <w14:ligatures w14:val="standardContextual"/>
              </w:rPr>
              <w:t>全面了解</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提高数据、信息和知识的可查找性、可获取性</w:t>
            </w:r>
            <w:r w:rsidRPr="000C0842">
              <w:rPr>
                <w:rFonts w:eastAsia="SimSun" w:hint="eastAsia"/>
                <w:kern w:val="22"/>
                <w:sz w:val="24"/>
                <w:szCs w:val="24"/>
                <w:lang w:val="zh-CN"/>
                <w14:ligatures w14:val="standardContextual"/>
              </w:rPr>
              <w:t>、</w:t>
            </w:r>
            <w:r w:rsidRPr="000C0842">
              <w:rPr>
                <w:rFonts w:eastAsia="SimSun"/>
                <w:kern w:val="22"/>
                <w:sz w:val="24"/>
                <w:szCs w:val="24"/>
                <w14:ligatures w14:val="standardContextual"/>
              </w:rPr>
              <w:t>互操作性</w:t>
            </w:r>
            <w:r w:rsidRPr="000C0842">
              <w:rPr>
                <w:rFonts w:eastAsia="SimSun"/>
                <w:kern w:val="22"/>
                <w:sz w:val="24"/>
                <w:szCs w:val="24"/>
                <w:lang w:val="zh-CN"/>
                <w14:ligatures w14:val="standardContextual"/>
              </w:rPr>
              <w:t>和可再用性。</w:t>
            </w:r>
          </w:p>
        </w:tc>
      </w:tr>
      <w:tr w:rsidR="000C0842" w:rsidRPr="000C0842" w14:paraId="48C91410" w14:textId="77777777" w:rsidTr="001F32B3">
        <w:trPr>
          <w:trHeight w:val="40"/>
        </w:trPr>
        <w:tc>
          <w:tcPr>
            <w:tcW w:w="1800" w:type="dxa"/>
            <w:vMerge/>
            <w:tcMar>
              <w:top w:w="115" w:type="dxa"/>
              <w:left w:w="115" w:type="dxa"/>
              <w:bottom w:w="115" w:type="dxa"/>
              <w:right w:w="115" w:type="dxa"/>
            </w:tcMar>
          </w:tcPr>
          <w:p w14:paraId="4077DC35"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5147C122" w14:textId="603C08E2"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2.  </w:t>
            </w:r>
            <w:r w:rsidRPr="000C0842">
              <w:rPr>
                <w:rFonts w:eastAsia="SimSun"/>
                <w:kern w:val="2"/>
                <w:sz w:val="24"/>
                <w:szCs w:val="24"/>
                <w:lang w:val="zh-CN"/>
                <w14:ligatures w14:val="standardContextual"/>
              </w:rPr>
              <w:t>制定和推广数据、信息和知识分享标准和</w:t>
            </w:r>
            <w:r w:rsidRPr="000C0842">
              <w:rPr>
                <w:rFonts w:eastAsia="SimSun" w:hint="eastAsia"/>
                <w:kern w:val="2"/>
                <w:sz w:val="24"/>
                <w:szCs w:val="24"/>
                <w:lang w:val="zh-CN"/>
                <w14:ligatures w14:val="standardContextual"/>
              </w:rPr>
              <w:t>规约</w:t>
            </w:r>
            <w:r w:rsidRPr="000C0842">
              <w:rPr>
                <w:rFonts w:eastAsia="SimSun"/>
                <w:kern w:val="2"/>
                <w:sz w:val="24"/>
                <w:szCs w:val="24"/>
                <w:lang w:val="zh-CN"/>
                <w14:ligatures w14:val="standardContextual"/>
              </w:rPr>
              <w:t>及最佳做法</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确保生物多样性信息系统、工具和平台之间数据质量、协调性、兼容性和互操作性</w:t>
            </w:r>
            <w:r w:rsidRPr="000C0842">
              <w:rPr>
                <w:rFonts w:eastAsia="SimSun"/>
                <w:kern w:val="2"/>
                <w:sz w:val="24"/>
                <w:szCs w:val="24"/>
                <w:vertAlign w:val="superscript"/>
                <w14:ligatures w14:val="standardContextual"/>
              </w:rPr>
              <w:footnoteReference w:id="105"/>
            </w:r>
            <w:r w:rsidR="000D492E" w:rsidRPr="000C0842">
              <w:rPr>
                <w:rFonts w:eastAsia="SimSun"/>
                <w:kern w:val="2"/>
                <w:sz w:val="24"/>
                <w:szCs w:val="24"/>
                <w:lang w:val="zh-CN"/>
                <w14:ligatures w14:val="standardContextual"/>
              </w:rPr>
              <w:t>。</w:t>
            </w:r>
          </w:p>
        </w:tc>
      </w:tr>
      <w:tr w:rsidR="000C0842" w:rsidRPr="000C0842" w14:paraId="7DBC2CBC" w14:textId="77777777" w:rsidTr="001F32B3">
        <w:trPr>
          <w:trHeight w:val="838"/>
        </w:trPr>
        <w:tc>
          <w:tcPr>
            <w:tcW w:w="1800" w:type="dxa"/>
            <w:vMerge/>
            <w:tcMar>
              <w:top w:w="115" w:type="dxa"/>
              <w:left w:w="115" w:type="dxa"/>
              <w:bottom w:w="115" w:type="dxa"/>
              <w:right w:w="115" w:type="dxa"/>
            </w:tcMar>
          </w:tcPr>
          <w:p w14:paraId="65137411"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36588A3E"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3. </w:t>
            </w:r>
            <w:r w:rsidRPr="000C0842">
              <w:rPr>
                <w:rFonts w:eastAsia="SimSun"/>
                <w:kern w:val="22"/>
                <w:sz w:val="24"/>
                <w:szCs w:val="24"/>
                <w:lang w:val="zh-CN"/>
                <w14:ligatures w14:val="standardContextual"/>
              </w:rPr>
              <w:t>加强各国政府、土著人民和地方社区、妇女和青年代表及其他相关利益攸关方（包括私营部门）跨公约</w:t>
            </w:r>
            <w:r w:rsidRPr="000C0842">
              <w:rPr>
                <w:rFonts w:eastAsia="SimSun"/>
                <w:kern w:val="22"/>
                <w:sz w:val="24"/>
                <w:szCs w:val="24"/>
                <w:vertAlign w:val="superscript"/>
                <w:lang w:val="zh-CN"/>
                <w14:ligatures w14:val="standardContextual"/>
              </w:rPr>
              <w:footnoteReference w:id="106"/>
            </w:r>
            <w:r w:rsidRPr="000C0842">
              <w:rPr>
                <w:rFonts w:eastAsia="SimSun"/>
                <w:kern w:val="22"/>
                <w:sz w:val="24"/>
                <w:szCs w:val="24"/>
                <w:lang w:val="zh-CN"/>
                <w14:ligatures w14:val="standardContextual"/>
              </w:rPr>
              <w:t>和跨方案有效管理和共享数据、信息和知识的能力，以执行《昆蒙框架》、可持续发展目标和其他相关战略。</w:t>
            </w:r>
          </w:p>
        </w:tc>
      </w:tr>
      <w:tr w:rsidR="000C0842" w:rsidRPr="000C0842" w14:paraId="54871E12" w14:textId="77777777" w:rsidTr="001F32B3">
        <w:trPr>
          <w:trHeight w:val="838"/>
        </w:trPr>
        <w:tc>
          <w:tcPr>
            <w:tcW w:w="1800" w:type="dxa"/>
            <w:vMerge/>
            <w:tcMar>
              <w:top w:w="115" w:type="dxa"/>
              <w:left w:w="115" w:type="dxa"/>
              <w:bottom w:w="115" w:type="dxa"/>
              <w:right w:w="115" w:type="dxa"/>
            </w:tcMar>
          </w:tcPr>
          <w:p w14:paraId="370D1BB0"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0CEBFE4A"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4.  </w:t>
            </w:r>
            <w:r w:rsidRPr="000C0842">
              <w:rPr>
                <w:rFonts w:eastAsia="SimSun"/>
                <w:kern w:val="22"/>
                <w:sz w:val="24"/>
                <w:szCs w:val="24"/>
                <w:lang w:val="zh-CN"/>
                <w14:ligatures w14:val="standardContextual"/>
              </w:rPr>
              <w:t>促进在全球、区域、次区域、国家、次国家和地方各级分享数据、信息和知识及其应用的文化，包括签订数据共享协议。</w:t>
            </w:r>
          </w:p>
        </w:tc>
      </w:tr>
      <w:tr w:rsidR="000C0842" w:rsidRPr="000C0842" w14:paraId="28F9C281" w14:textId="77777777" w:rsidTr="001F32B3">
        <w:trPr>
          <w:trHeight w:val="838"/>
        </w:trPr>
        <w:tc>
          <w:tcPr>
            <w:tcW w:w="1800" w:type="dxa"/>
            <w:vMerge/>
            <w:tcMar>
              <w:top w:w="115" w:type="dxa"/>
              <w:left w:w="115" w:type="dxa"/>
              <w:bottom w:w="115" w:type="dxa"/>
              <w:right w:w="115" w:type="dxa"/>
            </w:tcMar>
          </w:tcPr>
          <w:p w14:paraId="5E99736D"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3FEE031A"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5.  </w:t>
            </w:r>
            <w:r w:rsidRPr="000C0842">
              <w:rPr>
                <w:rFonts w:eastAsia="SimSun"/>
                <w:kern w:val="22"/>
                <w:sz w:val="24"/>
                <w:szCs w:val="24"/>
                <w:lang w:val="zh-CN"/>
                <w14:ligatures w14:val="standardContextual"/>
              </w:rPr>
              <w:t>开发、展示</w:t>
            </w:r>
            <w:r w:rsidRPr="000C0842">
              <w:rPr>
                <w:rFonts w:eastAsia="SimSun" w:hint="eastAsia"/>
                <w:kern w:val="22"/>
                <w:sz w:val="24"/>
                <w:szCs w:val="24"/>
                <w:lang w:val="zh-CN"/>
                <w14:ligatures w14:val="standardContextual"/>
              </w:rPr>
              <w:t>、</w:t>
            </w:r>
            <w:r w:rsidRPr="000C0842">
              <w:rPr>
                <w:rFonts w:eastAsia="SimSun"/>
                <w:kern w:val="22"/>
                <w:sz w:val="24"/>
                <w:szCs w:val="24"/>
                <w:lang w:val="zh-CN"/>
                <w14:ligatures w14:val="standardContextual"/>
              </w:rPr>
              <w:t>传播和推广量身定制的知识产品</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包括举办讲习班、网络研讨会、知识博览会</w:t>
            </w:r>
            <w:r w:rsidRPr="000C0842">
              <w:rPr>
                <w:rFonts w:eastAsia="SimSun" w:hint="eastAsia"/>
                <w:kern w:val="22"/>
                <w:sz w:val="24"/>
                <w:szCs w:val="24"/>
                <w:lang w:val="zh-CN"/>
                <w14:ligatures w14:val="standardContextual"/>
              </w:rPr>
              <w:t>、</w:t>
            </w:r>
            <w:r w:rsidRPr="000C0842">
              <w:rPr>
                <w:rFonts w:eastAsia="SimSun"/>
                <w:kern w:val="22"/>
                <w:sz w:val="24"/>
                <w:szCs w:val="24"/>
                <w:lang w:val="zh-CN"/>
                <w14:ligatures w14:val="standardContextual"/>
              </w:rPr>
              <w:t>社区会议、开放式在线资源。</w:t>
            </w:r>
          </w:p>
        </w:tc>
      </w:tr>
      <w:tr w:rsidR="000C0842" w:rsidRPr="000C0842" w14:paraId="75EFBD7E" w14:textId="77777777" w:rsidTr="001F32B3">
        <w:trPr>
          <w:trHeight w:val="243"/>
        </w:trPr>
        <w:tc>
          <w:tcPr>
            <w:tcW w:w="1800" w:type="dxa"/>
            <w:vMerge/>
            <w:tcMar>
              <w:top w:w="115" w:type="dxa"/>
              <w:left w:w="115" w:type="dxa"/>
              <w:bottom w:w="115" w:type="dxa"/>
              <w:right w:w="115" w:type="dxa"/>
            </w:tcMar>
          </w:tcPr>
          <w:p w14:paraId="10A7A256"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0A0B7E0F"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6.  </w:t>
            </w:r>
            <w:r w:rsidRPr="000C0842">
              <w:rPr>
                <w:rFonts w:eastAsia="SimSun"/>
                <w:kern w:val="2"/>
                <w:sz w:val="24"/>
                <w:szCs w:val="24"/>
                <w:lang w:val="zh-CN"/>
                <w14:ligatures w14:val="standardContextual"/>
              </w:rPr>
              <w:t>促进数据使用者遵守与获取涉及遗传资源的传统知识有关的获取和惠益分享相关法律</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以防止滥用和盗用此类知识。</w:t>
            </w:r>
          </w:p>
        </w:tc>
      </w:tr>
      <w:tr w:rsidR="000C0842" w:rsidRPr="000C0842" w14:paraId="3CDDFC78" w14:textId="77777777" w:rsidTr="001F32B3">
        <w:trPr>
          <w:trHeight w:val="243"/>
        </w:trPr>
        <w:tc>
          <w:tcPr>
            <w:tcW w:w="1800" w:type="dxa"/>
            <w:vMerge/>
            <w:tcMar>
              <w:top w:w="115" w:type="dxa"/>
              <w:left w:w="115" w:type="dxa"/>
              <w:bottom w:w="115" w:type="dxa"/>
              <w:right w:w="115" w:type="dxa"/>
            </w:tcMar>
          </w:tcPr>
          <w:p w14:paraId="094585E2"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4B2DF35C"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7. </w:t>
            </w:r>
            <w:r w:rsidRPr="000C0842">
              <w:rPr>
                <w:rFonts w:eastAsia="SimSun"/>
                <w:kern w:val="2"/>
                <w:sz w:val="24"/>
                <w:szCs w:val="24"/>
                <w:lang w:val="zh-CN"/>
                <w14:ligatures w14:val="standardContextual"/>
              </w:rPr>
              <w:t>作为国家信息交换所机制的一部分或与之关联</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开发一个国家生物多样性相关数据、信息和知识存储库或门户网站</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以促进获取和使用。</w:t>
            </w:r>
          </w:p>
        </w:tc>
      </w:tr>
      <w:tr w:rsidR="000C0842" w:rsidRPr="000C0842" w14:paraId="4030482E" w14:textId="77777777" w:rsidTr="001F32B3">
        <w:trPr>
          <w:trHeight w:val="40"/>
        </w:trPr>
        <w:tc>
          <w:tcPr>
            <w:tcW w:w="1800" w:type="dxa"/>
            <w:vMerge/>
            <w:tcMar>
              <w:top w:w="115" w:type="dxa"/>
              <w:left w:w="115" w:type="dxa"/>
              <w:bottom w:w="115" w:type="dxa"/>
              <w:right w:w="115" w:type="dxa"/>
            </w:tcMar>
          </w:tcPr>
          <w:p w14:paraId="2B2B5E96" w14:textId="77777777" w:rsidR="006D5DBD" w:rsidRPr="000C0842" w:rsidRDefault="006D5DBD" w:rsidP="006D5DBD">
            <w:pPr>
              <w:tabs>
                <w:tab w:val="clear" w:pos="567"/>
                <w:tab w:val="clear" w:pos="1134"/>
                <w:tab w:val="clear" w:pos="1701"/>
                <w:tab w:val="clear" w:pos="2268"/>
              </w:tabs>
              <w:adjustRightInd w:val="0"/>
              <w:snapToGrid w:val="0"/>
              <w:spacing w:after="60"/>
              <w:jc w:val="left"/>
              <w:rPr>
                <w:rFonts w:eastAsia="SimSun"/>
                <w:kern w:val="2"/>
                <w:sz w:val="24"/>
                <w:szCs w:val="24"/>
                <w14:ligatures w14:val="standardContextual"/>
              </w:rPr>
            </w:pPr>
          </w:p>
        </w:tc>
        <w:tc>
          <w:tcPr>
            <w:tcW w:w="7110" w:type="dxa"/>
          </w:tcPr>
          <w:p w14:paraId="39D875E9" w14:textId="77777777" w:rsidR="006D5DBD" w:rsidRPr="000C0842" w:rsidRDefault="006D5DBD" w:rsidP="006D5DBD">
            <w:pPr>
              <w:tabs>
                <w:tab w:val="clear" w:pos="567"/>
                <w:tab w:val="clear" w:pos="1134"/>
                <w:tab w:val="clear" w:pos="1701"/>
                <w:tab w:val="clear" w:pos="2268"/>
                <w:tab w:val="left" w:pos="360"/>
              </w:tabs>
              <w:adjustRightInd w:val="0"/>
              <w:snapToGrid w:val="0"/>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8. </w:t>
            </w:r>
            <w:r w:rsidRPr="000C0842">
              <w:rPr>
                <w:rFonts w:eastAsia="SimSun"/>
                <w:kern w:val="2"/>
                <w:sz w:val="24"/>
                <w:szCs w:val="24"/>
                <w:lang w:val="zh-CN"/>
                <w14:ligatures w14:val="standardContextual"/>
              </w:rPr>
              <w:t>鼓励关于《昆蒙框架》、与执行有关主题和跨界领域及关于知识管理的同行学习，包括通过区域和次区域科技支持中心以及科技合作机制的全球协调实体进行学习。</w:t>
            </w:r>
          </w:p>
        </w:tc>
      </w:tr>
      <w:tr w:rsidR="000C0842" w:rsidRPr="000C0842" w14:paraId="5956BE52" w14:textId="77777777" w:rsidTr="001F32B3">
        <w:trPr>
          <w:trHeight w:val="847"/>
        </w:trPr>
        <w:tc>
          <w:tcPr>
            <w:tcW w:w="1800" w:type="dxa"/>
            <w:vMerge w:val="restart"/>
            <w:tcMar>
              <w:top w:w="115" w:type="dxa"/>
              <w:left w:w="115" w:type="dxa"/>
              <w:bottom w:w="115" w:type="dxa"/>
              <w:right w:w="115" w:type="dxa"/>
            </w:tcMar>
          </w:tcPr>
          <w:p w14:paraId="174DF311" w14:textId="77777777" w:rsidR="006D5DBD" w:rsidRPr="000C0842" w:rsidRDefault="006D5DBD" w:rsidP="006D5DBD">
            <w:pPr>
              <w:tabs>
                <w:tab w:val="clear" w:pos="567"/>
                <w:tab w:val="clear" w:pos="1134"/>
                <w:tab w:val="clear" w:pos="1701"/>
                <w:tab w:val="clear" w:pos="2268"/>
              </w:tabs>
              <w:snapToGrid w:val="0"/>
              <w:spacing w:after="60"/>
              <w:jc w:val="left"/>
              <w:rPr>
                <w:rFonts w:eastAsia="SimSun"/>
                <w:b/>
                <w:bCs/>
                <w:kern w:val="2"/>
                <w:sz w:val="24"/>
                <w:szCs w:val="24"/>
                <w14:ligatures w14:val="standardContextual"/>
              </w:rPr>
            </w:pPr>
            <w:r w:rsidRPr="000C0842">
              <w:rPr>
                <w:rFonts w:eastAsia="SimSun"/>
                <w:kern w:val="2"/>
                <w:sz w:val="24"/>
                <w:szCs w:val="24"/>
                <w14:ligatures w14:val="standardContextual"/>
              </w:rPr>
              <w:t>E.</w:t>
            </w:r>
            <w:r w:rsidRPr="000C0842">
              <w:rPr>
                <w:rFonts w:eastAsia="SimSun"/>
                <w:b/>
                <w:bCs/>
                <w:kern w:val="2"/>
                <w:sz w:val="24"/>
                <w:szCs w:val="24"/>
                <w14:ligatures w14:val="standardContextual"/>
              </w:rPr>
              <w:t xml:space="preserve"> </w:t>
            </w:r>
            <w:r w:rsidRPr="000C0842">
              <w:rPr>
                <w:rFonts w:eastAsia="SimSun"/>
                <w:kern w:val="2"/>
                <w:sz w:val="24"/>
                <w:szCs w:val="24"/>
                <w14:ligatures w14:val="standardContextual"/>
              </w:rPr>
              <w:t>促进知识的吸收、有效使用和应用</w:t>
            </w:r>
            <w:r w:rsidRPr="000C0842">
              <w:rPr>
                <w:rFonts w:eastAsia="SimSun"/>
                <w:kern w:val="2"/>
                <w:sz w:val="24"/>
                <w:szCs w:val="24"/>
                <w14:ligatures w14:val="standardContextual"/>
              </w:rPr>
              <w:t xml:space="preserve">  </w:t>
            </w:r>
          </w:p>
        </w:tc>
        <w:tc>
          <w:tcPr>
            <w:tcW w:w="7110" w:type="dxa"/>
          </w:tcPr>
          <w:p w14:paraId="24728B4D"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1.  </w:t>
            </w:r>
            <w:r w:rsidRPr="000C0842">
              <w:rPr>
                <w:rFonts w:eastAsia="SimSun"/>
                <w:kern w:val="2"/>
                <w:sz w:val="24"/>
                <w:szCs w:val="24"/>
                <w:lang w:val="zh-CN"/>
                <w14:ligatures w14:val="standardContextual"/>
              </w:rPr>
              <w:t>制定和实施战略</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增加对现有生物多样性数据、信息和知识的吸收、使用和应用</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指导生物多样性方案编制和政策与决策。</w:t>
            </w:r>
          </w:p>
        </w:tc>
      </w:tr>
      <w:tr w:rsidR="000C0842" w:rsidRPr="000C0842" w14:paraId="61559710" w14:textId="77777777" w:rsidTr="001F32B3">
        <w:trPr>
          <w:trHeight w:val="838"/>
        </w:trPr>
        <w:tc>
          <w:tcPr>
            <w:tcW w:w="1800" w:type="dxa"/>
            <w:vMerge/>
            <w:tcMar>
              <w:top w:w="115" w:type="dxa"/>
              <w:left w:w="115" w:type="dxa"/>
              <w:bottom w:w="115" w:type="dxa"/>
              <w:right w:w="115" w:type="dxa"/>
            </w:tcMar>
          </w:tcPr>
          <w:p w14:paraId="6FD03637"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21BCC170"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2.  </w:t>
            </w:r>
            <w:r w:rsidRPr="000C0842">
              <w:rPr>
                <w:rFonts w:eastAsia="SimSun"/>
                <w:kern w:val="22"/>
                <w:sz w:val="24"/>
                <w:szCs w:val="24"/>
                <w:lang w:val="zh-CN"/>
                <w14:ligatures w14:val="standardContextual"/>
              </w:rPr>
              <w:t>促进和便利数据、信息和知识</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包括记录在案的良好做法和经验教训的分享、复制、推广、适应和系统化</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改善进程和做法。</w:t>
            </w:r>
          </w:p>
        </w:tc>
      </w:tr>
      <w:tr w:rsidR="000C0842" w:rsidRPr="000C0842" w14:paraId="75C743BD" w14:textId="77777777" w:rsidTr="001F32B3">
        <w:trPr>
          <w:trHeight w:val="730"/>
        </w:trPr>
        <w:tc>
          <w:tcPr>
            <w:tcW w:w="1800" w:type="dxa"/>
            <w:vMerge/>
            <w:tcMar>
              <w:top w:w="115" w:type="dxa"/>
              <w:left w:w="115" w:type="dxa"/>
              <w:bottom w:w="115" w:type="dxa"/>
              <w:right w:w="115" w:type="dxa"/>
            </w:tcMar>
          </w:tcPr>
          <w:p w14:paraId="2B91358D"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7CC03BE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3.  </w:t>
            </w:r>
            <w:r w:rsidRPr="000C0842">
              <w:rPr>
                <w:rFonts w:eastAsia="SimSun"/>
                <w:kern w:val="22"/>
                <w:sz w:val="24"/>
                <w:szCs w:val="24"/>
                <w:lang w:val="zh-CN"/>
                <w14:ligatures w14:val="standardContextual"/>
              </w:rPr>
              <w:t>建立和利用机制以促进政策制定者和决策者与研究界、从业人员以及土著人民和地方社区之间的互动和对话。</w:t>
            </w:r>
          </w:p>
        </w:tc>
      </w:tr>
      <w:tr w:rsidR="000C0842" w:rsidRPr="000C0842" w14:paraId="4E30F8F8" w14:textId="77777777" w:rsidTr="001F32B3">
        <w:trPr>
          <w:trHeight w:val="361"/>
        </w:trPr>
        <w:tc>
          <w:tcPr>
            <w:tcW w:w="1800" w:type="dxa"/>
            <w:vMerge/>
            <w:tcMar>
              <w:top w:w="115" w:type="dxa"/>
              <w:left w:w="115" w:type="dxa"/>
              <w:bottom w:w="115" w:type="dxa"/>
              <w:right w:w="115" w:type="dxa"/>
            </w:tcMar>
          </w:tcPr>
          <w:p w14:paraId="787EB1A7"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2F72479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4.  </w:t>
            </w:r>
            <w:r w:rsidRPr="000C0842">
              <w:rPr>
                <w:rFonts w:eastAsia="SimSun"/>
                <w:kern w:val="22"/>
                <w:sz w:val="24"/>
                <w:szCs w:val="24"/>
                <w:lang w:val="zh-CN"/>
                <w14:ligatures w14:val="standardContextual"/>
              </w:rPr>
              <w:t>在科学网络和传播专家之间建立联系</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以便将科学研究成果转化为知识产品。</w:t>
            </w:r>
          </w:p>
        </w:tc>
      </w:tr>
      <w:tr w:rsidR="000C0842" w:rsidRPr="000C0842" w14:paraId="740BD871" w14:textId="77777777" w:rsidTr="001F32B3">
        <w:trPr>
          <w:trHeight w:val="794"/>
        </w:trPr>
        <w:tc>
          <w:tcPr>
            <w:tcW w:w="1800" w:type="dxa"/>
            <w:vMerge w:val="restart"/>
            <w:tcMar>
              <w:top w:w="115" w:type="dxa"/>
              <w:left w:w="115" w:type="dxa"/>
              <w:bottom w:w="115" w:type="dxa"/>
              <w:right w:w="115" w:type="dxa"/>
            </w:tcMar>
          </w:tcPr>
          <w:p w14:paraId="47CC13C4"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F.</w:t>
            </w:r>
            <w:r w:rsidRPr="000C0842">
              <w:rPr>
                <w:rFonts w:eastAsia="SimSun"/>
                <w:kern w:val="22"/>
                <w:sz w:val="24"/>
                <w:szCs w:val="24"/>
                <w:lang w:val="zh-CN"/>
                <w14:ligatures w14:val="standardContextual"/>
              </w:rPr>
              <w:t xml:space="preserve"> </w:t>
            </w:r>
            <w:r w:rsidRPr="000C0842">
              <w:rPr>
                <w:rFonts w:eastAsia="SimSun"/>
                <w:kern w:val="22"/>
                <w:sz w:val="24"/>
                <w:szCs w:val="24"/>
                <w:lang w:val="zh-CN"/>
                <w14:ligatures w14:val="standardContextual"/>
              </w:rPr>
              <w:t>开展知识审计和审查</w:t>
            </w:r>
          </w:p>
        </w:tc>
        <w:tc>
          <w:tcPr>
            <w:tcW w:w="7110" w:type="dxa"/>
          </w:tcPr>
          <w:p w14:paraId="7B1F1F97"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2"/>
                <w:sz w:val="24"/>
                <w:szCs w:val="24"/>
                <w:lang w:val="zh-CN"/>
                <w14:ligatures w14:val="standardContextual"/>
              </w:rPr>
            </w:pPr>
            <w:r w:rsidRPr="000C0842">
              <w:rPr>
                <w:rFonts w:eastAsia="SimSun"/>
                <w:kern w:val="22"/>
                <w:sz w:val="24"/>
                <w:szCs w:val="24"/>
                <w14:ligatures w14:val="standardContextual"/>
              </w:rPr>
              <w:t xml:space="preserve">1.  </w:t>
            </w:r>
            <w:r w:rsidRPr="000C0842">
              <w:rPr>
                <w:rFonts w:eastAsia="SimSun"/>
                <w:kern w:val="2"/>
                <w:sz w:val="24"/>
                <w:szCs w:val="24"/>
                <w:lang w:val="zh-CN"/>
                <w14:ligatures w14:val="standardContextual"/>
              </w:rPr>
              <w:t>开展定期调查</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以评估最</w:t>
            </w:r>
            <w:r w:rsidRPr="000C0842">
              <w:rPr>
                <w:rFonts w:eastAsia="SimSun" w:hint="eastAsia"/>
                <w:kern w:val="2"/>
                <w:sz w:val="24"/>
                <w:szCs w:val="24"/>
                <w:lang w:val="zh-CN"/>
                <w14:ligatures w14:val="standardContextual"/>
              </w:rPr>
              <w:t>经</w:t>
            </w:r>
            <w:r w:rsidRPr="000C0842">
              <w:rPr>
                <w:rFonts w:eastAsia="SimSun"/>
                <w:kern w:val="2"/>
                <w:sz w:val="24"/>
                <w:szCs w:val="24"/>
                <w:lang w:val="zh-CN"/>
                <w14:ligatures w14:val="standardContextual"/>
              </w:rPr>
              <w:t>常寻求的信息和知识类型、获取所需信息的难易程度、现有知识差距、知识分享水平和首选渠道以及决策中对知识的吸收、使用和应用。</w:t>
            </w:r>
          </w:p>
        </w:tc>
      </w:tr>
      <w:tr w:rsidR="000C0842" w:rsidRPr="000C0842" w14:paraId="11BFB857" w14:textId="77777777" w:rsidTr="001F32B3">
        <w:trPr>
          <w:trHeight w:val="397"/>
        </w:trPr>
        <w:tc>
          <w:tcPr>
            <w:tcW w:w="1800" w:type="dxa"/>
            <w:vMerge/>
            <w:tcMar>
              <w:top w:w="115" w:type="dxa"/>
              <w:left w:w="115" w:type="dxa"/>
              <w:bottom w:w="115" w:type="dxa"/>
              <w:right w:w="115" w:type="dxa"/>
            </w:tcMar>
          </w:tcPr>
          <w:p w14:paraId="057B592C"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681892A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2.  </w:t>
            </w:r>
            <w:r w:rsidRPr="000C0842">
              <w:rPr>
                <w:rFonts w:eastAsia="SimSun"/>
                <w:kern w:val="22"/>
                <w:sz w:val="24"/>
                <w:szCs w:val="24"/>
                <w:lang w:val="zh-CN"/>
                <w14:ligatures w14:val="standardContextual"/>
              </w:rPr>
              <w:t>分析主要知识差距，查明缩小这些差距的备选方案。</w:t>
            </w:r>
            <w:r w:rsidRPr="000C0842">
              <w:rPr>
                <w:rFonts w:eastAsia="SimSun"/>
                <w:kern w:val="2"/>
                <w:sz w:val="24"/>
                <w:szCs w:val="24"/>
                <w14:ligatures w14:val="standardContextual"/>
              </w:rPr>
              <w:t xml:space="preserve"> </w:t>
            </w:r>
          </w:p>
        </w:tc>
      </w:tr>
      <w:tr w:rsidR="000C0842" w:rsidRPr="000C0842" w14:paraId="1B23FD25" w14:textId="77777777" w:rsidTr="001F32B3">
        <w:trPr>
          <w:trHeight w:val="370"/>
        </w:trPr>
        <w:tc>
          <w:tcPr>
            <w:tcW w:w="1800" w:type="dxa"/>
            <w:vMerge/>
            <w:tcMar>
              <w:top w:w="115" w:type="dxa"/>
              <w:left w:w="115" w:type="dxa"/>
              <w:bottom w:w="115" w:type="dxa"/>
              <w:right w:w="115" w:type="dxa"/>
            </w:tcMar>
          </w:tcPr>
          <w:p w14:paraId="030F8BA5"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066CE89A"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3.  </w:t>
            </w:r>
            <w:r w:rsidRPr="000C0842">
              <w:rPr>
                <w:rFonts w:eastAsia="SimSun"/>
                <w:kern w:val="2"/>
                <w:sz w:val="24"/>
                <w:szCs w:val="24"/>
                <w:lang w:val="zh-CN"/>
                <w14:ligatures w14:val="standardContextual"/>
              </w:rPr>
              <w:t>对知识管理战略进行一次全面审查。</w:t>
            </w:r>
          </w:p>
        </w:tc>
      </w:tr>
      <w:tr w:rsidR="000C0842" w:rsidRPr="000C0842" w14:paraId="5BDE0274" w14:textId="77777777" w:rsidTr="001F32B3">
        <w:trPr>
          <w:trHeight w:val="514"/>
        </w:trPr>
        <w:tc>
          <w:tcPr>
            <w:tcW w:w="1800" w:type="dxa"/>
            <w:vMerge w:val="restart"/>
            <w:tcMar>
              <w:top w:w="115" w:type="dxa"/>
              <w:left w:w="115" w:type="dxa"/>
              <w:bottom w:w="115" w:type="dxa"/>
              <w:right w:w="115" w:type="dxa"/>
            </w:tcMar>
          </w:tcPr>
          <w:p w14:paraId="4EB32A74"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G. </w:t>
            </w:r>
            <w:r w:rsidRPr="000C0842">
              <w:rPr>
                <w:rFonts w:eastAsia="SimSun"/>
                <w:kern w:val="2"/>
                <w:sz w:val="24"/>
                <w:szCs w:val="24"/>
                <w14:ligatures w14:val="standardContextual"/>
              </w:rPr>
              <w:t>发展数据、信息和知识管理能力</w:t>
            </w:r>
          </w:p>
        </w:tc>
        <w:tc>
          <w:tcPr>
            <w:tcW w:w="7110" w:type="dxa"/>
          </w:tcPr>
          <w:p w14:paraId="4A7093A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1.  </w:t>
            </w:r>
            <w:r w:rsidRPr="000C0842">
              <w:rPr>
                <w:rFonts w:eastAsia="SimSun"/>
                <w:kern w:val="22"/>
                <w:sz w:val="24"/>
                <w:szCs w:val="24"/>
                <w:lang w:val="zh-CN"/>
                <w14:ligatures w14:val="standardContextual"/>
              </w:rPr>
              <w:t>在执行国家生物多样性战略和行动计划时</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对国家知识管理能力进行差距和需求分析。</w:t>
            </w:r>
          </w:p>
        </w:tc>
      </w:tr>
      <w:tr w:rsidR="000C0842" w:rsidRPr="000C0842" w14:paraId="2E44DB0B" w14:textId="77777777" w:rsidTr="001F32B3">
        <w:trPr>
          <w:trHeight w:val="388"/>
        </w:trPr>
        <w:tc>
          <w:tcPr>
            <w:tcW w:w="1800" w:type="dxa"/>
            <w:vMerge/>
            <w:tcMar>
              <w:top w:w="115" w:type="dxa"/>
              <w:left w:w="115" w:type="dxa"/>
              <w:bottom w:w="115" w:type="dxa"/>
              <w:right w:w="115" w:type="dxa"/>
            </w:tcMar>
          </w:tcPr>
          <w:p w14:paraId="6F10F53A"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789CB125"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2.  </w:t>
            </w:r>
            <w:r w:rsidRPr="000C0842">
              <w:rPr>
                <w:rFonts w:eastAsia="SimSun"/>
                <w:kern w:val="22"/>
                <w:sz w:val="24"/>
                <w:szCs w:val="24"/>
                <w:lang w:val="zh-CN"/>
                <w14:ligatures w14:val="standardContextual"/>
              </w:rPr>
              <w:t>发展或加强生物多样性知识管理</w:t>
            </w:r>
            <w:r w:rsidRPr="000C0842">
              <w:rPr>
                <w:rFonts w:eastAsia="SimSun"/>
                <w:kern w:val="22"/>
                <w:sz w:val="24"/>
                <w:szCs w:val="24"/>
                <w14:ligatures w14:val="standardContextual"/>
              </w:rPr>
              <w:t>，</w:t>
            </w:r>
            <w:r w:rsidRPr="000C0842">
              <w:rPr>
                <w:rFonts w:eastAsia="SimSun"/>
                <w:kern w:val="22"/>
                <w:sz w:val="24"/>
                <w:szCs w:val="24"/>
                <w:lang w:val="zh-CN"/>
                <w14:ligatures w14:val="standardContextual"/>
              </w:rPr>
              <w:t>包括传统知识管理的政策、战略和方案。</w:t>
            </w:r>
          </w:p>
        </w:tc>
      </w:tr>
      <w:tr w:rsidR="000C0842" w:rsidRPr="000C0842" w14:paraId="2A95CF34" w14:textId="77777777" w:rsidTr="001F32B3">
        <w:trPr>
          <w:cantSplit/>
        </w:trPr>
        <w:tc>
          <w:tcPr>
            <w:tcW w:w="1800" w:type="dxa"/>
            <w:vMerge/>
            <w:tcMar>
              <w:top w:w="115" w:type="dxa"/>
              <w:left w:w="115" w:type="dxa"/>
              <w:bottom w:w="115" w:type="dxa"/>
              <w:right w:w="115" w:type="dxa"/>
            </w:tcMar>
          </w:tcPr>
          <w:p w14:paraId="2293FF8D" w14:textId="77777777" w:rsidR="006D5DBD" w:rsidRPr="000C0842" w:rsidRDefault="006D5DBD" w:rsidP="006D5DBD">
            <w:pPr>
              <w:tabs>
                <w:tab w:val="clear" w:pos="567"/>
                <w:tab w:val="clear" w:pos="1134"/>
                <w:tab w:val="clear" w:pos="1701"/>
                <w:tab w:val="clear" w:pos="2268"/>
              </w:tabs>
              <w:spacing w:after="60"/>
              <w:jc w:val="left"/>
              <w:rPr>
                <w:rFonts w:eastAsia="SimSun"/>
                <w:b/>
                <w:bCs/>
                <w:kern w:val="2"/>
                <w:sz w:val="24"/>
                <w:szCs w:val="24"/>
                <w14:ligatures w14:val="standardContextual"/>
              </w:rPr>
            </w:pPr>
          </w:p>
        </w:tc>
        <w:tc>
          <w:tcPr>
            <w:tcW w:w="7110" w:type="dxa"/>
          </w:tcPr>
          <w:p w14:paraId="22BF93C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3.  </w:t>
            </w:r>
            <w:r w:rsidRPr="000C0842">
              <w:rPr>
                <w:rFonts w:eastAsia="SimSun"/>
                <w:kern w:val="2"/>
                <w:sz w:val="24"/>
                <w:szCs w:val="24"/>
                <w:lang w:val="zh-CN"/>
                <w14:ligatures w14:val="standardContextual"/>
              </w:rPr>
              <w:t>加强相关国家机构在生物多样性信息学和知识管理方面的机构能力</w:t>
            </w:r>
            <w:r w:rsidRPr="000C0842">
              <w:rPr>
                <w:rFonts w:eastAsia="SimSun"/>
                <w:kern w:val="2"/>
                <w:sz w:val="24"/>
                <w:szCs w:val="24"/>
                <w14:ligatures w14:val="standardContextual"/>
              </w:rPr>
              <w:t>，</w:t>
            </w:r>
            <w:r w:rsidRPr="000C0842">
              <w:rPr>
                <w:rFonts w:eastAsia="SimSun"/>
                <w:kern w:val="2"/>
                <w:sz w:val="24"/>
                <w:szCs w:val="24"/>
                <w:lang w:val="zh-CN"/>
                <w14:ligatures w14:val="standardContextual"/>
              </w:rPr>
              <w:t>包括支持土著人民和地方社区努力加强其土著知识管理系统。</w:t>
            </w:r>
          </w:p>
        </w:tc>
      </w:tr>
      <w:tr w:rsidR="000C0842" w:rsidRPr="000C0842" w14:paraId="55498835" w14:textId="77777777" w:rsidTr="001F32B3">
        <w:trPr>
          <w:cantSplit/>
        </w:trPr>
        <w:tc>
          <w:tcPr>
            <w:tcW w:w="1800" w:type="dxa"/>
            <w:vMerge/>
            <w:tcMar>
              <w:top w:w="115" w:type="dxa"/>
              <w:left w:w="115" w:type="dxa"/>
              <w:bottom w:w="115" w:type="dxa"/>
              <w:right w:w="115" w:type="dxa"/>
            </w:tcMar>
          </w:tcPr>
          <w:p w14:paraId="503ACC6A"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Pr>
          <w:p w14:paraId="7AC0E62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4.  </w:t>
            </w:r>
            <w:r w:rsidRPr="000C0842">
              <w:rPr>
                <w:rFonts w:eastAsia="SimSun"/>
                <w:kern w:val="22"/>
                <w:sz w:val="24"/>
                <w:szCs w:val="24"/>
                <w:lang w:val="zh-CN"/>
                <w14:ligatures w14:val="standardContextual"/>
              </w:rPr>
              <w:t>加强保护生物多样性和可持续利用的国家知识管理系统和机制。</w:t>
            </w:r>
          </w:p>
        </w:tc>
      </w:tr>
      <w:tr w:rsidR="000C0842" w:rsidRPr="000C0842" w14:paraId="1E985E0A" w14:textId="77777777" w:rsidTr="001F32B3">
        <w:trPr>
          <w:cantSplit/>
          <w:trHeight w:val="59"/>
        </w:trPr>
        <w:tc>
          <w:tcPr>
            <w:tcW w:w="1800" w:type="dxa"/>
            <w:vMerge/>
            <w:tcMar>
              <w:top w:w="115" w:type="dxa"/>
              <w:left w:w="115" w:type="dxa"/>
              <w:bottom w:w="115" w:type="dxa"/>
              <w:right w:w="115" w:type="dxa"/>
            </w:tcMar>
          </w:tcPr>
          <w:p w14:paraId="00FB3BCA"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Borders>
              <w:top w:val="single" w:sz="4" w:space="0" w:color="auto"/>
              <w:bottom w:val="single" w:sz="4" w:space="0" w:color="auto"/>
              <w:right w:val="single" w:sz="4" w:space="0" w:color="auto"/>
            </w:tcBorders>
          </w:tcPr>
          <w:p w14:paraId="4131626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5.  </w:t>
            </w:r>
            <w:r w:rsidRPr="000C0842">
              <w:rPr>
                <w:rFonts w:eastAsia="SimSun"/>
                <w:kern w:val="22"/>
                <w:sz w:val="24"/>
                <w:szCs w:val="24"/>
                <w:lang w:val="zh-CN"/>
                <w14:ligatures w14:val="standardContextual"/>
              </w:rPr>
              <w:t>为国家数据库开发和分享数据访问和使用经验提供指导。</w:t>
            </w:r>
          </w:p>
        </w:tc>
      </w:tr>
      <w:tr w:rsidR="000C0842" w:rsidRPr="000C0842" w14:paraId="482B7CA4" w14:textId="77777777" w:rsidTr="001F32B3">
        <w:trPr>
          <w:cantSplit/>
          <w:trHeight w:val="57"/>
        </w:trPr>
        <w:tc>
          <w:tcPr>
            <w:tcW w:w="1800" w:type="dxa"/>
            <w:vMerge/>
            <w:tcMar>
              <w:top w:w="115" w:type="dxa"/>
              <w:left w:w="115" w:type="dxa"/>
              <w:bottom w:w="115" w:type="dxa"/>
              <w:right w:w="115" w:type="dxa"/>
            </w:tcMar>
          </w:tcPr>
          <w:p w14:paraId="565C5E0E"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Borders>
              <w:top w:val="single" w:sz="4" w:space="0" w:color="auto"/>
              <w:bottom w:val="single" w:sz="4" w:space="0" w:color="auto"/>
              <w:right w:val="single" w:sz="4" w:space="0" w:color="auto"/>
            </w:tcBorders>
          </w:tcPr>
          <w:p w14:paraId="3091104F"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6.  </w:t>
            </w:r>
            <w:r w:rsidRPr="000C0842">
              <w:rPr>
                <w:rFonts w:eastAsia="SimSun"/>
                <w:kern w:val="2"/>
                <w:sz w:val="24"/>
                <w:szCs w:val="24"/>
                <w:lang w:val="zh-CN"/>
                <w14:ligatures w14:val="standardContextual"/>
              </w:rPr>
              <w:t>加强决策者、从业人员、公众、相关利益攸关方和知识持有者在土著人民和地方社区自由、事先和知情同意下获取和使用生物多样性数据、信息和知识包括传统知识的能力。</w:t>
            </w:r>
          </w:p>
        </w:tc>
      </w:tr>
      <w:tr w:rsidR="000C0842" w:rsidRPr="000C0842" w14:paraId="79B043C0" w14:textId="77777777" w:rsidTr="001F32B3">
        <w:trPr>
          <w:cantSplit/>
          <w:trHeight w:val="811"/>
        </w:trPr>
        <w:tc>
          <w:tcPr>
            <w:tcW w:w="1800" w:type="dxa"/>
            <w:vMerge/>
            <w:tcMar>
              <w:top w:w="115" w:type="dxa"/>
              <w:left w:w="115" w:type="dxa"/>
              <w:bottom w:w="115" w:type="dxa"/>
              <w:right w:w="115" w:type="dxa"/>
            </w:tcMar>
          </w:tcPr>
          <w:p w14:paraId="47598688"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Borders>
              <w:top w:val="single" w:sz="4" w:space="0" w:color="auto"/>
              <w:right w:val="single" w:sz="4" w:space="0" w:color="auto"/>
            </w:tcBorders>
          </w:tcPr>
          <w:p w14:paraId="508AD8E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7. </w:t>
            </w:r>
            <w:r w:rsidRPr="000C0842">
              <w:rPr>
                <w:rFonts w:eastAsia="SimSun"/>
                <w:kern w:val="2"/>
                <w:sz w:val="24"/>
                <w:szCs w:val="24"/>
                <w:lang w:val="zh-CN"/>
                <w14:ligatures w14:val="standardContextual"/>
              </w:rPr>
              <w:t>制定有针对性的能力建设举措，通过改善数据基础设施、培训、指导和技术支持，协助土著人民和地方社区、妇女和青年代表及其他相关利益攸关方参与生物多样性相关数据、信息和知识的生成、管理和使用。</w:t>
            </w:r>
          </w:p>
        </w:tc>
      </w:tr>
      <w:tr w:rsidR="000C0842" w:rsidRPr="000C0842" w14:paraId="50008DA3" w14:textId="77777777" w:rsidTr="001F32B3">
        <w:trPr>
          <w:cantSplit/>
          <w:trHeight w:val="59"/>
        </w:trPr>
        <w:tc>
          <w:tcPr>
            <w:tcW w:w="1800" w:type="dxa"/>
            <w:vMerge/>
            <w:tcMar>
              <w:top w:w="115" w:type="dxa"/>
              <w:left w:w="115" w:type="dxa"/>
              <w:bottom w:w="115" w:type="dxa"/>
              <w:right w:w="115" w:type="dxa"/>
            </w:tcMar>
          </w:tcPr>
          <w:p w14:paraId="7A24062C"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Borders>
              <w:top w:val="single" w:sz="4" w:space="0" w:color="auto"/>
              <w:bottom w:val="single" w:sz="4" w:space="0" w:color="auto"/>
              <w:right w:val="single" w:sz="4" w:space="0" w:color="auto"/>
            </w:tcBorders>
          </w:tcPr>
          <w:p w14:paraId="530DB5B4"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8. </w:t>
            </w:r>
            <w:r w:rsidRPr="000C0842">
              <w:rPr>
                <w:rFonts w:eastAsia="SimSun"/>
                <w:kern w:val="2"/>
                <w:sz w:val="24"/>
                <w:szCs w:val="24"/>
                <w:lang w:val="zh-CN"/>
                <w14:ligatures w14:val="standardContextual"/>
              </w:rPr>
              <w:t>根据自由、事先和知情同意的原则，在大学和科学机构与土著人民和地方社区、妇女和青年代表及其他相关利益攸关方之间建立伙伴关系，以加强科学和传统知识对保护和可持续利用研究方案的贡献。</w:t>
            </w:r>
            <w:r w:rsidRPr="000C0842">
              <w:rPr>
                <w:rFonts w:eastAsia="SimSun"/>
                <w:kern w:val="2"/>
                <w:sz w:val="24"/>
                <w:szCs w:val="24"/>
                <w:lang w:val="zh-CN"/>
                <w14:ligatures w14:val="standardContextual"/>
              </w:rPr>
              <w:t xml:space="preserve"> </w:t>
            </w:r>
          </w:p>
        </w:tc>
      </w:tr>
      <w:tr w:rsidR="000C0842" w:rsidRPr="000C0842" w14:paraId="2863A6E9" w14:textId="77777777" w:rsidTr="001F32B3">
        <w:trPr>
          <w:cantSplit/>
          <w:trHeight w:val="59"/>
        </w:trPr>
        <w:tc>
          <w:tcPr>
            <w:tcW w:w="1800" w:type="dxa"/>
            <w:vMerge/>
            <w:tcMar>
              <w:top w:w="115" w:type="dxa"/>
              <w:left w:w="115" w:type="dxa"/>
              <w:bottom w:w="115" w:type="dxa"/>
              <w:right w:w="115" w:type="dxa"/>
            </w:tcMar>
          </w:tcPr>
          <w:p w14:paraId="4046787D"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p>
        </w:tc>
        <w:tc>
          <w:tcPr>
            <w:tcW w:w="7110" w:type="dxa"/>
            <w:tcBorders>
              <w:top w:val="single" w:sz="4" w:space="0" w:color="auto"/>
              <w:bottom w:val="single" w:sz="4" w:space="0" w:color="auto"/>
              <w:right w:val="single" w:sz="4" w:space="0" w:color="auto"/>
            </w:tcBorders>
          </w:tcPr>
          <w:p w14:paraId="6A8917D1"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9. </w:t>
            </w:r>
            <w:r w:rsidRPr="000C0842">
              <w:rPr>
                <w:rFonts w:eastAsia="SimSun"/>
                <w:kern w:val="2"/>
                <w:sz w:val="24"/>
                <w:szCs w:val="24"/>
                <w:lang w:val="zh-CN"/>
                <w14:ligatures w14:val="standardContextual"/>
              </w:rPr>
              <w:t>调动资金支持知识管理工作，确保生物多样性数据、信息和知识的生成、收集、管理和共享的可持续性。</w:t>
            </w:r>
          </w:p>
        </w:tc>
      </w:tr>
      <w:tr w:rsidR="000C0842" w:rsidRPr="000C0842" w14:paraId="2BD6646B" w14:textId="77777777" w:rsidTr="001F32B3">
        <w:trPr>
          <w:cantSplit/>
          <w:trHeight w:val="95"/>
        </w:trPr>
        <w:tc>
          <w:tcPr>
            <w:tcW w:w="1800" w:type="dxa"/>
            <w:vMerge w:val="restart"/>
            <w:tcBorders>
              <w:left w:val="single" w:sz="4" w:space="0" w:color="auto"/>
              <w:right w:val="single" w:sz="4" w:space="0" w:color="auto"/>
            </w:tcBorders>
            <w:tcMar>
              <w:top w:w="115" w:type="dxa"/>
              <w:left w:w="115" w:type="dxa"/>
              <w:bottom w:w="115" w:type="dxa"/>
              <w:right w:w="115" w:type="dxa"/>
            </w:tcMar>
          </w:tcPr>
          <w:p w14:paraId="12070766"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14:ligatures w14:val="standardContextual"/>
              </w:rPr>
            </w:pPr>
            <w:r w:rsidRPr="000C0842">
              <w:rPr>
                <w:rFonts w:eastAsia="SimSun"/>
                <w:kern w:val="22"/>
                <w:sz w:val="24"/>
                <w:szCs w:val="24"/>
                <w14:ligatures w14:val="standardContextual"/>
              </w:rPr>
              <w:t xml:space="preserve">H. </w:t>
            </w:r>
            <w:r w:rsidRPr="000C0842">
              <w:rPr>
                <w:rFonts w:eastAsia="SimSun"/>
                <w:kern w:val="22"/>
                <w:sz w:val="24"/>
                <w:szCs w:val="24"/>
                <w:lang w:val="zh-CN"/>
                <w14:ligatures w14:val="standardContextual"/>
              </w:rPr>
              <w:t>加强知识网络和伙伴关系</w:t>
            </w:r>
          </w:p>
        </w:tc>
        <w:tc>
          <w:tcPr>
            <w:tcW w:w="7110" w:type="dxa"/>
            <w:tcBorders>
              <w:top w:val="single" w:sz="4" w:space="0" w:color="auto"/>
              <w:left w:val="single" w:sz="4" w:space="0" w:color="auto"/>
              <w:bottom w:val="single" w:sz="4" w:space="0" w:color="auto"/>
              <w:right w:val="single" w:sz="4" w:space="0" w:color="auto"/>
            </w:tcBorders>
          </w:tcPr>
          <w:p w14:paraId="32B383DC"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2"/>
                <w:sz w:val="24"/>
                <w:szCs w:val="24"/>
                <w:lang w:val="zh-CN"/>
                <w14:ligatures w14:val="standardContextual"/>
              </w:rPr>
              <w:t xml:space="preserve">1.  </w:t>
            </w:r>
            <w:r w:rsidRPr="000C0842">
              <w:rPr>
                <w:rFonts w:eastAsia="SimSun"/>
                <w:kern w:val="22"/>
                <w:sz w:val="24"/>
                <w:szCs w:val="24"/>
                <w:lang w:val="zh-CN"/>
                <w14:ligatures w14:val="standardContextual"/>
              </w:rPr>
              <w:t>加强生物多样性数据、信息和知识管理网络。</w:t>
            </w:r>
          </w:p>
        </w:tc>
      </w:tr>
      <w:tr w:rsidR="000C0842" w:rsidRPr="000C0842" w14:paraId="70A473A5" w14:textId="77777777" w:rsidTr="001F32B3">
        <w:trPr>
          <w:cantSplit/>
          <w:trHeight w:val="496"/>
        </w:trPr>
        <w:tc>
          <w:tcPr>
            <w:tcW w:w="1800" w:type="dxa"/>
            <w:vMerge/>
            <w:tcBorders>
              <w:left w:val="single" w:sz="4" w:space="0" w:color="auto"/>
              <w:right w:val="single" w:sz="4" w:space="0" w:color="auto"/>
            </w:tcBorders>
            <w:tcMar>
              <w:top w:w="115" w:type="dxa"/>
              <w:left w:w="115" w:type="dxa"/>
              <w:bottom w:w="115" w:type="dxa"/>
              <w:right w:w="115" w:type="dxa"/>
            </w:tcMar>
          </w:tcPr>
          <w:p w14:paraId="5AD71A03" w14:textId="77777777" w:rsidR="006D5DBD" w:rsidRPr="000C0842" w:rsidRDefault="006D5DBD" w:rsidP="006D5DBD">
            <w:pPr>
              <w:tabs>
                <w:tab w:val="clear" w:pos="567"/>
                <w:tab w:val="clear" w:pos="1134"/>
                <w:tab w:val="clear" w:pos="1701"/>
                <w:tab w:val="clear" w:pos="2268"/>
              </w:tabs>
              <w:spacing w:after="60"/>
              <w:jc w:val="left"/>
              <w:rPr>
                <w:rFonts w:eastAsia="SimSun"/>
                <w:kern w:val="22"/>
                <w:sz w:val="24"/>
                <w:szCs w:val="24"/>
                <w14:ligatures w14:val="standardContextual"/>
              </w:rPr>
            </w:pPr>
          </w:p>
        </w:tc>
        <w:tc>
          <w:tcPr>
            <w:tcW w:w="7110" w:type="dxa"/>
            <w:tcBorders>
              <w:top w:val="single" w:sz="4" w:space="0" w:color="auto"/>
              <w:left w:val="single" w:sz="4" w:space="0" w:color="auto"/>
              <w:bottom w:val="single" w:sz="4" w:space="0" w:color="auto"/>
              <w:right w:val="single" w:sz="4" w:space="0" w:color="auto"/>
            </w:tcBorders>
          </w:tcPr>
          <w:p w14:paraId="090DC753" w14:textId="77777777" w:rsidR="006D5DBD" w:rsidRPr="000C0842" w:rsidRDefault="006D5DBD" w:rsidP="006D5DBD">
            <w:pPr>
              <w:tabs>
                <w:tab w:val="clear" w:pos="567"/>
                <w:tab w:val="clear" w:pos="1134"/>
                <w:tab w:val="clear" w:pos="1701"/>
                <w:tab w:val="clear" w:pos="2268"/>
              </w:tabs>
              <w:spacing w:after="60"/>
              <w:jc w:val="left"/>
              <w:rPr>
                <w:rFonts w:eastAsia="SimSun"/>
                <w:kern w:val="22"/>
                <w:sz w:val="24"/>
                <w:szCs w:val="24"/>
                <w14:ligatures w14:val="standardContextual"/>
              </w:rPr>
            </w:pPr>
            <w:r w:rsidRPr="000C0842">
              <w:rPr>
                <w:rFonts w:eastAsia="SimSun"/>
                <w:kern w:val="2"/>
                <w:sz w:val="24"/>
                <w:szCs w:val="24"/>
                <w14:ligatures w14:val="standardContextual"/>
              </w:rPr>
              <w:t xml:space="preserve">2.  </w:t>
            </w:r>
            <w:r w:rsidRPr="000C0842">
              <w:rPr>
                <w:rFonts w:eastAsia="SimSun"/>
                <w:spacing w:val="-10"/>
                <w:kern w:val="2"/>
                <w:sz w:val="24"/>
                <w:szCs w:val="24"/>
                <w:lang w:val="zh-CN"/>
                <w14:ligatures w14:val="standardContextual"/>
              </w:rPr>
              <w:t>在专门知识中心、同业交流群、土著人民和地方社区以及其他知识来源之间建立联</w:t>
            </w:r>
            <w:r w:rsidRPr="000C0842">
              <w:rPr>
                <w:rFonts w:eastAsia="SimSun"/>
                <w:kern w:val="2"/>
                <w:sz w:val="24"/>
                <w:szCs w:val="24"/>
                <w:lang w:val="zh-CN"/>
                <w14:ligatures w14:val="standardContextual"/>
              </w:rPr>
              <w:t>系。</w:t>
            </w:r>
          </w:p>
        </w:tc>
      </w:tr>
      <w:tr w:rsidR="000C0842" w:rsidRPr="000C0842" w14:paraId="17800A47" w14:textId="77777777" w:rsidTr="001F32B3">
        <w:trPr>
          <w:cantSplit/>
          <w:trHeight w:val="94"/>
        </w:trPr>
        <w:tc>
          <w:tcPr>
            <w:tcW w:w="1800" w:type="dxa"/>
            <w:vMerge/>
            <w:tcBorders>
              <w:left w:val="single" w:sz="4" w:space="0" w:color="auto"/>
              <w:right w:val="single" w:sz="4" w:space="0" w:color="auto"/>
            </w:tcBorders>
            <w:tcMar>
              <w:top w:w="115" w:type="dxa"/>
              <w:left w:w="115" w:type="dxa"/>
              <w:bottom w:w="115" w:type="dxa"/>
              <w:right w:w="115" w:type="dxa"/>
            </w:tcMar>
          </w:tcPr>
          <w:p w14:paraId="6FF57F7E" w14:textId="77777777" w:rsidR="006D5DBD" w:rsidRPr="000C0842" w:rsidRDefault="006D5DBD" w:rsidP="006D5DBD">
            <w:pPr>
              <w:tabs>
                <w:tab w:val="clear" w:pos="567"/>
                <w:tab w:val="clear" w:pos="1134"/>
                <w:tab w:val="clear" w:pos="1701"/>
                <w:tab w:val="clear" w:pos="2268"/>
              </w:tabs>
              <w:spacing w:after="60"/>
              <w:jc w:val="left"/>
              <w:rPr>
                <w:rFonts w:eastAsia="SimSun"/>
                <w:kern w:val="22"/>
                <w:sz w:val="24"/>
                <w:szCs w:val="24"/>
                <w14:ligatures w14:val="standardContextual"/>
              </w:rPr>
            </w:pPr>
          </w:p>
        </w:tc>
        <w:tc>
          <w:tcPr>
            <w:tcW w:w="7110" w:type="dxa"/>
            <w:tcBorders>
              <w:top w:val="single" w:sz="4" w:space="0" w:color="auto"/>
              <w:left w:val="single" w:sz="4" w:space="0" w:color="auto"/>
              <w:bottom w:val="single" w:sz="4" w:space="0" w:color="auto"/>
              <w:right w:val="single" w:sz="4" w:space="0" w:color="auto"/>
            </w:tcBorders>
          </w:tcPr>
          <w:p w14:paraId="3828FD09"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3. </w:t>
            </w:r>
            <w:r w:rsidRPr="000C0842">
              <w:rPr>
                <w:rFonts w:eastAsia="SimSun"/>
                <w:kern w:val="2"/>
                <w:sz w:val="24"/>
                <w:szCs w:val="24"/>
                <w:lang w:val="zh-CN"/>
                <w14:ligatures w14:val="standardContextual"/>
              </w:rPr>
              <w:t>加强科学机构、公共机构以及土著人民和地方社区在可持续做法相关传统知识方面工作的合作。</w:t>
            </w:r>
          </w:p>
        </w:tc>
      </w:tr>
      <w:tr w:rsidR="000C0842" w:rsidRPr="000C0842" w14:paraId="4BC517E3" w14:textId="77777777" w:rsidTr="001F32B3">
        <w:trPr>
          <w:cantSplit/>
          <w:trHeight w:val="94"/>
        </w:trPr>
        <w:tc>
          <w:tcPr>
            <w:tcW w:w="1800" w:type="dxa"/>
            <w:vMerge/>
            <w:tcBorders>
              <w:left w:val="single" w:sz="4" w:space="0" w:color="auto"/>
              <w:right w:val="single" w:sz="4" w:space="0" w:color="auto"/>
            </w:tcBorders>
            <w:tcMar>
              <w:top w:w="115" w:type="dxa"/>
              <w:left w:w="115" w:type="dxa"/>
              <w:bottom w:w="115" w:type="dxa"/>
              <w:right w:w="115" w:type="dxa"/>
            </w:tcMar>
          </w:tcPr>
          <w:p w14:paraId="26170EA0" w14:textId="77777777" w:rsidR="006D5DBD" w:rsidRPr="000C0842" w:rsidRDefault="006D5DBD" w:rsidP="006D5DBD">
            <w:pPr>
              <w:tabs>
                <w:tab w:val="clear" w:pos="567"/>
                <w:tab w:val="clear" w:pos="1134"/>
                <w:tab w:val="clear" w:pos="1701"/>
                <w:tab w:val="clear" w:pos="2268"/>
              </w:tabs>
              <w:spacing w:after="60"/>
              <w:jc w:val="left"/>
              <w:rPr>
                <w:rFonts w:eastAsia="SimSun"/>
                <w:kern w:val="22"/>
                <w:sz w:val="24"/>
                <w:szCs w:val="24"/>
                <w14:ligatures w14:val="standardContextual"/>
              </w:rPr>
            </w:pPr>
          </w:p>
        </w:tc>
        <w:tc>
          <w:tcPr>
            <w:tcW w:w="7110" w:type="dxa"/>
            <w:tcBorders>
              <w:top w:val="single" w:sz="4" w:space="0" w:color="auto"/>
              <w:left w:val="single" w:sz="4" w:space="0" w:color="auto"/>
              <w:bottom w:val="single" w:sz="4" w:space="0" w:color="auto"/>
              <w:right w:val="single" w:sz="4" w:space="0" w:color="auto"/>
            </w:tcBorders>
          </w:tcPr>
          <w:p w14:paraId="5D98D8E1" w14:textId="77777777" w:rsidR="006D5DBD" w:rsidRPr="000C0842" w:rsidRDefault="006D5DBD" w:rsidP="006D5DBD">
            <w:pPr>
              <w:tabs>
                <w:tab w:val="clear" w:pos="567"/>
                <w:tab w:val="clear" w:pos="1134"/>
                <w:tab w:val="clear" w:pos="1701"/>
                <w:tab w:val="clear" w:pos="2268"/>
              </w:tabs>
              <w:spacing w:after="60"/>
              <w:jc w:val="left"/>
              <w:rPr>
                <w:rFonts w:eastAsia="SimSun"/>
                <w:kern w:val="2"/>
                <w:sz w:val="24"/>
                <w:szCs w:val="24"/>
                <w:lang w:val="zh-CN"/>
                <w14:ligatures w14:val="standardContextual"/>
              </w:rPr>
            </w:pPr>
            <w:r w:rsidRPr="000C0842">
              <w:rPr>
                <w:rFonts w:eastAsia="SimSun"/>
                <w:kern w:val="2"/>
                <w:sz w:val="24"/>
                <w:szCs w:val="24"/>
                <w:lang w:val="zh-CN"/>
                <w14:ligatures w14:val="standardContextual"/>
              </w:rPr>
              <w:t xml:space="preserve">4.  </w:t>
            </w:r>
            <w:r w:rsidRPr="000C0842">
              <w:rPr>
                <w:rFonts w:eastAsia="SimSun"/>
                <w:kern w:val="2"/>
                <w:sz w:val="24"/>
                <w:szCs w:val="24"/>
                <w:lang w:val="zh-CN"/>
                <w14:ligatures w14:val="standardContextual"/>
              </w:rPr>
              <w:t>加强各种生物多样性知识倡议、工具和平台之间，以及社区监测和公民科学方案之间的协调与合作。</w:t>
            </w:r>
          </w:p>
        </w:tc>
      </w:tr>
      <w:tr w:rsidR="006D5DBD" w:rsidRPr="000C0842" w14:paraId="0B6DE239" w14:textId="77777777" w:rsidTr="001F32B3">
        <w:trPr>
          <w:cantSplit/>
          <w:trHeight w:val="94"/>
        </w:trPr>
        <w:tc>
          <w:tcPr>
            <w:tcW w:w="1800" w:type="dxa"/>
            <w:vMerge/>
            <w:tcBorders>
              <w:left w:val="single" w:sz="4" w:space="0" w:color="auto"/>
              <w:right w:val="single" w:sz="4" w:space="0" w:color="auto"/>
            </w:tcBorders>
            <w:tcMar>
              <w:top w:w="115" w:type="dxa"/>
              <w:left w:w="115" w:type="dxa"/>
              <w:bottom w:w="115" w:type="dxa"/>
              <w:right w:w="115" w:type="dxa"/>
            </w:tcMar>
          </w:tcPr>
          <w:p w14:paraId="63324BBC" w14:textId="77777777" w:rsidR="006D5DBD" w:rsidRPr="000C0842" w:rsidRDefault="006D5DBD" w:rsidP="006D5DBD">
            <w:pPr>
              <w:tabs>
                <w:tab w:val="clear" w:pos="567"/>
                <w:tab w:val="clear" w:pos="1134"/>
                <w:tab w:val="clear" w:pos="1701"/>
                <w:tab w:val="clear" w:pos="2268"/>
              </w:tabs>
              <w:spacing w:after="60"/>
              <w:jc w:val="left"/>
              <w:rPr>
                <w:rFonts w:eastAsia="SimSun"/>
                <w:kern w:val="22"/>
                <w:sz w:val="24"/>
                <w:szCs w:val="24"/>
                <w14:ligatures w14:val="standardContextual"/>
              </w:rPr>
            </w:pPr>
          </w:p>
        </w:tc>
        <w:tc>
          <w:tcPr>
            <w:tcW w:w="7110" w:type="dxa"/>
            <w:tcBorders>
              <w:top w:val="single" w:sz="4" w:space="0" w:color="auto"/>
              <w:left w:val="single" w:sz="4" w:space="0" w:color="auto"/>
              <w:right w:val="single" w:sz="4" w:space="0" w:color="auto"/>
            </w:tcBorders>
          </w:tcPr>
          <w:p w14:paraId="1B905732" w14:textId="77777777" w:rsidR="006D5DBD" w:rsidRPr="000C0842" w:rsidRDefault="006D5DBD" w:rsidP="006D5DBD">
            <w:pPr>
              <w:tabs>
                <w:tab w:val="clear" w:pos="567"/>
                <w:tab w:val="clear" w:pos="1134"/>
                <w:tab w:val="clear" w:pos="1701"/>
                <w:tab w:val="clear" w:pos="2268"/>
                <w:tab w:val="left" w:pos="360"/>
              </w:tabs>
              <w:spacing w:after="60"/>
              <w:jc w:val="left"/>
              <w:rPr>
                <w:rFonts w:eastAsia="SimSun"/>
                <w:kern w:val="2"/>
                <w:sz w:val="24"/>
                <w:szCs w:val="24"/>
                <w14:ligatures w14:val="standardContextual"/>
              </w:rPr>
            </w:pPr>
            <w:r w:rsidRPr="000C0842">
              <w:rPr>
                <w:rFonts w:eastAsia="SimSun"/>
                <w:kern w:val="2"/>
                <w:sz w:val="24"/>
                <w:szCs w:val="24"/>
                <w14:ligatures w14:val="standardContextual"/>
              </w:rPr>
              <w:t xml:space="preserve">5. </w:t>
            </w:r>
            <w:r w:rsidRPr="000C0842">
              <w:rPr>
                <w:rFonts w:eastAsia="SimSun"/>
                <w:spacing w:val="-8"/>
                <w:kern w:val="2"/>
                <w:sz w:val="24"/>
                <w:szCs w:val="24"/>
                <w14:ligatures w14:val="standardContextual"/>
              </w:rPr>
              <w:t xml:space="preserve"> </w:t>
            </w:r>
            <w:r w:rsidRPr="000C0842">
              <w:rPr>
                <w:rFonts w:eastAsia="SimSun"/>
                <w:spacing w:val="-8"/>
                <w:kern w:val="2"/>
                <w:sz w:val="24"/>
                <w:szCs w:val="24"/>
                <w:lang w:val="zh-CN"/>
                <w14:ligatures w14:val="standardContextual"/>
              </w:rPr>
              <w:t>大幅增加技术、科学和社会经济研究成果的交流</w:t>
            </w:r>
            <w:r w:rsidRPr="000C0842">
              <w:rPr>
                <w:rFonts w:eastAsia="SimSun"/>
                <w:spacing w:val="-8"/>
                <w:kern w:val="2"/>
                <w:sz w:val="24"/>
                <w:szCs w:val="24"/>
                <w14:ligatures w14:val="standardContextual"/>
              </w:rPr>
              <w:t>，</w:t>
            </w:r>
            <w:r w:rsidRPr="000C0842">
              <w:rPr>
                <w:rFonts w:eastAsia="SimSun"/>
                <w:spacing w:val="-8"/>
                <w:kern w:val="2"/>
                <w:sz w:val="24"/>
                <w:szCs w:val="24"/>
                <w:lang w:val="zh-CN"/>
                <w14:ligatures w14:val="standardContextual"/>
              </w:rPr>
              <w:t>以及关于培训和调查方案信息</w:t>
            </w:r>
            <w:r w:rsidRPr="000C0842">
              <w:rPr>
                <w:rFonts w:eastAsia="SimSun"/>
                <w:kern w:val="2"/>
                <w:sz w:val="24"/>
                <w:szCs w:val="24"/>
                <w:lang w:val="zh-CN"/>
                <w14:ligatures w14:val="standardContextual"/>
              </w:rPr>
              <w:t>的交流。</w:t>
            </w:r>
          </w:p>
        </w:tc>
      </w:tr>
      <w:bookmarkEnd w:id="22"/>
    </w:tbl>
    <w:p w14:paraId="118C5C02" w14:textId="77777777" w:rsidR="006D5DBD" w:rsidRPr="000C0842" w:rsidRDefault="006D5DBD" w:rsidP="006D5DBD">
      <w:pPr>
        <w:spacing w:line="276" w:lineRule="auto"/>
        <w:rPr>
          <w:sz w:val="24"/>
          <w:szCs w:val="24"/>
        </w:rPr>
      </w:pPr>
    </w:p>
    <w:p w14:paraId="50B26E26" w14:textId="77777777" w:rsidR="006D5DBD" w:rsidRPr="000C0842" w:rsidRDefault="006D5DBD" w:rsidP="006D5DBD">
      <w:pPr>
        <w:spacing w:line="276" w:lineRule="auto"/>
        <w:ind w:left="490"/>
        <w:jc w:val="center"/>
        <w:rPr>
          <w:sz w:val="24"/>
          <w:szCs w:val="24"/>
        </w:rPr>
      </w:pPr>
    </w:p>
    <w:p w14:paraId="0B591398" w14:textId="716A9B15" w:rsidR="006D5DBD" w:rsidRPr="000C0842" w:rsidRDefault="006D5DBD">
      <w:pPr>
        <w:tabs>
          <w:tab w:val="clear" w:pos="567"/>
          <w:tab w:val="clear" w:pos="1134"/>
          <w:tab w:val="clear" w:pos="1701"/>
          <w:tab w:val="clear" w:pos="2268"/>
        </w:tabs>
        <w:jc w:val="left"/>
        <w:rPr>
          <w:sz w:val="24"/>
          <w:szCs w:val="24"/>
        </w:rPr>
      </w:pPr>
      <w:r w:rsidRPr="000C0842">
        <w:rPr>
          <w:sz w:val="24"/>
          <w:szCs w:val="24"/>
        </w:rPr>
        <w:br w:type="page"/>
      </w:r>
    </w:p>
    <w:p w14:paraId="6BD4D50D" w14:textId="1D96AEBF" w:rsidR="006D5DBD" w:rsidRPr="000C0842" w:rsidRDefault="006D5DBD" w:rsidP="002437E6">
      <w:pPr>
        <w:pStyle w:val="a1"/>
        <w:rPr>
          <w:rFonts w:hint="eastAsia"/>
          <w:lang w:eastAsia="zh-CN"/>
        </w:rPr>
      </w:pPr>
      <w:bookmarkStart w:id="29" w:name="_Toc206358206"/>
      <w:r w:rsidRPr="000C0842">
        <w:rPr>
          <w:lang w:eastAsia="zh-CN"/>
        </w:rPr>
        <w:t xml:space="preserve">16/10.  </w:t>
      </w:r>
      <w:r w:rsidRPr="000C0842">
        <w:rPr>
          <w:lang w:eastAsia="zh-CN"/>
        </w:rPr>
        <w:t>传播、教育和公众意识</w:t>
      </w:r>
      <w:bookmarkEnd w:id="29"/>
      <w:r w:rsidRPr="000C0842">
        <w:rPr>
          <w:lang w:eastAsia="zh-CN"/>
        </w:rPr>
        <w:t xml:space="preserve"> </w:t>
      </w:r>
    </w:p>
    <w:p w14:paraId="5EFE5785" w14:textId="77777777" w:rsidR="006D5DBD" w:rsidRPr="000C0842" w:rsidRDefault="006D5DBD" w:rsidP="006D5DBD">
      <w:pPr>
        <w:tabs>
          <w:tab w:val="clear" w:pos="567"/>
          <w:tab w:val="clear" w:pos="1134"/>
          <w:tab w:val="clear" w:pos="1701"/>
          <w:tab w:val="clear" w:pos="2268"/>
        </w:tabs>
        <w:snapToGrid w:val="0"/>
        <w:spacing w:before="240" w:after="120" w:line="240" w:lineRule="atLeast"/>
        <w:ind w:left="490" w:firstLine="490"/>
        <w:rPr>
          <w:rFonts w:eastAsia="SimSun"/>
          <w:sz w:val="24"/>
          <w:szCs w:val="24"/>
        </w:rPr>
      </w:pPr>
      <w:r w:rsidRPr="000C0842">
        <w:rPr>
          <w:rFonts w:eastAsia="KaiTi"/>
          <w:sz w:val="24"/>
          <w:szCs w:val="24"/>
        </w:rPr>
        <w:t>缔约方</w:t>
      </w:r>
      <w:r w:rsidRPr="000C0842">
        <w:rPr>
          <w:rFonts w:eastAsia="KaiTi" w:hint="eastAsia"/>
          <w:sz w:val="24"/>
          <w:szCs w:val="24"/>
        </w:rPr>
        <w:t>大会</w:t>
      </w:r>
      <w:r w:rsidRPr="000C0842">
        <w:rPr>
          <w:rFonts w:eastAsia="SimSun" w:hint="eastAsia"/>
          <w:sz w:val="24"/>
          <w:szCs w:val="24"/>
        </w:rPr>
        <w:t>，</w:t>
      </w:r>
    </w:p>
    <w:p w14:paraId="5E7076A3"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回顾</w:t>
      </w:r>
      <w:r w:rsidRPr="000C0842">
        <w:rPr>
          <w:rFonts w:eastAsia="SimSun" w:hint="eastAsia"/>
          <w:sz w:val="24"/>
          <w:szCs w:val="24"/>
          <w:lang w:val="en-CA"/>
        </w:rPr>
        <w:t>其</w:t>
      </w:r>
      <w:r w:rsidRPr="000C0842">
        <w:rPr>
          <w:rFonts w:eastAsia="SimSun"/>
          <w:sz w:val="24"/>
          <w:szCs w:val="24"/>
          <w:lang w:val="en-CA"/>
        </w:rPr>
        <w:t>2022</w:t>
      </w:r>
      <w:r w:rsidRPr="000C0842">
        <w:rPr>
          <w:rFonts w:eastAsia="SimSun" w:hint="eastAsia"/>
          <w:sz w:val="24"/>
          <w:szCs w:val="24"/>
          <w:lang w:val="en-CA"/>
        </w:rPr>
        <w:t>年</w:t>
      </w:r>
      <w:r w:rsidRPr="000C0842">
        <w:rPr>
          <w:rFonts w:eastAsia="SimSun"/>
          <w:sz w:val="24"/>
          <w:szCs w:val="24"/>
          <w:lang w:val="en-CA"/>
        </w:rPr>
        <w:t>12</w:t>
      </w:r>
      <w:r w:rsidRPr="000C0842">
        <w:rPr>
          <w:rFonts w:eastAsia="SimSun" w:hint="eastAsia"/>
          <w:sz w:val="24"/>
          <w:szCs w:val="24"/>
          <w:lang w:val="en-CA"/>
        </w:rPr>
        <w:t>月</w:t>
      </w:r>
      <w:r w:rsidRPr="000C0842">
        <w:rPr>
          <w:rFonts w:eastAsia="SimSun"/>
          <w:sz w:val="24"/>
          <w:szCs w:val="24"/>
          <w:lang w:val="en-CA"/>
        </w:rPr>
        <w:t>19</w:t>
      </w:r>
      <w:r w:rsidRPr="000C0842">
        <w:rPr>
          <w:rFonts w:eastAsia="SimSun" w:hint="eastAsia"/>
          <w:sz w:val="24"/>
          <w:szCs w:val="24"/>
          <w:lang w:val="en-CA"/>
        </w:rPr>
        <w:t>日第</w:t>
      </w:r>
      <w:hyperlink r:id="rId63" w:history="1">
        <w:r w:rsidRPr="000C0842">
          <w:rPr>
            <w:rFonts w:eastAsia="SimSun"/>
            <w:sz w:val="24"/>
            <w:szCs w:val="24"/>
            <w:u w:val="single"/>
            <w:lang w:val="en-CA"/>
          </w:rPr>
          <w:t>15/14</w:t>
        </w:r>
      </w:hyperlink>
      <w:r w:rsidRPr="000C0842">
        <w:rPr>
          <w:rFonts w:eastAsia="SimSun" w:hint="eastAsia"/>
          <w:sz w:val="24"/>
          <w:szCs w:val="24"/>
          <w:lang w:val="en-CA"/>
        </w:rPr>
        <w:t>号决定，</w:t>
      </w:r>
    </w:p>
    <w:p w14:paraId="1B842595" w14:textId="26C286F6"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认识到</w:t>
      </w:r>
      <w:r w:rsidRPr="000C0842">
        <w:rPr>
          <w:rFonts w:eastAsia="SimSun" w:hint="eastAsia"/>
          <w:sz w:val="24"/>
          <w:szCs w:val="24"/>
          <w:lang w:val="en-CA"/>
        </w:rPr>
        <w:t>将《生物多样性公约》</w:t>
      </w:r>
      <w:r w:rsidRPr="000C0842">
        <w:rPr>
          <w:rFonts w:eastAsia="SimSun"/>
          <w:sz w:val="24"/>
          <w:szCs w:val="24"/>
          <w:vertAlign w:val="superscript"/>
          <w:lang w:val="en-CA"/>
        </w:rPr>
        <w:footnoteReference w:id="107"/>
      </w:r>
      <w:r w:rsidRPr="000C0842">
        <w:rPr>
          <w:rFonts w:eastAsia="SimSun" w:hint="eastAsia"/>
          <w:sz w:val="24"/>
          <w:szCs w:val="24"/>
          <w:lang w:val="en-CA"/>
        </w:rPr>
        <w:t>传播、教育和公众意识工作方案</w:t>
      </w:r>
      <w:r w:rsidRPr="000C0842">
        <w:rPr>
          <w:rFonts w:eastAsia="SimSun"/>
          <w:sz w:val="24"/>
          <w:szCs w:val="24"/>
          <w:vertAlign w:val="superscript"/>
          <w:lang w:val="en-CA"/>
        </w:rPr>
        <w:footnoteReference w:id="108"/>
      </w:r>
      <w:r w:rsidRPr="000C0842">
        <w:rPr>
          <w:rFonts w:eastAsia="SimSun" w:hint="eastAsia"/>
          <w:sz w:val="24"/>
          <w:szCs w:val="24"/>
          <w:lang w:val="en-CA"/>
        </w:rPr>
        <w:t>的修订工作与《昆明</w:t>
      </w:r>
      <w:r w:rsidRPr="000C0842">
        <w:rPr>
          <w:rFonts w:eastAsia="SimSun"/>
          <w:sz w:val="24"/>
          <w:szCs w:val="24"/>
          <w:lang w:val="en-CA"/>
        </w:rPr>
        <w:t>-</w:t>
      </w:r>
      <w:r w:rsidRPr="000C0842">
        <w:rPr>
          <w:rFonts w:eastAsia="SimSun" w:hint="eastAsia"/>
          <w:sz w:val="24"/>
          <w:szCs w:val="24"/>
          <w:lang w:val="en-CA"/>
        </w:rPr>
        <w:t>蒙特利尔全球生物多样性框架》</w:t>
      </w:r>
      <w:r w:rsidRPr="000C0842">
        <w:rPr>
          <w:rFonts w:eastAsia="SimSun"/>
          <w:sz w:val="24"/>
          <w:szCs w:val="24"/>
          <w:vertAlign w:val="superscript"/>
          <w:lang w:val="en-CA"/>
        </w:rPr>
        <w:footnoteReference w:id="109"/>
      </w:r>
      <w:r w:rsidRPr="000C0842">
        <w:rPr>
          <w:rFonts w:eastAsia="SimSun" w:hint="eastAsia"/>
          <w:sz w:val="24"/>
          <w:szCs w:val="24"/>
          <w:lang w:val="en-CA"/>
        </w:rPr>
        <w:t>联系起来的重要性，</w:t>
      </w:r>
    </w:p>
    <w:p w14:paraId="37A27ADA"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注意到</w:t>
      </w:r>
      <w:r w:rsidRPr="000C0842">
        <w:rPr>
          <w:rFonts w:eastAsia="SimSun" w:hint="eastAsia"/>
          <w:sz w:val="24"/>
          <w:szCs w:val="24"/>
          <w:lang w:val="en-CA"/>
        </w:rPr>
        <w:t>支持执行《昆蒙框架》的传播战略中列出了许多与传播、教育和公众意识相关的活动</w:t>
      </w:r>
      <w:r w:rsidRPr="000C0842">
        <w:rPr>
          <w:rFonts w:eastAsia="SimSun"/>
          <w:sz w:val="24"/>
          <w:szCs w:val="24"/>
          <w:vertAlign w:val="superscript"/>
          <w:lang w:val="en-CA"/>
        </w:rPr>
        <w:footnoteReference w:id="110"/>
      </w:r>
      <w:r w:rsidRPr="000C0842">
        <w:rPr>
          <w:rFonts w:eastAsia="SimSun" w:hint="eastAsia"/>
          <w:sz w:val="24"/>
          <w:szCs w:val="24"/>
          <w:lang w:val="en-CA"/>
        </w:rPr>
        <w:t>，</w:t>
      </w:r>
    </w:p>
    <w:p w14:paraId="6F4FE019"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回顾</w:t>
      </w:r>
      <w:r w:rsidRPr="000C0842">
        <w:rPr>
          <w:rFonts w:eastAsia="SimSun" w:hint="eastAsia"/>
          <w:sz w:val="24"/>
          <w:szCs w:val="24"/>
          <w:lang w:val="en-GB"/>
        </w:rPr>
        <w:t>其</w:t>
      </w:r>
      <w:r w:rsidRPr="000C0842">
        <w:rPr>
          <w:rFonts w:eastAsia="SimSun"/>
          <w:sz w:val="24"/>
          <w:szCs w:val="24"/>
          <w:lang w:val="en-GB"/>
        </w:rPr>
        <w:t>2022</w:t>
      </w:r>
      <w:r w:rsidRPr="000C0842">
        <w:rPr>
          <w:rFonts w:eastAsia="SimSun" w:hint="eastAsia"/>
          <w:sz w:val="24"/>
          <w:szCs w:val="24"/>
          <w:lang w:val="en-GB"/>
        </w:rPr>
        <w:t>年</w:t>
      </w:r>
      <w:r w:rsidRPr="000C0842">
        <w:rPr>
          <w:rFonts w:eastAsia="SimSun"/>
          <w:sz w:val="24"/>
          <w:szCs w:val="24"/>
          <w:lang w:val="en-GB"/>
        </w:rPr>
        <w:t>12</w:t>
      </w:r>
      <w:r w:rsidRPr="000C0842">
        <w:rPr>
          <w:rFonts w:eastAsia="SimSun" w:hint="eastAsia"/>
          <w:sz w:val="24"/>
          <w:szCs w:val="24"/>
          <w:lang w:val="en-GB"/>
        </w:rPr>
        <w:t>月</w:t>
      </w:r>
      <w:r w:rsidRPr="000C0842">
        <w:rPr>
          <w:rFonts w:eastAsia="SimSun"/>
          <w:sz w:val="24"/>
          <w:szCs w:val="24"/>
          <w:lang w:val="en-GB"/>
        </w:rPr>
        <w:t>19</w:t>
      </w:r>
      <w:r w:rsidRPr="000C0842">
        <w:rPr>
          <w:rFonts w:eastAsia="SimSun" w:hint="eastAsia"/>
          <w:sz w:val="24"/>
          <w:szCs w:val="24"/>
          <w:lang w:val="en-GB"/>
        </w:rPr>
        <w:t>日关于《性别平等行动计划》的第</w:t>
      </w:r>
      <w:hyperlink r:id="rId64" w:history="1">
        <w:r w:rsidRPr="000C0842">
          <w:rPr>
            <w:rFonts w:eastAsia="SimSun"/>
            <w:sz w:val="24"/>
            <w:szCs w:val="24"/>
            <w:u w:val="single"/>
            <w:lang w:val="en-GB"/>
          </w:rPr>
          <w:t>15/11</w:t>
        </w:r>
      </w:hyperlink>
      <w:r w:rsidRPr="000C0842">
        <w:rPr>
          <w:rFonts w:eastAsia="SimSun" w:hint="eastAsia"/>
          <w:sz w:val="24"/>
          <w:szCs w:val="24"/>
          <w:lang w:val="en-GB"/>
        </w:rPr>
        <w:t>号决定，缔约方大会在其中要求开展能力建设和发展活动，支持《性别平等行动计划》的实施，</w:t>
      </w:r>
    </w:p>
    <w:p w14:paraId="6655164A" w14:textId="2817F47B"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注意到</w:t>
      </w:r>
      <w:r w:rsidRPr="000C0842">
        <w:rPr>
          <w:rFonts w:eastAsia="SimSun"/>
          <w:sz w:val="24"/>
          <w:szCs w:val="24"/>
          <w:lang w:val="en-CA"/>
        </w:rPr>
        <w:t>2006</w:t>
      </w:r>
      <w:r w:rsidRPr="000C0842">
        <w:rPr>
          <w:rFonts w:eastAsia="SimSun"/>
          <w:sz w:val="24"/>
          <w:szCs w:val="24"/>
          <w:lang w:val="en-CA"/>
        </w:rPr>
        <w:t>年</w:t>
      </w:r>
      <w:r w:rsidRPr="000C0842">
        <w:rPr>
          <w:rFonts w:eastAsia="SimSun"/>
          <w:sz w:val="24"/>
          <w:szCs w:val="24"/>
          <w:lang w:val="en-CA"/>
        </w:rPr>
        <w:t>3</w:t>
      </w:r>
      <w:r w:rsidRPr="000C0842">
        <w:rPr>
          <w:rFonts w:eastAsia="SimSun"/>
          <w:sz w:val="24"/>
          <w:szCs w:val="24"/>
          <w:lang w:val="en-CA"/>
        </w:rPr>
        <w:t>月</w:t>
      </w:r>
      <w:r w:rsidRPr="000C0842">
        <w:rPr>
          <w:rFonts w:eastAsia="SimSun"/>
          <w:sz w:val="24"/>
          <w:szCs w:val="24"/>
          <w:lang w:val="en-CA"/>
        </w:rPr>
        <w:t>31</w:t>
      </w:r>
      <w:r w:rsidRPr="000C0842">
        <w:rPr>
          <w:rFonts w:eastAsia="SimSun"/>
          <w:sz w:val="24"/>
          <w:szCs w:val="24"/>
          <w:lang w:val="en-CA"/>
        </w:rPr>
        <w:t>日第</w:t>
      </w:r>
      <w:hyperlink r:id="rId65" w:history="1">
        <w:r w:rsidRPr="000C0842">
          <w:rPr>
            <w:rFonts w:eastAsia="SimSun"/>
            <w:sz w:val="24"/>
            <w:szCs w:val="24"/>
            <w:u w:val="single"/>
            <w:lang w:val="en-CA"/>
          </w:rPr>
          <w:t>VIII/6</w:t>
        </w:r>
      </w:hyperlink>
      <w:r w:rsidRPr="000C0842">
        <w:rPr>
          <w:rFonts w:eastAsia="SimSun"/>
          <w:sz w:val="24"/>
          <w:szCs w:val="24"/>
          <w:lang w:val="en-CA"/>
        </w:rPr>
        <w:t>号决定、</w:t>
      </w:r>
      <w:r w:rsidRPr="000C0842">
        <w:rPr>
          <w:rFonts w:eastAsia="SimSun"/>
          <w:sz w:val="24"/>
          <w:szCs w:val="24"/>
          <w:lang w:val="en-CA"/>
        </w:rPr>
        <w:t>2008</w:t>
      </w:r>
      <w:r w:rsidRPr="000C0842">
        <w:rPr>
          <w:rFonts w:eastAsia="SimSun"/>
          <w:sz w:val="24"/>
          <w:szCs w:val="24"/>
          <w:lang w:val="en-CA"/>
        </w:rPr>
        <w:t>年</w:t>
      </w:r>
      <w:r w:rsidRPr="000C0842">
        <w:rPr>
          <w:rFonts w:eastAsia="SimSun"/>
          <w:sz w:val="24"/>
          <w:szCs w:val="24"/>
          <w:lang w:val="en-CA"/>
        </w:rPr>
        <w:t>5</w:t>
      </w:r>
      <w:r w:rsidRPr="000C0842">
        <w:rPr>
          <w:rFonts w:eastAsia="SimSun"/>
          <w:sz w:val="24"/>
          <w:szCs w:val="24"/>
          <w:lang w:val="en-CA"/>
        </w:rPr>
        <w:t>月</w:t>
      </w:r>
      <w:r w:rsidRPr="000C0842">
        <w:rPr>
          <w:rFonts w:eastAsia="SimSun"/>
          <w:sz w:val="24"/>
          <w:szCs w:val="24"/>
          <w:lang w:val="en-CA"/>
        </w:rPr>
        <w:t>30</w:t>
      </w:r>
      <w:r w:rsidRPr="000C0842">
        <w:rPr>
          <w:rFonts w:eastAsia="SimSun"/>
          <w:sz w:val="24"/>
          <w:szCs w:val="24"/>
          <w:lang w:val="en-CA"/>
        </w:rPr>
        <w:t>日第</w:t>
      </w:r>
      <w:hyperlink r:id="rId66" w:history="1">
        <w:r w:rsidRPr="000C0842">
          <w:rPr>
            <w:rFonts w:eastAsia="SimSun"/>
            <w:sz w:val="24"/>
            <w:szCs w:val="24"/>
            <w:u w:val="single"/>
            <w:lang w:val="en-CA"/>
          </w:rPr>
          <w:t>IX/32</w:t>
        </w:r>
      </w:hyperlink>
      <w:r w:rsidRPr="000C0842">
        <w:rPr>
          <w:rFonts w:eastAsia="SimSun"/>
          <w:sz w:val="24"/>
          <w:szCs w:val="24"/>
          <w:lang w:val="en-CA"/>
        </w:rPr>
        <w:t>号决定、</w:t>
      </w:r>
      <w:r w:rsidRPr="000C0842">
        <w:rPr>
          <w:rFonts w:eastAsia="SimSun"/>
          <w:sz w:val="24"/>
          <w:szCs w:val="24"/>
          <w:lang w:val="en-CA"/>
        </w:rPr>
        <w:t>2010</w:t>
      </w:r>
      <w:r w:rsidRPr="000C0842">
        <w:rPr>
          <w:rFonts w:eastAsia="SimSun"/>
          <w:sz w:val="24"/>
          <w:szCs w:val="24"/>
          <w:lang w:val="en-CA"/>
        </w:rPr>
        <w:t>年</w:t>
      </w:r>
      <w:r w:rsidRPr="000C0842">
        <w:rPr>
          <w:rFonts w:eastAsia="SimSun"/>
          <w:sz w:val="24"/>
          <w:szCs w:val="24"/>
          <w:lang w:val="en-CA"/>
        </w:rPr>
        <w:t>10</w:t>
      </w:r>
      <w:r w:rsidRPr="000C0842">
        <w:rPr>
          <w:rFonts w:eastAsia="SimSun"/>
          <w:sz w:val="24"/>
          <w:szCs w:val="24"/>
          <w:lang w:val="en-CA"/>
        </w:rPr>
        <w:t>月</w:t>
      </w:r>
      <w:r w:rsidRPr="000C0842">
        <w:rPr>
          <w:rFonts w:eastAsia="SimSun"/>
          <w:sz w:val="24"/>
          <w:szCs w:val="24"/>
          <w:lang w:val="en-CA"/>
        </w:rPr>
        <w:t>29</w:t>
      </w:r>
      <w:r w:rsidRPr="000C0842">
        <w:rPr>
          <w:rFonts w:eastAsia="SimSun"/>
          <w:sz w:val="24"/>
          <w:szCs w:val="24"/>
          <w:lang w:val="en-CA"/>
        </w:rPr>
        <w:t>日第</w:t>
      </w:r>
      <w:hyperlink r:id="rId67" w:history="1">
        <w:r w:rsidRPr="000C0842">
          <w:rPr>
            <w:rFonts w:eastAsia="SimSun"/>
            <w:sz w:val="24"/>
            <w:szCs w:val="24"/>
            <w:u w:val="single"/>
            <w:lang w:val="en-CA"/>
          </w:rPr>
          <w:t>X/18</w:t>
        </w:r>
      </w:hyperlink>
      <w:r w:rsidRPr="000C0842">
        <w:rPr>
          <w:rFonts w:eastAsia="SimSun"/>
          <w:sz w:val="24"/>
          <w:szCs w:val="24"/>
          <w:lang w:val="en-CA"/>
        </w:rPr>
        <w:t>号决定、</w:t>
      </w:r>
      <w:r w:rsidRPr="000C0842">
        <w:rPr>
          <w:rFonts w:eastAsia="SimSun"/>
          <w:sz w:val="24"/>
          <w:szCs w:val="24"/>
          <w:lang w:val="en-CA"/>
        </w:rPr>
        <w:t>2016</w:t>
      </w:r>
      <w:r w:rsidRPr="000C0842">
        <w:rPr>
          <w:rFonts w:eastAsia="SimSun"/>
          <w:sz w:val="24"/>
          <w:szCs w:val="24"/>
          <w:lang w:val="en-CA"/>
        </w:rPr>
        <w:t>年</w:t>
      </w:r>
      <w:r w:rsidRPr="000C0842">
        <w:rPr>
          <w:rFonts w:eastAsia="SimSun"/>
          <w:sz w:val="24"/>
          <w:szCs w:val="24"/>
          <w:lang w:val="en-CA"/>
        </w:rPr>
        <w:t>12</w:t>
      </w:r>
      <w:r w:rsidRPr="000C0842">
        <w:rPr>
          <w:rFonts w:eastAsia="SimSun"/>
          <w:sz w:val="24"/>
          <w:szCs w:val="24"/>
          <w:lang w:val="en-CA"/>
        </w:rPr>
        <w:t>月</w:t>
      </w:r>
      <w:r w:rsidRPr="000C0842">
        <w:rPr>
          <w:rFonts w:eastAsia="SimSun"/>
          <w:sz w:val="24"/>
          <w:szCs w:val="24"/>
          <w:lang w:val="en-CA"/>
        </w:rPr>
        <w:t>17</w:t>
      </w:r>
      <w:r w:rsidRPr="000C0842">
        <w:rPr>
          <w:rFonts w:eastAsia="SimSun"/>
          <w:sz w:val="24"/>
          <w:szCs w:val="24"/>
          <w:lang w:val="en-CA"/>
        </w:rPr>
        <w:t>日第</w:t>
      </w:r>
      <w:hyperlink r:id="rId68" w:history="1">
        <w:r w:rsidRPr="000C0842">
          <w:rPr>
            <w:rFonts w:eastAsia="SimSun"/>
            <w:sz w:val="24"/>
            <w:szCs w:val="24"/>
            <w:u w:val="single"/>
            <w:lang w:val="en-CA"/>
          </w:rPr>
          <w:t>XIII/22</w:t>
        </w:r>
      </w:hyperlink>
      <w:r w:rsidRPr="000C0842">
        <w:rPr>
          <w:rFonts w:eastAsia="SimSun"/>
          <w:sz w:val="24"/>
          <w:szCs w:val="24"/>
          <w:lang w:val="en-CA"/>
        </w:rPr>
        <w:t>号决定和第</w:t>
      </w:r>
      <w:hyperlink r:id="rId69" w:history="1">
        <w:r w:rsidRPr="000C0842">
          <w:rPr>
            <w:rFonts w:eastAsia="SimSun"/>
            <w:sz w:val="24"/>
            <w:szCs w:val="24"/>
            <w:u w:val="single"/>
            <w:lang w:val="en-CA"/>
          </w:rPr>
          <w:t>15/14</w:t>
        </w:r>
      </w:hyperlink>
      <w:r w:rsidRPr="000C0842">
        <w:rPr>
          <w:rFonts w:eastAsia="SimSun"/>
          <w:sz w:val="24"/>
          <w:szCs w:val="24"/>
          <w:lang w:val="en-CA"/>
        </w:rPr>
        <w:t>号决定所产生的活动仍然具有相关性，</w:t>
      </w:r>
    </w:p>
    <w:p w14:paraId="694514C9"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认识到</w:t>
      </w:r>
      <w:r w:rsidRPr="000C0842">
        <w:rPr>
          <w:rFonts w:eastAsia="SimSun" w:hint="eastAsia"/>
          <w:sz w:val="24"/>
          <w:szCs w:val="24"/>
          <w:lang w:val="en-CA"/>
        </w:rPr>
        <w:t>尽管在传播和公众意识方面取得了进展，</w:t>
      </w:r>
      <w:r w:rsidRPr="000C0842">
        <w:rPr>
          <w:rFonts w:eastAsia="SimSun"/>
          <w:sz w:val="24"/>
          <w:szCs w:val="24"/>
        </w:rPr>
        <w:t>但在加强教育支持</w:t>
      </w:r>
      <w:r w:rsidRPr="000C0842">
        <w:rPr>
          <w:rFonts w:eastAsia="SimSun" w:hint="eastAsia"/>
          <w:sz w:val="24"/>
          <w:szCs w:val="24"/>
        </w:rPr>
        <w:t>执行《昆蒙框架》</w:t>
      </w:r>
      <w:r w:rsidRPr="000C0842">
        <w:rPr>
          <w:rFonts w:eastAsia="SimSun"/>
          <w:sz w:val="24"/>
          <w:szCs w:val="24"/>
        </w:rPr>
        <w:t>的转型行动方面做的工作还不</w:t>
      </w:r>
      <w:r w:rsidRPr="000C0842">
        <w:rPr>
          <w:rFonts w:ascii="SimSun" w:eastAsia="SimSun" w:hAnsi="SimSun" w:cs="SimSun" w:hint="eastAsia"/>
          <w:sz w:val="24"/>
          <w:szCs w:val="24"/>
        </w:rPr>
        <w:t>够</w:t>
      </w:r>
      <w:r w:rsidRPr="000C0842">
        <w:rPr>
          <w:rFonts w:eastAsia="SimSun" w:hint="eastAsia"/>
          <w:sz w:val="24"/>
          <w:szCs w:val="24"/>
          <w:lang w:val="en-CA"/>
        </w:rPr>
        <w:t>，并认识到需要在这一领域进行能力建设和发展，</w:t>
      </w:r>
      <w:r w:rsidRPr="000C0842">
        <w:rPr>
          <w:rFonts w:eastAsia="SimSun" w:hint="eastAsia"/>
          <w:sz w:val="24"/>
          <w:szCs w:val="24"/>
          <w:lang w:val="en-CA"/>
        </w:rPr>
        <w:t xml:space="preserve"> </w:t>
      </w:r>
    </w:p>
    <w:p w14:paraId="1A3B3F2F" w14:textId="77777777" w:rsidR="006D5DBD" w:rsidRPr="000C0842" w:rsidRDefault="006D5DBD" w:rsidP="006D5DBD">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又认识到</w:t>
      </w:r>
      <w:r w:rsidRPr="000C0842">
        <w:rPr>
          <w:rFonts w:eastAsia="SimSun"/>
          <w:sz w:val="24"/>
          <w:szCs w:val="24"/>
        </w:rPr>
        <w:t>发展中国家在</w:t>
      </w:r>
      <w:r w:rsidRPr="000C0842">
        <w:rPr>
          <w:rFonts w:eastAsia="SimSun" w:hint="eastAsia"/>
          <w:sz w:val="24"/>
          <w:szCs w:val="24"/>
        </w:rPr>
        <w:t>执行《昆蒙框架》</w:t>
      </w:r>
      <w:r w:rsidRPr="000C0842">
        <w:rPr>
          <w:rFonts w:eastAsia="SimSun"/>
          <w:sz w:val="24"/>
          <w:szCs w:val="24"/>
        </w:rPr>
        <w:t>和制定宣传、教育和公众意识行动方面面临重大挑战，</w:t>
      </w:r>
      <w:r w:rsidRPr="000C0842">
        <w:rPr>
          <w:rFonts w:eastAsia="SimSun" w:hint="eastAsia"/>
          <w:sz w:val="24"/>
          <w:szCs w:val="24"/>
          <w:lang w:val="en-GB"/>
        </w:rPr>
        <w:t>必须</w:t>
      </w:r>
      <w:r w:rsidRPr="000C0842">
        <w:rPr>
          <w:rFonts w:eastAsia="SimSun" w:hint="eastAsia"/>
          <w:sz w:val="24"/>
          <w:szCs w:val="24"/>
        </w:rPr>
        <w:t>依照《公约》第</w:t>
      </w:r>
      <w:hyperlink r:id="rId70" w:history="1">
        <w:r w:rsidRPr="000C0842">
          <w:rPr>
            <w:rFonts w:eastAsia="SimSun"/>
            <w:sz w:val="24"/>
            <w:szCs w:val="24"/>
            <w:u w:val="single"/>
          </w:rPr>
          <w:t>20</w:t>
        </w:r>
      </w:hyperlink>
      <w:r w:rsidRPr="000C0842">
        <w:rPr>
          <w:rFonts w:eastAsia="SimSun" w:hint="eastAsia"/>
          <w:sz w:val="24"/>
          <w:szCs w:val="24"/>
        </w:rPr>
        <w:t>条为这些行动提供充足的</w:t>
      </w:r>
      <w:r w:rsidRPr="000C0842">
        <w:rPr>
          <w:rFonts w:eastAsia="SimSun"/>
          <w:sz w:val="24"/>
          <w:szCs w:val="24"/>
        </w:rPr>
        <w:t>资源</w:t>
      </w:r>
      <w:r w:rsidRPr="000C0842">
        <w:rPr>
          <w:rFonts w:eastAsia="SimSun" w:hint="eastAsia"/>
          <w:sz w:val="24"/>
          <w:szCs w:val="24"/>
          <w:lang w:val="en-GB"/>
        </w:rPr>
        <w:t>，</w:t>
      </w:r>
    </w:p>
    <w:p w14:paraId="6DF3B195" w14:textId="726B151A"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Times New Roman"/>
          <w:i/>
          <w:iCs/>
          <w:sz w:val="24"/>
          <w:szCs w:val="24"/>
          <w:lang w:val="en-CA"/>
        </w:rPr>
      </w:pPr>
      <w:r w:rsidRPr="000C0842">
        <w:rPr>
          <w:rFonts w:eastAsia="KaiTi"/>
          <w:sz w:val="24"/>
          <w:szCs w:val="24"/>
          <w:lang w:val="en-CA"/>
        </w:rPr>
        <w:t>鼓励</w:t>
      </w:r>
      <w:r w:rsidRPr="000C0842">
        <w:rPr>
          <w:rFonts w:eastAsia="SimSun" w:hint="eastAsia"/>
          <w:sz w:val="24"/>
          <w:szCs w:val="24"/>
          <w:lang w:val="en-CA"/>
        </w:rPr>
        <w:t>《生物多样性公约》</w:t>
      </w:r>
      <w:r w:rsidRPr="000C0842">
        <w:rPr>
          <w:rFonts w:ascii="SimSun" w:eastAsia="SimSun" w:hAnsi="SimSun" w:cs="SimSun" w:hint="eastAsia"/>
          <w:sz w:val="24"/>
          <w:szCs w:val="24"/>
          <w:lang w:val="en-CA"/>
        </w:rPr>
        <w:t>执行秘书、各缔约方、土著人民和地方社区、妇女和青年组织以及其他相关组织和利益攸关方继续开展第</w:t>
      </w:r>
      <w:hyperlink r:id="rId71" w:history="1">
        <w:r w:rsidRPr="000C0842">
          <w:rPr>
            <w:rFonts w:eastAsia="Times New Roman"/>
            <w:sz w:val="24"/>
            <w:szCs w:val="24"/>
            <w:u w:val="single"/>
            <w:lang w:val="en-CA"/>
          </w:rPr>
          <w:t>VIII/6</w:t>
        </w:r>
      </w:hyperlink>
      <w:r w:rsidRPr="000C0842">
        <w:rPr>
          <w:rFonts w:ascii="SimSun" w:eastAsia="SimSun" w:hAnsi="SimSun" w:cs="SimSun" w:hint="eastAsia"/>
          <w:sz w:val="24"/>
          <w:szCs w:val="24"/>
          <w:lang w:val="en-CA"/>
        </w:rPr>
        <w:t>号、第</w:t>
      </w:r>
      <w:hyperlink r:id="rId72" w:history="1">
        <w:r w:rsidRPr="000C0842">
          <w:rPr>
            <w:rFonts w:eastAsia="Times New Roman"/>
            <w:sz w:val="24"/>
            <w:szCs w:val="24"/>
            <w:u w:val="single"/>
            <w:lang w:val="en-CA"/>
          </w:rPr>
          <w:t>IX/32</w:t>
        </w:r>
      </w:hyperlink>
      <w:r w:rsidRPr="000C0842">
        <w:rPr>
          <w:rFonts w:ascii="SimSun" w:eastAsia="SimSun" w:hAnsi="SimSun" w:cs="SimSun" w:hint="eastAsia"/>
          <w:sz w:val="24"/>
          <w:szCs w:val="24"/>
          <w:lang w:val="en-CA"/>
        </w:rPr>
        <w:t>号、第</w:t>
      </w:r>
      <w:hyperlink r:id="rId73" w:history="1">
        <w:r w:rsidRPr="000C0842">
          <w:rPr>
            <w:rFonts w:eastAsia="Times New Roman"/>
            <w:sz w:val="24"/>
            <w:szCs w:val="24"/>
            <w:u w:val="single"/>
            <w:lang w:val="en-CA"/>
          </w:rPr>
          <w:t>X/18</w:t>
        </w:r>
      </w:hyperlink>
      <w:r w:rsidRPr="000C0842">
        <w:rPr>
          <w:rFonts w:ascii="SimSun" w:eastAsia="SimSun" w:hAnsi="SimSun" w:cs="SimSun" w:hint="eastAsia"/>
          <w:sz w:val="24"/>
          <w:szCs w:val="24"/>
          <w:lang w:val="en-CA"/>
        </w:rPr>
        <w:t>号和第</w:t>
      </w:r>
      <w:hyperlink r:id="rId74" w:history="1">
        <w:r w:rsidRPr="000C0842">
          <w:rPr>
            <w:rFonts w:eastAsia="Times New Roman"/>
            <w:sz w:val="24"/>
            <w:szCs w:val="24"/>
            <w:u w:val="single"/>
            <w:lang w:val="en-CA"/>
          </w:rPr>
          <w:t>15/14</w:t>
        </w:r>
      </w:hyperlink>
      <w:r w:rsidRPr="000C0842">
        <w:rPr>
          <w:rFonts w:ascii="SimSun" w:eastAsia="SimSun" w:hAnsi="SimSun" w:cs="SimSun" w:hint="eastAsia"/>
          <w:sz w:val="24"/>
          <w:szCs w:val="24"/>
          <w:lang w:val="en-CA"/>
        </w:rPr>
        <w:t>号决定中提出的相关活动；</w:t>
      </w:r>
    </w:p>
    <w:p w14:paraId="38F09438"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eastAsia="KaiTi" w:hint="eastAsia"/>
          <w:sz w:val="24"/>
          <w:szCs w:val="24"/>
          <w:lang w:val="en-CA"/>
        </w:rPr>
        <w:t>欢迎</w:t>
      </w:r>
      <w:r w:rsidRPr="000C0842">
        <w:rPr>
          <w:rFonts w:ascii="SimSun" w:eastAsia="SimSun" w:hAnsi="SimSun" w:cs="SimSun" w:hint="eastAsia"/>
          <w:sz w:val="24"/>
          <w:szCs w:val="24"/>
          <w:lang w:val="en-CA"/>
        </w:rPr>
        <w:t>本决定附件所载拟议行动，作为一个灵活的自愿框架，使传播、教育和公众意识工作方案与《昆明</w:t>
      </w:r>
      <w:r w:rsidRPr="000C0842">
        <w:rPr>
          <w:rFonts w:eastAsia="Times New Roman" w:hint="eastAsia"/>
          <w:sz w:val="24"/>
          <w:szCs w:val="24"/>
          <w:lang w:val="en-CA"/>
        </w:rPr>
        <w:t>-</w:t>
      </w:r>
      <w:r w:rsidRPr="000C0842">
        <w:rPr>
          <w:rFonts w:ascii="SimSun" w:eastAsia="SimSun" w:hAnsi="SimSun" w:cs="SimSun" w:hint="eastAsia"/>
          <w:sz w:val="24"/>
          <w:szCs w:val="24"/>
          <w:lang w:val="en-CA"/>
        </w:rPr>
        <w:t>蒙特利尔全球生物多样性框架》保持一致；</w:t>
      </w:r>
    </w:p>
    <w:p w14:paraId="00730230"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鼓励</w:t>
      </w:r>
      <w:r w:rsidRPr="000C0842">
        <w:rPr>
          <w:rFonts w:ascii="SimSun" w:eastAsia="SimSun" w:hAnsi="SimSun" w:cs="SimSun" w:hint="eastAsia"/>
          <w:sz w:val="24"/>
          <w:szCs w:val="24"/>
          <w:lang w:val="en-CA"/>
        </w:rPr>
        <w:t>缔约方根据本国国情和优先事项，</w:t>
      </w:r>
      <w:r w:rsidRPr="000C0842">
        <w:rPr>
          <w:rFonts w:eastAsia="SimSun"/>
          <w:sz w:val="24"/>
          <w:szCs w:val="24"/>
          <w:lang w:val="en-CA"/>
        </w:rPr>
        <w:t>酌情在国家一级制定和执行本决定附件所列使传播</w:t>
      </w:r>
      <w:r w:rsidRPr="000C0842">
        <w:rPr>
          <w:rFonts w:ascii="SimSun" w:eastAsia="SimSun" w:hAnsi="SimSun" w:cs="SimSun" w:hint="eastAsia"/>
          <w:sz w:val="24"/>
          <w:szCs w:val="24"/>
          <w:lang w:val="en-CA"/>
        </w:rPr>
        <w:t>、教育和公众意识工作方案与</w:t>
      </w:r>
      <w:r w:rsidRPr="000C0842">
        <w:rPr>
          <w:rFonts w:eastAsia="SimSun"/>
          <w:sz w:val="24"/>
          <w:szCs w:val="24"/>
          <w:lang w:val="en-CA"/>
        </w:rPr>
        <w:t>《昆蒙框架》</w:t>
      </w:r>
      <w:r w:rsidRPr="000C0842">
        <w:rPr>
          <w:rFonts w:ascii="SimSun" w:eastAsia="SimSun" w:hAnsi="SimSun" w:cs="SimSun" w:hint="eastAsia"/>
          <w:sz w:val="24"/>
          <w:szCs w:val="24"/>
          <w:lang w:val="en-CA"/>
        </w:rPr>
        <w:t>保持一致的行动，包括下文第</w:t>
      </w:r>
      <w:r w:rsidRPr="000C0842">
        <w:rPr>
          <w:rFonts w:eastAsia="SimSun"/>
          <w:sz w:val="24"/>
          <w:szCs w:val="24"/>
          <w:lang w:val="en-CA"/>
        </w:rPr>
        <w:t xml:space="preserve"> 4 </w:t>
      </w:r>
      <w:r w:rsidRPr="000C0842">
        <w:rPr>
          <w:rFonts w:ascii="SimSun" w:eastAsia="SimSun" w:hAnsi="SimSun" w:cs="SimSun" w:hint="eastAsia"/>
          <w:sz w:val="24"/>
          <w:szCs w:val="24"/>
          <w:lang w:val="en-CA"/>
        </w:rPr>
        <w:t>段提到的生物多样性教育全球行动计划，并将这方面的信息纳入国家报告；</w:t>
      </w:r>
    </w:p>
    <w:p w14:paraId="572796BF"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Times New Roman"/>
          <w:spacing w:val="-10"/>
          <w:sz w:val="24"/>
          <w:szCs w:val="24"/>
          <w:lang w:val="en-GB"/>
        </w:rPr>
      </w:pPr>
      <w:r w:rsidRPr="000C0842">
        <w:rPr>
          <w:rFonts w:eastAsia="KaiTi"/>
          <w:spacing w:val="-10"/>
          <w:sz w:val="24"/>
          <w:szCs w:val="24"/>
          <w:lang w:val="en-CA"/>
        </w:rPr>
        <w:t>邀请</w:t>
      </w:r>
      <w:r w:rsidRPr="000C0842">
        <w:rPr>
          <w:rFonts w:ascii="SimSun" w:eastAsia="SimSun" w:hAnsi="SimSun" w:cs="SimSun" w:hint="eastAsia"/>
          <w:spacing w:val="-10"/>
          <w:sz w:val="24"/>
          <w:szCs w:val="24"/>
          <w:lang w:val="en-GB"/>
        </w:rPr>
        <w:t>联合国教育、科学及文化组织、生物多样性和生态系统服务政府间科学与政策平台、全球青年生物多样性网络和其他相关组织协作制定涵盖正规和非正规教育的生物多样性教育全球行动计划，用以支持执行《昆蒙框架》所需的转型行动；</w:t>
      </w:r>
    </w:p>
    <w:p w14:paraId="24CEF6C8"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eastAsia="KaiTi"/>
          <w:sz w:val="24"/>
          <w:szCs w:val="24"/>
          <w:lang w:val="en-CA"/>
        </w:rPr>
        <w:t>邀请</w:t>
      </w:r>
      <w:r w:rsidRPr="000C0842">
        <w:rPr>
          <w:rFonts w:ascii="SimSun" w:eastAsia="SimSun" w:hAnsi="SimSun" w:cs="SimSun" w:hint="eastAsia"/>
          <w:sz w:val="24"/>
          <w:szCs w:val="24"/>
          <w:lang w:val="en-CA"/>
        </w:rPr>
        <w:t>有能力的缔约方和相关国际组织</w:t>
      </w:r>
      <w:r w:rsidRPr="000C0842">
        <w:rPr>
          <w:rFonts w:ascii="SimSun" w:eastAsia="SimSun" w:hAnsi="SimSun" w:cs="SimSun" w:hint="eastAsia"/>
          <w:sz w:val="24"/>
          <w:szCs w:val="24"/>
          <w:lang w:val="en-GB"/>
        </w:rPr>
        <w:t>酌情</w:t>
      </w:r>
      <w:r w:rsidRPr="000C0842">
        <w:rPr>
          <w:rFonts w:ascii="SimSun" w:eastAsia="SimSun" w:hAnsi="SimSun" w:cs="SimSun" w:hint="eastAsia"/>
          <w:sz w:val="24"/>
          <w:szCs w:val="24"/>
          <w:lang w:val="en-CA"/>
        </w:rPr>
        <w:t>为各级传播、</w:t>
      </w:r>
      <w:r w:rsidRPr="000C0842">
        <w:rPr>
          <w:rFonts w:ascii="SimSun" w:eastAsia="SimSun" w:hAnsi="SimSun" w:cs="SimSun" w:hint="eastAsia"/>
          <w:sz w:val="24"/>
          <w:szCs w:val="24"/>
          <w:lang w:val="en-GB"/>
        </w:rPr>
        <w:t>教育和公众意识活动提供资源</w:t>
      </w:r>
      <w:r w:rsidRPr="000C0842">
        <w:rPr>
          <w:rFonts w:ascii="SimSun" w:eastAsia="SimSun" w:hAnsi="SimSun" w:cs="SimSun" w:hint="eastAsia"/>
          <w:sz w:val="24"/>
          <w:szCs w:val="24"/>
          <w:lang w:val="en-CA"/>
        </w:rPr>
        <w:t>，包括资助能力建设和发展；</w:t>
      </w:r>
    </w:p>
    <w:p w14:paraId="32DE09FC"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请</w:t>
      </w:r>
      <w:r w:rsidRPr="000C0842">
        <w:rPr>
          <w:rFonts w:eastAsia="SimSun"/>
          <w:sz w:val="24"/>
          <w:szCs w:val="24"/>
          <w:lang w:val="en-CA"/>
        </w:rPr>
        <w:t>执行秘书在资源允许</w:t>
      </w:r>
      <w:r w:rsidRPr="000C0842">
        <w:rPr>
          <w:rFonts w:eastAsia="SimSun" w:hint="eastAsia"/>
          <w:sz w:val="24"/>
          <w:szCs w:val="24"/>
          <w:lang w:val="en-CA"/>
        </w:rPr>
        <w:t>的</w:t>
      </w:r>
      <w:r w:rsidRPr="000C0842">
        <w:rPr>
          <w:rFonts w:eastAsia="SimSun"/>
          <w:sz w:val="24"/>
          <w:szCs w:val="24"/>
          <w:lang w:val="en-CA"/>
        </w:rPr>
        <w:t>情况下：</w:t>
      </w:r>
    </w:p>
    <w:p w14:paraId="0B31CC49" w14:textId="77777777" w:rsidR="006D5DBD" w:rsidRPr="000C0842" w:rsidRDefault="006D5DBD">
      <w:pPr>
        <w:numPr>
          <w:ilvl w:val="0"/>
          <w:numId w:val="19"/>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与联合国教育、科学及文化组织、生物多样性和生态系统服务政府间科学与政策平台、其他相关组织、土著人民和地方社区以及妇女和青年代表合作，制定上文第</w:t>
      </w:r>
      <w:r w:rsidRPr="000C0842">
        <w:rPr>
          <w:rFonts w:eastAsia="Times New Roman"/>
          <w:sz w:val="24"/>
          <w:szCs w:val="24"/>
          <w:lang w:val="en-CA"/>
        </w:rPr>
        <w:t>4</w:t>
      </w:r>
      <w:r w:rsidRPr="000C0842">
        <w:rPr>
          <w:rFonts w:ascii="SimSun" w:eastAsia="SimSun" w:hAnsi="SimSun" w:cs="SimSun" w:hint="eastAsia"/>
          <w:sz w:val="24"/>
          <w:szCs w:val="24"/>
          <w:lang w:val="en-CA"/>
        </w:rPr>
        <w:t>段所述</w:t>
      </w:r>
      <w:r w:rsidRPr="000C0842">
        <w:rPr>
          <w:rFonts w:ascii="SimSun" w:eastAsia="SimSun" w:hAnsi="SimSun" w:cs="SimSun" w:hint="eastAsia"/>
          <w:sz w:val="24"/>
          <w:szCs w:val="24"/>
          <w:lang w:val="en-GB"/>
        </w:rPr>
        <w:t>涵盖正规和非正规教育的</w:t>
      </w:r>
      <w:r w:rsidRPr="000C0842">
        <w:rPr>
          <w:rFonts w:ascii="SimSun" w:eastAsia="SimSun" w:hAnsi="SimSun" w:cs="SimSun" w:hint="eastAsia"/>
          <w:sz w:val="24"/>
          <w:szCs w:val="24"/>
          <w:lang w:val="en-CA"/>
        </w:rPr>
        <w:t>生物多样性教育全球行动计划，提交</w:t>
      </w:r>
      <w:r w:rsidRPr="000C0842">
        <w:rPr>
          <w:rFonts w:ascii="SimSun" w:eastAsia="Times New Roman" w:hAnsi="SimSun" w:cs="SimSun" w:hint="eastAsia"/>
          <w:sz w:val="24"/>
          <w:szCs w:val="24"/>
          <w:lang w:val="en-CA"/>
        </w:rPr>
        <w:t>执行问题</w:t>
      </w:r>
      <w:r w:rsidRPr="000C0842">
        <w:rPr>
          <w:rFonts w:ascii="SimSun" w:eastAsia="SimSun" w:hAnsi="SimSun" w:cs="SimSun" w:hint="eastAsia"/>
          <w:sz w:val="24"/>
          <w:szCs w:val="24"/>
          <w:lang w:val="en-CA"/>
        </w:rPr>
        <w:t>附属机构在缔约方大会第十七届会议之前举行的一次会议和缔约方大会第十七届会议审议；</w:t>
      </w:r>
    </w:p>
    <w:p w14:paraId="1076C7CB" w14:textId="77777777" w:rsidR="006D5DBD" w:rsidRPr="000C0842" w:rsidRDefault="006D5DBD">
      <w:pPr>
        <w:numPr>
          <w:ilvl w:val="0"/>
          <w:numId w:val="19"/>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与传播、教育和公众意识非正式咨询委员会磋商，采取本决定附件所载拟议行动，使传播、教育和公众意识工作方案与《昆蒙框架》保持一致；</w:t>
      </w:r>
    </w:p>
    <w:p w14:paraId="37DB5DDC" w14:textId="77777777" w:rsidR="006D5DBD" w:rsidRPr="000C0842" w:rsidRDefault="006D5DBD">
      <w:pPr>
        <w:numPr>
          <w:ilvl w:val="0"/>
          <w:numId w:val="19"/>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提交一份进度报告，说明为使工作方案与《昆蒙框架》保持一致而采取的拟议行动的执行情况，供执行问题附属机构在缔约方大会第十七届会议之前举行的一次会议和缔约方大会第十七届会议审议；并在缔约方会议第十八届和第十九届会议上继续审查这一议题；</w:t>
      </w:r>
    </w:p>
    <w:p w14:paraId="75AC93B7" w14:textId="77777777" w:rsidR="006D5DBD" w:rsidRPr="000C0842" w:rsidRDefault="006D5DBD">
      <w:pPr>
        <w:numPr>
          <w:ilvl w:val="0"/>
          <w:numId w:val="19"/>
        </w:numPr>
        <w:tabs>
          <w:tab w:val="clear" w:pos="567"/>
          <w:tab w:val="clear" w:pos="1134"/>
          <w:tab w:val="clear" w:pos="1701"/>
          <w:tab w:val="clear" w:pos="2268"/>
        </w:tabs>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继续执行传播战略，支持《昆蒙框架》的执行，并协助调动所需资源；</w:t>
      </w:r>
    </w:p>
    <w:p w14:paraId="78ABC8AA" w14:textId="77777777" w:rsidR="006D5DBD" w:rsidRPr="000C0842" w:rsidRDefault="006D5DBD">
      <w:pPr>
        <w:numPr>
          <w:ilvl w:val="0"/>
          <w:numId w:val="18"/>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邀请</w:t>
      </w:r>
      <w:r w:rsidRPr="000C0842">
        <w:rPr>
          <w:rFonts w:eastAsia="SimSun"/>
          <w:sz w:val="24"/>
          <w:szCs w:val="24"/>
          <w:lang w:val="en-CA"/>
        </w:rPr>
        <w:t>有能力的缔约方和相关组织为执行秘书和缔约方继续执行传播战略提供支持，包括</w:t>
      </w:r>
      <w:r w:rsidRPr="000C0842">
        <w:rPr>
          <w:rFonts w:eastAsia="SimSun" w:hint="eastAsia"/>
          <w:sz w:val="24"/>
          <w:szCs w:val="24"/>
          <w:lang w:val="en-CA"/>
        </w:rPr>
        <w:t>财务</w:t>
      </w:r>
      <w:r w:rsidRPr="000C0842">
        <w:rPr>
          <w:rFonts w:eastAsia="SimSun"/>
          <w:sz w:val="24"/>
          <w:szCs w:val="24"/>
          <w:lang w:val="en-CA"/>
        </w:rPr>
        <w:t>支持。</w:t>
      </w:r>
    </w:p>
    <w:p w14:paraId="089C6096" w14:textId="77777777" w:rsidR="00B4730B" w:rsidRPr="000C0842" w:rsidRDefault="006D5DBD" w:rsidP="00B4730B">
      <w:pPr>
        <w:tabs>
          <w:tab w:val="clear" w:pos="567"/>
          <w:tab w:val="clear" w:pos="1134"/>
          <w:tab w:val="clear" w:pos="1701"/>
          <w:tab w:val="clear" w:pos="2268"/>
        </w:tabs>
        <w:spacing w:before="240"/>
        <w:ind w:firstLine="490"/>
        <w:jc w:val="left"/>
        <w:rPr>
          <w:rFonts w:eastAsia="SimSun"/>
          <w:b/>
          <w:bCs/>
          <w:sz w:val="24"/>
          <w:szCs w:val="24"/>
          <w:lang w:val="en-GB"/>
        </w:rPr>
      </w:pPr>
      <w:bookmarkStart w:id="30" w:name="_Hlk164699839"/>
      <w:r w:rsidRPr="000C0842">
        <w:rPr>
          <w:rFonts w:eastAsia="SimSun"/>
          <w:b/>
          <w:bCs/>
          <w:sz w:val="24"/>
          <w:szCs w:val="24"/>
          <w:lang w:val="en-GB"/>
        </w:rPr>
        <w:t>附件</w:t>
      </w:r>
      <w:bookmarkEnd w:id="30"/>
    </w:p>
    <w:p w14:paraId="3756E828" w14:textId="1CBC8DE6" w:rsidR="006D5DBD" w:rsidRPr="000C0842" w:rsidRDefault="006D5DBD" w:rsidP="00B4730B">
      <w:pPr>
        <w:tabs>
          <w:tab w:val="clear" w:pos="567"/>
          <w:tab w:val="clear" w:pos="1134"/>
          <w:tab w:val="clear" w:pos="1701"/>
          <w:tab w:val="clear" w:pos="2268"/>
        </w:tabs>
        <w:spacing w:after="160" w:line="259" w:lineRule="auto"/>
        <w:ind w:left="490"/>
        <w:jc w:val="left"/>
        <w:rPr>
          <w:rFonts w:eastAsia="SimSun"/>
          <w:b/>
          <w:bCs/>
          <w:kern w:val="2"/>
          <w:sz w:val="24"/>
          <w:szCs w:val="24"/>
          <w:lang w:val="en-CA"/>
        </w:rPr>
      </w:pPr>
      <w:r w:rsidRPr="000C0842">
        <w:rPr>
          <w:rFonts w:eastAsia="SimSun"/>
          <w:b/>
          <w:bCs/>
          <w:kern w:val="2"/>
          <w:sz w:val="24"/>
          <w:szCs w:val="24"/>
          <w:lang w:val="en-CA"/>
        </w:rPr>
        <w:t>为使传播、教育和公众意识工作方案与《昆明</w:t>
      </w:r>
      <w:r w:rsidRPr="000C0842">
        <w:rPr>
          <w:rFonts w:eastAsia="SimSun"/>
          <w:b/>
          <w:bCs/>
          <w:kern w:val="2"/>
          <w:sz w:val="24"/>
          <w:szCs w:val="24"/>
          <w:lang w:val="en-CA"/>
        </w:rPr>
        <w:t>-</w:t>
      </w:r>
      <w:r w:rsidRPr="000C0842">
        <w:rPr>
          <w:rFonts w:eastAsia="SimSun"/>
          <w:b/>
          <w:bCs/>
          <w:kern w:val="2"/>
          <w:sz w:val="24"/>
          <w:szCs w:val="24"/>
          <w:lang w:val="en-CA"/>
        </w:rPr>
        <w:t>蒙特利尔全球生物多样性框架》保持一致而拟议采取的行动</w:t>
      </w:r>
    </w:p>
    <w:p w14:paraId="1C15282A"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下文所列行动是为了有助于使传播、教育和公众意识工作方案</w:t>
      </w:r>
      <w:r w:rsidRPr="000C0842">
        <w:rPr>
          <w:rFonts w:eastAsia="SimSun"/>
          <w:sz w:val="24"/>
          <w:szCs w:val="24"/>
          <w:vertAlign w:val="superscript"/>
          <w:lang w:val="en-CA"/>
        </w:rPr>
        <w:footnoteReference w:id="111"/>
      </w:r>
      <w:r w:rsidRPr="000C0842">
        <w:rPr>
          <w:rFonts w:eastAsia="SimSun"/>
          <w:sz w:val="24"/>
          <w:szCs w:val="24"/>
          <w:lang w:val="en-CA"/>
        </w:rPr>
        <w:t>与《昆明</w:t>
      </w:r>
      <w:r w:rsidRPr="000C0842">
        <w:rPr>
          <w:rFonts w:eastAsia="SimSun"/>
          <w:sz w:val="24"/>
          <w:szCs w:val="24"/>
          <w:lang w:val="en-CA"/>
        </w:rPr>
        <w:t>-</w:t>
      </w:r>
      <w:r w:rsidRPr="000C0842">
        <w:rPr>
          <w:rFonts w:eastAsia="SimSun"/>
          <w:sz w:val="24"/>
          <w:szCs w:val="24"/>
          <w:lang w:val="en-CA"/>
        </w:rPr>
        <w:t>蒙特利尔全球生物多样性框架》</w:t>
      </w:r>
      <w:r w:rsidRPr="000C0842">
        <w:rPr>
          <w:rFonts w:eastAsia="SimSun"/>
          <w:kern w:val="2"/>
          <w:sz w:val="24"/>
          <w:szCs w:val="24"/>
          <w:vertAlign w:val="superscript"/>
          <w:lang w:val="en-CA"/>
        </w:rPr>
        <w:footnoteReference w:id="112"/>
      </w:r>
      <w:r w:rsidRPr="000C0842">
        <w:rPr>
          <w:rFonts w:eastAsia="SimSun"/>
          <w:sz w:val="24"/>
          <w:szCs w:val="24"/>
          <w:lang w:val="en-CA"/>
        </w:rPr>
        <w:t>保持一致。这些行动的执行方式应符合并补充：</w:t>
      </w:r>
    </w:p>
    <w:p w14:paraId="72B2A0BB" w14:textId="77777777" w:rsidR="006D5DBD" w:rsidRPr="000C0842" w:rsidRDefault="006D5DBD">
      <w:pPr>
        <w:numPr>
          <w:ilvl w:val="0"/>
          <w:numId w:val="1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CA"/>
        </w:rPr>
        <w:t>生物多样性公约</w:t>
      </w:r>
      <w:r w:rsidRPr="000C0842">
        <w:rPr>
          <w:rFonts w:eastAsia="SimSun"/>
          <w:sz w:val="24"/>
          <w:szCs w:val="24"/>
          <w:vertAlign w:val="superscript"/>
          <w:lang w:val="en-CA"/>
        </w:rPr>
        <w:footnoteReference w:id="113"/>
      </w:r>
      <w:r w:rsidRPr="000C0842">
        <w:rPr>
          <w:rFonts w:eastAsia="SimSun"/>
          <w:sz w:val="24"/>
          <w:szCs w:val="24"/>
          <w:lang w:val="en-CA"/>
        </w:rPr>
        <w:t>缔约方大会第</w:t>
      </w:r>
      <w:hyperlink r:id="rId75" w:history="1">
        <w:r w:rsidRPr="000C0842">
          <w:rPr>
            <w:rFonts w:eastAsia="SimSun"/>
            <w:sz w:val="24"/>
            <w:szCs w:val="24"/>
            <w:u w:val="single"/>
            <w:lang w:val="en-CA"/>
          </w:rPr>
          <w:t>VIII/6</w:t>
        </w:r>
      </w:hyperlink>
      <w:r w:rsidRPr="000C0842">
        <w:rPr>
          <w:rFonts w:eastAsia="SimSun"/>
          <w:sz w:val="24"/>
          <w:szCs w:val="24"/>
          <w:lang w:val="en-CA"/>
        </w:rPr>
        <w:t>号、第</w:t>
      </w:r>
      <w:hyperlink r:id="rId76" w:history="1">
        <w:r w:rsidRPr="000C0842">
          <w:rPr>
            <w:rFonts w:eastAsia="SimSun"/>
            <w:sz w:val="24"/>
            <w:szCs w:val="24"/>
            <w:u w:val="single"/>
            <w:lang w:val="en-CA"/>
          </w:rPr>
          <w:t>IX/32</w:t>
        </w:r>
      </w:hyperlink>
      <w:r w:rsidRPr="000C0842">
        <w:rPr>
          <w:rFonts w:eastAsia="SimSun"/>
          <w:sz w:val="24"/>
          <w:szCs w:val="24"/>
          <w:lang w:val="en-CA"/>
        </w:rPr>
        <w:t>号、第</w:t>
      </w:r>
      <w:hyperlink r:id="rId77" w:history="1">
        <w:r w:rsidRPr="000C0842">
          <w:rPr>
            <w:rFonts w:eastAsia="SimSun"/>
            <w:sz w:val="24"/>
            <w:szCs w:val="24"/>
            <w:u w:val="single"/>
            <w:lang w:val="en-CA"/>
          </w:rPr>
          <w:t>X/18</w:t>
        </w:r>
      </w:hyperlink>
      <w:r w:rsidRPr="000C0842">
        <w:rPr>
          <w:rFonts w:eastAsia="SimSun"/>
          <w:sz w:val="24"/>
          <w:szCs w:val="24"/>
          <w:lang w:val="en-CA"/>
        </w:rPr>
        <w:t>号和第</w:t>
      </w:r>
      <w:hyperlink r:id="rId78" w:history="1">
        <w:r w:rsidRPr="000C0842">
          <w:rPr>
            <w:rFonts w:eastAsia="SimSun"/>
            <w:sz w:val="24"/>
            <w:szCs w:val="24"/>
            <w:u w:val="single"/>
            <w:lang w:val="en-CA"/>
          </w:rPr>
          <w:t>XIII/22</w:t>
        </w:r>
      </w:hyperlink>
      <w:r w:rsidRPr="000C0842">
        <w:rPr>
          <w:rFonts w:eastAsia="SimSun"/>
          <w:sz w:val="24"/>
          <w:szCs w:val="24"/>
          <w:lang w:val="en-CA"/>
        </w:rPr>
        <w:t>号决定概述的传播、教育和公众意识工作方案活动；</w:t>
      </w:r>
    </w:p>
    <w:p w14:paraId="49CD1F18" w14:textId="77777777" w:rsidR="006D5DBD" w:rsidRPr="000C0842" w:rsidRDefault="006D5DBD">
      <w:pPr>
        <w:numPr>
          <w:ilvl w:val="0"/>
          <w:numId w:val="1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CA"/>
        </w:rPr>
        <w:t>缔约方大会第</w:t>
      </w:r>
      <w:hyperlink r:id="rId79" w:history="1">
        <w:r w:rsidRPr="000C0842">
          <w:rPr>
            <w:rFonts w:eastAsia="SimSun"/>
            <w:sz w:val="24"/>
            <w:szCs w:val="24"/>
            <w:u w:val="single"/>
            <w:lang w:val="en-GB"/>
          </w:rPr>
          <w:t>15/14</w:t>
        </w:r>
      </w:hyperlink>
      <w:r w:rsidRPr="000C0842">
        <w:rPr>
          <w:rFonts w:eastAsia="SimSun"/>
          <w:sz w:val="24"/>
          <w:szCs w:val="24"/>
          <w:lang w:val="en-GB"/>
        </w:rPr>
        <w:t>号决定通过的支持执行《昆蒙框架》的传播战略；</w:t>
      </w:r>
    </w:p>
    <w:p w14:paraId="5D2EAA9E" w14:textId="1676BC71" w:rsidR="006D5DBD" w:rsidRPr="000C0842" w:rsidRDefault="006D5DBD" w:rsidP="006D5DBD">
      <w:pPr>
        <w:keepNext/>
        <w:keepLines/>
        <w:tabs>
          <w:tab w:val="clear" w:pos="567"/>
          <w:tab w:val="clear" w:pos="1134"/>
          <w:tab w:val="clear" w:pos="1701"/>
          <w:tab w:val="clear" w:pos="2268"/>
        </w:tabs>
        <w:spacing w:before="120" w:after="120"/>
        <w:ind w:left="432" w:hanging="432"/>
        <w:rPr>
          <w:rFonts w:eastAsia="SimSun"/>
          <w:b/>
          <w:sz w:val="24"/>
          <w:szCs w:val="24"/>
          <w:lang w:val="en-GB"/>
        </w:rPr>
      </w:pPr>
      <w:r w:rsidRPr="000C0842">
        <w:rPr>
          <w:rFonts w:eastAsia="SimSun"/>
          <w:b/>
          <w:sz w:val="24"/>
          <w:szCs w:val="24"/>
          <w:lang w:val="en-GB"/>
        </w:rPr>
        <w:t>一</w:t>
      </w:r>
      <w:r w:rsidRPr="000C0842">
        <w:rPr>
          <w:rFonts w:eastAsia="SimSun"/>
          <w:b/>
          <w:sz w:val="24"/>
          <w:szCs w:val="24"/>
          <w:lang w:val="en-GB"/>
        </w:rPr>
        <w:t>.</w:t>
      </w:r>
      <w:r w:rsidRPr="000C0842">
        <w:rPr>
          <w:rFonts w:eastAsia="SimSun"/>
          <w:b/>
          <w:sz w:val="24"/>
          <w:szCs w:val="24"/>
          <w:lang w:val="en-GB"/>
        </w:rPr>
        <w:tab/>
      </w:r>
      <w:r w:rsidRPr="000C0842">
        <w:rPr>
          <w:rFonts w:eastAsia="SimSun"/>
          <w:b/>
          <w:sz w:val="24"/>
          <w:szCs w:val="24"/>
          <w:lang w:val="en-GB"/>
        </w:rPr>
        <w:t>《昆明</w:t>
      </w:r>
      <w:r w:rsidRPr="000C0842">
        <w:rPr>
          <w:rFonts w:eastAsia="SimSun"/>
          <w:b/>
          <w:sz w:val="24"/>
          <w:szCs w:val="24"/>
          <w:lang w:val="en-GB"/>
        </w:rPr>
        <w:t>-</w:t>
      </w:r>
      <w:r w:rsidRPr="000C0842">
        <w:rPr>
          <w:rFonts w:eastAsia="SimSun"/>
          <w:b/>
          <w:sz w:val="24"/>
          <w:szCs w:val="24"/>
          <w:lang w:val="en-GB"/>
        </w:rPr>
        <w:t>蒙特利尔全球生物多样性框架》</w:t>
      </w:r>
      <w:r w:rsidRPr="000C0842">
        <w:rPr>
          <w:rFonts w:eastAsia="SimSun"/>
          <w:b/>
          <w:sz w:val="24"/>
          <w:szCs w:val="24"/>
          <w:lang w:val="en-GB"/>
        </w:rPr>
        <w:t>C</w:t>
      </w:r>
      <w:r w:rsidRPr="000C0842">
        <w:rPr>
          <w:rFonts w:eastAsia="SimSun"/>
          <w:b/>
          <w:sz w:val="24"/>
          <w:szCs w:val="24"/>
          <w:lang w:val="en-GB"/>
        </w:rPr>
        <w:t>部分</w:t>
      </w:r>
      <w:r w:rsidR="00D40E31" w:rsidRPr="000C0842">
        <w:rPr>
          <w:rFonts w:eastAsia="SimSun" w:hint="eastAsia"/>
          <w:b/>
          <w:sz w:val="24"/>
          <w:szCs w:val="24"/>
          <w:lang w:val="en-GB"/>
        </w:rPr>
        <w:t>（</w:t>
      </w:r>
      <w:r w:rsidRPr="000C0842">
        <w:rPr>
          <w:rFonts w:eastAsia="SimSun"/>
          <w:b/>
          <w:sz w:val="24"/>
          <w:szCs w:val="24"/>
          <w:lang w:val="en-GB"/>
        </w:rPr>
        <w:t>执行《昆蒙框架》的考虑因素</w:t>
      </w:r>
      <w:r w:rsidR="00D40E31" w:rsidRPr="000C0842">
        <w:rPr>
          <w:rFonts w:eastAsia="SimSun" w:hint="eastAsia"/>
          <w:b/>
          <w:sz w:val="24"/>
          <w:szCs w:val="24"/>
          <w:lang w:val="en-GB"/>
        </w:rPr>
        <w:t>）</w:t>
      </w:r>
    </w:p>
    <w:p w14:paraId="62545380" w14:textId="77777777" w:rsidR="006D5DBD" w:rsidRPr="000C0842" w:rsidRDefault="006D5DBD" w:rsidP="006D5DBD">
      <w:pPr>
        <w:keepNext/>
        <w:keepLines/>
        <w:tabs>
          <w:tab w:val="clear" w:pos="567"/>
          <w:tab w:val="clear" w:pos="1134"/>
          <w:tab w:val="clear" w:pos="1701"/>
          <w:tab w:val="clear" w:pos="2268"/>
        </w:tabs>
        <w:spacing w:before="120" w:after="120"/>
        <w:ind w:left="475"/>
        <w:rPr>
          <w:rFonts w:eastAsia="SimSun"/>
          <w:bCs/>
          <w:sz w:val="24"/>
          <w:szCs w:val="24"/>
          <w:lang w:val="en-GB"/>
        </w:rPr>
      </w:pPr>
      <w:r w:rsidRPr="000C0842">
        <w:rPr>
          <w:rFonts w:eastAsia="SimSun"/>
          <w:b/>
          <w:sz w:val="24"/>
          <w:szCs w:val="24"/>
          <w:lang w:val="en-GB"/>
        </w:rPr>
        <w:t>正规和非正规教育</w:t>
      </w:r>
    </w:p>
    <w:p w14:paraId="5814491D" w14:textId="0D85D4DF"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it-IT"/>
        </w:rPr>
      </w:pPr>
      <w:r w:rsidRPr="000C0842">
        <w:rPr>
          <w:rFonts w:eastAsia="SimSun"/>
          <w:sz w:val="24"/>
          <w:szCs w:val="24"/>
          <w:lang w:val="it-IT"/>
        </w:rPr>
        <w:t>C</w:t>
      </w:r>
      <w:r w:rsidRPr="000C0842">
        <w:rPr>
          <w:rFonts w:eastAsia="SimSun"/>
          <w:sz w:val="24"/>
          <w:szCs w:val="24"/>
          <w:lang w:val="en-CA"/>
        </w:rPr>
        <w:t>部分第</w:t>
      </w:r>
      <w:r w:rsidRPr="000C0842">
        <w:rPr>
          <w:rFonts w:eastAsia="SimSun"/>
          <w:sz w:val="24"/>
          <w:szCs w:val="24"/>
          <w:lang w:val="it-IT"/>
        </w:rPr>
        <w:t>7</w:t>
      </w:r>
      <w:r w:rsidR="00D40E31" w:rsidRPr="000C0842">
        <w:rPr>
          <w:rFonts w:eastAsia="SimSun" w:hint="eastAsia"/>
          <w:sz w:val="24"/>
          <w:szCs w:val="24"/>
          <w:lang w:val="it-IT"/>
        </w:rPr>
        <w:t>(</w:t>
      </w:r>
      <w:r w:rsidRPr="000C0842">
        <w:rPr>
          <w:rFonts w:eastAsia="SimSun"/>
          <w:sz w:val="24"/>
          <w:szCs w:val="24"/>
          <w:lang w:val="it-IT"/>
        </w:rPr>
        <w:t>o</w:t>
      </w:r>
      <w:r w:rsidR="00D40E31" w:rsidRPr="000C0842">
        <w:rPr>
          <w:rFonts w:eastAsia="SimSun" w:hint="eastAsia"/>
          <w:sz w:val="24"/>
          <w:szCs w:val="24"/>
          <w:lang w:val="it-IT"/>
        </w:rPr>
        <w:t>)</w:t>
      </w:r>
      <w:r w:rsidRPr="000C0842">
        <w:rPr>
          <w:rFonts w:eastAsia="SimSun"/>
          <w:sz w:val="24"/>
          <w:szCs w:val="24"/>
          <w:lang w:val="en-CA"/>
        </w:rPr>
        <w:t>段的案文如下</w:t>
      </w:r>
      <w:r w:rsidRPr="000C0842">
        <w:rPr>
          <w:rFonts w:eastAsia="SimSun"/>
          <w:sz w:val="24"/>
          <w:szCs w:val="24"/>
          <w:lang w:val="it-IT"/>
        </w:rPr>
        <w:t>：</w:t>
      </w:r>
    </w:p>
    <w:p w14:paraId="1D45C1CB" w14:textId="352A83EC" w:rsidR="006D5DBD" w:rsidRPr="000C0842" w:rsidRDefault="001A5C0A" w:rsidP="006D5DBD">
      <w:pPr>
        <w:tabs>
          <w:tab w:val="clear" w:pos="567"/>
          <w:tab w:val="clear" w:pos="1134"/>
          <w:tab w:val="clear" w:pos="1701"/>
          <w:tab w:val="clear" w:pos="2268"/>
        </w:tabs>
        <w:spacing w:before="120" w:after="120"/>
        <w:ind w:left="979"/>
        <w:rPr>
          <w:rFonts w:eastAsia="SimSun"/>
          <w:sz w:val="24"/>
          <w:szCs w:val="24"/>
          <w:lang w:val="it-IT"/>
        </w:rPr>
      </w:pPr>
      <w:r w:rsidRPr="000C0842">
        <w:rPr>
          <w:rFonts w:eastAsia="SimSun"/>
          <w:sz w:val="24"/>
          <w:szCs w:val="24"/>
        </w:rPr>
        <w:t>《昆蒙框架》</w:t>
      </w:r>
      <w:r w:rsidR="006D5DBD" w:rsidRPr="000C0842">
        <w:rPr>
          <w:rFonts w:eastAsia="SimSun"/>
          <w:sz w:val="24"/>
          <w:szCs w:val="24"/>
        </w:rPr>
        <w:t>的执行需要在各级开展变革性、创新和跨学科的正规和非正规教育</w:t>
      </w:r>
      <w:r w:rsidR="006D5DBD" w:rsidRPr="000C0842">
        <w:rPr>
          <w:rFonts w:eastAsia="SimSun"/>
          <w:sz w:val="24"/>
          <w:szCs w:val="24"/>
          <w:lang w:val="it-IT"/>
        </w:rPr>
        <w:t>，</w:t>
      </w:r>
      <w:r w:rsidR="006D5DBD" w:rsidRPr="000C0842">
        <w:rPr>
          <w:rFonts w:eastAsia="SimSun"/>
          <w:sz w:val="24"/>
          <w:szCs w:val="24"/>
        </w:rPr>
        <w:t>包括科学</w:t>
      </w:r>
      <w:r w:rsidR="006D5DBD" w:rsidRPr="000C0842">
        <w:rPr>
          <w:rFonts w:eastAsia="SimSun"/>
          <w:sz w:val="24"/>
          <w:szCs w:val="24"/>
          <w:lang w:val="it-IT"/>
        </w:rPr>
        <w:t>-</w:t>
      </w:r>
      <w:r w:rsidR="006D5DBD" w:rsidRPr="000C0842">
        <w:rPr>
          <w:rFonts w:eastAsia="SimSun"/>
          <w:sz w:val="24"/>
          <w:szCs w:val="24"/>
        </w:rPr>
        <w:t>政策接口研究和终身学习进程</w:t>
      </w:r>
      <w:r w:rsidR="006D5DBD" w:rsidRPr="000C0842">
        <w:rPr>
          <w:rFonts w:eastAsia="SimSun"/>
          <w:sz w:val="24"/>
          <w:szCs w:val="24"/>
          <w:lang w:val="it-IT"/>
        </w:rPr>
        <w:t>，</w:t>
      </w:r>
      <w:r w:rsidR="006D5DBD" w:rsidRPr="000C0842">
        <w:rPr>
          <w:rFonts w:eastAsia="SimSun"/>
          <w:sz w:val="24"/>
          <w:szCs w:val="24"/>
        </w:rPr>
        <w:t>同时承认土著人民和地方社区的多种多样的世界观、价值观和知识体系。</w:t>
      </w:r>
    </w:p>
    <w:p w14:paraId="18283D93" w14:textId="1234D1B5"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it-IT"/>
        </w:rPr>
      </w:pPr>
      <w:r w:rsidRPr="000C0842">
        <w:rPr>
          <w:rFonts w:eastAsia="SimSun"/>
          <w:sz w:val="24"/>
          <w:szCs w:val="24"/>
          <w:lang w:val="en-CA"/>
        </w:rPr>
        <w:t>由于《昆蒙框架》</w:t>
      </w:r>
      <w:r w:rsidRPr="000C0842">
        <w:rPr>
          <w:rFonts w:eastAsia="SimSun"/>
          <w:sz w:val="24"/>
          <w:szCs w:val="24"/>
          <w:lang w:val="it-IT"/>
        </w:rPr>
        <w:t>C</w:t>
      </w:r>
      <w:r w:rsidRPr="000C0842">
        <w:rPr>
          <w:rFonts w:eastAsia="SimSun"/>
          <w:sz w:val="24"/>
          <w:szCs w:val="24"/>
          <w:lang w:val="en-CA"/>
        </w:rPr>
        <w:t>部分第</w:t>
      </w:r>
      <w:r w:rsidRPr="000C0842">
        <w:rPr>
          <w:rFonts w:eastAsia="SimSun"/>
          <w:sz w:val="24"/>
          <w:szCs w:val="24"/>
          <w:lang w:val="it-IT"/>
        </w:rPr>
        <w:t>7</w:t>
      </w:r>
      <w:r w:rsidR="00D40E31" w:rsidRPr="000C0842">
        <w:rPr>
          <w:rFonts w:eastAsia="SimSun" w:hint="eastAsia"/>
          <w:sz w:val="24"/>
          <w:szCs w:val="24"/>
          <w:lang w:val="it-IT"/>
        </w:rPr>
        <w:t>(</w:t>
      </w:r>
      <w:r w:rsidRPr="000C0842">
        <w:rPr>
          <w:rFonts w:eastAsia="SimSun"/>
          <w:sz w:val="24"/>
          <w:szCs w:val="24"/>
          <w:lang w:val="it-IT"/>
        </w:rPr>
        <w:t>o</w:t>
      </w:r>
      <w:r w:rsidR="00D40E31" w:rsidRPr="000C0842">
        <w:rPr>
          <w:rFonts w:eastAsia="SimSun" w:hint="eastAsia"/>
          <w:sz w:val="24"/>
          <w:szCs w:val="24"/>
          <w:lang w:val="it-IT"/>
        </w:rPr>
        <w:t>)</w:t>
      </w:r>
      <w:r w:rsidRPr="000C0842">
        <w:rPr>
          <w:rFonts w:eastAsia="SimSun"/>
          <w:sz w:val="24"/>
          <w:szCs w:val="24"/>
          <w:lang w:val="en-CA"/>
        </w:rPr>
        <w:t>段和</w:t>
      </w:r>
      <w:r w:rsidRPr="000C0842">
        <w:rPr>
          <w:rFonts w:eastAsia="SimSun"/>
          <w:sz w:val="24"/>
          <w:szCs w:val="24"/>
          <w:lang w:val="it-IT"/>
        </w:rPr>
        <w:t>K</w:t>
      </w:r>
      <w:r w:rsidRPr="000C0842">
        <w:rPr>
          <w:rFonts w:eastAsia="SimSun"/>
          <w:sz w:val="24"/>
          <w:szCs w:val="24"/>
          <w:lang w:val="en-CA"/>
        </w:rPr>
        <w:t>部分第</w:t>
      </w:r>
      <w:r w:rsidRPr="000C0842">
        <w:rPr>
          <w:rFonts w:eastAsia="SimSun"/>
          <w:sz w:val="24"/>
          <w:szCs w:val="24"/>
          <w:lang w:val="it-IT"/>
        </w:rPr>
        <w:t>22 (f)</w:t>
      </w:r>
      <w:r w:rsidRPr="000C0842">
        <w:rPr>
          <w:rFonts w:eastAsia="SimSun"/>
          <w:sz w:val="24"/>
          <w:szCs w:val="24"/>
          <w:lang w:val="en-CA"/>
        </w:rPr>
        <w:t>段载有类似规定</w:t>
      </w:r>
      <w:r w:rsidRPr="000C0842">
        <w:rPr>
          <w:rFonts w:eastAsia="SimSun"/>
          <w:sz w:val="24"/>
          <w:szCs w:val="24"/>
          <w:lang w:val="it-IT"/>
        </w:rPr>
        <w:t>，</w:t>
      </w:r>
      <w:r w:rsidRPr="000C0842">
        <w:rPr>
          <w:rFonts w:eastAsia="SimSun"/>
          <w:sz w:val="24"/>
          <w:szCs w:val="24"/>
          <w:lang w:val="en-CA"/>
        </w:rPr>
        <w:t>因此</w:t>
      </w:r>
      <w:r w:rsidRPr="000C0842">
        <w:rPr>
          <w:rFonts w:eastAsia="SimSun"/>
          <w:sz w:val="24"/>
          <w:szCs w:val="24"/>
          <w:lang w:val="it-IT"/>
        </w:rPr>
        <w:t>，</w:t>
      </w:r>
      <w:r w:rsidRPr="000C0842">
        <w:rPr>
          <w:rFonts w:eastAsia="SimSun"/>
          <w:sz w:val="24"/>
          <w:szCs w:val="24"/>
          <w:lang w:val="en-CA"/>
        </w:rPr>
        <w:t>与这些规定相关联的行动相同</w:t>
      </w:r>
      <w:r w:rsidRPr="000C0842">
        <w:rPr>
          <w:rFonts w:eastAsia="SimSun"/>
          <w:sz w:val="24"/>
          <w:szCs w:val="24"/>
          <w:lang w:val="it-IT"/>
        </w:rPr>
        <w:t>，</w:t>
      </w:r>
      <w:r w:rsidRPr="000C0842">
        <w:rPr>
          <w:rFonts w:eastAsia="SimSun"/>
          <w:sz w:val="24"/>
          <w:szCs w:val="24"/>
          <w:lang w:val="en-CA"/>
        </w:rPr>
        <w:t>已列入下文第</w:t>
      </w:r>
      <w:r w:rsidRPr="000C0842">
        <w:rPr>
          <w:rFonts w:eastAsia="SimSun"/>
          <w:sz w:val="24"/>
          <w:szCs w:val="24"/>
          <w:lang w:val="it-IT"/>
        </w:rPr>
        <w:t>42</w:t>
      </w:r>
      <w:r w:rsidRPr="000C0842">
        <w:rPr>
          <w:rFonts w:eastAsia="SimSun"/>
          <w:sz w:val="24"/>
          <w:szCs w:val="24"/>
          <w:lang w:val="en-CA"/>
        </w:rPr>
        <w:t>段和第</w:t>
      </w:r>
      <w:r w:rsidRPr="000C0842">
        <w:rPr>
          <w:rFonts w:eastAsia="SimSun"/>
          <w:sz w:val="24"/>
          <w:szCs w:val="24"/>
          <w:lang w:val="it-IT"/>
        </w:rPr>
        <w:t>44</w:t>
      </w:r>
      <w:r w:rsidRPr="000C0842">
        <w:rPr>
          <w:rFonts w:eastAsia="SimSun"/>
          <w:sz w:val="24"/>
          <w:szCs w:val="24"/>
          <w:lang w:val="en-CA"/>
        </w:rPr>
        <w:t>段。</w:t>
      </w:r>
    </w:p>
    <w:p w14:paraId="5ACEE60D" w14:textId="77777777" w:rsidR="006D5DBD" w:rsidRPr="000C0842" w:rsidRDefault="006D5DBD" w:rsidP="00B41241">
      <w:pPr>
        <w:keepNext/>
        <w:tabs>
          <w:tab w:val="clear" w:pos="567"/>
          <w:tab w:val="clear" w:pos="1134"/>
          <w:tab w:val="clear" w:pos="1701"/>
          <w:tab w:val="clear" w:pos="2268"/>
        </w:tabs>
        <w:spacing w:before="120" w:after="120"/>
        <w:rPr>
          <w:rFonts w:eastAsia="SimSun"/>
          <w:b/>
          <w:bCs/>
          <w:sz w:val="24"/>
          <w:szCs w:val="24"/>
          <w:lang w:val="it-IT"/>
        </w:rPr>
      </w:pPr>
      <w:r w:rsidRPr="000C0842">
        <w:rPr>
          <w:rFonts w:eastAsia="SimSun"/>
          <w:b/>
          <w:bCs/>
          <w:sz w:val="24"/>
          <w:szCs w:val="24"/>
          <w:lang w:val="en-CA"/>
        </w:rPr>
        <w:t>二</w:t>
      </w:r>
      <w:r w:rsidRPr="000C0842">
        <w:rPr>
          <w:rFonts w:eastAsia="SimSun"/>
          <w:b/>
          <w:bCs/>
          <w:sz w:val="24"/>
          <w:szCs w:val="24"/>
          <w:lang w:val="it-IT"/>
        </w:rPr>
        <w:t>.</w:t>
      </w:r>
      <w:r w:rsidRPr="000C0842">
        <w:rPr>
          <w:rFonts w:eastAsia="SimSun"/>
          <w:b/>
          <w:bCs/>
          <w:sz w:val="24"/>
          <w:szCs w:val="24"/>
          <w:lang w:val="it-IT"/>
        </w:rPr>
        <w:tab/>
      </w:r>
      <w:r w:rsidRPr="000C0842">
        <w:rPr>
          <w:rFonts w:eastAsia="SimSun"/>
          <w:b/>
          <w:bCs/>
          <w:sz w:val="24"/>
          <w:szCs w:val="24"/>
          <w:lang w:val="en-CA"/>
        </w:rPr>
        <w:t>《昆明</w:t>
      </w:r>
      <w:r w:rsidRPr="000C0842">
        <w:rPr>
          <w:rFonts w:eastAsia="SimSun"/>
          <w:b/>
          <w:bCs/>
          <w:sz w:val="24"/>
          <w:szCs w:val="24"/>
          <w:lang w:val="it-IT"/>
        </w:rPr>
        <w:t>-</w:t>
      </w:r>
      <w:r w:rsidRPr="000C0842">
        <w:rPr>
          <w:rFonts w:eastAsia="SimSun"/>
          <w:b/>
          <w:sz w:val="24"/>
          <w:szCs w:val="24"/>
          <w:lang w:val="en-GB"/>
        </w:rPr>
        <w:t>蒙特利尔全球生物多样性框架</w:t>
      </w:r>
      <w:r w:rsidRPr="000C0842">
        <w:rPr>
          <w:rFonts w:eastAsia="SimSun"/>
          <w:b/>
          <w:bCs/>
          <w:sz w:val="24"/>
          <w:szCs w:val="24"/>
          <w:lang w:val="en-CA"/>
        </w:rPr>
        <w:t>》</w:t>
      </w:r>
      <w:r w:rsidRPr="000C0842">
        <w:rPr>
          <w:rFonts w:eastAsia="SimSun"/>
          <w:b/>
          <w:bCs/>
          <w:sz w:val="24"/>
          <w:szCs w:val="24"/>
          <w:lang w:val="it-IT"/>
        </w:rPr>
        <w:t>K</w:t>
      </w:r>
      <w:r w:rsidRPr="000C0842">
        <w:rPr>
          <w:rFonts w:eastAsia="SimSun"/>
          <w:b/>
          <w:bCs/>
          <w:sz w:val="24"/>
          <w:szCs w:val="24"/>
          <w:lang w:val="en-CA"/>
        </w:rPr>
        <w:t>部分</w:t>
      </w:r>
      <w:r w:rsidRPr="000C0842">
        <w:rPr>
          <w:rFonts w:eastAsia="SimSun"/>
          <w:b/>
          <w:bCs/>
          <w:sz w:val="24"/>
          <w:szCs w:val="24"/>
          <w:lang w:val="it-IT"/>
        </w:rPr>
        <w:t>（</w:t>
      </w:r>
      <w:r w:rsidRPr="000C0842">
        <w:rPr>
          <w:rFonts w:eastAsia="SimSun"/>
          <w:b/>
          <w:bCs/>
          <w:sz w:val="24"/>
          <w:szCs w:val="24"/>
          <w:lang w:val="en-CA"/>
        </w:rPr>
        <w:t>传播、教育、认识和接受</w:t>
      </w:r>
      <w:r w:rsidRPr="000C0842">
        <w:rPr>
          <w:rFonts w:eastAsia="SimSun"/>
          <w:b/>
          <w:bCs/>
          <w:sz w:val="24"/>
          <w:szCs w:val="24"/>
          <w:lang w:val="it-IT"/>
        </w:rPr>
        <w:t>）</w:t>
      </w:r>
    </w:p>
    <w:p w14:paraId="4E5C5CA9" w14:textId="77777777" w:rsidR="006D5DBD" w:rsidRPr="000C0842" w:rsidRDefault="006D5DBD" w:rsidP="00B41241">
      <w:pPr>
        <w:tabs>
          <w:tab w:val="clear" w:pos="567"/>
          <w:tab w:val="clear" w:pos="1134"/>
          <w:tab w:val="clear" w:pos="1701"/>
          <w:tab w:val="clear" w:pos="2268"/>
        </w:tabs>
        <w:spacing w:before="120" w:after="120"/>
        <w:rPr>
          <w:rFonts w:eastAsia="SimSun"/>
          <w:i/>
          <w:iCs/>
          <w:sz w:val="24"/>
          <w:szCs w:val="24"/>
          <w:lang w:val="en-CA"/>
        </w:rPr>
      </w:pPr>
      <w:r w:rsidRPr="000C0842">
        <w:rPr>
          <w:rFonts w:eastAsia="SimSun"/>
          <w:b/>
          <w:bCs/>
          <w:sz w:val="24"/>
          <w:szCs w:val="24"/>
          <w:lang w:val="en-CA"/>
        </w:rPr>
        <w:t>1.</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(a)</w:t>
      </w:r>
      <w:r w:rsidRPr="000C0842">
        <w:rPr>
          <w:rFonts w:eastAsia="SimSun"/>
          <w:b/>
          <w:bCs/>
          <w:sz w:val="24"/>
          <w:szCs w:val="24"/>
          <w:lang w:val="en-CA"/>
        </w:rPr>
        <w:t>段</w:t>
      </w:r>
    </w:p>
    <w:p w14:paraId="485B945D"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 (a)</w:t>
      </w:r>
      <w:r w:rsidRPr="000C0842">
        <w:rPr>
          <w:rFonts w:eastAsia="SimSun"/>
          <w:sz w:val="24"/>
          <w:szCs w:val="24"/>
          <w:lang w:val="en-CA"/>
        </w:rPr>
        <w:t>段的案文如下：</w:t>
      </w:r>
    </w:p>
    <w:p w14:paraId="7C578CDF" w14:textId="77777777" w:rsidR="006D5DBD" w:rsidRPr="000C0842" w:rsidRDefault="006D5DBD" w:rsidP="006D5DBD">
      <w:pPr>
        <w:tabs>
          <w:tab w:val="clear" w:pos="567"/>
          <w:tab w:val="clear" w:pos="1134"/>
          <w:tab w:val="clear" w:pos="1701"/>
          <w:tab w:val="clear" w:pos="2268"/>
        </w:tabs>
        <w:spacing w:before="120" w:after="120"/>
        <w:ind w:left="979"/>
        <w:rPr>
          <w:rFonts w:eastAsia="SimSun"/>
          <w:snapToGrid w:val="0"/>
          <w:sz w:val="24"/>
          <w:szCs w:val="24"/>
          <w:lang w:val="en-GB"/>
        </w:rPr>
      </w:pPr>
      <w:r w:rsidRPr="000C0842">
        <w:rPr>
          <w:rFonts w:eastAsia="SimSun"/>
          <w:snapToGrid w:val="0"/>
          <w:sz w:val="24"/>
          <w:szCs w:val="24"/>
          <w:lang w:val="en-GB"/>
        </w:rPr>
        <w:t>提高对知识体系、各种生物多样性价值观和自然对人类的贡献，</w:t>
      </w:r>
      <w:r w:rsidRPr="000C0842">
        <w:rPr>
          <w:rFonts w:eastAsia="SimSun"/>
          <w:sz w:val="24"/>
          <w:szCs w:val="24"/>
        </w:rPr>
        <w:t>包括生态系统功能和服务以及土著人民和地方社区的传统知识和世界观及生物多样性对可持续发展的贡献的认识</w:t>
      </w:r>
      <w:r w:rsidRPr="000C0842">
        <w:rPr>
          <w:rFonts w:eastAsia="SimSun"/>
          <w:snapToGrid w:val="0"/>
          <w:sz w:val="24"/>
          <w:szCs w:val="24"/>
          <w:lang w:val="en-GB"/>
        </w:rPr>
        <w:t>、理解和欣赏。</w:t>
      </w:r>
    </w:p>
    <w:p w14:paraId="45C44617"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15C1BC98"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执行《昆蒙框架》需要认识、了解和理解多种知识体系以及涵盖全社会的生物多样性的多种价值。土著人民和地方社区的知识和世界观至关重要。</w:t>
      </w:r>
    </w:p>
    <w:p w14:paraId="446CDDB3"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解释生物多样性和《昆蒙框架》在支持生物多样性的内在价值，以及大自然对于人类的广泛贡献（包括对实现可持续发展同样非常重要的生态系统服务）方面的作用，对于以协同的方式推动《昆蒙框架》和《</w:t>
      </w:r>
      <w:r w:rsidRPr="000C0842">
        <w:rPr>
          <w:rFonts w:eastAsia="SimSun"/>
          <w:sz w:val="24"/>
          <w:szCs w:val="24"/>
          <w:lang w:val="en-CA"/>
        </w:rPr>
        <w:t>2030</w:t>
      </w:r>
      <w:r w:rsidRPr="000C0842">
        <w:rPr>
          <w:rFonts w:eastAsia="SimSun"/>
          <w:sz w:val="24"/>
          <w:szCs w:val="24"/>
          <w:lang w:val="en-CA"/>
        </w:rPr>
        <w:t>年可持续发展议程》</w:t>
      </w:r>
      <w:r w:rsidRPr="000C0842">
        <w:rPr>
          <w:rFonts w:eastAsia="SimSun"/>
          <w:sz w:val="24"/>
          <w:szCs w:val="24"/>
          <w:vertAlign w:val="superscript"/>
          <w:lang w:val="en-CA"/>
        </w:rPr>
        <w:footnoteReference w:id="114"/>
      </w:r>
      <w:r w:rsidRPr="000C0842">
        <w:rPr>
          <w:rFonts w:eastAsia="SimSun"/>
          <w:sz w:val="24"/>
          <w:szCs w:val="24"/>
          <w:lang w:val="en-CA"/>
        </w:rPr>
        <w:t>及其可持续发展目标至关重要。</w:t>
      </w:r>
    </w:p>
    <w:p w14:paraId="1F81E4A3" w14:textId="77777777" w:rsidR="006D5DBD" w:rsidRPr="000C0842" w:rsidRDefault="006D5DBD" w:rsidP="00B4730B">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552CF510"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公约》执行秘书应主要与生物多样性和生态系统服务政府间科学与政策平台、联合国教育、科学及文化组织和国际生物多样性问题土著论坛及其相关组织和其他实体合作，开发开源知识产品，解释体现生物多样性不同价值的知识体系之间的关系和多样性。</w:t>
      </w:r>
    </w:p>
    <w:p w14:paraId="38C25B54"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执行秘书应与联合国开发计划署、联合国环境规划署、联合国秘书处经济和社会事务部、联合国教育、科学及文化组织教育部门以及参与执行可持续发展目标的其他行为</w:t>
      </w:r>
      <w:r w:rsidRPr="000C0842">
        <w:rPr>
          <w:rFonts w:eastAsia="SimSun" w:hint="eastAsia"/>
          <w:sz w:val="24"/>
          <w:szCs w:val="24"/>
          <w:lang w:val="en-CA"/>
        </w:rPr>
        <w:t>体</w:t>
      </w:r>
      <w:r w:rsidRPr="000C0842">
        <w:rPr>
          <w:rFonts w:eastAsia="SimSun"/>
          <w:sz w:val="24"/>
          <w:szCs w:val="24"/>
          <w:lang w:val="en-CA"/>
        </w:rPr>
        <w:t>合作，开发概述可持续发展与生物多样性之间关系的产品，同时顾及生物多样性和生态系统服务政府间科学</w:t>
      </w:r>
      <w:r w:rsidRPr="000C0842">
        <w:rPr>
          <w:rFonts w:eastAsia="SimSun" w:hint="eastAsia"/>
          <w:sz w:val="24"/>
          <w:szCs w:val="24"/>
          <w:lang w:val="en-CA"/>
        </w:rPr>
        <w:t>与</w:t>
      </w:r>
      <w:r w:rsidRPr="000C0842">
        <w:rPr>
          <w:rFonts w:eastAsia="SimSun"/>
          <w:sz w:val="24"/>
          <w:szCs w:val="24"/>
          <w:lang w:val="en-CA"/>
        </w:rPr>
        <w:t>政策平台的相关结论，并就这些产品向缔约方大会第十七届会议作出报告。</w:t>
      </w:r>
    </w:p>
    <w:p w14:paraId="13366A4E"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执行秘书将协助将这些产品翻译成联合国六种正式语文，并通过信息交换</w:t>
      </w:r>
      <w:r w:rsidRPr="000C0842">
        <w:rPr>
          <w:rFonts w:eastAsia="SimSun" w:hint="eastAsia"/>
          <w:sz w:val="24"/>
          <w:szCs w:val="24"/>
          <w:lang w:val="en-CA"/>
        </w:rPr>
        <w:t>所</w:t>
      </w:r>
      <w:r w:rsidRPr="000C0842">
        <w:rPr>
          <w:rFonts w:eastAsia="SimSun"/>
          <w:sz w:val="24"/>
          <w:szCs w:val="24"/>
          <w:lang w:val="en-CA"/>
        </w:rPr>
        <w:t>机制传播这些产品，向缔约方和利益攸关方通报可获得的产品。</w:t>
      </w:r>
    </w:p>
    <w:p w14:paraId="2998DC13"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683F7F0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缔约方可考虑根据国情，酌情利用在执行秘书等支持下开发的产品，参与：</w:t>
      </w:r>
    </w:p>
    <w:p w14:paraId="66F9C766" w14:textId="77777777" w:rsidR="006D5DBD" w:rsidRPr="000C0842" w:rsidRDefault="006D5DBD">
      <w:pPr>
        <w:numPr>
          <w:ilvl w:val="0"/>
          <w:numId w:val="16"/>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教育部门促进酌情将这些产品纳入教育课程，并与大学和（或）其他教育机构合作，将核心理念纳入相关中学后教育方案的主流，包括与下文第</w:t>
      </w:r>
      <w:r w:rsidRPr="000C0842">
        <w:rPr>
          <w:rFonts w:eastAsia="SimSun"/>
          <w:sz w:val="24"/>
          <w:szCs w:val="24"/>
          <w:lang w:val="en-CA"/>
        </w:rPr>
        <w:t>6</w:t>
      </w:r>
      <w:r w:rsidRPr="000C0842">
        <w:rPr>
          <w:rFonts w:eastAsia="SimSun"/>
          <w:sz w:val="24"/>
          <w:szCs w:val="24"/>
          <w:lang w:val="en-CA"/>
        </w:rPr>
        <w:t>段所列活动相结合；</w:t>
      </w:r>
    </w:p>
    <w:p w14:paraId="17637E4E" w14:textId="77777777" w:rsidR="006D5DBD" w:rsidRPr="000C0842" w:rsidRDefault="006D5DBD">
      <w:pPr>
        <w:numPr>
          <w:ilvl w:val="0"/>
          <w:numId w:val="16"/>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媒体和其他行为</w:t>
      </w:r>
      <w:r w:rsidRPr="000C0842">
        <w:rPr>
          <w:rFonts w:eastAsia="SimSun" w:hint="eastAsia"/>
          <w:sz w:val="24"/>
          <w:szCs w:val="24"/>
          <w:lang w:val="en-CA"/>
        </w:rPr>
        <w:t>体</w:t>
      </w:r>
      <w:r w:rsidRPr="000C0842">
        <w:rPr>
          <w:rFonts w:eastAsia="SimSun"/>
          <w:sz w:val="24"/>
          <w:szCs w:val="24"/>
          <w:lang w:val="en-CA"/>
        </w:rPr>
        <w:t>利用通过下文第</w:t>
      </w:r>
      <w:r w:rsidRPr="000C0842">
        <w:rPr>
          <w:rFonts w:eastAsia="SimSun"/>
          <w:sz w:val="24"/>
          <w:szCs w:val="24"/>
          <w:lang w:val="en-CA"/>
        </w:rPr>
        <w:t>5</w:t>
      </w:r>
      <w:r w:rsidRPr="000C0842">
        <w:rPr>
          <w:rFonts w:eastAsia="SimSun"/>
          <w:sz w:val="24"/>
          <w:szCs w:val="24"/>
          <w:lang w:val="en-CA"/>
        </w:rPr>
        <w:t>段所述行动开发的平台，创作产品和媒体作品，宣传生物多样性的知识体系和不同价值。</w:t>
      </w:r>
    </w:p>
    <w:p w14:paraId="5EF13F8A"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缔约方可在其国家报告中汇报这些产出。</w:t>
      </w:r>
    </w:p>
    <w:p w14:paraId="681F7CBA"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(d)</w:t>
      </w:r>
      <w:r w:rsidRPr="000C0842">
        <w:rPr>
          <w:rFonts w:eastAsia="SimSun"/>
          <w:b/>
          <w:bCs/>
          <w:sz w:val="24"/>
          <w:szCs w:val="24"/>
          <w:lang w:val="en-CA"/>
        </w:rPr>
        <w:tab/>
      </w:r>
      <w:r w:rsidRPr="000C0842">
        <w:rPr>
          <w:rFonts w:eastAsia="SimSun"/>
          <w:b/>
          <w:bCs/>
          <w:sz w:val="24"/>
          <w:szCs w:val="24"/>
          <w:lang w:val="en-CA"/>
        </w:rPr>
        <w:t>利益攸关方的行动</w:t>
      </w:r>
    </w:p>
    <w:p w14:paraId="1B00E57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b/>
          <w:bCs/>
          <w:sz w:val="24"/>
          <w:szCs w:val="24"/>
          <w:lang w:val="en-CA"/>
        </w:rPr>
      </w:pPr>
      <w:r w:rsidRPr="000C0842">
        <w:rPr>
          <w:rFonts w:eastAsia="SimSun"/>
          <w:sz w:val="24"/>
          <w:szCs w:val="24"/>
          <w:lang w:val="en-CA"/>
        </w:rPr>
        <w:t>鼓励各利益攸关方制作支持国家一级相关行动的信息产品和举措</w:t>
      </w:r>
      <w:r w:rsidRPr="000C0842">
        <w:rPr>
          <w:rFonts w:eastAsia="SimSun"/>
          <w:sz w:val="24"/>
          <w:szCs w:val="24"/>
          <w:lang w:val="en-GB"/>
        </w:rPr>
        <w:t>。</w:t>
      </w:r>
    </w:p>
    <w:p w14:paraId="0C706778" w14:textId="77777777" w:rsidR="006D5DBD" w:rsidRPr="000C0842" w:rsidRDefault="006D5DBD" w:rsidP="006D5DBD">
      <w:pPr>
        <w:keepNext/>
        <w:tabs>
          <w:tab w:val="clear" w:pos="567"/>
          <w:tab w:val="clear" w:pos="1134"/>
          <w:tab w:val="clear" w:pos="1701"/>
          <w:tab w:val="clear" w:pos="2268"/>
        </w:tabs>
        <w:spacing w:before="120" w:after="120"/>
        <w:rPr>
          <w:rFonts w:eastAsia="SimSun"/>
          <w:b/>
          <w:bCs/>
          <w:sz w:val="24"/>
          <w:szCs w:val="24"/>
          <w:lang w:val="en-CA"/>
        </w:rPr>
      </w:pPr>
      <w:r w:rsidRPr="000C0842">
        <w:rPr>
          <w:rFonts w:eastAsia="SimSun"/>
          <w:b/>
          <w:bCs/>
          <w:sz w:val="24"/>
          <w:szCs w:val="24"/>
          <w:lang w:val="en-CA"/>
        </w:rPr>
        <w:t>2.</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(b)</w:t>
      </w:r>
      <w:r w:rsidRPr="000C0842">
        <w:rPr>
          <w:rFonts w:eastAsia="SimSun"/>
          <w:b/>
          <w:bCs/>
          <w:sz w:val="24"/>
          <w:szCs w:val="24"/>
          <w:lang w:val="en-CA"/>
        </w:rPr>
        <w:t>段</w:t>
      </w:r>
    </w:p>
    <w:p w14:paraId="4F3E1A85"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22(b)</w:t>
      </w:r>
      <w:r w:rsidRPr="000C0842">
        <w:rPr>
          <w:rFonts w:eastAsia="SimSun"/>
          <w:sz w:val="24"/>
          <w:szCs w:val="24"/>
          <w:lang w:val="en-CA"/>
        </w:rPr>
        <w:t>段</w:t>
      </w:r>
      <w:r w:rsidRPr="000C0842">
        <w:rPr>
          <w:rFonts w:eastAsia="SimSun" w:hint="eastAsia"/>
          <w:sz w:val="24"/>
          <w:szCs w:val="24"/>
          <w:lang w:val="en-CA"/>
        </w:rPr>
        <w:t>的案文</w:t>
      </w:r>
      <w:r w:rsidRPr="000C0842">
        <w:rPr>
          <w:rFonts w:eastAsia="SimSun"/>
          <w:sz w:val="24"/>
          <w:szCs w:val="24"/>
          <w:lang w:val="en-CA"/>
        </w:rPr>
        <w:t>如下</w:t>
      </w:r>
      <w:r w:rsidRPr="000C0842">
        <w:rPr>
          <w:rFonts w:eastAsia="SimSun"/>
          <w:sz w:val="24"/>
          <w:szCs w:val="24"/>
          <w:lang w:val="en-CA"/>
        </w:rPr>
        <w:t>:</w:t>
      </w:r>
    </w:p>
    <w:p w14:paraId="1C8C3570" w14:textId="77777777" w:rsidR="006D5DBD" w:rsidRPr="000C0842" w:rsidRDefault="006D5DBD" w:rsidP="006D5DBD">
      <w:pPr>
        <w:tabs>
          <w:tab w:val="clear" w:pos="567"/>
          <w:tab w:val="clear" w:pos="1134"/>
          <w:tab w:val="clear" w:pos="1701"/>
          <w:tab w:val="clear" w:pos="2268"/>
        </w:tabs>
        <w:spacing w:before="120" w:after="120"/>
        <w:ind w:left="979"/>
        <w:rPr>
          <w:rFonts w:eastAsia="SimSun"/>
          <w:b/>
          <w:bCs/>
          <w:sz w:val="24"/>
          <w:szCs w:val="24"/>
          <w:lang w:val="en-CA"/>
        </w:rPr>
      </w:pPr>
      <w:r w:rsidRPr="000C0842">
        <w:rPr>
          <w:rFonts w:eastAsia="SimSun"/>
          <w:snapToGrid w:val="0"/>
          <w:sz w:val="24"/>
          <w:szCs w:val="24"/>
          <w:lang w:val="en-GB"/>
        </w:rPr>
        <w:t>提高对保护和可持续利用生物多样性以及公正公平地分享利用遗传资源所产生惠益在促进可持续发展，包括改善可持续生计和消除贫穷的努力方面的重要性及其对全球和</w:t>
      </w:r>
      <w:r w:rsidRPr="000C0842">
        <w:rPr>
          <w:rFonts w:eastAsia="SimSun"/>
          <w:snapToGrid w:val="0"/>
          <w:sz w:val="24"/>
          <w:szCs w:val="24"/>
          <w:lang w:val="en-GB"/>
        </w:rPr>
        <w:t>/</w:t>
      </w:r>
      <w:r w:rsidRPr="000C0842">
        <w:rPr>
          <w:rFonts w:eastAsia="SimSun"/>
          <w:snapToGrid w:val="0"/>
          <w:sz w:val="24"/>
          <w:szCs w:val="24"/>
          <w:lang w:val="en-GB"/>
        </w:rPr>
        <w:t>或国家可持续发展战略的总体贡献的认识。</w:t>
      </w:r>
    </w:p>
    <w:p w14:paraId="49EACA5A"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4F61AF2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《昆蒙框架》的制定与现有的可持续发展目标工作相辅相成，并强调了为实现《公约》三项目标而采取的行动对实现</w:t>
      </w:r>
      <w:r w:rsidRPr="000C0842">
        <w:rPr>
          <w:rFonts w:eastAsia="SimSun"/>
          <w:sz w:val="24"/>
          <w:szCs w:val="24"/>
          <w:lang w:val="en-CA"/>
        </w:rPr>
        <w:t xml:space="preserve"> </w:t>
      </w:r>
      <w:r w:rsidRPr="000C0842">
        <w:rPr>
          <w:rFonts w:eastAsia="SimSun"/>
          <w:sz w:val="24"/>
          <w:szCs w:val="24"/>
          <w:lang w:val="en-CA"/>
        </w:rPr>
        <w:t>《</w:t>
      </w:r>
      <w:r w:rsidRPr="000C0842">
        <w:rPr>
          <w:rFonts w:eastAsia="SimSun"/>
          <w:sz w:val="24"/>
          <w:szCs w:val="24"/>
          <w:lang w:val="en-CA"/>
        </w:rPr>
        <w:t xml:space="preserve">2030 </w:t>
      </w:r>
      <w:r w:rsidRPr="000C0842">
        <w:rPr>
          <w:rFonts w:eastAsia="SimSun"/>
          <w:sz w:val="24"/>
          <w:szCs w:val="24"/>
          <w:lang w:val="en-CA"/>
        </w:rPr>
        <w:t>年议程》的贡献。</w:t>
      </w:r>
      <w:r w:rsidRPr="000C0842">
        <w:rPr>
          <w:rFonts w:eastAsia="SimSun"/>
          <w:sz w:val="24"/>
          <w:szCs w:val="24"/>
          <w:lang w:val="en-CA"/>
        </w:rPr>
        <w:t xml:space="preserve"> </w:t>
      </w:r>
      <w:r w:rsidRPr="000C0842">
        <w:rPr>
          <w:rFonts w:eastAsia="SimSun"/>
          <w:sz w:val="24"/>
          <w:szCs w:val="24"/>
          <w:lang w:val="en-CA"/>
        </w:rPr>
        <w:t>因此，提高对这些联系的认识将有益于所有领域的行动。</w:t>
      </w:r>
    </w:p>
    <w:p w14:paraId="7189E19B"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51A0E11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执行秘书将与联合国秘书处经济和社会事务部、联合国开发计划署、联合国环境规划署、世界银行集团和致力于实现《</w:t>
      </w:r>
      <w:r w:rsidRPr="000C0842">
        <w:rPr>
          <w:rFonts w:eastAsia="SimSun"/>
          <w:sz w:val="24"/>
          <w:szCs w:val="24"/>
          <w:lang w:val="en-CA"/>
        </w:rPr>
        <w:t xml:space="preserve"> 2030 </w:t>
      </w:r>
      <w:r w:rsidRPr="000C0842">
        <w:rPr>
          <w:rFonts w:eastAsia="SimSun"/>
          <w:sz w:val="24"/>
          <w:szCs w:val="24"/>
          <w:lang w:val="en-CA"/>
        </w:rPr>
        <w:t>年议程》和消除贫困的其他行为体合作，促进交流相关传播活动的信息，以加强相互间的信息交流，包括国际生物多样性日的信息交流，从而提高对生物多样性问题的理解和认识。</w:t>
      </w:r>
    </w:p>
    <w:p w14:paraId="23E8B4EF"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3171EC6C"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鼓励缔约方参与在国际一级组织的传播活动，目的是强调国家生物多样性战略和行动计划下的活动及其他行动将如何支持可持续发展，包括通过介绍生物多样性对国家一级减贫努力和可持续生计所作贡献的实例。</w:t>
      </w:r>
    </w:p>
    <w:p w14:paraId="7A87BC87"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传播工作应包括可持续发展做法和减贫战略、改善生计和更好的可持续发展所作</w:t>
      </w:r>
      <w:r w:rsidRPr="000C0842">
        <w:rPr>
          <w:rFonts w:eastAsia="SimSun" w:hint="eastAsia"/>
          <w:sz w:val="24"/>
          <w:szCs w:val="24"/>
          <w:lang w:val="en-CA"/>
        </w:rPr>
        <w:t>的</w:t>
      </w:r>
      <w:r w:rsidRPr="000C0842">
        <w:rPr>
          <w:rFonts w:eastAsia="SimSun"/>
          <w:sz w:val="24"/>
          <w:szCs w:val="24"/>
          <w:lang w:val="en-CA"/>
        </w:rPr>
        <w:t>贡献。</w:t>
      </w:r>
    </w:p>
    <w:p w14:paraId="44588A51"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鼓励缔约方在国家一级采取与国家生物多样性战略和行动计划相一致的行动。</w:t>
      </w:r>
    </w:p>
    <w:p w14:paraId="13BF2842"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(d)</w:t>
      </w:r>
      <w:r w:rsidRPr="000C0842">
        <w:rPr>
          <w:rFonts w:eastAsia="SimSun"/>
          <w:b/>
          <w:bCs/>
          <w:sz w:val="24"/>
          <w:szCs w:val="24"/>
          <w:lang w:val="en-CA"/>
        </w:rPr>
        <w:tab/>
      </w:r>
      <w:r w:rsidRPr="000C0842">
        <w:rPr>
          <w:rFonts w:eastAsia="SimSun"/>
          <w:b/>
          <w:bCs/>
          <w:sz w:val="24"/>
          <w:szCs w:val="24"/>
          <w:lang w:val="en-CA"/>
        </w:rPr>
        <w:t>利益攸关方的行动</w:t>
      </w:r>
    </w:p>
    <w:p w14:paraId="277835DC"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邀请利益攸关方参与国家和国际层面的传播活动，包括组织活动和制作宣传材料。</w:t>
      </w:r>
    </w:p>
    <w:p w14:paraId="49B6F025" w14:textId="77777777" w:rsidR="006D5DBD" w:rsidRPr="000C0842" w:rsidRDefault="006D5DBD" w:rsidP="006D5DBD">
      <w:pPr>
        <w:keepNext/>
        <w:tabs>
          <w:tab w:val="clear" w:pos="567"/>
          <w:tab w:val="clear" w:pos="1134"/>
          <w:tab w:val="clear" w:pos="1701"/>
          <w:tab w:val="clear" w:pos="2268"/>
        </w:tabs>
        <w:spacing w:before="120" w:after="120"/>
        <w:rPr>
          <w:rFonts w:eastAsia="SimSun"/>
          <w:i/>
          <w:iCs/>
          <w:sz w:val="24"/>
          <w:szCs w:val="24"/>
          <w:lang w:val="en-CA"/>
        </w:rPr>
      </w:pPr>
      <w:r w:rsidRPr="000C0842">
        <w:rPr>
          <w:rFonts w:eastAsia="SimSun"/>
          <w:b/>
          <w:bCs/>
          <w:sz w:val="24"/>
          <w:szCs w:val="24"/>
          <w:lang w:val="en-CA"/>
        </w:rPr>
        <w:t>3.</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(c)</w:t>
      </w:r>
      <w:r w:rsidRPr="000C0842">
        <w:rPr>
          <w:rFonts w:eastAsia="SimSun"/>
          <w:b/>
          <w:bCs/>
          <w:sz w:val="24"/>
          <w:szCs w:val="24"/>
          <w:lang w:val="en-CA"/>
        </w:rPr>
        <w:t>段</w:t>
      </w:r>
    </w:p>
    <w:p w14:paraId="0A279044"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22(c)</w:t>
      </w:r>
      <w:r w:rsidRPr="000C0842">
        <w:rPr>
          <w:rFonts w:eastAsia="SimSun"/>
          <w:sz w:val="24"/>
          <w:szCs w:val="24"/>
          <w:lang w:val="en-CA"/>
        </w:rPr>
        <w:t>段</w:t>
      </w:r>
      <w:r w:rsidRPr="000C0842">
        <w:rPr>
          <w:rFonts w:eastAsia="SimSun" w:hint="eastAsia"/>
          <w:sz w:val="24"/>
          <w:szCs w:val="24"/>
          <w:lang w:val="en-CA"/>
        </w:rPr>
        <w:t>的案文</w:t>
      </w:r>
      <w:r w:rsidRPr="000C0842">
        <w:rPr>
          <w:rFonts w:eastAsia="SimSun"/>
          <w:sz w:val="24"/>
          <w:szCs w:val="24"/>
          <w:lang w:val="en-CA"/>
        </w:rPr>
        <w:t>如下</w:t>
      </w:r>
      <w:r w:rsidRPr="000C0842">
        <w:rPr>
          <w:rFonts w:eastAsia="SimSun"/>
          <w:sz w:val="24"/>
          <w:szCs w:val="24"/>
          <w:lang w:val="en-CA"/>
        </w:rPr>
        <w:t>:</w:t>
      </w:r>
    </w:p>
    <w:p w14:paraId="2AD6257F" w14:textId="77777777" w:rsidR="006D5DBD" w:rsidRPr="000C0842" w:rsidRDefault="006D5DBD" w:rsidP="006D5DBD">
      <w:pPr>
        <w:tabs>
          <w:tab w:val="clear" w:pos="567"/>
          <w:tab w:val="clear" w:pos="1134"/>
          <w:tab w:val="clear" w:pos="1701"/>
          <w:tab w:val="clear" w:pos="2268"/>
        </w:tabs>
        <w:spacing w:before="120" w:after="120"/>
        <w:ind w:left="979"/>
        <w:rPr>
          <w:rFonts w:eastAsia="SimSun"/>
          <w:sz w:val="24"/>
          <w:szCs w:val="24"/>
          <w:lang w:val="en-CA"/>
        </w:rPr>
      </w:pPr>
      <w:r w:rsidRPr="000C0842">
        <w:rPr>
          <w:rFonts w:eastAsia="SimSun"/>
          <w:snapToGrid w:val="0"/>
          <w:kern w:val="22"/>
          <w:sz w:val="24"/>
          <w:szCs w:val="24"/>
          <w:lang w:val="en-GB"/>
        </w:rPr>
        <w:t>提高所有行为体对采取紧急行动执行《昆蒙框架》的必要性的认识，同时使他们能够积极参与执行《昆蒙框架》的长期目标和行动目标，监测其进展。</w:t>
      </w:r>
    </w:p>
    <w:p w14:paraId="746933BA"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02F2686D"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 xml:space="preserve"> 22(c)</w:t>
      </w:r>
      <w:r w:rsidRPr="000C0842">
        <w:rPr>
          <w:rFonts w:eastAsia="SimSun"/>
          <w:sz w:val="24"/>
          <w:szCs w:val="24"/>
          <w:lang w:val="en-CA"/>
        </w:rPr>
        <w:t>段为参与实现长期目标和行动目标的不同行为体提供了制定传播相关行动和产品的依据。</w:t>
      </w:r>
    </w:p>
    <w:p w14:paraId="289CC8D5"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传播工作与行为改变相互关联。</w:t>
      </w:r>
    </w:p>
    <w:p w14:paraId="21D165CE"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将采取的行动为开发工具提供了依据，这些工具将用于传播国家生物多样性战略和行动计划以及国家目标的现况，将与《昆蒙框架》保持一致。</w:t>
      </w:r>
    </w:p>
    <w:p w14:paraId="793B52D2" w14:textId="77777777" w:rsidR="006D5DBD" w:rsidRPr="000C0842" w:rsidRDefault="006D5DBD" w:rsidP="00B41241">
      <w:pPr>
        <w:keepNext/>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73E52AF6"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r w:rsidRPr="000C0842">
        <w:rPr>
          <w:rFonts w:eastAsia="SimSun"/>
          <w:sz w:val="24"/>
          <w:szCs w:val="24"/>
          <w:lang w:val="en-CA"/>
        </w:rPr>
        <w:t xml:space="preserve"> </w:t>
      </w:r>
    </w:p>
    <w:p w14:paraId="39AE1621"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执行秘书应协助将这些传播准则翻译成联合国六种正式语文，并将其公布</w:t>
      </w:r>
      <w:r w:rsidRPr="000C0842">
        <w:rPr>
          <w:rFonts w:eastAsia="SimSun" w:hint="eastAsia"/>
          <w:sz w:val="24"/>
          <w:szCs w:val="24"/>
          <w:lang w:val="en-CA"/>
        </w:rPr>
        <w:t>于</w:t>
      </w:r>
      <w:r w:rsidRPr="000C0842">
        <w:rPr>
          <w:rFonts w:eastAsia="SimSun"/>
          <w:sz w:val="24"/>
          <w:szCs w:val="24"/>
          <w:lang w:val="en-CA"/>
        </w:rPr>
        <w:t>信息交换所机制，就此告知缔约方和利益攸关方已可使用。执行秘书将在缔约方大会第十七届会议上报告有关情况。</w:t>
      </w:r>
    </w:p>
    <w:p w14:paraId="6693C614"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4E22E227"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鼓励缔约方制定国家传播计划，用以提高对执行和监测《昆蒙框架》必要性的认识，</w:t>
      </w:r>
      <w:r w:rsidRPr="000C0842">
        <w:rPr>
          <w:rFonts w:eastAsia="SimSun"/>
          <w:sz w:val="24"/>
          <w:szCs w:val="24"/>
          <w:lang w:val="en-CA"/>
        </w:rPr>
        <w:t xml:space="preserve"> </w:t>
      </w:r>
      <w:r w:rsidRPr="000C0842">
        <w:rPr>
          <w:rFonts w:eastAsia="SimSun"/>
          <w:sz w:val="24"/>
          <w:szCs w:val="24"/>
          <w:lang w:val="en-CA"/>
        </w:rPr>
        <w:t>并将土著人民和地方社区、妇女和青年纳入其中。缔约方应向相关利益攸关方传达这些计划。</w:t>
      </w:r>
    </w:p>
    <w:p w14:paraId="2B4AD9CC"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GB"/>
        </w:rPr>
        <w:t>(d)</w:t>
      </w:r>
      <w:r w:rsidRPr="000C0842">
        <w:rPr>
          <w:rFonts w:eastAsia="SimSun"/>
          <w:b/>
          <w:bCs/>
          <w:sz w:val="24"/>
          <w:szCs w:val="24"/>
          <w:lang w:val="en-GB"/>
        </w:rPr>
        <w:tab/>
      </w:r>
      <w:r w:rsidRPr="000C0842">
        <w:rPr>
          <w:rFonts w:eastAsia="SimSun"/>
          <w:b/>
          <w:bCs/>
          <w:sz w:val="24"/>
          <w:szCs w:val="24"/>
          <w:lang w:val="en-CA"/>
        </w:rPr>
        <w:t>利益攸关方的行动</w:t>
      </w:r>
    </w:p>
    <w:p w14:paraId="7192229A"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邀请利益攸关方在自身的活动和宣传中以及在酌情参与制定和执行国家生物多样性战略和行动计划时，使用执行秘书制定的传播准则以及作为国家传播计划一部分制定的传播准则。</w:t>
      </w:r>
    </w:p>
    <w:p w14:paraId="0E465054" w14:textId="77777777" w:rsidR="006D5DBD" w:rsidRPr="000C0842" w:rsidRDefault="006D5DBD" w:rsidP="006D5DBD">
      <w:pPr>
        <w:keepNext/>
        <w:tabs>
          <w:tab w:val="clear" w:pos="567"/>
          <w:tab w:val="clear" w:pos="1134"/>
          <w:tab w:val="clear" w:pos="1701"/>
          <w:tab w:val="clear" w:pos="2268"/>
        </w:tabs>
        <w:spacing w:before="120" w:after="120"/>
        <w:rPr>
          <w:rFonts w:eastAsia="SimSun"/>
          <w:i/>
          <w:iCs/>
          <w:sz w:val="24"/>
          <w:szCs w:val="24"/>
          <w:lang w:val="en-CA"/>
        </w:rPr>
      </w:pPr>
      <w:r w:rsidRPr="000C0842">
        <w:rPr>
          <w:rFonts w:eastAsia="SimSun"/>
          <w:b/>
          <w:bCs/>
          <w:sz w:val="24"/>
          <w:szCs w:val="24"/>
          <w:lang w:val="en-CA"/>
        </w:rPr>
        <w:t>4.</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(d)</w:t>
      </w:r>
      <w:r w:rsidRPr="000C0842">
        <w:rPr>
          <w:rFonts w:eastAsia="SimSun"/>
          <w:b/>
          <w:bCs/>
          <w:sz w:val="24"/>
          <w:szCs w:val="24"/>
          <w:lang w:val="en-CA"/>
        </w:rPr>
        <w:t>段</w:t>
      </w:r>
    </w:p>
    <w:p w14:paraId="3A846D06"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22(d)</w:t>
      </w:r>
      <w:r w:rsidRPr="000C0842">
        <w:rPr>
          <w:rFonts w:eastAsia="SimSun" w:hint="eastAsia"/>
          <w:sz w:val="24"/>
          <w:szCs w:val="24"/>
          <w:lang w:val="en-CA"/>
        </w:rPr>
        <w:t>段的案文</w:t>
      </w:r>
      <w:r w:rsidRPr="000C0842">
        <w:rPr>
          <w:rFonts w:eastAsia="SimSun"/>
          <w:sz w:val="24"/>
          <w:szCs w:val="24"/>
          <w:lang w:val="en-CA"/>
        </w:rPr>
        <w:t>如下</w:t>
      </w:r>
      <w:r w:rsidRPr="000C0842">
        <w:rPr>
          <w:rFonts w:eastAsia="SimSun"/>
          <w:sz w:val="24"/>
          <w:szCs w:val="24"/>
          <w:lang w:val="en-CA"/>
        </w:rPr>
        <w:t>:</w:t>
      </w:r>
    </w:p>
    <w:p w14:paraId="0557561A" w14:textId="0186F37A" w:rsidR="006D5DBD" w:rsidRPr="000C0842" w:rsidRDefault="006D5DBD" w:rsidP="006D5DBD">
      <w:pPr>
        <w:tabs>
          <w:tab w:val="clear" w:pos="567"/>
          <w:tab w:val="clear" w:pos="1134"/>
          <w:tab w:val="clear" w:pos="1701"/>
          <w:tab w:val="clear" w:pos="2268"/>
        </w:tabs>
        <w:spacing w:before="120" w:after="120"/>
        <w:ind w:left="979"/>
        <w:rPr>
          <w:rFonts w:eastAsia="SimSun"/>
          <w:sz w:val="24"/>
          <w:szCs w:val="24"/>
          <w:lang w:val="en-CA"/>
        </w:rPr>
      </w:pPr>
      <w:r w:rsidRPr="000C0842">
        <w:rPr>
          <w:rFonts w:eastAsia="SimSun"/>
          <w:snapToGrid w:val="0"/>
          <w:kern w:val="22"/>
          <w:sz w:val="24"/>
          <w:szCs w:val="24"/>
          <w:lang w:val="en-GB"/>
        </w:rPr>
        <w:t>促进对</w:t>
      </w:r>
      <w:r w:rsidR="001A5C0A" w:rsidRPr="000C0842">
        <w:rPr>
          <w:rFonts w:eastAsia="SimSun"/>
          <w:snapToGrid w:val="0"/>
          <w:kern w:val="22"/>
          <w:sz w:val="24"/>
          <w:szCs w:val="24"/>
          <w:lang w:val="en-GB"/>
        </w:rPr>
        <w:t>《昆蒙框架》</w:t>
      </w:r>
      <w:r w:rsidRPr="000C0842">
        <w:rPr>
          <w:rFonts w:eastAsia="SimSun"/>
          <w:snapToGrid w:val="0"/>
          <w:kern w:val="22"/>
          <w:sz w:val="24"/>
          <w:szCs w:val="24"/>
          <w:lang w:val="en-GB"/>
        </w:rPr>
        <w:t>的理解，包括通过有针对性的传播，根据相关行为群体调整所使用的语言、复杂程度和专题内容，考虑他们的社会经济和文化背景，包括编写可翻译成土著和地方语言的材料。</w:t>
      </w:r>
    </w:p>
    <w:p w14:paraId="028ECB89"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3B230110"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上文援引的规定反映出人们认识到，有必要为特定群体量身定制适合他们的传播，并认识到土著人民和地方社区语言的重要性。</w:t>
      </w:r>
    </w:p>
    <w:p w14:paraId="48ECA8C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本节反映传播战略支持执行《昆蒙框架》的行动和活动。</w:t>
      </w:r>
    </w:p>
    <w:p w14:paraId="3A144665"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36DD5195"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执行秘书将继续执行传播战略，创作信息产品和举措，包括信息和品牌塑造、传播渠道和伙伴关系。</w:t>
      </w:r>
    </w:p>
    <w:p w14:paraId="638F8024"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1333DC11"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鼓励缔约方酌情执行与其国家生物多样性战略和行动计划相一致的国家传播战略，并向执行秘书</w:t>
      </w:r>
      <w:r w:rsidRPr="000C0842">
        <w:rPr>
          <w:rFonts w:eastAsia="SimSun" w:hint="eastAsia"/>
          <w:sz w:val="24"/>
          <w:szCs w:val="24"/>
          <w:lang w:val="en-CA"/>
        </w:rPr>
        <w:t>通报</w:t>
      </w:r>
      <w:r w:rsidRPr="000C0842">
        <w:rPr>
          <w:rFonts w:eastAsia="SimSun"/>
          <w:sz w:val="24"/>
          <w:szCs w:val="24"/>
          <w:lang w:val="en-CA"/>
        </w:rPr>
        <w:t>相关信息。</w:t>
      </w:r>
    </w:p>
    <w:p w14:paraId="478E3CBC"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GB"/>
        </w:rPr>
        <w:t>(d)</w:t>
      </w:r>
      <w:r w:rsidRPr="000C0842">
        <w:rPr>
          <w:rFonts w:eastAsia="SimSun"/>
          <w:b/>
          <w:bCs/>
          <w:sz w:val="24"/>
          <w:szCs w:val="24"/>
          <w:lang w:val="en-GB"/>
        </w:rPr>
        <w:tab/>
      </w:r>
      <w:r w:rsidRPr="000C0842">
        <w:rPr>
          <w:rFonts w:eastAsia="SimSun"/>
          <w:b/>
          <w:bCs/>
          <w:sz w:val="24"/>
          <w:szCs w:val="24"/>
          <w:lang w:val="en-CA"/>
        </w:rPr>
        <w:t>利益攸关方的行动</w:t>
      </w:r>
    </w:p>
    <w:p w14:paraId="36BCD9D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如第</w:t>
      </w:r>
      <w:r w:rsidRPr="000C0842">
        <w:rPr>
          <w:rFonts w:eastAsia="SimSun"/>
          <w:sz w:val="24"/>
          <w:szCs w:val="24"/>
          <w:lang w:val="en-CA"/>
        </w:rPr>
        <w:t xml:space="preserve"> </w:t>
      </w:r>
      <w:hyperlink r:id="rId80" w:history="1">
        <w:r w:rsidRPr="000C0842">
          <w:rPr>
            <w:rFonts w:eastAsia="SimSun"/>
            <w:sz w:val="24"/>
            <w:szCs w:val="24"/>
            <w:u w:val="single"/>
            <w:lang w:val="en-CA"/>
          </w:rPr>
          <w:t>15/14</w:t>
        </w:r>
      </w:hyperlink>
      <w:r w:rsidRPr="000C0842">
        <w:rPr>
          <w:rFonts w:eastAsia="SimSun"/>
          <w:sz w:val="24"/>
          <w:szCs w:val="24"/>
          <w:lang w:val="en-CA"/>
        </w:rPr>
        <w:t xml:space="preserve"> </w:t>
      </w:r>
      <w:r w:rsidRPr="000C0842">
        <w:rPr>
          <w:rFonts w:eastAsia="SimSun"/>
          <w:sz w:val="24"/>
          <w:szCs w:val="24"/>
          <w:lang w:val="en-CA"/>
        </w:rPr>
        <w:t>号决定所述，执行秘书创建的信息、品牌和传播材料将用于支持利益攸关方和相关报告机制开展与国家传播有关的行动。</w:t>
      </w:r>
    </w:p>
    <w:p w14:paraId="05FE6D12" w14:textId="77777777" w:rsidR="006D5DBD" w:rsidRPr="000C0842" w:rsidRDefault="006D5DBD" w:rsidP="006D5DBD">
      <w:pPr>
        <w:keepNext/>
        <w:tabs>
          <w:tab w:val="clear" w:pos="567"/>
          <w:tab w:val="clear" w:pos="1134"/>
          <w:tab w:val="clear" w:pos="1701"/>
          <w:tab w:val="clear" w:pos="2268"/>
        </w:tabs>
        <w:spacing w:before="120" w:after="120"/>
        <w:rPr>
          <w:rFonts w:eastAsia="SimSun"/>
          <w:i/>
          <w:iCs/>
          <w:sz w:val="24"/>
          <w:szCs w:val="24"/>
          <w:lang w:val="en-CA"/>
        </w:rPr>
      </w:pPr>
      <w:r w:rsidRPr="000C0842">
        <w:rPr>
          <w:rFonts w:eastAsia="SimSun"/>
          <w:b/>
          <w:bCs/>
          <w:sz w:val="24"/>
          <w:szCs w:val="24"/>
          <w:lang w:val="en-CA"/>
        </w:rPr>
        <w:t>5.</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(e)</w:t>
      </w:r>
      <w:r w:rsidRPr="000C0842">
        <w:rPr>
          <w:rFonts w:eastAsia="SimSun"/>
          <w:b/>
          <w:bCs/>
          <w:sz w:val="24"/>
          <w:szCs w:val="24"/>
          <w:lang w:val="en-CA"/>
        </w:rPr>
        <w:t>段</w:t>
      </w:r>
    </w:p>
    <w:p w14:paraId="0CAAFC19"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22(e)</w:t>
      </w:r>
      <w:r w:rsidRPr="000C0842">
        <w:rPr>
          <w:rFonts w:eastAsia="SimSun"/>
          <w:sz w:val="24"/>
          <w:szCs w:val="24"/>
          <w:lang w:val="en-CA"/>
        </w:rPr>
        <w:t>段</w:t>
      </w:r>
      <w:r w:rsidRPr="000C0842">
        <w:rPr>
          <w:rFonts w:eastAsia="SimSun" w:hint="eastAsia"/>
          <w:sz w:val="24"/>
          <w:szCs w:val="24"/>
          <w:lang w:val="en-CA"/>
        </w:rPr>
        <w:t>的案文</w:t>
      </w:r>
      <w:r w:rsidRPr="000C0842">
        <w:rPr>
          <w:rFonts w:eastAsia="SimSun"/>
          <w:sz w:val="24"/>
          <w:szCs w:val="24"/>
          <w:lang w:val="en-CA"/>
        </w:rPr>
        <w:t>如下：</w:t>
      </w:r>
    </w:p>
    <w:p w14:paraId="1695F32C" w14:textId="77777777" w:rsidR="006D5DBD" w:rsidRPr="000C0842" w:rsidRDefault="006D5DBD" w:rsidP="006D5DBD">
      <w:pPr>
        <w:tabs>
          <w:tab w:val="clear" w:pos="567"/>
          <w:tab w:val="clear" w:pos="1134"/>
          <w:tab w:val="clear" w:pos="1701"/>
          <w:tab w:val="clear" w:pos="2268"/>
        </w:tabs>
        <w:spacing w:before="120" w:after="120"/>
        <w:ind w:left="979"/>
        <w:rPr>
          <w:rFonts w:eastAsia="SimSun"/>
          <w:sz w:val="24"/>
          <w:szCs w:val="24"/>
          <w:lang w:val="en-CA"/>
        </w:rPr>
      </w:pPr>
      <w:r w:rsidRPr="000C0842">
        <w:rPr>
          <w:rFonts w:eastAsia="SimSun"/>
          <w:snapToGrid w:val="0"/>
          <w:kern w:val="22"/>
          <w:sz w:val="24"/>
          <w:szCs w:val="24"/>
          <w:lang w:val="en-GB"/>
        </w:rPr>
        <w:t>与媒体、民间社会、教育机构、学术界等方面合作，促进或建立平台、伙伴关系和行动议程，分享成功的信息和经验教训，顾及自适性学习和参与生物多样性行动。</w:t>
      </w:r>
    </w:p>
    <w:p w14:paraId="119E9948"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0C6B1EC6" w14:textId="26BBAFA8"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GB"/>
        </w:rPr>
      </w:pPr>
      <w:r w:rsidRPr="000C0842">
        <w:rPr>
          <w:rFonts w:eastAsia="SimSun"/>
          <w:sz w:val="24"/>
          <w:szCs w:val="24"/>
          <w:lang w:val="en-CA"/>
        </w:rPr>
        <w:t>根据第</w:t>
      </w:r>
      <w:r w:rsidRPr="000C0842">
        <w:rPr>
          <w:rFonts w:eastAsia="SimSun"/>
          <w:sz w:val="24"/>
          <w:szCs w:val="24"/>
          <w:lang w:val="en-CA"/>
        </w:rPr>
        <w:t>22</w:t>
      </w:r>
      <w:r w:rsidR="00D40E31" w:rsidRPr="000C0842">
        <w:rPr>
          <w:rFonts w:eastAsia="SimSun" w:hint="eastAsia"/>
          <w:sz w:val="24"/>
          <w:szCs w:val="24"/>
          <w:lang w:val="en-CA"/>
        </w:rPr>
        <w:t>(</w:t>
      </w:r>
      <w:r w:rsidRPr="000C0842">
        <w:rPr>
          <w:rFonts w:eastAsia="SimSun"/>
          <w:sz w:val="24"/>
          <w:szCs w:val="24"/>
          <w:lang w:val="en-CA"/>
        </w:rPr>
        <w:t>e</w:t>
      </w:r>
      <w:r w:rsidR="00D40E31" w:rsidRPr="000C0842">
        <w:rPr>
          <w:rFonts w:eastAsia="SimSun" w:hint="eastAsia"/>
          <w:sz w:val="24"/>
          <w:szCs w:val="24"/>
          <w:lang w:val="en-CA"/>
        </w:rPr>
        <w:t>)</w:t>
      </w:r>
      <w:r w:rsidRPr="000C0842">
        <w:rPr>
          <w:rFonts w:eastAsia="SimSun"/>
          <w:sz w:val="24"/>
          <w:szCs w:val="24"/>
          <w:lang w:val="en-CA"/>
        </w:rPr>
        <w:t>段开展的行动意味着多个行为体的参与，需要跨系统的伙伴关系和工作。</w:t>
      </w:r>
    </w:p>
    <w:p w14:paraId="04884D94"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7C14CA5A"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执行秘书应进一步制定与《从沙姆沙伊赫到昆明</w:t>
      </w:r>
      <w:r w:rsidRPr="000C0842">
        <w:rPr>
          <w:rFonts w:eastAsia="SimSun"/>
          <w:sz w:val="24"/>
          <w:szCs w:val="24"/>
          <w:lang w:val="en-CA"/>
        </w:rPr>
        <w:t>——</w:t>
      </w:r>
      <w:r w:rsidRPr="000C0842">
        <w:rPr>
          <w:rFonts w:eastAsia="SimSun"/>
          <w:sz w:val="24"/>
          <w:szCs w:val="24"/>
          <w:lang w:val="en-CA"/>
        </w:rPr>
        <w:t>自然与人类行动议程》有关的传播行动，并尽可能制定记录和跟踪利益攸关方承诺的其他工具和手段，而且将这些行动与总体传播目标联系起来。</w:t>
      </w:r>
    </w:p>
    <w:p w14:paraId="44A3E99D"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GB"/>
        </w:rPr>
      </w:pPr>
      <w:r w:rsidRPr="000C0842">
        <w:rPr>
          <w:rFonts w:eastAsia="SimSun"/>
          <w:sz w:val="24"/>
          <w:szCs w:val="24"/>
          <w:lang w:val="en-CA"/>
        </w:rPr>
        <w:t>执行秘书</w:t>
      </w:r>
      <w:r w:rsidRPr="000C0842">
        <w:rPr>
          <w:rFonts w:eastAsia="SimSun" w:hint="eastAsia"/>
          <w:sz w:val="24"/>
          <w:szCs w:val="24"/>
          <w:lang w:val="en-CA"/>
        </w:rPr>
        <w:t>将</w:t>
      </w:r>
      <w:r w:rsidRPr="000C0842">
        <w:rPr>
          <w:rFonts w:eastAsia="SimSun"/>
          <w:sz w:val="24"/>
          <w:szCs w:val="24"/>
          <w:lang w:val="en-CA"/>
        </w:rPr>
        <w:t>继续发展执行传播战略所需要的伙伴关系，包括通过媒体伙伴关</w:t>
      </w:r>
      <w:r w:rsidRPr="000C0842">
        <w:rPr>
          <w:rFonts w:eastAsia="SimSun"/>
          <w:sz w:val="24"/>
          <w:szCs w:val="24"/>
          <w:lang w:val="en-GB"/>
        </w:rPr>
        <w:t>系、联合国秘书处全球传播部和联合国环境规划署等。</w:t>
      </w:r>
    </w:p>
    <w:p w14:paraId="5F45FCE2" w14:textId="77777777" w:rsidR="006D5DBD" w:rsidRPr="000C0842" w:rsidRDefault="006D5DBD" w:rsidP="006D5DBD">
      <w:pPr>
        <w:keepNext/>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1B034392"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利用第</w:t>
      </w:r>
      <w:hyperlink r:id="rId81" w:history="1">
        <w:r w:rsidRPr="000C0842">
          <w:rPr>
            <w:rFonts w:eastAsia="SimSun"/>
            <w:sz w:val="24"/>
            <w:szCs w:val="24"/>
            <w:u w:val="single"/>
            <w:lang w:val="en-CA"/>
          </w:rPr>
          <w:t>15/14</w:t>
        </w:r>
      </w:hyperlink>
      <w:r w:rsidRPr="000C0842">
        <w:rPr>
          <w:rFonts w:eastAsia="SimSun"/>
          <w:sz w:val="24"/>
          <w:szCs w:val="24"/>
          <w:lang w:val="en-CA"/>
        </w:rPr>
        <w:t>号决定中概述的伙伴关系原则并将其与执行秘书开展的活动联系起来，鼓励缔约方在国家一级实施传播伙伴关系，将其与国家生物多样性战略和行动计划联系起来。</w:t>
      </w:r>
    </w:p>
    <w:p w14:paraId="6743E6DE"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(d)</w:t>
      </w:r>
      <w:r w:rsidRPr="000C0842">
        <w:rPr>
          <w:rFonts w:eastAsia="SimSun"/>
          <w:b/>
          <w:bCs/>
          <w:sz w:val="24"/>
          <w:szCs w:val="24"/>
          <w:lang w:val="en-CA"/>
        </w:rPr>
        <w:tab/>
      </w:r>
      <w:r w:rsidRPr="000C0842">
        <w:rPr>
          <w:rFonts w:eastAsia="SimSun"/>
          <w:b/>
          <w:bCs/>
          <w:sz w:val="24"/>
          <w:szCs w:val="24"/>
          <w:lang w:val="en-CA"/>
        </w:rPr>
        <w:t>利益攸关方的行动</w:t>
      </w:r>
    </w:p>
    <w:p w14:paraId="32FCC0A5"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hint="eastAsia"/>
          <w:sz w:val="24"/>
          <w:szCs w:val="24"/>
          <w:lang w:val="en-CA"/>
        </w:rPr>
        <w:t>邀请</w:t>
      </w:r>
      <w:r w:rsidRPr="000C0842">
        <w:rPr>
          <w:rFonts w:eastAsia="SimSun"/>
          <w:sz w:val="24"/>
          <w:szCs w:val="24"/>
          <w:lang w:val="en-CA"/>
        </w:rPr>
        <w:t>利益攸关方</w:t>
      </w:r>
      <w:r w:rsidRPr="000C0842">
        <w:rPr>
          <w:rFonts w:eastAsia="SimSun" w:hint="eastAsia"/>
          <w:sz w:val="24"/>
          <w:szCs w:val="24"/>
          <w:lang w:val="en-CA"/>
        </w:rPr>
        <w:t>，</w:t>
      </w:r>
      <w:r w:rsidRPr="000C0842">
        <w:rPr>
          <w:rFonts w:eastAsia="SimSun"/>
          <w:sz w:val="24"/>
          <w:szCs w:val="24"/>
          <w:lang w:val="en-CA"/>
        </w:rPr>
        <w:t>包括土著人民和地方社区以及妇女和青年组织</w:t>
      </w:r>
      <w:r w:rsidRPr="000C0842">
        <w:rPr>
          <w:rFonts w:eastAsia="SimSun" w:hint="eastAsia"/>
          <w:sz w:val="24"/>
          <w:szCs w:val="24"/>
          <w:lang w:val="en-CA"/>
        </w:rPr>
        <w:t>，参与</w:t>
      </w:r>
      <w:r w:rsidRPr="000C0842">
        <w:rPr>
          <w:rFonts w:eastAsia="SimSun"/>
          <w:sz w:val="24"/>
          <w:szCs w:val="24"/>
          <w:lang w:val="en-CA"/>
        </w:rPr>
        <w:t>国际</w:t>
      </w:r>
      <w:r w:rsidRPr="000C0842">
        <w:rPr>
          <w:rFonts w:eastAsia="SimSun" w:hint="eastAsia"/>
          <w:sz w:val="24"/>
          <w:szCs w:val="24"/>
          <w:lang w:val="en-CA"/>
        </w:rPr>
        <w:t>层面的行动</w:t>
      </w:r>
      <w:r w:rsidRPr="000C0842">
        <w:rPr>
          <w:rFonts w:eastAsia="SimSun"/>
          <w:sz w:val="24"/>
          <w:szCs w:val="24"/>
          <w:lang w:val="en-CA"/>
        </w:rPr>
        <w:t>，包括通过执行秘书组织的倡议，并</w:t>
      </w:r>
      <w:r w:rsidRPr="000C0842">
        <w:rPr>
          <w:rFonts w:eastAsia="SimSun" w:hint="eastAsia"/>
          <w:sz w:val="24"/>
          <w:szCs w:val="24"/>
          <w:lang w:val="en-CA"/>
        </w:rPr>
        <w:t>参与</w:t>
      </w:r>
      <w:r w:rsidRPr="000C0842">
        <w:rPr>
          <w:rFonts w:eastAsia="SimSun"/>
          <w:sz w:val="24"/>
          <w:szCs w:val="24"/>
          <w:lang w:val="en-CA"/>
        </w:rPr>
        <w:t>国家</w:t>
      </w:r>
      <w:r w:rsidRPr="000C0842">
        <w:rPr>
          <w:rFonts w:eastAsia="SimSun" w:hint="eastAsia"/>
          <w:sz w:val="24"/>
          <w:szCs w:val="24"/>
          <w:lang w:val="en-CA"/>
        </w:rPr>
        <w:t>层面的行动</w:t>
      </w:r>
      <w:r w:rsidRPr="000C0842">
        <w:rPr>
          <w:rFonts w:eastAsia="SimSun"/>
          <w:sz w:val="24"/>
          <w:szCs w:val="24"/>
          <w:lang w:val="en-CA"/>
        </w:rPr>
        <w:t>。</w:t>
      </w:r>
    </w:p>
    <w:p w14:paraId="2577464C" w14:textId="77777777" w:rsidR="006D5DBD" w:rsidRPr="000C0842" w:rsidRDefault="006D5DBD" w:rsidP="006D5DBD">
      <w:pPr>
        <w:keepNext/>
        <w:tabs>
          <w:tab w:val="clear" w:pos="567"/>
          <w:tab w:val="clear" w:pos="1134"/>
          <w:tab w:val="clear" w:pos="1701"/>
          <w:tab w:val="clear" w:pos="2268"/>
        </w:tabs>
        <w:spacing w:before="120" w:after="120"/>
        <w:rPr>
          <w:rFonts w:eastAsia="SimSun"/>
          <w:b/>
          <w:bCs/>
          <w:sz w:val="24"/>
          <w:szCs w:val="24"/>
          <w:lang w:val="en-CA"/>
        </w:rPr>
      </w:pPr>
      <w:r w:rsidRPr="000C0842">
        <w:rPr>
          <w:rFonts w:eastAsia="SimSun"/>
          <w:b/>
          <w:bCs/>
          <w:sz w:val="24"/>
          <w:szCs w:val="24"/>
          <w:lang w:val="en-CA"/>
        </w:rPr>
        <w:t xml:space="preserve">6. </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(f)</w:t>
      </w:r>
      <w:r w:rsidRPr="000C0842">
        <w:rPr>
          <w:rFonts w:eastAsia="SimSun"/>
          <w:b/>
          <w:bCs/>
          <w:sz w:val="24"/>
          <w:szCs w:val="24"/>
          <w:lang w:val="en-CA"/>
        </w:rPr>
        <w:t>段</w:t>
      </w:r>
    </w:p>
    <w:p w14:paraId="6BD0889B"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 (f)</w:t>
      </w:r>
      <w:r w:rsidRPr="000C0842">
        <w:rPr>
          <w:rFonts w:eastAsia="SimSun"/>
          <w:sz w:val="24"/>
          <w:szCs w:val="24"/>
          <w:lang w:val="en-CA"/>
        </w:rPr>
        <w:t>段</w:t>
      </w:r>
      <w:r w:rsidRPr="000C0842">
        <w:rPr>
          <w:rFonts w:eastAsia="SimSun" w:hint="eastAsia"/>
          <w:sz w:val="24"/>
          <w:szCs w:val="24"/>
          <w:lang w:val="en-CA"/>
        </w:rPr>
        <w:t>的案文</w:t>
      </w:r>
      <w:r w:rsidRPr="000C0842">
        <w:rPr>
          <w:rFonts w:eastAsia="SimSun"/>
          <w:sz w:val="24"/>
          <w:szCs w:val="24"/>
          <w:lang w:val="en-CA"/>
        </w:rPr>
        <w:t>如下</w:t>
      </w:r>
      <w:r w:rsidRPr="000C0842">
        <w:rPr>
          <w:rFonts w:eastAsia="SimSun"/>
          <w:sz w:val="24"/>
          <w:szCs w:val="24"/>
          <w:lang w:val="en-CA"/>
        </w:rPr>
        <w:t xml:space="preserve">: </w:t>
      </w:r>
    </w:p>
    <w:p w14:paraId="3A158896" w14:textId="77777777" w:rsidR="006D5DBD" w:rsidRPr="000C0842" w:rsidRDefault="006D5DBD" w:rsidP="006D5DBD">
      <w:pPr>
        <w:tabs>
          <w:tab w:val="clear" w:pos="567"/>
          <w:tab w:val="clear" w:pos="1134"/>
          <w:tab w:val="clear" w:pos="1701"/>
          <w:tab w:val="clear" w:pos="2268"/>
        </w:tabs>
        <w:spacing w:before="120" w:after="120"/>
        <w:ind w:left="979"/>
        <w:rPr>
          <w:rFonts w:eastAsia="SimSun"/>
          <w:sz w:val="24"/>
          <w:szCs w:val="24"/>
          <w:lang w:val="en-CA"/>
        </w:rPr>
      </w:pPr>
      <w:r w:rsidRPr="000C0842">
        <w:rPr>
          <w:rFonts w:eastAsia="SimSun"/>
          <w:sz w:val="24"/>
          <w:szCs w:val="24"/>
          <w:lang w:val="en-GB"/>
        </w:rPr>
        <w:t>将生物多样性转型教育纳入正规、非正规和非正式教育方案，在教育机构推广生物多样性保护和可持续利用课程，推广符合与自然和谐相处的知识、态度、价值观、行为和生活方式。</w:t>
      </w:r>
    </w:p>
    <w:p w14:paraId="6725BA15"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bookmarkStart w:id="31" w:name="_Hlk164688174"/>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2D609E6F"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pacing w:val="-10"/>
          <w:sz w:val="24"/>
          <w:szCs w:val="24"/>
          <w:lang w:val="en-CA"/>
        </w:rPr>
      </w:pPr>
      <w:r w:rsidRPr="000C0842">
        <w:rPr>
          <w:rFonts w:eastAsia="SimSun"/>
          <w:spacing w:val="-10"/>
          <w:sz w:val="24"/>
          <w:szCs w:val="24"/>
          <w:lang w:val="en-CA"/>
        </w:rPr>
        <w:t>《昆蒙框架》要求通过纳入生物多样性及其可持续利用以及促进到</w:t>
      </w:r>
      <w:r w:rsidRPr="000C0842">
        <w:rPr>
          <w:rFonts w:eastAsia="SimSun"/>
          <w:spacing w:val="-10"/>
          <w:sz w:val="24"/>
          <w:szCs w:val="24"/>
          <w:lang w:val="en-CA"/>
        </w:rPr>
        <w:t>2050</w:t>
      </w:r>
      <w:r w:rsidRPr="000C0842">
        <w:rPr>
          <w:rFonts w:eastAsia="SimSun"/>
          <w:sz w:val="24"/>
          <w:szCs w:val="24"/>
          <w:lang w:val="en-CA"/>
        </w:rPr>
        <w:t>年实现与自然和谐相处的愿景所需的知识</w:t>
      </w:r>
      <w:r w:rsidRPr="000C0842">
        <w:rPr>
          <w:rFonts w:eastAsia="SimSun"/>
          <w:spacing w:val="-10"/>
          <w:sz w:val="24"/>
          <w:szCs w:val="24"/>
          <w:lang w:val="en-CA"/>
        </w:rPr>
        <w:t>、态度、价值观、行为和生活方式，实现教育转型。</w:t>
      </w:r>
    </w:p>
    <w:p w14:paraId="6EAAC3E4"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2829EB2E"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b/>
          <w:bCs/>
          <w:sz w:val="24"/>
          <w:szCs w:val="24"/>
          <w:lang w:val="en-CA"/>
        </w:rPr>
      </w:pPr>
      <w:r w:rsidRPr="000C0842">
        <w:rPr>
          <w:rFonts w:eastAsia="SimSun"/>
          <w:sz w:val="24"/>
          <w:szCs w:val="24"/>
          <w:lang w:val="en-CA"/>
        </w:rPr>
        <w:t>如本决定第</w:t>
      </w:r>
      <w:r w:rsidRPr="000C0842">
        <w:rPr>
          <w:rFonts w:eastAsia="SimSun"/>
          <w:sz w:val="24"/>
          <w:szCs w:val="24"/>
          <w:lang w:val="en-CA"/>
        </w:rPr>
        <w:t>4</w:t>
      </w:r>
      <w:r w:rsidRPr="000C0842">
        <w:rPr>
          <w:rFonts w:eastAsia="SimSun"/>
          <w:sz w:val="24"/>
          <w:szCs w:val="24"/>
          <w:lang w:val="en-CA"/>
        </w:rPr>
        <w:t>段所述，执行秘书将</w:t>
      </w:r>
      <w:r w:rsidRPr="000C0842">
        <w:rPr>
          <w:rFonts w:eastAsia="SimSun" w:hint="eastAsia"/>
          <w:sz w:val="24"/>
          <w:szCs w:val="24"/>
          <w:lang w:val="en-CA"/>
        </w:rPr>
        <w:t>协作</w:t>
      </w:r>
      <w:r w:rsidRPr="000C0842">
        <w:rPr>
          <w:rFonts w:eastAsia="SimSun"/>
          <w:sz w:val="24"/>
          <w:szCs w:val="24"/>
          <w:lang w:val="en-CA"/>
        </w:rPr>
        <w:t>制定涵盖正规和非正规教育的生物多样性教育全球行动计划，提交执行问题附属机构在缔约方大会第十七届会议之前举行的一次会议审议。</w:t>
      </w:r>
    </w:p>
    <w:p w14:paraId="6B30062C" w14:textId="77777777" w:rsidR="006D5DBD" w:rsidRPr="000C0842" w:rsidRDefault="006D5DBD" w:rsidP="006D5DBD">
      <w:pPr>
        <w:tabs>
          <w:tab w:val="clear" w:pos="567"/>
          <w:tab w:val="clear" w:pos="1134"/>
          <w:tab w:val="clear" w:pos="1701"/>
          <w:tab w:val="clear" w:pos="2268"/>
        </w:tabs>
        <w:snapToGrid w:val="0"/>
        <w:spacing w:before="120" w:after="120"/>
        <w:ind w:left="490"/>
        <w:rPr>
          <w:rFonts w:eastAsia="SimSun"/>
          <w:b/>
          <w:bCs/>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p>
    <w:p w14:paraId="2C69A43F"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缔约方不妨酌情将行动计划纳入国家规划，包括总体教育战略。</w:t>
      </w:r>
    </w:p>
    <w:p w14:paraId="6BCECBD7"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(d)</w:t>
      </w:r>
      <w:r w:rsidRPr="000C0842">
        <w:rPr>
          <w:rFonts w:eastAsia="SimSun"/>
          <w:b/>
          <w:bCs/>
          <w:sz w:val="24"/>
          <w:szCs w:val="24"/>
          <w:lang w:val="en-CA"/>
        </w:rPr>
        <w:tab/>
      </w:r>
      <w:r w:rsidRPr="000C0842">
        <w:rPr>
          <w:rFonts w:eastAsia="SimSun"/>
          <w:b/>
          <w:bCs/>
          <w:sz w:val="24"/>
          <w:szCs w:val="24"/>
          <w:lang w:val="en-CA"/>
        </w:rPr>
        <w:t>利益攸关方的行动</w:t>
      </w:r>
    </w:p>
    <w:bookmarkEnd w:id="31"/>
    <w:p w14:paraId="776EF7D4"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邀请正规、非正规和非正式教育领域的相关行为体，土著人民和地方社区以及妇女和青年组织，对行动计划中列出的概念进行调整并将其纳入自己的工作。</w:t>
      </w:r>
    </w:p>
    <w:p w14:paraId="7726829D" w14:textId="77777777" w:rsidR="006D5DBD" w:rsidRPr="000C0842" w:rsidRDefault="006D5DBD" w:rsidP="006D5DBD">
      <w:pPr>
        <w:keepNext/>
        <w:tabs>
          <w:tab w:val="clear" w:pos="567"/>
          <w:tab w:val="clear" w:pos="1134"/>
          <w:tab w:val="clear" w:pos="1701"/>
          <w:tab w:val="clear" w:pos="2268"/>
        </w:tabs>
        <w:spacing w:before="120" w:after="120"/>
        <w:rPr>
          <w:rFonts w:eastAsia="SimSun"/>
          <w:b/>
          <w:bCs/>
          <w:sz w:val="24"/>
          <w:szCs w:val="24"/>
          <w:lang w:val="en-CA"/>
        </w:rPr>
      </w:pPr>
      <w:r w:rsidRPr="000C0842">
        <w:rPr>
          <w:rFonts w:eastAsia="SimSun"/>
          <w:b/>
          <w:bCs/>
          <w:sz w:val="24"/>
          <w:szCs w:val="24"/>
          <w:lang w:val="en-CA"/>
        </w:rPr>
        <w:t xml:space="preserve">7. </w:t>
      </w:r>
      <w:r w:rsidRPr="000C0842">
        <w:rPr>
          <w:rFonts w:eastAsia="SimSun"/>
          <w:b/>
          <w:bCs/>
          <w:sz w:val="24"/>
          <w:szCs w:val="24"/>
          <w:lang w:val="en-CA"/>
        </w:rPr>
        <w:tab/>
        <w:t>K</w:t>
      </w:r>
      <w:r w:rsidRPr="000C0842">
        <w:rPr>
          <w:rFonts w:eastAsia="SimSun"/>
          <w:b/>
          <w:bCs/>
          <w:sz w:val="24"/>
          <w:szCs w:val="24"/>
          <w:lang w:val="en-CA"/>
        </w:rPr>
        <w:t>部分第</w:t>
      </w:r>
      <w:r w:rsidRPr="000C0842">
        <w:rPr>
          <w:rFonts w:eastAsia="SimSun"/>
          <w:b/>
          <w:bCs/>
          <w:sz w:val="24"/>
          <w:szCs w:val="24"/>
          <w:lang w:val="en-CA"/>
        </w:rPr>
        <w:t>22 (g)</w:t>
      </w:r>
      <w:r w:rsidRPr="000C0842">
        <w:rPr>
          <w:rFonts w:eastAsia="SimSun"/>
          <w:b/>
          <w:bCs/>
          <w:sz w:val="24"/>
          <w:szCs w:val="24"/>
          <w:lang w:val="en-CA"/>
        </w:rPr>
        <w:t>段</w:t>
      </w:r>
    </w:p>
    <w:p w14:paraId="1B6DB1F4"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K</w:t>
      </w:r>
      <w:r w:rsidRPr="000C0842">
        <w:rPr>
          <w:rFonts w:eastAsia="SimSun"/>
          <w:sz w:val="24"/>
          <w:szCs w:val="24"/>
          <w:lang w:val="en-CA"/>
        </w:rPr>
        <w:t>部分第</w:t>
      </w:r>
      <w:r w:rsidRPr="000C0842">
        <w:rPr>
          <w:rFonts w:eastAsia="SimSun"/>
          <w:sz w:val="24"/>
          <w:szCs w:val="24"/>
          <w:lang w:val="en-CA"/>
        </w:rPr>
        <w:t>22 (g)</w:t>
      </w:r>
      <w:r w:rsidRPr="000C0842">
        <w:rPr>
          <w:rFonts w:eastAsia="SimSun"/>
          <w:sz w:val="24"/>
          <w:szCs w:val="24"/>
          <w:lang w:val="en-CA"/>
        </w:rPr>
        <w:t>段</w:t>
      </w:r>
      <w:r w:rsidRPr="000C0842">
        <w:rPr>
          <w:rFonts w:eastAsia="SimSun" w:hint="eastAsia"/>
          <w:sz w:val="24"/>
          <w:szCs w:val="24"/>
          <w:lang w:val="en-CA"/>
        </w:rPr>
        <w:t>的案文</w:t>
      </w:r>
      <w:r w:rsidRPr="000C0842">
        <w:rPr>
          <w:rFonts w:eastAsia="SimSun"/>
          <w:sz w:val="24"/>
          <w:szCs w:val="24"/>
          <w:lang w:val="en-CA"/>
        </w:rPr>
        <w:t>如下：</w:t>
      </w:r>
    </w:p>
    <w:p w14:paraId="5A50AD4A" w14:textId="77777777" w:rsidR="006D5DBD" w:rsidRPr="000C0842" w:rsidRDefault="006D5DBD" w:rsidP="006D5DBD">
      <w:pPr>
        <w:tabs>
          <w:tab w:val="clear" w:pos="567"/>
          <w:tab w:val="clear" w:pos="1134"/>
          <w:tab w:val="clear" w:pos="1701"/>
          <w:tab w:val="clear" w:pos="2268"/>
        </w:tabs>
        <w:spacing w:before="120" w:after="120"/>
        <w:ind w:left="979"/>
        <w:rPr>
          <w:rFonts w:eastAsia="SimSun"/>
          <w:sz w:val="24"/>
          <w:szCs w:val="24"/>
          <w:lang w:val="en-CA"/>
        </w:rPr>
      </w:pPr>
      <w:r w:rsidRPr="000C0842">
        <w:rPr>
          <w:rFonts w:eastAsia="SimSun"/>
          <w:sz w:val="24"/>
          <w:szCs w:val="24"/>
          <w:lang w:val="en-GB"/>
        </w:rPr>
        <w:t>提高对科学、技术和创新的重要作用的认识，加强监测生物多样性的科学和技术能力，填补知识缺口，制定创新解决方案，改进生物多样性的保护和可持续利用。</w:t>
      </w:r>
    </w:p>
    <w:p w14:paraId="6414CCF1"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理由和解释</w:t>
      </w:r>
    </w:p>
    <w:p w14:paraId="0D072A52"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《昆蒙框架》要求调动科学技术和数据，为保护和可持续利用生物多样性取得更好的成果提供服务。需要提高对科学技术的作用和可能性的认识。</w:t>
      </w:r>
    </w:p>
    <w:p w14:paraId="66EF4D6D" w14:textId="77777777" w:rsidR="006D5DBD" w:rsidRPr="000C0842" w:rsidRDefault="006D5DBD" w:rsidP="006D5DBD">
      <w:pPr>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执行秘书的行动</w:t>
      </w:r>
    </w:p>
    <w:p w14:paraId="057A2CF0"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执行秘书将与生物多样性和生态系统服务政府间科学与政策平台、联合国开发计划署、联合国教育、科学及文化组织、联合国环境规划署以及活跃在科技领域的其他相关行为体合作，确定有助于改善生物多样性成果的关键科技发展。执行秘书将发起一场传播活动，向媒体和其他知识实体</w:t>
      </w:r>
      <w:r w:rsidRPr="000C0842">
        <w:rPr>
          <w:rFonts w:eastAsia="SimSun" w:hint="eastAsia"/>
          <w:sz w:val="24"/>
          <w:szCs w:val="24"/>
          <w:lang w:val="en-CA"/>
        </w:rPr>
        <w:t>宣导</w:t>
      </w:r>
      <w:r w:rsidRPr="000C0842">
        <w:rPr>
          <w:rFonts w:eastAsia="SimSun"/>
          <w:sz w:val="24"/>
          <w:szCs w:val="24"/>
          <w:lang w:val="en-CA"/>
        </w:rPr>
        <w:t>这些发展变化。</w:t>
      </w:r>
    </w:p>
    <w:p w14:paraId="3B1A9A9A" w14:textId="77777777" w:rsidR="006D5DBD" w:rsidRPr="000C0842" w:rsidRDefault="006D5DBD" w:rsidP="006D5DBD">
      <w:pPr>
        <w:keepNext/>
        <w:tabs>
          <w:tab w:val="clear" w:pos="567"/>
          <w:tab w:val="clear" w:pos="1134"/>
          <w:tab w:val="clear" w:pos="1701"/>
          <w:tab w:val="clear" w:pos="2268"/>
        </w:tabs>
        <w:spacing w:before="120" w:after="120"/>
        <w:ind w:left="490"/>
        <w:rPr>
          <w:rFonts w:eastAsia="SimSun"/>
          <w:b/>
          <w:bCs/>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缔约方的行动</w:t>
      </w:r>
      <w:r w:rsidRPr="000C0842">
        <w:rPr>
          <w:rFonts w:eastAsia="SimSun"/>
          <w:b/>
          <w:bCs/>
          <w:sz w:val="24"/>
          <w:szCs w:val="24"/>
          <w:lang w:val="en-CA"/>
        </w:rPr>
        <w:t xml:space="preserve"> </w:t>
      </w:r>
    </w:p>
    <w:p w14:paraId="06A9CE41" w14:textId="77777777"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鼓励缔约方酌情通过介绍有助于改进生物多样性成果的科学技术的国家实例（包括社会科学的实例）参与传播运动。还鼓励</w:t>
      </w:r>
      <w:r w:rsidRPr="000C0842">
        <w:rPr>
          <w:rFonts w:eastAsia="SimSun" w:hint="eastAsia"/>
          <w:sz w:val="24"/>
          <w:szCs w:val="24"/>
          <w:lang w:val="en-CA"/>
        </w:rPr>
        <w:t>缔约方</w:t>
      </w:r>
      <w:r w:rsidRPr="000C0842">
        <w:rPr>
          <w:rFonts w:eastAsia="SimSun"/>
          <w:sz w:val="24"/>
          <w:szCs w:val="24"/>
          <w:lang w:val="en-CA"/>
        </w:rPr>
        <w:t>动员负责科学技术的部委推广这些范例，并与负责环境和自然资源的部委及其他相关部委合作。</w:t>
      </w:r>
    </w:p>
    <w:p w14:paraId="3B5A51F4" w14:textId="77777777" w:rsidR="006D5DBD" w:rsidRPr="000C0842" w:rsidRDefault="006D5DBD" w:rsidP="006D5DBD">
      <w:pPr>
        <w:tabs>
          <w:tab w:val="clear" w:pos="567"/>
          <w:tab w:val="clear" w:pos="1134"/>
          <w:tab w:val="clear" w:pos="1701"/>
          <w:tab w:val="clear" w:pos="2268"/>
        </w:tabs>
        <w:spacing w:before="120" w:after="120"/>
        <w:ind w:left="490"/>
        <w:rPr>
          <w:rFonts w:eastAsia="SimSun"/>
          <w:sz w:val="24"/>
          <w:szCs w:val="24"/>
          <w:lang w:val="en-CA"/>
        </w:rPr>
      </w:pPr>
      <w:r w:rsidRPr="000C0842">
        <w:rPr>
          <w:rFonts w:eastAsia="SimSun"/>
          <w:b/>
          <w:bCs/>
          <w:sz w:val="24"/>
          <w:szCs w:val="24"/>
          <w:lang w:val="en-CA"/>
        </w:rPr>
        <w:t>(d)</w:t>
      </w:r>
      <w:r w:rsidRPr="000C0842">
        <w:rPr>
          <w:rFonts w:eastAsia="SimSun"/>
          <w:b/>
          <w:bCs/>
          <w:sz w:val="24"/>
          <w:szCs w:val="24"/>
          <w:lang w:val="en-CA"/>
        </w:rPr>
        <w:tab/>
      </w:r>
      <w:r w:rsidRPr="000C0842">
        <w:rPr>
          <w:rFonts w:eastAsia="SimSun"/>
          <w:b/>
          <w:bCs/>
          <w:sz w:val="24"/>
          <w:szCs w:val="24"/>
          <w:lang w:val="en-CA"/>
        </w:rPr>
        <w:t>利益攸关方的行动</w:t>
      </w:r>
    </w:p>
    <w:p w14:paraId="1306DC47" w14:textId="0AAE27E4" w:rsidR="006D5DBD" w:rsidRPr="000C0842" w:rsidRDefault="006D5DBD">
      <w:pPr>
        <w:numPr>
          <w:ilvl w:val="0"/>
          <w:numId w:val="17"/>
        </w:numPr>
        <w:tabs>
          <w:tab w:val="clear" w:pos="567"/>
          <w:tab w:val="clear" w:pos="1134"/>
          <w:tab w:val="clear" w:pos="1701"/>
          <w:tab w:val="clear" w:pos="2268"/>
        </w:tabs>
        <w:snapToGrid w:val="0"/>
        <w:spacing w:before="120" w:after="120"/>
        <w:ind w:left="490" w:firstLine="0"/>
        <w:rPr>
          <w:rFonts w:eastAsia="SimSun"/>
          <w:sz w:val="24"/>
          <w:szCs w:val="24"/>
          <w:lang w:val="en-CA"/>
        </w:rPr>
      </w:pPr>
      <w:r w:rsidRPr="000C0842">
        <w:rPr>
          <w:rFonts w:eastAsia="SimSun"/>
          <w:sz w:val="24"/>
          <w:szCs w:val="24"/>
          <w:lang w:val="en-CA"/>
        </w:rPr>
        <w:t>邀请利益攸关方通过推广有助于改进生物多样性成果的科学技术实例，支持国际和国家宣传运动。利益攸关方应与科技部和负责环境和自然资源的部委合作。</w:t>
      </w:r>
    </w:p>
    <w:p w14:paraId="563D1118" w14:textId="77777777" w:rsidR="006D5DBD" w:rsidRPr="000C0842" w:rsidRDefault="006D5DBD">
      <w:pPr>
        <w:tabs>
          <w:tab w:val="clear" w:pos="567"/>
          <w:tab w:val="clear" w:pos="1134"/>
          <w:tab w:val="clear" w:pos="1701"/>
          <w:tab w:val="clear" w:pos="2268"/>
        </w:tabs>
        <w:jc w:val="left"/>
        <w:rPr>
          <w:rFonts w:eastAsia="SimSun"/>
          <w:sz w:val="24"/>
          <w:szCs w:val="24"/>
          <w:lang w:val="en-CA"/>
        </w:rPr>
      </w:pPr>
      <w:r w:rsidRPr="000C0842">
        <w:rPr>
          <w:rFonts w:eastAsia="SimSun"/>
          <w:sz w:val="24"/>
          <w:szCs w:val="24"/>
          <w:lang w:val="en-CA"/>
        </w:rPr>
        <w:br w:type="page"/>
      </w:r>
    </w:p>
    <w:p w14:paraId="1EF26534" w14:textId="27DCB285" w:rsidR="006D5DBD" w:rsidRPr="000C0842" w:rsidRDefault="006D5DBD" w:rsidP="00B41241">
      <w:pPr>
        <w:pStyle w:val="a1"/>
        <w:ind w:right="0"/>
        <w:rPr>
          <w:rFonts w:hint="eastAsia"/>
          <w:lang w:eastAsia="zh-CN"/>
        </w:rPr>
      </w:pPr>
      <w:bookmarkStart w:id="32" w:name="_Toc206358207"/>
      <w:r w:rsidRPr="000C0842">
        <w:rPr>
          <w:rFonts w:hint="eastAsia"/>
          <w:lang w:eastAsia="zh-CN"/>
        </w:rPr>
        <w:t>16/11.</w:t>
      </w:r>
      <w:r w:rsidR="00BF0005" w:rsidRPr="000C0842">
        <w:rPr>
          <w:rFonts w:hint="eastAsia"/>
          <w:lang w:eastAsia="zh-CN"/>
        </w:rPr>
        <w:t xml:space="preserve"> </w:t>
      </w:r>
      <w:r w:rsidRPr="000C0842">
        <w:rPr>
          <w:lang w:eastAsia="zh-CN"/>
        </w:rPr>
        <w:t>与</w:t>
      </w:r>
      <w:bookmarkStart w:id="33" w:name="_Hlk164843775"/>
      <w:bookmarkStart w:id="34" w:name="_Hlk164754590"/>
      <w:r w:rsidRPr="000C0842">
        <w:rPr>
          <w:lang w:eastAsia="zh-CN"/>
        </w:rPr>
        <w:t>生物多样性和生态系统服务政府间科学与政策平台</w:t>
      </w:r>
      <w:bookmarkEnd w:id="33"/>
      <w:r w:rsidRPr="000C0842">
        <w:rPr>
          <w:lang w:eastAsia="zh-CN"/>
        </w:rPr>
        <w:t>工作方案</w:t>
      </w:r>
      <w:bookmarkEnd w:id="34"/>
      <w:r w:rsidRPr="000C0842">
        <w:rPr>
          <w:lang w:eastAsia="zh-CN"/>
        </w:rPr>
        <w:t>有关的事项</w:t>
      </w:r>
      <w:bookmarkEnd w:id="32"/>
    </w:p>
    <w:p w14:paraId="5421337D" w14:textId="77777777" w:rsidR="006D5DBD" w:rsidRPr="000C0842" w:rsidRDefault="006D5DBD" w:rsidP="00444037">
      <w:pPr>
        <w:tabs>
          <w:tab w:val="clear" w:pos="567"/>
          <w:tab w:val="clear" w:pos="1134"/>
          <w:tab w:val="clear" w:pos="1701"/>
          <w:tab w:val="clear" w:pos="2268"/>
        </w:tabs>
        <w:snapToGrid w:val="0"/>
        <w:spacing w:before="240" w:after="120"/>
        <w:ind w:left="490" w:firstLine="490"/>
        <w:rPr>
          <w:rFonts w:eastAsia="SimSun"/>
          <w:iCs/>
          <w:sz w:val="24"/>
          <w:szCs w:val="24"/>
          <w:lang w:val="en-GB"/>
        </w:rPr>
      </w:pPr>
      <w:r w:rsidRPr="000C0842">
        <w:rPr>
          <w:rFonts w:eastAsia="KaiTi" w:hint="eastAsia"/>
          <w:kern w:val="22"/>
          <w:sz w:val="24"/>
          <w:szCs w:val="24"/>
          <w:lang w:val="en-GB"/>
        </w:rPr>
        <w:t>缔约方大会，</w:t>
      </w:r>
    </w:p>
    <w:p w14:paraId="18C113B6"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sz w:val="24"/>
          <w:szCs w:val="24"/>
        </w:rPr>
      </w:pPr>
      <w:r w:rsidRPr="000C0842">
        <w:rPr>
          <w:rFonts w:eastAsia="KaiTi" w:hint="eastAsia"/>
          <w:kern w:val="22"/>
          <w:sz w:val="24"/>
          <w:szCs w:val="24"/>
          <w:lang w:val="en-GB"/>
        </w:rPr>
        <w:t>回顾</w:t>
      </w:r>
      <w:smartTag w:uri="urn:schemas-microsoft-com:office:smarttags" w:element="chsdate">
        <w:smartTagPr>
          <w:attr w:name="Year" w:val="2012"/>
          <w:attr w:name="Month" w:val="10"/>
          <w:attr w:name="Day" w:val="19"/>
          <w:attr w:name="IsLunarDate" w:val="False"/>
          <w:attr w:name="IsROCDate" w:val="False"/>
        </w:smartTagPr>
        <w:r w:rsidRPr="000C0842">
          <w:rPr>
            <w:rFonts w:eastAsia="SimSun"/>
            <w:spacing w:val="4"/>
            <w:sz w:val="24"/>
            <w:szCs w:val="24"/>
          </w:rPr>
          <w:t>2012</w:t>
        </w:r>
        <w:r w:rsidRPr="000C0842">
          <w:rPr>
            <w:rFonts w:eastAsia="SimSun" w:hint="eastAsia"/>
            <w:spacing w:val="4"/>
            <w:sz w:val="24"/>
            <w:szCs w:val="24"/>
          </w:rPr>
          <w:t>年</w:t>
        </w:r>
        <w:r w:rsidRPr="000C0842">
          <w:rPr>
            <w:rFonts w:eastAsia="SimSun"/>
            <w:spacing w:val="4"/>
            <w:sz w:val="24"/>
            <w:szCs w:val="24"/>
          </w:rPr>
          <w:t>10</w:t>
        </w:r>
        <w:r w:rsidRPr="000C0842">
          <w:rPr>
            <w:rFonts w:eastAsia="SimSun" w:hint="eastAsia"/>
            <w:spacing w:val="4"/>
            <w:sz w:val="24"/>
            <w:szCs w:val="24"/>
          </w:rPr>
          <w:t>月</w:t>
        </w:r>
        <w:r w:rsidRPr="000C0842">
          <w:rPr>
            <w:rFonts w:eastAsia="SimSun"/>
            <w:spacing w:val="4"/>
            <w:sz w:val="24"/>
            <w:szCs w:val="24"/>
          </w:rPr>
          <w:t>19</w:t>
        </w:r>
        <w:r w:rsidRPr="000C0842">
          <w:rPr>
            <w:rFonts w:eastAsia="SimSun" w:hint="eastAsia"/>
            <w:spacing w:val="4"/>
            <w:sz w:val="24"/>
            <w:szCs w:val="24"/>
          </w:rPr>
          <w:t>日</w:t>
        </w:r>
      </w:smartTag>
      <w:r w:rsidRPr="000C0842">
        <w:rPr>
          <w:rFonts w:eastAsia="SimSun" w:hint="eastAsia"/>
          <w:spacing w:val="4"/>
          <w:sz w:val="24"/>
          <w:szCs w:val="24"/>
        </w:rPr>
        <w:t>第</w:t>
      </w:r>
      <w:hyperlink r:id="rId82" w:history="1">
        <w:r w:rsidRPr="000C0842">
          <w:rPr>
            <w:rFonts w:eastAsia="SimSun"/>
            <w:spacing w:val="4"/>
            <w:sz w:val="24"/>
            <w:szCs w:val="24"/>
            <w:u w:val="single"/>
          </w:rPr>
          <w:t>XI/13 C</w:t>
        </w:r>
      </w:hyperlink>
      <w:r w:rsidRPr="000C0842">
        <w:rPr>
          <w:rFonts w:eastAsia="SimSun" w:hint="eastAsia"/>
          <w:spacing w:val="4"/>
          <w:sz w:val="24"/>
          <w:szCs w:val="24"/>
        </w:rPr>
        <w:t>号决定、</w:t>
      </w:r>
      <w:smartTag w:uri="urn:schemas-microsoft-com:office:smarttags" w:element="chsdate">
        <w:smartTagPr>
          <w:attr w:name="Year" w:val="2014"/>
          <w:attr w:name="Month" w:val="10"/>
          <w:attr w:name="Day" w:val="17"/>
          <w:attr w:name="IsLunarDate" w:val="False"/>
          <w:attr w:name="IsROCDate" w:val="False"/>
        </w:smartTagPr>
        <w:r w:rsidRPr="000C0842">
          <w:rPr>
            <w:rFonts w:eastAsia="SimSun"/>
            <w:spacing w:val="4"/>
            <w:sz w:val="24"/>
            <w:szCs w:val="24"/>
          </w:rPr>
          <w:t>2014</w:t>
        </w:r>
        <w:r w:rsidRPr="000C0842">
          <w:rPr>
            <w:rFonts w:eastAsia="SimSun" w:hint="eastAsia"/>
            <w:spacing w:val="4"/>
            <w:sz w:val="24"/>
            <w:szCs w:val="24"/>
          </w:rPr>
          <w:t>年</w:t>
        </w:r>
        <w:r w:rsidRPr="000C0842">
          <w:rPr>
            <w:rFonts w:eastAsia="SimSun"/>
            <w:spacing w:val="4"/>
            <w:sz w:val="24"/>
            <w:szCs w:val="24"/>
          </w:rPr>
          <w:t>10</w:t>
        </w:r>
        <w:r w:rsidRPr="000C0842">
          <w:rPr>
            <w:rFonts w:eastAsia="SimSun" w:hint="eastAsia"/>
            <w:spacing w:val="4"/>
            <w:sz w:val="24"/>
            <w:szCs w:val="24"/>
          </w:rPr>
          <w:t>月</w:t>
        </w:r>
        <w:r w:rsidRPr="000C0842">
          <w:rPr>
            <w:rFonts w:eastAsia="SimSun"/>
            <w:spacing w:val="4"/>
            <w:sz w:val="24"/>
            <w:szCs w:val="24"/>
          </w:rPr>
          <w:t>17</w:t>
        </w:r>
        <w:r w:rsidRPr="000C0842">
          <w:rPr>
            <w:rFonts w:eastAsia="SimSun" w:hint="eastAsia"/>
            <w:spacing w:val="4"/>
            <w:sz w:val="24"/>
            <w:szCs w:val="24"/>
          </w:rPr>
          <w:t>日</w:t>
        </w:r>
      </w:smartTag>
      <w:r w:rsidRPr="000C0842">
        <w:rPr>
          <w:rFonts w:eastAsia="SimSun" w:hint="eastAsia"/>
          <w:spacing w:val="4"/>
          <w:sz w:val="24"/>
          <w:szCs w:val="24"/>
        </w:rPr>
        <w:t>第</w:t>
      </w:r>
      <w:hyperlink r:id="rId83" w:history="1">
        <w:r w:rsidRPr="000C0842">
          <w:rPr>
            <w:rFonts w:eastAsia="SimSun"/>
            <w:spacing w:val="4"/>
            <w:sz w:val="24"/>
            <w:szCs w:val="24"/>
            <w:u w:val="single"/>
          </w:rPr>
          <w:t>XII/25</w:t>
        </w:r>
      </w:hyperlink>
      <w:r w:rsidRPr="000C0842">
        <w:rPr>
          <w:rFonts w:eastAsia="SimSun" w:hint="eastAsia"/>
          <w:spacing w:val="4"/>
          <w:sz w:val="24"/>
          <w:szCs w:val="24"/>
        </w:rPr>
        <w:t>号决定、</w:t>
      </w:r>
      <w:smartTag w:uri="urn:schemas-microsoft-com:office:smarttags" w:element="chsdate">
        <w:smartTagPr>
          <w:attr w:name="Year" w:val="2018"/>
          <w:attr w:name="Month" w:val="11"/>
          <w:attr w:name="Day" w:val="29"/>
          <w:attr w:name="IsLunarDate" w:val="False"/>
          <w:attr w:name="IsROCDate" w:val="False"/>
        </w:smartTagPr>
        <w:r w:rsidRPr="000C0842">
          <w:rPr>
            <w:rFonts w:eastAsia="SimSun"/>
            <w:spacing w:val="4"/>
            <w:sz w:val="24"/>
            <w:szCs w:val="24"/>
          </w:rPr>
          <w:t>2018</w:t>
        </w:r>
        <w:r w:rsidRPr="000C0842">
          <w:rPr>
            <w:rFonts w:eastAsia="SimSun" w:hint="eastAsia"/>
            <w:spacing w:val="4"/>
            <w:sz w:val="24"/>
            <w:szCs w:val="24"/>
          </w:rPr>
          <w:t>年</w:t>
        </w:r>
        <w:r w:rsidRPr="000C0842">
          <w:rPr>
            <w:rFonts w:eastAsia="SimSun"/>
            <w:spacing w:val="4"/>
            <w:sz w:val="24"/>
            <w:szCs w:val="24"/>
          </w:rPr>
          <w:t>11</w:t>
        </w:r>
        <w:r w:rsidRPr="000C0842">
          <w:rPr>
            <w:rFonts w:eastAsia="SimSun" w:hint="eastAsia"/>
            <w:spacing w:val="4"/>
            <w:sz w:val="24"/>
            <w:szCs w:val="24"/>
          </w:rPr>
          <w:t>月</w:t>
        </w:r>
        <w:r w:rsidRPr="000C0842">
          <w:rPr>
            <w:rFonts w:eastAsia="SimSun"/>
            <w:spacing w:val="4"/>
            <w:sz w:val="24"/>
            <w:szCs w:val="24"/>
          </w:rPr>
          <w:t>29</w:t>
        </w:r>
        <w:r w:rsidRPr="000C0842">
          <w:rPr>
            <w:rFonts w:eastAsia="SimSun" w:hint="eastAsia"/>
            <w:spacing w:val="4"/>
            <w:sz w:val="24"/>
            <w:szCs w:val="24"/>
          </w:rPr>
          <w:t>日</w:t>
        </w:r>
      </w:smartTag>
      <w:r w:rsidRPr="000C0842">
        <w:rPr>
          <w:rFonts w:eastAsia="SimSun" w:hint="eastAsia"/>
          <w:spacing w:val="4"/>
          <w:sz w:val="24"/>
          <w:szCs w:val="24"/>
        </w:rPr>
        <w:t>第</w:t>
      </w:r>
      <w:hyperlink r:id="rId84" w:history="1">
        <w:r w:rsidRPr="000C0842">
          <w:rPr>
            <w:rFonts w:eastAsia="SimSun"/>
            <w:spacing w:val="4"/>
            <w:sz w:val="24"/>
            <w:szCs w:val="24"/>
            <w:u w:val="single"/>
          </w:rPr>
          <w:t>14/36</w:t>
        </w:r>
      </w:hyperlink>
      <w:r w:rsidRPr="000C0842">
        <w:rPr>
          <w:rFonts w:eastAsia="SimSun" w:hint="eastAsia"/>
          <w:spacing w:val="4"/>
          <w:sz w:val="24"/>
          <w:szCs w:val="24"/>
        </w:rPr>
        <w:t>号决定和</w:t>
      </w:r>
      <w:smartTag w:uri="urn:schemas-microsoft-com:office:smarttags" w:element="chsdate">
        <w:smartTagPr>
          <w:attr w:name="Year" w:val="2022"/>
          <w:attr w:name="Month" w:val="12"/>
          <w:attr w:name="Day" w:val="19"/>
          <w:attr w:name="IsLunarDate" w:val="False"/>
          <w:attr w:name="IsROCDate" w:val="False"/>
        </w:smartTagPr>
        <w:r w:rsidRPr="000C0842">
          <w:rPr>
            <w:rFonts w:eastAsia="SimSun"/>
            <w:spacing w:val="4"/>
            <w:sz w:val="24"/>
            <w:szCs w:val="24"/>
          </w:rPr>
          <w:t>2022</w:t>
        </w:r>
        <w:r w:rsidRPr="000C0842">
          <w:rPr>
            <w:rFonts w:eastAsia="SimSun" w:hint="eastAsia"/>
            <w:spacing w:val="4"/>
            <w:sz w:val="24"/>
            <w:szCs w:val="24"/>
          </w:rPr>
          <w:t>年</w:t>
        </w:r>
        <w:r w:rsidRPr="000C0842">
          <w:rPr>
            <w:rFonts w:eastAsia="SimSun"/>
            <w:spacing w:val="4"/>
            <w:sz w:val="24"/>
            <w:szCs w:val="24"/>
          </w:rPr>
          <w:t>12</w:t>
        </w:r>
        <w:r w:rsidRPr="000C0842">
          <w:rPr>
            <w:rFonts w:eastAsia="SimSun" w:hint="eastAsia"/>
            <w:spacing w:val="4"/>
            <w:sz w:val="24"/>
            <w:szCs w:val="24"/>
          </w:rPr>
          <w:t>月</w:t>
        </w:r>
        <w:r w:rsidRPr="000C0842">
          <w:rPr>
            <w:rFonts w:eastAsia="SimSun"/>
            <w:spacing w:val="4"/>
            <w:sz w:val="24"/>
            <w:szCs w:val="24"/>
          </w:rPr>
          <w:t>19</w:t>
        </w:r>
        <w:r w:rsidRPr="000C0842">
          <w:rPr>
            <w:rFonts w:eastAsia="SimSun" w:hint="eastAsia"/>
            <w:spacing w:val="4"/>
            <w:sz w:val="24"/>
            <w:szCs w:val="24"/>
          </w:rPr>
          <w:t>日</w:t>
        </w:r>
      </w:smartTag>
      <w:r w:rsidRPr="000C0842">
        <w:rPr>
          <w:rFonts w:eastAsia="SimSun" w:hint="eastAsia"/>
          <w:spacing w:val="4"/>
          <w:sz w:val="24"/>
          <w:szCs w:val="24"/>
        </w:rPr>
        <w:t>第</w:t>
      </w:r>
      <w:hyperlink r:id="rId85" w:history="1">
        <w:r w:rsidRPr="000C0842">
          <w:rPr>
            <w:rFonts w:eastAsia="SimSun"/>
            <w:sz w:val="24"/>
            <w:szCs w:val="24"/>
            <w:u w:val="single"/>
          </w:rPr>
          <w:t>15/19</w:t>
        </w:r>
      </w:hyperlink>
      <w:r w:rsidRPr="000C0842">
        <w:rPr>
          <w:rFonts w:eastAsia="SimSun" w:hint="eastAsia"/>
          <w:sz w:val="24"/>
          <w:szCs w:val="24"/>
        </w:rPr>
        <w:t>号决定，</w:t>
      </w:r>
    </w:p>
    <w:p w14:paraId="421DE3AA"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KaiTi" w:hint="eastAsia"/>
          <w:kern w:val="22"/>
          <w:sz w:val="24"/>
          <w:szCs w:val="24"/>
        </w:rPr>
        <w:t>又</w:t>
      </w:r>
      <w:r w:rsidRPr="000C0842">
        <w:rPr>
          <w:rFonts w:eastAsia="KaiTi" w:hint="eastAsia"/>
          <w:kern w:val="22"/>
          <w:sz w:val="24"/>
          <w:szCs w:val="24"/>
          <w:lang w:val="en-GB"/>
        </w:rPr>
        <w:t>回顾</w:t>
      </w:r>
      <w:r w:rsidRPr="000C0842">
        <w:rPr>
          <w:rFonts w:eastAsia="SimSun" w:hint="eastAsia"/>
          <w:kern w:val="22"/>
          <w:sz w:val="24"/>
          <w:szCs w:val="24"/>
          <w:lang w:val="en-GB"/>
        </w:rPr>
        <w:t>缔约方大会第</w:t>
      </w:r>
      <w:hyperlink r:id="rId86" w:history="1">
        <w:r w:rsidRPr="000C0842">
          <w:rPr>
            <w:rFonts w:eastAsia="SimSun"/>
            <w:kern w:val="22"/>
            <w:sz w:val="24"/>
            <w:szCs w:val="24"/>
            <w:u w:val="single"/>
            <w:lang w:val="en-GB"/>
          </w:rPr>
          <w:t>XII/25</w:t>
        </w:r>
      </w:hyperlink>
      <w:r w:rsidRPr="000C0842">
        <w:rPr>
          <w:rFonts w:eastAsia="SimSun" w:hint="eastAsia"/>
          <w:kern w:val="22"/>
          <w:sz w:val="24"/>
          <w:szCs w:val="24"/>
          <w:lang w:val="en-GB"/>
        </w:rPr>
        <w:t>号决定第</w:t>
      </w:r>
      <w:r w:rsidRPr="000C0842">
        <w:rPr>
          <w:rFonts w:eastAsia="SimSun"/>
          <w:kern w:val="22"/>
          <w:sz w:val="24"/>
          <w:szCs w:val="24"/>
          <w:lang w:val="en-GB"/>
        </w:rPr>
        <w:t>5</w:t>
      </w:r>
      <w:r w:rsidRPr="000C0842">
        <w:rPr>
          <w:rFonts w:eastAsia="SimSun" w:hint="eastAsia"/>
          <w:kern w:val="22"/>
          <w:sz w:val="24"/>
          <w:szCs w:val="24"/>
          <w:lang w:val="en-GB"/>
        </w:rPr>
        <w:t>(e)</w:t>
      </w:r>
      <w:r w:rsidRPr="000C0842">
        <w:rPr>
          <w:rFonts w:eastAsia="SimSun" w:hint="eastAsia"/>
          <w:kern w:val="22"/>
          <w:sz w:val="24"/>
          <w:szCs w:val="24"/>
          <w:lang w:val="en-GB"/>
        </w:rPr>
        <w:t>段请《生物多样性公约》</w:t>
      </w:r>
      <w:r w:rsidRPr="000C0842">
        <w:rPr>
          <w:rFonts w:eastAsia="SimSun"/>
          <w:kern w:val="22"/>
          <w:sz w:val="24"/>
          <w:szCs w:val="24"/>
          <w:vertAlign w:val="superscript"/>
          <w:lang w:val="en-GB"/>
        </w:rPr>
        <w:footnoteReference w:id="115"/>
      </w:r>
      <w:r w:rsidRPr="000C0842">
        <w:rPr>
          <w:rFonts w:eastAsia="SimSun" w:hint="eastAsia"/>
          <w:kern w:val="22"/>
          <w:sz w:val="24"/>
          <w:szCs w:val="24"/>
          <w:lang w:val="en-GB"/>
        </w:rPr>
        <w:t>执行秘书提请科学、技术和工艺咨询附属机构注意生物多样性和生态系统服务政府间科学与政策平台的交付品，审议其结论与《公约》下开展的工作的相关性，并酌情向缔约方大会提出建议</w:t>
      </w:r>
      <w:r w:rsidRPr="000C0842">
        <w:rPr>
          <w:rFonts w:eastAsia="SimSun" w:hint="eastAsia"/>
          <w:sz w:val="24"/>
          <w:szCs w:val="24"/>
          <w:lang w:val="en-GB"/>
        </w:rPr>
        <w:t>；</w:t>
      </w:r>
    </w:p>
    <w:p w14:paraId="0FB3D397"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sz w:val="24"/>
          <w:szCs w:val="24"/>
          <w:lang w:val="fr-CA"/>
        </w:rPr>
      </w:pPr>
      <w:r w:rsidRPr="000C0842">
        <w:rPr>
          <w:rFonts w:eastAsia="KaiTi" w:hint="eastAsia"/>
          <w:kern w:val="22"/>
          <w:sz w:val="24"/>
          <w:szCs w:val="24"/>
          <w:lang w:val="en-GB"/>
        </w:rPr>
        <w:t>欢迎</w:t>
      </w:r>
      <w:r w:rsidRPr="000C0842">
        <w:rPr>
          <w:rFonts w:eastAsia="SimSun" w:hint="eastAsia"/>
          <w:sz w:val="24"/>
          <w:szCs w:val="24"/>
        </w:rPr>
        <w:t>生物多样性和生态系统服务政府间科学与政策平台全体会议第十届会议所作决定，即作为其直至</w:t>
      </w:r>
      <w:r w:rsidRPr="000C0842">
        <w:rPr>
          <w:rFonts w:eastAsia="SimSun"/>
          <w:sz w:val="24"/>
          <w:szCs w:val="24"/>
        </w:rPr>
        <w:t>2030</w:t>
      </w:r>
      <w:r w:rsidRPr="000C0842">
        <w:rPr>
          <w:rFonts w:eastAsia="SimSun" w:hint="eastAsia"/>
          <w:sz w:val="24"/>
          <w:szCs w:val="24"/>
        </w:rPr>
        <w:t>年滚动工作方案的一部分，在第十三届会议之前进行一次关于监测生物多样性和自然对人类所作贡献的快速方法评估，在其第十四届会议之前进行一次关于涵盖生物多样性的综合空间规划和生态连通性的快速方法评估，并在其第十一届会议之前界定第二次生物多样性和生态系统服务全球评估的范围</w:t>
      </w:r>
      <w:r w:rsidRPr="000C0842">
        <w:rPr>
          <w:rFonts w:eastAsia="SimSun"/>
          <w:sz w:val="24"/>
          <w:szCs w:val="24"/>
          <w:vertAlign w:val="superscript"/>
        </w:rPr>
        <w:footnoteReference w:id="116"/>
      </w:r>
      <w:r w:rsidRPr="000C0842">
        <w:rPr>
          <w:rFonts w:eastAsia="SimSun" w:hint="eastAsia"/>
          <w:sz w:val="24"/>
          <w:szCs w:val="24"/>
        </w:rPr>
        <w:t>，以期在第十五届会议之前编写第二次全球评估报告，</w:t>
      </w:r>
    </w:p>
    <w:p w14:paraId="00C911BD"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KaiTi" w:hint="eastAsia"/>
          <w:kern w:val="22"/>
          <w:sz w:val="24"/>
          <w:szCs w:val="24"/>
          <w:lang w:val="en-GB"/>
        </w:rPr>
        <w:t>注意到</w:t>
      </w:r>
      <w:r w:rsidRPr="000C0842">
        <w:rPr>
          <w:rFonts w:eastAsia="SimSun" w:hint="eastAsia"/>
          <w:sz w:val="24"/>
          <w:szCs w:val="24"/>
        </w:rPr>
        <w:t>公约秘书处与生物多样性和生态系统服务政府间科学与政策平台秘书处之间的持续密切合作，</w:t>
      </w:r>
    </w:p>
    <w:p w14:paraId="266D8886" w14:textId="4C519223" w:rsidR="00BF0005" w:rsidRPr="000C0842" w:rsidRDefault="006D5DBD">
      <w:pPr>
        <w:pStyle w:val="ListParagraph"/>
        <w:numPr>
          <w:ilvl w:val="3"/>
          <w:numId w:val="234"/>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hint="eastAsia"/>
          <w:kern w:val="22"/>
          <w:sz w:val="24"/>
          <w:szCs w:val="24"/>
          <w:lang w:val="en-GB"/>
        </w:rPr>
        <w:t>表示注意到</w:t>
      </w:r>
      <w:r w:rsidRPr="000C0842">
        <w:rPr>
          <w:rFonts w:eastAsia="SimSun" w:hint="eastAsia"/>
          <w:iCs/>
          <w:sz w:val="24"/>
          <w:szCs w:val="24"/>
          <w:lang w:val="en-GB"/>
        </w:rPr>
        <w:t>生物多样性和生态系统服务政府间科学与政策平台以往和未来的评估报告以及其他交付品的概览所载信息，包括</w:t>
      </w:r>
      <w:hyperlink r:id="rId87" w:history="1">
        <w:r w:rsidRPr="000C0842">
          <w:rPr>
            <w:rFonts w:eastAsia="SimSun"/>
            <w:iCs/>
            <w:sz w:val="24"/>
            <w:szCs w:val="24"/>
            <w:u w:val="single"/>
            <w:lang w:val="en-GB"/>
          </w:rPr>
          <w:t>CBD/SBSTTA/26/3/Add.1</w:t>
        </w:r>
      </w:hyperlink>
      <w:r w:rsidRPr="000C0842">
        <w:rPr>
          <w:rFonts w:eastAsia="SimSun" w:hint="eastAsia"/>
          <w:iCs/>
          <w:sz w:val="24"/>
          <w:szCs w:val="24"/>
          <w:lang w:val="en-GB"/>
        </w:rPr>
        <w:t>号文件附件所载科学、技术和工艺咨询附属机构审议交付品的时间表</w:t>
      </w:r>
      <w:r w:rsidRPr="000C0842">
        <w:rPr>
          <w:rFonts w:eastAsia="SimSun" w:hint="eastAsia"/>
          <w:sz w:val="24"/>
          <w:szCs w:val="24"/>
        </w:rPr>
        <w:t>；</w:t>
      </w:r>
    </w:p>
    <w:p w14:paraId="4ED850EC" w14:textId="62A9C814" w:rsidR="006D5DBD" w:rsidRPr="000C0842" w:rsidRDefault="006D5DBD">
      <w:pPr>
        <w:pStyle w:val="ListParagraph"/>
        <w:numPr>
          <w:ilvl w:val="3"/>
          <w:numId w:val="234"/>
        </w:numPr>
        <w:tabs>
          <w:tab w:val="clear" w:pos="567"/>
          <w:tab w:val="clear" w:pos="1134"/>
          <w:tab w:val="clear" w:pos="1701"/>
          <w:tab w:val="clear" w:pos="2268"/>
        </w:tabs>
        <w:spacing w:before="120" w:after="120"/>
        <w:ind w:left="490" w:firstLine="490"/>
        <w:contextualSpacing w:val="0"/>
        <w:rPr>
          <w:rFonts w:eastAsia="SimSun"/>
          <w:sz w:val="24"/>
          <w:szCs w:val="24"/>
          <w:lang w:val="en-GB"/>
        </w:rPr>
      </w:pPr>
      <w:r w:rsidRPr="000C0842">
        <w:rPr>
          <w:rFonts w:eastAsia="KaiTi" w:hint="eastAsia"/>
          <w:kern w:val="22"/>
          <w:sz w:val="24"/>
          <w:szCs w:val="24"/>
          <w:lang w:val="en-GB"/>
        </w:rPr>
        <w:t>请</w:t>
      </w:r>
      <w:r w:rsidRPr="000C0842">
        <w:rPr>
          <w:rFonts w:eastAsia="SimSun" w:hint="eastAsia"/>
          <w:kern w:val="22"/>
          <w:sz w:val="24"/>
          <w:szCs w:val="24"/>
          <w:lang w:val="en-GB"/>
        </w:rPr>
        <w:t>科学、</w:t>
      </w:r>
      <w:r w:rsidRPr="000C0842">
        <w:rPr>
          <w:rFonts w:eastAsia="SimSun" w:hint="eastAsia"/>
          <w:iCs/>
          <w:sz w:val="24"/>
          <w:szCs w:val="24"/>
          <w:lang w:val="en-GB"/>
        </w:rPr>
        <w:t>技术和工艺咨询附属机构根据本决定附件所载时间表审议生物多样性和生态系统服务政府间科学</w:t>
      </w:r>
      <w:r w:rsidRPr="000C0842">
        <w:rPr>
          <w:rFonts w:eastAsia="SimSun" w:hint="eastAsia"/>
          <w:iCs/>
          <w:sz w:val="24"/>
          <w:szCs w:val="24"/>
        </w:rPr>
        <w:t>与</w:t>
      </w:r>
      <w:r w:rsidRPr="000C0842">
        <w:rPr>
          <w:rFonts w:eastAsia="SimSun" w:hint="eastAsia"/>
          <w:iCs/>
          <w:sz w:val="24"/>
          <w:szCs w:val="24"/>
          <w:lang w:val="en-GB"/>
        </w:rPr>
        <w:t>政策</w:t>
      </w:r>
      <w:r w:rsidRPr="000C0842">
        <w:rPr>
          <w:rFonts w:eastAsia="SimSun" w:hint="eastAsia"/>
          <w:iCs/>
          <w:sz w:val="24"/>
          <w:szCs w:val="24"/>
        </w:rPr>
        <w:t>平台的产出</w:t>
      </w:r>
      <w:r w:rsidRPr="000C0842">
        <w:rPr>
          <w:rFonts w:eastAsia="SimSun" w:hint="eastAsia"/>
          <w:sz w:val="24"/>
          <w:szCs w:val="24"/>
        </w:rPr>
        <w:t>；</w:t>
      </w:r>
    </w:p>
    <w:p w14:paraId="058654D6" w14:textId="77777777" w:rsidR="00BF0005" w:rsidRPr="000C0842" w:rsidRDefault="006D5DBD">
      <w:pPr>
        <w:pStyle w:val="ListParagraph"/>
        <w:numPr>
          <w:ilvl w:val="3"/>
          <w:numId w:val="234"/>
        </w:numPr>
        <w:tabs>
          <w:tab w:val="clear" w:pos="567"/>
          <w:tab w:val="clear" w:pos="1134"/>
          <w:tab w:val="clear" w:pos="1701"/>
          <w:tab w:val="clear" w:pos="2268"/>
        </w:tabs>
        <w:snapToGrid w:val="0"/>
        <w:spacing w:before="120" w:after="120" w:line="240" w:lineRule="atLeast"/>
        <w:ind w:left="490" w:firstLine="490"/>
        <w:contextualSpacing w:val="0"/>
        <w:rPr>
          <w:rFonts w:eastAsia="SimSun"/>
          <w:iCs/>
          <w:sz w:val="24"/>
          <w:szCs w:val="24"/>
          <w:lang w:val="en-GB"/>
        </w:rPr>
      </w:pPr>
      <w:r w:rsidRPr="000C0842">
        <w:rPr>
          <w:rFonts w:eastAsia="KaiTi" w:hint="eastAsia"/>
          <w:iCs/>
          <w:sz w:val="24"/>
          <w:szCs w:val="24"/>
          <w:lang w:val="en-GB"/>
        </w:rPr>
        <w:t>邀请</w:t>
      </w:r>
      <w:r w:rsidRPr="000C0842">
        <w:rPr>
          <w:rFonts w:eastAsia="SimSun" w:hint="eastAsia"/>
          <w:iCs/>
          <w:sz w:val="24"/>
          <w:szCs w:val="24"/>
          <w:lang w:val="en-GB"/>
        </w:rPr>
        <w:t>生物多样性和生态系统服务政府间科学</w:t>
      </w:r>
      <w:r w:rsidRPr="000C0842">
        <w:rPr>
          <w:rFonts w:eastAsia="SimSun" w:hint="eastAsia"/>
          <w:iCs/>
          <w:sz w:val="24"/>
          <w:szCs w:val="24"/>
        </w:rPr>
        <w:t>与</w:t>
      </w:r>
      <w:r w:rsidRPr="000C0842">
        <w:rPr>
          <w:rFonts w:eastAsia="SimSun" w:hint="eastAsia"/>
          <w:iCs/>
          <w:sz w:val="24"/>
          <w:szCs w:val="24"/>
          <w:lang w:val="en-GB"/>
        </w:rPr>
        <w:t>政策</w:t>
      </w:r>
      <w:r w:rsidRPr="000C0842">
        <w:rPr>
          <w:rFonts w:eastAsia="SimSun" w:hint="eastAsia"/>
          <w:iCs/>
          <w:sz w:val="24"/>
          <w:szCs w:val="24"/>
        </w:rPr>
        <w:t>平台</w:t>
      </w:r>
      <w:r w:rsidRPr="000C0842">
        <w:rPr>
          <w:rFonts w:eastAsia="SimSun" w:hint="eastAsia"/>
          <w:sz w:val="24"/>
          <w:szCs w:val="24"/>
        </w:rPr>
        <w:t>，除其他外，不分先后顺序，审议关于平台滚动工作方案中可能增加的评估的以下请求</w:t>
      </w:r>
      <w:r w:rsidRPr="000C0842">
        <w:rPr>
          <w:rFonts w:ascii="SimSun" w:eastAsia="SimSun" w:hAnsi="SimSun" w:hint="eastAsia"/>
          <w:kern w:val="2"/>
          <w:sz w:val="24"/>
          <w:szCs w:val="24"/>
          <w:lang w:val="en-GB"/>
        </w:rPr>
        <w:t>：</w:t>
      </w:r>
    </w:p>
    <w:p w14:paraId="6E3C09A2" w14:textId="0D7159DB" w:rsidR="006D5DBD" w:rsidRPr="000C0842" w:rsidRDefault="006D5DBD" w:rsidP="00BF0005">
      <w:pPr>
        <w:pStyle w:val="ListParagraph"/>
        <w:numPr>
          <w:ilvl w:val="0"/>
          <w:numId w:val="0"/>
        </w:numPr>
        <w:tabs>
          <w:tab w:val="clear" w:pos="567"/>
          <w:tab w:val="clear" w:pos="1134"/>
          <w:tab w:val="clear" w:pos="1701"/>
          <w:tab w:val="clear" w:pos="2268"/>
        </w:tabs>
        <w:snapToGrid w:val="0"/>
        <w:spacing w:before="120" w:after="120" w:line="240" w:lineRule="atLeast"/>
        <w:ind w:left="980"/>
        <w:contextualSpacing w:val="0"/>
        <w:rPr>
          <w:rFonts w:eastAsia="SimSun"/>
          <w:iCs/>
          <w:sz w:val="24"/>
          <w:szCs w:val="24"/>
          <w:lang w:val="en-GB"/>
        </w:rPr>
      </w:pPr>
      <w:r w:rsidRPr="000C0842">
        <w:rPr>
          <w:rFonts w:eastAsia="SimSun"/>
          <w:iCs/>
          <w:sz w:val="24"/>
          <w:szCs w:val="24"/>
          <w:lang w:val="en-GB"/>
        </w:rPr>
        <w:t xml:space="preserve">(a) </w:t>
      </w:r>
      <w:r w:rsidRPr="000C0842">
        <w:rPr>
          <w:rFonts w:eastAsia="SimSun" w:hint="eastAsia"/>
          <w:iCs/>
          <w:sz w:val="24"/>
          <w:szCs w:val="24"/>
          <w:lang w:val="en-GB"/>
        </w:rPr>
        <w:t xml:space="preserve">  </w:t>
      </w:r>
      <w:r w:rsidRPr="000C0842">
        <w:rPr>
          <w:rFonts w:eastAsia="SimSun"/>
          <w:iCs/>
          <w:sz w:val="24"/>
          <w:szCs w:val="24"/>
          <w:lang w:val="en-GB"/>
        </w:rPr>
        <w:t>对污染</w:t>
      </w:r>
      <w:r w:rsidRPr="000C0842">
        <w:rPr>
          <w:rFonts w:eastAsia="SimSun" w:hint="eastAsia"/>
          <w:iCs/>
          <w:sz w:val="24"/>
          <w:szCs w:val="24"/>
          <w:lang w:val="en-GB"/>
        </w:rPr>
        <w:t>与</w:t>
      </w:r>
      <w:r w:rsidRPr="000C0842">
        <w:rPr>
          <w:rFonts w:eastAsia="SimSun"/>
          <w:iCs/>
          <w:sz w:val="24"/>
          <w:szCs w:val="24"/>
          <w:lang w:val="en-GB"/>
        </w:rPr>
        <w:t>生物多样性</w:t>
      </w:r>
      <w:r w:rsidRPr="000C0842">
        <w:rPr>
          <w:rFonts w:eastAsia="SimSun" w:hint="eastAsia"/>
          <w:iCs/>
          <w:sz w:val="24"/>
          <w:szCs w:val="24"/>
          <w:lang w:val="en-GB"/>
        </w:rPr>
        <w:t>的</w:t>
      </w:r>
      <w:r w:rsidRPr="000C0842">
        <w:rPr>
          <w:rFonts w:eastAsia="SimSun"/>
          <w:iCs/>
          <w:sz w:val="24"/>
          <w:szCs w:val="24"/>
          <w:lang w:val="en-GB"/>
        </w:rPr>
        <w:t>评估</w:t>
      </w:r>
      <w:r w:rsidRPr="000C0842">
        <w:rPr>
          <w:rFonts w:eastAsia="SimSun" w:hint="eastAsia"/>
          <w:iCs/>
          <w:sz w:val="24"/>
          <w:szCs w:val="24"/>
          <w:lang w:val="en-GB"/>
        </w:rPr>
        <w:t>；</w:t>
      </w:r>
      <w:r w:rsidRPr="000C0842">
        <w:rPr>
          <w:rFonts w:eastAsia="SimSun"/>
          <w:iCs/>
          <w:sz w:val="24"/>
          <w:szCs w:val="24"/>
          <w:lang w:val="en-GB"/>
        </w:rPr>
        <w:t xml:space="preserve"> </w:t>
      </w:r>
    </w:p>
    <w:p w14:paraId="104A7CFF"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iCs/>
          <w:sz w:val="24"/>
          <w:szCs w:val="24"/>
          <w:lang w:val="en-GB"/>
        </w:rPr>
      </w:pPr>
      <w:r w:rsidRPr="000C0842">
        <w:rPr>
          <w:rFonts w:eastAsia="SimSun"/>
          <w:iCs/>
          <w:sz w:val="24"/>
          <w:szCs w:val="24"/>
          <w:lang w:val="en-GB"/>
        </w:rPr>
        <w:t xml:space="preserve">(b) </w:t>
      </w:r>
      <w:r w:rsidRPr="000C0842">
        <w:rPr>
          <w:rFonts w:eastAsia="SimSun" w:hint="eastAsia"/>
          <w:iCs/>
          <w:sz w:val="24"/>
          <w:szCs w:val="24"/>
          <w:lang w:val="en-GB"/>
        </w:rPr>
        <w:t xml:space="preserve">  </w:t>
      </w:r>
      <w:r w:rsidRPr="000C0842">
        <w:rPr>
          <w:rFonts w:eastAsia="SimSun"/>
          <w:iCs/>
          <w:sz w:val="24"/>
          <w:szCs w:val="24"/>
          <w:lang w:val="en-GB"/>
        </w:rPr>
        <w:t>对城市</w:t>
      </w:r>
      <w:r w:rsidRPr="000C0842">
        <w:rPr>
          <w:rFonts w:eastAsia="SimSun" w:hint="eastAsia"/>
          <w:iCs/>
          <w:sz w:val="24"/>
          <w:szCs w:val="24"/>
          <w:lang w:val="en-GB"/>
        </w:rPr>
        <w:t>与</w:t>
      </w:r>
      <w:r w:rsidRPr="000C0842">
        <w:rPr>
          <w:rFonts w:eastAsia="SimSun"/>
          <w:iCs/>
          <w:sz w:val="24"/>
          <w:szCs w:val="24"/>
          <w:lang w:val="en-GB"/>
        </w:rPr>
        <w:t>生物多样性</w:t>
      </w:r>
      <w:r w:rsidRPr="000C0842">
        <w:rPr>
          <w:rFonts w:eastAsia="SimSun" w:hint="eastAsia"/>
          <w:iCs/>
          <w:sz w:val="24"/>
          <w:szCs w:val="24"/>
          <w:lang w:val="en-GB"/>
        </w:rPr>
        <w:t>的</w:t>
      </w:r>
      <w:r w:rsidRPr="000C0842">
        <w:rPr>
          <w:rFonts w:eastAsia="SimSun"/>
          <w:iCs/>
          <w:sz w:val="24"/>
          <w:szCs w:val="24"/>
          <w:lang w:val="en-GB"/>
        </w:rPr>
        <w:t>评估</w:t>
      </w:r>
      <w:r w:rsidRPr="000C0842">
        <w:rPr>
          <w:rFonts w:eastAsia="SimSun" w:hint="eastAsia"/>
          <w:iCs/>
          <w:sz w:val="24"/>
          <w:szCs w:val="24"/>
          <w:lang w:val="en-GB"/>
        </w:rPr>
        <w:t>；</w:t>
      </w:r>
    </w:p>
    <w:p w14:paraId="14AA00E8"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iCs/>
          <w:sz w:val="24"/>
          <w:szCs w:val="24"/>
          <w:lang w:val="en-GB"/>
        </w:rPr>
      </w:pPr>
      <w:r w:rsidRPr="000C0842">
        <w:rPr>
          <w:rFonts w:eastAsia="SimSun"/>
          <w:iCs/>
          <w:sz w:val="24"/>
          <w:szCs w:val="24"/>
          <w:lang w:val="en-GB"/>
        </w:rPr>
        <w:t xml:space="preserve">(c) </w:t>
      </w:r>
      <w:r w:rsidRPr="000C0842">
        <w:rPr>
          <w:rFonts w:eastAsia="SimSun" w:hint="eastAsia"/>
          <w:iCs/>
          <w:sz w:val="24"/>
          <w:szCs w:val="24"/>
          <w:lang w:val="en-GB"/>
        </w:rPr>
        <w:t xml:space="preserve"> </w:t>
      </w:r>
      <w:r w:rsidRPr="000C0842">
        <w:rPr>
          <w:rFonts w:eastAsia="SimSun"/>
          <w:iCs/>
          <w:sz w:val="24"/>
          <w:szCs w:val="24"/>
          <w:lang w:val="en-GB"/>
        </w:rPr>
        <w:tab/>
      </w:r>
      <w:r w:rsidRPr="000C0842">
        <w:rPr>
          <w:rFonts w:eastAsia="SimSun"/>
          <w:iCs/>
          <w:sz w:val="24"/>
          <w:szCs w:val="24"/>
          <w:lang w:val="en-GB"/>
        </w:rPr>
        <w:t>对生物多样性</w:t>
      </w:r>
      <w:r w:rsidRPr="000C0842">
        <w:rPr>
          <w:rFonts w:eastAsia="SimSun" w:hint="eastAsia"/>
          <w:iCs/>
          <w:sz w:val="24"/>
          <w:szCs w:val="24"/>
          <w:lang w:val="en-GB"/>
        </w:rPr>
        <w:t>与</w:t>
      </w:r>
      <w:r w:rsidRPr="000C0842">
        <w:rPr>
          <w:rFonts w:eastAsia="SimSun"/>
          <w:iCs/>
          <w:sz w:val="24"/>
          <w:szCs w:val="24"/>
          <w:lang w:val="en-GB"/>
        </w:rPr>
        <w:t>贫困</w:t>
      </w:r>
      <w:r w:rsidRPr="000C0842">
        <w:rPr>
          <w:rFonts w:eastAsia="SimSun" w:hint="eastAsia"/>
          <w:iCs/>
          <w:sz w:val="24"/>
          <w:szCs w:val="24"/>
          <w:lang w:val="en-GB"/>
        </w:rPr>
        <w:t>的</w:t>
      </w:r>
      <w:r w:rsidRPr="000C0842">
        <w:rPr>
          <w:rFonts w:eastAsia="SimSun"/>
          <w:iCs/>
          <w:sz w:val="24"/>
          <w:szCs w:val="24"/>
          <w:lang w:val="en-GB"/>
        </w:rPr>
        <w:t>评估</w:t>
      </w:r>
      <w:r w:rsidRPr="000C0842">
        <w:rPr>
          <w:rFonts w:eastAsia="SimSun" w:hint="eastAsia"/>
          <w:iCs/>
          <w:sz w:val="24"/>
          <w:szCs w:val="24"/>
          <w:lang w:val="en-GB"/>
        </w:rPr>
        <w:t>；</w:t>
      </w:r>
    </w:p>
    <w:p w14:paraId="58F17595"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iCs/>
          <w:sz w:val="24"/>
          <w:szCs w:val="24"/>
          <w:lang w:val="en-GB"/>
        </w:rPr>
      </w:pPr>
      <w:r w:rsidRPr="000C0842">
        <w:rPr>
          <w:rFonts w:eastAsia="SimSun"/>
          <w:iCs/>
          <w:sz w:val="24"/>
          <w:szCs w:val="24"/>
          <w:lang w:val="en-GB"/>
        </w:rPr>
        <w:t>(d)</w:t>
      </w:r>
      <w:r w:rsidRPr="000C0842">
        <w:rPr>
          <w:rFonts w:eastAsia="SimSun" w:hint="eastAsia"/>
          <w:iCs/>
          <w:sz w:val="24"/>
          <w:szCs w:val="24"/>
          <w:lang w:val="en-GB"/>
        </w:rPr>
        <w:t xml:space="preserve">   </w:t>
      </w:r>
      <w:r w:rsidRPr="000C0842">
        <w:rPr>
          <w:rFonts w:eastAsia="SimSun" w:hint="eastAsia"/>
          <w:iCs/>
          <w:sz w:val="24"/>
          <w:szCs w:val="24"/>
          <w:lang w:val="en-GB"/>
        </w:rPr>
        <w:t>对</w:t>
      </w:r>
      <w:r w:rsidRPr="000C0842">
        <w:rPr>
          <w:rFonts w:eastAsia="SimSun"/>
          <w:iCs/>
          <w:sz w:val="24"/>
          <w:szCs w:val="24"/>
          <w:lang w:val="en-GB"/>
        </w:rPr>
        <w:t>生物多样性</w:t>
      </w:r>
      <w:r w:rsidRPr="000C0842">
        <w:rPr>
          <w:rFonts w:eastAsia="SimSun" w:hint="eastAsia"/>
          <w:iCs/>
          <w:sz w:val="24"/>
          <w:szCs w:val="24"/>
          <w:lang w:val="en-GB"/>
        </w:rPr>
        <w:t>与</w:t>
      </w:r>
      <w:r w:rsidRPr="000C0842">
        <w:rPr>
          <w:rFonts w:eastAsia="SimSun"/>
          <w:iCs/>
          <w:sz w:val="24"/>
          <w:szCs w:val="24"/>
          <w:lang w:val="en-GB"/>
        </w:rPr>
        <w:t>气候变化</w:t>
      </w:r>
      <w:r w:rsidRPr="000C0842">
        <w:rPr>
          <w:rFonts w:eastAsia="SimSun" w:hint="eastAsia"/>
          <w:iCs/>
          <w:sz w:val="24"/>
          <w:szCs w:val="24"/>
          <w:lang w:val="en-GB"/>
        </w:rPr>
        <w:t>的</w:t>
      </w:r>
      <w:r w:rsidRPr="000C0842">
        <w:rPr>
          <w:rFonts w:eastAsia="SimSun"/>
          <w:iCs/>
          <w:sz w:val="24"/>
          <w:szCs w:val="24"/>
          <w:lang w:val="en-GB"/>
        </w:rPr>
        <w:t>评估</w:t>
      </w:r>
      <w:r w:rsidRPr="000C0842">
        <w:rPr>
          <w:rFonts w:eastAsia="SimSun" w:hint="eastAsia"/>
          <w:iCs/>
          <w:sz w:val="24"/>
          <w:szCs w:val="24"/>
          <w:lang w:val="en-GB"/>
        </w:rPr>
        <w:t>；</w:t>
      </w:r>
    </w:p>
    <w:p w14:paraId="4238C2E6" w14:textId="60AD3591" w:rsidR="006D5DBD" w:rsidRPr="000C0842" w:rsidRDefault="006D5DBD" w:rsidP="006D5DBD">
      <w:pPr>
        <w:tabs>
          <w:tab w:val="clear" w:pos="567"/>
          <w:tab w:val="clear" w:pos="1134"/>
          <w:tab w:val="clear" w:pos="1701"/>
          <w:tab w:val="clear" w:pos="2268"/>
        </w:tabs>
        <w:snapToGrid w:val="0"/>
        <w:spacing w:before="120" w:after="120"/>
        <w:ind w:left="490" w:firstLine="490"/>
        <w:rPr>
          <w:rFonts w:ascii="SimSun" w:eastAsia="SimSun" w:hAnsi="SimSun"/>
          <w:sz w:val="24"/>
          <w:szCs w:val="24"/>
        </w:rPr>
      </w:pPr>
      <w:r w:rsidRPr="000C0842" w:rsidDel="00985F25">
        <w:rPr>
          <w:rFonts w:eastAsia="SimSun" w:hint="eastAsia"/>
          <w:iCs/>
          <w:sz w:val="24"/>
          <w:szCs w:val="24"/>
          <w:lang w:val="en-GB"/>
        </w:rPr>
        <w:t xml:space="preserve"> </w:t>
      </w:r>
      <w:r w:rsidRPr="000C0842">
        <w:rPr>
          <w:rFonts w:eastAsia="SimSun" w:hint="eastAsia"/>
          <w:iCs/>
          <w:sz w:val="24"/>
          <w:szCs w:val="24"/>
          <w:lang w:val="en-GB"/>
        </w:rPr>
        <w:t>4.</w:t>
      </w:r>
      <w:r w:rsidRPr="000C0842">
        <w:rPr>
          <w:rFonts w:eastAsia="SimSun"/>
          <w:iCs/>
          <w:sz w:val="24"/>
          <w:szCs w:val="24"/>
          <w:lang w:val="en-GB"/>
        </w:rPr>
        <w:tab/>
      </w:r>
      <w:r w:rsidR="00BF0005" w:rsidRPr="000C0842">
        <w:rPr>
          <w:rFonts w:ascii="KaiTi" w:eastAsia="KaiTi" w:hAnsi="KaiTi" w:hint="eastAsia"/>
          <w:iCs/>
          <w:sz w:val="24"/>
          <w:szCs w:val="24"/>
          <w:lang w:val="en-GB"/>
        </w:rPr>
        <w:t>又</w:t>
      </w:r>
      <w:r w:rsidRPr="000C0842">
        <w:rPr>
          <w:rFonts w:ascii="KaiTi" w:eastAsia="KaiTi" w:hAnsi="KaiTi"/>
          <w:sz w:val="24"/>
          <w:szCs w:val="24"/>
        </w:rPr>
        <w:t>邀请</w:t>
      </w:r>
      <w:r w:rsidRPr="000C0842">
        <w:rPr>
          <w:rFonts w:ascii="SimSun" w:eastAsia="SimSun" w:hAnsi="SimSun" w:hint="eastAsia"/>
          <w:sz w:val="24"/>
          <w:szCs w:val="24"/>
        </w:rPr>
        <w:t>生物多样性和生态系统服务政府间科学政策平台探讨如何提高对基于人权的方法的认识，并酌情将与之相关的事项纳入工作；</w:t>
      </w:r>
    </w:p>
    <w:p w14:paraId="1699CF5E"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hint="eastAsia"/>
          <w:iCs/>
          <w:sz w:val="24"/>
          <w:szCs w:val="24"/>
        </w:rPr>
        <w:t>5</w:t>
      </w:r>
      <w:r w:rsidRPr="000C0842">
        <w:rPr>
          <w:rFonts w:eastAsia="SimSun"/>
          <w:iCs/>
          <w:sz w:val="24"/>
          <w:szCs w:val="24"/>
        </w:rPr>
        <w:t>.</w:t>
      </w:r>
      <w:r w:rsidRPr="000C0842">
        <w:rPr>
          <w:rFonts w:eastAsia="SimSun"/>
          <w:sz w:val="24"/>
          <w:szCs w:val="24"/>
          <w:lang w:val="en-GB"/>
        </w:rPr>
        <w:t xml:space="preserve"> </w:t>
      </w:r>
      <w:r w:rsidRPr="000C0842">
        <w:rPr>
          <w:rFonts w:eastAsia="SimSun"/>
          <w:sz w:val="24"/>
          <w:szCs w:val="24"/>
          <w:lang w:val="en-GB"/>
        </w:rPr>
        <w:tab/>
      </w:r>
      <w:r w:rsidRPr="000C0842">
        <w:rPr>
          <w:rFonts w:eastAsia="KaiTi" w:hint="eastAsia"/>
          <w:kern w:val="22"/>
          <w:sz w:val="24"/>
          <w:szCs w:val="24"/>
          <w:lang w:val="en-GB"/>
        </w:rPr>
        <w:t>鼓励</w:t>
      </w:r>
      <w:r w:rsidRPr="000C0842">
        <w:rPr>
          <w:rFonts w:eastAsia="SimSun" w:hint="eastAsia"/>
          <w:kern w:val="22"/>
          <w:sz w:val="24"/>
          <w:szCs w:val="24"/>
          <w:lang w:val="en-GB"/>
        </w:rPr>
        <w:t>缔约方酌情利用生物多样性和生态系统服务政府间科学与政策平台的评估报告和交付品支持《</w:t>
      </w:r>
      <w:r w:rsidRPr="000C0842">
        <w:rPr>
          <w:rFonts w:eastAsia="SimSun"/>
          <w:kern w:val="22"/>
          <w:sz w:val="24"/>
          <w:szCs w:val="24"/>
        </w:rPr>
        <w:t>昆明</w:t>
      </w:r>
      <w:r w:rsidRPr="000C0842">
        <w:rPr>
          <w:rFonts w:eastAsia="SimSun"/>
          <w:kern w:val="22"/>
          <w:sz w:val="24"/>
          <w:szCs w:val="24"/>
        </w:rPr>
        <w:t>-</w:t>
      </w:r>
      <w:r w:rsidRPr="000C0842">
        <w:rPr>
          <w:rFonts w:eastAsia="SimSun"/>
          <w:kern w:val="22"/>
          <w:sz w:val="24"/>
          <w:szCs w:val="24"/>
        </w:rPr>
        <w:t>蒙特利尔全球生物多样性</w:t>
      </w:r>
      <w:r w:rsidRPr="000C0842">
        <w:rPr>
          <w:rFonts w:eastAsia="SimSun" w:hint="eastAsia"/>
          <w:kern w:val="22"/>
          <w:sz w:val="24"/>
          <w:szCs w:val="24"/>
          <w:lang w:val="en-GB"/>
        </w:rPr>
        <w:t>框架》</w:t>
      </w:r>
      <w:r w:rsidRPr="000C0842">
        <w:rPr>
          <w:rFonts w:eastAsia="SimSun"/>
          <w:kern w:val="2"/>
          <w:sz w:val="24"/>
          <w:szCs w:val="24"/>
          <w:vertAlign w:val="superscript"/>
        </w:rPr>
        <w:footnoteReference w:id="117"/>
      </w:r>
      <w:r w:rsidRPr="000C0842">
        <w:rPr>
          <w:rFonts w:eastAsia="SimSun" w:hint="eastAsia"/>
          <w:kern w:val="22"/>
          <w:sz w:val="24"/>
          <w:szCs w:val="24"/>
          <w:lang w:val="en-GB"/>
        </w:rPr>
        <w:t>的执行工作，</w:t>
      </w:r>
      <w:r w:rsidRPr="000C0842">
        <w:rPr>
          <w:rFonts w:eastAsia="SimSun"/>
          <w:kern w:val="22"/>
          <w:sz w:val="24"/>
          <w:szCs w:val="24"/>
          <w:lang w:val="en-GB"/>
        </w:rPr>
        <w:t xml:space="preserve"> </w:t>
      </w:r>
      <w:r w:rsidRPr="000C0842">
        <w:rPr>
          <w:rFonts w:eastAsia="SimSun" w:hint="eastAsia"/>
          <w:kern w:val="22"/>
          <w:sz w:val="24"/>
          <w:szCs w:val="24"/>
          <w:lang w:val="en-GB"/>
        </w:rPr>
        <w:t>酌情参与编写评估报告和交付品的审查，加强平台与《生物多样性公约》联络点之间在国家一级的沟通、信息共享和协调</w:t>
      </w:r>
      <w:r w:rsidRPr="000C0842">
        <w:rPr>
          <w:rFonts w:eastAsia="SimSun" w:hint="eastAsia"/>
          <w:sz w:val="24"/>
          <w:szCs w:val="24"/>
        </w:rPr>
        <w:t>；</w:t>
      </w:r>
    </w:p>
    <w:p w14:paraId="25B50C83"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kern w:val="22"/>
          <w:sz w:val="24"/>
          <w:szCs w:val="24"/>
          <w:lang w:val="en-GB"/>
        </w:rPr>
      </w:pPr>
      <w:r w:rsidRPr="000C0842">
        <w:rPr>
          <w:rFonts w:eastAsia="SimSun" w:hint="eastAsia"/>
          <w:kern w:val="22"/>
          <w:sz w:val="24"/>
          <w:szCs w:val="24"/>
          <w:lang w:val="en-GB"/>
        </w:rPr>
        <w:t>6</w:t>
      </w:r>
      <w:r w:rsidRPr="000C0842">
        <w:rPr>
          <w:rFonts w:eastAsia="SimSun"/>
          <w:kern w:val="22"/>
          <w:sz w:val="24"/>
          <w:szCs w:val="24"/>
          <w:lang w:val="en-GB"/>
        </w:rPr>
        <w:t>.</w:t>
      </w:r>
      <w:r w:rsidRPr="000C0842">
        <w:rPr>
          <w:rFonts w:eastAsia="SimSun"/>
          <w:i/>
          <w:iCs/>
          <w:kern w:val="22"/>
          <w:sz w:val="24"/>
          <w:szCs w:val="24"/>
          <w:lang w:val="en-GB"/>
        </w:rPr>
        <w:tab/>
      </w:r>
      <w:r w:rsidRPr="000C0842">
        <w:rPr>
          <w:rFonts w:eastAsia="KaiTi" w:hint="eastAsia"/>
          <w:iCs/>
          <w:kern w:val="22"/>
          <w:sz w:val="24"/>
          <w:szCs w:val="24"/>
        </w:rPr>
        <w:t>请</w:t>
      </w:r>
      <w:r w:rsidRPr="000C0842">
        <w:rPr>
          <w:rFonts w:eastAsia="SimSun" w:hint="eastAsia"/>
          <w:kern w:val="22"/>
          <w:sz w:val="24"/>
          <w:szCs w:val="24"/>
        </w:rPr>
        <w:t>执行秘书：</w:t>
      </w:r>
    </w:p>
    <w:p w14:paraId="2DADBC62"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kern w:val="22"/>
          <w:sz w:val="24"/>
          <w:szCs w:val="24"/>
        </w:rPr>
      </w:pPr>
      <w:r w:rsidRPr="000C0842">
        <w:rPr>
          <w:rFonts w:eastAsia="SimSun"/>
          <w:kern w:val="22"/>
          <w:sz w:val="24"/>
          <w:szCs w:val="24"/>
          <w:lang w:val="en-GB"/>
        </w:rPr>
        <w:t>(a)</w:t>
      </w:r>
      <w:r w:rsidRPr="000C0842">
        <w:rPr>
          <w:rFonts w:eastAsia="SimSun"/>
          <w:kern w:val="22"/>
          <w:sz w:val="24"/>
          <w:szCs w:val="24"/>
          <w:lang w:val="en-GB"/>
        </w:rPr>
        <w:tab/>
      </w:r>
      <w:r w:rsidRPr="000C0842">
        <w:rPr>
          <w:rFonts w:eastAsia="SimSun" w:hint="eastAsia"/>
          <w:kern w:val="22"/>
          <w:sz w:val="24"/>
          <w:szCs w:val="24"/>
        </w:rPr>
        <w:t>酌情便利生物多样性和生态系统服务政府间科学与政策平台执行秘书参加生物多样性相关公约联络小组的会议；</w:t>
      </w:r>
    </w:p>
    <w:p w14:paraId="7D20B751" w14:textId="77777777"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kern w:val="22"/>
          <w:sz w:val="24"/>
          <w:szCs w:val="24"/>
        </w:rPr>
      </w:pPr>
      <w:r w:rsidRPr="000C0842">
        <w:rPr>
          <w:rFonts w:eastAsia="SimSun"/>
          <w:kern w:val="22"/>
          <w:sz w:val="24"/>
          <w:szCs w:val="24"/>
        </w:rPr>
        <w:t xml:space="preserve">(b) </w:t>
      </w:r>
      <w:r w:rsidRPr="000C0842">
        <w:rPr>
          <w:rFonts w:eastAsia="SimSun"/>
          <w:kern w:val="22"/>
          <w:sz w:val="24"/>
          <w:szCs w:val="24"/>
        </w:rPr>
        <w:tab/>
      </w:r>
      <w:r w:rsidRPr="000C0842">
        <w:rPr>
          <w:rFonts w:eastAsia="SimSun" w:hint="eastAsia"/>
          <w:kern w:val="22"/>
          <w:sz w:val="24"/>
          <w:szCs w:val="24"/>
        </w:rPr>
        <w:t>更新本决定附件所载生物多样性和生态系统服务政府间科学与政策平台以往和未来的交付品及其与《公约》决策的相关性的概览，在公约秘书处网站公布，并在每个闭会期间的科学、技术和工艺咨询附属机构会议上提供秘书处与平台联合活动的最新情况；</w:t>
      </w:r>
    </w:p>
    <w:p w14:paraId="6B2595B6" w14:textId="2DF97594" w:rsidR="006D5DBD" w:rsidRPr="000C0842" w:rsidRDefault="006D5DBD" w:rsidP="006D5DBD">
      <w:pPr>
        <w:tabs>
          <w:tab w:val="clear" w:pos="567"/>
          <w:tab w:val="clear" w:pos="1134"/>
          <w:tab w:val="clear" w:pos="1701"/>
          <w:tab w:val="clear" w:pos="2268"/>
        </w:tabs>
        <w:snapToGrid w:val="0"/>
        <w:spacing w:before="120" w:after="120"/>
        <w:ind w:left="490" w:firstLine="490"/>
        <w:rPr>
          <w:rFonts w:eastAsia="SimSun"/>
          <w:kern w:val="22"/>
          <w:sz w:val="24"/>
          <w:szCs w:val="24"/>
          <w:lang w:val="en-GB"/>
        </w:rPr>
      </w:pPr>
      <w:r w:rsidRPr="000C0842">
        <w:rPr>
          <w:rFonts w:eastAsia="SimSun"/>
          <w:kern w:val="22"/>
          <w:sz w:val="24"/>
          <w:szCs w:val="24"/>
        </w:rPr>
        <w:t xml:space="preserve">(c) </w:t>
      </w:r>
      <w:r w:rsidRPr="000C0842">
        <w:rPr>
          <w:rFonts w:eastAsia="SimSun"/>
          <w:kern w:val="22"/>
          <w:sz w:val="24"/>
          <w:szCs w:val="24"/>
        </w:rPr>
        <w:tab/>
      </w:r>
      <w:r w:rsidRPr="000C0842">
        <w:rPr>
          <w:rFonts w:eastAsia="SimSun" w:hint="eastAsia"/>
          <w:kern w:val="22"/>
          <w:sz w:val="24"/>
          <w:szCs w:val="24"/>
          <w:lang w:val="en-GB"/>
        </w:rPr>
        <w:t>继续与</w:t>
      </w:r>
      <w:r w:rsidRPr="000C0842">
        <w:rPr>
          <w:rFonts w:eastAsia="SimSun" w:hint="eastAsia"/>
          <w:bCs/>
          <w:kern w:val="22"/>
          <w:sz w:val="24"/>
          <w:szCs w:val="24"/>
          <w:lang w:val="en-GB"/>
        </w:rPr>
        <w:t>生物多样性和生态系统服务政府间科学与政策</w:t>
      </w:r>
      <w:r w:rsidRPr="000C0842">
        <w:rPr>
          <w:rFonts w:eastAsia="SimSun" w:hint="eastAsia"/>
          <w:kern w:val="22"/>
          <w:sz w:val="24"/>
          <w:szCs w:val="24"/>
          <w:lang w:val="en-GB"/>
        </w:rPr>
        <w:t>平台密切合作并与平台秘书处联络，以期分析和确定平台可为</w:t>
      </w:r>
      <w:r w:rsidR="001A5C0A" w:rsidRPr="000C0842">
        <w:rPr>
          <w:rFonts w:eastAsia="SimSun" w:hint="eastAsia"/>
          <w:kern w:val="22"/>
          <w:sz w:val="24"/>
          <w:szCs w:val="24"/>
          <w:lang w:val="en-GB"/>
        </w:rPr>
        <w:t>《昆蒙框架》</w:t>
      </w:r>
      <w:r w:rsidRPr="000C0842">
        <w:rPr>
          <w:rFonts w:eastAsia="SimSun" w:hint="eastAsia"/>
          <w:kern w:val="22"/>
          <w:sz w:val="24"/>
          <w:szCs w:val="24"/>
          <w:lang w:val="en-GB"/>
        </w:rPr>
        <w:t>的执行和集体执行进度全球审查作出贡献的更多方式，包括通过确定酌情利用平台四项职能中每一项的交付品的机会。</w:t>
      </w:r>
    </w:p>
    <w:p w14:paraId="1413B47D" w14:textId="77777777" w:rsidR="006D5DBD" w:rsidRPr="000C0842" w:rsidRDefault="006D5DBD" w:rsidP="007318BF">
      <w:pPr>
        <w:keepNext/>
        <w:tabs>
          <w:tab w:val="clear" w:pos="567"/>
          <w:tab w:val="clear" w:pos="1134"/>
          <w:tab w:val="clear" w:pos="1701"/>
          <w:tab w:val="clear" w:pos="2268"/>
        </w:tabs>
        <w:snapToGrid w:val="0"/>
        <w:spacing w:before="240"/>
        <w:ind w:left="490"/>
        <w:jc w:val="left"/>
        <w:rPr>
          <w:rFonts w:eastAsia="SimSun"/>
          <w:b/>
          <w:bCs/>
          <w:sz w:val="24"/>
          <w:szCs w:val="24"/>
          <w:lang w:val="en-GB"/>
        </w:rPr>
      </w:pPr>
      <w:r w:rsidRPr="000C0842">
        <w:rPr>
          <w:rFonts w:eastAsia="SimSun" w:hint="eastAsia"/>
          <w:b/>
          <w:bCs/>
          <w:sz w:val="24"/>
          <w:szCs w:val="24"/>
          <w:lang w:val="en-GB"/>
        </w:rPr>
        <w:t>附件</w:t>
      </w:r>
      <w:r w:rsidRPr="000C0842">
        <w:rPr>
          <w:rFonts w:eastAsia="SimSun"/>
          <w:b/>
          <w:bCs/>
          <w:sz w:val="24"/>
          <w:szCs w:val="24"/>
          <w:lang w:val="en-GB"/>
        </w:rPr>
        <w:t xml:space="preserve"> </w:t>
      </w:r>
      <w:bookmarkStart w:id="35" w:name="_Hlk161737352"/>
    </w:p>
    <w:p w14:paraId="55BF2ADB" w14:textId="4C2AEE1E" w:rsidR="006D5DBD" w:rsidRPr="000C0842" w:rsidRDefault="006D5DBD" w:rsidP="00BF0005">
      <w:pPr>
        <w:keepNext/>
        <w:tabs>
          <w:tab w:val="clear" w:pos="567"/>
          <w:tab w:val="clear" w:pos="1134"/>
          <w:tab w:val="clear" w:pos="1701"/>
          <w:tab w:val="clear" w:pos="2268"/>
        </w:tabs>
        <w:snapToGrid w:val="0"/>
        <w:spacing w:after="120"/>
        <w:ind w:left="490"/>
        <w:jc w:val="left"/>
        <w:rPr>
          <w:rFonts w:eastAsiaTheme="minorEastAsia"/>
          <w:kern w:val="2"/>
          <w:lang w:val="en-CA"/>
        </w:rPr>
      </w:pPr>
      <w:r w:rsidRPr="000C0842">
        <w:rPr>
          <w:rFonts w:eastAsia="SimSun" w:hint="eastAsia"/>
          <w:b/>
          <w:bCs/>
          <w:sz w:val="24"/>
          <w:szCs w:val="24"/>
        </w:rPr>
        <w:t>生物多样性和生态系统服务政府间科学与政策平台评估时间表和《生物多样性公约》下的审议时间表（</w:t>
      </w:r>
      <w:r w:rsidRPr="000C0842">
        <w:rPr>
          <w:rFonts w:eastAsia="SimSun"/>
          <w:b/>
          <w:bCs/>
          <w:sz w:val="24"/>
          <w:szCs w:val="24"/>
        </w:rPr>
        <w:t>2024</w:t>
      </w:r>
      <w:r w:rsidRPr="000C0842">
        <w:rPr>
          <w:rFonts w:eastAsia="SimSun"/>
          <w:b/>
          <w:bCs/>
          <w:sz w:val="24"/>
          <w:szCs w:val="24"/>
        </w:rPr>
        <w:sym w:font="Symbol" w:char="F02D"/>
      </w:r>
      <w:r w:rsidRPr="000C0842">
        <w:rPr>
          <w:rFonts w:eastAsia="SimSun"/>
          <w:b/>
          <w:bCs/>
          <w:sz w:val="24"/>
          <w:szCs w:val="24"/>
        </w:rPr>
        <w:t>2030</w:t>
      </w:r>
      <w:r w:rsidRPr="000C0842">
        <w:rPr>
          <w:rFonts w:eastAsia="SimSun" w:hint="eastAsia"/>
          <w:b/>
          <w:bCs/>
          <w:sz w:val="24"/>
          <w:szCs w:val="24"/>
        </w:rPr>
        <w:t>）</w:t>
      </w:r>
      <w:bookmarkEnd w:id="35"/>
    </w:p>
    <w:tbl>
      <w:tblPr>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2"/>
        <w:gridCol w:w="3333"/>
        <w:gridCol w:w="3813"/>
      </w:tblGrid>
      <w:tr w:rsidR="000C0842" w:rsidRPr="000C0842" w14:paraId="04B2AAED" w14:textId="77777777" w:rsidTr="00C347F8">
        <w:trPr>
          <w:tblHeader/>
          <w:jc w:val="center"/>
        </w:trPr>
        <w:tc>
          <w:tcPr>
            <w:tcW w:w="2332" w:type="dxa"/>
          </w:tcPr>
          <w:p w14:paraId="72BA92D5"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i/>
                <w:iCs/>
                <w:snapToGrid w:val="0"/>
                <w:kern w:val="22"/>
                <w:sz w:val="20"/>
                <w:szCs w:val="20"/>
                <w:lang w:val="en-GB"/>
              </w:rPr>
            </w:pPr>
            <w:r w:rsidRPr="000C0842">
              <w:rPr>
                <w:rFonts w:eastAsia="KaiTi" w:hint="eastAsia"/>
                <w:iCs/>
                <w:snapToGrid w:val="0"/>
                <w:kern w:val="22"/>
                <w:sz w:val="20"/>
                <w:szCs w:val="20"/>
                <w:lang w:val="en-GB"/>
              </w:rPr>
              <w:t>生物多样性和生态系统服务政府间科学与政策平台全体会议的届会次数和审议日期</w:t>
            </w:r>
            <w:r w:rsidRPr="000C0842">
              <w:rPr>
                <w:i/>
                <w:iCs/>
                <w:sz w:val="20"/>
                <w:szCs w:val="20"/>
                <w:vertAlign w:val="superscript"/>
                <w:lang w:val="en-GB"/>
              </w:rPr>
              <w:t>a</w:t>
            </w:r>
          </w:p>
        </w:tc>
        <w:tc>
          <w:tcPr>
            <w:tcW w:w="3333" w:type="dxa"/>
          </w:tcPr>
          <w:p w14:paraId="7A9FE2FF"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i/>
                <w:iCs/>
                <w:snapToGrid w:val="0"/>
                <w:kern w:val="22"/>
                <w:sz w:val="20"/>
                <w:szCs w:val="20"/>
                <w:lang w:val="en-GB"/>
              </w:rPr>
            </w:pPr>
            <w:r w:rsidRPr="000C0842">
              <w:rPr>
                <w:rFonts w:eastAsia="KaiTi" w:hint="eastAsia"/>
                <w:iCs/>
                <w:snapToGrid w:val="0"/>
                <w:kern w:val="22"/>
                <w:sz w:val="20"/>
                <w:szCs w:val="20"/>
              </w:rPr>
              <w:t>评估</w:t>
            </w:r>
          </w:p>
        </w:tc>
        <w:tc>
          <w:tcPr>
            <w:tcW w:w="3813" w:type="dxa"/>
          </w:tcPr>
          <w:p w14:paraId="62D446F2"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KaiTi"/>
                <w:iCs/>
                <w:snapToGrid w:val="0"/>
                <w:kern w:val="22"/>
                <w:sz w:val="20"/>
                <w:szCs w:val="20"/>
                <w:lang w:val="en-GB"/>
              </w:rPr>
            </w:pPr>
            <w:r w:rsidRPr="000C0842">
              <w:rPr>
                <w:rFonts w:eastAsia="KaiTi" w:hint="eastAsia"/>
                <w:iCs/>
                <w:snapToGrid w:val="0"/>
                <w:kern w:val="22"/>
                <w:sz w:val="20"/>
                <w:szCs w:val="20"/>
                <w:lang w:val="en-GB"/>
              </w:rPr>
              <w:t>科学、技术和工艺咨询附属机构和生物多样性公约缔约方大会的审议日期</w:t>
            </w:r>
          </w:p>
        </w:tc>
      </w:tr>
      <w:tr w:rsidR="000C0842" w:rsidRPr="000C0842" w14:paraId="025107C5" w14:textId="77777777" w:rsidTr="00C347F8">
        <w:trPr>
          <w:jc w:val="center"/>
        </w:trPr>
        <w:tc>
          <w:tcPr>
            <w:tcW w:w="2332" w:type="dxa"/>
            <w:vMerge w:val="restart"/>
          </w:tcPr>
          <w:p w14:paraId="555406FC"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rPr>
                <w:rFonts w:eastAsia="SimSun"/>
                <w:snapToGrid w:val="0"/>
                <w:kern w:val="22"/>
                <w:sz w:val="20"/>
                <w:szCs w:val="20"/>
                <w:u w:val="single"/>
                <w:lang w:val="en-GB"/>
              </w:rPr>
            </w:pPr>
            <w:r w:rsidRPr="000C0842">
              <w:rPr>
                <w:rFonts w:eastAsia="SimSun" w:hint="eastAsia"/>
                <w:snapToGrid w:val="0"/>
                <w:kern w:val="22"/>
                <w:sz w:val="20"/>
                <w:szCs w:val="20"/>
                <w:lang w:val="en-GB"/>
              </w:rPr>
              <w:t>第十一届会议</w:t>
            </w:r>
            <w:r w:rsidRPr="000C0842">
              <w:rPr>
                <w:rFonts w:eastAsia="SimSun"/>
                <w:snapToGrid w:val="0"/>
                <w:kern w:val="22"/>
                <w:sz w:val="20"/>
                <w:szCs w:val="20"/>
                <w:lang w:val="en-GB"/>
              </w:rPr>
              <w:t xml:space="preserve"> (2024</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139CD6EE"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生物多样性、水、粮食和健康之间相互联系的专题评估（“联系评估”）</w:t>
            </w:r>
            <w:r w:rsidRPr="000C0842">
              <w:rPr>
                <w:i/>
                <w:iCs/>
                <w:snapToGrid w:val="0"/>
                <w:kern w:val="22"/>
                <w:sz w:val="20"/>
                <w:szCs w:val="20"/>
                <w:vertAlign w:val="superscript"/>
                <w:lang w:val="en-GB"/>
              </w:rPr>
              <w:t>b</w:t>
            </w:r>
            <w:r w:rsidRPr="000C0842">
              <w:rPr>
                <w:i/>
                <w:iCs/>
                <w:sz w:val="20"/>
                <w:szCs w:val="20"/>
                <w:vertAlign w:val="superscript"/>
                <w:lang w:val="en-GB"/>
              </w:rPr>
              <w:t xml:space="preserve"> </w:t>
            </w:r>
          </w:p>
        </w:tc>
        <w:tc>
          <w:tcPr>
            <w:tcW w:w="3813" w:type="dxa"/>
          </w:tcPr>
          <w:p w14:paraId="02EE12B9"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rPr>
            </w:pPr>
            <w:r w:rsidRPr="000C0842">
              <w:rPr>
                <w:rFonts w:eastAsia="SimSun" w:hint="eastAsia"/>
                <w:snapToGrid w:val="0"/>
                <w:kern w:val="22"/>
                <w:sz w:val="20"/>
                <w:szCs w:val="20"/>
              </w:rPr>
              <w:t>缔约方大会第十七届会议之前举行的科咨机构会议和缔约方大会第十七届会议（</w:t>
            </w:r>
            <w:r w:rsidRPr="000C0842">
              <w:rPr>
                <w:rFonts w:eastAsia="SimSun"/>
                <w:snapToGrid w:val="0"/>
                <w:kern w:val="22"/>
                <w:sz w:val="20"/>
                <w:szCs w:val="20"/>
              </w:rPr>
              <w:t>2026</w:t>
            </w:r>
            <w:r w:rsidRPr="000C0842">
              <w:rPr>
                <w:rFonts w:eastAsia="SimSun" w:hint="eastAsia"/>
                <w:snapToGrid w:val="0"/>
                <w:kern w:val="22"/>
                <w:sz w:val="20"/>
                <w:szCs w:val="20"/>
              </w:rPr>
              <w:t>年）</w:t>
            </w:r>
          </w:p>
        </w:tc>
      </w:tr>
      <w:tr w:rsidR="000C0842" w:rsidRPr="000C0842" w14:paraId="4BDFB848" w14:textId="77777777" w:rsidTr="00C347F8">
        <w:trPr>
          <w:jc w:val="center"/>
        </w:trPr>
        <w:tc>
          <w:tcPr>
            <w:tcW w:w="2332" w:type="dxa"/>
            <w:vMerge/>
          </w:tcPr>
          <w:p w14:paraId="79A3CBC2"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p>
        </w:tc>
        <w:tc>
          <w:tcPr>
            <w:tcW w:w="3333" w:type="dxa"/>
          </w:tcPr>
          <w:p w14:paraId="1BCCD559"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对生物多样性丧失的根本原因、变革的决定因素和实现</w:t>
            </w:r>
            <w:r w:rsidRPr="000C0842">
              <w:rPr>
                <w:rFonts w:eastAsia="SimSun"/>
                <w:snapToGrid w:val="0"/>
                <w:kern w:val="22"/>
                <w:sz w:val="20"/>
                <w:szCs w:val="20"/>
              </w:rPr>
              <w:t>2050</w:t>
            </w:r>
            <w:r w:rsidRPr="000C0842">
              <w:rPr>
                <w:rFonts w:eastAsia="SimSun" w:hint="eastAsia"/>
                <w:snapToGrid w:val="0"/>
                <w:kern w:val="22"/>
                <w:sz w:val="20"/>
                <w:szCs w:val="20"/>
              </w:rPr>
              <w:t>年生物多样性愿景的备选方案的专题评估（“变革评估”）</w:t>
            </w:r>
            <w:r w:rsidRPr="000C0842">
              <w:rPr>
                <w:i/>
                <w:iCs/>
                <w:sz w:val="20"/>
                <w:szCs w:val="20"/>
                <w:vertAlign w:val="superscript"/>
                <w:lang w:val="en-GB"/>
              </w:rPr>
              <w:t>c</w:t>
            </w:r>
            <w:r w:rsidRPr="000C0842">
              <w:rPr>
                <w:i/>
                <w:iCs/>
                <w:snapToGrid w:val="0"/>
                <w:kern w:val="22"/>
                <w:sz w:val="20"/>
                <w:szCs w:val="20"/>
                <w:vertAlign w:val="superscript"/>
                <w:lang w:val="en-GB"/>
              </w:rPr>
              <w:t xml:space="preserve"> </w:t>
            </w:r>
          </w:p>
        </w:tc>
        <w:tc>
          <w:tcPr>
            <w:tcW w:w="3813" w:type="dxa"/>
          </w:tcPr>
          <w:p w14:paraId="1C217DB1"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rPr>
            </w:pPr>
            <w:r w:rsidRPr="000C0842">
              <w:rPr>
                <w:rFonts w:eastAsia="SimSun" w:hint="eastAsia"/>
                <w:snapToGrid w:val="0"/>
                <w:kern w:val="22"/>
                <w:sz w:val="20"/>
                <w:szCs w:val="20"/>
              </w:rPr>
              <w:t>缔约方大会第十七届会议之前举行的科咨机构会议和缔约方大会第十七届会议（</w:t>
            </w:r>
            <w:r w:rsidRPr="000C0842">
              <w:rPr>
                <w:rFonts w:eastAsia="SimSun"/>
                <w:snapToGrid w:val="0"/>
                <w:kern w:val="22"/>
                <w:sz w:val="20"/>
                <w:szCs w:val="20"/>
              </w:rPr>
              <w:t>2026</w:t>
            </w:r>
            <w:r w:rsidRPr="000C0842">
              <w:rPr>
                <w:rFonts w:eastAsia="SimSun" w:hint="eastAsia"/>
                <w:snapToGrid w:val="0"/>
                <w:kern w:val="22"/>
                <w:sz w:val="20"/>
                <w:szCs w:val="20"/>
              </w:rPr>
              <w:t>年）</w:t>
            </w:r>
          </w:p>
        </w:tc>
      </w:tr>
      <w:tr w:rsidR="000C0842" w:rsidRPr="000C0842" w14:paraId="5F17B723" w14:textId="77777777" w:rsidTr="00C347F8">
        <w:trPr>
          <w:jc w:val="center"/>
        </w:trPr>
        <w:tc>
          <w:tcPr>
            <w:tcW w:w="2332" w:type="dxa"/>
          </w:tcPr>
          <w:p w14:paraId="60AD78D9"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lang w:val="en-GB"/>
              </w:rPr>
              <w:t>第十二届会议</w:t>
            </w:r>
            <w:r w:rsidRPr="000C0842">
              <w:rPr>
                <w:rFonts w:eastAsia="SimSun"/>
                <w:snapToGrid w:val="0"/>
                <w:kern w:val="22"/>
                <w:sz w:val="20"/>
                <w:szCs w:val="20"/>
                <w:lang w:val="en-GB"/>
              </w:rPr>
              <w:t xml:space="preserve"> (2025</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7A01FCBD"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企业对生物多样性的影响和依赖以及自然对人类贡献的方法评估（“企业和生物多样性评估”）</w:t>
            </w:r>
            <w:r w:rsidRPr="000C0842">
              <w:rPr>
                <w:i/>
                <w:iCs/>
                <w:sz w:val="20"/>
                <w:szCs w:val="20"/>
                <w:vertAlign w:val="superscript"/>
                <w:lang w:val="en-GB"/>
              </w:rPr>
              <w:t xml:space="preserve"> </w:t>
            </w:r>
            <w:r w:rsidRPr="000C0842">
              <w:rPr>
                <w:rFonts w:eastAsia="SimSun"/>
                <w:i/>
                <w:iCs/>
                <w:snapToGrid w:val="0"/>
                <w:kern w:val="22"/>
                <w:sz w:val="20"/>
                <w:szCs w:val="20"/>
                <w:vertAlign w:val="superscript"/>
              </w:rPr>
              <w:t>d</w:t>
            </w:r>
          </w:p>
        </w:tc>
        <w:tc>
          <w:tcPr>
            <w:tcW w:w="3813" w:type="dxa"/>
          </w:tcPr>
          <w:p w14:paraId="3949CBAE"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rPr>
            </w:pPr>
            <w:r w:rsidRPr="000C0842">
              <w:rPr>
                <w:rFonts w:eastAsia="SimSun" w:hint="eastAsia"/>
                <w:snapToGrid w:val="0"/>
                <w:kern w:val="22"/>
                <w:sz w:val="20"/>
                <w:szCs w:val="20"/>
              </w:rPr>
              <w:t>缔约方大会第十七届会议之前举行的科咨机构会议和缔约方大会第十七届会议（</w:t>
            </w:r>
            <w:r w:rsidRPr="000C0842">
              <w:rPr>
                <w:rFonts w:eastAsia="SimSun"/>
                <w:snapToGrid w:val="0"/>
                <w:kern w:val="22"/>
                <w:sz w:val="20"/>
                <w:szCs w:val="20"/>
              </w:rPr>
              <w:t>2026</w:t>
            </w:r>
            <w:r w:rsidRPr="000C0842">
              <w:rPr>
                <w:rFonts w:eastAsia="SimSun" w:hint="eastAsia"/>
                <w:snapToGrid w:val="0"/>
                <w:kern w:val="22"/>
                <w:sz w:val="20"/>
                <w:szCs w:val="20"/>
              </w:rPr>
              <w:t>年）</w:t>
            </w:r>
          </w:p>
        </w:tc>
      </w:tr>
      <w:tr w:rsidR="000C0842" w:rsidRPr="000C0842" w14:paraId="5DFD82EC" w14:textId="77777777" w:rsidTr="00C347F8">
        <w:trPr>
          <w:jc w:val="center"/>
        </w:trPr>
        <w:tc>
          <w:tcPr>
            <w:tcW w:w="2332" w:type="dxa"/>
          </w:tcPr>
          <w:p w14:paraId="2BD9AD41" w14:textId="094E8A83"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bookmarkStart w:id="36" w:name="_Hlk164863084"/>
            <w:r w:rsidRPr="000C0842">
              <w:rPr>
                <w:rFonts w:eastAsia="SimSun" w:hint="eastAsia"/>
                <w:snapToGrid w:val="0"/>
                <w:kern w:val="22"/>
                <w:sz w:val="20"/>
                <w:szCs w:val="20"/>
                <w:lang w:val="en-GB"/>
              </w:rPr>
              <w:t>第十三届会议</w:t>
            </w:r>
            <w:r w:rsidR="00D40E31" w:rsidRPr="000C0842">
              <w:rPr>
                <w:rFonts w:eastAsia="SimSun" w:hint="eastAsia"/>
                <w:snapToGrid w:val="0"/>
                <w:kern w:val="22"/>
                <w:sz w:val="20"/>
                <w:szCs w:val="20"/>
                <w:lang w:val="en-GB"/>
              </w:rPr>
              <w:t xml:space="preserve"> </w:t>
            </w:r>
            <w:r w:rsidRPr="000C0842">
              <w:rPr>
                <w:rFonts w:eastAsia="SimSun"/>
                <w:snapToGrid w:val="0"/>
                <w:kern w:val="22"/>
                <w:sz w:val="20"/>
                <w:szCs w:val="20"/>
                <w:lang w:val="en-GB"/>
              </w:rPr>
              <w:t>(2026</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58D873E6"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关于监测生物多样性和自然对人类的贡献的方法评估（“监测评估”）</w:t>
            </w:r>
          </w:p>
        </w:tc>
        <w:tc>
          <w:tcPr>
            <w:tcW w:w="3813" w:type="dxa"/>
          </w:tcPr>
          <w:p w14:paraId="02E31DDE"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rPr>
            </w:pPr>
            <w:r w:rsidRPr="000C0842">
              <w:rPr>
                <w:rFonts w:eastAsia="SimSun" w:hint="eastAsia"/>
                <w:snapToGrid w:val="0"/>
                <w:kern w:val="22"/>
                <w:sz w:val="20"/>
                <w:szCs w:val="20"/>
              </w:rPr>
              <w:t>缔约方大会第十七届会议（</w:t>
            </w:r>
            <w:r w:rsidRPr="000C0842">
              <w:rPr>
                <w:rFonts w:eastAsia="SimSun"/>
                <w:snapToGrid w:val="0"/>
                <w:kern w:val="22"/>
                <w:sz w:val="20"/>
                <w:szCs w:val="20"/>
              </w:rPr>
              <w:t>2026</w:t>
            </w:r>
            <w:r w:rsidRPr="000C0842">
              <w:rPr>
                <w:rFonts w:eastAsia="SimSun" w:hint="eastAsia"/>
                <w:snapToGrid w:val="0"/>
                <w:kern w:val="22"/>
                <w:sz w:val="20"/>
                <w:szCs w:val="20"/>
              </w:rPr>
              <w:t>年）和缔约方大会第十八届会议（</w:t>
            </w:r>
            <w:r w:rsidRPr="000C0842">
              <w:rPr>
                <w:rFonts w:eastAsia="SimSun"/>
                <w:snapToGrid w:val="0"/>
                <w:kern w:val="22"/>
                <w:sz w:val="20"/>
                <w:szCs w:val="20"/>
              </w:rPr>
              <w:t>2028</w:t>
            </w:r>
            <w:r w:rsidRPr="000C0842">
              <w:rPr>
                <w:rFonts w:eastAsia="SimSun" w:hint="eastAsia"/>
                <w:snapToGrid w:val="0"/>
                <w:kern w:val="22"/>
                <w:sz w:val="20"/>
                <w:szCs w:val="20"/>
              </w:rPr>
              <w:t>年）之前举行的科咨机构会议和缔约方大会第十八届会议（</w:t>
            </w:r>
            <w:r w:rsidRPr="000C0842">
              <w:rPr>
                <w:rFonts w:eastAsia="SimSun"/>
                <w:snapToGrid w:val="0"/>
                <w:kern w:val="22"/>
                <w:sz w:val="20"/>
                <w:szCs w:val="20"/>
              </w:rPr>
              <w:t>2028</w:t>
            </w:r>
            <w:r w:rsidRPr="000C0842">
              <w:rPr>
                <w:rFonts w:eastAsia="SimSun" w:hint="eastAsia"/>
                <w:snapToGrid w:val="0"/>
                <w:kern w:val="22"/>
                <w:sz w:val="20"/>
                <w:szCs w:val="20"/>
              </w:rPr>
              <w:t>年）</w:t>
            </w:r>
          </w:p>
        </w:tc>
      </w:tr>
      <w:tr w:rsidR="000C0842" w:rsidRPr="000C0842" w14:paraId="6CC3C71C" w14:textId="77777777" w:rsidTr="00C347F8">
        <w:trPr>
          <w:jc w:val="center"/>
        </w:trPr>
        <w:tc>
          <w:tcPr>
            <w:tcW w:w="2332" w:type="dxa"/>
          </w:tcPr>
          <w:p w14:paraId="61947732" w14:textId="25248C33"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lang w:val="en-GB"/>
              </w:rPr>
              <w:t>第十四届会议</w:t>
            </w:r>
            <w:r w:rsidR="00D40E31" w:rsidRPr="000C0842">
              <w:rPr>
                <w:rFonts w:eastAsia="SimSun" w:hint="eastAsia"/>
                <w:snapToGrid w:val="0"/>
                <w:kern w:val="22"/>
                <w:sz w:val="20"/>
                <w:szCs w:val="20"/>
                <w:lang w:val="en-GB"/>
              </w:rPr>
              <w:t xml:space="preserve"> </w:t>
            </w:r>
            <w:r w:rsidRPr="000C0842">
              <w:rPr>
                <w:rFonts w:eastAsia="SimSun"/>
                <w:snapToGrid w:val="0"/>
                <w:kern w:val="22"/>
                <w:sz w:val="20"/>
                <w:szCs w:val="20"/>
                <w:lang w:val="en-GB"/>
              </w:rPr>
              <w:t>(2027</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17AD9361"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涵盖生物多样性的综合空间规划和生态连通性的方法评估</w:t>
            </w:r>
          </w:p>
        </w:tc>
        <w:tc>
          <w:tcPr>
            <w:tcW w:w="3813" w:type="dxa"/>
          </w:tcPr>
          <w:p w14:paraId="78FBBE63"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rPr>
            </w:pPr>
            <w:r w:rsidRPr="000C0842">
              <w:rPr>
                <w:rFonts w:eastAsia="SimSun" w:hint="eastAsia"/>
                <w:snapToGrid w:val="0"/>
                <w:kern w:val="22"/>
                <w:sz w:val="20"/>
                <w:szCs w:val="20"/>
              </w:rPr>
              <w:t>缔约方大会第十八届会议之前举行的科咨机构会议和缔约方大会第十八届会议（</w:t>
            </w:r>
            <w:r w:rsidRPr="000C0842">
              <w:rPr>
                <w:rFonts w:eastAsia="SimSun"/>
                <w:snapToGrid w:val="0"/>
                <w:kern w:val="22"/>
                <w:sz w:val="20"/>
                <w:szCs w:val="20"/>
              </w:rPr>
              <w:t>2028</w:t>
            </w:r>
            <w:r w:rsidRPr="000C0842">
              <w:rPr>
                <w:rFonts w:eastAsia="SimSun" w:hint="eastAsia"/>
                <w:snapToGrid w:val="0"/>
                <w:kern w:val="22"/>
                <w:sz w:val="20"/>
                <w:szCs w:val="20"/>
              </w:rPr>
              <w:t>年）</w:t>
            </w:r>
          </w:p>
        </w:tc>
      </w:tr>
      <w:tr w:rsidR="000C0842" w:rsidRPr="000C0842" w14:paraId="0B02FE6A" w14:textId="77777777" w:rsidTr="00C347F8">
        <w:trPr>
          <w:jc w:val="center"/>
        </w:trPr>
        <w:tc>
          <w:tcPr>
            <w:tcW w:w="2332" w:type="dxa"/>
          </w:tcPr>
          <w:p w14:paraId="2DBA73C9"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bookmarkStart w:id="37" w:name="_Hlk164874995"/>
            <w:r w:rsidRPr="000C0842">
              <w:rPr>
                <w:rFonts w:eastAsia="SimSun" w:hint="eastAsia"/>
                <w:snapToGrid w:val="0"/>
                <w:kern w:val="22"/>
                <w:sz w:val="20"/>
                <w:szCs w:val="20"/>
                <w:lang w:val="en-GB"/>
              </w:rPr>
              <w:t>第十五届会议</w:t>
            </w:r>
            <w:r w:rsidRPr="000C0842">
              <w:rPr>
                <w:rFonts w:eastAsia="SimSun"/>
                <w:snapToGrid w:val="0"/>
                <w:kern w:val="22"/>
                <w:sz w:val="20"/>
                <w:szCs w:val="20"/>
                <w:lang w:val="en-GB"/>
              </w:rPr>
              <w:t xml:space="preserve"> (2028</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64F8AE2C"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第二次生物多样性和生态系统服务全球评估</w:t>
            </w:r>
          </w:p>
        </w:tc>
        <w:tc>
          <w:tcPr>
            <w:tcW w:w="3813" w:type="dxa"/>
          </w:tcPr>
          <w:p w14:paraId="333ECB1E"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缔约方大会第十九届会议之前举行的科咨机构会议和缔约方大会第十九届会议（</w:t>
            </w:r>
            <w:r w:rsidRPr="000C0842">
              <w:rPr>
                <w:rFonts w:eastAsia="SimSun"/>
                <w:snapToGrid w:val="0"/>
                <w:kern w:val="22"/>
                <w:sz w:val="20"/>
                <w:szCs w:val="20"/>
              </w:rPr>
              <w:t>2030</w:t>
            </w:r>
            <w:r w:rsidRPr="000C0842">
              <w:rPr>
                <w:rFonts w:eastAsia="SimSun" w:hint="eastAsia"/>
                <w:snapToGrid w:val="0"/>
                <w:kern w:val="22"/>
                <w:sz w:val="20"/>
                <w:szCs w:val="20"/>
              </w:rPr>
              <w:t>年）</w:t>
            </w:r>
          </w:p>
        </w:tc>
      </w:tr>
      <w:tr w:rsidR="00BF0005" w:rsidRPr="000C0842" w14:paraId="2A2B6048" w14:textId="77777777" w:rsidTr="00C347F8">
        <w:trPr>
          <w:jc w:val="center"/>
        </w:trPr>
        <w:tc>
          <w:tcPr>
            <w:tcW w:w="2332" w:type="dxa"/>
          </w:tcPr>
          <w:p w14:paraId="0CE6EB0C"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lang w:val="en-GB"/>
              </w:rPr>
              <w:t>第十六届会议</w:t>
            </w:r>
            <w:r w:rsidRPr="000C0842">
              <w:rPr>
                <w:rFonts w:eastAsia="SimSun"/>
                <w:snapToGrid w:val="0"/>
                <w:kern w:val="22"/>
                <w:sz w:val="20"/>
                <w:szCs w:val="20"/>
                <w:lang w:val="en-GB"/>
              </w:rPr>
              <w:t xml:space="preserve"> (2029</w:t>
            </w:r>
            <w:r w:rsidRPr="000C0842">
              <w:rPr>
                <w:rFonts w:eastAsia="SimSun" w:hint="eastAsia"/>
                <w:snapToGrid w:val="0"/>
                <w:kern w:val="22"/>
                <w:sz w:val="20"/>
                <w:szCs w:val="20"/>
                <w:lang w:val="en-GB"/>
              </w:rPr>
              <w:t>年</w:t>
            </w:r>
            <w:r w:rsidRPr="000C0842">
              <w:rPr>
                <w:rFonts w:eastAsia="SimSun"/>
                <w:snapToGrid w:val="0"/>
                <w:kern w:val="22"/>
                <w:sz w:val="20"/>
                <w:szCs w:val="20"/>
                <w:lang w:val="en-GB"/>
              </w:rPr>
              <w:t>)</w:t>
            </w:r>
          </w:p>
        </w:tc>
        <w:tc>
          <w:tcPr>
            <w:tcW w:w="3333" w:type="dxa"/>
          </w:tcPr>
          <w:p w14:paraId="11D3EA3A"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生物多样性和生态系统服务政府间科学与政策平台全体会议第十二届会议将确定评估主题</w:t>
            </w:r>
          </w:p>
        </w:tc>
        <w:tc>
          <w:tcPr>
            <w:tcW w:w="3813" w:type="dxa"/>
          </w:tcPr>
          <w:p w14:paraId="09CD75C3" w14:textId="77777777" w:rsidR="00BF0005" w:rsidRPr="000C0842" w:rsidRDefault="00BF0005" w:rsidP="00BF0005">
            <w:pPr>
              <w:suppressLineNumbers/>
              <w:tabs>
                <w:tab w:val="clear" w:pos="567"/>
                <w:tab w:val="clear" w:pos="1134"/>
                <w:tab w:val="clear" w:pos="1701"/>
                <w:tab w:val="clear" w:pos="2268"/>
              </w:tabs>
              <w:suppressAutoHyphens/>
              <w:overflowPunct w:val="0"/>
              <w:autoSpaceDE w:val="0"/>
              <w:autoSpaceDN w:val="0"/>
              <w:adjustRightInd w:val="0"/>
              <w:snapToGrid w:val="0"/>
              <w:spacing w:before="40" w:after="40"/>
              <w:jc w:val="left"/>
              <w:rPr>
                <w:rFonts w:eastAsia="SimSun"/>
                <w:snapToGrid w:val="0"/>
                <w:kern w:val="22"/>
                <w:sz w:val="20"/>
                <w:szCs w:val="20"/>
                <w:lang w:val="en-GB"/>
              </w:rPr>
            </w:pPr>
            <w:r w:rsidRPr="000C0842">
              <w:rPr>
                <w:rFonts w:eastAsia="SimSun" w:hint="eastAsia"/>
                <w:snapToGrid w:val="0"/>
                <w:kern w:val="22"/>
                <w:sz w:val="20"/>
                <w:szCs w:val="20"/>
              </w:rPr>
              <w:t>缔约方大会第十九届会议之前举行的科咨机构会议和缔约方大会第十九届会议（</w:t>
            </w:r>
            <w:r w:rsidRPr="000C0842">
              <w:rPr>
                <w:rFonts w:eastAsia="SimSun"/>
                <w:snapToGrid w:val="0"/>
                <w:kern w:val="22"/>
                <w:sz w:val="20"/>
                <w:szCs w:val="20"/>
              </w:rPr>
              <w:t>2030</w:t>
            </w:r>
            <w:r w:rsidRPr="000C0842">
              <w:rPr>
                <w:rFonts w:eastAsia="SimSun" w:hint="eastAsia"/>
                <w:snapToGrid w:val="0"/>
                <w:kern w:val="22"/>
                <w:sz w:val="20"/>
                <w:szCs w:val="20"/>
              </w:rPr>
              <w:t>年）</w:t>
            </w:r>
          </w:p>
        </w:tc>
      </w:tr>
      <w:bookmarkEnd w:id="36"/>
      <w:bookmarkEnd w:id="37"/>
    </w:tbl>
    <w:p w14:paraId="328724C9" w14:textId="77777777" w:rsidR="00BF0005" w:rsidRPr="000C0842" w:rsidRDefault="00BF0005" w:rsidP="00BF0005">
      <w:pPr>
        <w:keepNext/>
        <w:tabs>
          <w:tab w:val="clear" w:pos="567"/>
          <w:tab w:val="clear" w:pos="1134"/>
          <w:tab w:val="clear" w:pos="1701"/>
          <w:tab w:val="clear" w:pos="2268"/>
        </w:tabs>
        <w:snapToGrid w:val="0"/>
        <w:spacing w:after="120"/>
        <w:ind w:left="490"/>
        <w:jc w:val="left"/>
        <w:rPr>
          <w:kern w:val="22"/>
          <w:sz w:val="24"/>
          <w:szCs w:val="24"/>
        </w:rPr>
      </w:pPr>
    </w:p>
    <w:p w14:paraId="09EA6259" w14:textId="730FF468" w:rsidR="00C347F8" w:rsidRPr="000C0842" w:rsidRDefault="00C347F8" w:rsidP="00C347F8">
      <w:pPr>
        <w:keepNext/>
        <w:tabs>
          <w:tab w:val="clear" w:pos="567"/>
          <w:tab w:val="clear" w:pos="1134"/>
          <w:tab w:val="clear" w:pos="1701"/>
          <w:tab w:val="clear" w:pos="2268"/>
        </w:tabs>
        <w:snapToGrid w:val="0"/>
        <w:spacing w:after="60"/>
        <w:ind w:left="360"/>
        <w:jc w:val="left"/>
        <w:rPr>
          <w:rFonts w:eastAsia="SimSun"/>
          <w:kern w:val="22"/>
          <w:sz w:val="20"/>
          <w:szCs w:val="20"/>
        </w:rPr>
      </w:pPr>
      <w:r w:rsidRPr="000C0842">
        <w:rPr>
          <w:rFonts w:eastAsia="SimSun"/>
          <w:i/>
          <w:iCs/>
          <w:kern w:val="22"/>
          <w:sz w:val="20"/>
          <w:szCs w:val="20"/>
          <w:vertAlign w:val="superscript"/>
          <w:lang w:val="en-GB"/>
        </w:rPr>
        <w:t>a</w:t>
      </w:r>
      <w:r w:rsidRPr="000C0842">
        <w:rPr>
          <w:rFonts w:eastAsia="SimSun"/>
          <w:kern w:val="22"/>
          <w:sz w:val="20"/>
          <w:szCs w:val="20"/>
          <w:lang w:val="en-GB"/>
        </w:rPr>
        <w:t xml:space="preserve"> </w:t>
      </w:r>
      <w:r w:rsidRPr="000C0842">
        <w:rPr>
          <w:rFonts w:eastAsia="SimSun"/>
          <w:sz w:val="20"/>
          <w:szCs w:val="20"/>
          <w:lang w:val="en-CA"/>
        </w:rPr>
        <w:t>未来会议的日期为指示性日期。</w:t>
      </w:r>
    </w:p>
    <w:p w14:paraId="21DC0706" w14:textId="77777777" w:rsidR="006D5DBD" w:rsidRPr="000C0842" w:rsidRDefault="006D5DBD" w:rsidP="00C347F8">
      <w:pPr>
        <w:tabs>
          <w:tab w:val="clear" w:pos="567"/>
          <w:tab w:val="clear" w:pos="1134"/>
          <w:tab w:val="clear" w:pos="1701"/>
          <w:tab w:val="clear" w:pos="2268"/>
        </w:tabs>
        <w:snapToGrid w:val="0"/>
        <w:spacing w:after="60" w:line="240" w:lineRule="atLeast"/>
        <w:ind w:left="360"/>
        <w:rPr>
          <w:rFonts w:eastAsia="SimSun"/>
          <w:snapToGrid w:val="0"/>
          <w:kern w:val="22"/>
          <w:sz w:val="20"/>
          <w:szCs w:val="20"/>
          <w:u w:val="single"/>
          <w:lang w:val="en-GB"/>
        </w:rPr>
      </w:pPr>
      <w:r w:rsidRPr="000C0842">
        <w:rPr>
          <w:rFonts w:eastAsia="SimSun"/>
          <w:i/>
          <w:iCs/>
          <w:kern w:val="22"/>
          <w:sz w:val="20"/>
          <w:szCs w:val="20"/>
          <w:vertAlign w:val="superscript"/>
          <w:lang w:val="en-GB"/>
        </w:rPr>
        <w:t>b</w:t>
      </w:r>
      <w:r w:rsidRPr="000C0842">
        <w:rPr>
          <w:rFonts w:eastAsia="SimSun"/>
          <w:kern w:val="22"/>
          <w:sz w:val="20"/>
          <w:szCs w:val="20"/>
          <w:lang w:val="en-GB"/>
        </w:rPr>
        <w:t xml:space="preserve"> </w:t>
      </w:r>
      <w:r w:rsidRPr="000C0842">
        <w:rPr>
          <w:rFonts w:eastAsia="SimSun"/>
          <w:kern w:val="2"/>
          <w:sz w:val="20"/>
          <w:szCs w:val="20"/>
          <w:lang w:val="en-CA"/>
        </w:rPr>
        <w:t>见</w:t>
      </w:r>
      <w:hyperlink r:id="rId88" w:history="1">
        <w:r w:rsidRPr="000C0842">
          <w:rPr>
            <w:rFonts w:eastAsia="SimSun"/>
            <w:snapToGrid w:val="0"/>
            <w:kern w:val="22"/>
            <w:sz w:val="20"/>
            <w:szCs w:val="20"/>
            <w:u w:val="single"/>
            <w:lang w:val="en-GB"/>
          </w:rPr>
          <w:t>https://ipbes.net/nexus</w:t>
        </w:r>
      </w:hyperlink>
      <w:r w:rsidRPr="000C0842">
        <w:rPr>
          <w:rFonts w:eastAsia="SimSun"/>
          <w:snapToGrid w:val="0"/>
          <w:kern w:val="22"/>
          <w:sz w:val="20"/>
          <w:szCs w:val="20"/>
          <w:lang w:val="en-GB"/>
        </w:rPr>
        <w:t>。</w:t>
      </w:r>
    </w:p>
    <w:p w14:paraId="11064780" w14:textId="77777777" w:rsidR="006D5DBD" w:rsidRPr="000C0842" w:rsidRDefault="006D5DBD" w:rsidP="00C347F8">
      <w:pPr>
        <w:tabs>
          <w:tab w:val="clear" w:pos="567"/>
          <w:tab w:val="clear" w:pos="1134"/>
          <w:tab w:val="clear" w:pos="1701"/>
          <w:tab w:val="clear" w:pos="2268"/>
        </w:tabs>
        <w:snapToGrid w:val="0"/>
        <w:spacing w:after="60" w:line="240" w:lineRule="atLeast"/>
        <w:ind w:left="360"/>
        <w:rPr>
          <w:rFonts w:eastAsia="SimSun"/>
          <w:snapToGrid w:val="0"/>
          <w:kern w:val="22"/>
          <w:sz w:val="20"/>
          <w:szCs w:val="20"/>
          <w:u w:val="single"/>
          <w:lang w:val="en-GB"/>
        </w:rPr>
      </w:pPr>
      <w:r w:rsidRPr="000C0842">
        <w:rPr>
          <w:rFonts w:eastAsia="SimSun"/>
          <w:i/>
          <w:iCs/>
          <w:kern w:val="22"/>
          <w:sz w:val="20"/>
          <w:szCs w:val="20"/>
          <w:vertAlign w:val="superscript"/>
          <w:lang w:val="en-GB"/>
        </w:rPr>
        <w:t>c</w:t>
      </w:r>
      <w:r w:rsidRPr="000C0842">
        <w:rPr>
          <w:rFonts w:eastAsia="SimSun"/>
          <w:kern w:val="2"/>
          <w:sz w:val="20"/>
          <w:szCs w:val="20"/>
          <w:lang w:val="en-CA"/>
        </w:rPr>
        <w:t>见</w:t>
      </w:r>
      <w:hyperlink r:id="rId89" w:history="1">
        <w:r w:rsidRPr="000C0842">
          <w:rPr>
            <w:rFonts w:eastAsia="SimSun"/>
            <w:snapToGrid w:val="0"/>
            <w:kern w:val="22"/>
            <w:sz w:val="20"/>
            <w:szCs w:val="20"/>
            <w:u w:val="single"/>
            <w:lang w:val="en-GB"/>
          </w:rPr>
          <w:t>https://ipbes.net/transformative-change</w:t>
        </w:r>
      </w:hyperlink>
      <w:r w:rsidRPr="000C0842">
        <w:rPr>
          <w:rFonts w:eastAsia="SimSun"/>
          <w:snapToGrid w:val="0"/>
          <w:kern w:val="22"/>
          <w:sz w:val="20"/>
          <w:szCs w:val="20"/>
          <w:lang w:val="en-GB"/>
        </w:rPr>
        <w:t>。</w:t>
      </w:r>
    </w:p>
    <w:p w14:paraId="38F1B691" w14:textId="213C97B6" w:rsidR="006D5DBD" w:rsidRPr="000C0842" w:rsidRDefault="006D5DBD" w:rsidP="00C347F8">
      <w:pPr>
        <w:tabs>
          <w:tab w:val="clear" w:pos="567"/>
          <w:tab w:val="clear" w:pos="1134"/>
          <w:tab w:val="clear" w:pos="1701"/>
          <w:tab w:val="clear" w:pos="2268"/>
        </w:tabs>
        <w:spacing w:after="60" w:line="240" w:lineRule="atLeast"/>
        <w:ind w:left="360"/>
        <w:jc w:val="left"/>
        <w:rPr>
          <w:rFonts w:eastAsia="SimSun"/>
          <w:snapToGrid w:val="0"/>
          <w:kern w:val="22"/>
          <w:sz w:val="20"/>
          <w:szCs w:val="20"/>
          <w:lang w:val="en-GB"/>
        </w:rPr>
      </w:pPr>
      <w:r w:rsidRPr="000C0842">
        <w:rPr>
          <w:rFonts w:eastAsia="SimSun"/>
          <w:i/>
          <w:iCs/>
          <w:kern w:val="22"/>
          <w:sz w:val="20"/>
          <w:szCs w:val="20"/>
          <w:vertAlign w:val="superscript"/>
        </w:rPr>
        <w:t>d</w:t>
      </w:r>
      <w:r w:rsidRPr="000C0842">
        <w:rPr>
          <w:rFonts w:eastAsia="SimSun"/>
          <w:kern w:val="2"/>
          <w:sz w:val="20"/>
          <w:szCs w:val="20"/>
        </w:rPr>
        <w:t xml:space="preserve"> </w:t>
      </w:r>
      <w:r w:rsidRPr="000C0842">
        <w:rPr>
          <w:rFonts w:eastAsia="SimSun"/>
          <w:kern w:val="2"/>
          <w:sz w:val="20"/>
          <w:szCs w:val="20"/>
          <w:lang w:val="en-CA"/>
        </w:rPr>
        <w:t>见</w:t>
      </w:r>
      <w:hyperlink r:id="rId90" w:history="1">
        <w:r w:rsidRPr="000C0842">
          <w:rPr>
            <w:rFonts w:eastAsia="SimSun"/>
            <w:snapToGrid w:val="0"/>
            <w:kern w:val="22"/>
            <w:sz w:val="20"/>
            <w:szCs w:val="20"/>
            <w:u w:val="single"/>
            <w:lang w:val="en-GB"/>
          </w:rPr>
          <w:t>https://ipbes.net/business-impact</w:t>
        </w:r>
      </w:hyperlink>
      <w:r w:rsidRPr="000C0842">
        <w:rPr>
          <w:rFonts w:eastAsia="SimSun"/>
          <w:snapToGrid w:val="0"/>
          <w:kern w:val="22"/>
          <w:sz w:val="20"/>
          <w:szCs w:val="20"/>
          <w:lang w:val="en-GB"/>
        </w:rPr>
        <w:t>。</w:t>
      </w:r>
    </w:p>
    <w:p w14:paraId="2C94E920" w14:textId="77777777" w:rsidR="006D5DBD" w:rsidRPr="000C0842" w:rsidRDefault="006D5DBD" w:rsidP="00C347F8">
      <w:pPr>
        <w:tabs>
          <w:tab w:val="clear" w:pos="567"/>
          <w:tab w:val="clear" w:pos="1134"/>
          <w:tab w:val="clear" w:pos="1701"/>
          <w:tab w:val="clear" w:pos="2268"/>
        </w:tabs>
        <w:spacing w:after="60"/>
        <w:jc w:val="left"/>
        <w:rPr>
          <w:rFonts w:ascii="SimSun" w:eastAsia="SimSun" w:hAnsi="SimSun" w:cs="SimSun"/>
          <w:snapToGrid w:val="0"/>
          <w:kern w:val="22"/>
          <w:sz w:val="24"/>
          <w:szCs w:val="24"/>
          <w:lang w:val="en-GB"/>
        </w:rPr>
      </w:pPr>
      <w:r w:rsidRPr="000C0842">
        <w:rPr>
          <w:rFonts w:eastAsia="SimSun"/>
          <w:snapToGrid w:val="0"/>
          <w:kern w:val="22"/>
          <w:sz w:val="20"/>
          <w:szCs w:val="20"/>
          <w:lang w:val="en-GB"/>
        </w:rPr>
        <w:br w:type="page"/>
      </w:r>
    </w:p>
    <w:p w14:paraId="35EDFD0D" w14:textId="77777777" w:rsidR="006D5DBD" w:rsidRPr="000C0842" w:rsidRDefault="006D5DBD" w:rsidP="002437E6">
      <w:pPr>
        <w:pStyle w:val="a1"/>
        <w:rPr>
          <w:rFonts w:hint="eastAsia"/>
          <w:lang w:eastAsia="zh-CN"/>
        </w:rPr>
      </w:pPr>
      <w:bookmarkStart w:id="38" w:name="_Toc206358208"/>
      <w:r w:rsidRPr="000C0842">
        <w:rPr>
          <w:lang w:eastAsia="zh-CN"/>
        </w:rPr>
        <w:t xml:space="preserve">16/12.  </w:t>
      </w:r>
      <w:r w:rsidRPr="000C0842">
        <w:rPr>
          <w:lang w:eastAsia="zh-CN"/>
        </w:rPr>
        <w:t>用于支持执行《昆明</w:t>
      </w:r>
      <w:r w:rsidRPr="000C0842">
        <w:rPr>
          <w:lang w:eastAsia="zh-CN"/>
        </w:rPr>
        <w:t>-</w:t>
      </w:r>
      <w:r w:rsidRPr="000C0842">
        <w:rPr>
          <w:lang w:eastAsia="zh-CN"/>
        </w:rPr>
        <w:t>蒙特利尔全球生物多样性框架》的科技需求</w:t>
      </w:r>
      <w:bookmarkEnd w:id="38"/>
    </w:p>
    <w:p w14:paraId="0611ACB9" w14:textId="31DB2A40" w:rsidR="006D5DBD" w:rsidRPr="000C0842" w:rsidRDefault="006D5DBD" w:rsidP="00BB279D">
      <w:pPr>
        <w:keepNext/>
        <w:tabs>
          <w:tab w:val="clear" w:pos="567"/>
          <w:tab w:val="clear" w:pos="1134"/>
          <w:tab w:val="clear" w:pos="1701"/>
          <w:tab w:val="clear" w:pos="2268"/>
        </w:tabs>
        <w:snapToGrid w:val="0"/>
        <w:spacing w:before="240" w:after="120" w:line="240" w:lineRule="atLeast"/>
        <w:ind w:left="490" w:firstLine="490"/>
        <w:rPr>
          <w:rFonts w:eastAsia="KaiTi"/>
          <w:sz w:val="24"/>
          <w:szCs w:val="24"/>
          <w:lang w:val="en-GB"/>
        </w:rPr>
      </w:pPr>
      <w:r w:rsidRPr="000C0842">
        <w:rPr>
          <w:rFonts w:eastAsia="KaiTi" w:hint="eastAsia"/>
          <w:sz w:val="24"/>
          <w:szCs w:val="24"/>
          <w:lang w:val="en-GB"/>
        </w:rPr>
        <w:t>缔约方大会</w:t>
      </w:r>
      <w:r w:rsidRPr="000C0842">
        <w:rPr>
          <w:rFonts w:eastAsia="KaiTi" w:hint="eastAsia"/>
          <w:sz w:val="24"/>
          <w:szCs w:val="24"/>
          <w:lang w:val="en-GB"/>
        </w:rPr>
        <w:t>,</w:t>
      </w:r>
    </w:p>
    <w:p w14:paraId="6F1BF63E" w14:textId="3F3AA5D9" w:rsidR="006D5DBD" w:rsidRPr="000C0842" w:rsidRDefault="006D5DBD" w:rsidP="006D5DBD">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hint="eastAsia"/>
          <w:iCs/>
          <w:sz w:val="24"/>
        </w:rPr>
        <w:t>认识到</w:t>
      </w:r>
      <w:r w:rsidRPr="000C0842">
        <w:rPr>
          <w:rFonts w:eastAsia="SimSun" w:hint="eastAsia"/>
          <w:sz w:val="24"/>
          <w:szCs w:val="24"/>
        </w:rPr>
        <w:t>查明促进执行《昆明</w:t>
      </w:r>
      <w:r w:rsidRPr="000C0842">
        <w:rPr>
          <w:rFonts w:eastAsia="SimSun" w:hint="eastAsia"/>
          <w:sz w:val="24"/>
          <w:szCs w:val="24"/>
        </w:rPr>
        <w:t>-</w:t>
      </w:r>
      <w:r w:rsidRPr="000C0842">
        <w:rPr>
          <w:rFonts w:eastAsia="SimSun" w:hint="eastAsia"/>
          <w:sz w:val="24"/>
          <w:szCs w:val="24"/>
        </w:rPr>
        <w:t>蒙特利尔全球生物多样性框架》</w:t>
      </w:r>
      <w:r w:rsidRPr="000C0842">
        <w:rPr>
          <w:rFonts w:eastAsia="Times New Roman"/>
          <w:sz w:val="24"/>
          <w:szCs w:val="24"/>
          <w:vertAlign w:val="superscript"/>
          <w:lang w:val="en-GB"/>
        </w:rPr>
        <w:footnoteReference w:id="118"/>
      </w:r>
      <w:r w:rsidRPr="000C0842">
        <w:rPr>
          <w:rFonts w:eastAsia="SimSun" w:hint="eastAsia"/>
          <w:sz w:val="24"/>
          <w:szCs w:val="24"/>
        </w:rPr>
        <w:t>的科学需求是一个贯穿《昆蒙框架》始终的持续进程，目前进行的其他几个进程也与查明和解决更多需求相关，包括监测和指标的工作、工作方案审查、《生物多样性公约》</w:t>
      </w:r>
      <w:r w:rsidRPr="000C0842">
        <w:rPr>
          <w:rFonts w:eastAsia="Times New Roman"/>
          <w:sz w:val="24"/>
          <w:szCs w:val="24"/>
          <w:vertAlign w:val="superscript"/>
          <w:lang w:val="en-GB"/>
        </w:rPr>
        <w:footnoteReference w:id="119"/>
      </w:r>
      <w:r w:rsidRPr="000C0842">
        <w:rPr>
          <w:rFonts w:eastAsia="SimSun" w:hint="eastAsia"/>
          <w:sz w:val="24"/>
          <w:szCs w:val="24"/>
        </w:rPr>
        <w:t>第</w:t>
      </w:r>
      <w:r w:rsidRPr="000C0842">
        <w:rPr>
          <w:rFonts w:eastAsia="SimSun" w:hint="eastAsia"/>
          <w:sz w:val="24"/>
          <w:szCs w:val="24"/>
        </w:rPr>
        <w:t xml:space="preserve"> 8(j)</w:t>
      </w:r>
      <w:r w:rsidRPr="000C0842">
        <w:rPr>
          <w:rFonts w:eastAsia="SimSun" w:hint="eastAsia"/>
          <w:sz w:val="24"/>
          <w:szCs w:val="24"/>
        </w:rPr>
        <w:t>条和其他条款的新工作方案、能力建设和发展工作、科技合作、更新国家生物多样性战略和行动计划并支持其执行进程、生物多样性和生态系统服务政府间科学与政策平台及其他相关进程开展的工作，</w:t>
      </w:r>
      <w:r w:rsidRPr="000C0842">
        <w:rPr>
          <w:rFonts w:eastAsia="SimSun"/>
          <w:sz w:val="24"/>
          <w:szCs w:val="24"/>
          <w:lang w:val="en-GB"/>
        </w:rPr>
        <w:t xml:space="preserve"> </w:t>
      </w:r>
    </w:p>
    <w:p w14:paraId="1EC29BD7" w14:textId="77777777" w:rsidR="006D5DBD" w:rsidRPr="000C0842" w:rsidRDefault="006D5DBD" w:rsidP="006D5DBD">
      <w:pPr>
        <w:tabs>
          <w:tab w:val="clear" w:pos="567"/>
          <w:tab w:val="clear" w:pos="1134"/>
          <w:tab w:val="clear" w:pos="1701"/>
          <w:tab w:val="clear" w:pos="2268"/>
        </w:tabs>
        <w:spacing w:before="120" w:after="120" w:line="240" w:lineRule="atLeast"/>
        <w:ind w:left="490" w:firstLine="490"/>
        <w:rPr>
          <w:rFonts w:eastAsia="KaiTi"/>
          <w:sz w:val="24"/>
          <w:szCs w:val="24"/>
          <w:lang w:val="en-GB"/>
        </w:rPr>
      </w:pPr>
      <w:r w:rsidRPr="000C0842">
        <w:rPr>
          <w:rFonts w:eastAsia="KaiTi" w:hint="eastAsia"/>
          <w:iCs/>
          <w:sz w:val="24"/>
          <w:szCs w:val="24"/>
        </w:rPr>
        <w:t>欢迎</w:t>
      </w:r>
      <w:r w:rsidRPr="000C0842">
        <w:rPr>
          <w:rFonts w:eastAsia="SimSun" w:hint="eastAsia"/>
          <w:sz w:val="24"/>
          <w:szCs w:val="24"/>
        </w:rPr>
        <w:t>遴选区域和次区域科技合作支持中心，</w:t>
      </w:r>
    </w:p>
    <w:p w14:paraId="2AE14F90" w14:textId="77777777" w:rsidR="006D5DBD" w:rsidRPr="000C0842" w:rsidRDefault="006D5DBD">
      <w:pPr>
        <w:pStyle w:val="ListParagraph"/>
        <w:numPr>
          <w:ilvl w:val="0"/>
          <w:numId w:val="235"/>
        </w:numPr>
        <w:tabs>
          <w:tab w:val="clear" w:pos="567"/>
          <w:tab w:val="clear" w:pos="1134"/>
          <w:tab w:val="clear" w:pos="1701"/>
          <w:tab w:val="clear" w:pos="2268"/>
        </w:tabs>
        <w:spacing w:before="120" w:after="120" w:line="259" w:lineRule="auto"/>
        <w:ind w:left="490" w:firstLine="490"/>
        <w:contextualSpacing w:val="0"/>
        <w:jc w:val="left"/>
        <w:rPr>
          <w:rFonts w:eastAsia="KaiTi"/>
          <w:sz w:val="24"/>
          <w:szCs w:val="24"/>
          <w:lang w:val="en-GB"/>
        </w:rPr>
      </w:pPr>
      <w:r w:rsidRPr="000C0842">
        <w:rPr>
          <w:rFonts w:eastAsia="KaiTi" w:hint="eastAsia"/>
          <w:sz w:val="24"/>
          <w:szCs w:val="24"/>
          <w:lang w:val="en-GB"/>
        </w:rPr>
        <w:t>确认：</w:t>
      </w:r>
      <w:r w:rsidRPr="000C0842">
        <w:rPr>
          <w:rFonts w:eastAsia="KaiTi" w:hint="eastAsia"/>
          <w:sz w:val="24"/>
          <w:szCs w:val="24"/>
          <w:lang w:val="en-GB"/>
        </w:rPr>
        <w:t xml:space="preserve"> </w:t>
      </w:r>
    </w:p>
    <w:p w14:paraId="20B61397" w14:textId="77777777" w:rsidR="006D5DBD" w:rsidRPr="000C0842" w:rsidRDefault="006D5DBD" w:rsidP="006D5DBD">
      <w:pPr>
        <w:numPr>
          <w:ilvl w:val="1"/>
          <w:numId w:val="1"/>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《生物多样性公约》的工作方案和跨领域工作仍然是支持执行《昆明</w:t>
      </w:r>
      <w:r w:rsidRPr="000C0842">
        <w:rPr>
          <w:rFonts w:eastAsia="SimSun"/>
          <w:sz w:val="24"/>
          <w:szCs w:val="24"/>
          <w:lang w:val="en-GB"/>
        </w:rPr>
        <w:t>-</w:t>
      </w:r>
      <w:r w:rsidRPr="000C0842">
        <w:rPr>
          <w:rFonts w:eastAsia="SimSun" w:hint="eastAsia"/>
          <w:sz w:val="24"/>
          <w:szCs w:val="24"/>
          <w:lang w:val="en-GB"/>
        </w:rPr>
        <w:t>蒙特利尔全球生物多样性框架》的重要工具，尽管有些工作方案可能需要修订；</w:t>
      </w:r>
    </w:p>
    <w:p w14:paraId="041A5E40" w14:textId="77777777" w:rsidR="006D5DBD" w:rsidRPr="000C0842" w:rsidRDefault="006D5DBD" w:rsidP="006D5DBD">
      <w:pPr>
        <w:numPr>
          <w:ilvl w:val="1"/>
          <w:numId w:val="1"/>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根据《公约》及其议定书制定的工具和指导意见大部分与《昆蒙框架》的执行相关，并已经为立即支持执行《昆蒙框架》奠定了坚实的基础；</w:t>
      </w:r>
      <w:r w:rsidRPr="000C0842">
        <w:rPr>
          <w:rFonts w:eastAsia="SimSun" w:hint="eastAsia"/>
          <w:sz w:val="24"/>
          <w:szCs w:val="24"/>
          <w:lang w:val="en-GB"/>
        </w:rPr>
        <w:t xml:space="preserve"> </w:t>
      </w:r>
    </w:p>
    <w:p w14:paraId="029E814A" w14:textId="77777777" w:rsidR="006D5DBD" w:rsidRPr="000C0842" w:rsidRDefault="006D5DBD" w:rsidP="006D5DBD">
      <w:pPr>
        <w:numPr>
          <w:ilvl w:val="1"/>
          <w:numId w:val="1"/>
        </w:numPr>
        <w:tabs>
          <w:tab w:val="clear" w:pos="567"/>
          <w:tab w:val="clear" w:pos="1134"/>
          <w:tab w:val="clear" w:pos="1701"/>
          <w:tab w:val="clear" w:pos="2268"/>
        </w:tabs>
        <w:spacing w:before="120" w:after="120" w:line="259" w:lineRule="auto"/>
        <w:ind w:left="490" w:firstLine="490"/>
        <w:jc w:val="left"/>
        <w:rPr>
          <w:rFonts w:eastAsia="Times New Roman"/>
          <w:sz w:val="24"/>
          <w:szCs w:val="28"/>
          <w:lang w:val="en-GB"/>
        </w:rPr>
      </w:pPr>
      <w:r w:rsidRPr="000C0842">
        <w:rPr>
          <w:rFonts w:eastAsia="SimSun" w:hint="eastAsia"/>
          <w:sz w:val="24"/>
          <w:szCs w:val="24"/>
          <w:lang w:val="en-GB"/>
        </w:rPr>
        <w:t>进一步工作的优先事项应该是支持利用各个工具和指导意见加强</w:t>
      </w:r>
      <w:r w:rsidRPr="000C0842">
        <w:rPr>
          <w:rFonts w:ascii="SimSun" w:eastAsia="SimSun" w:hAnsi="SimSun" w:cs="SimSun" w:hint="eastAsia"/>
          <w:sz w:val="24"/>
          <w:szCs w:val="28"/>
          <w:lang w:val="en-GB"/>
        </w:rPr>
        <w:t>《昆蒙框架》的执行，包括通过充足的财务</w:t>
      </w:r>
      <w:r w:rsidRPr="000C0842">
        <w:rPr>
          <w:rFonts w:ascii="SimSun" w:eastAsia="SimSun" w:hAnsi="SimSun" w:cs="SimSun"/>
          <w:sz w:val="24"/>
          <w:szCs w:val="28"/>
          <w:lang w:val="en-GB"/>
        </w:rPr>
        <w:t>资源、能力建设和发展、科技合作和技术转让</w:t>
      </w:r>
      <w:r w:rsidRPr="000C0842">
        <w:rPr>
          <w:rFonts w:ascii="SimSun" w:eastAsia="SimSun" w:hAnsi="SimSun" w:cs="SimSun" w:hint="eastAsia"/>
          <w:sz w:val="24"/>
          <w:szCs w:val="28"/>
          <w:lang w:val="en-GB"/>
        </w:rPr>
        <w:t>这样做</w:t>
      </w:r>
      <w:r w:rsidRPr="000C0842">
        <w:rPr>
          <w:rFonts w:ascii="SimSun" w:eastAsia="SimSun" w:hAnsi="SimSun" w:cs="SimSun"/>
          <w:sz w:val="24"/>
          <w:szCs w:val="28"/>
          <w:lang w:val="en-GB"/>
        </w:rPr>
        <w:t>，对发展中国家</w:t>
      </w:r>
      <w:r w:rsidRPr="000C0842">
        <w:rPr>
          <w:rFonts w:ascii="SimSun" w:eastAsia="SimSun" w:hAnsi="SimSun" w:cs="SimSun" w:hint="eastAsia"/>
          <w:sz w:val="24"/>
          <w:szCs w:val="28"/>
          <w:lang w:val="en-GB"/>
        </w:rPr>
        <w:t>，特别是最不发达国家和小岛屿国家，以及经济转型国家</w:t>
      </w:r>
      <w:r w:rsidRPr="000C0842">
        <w:rPr>
          <w:rFonts w:ascii="SimSun" w:eastAsia="SimSun" w:hAnsi="SimSun" w:cs="SimSun"/>
          <w:sz w:val="24"/>
          <w:szCs w:val="28"/>
          <w:lang w:val="en-GB"/>
        </w:rPr>
        <w:t>而言</w:t>
      </w:r>
      <w:r w:rsidRPr="000C0842">
        <w:rPr>
          <w:rFonts w:ascii="SimSun" w:eastAsia="SimSun" w:hAnsi="SimSun" w:cs="SimSun" w:hint="eastAsia"/>
          <w:sz w:val="24"/>
          <w:szCs w:val="28"/>
          <w:lang w:val="en-GB"/>
        </w:rPr>
        <w:t>尤其如此；</w:t>
      </w:r>
    </w:p>
    <w:p w14:paraId="15D2A4AA" w14:textId="47F93CC5" w:rsidR="006D5DBD" w:rsidRPr="000C0842" w:rsidRDefault="006D5DBD" w:rsidP="006D5DBD">
      <w:pPr>
        <w:numPr>
          <w:ilvl w:val="1"/>
          <w:numId w:val="1"/>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有一个机遇，可将《昆蒙框架》纳入其他相关政府间协定和进程的主流，纳入国际组织、私营部门和其他利益攸关方，包括土著人民和地方社区、妇女和青年组织的主流，纳入能力建设和发展倡议的主流，以期将执行《昆蒙框架》的考虑因素</w:t>
      </w:r>
      <w:r w:rsidRPr="000C0842">
        <w:rPr>
          <w:rFonts w:eastAsia="SimSun"/>
          <w:sz w:val="24"/>
          <w:szCs w:val="24"/>
          <w:vertAlign w:val="superscript"/>
          <w:lang w:val="en-GB"/>
        </w:rPr>
        <w:footnoteReference w:id="120"/>
      </w:r>
      <w:r w:rsidRPr="000C0842">
        <w:rPr>
          <w:rFonts w:eastAsia="SimSun" w:hint="eastAsia"/>
          <w:sz w:val="24"/>
          <w:szCs w:val="24"/>
          <w:lang w:val="en-GB"/>
        </w:rPr>
        <w:t>纳入这些进程和倡议所制定的各个工具和指导意见，使其支持涵盖生物多样性的行动和成果；</w:t>
      </w:r>
    </w:p>
    <w:p w14:paraId="4D03CAC0" w14:textId="77777777" w:rsidR="006D5DBD" w:rsidRPr="000C0842" w:rsidRDefault="006D5DBD" w:rsidP="006D5DBD">
      <w:pPr>
        <w:numPr>
          <w:ilvl w:val="1"/>
          <w:numId w:val="1"/>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区域和</w:t>
      </w:r>
      <w:r w:rsidRPr="000C0842">
        <w:rPr>
          <w:rFonts w:ascii="SimSun" w:eastAsia="SimSun" w:hAnsi="SimSun" w:cs="SimSun" w:hint="eastAsia"/>
          <w:sz w:val="24"/>
          <w:szCs w:val="24"/>
          <w:lang w:val="en-GB"/>
        </w:rPr>
        <w:t>次区域科技合作支持中心和相关举措</w:t>
      </w:r>
      <w:r w:rsidRPr="000C0842">
        <w:rPr>
          <w:rFonts w:eastAsia="SimSun" w:hint="eastAsia"/>
          <w:sz w:val="24"/>
          <w:szCs w:val="24"/>
          <w:lang w:val="en-GB"/>
        </w:rPr>
        <w:t>在酌情支持利用各个工具和指导意见促进《昆蒙框架》执行方面的潜在重要作用；</w:t>
      </w:r>
    </w:p>
    <w:p w14:paraId="2586130D" w14:textId="77777777" w:rsidR="006D5DBD" w:rsidRPr="000C0842" w:rsidRDefault="006D5DBD">
      <w:pPr>
        <w:pStyle w:val="ListParagraph"/>
        <w:numPr>
          <w:ilvl w:val="0"/>
          <w:numId w:val="235"/>
        </w:numPr>
        <w:tabs>
          <w:tab w:val="clear" w:pos="567"/>
          <w:tab w:val="clear" w:pos="1134"/>
          <w:tab w:val="clear" w:pos="1701"/>
          <w:tab w:val="clear" w:pos="2268"/>
        </w:tabs>
        <w:spacing w:before="120" w:after="120" w:line="259" w:lineRule="auto"/>
        <w:ind w:left="490" w:firstLine="490"/>
        <w:contextualSpacing w:val="0"/>
        <w:jc w:val="left"/>
        <w:rPr>
          <w:rFonts w:eastAsia="SimSun"/>
          <w:sz w:val="24"/>
          <w:szCs w:val="24"/>
          <w:lang w:val="en-GB"/>
        </w:rPr>
      </w:pPr>
      <w:r w:rsidRPr="000C0842">
        <w:rPr>
          <w:rFonts w:eastAsia="KaiTi" w:hint="eastAsia"/>
          <w:sz w:val="24"/>
          <w:szCs w:val="24"/>
          <w:lang w:val="en-GB"/>
        </w:rPr>
        <w:t>决定</w:t>
      </w:r>
      <w:r w:rsidRPr="000C0842">
        <w:rPr>
          <w:rFonts w:eastAsia="SimSun" w:hint="eastAsia"/>
          <w:sz w:val="24"/>
          <w:szCs w:val="24"/>
          <w:lang w:val="en-GB"/>
        </w:rPr>
        <w:t>推进以下领域的工作，同时避免与现有多边进程重叠并尊重其任务规定：</w:t>
      </w:r>
    </w:p>
    <w:p w14:paraId="23959165" w14:textId="77777777" w:rsidR="006D5DBD" w:rsidRPr="000C0842" w:rsidRDefault="006D5DBD">
      <w:pPr>
        <w:numPr>
          <w:ilvl w:val="0"/>
          <w:numId w:val="2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涵盖</w:t>
      </w:r>
      <w:r w:rsidRPr="000C0842">
        <w:rPr>
          <w:rFonts w:eastAsia="SimSun"/>
          <w:sz w:val="24"/>
          <w:szCs w:val="24"/>
          <w:lang w:val="en-GB"/>
        </w:rPr>
        <w:t>生物多样性的空间规划</w:t>
      </w:r>
      <w:r w:rsidRPr="000C0842">
        <w:rPr>
          <w:rFonts w:eastAsia="SimSun" w:hint="eastAsia"/>
          <w:sz w:val="24"/>
          <w:szCs w:val="24"/>
          <w:lang w:val="en-GB"/>
        </w:rPr>
        <w:t>；</w:t>
      </w:r>
    </w:p>
    <w:p w14:paraId="3BF7A7F5" w14:textId="77777777" w:rsidR="006D5DBD" w:rsidRPr="000C0842" w:rsidRDefault="006D5DBD">
      <w:pPr>
        <w:numPr>
          <w:ilvl w:val="0"/>
          <w:numId w:val="2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污染</w:t>
      </w:r>
      <w:r w:rsidRPr="000C0842">
        <w:rPr>
          <w:rFonts w:eastAsia="SimSun" w:hint="eastAsia"/>
          <w:sz w:val="24"/>
          <w:szCs w:val="24"/>
          <w:lang w:val="en-GB"/>
        </w:rPr>
        <w:t>与</w:t>
      </w:r>
      <w:r w:rsidRPr="000C0842">
        <w:rPr>
          <w:rFonts w:eastAsia="SimSun"/>
          <w:sz w:val="24"/>
          <w:szCs w:val="24"/>
          <w:lang w:val="en-GB"/>
        </w:rPr>
        <w:t>生物多样性</w:t>
      </w:r>
      <w:r w:rsidRPr="000C0842">
        <w:rPr>
          <w:rFonts w:eastAsia="SimSun" w:hint="eastAsia"/>
          <w:sz w:val="24"/>
          <w:szCs w:val="24"/>
          <w:lang w:val="en-GB"/>
        </w:rPr>
        <w:t xml:space="preserve"> </w:t>
      </w:r>
      <w:r w:rsidRPr="000C0842">
        <w:rPr>
          <w:rFonts w:eastAsia="SimSun" w:hint="eastAsia"/>
          <w:sz w:val="24"/>
          <w:szCs w:val="24"/>
          <w:lang w:val="en-GB"/>
        </w:rPr>
        <w:t>；</w:t>
      </w:r>
    </w:p>
    <w:p w14:paraId="26F33ACC" w14:textId="77777777" w:rsidR="006D5DBD" w:rsidRPr="000C0842" w:rsidRDefault="006D5DBD">
      <w:pPr>
        <w:numPr>
          <w:ilvl w:val="0"/>
          <w:numId w:val="21"/>
        </w:numPr>
        <w:tabs>
          <w:tab w:val="clear" w:pos="567"/>
          <w:tab w:val="clear" w:pos="1134"/>
          <w:tab w:val="clear" w:pos="1701"/>
          <w:tab w:val="clear" w:pos="2268"/>
        </w:tabs>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增强</w:t>
      </w:r>
      <w:r w:rsidRPr="000C0842">
        <w:rPr>
          <w:rFonts w:eastAsia="SimSun"/>
          <w:sz w:val="24"/>
          <w:szCs w:val="24"/>
          <w:lang w:val="en-GB"/>
        </w:rPr>
        <w:t>生物多样性的可持续生物多样性活动、产品和服务</w:t>
      </w:r>
      <w:r w:rsidRPr="000C0842">
        <w:rPr>
          <w:rFonts w:eastAsia="SimSun" w:hint="eastAsia"/>
          <w:sz w:val="24"/>
          <w:szCs w:val="24"/>
          <w:lang w:val="en-GB"/>
        </w:rPr>
        <w:t>；</w:t>
      </w:r>
    </w:p>
    <w:p w14:paraId="5C2360F3" w14:textId="77777777" w:rsidR="006D5DBD" w:rsidRPr="000C0842" w:rsidRDefault="006D5DBD">
      <w:pPr>
        <w:numPr>
          <w:ilvl w:val="0"/>
          <w:numId w:val="21"/>
        </w:numPr>
        <w:tabs>
          <w:tab w:val="clear" w:pos="567"/>
          <w:tab w:val="clear" w:pos="1134"/>
          <w:tab w:val="clear" w:pos="1701"/>
          <w:tab w:val="clear" w:pos="2268"/>
        </w:tabs>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公平、性别平等与保护和可持续利用生物多样性有关的基于人权的方法以及</w:t>
      </w:r>
      <w:r w:rsidRPr="000C0842">
        <w:rPr>
          <w:rFonts w:eastAsia="SimSun"/>
          <w:sz w:val="24"/>
          <w:szCs w:val="24"/>
        </w:rPr>
        <w:t>公正、公平地分享利用遗传资源所产生的惠益</w:t>
      </w:r>
      <w:r w:rsidRPr="000C0842">
        <w:rPr>
          <w:rFonts w:eastAsia="SimSun" w:hint="eastAsia"/>
          <w:sz w:val="24"/>
          <w:szCs w:val="24"/>
          <w:lang w:val="en-GB"/>
        </w:rPr>
        <w:t>；</w:t>
      </w:r>
    </w:p>
    <w:p w14:paraId="544B36FF" w14:textId="533C73A4" w:rsidR="006D5DBD" w:rsidRPr="000C0842" w:rsidRDefault="006D5DBD">
      <w:pPr>
        <w:numPr>
          <w:ilvl w:val="0"/>
          <w:numId w:val="21"/>
        </w:numPr>
        <w:tabs>
          <w:tab w:val="clear" w:pos="567"/>
          <w:tab w:val="clear" w:pos="1134"/>
          <w:tab w:val="clear" w:pos="1701"/>
          <w:tab w:val="clear" w:pos="2268"/>
        </w:tabs>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《昆蒙框架》</w:t>
      </w:r>
      <w:r w:rsidRPr="000C0842">
        <w:rPr>
          <w:rFonts w:eastAsia="SimSun"/>
          <w:sz w:val="24"/>
          <w:szCs w:val="24"/>
        </w:rPr>
        <w:t>C</w:t>
      </w:r>
      <w:r w:rsidRPr="000C0842">
        <w:rPr>
          <w:rFonts w:eastAsia="SimSun" w:hint="eastAsia"/>
          <w:sz w:val="24"/>
          <w:szCs w:val="24"/>
        </w:rPr>
        <w:t>部分</w:t>
      </w:r>
      <w:r w:rsidRPr="000C0842">
        <w:rPr>
          <w:rFonts w:eastAsia="SimSun"/>
          <w:sz w:val="24"/>
          <w:szCs w:val="24"/>
        </w:rPr>
        <w:t>第</w:t>
      </w:r>
      <w:r w:rsidRPr="000C0842">
        <w:rPr>
          <w:rFonts w:eastAsia="SimSun"/>
          <w:sz w:val="24"/>
          <w:szCs w:val="24"/>
        </w:rPr>
        <w:t>7</w:t>
      </w:r>
      <w:r w:rsidR="00FF7936" w:rsidRPr="000C0842">
        <w:rPr>
          <w:rFonts w:eastAsia="SimSun" w:hint="eastAsia"/>
          <w:sz w:val="24"/>
          <w:szCs w:val="24"/>
        </w:rPr>
        <w:t>(</w:t>
      </w:r>
      <w:r w:rsidRPr="000C0842">
        <w:rPr>
          <w:rFonts w:eastAsia="SimSun"/>
          <w:sz w:val="24"/>
          <w:szCs w:val="24"/>
        </w:rPr>
        <w:t>b</w:t>
      </w:r>
      <w:r w:rsidR="00FF7936" w:rsidRPr="000C0842">
        <w:rPr>
          <w:rFonts w:eastAsia="SimSun" w:hint="eastAsia"/>
          <w:sz w:val="24"/>
          <w:szCs w:val="24"/>
        </w:rPr>
        <w:t>)</w:t>
      </w:r>
      <w:r w:rsidRPr="000C0842">
        <w:rPr>
          <w:rFonts w:eastAsia="SimSun"/>
          <w:sz w:val="24"/>
          <w:szCs w:val="24"/>
        </w:rPr>
        <w:t>段所述不同价值体系</w:t>
      </w:r>
      <w:r w:rsidRPr="000C0842">
        <w:rPr>
          <w:rFonts w:eastAsia="SimSun"/>
          <w:sz w:val="24"/>
          <w:szCs w:val="24"/>
        </w:rPr>
        <w:t>;</w:t>
      </w:r>
    </w:p>
    <w:p w14:paraId="6489C3FA" w14:textId="77777777" w:rsidR="006D5DBD" w:rsidRPr="000C0842" w:rsidRDefault="006D5DBD">
      <w:pPr>
        <w:pStyle w:val="ListParagraph"/>
        <w:numPr>
          <w:ilvl w:val="0"/>
          <w:numId w:val="235"/>
        </w:numPr>
        <w:tabs>
          <w:tab w:val="clear" w:pos="567"/>
          <w:tab w:val="clear" w:pos="1134"/>
          <w:tab w:val="clear" w:pos="1701"/>
          <w:tab w:val="clear" w:pos="2268"/>
        </w:tabs>
        <w:spacing w:before="120" w:after="120" w:line="259" w:lineRule="auto"/>
        <w:ind w:left="490" w:firstLine="490"/>
        <w:contextualSpacing w:val="0"/>
        <w:jc w:val="left"/>
        <w:rPr>
          <w:rFonts w:eastAsia="SimSun"/>
          <w:sz w:val="24"/>
          <w:szCs w:val="24"/>
          <w:lang w:val="en-GB"/>
        </w:rPr>
      </w:pPr>
      <w:r w:rsidRPr="000C0842">
        <w:rPr>
          <w:rFonts w:eastAsia="KaiTi" w:hint="eastAsia"/>
          <w:sz w:val="24"/>
          <w:szCs w:val="24"/>
          <w:lang w:val="en-GB"/>
        </w:rPr>
        <w:t>鼓励</w:t>
      </w:r>
      <w:r w:rsidRPr="000C0842">
        <w:rPr>
          <w:rFonts w:eastAsia="SimSun" w:hint="eastAsia"/>
          <w:sz w:val="24"/>
          <w:szCs w:val="24"/>
          <w:lang w:val="en-GB"/>
        </w:rPr>
        <w:t>缔约方、其他国家政府、相关多边环境协定和其他协定、政府间进程、国际组织和倡议、土著人民和地方社区、妇女和青年组织以及其他利益攸关方利用相关工具和指导意见，支持执行《昆蒙框架》，必要时根据国情进行调整，并通过《公约》的信息交换所机制分享在使用工具和指导意见中的经验教训，包括其有效性，采用这些工具和指导意见时遇到的障碍和克服这些障碍、特别是在国家层面克服这些障碍的方式方法；</w:t>
      </w:r>
    </w:p>
    <w:p w14:paraId="14304AE1" w14:textId="77777777" w:rsidR="006D5DBD" w:rsidRPr="000C0842" w:rsidRDefault="006D5DBD">
      <w:pPr>
        <w:pStyle w:val="ListParagraph"/>
        <w:numPr>
          <w:ilvl w:val="0"/>
          <w:numId w:val="235"/>
        </w:numPr>
        <w:tabs>
          <w:tab w:val="clear" w:pos="567"/>
          <w:tab w:val="clear" w:pos="1134"/>
          <w:tab w:val="clear" w:pos="1701"/>
          <w:tab w:val="clear" w:pos="2268"/>
        </w:tabs>
        <w:spacing w:before="120" w:after="120" w:line="259" w:lineRule="auto"/>
        <w:ind w:left="490" w:firstLine="490"/>
        <w:contextualSpacing w:val="0"/>
        <w:jc w:val="left"/>
        <w:rPr>
          <w:rFonts w:eastAsia="SimSun"/>
          <w:sz w:val="24"/>
          <w:szCs w:val="24"/>
          <w:lang w:val="en-GB"/>
        </w:rPr>
      </w:pPr>
      <w:r w:rsidRPr="000C0842">
        <w:rPr>
          <w:rFonts w:eastAsia="SimSun" w:hint="eastAsia"/>
          <w:sz w:val="24"/>
          <w:szCs w:val="24"/>
          <w:lang w:val="en-GB"/>
        </w:rPr>
        <w:t>请秘书处</w:t>
      </w:r>
      <w:r w:rsidRPr="000C0842">
        <w:rPr>
          <w:rFonts w:eastAsia="SimSun"/>
          <w:sz w:val="24"/>
          <w:szCs w:val="24"/>
        </w:rPr>
        <w:t>在资源允许的情况下</w:t>
      </w:r>
      <w:r w:rsidRPr="000C0842">
        <w:rPr>
          <w:rFonts w:eastAsia="SimSun" w:hint="eastAsia"/>
          <w:sz w:val="24"/>
          <w:szCs w:val="24"/>
          <w:lang w:val="en-GB"/>
        </w:rPr>
        <w:t>：</w:t>
      </w:r>
    </w:p>
    <w:p w14:paraId="1BB55349" w14:textId="77777777" w:rsidR="006D5DBD" w:rsidRPr="000C0842" w:rsidRDefault="006D5DBD">
      <w:pPr>
        <w:numPr>
          <w:ilvl w:val="0"/>
          <w:numId w:val="236"/>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与相关伙伴合作，包括通过《公约》的信息交换所机制，继续便利科技工具和指导意见的汇编和获取；</w:t>
      </w:r>
      <w:r w:rsidRPr="000C0842">
        <w:rPr>
          <w:rFonts w:eastAsia="SimSun" w:hint="eastAsia"/>
          <w:sz w:val="24"/>
          <w:szCs w:val="24"/>
          <w:lang w:val="en-GB"/>
        </w:rPr>
        <w:t xml:space="preserve"> </w:t>
      </w:r>
    </w:p>
    <w:p w14:paraId="1648DE2E" w14:textId="77777777" w:rsidR="006D5DBD" w:rsidRPr="000C0842" w:rsidRDefault="006D5DBD">
      <w:pPr>
        <w:numPr>
          <w:ilvl w:val="0"/>
          <w:numId w:val="236"/>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与缔约方、其他国家政府、土著人民和地方社区、妇女和青年组织以及相关利益攸关方协商，继续协助制定和更新工具和指导意见</w:t>
      </w:r>
      <w:r w:rsidRPr="000C0842">
        <w:rPr>
          <w:rFonts w:eastAsia="SimSun"/>
          <w:sz w:val="24"/>
          <w:szCs w:val="24"/>
          <w:vertAlign w:val="superscript"/>
        </w:rPr>
        <w:footnoteReference w:id="121"/>
      </w:r>
      <w:r w:rsidRPr="000C0842">
        <w:rPr>
          <w:rFonts w:eastAsia="SimSun" w:hint="eastAsia"/>
          <w:sz w:val="24"/>
          <w:szCs w:val="24"/>
          <w:lang w:val="en-GB"/>
        </w:rPr>
        <w:t>，用于支持《昆蒙框架》的执行，避免与现有的工具和指导意见</w:t>
      </w:r>
      <w:r w:rsidRPr="000C0842">
        <w:rPr>
          <w:rFonts w:eastAsia="SimSun"/>
          <w:sz w:val="24"/>
          <w:szCs w:val="24"/>
          <w:vertAlign w:val="superscript"/>
        </w:rPr>
        <w:footnoteReference w:id="122"/>
      </w:r>
      <w:r w:rsidRPr="000C0842">
        <w:rPr>
          <w:rFonts w:eastAsia="SimSun" w:hint="eastAsia"/>
          <w:sz w:val="24"/>
          <w:szCs w:val="24"/>
          <w:lang w:val="en-GB"/>
        </w:rPr>
        <w:t>重复；</w:t>
      </w:r>
    </w:p>
    <w:p w14:paraId="04804935" w14:textId="77777777" w:rsidR="006D5DBD" w:rsidRPr="000C0842" w:rsidRDefault="006D5DBD">
      <w:pPr>
        <w:numPr>
          <w:ilvl w:val="0"/>
          <w:numId w:val="236"/>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hint="eastAsia"/>
          <w:sz w:val="24"/>
          <w:szCs w:val="24"/>
          <w:lang w:val="en-GB"/>
        </w:rPr>
        <w:t>在进行上述工作时与相关多边环境协定、进程和组织合作；在适当情况下与这类相关进程和组织一道工作；根据其各自的任务规定把《昆蒙框架》执行工作中的考虑因素纳入这些进程下和由这些组织制定的工具和指导意见，以支持把生物多样性包括在内的行动；</w:t>
      </w:r>
    </w:p>
    <w:p w14:paraId="48851619" w14:textId="739278DA" w:rsidR="006D5DBD" w:rsidRPr="000C0842" w:rsidRDefault="006D5DBD">
      <w:pPr>
        <w:numPr>
          <w:ilvl w:val="0"/>
          <w:numId w:val="236"/>
        </w:numPr>
        <w:tabs>
          <w:tab w:val="clear" w:pos="567"/>
          <w:tab w:val="clear" w:pos="1134"/>
          <w:tab w:val="clear" w:pos="1701"/>
          <w:tab w:val="clear" w:pos="2268"/>
        </w:tabs>
        <w:spacing w:before="120" w:after="120" w:line="259" w:lineRule="auto"/>
        <w:ind w:left="490" w:firstLine="490"/>
        <w:jc w:val="left"/>
        <w:rPr>
          <w:rFonts w:eastAsia="SimSun"/>
          <w:iCs/>
          <w:sz w:val="24"/>
          <w:lang w:val="en-GB"/>
        </w:rPr>
      </w:pPr>
      <w:r w:rsidRPr="000C0842">
        <w:rPr>
          <w:rFonts w:eastAsia="SimSun" w:hint="eastAsia"/>
          <w:sz w:val="24"/>
          <w:szCs w:val="24"/>
          <w:lang w:val="en-GB"/>
        </w:rPr>
        <w:t>在第</w:t>
      </w:r>
      <w:r w:rsidRPr="000C0842">
        <w:rPr>
          <w:rFonts w:eastAsia="SimSun" w:hint="eastAsia"/>
          <w:sz w:val="24"/>
          <w:szCs w:val="24"/>
          <w:lang w:val="en-GB"/>
        </w:rPr>
        <w:t>2</w:t>
      </w:r>
      <w:r w:rsidRPr="000C0842">
        <w:rPr>
          <w:rFonts w:eastAsia="SimSun" w:hint="eastAsia"/>
          <w:sz w:val="24"/>
          <w:szCs w:val="24"/>
          <w:lang w:val="en-GB"/>
        </w:rPr>
        <w:t>段提到的每个问题上</w:t>
      </w:r>
      <w:r w:rsidR="00FF7936" w:rsidRPr="000C0842">
        <w:rPr>
          <w:rFonts w:eastAsia="SimSun" w:hint="eastAsia"/>
          <w:sz w:val="24"/>
          <w:szCs w:val="24"/>
          <w:lang w:val="en-GB"/>
        </w:rPr>
        <w:t>（</w:t>
      </w:r>
      <w:r w:rsidRPr="000C0842">
        <w:rPr>
          <w:rFonts w:eastAsia="SimSun" w:hint="eastAsia"/>
          <w:sz w:val="24"/>
          <w:szCs w:val="24"/>
          <w:lang w:val="en-GB"/>
        </w:rPr>
        <w:t>一</w:t>
      </w:r>
      <w:r w:rsidR="00FF7936" w:rsidRPr="000C0842">
        <w:rPr>
          <w:rFonts w:eastAsia="SimSun" w:hint="eastAsia"/>
          <w:sz w:val="24"/>
          <w:szCs w:val="24"/>
          <w:lang w:val="en-GB"/>
        </w:rPr>
        <w:t>）</w:t>
      </w:r>
      <w:r w:rsidRPr="000C0842">
        <w:rPr>
          <w:rFonts w:eastAsia="SimSun"/>
          <w:sz w:val="24"/>
          <w:szCs w:val="24"/>
          <w:lang w:val="en-GB"/>
        </w:rPr>
        <w:t>邀请缔约方、其他国家政府、相关多边环境协定和其他协定、政府间进程、国际组织和倡议、土著人民和地方社区、妇女和青年组织以及其他相关利益攸关方</w:t>
      </w:r>
      <w:r w:rsidRPr="000C0842">
        <w:rPr>
          <w:rFonts w:eastAsia="SimSun" w:hint="eastAsia"/>
          <w:sz w:val="24"/>
          <w:szCs w:val="24"/>
          <w:lang w:val="en-GB"/>
        </w:rPr>
        <w:t>提交关于这些工作领域的相关看法</w:t>
      </w:r>
      <w:r w:rsidRPr="000C0842">
        <w:rPr>
          <w:rFonts w:eastAsia="SimSun"/>
          <w:sz w:val="24"/>
          <w:szCs w:val="24"/>
          <w:lang w:val="en-GB"/>
        </w:rPr>
        <w:t>和经验</w:t>
      </w:r>
      <w:r w:rsidRPr="000C0842">
        <w:rPr>
          <w:rFonts w:eastAsia="SimSun" w:hint="eastAsia"/>
          <w:sz w:val="24"/>
          <w:szCs w:val="24"/>
          <w:lang w:val="en-GB"/>
        </w:rPr>
        <w:t>；</w:t>
      </w:r>
      <w:r w:rsidR="00FF7936" w:rsidRPr="000C0842">
        <w:rPr>
          <w:rFonts w:eastAsia="SimSun" w:hint="eastAsia"/>
          <w:sz w:val="24"/>
          <w:szCs w:val="24"/>
          <w:lang w:val="en-GB"/>
        </w:rPr>
        <w:t>（</w:t>
      </w:r>
      <w:r w:rsidRPr="000C0842">
        <w:rPr>
          <w:rFonts w:eastAsia="SimSun" w:hint="eastAsia"/>
          <w:sz w:val="24"/>
          <w:szCs w:val="24"/>
          <w:lang w:val="en-GB"/>
        </w:rPr>
        <w:t>二</w:t>
      </w:r>
      <w:r w:rsidR="00FF7936" w:rsidRPr="000C0842">
        <w:rPr>
          <w:rFonts w:eastAsia="SimSun" w:hint="eastAsia"/>
          <w:sz w:val="24"/>
          <w:szCs w:val="24"/>
          <w:lang w:val="en-GB"/>
        </w:rPr>
        <w:t>）</w:t>
      </w:r>
      <w:r w:rsidRPr="000C0842">
        <w:rPr>
          <w:rFonts w:eastAsia="SimSun" w:hint="eastAsia"/>
          <w:sz w:val="24"/>
          <w:szCs w:val="24"/>
          <w:lang w:val="en-GB"/>
        </w:rPr>
        <w:t xml:space="preserve"> </w:t>
      </w:r>
      <w:r w:rsidRPr="000C0842">
        <w:rPr>
          <w:rFonts w:eastAsia="SimSun" w:hint="eastAsia"/>
          <w:sz w:val="24"/>
          <w:szCs w:val="24"/>
          <w:lang w:val="en-GB"/>
        </w:rPr>
        <w:t>提供所提交资料的摘要，并顾及缔约方大会今后会议的工作量而提议今后可能进行的工作，供科学、技术和工艺咨询附属机构在缔约方大会第十七届会议前审议；</w:t>
      </w:r>
    </w:p>
    <w:p w14:paraId="34AD9E7D" w14:textId="2A0CCDC9" w:rsidR="006D5DBD" w:rsidRPr="000C0842" w:rsidRDefault="006D5DBD">
      <w:pPr>
        <w:numPr>
          <w:ilvl w:val="0"/>
          <w:numId w:val="236"/>
        </w:numPr>
        <w:tabs>
          <w:tab w:val="clear" w:pos="567"/>
          <w:tab w:val="clear" w:pos="1134"/>
          <w:tab w:val="clear" w:pos="1701"/>
          <w:tab w:val="clear" w:pos="2268"/>
        </w:tabs>
        <w:spacing w:before="120" w:after="120" w:line="259" w:lineRule="auto"/>
        <w:ind w:left="490" w:firstLine="490"/>
        <w:jc w:val="left"/>
        <w:rPr>
          <w:rFonts w:eastAsia="SimSun"/>
          <w:sz w:val="24"/>
          <w:szCs w:val="24"/>
          <w:lang w:val="en-GB"/>
        </w:rPr>
      </w:pPr>
      <w:r w:rsidRPr="000C0842">
        <w:rPr>
          <w:rFonts w:eastAsia="SimSun"/>
          <w:sz w:val="24"/>
          <w:szCs w:val="24"/>
          <w:lang w:val="en-GB"/>
        </w:rPr>
        <w:t>回顾</w:t>
      </w:r>
      <w:r w:rsidRPr="000C0842">
        <w:rPr>
          <w:rFonts w:eastAsia="SimSun" w:hint="eastAsia"/>
          <w:sz w:val="24"/>
          <w:szCs w:val="24"/>
          <w:lang w:val="en-GB"/>
        </w:rPr>
        <w:t>2022</w:t>
      </w:r>
      <w:r w:rsidRPr="000C0842">
        <w:rPr>
          <w:rFonts w:eastAsia="SimSun" w:hint="eastAsia"/>
          <w:sz w:val="24"/>
          <w:szCs w:val="24"/>
          <w:lang w:val="en-GB"/>
        </w:rPr>
        <w:t>年</w:t>
      </w:r>
      <w:r w:rsidRPr="000C0842">
        <w:rPr>
          <w:rFonts w:eastAsia="SimSun" w:hint="eastAsia"/>
          <w:sz w:val="24"/>
          <w:szCs w:val="24"/>
          <w:lang w:val="en-GB"/>
        </w:rPr>
        <w:t>12</w:t>
      </w:r>
      <w:r w:rsidRPr="000C0842">
        <w:rPr>
          <w:rFonts w:eastAsia="SimSun" w:hint="eastAsia"/>
          <w:sz w:val="24"/>
          <w:szCs w:val="24"/>
          <w:lang w:val="en-GB"/>
        </w:rPr>
        <w:t>月</w:t>
      </w:r>
      <w:r w:rsidRPr="000C0842">
        <w:rPr>
          <w:rFonts w:eastAsia="SimSun" w:hint="eastAsia"/>
          <w:sz w:val="24"/>
          <w:szCs w:val="24"/>
          <w:lang w:val="en-GB"/>
        </w:rPr>
        <w:t>19</w:t>
      </w:r>
      <w:r w:rsidRPr="000C0842">
        <w:rPr>
          <w:rFonts w:eastAsia="SimSun" w:hint="eastAsia"/>
          <w:sz w:val="24"/>
          <w:szCs w:val="24"/>
          <w:lang w:val="en-GB"/>
        </w:rPr>
        <w:t>日</w:t>
      </w:r>
      <w:r w:rsidRPr="000C0842">
        <w:rPr>
          <w:rFonts w:eastAsia="SimSun"/>
          <w:sz w:val="24"/>
          <w:szCs w:val="24"/>
          <w:lang w:val="en-GB"/>
        </w:rPr>
        <w:t>第</w:t>
      </w:r>
      <w:hyperlink r:id="rId91" w:history="1">
        <w:r w:rsidRPr="000C0842">
          <w:rPr>
            <w:rFonts w:eastAsia="SimSun"/>
            <w:sz w:val="24"/>
            <w:szCs w:val="24"/>
            <w:u w:val="single"/>
            <w:lang w:val="en-GB"/>
          </w:rPr>
          <w:t>15/4</w:t>
        </w:r>
      </w:hyperlink>
      <w:r w:rsidRPr="000C0842">
        <w:rPr>
          <w:rFonts w:eastAsia="SimSun"/>
          <w:sz w:val="24"/>
          <w:szCs w:val="24"/>
          <w:lang w:val="en-GB"/>
        </w:rPr>
        <w:t>号决定第</w:t>
      </w:r>
      <w:r w:rsidRPr="000C0842">
        <w:rPr>
          <w:rFonts w:eastAsia="SimSun"/>
          <w:sz w:val="24"/>
          <w:szCs w:val="24"/>
          <w:lang w:val="en-GB"/>
        </w:rPr>
        <w:t>9</w:t>
      </w:r>
      <w:r w:rsidRPr="000C0842">
        <w:rPr>
          <w:rFonts w:eastAsia="SimSun"/>
          <w:sz w:val="24"/>
          <w:szCs w:val="24"/>
          <w:lang w:val="en-GB"/>
        </w:rPr>
        <w:t>段，在</w:t>
      </w:r>
      <w:r w:rsidRPr="000C0842">
        <w:rPr>
          <w:rFonts w:eastAsia="SimSun" w:hint="eastAsia"/>
          <w:sz w:val="24"/>
          <w:szCs w:val="24"/>
          <w:lang w:val="en-GB"/>
        </w:rPr>
        <w:t>《昆蒙框架》背景下</w:t>
      </w:r>
      <w:r w:rsidRPr="000C0842">
        <w:rPr>
          <w:rFonts w:eastAsia="SimSun"/>
          <w:sz w:val="24"/>
          <w:szCs w:val="24"/>
          <w:lang w:val="en-GB"/>
        </w:rPr>
        <w:t>对《公约》的工作方案进行战略审查和分析，</w:t>
      </w:r>
      <w:r w:rsidRPr="000C0842">
        <w:rPr>
          <w:rFonts w:eastAsia="SimSun" w:hint="eastAsia"/>
          <w:sz w:val="24"/>
          <w:szCs w:val="24"/>
          <w:lang w:val="en-GB"/>
        </w:rPr>
        <w:t>以促进其执行，</w:t>
      </w:r>
      <w:r w:rsidRPr="000C0842">
        <w:rPr>
          <w:rFonts w:eastAsia="SimSun"/>
          <w:sz w:val="24"/>
          <w:szCs w:val="24"/>
          <w:lang w:val="en-GB"/>
        </w:rPr>
        <w:t>并在</w:t>
      </w:r>
      <w:r w:rsidRPr="000C0842">
        <w:rPr>
          <w:rFonts w:eastAsia="SimSun" w:hint="eastAsia"/>
          <w:sz w:val="24"/>
          <w:szCs w:val="24"/>
          <w:lang w:val="en-GB"/>
        </w:rPr>
        <w:t>此</w:t>
      </w:r>
      <w:r w:rsidRPr="000C0842">
        <w:rPr>
          <w:rFonts w:eastAsia="SimSun"/>
          <w:sz w:val="24"/>
          <w:szCs w:val="24"/>
          <w:lang w:val="en-GB"/>
        </w:rPr>
        <w:t>分析的基础上</w:t>
      </w:r>
      <w:r w:rsidRPr="000C0842">
        <w:rPr>
          <w:rFonts w:eastAsia="SimSun" w:hint="eastAsia"/>
          <w:sz w:val="24"/>
          <w:szCs w:val="24"/>
          <w:lang w:val="en-GB"/>
        </w:rPr>
        <w:t>拟定</w:t>
      </w:r>
      <w:r w:rsidRPr="000C0842">
        <w:rPr>
          <w:rFonts w:eastAsia="SimSun"/>
          <w:sz w:val="24"/>
          <w:szCs w:val="24"/>
          <w:lang w:val="en-GB"/>
        </w:rPr>
        <w:t>工作方案的更新草案，同时考虑到为科学、技术和工艺咨询附属机构第二十六次会议编写的</w:t>
      </w:r>
      <w:r w:rsidRPr="000C0842">
        <w:rPr>
          <w:rFonts w:eastAsia="SimSun" w:hint="eastAsia"/>
          <w:sz w:val="24"/>
          <w:szCs w:val="24"/>
          <w:lang w:val="en-GB"/>
        </w:rPr>
        <w:t>与</w:t>
      </w:r>
      <w:r w:rsidRPr="000C0842">
        <w:rPr>
          <w:rFonts w:eastAsia="SimSun"/>
          <w:sz w:val="24"/>
          <w:szCs w:val="24"/>
          <w:lang w:val="en-GB"/>
        </w:rPr>
        <w:t>这项工作</w:t>
      </w:r>
      <w:r w:rsidRPr="000C0842">
        <w:rPr>
          <w:rFonts w:eastAsia="SimSun" w:hint="eastAsia"/>
          <w:sz w:val="24"/>
          <w:szCs w:val="24"/>
          <w:lang w:val="en-GB"/>
        </w:rPr>
        <w:t>有关</w:t>
      </w:r>
      <w:r w:rsidRPr="000C0842">
        <w:rPr>
          <w:rFonts w:eastAsia="SimSun"/>
          <w:sz w:val="24"/>
          <w:szCs w:val="24"/>
          <w:lang w:val="en-GB"/>
        </w:rPr>
        <w:t>的文件，并</w:t>
      </w:r>
      <w:r w:rsidRPr="000C0842">
        <w:rPr>
          <w:rFonts w:eastAsia="SimSun" w:hint="eastAsia"/>
          <w:sz w:val="24"/>
          <w:szCs w:val="24"/>
          <w:lang w:val="en-GB"/>
        </w:rPr>
        <w:t>提交这些文件供执行问题</w:t>
      </w:r>
      <w:r w:rsidRPr="000C0842">
        <w:rPr>
          <w:rFonts w:eastAsia="SimSun"/>
          <w:sz w:val="24"/>
          <w:szCs w:val="24"/>
          <w:lang w:val="en-GB"/>
        </w:rPr>
        <w:t>附属机构</w:t>
      </w:r>
      <w:r w:rsidRPr="000C0842">
        <w:rPr>
          <w:rFonts w:eastAsia="SimSun" w:hint="eastAsia"/>
          <w:sz w:val="24"/>
          <w:szCs w:val="24"/>
          <w:lang w:val="en-GB"/>
        </w:rPr>
        <w:t>在</w:t>
      </w:r>
      <w:r w:rsidRPr="000C0842">
        <w:rPr>
          <w:rFonts w:eastAsia="SimSun"/>
          <w:sz w:val="24"/>
          <w:szCs w:val="24"/>
          <w:lang w:val="en-GB"/>
        </w:rPr>
        <w:t>缔约方大会第十七</w:t>
      </w:r>
      <w:r w:rsidRPr="000C0842">
        <w:rPr>
          <w:rFonts w:eastAsia="SimSun" w:hint="eastAsia"/>
          <w:sz w:val="24"/>
          <w:szCs w:val="24"/>
          <w:lang w:val="en-GB"/>
        </w:rPr>
        <w:t>届</w:t>
      </w:r>
      <w:r w:rsidRPr="000C0842">
        <w:rPr>
          <w:rFonts w:eastAsia="SimSun"/>
          <w:sz w:val="24"/>
          <w:szCs w:val="24"/>
          <w:lang w:val="en-GB"/>
        </w:rPr>
        <w:t>会议之前举行的一次会议上审议。</w:t>
      </w:r>
    </w:p>
    <w:p w14:paraId="483F5BE8" w14:textId="77777777" w:rsidR="006D5DBD" w:rsidRPr="000C0842" w:rsidRDefault="006D5DBD">
      <w:pPr>
        <w:tabs>
          <w:tab w:val="clear" w:pos="567"/>
          <w:tab w:val="clear" w:pos="1134"/>
          <w:tab w:val="clear" w:pos="1701"/>
          <w:tab w:val="clear" w:pos="2268"/>
        </w:tabs>
        <w:jc w:val="left"/>
        <w:rPr>
          <w:rFonts w:eastAsia="SimSun"/>
          <w:sz w:val="24"/>
          <w:szCs w:val="24"/>
          <w:lang w:val="en-GB"/>
        </w:rPr>
      </w:pPr>
      <w:r w:rsidRPr="000C0842">
        <w:rPr>
          <w:rFonts w:eastAsia="SimSun"/>
          <w:sz w:val="24"/>
          <w:szCs w:val="24"/>
          <w:lang w:val="en-GB"/>
        </w:rPr>
        <w:br w:type="page"/>
      </w:r>
    </w:p>
    <w:p w14:paraId="714C24ED" w14:textId="2E02E6A2" w:rsidR="005E77FA" w:rsidRPr="000C0842" w:rsidRDefault="005E77FA" w:rsidP="002437E6">
      <w:pPr>
        <w:pStyle w:val="a1"/>
        <w:rPr>
          <w:rFonts w:hint="eastAsia"/>
          <w:lang w:eastAsia="zh-CN"/>
        </w:rPr>
      </w:pPr>
      <w:bookmarkStart w:id="39" w:name="_Toc178609095"/>
      <w:bookmarkStart w:id="40" w:name="_Toc206358209"/>
      <w:r w:rsidRPr="000C0842">
        <w:rPr>
          <w:lang w:eastAsia="zh-CN"/>
        </w:rPr>
        <w:t>16/13.</w:t>
      </w:r>
      <w:r w:rsidR="00BB279D" w:rsidRPr="000C0842">
        <w:rPr>
          <w:rFonts w:hint="eastAsia"/>
          <w:lang w:eastAsia="zh-CN"/>
        </w:rPr>
        <w:t xml:space="preserve"> </w:t>
      </w:r>
      <w:r w:rsidR="002437E6" w:rsidRPr="000C0842">
        <w:rPr>
          <w:rFonts w:hint="eastAsia"/>
          <w:lang w:eastAsia="zh-CN"/>
        </w:rPr>
        <w:t xml:space="preserve"> </w:t>
      </w:r>
      <w:r w:rsidRPr="000C0842">
        <w:rPr>
          <w:rFonts w:hint="eastAsia"/>
          <w:lang w:eastAsia="zh-CN"/>
        </w:rPr>
        <w:t>生物多样性在部门内和部门之间的主流化</w:t>
      </w:r>
      <w:bookmarkEnd w:id="39"/>
      <w:bookmarkEnd w:id="40"/>
    </w:p>
    <w:p w14:paraId="11319562" w14:textId="77777777" w:rsidR="005E77FA" w:rsidRPr="000C0842" w:rsidRDefault="005E77FA" w:rsidP="00444037">
      <w:pPr>
        <w:tabs>
          <w:tab w:val="clear" w:pos="567"/>
          <w:tab w:val="clear" w:pos="1134"/>
          <w:tab w:val="clear" w:pos="1701"/>
          <w:tab w:val="clear" w:pos="2268"/>
        </w:tabs>
        <w:adjustRightInd w:val="0"/>
        <w:snapToGrid w:val="0"/>
        <w:spacing w:before="240" w:after="120"/>
        <w:ind w:left="490" w:firstLine="490"/>
        <w:rPr>
          <w:rFonts w:eastAsia="KaiTi"/>
          <w:snapToGrid w:val="0"/>
          <w:sz w:val="24"/>
          <w:szCs w:val="24"/>
          <w:lang w:val="en-GB"/>
        </w:rPr>
      </w:pPr>
      <w:r w:rsidRPr="000C0842">
        <w:rPr>
          <w:rFonts w:eastAsia="KaiTi"/>
          <w:sz w:val="24"/>
          <w:szCs w:val="24"/>
        </w:rPr>
        <w:t>缔约方大会，</w:t>
      </w:r>
    </w:p>
    <w:p w14:paraId="363C78B0"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回顾</w:t>
      </w:r>
      <w:r w:rsidRPr="000C0842">
        <w:rPr>
          <w:rFonts w:eastAsia="SimSun"/>
          <w:sz w:val="24"/>
          <w:szCs w:val="24"/>
        </w:rPr>
        <w:t>其</w:t>
      </w:r>
      <w:r w:rsidRPr="000C0842">
        <w:rPr>
          <w:rFonts w:eastAsia="SimSun"/>
          <w:sz w:val="24"/>
          <w:szCs w:val="24"/>
        </w:rPr>
        <w:t>2018</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29</w:t>
      </w:r>
      <w:r w:rsidRPr="000C0842">
        <w:rPr>
          <w:rFonts w:eastAsia="SimSun"/>
          <w:sz w:val="24"/>
          <w:szCs w:val="24"/>
        </w:rPr>
        <w:t>日关于制定相关部门内和部门间生物多样性主流化长期战略办法的第</w:t>
      </w:r>
      <w:hyperlink r:id="rId92" w:history="1">
        <w:r w:rsidRPr="000C0842">
          <w:rPr>
            <w:rFonts w:eastAsia="SimSun"/>
            <w:sz w:val="24"/>
            <w:szCs w:val="24"/>
            <w:u w:val="single"/>
          </w:rPr>
          <w:t>14/3</w:t>
        </w:r>
      </w:hyperlink>
      <w:r w:rsidRPr="000C0842">
        <w:rPr>
          <w:rFonts w:eastAsia="SimSun"/>
          <w:sz w:val="24"/>
          <w:szCs w:val="24"/>
        </w:rPr>
        <w:t>号决定，</w:t>
      </w:r>
    </w:p>
    <w:p w14:paraId="48EED898"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又回顾</w:t>
      </w:r>
      <w:r w:rsidRPr="000C0842">
        <w:rPr>
          <w:rFonts w:eastAsia="SimSun"/>
          <w:sz w:val="24"/>
          <w:szCs w:val="24"/>
          <w:lang w:val="en-CA"/>
        </w:rPr>
        <w:t>《生物多样性公约》</w:t>
      </w:r>
      <w:r w:rsidRPr="000C0842">
        <w:rPr>
          <w:rFonts w:eastAsia="SimSun"/>
          <w:sz w:val="24"/>
          <w:szCs w:val="24"/>
          <w:vertAlign w:val="superscript"/>
          <w:lang w:val="en-CA"/>
        </w:rPr>
        <w:footnoteReference w:id="123"/>
      </w:r>
      <w:r w:rsidRPr="000C0842">
        <w:rPr>
          <w:rFonts w:eastAsia="SimSun"/>
          <w:sz w:val="24"/>
          <w:szCs w:val="24"/>
          <w:lang w:val="en-CA"/>
        </w:rPr>
        <w:t>第</w:t>
      </w:r>
      <w:r w:rsidRPr="000C0842">
        <w:rPr>
          <w:rFonts w:eastAsia="SimSun"/>
          <w:sz w:val="24"/>
          <w:szCs w:val="24"/>
          <w:lang w:val="en-CA"/>
        </w:rPr>
        <w:t xml:space="preserve"> 6</w:t>
      </w:r>
      <w:r w:rsidRPr="000C0842">
        <w:rPr>
          <w:rFonts w:eastAsia="SimSun"/>
          <w:sz w:val="24"/>
          <w:szCs w:val="24"/>
          <w:lang w:val="en-CA"/>
        </w:rPr>
        <w:t>条</w:t>
      </w:r>
      <w:r w:rsidRPr="000C0842">
        <w:rPr>
          <w:rFonts w:eastAsia="SimSun"/>
          <w:sz w:val="24"/>
          <w:szCs w:val="24"/>
          <w:lang w:val="en-CA"/>
        </w:rPr>
        <w:t>(b)</w:t>
      </w:r>
      <w:r w:rsidRPr="000C0842">
        <w:rPr>
          <w:rFonts w:eastAsia="SimSun"/>
          <w:sz w:val="24"/>
          <w:szCs w:val="24"/>
          <w:lang w:val="en-CA"/>
        </w:rPr>
        <w:t>款，其中要求缔约方尽可能并酌情将保护和可持续利用生物多样性纳入有关部门或跨部门计划、方案和政策，</w:t>
      </w:r>
    </w:p>
    <w:p w14:paraId="0DF82533"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vertAlign w:val="superscript"/>
          <w:lang w:val="en-CA"/>
        </w:rPr>
      </w:pPr>
      <w:r w:rsidRPr="000C0842">
        <w:rPr>
          <w:rFonts w:eastAsia="KaiTi"/>
          <w:sz w:val="24"/>
          <w:szCs w:val="24"/>
        </w:rPr>
        <w:t>重申</w:t>
      </w:r>
      <w:r w:rsidRPr="000C0842">
        <w:rPr>
          <w:rFonts w:eastAsia="SimSun"/>
          <w:sz w:val="24"/>
          <w:szCs w:val="24"/>
          <w:lang w:val="en-CA"/>
        </w:rPr>
        <w:t>将生物多样性纳入</w:t>
      </w:r>
      <w:r w:rsidRPr="000C0842">
        <w:rPr>
          <w:rFonts w:eastAsia="SimSun" w:hint="eastAsia"/>
          <w:sz w:val="24"/>
          <w:szCs w:val="24"/>
          <w:lang w:val="en-CA"/>
        </w:rPr>
        <w:t>全</w:t>
      </w:r>
      <w:r w:rsidRPr="000C0842">
        <w:rPr>
          <w:rFonts w:eastAsia="SimSun"/>
          <w:sz w:val="24"/>
          <w:szCs w:val="24"/>
          <w:lang w:val="en-CA"/>
        </w:rPr>
        <w:t>政府和</w:t>
      </w:r>
      <w:r w:rsidRPr="000C0842">
        <w:rPr>
          <w:rFonts w:eastAsia="SimSun" w:hint="eastAsia"/>
          <w:sz w:val="24"/>
          <w:szCs w:val="24"/>
          <w:lang w:val="en-CA"/>
        </w:rPr>
        <w:t>全</w:t>
      </w:r>
      <w:r w:rsidRPr="000C0842">
        <w:rPr>
          <w:rFonts w:eastAsia="SimSun"/>
          <w:sz w:val="24"/>
          <w:szCs w:val="24"/>
          <w:lang w:val="en-CA"/>
        </w:rPr>
        <w:t>社会的主流以实现《公约》</w:t>
      </w:r>
      <w:r w:rsidRPr="000C0842">
        <w:rPr>
          <w:rFonts w:eastAsia="SimSun" w:hint="eastAsia"/>
          <w:spacing w:val="-10"/>
          <w:sz w:val="24"/>
          <w:szCs w:val="24"/>
          <w:lang w:val="en-CA"/>
        </w:rPr>
        <w:t>及其议定书的各项目标至关重要，而且迫切需要根据《昆明</w:t>
      </w:r>
      <w:r w:rsidRPr="000C0842">
        <w:rPr>
          <w:rFonts w:eastAsia="Times New Roman"/>
          <w:spacing w:val="-10"/>
          <w:sz w:val="24"/>
          <w:szCs w:val="24"/>
          <w:lang w:val="en-CA"/>
        </w:rPr>
        <w:t>-</w:t>
      </w:r>
      <w:r w:rsidRPr="000C0842">
        <w:rPr>
          <w:rFonts w:eastAsia="SimSun" w:hint="eastAsia"/>
          <w:spacing w:val="-10"/>
          <w:sz w:val="24"/>
          <w:szCs w:val="24"/>
          <w:lang w:val="en-CA"/>
        </w:rPr>
        <w:t>蒙特利尔全球生物多样性框架》</w:t>
      </w:r>
      <w:r w:rsidRPr="000C0842">
        <w:rPr>
          <w:rFonts w:eastAsia="SimSun"/>
          <w:sz w:val="24"/>
          <w:szCs w:val="24"/>
          <w:vertAlign w:val="superscript"/>
          <w:lang w:val="en-CA"/>
        </w:rPr>
        <w:footnoteReference w:id="124"/>
      </w:r>
      <w:r w:rsidRPr="000C0842">
        <w:rPr>
          <w:rFonts w:eastAsia="SimSun"/>
          <w:sz w:val="24"/>
          <w:szCs w:val="24"/>
          <w:lang w:val="en-CA"/>
        </w:rPr>
        <w:t>将生物多样性纳入主流，</w:t>
      </w:r>
      <w:r w:rsidRPr="000C0842" w:rsidDel="00F669FA">
        <w:rPr>
          <w:rFonts w:eastAsia="SimSun"/>
          <w:sz w:val="24"/>
          <w:szCs w:val="24"/>
          <w:vertAlign w:val="superscript"/>
        </w:rPr>
        <w:t xml:space="preserve"> </w:t>
      </w:r>
    </w:p>
    <w:p w14:paraId="03B7D12D"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hint="eastAsia"/>
          <w:sz w:val="24"/>
          <w:szCs w:val="24"/>
          <w:lang w:val="en-CA"/>
        </w:rPr>
        <w:t>表示</w:t>
      </w:r>
      <w:r w:rsidRPr="000C0842">
        <w:rPr>
          <w:rFonts w:eastAsia="KaiTi"/>
          <w:sz w:val="24"/>
          <w:szCs w:val="24"/>
        </w:rPr>
        <w:t>注意到</w:t>
      </w:r>
      <w:r w:rsidRPr="000C0842">
        <w:rPr>
          <w:rFonts w:eastAsia="SimSun"/>
          <w:sz w:val="24"/>
          <w:szCs w:val="24"/>
        </w:rPr>
        <w:t>缔约方、国际组织和倡议以及利益攸关方组织提交的材料，包括</w:t>
      </w:r>
      <w:r w:rsidRPr="000C0842">
        <w:rPr>
          <w:rFonts w:eastAsia="Times New Roman"/>
          <w:sz w:val="24"/>
          <w:szCs w:val="24"/>
        </w:rPr>
        <w:t>2023</w:t>
      </w:r>
      <w:r w:rsidRPr="000C0842">
        <w:rPr>
          <w:rFonts w:eastAsia="SimSun"/>
          <w:sz w:val="24"/>
          <w:szCs w:val="24"/>
        </w:rPr>
        <w:t>年</w:t>
      </w:r>
      <w:r w:rsidRPr="000C0842">
        <w:rPr>
          <w:rFonts w:eastAsia="Times New Roman"/>
          <w:sz w:val="24"/>
          <w:szCs w:val="24"/>
        </w:rPr>
        <w:t>1</w:t>
      </w:r>
      <w:r w:rsidRPr="000C0842">
        <w:rPr>
          <w:sz w:val="24"/>
          <w:szCs w:val="24"/>
        </w:rPr>
        <w:t>2</w:t>
      </w:r>
      <w:r w:rsidRPr="000C0842">
        <w:rPr>
          <w:rFonts w:eastAsia="SimSun"/>
          <w:sz w:val="24"/>
          <w:szCs w:val="24"/>
        </w:rPr>
        <w:t>月</w:t>
      </w:r>
      <w:r w:rsidRPr="000C0842">
        <w:rPr>
          <w:rFonts w:eastAsia="SimSun"/>
          <w:sz w:val="24"/>
          <w:szCs w:val="24"/>
        </w:rPr>
        <w:t>12</w:t>
      </w:r>
      <w:r w:rsidRPr="000C0842">
        <w:rPr>
          <w:rFonts w:eastAsia="SimSun"/>
          <w:sz w:val="24"/>
          <w:szCs w:val="24"/>
        </w:rPr>
        <w:t>日至</w:t>
      </w:r>
      <w:r w:rsidRPr="000C0842">
        <w:rPr>
          <w:rFonts w:eastAsia="Times New Roman"/>
          <w:sz w:val="24"/>
          <w:szCs w:val="24"/>
        </w:rPr>
        <w:t>2024</w:t>
      </w:r>
      <w:r w:rsidRPr="000C0842">
        <w:rPr>
          <w:rFonts w:eastAsia="SimSun"/>
          <w:sz w:val="24"/>
          <w:szCs w:val="24"/>
        </w:rPr>
        <w:t>年</w:t>
      </w:r>
      <w:r w:rsidRPr="000C0842">
        <w:rPr>
          <w:rFonts w:eastAsia="Times New Roman"/>
          <w:sz w:val="24"/>
          <w:szCs w:val="24"/>
        </w:rPr>
        <w:t>1</w:t>
      </w:r>
      <w:r w:rsidRPr="000C0842">
        <w:rPr>
          <w:rFonts w:eastAsia="SimSun"/>
          <w:sz w:val="24"/>
          <w:szCs w:val="24"/>
        </w:rPr>
        <w:t>月</w:t>
      </w:r>
      <w:r w:rsidRPr="000C0842">
        <w:rPr>
          <w:rFonts w:eastAsia="SimSun"/>
          <w:sz w:val="24"/>
          <w:szCs w:val="24"/>
        </w:rPr>
        <w:t>10</w:t>
      </w:r>
      <w:r w:rsidRPr="000C0842">
        <w:rPr>
          <w:rFonts w:eastAsia="SimSun"/>
          <w:sz w:val="24"/>
          <w:szCs w:val="24"/>
        </w:rPr>
        <w:t>日举行的主流化在线论坛期间提交的材料，</w:t>
      </w:r>
    </w:p>
    <w:p w14:paraId="3DE04EF0"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vertAlign w:val="superscript"/>
          <w:lang w:val="en-CA"/>
        </w:rPr>
      </w:pPr>
      <w:r w:rsidRPr="000C0842">
        <w:rPr>
          <w:rFonts w:eastAsia="KaiTi" w:hint="eastAsia"/>
          <w:sz w:val="24"/>
          <w:szCs w:val="24"/>
        </w:rPr>
        <w:t>又表示</w:t>
      </w:r>
      <w:r w:rsidRPr="000C0842">
        <w:rPr>
          <w:rFonts w:eastAsia="KaiTi"/>
          <w:sz w:val="24"/>
          <w:szCs w:val="24"/>
        </w:rPr>
        <w:t>注意到</w:t>
      </w:r>
      <w:r w:rsidRPr="000C0842">
        <w:rPr>
          <w:rFonts w:eastAsia="SimSun"/>
          <w:sz w:val="24"/>
          <w:szCs w:val="24"/>
          <w:lang w:val="en-CA"/>
        </w:rPr>
        <w:t>秘书处进行的分析</w:t>
      </w:r>
      <w:r w:rsidRPr="000C0842">
        <w:rPr>
          <w:rFonts w:eastAsia="SimSun"/>
          <w:sz w:val="24"/>
          <w:szCs w:val="24"/>
          <w:vertAlign w:val="superscript"/>
          <w:lang w:val="en-CA"/>
        </w:rPr>
        <w:footnoteReference w:id="125"/>
      </w:r>
      <w:r w:rsidRPr="000C0842">
        <w:rPr>
          <w:rFonts w:eastAsia="SimSun"/>
          <w:sz w:val="24"/>
          <w:szCs w:val="24"/>
          <w:lang w:val="en-CA"/>
        </w:rPr>
        <w:t>，其中</w:t>
      </w:r>
      <w:r w:rsidRPr="000C0842">
        <w:rPr>
          <w:rFonts w:eastAsia="SimSun" w:hint="eastAsia"/>
          <w:sz w:val="24"/>
          <w:szCs w:val="24"/>
          <w:lang w:val="en-CA"/>
        </w:rPr>
        <w:t>显示</w:t>
      </w:r>
      <w:r w:rsidRPr="000C0842">
        <w:rPr>
          <w:rFonts w:eastAsia="SimSun"/>
          <w:sz w:val="24"/>
          <w:szCs w:val="24"/>
          <w:lang w:val="en-CA"/>
        </w:rPr>
        <w:t>主流化长期战略方法与《</w:t>
      </w:r>
      <w:r w:rsidRPr="000C0842">
        <w:rPr>
          <w:rFonts w:eastAsia="SimSun" w:cs="SimSun" w:hint="eastAsia"/>
          <w:bCs/>
          <w:sz w:val="24"/>
        </w:rPr>
        <w:t>昆蒙</w:t>
      </w:r>
      <w:r w:rsidRPr="000C0842">
        <w:rPr>
          <w:rFonts w:eastAsia="SimSun"/>
          <w:sz w:val="24"/>
          <w:szCs w:val="24"/>
          <w:lang w:val="en-CA"/>
        </w:rPr>
        <w:t>框架》的</w:t>
      </w:r>
      <w:r w:rsidRPr="000C0842">
        <w:rPr>
          <w:rFonts w:eastAsia="SimSun" w:hint="eastAsia"/>
          <w:sz w:val="24"/>
          <w:szCs w:val="24"/>
          <w:lang w:val="en-CA"/>
        </w:rPr>
        <w:t>某些</w:t>
      </w:r>
      <w:r w:rsidRPr="000C0842">
        <w:rPr>
          <w:rFonts w:eastAsia="SimSun"/>
          <w:sz w:val="24"/>
          <w:szCs w:val="24"/>
          <w:lang w:val="en-CA"/>
        </w:rPr>
        <w:t>长期目标和行动目标相一致，</w:t>
      </w:r>
    </w:p>
    <w:p w14:paraId="614131BD"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回顾</w:t>
      </w:r>
      <w:r w:rsidRPr="000C0842">
        <w:rPr>
          <w:rFonts w:eastAsia="SimSun"/>
          <w:sz w:val="24"/>
          <w:szCs w:val="24"/>
        </w:rPr>
        <w:t>其以下决定：《</w:t>
      </w:r>
      <w:r w:rsidRPr="000C0842">
        <w:rPr>
          <w:rFonts w:eastAsia="SimSun" w:cs="SimSun" w:hint="eastAsia"/>
          <w:bCs/>
          <w:sz w:val="24"/>
        </w:rPr>
        <w:t>昆蒙</w:t>
      </w:r>
      <w:r w:rsidRPr="000C0842">
        <w:rPr>
          <w:rFonts w:eastAsia="SimSun"/>
          <w:sz w:val="24"/>
          <w:szCs w:val="24"/>
        </w:rPr>
        <w:t>框架》应作为</w:t>
      </w:r>
      <w:r w:rsidRPr="000C0842">
        <w:rPr>
          <w:rFonts w:eastAsia="Times New Roman"/>
          <w:sz w:val="24"/>
          <w:szCs w:val="24"/>
        </w:rPr>
        <w:t>2022-2030</w:t>
      </w:r>
      <w:r w:rsidRPr="000C0842">
        <w:rPr>
          <w:rFonts w:eastAsia="SimSun"/>
          <w:sz w:val="24"/>
          <w:szCs w:val="24"/>
        </w:rPr>
        <w:t>年期间《公约》及其议定书执行</w:t>
      </w:r>
      <w:r w:rsidRPr="000C0842">
        <w:rPr>
          <w:rFonts w:eastAsia="SimSun" w:hint="eastAsia"/>
          <w:sz w:val="24"/>
          <w:szCs w:val="24"/>
        </w:rPr>
        <w:t>工作</w:t>
      </w:r>
      <w:r w:rsidRPr="000C0842">
        <w:rPr>
          <w:rFonts w:eastAsia="SimSun"/>
          <w:sz w:val="24"/>
          <w:szCs w:val="24"/>
        </w:rPr>
        <w:t>以及各机构和秘书处的一个战略计划，在这方面</w:t>
      </w:r>
      <w:r w:rsidRPr="000C0842">
        <w:rPr>
          <w:rFonts w:eastAsia="SimSun" w:hint="eastAsia"/>
          <w:sz w:val="24"/>
          <w:szCs w:val="24"/>
        </w:rPr>
        <w:t>，</w:t>
      </w:r>
      <w:r w:rsidRPr="000C0842">
        <w:rPr>
          <w:rFonts w:eastAsia="SimSun"/>
          <w:sz w:val="24"/>
          <w:szCs w:val="24"/>
        </w:rPr>
        <w:t>应</w:t>
      </w:r>
      <w:r w:rsidRPr="000C0842">
        <w:rPr>
          <w:rFonts w:eastAsia="SimSun" w:hint="eastAsia"/>
          <w:sz w:val="24"/>
          <w:szCs w:val="24"/>
        </w:rPr>
        <w:t>利用《</w:t>
      </w:r>
      <w:r w:rsidRPr="000C0842">
        <w:rPr>
          <w:rFonts w:eastAsia="SimSun" w:cs="SimSun" w:hint="eastAsia"/>
          <w:bCs/>
          <w:sz w:val="24"/>
        </w:rPr>
        <w:t>昆蒙</w:t>
      </w:r>
      <w:r w:rsidRPr="000C0842">
        <w:rPr>
          <w:rFonts w:eastAsia="SimSun" w:hint="eastAsia"/>
          <w:sz w:val="24"/>
          <w:szCs w:val="24"/>
        </w:rPr>
        <w:t>框架》，</w:t>
      </w:r>
      <w:r w:rsidRPr="000C0842">
        <w:rPr>
          <w:rFonts w:eastAsia="SimSun"/>
          <w:sz w:val="24"/>
          <w:szCs w:val="24"/>
        </w:rPr>
        <w:t>根据</w:t>
      </w:r>
      <w:r w:rsidRPr="000C0842">
        <w:rPr>
          <w:rFonts w:eastAsia="SimSun" w:hint="eastAsia"/>
          <w:sz w:val="24"/>
          <w:szCs w:val="24"/>
        </w:rPr>
        <w:t>其</w:t>
      </w:r>
      <w:r w:rsidRPr="000C0842">
        <w:rPr>
          <w:rFonts w:eastAsia="SimSun"/>
          <w:sz w:val="24"/>
          <w:szCs w:val="24"/>
        </w:rPr>
        <w:t>长期目标和行动目标</w:t>
      </w:r>
      <w:r w:rsidRPr="000C0842">
        <w:rPr>
          <w:rFonts w:eastAsia="SimSun" w:hint="eastAsia"/>
          <w:sz w:val="24"/>
          <w:szCs w:val="24"/>
        </w:rPr>
        <w:t>，</w:t>
      </w:r>
      <w:r w:rsidRPr="000C0842">
        <w:rPr>
          <w:rFonts w:eastAsia="SimSun"/>
          <w:sz w:val="24"/>
          <w:szCs w:val="24"/>
        </w:rPr>
        <w:t>更好地协调和指导《公约》及其议定书</w:t>
      </w:r>
      <w:r w:rsidRPr="000C0842">
        <w:rPr>
          <w:rFonts w:eastAsia="SimSun" w:hint="eastAsia"/>
          <w:sz w:val="24"/>
          <w:szCs w:val="24"/>
        </w:rPr>
        <w:t>各机构</w:t>
      </w:r>
      <w:r w:rsidRPr="000C0842">
        <w:rPr>
          <w:rFonts w:eastAsia="SimSun"/>
          <w:sz w:val="24"/>
          <w:szCs w:val="24"/>
        </w:rPr>
        <w:t>、</w:t>
      </w:r>
      <w:r w:rsidRPr="000C0842">
        <w:rPr>
          <w:rFonts w:eastAsia="SimSun" w:hint="eastAsia"/>
          <w:sz w:val="24"/>
          <w:szCs w:val="24"/>
        </w:rPr>
        <w:t>其</w:t>
      </w:r>
      <w:r w:rsidRPr="000C0842">
        <w:rPr>
          <w:rFonts w:eastAsia="SimSun"/>
          <w:sz w:val="24"/>
          <w:szCs w:val="24"/>
        </w:rPr>
        <w:t>秘书处及其预算的工作</w:t>
      </w:r>
      <w:r w:rsidRPr="000C0842">
        <w:rPr>
          <w:rFonts w:eastAsia="SimSun"/>
          <w:sz w:val="24"/>
          <w:szCs w:val="24"/>
          <w:vertAlign w:val="superscript"/>
          <w:lang w:val="en-CA"/>
        </w:rPr>
        <w:footnoteReference w:id="126"/>
      </w:r>
      <w:r w:rsidRPr="000C0842">
        <w:rPr>
          <w:rFonts w:eastAsia="SimSun" w:hint="eastAsia"/>
          <w:sz w:val="24"/>
          <w:szCs w:val="24"/>
        </w:rPr>
        <w:t>，</w:t>
      </w:r>
    </w:p>
    <w:p w14:paraId="1D1E16B9"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KaiTi"/>
          <w:sz w:val="24"/>
          <w:szCs w:val="24"/>
        </w:rPr>
      </w:pPr>
      <w:r w:rsidRPr="000C0842">
        <w:rPr>
          <w:rFonts w:eastAsia="KaiTi"/>
          <w:sz w:val="24"/>
          <w:szCs w:val="24"/>
        </w:rPr>
        <w:t>强调</w:t>
      </w:r>
      <w:r w:rsidRPr="000C0842">
        <w:rPr>
          <w:rFonts w:eastAsia="SimSun"/>
          <w:sz w:val="24"/>
          <w:szCs w:val="24"/>
        </w:rPr>
        <w:t>《公约》及其议定书下的进程必须保持包容性和</w:t>
      </w:r>
      <w:r w:rsidRPr="000C0842">
        <w:rPr>
          <w:rFonts w:eastAsia="SimSun" w:hint="eastAsia"/>
          <w:sz w:val="24"/>
          <w:szCs w:val="24"/>
        </w:rPr>
        <w:t>区域</w:t>
      </w:r>
      <w:r w:rsidRPr="000C0842">
        <w:rPr>
          <w:rFonts w:eastAsia="SimSun"/>
          <w:sz w:val="24"/>
          <w:szCs w:val="24"/>
        </w:rPr>
        <w:t>平衡，</w:t>
      </w:r>
    </w:p>
    <w:p w14:paraId="265A82BD"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认识到</w:t>
      </w:r>
      <w:r w:rsidRPr="000C0842">
        <w:rPr>
          <w:rFonts w:eastAsia="SimSun"/>
          <w:sz w:val="24"/>
          <w:szCs w:val="24"/>
        </w:rPr>
        <w:t>应</w:t>
      </w:r>
      <w:r w:rsidRPr="000C0842">
        <w:rPr>
          <w:rFonts w:eastAsia="SimSun" w:hint="eastAsia"/>
          <w:sz w:val="24"/>
          <w:szCs w:val="24"/>
        </w:rPr>
        <w:t>该以平衡和</w:t>
      </w:r>
      <w:r w:rsidRPr="000C0842">
        <w:rPr>
          <w:rFonts w:eastAsia="SimSun"/>
          <w:sz w:val="24"/>
          <w:szCs w:val="24"/>
        </w:rPr>
        <w:t>灵活的</w:t>
      </w:r>
      <w:r w:rsidRPr="000C0842">
        <w:rPr>
          <w:rFonts w:eastAsia="SimSun" w:hint="eastAsia"/>
          <w:sz w:val="24"/>
          <w:szCs w:val="24"/>
        </w:rPr>
        <w:t>方式</w:t>
      </w:r>
      <w:r w:rsidRPr="000C0842">
        <w:rPr>
          <w:rFonts w:eastAsia="SimSun"/>
          <w:sz w:val="24"/>
          <w:szCs w:val="24"/>
        </w:rPr>
        <w:t>实施与生物多样性主流化有关的行动，</w:t>
      </w:r>
      <w:r w:rsidRPr="000C0842">
        <w:rPr>
          <w:rFonts w:eastAsia="SimSun" w:hint="eastAsia"/>
          <w:sz w:val="24"/>
          <w:szCs w:val="24"/>
        </w:rPr>
        <w:t>同时</w:t>
      </w:r>
      <w:r w:rsidRPr="000C0842">
        <w:rPr>
          <w:rFonts w:eastAsia="SimSun"/>
          <w:sz w:val="24"/>
          <w:szCs w:val="24"/>
        </w:rPr>
        <w:t>考虑到国情和能力，</w:t>
      </w:r>
      <w:r w:rsidRPr="000C0842">
        <w:rPr>
          <w:rFonts w:eastAsia="SimSun" w:hint="eastAsia"/>
          <w:sz w:val="24"/>
          <w:szCs w:val="24"/>
        </w:rPr>
        <w:t>并认识到</w:t>
      </w:r>
      <w:r w:rsidRPr="000C0842">
        <w:rPr>
          <w:rFonts w:eastAsia="SimSun"/>
          <w:sz w:val="24"/>
          <w:szCs w:val="24"/>
        </w:rPr>
        <w:t>生物多样性主流化没有一刀切的办法，</w:t>
      </w:r>
    </w:p>
    <w:p w14:paraId="795643BB"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KaiTi"/>
          <w:sz w:val="24"/>
          <w:szCs w:val="24"/>
        </w:rPr>
      </w:pPr>
      <w:r w:rsidRPr="000C0842">
        <w:rPr>
          <w:rFonts w:eastAsia="KaiTi"/>
          <w:sz w:val="24"/>
          <w:szCs w:val="24"/>
        </w:rPr>
        <w:t>1.</w:t>
      </w:r>
      <w:r w:rsidRPr="000C0842">
        <w:rPr>
          <w:rFonts w:eastAsia="KaiTi"/>
          <w:sz w:val="24"/>
          <w:szCs w:val="24"/>
        </w:rPr>
        <w:tab/>
      </w:r>
      <w:r w:rsidRPr="000C0842">
        <w:rPr>
          <w:rFonts w:eastAsia="KaiTi"/>
          <w:sz w:val="24"/>
          <w:szCs w:val="24"/>
        </w:rPr>
        <w:t>确认</w:t>
      </w:r>
      <w:r w:rsidRPr="000C0842">
        <w:rPr>
          <w:rFonts w:eastAsia="SimSun"/>
          <w:sz w:val="24"/>
          <w:szCs w:val="24"/>
        </w:rPr>
        <w:t>《昆明</w:t>
      </w:r>
      <w:r w:rsidRPr="000C0842">
        <w:rPr>
          <w:rFonts w:eastAsia="Times New Roman"/>
          <w:sz w:val="24"/>
          <w:szCs w:val="24"/>
        </w:rPr>
        <w:t>-</w:t>
      </w:r>
      <w:r w:rsidRPr="000C0842">
        <w:rPr>
          <w:rFonts w:eastAsia="SimSun"/>
          <w:sz w:val="24"/>
          <w:szCs w:val="24"/>
        </w:rPr>
        <w:t>蒙特利尔全球生物多样性框架》体现了生物多样性主流化，提供了实现</w:t>
      </w:r>
      <w:r w:rsidRPr="000C0842">
        <w:rPr>
          <w:rFonts w:eastAsia="SimSun" w:hint="eastAsia"/>
          <w:sz w:val="24"/>
          <w:szCs w:val="24"/>
        </w:rPr>
        <w:t>生物多样性</w:t>
      </w:r>
      <w:r w:rsidRPr="000C0842">
        <w:rPr>
          <w:rFonts w:eastAsia="SimSun"/>
          <w:sz w:val="24"/>
          <w:szCs w:val="24"/>
        </w:rPr>
        <w:t>主流化</w:t>
      </w:r>
      <w:r w:rsidRPr="000C0842">
        <w:rPr>
          <w:rFonts w:eastAsia="SimSun" w:hint="eastAsia"/>
          <w:sz w:val="24"/>
          <w:szCs w:val="24"/>
        </w:rPr>
        <w:t>的</w:t>
      </w:r>
      <w:r w:rsidRPr="000C0842">
        <w:rPr>
          <w:rFonts w:eastAsia="SimSun"/>
          <w:sz w:val="24"/>
          <w:szCs w:val="24"/>
        </w:rPr>
        <w:t>多种选项，认为第</w:t>
      </w:r>
      <w:hyperlink r:id="rId93" w:history="1">
        <w:r w:rsidRPr="000C0842">
          <w:rPr>
            <w:rFonts w:eastAsia="SimSun"/>
            <w:sz w:val="24"/>
            <w:szCs w:val="24"/>
            <w:u w:val="single"/>
          </w:rPr>
          <w:t>14/3</w:t>
        </w:r>
      </w:hyperlink>
      <w:r w:rsidRPr="000C0842">
        <w:rPr>
          <w:rFonts w:eastAsia="SimSun"/>
          <w:sz w:val="24"/>
          <w:szCs w:val="24"/>
        </w:rPr>
        <w:t>号决定第</w:t>
      </w:r>
      <w:r w:rsidRPr="000C0842">
        <w:rPr>
          <w:rFonts w:eastAsia="SimSun"/>
          <w:sz w:val="24"/>
          <w:szCs w:val="24"/>
        </w:rPr>
        <w:t>17</w:t>
      </w:r>
      <w:r w:rsidRPr="000C0842">
        <w:rPr>
          <w:rFonts w:eastAsia="SimSun" w:hint="eastAsia"/>
          <w:sz w:val="24"/>
          <w:szCs w:val="24"/>
        </w:rPr>
        <w:t>段</w:t>
      </w:r>
      <w:r w:rsidRPr="000C0842">
        <w:rPr>
          <w:rFonts w:eastAsia="SimSun"/>
          <w:sz w:val="24"/>
          <w:szCs w:val="24"/>
        </w:rPr>
        <w:t>和第</w:t>
      </w:r>
      <w:r w:rsidRPr="000C0842">
        <w:rPr>
          <w:rFonts w:eastAsia="SimSun"/>
          <w:sz w:val="24"/>
          <w:szCs w:val="24"/>
        </w:rPr>
        <w:t>18</w:t>
      </w:r>
      <w:r w:rsidRPr="000C0842">
        <w:rPr>
          <w:rFonts w:eastAsia="SimSun"/>
          <w:sz w:val="24"/>
          <w:szCs w:val="24"/>
        </w:rPr>
        <w:t>段的规定已</w:t>
      </w:r>
      <w:r w:rsidRPr="000C0842">
        <w:rPr>
          <w:rFonts w:eastAsia="SimSun" w:hint="eastAsia"/>
          <w:sz w:val="24"/>
          <w:szCs w:val="24"/>
        </w:rPr>
        <w:t>得到</w:t>
      </w:r>
      <w:r w:rsidRPr="000C0842">
        <w:rPr>
          <w:rFonts w:eastAsia="SimSun"/>
          <w:sz w:val="24"/>
          <w:szCs w:val="24"/>
        </w:rPr>
        <w:t>执行；</w:t>
      </w:r>
      <w:r w:rsidRPr="000C0842">
        <w:rPr>
          <w:rFonts w:eastAsia="KaiTi"/>
          <w:sz w:val="24"/>
          <w:szCs w:val="24"/>
        </w:rPr>
        <w:t xml:space="preserve"> </w:t>
      </w:r>
    </w:p>
    <w:p w14:paraId="7D714A2D" w14:textId="77777777" w:rsidR="005E77FA" w:rsidRPr="000C0842" w:rsidRDefault="005E77FA" w:rsidP="005E77FA">
      <w:pPr>
        <w:numPr>
          <w:ilvl w:val="3"/>
          <w:numId w:val="0"/>
        </w:numPr>
        <w:tabs>
          <w:tab w:val="clear" w:pos="567"/>
          <w:tab w:val="clear" w:pos="1134"/>
          <w:tab w:val="clear" w:pos="1701"/>
          <w:tab w:val="clear" w:pos="2268"/>
        </w:tabs>
        <w:adjustRightInd w:val="0"/>
        <w:snapToGrid w:val="0"/>
        <w:spacing w:before="120" w:after="120"/>
        <w:ind w:left="490" w:firstLine="490"/>
        <w:rPr>
          <w:rFonts w:eastAsia="SimSun"/>
          <w:bCs/>
          <w:sz w:val="24"/>
          <w:szCs w:val="24"/>
          <w:vertAlign w:val="superscript"/>
          <w:lang w:val="en-CA"/>
        </w:rPr>
      </w:pPr>
      <w:r w:rsidRPr="000C0842">
        <w:rPr>
          <w:rFonts w:eastAsia="KaiTi"/>
          <w:sz w:val="24"/>
          <w:szCs w:val="24"/>
        </w:rPr>
        <w:t>2.</w:t>
      </w:r>
      <w:r w:rsidRPr="000C0842">
        <w:rPr>
          <w:rFonts w:eastAsia="KaiTi"/>
          <w:sz w:val="24"/>
          <w:szCs w:val="24"/>
        </w:rPr>
        <w:tab/>
      </w:r>
      <w:r w:rsidRPr="000C0842">
        <w:rPr>
          <w:rFonts w:eastAsia="KaiTi"/>
          <w:sz w:val="24"/>
          <w:szCs w:val="24"/>
        </w:rPr>
        <w:t>敦促</w:t>
      </w:r>
      <w:r w:rsidRPr="000C0842">
        <w:rPr>
          <w:rFonts w:eastAsia="SimSun"/>
          <w:sz w:val="24"/>
          <w:szCs w:val="24"/>
          <w:lang w:val="en-CA"/>
        </w:rPr>
        <w:t>缔约方并邀请其他国家政府</w:t>
      </w:r>
      <w:r w:rsidRPr="000C0842">
        <w:rPr>
          <w:rFonts w:eastAsia="SimSun" w:hint="eastAsia"/>
          <w:sz w:val="24"/>
          <w:szCs w:val="24"/>
          <w:lang w:val="en-CA"/>
        </w:rPr>
        <w:t>、次国家和地方政府</w:t>
      </w:r>
      <w:r w:rsidRPr="000C0842">
        <w:rPr>
          <w:rFonts w:eastAsia="SimSun"/>
          <w:sz w:val="24"/>
          <w:szCs w:val="24"/>
          <w:lang w:val="en-CA"/>
        </w:rPr>
        <w:t>酌情在国际组织、其他相关组织以及工商和金融</w:t>
      </w:r>
      <w:r w:rsidRPr="000C0842">
        <w:rPr>
          <w:rFonts w:eastAsia="SimSun" w:hint="eastAsia"/>
          <w:sz w:val="24"/>
          <w:szCs w:val="24"/>
          <w:lang w:val="en-CA"/>
        </w:rPr>
        <w:t>部门</w:t>
      </w:r>
      <w:r w:rsidRPr="000C0842">
        <w:rPr>
          <w:rFonts w:eastAsia="SimSun"/>
          <w:sz w:val="24"/>
          <w:szCs w:val="24"/>
          <w:lang w:val="en-CA"/>
        </w:rPr>
        <w:t>的支持下，以有助于实现《生物多样性公约》三</w:t>
      </w:r>
      <w:r w:rsidRPr="000C0842">
        <w:rPr>
          <w:rFonts w:eastAsia="SimSun" w:hint="eastAsia"/>
          <w:sz w:val="24"/>
          <w:szCs w:val="24"/>
          <w:lang w:val="en-CA"/>
        </w:rPr>
        <w:t>个</w:t>
      </w:r>
      <w:r w:rsidRPr="000C0842">
        <w:rPr>
          <w:rFonts w:eastAsia="SimSun"/>
          <w:sz w:val="24"/>
          <w:szCs w:val="24"/>
          <w:lang w:val="en-CA"/>
        </w:rPr>
        <w:t>目标的方式开展《</w:t>
      </w:r>
      <w:r w:rsidRPr="000C0842">
        <w:rPr>
          <w:rFonts w:eastAsia="SimSun" w:cs="SimSun" w:hint="eastAsia"/>
          <w:bCs/>
          <w:sz w:val="24"/>
        </w:rPr>
        <w:t>昆蒙</w:t>
      </w:r>
      <w:r w:rsidRPr="000C0842">
        <w:rPr>
          <w:rFonts w:eastAsia="SimSun"/>
          <w:sz w:val="24"/>
          <w:szCs w:val="24"/>
          <w:lang w:val="en-CA"/>
        </w:rPr>
        <w:t>框架》所述生物多样性主流化工作，特别是酌情采取包容的方式，根据相关国家和国际法规</w:t>
      </w:r>
      <w:r w:rsidRPr="000C0842">
        <w:rPr>
          <w:rFonts w:eastAsia="SimSun" w:hint="eastAsia"/>
          <w:sz w:val="24"/>
          <w:szCs w:val="24"/>
          <w:lang w:val="en-CA"/>
        </w:rPr>
        <w:t>，</w:t>
      </w:r>
      <w:r w:rsidRPr="000C0842">
        <w:rPr>
          <w:rFonts w:eastAsia="SimSun"/>
          <w:sz w:val="24"/>
          <w:szCs w:val="24"/>
          <w:lang w:val="en-CA"/>
        </w:rPr>
        <w:t>在政府和社会各级为主流化创造有利条件，帮助妇女、青年、土著人民和地方社区、民间社会组织和各行各业的利益攸关方</w:t>
      </w:r>
      <w:r w:rsidRPr="000C0842">
        <w:rPr>
          <w:rFonts w:eastAsia="SimSun"/>
          <w:sz w:val="24"/>
          <w:szCs w:val="24"/>
          <w:vertAlign w:val="superscript"/>
          <w:lang w:val="en-CA"/>
        </w:rPr>
        <w:footnoteReference w:id="127"/>
      </w:r>
      <w:r w:rsidRPr="000C0842">
        <w:rPr>
          <w:rFonts w:eastAsia="SimSun"/>
          <w:sz w:val="24"/>
          <w:szCs w:val="24"/>
          <w:lang w:val="en-CA"/>
        </w:rPr>
        <w:t>充分有效地</w:t>
      </w:r>
      <w:r w:rsidRPr="000C0842">
        <w:rPr>
          <w:rFonts w:eastAsia="SimSun" w:hint="eastAsia"/>
          <w:sz w:val="24"/>
          <w:szCs w:val="24"/>
          <w:lang w:val="en-CA"/>
        </w:rPr>
        <w:t>作</w:t>
      </w:r>
      <w:r w:rsidRPr="000C0842">
        <w:rPr>
          <w:rFonts w:eastAsia="SimSun"/>
          <w:sz w:val="24"/>
          <w:szCs w:val="24"/>
          <w:lang w:val="en-CA"/>
        </w:rPr>
        <w:t>出贡献；</w:t>
      </w:r>
    </w:p>
    <w:p w14:paraId="7E379A41" w14:textId="77777777" w:rsidR="005E77FA" w:rsidRPr="000C0842" w:rsidRDefault="005E77FA" w:rsidP="005E77FA">
      <w:pPr>
        <w:numPr>
          <w:ilvl w:val="3"/>
          <w:numId w:val="0"/>
        </w:numPr>
        <w:tabs>
          <w:tab w:val="clear" w:pos="567"/>
          <w:tab w:val="clear" w:pos="1134"/>
          <w:tab w:val="clear" w:pos="1701"/>
          <w:tab w:val="clear" w:pos="2268"/>
        </w:tabs>
        <w:adjustRightInd w:val="0"/>
        <w:snapToGrid w:val="0"/>
        <w:spacing w:before="120" w:after="120"/>
        <w:ind w:left="490" w:firstLine="490"/>
        <w:rPr>
          <w:rFonts w:eastAsia="SimSun"/>
          <w:bCs/>
          <w:sz w:val="24"/>
          <w:szCs w:val="24"/>
          <w:vertAlign w:val="superscript"/>
          <w:lang w:val="en-GB"/>
        </w:rPr>
      </w:pPr>
      <w:r w:rsidRPr="000C0842">
        <w:rPr>
          <w:rFonts w:eastAsia="KaiTi"/>
          <w:sz w:val="24"/>
          <w:szCs w:val="24"/>
        </w:rPr>
        <w:t>3.</w:t>
      </w:r>
      <w:r w:rsidRPr="000C0842">
        <w:rPr>
          <w:rFonts w:eastAsia="KaiTi"/>
          <w:sz w:val="24"/>
          <w:szCs w:val="24"/>
        </w:rPr>
        <w:tab/>
      </w:r>
      <w:r w:rsidRPr="000C0842">
        <w:rPr>
          <w:rFonts w:eastAsia="KaiTi"/>
          <w:sz w:val="24"/>
          <w:szCs w:val="24"/>
        </w:rPr>
        <w:t>邀请</w:t>
      </w:r>
      <w:r w:rsidRPr="000C0842">
        <w:rPr>
          <w:rFonts w:eastAsia="SimSun"/>
          <w:sz w:val="24"/>
          <w:szCs w:val="24"/>
        </w:rPr>
        <w:t>缔约方以及相关组织、倡议和利益攸关方</w:t>
      </w:r>
      <w:r w:rsidRPr="000C0842">
        <w:rPr>
          <w:rFonts w:eastAsia="SimSun" w:hint="eastAsia"/>
          <w:sz w:val="24"/>
          <w:szCs w:val="24"/>
        </w:rPr>
        <w:t>，</w:t>
      </w:r>
      <w:r w:rsidRPr="000C0842">
        <w:rPr>
          <w:rFonts w:eastAsia="SimSun"/>
          <w:sz w:val="24"/>
          <w:szCs w:val="24"/>
        </w:rPr>
        <w:t>根据</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94" w:history="1">
        <w:r w:rsidRPr="000C0842">
          <w:rPr>
            <w:rFonts w:eastAsia="Times New Roman"/>
            <w:sz w:val="24"/>
            <w:szCs w:val="24"/>
            <w:u w:val="single"/>
          </w:rPr>
          <w:t>15/6</w:t>
        </w:r>
      </w:hyperlink>
      <w:r w:rsidRPr="000C0842">
        <w:rPr>
          <w:rFonts w:eastAsia="SimSun"/>
          <w:sz w:val="24"/>
          <w:szCs w:val="24"/>
        </w:rPr>
        <w:t>号决定，通过第七次国家报告</w:t>
      </w:r>
      <w:r w:rsidRPr="000C0842">
        <w:rPr>
          <w:rFonts w:eastAsia="SimSun" w:hint="eastAsia"/>
          <w:sz w:val="24"/>
          <w:szCs w:val="24"/>
        </w:rPr>
        <w:t>，或通过</w:t>
      </w:r>
      <w:r w:rsidRPr="000C0842">
        <w:rPr>
          <w:rFonts w:eastAsia="SimSun"/>
          <w:sz w:val="24"/>
          <w:szCs w:val="24"/>
        </w:rPr>
        <w:t>非国家</w:t>
      </w:r>
      <w:r w:rsidRPr="000C0842">
        <w:rPr>
          <w:rFonts w:eastAsia="SimSun" w:hint="eastAsia"/>
          <w:sz w:val="24"/>
          <w:szCs w:val="24"/>
        </w:rPr>
        <w:t>主</w:t>
      </w:r>
      <w:r w:rsidRPr="000C0842">
        <w:rPr>
          <w:rFonts w:eastAsia="SimSun"/>
          <w:sz w:val="24"/>
          <w:szCs w:val="24"/>
        </w:rPr>
        <w:t>体</w:t>
      </w:r>
      <w:r w:rsidRPr="000C0842">
        <w:rPr>
          <w:rFonts w:eastAsia="SimSun" w:hint="eastAsia"/>
          <w:sz w:val="24"/>
          <w:szCs w:val="24"/>
        </w:rPr>
        <w:t>以及次国家和地方政府有关承诺的信息，</w:t>
      </w:r>
      <w:r w:rsidRPr="000C0842">
        <w:rPr>
          <w:rFonts w:eastAsia="SimSun"/>
          <w:sz w:val="24"/>
          <w:szCs w:val="24"/>
        </w:rPr>
        <w:t>提供生物多样性主流化相关信息，包括这方面的良好做法、</w:t>
      </w:r>
      <w:r w:rsidRPr="000C0842">
        <w:rPr>
          <w:rFonts w:eastAsia="SimSun" w:hint="eastAsia"/>
          <w:sz w:val="24"/>
          <w:szCs w:val="24"/>
        </w:rPr>
        <w:t>新工具和</w:t>
      </w:r>
      <w:r w:rsidRPr="000C0842">
        <w:rPr>
          <w:rFonts w:eastAsia="SimSun"/>
          <w:sz w:val="24"/>
          <w:szCs w:val="24"/>
        </w:rPr>
        <w:t>创新</w:t>
      </w:r>
      <w:r w:rsidRPr="000C0842">
        <w:rPr>
          <w:rFonts w:eastAsia="SimSun" w:hint="eastAsia"/>
          <w:sz w:val="24"/>
          <w:szCs w:val="24"/>
        </w:rPr>
        <w:t>工具</w:t>
      </w:r>
      <w:r w:rsidRPr="000C0842">
        <w:rPr>
          <w:rFonts w:eastAsia="SimSun"/>
          <w:sz w:val="24"/>
          <w:szCs w:val="24"/>
        </w:rPr>
        <w:t>、</w:t>
      </w:r>
      <w:r w:rsidRPr="000C0842">
        <w:rPr>
          <w:rFonts w:eastAsia="SimSun" w:hint="eastAsia"/>
          <w:sz w:val="24"/>
          <w:szCs w:val="24"/>
        </w:rPr>
        <w:t>机制、</w:t>
      </w:r>
      <w:r w:rsidRPr="000C0842">
        <w:rPr>
          <w:rFonts w:eastAsia="SimSun"/>
          <w:sz w:val="24"/>
          <w:szCs w:val="24"/>
        </w:rPr>
        <w:t>挑战和经验教训；</w:t>
      </w:r>
    </w:p>
    <w:p w14:paraId="36259DD5" w14:textId="77777777" w:rsidR="005E77FA" w:rsidRPr="000C0842" w:rsidRDefault="005E77FA" w:rsidP="005E77FA">
      <w:pPr>
        <w:numPr>
          <w:ilvl w:val="3"/>
          <w:numId w:val="0"/>
        </w:numPr>
        <w:tabs>
          <w:tab w:val="clear" w:pos="567"/>
          <w:tab w:val="clear" w:pos="1134"/>
          <w:tab w:val="clear" w:pos="1701"/>
          <w:tab w:val="clear" w:pos="2268"/>
        </w:tabs>
        <w:adjustRightInd w:val="0"/>
        <w:snapToGrid w:val="0"/>
        <w:spacing w:before="120" w:after="120"/>
        <w:ind w:left="490" w:firstLine="490"/>
        <w:rPr>
          <w:rFonts w:eastAsia="KaiTi"/>
          <w:sz w:val="24"/>
          <w:szCs w:val="24"/>
        </w:rPr>
      </w:pPr>
      <w:r w:rsidRPr="000C0842">
        <w:rPr>
          <w:rFonts w:eastAsia="KaiTi"/>
          <w:sz w:val="24"/>
          <w:szCs w:val="24"/>
        </w:rPr>
        <w:t>4.</w:t>
      </w:r>
      <w:r w:rsidRPr="000C0842">
        <w:rPr>
          <w:rFonts w:eastAsia="KaiTi"/>
          <w:sz w:val="24"/>
          <w:szCs w:val="24"/>
        </w:rPr>
        <w:tab/>
      </w:r>
      <w:r w:rsidRPr="000C0842">
        <w:rPr>
          <w:rFonts w:eastAsia="KaiTi"/>
          <w:sz w:val="24"/>
          <w:szCs w:val="24"/>
        </w:rPr>
        <w:t>鼓励</w:t>
      </w:r>
      <w:r w:rsidRPr="000C0842">
        <w:rPr>
          <w:rFonts w:eastAsia="SimSun"/>
          <w:sz w:val="24"/>
          <w:szCs w:val="24"/>
        </w:rPr>
        <w:t>缔约方根据国情和优先事项，</w:t>
      </w:r>
      <w:r w:rsidRPr="000C0842">
        <w:rPr>
          <w:rFonts w:eastAsia="SimSun" w:hint="eastAsia"/>
          <w:sz w:val="24"/>
          <w:szCs w:val="24"/>
        </w:rPr>
        <w:t>推动</w:t>
      </w:r>
      <w:r w:rsidRPr="000C0842">
        <w:rPr>
          <w:rFonts w:eastAsia="SimSun"/>
          <w:sz w:val="24"/>
          <w:szCs w:val="24"/>
        </w:rPr>
        <w:t>和支持</w:t>
      </w:r>
      <w:r w:rsidRPr="000C0842">
        <w:rPr>
          <w:rFonts w:eastAsia="SimSun" w:hint="eastAsia"/>
          <w:sz w:val="24"/>
          <w:szCs w:val="24"/>
        </w:rPr>
        <w:t>私营部门和金融部门为</w:t>
      </w:r>
      <w:r w:rsidRPr="000C0842">
        <w:rPr>
          <w:rFonts w:eastAsia="SimSun"/>
          <w:sz w:val="24"/>
          <w:szCs w:val="24"/>
        </w:rPr>
        <w:t>实现《公约》三</w:t>
      </w:r>
      <w:r w:rsidRPr="000C0842">
        <w:rPr>
          <w:rFonts w:eastAsia="SimSun" w:hint="eastAsia"/>
          <w:sz w:val="24"/>
          <w:szCs w:val="24"/>
        </w:rPr>
        <w:t>个</w:t>
      </w:r>
      <w:r w:rsidRPr="000C0842">
        <w:rPr>
          <w:rFonts w:eastAsia="SimSun"/>
          <w:sz w:val="24"/>
          <w:szCs w:val="24"/>
        </w:rPr>
        <w:t>目标</w:t>
      </w:r>
      <w:r w:rsidRPr="000C0842">
        <w:rPr>
          <w:rFonts w:eastAsia="SimSun" w:hint="eastAsia"/>
          <w:sz w:val="24"/>
          <w:szCs w:val="24"/>
        </w:rPr>
        <w:t>作出贡献</w:t>
      </w:r>
      <w:r w:rsidRPr="000C0842">
        <w:rPr>
          <w:rFonts w:eastAsia="SimSun"/>
          <w:sz w:val="24"/>
          <w:szCs w:val="24"/>
        </w:rPr>
        <w:t>；</w:t>
      </w:r>
    </w:p>
    <w:p w14:paraId="5C24D5B6" w14:textId="77777777" w:rsidR="005E77FA" w:rsidRPr="000C0842" w:rsidRDefault="005E77FA" w:rsidP="005E77FA">
      <w:pPr>
        <w:numPr>
          <w:ilvl w:val="3"/>
          <w:numId w:val="0"/>
        </w:numPr>
        <w:tabs>
          <w:tab w:val="clear" w:pos="567"/>
          <w:tab w:val="clear" w:pos="1134"/>
          <w:tab w:val="clear" w:pos="1701"/>
          <w:tab w:val="clear" w:pos="2268"/>
        </w:tabs>
        <w:adjustRightInd w:val="0"/>
        <w:snapToGrid w:val="0"/>
        <w:spacing w:before="120" w:after="120"/>
        <w:ind w:left="490" w:firstLine="490"/>
        <w:rPr>
          <w:rFonts w:eastAsia="KaiTi"/>
          <w:sz w:val="24"/>
          <w:szCs w:val="24"/>
        </w:rPr>
      </w:pPr>
      <w:r w:rsidRPr="000C0842">
        <w:rPr>
          <w:rFonts w:eastAsia="KaiTi"/>
          <w:sz w:val="24"/>
          <w:szCs w:val="24"/>
        </w:rPr>
        <w:t>5.</w:t>
      </w:r>
      <w:r w:rsidRPr="000C0842">
        <w:rPr>
          <w:rFonts w:eastAsia="KaiTi"/>
          <w:sz w:val="24"/>
          <w:szCs w:val="24"/>
        </w:rPr>
        <w:tab/>
      </w:r>
      <w:r w:rsidRPr="000C0842">
        <w:rPr>
          <w:rFonts w:eastAsia="KaiTi"/>
          <w:sz w:val="24"/>
          <w:szCs w:val="24"/>
        </w:rPr>
        <w:t>又鼓励</w:t>
      </w:r>
      <w:r w:rsidRPr="000C0842">
        <w:rPr>
          <w:rFonts w:eastAsia="SimSun"/>
          <w:sz w:val="24"/>
          <w:szCs w:val="24"/>
        </w:rPr>
        <w:t>缔约方并邀请其他国家政府、</w:t>
      </w:r>
      <w:r w:rsidRPr="000C0842">
        <w:rPr>
          <w:rFonts w:eastAsia="SimSun" w:hint="eastAsia"/>
          <w:sz w:val="24"/>
          <w:szCs w:val="24"/>
        </w:rPr>
        <w:t>次国家和地方政府、多边环境协定秘书处、</w:t>
      </w:r>
      <w:r w:rsidRPr="000C0842">
        <w:rPr>
          <w:rFonts w:eastAsia="SimSun"/>
          <w:sz w:val="24"/>
          <w:szCs w:val="24"/>
        </w:rPr>
        <w:t>相关组织、倡议、伙伴和相关利益攸关方，包括私营部门、金融部门</w:t>
      </w:r>
      <w:r w:rsidRPr="000C0842">
        <w:rPr>
          <w:rFonts w:eastAsia="SimSun" w:hint="eastAsia"/>
          <w:sz w:val="24"/>
          <w:szCs w:val="24"/>
        </w:rPr>
        <w:t>、学术界、</w:t>
      </w:r>
      <w:r w:rsidRPr="000C0842">
        <w:rPr>
          <w:rFonts w:eastAsia="SimSun"/>
          <w:sz w:val="24"/>
          <w:szCs w:val="24"/>
        </w:rPr>
        <w:t>科学界</w:t>
      </w:r>
      <w:r w:rsidRPr="000C0842">
        <w:rPr>
          <w:rFonts w:eastAsia="SimSun" w:hint="eastAsia"/>
          <w:sz w:val="24"/>
          <w:szCs w:val="24"/>
        </w:rPr>
        <w:t>和慈善组织中</w:t>
      </w:r>
      <w:r w:rsidRPr="000C0842">
        <w:rPr>
          <w:rFonts w:eastAsia="SimSun"/>
          <w:sz w:val="24"/>
          <w:szCs w:val="24"/>
        </w:rPr>
        <w:t>的利益攸关方，将</w:t>
      </w:r>
      <w:r w:rsidRPr="000C0842">
        <w:rPr>
          <w:rFonts w:eastAsia="SimSun" w:hint="eastAsia"/>
          <w:sz w:val="24"/>
          <w:szCs w:val="24"/>
        </w:rPr>
        <w:t>生物多样性</w:t>
      </w:r>
      <w:r w:rsidRPr="000C0842">
        <w:rPr>
          <w:rFonts w:eastAsia="SimSun"/>
          <w:sz w:val="24"/>
          <w:szCs w:val="24"/>
        </w:rPr>
        <w:t>纳入所有相关进程的主流；</w:t>
      </w:r>
    </w:p>
    <w:p w14:paraId="0C277F16" w14:textId="77777777" w:rsidR="005E77FA" w:rsidRPr="000C0842" w:rsidRDefault="005E77FA" w:rsidP="005E77FA">
      <w:pPr>
        <w:numPr>
          <w:ilvl w:val="3"/>
          <w:numId w:val="0"/>
        </w:numPr>
        <w:tabs>
          <w:tab w:val="clear" w:pos="567"/>
          <w:tab w:val="clear" w:pos="1134"/>
          <w:tab w:val="clear" w:pos="1701"/>
          <w:tab w:val="clear" w:pos="2268"/>
        </w:tabs>
        <w:adjustRightInd w:val="0"/>
        <w:snapToGrid w:val="0"/>
        <w:spacing w:before="120" w:after="120"/>
        <w:ind w:left="490" w:firstLine="490"/>
        <w:rPr>
          <w:rFonts w:eastAsia="SimSun"/>
          <w:bCs/>
          <w:sz w:val="24"/>
          <w:szCs w:val="24"/>
          <w:vertAlign w:val="superscript"/>
          <w:lang w:val="en-CA"/>
        </w:rPr>
      </w:pPr>
      <w:r w:rsidRPr="000C0842">
        <w:rPr>
          <w:rFonts w:eastAsia="KaiTi"/>
          <w:sz w:val="24"/>
          <w:szCs w:val="24"/>
        </w:rPr>
        <w:t>6.</w:t>
      </w:r>
      <w:r w:rsidRPr="000C0842">
        <w:rPr>
          <w:rFonts w:eastAsia="KaiTi"/>
          <w:sz w:val="24"/>
          <w:szCs w:val="24"/>
        </w:rPr>
        <w:tab/>
      </w:r>
      <w:r w:rsidRPr="000C0842">
        <w:rPr>
          <w:rFonts w:eastAsia="KaiTi"/>
          <w:sz w:val="24"/>
          <w:szCs w:val="24"/>
        </w:rPr>
        <w:t>请</w:t>
      </w:r>
      <w:r w:rsidRPr="000C0842">
        <w:rPr>
          <w:rFonts w:eastAsia="SimSun" w:hint="eastAsia"/>
          <w:sz w:val="24"/>
          <w:szCs w:val="24"/>
        </w:rPr>
        <w:t>公约</w:t>
      </w:r>
      <w:r w:rsidRPr="000C0842">
        <w:rPr>
          <w:rFonts w:eastAsia="SimSun"/>
          <w:sz w:val="24"/>
          <w:szCs w:val="24"/>
        </w:rPr>
        <w:t>执行秘书在资源</w:t>
      </w:r>
      <w:r w:rsidRPr="000C0842">
        <w:rPr>
          <w:rFonts w:eastAsia="SimSun" w:hint="eastAsia"/>
          <w:sz w:val="24"/>
          <w:szCs w:val="24"/>
        </w:rPr>
        <w:t>允许</w:t>
      </w:r>
      <w:r w:rsidRPr="000C0842">
        <w:rPr>
          <w:rFonts w:eastAsia="SimSun"/>
          <w:sz w:val="24"/>
          <w:szCs w:val="24"/>
        </w:rPr>
        <w:t>的情况下：</w:t>
      </w:r>
    </w:p>
    <w:p w14:paraId="62432BE8" w14:textId="77777777" w:rsidR="005E77FA" w:rsidRPr="000C0842" w:rsidRDefault="005E77FA">
      <w:pPr>
        <w:numPr>
          <w:ilvl w:val="0"/>
          <w:numId w:val="22"/>
        </w:numPr>
        <w:tabs>
          <w:tab w:val="clear" w:pos="567"/>
          <w:tab w:val="clear" w:pos="1134"/>
          <w:tab w:val="clear" w:pos="1701"/>
          <w:tab w:val="clear" w:pos="2268"/>
        </w:tabs>
        <w:adjustRightInd w:val="0"/>
        <w:snapToGrid w:val="0"/>
        <w:spacing w:before="120" w:after="120"/>
        <w:ind w:left="490" w:firstLine="490"/>
        <w:rPr>
          <w:rFonts w:eastAsia="SimSun"/>
          <w:sz w:val="24"/>
          <w:szCs w:val="24"/>
          <w:vertAlign w:val="superscript"/>
          <w:lang w:val="en-CA"/>
        </w:rPr>
      </w:pPr>
      <w:r w:rsidRPr="000C0842">
        <w:rPr>
          <w:rFonts w:eastAsia="SimSun" w:cs="SimSun" w:hint="eastAsia"/>
          <w:bCs/>
          <w:sz w:val="24"/>
        </w:rPr>
        <w:t>将生物多样性主流化的考虑纳入为支持《昆蒙框架》的执行工作而举行的区域和次区域对话会议，包括为此查明存在哪些可能有损于国家支持主流化能力的挑战以及科学、技术和工艺差距，并确保实现公正转型，特别是在发展中国家；</w:t>
      </w:r>
    </w:p>
    <w:p w14:paraId="45F856F8" w14:textId="77777777" w:rsidR="005E77FA" w:rsidRPr="000C0842" w:rsidRDefault="005E77FA">
      <w:pPr>
        <w:numPr>
          <w:ilvl w:val="0"/>
          <w:numId w:val="22"/>
        </w:numPr>
        <w:tabs>
          <w:tab w:val="clear" w:pos="567"/>
          <w:tab w:val="clear" w:pos="1134"/>
          <w:tab w:val="clear" w:pos="1701"/>
          <w:tab w:val="clear" w:pos="2268"/>
        </w:tabs>
        <w:adjustRightInd w:val="0"/>
        <w:snapToGrid w:val="0"/>
        <w:spacing w:before="120" w:after="120"/>
        <w:ind w:left="490" w:firstLine="490"/>
        <w:rPr>
          <w:rFonts w:eastAsia="SimSun"/>
          <w:sz w:val="24"/>
          <w:szCs w:val="24"/>
          <w:vertAlign w:val="superscript"/>
          <w:lang w:val="en-CA"/>
        </w:rPr>
      </w:pPr>
      <w:r w:rsidRPr="000C0842">
        <w:rPr>
          <w:rFonts w:eastAsia="SimSun" w:cs="SimSun" w:hint="eastAsia"/>
          <w:bCs/>
          <w:sz w:val="24"/>
          <w:lang w:val="en-CA"/>
        </w:rPr>
        <w:t>加强</w:t>
      </w:r>
      <w:r w:rsidRPr="000C0842">
        <w:rPr>
          <w:rFonts w:eastAsia="SimSun" w:cs="SimSun" w:hint="eastAsia"/>
          <w:bCs/>
          <w:sz w:val="24"/>
        </w:rPr>
        <w:t>与相关公约的秘书处、组织和机构的协作，酌情促进相关进程和方案之间的协作与合作，以便提供在各级实现生物多样性主流化所需要的信息、专门知识和相关技术，包括在转型计划方面；</w:t>
      </w:r>
    </w:p>
    <w:p w14:paraId="632D5350" w14:textId="77777777" w:rsidR="005E77FA" w:rsidRPr="000C0842" w:rsidRDefault="005E77FA">
      <w:pPr>
        <w:numPr>
          <w:ilvl w:val="0"/>
          <w:numId w:val="22"/>
        </w:numPr>
        <w:tabs>
          <w:tab w:val="clear" w:pos="567"/>
          <w:tab w:val="clear" w:pos="1134"/>
          <w:tab w:val="clear" w:pos="1701"/>
          <w:tab w:val="clear" w:pos="2268"/>
        </w:tabs>
        <w:adjustRightInd w:val="0"/>
        <w:snapToGrid w:val="0"/>
        <w:spacing w:before="120" w:after="120"/>
        <w:ind w:left="490" w:firstLine="490"/>
        <w:rPr>
          <w:rFonts w:eastAsia="SimSun"/>
          <w:sz w:val="24"/>
          <w:szCs w:val="24"/>
          <w:vertAlign w:val="superscript"/>
          <w:lang w:val="en-CA"/>
        </w:rPr>
      </w:pPr>
      <w:r w:rsidRPr="000C0842">
        <w:rPr>
          <w:rFonts w:eastAsia="SimSun" w:cs="SimSun" w:hint="eastAsia"/>
          <w:bCs/>
          <w:sz w:val="24"/>
        </w:rPr>
        <w:t>邀请缔约方、其他国家政府和相关公约的秘书处、组织和机构以及其他利益攸关方，分享能够支持各部门生物多样性主流化的良好做法、工具、机制、指导和相关解决方案，并通过信息交换所机制提供这些信息的结构化概述；</w:t>
      </w:r>
    </w:p>
    <w:p w14:paraId="5CE2217E"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cs="SimSun"/>
          <w:bCs/>
          <w:sz w:val="24"/>
        </w:rPr>
      </w:pPr>
      <w:r w:rsidRPr="000C0842">
        <w:rPr>
          <w:rFonts w:eastAsia="SimSun" w:cs="SimSun" w:hint="eastAsia"/>
          <w:bCs/>
          <w:sz w:val="24"/>
        </w:rPr>
        <w:t>(d)</w:t>
      </w:r>
      <w:r w:rsidRPr="000C0842">
        <w:rPr>
          <w:rFonts w:eastAsia="SimSun" w:cs="SimSun" w:hint="eastAsia"/>
          <w:bCs/>
          <w:sz w:val="24"/>
        </w:rPr>
        <w:tab/>
      </w:r>
      <w:r w:rsidRPr="000C0842">
        <w:rPr>
          <w:rFonts w:eastAsia="SimSun" w:cs="SimSun" w:hint="eastAsia"/>
          <w:bCs/>
          <w:sz w:val="24"/>
        </w:rPr>
        <w:t>与缔约方和其他国家政府、次国家和地方政府、区域和次区域科技合作机制支持中心、土著人民和地方社区、妇女和青年网络以及非政府组织、国际金融机构和私营部门实体等相关利益攸关方协作，支持与生物多样性主流化相关的能力建设和发展活动；</w:t>
      </w:r>
    </w:p>
    <w:p w14:paraId="6A2BBB28"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cs="SimSun"/>
          <w:bCs/>
          <w:sz w:val="24"/>
        </w:rPr>
      </w:pPr>
      <w:r w:rsidRPr="000C0842">
        <w:rPr>
          <w:rFonts w:eastAsia="SimSun" w:cs="SimSun" w:hint="eastAsia"/>
          <w:bCs/>
          <w:sz w:val="24"/>
        </w:rPr>
        <w:t>(e)</w:t>
      </w:r>
      <w:r w:rsidRPr="000C0842">
        <w:rPr>
          <w:rFonts w:eastAsia="SimSun" w:cs="SimSun"/>
          <w:bCs/>
          <w:sz w:val="24"/>
        </w:rPr>
        <w:tab/>
      </w:r>
      <w:r w:rsidRPr="000C0842">
        <w:rPr>
          <w:rFonts w:eastAsia="SimSun" w:cs="SimSun" w:hint="eastAsia"/>
          <w:bCs/>
          <w:sz w:val="24"/>
        </w:rPr>
        <w:t>在缔约方大会第十七届会议之前开展以下活动：</w:t>
      </w:r>
    </w:p>
    <w:bookmarkStart w:id="41" w:name="_Hlk64796190"/>
    <w:p w14:paraId="2AB7EC50"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1469" w:hanging="490"/>
        <w:rPr>
          <w:rFonts w:eastAsia="SimSun" w:cs="SimSun"/>
          <w:bCs/>
          <w:sz w:val="24"/>
        </w:rPr>
      </w:pPr>
      <w:r w:rsidRPr="000C0842">
        <w:rPr>
          <w:rFonts w:eastAsia="SimSun" w:cs="SimSun"/>
          <w:bCs/>
          <w:sz w:val="24"/>
        </w:rPr>
        <w:fldChar w:fldCharType="begin"/>
      </w:r>
      <w:r w:rsidRPr="000C0842">
        <w:rPr>
          <w:rFonts w:eastAsia="SimSun" w:cs="SimSun"/>
          <w:bCs/>
          <w:sz w:val="24"/>
        </w:rPr>
        <w:instrText xml:space="preserve"> </w:instrText>
      </w:r>
      <w:r w:rsidRPr="000C0842">
        <w:rPr>
          <w:rFonts w:eastAsia="SimSun" w:cs="SimSun" w:hint="eastAsia"/>
          <w:bCs/>
          <w:sz w:val="24"/>
        </w:rPr>
        <w:instrText>= 1 \* GB4</w:instrText>
      </w:r>
      <w:r w:rsidRPr="000C0842">
        <w:rPr>
          <w:rFonts w:eastAsia="SimSun" w:cs="SimSun"/>
          <w:bCs/>
          <w:sz w:val="24"/>
        </w:rPr>
        <w:instrText xml:space="preserve"> </w:instrText>
      </w:r>
      <w:r w:rsidRPr="000C0842">
        <w:rPr>
          <w:rFonts w:eastAsia="SimSun" w:cs="SimSun"/>
          <w:bCs/>
          <w:sz w:val="24"/>
        </w:rPr>
        <w:fldChar w:fldCharType="separate"/>
      </w:r>
      <w:r w:rsidRPr="000C0842">
        <w:rPr>
          <w:rFonts w:eastAsia="SimSun" w:cs="SimSun" w:hint="eastAsia"/>
          <w:bCs/>
          <w:sz w:val="24"/>
        </w:rPr>
        <w:t>㈠</w:t>
      </w:r>
      <w:r w:rsidRPr="000C0842">
        <w:rPr>
          <w:rFonts w:eastAsia="SimSun" w:cs="SimSun"/>
          <w:bCs/>
          <w:sz w:val="24"/>
        </w:rPr>
        <w:fldChar w:fldCharType="end"/>
      </w:r>
      <w:bookmarkEnd w:id="41"/>
      <w:r w:rsidRPr="000C0842">
        <w:rPr>
          <w:rFonts w:eastAsia="SimSun" w:cs="SimSun" w:hint="eastAsia"/>
          <w:bCs/>
          <w:sz w:val="24"/>
        </w:rPr>
        <w:t xml:space="preserve"> </w:t>
      </w:r>
      <w:r w:rsidRPr="000C0842">
        <w:rPr>
          <w:rFonts w:eastAsia="SimSun" w:cs="SimSun"/>
          <w:bCs/>
          <w:sz w:val="24"/>
        </w:rPr>
        <w:tab/>
      </w:r>
      <w:r w:rsidRPr="000C0842">
        <w:rPr>
          <w:rFonts w:eastAsia="SimSun" w:cs="SimSun" w:hint="eastAsia"/>
          <w:bCs/>
          <w:sz w:val="24"/>
        </w:rPr>
        <w:t>提供对现有良好做法、工具、机制、指导和相关解决方案的结构化概述，以便在《公约》和其他进程下支持在各部门内部和各部门之间实现生物多样性主流化；</w:t>
      </w:r>
    </w:p>
    <w:bookmarkStart w:id="42" w:name="_Hlk178233219"/>
    <w:p w14:paraId="6CF1796C"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1469" w:hanging="490"/>
        <w:rPr>
          <w:rFonts w:eastAsia="SimSun" w:cs="SimSun"/>
          <w:bCs/>
          <w:sz w:val="24"/>
        </w:rPr>
      </w:pPr>
      <w:r w:rsidRPr="000C0842">
        <w:rPr>
          <w:rFonts w:eastAsia="SimSun" w:cs="SimSun"/>
          <w:bCs/>
          <w:sz w:val="24"/>
        </w:rPr>
        <w:fldChar w:fldCharType="begin"/>
      </w:r>
      <w:r w:rsidRPr="000C0842">
        <w:rPr>
          <w:rFonts w:eastAsia="SimSun" w:cs="SimSun"/>
          <w:bCs/>
          <w:sz w:val="24"/>
        </w:rPr>
        <w:instrText xml:space="preserve"> </w:instrText>
      </w:r>
      <w:r w:rsidRPr="000C0842">
        <w:rPr>
          <w:rFonts w:eastAsia="SimSun" w:cs="SimSun" w:hint="eastAsia"/>
          <w:bCs/>
          <w:sz w:val="24"/>
        </w:rPr>
        <w:instrText>= 2 \* GB4</w:instrText>
      </w:r>
      <w:r w:rsidRPr="000C0842">
        <w:rPr>
          <w:rFonts w:eastAsia="SimSun" w:cs="SimSun"/>
          <w:bCs/>
          <w:sz w:val="24"/>
        </w:rPr>
        <w:instrText xml:space="preserve"> </w:instrText>
      </w:r>
      <w:r w:rsidRPr="000C0842">
        <w:rPr>
          <w:rFonts w:eastAsia="SimSun" w:cs="SimSun"/>
          <w:bCs/>
          <w:sz w:val="24"/>
        </w:rPr>
        <w:fldChar w:fldCharType="separate"/>
      </w:r>
      <w:r w:rsidRPr="000C0842">
        <w:rPr>
          <w:rFonts w:eastAsia="SimSun" w:cs="SimSun" w:hint="eastAsia"/>
          <w:bCs/>
          <w:sz w:val="24"/>
        </w:rPr>
        <w:t>㈡</w:t>
      </w:r>
      <w:r w:rsidRPr="000C0842">
        <w:rPr>
          <w:rFonts w:eastAsia="SimSun" w:cs="SimSun"/>
          <w:bCs/>
          <w:sz w:val="24"/>
        </w:rPr>
        <w:fldChar w:fldCharType="end"/>
      </w:r>
      <w:bookmarkEnd w:id="42"/>
      <w:r w:rsidRPr="000C0842">
        <w:rPr>
          <w:rFonts w:eastAsia="SimSun" w:cs="SimSun"/>
          <w:bCs/>
          <w:sz w:val="24"/>
        </w:rPr>
        <w:tab/>
      </w:r>
      <w:r w:rsidRPr="000C0842">
        <w:rPr>
          <w:rFonts w:eastAsia="SimSun" w:cs="SimSun" w:hint="eastAsia"/>
          <w:bCs/>
          <w:sz w:val="24"/>
        </w:rPr>
        <w:t>主要通过举办一系列网络研讨会，重点探讨各部门主流化问题，特别是缔约方大会以往决定已涉及部门的主流化问题，促成交流所汲取经验教训的具体部门同业交流群，使不同背景的合作伙伴和专家聚集在一起，分享能够支持在各部门内部和各部门之间开展实施工作的各种最佳做法、现有工具、解决办法、指南和创新做法；</w:t>
      </w:r>
    </w:p>
    <w:p w14:paraId="06CC2590"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cs="SimSun"/>
          <w:bCs/>
          <w:sz w:val="24"/>
        </w:rPr>
      </w:pPr>
      <w:r w:rsidRPr="000C0842">
        <w:rPr>
          <w:rFonts w:eastAsia="SimSun" w:cs="SimSun" w:hint="eastAsia"/>
          <w:bCs/>
          <w:sz w:val="24"/>
        </w:rPr>
        <w:t>(f)</w:t>
      </w:r>
      <w:r w:rsidRPr="000C0842">
        <w:rPr>
          <w:rFonts w:eastAsia="SimSun" w:cs="SimSun"/>
          <w:bCs/>
          <w:sz w:val="24"/>
        </w:rPr>
        <w:tab/>
      </w:r>
      <w:r w:rsidRPr="000C0842">
        <w:rPr>
          <w:rFonts w:eastAsia="SimSun" w:cs="SimSun" w:hint="eastAsia"/>
          <w:bCs/>
          <w:sz w:val="24"/>
        </w:rPr>
        <w:t>编写一份关于上述活动的进度报告，供缔约方大会第十七届会议之前执行问题附属机构的一次会议审议</w:t>
      </w:r>
      <w:r w:rsidRPr="000C0842">
        <w:rPr>
          <w:rFonts w:eastAsia="SimSun" w:cs="SimSun" w:hint="eastAsia"/>
          <w:bCs/>
          <w:sz w:val="24"/>
        </w:rPr>
        <w:t>;</w:t>
      </w:r>
    </w:p>
    <w:p w14:paraId="60C9CC91" w14:textId="1A857639"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cs="SimSun"/>
          <w:bCs/>
          <w:sz w:val="24"/>
        </w:rPr>
      </w:pPr>
      <w:r w:rsidRPr="000C0842">
        <w:rPr>
          <w:rFonts w:eastAsia="SimSun" w:cs="SimSun" w:hint="eastAsia"/>
          <w:bCs/>
          <w:sz w:val="24"/>
        </w:rPr>
        <w:t>(g)</w:t>
      </w:r>
      <w:r w:rsidRPr="000C0842">
        <w:rPr>
          <w:rFonts w:eastAsia="SimSun" w:cs="SimSun"/>
          <w:bCs/>
          <w:sz w:val="24"/>
        </w:rPr>
        <w:tab/>
      </w:r>
      <w:r w:rsidRPr="000C0842">
        <w:rPr>
          <w:rFonts w:eastAsia="SimSun" w:cs="SimSun" w:hint="eastAsia"/>
          <w:bCs/>
          <w:sz w:val="24"/>
        </w:rPr>
        <w:t>在缔约方大会第十八届会议之前，根据上文各分段所列活动的结果，开展推进生物多样性主流化所需要的其他活动，其中可能包括利用第七次国家生物多样性报告所载信息和来自非国家主体的信息，评估是否需要分析支持生物多样性主流化方面的挑战，是否需要分析可能损害各国支持生物多样性主流化能力的科学、技术、工艺和机构能力差距。</w:t>
      </w:r>
    </w:p>
    <w:p w14:paraId="0D151B83" w14:textId="77777777" w:rsidR="005E77FA" w:rsidRPr="000C0842" w:rsidRDefault="005E77FA">
      <w:pPr>
        <w:tabs>
          <w:tab w:val="clear" w:pos="567"/>
          <w:tab w:val="clear" w:pos="1134"/>
          <w:tab w:val="clear" w:pos="1701"/>
          <w:tab w:val="clear" w:pos="2268"/>
        </w:tabs>
        <w:jc w:val="left"/>
        <w:rPr>
          <w:rFonts w:eastAsia="SimSun" w:cs="SimSun"/>
          <w:bCs/>
          <w:sz w:val="24"/>
        </w:rPr>
      </w:pPr>
      <w:r w:rsidRPr="000C0842">
        <w:rPr>
          <w:rFonts w:eastAsia="SimSun" w:cs="SimSun"/>
          <w:bCs/>
          <w:sz w:val="24"/>
        </w:rPr>
        <w:br w:type="page"/>
      </w:r>
    </w:p>
    <w:p w14:paraId="3A2E2E06" w14:textId="5D6F6FAB" w:rsidR="005E77FA" w:rsidRPr="000C0842" w:rsidRDefault="005E77FA" w:rsidP="00D24CB7">
      <w:pPr>
        <w:pStyle w:val="a1"/>
        <w:ind w:right="288"/>
        <w:rPr>
          <w:rFonts w:hint="eastAsia"/>
          <w:lang w:eastAsia="zh-CN"/>
        </w:rPr>
      </w:pPr>
      <w:bookmarkStart w:id="43" w:name="_Toc206358210"/>
      <w:r w:rsidRPr="000C0842">
        <w:rPr>
          <w:rFonts w:hint="eastAsia"/>
          <w:lang w:eastAsia="zh-CN"/>
        </w:rPr>
        <w:t>16/14.</w:t>
      </w:r>
      <w:r w:rsidR="002437E6" w:rsidRPr="000C0842">
        <w:rPr>
          <w:rFonts w:hint="eastAsia"/>
          <w:lang w:eastAsia="zh-CN"/>
        </w:rPr>
        <w:t xml:space="preserve"> </w:t>
      </w:r>
      <w:r w:rsidRPr="000C0842">
        <w:rPr>
          <w:rFonts w:hint="eastAsia"/>
          <w:lang w:eastAsia="zh-CN"/>
        </w:rPr>
        <w:t>审议</w:t>
      </w:r>
      <w:r w:rsidRPr="000C0842">
        <w:rPr>
          <w:lang w:eastAsia="zh-CN"/>
        </w:rPr>
        <w:t>生物多样性和生态系统服务政府间科学</w:t>
      </w:r>
      <w:r w:rsidRPr="000C0842">
        <w:rPr>
          <w:rFonts w:hint="eastAsia"/>
          <w:lang w:eastAsia="zh-CN"/>
        </w:rPr>
        <w:t>与</w:t>
      </w:r>
      <w:r w:rsidRPr="000C0842">
        <w:rPr>
          <w:lang w:eastAsia="zh-CN"/>
        </w:rPr>
        <w:t>政策平台</w:t>
      </w:r>
      <w:r w:rsidRPr="000C0842">
        <w:rPr>
          <w:rFonts w:hint="eastAsia"/>
          <w:lang w:eastAsia="zh-CN"/>
        </w:rPr>
        <w:t>《自然的多重价值和估值方法评估报告》的结果</w:t>
      </w:r>
      <w:r w:rsidRPr="000C0842">
        <w:rPr>
          <w:lang w:eastAsia="zh-CN"/>
        </w:rPr>
        <w:t>及其对《公约》工作的影响</w:t>
      </w:r>
      <w:bookmarkEnd w:id="43"/>
    </w:p>
    <w:p w14:paraId="18A88083" w14:textId="77777777" w:rsidR="005E77FA" w:rsidRPr="000C0842" w:rsidRDefault="005E77FA" w:rsidP="005E77FA">
      <w:pPr>
        <w:tabs>
          <w:tab w:val="clear" w:pos="567"/>
          <w:tab w:val="clear" w:pos="1134"/>
          <w:tab w:val="clear" w:pos="1701"/>
          <w:tab w:val="clear" w:pos="2268"/>
        </w:tabs>
        <w:spacing w:before="240" w:after="120"/>
        <w:ind w:left="490" w:firstLine="490"/>
        <w:jc w:val="left"/>
        <w:rPr>
          <w:rFonts w:eastAsia="SimSun"/>
          <w:sz w:val="24"/>
          <w:szCs w:val="24"/>
        </w:rPr>
      </w:pPr>
      <w:r w:rsidRPr="000C0842">
        <w:rPr>
          <w:rFonts w:eastAsia="KaiTi"/>
          <w:sz w:val="24"/>
          <w:szCs w:val="24"/>
        </w:rPr>
        <w:t>缔约方</w:t>
      </w:r>
      <w:r w:rsidRPr="000C0842">
        <w:rPr>
          <w:rFonts w:eastAsia="KaiTi" w:hint="eastAsia"/>
          <w:sz w:val="24"/>
          <w:szCs w:val="24"/>
        </w:rPr>
        <w:t>大会</w:t>
      </w:r>
      <w:r w:rsidRPr="000C0842">
        <w:rPr>
          <w:rFonts w:eastAsia="KaiTi"/>
          <w:sz w:val="24"/>
          <w:szCs w:val="24"/>
        </w:rPr>
        <w:t>，</w:t>
      </w:r>
    </w:p>
    <w:p w14:paraId="1356DD63"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hint="eastAsia"/>
          <w:sz w:val="24"/>
          <w:szCs w:val="24"/>
        </w:rPr>
        <w:t>回顾</w:t>
      </w:r>
      <w:r w:rsidRPr="000C0842">
        <w:rPr>
          <w:rFonts w:eastAsia="SimSun"/>
          <w:sz w:val="24"/>
          <w:szCs w:val="24"/>
          <w:lang w:val="en-CA"/>
        </w:rPr>
        <w:t>《生物多样性公约》的序言</w:t>
      </w:r>
      <w:r w:rsidRPr="000C0842">
        <w:rPr>
          <w:rFonts w:eastAsia="SimSun"/>
          <w:sz w:val="24"/>
          <w:szCs w:val="24"/>
          <w:vertAlign w:val="superscript"/>
          <w:lang w:val="en-GB"/>
        </w:rPr>
        <w:footnoteReference w:id="128"/>
      </w:r>
      <w:r w:rsidRPr="000C0842">
        <w:rPr>
          <w:rFonts w:eastAsia="SimSun" w:hint="eastAsia"/>
          <w:sz w:val="24"/>
          <w:szCs w:val="24"/>
          <w:lang w:val="en-CA"/>
        </w:rPr>
        <w:t>，</w:t>
      </w:r>
      <w:r w:rsidRPr="000C0842">
        <w:rPr>
          <w:rFonts w:eastAsia="SimSun"/>
          <w:sz w:val="24"/>
          <w:szCs w:val="24"/>
          <w:lang w:val="en-CA"/>
        </w:rPr>
        <w:t>其中缔约</w:t>
      </w:r>
      <w:r w:rsidRPr="000C0842">
        <w:rPr>
          <w:rFonts w:eastAsia="SimSun"/>
          <w:sz w:val="24"/>
          <w:szCs w:val="24"/>
        </w:rPr>
        <w:t>方</w:t>
      </w:r>
      <w:r w:rsidRPr="000C0842">
        <w:rPr>
          <w:rFonts w:eastAsia="SimSun" w:hint="eastAsia"/>
          <w:sz w:val="24"/>
          <w:szCs w:val="24"/>
        </w:rPr>
        <w:t>意识到生物多样性的内在价值和生物多样性及其组成部分的生态、遗传、社会、经济、科学、教育、文化、娱乐和美学价值，</w:t>
      </w:r>
    </w:p>
    <w:p w14:paraId="0677D07F"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hint="eastAsia"/>
          <w:sz w:val="24"/>
          <w:szCs w:val="24"/>
        </w:rPr>
        <w:t>又</w:t>
      </w:r>
      <w:r w:rsidRPr="000C0842">
        <w:rPr>
          <w:rFonts w:eastAsia="KaiTi"/>
          <w:sz w:val="24"/>
          <w:szCs w:val="24"/>
        </w:rPr>
        <w:t>回顾</w:t>
      </w:r>
      <w:r w:rsidRPr="000C0842">
        <w:rPr>
          <w:rFonts w:eastAsia="SimSun"/>
          <w:sz w:val="24"/>
          <w:szCs w:val="24"/>
        </w:rPr>
        <w:t>其</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95" w:history="1">
        <w:r w:rsidRPr="000C0842">
          <w:rPr>
            <w:rFonts w:eastAsia="SimSun"/>
            <w:sz w:val="24"/>
            <w:szCs w:val="24"/>
            <w:u w:val="single"/>
          </w:rPr>
          <w:t>15/19</w:t>
        </w:r>
      </w:hyperlink>
      <w:r w:rsidRPr="000C0842">
        <w:rPr>
          <w:rFonts w:eastAsia="SimSun"/>
          <w:sz w:val="24"/>
          <w:szCs w:val="24"/>
        </w:rPr>
        <w:t>号决定，</w:t>
      </w:r>
    </w:p>
    <w:p w14:paraId="3D864E16"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hint="eastAsia"/>
          <w:sz w:val="24"/>
          <w:szCs w:val="24"/>
        </w:rPr>
        <w:t>强调</w:t>
      </w:r>
      <w:r w:rsidRPr="000C0842">
        <w:rPr>
          <w:rFonts w:eastAsia="SimSun" w:hint="eastAsia"/>
          <w:sz w:val="24"/>
          <w:szCs w:val="24"/>
        </w:rPr>
        <w:t>《</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hint="eastAsia"/>
          <w:sz w:val="24"/>
          <w:szCs w:val="24"/>
        </w:rPr>
        <w:t>》</w:t>
      </w:r>
      <w:r w:rsidRPr="000C0842">
        <w:rPr>
          <w:rFonts w:eastAsia="SimSun"/>
          <w:sz w:val="24"/>
          <w:szCs w:val="24"/>
          <w:vertAlign w:val="superscript"/>
        </w:rPr>
        <w:footnoteReference w:id="129"/>
      </w:r>
      <w:r w:rsidRPr="000C0842">
        <w:rPr>
          <w:rFonts w:eastAsia="SimSun" w:hint="eastAsia"/>
          <w:sz w:val="24"/>
          <w:szCs w:val="24"/>
        </w:rPr>
        <w:t xml:space="preserve"> </w:t>
      </w:r>
      <w:r w:rsidRPr="000C0842">
        <w:rPr>
          <w:rFonts w:eastAsia="SimSun"/>
          <w:sz w:val="24"/>
          <w:szCs w:val="24"/>
        </w:rPr>
        <w:t>中</w:t>
      </w:r>
      <w:r w:rsidRPr="000C0842">
        <w:rPr>
          <w:rFonts w:eastAsia="SimSun" w:hint="eastAsia"/>
          <w:sz w:val="24"/>
          <w:szCs w:val="24"/>
        </w:rPr>
        <w:t>确认和考虑的</w:t>
      </w:r>
      <w:r w:rsidRPr="000C0842">
        <w:rPr>
          <w:rFonts w:eastAsia="SimSun"/>
          <w:sz w:val="24"/>
          <w:szCs w:val="24"/>
        </w:rPr>
        <w:t>不同的价值体系和概念，</w:t>
      </w:r>
      <w:r w:rsidRPr="000C0842">
        <w:rPr>
          <w:rFonts w:eastAsia="SimSun" w:hint="eastAsia"/>
          <w:sz w:val="24"/>
          <w:szCs w:val="24"/>
        </w:rPr>
        <w:t>对于承认这些</w:t>
      </w:r>
      <w:r w:rsidRPr="000C0842">
        <w:rPr>
          <w:rFonts w:eastAsia="SimSun"/>
          <w:sz w:val="24"/>
          <w:szCs w:val="24"/>
        </w:rPr>
        <w:t>价值体系和概念的国家</w:t>
      </w:r>
      <w:r w:rsidRPr="000C0842">
        <w:rPr>
          <w:rFonts w:eastAsia="SimSun" w:hint="eastAsia"/>
          <w:sz w:val="24"/>
          <w:szCs w:val="24"/>
        </w:rPr>
        <w:t>，还</w:t>
      </w:r>
      <w:r w:rsidRPr="000C0842">
        <w:rPr>
          <w:rFonts w:eastAsia="SimSun"/>
          <w:sz w:val="24"/>
          <w:szCs w:val="24"/>
        </w:rPr>
        <w:t>包括</w:t>
      </w:r>
      <w:r w:rsidRPr="000C0842">
        <w:rPr>
          <w:rFonts w:eastAsia="SimSun" w:hint="eastAsia"/>
          <w:sz w:val="24"/>
          <w:szCs w:val="24"/>
        </w:rPr>
        <w:t>作为成功执行《昆蒙</w:t>
      </w:r>
      <w:r w:rsidRPr="000C0842">
        <w:rPr>
          <w:rFonts w:eastAsia="SimSun"/>
          <w:sz w:val="24"/>
          <w:szCs w:val="24"/>
        </w:rPr>
        <w:t>框架</w:t>
      </w:r>
      <w:r w:rsidRPr="000C0842">
        <w:rPr>
          <w:rFonts w:eastAsia="SimSun" w:hint="eastAsia"/>
          <w:sz w:val="24"/>
          <w:szCs w:val="24"/>
        </w:rPr>
        <w:t>》组成部分的</w:t>
      </w:r>
      <w:r w:rsidRPr="000C0842">
        <w:rPr>
          <w:rFonts w:eastAsia="SimSun"/>
          <w:sz w:val="24"/>
          <w:szCs w:val="24"/>
        </w:rPr>
        <w:t>自然权利和地球母亲权利，</w:t>
      </w:r>
    </w:p>
    <w:p w14:paraId="646E7370"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hint="eastAsia"/>
          <w:sz w:val="24"/>
          <w:szCs w:val="24"/>
        </w:rPr>
        <w:t>又强调</w:t>
      </w:r>
      <w:r w:rsidRPr="000C0842">
        <w:rPr>
          <w:rFonts w:eastAsia="SimSun"/>
          <w:sz w:val="24"/>
          <w:szCs w:val="24"/>
        </w:rPr>
        <w:t>《</w:t>
      </w:r>
      <w:r w:rsidRPr="000C0842">
        <w:rPr>
          <w:rFonts w:eastAsia="SimSun" w:hint="eastAsia"/>
          <w:sz w:val="24"/>
          <w:szCs w:val="24"/>
        </w:rPr>
        <w:t>昆蒙</w:t>
      </w:r>
      <w:r w:rsidRPr="000C0842">
        <w:rPr>
          <w:rFonts w:eastAsia="SimSun"/>
          <w:sz w:val="24"/>
          <w:szCs w:val="24"/>
        </w:rPr>
        <w:t>框架》</w:t>
      </w:r>
      <w:r w:rsidRPr="000C0842">
        <w:rPr>
          <w:rFonts w:eastAsia="SimSun" w:hint="eastAsia"/>
          <w:sz w:val="24"/>
          <w:szCs w:val="24"/>
        </w:rPr>
        <w:t>行动</w:t>
      </w:r>
      <w:r w:rsidRPr="000C0842">
        <w:rPr>
          <w:rFonts w:eastAsia="SimSun"/>
          <w:sz w:val="24"/>
          <w:szCs w:val="24"/>
        </w:rPr>
        <w:t>目标</w:t>
      </w:r>
      <w:r w:rsidRPr="000C0842">
        <w:rPr>
          <w:rFonts w:eastAsia="SimSun"/>
          <w:sz w:val="24"/>
          <w:szCs w:val="24"/>
        </w:rPr>
        <w:t>14</w:t>
      </w:r>
      <w:r w:rsidRPr="000C0842">
        <w:rPr>
          <w:rFonts w:eastAsia="SimSun"/>
          <w:sz w:val="24"/>
          <w:szCs w:val="24"/>
        </w:rPr>
        <w:t>呼吁将生物多样性及其多重价值充分纳入各级</w:t>
      </w:r>
      <w:r w:rsidRPr="000C0842">
        <w:rPr>
          <w:rFonts w:eastAsia="SimSun" w:hint="eastAsia"/>
          <w:sz w:val="24"/>
          <w:szCs w:val="24"/>
        </w:rPr>
        <w:t>和各部门的</w:t>
      </w:r>
      <w:r w:rsidRPr="000C0842">
        <w:rPr>
          <w:rFonts w:eastAsia="SimSun"/>
          <w:sz w:val="24"/>
          <w:szCs w:val="24"/>
        </w:rPr>
        <w:t>决策，</w:t>
      </w:r>
    </w:p>
    <w:p w14:paraId="7C4F7A88"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sz w:val="24"/>
          <w:szCs w:val="24"/>
        </w:rPr>
        <w:t>欢迎</w:t>
      </w:r>
      <w:r w:rsidRPr="000C0842">
        <w:rPr>
          <w:rFonts w:eastAsia="SimSun"/>
          <w:sz w:val="24"/>
          <w:szCs w:val="24"/>
        </w:rPr>
        <w:t>生物多样性和生态系统服务政府间科学</w:t>
      </w:r>
      <w:r w:rsidRPr="000C0842">
        <w:rPr>
          <w:rFonts w:eastAsia="SimSun" w:hint="eastAsia"/>
          <w:sz w:val="24"/>
          <w:szCs w:val="24"/>
        </w:rPr>
        <w:t>与</w:t>
      </w:r>
      <w:r w:rsidRPr="000C0842">
        <w:rPr>
          <w:rFonts w:eastAsia="SimSun"/>
          <w:sz w:val="24"/>
          <w:szCs w:val="24"/>
        </w:rPr>
        <w:t>政策平台</w:t>
      </w:r>
      <w:r w:rsidRPr="000C0842">
        <w:rPr>
          <w:rFonts w:eastAsia="SimSun" w:hint="eastAsia"/>
          <w:sz w:val="24"/>
          <w:szCs w:val="24"/>
        </w:rPr>
        <w:t>《自然的多重价值和估值方法评估报告》</w:t>
      </w:r>
      <w:r w:rsidRPr="000C0842">
        <w:rPr>
          <w:rFonts w:eastAsia="SimSun"/>
          <w:sz w:val="24"/>
          <w:szCs w:val="24"/>
        </w:rPr>
        <w:t>，包括</w:t>
      </w:r>
      <w:r w:rsidRPr="000C0842">
        <w:rPr>
          <w:rFonts w:eastAsia="SimSun" w:hint="eastAsia"/>
          <w:sz w:val="24"/>
          <w:szCs w:val="24"/>
        </w:rPr>
        <w:t>其</w:t>
      </w:r>
      <w:r w:rsidRPr="000C0842">
        <w:rPr>
          <w:rFonts w:eastAsia="SimSun"/>
          <w:sz w:val="24"/>
          <w:szCs w:val="24"/>
        </w:rPr>
        <w:t>决策者摘要</w:t>
      </w:r>
      <w:r w:rsidRPr="000C0842">
        <w:rPr>
          <w:rFonts w:eastAsia="SimSun" w:hint="eastAsia"/>
          <w:sz w:val="24"/>
          <w:szCs w:val="24"/>
        </w:rPr>
        <w:t>和关键信息，并</w:t>
      </w:r>
      <w:r w:rsidRPr="000C0842">
        <w:rPr>
          <w:rFonts w:eastAsia="SimSun"/>
          <w:sz w:val="24"/>
          <w:szCs w:val="24"/>
        </w:rPr>
        <w:t>注意到</w:t>
      </w:r>
      <w:r w:rsidRPr="000C0842">
        <w:rPr>
          <w:rFonts w:eastAsia="SimSun" w:hint="eastAsia"/>
          <w:sz w:val="24"/>
          <w:szCs w:val="24"/>
        </w:rPr>
        <w:t>报告对</w:t>
      </w:r>
      <w:r w:rsidRPr="000C0842">
        <w:rPr>
          <w:rFonts w:eastAsia="SimSun"/>
          <w:sz w:val="24"/>
          <w:szCs w:val="24"/>
        </w:rPr>
        <w:t>根据《生物多样性公约》开展的工作</w:t>
      </w:r>
      <w:r w:rsidRPr="000C0842">
        <w:rPr>
          <w:rFonts w:eastAsia="SimSun" w:hint="eastAsia"/>
          <w:sz w:val="24"/>
          <w:szCs w:val="24"/>
        </w:rPr>
        <w:t>以及对</w:t>
      </w:r>
      <w:r w:rsidRPr="000C0842">
        <w:rPr>
          <w:rFonts w:eastAsia="SimSun"/>
          <w:sz w:val="24"/>
          <w:szCs w:val="24"/>
        </w:rPr>
        <w:t>执行</w:t>
      </w:r>
      <w:r w:rsidRPr="000C0842">
        <w:rPr>
          <w:rFonts w:eastAsia="SimSun" w:hint="eastAsia"/>
          <w:sz w:val="24"/>
          <w:szCs w:val="24"/>
        </w:rPr>
        <w:t>《</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hint="eastAsia"/>
          <w:sz w:val="24"/>
          <w:szCs w:val="24"/>
        </w:rPr>
        <w:t>》所具有</w:t>
      </w:r>
      <w:r w:rsidRPr="000C0842">
        <w:rPr>
          <w:rFonts w:eastAsia="SimSun"/>
          <w:sz w:val="24"/>
          <w:szCs w:val="24"/>
        </w:rPr>
        <w:t>的相关</w:t>
      </w:r>
      <w:r w:rsidRPr="000C0842">
        <w:rPr>
          <w:rFonts w:eastAsia="SimSun" w:hint="eastAsia"/>
          <w:sz w:val="24"/>
          <w:szCs w:val="24"/>
        </w:rPr>
        <w:t>意义</w:t>
      </w:r>
      <w:r w:rsidRPr="000C0842">
        <w:rPr>
          <w:rFonts w:eastAsia="SimSun"/>
          <w:sz w:val="24"/>
          <w:szCs w:val="24"/>
        </w:rPr>
        <w:t>；</w:t>
      </w:r>
    </w:p>
    <w:p w14:paraId="101CB45C"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KaiTi"/>
          <w:sz w:val="24"/>
          <w:szCs w:val="24"/>
        </w:rPr>
        <w:t>注意到</w:t>
      </w:r>
      <w:r w:rsidRPr="000C0842">
        <w:rPr>
          <w:rFonts w:eastAsia="SimSun"/>
          <w:sz w:val="24"/>
          <w:szCs w:val="24"/>
        </w:rPr>
        <w:t>评估结果的相关性，其中呼吁</w:t>
      </w:r>
      <w:r w:rsidRPr="000C0842">
        <w:rPr>
          <w:rFonts w:eastAsia="SimSun"/>
          <w:sz w:val="24"/>
          <w:szCs w:val="24"/>
          <w:lang w:val="en-CA"/>
        </w:rPr>
        <w:t>在政策制定和决策过程中</w:t>
      </w:r>
      <w:r w:rsidRPr="000C0842">
        <w:rPr>
          <w:rFonts w:eastAsia="SimSun" w:hint="eastAsia"/>
          <w:sz w:val="24"/>
          <w:szCs w:val="24"/>
          <w:lang w:val="en-CA"/>
        </w:rPr>
        <w:t>，</w:t>
      </w:r>
      <w:r w:rsidRPr="000C0842">
        <w:rPr>
          <w:rFonts w:eastAsia="SimSun" w:hint="eastAsia"/>
          <w:sz w:val="24"/>
          <w:szCs w:val="24"/>
        </w:rPr>
        <w:t>承认</w:t>
      </w:r>
      <w:r w:rsidRPr="000C0842">
        <w:rPr>
          <w:rFonts w:eastAsia="SimSun"/>
          <w:sz w:val="24"/>
          <w:szCs w:val="24"/>
        </w:rPr>
        <w:t>和</w:t>
      </w:r>
      <w:r w:rsidRPr="000C0842">
        <w:rPr>
          <w:rFonts w:eastAsia="SimSun" w:hint="eastAsia"/>
          <w:sz w:val="24"/>
          <w:szCs w:val="24"/>
        </w:rPr>
        <w:t>考虑整合各种知识和</w:t>
      </w:r>
      <w:r w:rsidRPr="000C0842">
        <w:rPr>
          <w:rFonts w:eastAsia="SimSun"/>
          <w:sz w:val="24"/>
          <w:szCs w:val="24"/>
        </w:rPr>
        <w:t>价值体系、估值</w:t>
      </w:r>
      <w:r w:rsidRPr="000C0842">
        <w:rPr>
          <w:rFonts w:eastAsia="SimSun" w:hint="eastAsia"/>
          <w:sz w:val="24"/>
          <w:szCs w:val="24"/>
        </w:rPr>
        <w:t>方法、自然</w:t>
      </w:r>
      <w:r w:rsidRPr="000C0842">
        <w:rPr>
          <w:rFonts w:eastAsia="SimSun"/>
          <w:sz w:val="24"/>
          <w:szCs w:val="24"/>
        </w:rPr>
        <w:t>概念</w:t>
      </w:r>
      <w:r w:rsidRPr="000C0842">
        <w:rPr>
          <w:rFonts w:eastAsia="SimSun" w:hint="eastAsia"/>
          <w:sz w:val="24"/>
          <w:szCs w:val="24"/>
        </w:rPr>
        <w:t>和自然</w:t>
      </w:r>
      <w:r w:rsidRPr="000C0842">
        <w:rPr>
          <w:rFonts w:eastAsia="SimSun"/>
          <w:sz w:val="24"/>
          <w:szCs w:val="24"/>
        </w:rPr>
        <w:t>观</w:t>
      </w:r>
      <w:r w:rsidRPr="000C0842">
        <w:rPr>
          <w:rFonts w:eastAsia="SimSun" w:hint="eastAsia"/>
          <w:sz w:val="24"/>
          <w:szCs w:val="24"/>
        </w:rPr>
        <w:t>，</w:t>
      </w:r>
      <w:r w:rsidRPr="000C0842">
        <w:rPr>
          <w:rFonts w:eastAsia="SimSun"/>
          <w:sz w:val="24"/>
          <w:szCs w:val="24"/>
          <w:lang w:val="en-CA"/>
        </w:rPr>
        <w:t>以</w:t>
      </w:r>
      <w:r w:rsidRPr="000C0842">
        <w:rPr>
          <w:rFonts w:eastAsia="SimSun" w:hint="eastAsia"/>
          <w:sz w:val="24"/>
          <w:szCs w:val="24"/>
          <w:lang w:val="en-CA"/>
        </w:rPr>
        <w:t>通过</w:t>
      </w:r>
      <w:r w:rsidRPr="000C0842">
        <w:rPr>
          <w:rFonts w:eastAsia="SimSun"/>
          <w:sz w:val="24"/>
          <w:szCs w:val="24"/>
          <w:lang w:val="en-CA"/>
        </w:rPr>
        <w:t>变革为人类和自然创造可持续和公正的未来，</w:t>
      </w:r>
      <w:r w:rsidRPr="000C0842">
        <w:rPr>
          <w:rFonts w:eastAsia="SimSun" w:hint="eastAsia"/>
          <w:sz w:val="24"/>
          <w:szCs w:val="24"/>
          <w:lang w:val="en-CA"/>
        </w:rPr>
        <w:t>从而</w:t>
      </w:r>
      <w:r w:rsidRPr="000C0842">
        <w:rPr>
          <w:rFonts w:eastAsia="SimSun" w:hint="eastAsia"/>
          <w:sz w:val="24"/>
          <w:szCs w:val="24"/>
        </w:rPr>
        <w:t>落实在</w:t>
      </w:r>
      <w:r w:rsidRPr="000C0842">
        <w:rPr>
          <w:rFonts w:eastAsia="SimSun"/>
          <w:sz w:val="24"/>
          <w:szCs w:val="24"/>
        </w:rPr>
        <w:t>《公约》</w:t>
      </w:r>
      <w:r w:rsidRPr="000C0842">
        <w:rPr>
          <w:rFonts w:eastAsia="SimSun" w:hint="eastAsia"/>
          <w:sz w:val="24"/>
          <w:szCs w:val="24"/>
        </w:rPr>
        <w:t>下通过的《</w:t>
      </w:r>
      <w:r w:rsidRPr="000C0842">
        <w:rPr>
          <w:rFonts w:eastAsia="SimSun"/>
          <w:sz w:val="24"/>
          <w:szCs w:val="24"/>
        </w:rPr>
        <w:t>昆蒙框架</w:t>
      </w:r>
      <w:r w:rsidRPr="000C0842">
        <w:rPr>
          <w:rFonts w:eastAsia="SimSun" w:hint="eastAsia"/>
          <w:sz w:val="24"/>
          <w:szCs w:val="24"/>
        </w:rPr>
        <w:t>》包括其长期目标和行动目标、</w:t>
      </w:r>
      <w:r w:rsidRPr="000C0842">
        <w:rPr>
          <w:rFonts w:eastAsia="Times New Roman"/>
          <w:sz w:val="24"/>
          <w:szCs w:val="24"/>
          <w:lang w:val="en-CA"/>
        </w:rPr>
        <w:t>2050</w:t>
      </w:r>
      <w:r w:rsidRPr="000C0842">
        <w:rPr>
          <w:rFonts w:ascii="SimSun" w:eastAsia="SimSun" w:hAnsi="SimSun" w:cs="SimSun" w:hint="eastAsia"/>
          <w:sz w:val="24"/>
          <w:szCs w:val="24"/>
          <w:lang w:val="en-CA"/>
        </w:rPr>
        <w:t>年生物多样性愿景</w:t>
      </w:r>
      <w:r w:rsidRPr="000C0842">
        <w:rPr>
          <w:rFonts w:eastAsia="SimSun"/>
          <w:sz w:val="24"/>
          <w:szCs w:val="24"/>
          <w:vertAlign w:val="superscript"/>
        </w:rPr>
        <w:footnoteReference w:id="130"/>
      </w:r>
      <w:r w:rsidRPr="000C0842">
        <w:rPr>
          <w:rFonts w:eastAsia="SimSun" w:hint="eastAsia"/>
          <w:sz w:val="24"/>
          <w:szCs w:val="24"/>
        </w:rPr>
        <w:t>和《</w:t>
      </w:r>
      <w:r w:rsidRPr="000C0842">
        <w:rPr>
          <w:rFonts w:eastAsia="SimSun"/>
          <w:sz w:val="24"/>
          <w:szCs w:val="24"/>
          <w:lang w:val="en-CA"/>
        </w:rPr>
        <w:t>2030</w:t>
      </w:r>
      <w:r w:rsidRPr="000C0842">
        <w:rPr>
          <w:rFonts w:eastAsia="SimSun"/>
          <w:sz w:val="24"/>
          <w:szCs w:val="24"/>
          <w:lang w:val="en-CA"/>
        </w:rPr>
        <w:t>年可持续发展议程</w:t>
      </w:r>
      <w:r w:rsidRPr="000C0842">
        <w:rPr>
          <w:rFonts w:eastAsia="SimSun" w:hint="eastAsia"/>
          <w:sz w:val="24"/>
          <w:szCs w:val="24"/>
        </w:rPr>
        <w:t>》</w:t>
      </w:r>
      <w:r w:rsidRPr="000C0842">
        <w:rPr>
          <w:rFonts w:eastAsia="SimSun"/>
          <w:sz w:val="24"/>
          <w:szCs w:val="24"/>
          <w:vertAlign w:val="superscript"/>
        </w:rPr>
        <w:footnoteReference w:id="131"/>
      </w:r>
      <w:r w:rsidRPr="000C0842">
        <w:rPr>
          <w:rFonts w:eastAsia="SimSun" w:hint="eastAsia"/>
          <w:sz w:val="24"/>
          <w:szCs w:val="24"/>
        </w:rPr>
        <w:t>；</w:t>
      </w:r>
    </w:p>
    <w:p w14:paraId="383FF820"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eastAsia="SimSun"/>
          <w:sz w:val="24"/>
          <w:szCs w:val="24"/>
          <w:lang w:val="en-CA"/>
        </w:rPr>
      </w:pPr>
      <w:r w:rsidRPr="000C0842">
        <w:rPr>
          <w:rFonts w:eastAsia="KaiTi" w:hint="eastAsia"/>
          <w:sz w:val="24"/>
          <w:szCs w:val="24"/>
        </w:rPr>
        <w:t>确认</w:t>
      </w:r>
      <w:r w:rsidRPr="000C0842">
        <w:rPr>
          <w:rFonts w:ascii="SimSun" w:eastAsia="SimSun" w:hAnsi="SimSun" w:cs="SimSun" w:hint="eastAsia"/>
          <w:sz w:val="24"/>
          <w:szCs w:val="24"/>
          <w:lang w:val="en-CA"/>
        </w:rPr>
        <w:t>评估的相关性</w:t>
      </w:r>
      <w:r w:rsidRPr="000C0842">
        <w:rPr>
          <w:rFonts w:ascii="SimSun" w:eastAsia="SimSun" w:hAnsi="SimSun" w:cs="SimSun" w:hint="eastAsia"/>
          <w:sz w:val="24"/>
          <w:lang w:val="en-CA"/>
        </w:rPr>
        <w:t>，是对关于到</w:t>
      </w:r>
      <w:r w:rsidRPr="000C0842">
        <w:rPr>
          <w:rFonts w:eastAsia="SimSun" w:hint="eastAsia"/>
          <w:sz w:val="24"/>
          <w:lang w:val="en-CA"/>
        </w:rPr>
        <w:t>2030</w:t>
      </w:r>
      <w:r w:rsidRPr="000C0842">
        <w:rPr>
          <w:rFonts w:ascii="SimSun" w:eastAsia="SimSun" w:hAnsi="SimSun" w:cs="SimSun" w:hint="eastAsia"/>
          <w:sz w:val="24"/>
          <w:lang w:val="en-CA"/>
        </w:rPr>
        <w:t>年执行《公约》关于土著人民和地方社区的第</w:t>
      </w:r>
      <w:r w:rsidRPr="000C0842">
        <w:rPr>
          <w:rFonts w:eastAsia="SimSun" w:hint="eastAsia"/>
          <w:sz w:val="24"/>
          <w:lang w:val="en-CA"/>
        </w:rPr>
        <w:t>8(j)</w:t>
      </w:r>
      <w:r w:rsidRPr="000C0842">
        <w:rPr>
          <w:rFonts w:eastAsia="SimSun" w:hint="eastAsia"/>
          <w:sz w:val="24"/>
          <w:szCs w:val="24"/>
        </w:rPr>
        <w:t>条和其他相关条款的工作方案</w:t>
      </w:r>
      <w:r w:rsidRPr="000C0842">
        <w:rPr>
          <w:rFonts w:eastAsia="SimSun"/>
          <w:sz w:val="24"/>
          <w:szCs w:val="24"/>
          <w:vertAlign w:val="superscript"/>
        </w:rPr>
        <w:footnoteReference w:id="132"/>
      </w:r>
      <w:r w:rsidRPr="000C0842">
        <w:rPr>
          <w:rFonts w:eastAsia="SimSun" w:hint="eastAsia"/>
          <w:sz w:val="24"/>
          <w:szCs w:val="24"/>
        </w:rPr>
        <w:t>以及关于生物多样性和文化多样性之间联系的联合工作方案</w:t>
      </w:r>
      <w:r w:rsidRPr="000C0842">
        <w:rPr>
          <w:rFonts w:eastAsia="SimSun"/>
          <w:vertAlign w:val="superscript"/>
          <w:lang w:val="en-GB"/>
        </w:rPr>
        <w:footnoteReference w:id="133"/>
      </w:r>
      <w:r w:rsidRPr="000C0842">
        <w:rPr>
          <w:rFonts w:eastAsia="SimSun" w:hint="eastAsia"/>
          <w:sz w:val="24"/>
          <w:szCs w:val="24"/>
        </w:rPr>
        <w:t>的重要投入</w:t>
      </w:r>
      <w:r w:rsidRPr="000C0842">
        <w:rPr>
          <w:rFonts w:ascii="SimSun" w:eastAsia="SimSun" w:hAnsi="SimSun" w:cs="SimSun" w:hint="eastAsia"/>
          <w:sz w:val="24"/>
          <w:szCs w:val="24"/>
          <w:lang w:val="en-CA"/>
        </w:rPr>
        <w:t>；</w:t>
      </w:r>
    </w:p>
    <w:p w14:paraId="091EC124"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ascii="SimSun" w:eastAsia="SimSun" w:hAnsi="SimSun"/>
          <w:sz w:val="24"/>
          <w:szCs w:val="24"/>
        </w:rPr>
      </w:pPr>
      <w:r w:rsidRPr="000C0842">
        <w:rPr>
          <w:rFonts w:ascii="KaiTi" w:eastAsia="KaiTi" w:hAnsi="KaiTi" w:cs="SimSun" w:hint="eastAsia"/>
          <w:sz w:val="24"/>
          <w:szCs w:val="24"/>
        </w:rPr>
        <w:t>鼓励</w:t>
      </w:r>
      <w:r w:rsidRPr="000C0842">
        <w:rPr>
          <w:rFonts w:ascii="SimSun" w:eastAsia="SimSun" w:hAnsi="SimSun" w:cs="SimSun" w:hint="eastAsia"/>
          <w:sz w:val="24"/>
          <w:szCs w:val="24"/>
        </w:rPr>
        <w:t>缔约方并邀请其他国家各级政府、相关组织、土著人民和地方社区及利益攸关方在执行《公约》和《昆蒙框架》过程中，包括通过更新和修订国家生物多样性战略和行动计划和编写第七次及以后的国家报告进行规划、监测、报告和审查工作，酌情利用评估报告所载信息；</w:t>
      </w:r>
    </w:p>
    <w:p w14:paraId="7BE42990"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ascii="SimSun" w:eastAsia="SimSun" w:hAnsi="SimSun"/>
          <w:sz w:val="24"/>
          <w:szCs w:val="24"/>
        </w:rPr>
      </w:pPr>
      <w:r w:rsidRPr="000C0842">
        <w:rPr>
          <w:rFonts w:ascii="KaiTi" w:eastAsia="KaiTi" w:hAnsi="KaiTi" w:cs="SimSun" w:hint="eastAsia"/>
          <w:sz w:val="24"/>
          <w:szCs w:val="24"/>
        </w:rPr>
        <w:t>又鼓励</w:t>
      </w:r>
      <w:r w:rsidRPr="000C0842">
        <w:rPr>
          <w:rFonts w:ascii="SimSun" w:eastAsia="SimSun" w:hAnsi="SimSun" w:cs="SimSun" w:hint="eastAsia"/>
          <w:sz w:val="24"/>
          <w:szCs w:val="24"/>
        </w:rPr>
        <w:t>缔约方酌情发展能力，在相关国家执行进程中借鉴评估结果，</w:t>
      </w:r>
      <w:r w:rsidRPr="000C0842">
        <w:rPr>
          <w:rFonts w:ascii="KaiTi" w:eastAsia="SimSun" w:hAnsi="KaiTi" w:cs="SimSun" w:hint="eastAsia"/>
          <w:sz w:val="24"/>
          <w:szCs w:val="24"/>
        </w:rPr>
        <w:t>包括利用提议的衡量国家执行进程进展情况的各种方法</w:t>
      </w:r>
      <w:r w:rsidRPr="000C0842">
        <w:rPr>
          <w:rFonts w:ascii="SimSun" w:eastAsia="SimSun" w:hAnsi="SimSun" w:cs="SimSun" w:hint="eastAsia"/>
          <w:sz w:val="24"/>
          <w:szCs w:val="24"/>
        </w:rPr>
        <w:t>，并邀请发达国家缔约方、有能力这样做的缔约方和其他国家政府以及相关组织在这方面向发展中国家提供支持，包括提供能力建设、资金和技术转让；</w:t>
      </w:r>
    </w:p>
    <w:p w14:paraId="7B1B6EF2" w14:textId="7777777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ascii="SimSun" w:eastAsia="SimSun" w:hAnsi="SimSun"/>
          <w:sz w:val="24"/>
          <w:szCs w:val="24"/>
        </w:rPr>
      </w:pPr>
      <w:r w:rsidRPr="000C0842">
        <w:rPr>
          <w:rFonts w:ascii="KaiTi" w:eastAsia="KaiTi" w:hAnsi="KaiTi" w:cs="SimSun" w:hint="eastAsia"/>
          <w:sz w:val="24"/>
          <w:szCs w:val="24"/>
        </w:rPr>
        <w:t>还鼓励</w:t>
      </w:r>
      <w:r w:rsidRPr="000C0842">
        <w:rPr>
          <w:rFonts w:ascii="SimSun" w:eastAsia="SimSun" w:hAnsi="SimSun" w:cs="SimSun" w:hint="eastAsia"/>
          <w:sz w:val="24"/>
          <w:szCs w:val="24"/>
        </w:rPr>
        <w:t>缔约方根据本国需求、能力和情况，按照相关国际义务酌情采取步骤：</w:t>
      </w:r>
    </w:p>
    <w:p w14:paraId="667C4102" w14:textId="77777777" w:rsidR="005E77FA" w:rsidRPr="000C0842" w:rsidRDefault="005E77FA">
      <w:pPr>
        <w:numPr>
          <w:ilvl w:val="0"/>
          <w:numId w:val="24"/>
        </w:numPr>
        <w:tabs>
          <w:tab w:val="clear" w:pos="567"/>
          <w:tab w:val="clear" w:pos="1134"/>
          <w:tab w:val="clear" w:pos="1701"/>
          <w:tab w:val="clear" w:pos="2268"/>
        </w:tabs>
        <w:spacing w:before="120" w:after="120"/>
        <w:ind w:left="490" w:firstLine="490"/>
        <w:jc w:val="left"/>
        <w:rPr>
          <w:rFonts w:ascii="SimSun" w:eastAsia="SimSun" w:hAnsi="SimSun"/>
          <w:sz w:val="24"/>
          <w:szCs w:val="24"/>
        </w:rPr>
      </w:pPr>
      <w:r w:rsidRPr="000C0842">
        <w:rPr>
          <w:rFonts w:ascii="SimSun" w:eastAsia="SimSun" w:hAnsi="SimSun" w:cs="SimSun" w:hint="eastAsia"/>
          <w:sz w:val="24"/>
          <w:szCs w:val="24"/>
        </w:rPr>
        <w:t>在进行中的和新的估价过程中，包括作为生态系统评估的一部分，处理不同的自然价值观，同时认识到，鉴于社会、经济和生态背景的多样性，没有一刀切的评价方法，可以根据各地现实情况调整现有的评价方法；</w:t>
      </w:r>
    </w:p>
    <w:p w14:paraId="47D6D6BF" w14:textId="77777777" w:rsidR="005E77FA" w:rsidRPr="000C0842" w:rsidRDefault="005E77FA">
      <w:pPr>
        <w:numPr>
          <w:ilvl w:val="0"/>
          <w:numId w:val="24"/>
        </w:numPr>
        <w:tabs>
          <w:tab w:val="clear" w:pos="567"/>
          <w:tab w:val="clear" w:pos="1134"/>
          <w:tab w:val="clear" w:pos="1701"/>
          <w:tab w:val="clear" w:pos="2268"/>
        </w:tabs>
        <w:spacing w:before="120" w:after="120"/>
        <w:ind w:left="490" w:firstLine="490"/>
        <w:jc w:val="left"/>
        <w:rPr>
          <w:rFonts w:ascii="SimSun" w:eastAsia="SimSun" w:hAnsi="SimSun"/>
          <w:sz w:val="24"/>
          <w:szCs w:val="24"/>
        </w:rPr>
      </w:pPr>
      <w:r w:rsidRPr="000C0842">
        <w:rPr>
          <w:rFonts w:ascii="SimSun" w:eastAsia="SimSun" w:hAnsi="SimSun" w:cs="SimSun" w:hint="eastAsia"/>
          <w:sz w:val="24"/>
          <w:szCs w:val="24"/>
        </w:rPr>
        <w:t>切实将不同的自然内在、关系和工具价值观纳入决策；</w:t>
      </w:r>
    </w:p>
    <w:p w14:paraId="17F9423E" w14:textId="77777777" w:rsidR="005E77FA" w:rsidRPr="000C0842" w:rsidRDefault="005E77FA">
      <w:pPr>
        <w:numPr>
          <w:ilvl w:val="0"/>
          <w:numId w:val="24"/>
        </w:numPr>
        <w:tabs>
          <w:tab w:val="clear" w:pos="567"/>
          <w:tab w:val="clear" w:pos="1134"/>
          <w:tab w:val="clear" w:pos="1701"/>
          <w:tab w:val="clear" w:pos="2268"/>
        </w:tabs>
        <w:spacing w:before="120" w:after="120"/>
        <w:ind w:left="490" w:firstLine="490"/>
        <w:jc w:val="left"/>
        <w:rPr>
          <w:rFonts w:ascii="SimSun" w:eastAsia="SimSun" w:hAnsi="SimSun" w:cs="SimSun"/>
          <w:sz w:val="24"/>
          <w:szCs w:val="24"/>
        </w:rPr>
      </w:pPr>
      <w:r w:rsidRPr="000C0842">
        <w:rPr>
          <w:rFonts w:ascii="SimSun" w:eastAsia="SimSun" w:hAnsi="SimSun" w:cs="SimSun" w:hint="eastAsia"/>
          <w:sz w:val="24"/>
          <w:szCs w:val="24"/>
        </w:rPr>
        <w:t>支持开发参与性进程促进各种可持续性途径；</w:t>
      </w:r>
    </w:p>
    <w:p w14:paraId="506F0ABB" w14:textId="77777777" w:rsidR="005E77FA" w:rsidRPr="000C0842" w:rsidRDefault="005E77FA">
      <w:pPr>
        <w:numPr>
          <w:ilvl w:val="0"/>
          <w:numId w:val="24"/>
        </w:numPr>
        <w:tabs>
          <w:tab w:val="clear" w:pos="567"/>
          <w:tab w:val="clear" w:pos="1134"/>
          <w:tab w:val="clear" w:pos="1701"/>
          <w:tab w:val="clear" w:pos="2268"/>
        </w:tabs>
        <w:spacing w:before="120" w:after="120"/>
        <w:ind w:left="490" w:firstLine="490"/>
        <w:jc w:val="left"/>
        <w:rPr>
          <w:rFonts w:ascii="SimSun" w:eastAsia="SimSun" w:hAnsi="SimSun" w:cs="SimSun"/>
          <w:sz w:val="24"/>
          <w:szCs w:val="24"/>
        </w:rPr>
      </w:pPr>
      <w:r w:rsidRPr="000C0842">
        <w:rPr>
          <w:rFonts w:ascii="SimSun" w:eastAsia="SimSun" w:hAnsi="SimSun" w:cs="SimSun" w:hint="eastAsia"/>
          <w:sz w:val="24"/>
          <w:szCs w:val="24"/>
        </w:rPr>
        <w:t>制定支持执行《昆蒙框架》行动目标</w:t>
      </w:r>
      <w:r w:rsidRPr="000C0842">
        <w:rPr>
          <w:rFonts w:ascii="SimSun" w:eastAsia="SimSun" w:hAnsi="SimSun" w:cs="SimSun"/>
          <w:sz w:val="24"/>
          <w:szCs w:val="24"/>
        </w:rPr>
        <w:t>14</w:t>
      </w:r>
      <w:r w:rsidRPr="000C0842">
        <w:rPr>
          <w:rFonts w:ascii="SimSun" w:eastAsia="SimSun" w:hAnsi="SimSun" w:cs="SimSun" w:hint="eastAsia"/>
          <w:sz w:val="24"/>
          <w:szCs w:val="24"/>
        </w:rPr>
        <w:t>的措施时考虑对不同价值观进行评估；</w:t>
      </w:r>
    </w:p>
    <w:p w14:paraId="4EFB8957" w14:textId="5E349F27" w:rsidR="005E77FA" w:rsidRPr="000C0842" w:rsidRDefault="005E77FA">
      <w:pPr>
        <w:numPr>
          <w:ilvl w:val="1"/>
          <w:numId w:val="23"/>
        </w:numPr>
        <w:tabs>
          <w:tab w:val="clear" w:pos="567"/>
          <w:tab w:val="clear" w:pos="1134"/>
          <w:tab w:val="clear" w:pos="1701"/>
          <w:tab w:val="clear" w:pos="2268"/>
        </w:tabs>
        <w:spacing w:before="120" w:after="120"/>
        <w:ind w:left="490" w:firstLine="490"/>
        <w:jc w:val="left"/>
        <w:rPr>
          <w:rFonts w:eastAsia="SimSun"/>
          <w:sz w:val="24"/>
          <w:szCs w:val="24"/>
        </w:rPr>
      </w:pPr>
      <w:r w:rsidRPr="000C0842">
        <w:rPr>
          <w:rFonts w:ascii="KaiTi" w:eastAsia="KaiTi" w:hAnsi="KaiTi" w:cs="SimSun"/>
          <w:sz w:val="24"/>
          <w:szCs w:val="24"/>
        </w:rPr>
        <w:t>鼓励</w:t>
      </w:r>
      <w:r w:rsidRPr="000C0842">
        <w:rPr>
          <w:rFonts w:ascii="KaiTi" w:eastAsia="SimSun" w:hAnsi="KaiTi" w:cs="SimSun"/>
          <w:sz w:val="24"/>
          <w:szCs w:val="24"/>
        </w:rPr>
        <w:t>缔约方并邀请其他国家政府按照</w:t>
      </w:r>
      <w:r w:rsidRPr="000C0842">
        <w:rPr>
          <w:rFonts w:eastAsia="SimSun"/>
          <w:sz w:val="24"/>
          <w:szCs w:val="24"/>
        </w:rPr>
        <w:t>《</w:t>
      </w:r>
      <w:r w:rsidRPr="000C0842">
        <w:rPr>
          <w:rFonts w:eastAsia="SimSun" w:hint="eastAsia"/>
          <w:sz w:val="24"/>
          <w:szCs w:val="24"/>
        </w:rPr>
        <w:t>昆蒙</w:t>
      </w:r>
      <w:r w:rsidRPr="000C0842">
        <w:rPr>
          <w:rFonts w:eastAsia="SimSun"/>
          <w:sz w:val="24"/>
          <w:szCs w:val="24"/>
        </w:rPr>
        <w:t>框架》行动目标</w:t>
      </w:r>
      <w:r w:rsidRPr="000C0842">
        <w:rPr>
          <w:rFonts w:eastAsia="SimSun"/>
          <w:sz w:val="24"/>
          <w:szCs w:val="24"/>
        </w:rPr>
        <w:t>22</w:t>
      </w:r>
      <w:r w:rsidRPr="000C0842">
        <w:rPr>
          <w:rFonts w:eastAsia="SimSun"/>
          <w:sz w:val="24"/>
          <w:szCs w:val="24"/>
        </w:rPr>
        <w:t>和</w:t>
      </w:r>
      <w:r w:rsidRPr="000C0842">
        <w:rPr>
          <w:rFonts w:eastAsia="SimSun"/>
          <w:sz w:val="24"/>
          <w:szCs w:val="24"/>
        </w:rPr>
        <w:t>23</w:t>
      </w:r>
      <w:r w:rsidRPr="000C0842">
        <w:rPr>
          <w:rFonts w:eastAsia="SimSun"/>
          <w:sz w:val="24"/>
          <w:szCs w:val="24"/>
        </w:rPr>
        <w:t>，确保土著人民和地方社区、</w:t>
      </w:r>
      <w:r w:rsidRPr="000C0842">
        <w:rPr>
          <w:rFonts w:ascii="SimSun" w:eastAsia="SimSun" w:hAnsi="SimSun" w:cs="SimSun"/>
          <w:sz w:val="24"/>
          <w:szCs w:val="24"/>
        </w:rPr>
        <w:t>妇女</w:t>
      </w:r>
      <w:r w:rsidRPr="000C0842">
        <w:rPr>
          <w:rFonts w:ascii="SimSun" w:eastAsia="SimSun" w:hAnsi="SimSun" w:cs="SimSun" w:hint="eastAsia"/>
          <w:sz w:val="24"/>
          <w:szCs w:val="24"/>
        </w:rPr>
        <w:t>、</w:t>
      </w:r>
      <w:r w:rsidRPr="000C0842">
        <w:rPr>
          <w:rFonts w:ascii="SimSun" w:eastAsia="SimSun" w:hAnsi="SimSun" w:cs="SimSun"/>
          <w:sz w:val="24"/>
          <w:szCs w:val="24"/>
        </w:rPr>
        <w:t>青年</w:t>
      </w:r>
      <w:r w:rsidRPr="000C0842">
        <w:rPr>
          <w:rFonts w:ascii="SimSun" w:eastAsia="SimSun" w:hAnsi="SimSun" w:cs="SimSun" w:hint="eastAsia"/>
          <w:sz w:val="24"/>
          <w:szCs w:val="24"/>
        </w:rPr>
        <w:t>和</w:t>
      </w:r>
      <w:r w:rsidRPr="000C0842">
        <w:rPr>
          <w:rFonts w:ascii="SimSun" w:eastAsia="SimSun" w:hAnsi="SimSun" w:cs="SimSun"/>
          <w:sz w:val="24"/>
          <w:szCs w:val="24"/>
        </w:rPr>
        <w:t>残疾人的充分和有效参与</w:t>
      </w:r>
      <w:r w:rsidRPr="000C0842">
        <w:rPr>
          <w:rFonts w:eastAsia="SimSun"/>
          <w:sz w:val="24"/>
          <w:szCs w:val="24"/>
        </w:rPr>
        <w:t>，将不同的</w:t>
      </w:r>
      <w:r w:rsidRPr="000C0842">
        <w:rPr>
          <w:rFonts w:eastAsia="SimSun" w:hint="eastAsia"/>
          <w:sz w:val="24"/>
          <w:szCs w:val="24"/>
        </w:rPr>
        <w:t>生物多样性</w:t>
      </w:r>
      <w:r w:rsidRPr="000C0842">
        <w:rPr>
          <w:rFonts w:eastAsia="SimSun"/>
          <w:sz w:val="24"/>
          <w:szCs w:val="24"/>
        </w:rPr>
        <w:t>内在、关系和工具价值</w:t>
      </w:r>
      <w:r w:rsidRPr="000C0842">
        <w:rPr>
          <w:rFonts w:eastAsia="SimSun" w:hint="eastAsia"/>
          <w:sz w:val="24"/>
          <w:szCs w:val="24"/>
        </w:rPr>
        <w:t>观</w:t>
      </w:r>
      <w:r w:rsidRPr="000C0842">
        <w:rPr>
          <w:rFonts w:eastAsia="SimSun"/>
          <w:sz w:val="24"/>
          <w:szCs w:val="24"/>
        </w:rPr>
        <w:t>和视点以及知识体系纳入决策。</w:t>
      </w:r>
    </w:p>
    <w:p w14:paraId="23CA8558" w14:textId="77777777" w:rsidR="005E77FA" w:rsidRPr="000C0842" w:rsidRDefault="005E77FA">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5D19C1FB" w14:textId="5891FDBA" w:rsidR="005E77FA" w:rsidRPr="000C0842" w:rsidRDefault="005E77FA" w:rsidP="002437E6">
      <w:pPr>
        <w:pStyle w:val="a1"/>
        <w:rPr>
          <w:rFonts w:hint="eastAsia"/>
          <w:lang w:eastAsia="zh-CN"/>
        </w:rPr>
      </w:pPr>
      <w:bookmarkStart w:id="44" w:name="_Toc206358211"/>
      <w:r w:rsidRPr="000C0842">
        <w:rPr>
          <w:lang w:eastAsia="zh-CN"/>
        </w:rPr>
        <w:t>16/15.</w:t>
      </w:r>
      <w:r w:rsidR="00BB279D" w:rsidRPr="000C0842">
        <w:rPr>
          <w:rFonts w:hint="eastAsia"/>
          <w:lang w:eastAsia="zh-CN"/>
        </w:rPr>
        <w:t xml:space="preserve"> </w:t>
      </w:r>
      <w:r w:rsidRPr="000C0842">
        <w:rPr>
          <w:rFonts w:hint="eastAsia"/>
          <w:lang w:eastAsia="zh-CN"/>
        </w:rPr>
        <w:t>可持续的野生生物管理</w:t>
      </w:r>
      <w:bookmarkEnd w:id="44"/>
    </w:p>
    <w:p w14:paraId="4033B511" w14:textId="77777777" w:rsidR="005E77FA" w:rsidRPr="000C0842" w:rsidRDefault="005E77FA" w:rsidP="00444037">
      <w:pPr>
        <w:tabs>
          <w:tab w:val="clear" w:pos="567"/>
          <w:tab w:val="clear" w:pos="1134"/>
          <w:tab w:val="clear" w:pos="1701"/>
          <w:tab w:val="clear" w:pos="2268"/>
        </w:tabs>
        <w:adjustRightInd w:val="0"/>
        <w:snapToGrid w:val="0"/>
        <w:spacing w:before="240" w:after="120"/>
        <w:ind w:left="490" w:firstLine="490"/>
        <w:rPr>
          <w:rFonts w:eastAsia="SimSun"/>
          <w:sz w:val="24"/>
          <w:szCs w:val="24"/>
          <w:lang w:val="en-CA"/>
        </w:rPr>
      </w:pPr>
      <w:r w:rsidRPr="000C0842">
        <w:rPr>
          <w:rFonts w:eastAsia="KaiTi"/>
          <w:sz w:val="24"/>
          <w:szCs w:val="24"/>
          <w:lang w:val="zh-CN"/>
        </w:rPr>
        <w:t>缔约方大会</w:t>
      </w:r>
      <w:r w:rsidRPr="000C0842">
        <w:rPr>
          <w:rFonts w:eastAsia="SimSun"/>
          <w:sz w:val="24"/>
          <w:szCs w:val="24"/>
          <w:lang w:val="en-CA"/>
        </w:rPr>
        <w:t>，</w:t>
      </w:r>
    </w:p>
    <w:p w14:paraId="1AB622D2"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eastAsia="KaiTi"/>
          <w:sz w:val="24"/>
          <w:szCs w:val="24"/>
          <w:lang w:val="zh-CN"/>
        </w:rPr>
        <w:t>回顾</w:t>
      </w:r>
      <w:r w:rsidRPr="000C0842">
        <w:rPr>
          <w:rFonts w:eastAsia="SimSun"/>
          <w:sz w:val="24"/>
          <w:szCs w:val="24"/>
          <w:lang w:val="zh-CN"/>
        </w:rPr>
        <w:t>其</w:t>
      </w:r>
      <w:r w:rsidRPr="000C0842">
        <w:rPr>
          <w:rFonts w:eastAsia="SimSun"/>
          <w:sz w:val="24"/>
          <w:szCs w:val="24"/>
          <w:lang w:val="zh-CN"/>
        </w:rPr>
        <w:t>2018</w:t>
      </w:r>
      <w:r w:rsidRPr="000C0842">
        <w:rPr>
          <w:rFonts w:eastAsia="SimSun"/>
          <w:sz w:val="24"/>
          <w:szCs w:val="24"/>
          <w:lang w:val="zh-CN"/>
        </w:rPr>
        <w:t>年</w:t>
      </w:r>
      <w:r w:rsidRPr="000C0842">
        <w:rPr>
          <w:rFonts w:eastAsia="SimSun"/>
          <w:sz w:val="24"/>
          <w:szCs w:val="24"/>
          <w:lang w:val="zh-CN"/>
        </w:rPr>
        <w:t>11</w:t>
      </w:r>
      <w:r w:rsidRPr="000C0842">
        <w:rPr>
          <w:rFonts w:eastAsia="SimSun"/>
          <w:sz w:val="24"/>
          <w:szCs w:val="24"/>
          <w:lang w:val="zh-CN"/>
        </w:rPr>
        <w:t>月</w:t>
      </w:r>
      <w:r w:rsidRPr="000C0842">
        <w:rPr>
          <w:rFonts w:eastAsia="SimSun"/>
          <w:sz w:val="24"/>
          <w:szCs w:val="24"/>
          <w:lang w:val="zh-CN"/>
        </w:rPr>
        <w:t>29</w:t>
      </w:r>
      <w:r w:rsidRPr="000C0842">
        <w:rPr>
          <w:rFonts w:eastAsia="SimSun"/>
          <w:sz w:val="24"/>
          <w:szCs w:val="24"/>
          <w:lang w:val="zh-CN"/>
        </w:rPr>
        <w:t>日第</w:t>
      </w:r>
      <w:hyperlink r:id="rId96" w:history="1">
        <w:r w:rsidRPr="000C0842">
          <w:rPr>
            <w:rFonts w:eastAsia="SimSun"/>
            <w:sz w:val="24"/>
            <w:szCs w:val="24"/>
            <w:u w:val="single"/>
            <w:lang w:val="zh-CN"/>
          </w:rPr>
          <w:t>14/7</w:t>
        </w:r>
      </w:hyperlink>
      <w:r w:rsidRPr="000C0842">
        <w:rPr>
          <w:rFonts w:eastAsia="SimSun"/>
          <w:sz w:val="24"/>
          <w:szCs w:val="24"/>
          <w:lang w:val="zh-CN"/>
        </w:rPr>
        <w:t>号决定、</w:t>
      </w:r>
      <w:r w:rsidRPr="000C0842">
        <w:rPr>
          <w:rFonts w:eastAsia="SimSun"/>
          <w:sz w:val="24"/>
          <w:szCs w:val="24"/>
          <w:lang w:val="zh-CN"/>
        </w:rPr>
        <w:t>2022</w:t>
      </w:r>
      <w:r w:rsidRPr="000C0842">
        <w:rPr>
          <w:rFonts w:eastAsia="SimSun"/>
          <w:sz w:val="24"/>
          <w:szCs w:val="24"/>
          <w:lang w:val="zh-CN"/>
        </w:rPr>
        <w:t>年</w:t>
      </w:r>
      <w:r w:rsidRPr="000C0842">
        <w:rPr>
          <w:rFonts w:eastAsia="SimSun"/>
          <w:sz w:val="24"/>
          <w:szCs w:val="24"/>
          <w:lang w:val="zh-CN"/>
        </w:rPr>
        <w:t>12</w:t>
      </w:r>
      <w:r w:rsidRPr="000C0842">
        <w:rPr>
          <w:rFonts w:eastAsia="SimSun"/>
          <w:sz w:val="24"/>
          <w:szCs w:val="24"/>
          <w:lang w:val="zh-CN"/>
        </w:rPr>
        <w:t>月</w:t>
      </w:r>
      <w:r w:rsidRPr="000C0842">
        <w:rPr>
          <w:rFonts w:eastAsia="SimSun"/>
          <w:sz w:val="24"/>
          <w:szCs w:val="24"/>
          <w:lang w:val="zh-CN"/>
        </w:rPr>
        <w:t>19</w:t>
      </w:r>
      <w:r w:rsidRPr="000C0842">
        <w:rPr>
          <w:rFonts w:eastAsia="SimSun"/>
          <w:sz w:val="24"/>
          <w:szCs w:val="24"/>
          <w:lang w:val="zh-CN"/>
        </w:rPr>
        <w:t>日第</w:t>
      </w:r>
      <w:hyperlink r:id="rId97" w:history="1">
        <w:r w:rsidRPr="000C0842">
          <w:rPr>
            <w:rFonts w:eastAsia="SimSun"/>
            <w:sz w:val="24"/>
            <w:szCs w:val="24"/>
            <w:u w:val="single"/>
            <w:lang w:val="zh-CN"/>
          </w:rPr>
          <w:t>15/19</w:t>
        </w:r>
      </w:hyperlink>
      <w:r w:rsidRPr="000C0842">
        <w:rPr>
          <w:rFonts w:eastAsia="SimSun"/>
          <w:sz w:val="24"/>
          <w:szCs w:val="24"/>
          <w:lang w:val="zh-CN"/>
        </w:rPr>
        <w:t>号决定和</w:t>
      </w:r>
      <w:r w:rsidRPr="000C0842">
        <w:rPr>
          <w:rFonts w:eastAsia="SimSun"/>
          <w:sz w:val="24"/>
          <w:szCs w:val="24"/>
          <w:lang w:val="zh-CN"/>
        </w:rPr>
        <w:t>2022</w:t>
      </w:r>
      <w:r w:rsidRPr="000C0842">
        <w:rPr>
          <w:rFonts w:eastAsia="SimSun"/>
          <w:sz w:val="24"/>
          <w:szCs w:val="24"/>
          <w:lang w:val="zh-CN"/>
        </w:rPr>
        <w:t>年</w:t>
      </w:r>
      <w:r w:rsidRPr="000C0842">
        <w:rPr>
          <w:rFonts w:eastAsia="SimSun"/>
          <w:sz w:val="24"/>
          <w:szCs w:val="24"/>
          <w:lang w:val="zh-CN"/>
        </w:rPr>
        <w:t>12</w:t>
      </w:r>
      <w:r w:rsidRPr="000C0842">
        <w:rPr>
          <w:rFonts w:eastAsia="SimSun"/>
          <w:sz w:val="24"/>
          <w:szCs w:val="24"/>
          <w:lang w:val="zh-CN"/>
        </w:rPr>
        <w:t>月</w:t>
      </w:r>
      <w:r w:rsidRPr="000C0842">
        <w:rPr>
          <w:rFonts w:eastAsia="SimSun"/>
          <w:sz w:val="24"/>
          <w:szCs w:val="24"/>
          <w:lang w:val="zh-CN"/>
        </w:rPr>
        <w:t>10</w:t>
      </w:r>
      <w:r w:rsidRPr="000C0842">
        <w:rPr>
          <w:rFonts w:eastAsia="SimSun"/>
          <w:sz w:val="24"/>
          <w:szCs w:val="24"/>
          <w:lang w:val="zh-CN"/>
        </w:rPr>
        <w:t>日第</w:t>
      </w:r>
      <w:hyperlink r:id="rId98" w:history="1">
        <w:r w:rsidRPr="000C0842">
          <w:rPr>
            <w:rFonts w:eastAsia="SimSun"/>
            <w:sz w:val="24"/>
            <w:szCs w:val="24"/>
            <w:u w:val="single"/>
            <w:lang w:val="zh-CN"/>
          </w:rPr>
          <w:t>15/23</w:t>
        </w:r>
      </w:hyperlink>
      <w:r w:rsidRPr="000C0842">
        <w:rPr>
          <w:rFonts w:eastAsia="SimSun"/>
          <w:sz w:val="24"/>
          <w:szCs w:val="24"/>
          <w:lang w:val="zh-CN"/>
        </w:rPr>
        <w:t>号决定，</w:t>
      </w:r>
    </w:p>
    <w:p w14:paraId="58629D5E"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eastAsia="KaiTi"/>
          <w:sz w:val="24"/>
          <w:szCs w:val="24"/>
          <w:lang w:val="zh-CN"/>
        </w:rPr>
        <w:t>认识到</w:t>
      </w:r>
      <w:r w:rsidRPr="000C0842">
        <w:rPr>
          <w:rFonts w:eastAsia="SimSun"/>
          <w:sz w:val="24"/>
          <w:szCs w:val="24"/>
          <w:lang w:val="zh-CN"/>
        </w:rPr>
        <w:t>野生物种的可持续利用和管理有助于实现《昆明</w:t>
      </w:r>
      <w:r w:rsidRPr="000C0842">
        <w:rPr>
          <w:rFonts w:eastAsia="SimSun"/>
          <w:sz w:val="24"/>
          <w:szCs w:val="24"/>
          <w:lang w:val="zh-CN"/>
        </w:rPr>
        <w:t>-</w:t>
      </w:r>
      <w:r w:rsidRPr="000C0842">
        <w:rPr>
          <w:rFonts w:eastAsia="SimSun"/>
          <w:sz w:val="24"/>
          <w:szCs w:val="24"/>
          <w:lang w:val="zh-CN"/>
        </w:rPr>
        <w:t>蒙特利尔全球生物多样性框架》</w:t>
      </w:r>
      <w:r w:rsidRPr="000C0842">
        <w:rPr>
          <w:rFonts w:eastAsia="SimSun"/>
          <w:sz w:val="24"/>
          <w:szCs w:val="24"/>
          <w:vertAlign w:val="superscript"/>
          <w:lang w:val="zh-CN"/>
        </w:rPr>
        <w:footnoteReference w:id="134"/>
      </w:r>
      <w:r w:rsidRPr="000C0842">
        <w:rPr>
          <w:rFonts w:eastAsia="SimSun"/>
          <w:sz w:val="24"/>
          <w:szCs w:val="24"/>
          <w:lang w:val="zh-CN"/>
        </w:rPr>
        <w:t xml:space="preserve"> </w:t>
      </w:r>
      <w:r w:rsidRPr="000C0842">
        <w:rPr>
          <w:rFonts w:eastAsia="SimSun"/>
          <w:sz w:val="24"/>
          <w:szCs w:val="24"/>
          <w:lang w:val="zh-CN"/>
        </w:rPr>
        <w:t>的相关长期目标和行动目标以及可持续发展目标，</w:t>
      </w:r>
    </w:p>
    <w:p w14:paraId="5A3BF923"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ascii="KaiTi" w:eastAsia="KaiTi" w:hAnsi="KaiTi" w:hint="eastAsia"/>
          <w:sz w:val="24"/>
          <w:szCs w:val="24"/>
        </w:rPr>
        <w:t>又</w:t>
      </w:r>
      <w:r w:rsidRPr="000C0842">
        <w:rPr>
          <w:rFonts w:eastAsia="KaiTi"/>
          <w:sz w:val="24"/>
          <w:szCs w:val="24"/>
          <w:lang w:val="zh-CN"/>
        </w:rPr>
        <w:t>认识到</w:t>
      </w:r>
      <w:r w:rsidRPr="000C0842">
        <w:rPr>
          <w:rFonts w:eastAsia="SimSun"/>
          <w:sz w:val="24"/>
          <w:szCs w:val="24"/>
        </w:rPr>
        <w:t>可持续野生动物管理方案</w:t>
      </w:r>
      <w:r w:rsidRPr="000C0842">
        <w:rPr>
          <w:rFonts w:eastAsia="SimSun"/>
          <w:sz w:val="24"/>
          <w:vertAlign w:val="superscript"/>
        </w:rPr>
        <w:footnoteReference w:id="135"/>
      </w:r>
      <w:r w:rsidRPr="000C0842">
        <w:rPr>
          <w:rFonts w:eastAsia="SimSun"/>
          <w:sz w:val="24"/>
          <w:szCs w:val="24"/>
        </w:rPr>
        <w:t>支持《生物多样性公约》</w:t>
      </w:r>
      <w:r w:rsidRPr="000C0842">
        <w:rPr>
          <w:rFonts w:eastAsia="SimSun"/>
          <w:sz w:val="24"/>
          <w:vertAlign w:val="superscript"/>
        </w:rPr>
        <w:footnoteReference w:id="136"/>
      </w:r>
      <w:r w:rsidRPr="000C0842">
        <w:rPr>
          <w:rFonts w:eastAsia="SimSun"/>
          <w:sz w:val="24"/>
          <w:szCs w:val="24"/>
        </w:rPr>
        <w:t>缔约方</w:t>
      </w:r>
      <w:r w:rsidRPr="000C0842">
        <w:rPr>
          <w:rFonts w:eastAsia="SimSun" w:hint="eastAsia"/>
          <w:sz w:val="24"/>
          <w:szCs w:val="24"/>
        </w:rPr>
        <w:t>从</w:t>
      </w:r>
      <w:r w:rsidRPr="000C0842">
        <w:rPr>
          <w:rFonts w:eastAsia="SimSun"/>
          <w:sz w:val="24"/>
          <w:szCs w:val="24"/>
        </w:rPr>
        <w:t>社区一级</w:t>
      </w:r>
      <w:r w:rsidRPr="000C0842">
        <w:rPr>
          <w:rFonts w:eastAsia="SimSun" w:hint="eastAsia"/>
          <w:sz w:val="24"/>
          <w:szCs w:val="24"/>
        </w:rPr>
        <w:t>的支持到</w:t>
      </w:r>
      <w:r w:rsidRPr="000C0842">
        <w:rPr>
          <w:rFonts w:eastAsia="SimSun"/>
          <w:sz w:val="24"/>
          <w:szCs w:val="24"/>
        </w:rPr>
        <w:t>政府</w:t>
      </w:r>
      <w:r w:rsidRPr="000C0842">
        <w:rPr>
          <w:rFonts w:eastAsia="SimSun" w:hint="eastAsia"/>
          <w:sz w:val="24"/>
          <w:szCs w:val="24"/>
        </w:rPr>
        <w:t>对</w:t>
      </w:r>
      <w:r w:rsidRPr="000C0842">
        <w:rPr>
          <w:rFonts w:eastAsia="SimSun"/>
          <w:sz w:val="24"/>
          <w:szCs w:val="24"/>
        </w:rPr>
        <w:t>政策和法律工作</w:t>
      </w:r>
      <w:r w:rsidRPr="000C0842">
        <w:rPr>
          <w:rFonts w:eastAsia="SimSun" w:hint="eastAsia"/>
          <w:sz w:val="24"/>
          <w:szCs w:val="24"/>
        </w:rPr>
        <w:t>的</w:t>
      </w:r>
      <w:r w:rsidRPr="000C0842">
        <w:rPr>
          <w:rFonts w:eastAsia="SimSun"/>
          <w:sz w:val="24"/>
          <w:szCs w:val="24"/>
        </w:rPr>
        <w:t>机构支持</w:t>
      </w:r>
      <w:r w:rsidRPr="000C0842">
        <w:rPr>
          <w:rFonts w:eastAsia="SimSun" w:hint="eastAsia"/>
          <w:sz w:val="24"/>
          <w:szCs w:val="24"/>
        </w:rPr>
        <w:t>各个层次上</w:t>
      </w:r>
      <w:r w:rsidRPr="000C0842">
        <w:rPr>
          <w:rFonts w:eastAsia="SimSun"/>
          <w:sz w:val="24"/>
          <w:szCs w:val="24"/>
        </w:rPr>
        <w:t>实施可持续野生肉类部门</w:t>
      </w:r>
      <w:r w:rsidRPr="000C0842">
        <w:rPr>
          <w:rFonts w:eastAsia="SimSun"/>
          <w:vertAlign w:val="superscript"/>
        </w:rPr>
        <w:footnoteReference w:id="137"/>
      </w:r>
      <w:r w:rsidRPr="000C0842">
        <w:rPr>
          <w:rFonts w:eastAsia="SimSun"/>
          <w:sz w:val="24"/>
          <w:szCs w:val="24"/>
        </w:rPr>
        <w:t>自愿指导意见</w:t>
      </w:r>
      <w:r w:rsidRPr="000C0842">
        <w:rPr>
          <w:rFonts w:eastAsia="SimSun" w:hint="eastAsia"/>
          <w:sz w:val="24"/>
          <w:szCs w:val="24"/>
        </w:rPr>
        <w:t>，</w:t>
      </w:r>
    </w:p>
    <w:p w14:paraId="49D19353"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CA"/>
        </w:rPr>
      </w:pPr>
      <w:r w:rsidRPr="000C0842">
        <w:rPr>
          <w:rFonts w:eastAsia="KaiTi"/>
          <w:sz w:val="24"/>
          <w:szCs w:val="24"/>
          <w:lang w:val="zh-CN"/>
        </w:rPr>
        <w:t>欢迎</w:t>
      </w:r>
      <w:r w:rsidRPr="000C0842">
        <w:rPr>
          <w:rFonts w:eastAsia="SimSun"/>
          <w:sz w:val="24"/>
          <w:szCs w:val="24"/>
          <w:lang w:val="zh-CN"/>
        </w:rPr>
        <w:t>可持续野生生物管理合作伙伴关系取得的进展</w:t>
      </w:r>
      <w:r w:rsidRPr="000C0842">
        <w:rPr>
          <w:rFonts w:eastAsia="SimSun"/>
          <w:sz w:val="24"/>
          <w:szCs w:val="24"/>
          <w:lang w:val="en-CA"/>
        </w:rPr>
        <w:t>，</w:t>
      </w:r>
    </w:p>
    <w:p w14:paraId="080DA84E"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eastAsia="KaiTi"/>
          <w:sz w:val="24"/>
          <w:szCs w:val="24"/>
          <w:lang w:val="zh-CN"/>
        </w:rPr>
        <w:t>认识到</w:t>
      </w:r>
      <w:r w:rsidRPr="000C0842">
        <w:rPr>
          <w:rFonts w:eastAsia="SimSun"/>
          <w:sz w:val="24"/>
          <w:szCs w:val="24"/>
          <w:lang w:val="zh-CN"/>
        </w:rPr>
        <w:t>生物多样性和生态系统服务政府间科学与政策平台已将物种的过度开发确定为生物多样性丧失的主要驱动因素之一，</w:t>
      </w:r>
    </w:p>
    <w:p w14:paraId="0EFE60F3"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eastAsia="KaiTi"/>
          <w:sz w:val="24"/>
          <w:szCs w:val="24"/>
          <w:lang w:val="zh-CN"/>
        </w:rPr>
        <w:t>又认识到</w:t>
      </w:r>
      <w:r w:rsidRPr="000C0842">
        <w:rPr>
          <w:rFonts w:eastAsia="SimSun"/>
          <w:sz w:val="24"/>
          <w:szCs w:val="24"/>
          <w:lang w:val="zh-CN"/>
        </w:rPr>
        <w:t>野生物种的可持续利用对于遏止和扭转生物多样性丧失至关重要，因此通过多项工作方案</w:t>
      </w:r>
      <w:r w:rsidRPr="000C0842">
        <w:rPr>
          <w:rFonts w:eastAsia="SimSun" w:hint="eastAsia"/>
          <w:sz w:val="24"/>
          <w:szCs w:val="24"/>
          <w:lang w:val="zh-CN"/>
        </w:rPr>
        <w:t>、</w:t>
      </w:r>
      <w:r w:rsidRPr="000C0842">
        <w:rPr>
          <w:rFonts w:eastAsia="SimSun"/>
          <w:sz w:val="24"/>
          <w:szCs w:val="24"/>
          <w:lang w:val="zh-CN"/>
        </w:rPr>
        <w:t>《关于生物多样性可持续利用的亚的斯亚贝巴原则和准则》</w:t>
      </w:r>
      <w:r w:rsidRPr="000C0842">
        <w:rPr>
          <w:rFonts w:eastAsia="SimSun"/>
          <w:sz w:val="24"/>
          <w:szCs w:val="24"/>
          <w:vertAlign w:val="superscript"/>
          <w:lang w:val="zh-CN"/>
        </w:rPr>
        <w:footnoteReference w:id="138"/>
      </w:r>
      <w:r w:rsidRPr="000C0842">
        <w:rPr>
          <w:rFonts w:eastAsia="SimSun"/>
          <w:sz w:val="24"/>
          <w:szCs w:val="24"/>
          <w:vertAlign w:val="superscript"/>
          <w:lang w:val="zh-CN"/>
        </w:rPr>
        <w:t xml:space="preserve"> </w:t>
      </w:r>
      <w:r w:rsidRPr="000C0842">
        <w:rPr>
          <w:rFonts w:eastAsia="SimSun"/>
          <w:sz w:val="24"/>
          <w:szCs w:val="24"/>
          <w:lang w:val="zh-CN"/>
        </w:rPr>
        <w:t>和《昆蒙框架》，</w:t>
      </w:r>
      <w:r w:rsidRPr="000C0842">
        <w:rPr>
          <w:rFonts w:eastAsia="SimSun" w:hint="eastAsia"/>
          <w:sz w:val="24"/>
          <w:szCs w:val="24"/>
          <w:lang w:val="zh-CN"/>
        </w:rPr>
        <w:t>充分融入</w:t>
      </w:r>
      <w:r w:rsidRPr="000C0842">
        <w:rPr>
          <w:rFonts w:eastAsia="SimSun"/>
          <w:sz w:val="24"/>
          <w:szCs w:val="24"/>
          <w:lang w:val="zh-CN"/>
        </w:rPr>
        <w:t>《公约》下开展的工作，</w:t>
      </w:r>
    </w:p>
    <w:p w14:paraId="4FDA0EFC"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zh-CN"/>
        </w:rPr>
      </w:pPr>
      <w:r w:rsidRPr="000C0842">
        <w:rPr>
          <w:rFonts w:eastAsia="KaiTi"/>
          <w:sz w:val="24"/>
          <w:szCs w:val="24"/>
          <w:lang w:val="zh-CN"/>
        </w:rPr>
        <w:t>强调</w:t>
      </w:r>
      <w:r w:rsidRPr="000C0842">
        <w:rPr>
          <w:rFonts w:eastAsia="SimSun"/>
          <w:sz w:val="24"/>
          <w:szCs w:val="24"/>
          <w:lang w:val="zh-CN"/>
        </w:rPr>
        <w:t>世界上数十亿人依靠野生物种的可持续利用，</w:t>
      </w:r>
      <w:r w:rsidRPr="000C0842">
        <w:rPr>
          <w:rFonts w:eastAsia="SimSun" w:hint="eastAsia"/>
          <w:sz w:val="24"/>
          <w:szCs w:val="24"/>
          <w:lang w:val="zh-CN"/>
        </w:rPr>
        <w:t>这</w:t>
      </w:r>
      <w:r w:rsidRPr="000C0842">
        <w:rPr>
          <w:rFonts w:eastAsia="SimSun"/>
          <w:sz w:val="24"/>
          <w:szCs w:val="24"/>
          <w:lang w:val="zh-CN"/>
        </w:rPr>
        <w:t>对处境脆弱群体尤为重要，</w:t>
      </w:r>
    </w:p>
    <w:p w14:paraId="7B7DC909" w14:textId="77777777" w:rsidR="005E77FA" w:rsidRPr="000C0842" w:rsidRDefault="005E77FA" w:rsidP="005E77FA">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zh-CN"/>
        </w:rPr>
        <w:t>又强调</w:t>
      </w:r>
      <w:r w:rsidRPr="000C0842">
        <w:rPr>
          <w:rFonts w:eastAsia="SimSun"/>
          <w:sz w:val="24"/>
          <w:szCs w:val="24"/>
          <w:lang w:val="zh-CN"/>
        </w:rPr>
        <w:t>可持续利用野生物种</w:t>
      </w:r>
      <w:r w:rsidRPr="000C0842">
        <w:rPr>
          <w:rFonts w:eastAsia="SimSun" w:hint="eastAsia"/>
          <w:sz w:val="24"/>
          <w:szCs w:val="24"/>
          <w:lang w:val="zh-CN"/>
        </w:rPr>
        <w:t>对于</w:t>
      </w:r>
      <w:r w:rsidRPr="000C0842">
        <w:rPr>
          <w:rFonts w:eastAsia="SimSun"/>
          <w:sz w:val="24"/>
          <w:szCs w:val="24"/>
          <w:lang w:val="zh-CN"/>
        </w:rPr>
        <w:t>许多土著人民和地方社区</w:t>
      </w:r>
      <w:r w:rsidRPr="000C0842">
        <w:rPr>
          <w:rFonts w:eastAsia="SimSun" w:hint="eastAsia"/>
          <w:sz w:val="24"/>
          <w:szCs w:val="24"/>
          <w:lang w:val="zh-CN"/>
        </w:rPr>
        <w:t>以及妇女的</w:t>
      </w:r>
      <w:r w:rsidRPr="000C0842">
        <w:rPr>
          <w:rFonts w:eastAsia="SimSun"/>
          <w:sz w:val="24"/>
          <w:szCs w:val="24"/>
          <w:lang w:val="zh-CN"/>
        </w:rPr>
        <w:t>身份认同和生计</w:t>
      </w:r>
      <w:r w:rsidRPr="000C0842">
        <w:rPr>
          <w:rFonts w:eastAsia="SimSun" w:hint="eastAsia"/>
          <w:sz w:val="24"/>
          <w:szCs w:val="24"/>
          <w:lang w:val="zh-CN"/>
        </w:rPr>
        <w:t>具有核心意义</w:t>
      </w:r>
      <w:r w:rsidRPr="000C0842">
        <w:rPr>
          <w:rFonts w:eastAsia="SimSun"/>
          <w:sz w:val="24"/>
          <w:szCs w:val="24"/>
          <w:lang w:val="en-CA"/>
        </w:rPr>
        <w:t>，</w:t>
      </w:r>
    </w:p>
    <w:p w14:paraId="23966943"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欢迎</w:t>
      </w:r>
      <w:r w:rsidRPr="000C0842">
        <w:rPr>
          <w:rFonts w:eastAsia="SimSun"/>
          <w:sz w:val="24"/>
          <w:szCs w:val="24"/>
          <w:lang w:val="en-GB"/>
        </w:rPr>
        <w:t>生物多样性和生态系统服务政府间科学与政策平台</w:t>
      </w:r>
      <w:r w:rsidRPr="000C0842">
        <w:rPr>
          <w:rFonts w:eastAsia="SimSun" w:hint="eastAsia"/>
          <w:sz w:val="24"/>
          <w:szCs w:val="24"/>
          <w:lang w:val="en-GB"/>
        </w:rPr>
        <w:t>《</w:t>
      </w:r>
      <w:r w:rsidRPr="000C0842">
        <w:rPr>
          <w:rFonts w:eastAsia="SimSun"/>
          <w:sz w:val="24"/>
          <w:szCs w:val="24"/>
          <w:lang w:val="en-GB"/>
        </w:rPr>
        <w:t>野生物种可持续利用</w:t>
      </w:r>
      <w:r w:rsidRPr="000C0842">
        <w:rPr>
          <w:rFonts w:eastAsia="SimSun" w:hint="eastAsia"/>
          <w:sz w:val="24"/>
          <w:szCs w:val="24"/>
          <w:lang w:val="en-GB"/>
        </w:rPr>
        <w:t>专题</w:t>
      </w:r>
      <w:r w:rsidRPr="000C0842">
        <w:rPr>
          <w:rFonts w:eastAsia="SimSun"/>
          <w:sz w:val="24"/>
          <w:szCs w:val="24"/>
          <w:lang w:val="en-GB"/>
        </w:rPr>
        <w:t>评估报告》</w:t>
      </w:r>
      <w:r w:rsidRPr="000C0842">
        <w:rPr>
          <w:rFonts w:eastAsia="SimSun" w:hint="eastAsia"/>
          <w:sz w:val="24"/>
          <w:szCs w:val="24"/>
          <w:lang w:val="en-GB"/>
        </w:rPr>
        <w:t>、包括其</w:t>
      </w:r>
      <w:r w:rsidRPr="000C0842">
        <w:rPr>
          <w:rFonts w:eastAsia="SimSun"/>
          <w:sz w:val="24"/>
          <w:szCs w:val="24"/>
          <w:lang w:val="en-GB"/>
        </w:rPr>
        <w:t>决策者摘要</w:t>
      </w:r>
      <w:r w:rsidRPr="000C0842">
        <w:rPr>
          <w:rFonts w:eastAsia="SimSun" w:hint="eastAsia"/>
          <w:sz w:val="24"/>
          <w:szCs w:val="24"/>
          <w:lang w:val="en-GB"/>
        </w:rPr>
        <w:t>和</w:t>
      </w:r>
      <w:r w:rsidRPr="000C0842">
        <w:rPr>
          <w:rFonts w:eastAsia="SimSun"/>
          <w:sz w:val="24"/>
          <w:szCs w:val="24"/>
        </w:rPr>
        <w:t>关键信息</w:t>
      </w:r>
      <w:r w:rsidRPr="000C0842">
        <w:rPr>
          <w:rFonts w:eastAsia="SimSun"/>
          <w:sz w:val="24"/>
          <w:szCs w:val="24"/>
          <w:lang w:val="en-GB"/>
        </w:rPr>
        <w:t>，并注意到它对《公约》下开展的工作和执行《昆明</w:t>
      </w:r>
      <w:r w:rsidRPr="000C0842">
        <w:rPr>
          <w:rFonts w:eastAsia="SimSun"/>
          <w:sz w:val="24"/>
          <w:szCs w:val="24"/>
          <w:lang w:val="en-GB"/>
        </w:rPr>
        <w:t>-</w:t>
      </w:r>
      <w:r w:rsidRPr="000C0842">
        <w:rPr>
          <w:rFonts w:eastAsia="SimSun"/>
          <w:sz w:val="24"/>
          <w:szCs w:val="24"/>
          <w:lang w:val="en-GB"/>
        </w:rPr>
        <w:t>蒙特利尔全球生物多样性框架》至关重要；</w:t>
      </w:r>
    </w:p>
    <w:p w14:paraId="5C510714"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SimSun"/>
          <w:szCs w:val="24"/>
          <w:lang w:val="en-GB"/>
        </w:rPr>
      </w:pPr>
      <w:r w:rsidRPr="000C0842">
        <w:rPr>
          <w:rFonts w:eastAsia="KaiTi"/>
          <w:sz w:val="24"/>
          <w:szCs w:val="24"/>
          <w:lang w:val="en-GB"/>
        </w:rPr>
        <w:t>确认</w:t>
      </w:r>
      <w:r w:rsidRPr="000C0842">
        <w:rPr>
          <w:rFonts w:eastAsia="SimSun"/>
          <w:sz w:val="24"/>
          <w:szCs w:val="24"/>
          <w:lang w:val="en-GB"/>
        </w:rPr>
        <w:t>监测野生物种是一项资源密集的工作，需要所有国家提供更多支持和投资，以克服能力、财政、技术和体制挑战</w:t>
      </w:r>
      <w:r w:rsidRPr="000C0842">
        <w:rPr>
          <w:rFonts w:eastAsia="SimSun" w:hint="eastAsia"/>
          <w:sz w:val="24"/>
          <w:szCs w:val="24"/>
          <w:lang w:val="en-GB"/>
        </w:rPr>
        <w:t>产生的重大限制</w:t>
      </w:r>
      <w:r w:rsidRPr="000C0842">
        <w:rPr>
          <w:rFonts w:eastAsia="SimSun"/>
          <w:sz w:val="24"/>
          <w:szCs w:val="24"/>
          <w:lang w:val="en-GB"/>
        </w:rPr>
        <w:t>，而这种情况在发展中国家</w:t>
      </w:r>
      <w:r w:rsidRPr="000C0842">
        <w:rPr>
          <w:rFonts w:eastAsia="SimSun" w:hint="eastAsia"/>
          <w:sz w:val="24"/>
          <w:szCs w:val="24"/>
          <w:lang w:val="en-GB"/>
        </w:rPr>
        <w:t>更</w:t>
      </w:r>
      <w:r w:rsidRPr="000C0842">
        <w:rPr>
          <w:rFonts w:eastAsia="SimSun"/>
          <w:sz w:val="24"/>
          <w:szCs w:val="24"/>
          <w:lang w:val="en-GB"/>
        </w:rPr>
        <w:t>为普遍，强调</w:t>
      </w:r>
      <w:r w:rsidRPr="000C0842">
        <w:rPr>
          <w:rFonts w:eastAsia="SimSun" w:hint="eastAsia"/>
          <w:sz w:val="24"/>
          <w:szCs w:val="24"/>
          <w:lang w:val="en-GB"/>
        </w:rPr>
        <w:t>包容</w:t>
      </w:r>
      <w:r w:rsidRPr="000C0842">
        <w:rPr>
          <w:rFonts w:eastAsia="SimSun"/>
          <w:sz w:val="24"/>
          <w:szCs w:val="24"/>
          <w:lang w:val="en-GB"/>
        </w:rPr>
        <w:t>土著人民和地方社区</w:t>
      </w:r>
      <w:r w:rsidRPr="000C0842">
        <w:rPr>
          <w:rFonts w:eastAsia="SimSun" w:hint="eastAsia"/>
          <w:sz w:val="24"/>
          <w:szCs w:val="24"/>
          <w:lang w:val="en-GB"/>
        </w:rPr>
        <w:t>、妇女和</w:t>
      </w:r>
      <w:r w:rsidRPr="000C0842">
        <w:rPr>
          <w:rFonts w:eastAsia="SimSun"/>
          <w:sz w:val="24"/>
          <w:szCs w:val="24"/>
          <w:lang w:val="en-GB"/>
        </w:rPr>
        <w:t>科学方法</w:t>
      </w:r>
      <w:r w:rsidRPr="000C0842">
        <w:rPr>
          <w:rFonts w:eastAsia="SimSun" w:hint="eastAsia"/>
          <w:sz w:val="24"/>
          <w:szCs w:val="24"/>
          <w:lang w:val="en-GB"/>
        </w:rPr>
        <w:t>以及</w:t>
      </w:r>
      <w:r w:rsidRPr="000C0842">
        <w:rPr>
          <w:rFonts w:eastAsia="SimSun"/>
          <w:sz w:val="24"/>
          <w:szCs w:val="24"/>
          <w:lang w:val="en-GB"/>
        </w:rPr>
        <w:t>促进所有关键行为体公平参与的监测工作可</w:t>
      </w:r>
      <w:r w:rsidRPr="000C0842">
        <w:rPr>
          <w:rFonts w:eastAsia="SimSun" w:hint="eastAsia"/>
          <w:sz w:val="24"/>
          <w:szCs w:val="24"/>
          <w:lang w:val="en-GB"/>
        </w:rPr>
        <w:t>以</w:t>
      </w:r>
      <w:r w:rsidRPr="000C0842">
        <w:rPr>
          <w:rFonts w:eastAsia="SimSun"/>
          <w:sz w:val="24"/>
          <w:szCs w:val="24"/>
          <w:lang w:val="en-GB"/>
        </w:rPr>
        <w:t>更好地指导决策；</w:t>
      </w:r>
    </w:p>
    <w:p w14:paraId="2B897F01"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KaiTi"/>
          <w:sz w:val="24"/>
          <w:szCs w:val="24"/>
          <w:lang w:val="en-GB"/>
        </w:rPr>
      </w:pPr>
      <w:r w:rsidRPr="000C0842">
        <w:rPr>
          <w:rFonts w:eastAsia="KaiTi"/>
          <w:sz w:val="24"/>
          <w:szCs w:val="24"/>
          <w:lang w:val="en-GB"/>
        </w:rPr>
        <w:t>鼓励</w:t>
      </w:r>
      <w:r w:rsidRPr="000C0842">
        <w:rPr>
          <w:rFonts w:eastAsia="SimSun"/>
          <w:sz w:val="24"/>
          <w:szCs w:val="24"/>
          <w:lang w:val="en-GB"/>
        </w:rPr>
        <w:t>缔约方、其他国家政府、国家</w:t>
      </w:r>
      <w:r w:rsidRPr="000C0842">
        <w:rPr>
          <w:rFonts w:eastAsia="SimSun" w:hint="eastAsia"/>
          <w:sz w:val="24"/>
          <w:szCs w:val="24"/>
          <w:lang w:val="en-GB"/>
        </w:rPr>
        <w:t>以下</w:t>
      </w:r>
      <w:r w:rsidRPr="000C0842">
        <w:rPr>
          <w:rFonts w:eastAsia="SimSun"/>
          <w:sz w:val="24"/>
          <w:szCs w:val="24"/>
          <w:lang w:val="en-GB"/>
        </w:rPr>
        <w:t>各级政府和相关组织根据《昆蒙框架》行动目标</w:t>
      </w:r>
      <w:r w:rsidRPr="000C0842">
        <w:rPr>
          <w:rFonts w:eastAsia="SimSun"/>
          <w:sz w:val="24"/>
          <w:szCs w:val="24"/>
          <w:lang w:val="en-GB"/>
        </w:rPr>
        <w:t>22</w:t>
      </w:r>
      <w:r w:rsidRPr="000C0842">
        <w:rPr>
          <w:rFonts w:eastAsia="SimSun"/>
          <w:sz w:val="24"/>
          <w:szCs w:val="24"/>
          <w:lang w:val="en-GB"/>
        </w:rPr>
        <w:t>和</w:t>
      </w:r>
      <w:r w:rsidRPr="000C0842">
        <w:rPr>
          <w:rFonts w:eastAsia="SimSun"/>
          <w:sz w:val="24"/>
          <w:szCs w:val="24"/>
          <w:lang w:val="en-GB"/>
        </w:rPr>
        <w:t>23</w:t>
      </w:r>
      <w:r w:rsidRPr="000C0842">
        <w:rPr>
          <w:rFonts w:eastAsia="SimSun"/>
          <w:sz w:val="24"/>
          <w:szCs w:val="24"/>
          <w:lang w:val="en-GB"/>
        </w:rPr>
        <w:t>，确保土著人民和地方社区、妇女、女童和男童、青年和残疾人充分有效地参与野生物种的决策进程</w:t>
      </w:r>
      <w:r w:rsidRPr="000C0842">
        <w:rPr>
          <w:rFonts w:eastAsia="KaiTi"/>
          <w:sz w:val="24"/>
          <w:szCs w:val="24"/>
          <w:lang w:val="en-GB"/>
        </w:rPr>
        <w:t>；</w:t>
      </w:r>
    </w:p>
    <w:p w14:paraId="54DA230D"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SimSun"/>
          <w:szCs w:val="24"/>
          <w:lang w:val="en-GB"/>
        </w:rPr>
      </w:pPr>
      <w:r w:rsidRPr="000C0842">
        <w:rPr>
          <w:rFonts w:eastAsia="KaiTi"/>
          <w:sz w:val="24"/>
          <w:szCs w:val="24"/>
          <w:lang w:val="en-GB"/>
        </w:rPr>
        <w:t>鼓励</w:t>
      </w:r>
      <w:r w:rsidRPr="000C0842">
        <w:rPr>
          <w:rFonts w:eastAsia="SimSun"/>
          <w:sz w:val="24"/>
          <w:szCs w:val="24"/>
          <w:lang w:val="en-GB"/>
        </w:rPr>
        <w:t>缔约方并邀请其他国家政府、国家</w:t>
      </w:r>
      <w:r w:rsidRPr="000C0842">
        <w:rPr>
          <w:rFonts w:eastAsia="SimSun" w:hint="eastAsia"/>
          <w:sz w:val="24"/>
          <w:szCs w:val="24"/>
          <w:lang w:val="en-GB"/>
        </w:rPr>
        <w:t>以下各级</w:t>
      </w:r>
      <w:r w:rsidRPr="000C0842">
        <w:rPr>
          <w:rFonts w:eastAsia="SimSun"/>
          <w:sz w:val="24"/>
          <w:szCs w:val="24"/>
          <w:lang w:val="en-GB"/>
        </w:rPr>
        <w:t>政府</w:t>
      </w:r>
      <w:r w:rsidRPr="000C0842">
        <w:rPr>
          <w:rFonts w:eastAsia="SimSun" w:hint="eastAsia"/>
          <w:sz w:val="24"/>
          <w:szCs w:val="24"/>
          <w:lang w:val="en-GB"/>
        </w:rPr>
        <w:t>、</w:t>
      </w:r>
      <w:r w:rsidRPr="000C0842">
        <w:rPr>
          <w:rFonts w:eastAsia="SimSun"/>
          <w:sz w:val="24"/>
          <w:szCs w:val="24"/>
          <w:lang w:val="en-GB"/>
        </w:rPr>
        <w:t>土著人民和地方社区</w:t>
      </w:r>
      <w:r w:rsidRPr="000C0842">
        <w:rPr>
          <w:rFonts w:eastAsia="SimSun" w:hint="eastAsia"/>
          <w:sz w:val="24"/>
          <w:szCs w:val="24"/>
          <w:lang w:val="en-GB"/>
        </w:rPr>
        <w:t>、</w:t>
      </w:r>
      <w:r w:rsidRPr="000C0842">
        <w:rPr>
          <w:rFonts w:eastAsia="SimSun" w:hint="eastAsia"/>
          <w:sz w:val="24"/>
          <w:szCs w:val="24"/>
          <w:lang w:val="zh-CN"/>
        </w:rPr>
        <w:t>妇女</w:t>
      </w:r>
      <w:r w:rsidRPr="000C0842">
        <w:rPr>
          <w:rFonts w:eastAsia="SimSun"/>
          <w:sz w:val="24"/>
          <w:szCs w:val="24"/>
          <w:lang w:val="zh-CN"/>
        </w:rPr>
        <w:t>和相关组织根据其需求、能力和情况</w:t>
      </w:r>
      <w:r w:rsidRPr="000C0842">
        <w:rPr>
          <w:rFonts w:eastAsia="SimSun" w:hint="eastAsia"/>
          <w:sz w:val="24"/>
          <w:szCs w:val="24"/>
          <w:lang w:val="zh-CN"/>
        </w:rPr>
        <w:t>，按照相关国际义务</w:t>
      </w:r>
      <w:r w:rsidRPr="000C0842">
        <w:rPr>
          <w:rFonts w:eastAsia="SimSun"/>
          <w:sz w:val="24"/>
          <w:szCs w:val="24"/>
          <w:lang w:val="zh-CN"/>
        </w:rPr>
        <w:t>酌情</w:t>
      </w:r>
      <w:r w:rsidRPr="000C0842">
        <w:rPr>
          <w:rFonts w:eastAsia="SimSun"/>
          <w:sz w:val="24"/>
          <w:szCs w:val="24"/>
          <w:lang w:val="en-GB"/>
        </w:rPr>
        <w:t>：</w:t>
      </w:r>
    </w:p>
    <w:p w14:paraId="4F7F93D2"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sz w:val="24"/>
          <w:szCs w:val="24"/>
          <w:lang w:val="zh-CN"/>
        </w:rPr>
        <w:t>在执行《公约》和《昆蒙框架》的长期目标和行动目标包括更新国家生物多样性战略和行动计划、制定国家目标和编写国家报告时</w:t>
      </w:r>
      <w:r w:rsidRPr="000C0842">
        <w:rPr>
          <w:rFonts w:eastAsia="SimSun"/>
          <w:sz w:val="24"/>
          <w:szCs w:val="24"/>
          <w:lang w:val="en-CA"/>
        </w:rPr>
        <w:t>，</w:t>
      </w:r>
      <w:r w:rsidRPr="000C0842">
        <w:rPr>
          <w:rFonts w:eastAsia="SimSun"/>
          <w:sz w:val="24"/>
          <w:szCs w:val="24"/>
          <w:lang w:val="zh-CN"/>
        </w:rPr>
        <w:t>利用评估报告提供的信息</w:t>
      </w:r>
      <w:r w:rsidRPr="000C0842">
        <w:rPr>
          <w:rFonts w:eastAsia="SimSun"/>
          <w:sz w:val="24"/>
          <w:szCs w:val="24"/>
          <w:lang w:val="en-CA"/>
        </w:rPr>
        <w:t>；</w:t>
      </w:r>
    </w:p>
    <w:p w14:paraId="6C56C0EB"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sz w:val="24"/>
          <w:szCs w:val="24"/>
          <w:lang w:val="zh-CN"/>
        </w:rPr>
        <w:t>在制定和执行可持续利用政策时</w:t>
      </w:r>
      <w:r w:rsidRPr="000C0842">
        <w:rPr>
          <w:rFonts w:eastAsia="SimSun"/>
          <w:sz w:val="24"/>
          <w:szCs w:val="24"/>
          <w:lang w:val="en-GB"/>
        </w:rPr>
        <w:t>，</w:t>
      </w:r>
      <w:r w:rsidRPr="000C0842">
        <w:rPr>
          <w:rFonts w:eastAsia="SimSun"/>
          <w:sz w:val="24"/>
          <w:szCs w:val="24"/>
          <w:lang w:val="zh-CN"/>
        </w:rPr>
        <w:t>根据科学、技术和工艺咨询附属机构</w:t>
      </w:r>
      <w:r w:rsidRPr="000C0842">
        <w:rPr>
          <w:rFonts w:eastAsia="SimSun" w:hint="eastAsia"/>
          <w:sz w:val="24"/>
          <w:szCs w:val="24"/>
          <w:lang w:val="zh-CN"/>
        </w:rPr>
        <w:t>2023</w:t>
      </w:r>
      <w:r w:rsidRPr="000C0842">
        <w:rPr>
          <w:rFonts w:eastAsia="SimSun" w:hint="eastAsia"/>
          <w:sz w:val="24"/>
          <w:szCs w:val="24"/>
          <w:lang w:val="zh-CN"/>
        </w:rPr>
        <w:t>年</w:t>
      </w:r>
      <w:r w:rsidRPr="000C0842">
        <w:rPr>
          <w:rFonts w:eastAsia="SimSun" w:hint="eastAsia"/>
          <w:sz w:val="24"/>
          <w:szCs w:val="24"/>
          <w:lang w:val="zh-CN"/>
        </w:rPr>
        <w:t>10</w:t>
      </w:r>
      <w:r w:rsidRPr="000C0842">
        <w:rPr>
          <w:rFonts w:eastAsia="SimSun" w:hint="eastAsia"/>
          <w:sz w:val="24"/>
          <w:szCs w:val="24"/>
          <w:lang w:val="zh-CN"/>
        </w:rPr>
        <w:t>月</w:t>
      </w:r>
      <w:r w:rsidRPr="000C0842">
        <w:rPr>
          <w:rFonts w:eastAsia="SimSun" w:hint="eastAsia"/>
          <w:sz w:val="24"/>
          <w:szCs w:val="24"/>
          <w:lang w:val="zh-CN"/>
        </w:rPr>
        <w:t>19</w:t>
      </w:r>
      <w:r w:rsidRPr="000C0842">
        <w:rPr>
          <w:rFonts w:eastAsia="SimSun" w:hint="eastAsia"/>
          <w:sz w:val="24"/>
          <w:szCs w:val="24"/>
          <w:lang w:val="zh-CN"/>
        </w:rPr>
        <w:t>日</w:t>
      </w:r>
      <w:r w:rsidRPr="000C0842">
        <w:rPr>
          <w:rFonts w:eastAsia="SimSun"/>
          <w:sz w:val="24"/>
          <w:szCs w:val="24"/>
          <w:lang w:val="zh-CN"/>
        </w:rPr>
        <w:t>第</w:t>
      </w:r>
      <w:hyperlink r:id="rId99" w:history="1">
        <w:r w:rsidRPr="000C0842">
          <w:rPr>
            <w:rFonts w:eastAsia="SimSun"/>
            <w:sz w:val="24"/>
            <w:szCs w:val="24"/>
            <w:u w:val="single"/>
            <w:lang w:val="en-GB"/>
          </w:rPr>
          <w:t>25/7</w:t>
        </w:r>
      </w:hyperlink>
      <w:r w:rsidRPr="000C0842">
        <w:rPr>
          <w:rFonts w:eastAsia="SimSun"/>
          <w:sz w:val="24"/>
          <w:szCs w:val="24"/>
          <w:lang w:val="zh-CN"/>
        </w:rPr>
        <w:t>号建议第</w:t>
      </w:r>
      <w:r w:rsidRPr="000C0842">
        <w:rPr>
          <w:rFonts w:eastAsia="SimSun"/>
          <w:sz w:val="24"/>
          <w:szCs w:val="24"/>
          <w:lang w:val="en-GB"/>
        </w:rPr>
        <w:t>6</w:t>
      </w:r>
      <w:r w:rsidRPr="000C0842">
        <w:rPr>
          <w:rFonts w:eastAsia="SimSun"/>
          <w:sz w:val="24"/>
          <w:szCs w:val="24"/>
          <w:lang w:val="zh-CN"/>
        </w:rPr>
        <w:t>段</w:t>
      </w:r>
      <w:r w:rsidRPr="000C0842">
        <w:rPr>
          <w:rFonts w:eastAsia="SimSun"/>
          <w:sz w:val="24"/>
          <w:szCs w:val="24"/>
          <w:lang w:val="en-GB"/>
        </w:rPr>
        <w:t>，</w:t>
      </w:r>
      <w:r w:rsidRPr="000C0842">
        <w:rPr>
          <w:rFonts w:eastAsia="SimSun"/>
          <w:sz w:val="24"/>
          <w:szCs w:val="24"/>
          <w:lang w:val="zh-CN"/>
        </w:rPr>
        <w:t>依照国家</w:t>
      </w:r>
      <w:r w:rsidRPr="000C0842">
        <w:rPr>
          <w:rFonts w:eastAsia="SimSun" w:hint="eastAsia"/>
          <w:sz w:val="24"/>
          <w:szCs w:val="24"/>
          <w:lang w:val="zh-CN"/>
        </w:rPr>
        <w:t>法律</w:t>
      </w:r>
      <w:r w:rsidRPr="000C0842">
        <w:rPr>
          <w:rFonts w:eastAsia="SimSun"/>
          <w:sz w:val="24"/>
          <w:szCs w:val="24"/>
          <w:lang w:val="zh-CN"/>
        </w:rPr>
        <w:t>酌情考虑评估中提出的七项拟议政策行动或</w:t>
      </w:r>
      <w:r w:rsidRPr="000C0842">
        <w:rPr>
          <w:rFonts w:eastAsia="SimSun"/>
          <w:sz w:val="24"/>
          <w:szCs w:val="24"/>
          <w:lang w:val="en-GB"/>
        </w:rPr>
        <w:t>“</w:t>
      </w:r>
      <w:r w:rsidRPr="000C0842">
        <w:rPr>
          <w:rFonts w:eastAsia="SimSun"/>
          <w:sz w:val="24"/>
          <w:szCs w:val="24"/>
          <w:lang w:val="zh-CN"/>
        </w:rPr>
        <w:t>关键要素</w:t>
      </w:r>
      <w:r w:rsidRPr="000C0842">
        <w:rPr>
          <w:rFonts w:eastAsia="SimSun"/>
          <w:sz w:val="24"/>
          <w:szCs w:val="24"/>
          <w:lang w:val="en-GB"/>
        </w:rPr>
        <w:t>”</w:t>
      </w:r>
      <w:r w:rsidRPr="000C0842">
        <w:rPr>
          <w:rFonts w:eastAsia="SimSun"/>
          <w:sz w:val="24"/>
          <w:szCs w:val="24"/>
          <w:lang w:val="en-GB"/>
        </w:rPr>
        <w:t>，</w:t>
      </w:r>
      <w:r w:rsidRPr="000C0842">
        <w:rPr>
          <w:rFonts w:eastAsia="SimSun"/>
          <w:sz w:val="24"/>
          <w:szCs w:val="24"/>
          <w:lang w:val="zh-CN"/>
        </w:rPr>
        <w:t>即包容性和参与性决策</w:t>
      </w:r>
      <w:r w:rsidRPr="000C0842">
        <w:rPr>
          <w:rFonts w:eastAsia="SimSun"/>
          <w:sz w:val="24"/>
          <w:szCs w:val="24"/>
          <w:lang w:val="en-GB"/>
        </w:rPr>
        <w:t>；</w:t>
      </w:r>
      <w:r w:rsidRPr="000C0842">
        <w:rPr>
          <w:rFonts w:eastAsia="SimSun"/>
          <w:sz w:val="24"/>
          <w:szCs w:val="24"/>
          <w:lang w:val="zh-CN"/>
        </w:rPr>
        <w:t>纳入多种形式的知识并承认权利</w:t>
      </w:r>
      <w:r w:rsidRPr="000C0842">
        <w:rPr>
          <w:rFonts w:eastAsia="SimSun"/>
          <w:sz w:val="24"/>
          <w:szCs w:val="24"/>
          <w:lang w:val="en-GB"/>
        </w:rPr>
        <w:t>；</w:t>
      </w:r>
      <w:r w:rsidRPr="000C0842">
        <w:rPr>
          <w:rFonts w:eastAsia="SimSun"/>
          <w:sz w:val="24"/>
          <w:szCs w:val="24"/>
          <w:lang w:val="zh-CN"/>
        </w:rPr>
        <w:t>成本和惠益的公平分配</w:t>
      </w:r>
      <w:r w:rsidRPr="000C0842">
        <w:rPr>
          <w:rFonts w:eastAsia="SimSun"/>
          <w:sz w:val="24"/>
          <w:szCs w:val="24"/>
          <w:lang w:val="en-GB"/>
        </w:rPr>
        <w:t>；</w:t>
      </w:r>
      <w:r w:rsidRPr="000C0842">
        <w:rPr>
          <w:rFonts w:eastAsia="SimSun"/>
          <w:sz w:val="24"/>
          <w:szCs w:val="24"/>
          <w:lang w:val="zh-CN"/>
        </w:rPr>
        <w:t>符合当地社会和生态情况的政策</w:t>
      </w:r>
      <w:r w:rsidRPr="000C0842">
        <w:rPr>
          <w:rFonts w:eastAsia="SimSun"/>
          <w:sz w:val="24"/>
          <w:szCs w:val="24"/>
          <w:lang w:val="en-GB"/>
        </w:rPr>
        <w:t>；</w:t>
      </w:r>
      <w:r w:rsidRPr="000C0842">
        <w:rPr>
          <w:rFonts w:eastAsia="SimSun"/>
          <w:sz w:val="24"/>
          <w:szCs w:val="24"/>
          <w:lang w:val="zh-CN"/>
        </w:rPr>
        <w:t>监测社会和生态状况和做法</w:t>
      </w:r>
      <w:r w:rsidRPr="000C0842">
        <w:rPr>
          <w:rFonts w:eastAsia="SimSun"/>
          <w:sz w:val="24"/>
          <w:szCs w:val="24"/>
          <w:lang w:val="en-GB"/>
        </w:rPr>
        <w:t>；</w:t>
      </w:r>
      <w:r w:rsidRPr="000C0842">
        <w:rPr>
          <w:rFonts w:eastAsia="SimSun"/>
          <w:sz w:val="24"/>
          <w:szCs w:val="24"/>
          <w:lang w:val="zh-CN"/>
        </w:rPr>
        <w:t>协调一致的政策</w:t>
      </w:r>
      <w:r w:rsidRPr="000C0842">
        <w:rPr>
          <w:rFonts w:eastAsia="SimSun"/>
          <w:sz w:val="24"/>
          <w:szCs w:val="24"/>
          <w:lang w:val="en-GB"/>
        </w:rPr>
        <w:t>；</w:t>
      </w:r>
      <w:r w:rsidRPr="000C0842">
        <w:rPr>
          <w:rFonts w:eastAsia="SimSun"/>
          <w:sz w:val="24"/>
          <w:szCs w:val="24"/>
          <w:lang w:val="zh-CN"/>
        </w:rPr>
        <w:t>从习惯到法定的健全体制</w:t>
      </w:r>
      <w:r w:rsidRPr="000C0842">
        <w:rPr>
          <w:rFonts w:eastAsia="SimSun"/>
          <w:sz w:val="24"/>
          <w:szCs w:val="24"/>
          <w:lang w:val="en-GB"/>
        </w:rPr>
        <w:t>；</w:t>
      </w:r>
    </w:p>
    <w:p w14:paraId="5733EB36"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sz w:val="24"/>
          <w:szCs w:val="24"/>
          <w:lang w:val="zh-CN"/>
        </w:rPr>
        <w:t>依照国家</w:t>
      </w:r>
      <w:r w:rsidRPr="000C0842">
        <w:rPr>
          <w:rFonts w:eastAsia="SimSun" w:hint="eastAsia"/>
          <w:sz w:val="24"/>
          <w:szCs w:val="24"/>
          <w:lang w:val="zh-CN"/>
        </w:rPr>
        <w:t>法律</w:t>
      </w:r>
      <w:r w:rsidRPr="000C0842">
        <w:rPr>
          <w:rFonts w:eastAsia="SimSun"/>
          <w:sz w:val="24"/>
          <w:szCs w:val="24"/>
          <w:lang w:val="zh-CN"/>
        </w:rPr>
        <w:t>和相关国际义务</w:t>
      </w:r>
      <w:r w:rsidRPr="000C0842">
        <w:rPr>
          <w:rFonts w:eastAsia="SimSun"/>
          <w:sz w:val="24"/>
          <w:szCs w:val="24"/>
          <w:lang w:val="en-GB"/>
        </w:rPr>
        <w:t>，</w:t>
      </w:r>
      <w:r w:rsidRPr="000C0842">
        <w:rPr>
          <w:rFonts w:eastAsia="SimSun"/>
          <w:sz w:val="24"/>
          <w:szCs w:val="24"/>
          <w:lang w:val="zh-CN"/>
        </w:rPr>
        <w:t>采用包容性和参与性机制制定政策文书和工具、监测框架和指标</w:t>
      </w:r>
      <w:r w:rsidRPr="000C0842">
        <w:rPr>
          <w:rFonts w:eastAsia="SimSun"/>
          <w:sz w:val="24"/>
          <w:szCs w:val="24"/>
          <w:lang w:val="en-GB"/>
        </w:rPr>
        <w:t>，</w:t>
      </w:r>
      <w:r w:rsidRPr="000C0842">
        <w:rPr>
          <w:rFonts w:eastAsia="SimSun"/>
          <w:sz w:val="24"/>
          <w:szCs w:val="24"/>
          <w:lang w:val="zh-CN"/>
        </w:rPr>
        <w:t>包括为《昆蒙框架》行动目标</w:t>
      </w:r>
      <w:r w:rsidRPr="000C0842">
        <w:rPr>
          <w:rFonts w:eastAsia="SimSun"/>
          <w:sz w:val="24"/>
          <w:szCs w:val="24"/>
          <w:lang w:val="en-GB"/>
        </w:rPr>
        <w:t>4</w:t>
      </w:r>
      <w:r w:rsidRPr="000C0842">
        <w:rPr>
          <w:rFonts w:eastAsia="SimSun"/>
          <w:sz w:val="24"/>
          <w:szCs w:val="24"/>
          <w:lang w:val="zh-CN"/>
        </w:rPr>
        <w:t>、</w:t>
      </w:r>
      <w:r w:rsidRPr="000C0842">
        <w:rPr>
          <w:rFonts w:eastAsia="SimSun"/>
          <w:sz w:val="24"/>
          <w:szCs w:val="24"/>
          <w:lang w:val="en-GB"/>
        </w:rPr>
        <w:t>5</w:t>
      </w:r>
      <w:r w:rsidRPr="000C0842">
        <w:rPr>
          <w:rFonts w:eastAsia="SimSun"/>
          <w:sz w:val="24"/>
          <w:szCs w:val="24"/>
          <w:lang w:val="zh-CN"/>
        </w:rPr>
        <w:t>、</w:t>
      </w:r>
      <w:r w:rsidRPr="000C0842">
        <w:rPr>
          <w:rFonts w:eastAsia="SimSun"/>
          <w:sz w:val="24"/>
          <w:szCs w:val="24"/>
          <w:lang w:val="en-GB"/>
        </w:rPr>
        <w:t>9</w:t>
      </w:r>
      <w:r w:rsidRPr="000C0842">
        <w:rPr>
          <w:rFonts w:eastAsia="SimSun"/>
          <w:sz w:val="24"/>
          <w:szCs w:val="24"/>
          <w:lang w:val="zh-CN"/>
        </w:rPr>
        <w:t>、</w:t>
      </w:r>
      <w:r w:rsidRPr="000C0842">
        <w:rPr>
          <w:rFonts w:eastAsia="SimSun"/>
          <w:sz w:val="24"/>
          <w:szCs w:val="24"/>
          <w:lang w:val="en-GB"/>
        </w:rPr>
        <w:t>10</w:t>
      </w:r>
      <w:r w:rsidRPr="000C0842">
        <w:rPr>
          <w:rFonts w:eastAsia="SimSun"/>
          <w:sz w:val="24"/>
          <w:szCs w:val="24"/>
          <w:lang w:val="zh-CN"/>
        </w:rPr>
        <w:t>、</w:t>
      </w:r>
      <w:r w:rsidRPr="000C0842">
        <w:rPr>
          <w:rFonts w:eastAsia="SimSun"/>
          <w:sz w:val="24"/>
          <w:szCs w:val="24"/>
          <w:lang w:val="en-GB"/>
        </w:rPr>
        <w:t>22</w:t>
      </w:r>
      <w:r w:rsidRPr="000C0842">
        <w:rPr>
          <w:rFonts w:eastAsia="SimSun"/>
          <w:sz w:val="24"/>
          <w:szCs w:val="24"/>
          <w:lang w:val="zh-CN"/>
        </w:rPr>
        <w:t>和</w:t>
      </w:r>
      <w:r w:rsidRPr="000C0842">
        <w:rPr>
          <w:rFonts w:eastAsia="SimSun"/>
          <w:sz w:val="24"/>
          <w:szCs w:val="24"/>
          <w:lang w:val="en-GB"/>
        </w:rPr>
        <w:t>23</w:t>
      </w:r>
      <w:r w:rsidRPr="000C0842">
        <w:rPr>
          <w:rFonts w:eastAsia="SimSun"/>
          <w:sz w:val="24"/>
          <w:szCs w:val="24"/>
          <w:lang w:val="zh-CN"/>
        </w:rPr>
        <w:t>制定政策文书和工具、监测框架和指标</w:t>
      </w:r>
      <w:r w:rsidRPr="000C0842">
        <w:rPr>
          <w:rFonts w:eastAsia="SimSun" w:hint="eastAsia"/>
          <w:sz w:val="24"/>
          <w:szCs w:val="24"/>
          <w:lang w:val="en-GB"/>
        </w:rPr>
        <w:t>，</w:t>
      </w:r>
      <w:r w:rsidRPr="000C0842">
        <w:rPr>
          <w:rFonts w:eastAsia="SimSun"/>
          <w:sz w:val="24"/>
          <w:szCs w:val="24"/>
          <w:lang w:val="zh-CN"/>
        </w:rPr>
        <w:t>确保这些文书和工具</w:t>
      </w:r>
      <w:r w:rsidRPr="000C0842">
        <w:rPr>
          <w:rFonts w:eastAsia="SimSun" w:hint="eastAsia"/>
          <w:sz w:val="24"/>
          <w:szCs w:val="24"/>
          <w:lang w:val="zh-CN"/>
        </w:rPr>
        <w:t>顾及</w:t>
      </w:r>
      <w:r w:rsidRPr="000C0842">
        <w:rPr>
          <w:rFonts w:eastAsia="SimSun"/>
          <w:sz w:val="24"/>
          <w:szCs w:val="24"/>
          <w:lang w:val="zh-CN"/>
        </w:rPr>
        <w:t>社会经济背景的变化以及与部门政策的一致性</w:t>
      </w:r>
      <w:r w:rsidRPr="000C0842">
        <w:rPr>
          <w:rFonts w:eastAsia="SimSun"/>
          <w:sz w:val="24"/>
          <w:szCs w:val="24"/>
          <w:lang w:val="en-GB"/>
        </w:rPr>
        <w:t>，</w:t>
      </w:r>
      <w:r w:rsidRPr="000C0842">
        <w:rPr>
          <w:rFonts w:eastAsia="SimSun"/>
          <w:sz w:val="24"/>
          <w:szCs w:val="24"/>
          <w:lang w:val="zh-CN"/>
        </w:rPr>
        <w:t>促进吸收多元知识体系以加强决策</w:t>
      </w:r>
      <w:r w:rsidRPr="000C0842">
        <w:rPr>
          <w:rFonts w:eastAsia="SimSun"/>
          <w:sz w:val="24"/>
          <w:szCs w:val="24"/>
          <w:lang w:val="en-GB"/>
        </w:rPr>
        <w:t>，</w:t>
      </w:r>
      <w:r w:rsidRPr="000C0842">
        <w:rPr>
          <w:rFonts w:eastAsia="SimSun"/>
          <w:sz w:val="24"/>
          <w:szCs w:val="24"/>
          <w:lang w:val="zh-CN"/>
        </w:rPr>
        <w:t>增强政策文书在可持续利用野生物种方面的适应</w:t>
      </w:r>
      <w:r w:rsidRPr="000C0842">
        <w:rPr>
          <w:rFonts w:eastAsia="SimSun" w:hint="eastAsia"/>
          <w:sz w:val="24"/>
          <w:szCs w:val="24"/>
          <w:lang w:val="zh-CN"/>
        </w:rPr>
        <w:t>能</w:t>
      </w:r>
      <w:r w:rsidRPr="000C0842">
        <w:rPr>
          <w:rFonts w:eastAsia="SimSun"/>
          <w:sz w:val="24"/>
          <w:szCs w:val="24"/>
          <w:lang w:val="zh-CN"/>
        </w:rPr>
        <w:t>力</w:t>
      </w:r>
      <w:r w:rsidRPr="000C0842">
        <w:rPr>
          <w:rFonts w:eastAsia="SimSun"/>
          <w:sz w:val="24"/>
          <w:szCs w:val="24"/>
          <w:lang w:val="en-GB"/>
        </w:rPr>
        <w:t>；</w:t>
      </w:r>
    </w:p>
    <w:p w14:paraId="7DD3498F"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lang w:val="en-GB"/>
        </w:rPr>
        <w:t>支持考虑到依赖可持续利用野生物种的弱势群体的贫困、不平等和粮食不安全程度的政策，并支持为生活贫困者提供补充替代办法，以防止不可持续的做法；</w:t>
      </w:r>
    </w:p>
    <w:p w14:paraId="2DB9F613"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解决</w:t>
      </w:r>
      <w:r w:rsidRPr="000C0842">
        <w:rPr>
          <w:rFonts w:eastAsia="SimSun"/>
          <w:sz w:val="24"/>
          <w:szCs w:val="24"/>
          <w:lang w:val="en-GB"/>
        </w:rPr>
        <w:t>生活在脆弱环境中人们的需求以及有关</w:t>
      </w:r>
      <w:r w:rsidRPr="000C0842">
        <w:rPr>
          <w:rFonts w:eastAsia="SimSun"/>
          <w:sz w:val="24"/>
          <w:szCs w:val="24"/>
        </w:rPr>
        <w:t>土地保有权、资源使用权、可持续利用野生物种所产生成本</w:t>
      </w:r>
      <w:r w:rsidRPr="000C0842">
        <w:rPr>
          <w:rFonts w:eastAsia="SimSun" w:hint="eastAsia"/>
          <w:sz w:val="24"/>
          <w:szCs w:val="24"/>
        </w:rPr>
        <w:t>和</w:t>
      </w:r>
      <w:r w:rsidRPr="000C0842">
        <w:rPr>
          <w:rFonts w:eastAsia="SimSun"/>
          <w:sz w:val="24"/>
          <w:szCs w:val="24"/>
        </w:rPr>
        <w:t>惠益分配不公平</w:t>
      </w:r>
      <w:r w:rsidRPr="000C0842">
        <w:rPr>
          <w:rFonts w:eastAsia="SimSun" w:hint="eastAsia"/>
          <w:sz w:val="24"/>
          <w:szCs w:val="24"/>
        </w:rPr>
        <w:t>等挑战</w:t>
      </w:r>
      <w:r w:rsidRPr="000C0842">
        <w:rPr>
          <w:rFonts w:eastAsia="SimSun"/>
          <w:sz w:val="24"/>
          <w:szCs w:val="24"/>
        </w:rPr>
        <w:t>，实现《公约》的三个目标</w:t>
      </w:r>
      <w:r w:rsidRPr="000C0842">
        <w:rPr>
          <w:rFonts w:eastAsia="SimSun" w:hint="eastAsia"/>
          <w:sz w:val="24"/>
          <w:szCs w:val="24"/>
        </w:rPr>
        <w:t>以及《昆蒙框架》的各项长期目标和行动目标</w:t>
      </w:r>
      <w:r w:rsidRPr="000C0842">
        <w:rPr>
          <w:rFonts w:eastAsia="SimSun"/>
          <w:sz w:val="24"/>
          <w:szCs w:val="24"/>
        </w:rPr>
        <w:t>；</w:t>
      </w:r>
    </w:p>
    <w:p w14:paraId="52220BF2"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根据行动目标</w:t>
      </w:r>
      <w:r w:rsidRPr="000C0842">
        <w:rPr>
          <w:rFonts w:eastAsia="SimSun"/>
          <w:sz w:val="24"/>
          <w:szCs w:val="24"/>
        </w:rPr>
        <w:t>21</w:t>
      </w:r>
      <w:r w:rsidRPr="000C0842">
        <w:rPr>
          <w:rFonts w:eastAsia="SimSun"/>
          <w:sz w:val="24"/>
          <w:szCs w:val="24"/>
        </w:rPr>
        <w:t>，支持为落实《昆蒙框架》而列入可持续利用野生物种教育、传播和提高认识的努力；</w:t>
      </w:r>
      <w:r w:rsidRPr="000C0842">
        <w:rPr>
          <w:rFonts w:eastAsia="SimSun"/>
          <w:sz w:val="24"/>
          <w:szCs w:val="24"/>
        </w:rPr>
        <w:t xml:space="preserve"> </w:t>
      </w:r>
    </w:p>
    <w:p w14:paraId="7F3122F8"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与伙伴开展合作，</w:t>
      </w:r>
      <w:r w:rsidRPr="000C0842">
        <w:rPr>
          <w:rFonts w:eastAsia="SimSun" w:hint="eastAsia"/>
          <w:sz w:val="24"/>
          <w:szCs w:val="24"/>
        </w:rPr>
        <w:t>包括</w:t>
      </w:r>
      <w:r w:rsidRPr="000C0842">
        <w:rPr>
          <w:rFonts w:eastAsia="SimSun"/>
          <w:sz w:val="24"/>
          <w:szCs w:val="24"/>
        </w:rPr>
        <w:t>可持续野生生物管理合作伙伴关系，制定指标，监测野生物种利用的现状和趋势、社会、经济和环境惠益以及对弱势群体影响，同时考虑到</w:t>
      </w:r>
      <w:r w:rsidRPr="000C0842">
        <w:rPr>
          <w:rFonts w:eastAsia="SimSun" w:hint="eastAsia"/>
          <w:sz w:val="24"/>
          <w:szCs w:val="24"/>
        </w:rPr>
        <w:t>《昆明</w:t>
      </w:r>
      <w:r w:rsidRPr="000C0842">
        <w:rPr>
          <w:rFonts w:eastAsia="SimSun" w:hint="eastAsia"/>
          <w:sz w:val="24"/>
          <w:szCs w:val="24"/>
        </w:rPr>
        <w:t>-</w:t>
      </w:r>
      <w:r w:rsidRPr="000C0842">
        <w:rPr>
          <w:rFonts w:eastAsia="SimSun" w:hint="eastAsia"/>
          <w:sz w:val="24"/>
          <w:szCs w:val="24"/>
        </w:rPr>
        <w:t>蒙特利尔全球生物多样性框架》的</w:t>
      </w:r>
      <w:r w:rsidRPr="000C0842">
        <w:rPr>
          <w:rFonts w:eastAsia="SimSun"/>
          <w:sz w:val="24"/>
          <w:szCs w:val="24"/>
        </w:rPr>
        <w:t>监测框架的指标</w:t>
      </w:r>
      <w:r w:rsidRPr="000C0842">
        <w:rPr>
          <w:rFonts w:eastAsia="SimSun"/>
          <w:vertAlign w:val="superscript"/>
        </w:rPr>
        <w:footnoteReference w:id="139"/>
      </w:r>
      <w:r w:rsidRPr="000C0842">
        <w:rPr>
          <w:rFonts w:eastAsia="SimSun"/>
          <w:sz w:val="24"/>
          <w:szCs w:val="24"/>
        </w:rPr>
        <w:t>；</w:t>
      </w:r>
    </w:p>
    <w:p w14:paraId="1B177F0E"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hint="eastAsia"/>
          <w:sz w:val="24"/>
          <w:szCs w:val="24"/>
        </w:rPr>
        <w:t>为</w:t>
      </w:r>
      <w:r w:rsidRPr="000C0842">
        <w:rPr>
          <w:rFonts w:eastAsia="SimSun"/>
          <w:sz w:val="24"/>
          <w:szCs w:val="24"/>
        </w:rPr>
        <w:t>实现《昆蒙框架》</w:t>
      </w:r>
      <w:r w:rsidRPr="000C0842">
        <w:rPr>
          <w:rFonts w:eastAsia="SimSun" w:hint="eastAsia"/>
          <w:sz w:val="24"/>
          <w:szCs w:val="24"/>
        </w:rPr>
        <w:t>的各项长期目标和行动目标，</w:t>
      </w:r>
      <w:r w:rsidRPr="000C0842">
        <w:rPr>
          <w:rFonts w:eastAsia="SimSun"/>
          <w:sz w:val="24"/>
          <w:szCs w:val="24"/>
        </w:rPr>
        <w:t>以统筹方式应对可持续利用野生物种的潜在挑战，包括对野生生物产生负面影响的气候变化影响、</w:t>
      </w:r>
      <w:r w:rsidRPr="000C0842">
        <w:rPr>
          <w:rFonts w:eastAsia="SimSun" w:hint="eastAsia"/>
          <w:sz w:val="24"/>
          <w:szCs w:val="24"/>
        </w:rPr>
        <w:t>不可持续的做法以及导致不可持续做法的</w:t>
      </w:r>
      <w:r w:rsidRPr="000C0842">
        <w:rPr>
          <w:rFonts w:eastAsia="SimSun"/>
          <w:sz w:val="24"/>
          <w:szCs w:val="24"/>
        </w:rPr>
        <w:t>需求增长</w:t>
      </w:r>
      <w:r w:rsidRPr="000C0842">
        <w:rPr>
          <w:rFonts w:eastAsia="SimSun" w:hint="eastAsia"/>
          <w:sz w:val="24"/>
          <w:szCs w:val="24"/>
        </w:rPr>
        <w:t>和技术发展</w:t>
      </w:r>
      <w:r w:rsidRPr="000C0842">
        <w:rPr>
          <w:rFonts w:eastAsia="SimSun"/>
          <w:sz w:val="24"/>
          <w:szCs w:val="24"/>
        </w:rPr>
        <w:t>；</w:t>
      </w:r>
    </w:p>
    <w:p w14:paraId="6F71F268"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查明野生生物可持续利用对实现更广泛</w:t>
      </w:r>
      <w:r w:rsidRPr="000C0842">
        <w:rPr>
          <w:rFonts w:eastAsia="SimSun" w:hint="eastAsia"/>
          <w:sz w:val="24"/>
          <w:szCs w:val="24"/>
        </w:rPr>
        <w:t>养护</w:t>
      </w:r>
      <w:r w:rsidRPr="000C0842">
        <w:rPr>
          <w:rFonts w:eastAsia="SimSun"/>
          <w:sz w:val="24"/>
          <w:szCs w:val="24"/>
        </w:rPr>
        <w:t>、恢复和可持续管理目标和可持续发展目标的关联和贡献，确保政策的一致性，支持扶贫</w:t>
      </w:r>
      <w:r w:rsidRPr="000C0842">
        <w:rPr>
          <w:rFonts w:eastAsia="SimSun" w:hint="eastAsia"/>
          <w:sz w:val="24"/>
          <w:szCs w:val="24"/>
        </w:rPr>
        <w:t>和消除贫穷</w:t>
      </w:r>
      <w:r w:rsidRPr="000C0842">
        <w:rPr>
          <w:rFonts w:eastAsia="SimSun"/>
          <w:sz w:val="24"/>
          <w:szCs w:val="24"/>
        </w:rPr>
        <w:t>，支持</w:t>
      </w:r>
      <w:r w:rsidRPr="000C0842">
        <w:rPr>
          <w:rFonts w:eastAsia="SimSun" w:hint="eastAsia"/>
          <w:sz w:val="24"/>
          <w:szCs w:val="24"/>
        </w:rPr>
        <w:t>保障</w:t>
      </w:r>
      <w:r w:rsidRPr="000C0842">
        <w:rPr>
          <w:rFonts w:eastAsia="SimSun"/>
          <w:sz w:val="24"/>
          <w:szCs w:val="24"/>
        </w:rPr>
        <w:t>土地、渔业</w:t>
      </w:r>
      <w:r w:rsidRPr="000C0842">
        <w:rPr>
          <w:rFonts w:eastAsia="SimSun" w:hint="eastAsia"/>
          <w:sz w:val="24"/>
          <w:szCs w:val="24"/>
        </w:rPr>
        <w:t>、</w:t>
      </w:r>
      <w:r w:rsidRPr="000C0842">
        <w:rPr>
          <w:rFonts w:eastAsia="SimSun"/>
          <w:sz w:val="24"/>
          <w:szCs w:val="24"/>
        </w:rPr>
        <w:t>林业</w:t>
      </w:r>
      <w:r w:rsidRPr="000C0842">
        <w:rPr>
          <w:rFonts w:eastAsia="SimSun" w:hint="eastAsia"/>
          <w:sz w:val="24"/>
          <w:szCs w:val="24"/>
        </w:rPr>
        <w:t>保有权及公平获取</w:t>
      </w:r>
      <w:r w:rsidRPr="000C0842">
        <w:rPr>
          <w:rFonts w:eastAsia="SimSun"/>
          <w:sz w:val="24"/>
          <w:szCs w:val="24"/>
        </w:rPr>
        <w:t>的政策，为可持续利用野生物种创造有利条件；</w:t>
      </w:r>
    </w:p>
    <w:p w14:paraId="016D7413"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解决限制土著人民和地方社区</w:t>
      </w:r>
      <w:r w:rsidRPr="000C0842">
        <w:rPr>
          <w:rFonts w:eastAsia="SimSun" w:hint="eastAsia"/>
          <w:sz w:val="24"/>
          <w:szCs w:val="24"/>
        </w:rPr>
        <w:t>以及妇女</w:t>
      </w:r>
      <w:r w:rsidRPr="000C0842">
        <w:rPr>
          <w:rFonts w:eastAsia="SimSun"/>
          <w:sz w:val="24"/>
          <w:szCs w:val="24"/>
        </w:rPr>
        <w:t>保持和恢复可持续利用野生物种做法的能力的制约因素，例如国家政策未体现国际文书，</w:t>
      </w:r>
      <w:r w:rsidRPr="000C0842">
        <w:rPr>
          <w:rFonts w:eastAsia="SimSun" w:hint="eastAsia"/>
          <w:sz w:val="24"/>
          <w:szCs w:val="24"/>
        </w:rPr>
        <w:t>缺少用以监测有关进展情况的</w:t>
      </w:r>
      <w:r w:rsidRPr="000C0842">
        <w:rPr>
          <w:rFonts w:eastAsia="SimSun"/>
          <w:sz w:val="24"/>
          <w:szCs w:val="24"/>
        </w:rPr>
        <w:t>数据和指标，语言丧失</w:t>
      </w:r>
      <w:r w:rsidRPr="000C0842">
        <w:rPr>
          <w:rFonts w:eastAsia="SimSun" w:hint="eastAsia"/>
          <w:sz w:val="24"/>
          <w:szCs w:val="24"/>
        </w:rPr>
        <w:t>等</w:t>
      </w:r>
      <w:r w:rsidRPr="000C0842">
        <w:rPr>
          <w:rFonts w:eastAsia="SimSun"/>
          <w:sz w:val="24"/>
          <w:szCs w:val="24"/>
        </w:rPr>
        <w:t>，以期实现有关这种利用的行动目标；</w:t>
      </w:r>
    </w:p>
    <w:p w14:paraId="5F0AACC8"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加强习惯体制和规则，促进传统知识</w:t>
      </w:r>
      <w:r w:rsidRPr="000C0842">
        <w:rPr>
          <w:rFonts w:eastAsia="SimSun" w:hint="eastAsia"/>
          <w:sz w:val="24"/>
          <w:szCs w:val="24"/>
        </w:rPr>
        <w:t>和土著知识</w:t>
      </w:r>
      <w:r w:rsidRPr="000C0842">
        <w:rPr>
          <w:rFonts w:eastAsia="SimSun"/>
          <w:sz w:val="24"/>
          <w:szCs w:val="24"/>
        </w:rPr>
        <w:t>持有者参与制定政策文书和工具；</w:t>
      </w:r>
    </w:p>
    <w:p w14:paraId="3793511F"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加深了解：（一）利用野生物种与生物多样性丧失的主要驱动因素之间的联系，特别是外来入侵物种的引</w:t>
      </w:r>
      <w:r w:rsidRPr="000C0842">
        <w:rPr>
          <w:rFonts w:eastAsia="SimSun" w:hint="eastAsia"/>
          <w:sz w:val="24"/>
          <w:szCs w:val="24"/>
        </w:rPr>
        <w:t>进</w:t>
      </w:r>
      <w:r w:rsidRPr="000C0842">
        <w:rPr>
          <w:rFonts w:eastAsia="SimSun"/>
          <w:sz w:val="24"/>
          <w:szCs w:val="24"/>
        </w:rPr>
        <w:t>和传播途径；（二）防止这种引</w:t>
      </w:r>
      <w:r w:rsidRPr="000C0842">
        <w:rPr>
          <w:rFonts w:eastAsia="SimSun" w:hint="eastAsia"/>
          <w:sz w:val="24"/>
          <w:szCs w:val="24"/>
        </w:rPr>
        <w:t>进</w:t>
      </w:r>
      <w:r w:rsidRPr="000C0842">
        <w:rPr>
          <w:rFonts w:eastAsia="SimSun"/>
          <w:sz w:val="24"/>
          <w:szCs w:val="24"/>
        </w:rPr>
        <w:t>和传播的工具，以支持实现《昆蒙框架》行动目标</w:t>
      </w:r>
      <w:r w:rsidRPr="000C0842">
        <w:rPr>
          <w:rFonts w:eastAsia="SimSun"/>
          <w:sz w:val="24"/>
          <w:szCs w:val="24"/>
        </w:rPr>
        <w:t>6</w:t>
      </w:r>
      <w:r w:rsidRPr="000C0842">
        <w:rPr>
          <w:rFonts w:eastAsia="SimSun"/>
          <w:sz w:val="24"/>
          <w:szCs w:val="24"/>
        </w:rPr>
        <w:t>；</w:t>
      </w:r>
    </w:p>
    <w:p w14:paraId="299BD6BF"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协调</w:t>
      </w:r>
      <w:r w:rsidRPr="000C0842">
        <w:rPr>
          <w:rFonts w:eastAsia="SimSun" w:hint="eastAsia"/>
          <w:sz w:val="24"/>
          <w:szCs w:val="24"/>
        </w:rPr>
        <w:t>国家和国际两级</w:t>
      </w:r>
      <w:r w:rsidRPr="000C0842">
        <w:rPr>
          <w:rFonts w:eastAsia="SimSun"/>
          <w:sz w:val="24"/>
          <w:szCs w:val="24"/>
        </w:rPr>
        <w:t>为</w:t>
      </w:r>
      <w:r w:rsidRPr="000C0842">
        <w:rPr>
          <w:rFonts w:eastAsia="SimSun" w:hint="eastAsia"/>
          <w:sz w:val="24"/>
          <w:szCs w:val="24"/>
        </w:rPr>
        <w:t>解决</w:t>
      </w:r>
      <w:r w:rsidRPr="000C0842">
        <w:rPr>
          <w:rFonts w:eastAsia="SimSun"/>
          <w:sz w:val="24"/>
          <w:szCs w:val="24"/>
        </w:rPr>
        <w:t>非法</w:t>
      </w:r>
      <w:r w:rsidRPr="000C0842">
        <w:rPr>
          <w:rFonts w:eastAsia="SimSun" w:hint="eastAsia"/>
          <w:sz w:val="24"/>
          <w:szCs w:val="24"/>
        </w:rPr>
        <w:t>和不可持续地</w:t>
      </w:r>
      <w:r w:rsidRPr="000C0842">
        <w:rPr>
          <w:rFonts w:eastAsia="SimSun"/>
          <w:sz w:val="24"/>
          <w:szCs w:val="24"/>
        </w:rPr>
        <w:t>采集</w:t>
      </w:r>
      <w:r w:rsidRPr="000C0842">
        <w:rPr>
          <w:rFonts w:eastAsia="SimSun" w:hint="eastAsia"/>
          <w:sz w:val="24"/>
          <w:szCs w:val="24"/>
        </w:rPr>
        <w:t>、</w:t>
      </w:r>
      <w:r w:rsidRPr="000C0842">
        <w:rPr>
          <w:rFonts w:eastAsia="SimSun"/>
          <w:sz w:val="24"/>
          <w:szCs w:val="24"/>
        </w:rPr>
        <w:t>利用</w:t>
      </w:r>
      <w:r w:rsidRPr="000C0842">
        <w:rPr>
          <w:rFonts w:eastAsia="SimSun" w:hint="eastAsia"/>
          <w:sz w:val="24"/>
          <w:szCs w:val="24"/>
        </w:rPr>
        <w:t>、</w:t>
      </w:r>
      <w:r w:rsidRPr="000C0842">
        <w:rPr>
          <w:rFonts w:eastAsia="SimSun"/>
          <w:sz w:val="24"/>
          <w:szCs w:val="24"/>
        </w:rPr>
        <w:t>交易野生物种</w:t>
      </w:r>
      <w:r w:rsidRPr="000C0842">
        <w:rPr>
          <w:rFonts w:eastAsia="SimSun" w:hint="eastAsia"/>
          <w:sz w:val="24"/>
          <w:szCs w:val="24"/>
        </w:rPr>
        <w:t>的各种形式</w:t>
      </w:r>
      <w:r w:rsidRPr="000C0842">
        <w:rPr>
          <w:rFonts w:eastAsia="SimSun"/>
          <w:sz w:val="24"/>
          <w:szCs w:val="24"/>
        </w:rPr>
        <w:t>而进行的努力，同时促进可持续、安全、合法</w:t>
      </w:r>
      <w:r w:rsidRPr="000C0842">
        <w:rPr>
          <w:rFonts w:eastAsia="SimSun" w:hint="eastAsia"/>
          <w:sz w:val="24"/>
          <w:szCs w:val="24"/>
        </w:rPr>
        <w:t>的</w:t>
      </w:r>
      <w:r w:rsidRPr="000C0842">
        <w:rPr>
          <w:rFonts w:eastAsia="SimSun"/>
          <w:sz w:val="24"/>
          <w:szCs w:val="24"/>
        </w:rPr>
        <w:t>贸易，支持实现《昆蒙框架》行动目标</w:t>
      </w:r>
      <w:r w:rsidRPr="000C0842">
        <w:rPr>
          <w:rFonts w:eastAsia="SimSun"/>
          <w:sz w:val="24"/>
          <w:szCs w:val="24"/>
        </w:rPr>
        <w:t>5</w:t>
      </w:r>
      <w:r w:rsidRPr="000C0842">
        <w:rPr>
          <w:rFonts w:eastAsia="SimSun"/>
          <w:sz w:val="24"/>
          <w:szCs w:val="24"/>
        </w:rPr>
        <w:t>；</w:t>
      </w:r>
    </w:p>
    <w:p w14:paraId="5A8A37F9"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促进进一步研究，加深了解野生物种的利用与人畜共患病包括</w:t>
      </w:r>
      <w:r w:rsidRPr="000C0842">
        <w:rPr>
          <w:rFonts w:eastAsia="SimSun"/>
          <w:sz w:val="24"/>
          <w:szCs w:val="24"/>
          <w:lang w:val="en-GB"/>
        </w:rPr>
        <w:t>媒介传播疾病和被忽视的疾病</w:t>
      </w:r>
      <w:r w:rsidRPr="000C0842">
        <w:rPr>
          <w:rFonts w:eastAsia="SimSun"/>
          <w:sz w:val="24"/>
          <w:szCs w:val="24"/>
        </w:rPr>
        <w:t>之间的关联，</w:t>
      </w:r>
      <w:r w:rsidRPr="000C0842">
        <w:rPr>
          <w:rFonts w:eastAsia="SimSun"/>
          <w:sz w:val="24"/>
          <w:szCs w:val="24"/>
          <w:lang w:val="en-GB"/>
        </w:rPr>
        <w:t>考虑到健康的社会、经济和环境决定因素，</w:t>
      </w:r>
      <w:r w:rsidRPr="000C0842">
        <w:rPr>
          <w:rFonts w:eastAsia="SimSun" w:hint="eastAsia"/>
          <w:sz w:val="24"/>
          <w:szCs w:val="24"/>
          <w:lang w:val="en-GB"/>
        </w:rPr>
        <w:t>并利用</w:t>
      </w:r>
      <w:r w:rsidRPr="000C0842">
        <w:rPr>
          <w:rFonts w:eastAsia="SimSun"/>
          <w:sz w:val="24"/>
          <w:szCs w:val="24"/>
          <w:lang w:val="en-GB"/>
        </w:rPr>
        <w:t>现有知识</w:t>
      </w:r>
      <w:r w:rsidRPr="000C0842">
        <w:rPr>
          <w:rFonts w:eastAsia="SimSun"/>
          <w:sz w:val="24"/>
          <w:szCs w:val="24"/>
        </w:rPr>
        <w:t>；</w:t>
      </w:r>
    </w:p>
    <w:p w14:paraId="03923C74" w14:textId="77777777" w:rsidR="005E77FA" w:rsidRPr="000C0842" w:rsidRDefault="005E77FA">
      <w:pPr>
        <w:numPr>
          <w:ilvl w:val="0"/>
          <w:numId w:val="26"/>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lang w:val="en-GB"/>
        </w:rPr>
        <w:t>促进与土著人民和地方社区</w:t>
      </w:r>
      <w:r w:rsidRPr="000C0842">
        <w:rPr>
          <w:rFonts w:eastAsia="SimSun" w:hint="eastAsia"/>
          <w:sz w:val="24"/>
          <w:szCs w:val="24"/>
          <w:lang w:val="en-GB"/>
        </w:rPr>
        <w:t>以及妇女</w:t>
      </w:r>
      <w:r w:rsidRPr="000C0842">
        <w:rPr>
          <w:rFonts w:eastAsia="SimSun"/>
          <w:sz w:val="24"/>
          <w:szCs w:val="24"/>
          <w:lang w:val="en-GB"/>
        </w:rPr>
        <w:t>合作开展进一步研究，探讨与野生物种可持续利用有关的情景，包括采集、陆生动物</w:t>
      </w:r>
      <w:r w:rsidRPr="000C0842">
        <w:rPr>
          <w:rFonts w:eastAsia="SimSun" w:hint="eastAsia"/>
          <w:sz w:val="24"/>
          <w:szCs w:val="24"/>
          <w:lang w:val="en-GB"/>
        </w:rPr>
        <w:t>捕猎</w:t>
      </w:r>
      <w:r w:rsidRPr="000C0842">
        <w:rPr>
          <w:rFonts w:eastAsia="SimSun"/>
          <w:sz w:val="24"/>
          <w:szCs w:val="24"/>
          <w:lang w:val="en-GB"/>
        </w:rPr>
        <w:t>和非采掘活动；</w:t>
      </w:r>
    </w:p>
    <w:p w14:paraId="1C25DE52"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cs="SimSun" w:hint="eastAsia"/>
          <w:szCs w:val="24"/>
          <w:lang w:val="en-GB"/>
        </w:rPr>
        <w:t>请</w:t>
      </w:r>
      <w:r w:rsidRPr="000C0842">
        <w:rPr>
          <w:rFonts w:eastAsia="SimSun"/>
          <w:sz w:val="24"/>
          <w:szCs w:val="24"/>
        </w:rPr>
        <w:t>执行秘书与《濒危野生动植物种国际贸易公约》</w:t>
      </w:r>
      <w:r w:rsidRPr="000C0842">
        <w:rPr>
          <w:rFonts w:eastAsia="Times New Roman"/>
          <w:szCs w:val="24"/>
          <w:vertAlign w:val="superscript"/>
          <w:lang w:val="en-GB"/>
        </w:rPr>
        <w:footnoteReference w:id="140"/>
      </w:r>
      <w:r w:rsidRPr="000C0842">
        <w:rPr>
          <w:rFonts w:eastAsia="SimSun"/>
          <w:sz w:val="24"/>
          <w:szCs w:val="24"/>
        </w:rPr>
        <w:t>秘书处、联合国粮食及农业组织、《养护野生动物移栖物种公约》</w:t>
      </w:r>
      <w:r w:rsidRPr="000C0842">
        <w:rPr>
          <w:rFonts w:eastAsia="Times New Roman"/>
          <w:szCs w:val="24"/>
          <w:vertAlign w:val="superscript"/>
          <w:lang w:val="en-GB"/>
        </w:rPr>
        <w:footnoteReference w:id="141"/>
      </w:r>
      <w:r w:rsidRPr="000C0842">
        <w:rPr>
          <w:rFonts w:eastAsia="SimSun"/>
          <w:sz w:val="24"/>
          <w:szCs w:val="24"/>
        </w:rPr>
        <w:t>秘书处以及其他相关多边环境协定的秘书处</w:t>
      </w:r>
      <w:r w:rsidRPr="000C0842">
        <w:rPr>
          <w:rFonts w:eastAsia="SimSun" w:hint="eastAsia"/>
          <w:sz w:val="24"/>
          <w:szCs w:val="24"/>
        </w:rPr>
        <w:t>在</w:t>
      </w:r>
      <w:r w:rsidRPr="000C0842">
        <w:rPr>
          <w:rFonts w:eastAsia="SimSun"/>
          <w:sz w:val="24"/>
          <w:szCs w:val="24"/>
        </w:rPr>
        <w:t>可持续利用野生</w:t>
      </w:r>
      <w:r w:rsidRPr="000C0842">
        <w:rPr>
          <w:rFonts w:eastAsia="SimSun" w:hint="eastAsia"/>
          <w:sz w:val="24"/>
          <w:szCs w:val="24"/>
        </w:rPr>
        <w:t>生</w:t>
      </w:r>
      <w:r w:rsidRPr="000C0842">
        <w:rPr>
          <w:rFonts w:eastAsia="SimSun"/>
          <w:sz w:val="24"/>
          <w:szCs w:val="24"/>
        </w:rPr>
        <w:t>物领域</w:t>
      </w:r>
      <w:r w:rsidRPr="000C0842">
        <w:rPr>
          <w:rFonts w:eastAsia="SimSun" w:hint="eastAsia"/>
          <w:sz w:val="24"/>
          <w:szCs w:val="24"/>
        </w:rPr>
        <w:t>开展</w:t>
      </w:r>
      <w:r w:rsidRPr="000C0842">
        <w:rPr>
          <w:rFonts w:eastAsia="SimSun"/>
          <w:sz w:val="24"/>
          <w:szCs w:val="24"/>
        </w:rPr>
        <w:t>合作，并增强协同作用；</w:t>
      </w:r>
    </w:p>
    <w:p w14:paraId="73CEC1C2"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又</w:t>
      </w:r>
      <w:r w:rsidRPr="000C0842">
        <w:rPr>
          <w:rFonts w:eastAsia="KaiTi"/>
          <w:sz w:val="24"/>
          <w:szCs w:val="24"/>
          <w:lang w:val="en-GB"/>
        </w:rPr>
        <w:t>请</w:t>
      </w:r>
      <w:r w:rsidRPr="000C0842">
        <w:rPr>
          <w:rFonts w:eastAsia="SimSun"/>
          <w:sz w:val="24"/>
          <w:szCs w:val="24"/>
          <w:lang w:val="en-GB"/>
        </w:rPr>
        <w:t>执行秘书在资源允许的情况下，与可持续野生生物管理合作伙伴关系协作，</w:t>
      </w:r>
      <w:r w:rsidRPr="000C0842">
        <w:rPr>
          <w:rFonts w:eastAsia="SimSun" w:hint="eastAsia"/>
          <w:sz w:val="24"/>
          <w:szCs w:val="24"/>
          <w:lang w:val="en-GB"/>
        </w:rPr>
        <w:t>特别是与</w:t>
      </w:r>
      <w:r w:rsidRPr="000C0842">
        <w:rPr>
          <w:rFonts w:eastAsia="SimSun"/>
          <w:sz w:val="24"/>
          <w:szCs w:val="24"/>
        </w:rPr>
        <w:t>《养护野生动物移栖物种公约》</w:t>
      </w:r>
      <w:r w:rsidRPr="000C0842">
        <w:rPr>
          <w:rFonts w:eastAsia="SimSun" w:hint="eastAsia"/>
          <w:sz w:val="24"/>
          <w:szCs w:val="24"/>
        </w:rPr>
        <w:t>秘书处和</w:t>
      </w:r>
      <w:r w:rsidRPr="000C0842">
        <w:rPr>
          <w:rFonts w:eastAsia="SimSun"/>
          <w:sz w:val="24"/>
          <w:szCs w:val="24"/>
        </w:rPr>
        <w:t>《濒危野生动植物种国际贸易公约》</w:t>
      </w:r>
      <w:r w:rsidRPr="000C0842">
        <w:rPr>
          <w:rFonts w:eastAsia="SimSun" w:hint="eastAsia"/>
          <w:sz w:val="24"/>
          <w:szCs w:val="24"/>
        </w:rPr>
        <w:t>秘书处协作，</w:t>
      </w:r>
      <w:r w:rsidRPr="000C0842">
        <w:rPr>
          <w:rFonts w:eastAsia="SimSun"/>
          <w:sz w:val="24"/>
          <w:szCs w:val="24"/>
          <w:lang w:val="en-GB"/>
        </w:rPr>
        <w:t>根据缔约方、</w:t>
      </w:r>
      <w:r w:rsidRPr="000C0842">
        <w:rPr>
          <w:rFonts w:eastAsia="SimSun" w:hint="eastAsia"/>
          <w:lang w:val="en-GB"/>
        </w:rPr>
        <w:t>其他国家政府</w:t>
      </w:r>
      <w:r w:rsidRPr="000C0842">
        <w:rPr>
          <w:rFonts w:eastAsia="SimSun"/>
          <w:sz w:val="24"/>
          <w:szCs w:val="24"/>
          <w:lang w:val="en-GB"/>
        </w:rPr>
        <w:t>、土著人民和地方社区、妇女和青年以及相关组织的投入，编写适用于多种物种和多种</w:t>
      </w:r>
      <w:r w:rsidRPr="000C0842">
        <w:rPr>
          <w:rFonts w:eastAsia="SimSun" w:hint="eastAsia"/>
          <w:sz w:val="24"/>
          <w:szCs w:val="24"/>
          <w:lang w:val="en-GB"/>
        </w:rPr>
        <w:t>做法</w:t>
      </w:r>
      <w:r w:rsidRPr="000C0842">
        <w:rPr>
          <w:rFonts w:eastAsia="SimSun"/>
          <w:sz w:val="24"/>
          <w:szCs w:val="24"/>
          <w:lang w:val="en-GB"/>
        </w:rPr>
        <w:t>的野生动物可持续管理</w:t>
      </w:r>
      <w:r w:rsidRPr="000C0842">
        <w:rPr>
          <w:rFonts w:eastAsia="SimSun" w:hint="eastAsia"/>
          <w:sz w:val="24"/>
          <w:szCs w:val="24"/>
          <w:lang w:val="en-GB"/>
        </w:rPr>
        <w:t>的</w:t>
      </w:r>
      <w:r w:rsidRPr="000C0842">
        <w:rPr>
          <w:rFonts w:eastAsia="SimSun"/>
          <w:sz w:val="24"/>
          <w:szCs w:val="24"/>
          <w:lang w:val="en-GB"/>
        </w:rPr>
        <w:t>全球指导意见草案，重点是：</w:t>
      </w:r>
    </w:p>
    <w:p w14:paraId="5DEC24BD" w14:textId="77777777" w:rsidR="005E77FA" w:rsidRPr="000C0842" w:rsidRDefault="005E77FA">
      <w:pPr>
        <w:numPr>
          <w:ilvl w:val="0"/>
          <w:numId w:val="27"/>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包容性和参与性决策；</w:t>
      </w:r>
    </w:p>
    <w:p w14:paraId="474A4AD7" w14:textId="77777777" w:rsidR="005E77FA" w:rsidRPr="000C0842" w:rsidRDefault="005E77FA">
      <w:pPr>
        <w:numPr>
          <w:ilvl w:val="0"/>
          <w:numId w:val="27"/>
        </w:num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SimSun"/>
          <w:sz w:val="24"/>
          <w:szCs w:val="24"/>
        </w:rPr>
        <w:t>纳入多种形式的知识并承认权利；</w:t>
      </w:r>
    </w:p>
    <w:p w14:paraId="0825EE54" w14:textId="77777777" w:rsidR="005E77FA" w:rsidRPr="000C0842" w:rsidRDefault="005E77FA">
      <w:pPr>
        <w:numPr>
          <w:ilvl w:val="0"/>
          <w:numId w:val="27"/>
        </w:numPr>
        <w:tabs>
          <w:tab w:val="clear" w:pos="567"/>
          <w:tab w:val="clear" w:pos="1134"/>
          <w:tab w:val="clear" w:pos="1701"/>
          <w:tab w:val="clear" w:pos="2268"/>
        </w:tabs>
        <w:adjustRightInd w:val="0"/>
        <w:snapToGrid w:val="0"/>
        <w:spacing w:before="120" w:after="120"/>
        <w:ind w:left="490" w:firstLine="490"/>
        <w:rPr>
          <w:sz w:val="24"/>
          <w:szCs w:val="24"/>
          <w:lang w:val="en-GB"/>
        </w:rPr>
      </w:pPr>
      <w:r w:rsidRPr="000C0842">
        <w:rPr>
          <w:rFonts w:eastAsia="SimSun"/>
          <w:sz w:val="24"/>
          <w:szCs w:val="24"/>
        </w:rPr>
        <w:t>公平分配成本和收益</w:t>
      </w:r>
      <w:r w:rsidRPr="000C0842">
        <w:rPr>
          <w:rFonts w:eastAsia="SimSun"/>
          <w:sz w:val="24"/>
          <w:szCs w:val="24"/>
          <w:lang w:val="en-GB"/>
        </w:rPr>
        <w:t>；</w:t>
      </w:r>
    </w:p>
    <w:p w14:paraId="3234C649"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KaiTi"/>
          <w:sz w:val="24"/>
          <w:szCs w:val="24"/>
          <w:lang w:val="en-GB"/>
        </w:rPr>
      </w:pPr>
      <w:r w:rsidRPr="000C0842">
        <w:rPr>
          <w:rFonts w:eastAsia="KaiTi" w:hint="eastAsia"/>
          <w:sz w:val="24"/>
          <w:szCs w:val="24"/>
          <w:lang w:val="en-GB"/>
        </w:rPr>
        <w:t>还请</w:t>
      </w:r>
      <w:r w:rsidRPr="000C0842">
        <w:rPr>
          <w:rFonts w:eastAsia="SimSun"/>
          <w:sz w:val="24"/>
          <w:szCs w:val="24"/>
          <w:lang w:val="en-GB"/>
        </w:rPr>
        <w:t>执行秘书向附属科学、技术和工艺咨询机构提交第</w:t>
      </w:r>
      <w:r w:rsidRPr="000C0842">
        <w:rPr>
          <w:rFonts w:eastAsia="SimSun" w:hint="eastAsia"/>
          <w:sz w:val="24"/>
          <w:szCs w:val="24"/>
          <w:lang w:val="en-GB"/>
        </w:rPr>
        <w:t>6</w:t>
      </w:r>
      <w:r w:rsidRPr="000C0842">
        <w:rPr>
          <w:rFonts w:eastAsia="SimSun"/>
          <w:sz w:val="24"/>
          <w:szCs w:val="24"/>
          <w:lang w:val="en-GB"/>
        </w:rPr>
        <w:t>段所述指导意见，供其在缔约方大会第十</w:t>
      </w:r>
      <w:r w:rsidRPr="000C0842">
        <w:rPr>
          <w:rFonts w:eastAsia="SimSun" w:hint="eastAsia"/>
          <w:sz w:val="24"/>
          <w:szCs w:val="24"/>
          <w:lang w:val="en-GB"/>
        </w:rPr>
        <w:t>届</w:t>
      </w:r>
      <w:r w:rsidRPr="000C0842">
        <w:rPr>
          <w:rFonts w:eastAsia="SimSun"/>
          <w:sz w:val="24"/>
          <w:szCs w:val="24"/>
          <w:lang w:val="en-GB"/>
        </w:rPr>
        <w:t>次会议之前举行的一次会议上审议，确保此类指导意见避免与现有指导意见重复；</w:t>
      </w:r>
    </w:p>
    <w:p w14:paraId="2DA7BA15" w14:textId="77777777" w:rsidR="005E77FA" w:rsidRPr="000C0842" w:rsidRDefault="005E77FA">
      <w:pPr>
        <w:numPr>
          <w:ilvl w:val="0"/>
          <w:numId w:val="25"/>
        </w:numPr>
        <w:tabs>
          <w:tab w:val="clear" w:pos="567"/>
          <w:tab w:val="clear" w:pos="1134"/>
          <w:tab w:val="clear" w:pos="1701"/>
          <w:tab w:val="clear" w:pos="2268"/>
        </w:tabs>
        <w:spacing w:before="120" w:after="120"/>
        <w:ind w:left="490" w:firstLine="490"/>
        <w:rPr>
          <w:rFonts w:eastAsia="KaiTi"/>
          <w:sz w:val="24"/>
          <w:szCs w:val="24"/>
          <w:lang w:val="en-GB"/>
        </w:rPr>
      </w:pPr>
      <w:r w:rsidRPr="000C0842">
        <w:rPr>
          <w:rFonts w:eastAsia="KaiTi"/>
          <w:sz w:val="24"/>
          <w:szCs w:val="24"/>
          <w:lang w:val="en-GB"/>
        </w:rPr>
        <w:t>鼓励</w:t>
      </w:r>
      <w:r w:rsidRPr="000C0842">
        <w:rPr>
          <w:rFonts w:eastAsia="SimSun"/>
          <w:sz w:val="24"/>
          <w:szCs w:val="24"/>
          <w:lang w:val="en-GB"/>
        </w:rPr>
        <w:t>缔约方促进科学和技术合作、能力建设和技术转让活动及伙伴关系，以弥补</w:t>
      </w:r>
      <w:hyperlink r:id="rId100" w:history="1">
        <w:r w:rsidRPr="000C0842">
          <w:rPr>
            <w:rFonts w:eastAsia="SimSun"/>
            <w:sz w:val="24"/>
            <w:szCs w:val="24"/>
            <w:u w:val="single"/>
            <w:lang w:val="en-GB"/>
          </w:rPr>
          <w:t>CBD/COP/16/11</w:t>
        </w:r>
      </w:hyperlink>
      <w:r w:rsidRPr="000C0842">
        <w:rPr>
          <w:rFonts w:eastAsia="SimSun"/>
          <w:sz w:val="24"/>
          <w:szCs w:val="24"/>
          <w:lang w:val="en-GB"/>
        </w:rPr>
        <w:t>号文件第</w:t>
      </w:r>
      <w:r w:rsidRPr="000C0842">
        <w:rPr>
          <w:rFonts w:eastAsia="SimSun"/>
          <w:sz w:val="24"/>
          <w:szCs w:val="24"/>
          <w:lang w:val="en-GB"/>
        </w:rPr>
        <w:t>9</w:t>
      </w:r>
      <w:r w:rsidRPr="000C0842">
        <w:rPr>
          <w:rFonts w:eastAsia="SimSun"/>
          <w:sz w:val="24"/>
          <w:szCs w:val="24"/>
          <w:lang w:val="en-GB"/>
        </w:rPr>
        <w:t>至</w:t>
      </w:r>
      <w:r w:rsidRPr="000C0842">
        <w:rPr>
          <w:rFonts w:eastAsia="SimSun"/>
          <w:sz w:val="24"/>
          <w:szCs w:val="24"/>
          <w:lang w:val="en-GB"/>
        </w:rPr>
        <w:t>12</w:t>
      </w:r>
      <w:r w:rsidRPr="000C0842">
        <w:rPr>
          <w:rFonts w:eastAsia="SimSun"/>
          <w:sz w:val="24"/>
          <w:szCs w:val="24"/>
          <w:lang w:val="en-GB"/>
        </w:rPr>
        <w:t>段中概述的差距，同时考虑到发展中国家面临的具体挑战；</w:t>
      </w:r>
    </w:p>
    <w:p w14:paraId="169A901F" w14:textId="77777777" w:rsidR="005E77FA" w:rsidRPr="000C0842" w:rsidRDefault="005E77FA">
      <w:pPr>
        <w:numPr>
          <w:ilvl w:val="0"/>
          <w:numId w:val="28"/>
        </w:numPr>
        <w:tabs>
          <w:tab w:val="clear" w:pos="567"/>
          <w:tab w:val="clear" w:pos="1134"/>
          <w:tab w:val="clear" w:pos="1701"/>
          <w:tab w:val="clear" w:pos="2268"/>
        </w:tabs>
        <w:spacing w:before="120" w:after="120"/>
        <w:ind w:left="490" w:firstLine="562"/>
        <w:rPr>
          <w:rFonts w:eastAsia="Times New Roman"/>
          <w:sz w:val="24"/>
          <w:szCs w:val="24"/>
          <w:lang w:val="en-GB"/>
        </w:rPr>
      </w:pPr>
      <w:r w:rsidRPr="000C0842">
        <w:rPr>
          <w:rFonts w:eastAsia="KaiTi" w:hint="eastAsia"/>
          <w:sz w:val="24"/>
          <w:szCs w:val="24"/>
          <w:lang w:val="en-GB"/>
        </w:rPr>
        <w:t>邀</w:t>
      </w:r>
      <w:r w:rsidRPr="000C0842">
        <w:rPr>
          <w:rFonts w:eastAsia="KaiTi"/>
          <w:sz w:val="24"/>
          <w:szCs w:val="24"/>
          <w:lang w:val="en-GB"/>
        </w:rPr>
        <w:t>请</w:t>
      </w:r>
      <w:r w:rsidRPr="000C0842">
        <w:rPr>
          <w:rFonts w:ascii="SimSun" w:eastAsia="SimSun" w:hAnsi="SimSun" w:cs="SimSun" w:hint="eastAsia"/>
          <w:sz w:val="24"/>
          <w:szCs w:val="24"/>
          <w:lang w:val="en-GB"/>
        </w:rPr>
        <w:t>缔约方、其他国家政府、国家以下各级政府、</w:t>
      </w:r>
      <w:r w:rsidRPr="000C0842">
        <w:rPr>
          <w:rFonts w:eastAsia="SimSun"/>
          <w:sz w:val="24"/>
          <w:szCs w:val="24"/>
          <w:lang w:val="en-GB"/>
        </w:rPr>
        <w:t>土著人民和地方社区、妇女以及相关组织提交关于可持续野生生物管理最佳做法的信息，并请执行秘书汇编和综合所提交的信息，供科学、技术和工艺咨询附属机构第二十七次会议审议；</w:t>
      </w:r>
    </w:p>
    <w:p w14:paraId="553D235B" w14:textId="77777777" w:rsidR="005E77FA" w:rsidRPr="000C0842" w:rsidRDefault="005E77FA">
      <w:pPr>
        <w:numPr>
          <w:ilvl w:val="0"/>
          <w:numId w:val="28"/>
        </w:numPr>
        <w:tabs>
          <w:tab w:val="clear" w:pos="567"/>
          <w:tab w:val="clear" w:pos="1134"/>
          <w:tab w:val="clear" w:pos="1701"/>
          <w:tab w:val="clear" w:pos="2268"/>
        </w:tabs>
        <w:spacing w:before="120" w:after="120"/>
        <w:ind w:left="490" w:firstLine="562"/>
        <w:rPr>
          <w:rFonts w:eastAsia="SimSun"/>
          <w:sz w:val="24"/>
          <w:szCs w:val="24"/>
        </w:rPr>
      </w:pPr>
      <w:r w:rsidRPr="000C0842">
        <w:rPr>
          <w:rFonts w:eastAsia="SimSun"/>
          <w:sz w:val="24"/>
          <w:szCs w:val="24"/>
          <w:lang w:val="en-GB"/>
        </w:rPr>
        <w:t xml:space="preserve"> </w:t>
      </w:r>
      <w:r w:rsidRPr="000C0842">
        <w:rPr>
          <w:rFonts w:eastAsia="KaiTi" w:hint="eastAsia"/>
          <w:sz w:val="24"/>
          <w:szCs w:val="24"/>
          <w:lang w:val="en-GB"/>
        </w:rPr>
        <w:t>邀请</w:t>
      </w:r>
      <w:r w:rsidRPr="000C0842">
        <w:rPr>
          <w:rFonts w:ascii="SimSun" w:eastAsia="SimSun" w:hAnsi="SimSun" w:cs="SimSun" w:hint="eastAsia"/>
          <w:sz w:val="24"/>
          <w:szCs w:val="24"/>
          <w:lang w:val="en-GB"/>
        </w:rPr>
        <w:t>缔约方、其他国家政府、国家以下各级政府和相关组织按照相关国际义务，促进加强生物多样性养护和确保野生物种可持续利用的激励措施，包括创新融资解决办法，以有助于参与养护工作和可持续野生生物管理的土著人民和地方社区、妇女和青年；</w:t>
      </w:r>
    </w:p>
    <w:p w14:paraId="49C4068F" w14:textId="4D8C7DFE" w:rsidR="005E77FA" w:rsidRPr="000C0842" w:rsidRDefault="005E77FA">
      <w:pPr>
        <w:numPr>
          <w:ilvl w:val="0"/>
          <w:numId w:val="28"/>
        </w:numPr>
        <w:tabs>
          <w:tab w:val="clear" w:pos="567"/>
          <w:tab w:val="clear" w:pos="1134"/>
          <w:tab w:val="clear" w:pos="1701"/>
          <w:tab w:val="clear" w:pos="2268"/>
        </w:tabs>
        <w:spacing w:before="120" w:after="120"/>
        <w:ind w:left="490" w:firstLine="562"/>
        <w:jc w:val="left"/>
        <w:rPr>
          <w:rFonts w:eastAsia="SimSun"/>
          <w:sz w:val="24"/>
        </w:rPr>
      </w:pPr>
      <w:r w:rsidRPr="000C0842">
        <w:rPr>
          <w:rFonts w:eastAsia="KaiTi" w:hint="eastAsia"/>
          <w:sz w:val="24"/>
        </w:rPr>
        <w:t>请</w:t>
      </w:r>
      <w:r w:rsidRPr="000C0842">
        <w:rPr>
          <w:rFonts w:eastAsia="SimSun" w:hint="eastAsia"/>
          <w:sz w:val="24"/>
        </w:rPr>
        <w:t>执行秘书在资源允许的情况下，与缔约方、其他国家政府、土著人民和地方社区、妇女和青年组织以及其他组织协商，与可持续野生生物管理合作伙伴关系协作，推动区域对话，就第</w:t>
      </w:r>
      <w:r w:rsidRPr="000C0842">
        <w:rPr>
          <w:rFonts w:eastAsia="SimSun" w:hint="eastAsia"/>
          <w:sz w:val="24"/>
        </w:rPr>
        <w:t>4 (b)</w:t>
      </w:r>
      <w:r w:rsidRPr="000C0842">
        <w:rPr>
          <w:rFonts w:eastAsia="SimSun" w:hint="eastAsia"/>
          <w:sz w:val="24"/>
        </w:rPr>
        <w:t>段所述七个关键要素的应用达成共识。</w:t>
      </w:r>
      <w:r w:rsidRPr="000C0842">
        <w:rPr>
          <w:rFonts w:eastAsia="SimSun"/>
          <w:sz w:val="24"/>
        </w:rPr>
        <w:br w:type="page"/>
      </w:r>
    </w:p>
    <w:p w14:paraId="7A10EA2D" w14:textId="21CA5D4E" w:rsidR="005E77FA" w:rsidRPr="000C0842" w:rsidRDefault="005E77FA" w:rsidP="002437E6">
      <w:pPr>
        <w:pStyle w:val="a1"/>
        <w:rPr>
          <w:rFonts w:hint="eastAsia"/>
          <w:lang w:eastAsia="zh-CN"/>
        </w:rPr>
      </w:pPr>
      <w:bookmarkStart w:id="45" w:name="_Toc206358212"/>
      <w:r w:rsidRPr="000C0842">
        <w:rPr>
          <w:rFonts w:hint="eastAsia"/>
          <w:lang w:eastAsia="zh-CN"/>
        </w:rPr>
        <w:t xml:space="preserve">16/16. </w:t>
      </w:r>
      <w:r w:rsidRPr="000C0842">
        <w:rPr>
          <w:lang w:eastAsia="zh-CN"/>
        </w:rPr>
        <w:t>关于具有重要生态或生物意义的海洋区域的进一步工作</w:t>
      </w:r>
      <w:bookmarkEnd w:id="45"/>
    </w:p>
    <w:p w14:paraId="75F4CBA3" w14:textId="77777777" w:rsidR="005E77FA" w:rsidRPr="000C0842" w:rsidRDefault="005E77FA" w:rsidP="00444037">
      <w:pPr>
        <w:keepNext/>
        <w:tabs>
          <w:tab w:val="clear" w:pos="567"/>
          <w:tab w:val="clear" w:pos="1134"/>
          <w:tab w:val="clear" w:pos="1701"/>
          <w:tab w:val="clear" w:pos="2268"/>
        </w:tabs>
        <w:spacing w:before="240" w:after="120"/>
        <w:rPr>
          <w:rFonts w:eastAsia="KaiTi"/>
          <w:sz w:val="24"/>
        </w:rPr>
      </w:pPr>
      <w:r w:rsidRPr="000C0842">
        <w:rPr>
          <w:rFonts w:eastAsia="KaiTi"/>
          <w:sz w:val="24"/>
          <w:lang w:val="en-GB"/>
        </w:rPr>
        <w:tab/>
      </w:r>
      <w:r w:rsidRPr="000C0842">
        <w:rPr>
          <w:rFonts w:eastAsia="KaiTi"/>
          <w:sz w:val="24"/>
          <w:lang w:val="en-GB"/>
        </w:rPr>
        <w:tab/>
      </w:r>
      <w:r w:rsidRPr="000C0842">
        <w:rPr>
          <w:rFonts w:eastAsia="KaiTi"/>
          <w:sz w:val="24"/>
        </w:rPr>
        <w:t>缔约方大会，</w:t>
      </w:r>
    </w:p>
    <w:p w14:paraId="4B351FD4" w14:textId="4EBD9348" w:rsidR="005E77FA" w:rsidRPr="000C0842" w:rsidRDefault="005E77FA" w:rsidP="005E77FA">
      <w:p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eastAsia="KaiTi"/>
          <w:sz w:val="24"/>
          <w:szCs w:val="24"/>
        </w:rPr>
        <w:t>重申</w:t>
      </w:r>
      <w:r w:rsidRPr="000C0842">
        <w:rPr>
          <w:rFonts w:eastAsia="SimSun"/>
          <w:sz w:val="24"/>
          <w:szCs w:val="24"/>
        </w:rPr>
        <w:t>《生物多样性公约》</w:t>
      </w:r>
      <w:r w:rsidRPr="000C0842">
        <w:rPr>
          <w:rFonts w:eastAsia="Times New Roman"/>
          <w:sz w:val="24"/>
          <w:szCs w:val="24"/>
          <w:vertAlign w:val="superscript"/>
          <w:lang w:val="en-GB"/>
        </w:rPr>
        <w:footnoteReference w:id="142"/>
      </w:r>
      <w:r w:rsidRPr="000C0842">
        <w:rPr>
          <w:rFonts w:eastAsia="SimSun"/>
          <w:sz w:val="24"/>
          <w:szCs w:val="24"/>
        </w:rPr>
        <w:t>第</w:t>
      </w:r>
      <w:hyperlink r:id="rId101" w:history="1">
        <w:r w:rsidRPr="000C0842">
          <w:rPr>
            <w:rFonts w:eastAsia="SimSun" w:hint="eastAsia"/>
            <w:sz w:val="24"/>
            <w:szCs w:val="24"/>
            <w:u w:val="single"/>
          </w:rPr>
          <w:t>3</w:t>
        </w:r>
      </w:hyperlink>
      <w:r w:rsidRPr="000C0842">
        <w:rPr>
          <w:rFonts w:eastAsia="SimSun"/>
          <w:sz w:val="24"/>
          <w:szCs w:val="24"/>
        </w:rPr>
        <w:t>、</w:t>
      </w:r>
      <w:hyperlink r:id="rId102" w:history="1">
        <w:r w:rsidRPr="000C0842">
          <w:rPr>
            <w:rFonts w:eastAsia="SimSun" w:hint="eastAsia"/>
            <w:sz w:val="24"/>
            <w:szCs w:val="24"/>
            <w:u w:val="single"/>
          </w:rPr>
          <w:t>4</w:t>
        </w:r>
      </w:hyperlink>
      <w:r w:rsidRPr="000C0842">
        <w:rPr>
          <w:rFonts w:eastAsia="SimSun"/>
          <w:sz w:val="24"/>
          <w:szCs w:val="24"/>
        </w:rPr>
        <w:t>、</w:t>
      </w:r>
      <w:hyperlink r:id="rId103" w:history="1">
        <w:r w:rsidRPr="000C0842">
          <w:rPr>
            <w:rFonts w:eastAsia="SimSun" w:hint="eastAsia"/>
            <w:sz w:val="24"/>
            <w:szCs w:val="24"/>
            <w:u w:val="single"/>
          </w:rPr>
          <w:t>5</w:t>
        </w:r>
      </w:hyperlink>
      <w:r w:rsidRPr="000C0842">
        <w:rPr>
          <w:rFonts w:eastAsia="SimSun"/>
          <w:sz w:val="24"/>
          <w:szCs w:val="24"/>
        </w:rPr>
        <w:t>和</w:t>
      </w:r>
      <w:hyperlink r:id="rId104" w:history="1">
        <w:r w:rsidRPr="000C0842">
          <w:rPr>
            <w:rFonts w:eastAsia="SimSun" w:hint="eastAsia"/>
            <w:sz w:val="24"/>
            <w:szCs w:val="24"/>
            <w:u w:val="single"/>
          </w:rPr>
          <w:t>22</w:t>
        </w:r>
      </w:hyperlink>
      <w:r w:rsidRPr="000C0842">
        <w:rPr>
          <w:rFonts w:eastAsia="SimSun"/>
          <w:sz w:val="24"/>
          <w:szCs w:val="24"/>
        </w:rPr>
        <w:t>条</w:t>
      </w:r>
      <w:r w:rsidRPr="000C0842">
        <w:rPr>
          <w:rFonts w:eastAsia="SimSun" w:hint="eastAsia"/>
          <w:sz w:val="24"/>
          <w:szCs w:val="24"/>
        </w:rPr>
        <w:t>、</w:t>
      </w:r>
      <w:r w:rsidRPr="000C0842">
        <w:rPr>
          <w:rFonts w:eastAsia="SimSun"/>
          <w:sz w:val="24"/>
          <w:szCs w:val="24"/>
        </w:rPr>
        <w:t>其</w:t>
      </w:r>
      <w:r w:rsidRPr="000C0842">
        <w:rPr>
          <w:rFonts w:eastAsia="SimSun"/>
          <w:sz w:val="24"/>
          <w:szCs w:val="24"/>
        </w:rPr>
        <w:t>2006</w:t>
      </w:r>
      <w:r w:rsidRPr="000C0842">
        <w:rPr>
          <w:rFonts w:eastAsia="SimSun"/>
          <w:sz w:val="24"/>
          <w:szCs w:val="24"/>
        </w:rPr>
        <w:t>年</w:t>
      </w:r>
      <w:r w:rsidRPr="000C0842">
        <w:rPr>
          <w:rFonts w:eastAsia="SimSun"/>
          <w:sz w:val="24"/>
          <w:szCs w:val="24"/>
        </w:rPr>
        <w:t>3</w:t>
      </w:r>
      <w:r w:rsidRPr="000C0842">
        <w:rPr>
          <w:rFonts w:eastAsia="SimSun"/>
          <w:sz w:val="24"/>
          <w:szCs w:val="24"/>
        </w:rPr>
        <w:t>月</w:t>
      </w:r>
      <w:r w:rsidRPr="000C0842">
        <w:rPr>
          <w:rFonts w:eastAsia="SimSun"/>
          <w:sz w:val="24"/>
          <w:szCs w:val="24"/>
        </w:rPr>
        <w:t>31</w:t>
      </w:r>
      <w:r w:rsidRPr="000C0842">
        <w:rPr>
          <w:rFonts w:eastAsia="SimSun"/>
          <w:sz w:val="24"/>
          <w:szCs w:val="24"/>
        </w:rPr>
        <w:t>日第</w:t>
      </w:r>
      <w:hyperlink r:id="rId105" w:history="1">
        <w:r w:rsidRPr="000C0842">
          <w:rPr>
            <w:rFonts w:eastAsia="SimSun" w:hint="eastAsia"/>
            <w:sz w:val="24"/>
            <w:szCs w:val="24"/>
            <w:u w:val="single"/>
          </w:rPr>
          <w:t>VIII/24</w:t>
        </w:r>
      </w:hyperlink>
      <w:r w:rsidRPr="000C0842">
        <w:rPr>
          <w:rFonts w:eastAsia="SimSun" w:hint="eastAsia"/>
          <w:sz w:val="24"/>
          <w:szCs w:val="24"/>
        </w:rPr>
        <w:t>号决定、</w:t>
      </w:r>
      <w:r w:rsidRPr="000C0842">
        <w:rPr>
          <w:rFonts w:eastAsia="SimSun" w:hint="eastAsia"/>
          <w:sz w:val="24"/>
          <w:szCs w:val="24"/>
        </w:rPr>
        <w:t>2008</w:t>
      </w:r>
      <w:r w:rsidRPr="000C0842">
        <w:rPr>
          <w:rFonts w:eastAsia="SimSun" w:hint="eastAsia"/>
          <w:sz w:val="24"/>
          <w:szCs w:val="24"/>
        </w:rPr>
        <w:t>年</w:t>
      </w:r>
      <w:r w:rsidRPr="000C0842">
        <w:rPr>
          <w:rFonts w:eastAsia="SimSun" w:hint="eastAsia"/>
          <w:sz w:val="24"/>
          <w:szCs w:val="24"/>
        </w:rPr>
        <w:t>5</w:t>
      </w:r>
      <w:r w:rsidRPr="000C0842">
        <w:rPr>
          <w:rFonts w:eastAsia="SimSun" w:hint="eastAsia"/>
          <w:sz w:val="24"/>
          <w:szCs w:val="24"/>
        </w:rPr>
        <w:t>月</w:t>
      </w:r>
      <w:r w:rsidRPr="000C0842">
        <w:rPr>
          <w:rFonts w:eastAsia="SimSun" w:hint="eastAsia"/>
          <w:sz w:val="24"/>
          <w:szCs w:val="24"/>
        </w:rPr>
        <w:t>30</w:t>
      </w:r>
      <w:r w:rsidRPr="000C0842">
        <w:rPr>
          <w:rFonts w:eastAsia="SimSun" w:hint="eastAsia"/>
          <w:sz w:val="24"/>
          <w:szCs w:val="24"/>
        </w:rPr>
        <w:t>日第</w:t>
      </w:r>
      <w:hyperlink r:id="rId106" w:history="1">
        <w:r w:rsidRPr="000C0842">
          <w:rPr>
            <w:rFonts w:eastAsia="SimSun" w:hint="eastAsia"/>
            <w:sz w:val="24"/>
            <w:szCs w:val="24"/>
            <w:u w:val="single"/>
          </w:rPr>
          <w:t>IX/20</w:t>
        </w:r>
      </w:hyperlink>
      <w:r w:rsidRPr="000C0842">
        <w:rPr>
          <w:rFonts w:eastAsia="SimSun" w:hint="eastAsia"/>
          <w:sz w:val="24"/>
          <w:szCs w:val="24"/>
        </w:rPr>
        <w:t>号决定、</w:t>
      </w:r>
      <w:r w:rsidRPr="000C0842">
        <w:rPr>
          <w:rFonts w:eastAsia="Times New Roman"/>
          <w:sz w:val="24"/>
          <w:szCs w:val="24"/>
        </w:rPr>
        <w:t>2010</w:t>
      </w:r>
      <w:r w:rsidRPr="000C0842">
        <w:rPr>
          <w:rFonts w:eastAsia="SimSun"/>
          <w:sz w:val="24"/>
          <w:szCs w:val="24"/>
        </w:rPr>
        <w:t>年</w:t>
      </w:r>
      <w:r w:rsidRPr="000C0842">
        <w:rPr>
          <w:rFonts w:eastAsia="Times New Roman"/>
          <w:sz w:val="24"/>
          <w:szCs w:val="24"/>
        </w:rPr>
        <w:t>10</w:t>
      </w:r>
      <w:r w:rsidRPr="000C0842">
        <w:rPr>
          <w:rFonts w:eastAsia="SimSun"/>
          <w:sz w:val="24"/>
          <w:szCs w:val="24"/>
        </w:rPr>
        <w:t>月</w:t>
      </w:r>
      <w:r w:rsidRPr="000C0842">
        <w:rPr>
          <w:rFonts w:eastAsia="Times New Roman"/>
          <w:sz w:val="24"/>
          <w:szCs w:val="24"/>
        </w:rPr>
        <w:t>29</w:t>
      </w:r>
      <w:r w:rsidRPr="000C0842">
        <w:rPr>
          <w:rFonts w:eastAsia="SimSun"/>
          <w:sz w:val="24"/>
          <w:szCs w:val="24"/>
        </w:rPr>
        <w:t>日第</w:t>
      </w:r>
      <w:hyperlink r:id="rId107" w:history="1">
        <w:r w:rsidRPr="000C0842">
          <w:rPr>
            <w:rFonts w:eastAsia="Times New Roman"/>
            <w:sz w:val="24"/>
            <w:szCs w:val="24"/>
            <w:u w:val="single"/>
          </w:rPr>
          <w:t>X/29</w:t>
        </w:r>
      </w:hyperlink>
      <w:r w:rsidRPr="000C0842">
        <w:rPr>
          <w:rFonts w:eastAsia="SimSun"/>
          <w:sz w:val="24"/>
          <w:szCs w:val="24"/>
        </w:rPr>
        <w:t>号决定、</w:t>
      </w:r>
      <w:r w:rsidRPr="000C0842">
        <w:rPr>
          <w:rFonts w:eastAsia="Times New Roman"/>
          <w:sz w:val="24"/>
          <w:szCs w:val="24"/>
        </w:rPr>
        <w:t>2012</w:t>
      </w:r>
      <w:r w:rsidRPr="000C0842">
        <w:rPr>
          <w:rFonts w:eastAsia="SimSun"/>
          <w:sz w:val="24"/>
          <w:szCs w:val="24"/>
        </w:rPr>
        <w:t>年</w:t>
      </w:r>
      <w:r w:rsidRPr="000C0842">
        <w:rPr>
          <w:rFonts w:eastAsia="Times New Roman"/>
          <w:sz w:val="24"/>
          <w:szCs w:val="24"/>
        </w:rPr>
        <w:t>10</w:t>
      </w:r>
      <w:r w:rsidRPr="000C0842">
        <w:rPr>
          <w:rFonts w:eastAsia="SimSun"/>
          <w:sz w:val="24"/>
          <w:szCs w:val="24"/>
        </w:rPr>
        <w:t>月</w:t>
      </w:r>
      <w:r w:rsidRPr="000C0842">
        <w:rPr>
          <w:rFonts w:eastAsia="Times New Roman"/>
          <w:sz w:val="24"/>
          <w:szCs w:val="24"/>
        </w:rPr>
        <w:t>19</w:t>
      </w:r>
      <w:r w:rsidRPr="000C0842">
        <w:rPr>
          <w:rFonts w:eastAsia="SimSun"/>
          <w:sz w:val="24"/>
          <w:szCs w:val="24"/>
        </w:rPr>
        <w:t>日第</w:t>
      </w:r>
      <w:hyperlink r:id="rId108" w:history="1">
        <w:r w:rsidRPr="000C0842">
          <w:rPr>
            <w:rFonts w:eastAsia="Times New Roman"/>
            <w:sz w:val="24"/>
            <w:szCs w:val="24"/>
            <w:u w:val="single"/>
          </w:rPr>
          <w:t>XI/17</w:t>
        </w:r>
      </w:hyperlink>
      <w:r w:rsidRPr="000C0842">
        <w:rPr>
          <w:rFonts w:eastAsia="SimSun"/>
          <w:sz w:val="24"/>
          <w:szCs w:val="24"/>
        </w:rPr>
        <w:t>号决定、</w:t>
      </w:r>
      <w:r w:rsidRPr="000C0842">
        <w:rPr>
          <w:rFonts w:eastAsia="Times New Roman"/>
          <w:sz w:val="24"/>
          <w:szCs w:val="24"/>
        </w:rPr>
        <w:t>2014</w:t>
      </w:r>
      <w:r w:rsidRPr="000C0842">
        <w:rPr>
          <w:rFonts w:eastAsia="SimSun"/>
          <w:sz w:val="24"/>
          <w:szCs w:val="24"/>
        </w:rPr>
        <w:t>年</w:t>
      </w:r>
      <w:r w:rsidRPr="000C0842">
        <w:rPr>
          <w:rFonts w:eastAsia="Times New Roman"/>
          <w:sz w:val="24"/>
          <w:szCs w:val="24"/>
        </w:rPr>
        <w:t>10</w:t>
      </w:r>
      <w:r w:rsidRPr="000C0842">
        <w:rPr>
          <w:rFonts w:eastAsia="SimSun"/>
          <w:sz w:val="24"/>
          <w:szCs w:val="24"/>
        </w:rPr>
        <w:t>月</w:t>
      </w:r>
      <w:r w:rsidRPr="000C0842">
        <w:rPr>
          <w:rFonts w:eastAsia="Times New Roman"/>
          <w:sz w:val="24"/>
          <w:szCs w:val="24"/>
        </w:rPr>
        <w:t>17</w:t>
      </w:r>
      <w:r w:rsidRPr="000C0842">
        <w:rPr>
          <w:rFonts w:eastAsia="SimSun"/>
          <w:sz w:val="24"/>
          <w:szCs w:val="24"/>
        </w:rPr>
        <w:t>日第</w:t>
      </w:r>
      <w:hyperlink r:id="rId109" w:history="1">
        <w:r w:rsidRPr="000C0842">
          <w:rPr>
            <w:rFonts w:eastAsia="Times New Roman"/>
            <w:sz w:val="24"/>
            <w:szCs w:val="24"/>
            <w:u w:val="single"/>
          </w:rPr>
          <w:t>XII/22</w:t>
        </w:r>
      </w:hyperlink>
      <w:r w:rsidRPr="000C0842">
        <w:rPr>
          <w:rFonts w:eastAsia="SimSun"/>
          <w:sz w:val="24"/>
          <w:szCs w:val="24"/>
        </w:rPr>
        <w:t>号决定、</w:t>
      </w:r>
      <w:r w:rsidRPr="000C0842">
        <w:rPr>
          <w:rFonts w:eastAsia="Times New Roman"/>
          <w:sz w:val="24"/>
          <w:szCs w:val="24"/>
        </w:rPr>
        <w:t>2016</w:t>
      </w:r>
      <w:r w:rsidRPr="000C0842">
        <w:rPr>
          <w:rFonts w:eastAsia="SimSun"/>
          <w:sz w:val="24"/>
          <w:szCs w:val="24"/>
        </w:rPr>
        <w:t>年</w:t>
      </w:r>
      <w:r w:rsidRPr="000C0842">
        <w:rPr>
          <w:rFonts w:eastAsia="Times New Roman"/>
          <w:sz w:val="24"/>
          <w:szCs w:val="24"/>
        </w:rPr>
        <w:t>12</w:t>
      </w:r>
      <w:r w:rsidRPr="000C0842">
        <w:rPr>
          <w:rFonts w:eastAsia="SimSun"/>
          <w:sz w:val="24"/>
          <w:szCs w:val="24"/>
        </w:rPr>
        <w:t>月</w:t>
      </w:r>
      <w:r w:rsidRPr="000C0842">
        <w:rPr>
          <w:rFonts w:eastAsia="Times New Roman"/>
          <w:sz w:val="24"/>
          <w:szCs w:val="24"/>
        </w:rPr>
        <w:t>17</w:t>
      </w:r>
      <w:r w:rsidRPr="000C0842">
        <w:rPr>
          <w:rFonts w:eastAsia="SimSun"/>
          <w:sz w:val="24"/>
          <w:szCs w:val="24"/>
        </w:rPr>
        <w:t>日第</w:t>
      </w:r>
      <w:hyperlink r:id="rId110" w:history="1">
        <w:r w:rsidRPr="000C0842">
          <w:rPr>
            <w:rFonts w:eastAsia="Times New Roman"/>
            <w:sz w:val="24"/>
            <w:szCs w:val="24"/>
            <w:u w:val="single"/>
          </w:rPr>
          <w:t>XIII/12</w:t>
        </w:r>
      </w:hyperlink>
      <w:r w:rsidRPr="000C0842">
        <w:rPr>
          <w:rFonts w:eastAsia="SimSun"/>
          <w:sz w:val="24"/>
          <w:szCs w:val="24"/>
        </w:rPr>
        <w:t>号决定</w:t>
      </w:r>
      <w:r w:rsidR="00FF7936" w:rsidRPr="000C0842">
        <w:rPr>
          <w:rFonts w:eastAsia="SimSun" w:hint="eastAsia"/>
          <w:sz w:val="24"/>
          <w:szCs w:val="24"/>
        </w:rPr>
        <w:t>（</w:t>
      </w:r>
      <w:r w:rsidRPr="000C0842">
        <w:rPr>
          <w:rFonts w:eastAsia="SimSun"/>
          <w:sz w:val="24"/>
          <w:szCs w:val="24"/>
        </w:rPr>
        <w:t>特别</w:t>
      </w:r>
      <w:r w:rsidRPr="000C0842">
        <w:rPr>
          <w:rFonts w:eastAsia="SimSun" w:hint="eastAsia"/>
          <w:sz w:val="24"/>
          <w:szCs w:val="24"/>
        </w:rPr>
        <w:t>是</w:t>
      </w:r>
      <w:r w:rsidRPr="000C0842">
        <w:rPr>
          <w:rFonts w:eastAsia="SimSun"/>
          <w:sz w:val="24"/>
          <w:szCs w:val="24"/>
        </w:rPr>
        <w:t>第</w:t>
      </w:r>
      <w:r w:rsidRPr="000C0842">
        <w:rPr>
          <w:rFonts w:eastAsia="Times New Roman"/>
          <w:sz w:val="24"/>
          <w:szCs w:val="24"/>
        </w:rPr>
        <w:t>3</w:t>
      </w:r>
      <w:r w:rsidRPr="000C0842">
        <w:rPr>
          <w:rFonts w:eastAsia="SimSun"/>
          <w:sz w:val="24"/>
          <w:szCs w:val="24"/>
        </w:rPr>
        <w:t>段</w:t>
      </w:r>
      <w:r w:rsidR="00FF7936" w:rsidRPr="000C0842">
        <w:rPr>
          <w:rFonts w:eastAsia="SimSun" w:hint="eastAsia"/>
          <w:sz w:val="24"/>
          <w:szCs w:val="24"/>
        </w:rPr>
        <w:t>）</w:t>
      </w:r>
      <w:r w:rsidRPr="000C0842">
        <w:rPr>
          <w:rFonts w:eastAsia="SimSun" w:hint="eastAsia"/>
          <w:sz w:val="24"/>
          <w:szCs w:val="24"/>
        </w:rPr>
        <w:t>、</w:t>
      </w:r>
      <w:r w:rsidRPr="000C0842">
        <w:rPr>
          <w:rFonts w:eastAsia="Times New Roman"/>
          <w:sz w:val="24"/>
          <w:szCs w:val="24"/>
        </w:rPr>
        <w:t>2018</w:t>
      </w:r>
      <w:r w:rsidRPr="000C0842">
        <w:rPr>
          <w:rFonts w:eastAsia="SimSun"/>
          <w:sz w:val="24"/>
          <w:szCs w:val="24"/>
        </w:rPr>
        <w:t>年</w:t>
      </w:r>
      <w:r w:rsidRPr="000C0842">
        <w:rPr>
          <w:rFonts w:eastAsia="Times New Roman"/>
          <w:sz w:val="24"/>
          <w:szCs w:val="24"/>
        </w:rPr>
        <w:t>11</w:t>
      </w:r>
      <w:r w:rsidRPr="000C0842">
        <w:rPr>
          <w:rFonts w:eastAsia="SimSun"/>
          <w:sz w:val="24"/>
          <w:szCs w:val="24"/>
        </w:rPr>
        <w:t>月</w:t>
      </w:r>
      <w:r w:rsidRPr="000C0842">
        <w:rPr>
          <w:rFonts w:eastAsia="Times New Roman"/>
          <w:sz w:val="24"/>
          <w:szCs w:val="24"/>
        </w:rPr>
        <w:t>29</w:t>
      </w:r>
      <w:r w:rsidRPr="000C0842">
        <w:rPr>
          <w:rFonts w:eastAsia="SimSun"/>
          <w:sz w:val="24"/>
          <w:szCs w:val="24"/>
        </w:rPr>
        <w:t>日第</w:t>
      </w:r>
      <w:hyperlink r:id="rId111" w:history="1">
        <w:r w:rsidRPr="000C0842">
          <w:rPr>
            <w:rFonts w:eastAsia="Times New Roman"/>
            <w:sz w:val="24"/>
            <w:szCs w:val="24"/>
            <w:u w:val="single"/>
          </w:rPr>
          <w:t>14/9</w:t>
        </w:r>
      </w:hyperlink>
      <w:r w:rsidRPr="000C0842">
        <w:rPr>
          <w:rFonts w:eastAsia="SimSun"/>
          <w:sz w:val="24"/>
          <w:szCs w:val="24"/>
        </w:rPr>
        <w:t>号决定</w:t>
      </w:r>
      <w:r w:rsidRPr="000C0842">
        <w:rPr>
          <w:rFonts w:eastAsia="SimSun" w:hint="eastAsia"/>
          <w:sz w:val="24"/>
          <w:szCs w:val="24"/>
        </w:rPr>
        <w:t>和</w:t>
      </w:r>
      <w:r w:rsidRPr="000C0842">
        <w:rPr>
          <w:rFonts w:eastAsia="SimSun" w:hint="eastAsia"/>
          <w:sz w:val="24"/>
          <w:szCs w:val="24"/>
        </w:rPr>
        <w:t>2022</w:t>
      </w:r>
      <w:r w:rsidRPr="000C0842">
        <w:rPr>
          <w:rFonts w:eastAsia="SimSun" w:hint="eastAsia"/>
          <w:sz w:val="24"/>
          <w:szCs w:val="24"/>
        </w:rPr>
        <w:t>年</w:t>
      </w:r>
      <w:r w:rsidRPr="000C0842">
        <w:rPr>
          <w:rFonts w:eastAsia="SimSun" w:hint="eastAsia"/>
          <w:sz w:val="24"/>
          <w:szCs w:val="24"/>
        </w:rPr>
        <w:t>12</w:t>
      </w:r>
      <w:r w:rsidRPr="000C0842">
        <w:rPr>
          <w:rFonts w:eastAsia="SimSun" w:hint="eastAsia"/>
          <w:sz w:val="24"/>
          <w:szCs w:val="24"/>
        </w:rPr>
        <w:t>月</w:t>
      </w:r>
      <w:r w:rsidRPr="000C0842">
        <w:rPr>
          <w:rFonts w:eastAsia="SimSun" w:hint="eastAsia"/>
          <w:sz w:val="24"/>
          <w:szCs w:val="24"/>
        </w:rPr>
        <w:t>19</w:t>
      </w:r>
      <w:r w:rsidRPr="000C0842">
        <w:rPr>
          <w:rFonts w:eastAsia="SimSun" w:hint="eastAsia"/>
          <w:sz w:val="24"/>
          <w:szCs w:val="24"/>
        </w:rPr>
        <w:t>日第</w:t>
      </w:r>
      <w:hyperlink r:id="rId112" w:history="1">
        <w:r w:rsidRPr="000C0842">
          <w:rPr>
            <w:rFonts w:eastAsia="SimSun" w:hint="eastAsia"/>
            <w:sz w:val="24"/>
            <w:szCs w:val="24"/>
            <w:u w:val="single"/>
          </w:rPr>
          <w:t>15/26</w:t>
        </w:r>
      </w:hyperlink>
      <w:r w:rsidRPr="000C0842">
        <w:rPr>
          <w:rFonts w:eastAsia="SimSun" w:hint="eastAsia"/>
          <w:sz w:val="24"/>
          <w:szCs w:val="24"/>
        </w:rPr>
        <w:t>号决定</w:t>
      </w:r>
      <w:r w:rsidRPr="000C0842">
        <w:rPr>
          <w:rFonts w:eastAsia="SimSun"/>
          <w:sz w:val="24"/>
          <w:szCs w:val="24"/>
        </w:rPr>
        <w:t>，</w:t>
      </w:r>
    </w:p>
    <w:p w14:paraId="5012EC58" w14:textId="77777777" w:rsidR="005E77FA" w:rsidRPr="000C0842" w:rsidRDefault="005E77FA" w:rsidP="005E77FA">
      <w:pPr>
        <w:tabs>
          <w:tab w:val="clear" w:pos="567"/>
          <w:tab w:val="clear" w:pos="1134"/>
          <w:tab w:val="clear" w:pos="1701"/>
          <w:tab w:val="clear" w:pos="2268"/>
        </w:tabs>
        <w:spacing w:before="120" w:after="120"/>
        <w:ind w:left="490" w:firstLine="490"/>
        <w:rPr>
          <w:sz w:val="24"/>
          <w:vertAlign w:val="superscript"/>
          <w:lang w:val="fr-CA"/>
        </w:rPr>
      </w:pPr>
      <w:r w:rsidRPr="000C0842">
        <w:rPr>
          <w:rFonts w:eastAsia="KaiTi" w:hint="eastAsia"/>
          <w:sz w:val="24"/>
        </w:rPr>
        <w:t>回顾</w:t>
      </w:r>
      <w:r w:rsidRPr="000C0842">
        <w:rPr>
          <w:rFonts w:ascii="SimSun" w:eastAsia="SimSun" w:hAnsi="SimSun" w:cs="SimSun" w:hint="eastAsia"/>
          <w:sz w:val="24"/>
        </w:rPr>
        <w:t>2023年12月5日联合国大会关于海洋和海洋法的第</w:t>
      </w:r>
      <w:r w:rsidRPr="000C0842">
        <w:rPr>
          <w:rFonts w:eastAsia="Times New Roman" w:hint="eastAsia"/>
          <w:sz w:val="24"/>
        </w:rPr>
        <w:t xml:space="preserve"> 78/69 </w:t>
      </w:r>
      <w:r w:rsidRPr="000C0842">
        <w:rPr>
          <w:rFonts w:ascii="SimSun" w:eastAsia="SimSun" w:hAnsi="SimSun" w:cs="SimSun" w:hint="eastAsia"/>
          <w:sz w:val="24"/>
        </w:rPr>
        <w:t>号决议及其关于《联合国海洋法公约》</w:t>
      </w:r>
      <w:r w:rsidRPr="000C0842">
        <w:rPr>
          <w:rFonts w:eastAsia="Times New Roman"/>
          <w:sz w:val="24"/>
          <w:vertAlign w:val="superscript"/>
          <w:lang w:val="en-GB"/>
        </w:rPr>
        <w:footnoteReference w:id="143"/>
      </w:r>
      <w:r w:rsidRPr="000C0842">
        <w:rPr>
          <w:rFonts w:ascii="SimSun" w:eastAsia="SimSun" w:hAnsi="SimSun" w:cs="SimSun" w:hint="eastAsia"/>
          <w:sz w:val="24"/>
        </w:rPr>
        <w:t>的序言部分段落</w:t>
      </w:r>
      <w:bookmarkStart w:id="46" w:name="_Ref178592947"/>
      <w:r w:rsidRPr="000C0842">
        <w:rPr>
          <w:rFonts w:eastAsia="Times New Roman"/>
          <w:sz w:val="24"/>
          <w:vertAlign w:val="superscript"/>
          <w:lang w:val="fr-CA"/>
        </w:rPr>
        <w:footnoteReference w:id="144"/>
      </w:r>
      <w:bookmarkEnd w:id="46"/>
      <w:r w:rsidRPr="000C0842">
        <w:rPr>
          <w:rFonts w:hint="eastAsia"/>
          <w:sz w:val="24"/>
          <w:vertAlign w:val="superscript"/>
          <w:lang w:val="fr-CA"/>
        </w:rPr>
        <w:t>、</w:t>
      </w:r>
      <w:r w:rsidRPr="000C0842">
        <w:rPr>
          <w:rFonts w:hint="eastAsia"/>
          <w:sz w:val="24"/>
          <w:vertAlign w:val="superscript"/>
          <w:lang w:val="fr-CA"/>
        </w:rPr>
        <w:t xml:space="preserve"> </w:t>
      </w:r>
      <w:bookmarkStart w:id="48" w:name="_Ref178592954"/>
      <w:r w:rsidRPr="000C0842">
        <w:rPr>
          <w:rFonts w:eastAsia="Times New Roman"/>
          <w:sz w:val="24"/>
          <w:vertAlign w:val="superscript"/>
          <w:lang w:val="fr-CA"/>
        </w:rPr>
        <w:footnoteReference w:id="145"/>
      </w:r>
      <w:bookmarkEnd w:id="48"/>
      <w:r w:rsidRPr="000C0842">
        <w:rPr>
          <w:rFonts w:hint="eastAsia"/>
          <w:sz w:val="24"/>
          <w:vertAlign w:val="superscript"/>
          <w:lang w:val="fr-CA"/>
        </w:rPr>
        <w:t>、</w:t>
      </w:r>
      <w:r w:rsidRPr="000C0842">
        <w:rPr>
          <w:sz w:val="24"/>
          <w:vertAlign w:val="superscript"/>
          <w:lang w:val="fr-CA"/>
        </w:rPr>
        <w:footnoteReference w:id="146"/>
      </w:r>
      <w:r w:rsidRPr="000C0842">
        <w:rPr>
          <w:rFonts w:hint="eastAsia"/>
          <w:sz w:val="24"/>
          <w:vertAlign w:val="superscript"/>
          <w:lang w:val="fr-CA"/>
        </w:rPr>
        <w:t>、</w:t>
      </w:r>
      <w:r w:rsidRPr="000C0842">
        <w:rPr>
          <w:sz w:val="24"/>
          <w:vertAlign w:val="superscript"/>
          <w:lang w:val="fr-CA"/>
        </w:rPr>
        <w:footnoteReference w:id="147"/>
      </w:r>
      <w:r w:rsidRPr="000C0842">
        <w:rPr>
          <w:rFonts w:ascii="SimSun" w:eastAsia="SimSun" w:hAnsi="SimSun" w:cs="SimSun" w:hint="eastAsia"/>
          <w:sz w:val="24"/>
        </w:rPr>
        <w:t>，</w:t>
      </w:r>
    </w:p>
    <w:p w14:paraId="3D4D7984" w14:textId="77777777" w:rsidR="005E77FA" w:rsidRPr="000C0842" w:rsidRDefault="005E77FA" w:rsidP="005E77FA">
      <w:pPr>
        <w:tabs>
          <w:tab w:val="clear" w:pos="567"/>
          <w:tab w:val="clear" w:pos="1134"/>
          <w:tab w:val="clear" w:pos="1701"/>
          <w:tab w:val="clear" w:pos="2268"/>
        </w:tabs>
        <w:spacing w:before="120" w:after="120"/>
        <w:ind w:left="490" w:firstLine="490"/>
        <w:rPr>
          <w:rFonts w:eastAsia="Times New Roman"/>
          <w:sz w:val="24"/>
          <w:lang w:val="fr-CA"/>
        </w:rPr>
      </w:pPr>
      <w:r w:rsidRPr="000C0842">
        <w:rPr>
          <w:rFonts w:eastAsia="KaiTi" w:hint="eastAsia"/>
          <w:sz w:val="24"/>
        </w:rPr>
        <w:t>重申</w:t>
      </w:r>
      <w:r w:rsidRPr="000C0842">
        <w:rPr>
          <w:rFonts w:ascii="SimSun" w:eastAsia="SimSun" w:hAnsi="SimSun" w:cs="SimSun" w:hint="eastAsia"/>
          <w:sz w:val="24"/>
        </w:rPr>
        <w:t>联合国大会在处理国家管辖范围以外海洋区域生物多样性的养护和可持续利用问题方面的核心作用</w:t>
      </w:r>
      <w:r w:rsidRPr="000C0842">
        <w:rPr>
          <w:rFonts w:ascii="SimSun" w:eastAsia="SimSun" w:hAnsi="SimSun" w:cs="SimSun" w:hint="eastAsia"/>
          <w:sz w:val="24"/>
          <w:lang w:val="fr-CA"/>
        </w:rPr>
        <w:t>，</w:t>
      </w:r>
    </w:p>
    <w:p w14:paraId="603B9944" w14:textId="77777777" w:rsidR="005E77FA" w:rsidRPr="000C0842" w:rsidRDefault="005E77FA" w:rsidP="005E77FA">
      <w:pPr>
        <w:tabs>
          <w:tab w:val="clear" w:pos="567"/>
          <w:tab w:val="clear" w:pos="1134"/>
          <w:tab w:val="clear" w:pos="1701"/>
          <w:tab w:val="clear" w:pos="2268"/>
        </w:tabs>
        <w:spacing w:before="120" w:after="120"/>
        <w:ind w:left="490" w:firstLine="490"/>
        <w:rPr>
          <w:rFonts w:eastAsia="Times New Roman"/>
          <w:sz w:val="24"/>
          <w:lang w:val="fr-CA"/>
        </w:rPr>
      </w:pPr>
      <w:r w:rsidRPr="000C0842">
        <w:rPr>
          <w:rFonts w:eastAsia="KaiTi" w:hint="eastAsia"/>
          <w:sz w:val="24"/>
        </w:rPr>
        <w:t>认识到</w:t>
      </w:r>
      <w:r w:rsidRPr="000C0842">
        <w:rPr>
          <w:rFonts w:ascii="SimSun" w:eastAsia="SimSun" w:hAnsi="SimSun" w:cs="SimSun" w:hint="eastAsia"/>
          <w:sz w:val="24"/>
        </w:rPr>
        <w:t>对具有重要生态或生物意义的海洋区域进行描述是一个重要的科学和技术进程</w:t>
      </w:r>
      <w:r w:rsidRPr="000C0842">
        <w:rPr>
          <w:rFonts w:ascii="SimSun" w:eastAsia="SimSun" w:hAnsi="SimSun" w:cs="SimSun" w:hint="eastAsia"/>
          <w:sz w:val="24"/>
          <w:lang w:val="fr-CA"/>
        </w:rPr>
        <w:t>，</w:t>
      </w:r>
      <w:r w:rsidRPr="000C0842">
        <w:rPr>
          <w:rFonts w:ascii="SimSun" w:eastAsia="SimSun" w:hAnsi="SimSun" w:cs="SimSun" w:hint="eastAsia"/>
          <w:sz w:val="24"/>
        </w:rPr>
        <w:t>能够为执行《昆明</w:t>
      </w:r>
      <w:r w:rsidRPr="000C0842">
        <w:rPr>
          <w:rFonts w:eastAsia="Times New Roman" w:hint="eastAsia"/>
          <w:sz w:val="24"/>
          <w:lang w:val="fr-CA"/>
        </w:rPr>
        <w:t>-</w:t>
      </w:r>
      <w:r w:rsidRPr="000C0842">
        <w:rPr>
          <w:rFonts w:ascii="SimSun" w:eastAsia="SimSun" w:hAnsi="SimSun" w:cs="SimSun" w:hint="eastAsia"/>
          <w:sz w:val="24"/>
        </w:rPr>
        <w:t>蒙特利尔全球生物多样性框架》</w:t>
      </w:r>
      <w:r w:rsidRPr="000C0842">
        <w:rPr>
          <w:rFonts w:eastAsia="Times New Roman"/>
          <w:sz w:val="24"/>
          <w:vertAlign w:val="superscript"/>
          <w:lang w:val="en-GB"/>
        </w:rPr>
        <w:footnoteReference w:id="148"/>
      </w:r>
      <w:r w:rsidRPr="000C0842">
        <w:rPr>
          <w:rFonts w:ascii="SimSun" w:eastAsia="SimSun" w:hAnsi="SimSun" w:cs="SimSun" w:hint="eastAsia"/>
          <w:sz w:val="24"/>
        </w:rPr>
        <w:t>和</w:t>
      </w:r>
      <w:bookmarkStart w:id="53" w:name="_Hlk160720050"/>
      <w:r w:rsidRPr="000C0842">
        <w:rPr>
          <w:rFonts w:ascii="SimSun" w:eastAsia="SimSun" w:hAnsi="SimSun" w:cs="SimSun" w:hint="eastAsia"/>
          <w:sz w:val="24"/>
          <w:lang w:val="en-GB"/>
        </w:rPr>
        <w:t>《〈联合国海洋法公约</w:t>
      </w:r>
      <w:r w:rsidRPr="000C0842">
        <w:rPr>
          <w:rFonts w:ascii="SimSun" w:eastAsia="SimSun" w:hAnsi="SimSun" w:cs="SimSun"/>
          <w:sz w:val="24"/>
          <w:lang w:val="en-GB"/>
        </w:rPr>
        <w:t>&gt;</w:t>
      </w:r>
      <w:r w:rsidRPr="000C0842">
        <w:rPr>
          <w:rFonts w:ascii="SimSun" w:eastAsia="SimSun" w:hAnsi="SimSun" w:cs="SimSun" w:hint="eastAsia"/>
          <w:sz w:val="24"/>
          <w:lang w:val="en-GB"/>
        </w:rPr>
        <w:t>下国家管辖范围以外区域海洋生物多样性的养护和可持续利用协定》</w:t>
      </w:r>
      <w:bookmarkEnd w:id="53"/>
      <w:r w:rsidRPr="000C0842">
        <w:rPr>
          <w:rFonts w:eastAsia="Times New Roman"/>
          <w:sz w:val="24"/>
          <w:vertAlign w:val="superscript"/>
          <w:lang w:val="en-GB"/>
        </w:rPr>
        <w:footnoteReference w:id="149"/>
      </w:r>
      <w:r w:rsidRPr="000C0842">
        <w:rPr>
          <w:rFonts w:ascii="SimSun" w:eastAsia="SimSun" w:hAnsi="SimSun" w:cs="SimSun" w:hint="eastAsia"/>
          <w:sz w:val="24"/>
          <w:lang w:val="en-GB"/>
        </w:rPr>
        <w:t>作出重要贡献，</w:t>
      </w:r>
    </w:p>
    <w:p w14:paraId="6973A29D"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vertAlign w:val="superscript"/>
          <w:lang w:val="fr-CA"/>
        </w:rPr>
      </w:pPr>
      <w:r w:rsidRPr="000C0842">
        <w:rPr>
          <w:rFonts w:eastAsia="KaiTi"/>
          <w:sz w:val="24"/>
          <w:szCs w:val="24"/>
          <w:lang w:val="en-GB"/>
        </w:rPr>
        <w:t>感谢</w:t>
      </w:r>
      <w:r w:rsidRPr="000C0842">
        <w:rPr>
          <w:rFonts w:ascii="SimSun" w:eastAsia="SimSun" w:hAnsi="SimSun" w:cs="SimSun" w:hint="eastAsia"/>
          <w:sz w:val="24"/>
          <w:szCs w:val="24"/>
          <w:lang w:val="en-GB"/>
        </w:rPr>
        <w:t>比利时、加拿大、德国、挪威和瑞典政府资助举办技术和法律专家研讨会</w:t>
      </w:r>
      <w:r w:rsidRPr="000C0842">
        <w:rPr>
          <w:rFonts w:ascii="SimSun" w:eastAsia="SimSun" w:hAnsi="SimSun" w:cs="SimSun" w:hint="eastAsia"/>
          <w:sz w:val="24"/>
          <w:szCs w:val="24"/>
          <w:lang w:val="fr-CA"/>
        </w:rPr>
        <w:t>，</w:t>
      </w:r>
      <w:r w:rsidRPr="000C0842">
        <w:rPr>
          <w:rFonts w:ascii="SimSun" w:eastAsia="SimSun" w:hAnsi="SimSun" w:cs="SimSun" w:hint="eastAsia"/>
          <w:sz w:val="24"/>
          <w:szCs w:val="24"/>
          <w:lang w:val="en-GB"/>
        </w:rPr>
        <w:t>审查修改对具有重要生态或生物意义的海洋区域所做描述和描述新区域的方式</w:t>
      </w:r>
      <w:r w:rsidRPr="000C0842">
        <w:rPr>
          <w:rFonts w:eastAsia="SimSun"/>
          <w:sz w:val="24"/>
          <w:szCs w:val="24"/>
          <w:lang w:val="fr-CA"/>
        </w:rPr>
        <w:t xml:space="preserve"> </w:t>
      </w:r>
      <w:r w:rsidRPr="000C0842">
        <w:rPr>
          <w:rFonts w:ascii="SimSun" w:eastAsia="SimSun" w:hAnsi="SimSun" w:cs="SimSun" w:hint="eastAsia"/>
          <w:sz w:val="24"/>
          <w:szCs w:val="24"/>
          <w:lang w:val="fr-CA"/>
        </w:rPr>
        <w:t>，</w:t>
      </w:r>
      <w:r w:rsidRPr="000C0842">
        <w:rPr>
          <w:rFonts w:ascii="SimSun" w:eastAsia="SimSun" w:hAnsi="SimSun" w:cs="SimSun" w:hint="eastAsia"/>
          <w:sz w:val="24"/>
          <w:szCs w:val="24"/>
          <w:lang w:val="en-GB"/>
        </w:rPr>
        <w:t>并表示注意到研讨会的报告</w:t>
      </w:r>
      <w:r w:rsidRPr="000C0842">
        <w:rPr>
          <w:rFonts w:eastAsia="SimSun"/>
          <w:sz w:val="24"/>
          <w:szCs w:val="24"/>
          <w:vertAlign w:val="superscript"/>
          <w:lang w:val="en-GB"/>
        </w:rPr>
        <w:footnoteReference w:id="150"/>
      </w:r>
      <w:r w:rsidRPr="000C0842">
        <w:rPr>
          <w:rFonts w:ascii="SimSun" w:eastAsia="SimSun" w:hAnsi="SimSun" w:cs="SimSun" w:hint="eastAsia"/>
          <w:sz w:val="24"/>
          <w:szCs w:val="24"/>
          <w:lang w:val="en-GB"/>
        </w:rPr>
        <w:t>；</w:t>
      </w:r>
    </w:p>
    <w:p w14:paraId="143243DE"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fr-CA"/>
        </w:rPr>
      </w:pPr>
      <w:r w:rsidRPr="000C0842">
        <w:rPr>
          <w:rFonts w:eastAsia="KaiTi"/>
          <w:sz w:val="24"/>
          <w:szCs w:val="24"/>
          <w:lang w:val="fr-CA"/>
        </w:rPr>
        <w:t>决定</w:t>
      </w:r>
      <w:r w:rsidRPr="000C0842">
        <w:rPr>
          <w:rFonts w:ascii="SimSun" w:eastAsia="SimSun" w:hAnsi="SimSun" w:cs="SimSun" w:hint="eastAsia"/>
          <w:sz w:val="24"/>
          <w:szCs w:val="24"/>
          <w:lang w:val="fr-CA"/>
        </w:rPr>
        <w:t>延长</w:t>
      </w:r>
      <w:r w:rsidRPr="000C0842">
        <w:rPr>
          <w:rFonts w:ascii="SimSun" w:eastAsia="SimSun" w:hAnsi="SimSun" w:cs="SimSun" w:hint="eastAsia"/>
          <w:sz w:val="24"/>
          <w:szCs w:val="24"/>
          <w:lang w:val="en-GB"/>
        </w:rPr>
        <w:t>具有重要生态或生物意义的海洋区域问题非正式咨询小组的任期</w:t>
      </w:r>
      <w:r w:rsidRPr="000C0842">
        <w:rPr>
          <w:rFonts w:ascii="SimSun" w:eastAsia="SimSun" w:hAnsi="SimSun" w:cs="SimSun" w:hint="eastAsia"/>
          <w:sz w:val="24"/>
          <w:szCs w:val="24"/>
          <w:lang w:val="fr-CA"/>
        </w:rPr>
        <w:t>，</w:t>
      </w:r>
      <w:r w:rsidRPr="000C0842">
        <w:rPr>
          <w:rFonts w:ascii="SimSun" w:eastAsia="SimSun" w:hAnsi="SimSun" w:cs="SimSun" w:hint="eastAsia"/>
          <w:sz w:val="24"/>
          <w:szCs w:val="24"/>
          <w:lang w:val="en-GB"/>
        </w:rPr>
        <w:t>请执行秘书修订第</w:t>
      </w:r>
      <w:r w:rsidRPr="000C0842">
        <w:rPr>
          <w:rFonts w:eastAsia="SimSun"/>
          <w:sz w:val="24"/>
          <w:szCs w:val="24"/>
          <w:lang w:val="fr-CA"/>
        </w:rPr>
        <w:t xml:space="preserve"> </w:t>
      </w:r>
      <w:hyperlink r:id="rId113" w:history="1">
        <w:r w:rsidRPr="000C0842">
          <w:rPr>
            <w:rFonts w:eastAsia="SimSun"/>
            <w:sz w:val="24"/>
            <w:szCs w:val="24"/>
            <w:u w:val="single"/>
            <w:lang w:val="fr-CA"/>
          </w:rPr>
          <w:t>XIII/12</w:t>
        </w:r>
      </w:hyperlink>
      <w:r w:rsidRPr="000C0842">
        <w:rPr>
          <w:rFonts w:eastAsia="SimSun"/>
          <w:sz w:val="24"/>
          <w:szCs w:val="24"/>
          <w:lang w:val="fr-CA"/>
        </w:rPr>
        <w:t xml:space="preserve"> </w:t>
      </w:r>
      <w:r w:rsidRPr="000C0842">
        <w:rPr>
          <w:rFonts w:ascii="SimSun" w:eastAsia="SimSun" w:hAnsi="SimSun" w:cs="SimSun" w:hint="eastAsia"/>
          <w:sz w:val="24"/>
          <w:szCs w:val="24"/>
          <w:lang w:val="en-GB"/>
        </w:rPr>
        <w:t>号决定附件三所载并经第</w:t>
      </w:r>
      <w:r w:rsidRPr="000C0842">
        <w:rPr>
          <w:rFonts w:eastAsia="SimSun"/>
          <w:sz w:val="24"/>
          <w:szCs w:val="24"/>
          <w:lang w:val="fr-CA"/>
        </w:rPr>
        <w:t xml:space="preserve"> </w:t>
      </w:r>
      <w:hyperlink r:id="rId114" w:history="1">
        <w:r w:rsidRPr="000C0842">
          <w:rPr>
            <w:rFonts w:eastAsia="SimSun"/>
            <w:sz w:val="24"/>
            <w:szCs w:val="24"/>
            <w:u w:val="single"/>
            <w:lang w:val="fr-CA"/>
          </w:rPr>
          <w:t>14/9</w:t>
        </w:r>
      </w:hyperlink>
      <w:r w:rsidRPr="000C0842">
        <w:rPr>
          <w:rFonts w:eastAsia="SimSun"/>
          <w:sz w:val="24"/>
          <w:szCs w:val="24"/>
          <w:lang w:val="fr-CA"/>
        </w:rPr>
        <w:t xml:space="preserve"> </w:t>
      </w:r>
      <w:r w:rsidRPr="000C0842">
        <w:rPr>
          <w:rFonts w:ascii="SimSun" w:eastAsia="SimSun" w:hAnsi="SimSun" w:cs="SimSun" w:hint="eastAsia"/>
          <w:sz w:val="24"/>
          <w:szCs w:val="24"/>
          <w:lang w:val="en-GB"/>
        </w:rPr>
        <w:t>号决定附件三修订的职权范围</w:t>
      </w:r>
      <w:r w:rsidRPr="000C0842">
        <w:rPr>
          <w:rFonts w:ascii="SimSun" w:eastAsia="SimSun" w:hAnsi="SimSun" w:cs="SimSun" w:hint="eastAsia"/>
          <w:sz w:val="24"/>
          <w:szCs w:val="24"/>
          <w:lang w:val="fr-CA"/>
        </w:rPr>
        <w:t>，</w:t>
      </w:r>
      <w:r w:rsidRPr="000C0842">
        <w:rPr>
          <w:rFonts w:ascii="SimSun" w:eastAsia="SimSun" w:hAnsi="SimSun" w:cs="SimSun" w:hint="eastAsia"/>
          <w:sz w:val="24"/>
          <w:szCs w:val="24"/>
          <w:lang w:val="en-GB"/>
        </w:rPr>
        <w:t>使其与本决定保持一致</w:t>
      </w:r>
      <w:r w:rsidRPr="000C0842">
        <w:rPr>
          <w:rFonts w:ascii="SimSun" w:eastAsia="SimSun" w:hAnsi="SimSun" w:cs="SimSun" w:hint="eastAsia"/>
          <w:sz w:val="24"/>
          <w:szCs w:val="24"/>
          <w:lang w:val="fr-CA"/>
        </w:rPr>
        <w:t>，</w:t>
      </w:r>
      <w:r w:rsidRPr="000C0842">
        <w:rPr>
          <w:rFonts w:ascii="SimSun" w:eastAsia="SimSun" w:hAnsi="SimSun" w:cs="SimSun" w:hint="eastAsia"/>
          <w:sz w:val="24"/>
          <w:szCs w:val="24"/>
          <w:lang w:val="en-GB"/>
        </w:rPr>
        <w:t>并协助小组按照职权范围开展工作</w:t>
      </w:r>
      <w:r w:rsidRPr="000C0842">
        <w:rPr>
          <w:rFonts w:ascii="SimSun" w:eastAsia="SimSun" w:hAnsi="SimSun" w:cs="SimSun" w:hint="eastAsia"/>
          <w:sz w:val="24"/>
          <w:szCs w:val="24"/>
          <w:lang w:val="fr-CA"/>
        </w:rPr>
        <w:t>；</w:t>
      </w:r>
    </w:p>
    <w:p w14:paraId="67626587" w14:textId="706B2D4C"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KaiTi"/>
          <w:sz w:val="24"/>
          <w:szCs w:val="24"/>
          <w:lang w:val="en-GB"/>
        </w:rPr>
        <w:t>强调</w:t>
      </w:r>
      <w:r w:rsidRPr="000C0842">
        <w:rPr>
          <w:rFonts w:ascii="SimSun" w:eastAsia="SimSun" w:hAnsi="SimSun" w:cs="SimSun" w:hint="eastAsia"/>
          <w:sz w:val="24"/>
          <w:szCs w:val="24"/>
          <w:lang w:val="en-GB"/>
        </w:rPr>
        <w:t>对具有重要生态或生物意义的海洋区域的描述的修改和对符合此类区域标准的新区域的描述纯属科技活动，并不意味着对任何国家、领土、城市或区域</w:t>
      </w:r>
      <w:r w:rsidR="00FF7936" w:rsidRPr="000C0842">
        <w:rPr>
          <w:rFonts w:eastAsia="SimSun" w:hint="eastAsia"/>
          <w:sz w:val="24"/>
          <w:szCs w:val="24"/>
          <w:lang w:val="en-GB"/>
        </w:rPr>
        <w:t>（</w:t>
      </w:r>
      <w:r w:rsidRPr="000C0842">
        <w:rPr>
          <w:rFonts w:ascii="SimSun" w:eastAsia="SimSun" w:hAnsi="SimSun" w:cs="SimSun" w:hint="eastAsia"/>
          <w:sz w:val="24"/>
          <w:szCs w:val="24"/>
          <w:lang w:val="en-GB"/>
        </w:rPr>
        <w:t>包括海洋区域</w:t>
      </w:r>
      <w:r w:rsidR="00FF7936" w:rsidRPr="000C0842">
        <w:rPr>
          <w:rFonts w:ascii="SimSun" w:eastAsia="SimSun" w:hAnsi="SimSun" w:cs="SimSun" w:hint="eastAsia"/>
          <w:sz w:val="24"/>
          <w:szCs w:val="24"/>
          <w:lang w:val="en-GB"/>
        </w:rPr>
        <w:t>）</w:t>
      </w:r>
      <w:r w:rsidRPr="000C0842">
        <w:rPr>
          <w:rFonts w:ascii="SimSun" w:eastAsia="SimSun" w:hAnsi="SimSun" w:cs="SimSun" w:hint="eastAsia"/>
          <w:sz w:val="24"/>
          <w:szCs w:val="24"/>
          <w:lang w:val="en-GB"/>
        </w:rPr>
        <w:t>或其当局的法律地位或对其边界的划分表达任何意见，也不涉及任何经济或法律问题，根据本决定采取的任何行动或开展的任何活动不应妨碍任何主权、主权权利或管辖权主张，也不应作为提出或否认此种主张的依据，包括与此有关的任何争议；</w:t>
      </w:r>
    </w:p>
    <w:p w14:paraId="44DDC9A1"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KaiTi"/>
          <w:sz w:val="24"/>
          <w:szCs w:val="24"/>
          <w:lang w:val="en-GB"/>
        </w:rPr>
        <w:t>请</w:t>
      </w:r>
      <w:r w:rsidRPr="000C0842">
        <w:rPr>
          <w:rFonts w:ascii="SimSun" w:eastAsia="SimSun" w:hAnsi="SimSun" w:cs="SimSun" w:hint="eastAsia"/>
          <w:sz w:val="24"/>
          <w:szCs w:val="24"/>
          <w:lang w:val="en-GB"/>
        </w:rPr>
        <w:t>执行秘书在资金允许的情况下，根据具有重要生态或生物意义的海洋区域非正式咨询小组的建议，并与科学、技术和工艺咨询附属机构主席团协商，根据第</w:t>
      </w:r>
      <w:r w:rsidRPr="000C0842">
        <w:rPr>
          <w:rFonts w:eastAsia="SimSun"/>
          <w:sz w:val="24"/>
          <w:szCs w:val="24"/>
          <w:lang w:val="en-GB"/>
        </w:rPr>
        <w:t xml:space="preserve"> </w:t>
      </w:r>
      <w:hyperlink r:id="rId115" w:history="1">
        <w:r w:rsidRPr="000C0842">
          <w:rPr>
            <w:rFonts w:eastAsia="SimSun"/>
            <w:sz w:val="24"/>
            <w:szCs w:val="24"/>
            <w:u w:val="single"/>
            <w:lang w:val="en-GB"/>
          </w:rPr>
          <w:t>X/29</w:t>
        </w:r>
      </w:hyperlink>
      <w:r w:rsidRPr="000C0842">
        <w:rPr>
          <w:rFonts w:eastAsia="SimSun"/>
          <w:sz w:val="24"/>
          <w:szCs w:val="24"/>
          <w:lang w:val="en-GB"/>
        </w:rPr>
        <w:t xml:space="preserve"> </w:t>
      </w:r>
      <w:r w:rsidRPr="000C0842">
        <w:rPr>
          <w:rFonts w:ascii="SimSun" w:eastAsia="SimSun" w:hAnsi="SimSun" w:cs="SimSun" w:hint="eastAsia"/>
          <w:sz w:val="24"/>
          <w:szCs w:val="24"/>
          <w:lang w:val="en-GB"/>
        </w:rPr>
        <w:t>号决定第</w:t>
      </w:r>
      <w:r w:rsidRPr="000C0842">
        <w:rPr>
          <w:rFonts w:eastAsia="SimSun"/>
          <w:sz w:val="24"/>
          <w:szCs w:val="24"/>
          <w:lang w:val="en-GB"/>
        </w:rPr>
        <w:t xml:space="preserve"> 36 </w:t>
      </w:r>
      <w:r w:rsidRPr="000C0842">
        <w:rPr>
          <w:rFonts w:ascii="SimSun" w:eastAsia="SimSun" w:hAnsi="SimSun" w:cs="SimSun" w:hint="eastAsia"/>
          <w:sz w:val="24"/>
          <w:szCs w:val="24"/>
          <w:lang w:val="en-GB"/>
        </w:rPr>
        <w:t>段、第</w:t>
      </w:r>
      <w:r w:rsidRPr="000C0842">
        <w:rPr>
          <w:rFonts w:eastAsia="SimSun"/>
          <w:sz w:val="24"/>
          <w:szCs w:val="24"/>
          <w:lang w:val="en-GB"/>
        </w:rPr>
        <w:t xml:space="preserve"> </w:t>
      </w:r>
      <w:hyperlink r:id="rId116" w:history="1">
        <w:r w:rsidRPr="000C0842">
          <w:rPr>
            <w:rFonts w:eastAsia="SimSun"/>
            <w:sz w:val="24"/>
            <w:szCs w:val="24"/>
            <w:u w:val="single"/>
            <w:lang w:val="en-GB"/>
          </w:rPr>
          <w:t>XI/17</w:t>
        </w:r>
      </w:hyperlink>
      <w:r w:rsidRPr="000C0842">
        <w:rPr>
          <w:rFonts w:eastAsia="SimSun"/>
          <w:sz w:val="24"/>
          <w:szCs w:val="24"/>
          <w:lang w:val="en-GB"/>
        </w:rPr>
        <w:t xml:space="preserve"> </w:t>
      </w:r>
      <w:r w:rsidRPr="000C0842">
        <w:rPr>
          <w:rFonts w:ascii="SimSun" w:eastAsia="SimSun" w:hAnsi="SimSun" w:cs="SimSun" w:hint="eastAsia"/>
          <w:sz w:val="24"/>
          <w:szCs w:val="24"/>
          <w:lang w:val="en-GB"/>
        </w:rPr>
        <w:t>号决定第</w:t>
      </w:r>
      <w:r w:rsidRPr="000C0842">
        <w:rPr>
          <w:rFonts w:eastAsia="SimSun"/>
          <w:sz w:val="24"/>
          <w:szCs w:val="24"/>
          <w:lang w:val="en-GB"/>
        </w:rPr>
        <w:t xml:space="preserve"> 12 </w:t>
      </w:r>
      <w:r w:rsidRPr="000C0842">
        <w:rPr>
          <w:rFonts w:ascii="SimSun" w:eastAsia="SimSun" w:hAnsi="SimSun" w:cs="SimSun" w:hint="eastAsia"/>
          <w:sz w:val="24"/>
          <w:szCs w:val="24"/>
          <w:lang w:val="en-GB"/>
        </w:rPr>
        <w:t>段和第</w:t>
      </w:r>
      <w:r w:rsidRPr="000C0842">
        <w:rPr>
          <w:rFonts w:eastAsia="SimSun"/>
          <w:sz w:val="24"/>
          <w:szCs w:val="24"/>
          <w:lang w:val="en-GB"/>
        </w:rPr>
        <w:t xml:space="preserve"> </w:t>
      </w:r>
      <w:hyperlink r:id="rId117" w:history="1">
        <w:r w:rsidRPr="000C0842">
          <w:rPr>
            <w:rFonts w:eastAsia="SimSun"/>
            <w:sz w:val="24"/>
            <w:szCs w:val="24"/>
            <w:u w:val="single"/>
            <w:lang w:val="en-GB"/>
          </w:rPr>
          <w:t>XII/22</w:t>
        </w:r>
      </w:hyperlink>
      <w:r w:rsidRPr="000C0842">
        <w:rPr>
          <w:rFonts w:eastAsia="SimSun"/>
          <w:sz w:val="24"/>
          <w:szCs w:val="24"/>
          <w:lang w:val="en-GB"/>
        </w:rPr>
        <w:t xml:space="preserve"> </w:t>
      </w:r>
      <w:r w:rsidRPr="000C0842">
        <w:rPr>
          <w:rFonts w:ascii="SimSun" w:eastAsia="SimSun" w:hAnsi="SimSun" w:cs="SimSun" w:hint="eastAsia"/>
          <w:sz w:val="24"/>
          <w:szCs w:val="24"/>
          <w:lang w:val="en-GB"/>
        </w:rPr>
        <w:t>号决定第</w:t>
      </w:r>
      <w:r w:rsidRPr="000C0842">
        <w:rPr>
          <w:rFonts w:eastAsia="SimSun"/>
          <w:sz w:val="24"/>
          <w:szCs w:val="24"/>
          <w:lang w:val="en-GB"/>
        </w:rPr>
        <w:t xml:space="preserve"> 6 </w:t>
      </w:r>
      <w:r w:rsidRPr="000C0842">
        <w:rPr>
          <w:rFonts w:ascii="SimSun" w:eastAsia="SimSun" w:hAnsi="SimSun" w:cs="SimSun" w:hint="eastAsia"/>
          <w:sz w:val="24"/>
          <w:szCs w:val="24"/>
          <w:lang w:val="en-GB"/>
        </w:rPr>
        <w:t>段，通过举办更多研讨会，继续为符合具有重要生态或生物意义的海洋区域标准的区域的描述工作提供便利，并为对具有重要生态或生物意义的海洋区域的描述的修改工作提供便利，研讨会的结果不应妨碍国家管辖范围以外区域的相关国际进程；</w:t>
      </w:r>
      <w:r w:rsidRPr="000C0842">
        <w:rPr>
          <w:rFonts w:eastAsia="SimSun"/>
          <w:sz w:val="24"/>
          <w:szCs w:val="24"/>
          <w:lang w:val="en-CA"/>
        </w:rPr>
        <w:t xml:space="preserve"> </w:t>
      </w:r>
    </w:p>
    <w:p w14:paraId="0B8CFA50"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KaiTi"/>
          <w:sz w:val="24"/>
          <w:szCs w:val="24"/>
          <w:lang w:val="en-GB"/>
        </w:rPr>
        <w:t>又请</w:t>
      </w:r>
      <w:r w:rsidRPr="000C0842">
        <w:rPr>
          <w:rFonts w:eastAsia="SimSun"/>
          <w:sz w:val="24"/>
          <w:szCs w:val="24"/>
          <w:lang w:val="en-CA"/>
        </w:rPr>
        <w:t>执行秘书为土著人民和地方社区、妇女和青年组织的专家参加研讨会和利用传统知识提供便利</w:t>
      </w:r>
      <w:r w:rsidRPr="000C0842">
        <w:rPr>
          <w:rFonts w:eastAsia="SimSun"/>
          <w:sz w:val="24"/>
          <w:szCs w:val="24"/>
          <w:lang w:val="en-CA"/>
        </w:rPr>
        <w:t>;</w:t>
      </w:r>
    </w:p>
    <w:p w14:paraId="3A6B73DA"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lang w:val="en-GB"/>
        </w:rPr>
        <w:t>通过</w:t>
      </w:r>
      <w:r w:rsidRPr="000C0842">
        <w:rPr>
          <w:rFonts w:eastAsia="SimSun"/>
          <w:sz w:val="24"/>
          <w:szCs w:val="24"/>
          <w:lang w:val="en-GB"/>
        </w:rPr>
        <w:t>附件所载修改对具有重要生态或生物意义的海洋区域所作描述和对新区域进行描述的方式，请执行秘书协助实施这些方式；</w:t>
      </w:r>
    </w:p>
    <w:p w14:paraId="47485327"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lang w:val="en-GB"/>
        </w:rPr>
        <w:t>请</w:t>
      </w:r>
      <w:r w:rsidRPr="000C0842">
        <w:rPr>
          <w:rFonts w:eastAsia="SimSun"/>
          <w:sz w:val="24"/>
          <w:szCs w:val="24"/>
          <w:lang w:val="en-GB"/>
        </w:rPr>
        <w:t>执行秘书在本决定通过十年后提供便利对附件所载方式的实施成效进行一次审查，并将审查结果提交科学、技术和工艺咨询附属机构审议</w:t>
      </w:r>
      <w:r w:rsidRPr="000C0842">
        <w:rPr>
          <w:rFonts w:eastAsia="SimSun"/>
          <w:sz w:val="24"/>
          <w:szCs w:val="24"/>
          <w:lang w:val="en-GB"/>
        </w:rPr>
        <w:t>;</w:t>
      </w:r>
    </w:p>
    <w:p w14:paraId="3CAADAA8"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缔约方、其他国家政府、主管政府间组织、土著人民和地方社区以及其他相关利益攸关方合作实施这些方式</w:t>
      </w:r>
      <w:r w:rsidRPr="000C0842">
        <w:rPr>
          <w:rFonts w:eastAsia="SimSun"/>
          <w:sz w:val="24"/>
          <w:szCs w:val="24"/>
          <w:lang w:val="en-GB"/>
        </w:rPr>
        <w:t>;</w:t>
      </w:r>
    </w:p>
    <w:p w14:paraId="0193308F"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lang w:val="en-GB"/>
        </w:rPr>
        <w:t>肯定</w:t>
      </w:r>
      <w:r w:rsidRPr="000C0842">
        <w:rPr>
          <w:rFonts w:eastAsia="SimSun"/>
          <w:sz w:val="24"/>
          <w:szCs w:val="24"/>
          <w:lang w:val="en-GB"/>
        </w:rPr>
        <w:t>采用本决定附件所列国家管辖范围以外区域方式便利对符合具有重要生态或生物意义的海洋区域标准的区域进行描述的进程与《〈联合国海洋法公约〉下国家管辖范围以外区域海洋生物多样性的养护和可持续利用协定》的今后执行工作之间的潜在协同效应，尊重每项法律文书和框架的任务规定和管辖范围；</w:t>
      </w:r>
      <w:r w:rsidRPr="000C0842">
        <w:rPr>
          <w:rFonts w:eastAsia="SimSun"/>
          <w:sz w:val="24"/>
          <w:szCs w:val="24"/>
          <w:lang w:val="en-GB"/>
        </w:rPr>
        <w:t xml:space="preserve"> </w:t>
      </w:r>
    </w:p>
    <w:p w14:paraId="06BA830B" w14:textId="77777777" w:rsidR="005E77FA" w:rsidRPr="000C0842" w:rsidRDefault="005E77FA">
      <w:pPr>
        <w:numPr>
          <w:ilvl w:val="0"/>
          <w:numId w:val="30"/>
        </w:numPr>
        <w:tabs>
          <w:tab w:val="clear" w:pos="567"/>
          <w:tab w:val="clear" w:pos="1134"/>
          <w:tab w:val="clear" w:pos="1701"/>
          <w:tab w:val="clear" w:pos="2268"/>
        </w:tabs>
        <w:spacing w:before="120" w:after="120" w:line="240" w:lineRule="atLeast"/>
        <w:ind w:left="490" w:firstLine="490"/>
        <w:rPr>
          <w:sz w:val="24"/>
          <w:szCs w:val="24"/>
          <w:lang w:val="en-GB"/>
        </w:rPr>
      </w:pPr>
      <w:r w:rsidRPr="000C0842">
        <w:rPr>
          <w:rFonts w:eastAsia="KaiTi"/>
          <w:sz w:val="24"/>
          <w:szCs w:val="24"/>
          <w:lang w:val="en-GB"/>
        </w:rPr>
        <w:t>请</w:t>
      </w:r>
      <w:r w:rsidRPr="000C0842">
        <w:rPr>
          <w:rFonts w:eastAsia="SimSun"/>
          <w:sz w:val="24"/>
          <w:szCs w:val="24"/>
          <w:lang w:val="en-GB"/>
        </w:rPr>
        <w:t>执行秘书制定描述符合具有重要生态或生物意义的海洋区域标准的区域以及其他相关兼容和补充性科学标准的自愿同行评议程序准则，供科学、技术和工艺咨询附属机构审议。</w:t>
      </w:r>
    </w:p>
    <w:p w14:paraId="4831D4F3" w14:textId="77777777" w:rsidR="005E77FA" w:rsidRPr="000C0842" w:rsidRDefault="005E77FA" w:rsidP="005E77FA">
      <w:pPr>
        <w:keepNext/>
        <w:tabs>
          <w:tab w:val="clear" w:pos="567"/>
          <w:tab w:val="clear" w:pos="1134"/>
          <w:tab w:val="clear" w:pos="1701"/>
          <w:tab w:val="clear" w:pos="2268"/>
        </w:tabs>
        <w:spacing w:before="240" w:line="240" w:lineRule="atLeast"/>
        <w:ind w:left="490"/>
        <w:rPr>
          <w:rFonts w:eastAsia="SimSun"/>
          <w:b/>
          <w:bCs/>
          <w:sz w:val="24"/>
          <w:szCs w:val="24"/>
          <w:lang w:val="en-CA"/>
        </w:rPr>
      </w:pPr>
      <w:r w:rsidRPr="000C0842">
        <w:rPr>
          <w:rFonts w:eastAsia="SimSun"/>
          <w:b/>
          <w:bCs/>
          <w:sz w:val="24"/>
          <w:szCs w:val="24"/>
          <w:lang w:val="en-CA"/>
        </w:rPr>
        <w:t>附件</w:t>
      </w:r>
    </w:p>
    <w:p w14:paraId="3AC34FFC" w14:textId="77777777" w:rsidR="005E77FA" w:rsidRPr="000C0842" w:rsidRDefault="005E77FA" w:rsidP="005E77FA">
      <w:pPr>
        <w:keepNext/>
        <w:tabs>
          <w:tab w:val="clear" w:pos="567"/>
          <w:tab w:val="clear" w:pos="1134"/>
          <w:tab w:val="clear" w:pos="1701"/>
          <w:tab w:val="clear" w:pos="2268"/>
        </w:tabs>
        <w:spacing w:line="240" w:lineRule="atLeast"/>
        <w:ind w:left="490"/>
        <w:rPr>
          <w:rFonts w:eastAsia="SimSun"/>
          <w:b/>
          <w:bCs/>
          <w:sz w:val="28"/>
          <w:szCs w:val="28"/>
          <w:lang w:val="en-GB"/>
        </w:rPr>
      </w:pPr>
      <w:r w:rsidRPr="000C0842">
        <w:rPr>
          <w:rFonts w:eastAsia="SimSun"/>
          <w:b/>
          <w:bCs/>
          <w:sz w:val="24"/>
          <w:szCs w:val="24"/>
        </w:rPr>
        <w:t>修改对具有重要生态或生物意义的海洋区域所做描述和描述新区域的方式</w:t>
      </w:r>
    </w:p>
    <w:p w14:paraId="71E04AFD" w14:textId="77777777" w:rsidR="005E77FA" w:rsidRPr="000C0842" w:rsidRDefault="005E77FA">
      <w:pPr>
        <w:keepNext/>
        <w:numPr>
          <w:ilvl w:val="0"/>
          <w:numId w:val="29"/>
        </w:numPr>
        <w:tabs>
          <w:tab w:val="clear" w:pos="567"/>
          <w:tab w:val="clear" w:pos="1134"/>
          <w:tab w:val="clear" w:pos="1701"/>
          <w:tab w:val="clear" w:pos="2268"/>
        </w:tabs>
        <w:spacing w:before="120" w:after="120" w:line="240" w:lineRule="atLeast"/>
        <w:ind w:left="0" w:firstLine="0"/>
        <w:rPr>
          <w:rFonts w:eastAsia="SimSun"/>
          <w:b/>
          <w:bCs/>
          <w:sz w:val="24"/>
          <w:szCs w:val="24"/>
          <w:lang w:val="en-CA"/>
        </w:rPr>
      </w:pPr>
      <w:r w:rsidRPr="000C0842">
        <w:rPr>
          <w:rFonts w:eastAsia="SimSun"/>
          <w:b/>
          <w:bCs/>
          <w:sz w:val="24"/>
          <w:szCs w:val="24"/>
        </w:rPr>
        <w:t>方式实施指南</w:t>
      </w:r>
    </w:p>
    <w:p w14:paraId="44A9C0F3" w14:textId="7D71E16A"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ascii="SimSun" w:eastAsia="SimSun" w:hAnsi="SimSun" w:cs="SimSun" w:hint="eastAsia"/>
          <w:sz w:val="24"/>
          <w:szCs w:val="24"/>
          <w:lang w:val="en-GB"/>
        </w:rPr>
        <w:t>本方式中的任何内容均不应妨碍国家根据《联合国海洋法公约》</w:t>
      </w:r>
      <w:r w:rsidRPr="000C0842">
        <w:rPr>
          <w:rFonts w:eastAsia="Times New Roman"/>
          <w:sz w:val="24"/>
          <w:szCs w:val="24"/>
          <w:vertAlign w:val="superscript"/>
          <w:lang w:val="en-GB"/>
        </w:rPr>
        <w:footnoteReference w:id="151"/>
      </w:r>
      <w:r w:rsidRPr="000C0842">
        <w:rPr>
          <w:rFonts w:ascii="SimSun" w:eastAsia="SimSun" w:hAnsi="SimSun" w:cs="SimSun" w:hint="eastAsia"/>
          <w:sz w:val="24"/>
          <w:szCs w:val="24"/>
          <w:lang w:val="en-GB"/>
        </w:rPr>
        <w:t>所具有的权利、管辖权和义务，包括对专属经济区和</w:t>
      </w:r>
      <w:r w:rsidRPr="000C0842">
        <w:rPr>
          <w:rFonts w:eastAsia="Times New Roman"/>
          <w:sz w:val="24"/>
          <w:szCs w:val="24"/>
          <w:lang w:val="en-GB"/>
        </w:rPr>
        <w:t>200</w:t>
      </w:r>
      <w:r w:rsidRPr="000C0842">
        <w:rPr>
          <w:rFonts w:ascii="SimSun" w:eastAsia="SimSun" w:hAnsi="SimSun" w:cs="SimSun" w:hint="eastAsia"/>
          <w:sz w:val="24"/>
          <w:szCs w:val="24"/>
          <w:lang w:val="en-GB"/>
        </w:rPr>
        <w:t>海里以内和以外大陆架的权利、管辖权和义务</w:t>
      </w:r>
      <w:r w:rsidR="008D4352" w:rsidRPr="000C0842">
        <w:rPr>
          <w:rFonts w:eastAsia="SimSun"/>
          <w:sz w:val="24"/>
          <w:szCs w:val="24"/>
          <w:vertAlign w:val="superscript"/>
          <w:lang w:val="en-GB"/>
        </w:rPr>
        <w:fldChar w:fldCharType="begin"/>
      </w:r>
      <w:r w:rsidR="008D4352" w:rsidRPr="000C0842">
        <w:rPr>
          <w:rFonts w:eastAsia="SimSun"/>
          <w:sz w:val="24"/>
          <w:szCs w:val="24"/>
          <w:vertAlign w:val="superscript"/>
          <w:lang w:val="en-GB"/>
        </w:rPr>
        <w:instrText xml:space="preserve"> NOTEREF _Ref178592947 \h  \* MERGEFORMAT </w:instrText>
      </w:r>
      <w:r w:rsidR="008D4352" w:rsidRPr="000C0842">
        <w:rPr>
          <w:rFonts w:eastAsia="SimSun"/>
          <w:sz w:val="24"/>
          <w:szCs w:val="24"/>
          <w:vertAlign w:val="superscript"/>
          <w:lang w:val="en-GB"/>
        </w:rPr>
      </w:r>
      <w:r w:rsidR="008D4352" w:rsidRPr="000C0842">
        <w:rPr>
          <w:rFonts w:eastAsia="SimSun"/>
          <w:sz w:val="24"/>
          <w:szCs w:val="24"/>
          <w:vertAlign w:val="superscript"/>
          <w:lang w:val="en-GB"/>
        </w:rPr>
        <w:fldChar w:fldCharType="separate"/>
      </w:r>
      <w:r w:rsidR="001A4065">
        <w:rPr>
          <w:rFonts w:eastAsia="SimSun"/>
          <w:sz w:val="24"/>
          <w:szCs w:val="24"/>
          <w:vertAlign w:val="superscript"/>
          <w:lang w:val="en-GB"/>
        </w:rPr>
        <w:t>142</w:t>
      </w:r>
      <w:r w:rsidR="008D4352" w:rsidRPr="000C0842">
        <w:rPr>
          <w:rFonts w:eastAsia="SimSun"/>
          <w:sz w:val="24"/>
          <w:szCs w:val="24"/>
          <w:vertAlign w:val="superscript"/>
          <w:lang w:val="en-GB"/>
        </w:rPr>
        <w:fldChar w:fldCharType="end"/>
      </w:r>
      <w:r w:rsidRPr="000C0842">
        <w:rPr>
          <w:rFonts w:ascii="SimSun" w:eastAsia="SimSun" w:hAnsi="SimSun" w:cs="SimSun" w:hint="eastAsia"/>
          <w:sz w:val="24"/>
          <w:szCs w:val="24"/>
          <w:lang w:val="en-GB"/>
        </w:rPr>
        <w:t>。</w:t>
      </w:r>
    </w:p>
    <w:p w14:paraId="3F5BF9A0"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r w:rsidRPr="000C0842">
        <w:rPr>
          <w:rFonts w:ascii="SimSun" w:eastAsia="SimSun" w:hAnsi="SimSun" w:cs="SimSun" w:hint="eastAsia"/>
          <w:sz w:val="24"/>
          <w:szCs w:val="24"/>
          <w:lang w:val="en-GB"/>
        </w:rPr>
        <w:t>可由于以下所列任何原因</w:t>
      </w:r>
      <w:r w:rsidRPr="000C0842">
        <w:rPr>
          <w:rFonts w:eastAsia="Times New Roman"/>
          <w:sz w:val="24"/>
          <w:szCs w:val="24"/>
          <w:vertAlign w:val="superscript"/>
          <w:lang w:val="en-GB"/>
        </w:rPr>
        <w:footnoteReference w:id="152"/>
      </w:r>
      <w:r w:rsidRPr="000C0842">
        <w:rPr>
          <w:rFonts w:ascii="SimSun" w:eastAsia="SimSun" w:hAnsi="SimSun" w:cs="SimSun" w:hint="eastAsia"/>
          <w:sz w:val="24"/>
          <w:szCs w:val="24"/>
          <w:lang w:val="en-GB"/>
        </w:rPr>
        <w:t>提出对一个具有重要生态或生物意义的海洋区域的描述进行修改，包括修改对区域的文字描述、修改区域在此类区域标准中的排序或改变区域的位置、形状、深度或大小</w:t>
      </w:r>
      <w:r w:rsidRPr="000C0842">
        <w:rPr>
          <w:rFonts w:eastAsia="Times New Roman"/>
          <w:sz w:val="24"/>
          <w:szCs w:val="24"/>
          <w:vertAlign w:val="superscript"/>
          <w:lang w:val="en-GB"/>
        </w:rPr>
        <w:footnoteReference w:id="153"/>
      </w:r>
      <w:r w:rsidRPr="000C0842">
        <w:rPr>
          <w:rFonts w:ascii="SimSun" w:eastAsia="SimSun" w:hAnsi="SimSun" w:cs="SimSun" w:hint="eastAsia"/>
          <w:sz w:val="24"/>
          <w:szCs w:val="24"/>
          <w:lang w:val="en-CA"/>
        </w:rPr>
        <w:t>：</w:t>
      </w:r>
    </w:p>
    <w:p w14:paraId="468456AD" w14:textId="77777777" w:rsidR="005E77FA" w:rsidRPr="000C0842" w:rsidRDefault="005E77FA" w:rsidP="005E77FA">
      <w:pPr>
        <w:tabs>
          <w:tab w:val="clear" w:pos="567"/>
          <w:tab w:val="clear" w:pos="1134"/>
          <w:tab w:val="clear" w:pos="1701"/>
          <w:tab w:val="clear" w:pos="2268"/>
        </w:tabs>
        <w:spacing w:before="120" w:after="120" w:line="240" w:lineRule="atLeast"/>
        <w:ind w:left="979"/>
        <w:rPr>
          <w:rFonts w:eastAsia="SimSun"/>
          <w:sz w:val="24"/>
          <w:szCs w:val="24"/>
          <w:lang w:val="en-CA"/>
        </w:rPr>
      </w:pPr>
      <w:r w:rsidRPr="000C0842">
        <w:rPr>
          <w:rFonts w:eastAsia="SimSun"/>
          <w:sz w:val="24"/>
          <w:szCs w:val="24"/>
          <w:lang w:val="en-CA"/>
        </w:rPr>
        <w:t>(</w:t>
      </w:r>
      <w:r w:rsidRPr="000C0842">
        <w:rPr>
          <w:rFonts w:eastAsia="SimSun" w:hint="eastAsia"/>
          <w:sz w:val="24"/>
          <w:szCs w:val="24"/>
          <w:lang w:val="en-CA"/>
        </w:rPr>
        <w:t>a</w:t>
      </w:r>
      <w:r w:rsidRPr="000C0842">
        <w:rPr>
          <w:rFonts w:eastAsia="SimSun"/>
          <w:sz w:val="24"/>
          <w:szCs w:val="24"/>
          <w:lang w:val="en-CA"/>
        </w:rPr>
        <w:t xml:space="preserve">) </w:t>
      </w:r>
      <w:r w:rsidRPr="000C0842">
        <w:rPr>
          <w:rFonts w:eastAsia="SimSun"/>
          <w:sz w:val="24"/>
          <w:szCs w:val="24"/>
          <w:lang w:val="en-CA"/>
        </w:rPr>
        <w:tab/>
      </w:r>
      <w:r w:rsidRPr="000C0842">
        <w:rPr>
          <w:rFonts w:eastAsia="SimSun"/>
          <w:sz w:val="24"/>
          <w:szCs w:val="24"/>
          <w:lang w:val="en-CA"/>
        </w:rPr>
        <w:t>对于国家管辖范围以外的区域：</w:t>
      </w:r>
    </w:p>
    <w:p w14:paraId="5DFE05BC" w14:textId="77777777" w:rsidR="005E77FA" w:rsidRPr="000C0842" w:rsidRDefault="005E77FA" w:rsidP="005E77FA">
      <w:pPr>
        <w:tabs>
          <w:tab w:val="clear" w:pos="567"/>
          <w:tab w:val="clear" w:pos="1134"/>
          <w:tab w:val="clear" w:pos="1701"/>
          <w:tab w:val="clear" w:pos="2268"/>
        </w:tabs>
        <w:spacing w:before="120" w:after="120" w:line="240" w:lineRule="atLeast"/>
        <w:ind w:left="2304" w:hanging="720"/>
        <w:rPr>
          <w:rFonts w:eastAsia="SimSun"/>
          <w:sz w:val="24"/>
          <w:szCs w:val="24"/>
          <w:lang w:val="en-CA"/>
        </w:rPr>
      </w:pPr>
      <w:r w:rsidRPr="000C0842">
        <w:rPr>
          <w:rFonts w:eastAsia="SimSun"/>
          <w:sz w:val="24"/>
          <w:szCs w:val="24"/>
        </w:rPr>
        <w:fldChar w:fldCharType="begin"/>
      </w:r>
      <w:r w:rsidRPr="000C0842">
        <w:rPr>
          <w:rFonts w:eastAsia="SimSun"/>
          <w:sz w:val="24"/>
          <w:szCs w:val="24"/>
        </w:rPr>
        <w:instrText xml:space="preserve"> = 1 \* GB4 </w:instrText>
      </w:r>
      <w:r w:rsidRPr="000C0842">
        <w:rPr>
          <w:rFonts w:eastAsia="SimSun"/>
          <w:sz w:val="24"/>
          <w:szCs w:val="24"/>
        </w:rPr>
        <w:fldChar w:fldCharType="separate"/>
      </w:r>
      <w:r w:rsidRPr="000C0842">
        <w:rPr>
          <w:rFonts w:eastAsia="SimSun"/>
          <w:sz w:val="24"/>
          <w:szCs w:val="24"/>
        </w:rPr>
        <w:t>㈠</w:t>
      </w:r>
      <w:r w:rsidRPr="000C0842">
        <w:rPr>
          <w:rFonts w:eastAsia="SimSun"/>
          <w:sz w:val="24"/>
          <w:szCs w:val="24"/>
        </w:rPr>
        <w:fldChar w:fldCharType="end"/>
      </w:r>
      <w:r w:rsidRPr="000C0842">
        <w:rPr>
          <w:rFonts w:eastAsia="SimSun"/>
          <w:sz w:val="24"/>
          <w:szCs w:val="24"/>
          <w:lang w:val="en-CA"/>
        </w:rPr>
        <w:tab/>
      </w:r>
      <w:r w:rsidRPr="000C0842">
        <w:rPr>
          <w:rFonts w:eastAsia="SimSun"/>
          <w:sz w:val="24"/>
          <w:szCs w:val="24"/>
        </w:rPr>
        <w:t>最新得到或</w:t>
      </w:r>
      <w:r w:rsidRPr="000C0842">
        <w:rPr>
          <w:rFonts w:eastAsia="SimSun" w:hint="eastAsia"/>
          <w:sz w:val="24"/>
          <w:szCs w:val="24"/>
        </w:rPr>
        <w:t>可以获取的</w:t>
      </w:r>
      <w:r w:rsidRPr="000C0842">
        <w:rPr>
          <w:rFonts w:eastAsia="SimSun"/>
          <w:sz w:val="24"/>
          <w:szCs w:val="24"/>
        </w:rPr>
        <w:t>关于所涉区域相关特征的知识，包括传统知识</w:t>
      </w:r>
      <w:r w:rsidRPr="000C0842">
        <w:rPr>
          <w:rFonts w:eastAsia="SimSun" w:hint="eastAsia"/>
          <w:sz w:val="24"/>
          <w:szCs w:val="24"/>
        </w:rPr>
        <w:t>、创新、土著人民和地方社区的做法</w:t>
      </w:r>
      <w:r w:rsidRPr="000C0842">
        <w:rPr>
          <w:rFonts w:eastAsia="SimSun"/>
          <w:sz w:val="24"/>
          <w:szCs w:val="24"/>
        </w:rPr>
        <w:t>；</w:t>
      </w:r>
    </w:p>
    <w:p w14:paraId="752EE3CC" w14:textId="77777777" w:rsidR="005E77FA" w:rsidRPr="000C0842" w:rsidRDefault="005E77FA" w:rsidP="005E77FA">
      <w:pPr>
        <w:tabs>
          <w:tab w:val="clear" w:pos="567"/>
          <w:tab w:val="clear" w:pos="1134"/>
          <w:tab w:val="clear" w:pos="1701"/>
          <w:tab w:val="clear" w:pos="2268"/>
        </w:tabs>
        <w:spacing w:before="120" w:after="120" w:line="240" w:lineRule="atLeast"/>
        <w:ind w:left="2304" w:hanging="720"/>
        <w:rPr>
          <w:rFonts w:eastAsia="SimSun"/>
          <w:sz w:val="24"/>
          <w:szCs w:val="24"/>
          <w:lang w:val="en-CA"/>
        </w:rPr>
      </w:pPr>
      <w:r w:rsidRPr="000C0842">
        <w:rPr>
          <w:rFonts w:eastAsia="SimSun"/>
          <w:sz w:val="24"/>
          <w:szCs w:val="24"/>
        </w:rPr>
        <w:fldChar w:fldCharType="begin"/>
      </w:r>
      <w:r w:rsidRPr="000C0842">
        <w:rPr>
          <w:rFonts w:eastAsia="SimSun"/>
          <w:sz w:val="24"/>
          <w:szCs w:val="24"/>
        </w:rPr>
        <w:instrText xml:space="preserve"> = 2 \* GB4 </w:instrText>
      </w:r>
      <w:r w:rsidRPr="000C0842">
        <w:rPr>
          <w:rFonts w:eastAsia="SimSun"/>
          <w:sz w:val="24"/>
          <w:szCs w:val="24"/>
        </w:rPr>
        <w:fldChar w:fldCharType="separate"/>
      </w:r>
      <w:r w:rsidRPr="000C0842">
        <w:rPr>
          <w:rFonts w:eastAsia="SimSun"/>
          <w:sz w:val="24"/>
          <w:szCs w:val="24"/>
        </w:rPr>
        <w:t>㈡</w:t>
      </w:r>
      <w:r w:rsidRPr="000C0842">
        <w:rPr>
          <w:rFonts w:eastAsia="SimSun"/>
          <w:sz w:val="24"/>
          <w:szCs w:val="24"/>
        </w:rPr>
        <w:fldChar w:fldCharType="end"/>
      </w:r>
      <w:r w:rsidRPr="000C0842">
        <w:rPr>
          <w:rFonts w:eastAsia="SimSun"/>
          <w:sz w:val="24"/>
          <w:szCs w:val="24"/>
          <w:lang w:val="en-CA"/>
        </w:rPr>
        <w:tab/>
      </w:r>
      <w:r w:rsidRPr="000C0842">
        <w:rPr>
          <w:rFonts w:eastAsia="SimSun"/>
          <w:sz w:val="24"/>
          <w:szCs w:val="24"/>
        </w:rPr>
        <w:t>区域生态或生物特征发生变化；</w:t>
      </w:r>
    </w:p>
    <w:p w14:paraId="22E5F588" w14:textId="77777777" w:rsidR="005E77FA" w:rsidRPr="000C0842" w:rsidRDefault="005E77FA" w:rsidP="005E77FA">
      <w:pPr>
        <w:tabs>
          <w:tab w:val="clear" w:pos="567"/>
          <w:tab w:val="clear" w:pos="1134"/>
          <w:tab w:val="clear" w:pos="1701"/>
          <w:tab w:val="clear" w:pos="2268"/>
        </w:tabs>
        <w:spacing w:before="120" w:after="120" w:line="240" w:lineRule="atLeast"/>
        <w:ind w:left="2304" w:hanging="720"/>
        <w:rPr>
          <w:rFonts w:eastAsia="SimSun"/>
          <w:sz w:val="24"/>
          <w:szCs w:val="24"/>
          <w:lang w:val="en-CA"/>
        </w:rPr>
      </w:pPr>
      <w:r w:rsidRPr="000C0842">
        <w:rPr>
          <w:rFonts w:eastAsia="SimSun"/>
          <w:sz w:val="24"/>
          <w:szCs w:val="24"/>
        </w:rPr>
        <w:fldChar w:fldCharType="begin"/>
      </w:r>
      <w:r w:rsidRPr="000C0842">
        <w:rPr>
          <w:rFonts w:eastAsia="SimSun"/>
          <w:sz w:val="24"/>
          <w:szCs w:val="24"/>
        </w:rPr>
        <w:instrText xml:space="preserve"> = 3 \* GB4 </w:instrText>
      </w:r>
      <w:r w:rsidRPr="000C0842">
        <w:rPr>
          <w:rFonts w:eastAsia="SimSun"/>
          <w:sz w:val="24"/>
          <w:szCs w:val="24"/>
        </w:rPr>
        <w:fldChar w:fldCharType="separate"/>
      </w:r>
      <w:r w:rsidRPr="000C0842">
        <w:rPr>
          <w:rFonts w:eastAsia="SimSun"/>
          <w:sz w:val="24"/>
          <w:szCs w:val="24"/>
        </w:rPr>
        <w:t>㈢</w:t>
      </w:r>
      <w:r w:rsidRPr="000C0842">
        <w:rPr>
          <w:rFonts w:eastAsia="SimSun"/>
          <w:sz w:val="24"/>
          <w:szCs w:val="24"/>
        </w:rPr>
        <w:fldChar w:fldCharType="end"/>
      </w:r>
      <w:r w:rsidRPr="000C0842">
        <w:rPr>
          <w:rFonts w:eastAsia="SimSun"/>
          <w:sz w:val="24"/>
          <w:szCs w:val="24"/>
          <w:lang w:val="en-CA"/>
        </w:rPr>
        <w:tab/>
      </w:r>
      <w:r w:rsidRPr="000C0842">
        <w:rPr>
          <w:rFonts w:eastAsia="SimSun" w:hint="eastAsia"/>
          <w:sz w:val="24"/>
          <w:szCs w:val="24"/>
        </w:rPr>
        <w:t>发现</w:t>
      </w:r>
      <w:r w:rsidRPr="000C0842">
        <w:rPr>
          <w:rFonts w:eastAsia="SimSun"/>
          <w:sz w:val="24"/>
          <w:szCs w:val="24"/>
        </w:rPr>
        <w:t>描述中</w:t>
      </w:r>
      <w:r w:rsidRPr="000C0842">
        <w:rPr>
          <w:rFonts w:eastAsia="SimSun" w:hint="eastAsia"/>
          <w:sz w:val="24"/>
          <w:szCs w:val="24"/>
        </w:rPr>
        <w:t>存在</w:t>
      </w:r>
      <w:r w:rsidRPr="000C0842">
        <w:rPr>
          <w:rFonts w:eastAsia="SimSun"/>
          <w:sz w:val="24"/>
          <w:szCs w:val="24"/>
        </w:rPr>
        <w:t>科学错误；</w:t>
      </w:r>
    </w:p>
    <w:p w14:paraId="6B0935F3"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 xml:space="preserve"> (</w:t>
      </w:r>
      <w:r w:rsidRPr="000C0842">
        <w:rPr>
          <w:rFonts w:eastAsia="SimSun" w:hint="eastAsia"/>
          <w:sz w:val="24"/>
          <w:szCs w:val="24"/>
          <w:lang w:val="en-CA"/>
        </w:rPr>
        <w:t>b</w:t>
      </w:r>
      <w:r w:rsidRPr="000C0842">
        <w:rPr>
          <w:rFonts w:eastAsia="SimSun"/>
          <w:sz w:val="24"/>
          <w:szCs w:val="24"/>
          <w:lang w:val="en-CA"/>
        </w:rPr>
        <w:t>)</w:t>
      </w:r>
      <w:r w:rsidRPr="000C0842">
        <w:rPr>
          <w:rFonts w:eastAsia="SimSun"/>
          <w:sz w:val="24"/>
          <w:szCs w:val="24"/>
          <w:lang w:val="en-CA"/>
        </w:rPr>
        <w:tab/>
      </w:r>
      <w:r w:rsidRPr="000C0842">
        <w:rPr>
          <w:rFonts w:eastAsia="SimSun"/>
          <w:sz w:val="24"/>
          <w:szCs w:val="24"/>
          <w:lang w:val="en-CA"/>
        </w:rPr>
        <w:t>对于国家管辖范围以内的区域</w:t>
      </w:r>
      <w:r w:rsidRPr="000C0842">
        <w:rPr>
          <w:rFonts w:eastAsia="SimSun"/>
          <w:sz w:val="24"/>
          <w:szCs w:val="24"/>
        </w:rPr>
        <w:t>，</w:t>
      </w:r>
      <w:r w:rsidRPr="000C0842">
        <w:rPr>
          <w:rFonts w:eastAsia="SimSun" w:hint="eastAsia"/>
          <w:sz w:val="24"/>
          <w:szCs w:val="24"/>
        </w:rPr>
        <w:t>最好是</w:t>
      </w:r>
      <w:r w:rsidRPr="000C0842">
        <w:rPr>
          <w:rFonts w:eastAsia="SimSun"/>
          <w:sz w:val="24"/>
          <w:szCs w:val="24"/>
        </w:rPr>
        <w:t>可适用第</w:t>
      </w:r>
      <w:r w:rsidRPr="000C0842">
        <w:rPr>
          <w:rFonts w:eastAsia="SimSun"/>
          <w:sz w:val="24"/>
          <w:szCs w:val="24"/>
        </w:rPr>
        <w:t xml:space="preserve"> </w:t>
      </w:r>
      <w:r w:rsidRPr="000C0842">
        <w:rPr>
          <w:rFonts w:eastAsia="SimSun" w:hint="eastAsia"/>
          <w:sz w:val="24"/>
          <w:szCs w:val="24"/>
        </w:rPr>
        <w:t>2</w:t>
      </w:r>
      <w:r w:rsidRPr="000C0842">
        <w:rPr>
          <w:rFonts w:eastAsia="SimSun"/>
          <w:sz w:val="24"/>
          <w:szCs w:val="24"/>
        </w:rPr>
        <w:t xml:space="preserve"> (</w:t>
      </w:r>
      <w:r w:rsidRPr="000C0842">
        <w:rPr>
          <w:rFonts w:eastAsia="SimSun" w:hint="eastAsia"/>
          <w:sz w:val="24"/>
          <w:szCs w:val="24"/>
        </w:rPr>
        <w:t>a</w:t>
      </w:r>
      <w:r w:rsidRPr="000C0842">
        <w:rPr>
          <w:rFonts w:eastAsia="SimSun"/>
          <w:sz w:val="24"/>
          <w:szCs w:val="24"/>
        </w:rPr>
        <w:t xml:space="preserve">) </w:t>
      </w:r>
      <w:r w:rsidRPr="000C0842">
        <w:rPr>
          <w:rFonts w:eastAsia="SimSun"/>
          <w:sz w:val="24"/>
          <w:szCs w:val="24"/>
        </w:rPr>
        <w:t>段所述任何</w:t>
      </w:r>
      <w:r w:rsidRPr="000C0842">
        <w:rPr>
          <w:rFonts w:eastAsia="SimSun" w:hint="eastAsia"/>
          <w:sz w:val="24"/>
          <w:szCs w:val="24"/>
        </w:rPr>
        <w:t>原因，</w:t>
      </w:r>
      <w:bookmarkStart w:id="54" w:name="_Hlk160724280"/>
      <w:r w:rsidRPr="000C0842">
        <w:rPr>
          <w:rFonts w:eastAsia="SimSun" w:hint="eastAsia"/>
          <w:sz w:val="24"/>
          <w:szCs w:val="24"/>
        </w:rPr>
        <w:t>但可以是</w:t>
      </w:r>
      <w:r w:rsidRPr="000C0842">
        <w:rPr>
          <w:rFonts w:eastAsia="SimSun"/>
          <w:sz w:val="24"/>
          <w:szCs w:val="24"/>
        </w:rPr>
        <w:t>所提议</w:t>
      </w:r>
      <w:r w:rsidRPr="000C0842">
        <w:rPr>
          <w:rFonts w:eastAsia="SimSun" w:hint="eastAsia"/>
          <w:sz w:val="24"/>
          <w:szCs w:val="24"/>
        </w:rPr>
        <w:t>的</w:t>
      </w:r>
      <w:r w:rsidRPr="000C0842">
        <w:rPr>
          <w:rFonts w:eastAsia="SimSun"/>
          <w:sz w:val="24"/>
          <w:szCs w:val="24"/>
        </w:rPr>
        <w:t>修改</w:t>
      </w:r>
      <w:r w:rsidRPr="000C0842">
        <w:rPr>
          <w:rFonts w:eastAsia="SimSun" w:hint="eastAsia"/>
          <w:sz w:val="24"/>
          <w:szCs w:val="24"/>
        </w:rPr>
        <w:t>涉及</w:t>
      </w:r>
      <w:r w:rsidRPr="000C0842">
        <w:rPr>
          <w:rFonts w:eastAsia="SimSun"/>
          <w:sz w:val="24"/>
          <w:szCs w:val="24"/>
        </w:rPr>
        <w:t>其管辖范围的国家</w:t>
      </w:r>
      <w:bookmarkEnd w:id="54"/>
      <w:r w:rsidRPr="000C0842">
        <w:rPr>
          <w:rFonts w:eastAsia="SimSun"/>
          <w:sz w:val="24"/>
          <w:szCs w:val="24"/>
        </w:rPr>
        <w:t>认为有效的任何其他</w:t>
      </w:r>
      <w:r w:rsidRPr="000C0842">
        <w:rPr>
          <w:rFonts w:eastAsia="SimSun" w:hint="eastAsia"/>
          <w:sz w:val="24"/>
          <w:szCs w:val="24"/>
        </w:rPr>
        <w:t>原因。</w:t>
      </w:r>
    </w:p>
    <w:p w14:paraId="5B67996C"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ascii="SimSun" w:eastAsia="SimSun" w:hAnsi="SimSun" w:cs="SimSun"/>
          <w:sz w:val="24"/>
          <w:szCs w:val="24"/>
          <w:lang w:val="en-GB"/>
        </w:rPr>
        <w:t>对现有描述的修改或对新区域的描述只</w:t>
      </w:r>
      <w:r w:rsidRPr="000C0842">
        <w:rPr>
          <w:rFonts w:ascii="SimSun" w:eastAsia="SimSun" w:hAnsi="SimSun" w:cs="SimSun" w:hint="eastAsia"/>
          <w:sz w:val="24"/>
          <w:szCs w:val="24"/>
          <w:lang w:val="en-GB"/>
        </w:rPr>
        <w:t>可</w:t>
      </w:r>
      <w:r w:rsidRPr="000C0842">
        <w:rPr>
          <w:rFonts w:ascii="SimSun" w:eastAsia="SimSun" w:hAnsi="SimSun" w:cs="SimSun"/>
          <w:sz w:val="24"/>
          <w:szCs w:val="24"/>
          <w:lang w:val="en-GB"/>
        </w:rPr>
        <w:t>由以下</w:t>
      </w:r>
      <w:r w:rsidRPr="000C0842">
        <w:rPr>
          <w:rFonts w:ascii="SimSun" w:eastAsia="SimSun" w:hAnsi="SimSun" w:cs="SimSun" w:hint="eastAsia"/>
          <w:sz w:val="24"/>
          <w:szCs w:val="24"/>
          <w:lang w:val="en-GB"/>
        </w:rPr>
        <w:t>提出方</w:t>
      </w:r>
      <w:r w:rsidRPr="000C0842">
        <w:rPr>
          <w:rFonts w:ascii="SimSun" w:eastAsia="SimSun" w:hAnsi="SimSun" w:cs="SimSun"/>
          <w:sz w:val="24"/>
          <w:szCs w:val="24"/>
          <w:lang w:val="en-GB"/>
        </w:rPr>
        <w:t>提交</w:t>
      </w:r>
      <w:r w:rsidRPr="000C0842">
        <w:rPr>
          <w:rFonts w:ascii="SimSun" w:eastAsia="SimSun" w:hAnsi="SimSun" w:cs="SimSun" w:hint="eastAsia"/>
          <w:sz w:val="24"/>
          <w:szCs w:val="24"/>
          <w:lang w:val="en-GB"/>
        </w:rPr>
        <w:t>：</w:t>
      </w:r>
    </w:p>
    <w:p w14:paraId="30759EAD"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sz w:val="24"/>
          <w:szCs w:val="24"/>
          <w:lang w:val="en-CA"/>
        </w:rPr>
        <w:t>国家管辖范围以外的区域</w:t>
      </w:r>
      <w:r w:rsidRPr="000C0842">
        <w:rPr>
          <w:rFonts w:eastAsia="SimSun"/>
          <w:sz w:val="24"/>
          <w:szCs w:val="24"/>
        </w:rPr>
        <w:t>，</w:t>
      </w:r>
      <w:r w:rsidRPr="000C0842">
        <w:rPr>
          <w:rFonts w:eastAsia="SimSun" w:hint="eastAsia"/>
          <w:sz w:val="24"/>
          <w:szCs w:val="24"/>
        </w:rPr>
        <w:t>由</w:t>
      </w:r>
      <w:r w:rsidRPr="000C0842">
        <w:rPr>
          <w:rFonts w:eastAsia="SimSun"/>
          <w:sz w:val="24"/>
          <w:szCs w:val="24"/>
        </w:rPr>
        <w:t>任何国家单独或集体提交，包括通过主管政府间组织提交；</w:t>
      </w:r>
    </w:p>
    <w:p w14:paraId="2B550F8B"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(b)</w:t>
      </w:r>
      <w:r w:rsidRPr="000C0842">
        <w:rPr>
          <w:rFonts w:eastAsia="SimSun"/>
          <w:sz w:val="24"/>
          <w:szCs w:val="24"/>
          <w:lang w:val="en-CA"/>
        </w:rPr>
        <w:tab/>
      </w:r>
      <w:r w:rsidRPr="000C0842">
        <w:rPr>
          <w:rFonts w:eastAsia="SimSun"/>
          <w:sz w:val="24"/>
          <w:szCs w:val="24"/>
          <w:lang w:val="en-CA"/>
        </w:rPr>
        <w:t>国家管辖范围以内的区域</w:t>
      </w:r>
      <w:r w:rsidRPr="000C0842">
        <w:rPr>
          <w:rFonts w:eastAsia="SimSun"/>
          <w:sz w:val="24"/>
          <w:szCs w:val="24"/>
        </w:rPr>
        <w:t>，由</w:t>
      </w:r>
      <w:r w:rsidRPr="000C0842">
        <w:rPr>
          <w:rFonts w:eastAsia="SimSun" w:hint="eastAsia"/>
          <w:sz w:val="24"/>
          <w:szCs w:val="24"/>
        </w:rPr>
        <w:t>所提出</w:t>
      </w:r>
      <w:r w:rsidRPr="000C0842">
        <w:rPr>
          <w:rFonts w:eastAsia="SimSun"/>
          <w:sz w:val="24"/>
          <w:szCs w:val="24"/>
        </w:rPr>
        <w:t>的修改或描述在其管辖范围之内的国家提交。</w:t>
      </w:r>
    </w:p>
    <w:p w14:paraId="7941FFEA"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r w:rsidRPr="000C0842">
        <w:rPr>
          <w:rFonts w:ascii="SimSun" w:eastAsia="SimSun" w:hAnsi="SimSun" w:cs="SimSun" w:hint="eastAsia"/>
          <w:sz w:val="24"/>
          <w:szCs w:val="24"/>
          <w:lang w:val="en-GB"/>
        </w:rPr>
        <w:t>提出</w:t>
      </w:r>
      <w:r w:rsidRPr="000C0842">
        <w:rPr>
          <w:rFonts w:ascii="SimSun" w:eastAsia="SimSun" w:hAnsi="SimSun" w:cs="SimSun"/>
          <w:sz w:val="24"/>
          <w:szCs w:val="24"/>
          <w:lang w:val="en-GB"/>
        </w:rPr>
        <w:t>方</w:t>
      </w:r>
      <w:r w:rsidRPr="000C0842">
        <w:rPr>
          <w:rFonts w:ascii="SimSun" w:eastAsia="SimSun" w:hAnsi="SimSun" w:cs="SimSun" w:hint="eastAsia"/>
          <w:sz w:val="24"/>
          <w:szCs w:val="24"/>
          <w:lang w:val="en-GB"/>
        </w:rPr>
        <w:t>拟定</w:t>
      </w:r>
      <w:r w:rsidRPr="000C0842">
        <w:rPr>
          <w:rFonts w:ascii="SimSun" w:eastAsia="SimSun" w:hAnsi="SimSun" w:cs="SimSun"/>
          <w:sz w:val="24"/>
          <w:szCs w:val="24"/>
          <w:lang w:val="en-GB"/>
        </w:rPr>
        <w:t>关于修改现有描述或描述新区域的</w:t>
      </w:r>
      <w:r w:rsidRPr="000C0842">
        <w:rPr>
          <w:rFonts w:ascii="SimSun" w:eastAsia="SimSun" w:hAnsi="SimSun" w:cs="SimSun" w:hint="eastAsia"/>
          <w:sz w:val="24"/>
          <w:szCs w:val="24"/>
          <w:lang w:val="en-GB"/>
        </w:rPr>
        <w:t>呈件</w:t>
      </w:r>
      <w:r w:rsidRPr="000C0842">
        <w:rPr>
          <w:rFonts w:ascii="SimSun" w:eastAsia="SimSun" w:hAnsi="SimSun" w:cs="SimSun"/>
          <w:sz w:val="24"/>
          <w:szCs w:val="24"/>
          <w:lang w:val="en-GB"/>
        </w:rPr>
        <w:t>时</w:t>
      </w:r>
      <w:r w:rsidRPr="000C0842">
        <w:rPr>
          <w:rFonts w:ascii="SimSun" w:eastAsia="SimSun" w:hAnsi="SimSun" w:cs="SimSun" w:hint="eastAsia"/>
          <w:sz w:val="24"/>
          <w:szCs w:val="24"/>
          <w:lang w:val="en-GB"/>
        </w:rPr>
        <w:t>，应及早考虑以下事项：</w:t>
      </w:r>
      <w:r w:rsidRPr="000C0842">
        <w:rPr>
          <w:rFonts w:eastAsia="Times New Roman"/>
          <w:sz w:val="24"/>
          <w:szCs w:val="24"/>
          <w:lang w:val="en-CA"/>
        </w:rPr>
        <w:t xml:space="preserve"> </w:t>
      </w:r>
    </w:p>
    <w:p w14:paraId="7403AB97"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sz w:val="24"/>
          <w:szCs w:val="24"/>
        </w:rPr>
        <w:t>与主管政府间组织</w:t>
      </w:r>
      <w:r w:rsidRPr="000C0842">
        <w:rPr>
          <w:rFonts w:eastAsia="SimSun" w:hint="eastAsia"/>
          <w:sz w:val="24"/>
          <w:szCs w:val="24"/>
        </w:rPr>
        <w:t>、</w:t>
      </w:r>
      <w:r w:rsidRPr="000C0842">
        <w:rPr>
          <w:rFonts w:eastAsia="SimSun"/>
          <w:sz w:val="24"/>
          <w:szCs w:val="24"/>
        </w:rPr>
        <w:t>其他相关组织</w:t>
      </w:r>
      <w:r w:rsidRPr="000C0842">
        <w:rPr>
          <w:rFonts w:eastAsia="SimSun" w:hint="eastAsia"/>
          <w:sz w:val="24"/>
          <w:szCs w:val="24"/>
        </w:rPr>
        <w:t>、</w:t>
      </w:r>
      <w:r w:rsidRPr="000C0842">
        <w:rPr>
          <w:rFonts w:eastAsia="SimSun"/>
          <w:sz w:val="24"/>
          <w:szCs w:val="24"/>
        </w:rPr>
        <w:t>专家</w:t>
      </w:r>
      <w:r w:rsidRPr="000C0842">
        <w:rPr>
          <w:rFonts w:eastAsia="SimSun" w:hint="eastAsia"/>
          <w:sz w:val="24"/>
          <w:szCs w:val="24"/>
        </w:rPr>
        <w:t>、</w:t>
      </w:r>
      <w:bookmarkStart w:id="55" w:name="_Hlk160789193"/>
      <w:r w:rsidRPr="000C0842">
        <w:rPr>
          <w:rFonts w:eastAsia="SimSun"/>
          <w:sz w:val="24"/>
          <w:szCs w:val="24"/>
          <w:lang w:val="en-CA"/>
        </w:rPr>
        <w:t>土著人民和地方社区</w:t>
      </w:r>
      <w:r w:rsidRPr="000C0842">
        <w:rPr>
          <w:rFonts w:eastAsia="SimSun" w:hint="eastAsia"/>
          <w:sz w:val="24"/>
          <w:szCs w:val="24"/>
          <w:lang w:val="en-CA"/>
        </w:rPr>
        <w:t>（</w:t>
      </w:r>
      <w:r w:rsidRPr="000C0842">
        <w:rPr>
          <w:rFonts w:eastAsia="SimSun"/>
          <w:sz w:val="24"/>
          <w:szCs w:val="24"/>
        </w:rPr>
        <w:t>经其自由、事先和知情同意</w:t>
      </w:r>
      <w:r w:rsidRPr="000C0842">
        <w:rPr>
          <w:rFonts w:eastAsia="SimSun"/>
          <w:sz w:val="24"/>
          <w:szCs w:val="24"/>
          <w:vertAlign w:val="superscript"/>
          <w:lang w:val="en-GB"/>
        </w:rPr>
        <w:footnoteReference w:id="154"/>
      </w:r>
      <w:r w:rsidRPr="000C0842">
        <w:rPr>
          <w:rFonts w:eastAsia="SimSun" w:hint="eastAsia"/>
          <w:sz w:val="24"/>
          <w:szCs w:val="24"/>
        </w:rPr>
        <w:t>）、妇女和青年组织协作，</w:t>
      </w:r>
      <w:r w:rsidRPr="000C0842">
        <w:rPr>
          <w:rFonts w:eastAsia="SimSun"/>
          <w:sz w:val="24"/>
          <w:szCs w:val="24"/>
        </w:rPr>
        <w:t>符合</w:t>
      </w:r>
      <w:r w:rsidRPr="000C0842">
        <w:rPr>
          <w:rFonts w:eastAsia="SimSun" w:hint="eastAsia"/>
          <w:sz w:val="24"/>
          <w:szCs w:val="24"/>
        </w:rPr>
        <w:t>相关国家法律、包括</w:t>
      </w:r>
      <w:r w:rsidRPr="000C0842">
        <w:rPr>
          <w:rFonts w:eastAsia="SimSun"/>
          <w:sz w:val="24"/>
          <w:szCs w:val="24"/>
        </w:rPr>
        <w:t>《联合国土著人民权利宣言》</w:t>
      </w:r>
      <w:r w:rsidRPr="000C0842">
        <w:rPr>
          <w:rFonts w:eastAsia="SimSun"/>
          <w:sz w:val="24"/>
          <w:szCs w:val="24"/>
          <w:vertAlign w:val="superscript"/>
          <w:lang w:val="en-GB"/>
        </w:rPr>
        <w:footnoteReference w:id="155"/>
      </w:r>
      <w:r w:rsidRPr="000C0842">
        <w:rPr>
          <w:rFonts w:eastAsia="SimSun" w:hint="eastAsia"/>
          <w:sz w:val="24"/>
          <w:szCs w:val="24"/>
        </w:rPr>
        <w:t>在内的国际文书</w:t>
      </w:r>
      <w:r w:rsidRPr="000C0842">
        <w:rPr>
          <w:rFonts w:eastAsia="SimSun"/>
          <w:sz w:val="24"/>
          <w:szCs w:val="24"/>
        </w:rPr>
        <w:t>和人权法</w:t>
      </w:r>
      <w:bookmarkEnd w:id="55"/>
      <w:r w:rsidRPr="000C0842">
        <w:rPr>
          <w:rFonts w:eastAsia="SimSun"/>
          <w:sz w:val="24"/>
          <w:szCs w:val="24"/>
        </w:rPr>
        <w:t>；</w:t>
      </w:r>
    </w:p>
    <w:p w14:paraId="4BDABC29"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(b)</w:t>
      </w:r>
      <w:r w:rsidRPr="000C0842">
        <w:rPr>
          <w:rFonts w:eastAsia="SimSun"/>
          <w:sz w:val="24"/>
          <w:szCs w:val="24"/>
          <w:lang w:val="en-CA"/>
        </w:rPr>
        <w:tab/>
      </w:r>
      <w:r w:rsidRPr="000C0842">
        <w:rPr>
          <w:rFonts w:eastAsia="SimSun"/>
          <w:sz w:val="24"/>
          <w:szCs w:val="24"/>
          <w:lang w:val="en-CA"/>
        </w:rPr>
        <w:t>需要避免</w:t>
      </w:r>
      <w:r w:rsidRPr="000C0842">
        <w:rPr>
          <w:rFonts w:eastAsia="SimSun" w:hint="eastAsia"/>
          <w:sz w:val="24"/>
          <w:szCs w:val="24"/>
          <w:lang w:val="en-CA"/>
        </w:rPr>
        <w:t>拟定</w:t>
      </w:r>
      <w:r w:rsidRPr="000C0842">
        <w:rPr>
          <w:rFonts w:eastAsia="SimSun"/>
          <w:sz w:val="24"/>
          <w:szCs w:val="24"/>
          <w:lang w:val="en-CA"/>
        </w:rPr>
        <w:t>可能引起主权</w:t>
      </w:r>
      <w:r w:rsidRPr="000C0842">
        <w:rPr>
          <w:rFonts w:eastAsia="SimSun"/>
          <w:sz w:val="24"/>
          <w:szCs w:val="24"/>
        </w:rPr>
        <w:t>、主权权利或管辖</w:t>
      </w:r>
      <w:r w:rsidRPr="000C0842">
        <w:rPr>
          <w:rFonts w:eastAsia="SimSun" w:hint="eastAsia"/>
          <w:sz w:val="24"/>
          <w:szCs w:val="24"/>
        </w:rPr>
        <w:t>权</w:t>
      </w:r>
      <w:r w:rsidRPr="000C0842">
        <w:rPr>
          <w:rFonts w:eastAsia="SimSun"/>
          <w:sz w:val="24"/>
          <w:szCs w:val="24"/>
        </w:rPr>
        <w:t>忧虑的</w:t>
      </w:r>
      <w:r w:rsidRPr="000C0842">
        <w:rPr>
          <w:rFonts w:eastAsia="SimSun" w:hint="eastAsia"/>
          <w:sz w:val="24"/>
          <w:szCs w:val="24"/>
        </w:rPr>
        <w:t>呈件</w:t>
      </w:r>
      <w:r w:rsidRPr="000C0842">
        <w:rPr>
          <w:rFonts w:eastAsia="SimSun"/>
          <w:sz w:val="24"/>
          <w:szCs w:val="24"/>
        </w:rPr>
        <w:t>；</w:t>
      </w:r>
    </w:p>
    <w:p w14:paraId="217157EC"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(c)</w:t>
      </w:r>
      <w:r w:rsidRPr="000C0842">
        <w:rPr>
          <w:rFonts w:eastAsia="SimSun"/>
          <w:sz w:val="24"/>
          <w:szCs w:val="24"/>
          <w:lang w:val="en-CA"/>
        </w:rPr>
        <w:tab/>
      </w:r>
      <w:r w:rsidRPr="000C0842">
        <w:rPr>
          <w:rFonts w:eastAsia="SimSun"/>
          <w:sz w:val="24"/>
          <w:szCs w:val="24"/>
          <w:lang w:val="en-CA"/>
        </w:rPr>
        <w:t>需要有坚实的科学依据和充足的信息</w:t>
      </w:r>
      <w:r w:rsidRPr="000C0842">
        <w:rPr>
          <w:rFonts w:eastAsia="SimSun"/>
          <w:sz w:val="24"/>
          <w:szCs w:val="24"/>
        </w:rPr>
        <w:t>，</w:t>
      </w:r>
      <w:r w:rsidRPr="000C0842">
        <w:rPr>
          <w:rFonts w:eastAsia="SimSun" w:hint="eastAsia"/>
          <w:sz w:val="24"/>
          <w:szCs w:val="24"/>
        </w:rPr>
        <w:t>以及</w:t>
      </w:r>
      <w:r w:rsidRPr="000C0842">
        <w:rPr>
          <w:rFonts w:eastAsia="SimSun"/>
          <w:sz w:val="24"/>
          <w:szCs w:val="24"/>
        </w:rPr>
        <w:t>透明度</w:t>
      </w:r>
      <w:r w:rsidRPr="000C0842">
        <w:rPr>
          <w:rFonts w:eastAsia="SimSun" w:hint="eastAsia"/>
          <w:sz w:val="24"/>
          <w:szCs w:val="24"/>
        </w:rPr>
        <w:t>的</w:t>
      </w:r>
      <w:r w:rsidRPr="000C0842">
        <w:rPr>
          <w:rFonts w:eastAsia="SimSun"/>
          <w:sz w:val="24"/>
          <w:szCs w:val="24"/>
        </w:rPr>
        <w:t>重要</w:t>
      </w:r>
      <w:r w:rsidRPr="000C0842">
        <w:rPr>
          <w:rFonts w:eastAsia="SimSun" w:hint="eastAsia"/>
          <w:sz w:val="24"/>
          <w:szCs w:val="24"/>
        </w:rPr>
        <w:t>性</w:t>
      </w:r>
      <w:r w:rsidRPr="000C0842">
        <w:rPr>
          <w:rFonts w:eastAsia="SimSun"/>
          <w:sz w:val="24"/>
          <w:szCs w:val="24"/>
        </w:rPr>
        <w:t>；</w:t>
      </w:r>
    </w:p>
    <w:p w14:paraId="1446C93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(d)</w:t>
      </w:r>
      <w:r w:rsidRPr="000C0842">
        <w:rPr>
          <w:rFonts w:eastAsia="SimSun"/>
          <w:sz w:val="24"/>
          <w:szCs w:val="24"/>
          <w:lang w:val="en-CA"/>
        </w:rPr>
        <w:tab/>
      </w:r>
      <w:r w:rsidRPr="000C0842">
        <w:rPr>
          <w:rFonts w:eastAsia="SimSun" w:hint="eastAsia"/>
          <w:sz w:val="24"/>
          <w:szCs w:val="24"/>
          <w:lang w:val="en-CA"/>
        </w:rPr>
        <w:t>需要考虑</w:t>
      </w:r>
      <w:r w:rsidRPr="000C0842">
        <w:rPr>
          <w:rFonts w:eastAsia="SimSun"/>
          <w:sz w:val="24"/>
          <w:szCs w:val="24"/>
          <w:lang w:val="en-CA"/>
        </w:rPr>
        <w:t>海洋和沿海生态系统及其生态和生物特征和过程</w:t>
      </w:r>
      <w:r w:rsidRPr="000C0842">
        <w:rPr>
          <w:rFonts w:eastAsia="SimSun" w:hint="eastAsia"/>
          <w:sz w:val="24"/>
          <w:szCs w:val="24"/>
          <w:lang w:val="en-CA"/>
        </w:rPr>
        <w:t>的</w:t>
      </w:r>
      <w:r w:rsidRPr="000C0842">
        <w:rPr>
          <w:rFonts w:eastAsia="SimSun"/>
          <w:sz w:val="24"/>
          <w:szCs w:val="24"/>
          <w:lang w:val="en-CA"/>
        </w:rPr>
        <w:t>区域</w:t>
      </w:r>
      <w:r w:rsidRPr="000C0842">
        <w:rPr>
          <w:rFonts w:eastAsia="SimSun" w:hint="eastAsia"/>
          <w:sz w:val="24"/>
          <w:szCs w:val="24"/>
          <w:lang w:val="en-CA"/>
        </w:rPr>
        <w:t>层面</w:t>
      </w:r>
      <w:r w:rsidRPr="000C0842">
        <w:rPr>
          <w:rFonts w:eastAsia="SimSun"/>
          <w:sz w:val="24"/>
          <w:szCs w:val="24"/>
        </w:rPr>
        <w:t>，包括</w:t>
      </w:r>
      <w:r w:rsidRPr="000C0842">
        <w:rPr>
          <w:rFonts w:eastAsia="SimSun" w:hint="eastAsia"/>
          <w:sz w:val="24"/>
          <w:szCs w:val="24"/>
        </w:rPr>
        <w:t>数据可得性</w:t>
      </w:r>
      <w:r w:rsidRPr="000C0842">
        <w:rPr>
          <w:rFonts w:eastAsia="SimSun"/>
          <w:sz w:val="24"/>
          <w:szCs w:val="24"/>
        </w:rPr>
        <w:t>方面的区域差异以及跨区域</w:t>
      </w:r>
      <w:r w:rsidRPr="000C0842">
        <w:rPr>
          <w:rFonts w:eastAsia="SimSun" w:hint="eastAsia"/>
          <w:sz w:val="24"/>
          <w:szCs w:val="24"/>
        </w:rPr>
        <w:t>协作</w:t>
      </w:r>
      <w:r w:rsidRPr="000C0842">
        <w:rPr>
          <w:rFonts w:eastAsia="SimSun"/>
          <w:sz w:val="24"/>
          <w:szCs w:val="24"/>
        </w:rPr>
        <w:t>。</w:t>
      </w:r>
    </w:p>
    <w:p w14:paraId="7AA1D33D"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hint="eastAsia"/>
          <w:sz w:val="24"/>
          <w:szCs w:val="24"/>
          <w:lang w:val="en-GB"/>
        </w:rPr>
        <w:t>对于任何修改</w:t>
      </w:r>
      <w:r w:rsidRPr="000C0842">
        <w:rPr>
          <w:rFonts w:eastAsia="SimSun"/>
          <w:sz w:val="24"/>
          <w:szCs w:val="24"/>
          <w:lang w:val="en-GB"/>
        </w:rPr>
        <w:t>现有描述或对新区域</w:t>
      </w:r>
      <w:r w:rsidRPr="000C0842">
        <w:rPr>
          <w:rFonts w:eastAsia="SimSun" w:hint="eastAsia"/>
          <w:sz w:val="24"/>
          <w:szCs w:val="24"/>
          <w:lang w:val="en-GB"/>
        </w:rPr>
        <w:t>进行</w:t>
      </w:r>
      <w:r w:rsidRPr="000C0842">
        <w:rPr>
          <w:rFonts w:eastAsia="SimSun"/>
          <w:sz w:val="24"/>
          <w:szCs w:val="24"/>
          <w:lang w:val="en-GB"/>
        </w:rPr>
        <w:t>描述</w:t>
      </w:r>
      <w:r w:rsidRPr="000C0842">
        <w:rPr>
          <w:rFonts w:eastAsia="SimSun" w:hint="eastAsia"/>
          <w:sz w:val="24"/>
          <w:szCs w:val="24"/>
          <w:lang w:val="en-GB"/>
        </w:rPr>
        <w:t>的呈件</w:t>
      </w:r>
      <w:r w:rsidRPr="000C0842">
        <w:rPr>
          <w:rFonts w:eastAsia="SimSun"/>
          <w:sz w:val="24"/>
          <w:szCs w:val="24"/>
          <w:lang w:val="en-GB"/>
        </w:rPr>
        <w:t>，</w:t>
      </w:r>
      <w:r w:rsidRPr="000C0842">
        <w:rPr>
          <w:rFonts w:ascii="SimSun" w:eastAsia="SimSun" w:hAnsi="SimSun" w:cs="SimSun"/>
          <w:sz w:val="24"/>
          <w:szCs w:val="24"/>
          <w:lang w:val="en-GB"/>
        </w:rPr>
        <w:t>任何国家均可由于对呈件</w:t>
      </w:r>
      <w:r w:rsidRPr="000C0842">
        <w:rPr>
          <w:rFonts w:ascii="SimSun" w:eastAsia="SimSun" w:hAnsi="SimSun" w:cs="SimSun" w:hint="eastAsia"/>
          <w:sz w:val="24"/>
          <w:szCs w:val="24"/>
          <w:lang w:val="en-GB"/>
        </w:rPr>
        <w:t>所涉一个</w:t>
      </w:r>
      <w:r w:rsidRPr="000C0842">
        <w:rPr>
          <w:rFonts w:ascii="SimSun" w:eastAsia="SimSun" w:hAnsi="SimSun" w:cs="SimSun"/>
          <w:sz w:val="24"/>
          <w:szCs w:val="24"/>
          <w:lang w:val="en-GB"/>
        </w:rPr>
        <w:t>区域的相关主权</w:t>
      </w:r>
      <w:r w:rsidRPr="000C0842">
        <w:rPr>
          <w:rFonts w:eastAsia="SimSun"/>
          <w:sz w:val="24"/>
          <w:szCs w:val="24"/>
          <w:lang w:val="en-GB"/>
        </w:rPr>
        <w:t>、主权权利或管辖权存在权利主张或争议，随时向执行秘书正式提出反对意见，</w:t>
      </w:r>
      <w:r w:rsidRPr="000C0842">
        <w:rPr>
          <w:rFonts w:ascii="SimSun" w:eastAsia="SimSun" w:hAnsi="SimSun" w:cs="SimSun"/>
          <w:sz w:val="24"/>
          <w:szCs w:val="24"/>
          <w:lang w:val="en-GB"/>
        </w:rPr>
        <w:t>反对将描述或修改</w:t>
      </w:r>
      <w:r w:rsidRPr="000C0842">
        <w:rPr>
          <w:rFonts w:ascii="SimSun" w:eastAsia="SimSun" w:hAnsi="SimSun" w:cs="SimSun" w:hint="eastAsia"/>
          <w:sz w:val="24"/>
          <w:szCs w:val="24"/>
          <w:lang w:val="en-GB"/>
        </w:rPr>
        <w:t>收入</w:t>
      </w:r>
      <w:r w:rsidRPr="000C0842">
        <w:rPr>
          <w:rFonts w:ascii="SimSun" w:eastAsia="SimSun" w:hAnsi="SimSun" w:cs="SimSun"/>
          <w:sz w:val="24"/>
          <w:szCs w:val="24"/>
          <w:lang w:val="en-GB"/>
        </w:rPr>
        <w:t>具有重要生态或生物意义的海洋区域数据存储库或信息共享机制</w:t>
      </w:r>
      <w:r w:rsidRPr="000C0842">
        <w:rPr>
          <w:rFonts w:eastAsia="SimSun"/>
          <w:sz w:val="24"/>
          <w:szCs w:val="24"/>
          <w:lang w:val="en-GB"/>
        </w:rPr>
        <w:t>。</w:t>
      </w:r>
      <w:r w:rsidRPr="000C0842">
        <w:rPr>
          <w:rFonts w:eastAsia="SimSun"/>
          <w:sz w:val="24"/>
          <w:szCs w:val="24"/>
          <w:lang w:val="en-GB"/>
        </w:rPr>
        <w:t xml:space="preserve"> </w:t>
      </w:r>
      <w:r w:rsidRPr="000C0842">
        <w:rPr>
          <w:rFonts w:eastAsia="SimSun"/>
          <w:sz w:val="24"/>
          <w:szCs w:val="24"/>
          <w:lang w:val="en-GB"/>
        </w:rPr>
        <w:t>在这种情况下，在反对国通知执行秘书撤回反对意见之前，对修改或描述</w:t>
      </w:r>
      <w:r w:rsidRPr="000C0842">
        <w:rPr>
          <w:rFonts w:eastAsia="SimSun" w:hint="eastAsia"/>
          <w:sz w:val="24"/>
          <w:szCs w:val="24"/>
          <w:lang w:val="en-GB"/>
        </w:rPr>
        <w:t>呈件</w:t>
      </w:r>
      <w:r w:rsidRPr="000C0842">
        <w:rPr>
          <w:rFonts w:eastAsia="SimSun"/>
          <w:sz w:val="24"/>
          <w:szCs w:val="24"/>
          <w:lang w:val="en-GB"/>
        </w:rPr>
        <w:t>不会进一步办理，也不会将其</w:t>
      </w:r>
      <w:r w:rsidRPr="000C0842">
        <w:rPr>
          <w:rFonts w:eastAsia="SimSun" w:hint="eastAsia"/>
          <w:sz w:val="24"/>
          <w:szCs w:val="24"/>
          <w:lang w:val="en-GB"/>
        </w:rPr>
        <w:t>收入</w:t>
      </w:r>
      <w:r w:rsidRPr="000C0842">
        <w:rPr>
          <w:rFonts w:eastAsia="SimSun"/>
          <w:sz w:val="24"/>
          <w:szCs w:val="24"/>
          <w:lang w:val="en-GB"/>
        </w:rPr>
        <w:t>数据存储库或信息共享机制</w:t>
      </w:r>
      <w:r w:rsidRPr="000C0842">
        <w:rPr>
          <w:rFonts w:eastAsia="SimSun"/>
          <w:sz w:val="24"/>
          <w:szCs w:val="24"/>
          <w:vertAlign w:val="superscript"/>
          <w:lang w:val="en-CA"/>
        </w:rPr>
        <w:footnoteReference w:id="156"/>
      </w:r>
      <w:r w:rsidRPr="000C0842">
        <w:rPr>
          <w:rFonts w:eastAsia="SimSun"/>
          <w:sz w:val="24"/>
          <w:szCs w:val="24"/>
          <w:lang w:val="en-GB"/>
        </w:rPr>
        <w:t>。</w:t>
      </w:r>
    </w:p>
    <w:p w14:paraId="2D31B4F6" w14:textId="77777777" w:rsidR="005E77FA" w:rsidRPr="000C0842" w:rsidRDefault="005E77FA">
      <w:pPr>
        <w:numPr>
          <w:ilvl w:val="0"/>
          <w:numId w:val="29"/>
        </w:numPr>
        <w:tabs>
          <w:tab w:val="clear" w:pos="567"/>
          <w:tab w:val="clear" w:pos="1134"/>
          <w:tab w:val="clear" w:pos="1701"/>
          <w:tab w:val="clear" w:pos="2268"/>
        </w:tabs>
        <w:spacing w:before="120" w:after="120" w:line="240" w:lineRule="atLeast"/>
        <w:ind w:left="490" w:hanging="490"/>
        <w:rPr>
          <w:rFonts w:eastAsia="SimSun"/>
          <w:b/>
          <w:bCs/>
          <w:sz w:val="24"/>
          <w:szCs w:val="24"/>
        </w:rPr>
      </w:pPr>
      <w:r w:rsidRPr="000C0842">
        <w:rPr>
          <w:rFonts w:eastAsia="SimSun"/>
          <w:b/>
          <w:bCs/>
          <w:sz w:val="24"/>
          <w:szCs w:val="24"/>
        </w:rPr>
        <w:t>具有重要生态或生物意义的海洋区域数据存储库和信息共享机制</w:t>
      </w:r>
    </w:p>
    <w:p w14:paraId="66F80720"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r w:rsidRPr="000C0842">
        <w:rPr>
          <w:rFonts w:ascii="SimSun" w:eastAsia="SimSun" w:hAnsi="SimSun" w:cs="SimSun"/>
          <w:sz w:val="24"/>
          <w:szCs w:val="24"/>
          <w:lang w:val="en-GB"/>
        </w:rPr>
        <w:t>具有重要生态或生物意义的海洋区域数据存储库应</w:t>
      </w:r>
      <w:r w:rsidRPr="000C0842">
        <w:rPr>
          <w:rFonts w:ascii="SimSun" w:eastAsia="SimSun" w:hAnsi="SimSun" w:cs="SimSun" w:hint="eastAsia"/>
          <w:sz w:val="24"/>
          <w:szCs w:val="24"/>
          <w:lang w:val="en-GB"/>
        </w:rPr>
        <w:t>包括：</w:t>
      </w:r>
    </w:p>
    <w:p w14:paraId="5436349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sz w:val="24"/>
          <w:szCs w:val="24"/>
        </w:rPr>
        <w:t>缔约方大会</w:t>
      </w:r>
      <w:r w:rsidRPr="000C0842">
        <w:rPr>
          <w:rFonts w:eastAsia="SimSun" w:hint="eastAsia"/>
          <w:sz w:val="24"/>
          <w:szCs w:val="24"/>
        </w:rPr>
        <w:t>已经</w:t>
      </w:r>
      <w:r w:rsidRPr="000C0842">
        <w:rPr>
          <w:rFonts w:eastAsia="SimSun"/>
          <w:sz w:val="24"/>
          <w:szCs w:val="24"/>
        </w:rPr>
        <w:t>审议</w:t>
      </w:r>
      <w:r w:rsidRPr="000C0842">
        <w:rPr>
          <w:rFonts w:eastAsia="SimSun" w:hint="eastAsia"/>
          <w:sz w:val="24"/>
          <w:szCs w:val="24"/>
        </w:rPr>
        <w:t>并</w:t>
      </w:r>
      <w:r w:rsidRPr="000C0842">
        <w:rPr>
          <w:rFonts w:eastAsia="SimSun"/>
          <w:sz w:val="24"/>
          <w:szCs w:val="24"/>
        </w:rPr>
        <w:t>要求执行秘书</w:t>
      </w:r>
      <w:r w:rsidRPr="000C0842">
        <w:rPr>
          <w:rFonts w:eastAsia="SimSun" w:hint="eastAsia"/>
          <w:sz w:val="24"/>
          <w:szCs w:val="24"/>
        </w:rPr>
        <w:t>收入</w:t>
      </w:r>
      <w:r w:rsidRPr="000C0842">
        <w:rPr>
          <w:rFonts w:eastAsia="SimSun"/>
          <w:sz w:val="24"/>
          <w:szCs w:val="24"/>
        </w:rPr>
        <w:t>数据存储库并</w:t>
      </w:r>
      <w:r w:rsidRPr="000C0842">
        <w:rPr>
          <w:rFonts w:eastAsia="SimSun" w:hint="eastAsia"/>
          <w:sz w:val="24"/>
          <w:szCs w:val="24"/>
        </w:rPr>
        <w:t>提交</w:t>
      </w:r>
      <w:r w:rsidRPr="000C0842">
        <w:rPr>
          <w:rFonts w:eastAsia="SimSun"/>
          <w:sz w:val="24"/>
          <w:szCs w:val="24"/>
        </w:rPr>
        <w:t>联合国大会和相关进程以及有关国际组织参考</w:t>
      </w:r>
      <w:r w:rsidRPr="000C0842">
        <w:rPr>
          <w:rFonts w:eastAsia="SimSun" w:hint="eastAsia"/>
          <w:sz w:val="24"/>
          <w:szCs w:val="24"/>
        </w:rPr>
        <w:t>的</w:t>
      </w:r>
      <w:r w:rsidRPr="000C0842">
        <w:rPr>
          <w:rFonts w:eastAsia="SimSun"/>
          <w:sz w:val="24"/>
          <w:szCs w:val="24"/>
          <w:lang w:val="en-CA"/>
        </w:rPr>
        <w:t>对符合</w:t>
      </w:r>
      <w:r w:rsidRPr="000C0842">
        <w:rPr>
          <w:rFonts w:eastAsia="SimSun" w:hint="eastAsia"/>
          <w:sz w:val="24"/>
          <w:szCs w:val="24"/>
          <w:lang w:val="en-CA"/>
        </w:rPr>
        <w:t>具有重要生态或生物意义的海洋区域</w:t>
      </w:r>
      <w:r w:rsidRPr="000C0842">
        <w:rPr>
          <w:rFonts w:eastAsia="SimSun"/>
          <w:sz w:val="24"/>
          <w:szCs w:val="24"/>
          <w:lang w:val="en-CA"/>
        </w:rPr>
        <w:t>标准的区域的描述</w:t>
      </w:r>
      <w:r w:rsidRPr="000C0842">
        <w:rPr>
          <w:rFonts w:eastAsia="SimSun"/>
          <w:sz w:val="24"/>
          <w:szCs w:val="24"/>
        </w:rPr>
        <w:t>；</w:t>
      </w:r>
    </w:p>
    <w:p w14:paraId="3E8C2FCA"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bookmarkStart w:id="56" w:name="_Ref160539994"/>
      <w:r w:rsidRPr="000C0842">
        <w:rPr>
          <w:rFonts w:eastAsia="SimSun"/>
          <w:sz w:val="24"/>
          <w:szCs w:val="24"/>
          <w:lang w:val="en-CA"/>
        </w:rPr>
        <w:t>(b)</w:t>
      </w:r>
      <w:r w:rsidRPr="000C0842">
        <w:rPr>
          <w:rFonts w:eastAsia="SimSun"/>
          <w:sz w:val="24"/>
          <w:szCs w:val="24"/>
          <w:lang w:val="en-CA"/>
        </w:rPr>
        <w:tab/>
      </w:r>
      <w:bookmarkStart w:id="57" w:name="_Hlk160788704"/>
      <w:r w:rsidRPr="000C0842">
        <w:rPr>
          <w:rFonts w:eastAsia="SimSun"/>
          <w:sz w:val="24"/>
          <w:szCs w:val="24"/>
          <w:lang w:val="en-CA"/>
        </w:rPr>
        <w:t>数据存储库中保存的对具有重要生态或生物意义的海洋区域所做描述的先前版本档</w:t>
      </w:r>
      <w:r w:rsidRPr="000C0842">
        <w:rPr>
          <w:rFonts w:eastAsia="SimSun" w:hint="eastAsia"/>
          <w:sz w:val="24"/>
          <w:szCs w:val="24"/>
          <w:lang w:val="en-CA"/>
        </w:rPr>
        <w:t>案</w:t>
      </w:r>
      <w:r w:rsidRPr="000C0842">
        <w:rPr>
          <w:rFonts w:eastAsia="SimSun"/>
          <w:sz w:val="24"/>
          <w:szCs w:val="24"/>
          <w:lang w:val="en-CA"/>
        </w:rPr>
        <w:t>（如果描述经过了修改），包括关于最初将这些描述</w:t>
      </w:r>
      <w:r w:rsidRPr="000C0842">
        <w:rPr>
          <w:rFonts w:eastAsia="SimSun" w:hint="eastAsia"/>
          <w:sz w:val="24"/>
          <w:szCs w:val="24"/>
          <w:lang w:val="en-CA"/>
        </w:rPr>
        <w:t>收入</w:t>
      </w:r>
      <w:r w:rsidRPr="000C0842">
        <w:rPr>
          <w:rFonts w:eastAsia="SimSun"/>
          <w:sz w:val="24"/>
          <w:szCs w:val="24"/>
          <w:lang w:val="en-CA"/>
        </w:rPr>
        <w:t>数据存储库时所采用方式的信息。</w:t>
      </w:r>
      <w:bookmarkEnd w:id="56"/>
      <w:bookmarkEnd w:id="57"/>
    </w:p>
    <w:p w14:paraId="2312354C"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r w:rsidRPr="000C0842">
        <w:rPr>
          <w:rFonts w:ascii="SimSun" w:eastAsia="SimSun" w:hAnsi="SimSun" w:cs="SimSun"/>
          <w:sz w:val="24"/>
          <w:szCs w:val="24"/>
          <w:lang w:val="en-GB"/>
        </w:rPr>
        <w:t>具有重要生态或生物意义的海洋区域信息共享机制应包括</w:t>
      </w:r>
      <w:r w:rsidRPr="000C0842">
        <w:rPr>
          <w:rFonts w:ascii="SimSun" w:eastAsia="SimSun" w:hAnsi="SimSun" w:cs="SimSun" w:hint="eastAsia"/>
          <w:sz w:val="24"/>
          <w:szCs w:val="24"/>
          <w:lang w:val="en-GB"/>
        </w:rPr>
        <w:t>：</w:t>
      </w:r>
    </w:p>
    <w:p w14:paraId="0C936114"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hint="eastAsia"/>
          <w:sz w:val="24"/>
          <w:szCs w:val="24"/>
          <w:lang w:val="en-CA"/>
        </w:rPr>
        <w:t>供收入具有重要生态或生物意义的海洋区域数据存储库的关于国家管辖范围内某一区域的修改或描述的呈件记录，以及收到的关于呈件的评论；</w:t>
      </w:r>
    </w:p>
    <w:p w14:paraId="0D00062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hint="eastAsia"/>
          <w:sz w:val="24"/>
          <w:szCs w:val="24"/>
          <w:lang w:val="en-CA"/>
        </w:rPr>
        <w:t xml:space="preserve">(b) </w:t>
      </w:r>
      <w:r w:rsidRPr="000C0842">
        <w:rPr>
          <w:rFonts w:eastAsia="SimSun"/>
          <w:sz w:val="24"/>
          <w:szCs w:val="24"/>
          <w:lang w:val="en-CA"/>
        </w:rPr>
        <w:tab/>
      </w:r>
      <w:r w:rsidRPr="000C0842">
        <w:rPr>
          <w:rFonts w:eastAsia="SimSun" w:hint="eastAsia"/>
          <w:sz w:val="24"/>
          <w:szCs w:val="24"/>
          <w:lang w:val="en-CA"/>
        </w:rPr>
        <w:t>供收入具有重要生态或生物意义的海洋区域数据存储库的关于国家管辖范围内某一区域的修改或描述的呈件，以及收到的关于呈件的任何评论和对评论做出的任何答复；</w:t>
      </w:r>
    </w:p>
    <w:p w14:paraId="54F89707"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hint="eastAsia"/>
          <w:sz w:val="24"/>
          <w:szCs w:val="24"/>
          <w:lang w:val="en-CA"/>
        </w:rPr>
        <w:t xml:space="preserve">(c) </w:t>
      </w:r>
      <w:r w:rsidRPr="000C0842">
        <w:rPr>
          <w:rFonts w:eastAsia="SimSun"/>
          <w:sz w:val="24"/>
          <w:szCs w:val="24"/>
          <w:lang w:val="en-CA"/>
        </w:rPr>
        <w:tab/>
      </w:r>
      <w:r w:rsidRPr="000C0842">
        <w:rPr>
          <w:rFonts w:eastAsia="SimSun" w:hint="eastAsia"/>
          <w:sz w:val="24"/>
          <w:szCs w:val="24"/>
          <w:lang w:val="en-CA"/>
        </w:rPr>
        <w:t>关于国家管辖范围以外某一区域的修改或描述的呈件记录；</w:t>
      </w:r>
    </w:p>
    <w:p w14:paraId="5FC6BC5C"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hint="eastAsia"/>
          <w:sz w:val="24"/>
          <w:szCs w:val="24"/>
          <w:lang w:val="en-CA"/>
        </w:rPr>
        <w:t>(d)</w:t>
      </w:r>
      <w:r w:rsidRPr="000C0842">
        <w:rPr>
          <w:rFonts w:eastAsia="SimSun"/>
          <w:sz w:val="24"/>
          <w:szCs w:val="24"/>
          <w:lang w:val="en-CA"/>
        </w:rPr>
        <w:tab/>
      </w:r>
      <w:r w:rsidRPr="000C0842">
        <w:rPr>
          <w:rFonts w:eastAsia="SimSun" w:hint="eastAsia"/>
          <w:sz w:val="24"/>
          <w:szCs w:val="24"/>
          <w:lang w:val="en-CA"/>
        </w:rPr>
        <w:t>与符合具有重要生态或生物意义的海洋区域标准的区域有关的国家进程及其相关科学信息的链接，以及</w:t>
      </w:r>
      <w:r w:rsidRPr="000C0842">
        <w:rPr>
          <w:rFonts w:eastAsia="SimSun"/>
          <w:sz w:val="24"/>
          <w:szCs w:val="24"/>
          <w:lang w:val="en-CA"/>
        </w:rPr>
        <w:t>有关国家</w:t>
      </w:r>
      <w:r w:rsidRPr="000C0842">
        <w:rPr>
          <w:rFonts w:eastAsia="SimSun" w:hint="eastAsia"/>
          <w:sz w:val="24"/>
          <w:szCs w:val="24"/>
          <w:lang w:val="en-CA"/>
        </w:rPr>
        <w:t>作为信息</w:t>
      </w:r>
      <w:r w:rsidRPr="000C0842">
        <w:rPr>
          <w:rFonts w:eastAsia="SimSun"/>
          <w:sz w:val="24"/>
          <w:szCs w:val="24"/>
          <w:lang w:val="en-CA"/>
        </w:rPr>
        <w:t>提供科学、技术和工艺咨询</w:t>
      </w:r>
      <w:r w:rsidRPr="000C0842">
        <w:rPr>
          <w:rFonts w:eastAsia="SimSun"/>
          <w:sz w:val="24"/>
          <w:szCs w:val="24"/>
        </w:rPr>
        <w:t>附属机构和缔约方大会</w:t>
      </w:r>
      <w:r w:rsidRPr="000C0842">
        <w:rPr>
          <w:rFonts w:eastAsia="SimSun" w:hint="eastAsia"/>
          <w:sz w:val="24"/>
          <w:szCs w:val="24"/>
        </w:rPr>
        <w:t>的</w:t>
      </w:r>
      <w:r w:rsidRPr="000C0842">
        <w:rPr>
          <w:rFonts w:eastAsia="SimSun"/>
          <w:sz w:val="24"/>
          <w:szCs w:val="24"/>
          <w:lang w:val="en-CA"/>
        </w:rPr>
        <w:t>国家管辖范围以内</w:t>
      </w:r>
      <w:r w:rsidRPr="000C0842">
        <w:rPr>
          <w:rFonts w:eastAsia="SimSun"/>
          <w:sz w:val="24"/>
          <w:szCs w:val="24"/>
        </w:rPr>
        <w:t>的其他相关兼容和补充</w:t>
      </w:r>
      <w:r w:rsidRPr="000C0842">
        <w:rPr>
          <w:rFonts w:eastAsia="SimSun" w:hint="eastAsia"/>
          <w:sz w:val="24"/>
          <w:szCs w:val="24"/>
        </w:rPr>
        <w:t>的国家商定</w:t>
      </w:r>
      <w:r w:rsidRPr="000C0842">
        <w:rPr>
          <w:rFonts w:eastAsia="SimSun"/>
          <w:sz w:val="24"/>
          <w:szCs w:val="24"/>
        </w:rPr>
        <w:t>科学标准</w:t>
      </w:r>
      <w:r w:rsidRPr="000C0842">
        <w:rPr>
          <w:rFonts w:eastAsia="SimSun" w:hint="eastAsia"/>
          <w:sz w:val="24"/>
          <w:szCs w:val="24"/>
        </w:rPr>
        <w:t>的链接</w:t>
      </w:r>
      <w:r w:rsidRPr="000C0842">
        <w:rPr>
          <w:rFonts w:eastAsia="SimSun"/>
          <w:sz w:val="24"/>
          <w:szCs w:val="24"/>
        </w:rPr>
        <w:t>；</w:t>
      </w:r>
    </w:p>
    <w:p w14:paraId="663506F0"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w:t>
      </w:r>
      <w:r w:rsidRPr="000C0842">
        <w:rPr>
          <w:rFonts w:eastAsia="SimSun" w:hint="eastAsia"/>
          <w:sz w:val="24"/>
          <w:szCs w:val="24"/>
          <w:lang w:val="en-CA"/>
        </w:rPr>
        <w:t>e</w:t>
      </w:r>
      <w:r w:rsidRPr="000C0842">
        <w:rPr>
          <w:rFonts w:eastAsia="SimSun"/>
          <w:sz w:val="24"/>
          <w:szCs w:val="24"/>
          <w:lang w:val="en-CA"/>
        </w:rPr>
        <w:t>)</w:t>
      </w:r>
      <w:r w:rsidRPr="000C0842">
        <w:rPr>
          <w:rFonts w:eastAsia="SimSun"/>
          <w:sz w:val="24"/>
          <w:szCs w:val="24"/>
          <w:lang w:val="en-CA"/>
        </w:rPr>
        <w:tab/>
      </w:r>
      <w:r w:rsidRPr="000C0842">
        <w:rPr>
          <w:rFonts w:eastAsia="SimSun" w:hint="eastAsia"/>
          <w:sz w:val="24"/>
          <w:szCs w:val="24"/>
          <w:lang w:val="en-CA"/>
        </w:rPr>
        <w:t>《</w:t>
      </w:r>
      <w:r w:rsidRPr="000C0842">
        <w:rPr>
          <w:rFonts w:eastAsia="SimSun"/>
          <w:sz w:val="24"/>
          <w:szCs w:val="24"/>
          <w:lang w:val="en-CA"/>
        </w:rPr>
        <w:t>生物多样性公约</w:t>
      </w:r>
      <w:r w:rsidRPr="000C0842">
        <w:rPr>
          <w:rFonts w:eastAsia="SimSun" w:hint="eastAsia"/>
          <w:sz w:val="24"/>
          <w:szCs w:val="24"/>
          <w:lang w:val="en-CA"/>
        </w:rPr>
        <w:t>》</w:t>
      </w:r>
      <w:r w:rsidRPr="000C0842">
        <w:rPr>
          <w:rFonts w:eastAsia="SimSun"/>
          <w:sz w:val="24"/>
          <w:szCs w:val="24"/>
          <w:lang w:val="en-CA"/>
        </w:rPr>
        <w:t>秘书处为协助描述具有重要生态或生物意义的海洋区域而举办的区域研讨会的报告</w:t>
      </w:r>
      <w:r w:rsidRPr="000C0842">
        <w:rPr>
          <w:rFonts w:eastAsia="SimSun"/>
          <w:sz w:val="24"/>
          <w:szCs w:val="24"/>
        </w:rPr>
        <w:t>；</w:t>
      </w:r>
    </w:p>
    <w:p w14:paraId="1B58062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w:t>
      </w:r>
      <w:r w:rsidRPr="000C0842">
        <w:rPr>
          <w:rFonts w:eastAsia="SimSun" w:hint="eastAsia"/>
          <w:sz w:val="24"/>
          <w:szCs w:val="24"/>
          <w:lang w:val="en-CA"/>
        </w:rPr>
        <w:t>f</w:t>
      </w:r>
      <w:r w:rsidRPr="000C0842">
        <w:rPr>
          <w:rFonts w:eastAsia="SimSun"/>
          <w:sz w:val="24"/>
          <w:szCs w:val="24"/>
          <w:lang w:val="en-CA"/>
        </w:rPr>
        <w:t>)</w:t>
      </w:r>
      <w:r w:rsidRPr="000C0842">
        <w:rPr>
          <w:rFonts w:eastAsia="SimSun"/>
          <w:sz w:val="24"/>
          <w:szCs w:val="24"/>
          <w:lang w:val="en-CA"/>
        </w:rPr>
        <w:tab/>
      </w:r>
      <w:r w:rsidRPr="000C0842">
        <w:rPr>
          <w:rFonts w:eastAsia="SimSun" w:hint="eastAsia"/>
          <w:sz w:val="24"/>
          <w:szCs w:val="24"/>
          <w:lang w:val="en-CA"/>
        </w:rPr>
        <w:t>信息分享机制</w:t>
      </w:r>
      <w:r w:rsidRPr="000C0842">
        <w:rPr>
          <w:rFonts w:eastAsia="SimSun"/>
          <w:sz w:val="24"/>
          <w:szCs w:val="24"/>
          <w:lang w:val="en-CA"/>
        </w:rPr>
        <w:t>中保存的对具有重要生态或生物意义的海洋区域所做描述的先前版本</w:t>
      </w:r>
      <w:r w:rsidRPr="000C0842">
        <w:rPr>
          <w:rFonts w:eastAsia="SimSun" w:hint="eastAsia"/>
          <w:sz w:val="24"/>
          <w:szCs w:val="24"/>
          <w:lang w:val="en-CA"/>
        </w:rPr>
        <w:t>档案</w:t>
      </w:r>
      <w:r w:rsidRPr="000C0842">
        <w:rPr>
          <w:rFonts w:eastAsia="SimSun"/>
          <w:sz w:val="24"/>
          <w:szCs w:val="24"/>
          <w:lang w:val="en-GB"/>
        </w:rPr>
        <w:t>（如果描述经过了修改），包括关于最初将这些描述</w:t>
      </w:r>
      <w:r w:rsidRPr="000C0842">
        <w:rPr>
          <w:rFonts w:eastAsia="SimSun" w:hint="eastAsia"/>
          <w:sz w:val="24"/>
          <w:szCs w:val="24"/>
          <w:lang w:val="en-CA"/>
        </w:rPr>
        <w:t>收入</w:t>
      </w:r>
      <w:r w:rsidRPr="000C0842">
        <w:rPr>
          <w:rFonts w:eastAsia="SimSun" w:hint="eastAsia"/>
          <w:sz w:val="24"/>
          <w:szCs w:val="24"/>
          <w:lang w:val="en-GB"/>
        </w:rPr>
        <w:t>信息分享机制</w:t>
      </w:r>
      <w:r w:rsidRPr="000C0842">
        <w:rPr>
          <w:rFonts w:eastAsia="SimSun"/>
          <w:sz w:val="24"/>
          <w:szCs w:val="24"/>
          <w:lang w:val="en-GB"/>
        </w:rPr>
        <w:t>时所采用方式的信息</w:t>
      </w:r>
      <w:r w:rsidRPr="000C0842">
        <w:rPr>
          <w:rFonts w:eastAsia="SimSun" w:hint="eastAsia"/>
          <w:sz w:val="24"/>
          <w:szCs w:val="24"/>
          <w:lang w:val="en-GB"/>
        </w:rPr>
        <w:t>；</w:t>
      </w:r>
    </w:p>
    <w:p w14:paraId="1AF094EE"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w:t>
      </w:r>
      <w:r w:rsidRPr="000C0842">
        <w:rPr>
          <w:rFonts w:eastAsia="SimSun" w:hint="eastAsia"/>
          <w:sz w:val="24"/>
          <w:szCs w:val="24"/>
          <w:lang w:val="en-CA"/>
        </w:rPr>
        <w:t>g</w:t>
      </w:r>
      <w:r w:rsidRPr="000C0842">
        <w:rPr>
          <w:rFonts w:eastAsia="SimSun"/>
          <w:sz w:val="24"/>
          <w:szCs w:val="24"/>
          <w:lang w:val="en-CA"/>
        </w:rPr>
        <w:t>)</w:t>
      </w:r>
      <w:r w:rsidRPr="000C0842">
        <w:rPr>
          <w:rFonts w:eastAsia="SimSun"/>
          <w:sz w:val="24"/>
          <w:szCs w:val="24"/>
          <w:lang w:val="en-CA"/>
        </w:rPr>
        <w:tab/>
      </w:r>
      <w:r w:rsidRPr="000C0842">
        <w:rPr>
          <w:rFonts w:eastAsia="SimSun" w:hint="eastAsia"/>
          <w:sz w:val="24"/>
          <w:szCs w:val="24"/>
          <w:lang w:val="en-CA"/>
        </w:rPr>
        <w:t>有关应用具有重要生态或生物意义的海洋区域标准以及使用此类区域描述中所载信息的指南</w:t>
      </w:r>
      <w:r w:rsidRPr="000C0842">
        <w:rPr>
          <w:rFonts w:eastAsia="SimSun"/>
          <w:sz w:val="24"/>
          <w:szCs w:val="24"/>
        </w:rPr>
        <w:t>；</w:t>
      </w:r>
    </w:p>
    <w:p w14:paraId="1A8E3FFC"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w:t>
      </w:r>
      <w:r w:rsidRPr="000C0842">
        <w:rPr>
          <w:rFonts w:eastAsia="SimSun" w:hint="eastAsia"/>
          <w:sz w:val="24"/>
          <w:szCs w:val="24"/>
          <w:lang w:val="en-CA"/>
        </w:rPr>
        <w:t>h</w:t>
      </w:r>
      <w:r w:rsidRPr="000C0842">
        <w:rPr>
          <w:rFonts w:eastAsia="SimSun"/>
          <w:sz w:val="24"/>
          <w:szCs w:val="24"/>
          <w:lang w:val="en-CA"/>
        </w:rPr>
        <w:t>)</w:t>
      </w:r>
      <w:r w:rsidRPr="000C0842">
        <w:rPr>
          <w:rFonts w:eastAsia="SimSun"/>
          <w:sz w:val="24"/>
          <w:szCs w:val="24"/>
          <w:lang w:val="en-CA"/>
        </w:rPr>
        <w:tab/>
      </w:r>
      <w:r w:rsidRPr="000C0842">
        <w:rPr>
          <w:rFonts w:eastAsia="SimSun"/>
          <w:sz w:val="24"/>
          <w:szCs w:val="24"/>
          <w:lang w:val="en-CA"/>
        </w:rPr>
        <w:t>与描述符合具有重要生态或生物意义的海洋区域标准的区域有关的其他相关科技信息和其他形式的知识</w:t>
      </w:r>
      <w:r w:rsidRPr="000C0842">
        <w:rPr>
          <w:rFonts w:eastAsia="SimSun"/>
          <w:sz w:val="24"/>
          <w:szCs w:val="24"/>
        </w:rPr>
        <w:t>，</w:t>
      </w:r>
      <w:r w:rsidRPr="000C0842">
        <w:rPr>
          <w:rFonts w:eastAsia="SimSun" w:hint="eastAsia"/>
          <w:sz w:val="24"/>
          <w:szCs w:val="24"/>
        </w:rPr>
        <w:t>酌情</w:t>
      </w:r>
      <w:r w:rsidRPr="000C0842">
        <w:rPr>
          <w:rFonts w:eastAsia="SimSun"/>
          <w:sz w:val="24"/>
          <w:szCs w:val="24"/>
        </w:rPr>
        <w:t>包括经土著人民和地方社区自由、事先和知情同意列入的土著和传统知识；</w:t>
      </w:r>
    </w:p>
    <w:p w14:paraId="5E397200"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i</w:t>
      </w:r>
      <w:r w:rsidRPr="000C0842">
        <w:rPr>
          <w:rFonts w:eastAsia="SimSun"/>
          <w:sz w:val="24"/>
          <w:szCs w:val="24"/>
          <w:lang w:val="en-GB"/>
        </w:rPr>
        <w:t>)</w:t>
      </w:r>
      <w:r w:rsidRPr="000C0842">
        <w:rPr>
          <w:rFonts w:eastAsia="SimSun"/>
          <w:sz w:val="24"/>
          <w:szCs w:val="24"/>
          <w:lang w:val="en-GB"/>
        </w:rPr>
        <w:tab/>
      </w:r>
      <w:r w:rsidRPr="000C0842">
        <w:rPr>
          <w:rFonts w:eastAsia="SimSun"/>
          <w:sz w:val="24"/>
          <w:szCs w:val="24"/>
          <w:lang w:val="en-CA"/>
        </w:rPr>
        <w:t>应用政府间商定的其他相关和补充科学标准</w:t>
      </w:r>
      <w:r w:rsidRPr="000C0842">
        <w:rPr>
          <w:rFonts w:eastAsia="SimSun" w:hint="eastAsia"/>
          <w:sz w:val="24"/>
          <w:szCs w:val="24"/>
          <w:lang w:val="en-CA"/>
        </w:rPr>
        <w:t>方面</w:t>
      </w:r>
      <w:r w:rsidRPr="000C0842">
        <w:rPr>
          <w:rFonts w:eastAsia="SimSun"/>
          <w:sz w:val="24"/>
          <w:szCs w:val="24"/>
          <w:lang w:val="en-CA"/>
        </w:rPr>
        <w:t>的信息和经验</w:t>
      </w:r>
      <w:r w:rsidRPr="000C0842">
        <w:rPr>
          <w:rFonts w:eastAsia="SimSun"/>
          <w:sz w:val="24"/>
          <w:szCs w:val="24"/>
        </w:rPr>
        <w:t>。</w:t>
      </w:r>
    </w:p>
    <w:p w14:paraId="5CD74077" w14:textId="77777777" w:rsidR="005E77FA" w:rsidRPr="000C0842" w:rsidRDefault="005E77FA">
      <w:pPr>
        <w:keepNext/>
        <w:numPr>
          <w:ilvl w:val="0"/>
          <w:numId w:val="29"/>
        </w:numPr>
        <w:tabs>
          <w:tab w:val="clear" w:pos="567"/>
          <w:tab w:val="clear" w:pos="1134"/>
          <w:tab w:val="clear" w:pos="1701"/>
          <w:tab w:val="clear" w:pos="2268"/>
        </w:tabs>
        <w:spacing w:before="120" w:after="120" w:line="240" w:lineRule="atLeast"/>
        <w:ind w:left="0" w:firstLine="0"/>
        <w:rPr>
          <w:rFonts w:eastAsia="SimSun"/>
          <w:b/>
          <w:bCs/>
          <w:sz w:val="24"/>
          <w:szCs w:val="24"/>
        </w:rPr>
      </w:pPr>
      <w:r w:rsidRPr="000C0842">
        <w:rPr>
          <w:rFonts w:eastAsia="SimSun"/>
          <w:b/>
          <w:bCs/>
          <w:sz w:val="24"/>
          <w:szCs w:val="24"/>
        </w:rPr>
        <w:t>修改对具有重要生态或生物意义的海洋区域所做描述</w:t>
      </w:r>
      <w:r w:rsidRPr="000C0842">
        <w:rPr>
          <w:rFonts w:eastAsia="SimSun" w:hint="eastAsia"/>
          <w:b/>
          <w:bCs/>
          <w:sz w:val="24"/>
          <w:szCs w:val="24"/>
        </w:rPr>
        <w:t>以及</w:t>
      </w:r>
      <w:r w:rsidRPr="000C0842">
        <w:rPr>
          <w:rFonts w:eastAsia="SimSun"/>
          <w:b/>
          <w:bCs/>
          <w:sz w:val="24"/>
          <w:szCs w:val="24"/>
        </w:rPr>
        <w:t>描述</w:t>
      </w:r>
      <w:r w:rsidRPr="000C0842">
        <w:rPr>
          <w:rFonts w:eastAsia="SimSun" w:hint="eastAsia"/>
          <w:b/>
          <w:bCs/>
          <w:sz w:val="24"/>
          <w:szCs w:val="24"/>
        </w:rPr>
        <w:t>符合具有重要生态或生物意义的海洋区域标准的</w:t>
      </w:r>
      <w:r w:rsidRPr="000C0842">
        <w:rPr>
          <w:rFonts w:eastAsia="SimSun"/>
          <w:b/>
          <w:bCs/>
          <w:sz w:val="24"/>
          <w:szCs w:val="24"/>
        </w:rPr>
        <w:t>新区域</w:t>
      </w:r>
      <w:r w:rsidRPr="000C0842">
        <w:rPr>
          <w:rFonts w:eastAsia="SimSun" w:hint="eastAsia"/>
          <w:b/>
          <w:bCs/>
          <w:sz w:val="24"/>
          <w:szCs w:val="24"/>
        </w:rPr>
        <w:t>的方式</w:t>
      </w:r>
    </w:p>
    <w:p w14:paraId="48D10699" w14:textId="77777777" w:rsidR="005E77FA" w:rsidRPr="000C0842" w:rsidRDefault="005E77FA" w:rsidP="005E77FA">
      <w:pPr>
        <w:keepNext/>
        <w:tabs>
          <w:tab w:val="clear" w:pos="567"/>
          <w:tab w:val="clear" w:pos="1134"/>
          <w:tab w:val="clear" w:pos="1701"/>
          <w:tab w:val="clear" w:pos="2268"/>
        </w:tabs>
        <w:spacing w:before="120" w:after="120" w:line="240" w:lineRule="atLeast"/>
        <w:ind w:left="490" w:hanging="490"/>
        <w:rPr>
          <w:rFonts w:eastAsia="SimSun"/>
          <w:b/>
          <w:sz w:val="24"/>
          <w:szCs w:val="24"/>
          <w:lang w:val="en-GB"/>
        </w:rPr>
      </w:pPr>
      <w:r w:rsidRPr="000C0842">
        <w:rPr>
          <w:rFonts w:eastAsia="SimSun"/>
          <w:b/>
          <w:sz w:val="24"/>
          <w:szCs w:val="24"/>
          <w:lang w:val="en-GB"/>
        </w:rPr>
        <w:t>A.</w:t>
      </w:r>
      <w:r w:rsidRPr="000C0842">
        <w:rPr>
          <w:rFonts w:eastAsia="SimSun"/>
          <w:b/>
          <w:sz w:val="24"/>
          <w:szCs w:val="24"/>
          <w:lang w:val="en-GB"/>
        </w:rPr>
        <w:tab/>
      </w:r>
      <w:r w:rsidRPr="000C0842">
        <w:rPr>
          <w:rFonts w:eastAsia="SimSun"/>
          <w:b/>
          <w:sz w:val="24"/>
          <w:szCs w:val="24"/>
        </w:rPr>
        <w:t>修改</w:t>
      </w:r>
      <w:r w:rsidRPr="000C0842">
        <w:rPr>
          <w:rFonts w:eastAsia="SimSun" w:hint="eastAsia"/>
          <w:b/>
          <w:bCs/>
          <w:sz w:val="24"/>
          <w:szCs w:val="24"/>
        </w:rPr>
        <w:t>对</w:t>
      </w:r>
      <w:r w:rsidRPr="000C0842">
        <w:rPr>
          <w:rFonts w:eastAsia="SimSun" w:hint="eastAsia"/>
          <w:b/>
          <w:sz w:val="24"/>
          <w:szCs w:val="24"/>
        </w:rPr>
        <w:t>国家管辖范围以内</w:t>
      </w:r>
      <w:r w:rsidRPr="000C0842">
        <w:rPr>
          <w:rFonts w:eastAsia="SimSun" w:hint="eastAsia"/>
          <w:b/>
          <w:bCs/>
          <w:sz w:val="24"/>
          <w:szCs w:val="24"/>
        </w:rPr>
        <w:t>具有重要生态或生物意义的海洋区域所做描述或描述</w:t>
      </w:r>
      <w:r w:rsidRPr="000C0842">
        <w:rPr>
          <w:rFonts w:eastAsia="SimSun" w:hint="eastAsia"/>
          <w:b/>
          <w:sz w:val="24"/>
          <w:szCs w:val="24"/>
        </w:rPr>
        <w:t>国家管辖范围以内</w:t>
      </w:r>
      <w:r w:rsidRPr="000C0842">
        <w:rPr>
          <w:rFonts w:eastAsia="SimSun"/>
          <w:b/>
          <w:bCs/>
          <w:sz w:val="24"/>
          <w:szCs w:val="24"/>
        </w:rPr>
        <w:t>符合</w:t>
      </w:r>
      <w:r w:rsidRPr="000C0842">
        <w:rPr>
          <w:rFonts w:eastAsia="SimSun" w:hint="eastAsia"/>
          <w:b/>
          <w:bCs/>
          <w:sz w:val="24"/>
          <w:szCs w:val="24"/>
        </w:rPr>
        <w:t>具有重要生态或生物意义的海洋区域标准的新区域</w:t>
      </w:r>
    </w:p>
    <w:p w14:paraId="15F6EE9B" w14:textId="77777777" w:rsidR="005E77FA" w:rsidRPr="000C0842" w:rsidRDefault="005E77FA" w:rsidP="005E77FA">
      <w:pPr>
        <w:tabs>
          <w:tab w:val="clear" w:pos="567"/>
          <w:tab w:val="clear" w:pos="1134"/>
          <w:tab w:val="clear" w:pos="1701"/>
          <w:tab w:val="clear" w:pos="2268"/>
        </w:tabs>
        <w:spacing w:before="120" w:after="120" w:line="240" w:lineRule="atLeast"/>
        <w:rPr>
          <w:rFonts w:eastAsia="KaiTi"/>
          <w:sz w:val="24"/>
          <w:szCs w:val="24"/>
          <w:u w:val="single"/>
          <w:lang w:val="en-CA"/>
        </w:rPr>
      </w:pPr>
      <w:r w:rsidRPr="000C0842">
        <w:rPr>
          <w:rFonts w:eastAsia="KaiTi" w:hint="eastAsia"/>
          <w:b/>
          <w:bCs/>
          <w:sz w:val="24"/>
          <w:szCs w:val="24"/>
        </w:rPr>
        <w:t>1.</w:t>
      </w:r>
      <w:r w:rsidRPr="000C0842">
        <w:rPr>
          <w:rFonts w:eastAsia="KaiTi" w:hint="eastAsia"/>
          <w:sz w:val="24"/>
          <w:szCs w:val="24"/>
        </w:rPr>
        <w:t xml:space="preserve">  </w:t>
      </w:r>
      <w:r w:rsidRPr="000C0842">
        <w:rPr>
          <w:rFonts w:eastAsia="KaiTi"/>
          <w:sz w:val="24"/>
          <w:szCs w:val="24"/>
        </w:rPr>
        <w:tab/>
      </w:r>
      <w:r w:rsidRPr="000C0842">
        <w:rPr>
          <w:rFonts w:eastAsia="SimSun"/>
          <w:b/>
          <w:bCs/>
          <w:sz w:val="24"/>
          <w:szCs w:val="24"/>
        </w:rPr>
        <w:t>收入具有</w:t>
      </w:r>
      <w:r w:rsidRPr="000C0842">
        <w:rPr>
          <w:rFonts w:eastAsia="SimSun"/>
          <w:b/>
          <w:bCs/>
          <w:sz w:val="24"/>
          <w:szCs w:val="24"/>
          <w:lang w:val="it-IT"/>
        </w:rPr>
        <w:t>重要</w:t>
      </w:r>
      <w:r w:rsidRPr="000C0842">
        <w:rPr>
          <w:rFonts w:eastAsia="SimSun"/>
          <w:b/>
          <w:bCs/>
          <w:sz w:val="24"/>
          <w:szCs w:val="24"/>
        </w:rPr>
        <w:t>生态或生物意义的海洋区域数据存储库</w:t>
      </w:r>
      <w:r w:rsidRPr="000C0842">
        <w:rPr>
          <w:rFonts w:eastAsia="KaiTi"/>
          <w:sz w:val="24"/>
          <w:szCs w:val="24"/>
          <w:vertAlign w:val="superscript"/>
          <w:lang w:val="en-GB"/>
        </w:rPr>
        <w:footnoteReference w:id="157"/>
      </w:r>
    </w:p>
    <w:p w14:paraId="3D2C6DAD"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bookmarkStart w:id="58" w:name="_Hlk160869391"/>
      <w:r w:rsidRPr="000C0842">
        <w:rPr>
          <w:rFonts w:ascii="SimSun" w:eastAsia="SimSun" w:hAnsi="SimSun" w:cs="SimSun" w:hint="eastAsia"/>
          <w:sz w:val="24"/>
          <w:szCs w:val="24"/>
          <w:lang w:val="en-GB"/>
        </w:rPr>
        <w:t>供收入具有重要生态或生物意义的海洋区域数据存储库的对国家管辖范围以内某个区域的修改或描述的呈件</w:t>
      </w:r>
      <w:r w:rsidRPr="000C0842">
        <w:rPr>
          <w:rFonts w:eastAsia="Times New Roman"/>
          <w:sz w:val="24"/>
          <w:szCs w:val="24"/>
          <w:vertAlign w:val="superscript"/>
          <w:lang w:val="fr-CA"/>
        </w:rPr>
        <w:footnoteReference w:id="158"/>
      </w:r>
      <w:r w:rsidRPr="000C0842">
        <w:rPr>
          <w:rFonts w:ascii="SimSun" w:eastAsia="SimSun" w:hAnsi="SimSun" w:cs="SimSun" w:hint="eastAsia"/>
          <w:sz w:val="24"/>
          <w:szCs w:val="24"/>
          <w:lang w:val="en-GB"/>
        </w:rPr>
        <w:t>必须向秘书处提交，同时提供有关呈件拟定过程的信息，包括关于任何科学同行评议过程的信息，如果包括基于传统知识的信息，则须说明根据相关国家法律、</w:t>
      </w:r>
      <w:r w:rsidRPr="000C0842">
        <w:rPr>
          <w:rFonts w:eastAsia="SimSun"/>
          <w:sz w:val="24"/>
          <w:szCs w:val="24"/>
          <w:lang w:val="en-GB"/>
        </w:rPr>
        <w:t>包括</w:t>
      </w:r>
      <w:r w:rsidRPr="000C0842">
        <w:rPr>
          <w:rFonts w:ascii="SimSun" w:eastAsia="SimSun" w:hAnsi="SimSun" w:cs="SimSun" w:hint="eastAsia"/>
          <w:sz w:val="24"/>
          <w:szCs w:val="24"/>
          <w:lang w:val="en-GB"/>
        </w:rPr>
        <w:t>《联合国土著人民权利宣言》在内的国际文书、人权法，并酌情根据《</w:t>
      </w:r>
      <w:r w:rsidRPr="000C0842">
        <w:rPr>
          <w:rFonts w:eastAsia="Times New Roman"/>
          <w:sz w:val="24"/>
          <w:szCs w:val="24"/>
          <w:lang w:val="en-GB"/>
        </w:rPr>
        <w:t>“</w:t>
      </w:r>
      <w:r w:rsidRPr="000C0842">
        <w:rPr>
          <w:rFonts w:ascii="SimSun" w:eastAsia="SimSun" w:hAnsi="SimSun" w:cs="SimSun" w:hint="eastAsia"/>
          <w:sz w:val="24"/>
          <w:szCs w:val="24"/>
          <w:lang w:val="en-GB"/>
        </w:rPr>
        <w:t>生命之根</w:t>
      </w:r>
      <w:r w:rsidRPr="000C0842">
        <w:rPr>
          <w:rFonts w:eastAsia="Times New Roman"/>
          <w:sz w:val="24"/>
          <w:szCs w:val="24"/>
          <w:lang w:val="en-GB"/>
        </w:rPr>
        <w:t>”</w:t>
      </w:r>
      <w:r w:rsidRPr="000C0842">
        <w:rPr>
          <w:rFonts w:ascii="SimSun" w:eastAsia="SimSun" w:hAnsi="SimSun" w:cs="SimSun" w:hint="eastAsia"/>
          <w:sz w:val="24"/>
          <w:szCs w:val="24"/>
          <w:lang w:val="en-GB"/>
        </w:rPr>
        <w:t>自愿准则》</w:t>
      </w:r>
      <w:r w:rsidRPr="000C0842">
        <w:rPr>
          <w:rFonts w:eastAsia="Times New Roman"/>
          <w:sz w:val="24"/>
          <w:szCs w:val="24"/>
          <w:vertAlign w:val="superscript"/>
          <w:lang w:val="en-GB"/>
        </w:rPr>
        <w:footnoteReference w:id="159"/>
      </w:r>
      <w:r w:rsidRPr="000C0842">
        <w:rPr>
          <w:rFonts w:ascii="SimSun" w:eastAsia="SimSun" w:hAnsi="SimSun" w:cs="SimSun" w:hint="eastAsia"/>
          <w:sz w:val="24"/>
          <w:szCs w:val="24"/>
          <w:lang w:val="en-GB"/>
        </w:rPr>
        <w:t>，经过土著人民和地方社区自由、事先和知情同意，与他们进行的协商。关于呈件的拟定工作，提出方还可以采用以下选项：</w:t>
      </w:r>
      <w:bookmarkEnd w:id="58"/>
    </w:p>
    <w:p w14:paraId="6C78569E"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bookmarkStart w:id="59" w:name="_Hlk160869875"/>
      <w:r w:rsidRPr="000C0842">
        <w:rPr>
          <w:rFonts w:eastAsia="SimSun"/>
          <w:sz w:val="24"/>
          <w:szCs w:val="24"/>
          <w:lang w:val="en-CA"/>
        </w:rPr>
        <w:t>(a)</w:t>
      </w:r>
      <w:r w:rsidRPr="000C0842">
        <w:rPr>
          <w:rFonts w:eastAsia="SimSun"/>
          <w:sz w:val="24"/>
          <w:szCs w:val="24"/>
          <w:lang w:val="en-CA"/>
        </w:rPr>
        <w:tab/>
      </w:r>
      <w:r w:rsidRPr="000C0842">
        <w:rPr>
          <w:rFonts w:eastAsia="SimSun"/>
          <w:sz w:val="24"/>
          <w:szCs w:val="24"/>
          <w:lang w:val="en-CA"/>
        </w:rPr>
        <w:t>提</w:t>
      </w:r>
      <w:r w:rsidRPr="000C0842">
        <w:rPr>
          <w:rFonts w:eastAsia="SimSun" w:hint="eastAsia"/>
          <w:sz w:val="24"/>
          <w:szCs w:val="24"/>
          <w:lang w:val="en-CA"/>
        </w:rPr>
        <w:t>出</w:t>
      </w:r>
      <w:r w:rsidRPr="000C0842">
        <w:rPr>
          <w:rFonts w:eastAsia="SimSun"/>
          <w:sz w:val="24"/>
          <w:szCs w:val="24"/>
          <w:lang w:val="en-CA"/>
        </w:rPr>
        <w:t>方可在</w:t>
      </w:r>
      <w:r w:rsidRPr="000C0842">
        <w:rPr>
          <w:rFonts w:eastAsia="SimSun" w:hint="eastAsia"/>
          <w:sz w:val="24"/>
          <w:szCs w:val="24"/>
          <w:lang w:val="en-CA"/>
        </w:rPr>
        <w:t>拟定呈件</w:t>
      </w:r>
      <w:r w:rsidRPr="000C0842">
        <w:rPr>
          <w:rFonts w:eastAsia="SimSun"/>
          <w:sz w:val="24"/>
          <w:szCs w:val="24"/>
          <w:lang w:val="en-CA"/>
        </w:rPr>
        <w:t>之前请秘书处发出通知</w:t>
      </w:r>
      <w:r w:rsidRPr="000C0842">
        <w:rPr>
          <w:rFonts w:eastAsia="SimSun"/>
          <w:sz w:val="24"/>
          <w:szCs w:val="24"/>
        </w:rPr>
        <w:t>，通报其提交一项描述或修改的意图；</w:t>
      </w:r>
    </w:p>
    <w:p w14:paraId="5F9FE442"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(b)</w:t>
      </w:r>
      <w:r w:rsidRPr="000C0842">
        <w:rPr>
          <w:rFonts w:eastAsia="SimSun"/>
          <w:sz w:val="24"/>
          <w:szCs w:val="24"/>
          <w:lang w:val="en-CA"/>
        </w:rPr>
        <w:tab/>
      </w:r>
      <w:r w:rsidRPr="000C0842">
        <w:rPr>
          <w:rFonts w:eastAsia="SimSun"/>
          <w:sz w:val="24"/>
          <w:szCs w:val="24"/>
          <w:lang w:val="en-CA"/>
        </w:rPr>
        <w:t>提</w:t>
      </w:r>
      <w:r w:rsidRPr="000C0842">
        <w:rPr>
          <w:rFonts w:eastAsia="SimSun" w:hint="eastAsia"/>
          <w:sz w:val="24"/>
          <w:szCs w:val="24"/>
          <w:lang w:val="en-CA"/>
        </w:rPr>
        <w:t>出</w:t>
      </w:r>
      <w:r w:rsidRPr="000C0842">
        <w:rPr>
          <w:rFonts w:eastAsia="SimSun"/>
          <w:sz w:val="24"/>
          <w:szCs w:val="24"/>
          <w:lang w:val="en-CA"/>
        </w:rPr>
        <w:t>方还可选择在根据</w:t>
      </w:r>
      <w:r w:rsidRPr="000C0842">
        <w:rPr>
          <w:rFonts w:eastAsia="SimSun" w:hint="eastAsia"/>
          <w:sz w:val="24"/>
          <w:szCs w:val="24"/>
          <w:lang w:val="en-CA"/>
        </w:rPr>
        <w:t>本</w:t>
      </w:r>
      <w:r w:rsidRPr="000C0842">
        <w:rPr>
          <w:rFonts w:eastAsia="SimSun"/>
          <w:sz w:val="24"/>
          <w:szCs w:val="24"/>
          <w:lang w:val="en-CA"/>
        </w:rPr>
        <w:t>决定</w:t>
      </w:r>
      <w:r w:rsidRPr="000C0842">
        <w:rPr>
          <w:rFonts w:eastAsia="SimSun" w:hint="eastAsia"/>
          <w:sz w:val="24"/>
          <w:szCs w:val="24"/>
          <w:lang w:val="en-CA"/>
        </w:rPr>
        <w:t>第</w:t>
      </w:r>
      <w:r w:rsidRPr="000C0842">
        <w:rPr>
          <w:rFonts w:eastAsia="SimSun" w:hint="eastAsia"/>
          <w:sz w:val="24"/>
          <w:szCs w:val="24"/>
          <w:lang w:val="en-CA"/>
        </w:rPr>
        <w:t>4</w:t>
      </w:r>
      <w:r w:rsidRPr="000C0842">
        <w:rPr>
          <w:rFonts w:eastAsia="SimSun" w:hint="eastAsia"/>
          <w:sz w:val="24"/>
          <w:szCs w:val="24"/>
          <w:lang w:val="en-CA"/>
        </w:rPr>
        <w:t>段</w:t>
      </w:r>
      <w:r w:rsidRPr="000C0842">
        <w:rPr>
          <w:rFonts w:eastAsia="SimSun"/>
          <w:sz w:val="24"/>
          <w:szCs w:val="24"/>
          <w:lang w:val="en-CA"/>
        </w:rPr>
        <w:t>举行的具有重要生态或生物意义的海洋区域研讨会上</w:t>
      </w:r>
      <w:r w:rsidRPr="000C0842">
        <w:rPr>
          <w:rFonts w:eastAsia="SimSun" w:hint="eastAsia"/>
          <w:sz w:val="24"/>
          <w:szCs w:val="24"/>
          <w:lang w:val="en-CA"/>
        </w:rPr>
        <w:t>拟定</w:t>
      </w:r>
      <w:r w:rsidRPr="000C0842">
        <w:rPr>
          <w:rFonts w:eastAsia="SimSun"/>
          <w:sz w:val="24"/>
          <w:szCs w:val="24"/>
          <w:lang w:val="en-CA"/>
        </w:rPr>
        <w:t>或完善</w:t>
      </w:r>
      <w:r w:rsidRPr="000C0842">
        <w:rPr>
          <w:rFonts w:eastAsia="SimSun" w:hint="eastAsia"/>
          <w:sz w:val="24"/>
          <w:szCs w:val="24"/>
          <w:lang w:val="en-CA"/>
        </w:rPr>
        <w:t>呈件</w:t>
      </w:r>
      <w:r w:rsidRPr="000C0842">
        <w:rPr>
          <w:rFonts w:eastAsia="SimSun"/>
          <w:sz w:val="24"/>
          <w:szCs w:val="24"/>
          <w:lang w:val="en-CA"/>
        </w:rPr>
        <w:t>的草案</w:t>
      </w:r>
      <w:r w:rsidRPr="000C0842">
        <w:rPr>
          <w:rFonts w:eastAsia="SimSun"/>
          <w:sz w:val="24"/>
          <w:szCs w:val="24"/>
        </w:rPr>
        <w:t>，然后再将其提交秘书处。</w:t>
      </w:r>
    </w:p>
    <w:p w14:paraId="1404915E"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ascii="SimSun" w:eastAsia="SimSun" w:hAnsi="SimSun" w:cs="SimSun"/>
          <w:sz w:val="24"/>
          <w:szCs w:val="24"/>
          <w:lang w:val="en-GB"/>
        </w:rPr>
      </w:pPr>
      <w:bookmarkStart w:id="60" w:name="_Hlk160868557"/>
      <w:bookmarkEnd w:id="59"/>
      <w:r w:rsidRPr="000C0842">
        <w:rPr>
          <w:rFonts w:ascii="SimSun" w:eastAsia="SimSun" w:hAnsi="SimSun" w:cs="SimSun"/>
          <w:sz w:val="24"/>
          <w:szCs w:val="24"/>
          <w:lang w:val="en-GB"/>
        </w:rPr>
        <w:t>秘书处收到呈件后，</w:t>
      </w:r>
      <w:r w:rsidRPr="000C0842">
        <w:rPr>
          <w:rFonts w:ascii="SimSun" w:eastAsia="SimSun" w:hAnsi="SimSun" w:cs="SimSun" w:hint="eastAsia"/>
          <w:sz w:val="24"/>
          <w:szCs w:val="24"/>
          <w:lang w:val="en-GB"/>
        </w:rPr>
        <w:t>应通过</w:t>
      </w:r>
      <w:r w:rsidRPr="000C0842">
        <w:rPr>
          <w:rFonts w:ascii="SimSun" w:eastAsia="SimSun" w:hAnsi="SimSun" w:cs="SimSun"/>
          <w:sz w:val="24"/>
          <w:szCs w:val="24"/>
          <w:lang w:val="en-GB"/>
        </w:rPr>
        <w:t>具有重要生态或生物意义的海洋区域信息共享机制</w:t>
      </w:r>
      <w:r w:rsidRPr="000C0842">
        <w:rPr>
          <w:rFonts w:ascii="SimSun" w:eastAsia="SimSun" w:hAnsi="SimSun" w:cs="SimSun" w:hint="eastAsia"/>
          <w:sz w:val="24"/>
          <w:szCs w:val="24"/>
          <w:lang w:val="en-GB"/>
        </w:rPr>
        <w:t>予以公布</w:t>
      </w:r>
      <w:r w:rsidRPr="000C0842">
        <w:rPr>
          <w:rFonts w:ascii="SimSun" w:eastAsia="SimSun" w:hAnsi="SimSun" w:cs="SimSun"/>
          <w:sz w:val="24"/>
          <w:szCs w:val="24"/>
          <w:lang w:val="en-GB"/>
        </w:rPr>
        <w:t>，并发出通知，</w:t>
      </w:r>
      <w:r w:rsidRPr="000C0842">
        <w:rPr>
          <w:rFonts w:ascii="SimSun" w:eastAsia="SimSun" w:hAnsi="SimSun" w:cs="SimSun" w:hint="eastAsia"/>
          <w:sz w:val="24"/>
          <w:szCs w:val="24"/>
          <w:lang w:val="en-GB"/>
        </w:rPr>
        <w:t>通报</w:t>
      </w:r>
      <w:r w:rsidRPr="000C0842">
        <w:rPr>
          <w:rFonts w:ascii="SimSun" w:eastAsia="SimSun" w:hAnsi="SimSun" w:cs="SimSun"/>
          <w:sz w:val="24"/>
          <w:szCs w:val="24"/>
          <w:lang w:val="en-GB"/>
        </w:rPr>
        <w:t>呈件</w:t>
      </w:r>
      <w:r w:rsidRPr="000C0842">
        <w:rPr>
          <w:rFonts w:ascii="SimSun" w:eastAsia="SimSun" w:hAnsi="SimSun" w:cs="SimSun" w:hint="eastAsia"/>
          <w:sz w:val="24"/>
          <w:szCs w:val="24"/>
          <w:lang w:val="en-GB"/>
        </w:rPr>
        <w:t>信息，说明呈件已收入</w:t>
      </w:r>
      <w:r w:rsidRPr="000C0842">
        <w:rPr>
          <w:rFonts w:ascii="SimSun" w:eastAsia="SimSun" w:hAnsi="SimSun" w:cs="SimSun"/>
          <w:sz w:val="24"/>
          <w:szCs w:val="24"/>
          <w:lang w:val="en-GB"/>
        </w:rPr>
        <w:t>信息共享机制。呈件</w:t>
      </w:r>
      <w:r w:rsidRPr="000C0842">
        <w:rPr>
          <w:rFonts w:ascii="SimSun" w:eastAsia="SimSun" w:hAnsi="SimSun" w:cs="SimSun" w:hint="eastAsia"/>
          <w:sz w:val="24"/>
          <w:szCs w:val="24"/>
          <w:lang w:val="en-GB"/>
        </w:rPr>
        <w:t>应</w:t>
      </w:r>
      <w:r w:rsidRPr="000C0842">
        <w:rPr>
          <w:rFonts w:ascii="SimSun" w:eastAsia="SimSun" w:hAnsi="SimSun" w:cs="SimSun"/>
          <w:sz w:val="24"/>
          <w:szCs w:val="24"/>
          <w:lang w:val="en-GB"/>
        </w:rPr>
        <w:t>开放六个月供缔约方、其他国家政府和相关组织发表评论，秘书处</w:t>
      </w:r>
      <w:r w:rsidRPr="000C0842">
        <w:rPr>
          <w:rFonts w:ascii="SimSun" w:eastAsia="SimSun" w:hAnsi="SimSun" w:cs="SimSun" w:hint="eastAsia"/>
          <w:sz w:val="24"/>
          <w:szCs w:val="24"/>
          <w:lang w:val="en-GB"/>
        </w:rPr>
        <w:t>应</w:t>
      </w:r>
      <w:r w:rsidRPr="000C0842">
        <w:rPr>
          <w:rFonts w:ascii="SimSun" w:eastAsia="SimSun" w:hAnsi="SimSun" w:cs="SimSun"/>
          <w:sz w:val="24"/>
          <w:szCs w:val="24"/>
          <w:lang w:val="en-GB"/>
        </w:rPr>
        <w:t>把</w:t>
      </w:r>
      <w:r w:rsidRPr="000C0842">
        <w:rPr>
          <w:rFonts w:ascii="SimSun" w:eastAsia="SimSun" w:hAnsi="SimSun" w:cs="SimSun" w:hint="eastAsia"/>
          <w:sz w:val="24"/>
          <w:szCs w:val="24"/>
          <w:lang w:val="en-GB"/>
        </w:rPr>
        <w:t>收到的</w:t>
      </w:r>
      <w:r w:rsidRPr="000C0842">
        <w:rPr>
          <w:rFonts w:ascii="SimSun" w:eastAsia="SimSun" w:hAnsi="SimSun" w:cs="SimSun"/>
          <w:sz w:val="24"/>
          <w:szCs w:val="24"/>
          <w:lang w:val="en-GB"/>
        </w:rPr>
        <w:t>评论转交</w:t>
      </w:r>
      <w:r w:rsidRPr="000C0842">
        <w:rPr>
          <w:rFonts w:ascii="SimSun" w:eastAsia="SimSun" w:hAnsi="SimSun" w:cs="SimSun" w:hint="eastAsia"/>
          <w:sz w:val="24"/>
          <w:szCs w:val="24"/>
          <w:lang w:val="en-GB"/>
        </w:rPr>
        <w:t>提出</w:t>
      </w:r>
      <w:r w:rsidRPr="000C0842">
        <w:rPr>
          <w:rFonts w:ascii="SimSun" w:eastAsia="SimSun" w:hAnsi="SimSun" w:cs="SimSun"/>
          <w:sz w:val="24"/>
          <w:szCs w:val="24"/>
          <w:lang w:val="en-GB"/>
        </w:rPr>
        <w:t>方。</w:t>
      </w:r>
      <w:bookmarkEnd w:id="60"/>
    </w:p>
    <w:p w14:paraId="0E499160"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ascii="SimSun" w:eastAsia="SimSun" w:hAnsi="SimSun" w:cs="SimSun"/>
          <w:sz w:val="24"/>
          <w:szCs w:val="24"/>
          <w:lang w:val="en-GB"/>
        </w:rPr>
      </w:pPr>
      <w:bookmarkStart w:id="61" w:name="_Hlk160868954"/>
      <w:r w:rsidRPr="000C0842">
        <w:rPr>
          <w:rFonts w:ascii="SimSun" w:eastAsia="SimSun" w:hAnsi="SimSun" w:cs="SimSun"/>
          <w:sz w:val="24"/>
          <w:szCs w:val="24"/>
          <w:lang w:val="en-GB"/>
        </w:rPr>
        <w:t>评论将在信息共享机制发布，</w:t>
      </w:r>
      <w:r w:rsidRPr="000C0842">
        <w:rPr>
          <w:rFonts w:ascii="SimSun" w:eastAsia="SimSun" w:hAnsi="SimSun" w:cs="SimSun" w:hint="eastAsia"/>
          <w:sz w:val="24"/>
          <w:szCs w:val="24"/>
          <w:lang w:val="en-GB"/>
        </w:rPr>
        <w:t>提出</w:t>
      </w:r>
      <w:r w:rsidRPr="000C0842">
        <w:rPr>
          <w:rFonts w:ascii="SimSun" w:eastAsia="SimSun" w:hAnsi="SimSun" w:cs="SimSun"/>
          <w:sz w:val="24"/>
          <w:szCs w:val="24"/>
          <w:lang w:val="en-GB"/>
        </w:rPr>
        <w:t>方收到评论后可采取</w:t>
      </w:r>
      <w:r w:rsidRPr="000C0842">
        <w:rPr>
          <w:rFonts w:ascii="SimSun" w:eastAsia="SimSun" w:hAnsi="SimSun" w:cs="SimSun" w:hint="eastAsia"/>
          <w:sz w:val="24"/>
          <w:szCs w:val="24"/>
          <w:lang w:val="en-GB"/>
        </w:rPr>
        <w:t>下列</w:t>
      </w:r>
      <w:r w:rsidRPr="000C0842">
        <w:rPr>
          <w:rFonts w:ascii="SimSun" w:eastAsia="SimSun" w:hAnsi="SimSun" w:cs="SimSun"/>
          <w:sz w:val="24"/>
          <w:szCs w:val="24"/>
          <w:lang w:val="en-GB"/>
        </w:rPr>
        <w:t>行动</w:t>
      </w:r>
      <w:r w:rsidRPr="000C0842">
        <w:rPr>
          <w:rFonts w:ascii="SimSun" w:eastAsia="SimSun" w:hAnsi="SimSun" w:cs="SimSun" w:hint="eastAsia"/>
          <w:sz w:val="24"/>
          <w:szCs w:val="24"/>
          <w:lang w:val="en-GB"/>
        </w:rPr>
        <w:t>之一</w:t>
      </w:r>
      <w:r w:rsidRPr="000C0842">
        <w:rPr>
          <w:rFonts w:ascii="SimSun" w:eastAsia="SimSun" w:hAnsi="SimSun" w:cs="SimSun"/>
          <w:sz w:val="24"/>
          <w:szCs w:val="24"/>
          <w:lang w:val="en-GB"/>
        </w:rPr>
        <w:t>：</w:t>
      </w:r>
    </w:p>
    <w:p w14:paraId="375ADBA1" w14:textId="77777777" w:rsidR="005E77FA" w:rsidRPr="000C0842" w:rsidRDefault="005E77FA" w:rsidP="005E77FA">
      <w:pPr>
        <w:tabs>
          <w:tab w:val="clear" w:pos="567"/>
          <w:tab w:val="clear" w:pos="1134"/>
          <w:tab w:val="clear" w:pos="1701"/>
          <w:tab w:val="clear" w:pos="2268"/>
        </w:tabs>
        <w:spacing w:before="120" w:after="120" w:line="240" w:lineRule="atLeast"/>
        <w:ind w:left="1469" w:hanging="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hint="eastAsia"/>
          <w:sz w:val="24"/>
          <w:szCs w:val="24"/>
          <w:lang w:val="en-CA"/>
        </w:rPr>
        <w:t>处理</w:t>
      </w:r>
      <w:r w:rsidRPr="000C0842">
        <w:rPr>
          <w:rFonts w:eastAsia="SimSun"/>
          <w:sz w:val="24"/>
          <w:szCs w:val="24"/>
          <w:lang w:val="en-CA"/>
        </w:rPr>
        <w:t>收到的评论，必要时向秘书处提供</w:t>
      </w:r>
      <w:r w:rsidRPr="000C0842">
        <w:rPr>
          <w:rFonts w:eastAsia="SimSun" w:hint="eastAsia"/>
          <w:sz w:val="24"/>
          <w:szCs w:val="24"/>
          <w:lang w:val="en-CA"/>
        </w:rPr>
        <w:t>订正</w:t>
      </w:r>
      <w:r w:rsidRPr="000C0842">
        <w:rPr>
          <w:rFonts w:eastAsia="SimSun"/>
          <w:sz w:val="24"/>
          <w:szCs w:val="24"/>
          <w:lang w:val="en-CA"/>
        </w:rPr>
        <w:t>版本；</w:t>
      </w:r>
    </w:p>
    <w:p w14:paraId="33A87B77"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(b)</w:t>
      </w:r>
      <w:r w:rsidRPr="000C0842">
        <w:rPr>
          <w:rFonts w:eastAsia="SimSun"/>
          <w:sz w:val="24"/>
          <w:szCs w:val="24"/>
          <w:lang w:val="en-CA"/>
        </w:rPr>
        <w:tab/>
      </w:r>
      <w:r w:rsidRPr="000C0842">
        <w:rPr>
          <w:rFonts w:eastAsia="SimSun"/>
          <w:sz w:val="24"/>
          <w:szCs w:val="24"/>
          <w:lang w:val="en-CA"/>
        </w:rPr>
        <w:t>不</w:t>
      </w:r>
      <w:r w:rsidRPr="000C0842">
        <w:rPr>
          <w:rFonts w:eastAsia="SimSun" w:hint="eastAsia"/>
          <w:sz w:val="24"/>
          <w:szCs w:val="24"/>
          <w:lang w:val="en-CA"/>
        </w:rPr>
        <w:t>处理</w:t>
      </w:r>
      <w:r w:rsidRPr="000C0842">
        <w:rPr>
          <w:rFonts w:eastAsia="SimSun"/>
          <w:sz w:val="24"/>
          <w:szCs w:val="24"/>
          <w:lang w:val="en-CA"/>
        </w:rPr>
        <w:t>收到的评论，不采取进一步行动</w:t>
      </w:r>
      <w:r w:rsidRPr="000C0842">
        <w:rPr>
          <w:rFonts w:eastAsia="SimSun" w:hint="eastAsia"/>
          <w:sz w:val="24"/>
          <w:szCs w:val="24"/>
          <w:lang w:val="en-CA"/>
        </w:rPr>
        <w:t>。在这种情况下，信息分享机制将显示呈件和评论的记录，秘书处可应要求提供实际呈件和评论</w:t>
      </w:r>
      <w:r w:rsidRPr="000C0842">
        <w:rPr>
          <w:rFonts w:eastAsia="SimSun"/>
          <w:sz w:val="24"/>
          <w:szCs w:val="24"/>
          <w:lang w:val="en-CA"/>
        </w:rPr>
        <w:t>；</w:t>
      </w:r>
    </w:p>
    <w:p w14:paraId="6195651C"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(c)</w:t>
      </w:r>
      <w:r w:rsidRPr="000C0842">
        <w:rPr>
          <w:rFonts w:eastAsia="SimSun"/>
          <w:sz w:val="24"/>
          <w:szCs w:val="24"/>
          <w:lang w:val="en-CA"/>
        </w:rPr>
        <w:tab/>
      </w:r>
      <w:r w:rsidRPr="000C0842">
        <w:rPr>
          <w:rFonts w:eastAsia="SimSun"/>
          <w:sz w:val="24"/>
          <w:szCs w:val="24"/>
          <w:lang w:val="en-CA"/>
        </w:rPr>
        <w:t>请秘书处从信息共享机制中删除其</w:t>
      </w:r>
      <w:r w:rsidRPr="000C0842">
        <w:rPr>
          <w:rFonts w:eastAsia="SimSun" w:hint="eastAsia"/>
          <w:sz w:val="24"/>
          <w:szCs w:val="24"/>
          <w:lang w:val="en-CA"/>
        </w:rPr>
        <w:t>原始</w:t>
      </w:r>
      <w:r w:rsidRPr="000C0842">
        <w:rPr>
          <w:rFonts w:eastAsia="SimSun"/>
          <w:sz w:val="24"/>
          <w:szCs w:val="24"/>
          <w:lang w:val="en-CA"/>
        </w:rPr>
        <w:t>呈件。</w:t>
      </w:r>
      <w:r w:rsidRPr="000C0842">
        <w:rPr>
          <w:rFonts w:eastAsia="SimSun" w:hint="eastAsia"/>
          <w:sz w:val="24"/>
          <w:szCs w:val="24"/>
          <w:lang w:val="en-CA"/>
        </w:rPr>
        <w:t>在这种情况下，呈件和评论均将被删除。</w:t>
      </w:r>
    </w:p>
    <w:bookmarkEnd w:id="61"/>
    <w:p w14:paraId="3B54DE0E"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ascii="SimSun" w:eastAsia="SimSun" w:hAnsi="SimSun" w:cs="SimSun"/>
          <w:sz w:val="24"/>
          <w:szCs w:val="24"/>
          <w:lang w:val="en-GB"/>
        </w:rPr>
      </w:pPr>
      <w:r w:rsidRPr="000C0842">
        <w:rPr>
          <w:rFonts w:ascii="SimSun" w:eastAsia="SimSun" w:hAnsi="SimSun" w:cs="SimSun"/>
          <w:sz w:val="24"/>
          <w:szCs w:val="24"/>
          <w:lang w:val="en-GB"/>
        </w:rPr>
        <w:t>如果提</w:t>
      </w:r>
      <w:r w:rsidRPr="000C0842">
        <w:rPr>
          <w:rFonts w:ascii="SimSun" w:eastAsia="SimSun" w:hAnsi="SimSun" w:cs="SimSun" w:hint="eastAsia"/>
          <w:sz w:val="24"/>
          <w:szCs w:val="24"/>
          <w:lang w:val="en-GB"/>
        </w:rPr>
        <w:t>出</w:t>
      </w:r>
      <w:r w:rsidRPr="000C0842">
        <w:rPr>
          <w:rFonts w:ascii="SimSun" w:eastAsia="SimSun" w:hAnsi="SimSun" w:cs="SimSun"/>
          <w:sz w:val="24"/>
          <w:szCs w:val="24"/>
          <w:lang w:val="en-GB"/>
        </w:rPr>
        <w:t>方</w:t>
      </w:r>
      <w:r w:rsidRPr="000C0842">
        <w:rPr>
          <w:rFonts w:ascii="SimSun" w:eastAsia="SimSun" w:hAnsi="SimSun" w:cs="SimSun" w:hint="eastAsia"/>
          <w:sz w:val="24"/>
          <w:szCs w:val="24"/>
          <w:lang w:val="en-GB"/>
        </w:rPr>
        <w:t>收到评论，</w:t>
      </w:r>
      <w:r w:rsidRPr="000C0842">
        <w:rPr>
          <w:rFonts w:ascii="SimSun" w:eastAsia="SimSun" w:hAnsi="SimSun" w:cs="SimSun"/>
          <w:sz w:val="24"/>
          <w:szCs w:val="24"/>
          <w:lang w:val="en-GB"/>
        </w:rPr>
        <w:t>决定</w:t>
      </w:r>
      <w:r w:rsidRPr="000C0842">
        <w:rPr>
          <w:rFonts w:ascii="SimSun" w:eastAsia="SimSun" w:hAnsi="SimSun" w:cs="SimSun" w:hint="eastAsia"/>
          <w:sz w:val="24"/>
          <w:szCs w:val="24"/>
          <w:lang w:val="en-GB"/>
        </w:rPr>
        <w:t>予以</w:t>
      </w:r>
      <w:r w:rsidRPr="000C0842">
        <w:rPr>
          <w:rFonts w:ascii="SimSun" w:eastAsia="SimSun" w:hAnsi="SimSun" w:cs="SimSun"/>
          <w:sz w:val="24"/>
          <w:szCs w:val="24"/>
          <w:lang w:val="en-GB"/>
        </w:rPr>
        <w:t>考虑，并</w:t>
      </w:r>
      <w:r w:rsidRPr="000C0842">
        <w:rPr>
          <w:rFonts w:ascii="SimSun" w:eastAsia="SimSun" w:hAnsi="SimSun" w:cs="SimSun" w:hint="eastAsia"/>
          <w:sz w:val="24"/>
          <w:szCs w:val="24"/>
          <w:lang w:val="en-GB"/>
        </w:rPr>
        <w:t>在必要时</w:t>
      </w:r>
      <w:r w:rsidRPr="000C0842">
        <w:rPr>
          <w:rFonts w:ascii="SimSun" w:eastAsia="SimSun" w:hAnsi="SimSun" w:cs="SimSun"/>
          <w:sz w:val="24"/>
          <w:szCs w:val="24"/>
          <w:lang w:val="en-GB"/>
        </w:rPr>
        <w:t>向秘书处提供了呈件的修改版本，秘书处</w:t>
      </w:r>
      <w:r w:rsidRPr="000C0842">
        <w:rPr>
          <w:rFonts w:ascii="SimSun" w:eastAsia="SimSun" w:hAnsi="SimSun" w:cs="SimSun" w:hint="eastAsia"/>
          <w:sz w:val="24"/>
          <w:szCs w:val="24"/>
          <w:lang w:val="en-GB"/>
        </w:rPr>
        <w:t>应</w:t>
      </w:r>
      <w:r w:rsidRPr="000C0842">
        <w:rPr>
          <w:rFonts w:ascii="SimSun" w:eastAsia="SimSun" w:hAnsi="SimSun" w:cs="SimSun"/>
          <w:sz w:val="24"/>
          <w:szCs w:val="24"/>
          <w:lang w:val="en-GB"/>
        </w:rPr>
        <w:t>把呈件转交科学、技术和工艺咨询附属机构和缔约方大会审议。提</w:t>
      </w:r>
      <w:r w:rsidRPr="000C0842">
        <w:rPr>
          <w:rFonts w:ascii="SimSun" w:eastAsia="SimSun" w:hAnsi="SimSun" w:cs="SimSun" w:hint="eastAsia"/>
          <w:sz w:val="24"/>
          <w:szCs w:val="24"/>
          <w:lang w:val="en-GB"/>
        </w:rPr>
        <w:t>出</w:t>
      </w:r>
      <w:r w:rsidRPr="000C0842">
        <w:rPr>
          <w:rFonts w:ascii="SimSun" w:eastAsia="SimSun" w:hAnsi="SimSun" w:cs="SimSun"/>
          <w:sz w:val="24"/>
          <w:szCs w:val="24"/>
          <w:lang w:val="en-GB"/>
        </w:rPr>
        <w:t>方还可以请求在将这些材料提交科咨机构之前，在根据</w:t>
      </w:r>
      <w:r w:rsidRPr="000C0842">
        <w:rPr>
          <w:rFonts w:ascii="SimSun" w:eastAsia="SimSun" w:hAnsi="SimSun" w:cs="SimSun" w:hint="eastAsia"/>
          <w:sz w:val="24"/>
          <w:szCs w:val="24"/>
          <w:lang w:val="en-GB"/>
        </w:rPr>
        <w:t>本</w:t>
      </w:r>
      <w:r w:rsidRPr="000C0842">
        <w:rPr>
          <w:rFonts w:ascii="SimSun" w:eastAsia="SimSun" w:hAnsi="SimSun" w:cs="SimSun"/>
          <w:sz w:val="24"/>
          <w:szCs w:val="24"/>
          <w:lang w:val="en-GB"/>
        </w:rPr>
        <w:t>决定</w:t>
      </w:r>
      <w:r w:rsidRPr="000C0842">
        <w:rPr>
          <w:rFonts w:ascii="SimSun" w:eastAsia="SimSun" w:hAnsi="SimSun" w:cs="SimSun" w:hint="eastAsia"/>
          <w:sz w:val="24"/>
          <w:szCs w:val="24"/>
          <w:lang w:val="en-GB"/>
        </w:rPr>
        <w:t>第4段</w:t>
      </w:r>
      <w:r w:rsidRPr="000C0842">
        <w:rPr>
          <w:rFonts w:ascii="SimSun" w:eastAsia="SimSun" w:hAnsi="SimSun" w:cs="SimSun"/>
          <w:sz w:val="24"/>
          <w:szCs w:val="24"/>
          <w:lang w:val="en-GB"/>
        </w:rPr>
        <w:t>举行的具有重要生态或生物意义的海洋区域研讨会上对其进行讨论。</w:t>
      </w:r>
    </w:p>
    <w:p w14:paraId="41D794BB"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CA"/>
        </w:rPr>
      </w:pPr>
      <w:r w:rsidRPr="000C0842">
        <w:rPr>
          <w:rFonts w:ascii="SimSun" w:eastAsia="SimSun" w:hAnsi="SimSun" w:cs="SimSun" w:hint="eastAsia"/>
          <w:sz w:val="24"/>
          <w:szCs w:val="24"/>
          <w:lang w:val="en-GB"/>
        </w:rPr>
        <w:t>应科咨机构的建议将呈件提供缔约方大会审议。</w:t>
      </w:r>
      <w:r w:rsidRPr="000C0842">
        <w:rPr>
          <w:rFonts w:ascii="SimSun" w:eastAsia="SimSun" w:hAnsi="SimSun" w:cs="SimSun"/>
          <w:sz w:val="24"/>
          <w:szCs w:val="24"/>
          <w:lang w:val="en-GB"/>
        </w:rPr>
        <w:t>缔约方大会</w:t>
      </w:r>
      <w:r w:rsidRPr="000C0842">
        <w:rPr>
          <w:rFonts w:ascii="SimSun" w:eastAsia="SimSun" w:hAnsi="SimSun" w:cs="SimSun" w:hint="eastAsia"/>
          <w:sz w:val="24"/>
          <w:szCs w:val="24"/>
          <w:lang w:val="en-GB"/>
        </w:rPr>
        <w:t>应</w:t>
      </w:r>
      <w:r w:rsidRPr="000C0842">
        <w:rPr>
          <w:rFonts w:ascii="SimSun" w:eastAsia="SimSun" w:hAnsi="SimSun" w:cs="SimSun"/>
          <w:sz w:val="24"/>
          <w:szCs w:val="24"/>
          <w:lang w:val="en-GB"/>
        </w:rPr>
        <w:t>决定</w:t>
      </w:r>
      <w:r w:rsidRPr="000C0842">
        <w:rPr>
          <w:rFonts w:ascii="SimSun" w:eastAsia="SimSun" w:hAnsi="SimSun" w:cs="SimSun" w:hint="eastAsia"/>
          <w:sz w:val="24"/>
          <w:szCs w:val="24"/>
          <w:lang w:val="en-GB"/>
        </w:rPr>
        <w:t>是否</w:t>
      </w:r>
      <w:r w:rsidRPr="000C0842">
        <w:rPr>
          <w:rFonts w:ascii="SimSun" w:eastAsia="SimSun" w:hAnsi="SimSun" w:cs="SimSun"/>
          <w:sz w:val="24"/>
          <w:szCs w:val="24"/>
          <w:lang w:val="en-GB"/>
        </w:rPr>
        <w:t>将</w:t>
      </w:r>
      <w:r w:rsidRPr="000C0842">
        <w:rPr>
          <w:rFonts w:ascii="SimSun" w:eastAsia="SimSun" w:hAnsi="SimSun" w:cs="SimSun" w:hint="eastAsia"/>
          <w:sz w:val="24"/>
          <w:szCs w:val="24"/>
          <w:lang w:val="en-GB"/>
        </w:rPr>
        <w:t>呈件</w:t>
      </w:r>
      <w:r w:rsidRPr="000C0842">
        <w:rPr>
          <w:rFonts w:ascii="SimSun" w:eastAsia="SimSun" w:hAnsi="SimSun" w:cs="SimSun"/>
          <w:sz w:val="24"/>
          <w:szCs w:val="24"/>
          <w:lang w:val="en-GB"/>
        </w:rPr>
        <w:t>收入具有重要生态或生物意义的海洋区域数据存储库。无论是否将材料收入存</w:t>
      </w:r>
      <w:r w:rsidRPr="000C0842">
        <w:rPr>
          <w:rFonts w:ascii="SimSun" w:eastAsia="SimSun" w:hAnsi="SimSun" w:cs="SimSun" w:hint="eastAsia"/>
          <w:sz w:val="24"/>
          <w:szCs w:val="24"/>
          <w:lang w:val="en-GB"/>
        </w:rPr>
        <w:t>储库，都应在信息共享机制中保留一条提交记录。</w:t>
      </w:r>
      <w:r w:rsidRPr="000C0842">
        <w:rPr>
          <w:rFonts w:eastAsia="Times New Roman"/>
          <w:sz w:val="24"/>
          <w:szCs w:val="24"/>
          <w:lang w:val="en-CA"/>
        </w:rPr>
        <w:t xml:space="preserve"> </w:t>
      </w:r>
    </w:p>
    <w:p w14:paraId="06719504" w14:textId="77777777" w:rsidR="005E77FA" w:rsidRPr="000C0842" w:rsidRDefault="005E77FA" w:rsidP="005E77FA">
      <w:pPr>
        <w:tabs>
          <w:tab w:val="clear" w:pos="567"/>
          <w:tab w:val="clear" w:pos="1134"/>
          <w:tab w:val="clear" w:pos="1701"/>
          <w:tab w:val="clear" w:pos="2268"/>
        </w:tabs>
        <w:spacing w:before="120" w:after="120" w:line="240" w:lineRule="atLeast"/>
        <w:rPr>
          <w:rFonts w:eastAsia="SimSun"/>
          <w:b/>
          <w:bCs/>
          <w:sz w:val="24"/>
          <w:szCs w:val="24"/>
          <w:u w:val="single"/>
          <w:lang w:val="en-CA"/>
        </w:rPr>
      </w:pPr>
      <w:r w:rsidRPr="000C0842">
        <w:rPr>
          <w:rFonts w:eastAsia="SimSun" w:hint="eastAsia"/>
          <w:b/>
          <w:bCs/>
          <w:sz w:val="24"/>
          <w:szCs w:val="24"/>
        </w:rPr>
        <w:t>2.</w:t>
      </w:r>
      <w:r w:rsidRPr="000C0842">
        <w:rPr>
          <w:rFonts w:eastAsia="SimSun"/>
          <w:b/>
          <w:bCs/>
          <w:sz w:val="24"/>
          <w:szCs w:val="24"/>
        </w:rPr>
        <w:tab/>
      </w:r>
      <w:r w:rsidRPr="000C0842">
        <w:rPr>
          <w:rFonts w:eastAsia="SimSun"/>
          <w:b/>
          <w:bCs/>
          <w:sz w:val="24"/>
          <w:szCs w:val="24"/>
        </w:rPr>
        <w:t>收入具有重要生态或生物意义的海洋区域信息共享机制</w:t>
      </w:r>
      <w:r w:rsidRPr="000C0842">
        <w:rPr>
          <w:rFonts w:eastAsia="SimSun"/>
          <w:sz w:val="24"/>
          <w:szCs w:val="24"/>
          <w:vertAlign w:val="superscript"/>
          <w:lang w:val="en-CA"/>
        </w:rPr>
        <w:footnoteReference w:id="160"/>
      </w:r>
    </w:p>
    <w:p w14:paraId="4E6E6E14"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ascii="SimSun" w:eastAsia="SimSun" w:hAnsi="SimSun" w:cs="SimSun"/>
          <w:sz w:val="24"/>
          <w:szCs w:val="24"/>
          <w:lang w:val="en-GB"/>
        </w:rPr>
        <w:t>供收入具有重要生态或生物意义的海洋区域信息共享机制</w:t>
      </w:r>
      <w:r w:rsidRPr="000C0842">
        <w:rPr>
          <w:rFonts w:ascii="SimSun" w:eastAsia="SimSun" w:hAnsi="SimSun" w:cs="SimSun" w:hint="eastAsia"/>
          <w:sz w:val="24"/>
          <w:szCs w:val="24"/>
          <w:lang w:val="en-GB"/>
        </w:rPr>
        <w:t>的</w:t>
      </w:r>
      <w:r w:rsidRPr="000C0842">
        <w:rPr>
          <w:rFonts w:ascii="SimSun" w:eastAsia="SimSun" w:hAnsi="SimSun" w:cs="SimSun"/>
          <w:sz w:val="24"/>
          <w:szCs w:val="24"/>
          <w:lang w:val="en-GB"/>
        </w:rPr>
        <w:t>对国家管辖范围以内某个区域的修改或描述</w:t>
      </w:r>
      <w:r w:rsidRPr="000C0842">
        <w:rPr>
          <w:rFonts w:eastAsia="SimSun"/>
          <w:sz w:val="24"/>
          <w:szCs w:val="24"/>
          <w:vertAlign w:val="superscript"/>
          <w:lang w:val="en-GB"/>
        </w:rPr>
        <w:footnoteReference w:id="161"/>
      </w:r>
      <w:r w:rsidRPr="000C0842">
        <w:rPr>
          <w:rFonts w:ascii="SimSun" w:eastAsia="SimSun" w:hAnsi="SimSun" w:cs="SimSun"/>
          <w:sz w:val="24"/>
          <w:szCs w:val="24"/>
          <w:lang w:val="en-GB"/>
        </w:rPr>
        <w:t>必须向秘书处提交，同时提供有关</w:t>
      </w:r>
      <w:r w:rsidRPr="000C0842">
        <w:rPr>
          <w:rFonts w:ascii="SimSun" w:eastAsia="SimSun" w:hAnsi="SimSun" w:cs="SimSun" w:hint="eastAsia"/>
          <w:sz w:val="24"/>
          <w:szCs w:val="24"/>
          <w:lang w:val="en-GB"/>
        </w:rPr>
        <w:t>呈件拟定</w:t>
      </w:r>
      <w:r w:rsidRPr="000C0842">
        <w:rPr>
          <w:rFonts w:ascii="SimSun" w:eastAsia="SimSun" w:hAnsi="SimSun" w:cs="SimSun"/>
          <w:sz w:val="24"/>
          <w:szCs w:val="24"/>
          <w:lang w:val="en-GB"/>
        </w:rPr>
        <w:t>过程的信息，包括关于任何科学同行评议过程的信息，如果包括基于传统知识的信息，则须说明根据</w:t>
      </w:r>
      <w:r w:rsidRPr="000C0842">
        <w:rPr>
          <w:rFonts w:ascii="SimSun" w:eastAsia="SimSun" w:hAnsi="SimSun" w:cs="SimSun" w:hint="eastAsia"/>
          <w:sz w:val="24"/>
          <w:szCs w:val="24"/>
          <w:lang w:val="en-GB"/>
        </w:rPr>
        <w:t>相关国家法律、包括</w:t>
      </w:r>
      <w:r w:rsidRPr="000C0842">
        <w:rPr>
          <w:rFonts w:ascii="SimSun" w:eastAsia="SimSun" w:hAnsi="SimSun" w:cs="SimSun"/>
          <w:sz w:val="24"/>
          <w:szCs w:val="24"/>
          <w:lang w:val="en-GB"/>
        </w:rPr>
        <w:t>《联合国土著人民权利宣言》</w:t>
      </w:r>
      <w:r w:rsidRPr="000C0842">
        <w:rPr>
          <w:rFonts w:ascii="SimSun" w:eastAsia="SimSun" w:hAnsi="SimSun" w:cs="SimSun" w:hint="eastAsia"/>
          <w:sz w:val="24"/>
          <w:szCs w:val="24"/>
          <w:lang w:val="en-GB"/>
        </w:rPr>
        <w:t>在内的国际文书、人权法，并酌情根据</w:t>
      </w:r>
      <w:r w:rsidRPr="000C0842">
        <w:rPr>
          <w:rFonts w:ascii="SimSun" w:eastAsia="SimSun" w:hAnsi="SimSun" w:cs="SimSun"/>
          <w:sz w:val="24"/>
          <w:szCs w:val="24"/>
          <w:lang w:val="en-GB"/>
        </w:rPr>
        <w:t>《“生命之根”自愿准则》，经过土著人民和地方社区自由、事先和知情同</w:t>
      </w:r>
      <w:r w:rsidRPr="000C0842">
        <w:rPr>
          <w:rFonts w:eastAsia="SimSun"/>
          <w:sz w:val="24"/>
          <w:szCs w:val="24"/>
          <w:lang w:val="en-GB"/>
        </w:rPr>
        <w:t>意，与他们进行的协商。关于</w:t>
      </w:r>
      <w:r w:rsidRPr="000C0842">
        <w:rPr>
          <w:rFonts w:eastAsia="SimSun" w:hint="eastAsia"/>
          <w:sz w:val="24"/>
          <w:szCs w:val="24"/>
          <w:lang w:val="en-GB"/>
        </w:rPr>
        <w:t>呈件的拟定</w:t>
      </w:r>
      <w:r w:rsidRPr="000C0842">
        <w:rPr>
          <w:rFonts w:eastAsia="SimSun"/>
          <w:sz w:val="24"/>
          <w:szCs w:val="24"/>
          <w:lang w:val="en-GB"/>
        </w:rPr>
        <w:t>工作，提</w:t>
      </w:r>
      <w:r w:rsidRPr="000C0842">
        <w:rPr>
          <w:rFonts w:eastAsia="SimSun" w:hint="eastAsia"/>
          <w:sz w:val="24"/>
          <w:szCs w:val="24"/>
          <w:lang w:val="en-GB"/>
        </w:rPr>
        <w:t>出</w:t>
      </w:r>
      <w:r w:rsidRPr="000C0842">
        <w:rPr>
          <w:rFonts w:eastAsia="SimSun"/>
          <w:sz w:val="24"/>
          <w:szCs w:val="24"/>
          <w:lang w:val="en-GB"/>
        </w:rPr>
        <w:t>方还可以采用以下选项：</w:t>
      </w:r>
    </w:p>
    <w:p w14:paraId="7D81D4DF"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sz w:val="24"/>
          <w:szCs w:val="24"/>
          <w:lang w:val="en-CA"/>
        </w:rPr>
        <w:t>提</w:t>
      </w:r>
      <w:r w:rsidRPr="000C0842">
        <w:rPr>
          <w:rFonts w:eastAsia="SimSun" w:hint="eastAsia"/>
          <w:sz w:val="24"/>
          <w:szCs w:val="24"/>
          <w:lang w:val="en-CA"/>
        </w:rPr>
        <w:t>出</w:t>
      </w:r>
      <w:r w:rsidRPr="000C0842">
        <w:rPr>
          <w:rFonts w:eastAsia="SimSun"/>
          <w:sz w:val="24"/>
          <w:szCs w:val="24"/>
          <w:lang w:val="en-CA"/>
        </w:rPr>
        <w:t>方可在</w:t>
      </w:r>
      <w:r w:rsidRPr="000C0842">
        <w:rPr>
          <w:rFonts w:eastAsia="SimSun" w:hint="eastAsia"/>
          <w:sz w:val="24"/>
          <w:szCs w:val="24"/>
          <w:lang w:val="en-CA"/>
        </w:rPr>
        <w:t>向秘书处提交呈件</w:t>
      </w:r>
      <w:r w:rsidRPr="000C0842">
        <w:rPr>
          <w:rFonts w:eastAsia="SimSun"/>
          <w:sz w:val="24"/>
          <w:szCs w:val="24"/>
          <w:lang w:val="en-CA"/>
        </w:rPr>
        <w:t>之前请秘书处发出通知</w:t>
      </w:r>
      <w:r w:rsidRPr="000C0842">
        <w:rPr>
          <w:rFonts w:eastAsia="SimSun"/>
          <w:sz w:val="24"/>
          <w:szCs w:val="24"/>
        </w:rPr>
        <w:t>，通报其提交一项描述或修改的意图；</w:t>
      </w:r>
    </w:p>
    <w:p w14:paraId="78D06685"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lang w:val="en-CA"/>
        </w:rPr>
        <w:t>(b)</w:t>
      </w:r>
      <w:r w:rsidRPr="000C0842">
        <w:rPr>
          <w:rFonts w:eastAsia="SimSun"/>
          <w:sz w:val="24"/>
          <w:szCs w:val="24"/>
          <w:lang w:val="en-CA"/>
        </w:rPr>
        <w:tab/>
      </w:r>
      <w:r w:rsidRPr="000C0842">
        <w:rPr>
          <w:rFonts w:eastAsia="SimSun"/>
          <w:sz w:val="24"/>
          <w:szCs w:val="24"/>
          <w:lang w:val="en-CA"/>
        </w:rPr>
        <w:t>提</w:t>
      </w:r>
      <w:r w:rsidRPr="000C0842">
        <w:rPr>
          <w:rFonts w:eastAsia="SimSun" w:hint="eastAsia"/>
          <w:sz w:val="24"/>
          <w:szCs w:val="24"/>
          <w:lang w:val="en-CA"/>
        </w:rPr>
        <w:t>出</w:t>
      </w:r>
      <w:r w:rsidRPr="000C0842">
        <w:rPr>
          <w:rFonts w:eastAsia="SimSun"/>
          <w:sz w:val="24"/>
          <w:szCs w:val="24"/>
          <w:lang w:val="en-CA"/>
        </w:rPr>
        <w:t>方还可选择在根据</w:t>
      </w:r>
      <w:r w:rsidRPr="000C0842">
        <w:rPr>
          <w:rFonts w:eastAsia="SimSun" w:hint="eastAsia"/>
          <w:sz w:val="24"/>
          <w:szCs w:val="24"/>
          <w:lang w:val="en-CA"/>
        </w:rPr>
        <w:t>本</w:t>
      </w:r>
      <w:r w:rsidRPr="000C0842">
        <w:rPr>
          <w:rFonts w:eastAsia="SimSun"/>
          <w:sz w:val="24"/>
          <w:szCs w:val="24"/>
          <w:lang w:val="en-CA"/>
        </w:rPr>
        <w:t>决定</w:t>
      </w:r>
      <w:r w:rsidRPr="000C0842">
        <w:rPr>
          <w:rFonts w:eastAsia="SimSun" w:hint="eastAsia"/>
          <w:sz w:val="24"/>
          <w:szCs w:val="24"/>
          <w:lang w:val="en-CA"/>
        </w:rPr>
        <w:t>第</w:t>
      </w:r>
      <w:r w:rsidRPr="000C0842">
        <w:rPr>
          <w:rFonts w:eastAsia="SimSun" w:hint="eastAsia"/>
          <w:sz w:val="24"/>
          <w:szCs w:val="24"/>
          <w:lang w:val="en-CA"/>
        </w:rPr>
        <w:t>4</w:t>
      </w:r>
      <w:r w:rsidRPr="000C0842">
        <w:rPr>
          <w:rFonts w:eastAsia="SimSun" w:hint="eastAsia"/>
          <w:sz w:val="24"/>
          <w:szCs w:val="24"/>
          <w:lang w:val="en-CA"/>
        </w:rPr>
        <w:t>段</w:t>
      </w:r>
      <w:r w:rsidRPr="000C0842">
        <w:rPr>
          <w:rFonts w:eastAsia="SimSun"/>
          <w:sz w:val="24"/>
          <w:szCs w:val="24"/>
          <w:lang w:val="en-CA"/>
        </w:rPr>
        <w:t>举行的具有重要生态或生物意义的海洋区域研讨会上拟定或完善呈件的草案</w:t>
      </w:r>
      <w:r w:rsidRPr="000C0842">
        <w:rPr>
          <w:rFonts w:eastAsia="SimSun"/>
          <w:sz w:val="24"/>
          <w:szCs w:val="24"/>
        </w:rPr>
        <w:t>，然后将其提交秘书处。</w:t>
      </w:r>
    </w:p>
    <w:p w14:paraId="6DF9F1BA"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秘书处收到呈件后，</w:t>
      </w:r>
      <w:r w:rsidRPr="000C0842">
        <w:rPr>
          <w:rFonts w:eastAsia="SimSun" w:hint="eastAsia"/>
          <w:sz w:val="24"/>
          <w:szCs w:val="24"/>
          <w:lang w:val="en-GB"/>
        </w:rPr>
        <w:t>仅应将其提供</w:t>
      </w:r>
      <w:r w:rsidRPr="000C0842">
        <w:rPr>
          <w:rFonts w:eastAsia="SimSun"/>
          <w:sz w:val="24"/>
          <w:szCs w:val="24"/>
          <w:lang w:val="en-GB"/>
        </w:rPr>
        <w:t>缔约方</w:t>
      </w:r>
      <w:r w:rsidRPr="000C0842">
        <w:rPr>
          <w:rFonts w:eastAsia="SimSun" w:hint="eastAsia"/>
          <w:sz w:val="24"/>
          <w:szCs w:val="24"/>
          <w:lang w:val="en-GB"/>
        </w:rPr>
        <w:t>和</w:t>
      </w:r>
      <w:r w:rsidRPr="000C0842">
        <w:rPr>
          <w:rFonts w:eastAsia="SimSun"/>
          <w:sz w:val="24"/>
          <w:szCs w:val="24"/>
          <w:lang w:val="en-GB"/>
        </w:rPr>
        <w:t>其他国家政府</w:t>
      </w:r>
      <w:r w:rsidRPr="000C0842">
        <w:rPr>
          <w:rFonts w:eastAsia="SimSun" w:hint="eastAsia"/>
          <w:sz w:val="24"/>
          <w:szCs w:val="24"/>
          <w:lang w:val="en-GB"/>
        </w:rPr>
        <w:t>查阅，并向</w:t>
      </w:r>
      <w:r w:rsidRPr="000C0842">
        <w:rPr>
          <w:rFonts w:eastAsia="SimSun"/>
          <w:sz w:val="24"/>
          <w:szCs w:val="24"/>
          <w:lang w:val="en-GB"/>
        </w:rPr>
        <w:t>缔约方</w:t>
      </w:r>
      <w:r w:rsidRPr="000C0842">
        <w:rPr>
          <w:rFonts w:eastAsia="SimSun" w:hint="eastAsia"/>
          <w:sz w:val="24"/>
          <w:szCs w:val="24"/>
          <w:lang w:val="en-GB"/>
        </w:rPr>
        <w:t>和</w:t>
      </w:r>
      <w:r w:rsidRPr="000C0842">
        <w:rPr>
          <w:rFonts w:eastAsia="SimSun"/>
          <w:sz w:val="24"/>
          <w:szCs w:val="24"/>
          <w:lang w:val="en-GB"/>
        </w:rPr>
        <w:t>其他国家政府发出通知，说明呈件可供查阅。</w:t>
      </w:r>
      <w:r w:rsidRPr="000C0842">
        <w:rPr>
          <w:rFonts w:eastAsia="SimSun"/>
          <w:sz w:val="24"/>
          <w:szCs w:val="24"/>
          <w:lang w:val="en-GB"/>
        </w:rPr>
        <w:t xml:space="preserve"> </w:t>
      </w:r>
      <w:r w:rsidRPr="000C0842">
        <w:rPr>
          <w:rFonts w:eastAsia="SimSun"/>
          <w:sz w:val="24"/>
          <w:szCs w:val="24"/>
          <w:lang w:val="en-GB"/>
        </w:rPr>
        <w:t>经过五个月的时间让</w:t>
      </w:r>
      <w:r w:rsidRPr="000C0842">
        <w:rPr>
          <w:rFonts w:eastAsia="SimSun" w:hint="eastAsia"/>
          <w:sz w:val="24"/>
          <w:szCs w:val="24"/>
          <w:lang w:val="en-GB"/>
        </w:rPr>
        <w:t>国家</w:t>
      </w:r>
      <w:r w:rsidRPr="000C0842">
        <w:rPr>
          <w:rFonts w:eastAsia="SimSun"/>
          <w:sz w:val="24"/>
          <w:szCs w:val="24"/>
          <w:lang w:val="en-GB"/>
        </w:rPr>
        <w:t>适用本决定附件第</w:t>
      </w:r>
      <w:r w:rsidRPr="000C0842">
        <w:rPr>
          <w:rFonts w:eastAsia="SimSun"/>
          <w:sz w:val="24"/>
          <w:szCs w:val="24"/>
          <w:lang w:val="en-GB"/>
        </w:rPr>
        <w:t>5</w:t>
      </w:r>
      <w:r w:rsidRPr="000C0842">
        <w:rPr>
          <w:rFonts w:eastAsia="SimSun"/>
          <w:sz w:val="24"/>
          <w:szCs w:val="24"/>
          <w:lang w:val="en-GB"/>
        </w:rPr>
        <w:t>段的规定后，将呈件收入信息共享机制。收入后，提出方可要求把呈件开放六个月供缔约方、其他国家政府和相关组织发表评论，秘书处应把收到的评论转交提出方。</w:t>
      </w:r>
    </w:p>
    <w:p w14:paraId="28BB5EB0"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评论将在信息共享机制公布，提出方收到评论后可采取下列行动</w:t>
      </w:r>
      <w:r w:rsidRPr="000C0842">
        <w:rPr>
          <w:rFonts w:eastAsia="SimSun" w:hint="eastAsia"/>
          <w:sz w:val="24"/>
          <w:szCs w:val="24"/>
          <w:lang w:val="en-GB"/>
        </w:rPr>
        <w:t>之一</w:t>
      </w:r>
      <w:r w:rsidRPr="000C0842">
        <w:rPr>
          <w:rFonts w:eastAsia="SimSun"/>
          <w:sz w:val="24"/>
          <w:szCs w:val="24"/>
          <w:lang w:val="en-GB"/>
        </w:rPr>
        <w:t>：</w:t>
      </w:r>
    </w:p>
    <w:p w14:paraId="372C51FE"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SimSun"/>
          <w:sz w:val="24"/>
          <w:szCs w:val="24"/>
        </w:rPr>
        <w:t xml:space="preserve">(a) </w:t>
      </w:r>
      <w:r w:rsidRPr="000C0842">
        <w:rPr>
          <w:rFonts w:eastAsia="SimSun"/>
          <w:sz w:val="24"/>
          <w:szCs w:val="24"/>
        </w:rPr>
        <w:tab/>
      </w:r>
      <w:r w:rsidRPr="000C0842">
        <w:rPr>
          <w:rFonts w:eastAsia="SimSun" w:hint="eastAsia"/>
          <w:sz w:val="24"/>
          <w:szCs w:val="24"/>
          <w:lang w:val="en-CA"/>
        </w:rPr>
        <w:t>维持</w:t>
      </w:r>
      <w:r w:rsidRPr="000C0842">
        <w:rPr>
          <w:rFonts w:eastAsia="SimSun"/>
          <w:sz w:val="24"/>
          <w:szCs w:val="24"/>
          <w:lang w:val="en-CA"/>
        </w:rPr>
        <w:t>提交秘书处的</w:t>
      </w:r>
      <w:r w:rsidRPr="000C0842">
        <w:rPr>
          <w:rFonts w:eastAsia="SimSun" w:hint="eastAsia"/>
          <w:sz w:val="24"/>
          <w:szCs w:val="24"/>
          <w:lang w:val="en-CA"/>
        </w:rPr>
        <w:t>呈件</w:t>
      </w:r>
      <w:r w:rsidRPr="000C0842">
        <w:rPr>
          <w:rFonts w:eastAsia="SimSun"/>
          <w:sz w:val="24"/>
          <w:szCs w:val="24"/>
        </w:rPr>
        <w:t>；</w:t>
      </w:r>
    </w:p>
    <w:p w14:paraId="3A523EC3"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SimSun"/>
          <w:sz w:val="24"/>
          <w:szCs w:val="24"/>
        </w:rPr>
        <w:t xml:space="preserve">(b) </w:t>
      </w:r>
      <w:r w:rsidRPr="000C0842">
        <w:rPr>
          <w:rFonts w:eastAsia="SimSun"/>
          <w:sz w:val="24"/>
          <w:szCs w:val="24"/>
        </w:rPr>
        <w:tab/>
      </w:r>
      <w:r w:rsidRPr="000C0842">
        <w:rPr>
          <w:rFonts w:eastAsia="SimSun" w:hint="eastAsia"/>
          <w:sz w:val="24"/>
          <w:szCs w:val="24"/>
        </w:rPr>
        <w:t>处理</w:t>
      </w:r>
      <w:r w:rsidRPr="000C0842">
        <w:rPr>
          <w:rFonts w:eastAsia="SimSun"/>
          <w:sz w:val="24"/>
          <w:szCs w:val="24"/>
        </w:rPr>
        <w:t>评论，向秘书处提供呈件的</w:t>
      </w:r>
      <w:r w:rsidRPr="000C0842">
        <w:rPr>
          <w:rFonts w:eastAsia="SimSun" w:hint="eastAsia"/>
          <w:sz w:val="24"/>
          <w:szCs w:val="24"/>
        </w:rPr>
        <w:t>订正</w:t>
      </w:r>
      <w:r w:rsidRPr="000C0842">
        <w:rPr>
          <w:rFonts w:eastAsia="SimSun"/>
          <w:sz w:val="24"/>
          <w:szCs w:val="24"/>
        </w:rPr>
        <w:t>版本，供</w:t>
      </w:r>
      <w:r w:rsidRPr="000C0842">
        <w:rPr>
          <w:rFonts w:eastAsia="SimSun" w:hint="eastAsia"/>
          <w:sz w:val="24"/>
          <w:szCs w:val="24"/>
        </w:rPr>
        <w:t>收入</w:t>
      </w:r>
      <w:r w:rsidRPr="000C0842">
        <w:rPr>
          <w:rFonts w:eastAsia="SimSun"/>
          <w:sz w:val="24"/>
          <w:szCs w:val="24"/>
        </w:rPr>
        <w:t>信息共享机制；</w:t>
      </w:r>
    </w:p>
    <w:p w14:paraId="003E8F3E"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rPr>
        <w:t xml:space="preserve">(c) </w:t>
      </w:r>
      <w:r w:rsidRPr="000C0842">
        <w:rPr>
          <w:rFonts w:eastAsia="SimSun"/>
          <w:sz w:val="24"/>
          <w:szCs w:val="24"/>
        </w:rPr>
        <w:tab/>
      </w:r>
      <w:r w:rsidRPr="000C0842">
        <w:rPr>
          <w:rFonts w:eastAsia="SimSun" w:hint="eastAsia"/>
          <w:sz w:val="24"/>
          <w:szCs w:val="24"/>
        </w:rPr>
        <w:t>要求</w:t>
      </w:r>
      <w:r w:rsidRPr="000C0842">
        <w:rPr>
          <w:rFonts w:eastAsia="SimSun"/>
          <w:sz w:val="24"/>
          <w:szCs w:val="24"/>
        </w:rPr>
        <w:t>秘书处从信息共享机制中删除其</w:t>
      </w:r>
      <w:r w:rsidRPr="000C0842">
        <w:rPr>
          <w:rFonts w:eastAsia="SimSun" w:hint="eastAsia"/>
          <w:sz w:val="24"/>
          <w:szCs w:val="24"/>
        </w:rPr>
        <w:t>原始</w:t>
      </w:r>
      <w:r w:rsidRPr="000C0842">
        <w:rPr>
          <w:rFonts w:eastAsia="SimSun"/>
          <w:sz w:val="24"/>
          <w:szCs w:val="24"/>
        </w:rPr>
        <w:t>呈件。</w:t>
      </w:r>
    </w:p>
    <w:p w14:paraId="7B09ED2D" w14:textId="77777777" w:rsidR="005E77FA" w:rsidRPr="000C0842" w:rsidRDefault="005E77FA" w:rsidP="005E77FA">
      <w:pPr>
        <w:keepNext/>
        <w:tabs>
          <w:tab w:val="clear" w:pos="567"/>
          <w:tab w:val="clear" w:pos="1134"/>
          <w:tab w:val="clear" w:pos="1701"/>
          <w:tab w:val="clear" w:pos="2268"/>
        </w:tabs>
        <w:spacing w:before="120" w:after="120" w:line="240" w:lineRule="atLeast"/>
        <w:ind w:left="490" w:hanging="490"/>
        <w:rPr>
          <w:rFonts w:eastAsia="SimSun"/>
          <w:b/>
          <w:sz w:val="24"/>
          <w:szCs w:val="24"/>
          <w:lang w:val="en-GB"/>
        </w:rPr>
      </w:pPr>
      <w:r w:rsidRPr="000C0842">
        <w:rPr>
          <w:rFonts w:eastAsia="SimSun"/>
          <w:b/>
          <w:sz w:val="24"/>
          <w:szCs w:val="24"/>
          <w:lang w:val="en-GB"/>
        </w:rPr>
        <w:t>B.</w:t>
      </w:r>
      <w:r w:rsidRPr="000C0842">
        <w:rPr>
          <w:rFonts w:eastAsia="SimSun"/>
          <w:b/>
          <w:sz w:val="24"/>
          <w:szCs w:val="24"/>
          <w:lang w:val="en-GB"/>
        </w:rPr>
        <w:tab/>
      </w:r>
      <w:r w:rsidRPr="000C0842">
        <w:rPr>
          <w:rFonts w:eastAsia="SimSun" w:hint="eastAsia"/>
          <w:b/>
          <w:sz w:val="24"/>
          <w:szCs w:val="24"/>
        </w:rPr>
        <w:t>修改</w:t>
      </w:r>
      <w:r w:rsidRPr="000C0842">
        <w:rPr>
          <w:rFonts w:eastAsia="SimSun" w:hint="eastAsia"/>
          <w:b/>
          <w:bCs/>
          <w:sz w:val="24"/>
          <w:szCs w:val="24"/>
        </w:rPr>
        <w:t>对</w:t>
      </w:r>
      <w:r w:rsidRPr="000C0842">
        <w:rPr>
          <w:rFonts w:eastAsia="SimSun"/>
          <w:b/>
          <w:sz w:val="24"/>
          <w:szCs w:val="24"/>
        </w:rPr>
        <w:t>国家管辖范围</w:t>
      </w:r>
      <w:r w:rsidRPr="000C0842">
        <w:rPr>
          <w:rFonts w:eastAsia="SimSun" w:hint="eastAsia"/>
          <w:b/>
          <w:sz w:val="24"/>
          <w:szCs w:val="24"/>
        </w:rPr>
        <w:t>以外</w:t>
      </w:r>
      <w:r w:rsidRPr="000C0842">
        <w:rPr>
          <w:rFonts w:eastAsia="SimSun" w:hint="eastAsia"/>
          <w:b/>
          <w:bCs/>
          <w:sz w:val="24"/>
          <w:szCs w:val="24"/>
        </w:rPr>
        <w:t>具有重要生态或生物意义的海洋区域所做描述或描述</w:t>
      </w:r>
      <w:r w:rsidRPr="000C0842">
        <w:rPr>
          <w:rFonts w:eastAsia="SimSun"/>
          <w:b/>
          <w:sz w:val="24"/>
          <w:szCs w:val="24"/>
        </w:rPr>
        <w:t>国家管辖范围以内</w:t>
      </w:r>
      <w:r w:rsidRPr="000C0842">
        <w:rPr>
          <w:rFonts w:eastAsia="SimSun"/>
          <w:b/>
          <w:bCs/>
          <w:sz w:val="24"/>
          <w:szCs w:val="24"/>
        </w:rPr>
        <w:t>符合</w:t>
      </w:r>
      <w:r w:rsidRPr="000C0842">
        <w:rPr>
          <w:rFonts w:eastAsia="SimSun" w:hint="eastAsia"/>
          <w:b/>
          <w:bCs/>
          <w:sz w:val="24"/>
          <w:szCs w:val="24"/>
        </w:rPr>
        <w:t>具有重要生态或生物意义的海洋区域标准的新区域</w:t>
      </w:r>
    </w:p>
    <w:p w14:paraId="46DCC545"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对国家管辖范围以外某个区域的修改或描述</w:t>
      </w:r>
      <w:r w:rsidRPr="000C0842">
        <w:rPr>
          <w:rFonts w:eastAsia="SimSun" w:hint="eastAsia"/>
          <w:sz w:val="24"/>
          <w:szCs w:val="24"/>
          <w:lang w:val="en-GB"/>
        </w:rPr>
        <w:t>的呈件</w:t>
      </w:r>
      <w:r w:rsidRPr="000C0842">
        <w:rPr>
          <w:rFonts w:eastAsia="SimSun"/>
          <w:sz w:val="24"/>
          <w:szCs w:val="24"/>
          <w:vertAlign w:val="superscript"/>
          <w:lang w:val="en-GB"/>
        </w:rPr>
        <w:footnoteReference w:id="162"/>
      </w:r>
      <w:r w:rsidRPr="000C0842">
        <w:rPr>
          <w:rFonts w:eastAsia="SimSun"/>
          <w:sz w:val="24"/>
          <w:szCs w:val="24"/>
          <w:lang w:val="en-GB"/>
        </w:rPr>
        <w:t>必须向秘书处提交，同时提供有关</w:t>
      </w:r>
      <w:r w:rsidRPr="000C0842">
        <w:rPr>
          <w:rFonts w:eastAsia="SimSun" w:hint="eastAsia"/>
          <w:sz w:val="24"/>
          <w:szCs w:val="24"/>
          <w:lang w:val="en-GB"/>
        </w:rPr>
        <w:t>呈件拟定</w:t>
      </w:r>
      <w:r w:rsidRPr="000C0842">
        <w:rPr>
          <w:rFonts w:eastAsia="SimSun"/>
          <w:sz w:val="24"/>
          <w:szCs w:val="24"/>
          <w:lang w:val="en-GB"/>
        </w:rPr>
        <w:t>过程的信息，包括关于任何科学同行评议过程的信息，如果包括基于传统知识的信息，则须说明根据</w:t>
      </w:r>
      <w:r w:rsidRPr="000C0842">
        <w:rPr>
          <w:rFonts w:eastAsia="SimSun" w:hint="eastAsia"/>
          <w:sz w:val="24"/>
          <w:szCs w:val="24"/>
          <w:lang w:val="en-GB"/>
        </w:rPr>
        <w:t>相关国家法律、包括</w:t>
      </w:r>
      <w:r w:rsidRPr="000C0842">
        <w:rPr>
          <w:rFonts w:eastAsia="SimSun"/>
          <w:sz w:val="24"/>
          <w:szCs w:val="24"/>
          <w:lang w:val="en-GB"/>
        </w:rPr>
        <w:t>《联合国土著人民权利宣言》</w:t>
      </w:r>
      <w:r w:rsidRPr="000C0842">
        <w:rPr>
          <w:rFonts w:eastAsia="SimSun" w:hint="eastAsia"/>
          <w:sz w:val="24"/>
          <w:szCs w:val="24"/>
          <w:lang w:val="en-GB"/>
        </w:rPr>
        <w:t>在内的国际文书、人权法，并酌情根据</w:t>
      </w:r>
      <w:r w:rsidRPr="000C0842">
        <w:rPr>
          <w:rFonts w:eastAsia="SimSun"/>
          <w:sz w:val="24"/>
          <w:szCs w:val="24"/>
          <w:lang w:val="en-GB"/>
        </w:rPr>
        <w:t>《</w:t>
      </w:r>
      <w:r w:rsidRPr="000C0842">
        <w:rPr>
          <w:rFonts w:eastAsia="SimSun"/>
          <w:sz w:val="24"/>
          <w:szCs w:val="24"/>
          <w:lang w:val="en-GB"/>
        </w:rPr>
        <w:t>“</w:t>
      </w:r>
      <w:r w:rsidRPr="000C0842">
        <w:rPr>
          <w:rFonts w:eastAsia="SimSun"/>
          <w:sz w:val="24"/>
          <w:szCs w:val="24"/>
          <w:lang w:val="en-GB"/>
        </w:rPr>
        <w:t>生命之根</w:t>
      </w:r>
      <w:r w:rsidRPr="000C0842">
        <w:rPr>
          <w:rFonts w:eastAsia="SimSun"/>
          <w:sz w:val="24"/>
          <w:szCs w:val="24"/>
          <w:lang w:val="en-GB"/>
        </w:rPr>
        <w:t>”</w:t>
      </w:r>
      <w:r w:rsidRPr="000C0842">
        <w:rPr>
          <w:rFonts w:eastAsia="SimSun"/>
          <w:sz w:val="24"/>
          <w:szCs w:val="24"/>
          <w:lang w:val="en-GB"/>
        </w:rPr>
        <w:t>自愿准则》，经过土著人民和地方社区自由、事先和知情同意，与他们进行的协商。</w:t>
      </w:r>
      <w:r w:rsidRPr="000C0842">
        <w:rPr>
          <w:rFonts w:eastAsia="SimSun"/>
          <w:sz w:val="24"/>
          <w:szCs w:val="24"/>
          <w:lang w:val="en-GB"/>
        </w:rPr>
        <w:t xml:space="preserve"> </w:t>
      </w:r>
    </w:p>
    <w:p w14:paraId="1E88BBEA"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提</w:t>
      </w:r>
      <w:r w:rsidRPr="000C0842">
        <w:rPr>
          <w:rFonts w:eastAsia="SimSun" w:hint="eastAsia"/>
          <w:sz w:val="24"/>
          <w:szCs w:val="24"/>
          <w:lang w:val="en-GB"/>
        </w:rPr>
        <w:t>出</w:t>
      </w:r>
      <w:r w:rsidRPr="000C0842">
        <w:rPr>
          <w:rFonts w:eastAsia="SimSun"/>
          <w:sz w:val="24"/>
          <w:szCs w:val="24"/>
          <w:lang w:val="en-GB"/>
        </w:rPr>
        <w:t>方可在</w:t>
      </w:r>
      <w:r w:rsidRPr="000C0842">
        <w:rPr>
          <w:rFonts w:eastAsia="SimSun" w:hint="eastAsia"/>
          <w:sz w:val="24"/>
          <w:szCs w:val="24"/>
          <w:lang w:val="en-GB"/>
        </w:rPr>
        <w:t>提交呈件</w:t>
      </w:r>
      <w:r w:rsidRPr="000C0842">
        <w:rPr>
          <w:rFonts w:eastAsia="SimSun"/>
          <w:sz w:val="24"/>
          <w:szCs w:val="24"/>
          <w:lang w:val="en-GB"/>
        </w:rPr>
        <w:t>之前请秘书处发出通知，通报其提交一项描述或修改的意图。</w:t>
      </w:r>
    </w:p>
    <w:p w14:paraId="7E9DBD4C"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秘书处</w:t>
      </w:r>
      <w:r w:rsidRPr="000C0842">
        <w:rPr>
          <w:rFonts w:eastAsia="SimSun" w:hint="eastAsia"/>
          <w:sz w:val="24"/>
          <w:szCs w:val="24"/>
          <w:lang w:val="en-GB"/>
        </w:rPr>
        <w:t>应</w:t>
      </w:r>
      <w:r w:rsidRPr="000C0842">
        <w:rPr>
          <w:rFonts w:eastAsia="SimSun"/>
          <w:sz w:val="24"/>
          <w:szCs w:val="24"/>
          <w:lang w:val="en-GB"/>
        </w:rPr>
        <w:t>在具有重要生态或生物意义的海洋区域信息共享机制中</w:t>
      </w:r>
      <w:r w:rsidRPr="000C0842">
        <w:rPr>
          <w:rFonts w:eastAsia="SimSun" w:hint="eastAsia"/>
          <w:sz w:val="24"/>
          <w:szCs w:val="24"/>
          <w:lang w:val="en-GB"/>
        </w:rPr>
        <w:t>列出</w:t>
      </w:r>
      <w:r w:rsidRPr="000C0842">
        <w:rPr>
          <w:rFonts w:eastAsia="SimSun"/>
          <w:sz w:val="24"/>
          <w:szCs w:val="24"/>
          <w:lang w:val="en-GB"/>
        </w:rPr>
        <w:t>一条</w:t>
      </w:r>
      <w:r w:rsidRPr="000C0842">
        <w:rPr>
          <w:rFonts w:eastAsia="SimSun" w:hint="eastAsia"/>
          <w:sz w:val="24"/>
          <w:szCs w:val="24"/>
          <w:lang w:val="en-GB"/>
        </w:rPr>
        <w:t>呈件收到</w:t>
      </w:r>
      <w:r w:rsidRPr="000C0842">
        <w:rPr>
          <w:rFonts w:eastAsia="SimSun"/>
          <w:sz w:val="24"/>
          <w:szCs w:val="24"/>
          <w:lang w:val="en-GB"/>
        </w:rPr>
        <w:t>记录，并发出通知通报呈件信息。呈件</w:t>
      </w:r>
      <w:r w:rsidRPr="000C0842">
        <w:rPr>
          <w:rFonts w:eastAsia="SimSun" w:hint="eastAsia"/>
          <w:sz w:val="24"/>
          <w:szCs w:val="24"/>
          <w:lang w:val="en-GB"/>
        </w:rPr>
        <w:t>应</w:t>
      </w:r>
      <w:r w:rsidRPr="000C0842">
        <w:rPr>
          <w:rFonts w:eastAsia="SimSun"/>
          <w:sz w:val="24"/>
          <w:szCs w:val="24"/>
          <w:lang w:val="en-GB"/>
        </w:rPr>
        <w:t>开放六个月供缔约方、其他国家政府、主管政府间机构和相关组织发表评论。</w:t>
      </w:r>
    </w:p>
    <w:p w14:paraId="0473FCC8"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hint="eastAsia"/>
          <w:sz w:val="24"/>
          <w:szCs w:val="24"/>
          <w:lang w:val="en-GB"/>
        </w:rPr>
        <w:t>应</w:t>
      </w:r>
      <w:r w:rsidRPr="000C0842">
        <w:rPr>
          <w:rFonts w:eastAsia="SimSun"/>
          <w:sz w:val="24"/>
          <w:szCs w:val="24"/>
          <w:lang w:val="en-GB"/>
        </w:rPr>
        <w:t>向根据</w:t>
      </w:r>
      <w:r w:rsidRPr="000C0842">
        <w:rPr>
          <w:rFonts w:eastAsia="SimSun" w:hint="eastAsia"/>
          <w:sz w:val="24"/>
          <w:szCs w:val="24"/>
          <w:lang w:val="en-GB"/>
        </w:rPr>
        <w:t>本</w:t>
      </w:r>
      <w:r w:rsidRPr="000C0842">
        <w:rPr>
          <w:rFonts w:eastAsia="SimSun"/>
          <w:sz w:val="24"/>
          <w:szCs w:val="24"/>
          <w:lang w:val="en-GB"/>
        </w:rPr>
        <w:t>决定</w:t>
      </w:r>
      <w:r w:rsidRPr="000C0842">
        <w:rPr>
          <w:rFonts w:eastAsia="SimSun" w:hint="eastAsia"/>
          <w:sz w:val="24"/>
          <w:szCs w:val="24"/>
          <w:lang w:val="en-GB"/>
        </w:rPr>
        <w:t>第</w:t>
      </w:r>
      <w:r w:rsidRPr="000C0842">
        <w:rPr>
          <w:rFonts w:eastAsia="SimSun" w:hint="eastAsia"/>
          <w:sz w:val="24"/>
          <w:szCs w:val="24"/>
          <w:lang w:val="en-GB"/>
        </w:rPr>
        <w:t>4</w:t>
      </w:r>
      <w:r w:rsidRPr="000C0842">
        <w:rPr>
          <w:rFonts w:eastAsia="SimSun" w:hint="eastAsia"/>
          <w:sz w:val="24"/>
          <w:szCs w:val="24"/>
          <w:lang w:val="en-GB"/>
        </w:rPr>
        <w:t>段</w:t>
      </w:r>
      <w:r w:rsidRPr="000C0842">
        <w:rPr>
          <w:rFonts w:eastAsia="SimSun"/>
          <w:sz w:val="24"/>
          <w:szCs w:val="24"/>
          <w:lang w:val="en-GB"/>
        </w:rPr>
        <w:t>举行的具有重要生态或生物意义的海洋区域研讨会提供呈件以及根据通知</w:t>
      </w:r>
      <w:r w:rsidRPr="000C0842">
        <w:rPr>
          <w:rFonts w:eastAsia="SimSun" w:hint="eastAsia"/>
          <w:sz w:val="24"/>
          <w:szCs w:val="24"/>
          <w:lang w:val="en-GB"/>
        </w:rPr>
        <w:t>提交</w:t>
      </w:r>
      <w:r w:rsidRPr="000C0842">
        <w:rPr>
          <w:rFonts w:eastAsia="SimSun"/>
          <w:sz w:val="24"/>
          <w:szCs w:val="24"/>
          <w:lang w:val="en-GB"/>
        </w:rPr>
        <w:t>的任何评论意见，供其讨论。</w:t>
      </w:r>
      <w:r w:rsidRPr="000C0842">
        <w:rPr>
          <w:rFonts w:eastAsia="SimSun" w:hint="eastAsia"/>
          <w:sz w:val="24"/>
          <w:szCs w:val="24"/>
          <w:lang w:val="en-GB"/>
        </w:rPr>
        <w:t>应将</w:t>
      </w:r>
      <w:r w:rsidRPr="000C0842">
        <w:rPr>
          <w:rFonts w:eastAsia="SimSun"/>
          <w:sz w:val="24"/>
          <w:szCs w:val="24"/>
          <w:lang w:val="en-GB"/>
        </w:rPr>
        <w:t>研讨会的讨论结果提交</w:t>
      </w:r>
      <w:r w:rsidRPr="000C0842">
        <w:rPr>
          <w:rFonts w:eastAsia="SimSun" w:hint="eastAsia"/>
          <w:sz w:val="24"/>
          <w:szCs w:val="24"/>
          <w:lang w:val="en-GB"/>
        </w:rPr>
        <w:t>科学、技术和工艺咨询附属</w:t>
      </w:r>
      <w:r w:rsidRPr="000C0842">
        <w:rPr>
          <w:rFonts w:eastAsia="SimSun"/>
          <w:sz w:val="24"/>
          <w:szCs w:val="24"/>
          <w:lang w:val="en-GB"/>
        </w:rPr>
        <w:t>机构和缔约方大会审议。</w:t>
      </w:r>
    </w:p>
    <w:p w14:paraId="70B534FB" w14:textId="77777777"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Times New Roman"/>
          <w:sz w:val="24"/>
          <w:szCs w:val="24"/>
          <w:lang w:val="en-GB"/>
        </w:rPr>
      </w:pPr>
      <w:r w:rsidRPr="000C0842">
        <w:rPr>
          <w:rFonts w:eastAsia="SimSun"/>
          <w:sz w:val="24"/>
          <w:szCs w:val="24"/>
          <w:lang w:val="en-GB"/>
        </w:rPr>
        <w:t>缔约方大会</w:t>
      </w:r>
      <w:r w:rsidRPr="000C0842">
        <w:rPr>
          <w:rFonts w:eastAsia="SimSun" w:hint="eastAsia"/>
          <w:sz w:val="24"/>
          <w:szCs w:val="24"/>
          <w:lang w:val="en-GB"/>
        </w:rPr>
        <w:t>应</w:t>
      </w:r>
      <w:r w:rsidRPr="000C0842">
        <w:rPr>
          <w:rFonts w:eastAsia="SimSun"/>
          <w:sz w:val="24"/>
          <w:szCs w:val="24"/>
          <w:lang w:val="en-GB"/>
        </w:rPr>
        <w:t>决定是否请执行秘书将呈件收入具有重要生态或生物意义的海洋</w:t>
      </w:r>
      <w:r w:rsidRPr="000C0842">
        <w:rPr>
          <w:rFonts w:ascii="SimSun" w:eastAsia="SimSun" w:hAnsi="SimSun" w:cs="SimSun" w:hint="eastAsia"/>
          <w:sz w:val="24"/>
          <w:szCs w:val="24"/>
          <w:lang w:val="en-GB"/>
        </w:rPr>
        <w:t>区域数据存储库。</w:t>
      </w:r>
      <w:r w:rsidRPr="000C0842">
        <w:rPr>
          <w:rFonts w:eastAsia="Times New Roman"/>
          <w:sz w:val="24"/>
          <w:szCs w:val="24"/>
          <w:lang w:val="en-GB"/>
        </w:rPr>
        <w:t xml:space="preserve"> </w:t>
      </w:r>
      <w:r w:rsidRPr="000C0842">
        <w:rPr>
          <w:rFonts w:ascii="SimSun" w:eastAsia="SimSun" w:hAnsi="SimSun" w:cs="SimSun" w:hint="eastAsia"/>
          <w:sz w:val="24"/>
          <w:szCs w:val="24"/>
          <w:lang w:val="en-GB"/>
        </w:rPr>
        <w:t>无论是否收入，都应在信息共享机制中保留一条呈件记录。</w:t>
      </w:r>
    </w:p>
    <w:p w14:paraId="72BE8774" w14:textId="77777777" w:rsidR="005E77FA" w:rsidRPr="000C0842" w:rsidRDefault="005E77FA">
      <w:pPr>
        <w:numPr>
          <w:ilvl w:val="0"/>
          <w:numId w:val="29"/>
        </w:numPr>
        <w:tabs>
          <w:tab w:val="clear" w:pos="567"/>
          <w:tab w:val="clear" w:pos="1134"/>
          <w:tab w:val="clear" w:pos="1701"/>
          <w:tab w:val="clear" w:pos="2268"/>
        </w:tabs>
        <w:spacing w:before="120" w:after="120" w:line="240" w:lineRule="atLeast"/>
        <w:ind w:left="490" w:hanging="490"/>
        <w:rPr>
          <w:rFonts w:eastAsia="SimSun"/>
          <w:b/>
          <w:bCs/>
          <w:sz w:val="24"/>
          <w:szCs w:val="24"/>
        </w:rPr>
      </w:pPr>
      <w:r w:rsidRPr="000C0842">
        <w:rPr>
          <w:rFonts w:eastAsia="SimSun" w:hint="eastAsia"/>
          <w:b/>
          <w:bCs/>
          <w:sz w:val="24"/>
          <w:szCs w:val="24"/>
        </w:rPr>
        <w:t>校正编辑错误</w:t>
      </w:r>
    </w:p>
    <w:p w14:paraId="125F5A2A" w14:textId="1DD3D85C" w:rsidR="005E77FA" w:rsidRPr="000C0842" w:rsidRDefault="005E77FA">
      <w:pPr>
        <w:numPr>
          <w:ilvl w:val="0"/>
          <w:numId w:val="31"/>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hint="eastAsia"/>
          <w:sz w:val="24"/>
          <w:szCs w:val="24"/>
          <w:lang w:val="en-GB"/>
        </w:rPr>
        <w:t>如对具有重要生态或生物意义的海洋区域的描述出现编辑错误，秘书处应在接到国家报告后发出通知，通报有关编辑错误和所需校正的信息，在通知发出后三个月内执行校正</w:t>
      </w:r>
      <w:r w:rsidRPr="000C0842">
        <w:rPr>
          <w:rFonts w:eastAsia="SimSun"/>
          <w:sz w:val="24"/>
          <w:szCs w:val="24"/>
          <w:vertAlign w:val="superscript"/>
          <w:lang w:val="en-GB"/>
        </w:rPr>
        <w:footnoteReference w:id="163"/>
      </w:r>
      <w:r w:rsidRPr="000C0842">
        <w:rPr>
          <w:rFonts w:eastAsia="SimSun" w:hint="eastAsia"/>
          <w:sz w:val="24"/>
          <w:szCs w:val="24"/>
          <w:lang w:val="en-GB"/>
        </w:rPr>
        <w:t>。</w:t>
      </w:r>
      <w:r w:rsidRPr="000C0842">
        <w:rPr>
          <w:rFonts w:eastAsia="SimSun" w:hint="eastAsia"/>
          <w:sz w:val="24"/>
          <w:szCs w:val="24"/>
          <w:lang w:val="en-GB"/>
        </w:rPr>
        <w:t xml:space="preserve"> </w:t>
      </w:r>
      <w:r w:rsidRPr="000C0842">
        <w:rPr>
          <w:rFonts w:eastAsia="SimSun" w:hint="eastAsia"/>
          <w:sz w:val="24"/>
          <w:szCs w:val="24"/>
          <w:lang w:val="en-GB"/>
        </w:rPr>
        <w:t>应在经校正的描述中增列一条脚注，说明进行了编辑性校正以及何时作的校正。</w:t>
      </w:r>
      <w:r w:rsidRPr="000C0842">
        <w:rPr>
          <w:rFonts w:eastAsia="SimSun" w:hint="eastAsia"/>
          <w:sz w:val="24"/>
          <w:szCs w:val="24"/>
          <w:lang w:val="en-GB"/>
        </w:rPr>
        <w:t xml:space="preserve"> </w:t>
      </w:r>
      <w:r w:rsidRPr="000C0842">
        <w:rPr>
          <w:rFonts w:eastAsia="SimSun" w:hint="eastAsia"/>
          <w:sz w:val="24"/>
          <w:szCs w:val="24"/>
          <w:lang w:val="en-GB"/>
        </w:rPr>
        <w:t>秘书处应向科学、技术和工艺咨询附属机构和缔约方大会提交一份校正编辑错误的报告，供其参考。</w:t>
      </w:r>
    </w:p>
    <w:p w14:paraId="63200E5F" w14:textId="77777777" w:rsidR="005E77FA" w:rsidRPr="000C0842" w:rsidRDefault="005E77FA">
      <w:pPr>
        <w:tabs>
          <w:tab w:val="clear" w:pos="567"/>
          <w:tab w:val="clear" w:pos="1134"/>
          <w:tab w:val="clear" w:pos="1701"/>
          <w:tab w:val="clear" w:pos="2268"/>
        </w:tabs>
        <w:jc w:val="left"/>
        <w:rPr>
          <w:rFonts w:eastAsia="SimSun"/>
          <w:sz w:val="24"/>
          <w:szCs w:val="24"/>
          <w:lang w:val="en-GB"/>
        </w:rPr>
      </w:pPr>
      <w:r w:rsidRPr="000C0842">
        <w:rPr>
          <w:rFonts w:eastAsia="SimSun"/>
          <w:sz w:val="24"/>
          <w:szCs w:val="24"/>
          <w:lang w:val="en-GB"/>
        </w:rPr>
        <w:br w:type="page"/>
      </w:r>
    </w:p>
    <w:p w14:paraId="7FBE81A1" w14:textId="0DDDF365" w:rsidR="005E77FA" w:rsidRPr="000C0842" w:rsidRDefault="005E77FA" w:rsidP="002437E6">
      <w:pPr>
        <w:pStyle w:val="a1"/>
        <w:rPr>
          <w:rFonts w:hint="eastAsia"/>
          <w:lang w:eastAsia="zh-CN"/>
        </w:rPr>
      </w:pPr>
      <w:bookmarkStart w:id="62" w:name="_Toc206358213"/>
      <w:r w:rsidRPr="000C0842">
        <w:rPr>
          <w:lang w:eastAsia="zh-CN"/>
        </w:rPr>
        <w:t>16/17.</w:t>
      </w:r>
      <w:r w:rsidR="00022845" w:rsidRPr="000C0842">
        <w:rPr>
          <w:rFonts w:hint="eastAsia"/>
          <w:lang w:eastAsia="zh-CN"/>
        </w:rPr>
        <w:t xml:space="preserve"> </w:t>
      </w:r>
      <w:r w:rsidRPr="000C0842">
        <w:rPr>
          <w:lang w:eastAsia="zh-CN"/>
        </w:rPr>
        <w:t>保护和可持续利用海洋和沿海生物多样性</w:t>
      </w:r>
      <w:bookmarkEnd w:id="62"/>
    </w:p>
    <w:p w14:paraId="4A8007A8" w14:textId="77777777" w:rsidR="005E77FA" w:rsidRPr="000C0842" w:rsidRDefault="005E77FA" w:rsidP="005E77FA">
      <w:pPr>
        <w:suppressLineNumbers/>
        <w:tabs>
          <w:tab w:val="clear" w:pos="567"/>
          <w:tab w:val="clear" w:pos="1134"/>
          <w:tab w:val="clear" w:pos="1701"/>
          <w:tab w:val="clear" w:pos="2268"/>
        </w:tabs>
        <w:suppressAutoHyphens/>
        <w:spacing w:before="240" w:after="120" w:line="240" w:lineRule="atLeast"/>
        <w:ind w:left="490" w:firstLine="490"/>
        <w:rPr>
          <w:rFonts w:eastAsia="Times New Roman"/>
          <w:bCs/>
          <w:iCs/>
          <w:snapToGrid w:val="0"/>
          <w:kern w:val="22"/>
          <w:sz w:val="24"/>
          <w:szCs w:val="24"/>
          <w:lang w:val="en-GB"/>
        </w:rPr>
      </w:pPr>
      <w:r w:rsidRPr="000C0842">
        <w:rPr>
          <w:rFonts w:eastAsia="KaiTi"/>
          <w:bCs/>
          <w:iCs/>
          <w:snapToGrid w:val="0"/>
          <w:kern w:val="22"/>
          <w:sz w:val="24"/>
          <w:szCs w:val="24"/>
          <w:lang w:val="en-GB"/>
        </w:rPr>
        <w:t>缔约方</w:t>
      </w:r>
      <w:r w:rsidRPr="000C0842">
        <w:rPr>
          <w:rFonts w:eastAsia="KaiTi" w:hint="eastAsia"/>
          <w:bCs/>
          <w:iCs/>
          <w:snapToGrid w:val="0"/>
          <w:kern w:val="22"/>
          <w:sz w:val="24"/>
          <w:szCs w:val="24"/>
          <w:lang w:val="en-GB"/>
        </w:rPr>
        <w:t>大会</w:t>
      </w:r>
      <w:r w:rsidRPr="000C0842">
        <w:rPr>
          <w:rFonts w:eastAsia="KaiTi"/>
          <w:bCs/>
          <w:iCs/>
          <w:snapToGrid w:val="0"/>
          <w:kern w:val="22"/>
          <w:sz w:val="24"/>
          <w:szCs w:val="24"/>
          <w:lang w:val="en-GB"/>
        </w:rPr>
        <w:t>，</w:t>
      </w:r>
    </w:p>
    <w:p w14:paraId="2CB28FC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cs="SimSun"/>
          <w:bCs/>
          <w:sz w:val="24"/>
          <w:lang w:val="en-GB"/>
        </w:rPr>
      </w:pPr>
      <w:r w:rsidRPr="000C0842">
        <w:rPr>
          <w:rFonts w:ascii="KaiTi" w:eastAsia="KaiTi" w:hAnsi="KaiTi" w:cs="SimSun"/>
          <w:bCs/>
          <w:sz w:val="24"/>
          <w:lang w:val="zh-CN"/>
        </w:rPr>
        <w:t>认识到</w:t>
      </w:r>
      <w:r w:rsidRPr="000C0842">
        <w:rPr>
          <w:rFonts w:eastAsia="SimSun" w:cs="SimSun"/>
          <w:bCs/>
          <w:sz w:val="24"/>
          <w:lang w:val="zh-CN"/>
        </w:rPr>
        <w:t>海洋和沿海生物多样性</w:t>
      </w:r>
      <w:r w:rsidRPr="000C0842">
        <w:rPr>
          <w:rFonts w:eastAsia="SimSun" w:cs="SimSun" w:hint="eastAsia"/>
          <w:bCs/>
          <w:sz w:val="24"/>
          <w:lang w:val="zh-CN"/>
        </w:rPr>
        <w:t>和岛屿生物多样性</w:t>
      </w:r>
      <w:r w:rsidRPr="000C0842">
        <w:rPr>
          <w:rFonts w:eastAsia="SimSun" w:cs="SimSun"/>
          <w:bCs/>
          <w:sz w:val="24"/>
          <w:lang w:val="zh-CN"/>
        </w:rPr>
        <w:t>作为《昆明</w:t>
      </w:r>
      <w:r w:rsidRPr="000C0842">
        <w:rPr>
          <w:rFonts w:eastAsia="SimSun" w:cs="SimSun"/>
          <w:bCs/>
          <w:sz w:val="24"/>
          <w:lang w:val="en-GB"/>
        </w:rPr>
        <w:t>-</w:t>
      </w:r>
      <w:r w:rsidRPr="000C0842">
        <w:rPr>
          <w:rFonts w:eastAsia="SimSun" w:cs="SimSun"/>
          <w:bCs/>
          <w:sz w:val="24"/>
          <w:lang w:val="zh-CN"/>
        </w:rPr>
        <w:t>蒙特利尔全球生物多样性框架》</w:t>
      </w:r>
      <w:r w:rsidRPr="000C0842">
        <w:rPr>
          <w:rFonts w:eastAsia="SimSun" w:cs="SimSun"/>
          <w:bCs/>
          <w:sz w:val="24"/>
          <w:vertAlign w:val="superscript"/>
          <w:lang w:val="zh-CN"/>
        </w:rPr>
        <w:footnoteReference w:id="164"/>
      </w:r>
      <w:r w:rsidRPr="000C0842">
        <w:rPr>
          <w:rFonts w:eastAsia="SimSun" w:cs="SimSun"/>
          <w:bCs/>
          <w:sz w:val="24"/>
          <w:lang w:val="zh-CN"/>
        </w:rPr>
        <w:t>一个重要跨领域要素的重要性</w:t>
      </w:r>
      <w:r w:rsidRPr="000C0842">
        <w:rPr>
          <w:rFonts w:eastAsia="SimSun" w:cs="SimSun"/>
          <w:bCs/>
          <w:sz w:val="24"/>
          <w:lang w:val="en-GB"/>
        </w:rPr>
        <w:t>，</w:t>
      </w:r>
      <w:r w:rsidRPr="000C0842">
        <w:rPr>
          <w:rFonts w:eastAsia="SimSun" w:cs="SimSun"/>
          <w:bCs/>
          <w:sz w:val="24"/>
          <w:lang w:val="zh-CN"/>
        </w:rPr>
        <w:t>对于实现</w:t>
      </w:r>
      <w:r w:rsidRPr="000C0842">
        <w:rPr>
          <w:rFonts w:eastAsia="SimSun" w:cs="SimSun"/>
          <w:bCs/>
          <w:sz w:val="24"/>
          <w:lang w:val="en-GB"/>
        </w:rPr>
        <w:t>2050</w:t>
      </w:r>
      <w:r w:rsidRPr="000C0842">
        <w:rPr>
          <w:rFonts w:eastAsia="SimSun" w:cs="SimSun"/>
          <w:bCs/>
          <w:sz w:val="24"/>
          <w:lang w:val="zh-CN"/>
        </w:rPr>
        <w:t>年生物多样性愿景至关重要</w:t>
      </w:r>
      <w:r w:rsidRPr="000C0842">
        <w:rPr>
          <w:rFonts w:eastAsia="SimSun" w:cs="SimSun"/>
          <w:bCs/>
          <w:sz w:val="24"/>
          <w:lang w:val="en-GB"/>
        </w:rPr>
        <w:t>，</w:t>
      </w:r>
    </w:p>
    <w:p w14:paraId="59426D4E"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cs="SimSun"/>
          <w:bCs/>
          <w:sz w:val="24"/>
          <w:lang w:val="en-GB"/>
        </w:rPr>
      </w:pPr>
      <w:r w:rsidRPr="000C0842">
        <w:rPr>
          <w:rFonts w:ascii="KaiTi" w:eastAsia="KaiTi" w:hAnsi="KaiTi" w:cs="SimSun"/>
          <w:bCs/>
          <w:sz w:val="24"/>
          <w:lang w:val="zh-CN"/>
        </w:rPr>
        <w:t>回顾</w:t>
      </w:r>
      <w:r w:rsidRPr="000C0842">
        <w:rPr>
          <w:rFonts w:eastAsia="SimSun" w:cs="SimSun"/>
          <w:bCs/>
          <w:sz w:val="24"/>
          <w:lang w:val="zh-CN"/>
        </w:rPr>
        <w:t>其</w:t>
      </w:r>
      <w:r w:rsidRPr="000C0842">
        <w:rPr>
          <w:rFonts w:eastAsia="SimSun" w:cs="SimSun"/>
          <w:bCs/>
          <w:sz w:val="24"/>
          <w:lang w:val="en-GB"/>
        </w:rPr>
        <w:t>2022</w:t>
      </w:r>
      <w:r w:rsidRPr="000C0842">
        <w:rPr>
          <w:rFonts w:eastAsia="SimSun" w:cs="SimSun"/>
          <w:bCs/>
          <w:sz w:val="24"/>
          <w:lang w:val="zh-CN"/>
        </w:rPr>
        <w:t>年</w:t>
      </w:r>
      <w:r w:rsidRPr="000C0842">
        <w:rPr>
          <w:rFonts w:eastAsia="SimSun" w:cs="SimSun"/>
          <w:bCs/>
          <w:sz w:val="24"/>
          <w:lang w:val="en-GB"/>
        </w:rPr>
        <w:t>12</w:t>
      </w:r>
      <w:r w:rsidRPr="000C0842">
        <w:rPr>
          <w:rFonts w:eastAsia="SimSun" w:cs="SimSun"/>
          <w:bCs/>
          <w:sz w:val="24"/>
          <w:lang w:val="zh-CN"/>
        </w:rPr>
        <w:t>月</w:t>
      </w:r>
      <w:r w:rsidRPr="000C0842">
        <w:rPr>
          <w:rFonts w:eastAsia="SimSun" w:cs="SimSun"/>
          <w:bCs/>
          <w:sz w:val="24"/>
          <w:lang w:val="en-GB"/>
        </w:rPr>
        <w:t>19</w:t>
      </w:r>
      <w:r w:rsidRPr="000C0842">
        <w:rPr>
          <w:rFonts w:eastAsia="SimSun" w:cs="SimSun"/>
          <w:bCs/>
          <w:sz w:val="24"/>
          <w:lang w:val="zh-CN"/>
        </w:rPr>
        <w:t>日第</w:t>
      </w:r>
      <w:r w:rsidRPr="000C0842">
        <w:rPr>
          <w:rFonts w:eastAsia="SimSun" w:cs="SimSun"/>
          <w:bCs/>
          <w:sz w:val="24"/>
          <w:lang w:val="en-GB"/>
        </w:rPr>
        <w:t xml:space="preserve"> </w:t>
      </w:r>
      <w:hyperlink r:id="rId118" w:history="1">
        <w:r w:rsidRPr="000C0842">
          <w:rPr>
            <w:rFonts w:eastAsia="SimSun" w:cs="SimSun"/>
            <w:bCs/>
            <w:sz w:val="24"/>
            <w:u w:val="single"/>
            <w:lang w:val="en-GB"/>
          </w:rPr>
          <w:t>15/4</w:t>
        </w:r>
      </w:hyperlink>
      <w:r w:rsidRPr="000C0842">
        <w:rPr>
          <w:rFonts w:eastAsia="SimSun" w:cs="SimSun"/>
          <w:bCs/>
          <w:sz w:val="24"/>
          <w:lang w:val="en-GB"/>
        </w:rPr>
        <w:t xml:space="preserve"> </w:t>
      </w:r>
      <w:r w:rsidRPr="000C0842">
        <w:rPr>
          <w:rFonts w:eastAsia="SimSun" w:cs="SimSun"/>
          <w:bCs/>
          <w:sz w:val="24"/>
          <w:lang w:val="zh-CN"/>
        </w:rPr>
        <w:t>号决定第</w:t>
      </w:r>
      <w:r w:rsidRPr="000C0842">
        <w:rPr>
          <w:rFonts w:eastAsia="SimSun" w:cs="SimSun"/>
          <w:bCs/>
          <w:sz w:val="24"/>
          <w:lang w:val="en-GB"/>
        </w:rPr>
        <w:t>8</w:t>
      </w:r>
      <w:r w:rsidRPr="000C0842">
        <w:rPr>
          <w:rFonts w:eastAsia="SimSun" w:cs="SimSun"/>
          <w:bCs/>
          <w:sz w:val="24"/>
          <w:lang w:val="zh-CN"/>
        </w:rPr>
        <w:t>段</w:t>
      </w:r>
      <w:r w:rsidRPr="000C0842">
        <w:rPr>
          <w:rFonts w:eastAsia="SimSun" w:cs="SimSun"/>
          <w:bCs/>
          <w:sz w:val="24"/>
          <w:lang w:val="en-GB"/>
        </w:rPr>
        <w:t>，</w:t>
      </w:r>
      <w:r w:rsidRPr="000C0842">
        <w:rPr>
          <w:rFonts w:eastAsia="SimSun" w:cs="SimSun"/>
          <w:bCs/>
          <w:sz w:val="24"/>
          <w:lang w:val="zh-CN"/>
        </w:rPr>
        <w:t>其中决定《昆蒙框架》应作为</w:t>
      </w:r>
      <w:r w:rsidRPr="000C0842">
        <w:rPr>
          <w:rFonts w:eastAsia="SimSun" w:cs="SimSun"/>
          <w:bCs/>
          <w:sz w:val="24"/>
          <w:lang w:val="en-GB"/>
        </w:rPr>
        <w:t>2022-2030</w:t>
      </w:r>
      <w:r w:rsidRPr="000C0842">
        <w:rPr>
          <w:rFonts w:eastAsia="SimSun" w:cs="SimSun"/>
          <w:bCs/>
          <w:sz w:val="24"/>
          <w:lang w:val="zh-CN"/>
        </w:rPr>
        <w:t>年期间执行《生物多样性公约》</w:t>
      </w:r>
      <w:r w:rsidRPr="000C0842">
        <w:rPr>
          <w:rFonts w:eastAsia="SimSun" w:cs="SimSun"/>
          <w:bCs/>
          <w:sz w:val="24"/>
          <w:vertAlign w:val="superscript"/>
          <w:lang w:val="zh-CN"/>
        </w:rPr>
        <w:footnoteReference w:id="165"/>
      </w:r>
      <w:r w:rsidRPr="000C0842">
        <w:rPr>
          <w:rFonts w:eastAsia="SimSun" w:cs="SimSun"/>
          <w:bCs/>
          <w:sz w:val="24"/>
          <w:lang w:val="zh-CN"/>
        </w:rPr>
        <w:t>及其议定书以及各机构和秘书处的战略计划</w:t>
      </w:r>
      <w:r w:rsidRPr="000C0842">
        <w:rPr>
          <w:rFonts w:eastAsia="SimSun" w:cs="SimSun"/>
          <w:bCs/>
          <w:sz w:val="24"/>
          <w:lang w:val="en-GB"/>
        </w:rPr>
        <w:t>，</w:t>
      </w:r>
    </w:p>
    <w:p w14:paraId="64682306"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cs="SimSun"/>
          <w:bCs/>
          <w:sz w:val="24"/>
          <w:szCs w:val="24"/>
          <w:lang w:val="en-GB"/>
        </w:rPr>
      </w:pPr>
      <w:r w:rsidRPr="000C0842">
        <w:rPr>
          <w:rFonts w:ascii="KaiTi" w:eastAsia="KaiTi" w:hAnsi="KaiTi" w:cs="SimSun"/>
          <w:bCs/>
          <w:sz w:val="24"/>
          <w:szCs w:val="24"/>
          <w:lang w:val="zh-CN"/>
        </w:rPr>
        <w:t>又回顾</w:t>
      </w:r>
      <w:r w:rsidRPr="000C0842">
        <w:rPr>
          <w:rFonts w:eastAsia="SimSun" w:cs="SimSun"/>
          <w:bCs/>
          <w:sz w:val="24"/>
          <w:szCs w:val="24"/>
          <w:lang w:val="zh-CN"/>
        </w:rPr>
        <w:t>其关于与相关全球和区域组织和倡议合作和协作的</w:t>
      </w:r>
      <w:r w:rsidRPr="000C0842">
        <w:rPr>
          <w:rFonts w:eastAsia="SimSun" w:cs="SimSun"/>
          <w:bCs/>
          <w:sz w:val="24"/>
          <w:szCs w:val="24"/>
          <w:lang w:val="en-GB"/>
        </w:rPr>
        <w:t>2008</w:t>
      </w:r>
      <w:r w:rsidRPr="000C0842">
        <w:rPr>
          <w:rFonts w:eastAsia="SimSun" w:cs="SimSun"/>
          <w:bCs/>
          <w:sz w:val="24"/>
          <w:szCs w:val="24"/>
          <w:lang w:val="zh-CN"/>
        </w:rPr>
        <w:t>年</w:t>
      </w:r>
      <w:r w:rsidRPr="000C0842">
        <w:rPr>
          <w:rFonts w:eastAsia="SimSun" w:cs="SimSun"/>
          <w:bCs/>
          <w:sz w:val="24"/>
          <w:szCs w:val="24"/>
          <w:lang w:val="en-GB"/>
        </w:rPr>
        <w:t>5</w:t>
      </w:r>
      <w:r w:rsidRPr="000C0842">
        <w:rPr>
          <w:rFonts w:eastAsia="SimSun" w:cs="SimSun"/>
          <w:bCs/>
          <w:sz w:val="24"/>
          <w:szCs w:val="24"/>
          <w:lang w:val="zh-CN"/>
        </w:rPr>
        <w:t>月</w:t>
      </w:r>
      <w:r w:rsidRPr="000C0842">
        <w:rPr>
          <w:rFonts w:eastAsia="SimSun" w:cs="SimSun"/>
          <w:bCs/>
          <w:sz w:val="24"/>
          <w:szCs w:val="24"/>
          <w:lang w:val="en-GB"/>
        </w:rPr>
        <w:t>30</w:t>
      </w:r>
      <w:r w:rsidRPr="000C0842">
        <w:rPr>
          <w:rFonts w:eastAsia="SimSun" w:cs="SimSun"/>
          <w:bCs/>
          <w:sz w:val="24"/>
          <w:szCs w:val="24"/>
          <w:lang w:val="zh-CN"/>
        </w:rPr>
        <w:t>日第</w:t>
      </w:r>
      <w:hyperlink r:id="rId119" w:history="1">
        <w:r w:rsidRPr="000C0842">
          <w:rPr>
            <w:rFonts w:eastAsia="SimSun" w:cs="SimSun"/>
            <w:bCs/>
            <w:sz w:val="24"/>
            <w:szCs w:val="24"/>
            <w:u w:val="single"/>
            <w:lang w:val="en-GB"/>
          </w:rPr>
          <w:t>IX/20</w:t>
        </w:r>
      </w:hyperlink>
      <w:r w:rsidRPr="000C0842">
        <w:rPr>
          <w:rFonts w:eastAsia="SimSun" w:cs="SimSun"/>
          <w:bCs/>
          <w:sz w:val="24"/>
          <w:szCs w:val="24"/>
          <w:lang w:val="zh-CN"/>
        </w:rPr>
        <w:t>号决定、</w:t>
      </w:r>
      <w:r w:rsidRPr="000C0842">
        <w:rPr>
          <w:rFonts w:eastAsia="SimSun" w:cs="SimSun"/>
          <w:bCs/>
          <w:sz w:val="24"/>
          <w:szCs w:val="24"/>
          <w:lang w:val="en-GB"/>
        </w:rPr>
        <w:t>2010</w:t>
      </w:r>
      <w:r w:rsidRPr="000C0842">
        <w:rPr>
          <w:rFonts w:eastAsia="SimSun" w:cs="SimSun"/>
          <w:bCs/>
          <w:sz w:val="24"/>
          <w:szCs w:val="24"/>
          <w:lang w:val="zh-CN"/>
        </w:rPr>
        <w:t>年</w:t>
      </w:r>
      <w:r w:rsidRPr="000C0842">
        <w:rPr>
          <w:rFonts w:eastAsia="SimSun" w:cs="SimSun"/>
          <w:bCs/>
          <w:sz w:val="24"/>
          <w:szCs w:val="24"/>
          <w:lang w:val="en-GB"/>
        </w:rPr>
        <w:t>10</w:t>
      </w:r>
      <w:r w:rsidRPr="000C0842">
        <w:rPr>
          <w:rFonts w:eastAsia="SimSun" w:cs="SimSun"/>
          <w:bCs/>
          <w:sz w:val="24"/>
          <w:szCs w:val="24"/>
          <w:lang w:val="zh-CN"/>
        </w:rPr>
        <w:t>月</w:t>
      </w:r>
      <w:r w:rsidRPr="000C0842">
        <w:rPr>
          <w:rFonts w:eastAsia="SimSun" w:cs="SimSun"/>
          <w:bCs/>
          <w:sz w:val="24"/>
          <w:szCs w:val="24"/>
          <w:lang w:val="en-GB"/>
        </w:rPr>
        <w:t>29</w:t>
      </w:r>
      <w:r w:rsidRPr="000C0842">
        <w:rPr>
          <w:rFonts w:eastAsia="SimSun" w:cs="SimSun"/>
          <w:bCs/>
          <w:sz w:val="24"/>
          <w:szCs w:val="24"/>
          <w:lang w:val="zh-CN"/>
        </w:rPr>
        <w:t>日第</w:t>
      </w:r>
      <w:hyperlink r:id="rId120" w:history="1">
        <w:r w:rsidRPr="000C0842">
          <w:rPr>
            <w:rFonts w:eastAsia="SimSun" w:cs="SimSun"/>
            <w:bCs/>
            <w:sz w:val="24"/>
            <w:szCs w:val="24"/>
            <w:u w:val="single"/>
            <w:lang w:val="en-GB"/>
          </w:rPr>
          <w:t>X/29</w:t>
        </w:r>
      </w:hyperlink>
      <w:r w:rsidRPr="000C0842">
        <w:rPr>
          <w:rFonts w:eastAsia="SimSun" w:cs="SimSun"/>
          <w:bCs/>
          <w:sz w:val="24"/>
          <w:szCs w:val="24"/>
          <w:lang w:val="zh-CN"/>
        </w:rPr>
        <w:t>号和</w:t>
      </w:r>
      <w:r w:rsidRPr="000C0842">
        <w:rPr>
          <w:rFonts w:eastAsia="SimSun" w:cs="SimSun" w:hint="eastAsia"/>
          <w:bCs/>
          <w:sz w:val="24"/>
          <w:szCs w:val="24"/>
          <w:lang w:val="zh-CN"/>
        </w:rPr>
        <w:t>第</w:t>
      </w:r>
      <w:hyperlink r:id="rId121" w:history="1">
        <w:r w:rsidRPr="000C0842">
          <w:rPr>
            <w:rFonts w:eastAsia="SimSun" w:cs="SimSun"/>
            <w:bCs/>
            <w:sz w:val="24"/>
            <w:szCs w:val="24"/>
            <w:u w:val="single"/>
            <w:lang w:val="en-GB"/>
          </w:rPr>
          <w:t>X/33</w:t>
        </w:r>
      </w:hyperlink>
      <w:r w:rsidRPr="000C0842">
        <w:rPr>
          <w:rFonts w:eastAsia="SimSun" w:cs="SimSun" w:hint="eastAsia"/>
          <w:bCs/>
          <w:sz w:val="24"/>
          <w:szCs w:val="24"/>
          <w:lang w:val="en-GB"/>
        </w:rPr>
        <w:t>号</w:t>
      </w:r>
      <w:r w:rsidRPr="000C0842">
        <w:rPr>
          <w:rFonts w:eastAsia="SimSun" w:cs="SimSun"/>
          <w:bCs/>
          <w:sz w:val="24"/>
          <w:szCs w:val="24"/>
          <w:lang w:val="zh-CN"/>
        </w:rPr>
        <w:t>决定、</w:t>
      </w:r>
      <w:r w:rsidRPr="000C0842">
        <w:rPr>
          <w:rFonts w:eastAsia="SimSun" w:cs="SimSun"/>
          <w:bCs/>
          <w:sz w:val="24"/>
          <w:szCs w:val="24"/>
          <w:lang w:val="en-GB"/>
        </w:rPr>
        <w:t>2012</w:t>
      </w:r>
      <w:r w:rsidRPr="000C0842">
        <w:rPr>
          <w:rFonts w:eastAsia="SimSun" w:cs="SimSun"/>
          <w:bCs/>
          <w:sz w:val="24"/>
          <w:szCs w:val="24"/>
          <w:lang w:val="zh-CN"/>
        </w:rPr>
        <w:t>年</w:t>
      </w:r>
      <w:r w:rsidRPr="000C0842">
        <w:rPr>
          <w:rFonts w:eastAsia="SimSun" w:cs="SimSun"/>
          <w:bCs/>
          <w:sz w:val="24"/>
          <w:szCs w:val="24"/>
          <w:lang w:val="en-GB"/>
        </w:rPr>
        <w:t>10</w:t>
      </w:r>
      <w:r w:rsidRPr="000C0842">
        <w:rPr>
          <w:rFonts w:eastAsia="SimSun" w:cs="SimSun"/>
          <w:bCs/>
          <w:sz w:val="24"/>
          <w:szCs w:val="24"/>
          <w:lang w:val="zh-CN"/>
        </w:rPr>
        <w:t>月</w:t>
      </w:r>
      <w:r w:rsidRPr="000C0842">
        <w:rPr>
          <w:rFonts w:eastAsia="SimSun" w:cs="SimSun"/>
          <w:bCs/>
          <w:sz w:val="24"/>
          <w:szCs w:val="24"/>
          <w:lang w:val="en-GB"/>
        </w:rPr>
        <w:t>19</w:t>
      </w:r>
      <w:r w:rsidRPr="000C0842">
        <w:rPr>
          <w:rFonts w:eastAsia="SimSun" w:cs="SimSun"/>
          <w:bCs/>
          <w:sz w:val="24"/>
          <w:szCs w:val="24"/>
          <w:lang w:val="zh-CN"/>
        </w:rPr>
        <w:t>日</w:t>
      </w:r>
      <w:r w:rsidRPr="000C0842">
        <w:rPr>
          <w:rFonts w:eastAsia="SimSun" w:cs="SimSun" w:hint="eastAsia"/>
          <w:bCs/>
          <w:sz w:val="24"/>
          <w:szCs w:val="24"/>
          <w:lang w:val="zh-CN"/>
        </w:rPr>
        <w:t>第</w:t>
      </w:r>
      <w:hyperlink r:id="rId122" w:history="1">
        <w:r w:rsidRPr="000C0842">
          <w:rPr>
            <w:rFonts w:eastAsia="SimSun" w:cs="SimSun"/>
            <w:bCs/>
            <w:sz w:val="24"/>
            <w:szCs w:val="24"/>
            <w:u w:val="single"/>
            <w:lang w:val="en-GB"/>
          </w:rPr>
          <w:t>XI/1</w:t>
        </w:r>
        <w:r w:rsidRPr="000C0842">
          <w:rPr>
            <w:rFonts w:eastAsia="SimSun" w:cs="SimSun" w:hint="eastAsia"/>
            <w:bCs/>
            <w:sz w:val="24"/>
            <w:szCs w:val="24"/>
            <w:u w:val="single"/>
            <w:lang w:val="en-GB"/>
          </w:rPr>
          <w:t>6</w:t>
        </w:r>
      </w:hyperlink>
      <w:r w:rsidRPr="000C0842">
        <w:rPr>
          <w:rFonts w:eastAsia="SimSun" w:cs="SimSun" w:hint="eastAsia"/>
          <w:bCs/>
          <w:sz w:val="24"/>
          <w:szCs w:val="24"/>
          <w:lang w:val="en-GB"/>
        </w:rPr>
        <w:t>号、</w:t>
      </w:r>
      <w:r w:rsidRPr="000C0842">
        <w:rPr>
          <w:rFonts w:eastAsia="SimSun" w:cs="SimSun"/>
          <w:bCs/>
          <w:sz w:val="24"/>
          <w:szCs w:val="24"/>
          <w:lang w:val="zh-CN"/>
        </w:rPr>
        <w:t>第</w:t>
      </w:r>
      <w:hyperlink r:id="rId123" w:history="1">
        <w:r w:rsidRPr="000C0842">
          <w:rPr>
            <w:rFonts w:eastAsia="SimSun" w:cs="SimSun"/>
            <w:bCs/>
            <w:sz w:val="24"/>
            <w:szCs w:val="24"/>
            <w:u w:val="single"/>
            <w:lang w:val="en-GB"/>
          </w:rPr>
          <w:t>XI/18</w:t>
        </w:r>
      </w:hyperlink>
      <w:r w:rsidRPr="000C0842">
        <w:rPr>
          <w:rFonts w:eastAsia="SimSun" w:cs="SimSun"/>
          <w:bCs/>
          <w:sz w:val="24"/>
          <w:szCs w:val="24"/>
          <w:lang w:val="zh-CN"/>
        </w:rPr>
        <w:t>号和第</w:t>
      </w:r>
      <w:hyperlink r:id="rId124" w:history="1">
        <w:r w:rsidRPr="000C0842">
          <w:rPr>
            <w:rFonts w:eastAsia="SimSun" w:cs="SimSun"/>
            <w:bCs/>
            <w:sz w:val="24"/>
            <w:szCs w:val="24"/>
            <w:u w:val="single"/>
            <w:lang w:val="en-GB"/>
          </w:rPr>
          <w:t>XI/20</w:t>
        </w:r>
      </w:hyperlink>
      <w:r w:rsidRPr="000C0842">
        <w:rPr>
          <w:rFonts w:eastAsia="SimSun" w:cs="SimSun"/>
          <w:bCs/>
          <w:sz w:val="24"/>
          <w:szCs w:val="24"/>
          <w:lang w:val="zh-CN"/>
        </w:rPr>
        <w:t>号决定、</w:t>
      </w:r>
      <w:r w:rsidRPr="000C0842">
        <w:rPr>
          <w:rFonts w:eastAsia="SimSun" w:cs="SimSun"/>
          <w:bCs/>
          <w:sz w:val="24"/>
          <w:szCs w:val="24"/>
          <w:lang w:val="en-GB"/>
        </w:rPr>
        <w:t>2014</w:t>
      </w:r>
      <w:r w:rsidRPr="000C0842">
        <w:rPr>
          <w:rFonts w:eastAsia="SimSun" w:cs="SimSun"/>
          <w:bCs/>
          <w:sz w:val="24"/>
          <w:szCs w:val="24"/>
          <w:lang w:val="zh-CN"/>
        </w:rPr>
        <w:t>年</w:t>
      </w:r>
      <w:r w:rsidRPr="000C0842">
        <w:rPr>
          <w:rFonts w:eastAsia="SimSun" w:cs="SimSun"/>
          <w:bCs/>
          <w:sz w:val="24"/>
          <w:szCs w:val="24"/>
          <w:lang w:val="en-GB"/>
        </w:rPr>
        <w:t>10</w:t>
      </w:r>
      <w:r w:rsidRPr="000C0842">
        <w:rPr>
          <w:rFonts w:eastAsia="SimSun" w:cs="SimSun"/>
          <w:bCs/>
          <w:sz w:val="24"/>
          <w:szCs w:val="24"/>
          <w:lang w:val="zh-CN"/>
        </w:rPr>
        <w:t>月</w:t>
      </w:r>
      <w:r w:rsidRPr="000C0842">
        <w:rPr>
          <w:rFonts w:eastAsia="SimSun" w:cs="SimSun"/>
          <w:bCs/>
          <w:sz w:val="24"/>
          <w:szCs w:val="24"/>
          <w:lang w:val="en-GB"/>
        </w:rPr>
        <w:t>14</w:t>
      </w:r>
      <w:r w:rsidRPr="000C0842">
        <w:rPr>
          <w:rFonts w:eastAsia="SimSun" w:cs="SimSun"/>
          <w:bCs/>
          <w:sz w:val="24"/>
          <w:szCs w:val="24"/>
          <w:lang w:val="zh-CN"/>
        </w:rPr>
        <w:t>日第</w:t>
      </w:r>
      <w:hyperlink r:id="rId125" w:history="1">
        <w:r w:rsidRPr="000C0842">
          <w:rPr>
            <w:rFonts w:eastAsia="SimSun" w:cs="SimSun"/>
            <w:bCs/>
            <w:sz w:val="24"/>
            <w:szCs w:val="24"/>
            <w:u w:val="single"/>
            <w:lang w:val="en-GB"/>
          </w:rPr>
          <w:t>XII/23</w:t>
        </w:r>
      </w:hyperlink>
      <w:r w:rsidRPr="000C0842">
        <w:rPr>
          <w:rFonts w:eastAsia="SimSun" w:cs="SimSun"/>
          <w:bCs/>
          <w:sz w:val="24"/>
          <w:szCs w:val="24"/>
          <w:lang w:val="zh-CN"/>
        </w:rPr>
        <w:t>号决定、</w:t>
      </w:r>
      <w:r w:rsidRPr="000C0842">
        <w:rPr>
          <w:rFonts w:eastAsia="SimSun" w:cs="SimSun"/>
          <w:bCs/>
          <w:sz w:val="24"/>
          <w:szCs w:val="24"/>
          <w:lang w:val="en-GB"/>
        </w:rPr>
        <w:t>2016</w:t>
      </w:r>
      <w:r w:rsidRPr="000C0842">
        <w:rPr>
          <w:rFonts w:eastAsia="SimSun" w:cs="SimSun"/>
          <w:bCs/>
          <w:sz w:val="24"/>
          <w:szCs w:val="24"/>
          <w:lang w:val="zh-CN"/>
        </w:rPr>
        <w:t>年</w:t>
      </w:r>
      <w:r w:rsidRPr="000C0842">
        <w:rPr>
          <w:rFonts w:eastAsia="SimSun" w:cs="SimSun"/>
          <w:bCs/>
          <w:sz w:val="24"/>
          <w:szCs w:val="24"/>
          <w:lang w:val="en-GB"/>
        </w:rPr>
        <w:t>12</w:t>
      </w:r>
      <w:r w:rsidRPr="000C0842">
        <w:rPr>
          <w:rFonts w:eastAsia="SimSun" w:cs="SimSun"/>
          <w:bCs/>
          <w:sz w:val="24"/>
          <w:szCs w:val="24"/>
          <w:lang w:val="zh-CN"/>
        </w:rPr>
        <w:t>月</w:t>
      </w:r>
      <w:r w:rsidRPr="000C0842">
        <w:rPr>
          <w:rFonts w:eastAsia="SimSun" w:cs="SimSun"/>
          <w:bCs/>
          <w:sz w:val="24"/>
          <w:szCs w:val="24"/>
          <w:lang w:val="en-GB"/>
        </w:rPr>
        <w:t>17</w:t>
      </w:r>
      <w:r w:rsidRPr="000C0842">
        <w:rPr>
          <w:rFonts w:eastAsia="SimSun" w:cs="SimSun"/>
          <w:bCs/>
          <w:sz w:val="24"/>
          <w:szCs w:val="24"/>
          <w:lang w:val="zh-CN"/>
        </w:rPr>
        <w:t>日第</w:t>
      </w:r>
      <w:hyperlink r:id="rId126" w:history="1">
        <w:r w:rsidRPr="000C0842">
          <w:rPr>
            <w:rFonts w:eastAsia="SimSun" w:cs="SimSun"/>
            <w:bCs/>
            <w:sz w:val="24"/>
            <w:szCs w:val="24"/>
            <w:u w:val="single"/>
            <w:lang w:val="en-GB"/>
          </w:rPr>
          <w:t>XIII/9</w:t>
        </w:r>
      </w:hyperlink>
      <w:r w:rsidRPr="000C0842">
        <w:rPr>
          <w:rFonts w:eastAsia="SimSun" w:cs="SimSun"/>
          <w:bCs/>
          <w:sz w:val="24"/>
          <w:szCs w:val="24"/>
          <w:lang w:val="zh-CN"/>
        </w:rPr>
        <w:t>号决定、</w:t>
      </w:r>
      <w:r w:rsidRPr="000C0842">
        <w:rPr>
          <w:rFonts w:eastAsia="SimSun" w:cs="SimSun"/>
          <w:bCs/>
          <w:sz w:val="24"/>
          <w:szCs w:val="24"/>
          <w:lang w:val="en-GB"/>
        </w:rPr>
        <w:t>2016</w:t>
      </w:r>
      <w:r w:rsidRPr="000C0842">
        <w:rPr>
          <w:rFonts w:eastAsia="SimSun" w:cs="SimSun"/>
          <w:bCs/>
          <w:sz w:val="24"/>
          <w:szCs w:val="24"/>
          <w:lang w:val="zh-CN"/>
        </w:rPr>
        <w:t>年</w:t>
      </w:r>
      <w:r w:rsidRPr="000C0842">
        <w:rPr>
          <w:rFonts w:eastAsia="SimSun" w:cs="SimSun"/>
          <w:bCs/>
          <w:sz w:val="24"/>
          <w:szCs w:val="24"/>
          <w:lang w:val="en-GB"/>
        </w:rPr>
        <w:t>12</w:t>
      </w:r>
      <w:r w:rsidRPr="000C0842">
        <w:rPr>
          <w:rFonts w:eastAsia="SimSun" w:cs="SimSun"/>
          <w:bCs/>
          <w:sz w:val="24"/>
          <w:szCs w:val="24"/>
          <w:lang w:val="zh-CN"/>
        </w:rPr>
        <w:t>月</w:t>
      </w:r>
      <w:r w:rsidRPr="000C0842">
        <w:rPr>
          <w:rFonts w:eastAsia="SimSun" w:cs="SimSun"/>
          <w:bCs/>
          <w:sz w:val="24"/>
          <w:szCs w:val="24"/>
          <w:lang w:val="en-GB"/>
        </w:rPr>
        <w:t>13</w:t>
      </w:r>
      <w:r w:rsidRPr="000C0842">
        <w:rPr>
          <w:rFonts w:eastAsia="SimSun" w:cs="SimSun"/>
          <w:bCs/>
          <w:sz w:val="24"/>
          <w:szCs w:val="24"/>
          <w:lang w:val="zh-CN"/>
        </w:rPr>
        <w:t>日第</w:t>
      </w:r>
      <w:hyperlink r:id="rId127" w:history="1">
        <w:r w:rsidRPr="000C0842">
          <w:rPr>
            <w:rFonts w:eastAsia="SimSun" w:cs="SimSun"/>
            <w:bCs/>
            <w:sz w:val="24"/>
            <w:szCs w:val="24"/>
            <w:u w:val="single"/>
            <w:lang w:val="en-GB"/>
          </w:rPr>
          <w:t>XIII/10</w:t>
        </w:r>
      </w:hyperlink>
      <w:r w:rsidRPr="000C0842">
        <w:rPr>
          <w:rFonts w:eastAsia="SimSun" w:cs="SimSun"/>
          <w:bCs/>
          <w:sz w:val="24"/>
          <w:szCs w:val="24"/>
          <w:lang w:val="zh-CN"/>
        </w:rPr>
        <w:t>号和第</w:t>
      </w:r>
      <w:hyperlink r:id="rId128" w:history="1">
        <w:r w:rsidRPr="000C0842">
          <w:rPr>
            <w:rFonts w:eastAsia="SimSun" w:cs="SimSun"/>
            <w:bCs/>
            <w:sz w:val="24"/>
            <w:szCs w:val="24"/>
            <w:u w:val="single"/>
            <w:lang w:val="en-GB"/>
          </w:rPr>
          <w:t>XIII/11</w:t>
        </w:r>
      </w:hyperlink>
      <w:r w:rsidRPr="000C0842">
        <w:rPr>
          <w:rFonts w:eastAsia="SimSun" w:cs="SimSun"/>
          <w:bCs/>
          <w:sz w:val="24"/>
          <w:szCs w:val="24"/>
          <w:lang w:val="zh-CN"/>
        </w:rPr>
        <w:t>号决定、</w:t>
      </w:r>
      <w:r w:rsidRPr="000C0842">
        <w:rPr>
          <w:rFonts w:eastAsia="SimSun" w:cs="SimSun"/>
          <w:bCs/>
          <w:sz w:val="24"/>
          <w:szCs w:val="24"/>
          <w:lang w:val="en-GB"/>
        </w:rPr>
        <w:t>2016</w:t>
      </w:r>
      <w:r w:rsidRPr="000C0842">
        <w:rPr>
          <w:rFonts w:eastAsia="SimSun" w:cs="SimSun"/>
          <w:bCs/>
          <w:sz w:val="24"/>
          <w:szCs w:val="24"/>
          <w:lang w:val="zh-CN"/>
        </w:rPr>
        <w:t>年</w:t>
      </w:r>
      <w:r w:rsidRPr="000C0842">
        <w:rPr>
          <w:rFonts w:eastAsia="SimSun" w:cs="SimSun"/>
          <w:bCs/>
          <w:sz w:val="24"/>
          <w:szCs w:val="24"/>
          <w:lang w:val="en-GB"/>
        </w:rPr>
        <w:t>12</w:t>
      </w:r>
      <w:r w:rsidRPr="000C0842">
        <w:rPr>
          <w:rFonts w:eastAsia="SimSun" w:cs="SimSun"/>
          <w:bCs/>
          <w:sz w:val="24"/>
          <w:szCs w:val="24"/>
          <w:lang w:val="zh-CN"/>
        </w:rPr>
        <w:t>月</w:t>
      </w:r>
      <w:r w:rsidRPr="000C0842">
        <w:rPr>
          <w:rFonts w:eastAsia="SimSun" w:cs="SimSun"/>
          <w:bCs/>
          <w:sz w:val="24"/>
          <w:szCs w:val="24"/>
          <w:lang w:val="en-GB"/>
        </w:rPr>
        <w:t>17</w:t>
      </w:r>
      <w:r w:rsidRPr="000C0842">
        <w:rPr>
          <w:rFonts w:eastAsia="SimSun" w:cs="SimSun"/>
          <w:bCs/>
          <w:sz w:val="24"/>
          <w:szCs w:val="24"/>
          <w:lang w:val="zh-CN"/>
        </w:rPr>
        <w:t>日第</w:t>
      </w:r>
      <w:hyperlink r:id="rId129" w:history="1">
        <w:r w:rsidRPr="000C0842">
          <w:rPr>
            <w:rFonts w:eastAsia="SimSun" w:cs="SimSun"/>
            <w:bCs/>
            <w:sz w:val="24"/>
            <w:szCs w:val="24"/>
            <w:u w:val="single"/>
            <w:lang w:val="en-GB"/>
          </w:rPr>
          <w:t>XIII/12</w:t>
        </w:r>
      </w:hyperlink>
      <w:r w:rsidRPr="000C0842">
        <w:rPr>
          <w:rFonts w:eastAsia="SimSun" w:cs="SimSun"/>
          <w:bCs/>
          <w:sz w:val="24"/>
          <w:szCs w:val="24"/>
          <w:lang w:val="zh-CN"/>
        </w:rPr>
        <w:t>号决定、</w:t>
      </w:r>
      <w:r w:rsidRPr="000C0842">
        <w:rPr>
          <w:rFonts w:eastAsia="SimSun" w:cs="SimSun"/>
          <w:bCs/>
          <w:sz w:val="24"/>
          <w:szCs w:val="24"/>
          <w:lang w:val="en-GB"/>
        </w:rPr>
        <w:t>2018</w:t>
      </w:r>
      <w:r w:rsidRPr="000C0842">
        <w:rPr>
          <w:rFonts w:eastAsia="SimSun" w:cs="SimSun"/>
          <w:bCs/>
          <w:sz w:val="24"/>
          <w:szCs w:val="24"/>
          <w:lang w:val="zh-CN"/>
        </w:rPr>
        <w:t>年</w:t>
      </w:r>
      <w:r w:rsidRPr="000C0842">
        <w:rPr>
          <w:rFonts w:eastAsia="SimSun" w:cs="SimSun"/>
          <w:bCs/>
          <w:sz w:val="24"/>
          <w:szCs w:val="24"/>
          <w:lang w:val="en-GB"/>
        </w:rPr>
        <w:t>11</w:t>
      </w:r>
      <w:r w:rsidRPr="000C0842">
        <w:rPr>
          <w:rFonts w:eastAsia="SimSun" w:cs="SimSun"/>
          <w:bCs/>
          <w:sz w:val="24"/>
          <w:szCs w:val="24"/>
          <w:lang w:val="zh-CN"/>
        </w:rPr>
        <w:t>月</w:t>
      </w:r>
      <w:r w:rsidRPr="000C0842">
        <w:rPr>
          <w:rFonts w:eastAsia="SimSun" w:cs="SimSun"/>
          <w:bCs/>
          <w:sz w:val="24"/>
          <w:szCs w:val="24"/>
          <w:lang w:val="en-GB"/>
        </w:rPr>
        <w:t>29</w:t>
      </w:r>
      <w:r w:rsidRPr="000C0842">
        <w:rPr>
          <w:rFonts w:eastAsia="SimSun" w:cs="SimSun"/>
          <w:bCs/>
          <w:sz w:val="24"/>
          <w:szCs w:val="24"/>
          <w:lang w:val="zh-CN"/>
        </w:rPr>
        <w:t>日第</w:t>
      </w:r>
      <w:hyperlink r:id="rId130" w:history="1">
        <w:r w:rsidRPr="000C0842">
          <w:rPr>
            <w:rFonts w:eastAsia="SimSun" w:cs="SimSun"/>
            <w:bCs/>
            <w:sz w:val="24"/>
            <w:szCs w:val="24"/>
            <w:u w:val="single"/>
            <w:lang w:val="en-GB"/>
          </w:rPr>
          <w:t>14/8</w:t>
        </w:r>
      </w:hyperlink>
      <w:r w:rsidRPr="000C0842">
        <w:rPr>
          <w:rFonts w:eastAsia="SimSun" w:cs="SimSun"/>
          <w:bCs/>
          <w:sz w:val="24"/>
          <w:szCs w:val="24"/>
          <w:lang w:val="zh-CN"/>
        </w:rPr>
        <w:t>号决定、</w:t>
      </w:r>
      <w:r w:rsidRPr="000C0842">
        <w:rPr>
          <w:rFonts w:eastAsia="SimSun" w:cs="SimSun"/>
          <w:bCs/>
          <w:sz w:val="24"/>
          <w:szCs w:val="24"/>
          <w:lang w:val="en-GB"/>
        </w:rPr>
        <w:t>2018</w:t>
      </w:r>
      <w:r w:rsidRPr="000C0842">
        <w:rPr>
          <w:rFonts w:eastAsia="SimSun" w:cs="SimSun"/>
          <w:bCs/>
          <w:sz w:val="24"/>
          <w:szCs w:val="24"/>
          <w:lang w:val="zh-CN"/>
        </w:rPr>
        <w:t>年</w:t>
      </w:r>
      <w:r w:rsidRPr="000C0842">
        <w:rPr>
          <w:rFonts w:eastAsia="SimSun" w:cs="SimSun"/>
          <w:bCs/>
          <w:sz w:val="24"/>
          <w:szCs w:val="24"/>
          <w:lang w:val="en-GB"/>
        </w:rPr>
        <w:t>12</w:t>
      </w:r>
      <w:r w:rsidRPr="000C0842">
        <w:rPr>
          <w:rFonts w:eastAsia="SimSun" w:cs="SimSun"/>
          <w:bCs/>
          <w:sz w:val="24"/>
          <w:szCs w:val="24"/>
          <w:lang w:val="zh-CN"/>
        </w:rPr>
        <w:t>月</w:t>
      </w:r>
      <w:r w:rsidRPr="000C0842">
        <w:rPr>
          <w:rFonts w:eastAsia="SimSun" w:cs="SimSun"/>
          <w:bCs/>
          <w:sz w:val="24"/>
          <w:szCs w:val="24"/>
          <w:lang w:val="en-GB"/>
        </w:rPr>
        <w:t>29</w:t>
      </w:r>
      <w:r w:rsidRPr="000C0842">
        <w:rPr>
          <w:rFonts w:eastAsia="SimSun" w:cs="SimSun"/>
          <w:bCs/>
          <w:sz w:val="24"/>
          <w:szCs w:val="24"/>
          <w:lang w:val="zh-CN"/>
        </w:rPr>
        <w:t>日第</w:t>
      </w:r>
      <w:hyperlink r:id="rId131" w:history="1">
        <w:r w:rsidRPr="000C0842">
          <w:rPr>
            <w:rFonts w:eastAsia="SimSun" w:cs="SimSun"/>
            <w:bCs/>
            <w:sz w:val="24"/>
            <w:szCs w:val="24"/>
            <w:u w:val="single"/>
            <w:lang w:val="en-GB"/>
          </w:rPr>
          <w:t>14/10</w:t>
        </w:r>
      </w:hyperlink>
      <w:r w:rsidRPr="000C0842">
        <w:rPr>
          <w:rFonts w:eastAsia="SimSun" w:cs="SimSun"/>
          <w:bCs/>
          <w:sz w:val="24"/>
          <w:szCs w:val="24"/>
          <w:lang w:val="zh-CN"/>
        </w:rPr>
        <w:t>号和第</w:t>
      </w:r>
      <w:hyperlink r:id="rId132" w:history="1">
        <w:r w:rsidRPr="000C0842">
          <w:rPr>
            <w:rFonts w:eastAsia="SimSun" w:cs="SimSun"/>
            <w:bCs/>
            <w:sz w:val="24"/>
            <w:szCs w:val="24"/>
            <w:u w:val="single"/>
            <w:lang w:val="en-GB"/>
          </w:rPr>
          <w:t>14/30</w:t>
        </w:r>
      </w:hyperlink>
      <w:r w:rsidRPr="000C0842">
        <w:rPr>
          <w:rFonts w:eastAsia="SimSun" w:cs="SimSun"/>
          <w:bCs/>
          <w:sz w:val="24"/>
          <w:szCs w:val="24"/>
          <w:lang w:val="zh-CN"/>
        </w:rPr>
        <w:t>号决定</w:t>
      </w:r>
      <w:r w:rsidRPr="000C0842">
        <w:rPr>
          <w:rFonts w:eastAsia="SimSun" w:cs="SimSun" w:hint="eastAsia"/>
          <w:bCs/>
          <w:sz w:val="24"/>
          <w:szCs w:val="24"/>
          <w:lang w:val="zh-CN"/>
        </w:rPr>
        <w:t>、</w:t>
      </w:r>
      <w:r w:rsidRPr="000C0842">
        <w:rPr>
          <w:rFonts w:eastAsia="SimSun" w:cs="SimSun"/>
          <w:bCs/>
          <w:sz w:val="24"/>
          <w:szCs w:val="24"/>
          <w:lang w:val="en-GB"/>
        </w:rPr>
        <w:t>2022</w:t>
      </w:r>
      <w:r w:rsidRPr="000C0842">
        <w:rPr>
          <w:rFonts w:eastAsia="SimSun" w:cs="SimSun"/>
          <w:bCs/>
          <w:sz w:val="24"/>
          <w:szCs w:val="24"/>
          <w:lang w:val="zh-CN"/>
        </w:rPr>
        <w:t>年</w:t>
      </w:r>
      <w:r w:rsidRPr="000C0842">
        <w:rPr>
          <w:rFonts w:eastAsia="SimSun" w:cs="SimSun"/>
          <w:bCs/>
          <w:sz w:val="24"/>
          <w:szCs w:val="24"/>
          <w:lang w:val="en-GB"/>
        </w:rPr>
        <w:t>12</w:t>
      </w:r>
      <w:r w:rsidRPr="000C0842">
        <w:rPr>
          <w:rFonts w:eastAsia="SimSun" w:cs="SimSun"/>
          <w:bCs/>
          <w:sz w:val="24"/>
          <w:szCs w:val="24"/>
          <w:lang w:val="zh-CN"/>
        </w:rPr>
        <w:t>月</w:t>
      </w:r>
      <w:r w:rsidRPr="000C0842">
        <w:rPr>
          <w:rFonts w:eastAsia="SimSun" w:cs="SimSun"/>
          <w:bCs/>
          <w:sz w:val="24"/>
          <w:szCs w:val="24"/>
          <w:lang w:val="en-GB"/>
        </w:rPr>
        <w:t>19</w:t>
      </w:r>
      <w:r w:rsidRPr="000C0842">
        <w:rPr>
          <w:rFonts w:eastAsia="SimSun" w:cs="SimSun"/>
          <w:bCs/>
          <w:sz w:val="24"/>
          <w:szCs w:val="24"/>
          <w:lang w:val="zh-CN"/>
        </w:rPr>
        <w:t>日第</w:t>
      </w:r>
      <w:hyperlink r:id="rId133" w:history="1">
        <w:r w:rsidRPr="000C0842">
          <w:rPr>
            <w:rFonts w:eastAsia="SimSun" w:cs="SimSun"/>
            <w:bCs/>
            <w:sz w:val="24"/>
            <w:szCs w:val="24"/>
            <w:u w:val="single"/>
            <w:lang w:val="en-GB"/>
          </w:rPr>
          <w:t>15/24</w:t>
        </w:r>
      </w:hyperlink>
      <w:r w:rsidRPr="000C0842">
        <w:rPr>
          <w:rFonts w:eastAsia="SimSun" w:cs="SimSun"/>
          <w:bCs/>
          <w:sz w:val="24"/>
          <w:szCs w:val="24"/>
          <w:lang w:val="zh-CN"/>
        </w:rPr>
        <w:t>号决定</w:t>
      </w:r>
      <w:r w:rsidRPr="000C0842">
        <w:rPr>
          <w:rFonts w:eastAsia="SimSun" w:cs="SimSun" w:hint="eastAsia"/>
          <w:bCs/>
          <w:sz w:val="24"/>
          <w:szCs w:val="24"/>
          <w:lang w:val="en-GB"/>
        </w:rPr>
        <w:t>，</w:t>
      </w:r>
      <w:r w:rsidRPr="000C0842">
        <w:rPr>
          <w:rFonts w:eastAsia="SimSun" w:cs="SimSun"/>
          <w:bCs/>
          <w:sz w:val="24"/>
          <w:szCs w:val="24"/>
          <w:lang w:val="en-GB"/>
        </w:rPr>
        <w:t xml:space="preserve">    </w:t>
      </w:r>
    </w:p>
    <w:p w14:paraId="0A148748"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
          <w:sz w:val="24"/>
          <w:lang w:val="en-GB"/>
        </w:rPr>
      </w:pPr>
      <w:r w:rsidRPr="000C0842">
        <w:rPr>
          <w:rFonts w:ascii="KaiTi" w:eastAsia="KaiTi" w:hAnsi="KaiTi" w:cs="SimSun"/>
          <w:bCs/>
          <w:sz w:val="24"/>
          <w:lang w:val="en-GB"/>
        </w:rPr>
        <w:t>还回顾</w:t>
      </w:r>
      <w:r w:rsidRPr="000C0842">
        <w:rPr>
          <w:rFonts w:eastAsia="SimSun"/>
          <w:bCs/>
          <w:sz w:val="24"/>
          <w:lang w:val="en-GB"/>
        </w:rPr>
        <w:t>2023</w:t>
      </w:r>
      <w:r w:rsidRPr="000C0842">
        <w:rPr>
          <w:rFonts w:eastAsia="SimSun"/>
          <w:bCs/>
          <w:sz w:val="24"/>
          <w:lang w:val="en-GB"/>
        </w:rPr>
        <w:t>年</w:t>
      </w:r>
      <w:r w:rsidRPr="000C0842">
        <w:rPr>
          <w:rFonts w:eastAsia="SimSun"/>
          <w:bCs/>
          <w:sz w:val="24"/>
          <w:lang w:val="en-GB"/>
        </w:rPr>
        <w:t>12</w:t>
      </w:r>
      <w:r w:rsidRPr="000C0842">
        <w:rPr>
          <w:rFonts w:eastAsia="SimSun"/>
          <w:bCs/>
          <w:sz w:val="24"/>
          <w:lang w:val="en-GB"/>
        </w:rPr>
        <w:t>月</w:t>
      </w:r>
      <w:r w:rsidRPr="000C0842">
        <w:rPr>
          <w:rFonts w:eastAsia="SimSun"/>
          <w:bCs/>
          <w:sz w:val="24"/>
          <w:lang w:val="en-GB"/>
        </w:rPr>
        <w:t>5</w:t>
      </w:r>
      <w:r w:rsidRPr="000C0842">
        <w:rPr>
          <w:rFonts w:eastAsia="SimSun"/>
          <w:bCs/>
          <w:sz w:val="24"/>
          <w:lang w:val="en-GB"/>
        </w:rPr>
        <w:t>日</w:t>
      </w:r>
      <w:r w:rsidRPr="000C0842">
        <w:rPr>
          <w:rFonts w:eastAsia="SimSun" w:cs="SimSun" w:hint="eastAsia"/>
          <w:bCs/>
          <w:sz w:val="24"/>
          <w:lang w:val="en-GB"/>
        </w:rPr>
        <w:t>联合国大会关于海洋和海洋法的第</w:t>
      </w:r>
      <w:r w:rsidRPr="000C0842">
        <w:rPr>
          <w:rFonts w:eastAsia="SimSun" w:cs="SimSun" w:hint="eastAsia"/>
          <w:bCs/>
          <w:sz w:val="24"/>
          <w:lang w:val="en-GB"/>
        </w:rPr>
        <w:t>78/69</w:t>
      </w:r>
      <w:r w:rsidRPr="000C0842">
        <w:rPr>
          <w:rFonts w:eastAsia="SimSun" w:cs="SimSun" w:hint="eastAsia"/>
          <w:bCs/>
          <w:sz w:val="24"/>
          <w:lang w:val="en-GB"/>
        </w:rPr>
        <w:t>号决议及其关于《联合国海洋法公约》的序言部分段落</w:t>
      </w:r>
      <w:r w:rsidRPr="000C0842">
        <w:rPr>
          <w:rFonts w:eastAsia="SimSun" w:cs="SimSun"/>
          <w:bCs/>
          <w:sz w:val="24"/>
          <w:vertAlign w:val="superscript"/>
          <w:lang w:val="en-GB"/>
        </w:rPr>
        <w:footnoteReference w:id="166"/>
      </w:r>
      <w:r w:rsidRPr="000C0842">
        <w:rPr>
          <w:rFonts w:eastAsia="SimSun" w:cs="SimSun" w:hint="eastAsia"/>
          <w:bCs/>
          <w:sz w:val="24"/>
          <w:vertAlign w:val="superscript"/>
          <w:lang w:val="en-GB"/>
        </w:rPr>
        <w:t>、</w:t>
      </w:r>
      <w:bookmarkStart w:id="63" w:name="_Ref207179118"/>
      <w:r w:rsidRPr="000C0842">
        <w:rPr>
          <w:rFonts w:eastAsia="SimSun" w:cs="SimSun"/>
          <w:bCs/>
          <w:sz w:val="24"/>
          <w:vertAlign w:val="superscript"/>
          <w:lang w:val="en-GB"/>
        </w:rPr>
        <w:footnoteReference w:id="167"/>
      </w:r>
      <w:bookmarkEnd w:id="63"/>
      <w:r w:rsidRPr="000C0842">
        <w:rPr>
          <w:rFonts w:eastAsia="SimSun" w:cs="SimSun" w:hint="eastAsia"/>
          <w:bCs/>
          <w:sz w:val="24"/>
          <w:vertAlign w:val="superscript"/>
          <w:lang w:val="en-GB"/>
        </w:rPr>
        <w:t>、</w:t>
      </w:r>
      <w:bookmarkStart w:id="64" w:name="_Ref207179143"/>
      <w:r w:rsidRPr="000C0842">
        <w:rPr>
          <w:rFonts w:eastAsia="SimSun" w:cs="SimSun"/>
          <w:bCs/>
          <w:sz w:val="24"/>
          <w:vertAlign w:val="superscript"/>
          <w:lang w:val="en-GB"/>
        </w:rPr>
        <w:footnoteReference w:id="168"/>
      </w:r>
      <w:bookmarkEnd w:id="64"/>
      <w:r w:rsidRPr="000C0842">
        <w:rPr>
          <w:rFonts w:eastAsia="SimSun" w:cs="SimSun" w:hint="eastAsia"/>
          <w:bCs/>
          <w:sz w:val="24"/>
          <w:vertAlign w:val="superscript"/>
          <w:lang w:val="en-GB"/>
        </w:rPr>
        <w:t>、</w:t>
      </w:r>
      <w:bookmarkStart w:id="65" w:name="_Ref207179154"/>
      <w:r w:rsidRPr="000C0842">
        <w:rPr>
          <w:rFonts w:eastAsia="SimSun" w:cs="SimSun"/>
          <w:bCs/>
          <w:sz w:val="24"/>
          <w:vertAlign w:val="superscript"/>
          <w:lang w:val="en-GB"/>
        </w:rPr>
        <w:footnoteReference w:id="169"/>
      </w:r>
      <w:bookmarkEnd w:id="65"/>
      <w:r w:rsidRPr="000C0842">
        <w:rPr>
          <w:rFonts w:eastAsia="SimSun" w:cs="SimSun" w:hint="eastAsia"/>
          <w:bCs/>
          <w:sz w:val="24"/>
          <w:vertAlign w:val="superscript"/>
          <w:lang w:val="en-GB"/>
        </w:rPr>
        <w:t>、</w:t>
      </w:r>
      <w:bookmarkStart w:id="66" w:name="_Ref207179162"/>
      <w:r w:rsidRPr="000C0842">
        <w:rPr>
          <w:rFonts w:eastAsia="SimSun" w:cs="SimSun"/>
          <w:bCs/>
          <w:sz w:val="24"/>
          <w:vertAlign w:val="superscript"/>
          <w:lang w:val="en-GB"/>
        </w:rPr>
        <w:footnoteReference w:id="170"/>
      </w:r>
      <w:bookmarkEnd w:id="66"/>
      <w:r w:rsidRPr="000C0842">
        <w:rPr>
          <w:rFonts w:eastAsia="SimSun" w:cs="SimSun" w:hint="eastAsia"/>
          <w:bCs/>
          <w:sz w:val="24"/>
          <w:lang w:val="zh-CN"/>
        </w:rPr>
        <w:t>，</w:t>
      </w:r>
    </w:p>
    <w:p w14:paraId="5096906D" w14:textId="15A689A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CA"/>
        </w:rPr>
      </w:pPr>
      <w:r w:rsidRPr="000C0842">
        <w:rPr>
          <w:rFonts w:ascii="KaiTi" w:eastAsia="KaiTi" w:hAnsi="KaiTi" w:cs="SimSun" w:hint="eastAsia"/>
          <w:bCs/>
          <w:sz w:val="24"/>
          <w:lang w:val="zh-CN"/>
        </w:rPr>
        <w:t>回顾</w:t>
      </w:r>
      <w:r w:rsidRPr="000C0842">
        <w:rPr>
          <w:rFonts w:eastAsia="SimSun" w:cs="SimSun"/>
          <w:bCs/>
          <w:sz w:val="24"/>
          <w:lang w:val="zh-CN"/>
        </w:rPr>
        <w:t>2024</w:t>
      </w:r>
      <w:r w:rsidRPr="000C0842">
        <w:rPr>
          <w:rFonts w:eastAsia="SimSun" w:cs="SimSun" w:hint="eastAsia"/>
          <w:bCs/>
          <w:sz w:val="24"/>
          <w:lang w:val="zh-CN"/>
        </w:rPr>
        <w:t>年</w:t>
      </w:r>
      <w:r w:rsidRPr="000C0842">
        <w:rPr>
          <w:rFonts w:eastAsia="SimSun" w:cs="SimSun"/>
          <w:bCs/>
          <w:sz w:val="24"/>
          <w:lang w:val="zh-CN"/>
        </w:rPr>
        <w:t>3</w:t>
      </w:r>
      <w:r w:rsidRPr="000C0842">
        <w:rPr>
          <w:rFonts w:eastAsia="SimSun" w:cs="SimSun" w:hint="eastAsia"/>
          <w:bCs/>
          <w:sz w:val="24"/>
          <w:lang w:val="zh-CN"/>
        </w:rPr>
        <w:t>月</w:t>
      </w:r>
      <w:r w:rsidRPr="000C0842">
        <w:rPr>
          <w:rFonts w:eastAsia="SimSun" w:cs="SimSun"/>
          <w:bCs/>
          <w:sz w:val="24"/>
          <w:lang w:val="zh-CN"/>
        </w:rPr>
        <w:t>1</w:t>
      </w:r>
      <w:r w:rsidRPr="000C0842">
        <w:rPr>
          <w:rFonts w:eastAsia="SimSun" w:cs="SimSun" w:hint="eastAsia"/>
          <w:bCs/>
          <w:sz w:val="24"/>
          <w:lang w:val="zh-CN"/>
        </w:rPr>
        <w:t>日联合国环境大会题为“加强海洋工作以应对气候变化、海洋生物多样性丧失和污染”的第</w:t>
      </w:r>
      <w:r w:rsidRPr="000C0842">
        <w:rPr>
          <w:rFonts w:eastAsia="SimSun" w:cs="SimSun"/>
          <w:bCs/>
          <w:sz w:val="24"/>
          <w:lang w:val="zh-CN"/>
        </w:rPr>
        <w:t>6/15</w:t>
      </w:r>
      <w:r w:rsidRPr="000C0842">
        <w:rPr>
          <w:rFonts w:eastAsia="SimSun" w:cs="SimSun" w:hint="eastAsia"/>
          <w:bCs/>
          <w:sz w:val="24"/>
          <w:lang w:val="zh-CN"/>
        </w:rPr>
        <w:t>号决议</w:t>
      </w:r>
      <w:r w:rsidR="00BF61B5" w:rsidRPr="000C0842">
        <w:rPr>
          <w:rFonts w:eastAsia="SimSun" w:cs="SimSun"/>
          <w:bCs/>
          <w:sz w:val="24"/>
          <w:szCs w:val="24"/>
          <w:vertAlign w:val="superscript"/>
          <w:lang w:val="en-GB"/>
        </w:rPr>
        <w:fldChar w:fldCharType="begin"/>
      </w:r>
      <w:r w:rsidR="00BF61B5" w:rsidRPr="000C0842">
        <w:rPr>
          <w:rFonts w:eastAsia="SimSun" w:cs="SimSun"/>
          <w:bCs/>
          <w:sz w:val="24"/>
          <w:szCs w:val="24"/>
          <w:vertAlign w:val="superscript"/>
          <w:lang w:val="zh-CN"/>
        </w:rPr>
        <w:instrText xml:space="preserve"> </w:instrText>
      </w:r>
      <w:r w:rsidR="00BF61B5" w:rsidRPr="000C0842">
        <w:rPr>
          <w:rFonts w:eastAsia="SimSun" w:cs="SimSun" w:hint="eastAsia"/>
          <w:bCs/>
          <w:sz w:val="24"/>
          <w:szCs w:val="24"/>
          <w:vertAlign w:val="superscript"/>
          <w:lang w:val="zh-CN"/>
        </w:rPr>
        <w:instrText>NOTEREF _Ref207179118 \h</w:instrText>
      </w:r>
      <w:r w:rsidR="00BF61B5" w:rsidRPr="000C0842">
        <w:rPr>
          <w:rFonts w:eastAsia="SimSun" w:cs="SimSun"/>
          <w:bCs/>
          <w:sz w:val="24"/>
          <w:szCs w:val="24"/>
          <w:vertAlign w:val="superscript"/>
          <w:lang w:val="zh-CN"/>
        </w:rPr>
        <w:instrText xml:space="preserve"> </w:instrText>
      </w:r>
      <w:r w:rsidR="00BF61B5" w:rsidRPr="000C0842">
        <w:rPr>
          <w:rFonts w:eastAsia="SimSun" w:cs="SimSun"/>
          <w:bCs/>
          <w:sz w:val="24"/>
          <w:szCs w:val="24"/>
          <w:vertAlign w:val="superscript"/>
          <w:lang w:val="en-GB"/>
        </w:rPr>
        <w:instrText xml:space="preserve"> \* MERGEFORMAT </w:instrText>
      </w:r>
      <w:r w:rsidR="00BF61B5" w:rsidRPr="000C0842">
        <w:rPr>
          <w:rFonts w:eastAsia="SimSun" w:cs="SimSun"/>
          <w:bCs/>
          <w:sz w:val="24"/>
          <w:szCs w:val="24"/>
          <w:vertAlign w:val="superscript"/>
          <w:lang w:val="en-GB"/>
        </w:rPr>
      </w:r>
      <w:r w:rsidR="00BF61B5" w:rsidRPr="000C0842">
        <w:rPr>
          <w:rFonts w:eastAsia="SimSun" w:cs="SimSun"/>
          <w:bCs/>
          <w:sz w:val="24"/>
          <w:szCs w:val="24"/>
          <w:vertAlign w:val="superscript"/>
          <w:lang w:val="en-GB"/>
        </w:rPr>
        <w:fldChar w:fldCharType="separate"/>
      </w:r>
      <w:r w:rsidR="001A4065">
        <w:rPr>
          <w:rFonts w:eastAsia="SimSun" w:cs="SimSun"/>
          <w:bCs/>
          <w:sz w:val="24"/>
          <w:szCs w:val="24"/>
          <w:vertAlign w:val="superscript"/>
          <w:lang w:val="zh-CN"/>
        </w:rPr>
        <w:t>165</w:t>
      </w:r>
      <w:r w:rsidR="00BF61B5" w:rsidRPr="000C0842">
        <w:rPr>
          <w:rFonts w:eastAsia="SimSun" w:cs="SimSun"/>
          <w:bCs/>
          <w:sz w:val="24"/>
          <w:szCs w:val="24"/>
          <w:vertAlign w:val="superscript"/>
          <w:lang w:val="en-GB"/>
        </w:rPr>
        <w:fldChar w:fldCharType="end"/>
      </w:r>
      <w:r w:rsidR="00BF61B5" w:rsidRPr="000C0842">
        <w:rPr>
          <w:rFonts w:eastAsia="SimSun" w:cs="SimSun" w:hint="eastAsia"/>
          <w:bCs/>
          <w:sz w:val="24"/>
          <w:vertAlign w:val="superscript"/>
          <w:lang w:val="en-GB"/>
        </w:rPr>
        <w:t>、</w:t>
      </w:r>
      <w:r w:rsidR="00BF61B5" w:rsidRPr="000C0842">
        <w:rPr>
          <w:rFonts w:eastAsia="SimSun" w:cs="SimSun"/>
          <w:bCs/>
          <w:sz w:val="24"/>
          <w:vertAlign w:val="superscript"/>
          <w:lang w:val="en-GB"/>
        </w:rPr>
        <w:fldChar w:fldCharType="begin"/>
      </w:r>
      <w:r w:rsidR="00BF61B5" w:rsidRPr="000C0842">
        <w:rPr>
          <w:rFonts w:eastAsia="SimSun" w:cs="SimSun"/>
          <w:bCs/>
          <w:sz w:val="24"/>
          <w:vertAlign w:val="superscript"/>
          <w:lang w:val="en-GB"/>
        </w:rPr>
        <w:instrText xml:space="preserve"> NOTEREF _Ref207179143 \h </w:instrText>
      </w:r>
      <w:r w:rsidR="00BF61B5" w:rsidRPr="000C0842">
        <w:rPr>
          <w:rFonts w:eastAsia="SimSun" w:cs="SimSun"/>
          <w:bCs/>
          <w:sz w:val="24"/>
          <w:vertAlign w:val="superscript"/>
          <w:lang w:val="en-GB"/>
        </w:rPr>
      </w:r>
      <w:r w:rsidR="00BF61B5" w:rsidRPr="000C0842">
        <w:rPr>
          <w:rFonts w:eastAsia="SimSun" w:cs="SimSun"/>
          <w:bCs/>
          <w:sz w:val="24"/>
          <w:vertAlign w:val="superscript"/>
          <w:lang w:val="en-GB"/>
        </w:rPr>
        <w:fldChar w:fldCharType="separate"/>
      </w:r>
      <w:r w:rsidR="001A4065">
        <w:rPr>
          <w:rFonts w:eastAsia="SimSun" w:cs="SimSun"/>
          <w:bCs/>
          <w:sz w:val="24"/>
          <w:vertAlign w:val="superscript"/>
          <w:lang w:val="en-GB"/>
        </w:rPr>
        <w:t>166</w:t>
      </w:r>
      <w:r w:rsidR="00BF61B5" w:rsidRPr="000C0842">
        <w:rPr>
          <w:rFonts w:eastAsia="SimSun" w:cs="SimSun"/>
          <w:bCs/>
          <w:sz w:val="24"/>
          <w:vertAlign w:val="superscript"/>
          <w:lang w:val="en-GB"/>
        </w:rPr>
        <w:fldChar w:fldCharType="end"/>
      </w:r>
      <w:r w:rsidR="00BF61B5" w:rsidRPr="000C0842">
        <w:rPr>
          <w:rFonts w:eastAsia="SimSun" w:cs="SimSun" w:hint="eastAsia"/>
          <w:bCs/>
          <w:sz w:val="24"/>
          <w:vertAlign w:val="superscript"/>
          <w:lang w:val="en-GB"/>
        </w:rPr>
        <w:t>、</w:t>
      </w:r>
      <w:r w:rsidR="00BF61B5" w:rsidRPr="000C0842">
        <w:rPr>
          <w:rFonts w:eastAsia="SimSun" w:cs="SimSun"/>
          <w:bCs/>
          <w:sz w:val="24"/>
          <w:vertAlign w:val="superscript"/>
          <w:lang w:val="en-GB"/>
        </w:rPr>
        <w:fldChar w:fldCharType="begin"/>
      </w:r>
      <w:r w:rsidR="00BF61B5" w:rsidRPr="000C0842">
        <w:rPr>
          <w:rFonts w:eastAsia="SimSun" w:cs="SimSun"/>
          <w:bCs/>
          <w:sz w:val="24"/>
          <w:vertAlign w:val="superscript"/>
          <w:lang w:val="en-GB"/>
        </w:rPr>
        <w:instrText xml:space="preserve"> NOTEREF _Ref207179154 \h </w:instrText>
      </w:r>
      <w:r w:rsidR="00BF61B5" w:rsidRPr="000C0842">
        <w:rPr>
          <w:rFonts w:eastAsia="SimSun" w:cs="SimSun"/>
          <w:bCs/>
          <w:sz w:val="24"/>
          <w:vertAlign w:val="superscript"/>
          <w:lang w:val="en-GB"/>
        </w:rPr>
      </w:r>
      <w:r w:rsidR="00BF61B5" w:rsidRPr="000C0842">
        <w:rPr>
          <w:rFonts w:eastAsia="SimSun" w:cs="SimSun"/>
          <w:bCs/>
          <w:sz w:val="24"/>
          <w:vertAlign w:val="superscript"/>
          <w:lang w:val="en-GB"/>
        </w:rPr>
        <w:fldChar w:fldCharType="separate"/>
      </w:r>
      <w:r w:rsidR="001A4065">
        <w:rPr>
          <w:rFonts w:eastAsia="SimSun" w:cs="SimSun"/>
          <w:bCs/>
          <w:sz w:val="24"/>
          <w:vertAlign w:val="superscript"/>
          <w:lang w:val="en-GB"/>
        </w:rPr>
        <w:t>167</w:t>
      </w:r>
      <w:r w:rsidR="00BF61B5" w:rsidRPr="000C0842">
        <w:rPr>
          <w:rFonts w:eastAsia="SimSun" w:cs="SimSun"/>
          <w:bCs/>
          <w:sz w:val="24"/>
          <w:vertAlign w:val="superscript"/>
          <w:lang w:val="en-GB"/>
        </w:rPr>
        <w:fldChar w:fldCharType="end"/>
      </w:r>
      <w:r w:rsidR="00BF61B5" w:rsidRPr="000C0842">
        <w:rPr>
          <w:rFonts w:eastAsia="SimSun" w:cs="SimSun" w:hint="eastAsia"/>
          <w:bCs/>
          <w:sz w:val="24"/>
          <w:vertAlign w:val="superscript"/>
          <w:lang w:val="en-GB"/>
        </w:rPr>
        <w:t>、</w:t>
      </w:r>
      <w:r w:rsidR="00BF61B5" w:rsidRPr="000C0842">
        <w:rPr>
          <w:rFonts w:eastAsia="SimSun" w:cs="SimSun"/>
          <w:bCs/>
          <w:sz w:val="24"/>
          <w:vertAlign w:val="superscript"/>
          <w:lang w:val="en-GB"/>
        </w:rPr>
        <w:fldChar w:fldCharType="begin"/>
      </w:r>
      <w:r w:rsidR="00BF61B5" w:rsidRPr="000C0842">
        <w:rPr>
          <w:rFonts w:eastAsia="SimSun" w:cs="SimSun"/>
          <w:bCs/>
          <w:sz w:val="24"/>
          <w:vertAlign w:val="superscript"/>
          <w:lang w:val="en-GB"/>
        </w:rPr>
        <w:instrText xml:space="preserve"> NOTEREF _Ref207179162 \h </w:instrText>
      </w:r>
      <w:r w:rsidR="00BF61B5" w:rsidRPr="000C0842">
        <w:rPr>
          <w:rFonts w:eastAsia="SimSun" w:cs="SimSun"/>
          <w:bCs/>
          <w:sz w:val="24"/>
          <w:vertAlign w:val="superscript"/>
          <w:lang w:val="en-GB"/>
        </w:rPr>
      </w:r>
      <w:r w:rsidR="00BF61B5" w:rsidRPr="000C0842">
        <w:rPr>
          <w:rFonts w:eastAsia="SimSun" w:cs="SimSun"/>
          <w:bCs/>
          <w:sz w:val="24"/>
          <w:vertAlign w:val="superscript"/>
          <w:lang w:val="en-GB"/>
        </w:rPr>
        <w:fldChar w:fldCharType="separate"/>
      </w:r>
      <w:r w:rsidR="001A4065">
        <w:rPr>
          <w:rFonts w:eastAsia="SimSun" w:cs="SimSun"/>
          <w:bCs/>
          <w:sz w:val="24"/>
          <w:vertAlign w:val="superscript"/>
          <w:lang w:val="en-GB"/>
        </w:rPr>
        <w:t>168</w:t>
      </w:r>
      <w:r w:rsidR="00BF61B5" w:rsidRPr="000C0842">
        <w:rPr>
          <w:rFonts w:eastAsia="SimSun" w:cs="SimSun"/>
          <w:bCs/>
          <w:sz w:val="24"/>
          <w:vertAlign w:val="superscript"/>
          <w:lang w:val="en-GB"/>
        </w:rPr>
        <w:fldChar w:fldCharType="end"/>
      </w:r>
      <w:r w:rsidRPr="000C0842">
        <w:rPr>
          <w:rFonts w:eastAsia="SimSun" w:cs="SimSun" w:hint="eastAsia"/>
          <w:bCs/>
          <w:sz w:val="24"/>
          <w:lang w:val="zh-CN"/>
        </w:rPr>
        <w:t>，</w:t>
      </w:r>
    </w:p>
    <w:p w14:paraId="3B2F7313"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zh-CN"/>
        </w:rPr>
        <w:t>认识到</w:t>
      </w:r>
      <w:r w:rsidRPr="000C0842">
        <w:rPr>
          <w:rFonts w:eastAsia="SimSun" w:cs="SimSun" w:hint="eastAsia"/>
          <w:bCs/>
          <w:sz w:val="24"/>
          <w:lang w:val="zh-CN"/>
        </w:rPr>
        <w:t>需要通过可持续海洋倡议等渠道，加强与主管政府间组织包括区域海洋公约和行动计划下和区域渔业机构下的进程以及主管国家管辖范围以外区域的组织的合作和协作</w:t>
      </w:r>
      <w:r w:rsidRPr="000C0842">
        <w:rPr>
          <w:rFonts w:eastAsia="SimSun" w:cs="SimSun" w:hint="eastAsia"/>
          <w:bCs/>
          <w:sz w:val="24"/>
          <w:lang w:val="en-GB"/>
        </w:rPr>
        <w:t>，根据相关国家法律、包括《联合国土著人民权利宣言》</w:t>
      </w:r>
      <w:r w:rsidRPr="000C0842">
        <w:rPr>
          <w:rFonts w:eastAsia="SimSun" w:cs="SimSun"/>
          <w:bCs/>
          <w:sz w:val="24"/>
          <w:vertAlign w:val="superscript"/>
          <w:lang w:val="en-GB"/>
        </w:rPr>
        <w:footnoteReference w:id="171"/>
      </w:r>
      <w:r w:rsidRPr="000C0842">
        <w:rPr>
          <w:rFonts w:eastAsia="SimSun" w:cs="SimSun" w:hint="eastAsia"/>
          <w:bCs/>
          <w:sz w:val="24"/>
          <w:lang w:val="en-GB"/>
        </w:rPr>
        <w:t>在内的国际文书和人权法，</w:t>
      </w:r>
      <w:r w:rsidRPr="000C0842">
        <w:rPr>
          <w:rFonts w:eastAsia="SimSun" w:cs="SimSun" w:hint="eastAsia"/>
          <w:bCs/>
          <w:sz w:val="24"/>
          <w:lang w:val="zh-CN"/>
        </w:rPr>
        <w:t>采用生态系统办法和防备措施</w:t>
      </w:r>
      <w:r w:rsidRPr="000C0842">
        <w:rPr>
          <w:rFonts w:eastAsia="SimSun" w:cs="SimSun"/>
          <w:bCs/>
          <w:sz w:val="24"/>
          <w:vertAlign w:val="superscript"/>
          <w:lang w:val="zh-CN"/>
        </w:rPr>
        <w:footnoteReference w:id="172"/>
      </w:r>
      <w:r w:rsidRPr="000C0842">
        <w:rPr>
          <w:rFonts w:eastAsia="SimSun" w:cs="SimSun" w:hint="eastAsia"/>
          <w:bCs/>
          <w:sz w:val="24"/>
          <w:lang w:val="en-GB"/>
        </w:rPr>
        <w:t>，</w:t>
      </w:r>
      <w:r w:rsidRPr="000C0842">
        <w:rPr>
          <w:rFonts w:eastAsia="SimSun" w:cs="SimSun" w:hint="eastAsia"/>
          <w:bCs/>
          <w:sz w:val="24"/>
          <w:lang w:val="zh-CN"/>
        </w:rPr>
        <w:t>在土著人民和地方社区自由、事先和知情同意下</w:t>
      </w:r>
      <w:r w:rsidRPr="000C0842">
        <w:rPr>
          <w:rFonts w:eastAsia="SimSun" w:cs="SimSun"/>
          <w:bCs/>
          <w:sz w:val="24"/>
          <w:vertAlign w:val="superscript"/>
          <w:lang w:val="zh-CN"/>
        </w:rPr>
        <w:footnoteReference w:id="173"/>
      </w:r>
      <w:r w:rsidRPr="000C0842">
        <w:rPr>
          <w:rFonts w:eastAsia="SimSun" w:cs="SimSun" w:hint="eastAsia"/>
          <w:bCs/>
          <w:sz w:val="24"/>
          <w:lang w:val="en-GB"/>
        </w:rPr>
        <w:t>，</w:t>
      </w:r>
      <w:r w:rsidRPr="000C0842">
        <w:rPr>
          <w:rFonts w:eastAsia="SimSun" w:cs="SimSun" w:hint="eastAsia"/>
          <w:bCs/>
          <w:sz w:val="24"/>
          <w:lang w:val="zh-CN"/>
        </w:rPr>
        <w:t>利用其现有最佳科学和传统知识</w:t>
      </w:r>
      <w:r w:rsidRPr="000C0842">
        <w:rPr>
          <w:rFonts w:eastAsia="SimSun" w:cs="SimSun" w:hint="eastAsia"/>
          <w:bCs/>
          <w:sz w:val="24"/>
          <w:lang w:val="en-GB"/>
        </w:rPr>
        <w:t>，</w:t>
      </w:r>
      <w:r w:rsidRPr="000C0842">
        <w:rPr>
          <w:rFonts w:eastAsia="SimSun" w:cs="SimSun" w:hint="eastAsia"/>
          <w:bCs/>
          <w:sz w:val="24"/>
          <w:lang w:val="zh-CN"/>
        </w:rPr>
        <w:t>支持保护和可持续利用海洋和沿海生物多样性和岛屿生物多样性</w:t>
      </w:r>
      <w:r w:rsidRPr="000C0842">
        <w:rPr>
          <w:rFonts w:eastAsia="SimSun" w:cs="SimSun" w:hint="eastAsia"/>
          <w:bCs/>
          <w:sz w:val="24"/>
          <w:lang w:val="en-GB"/>
        </w:rPr>
        <w:t>，</w:t>
      </w:r>
    </w:p>
    <w:p w14:paraId="265E72B3"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zh-CN"/>
        </w:rPr>
      </w:pPr>
      <w:r w:rsidRPr="000C0842">
        <w:rPr>
          <w:rFonts w:ascii="KaiTi" w:eastAsia="KaiTi" w:hAnsi="KaiTi" w:cs="SimSun" w:hint="eastAsia"/>
          <w:bCs/>
          <w:sz w:val="24"/>
          <w:lang w:val="en-GB"/>
        </w:rPr>
        <w:t>确认</w:t>
      </w:r>
      <w:r w:rsidRPr="000C0842">
        <w:rPr>
          <w:rFonts w:eastAsia="SimSun" w:cs="SimSun" w:hint="eastAsia"/>
          <w:bCs/>
          <w:sz w:val="24"/>
          <w:lang w:val="zh-CN"/>
        </w:rPr>
        <w:t>现有最佳科学、信息和技术对决策的重要性以及土著人民和地方社区的传统知识的重要性</w:t>
      </w:r>
      <w:r w:rsidRPr="000C0842">
        <w:rPr>
          <w:rFonts w:eastAsia="SimSun" w:cs="SimSun" w:hint="eastAsia"/>
          <w:bCs/>
          <w:sz w:val="24"/>
          <w:lang w:val="en-GB"/>
        </w:rPr>
        <w:t>，</w:t>
      </w:r>
      <w:r w:rsidRPr="000C0842">
        <w:rPr>
          <w:rFonts w:eastAsia="SimSun" w:cs="SimSun" w:hint="eastAsia"/>
          <w:bCs/>
          <w:sz w:val="24"/>
          <w:lang w:val="zh-CN"/>
        </w:rPr>
        <w:t>欢迎在联合国海洋科学促进可持续发展十年和联合国生态系统恢复十年下开展的工作</w:t>
      </w:r>
      <w:r w:rsidRPr="000C0842">
        <w:rPr>
          <w:rFonts w:eastAsia="SimSun" w:cs="SimSun" w:hint="eastAsia"/>
          <w:bCs/>
          <w:sz w:val="24"/>
          <w:lang w:val="en-GB"/>
        </w:rPr>
        <w:t>，欢迎</w:t>
      </w:r>
      <w:r w:rsidRPr="000C0842">
        <w:rPr>
          <w:rFonts w:eastAsia="SimSun" w:cs="SimSun"/>
          <w:bCs/>
          <w:sz w:val="24"/>
          <w:lang w:val="zh-CN"/>
        </w:rPr>
        <w:t>海洋环境</w:t>
      </w:r>
      <w:r w:rsidRPr="000C0842">
        <w:rPr>
          <w:rFonts w:eastAsia="SimSun" w:cs="SimSun" w:hint="eastAsia"/>
          <w:bCs/>
          <w:sz w:val="24"/>
          <w:lang w:val="zh-CN"/>
        </w:rPr>
        <w:t>状况</w:t>
      </w:r>
      <w:r w:rsidRPr="000C0842">
        <w:rPr>
          <w:rFonts w:eastAsia="SimSun" w:cs="SimSun"/>
          <w:bCs/>
          <w:sz w:val="24"/>
          <w:lang w:val="zh-CN"/>
        </w:rPr>
        <w:t>包括社会经济</w:t>
      </w:r>
      <w:r w:rsidRPr="000C0842">
        <w:rPr>
          <w:rFonts w:eastAsia="SimSun" w:cs="SimSun" w:hint="eastAsia"/>
          <w:bCs/>
          <w:sz w:val="24"/>
          <w:lang w:val="zh-CN"/>
        </w:rPr>
        <w:t>问题</w:t>
      </w:r>
      <w:r w:rsidRPr="000C0842">
        <w:rPr>
          <w:rFonts w:eastAsia="SimSun" w:cs="SimSun"/>
          <w:bCs/>
          <w:sz w:val="24"/>
          <w:lang w:val="zh-CN"/>
        </w:rPr>
        <w:t>全球报告和评估经常程序</w:t>
      </w:r>
      <w:r w:rsidRPr="000C0842">
        <w:rPr>
          <w:rFonts w:eastAsia="SimSun" w:cs="SimSun" w:hint="eastAsia"/>
          <w:bCs/>
          <w:sz w:val="24"/>
          <w:lang w:val="zh-CN"/>
        </w:rPr>
        <w:t>的工作和</w:t>
      </w:r>
      <w:r w:rsidRPr="000C0842">
        <w:rPr>
          <w:rFonts w:eastAsia="SimSun" w:cs="SimSun"/>
          <w:bCs/>
          <w:sz w:val="24"/>
          <w:lang w:val="zh-CN"/>
        </w:rPr>
        <w:t>生物多样性和生态系统服务政府间科学</w:t>
      </w:r>
      <w:r w:rsidRPr="000C0842">
        <w:rPr>
          <w:rFonts w:eastAsia="SimSun" w:cs="SimSun" w:hint="eastAsia"/>
          <w:bCs/>
          <w:sz w:val="24"/>
          <w:lang w:val="zh-CN"/>
        </w:rPr>
        <w:t>与</w:t>
      </w:r>
      <w:r w:rsidRPr="000C0842">
        <w:rPr>
          <w:rFonts w:eastAsia="SimSun" w:cs="SimSun"/>
          <w:bCs/>
          <w:sz w:val="24"/>
          <w:lang w:val="zh-CN"/>
        </w:rPr>
        <w:t>政策平台的工作</w:t>
      </w:r>
      <w:r w:rsidRPr="000C0842">
        <w:rPr>
          <w:rFonts w:eastAsia="SimSun" w:cs="SimSun" w:hint="eastAsia"/>
          <w:bCs/>
          <w:sz w:val="24"/>
          <w:lang w:val="zh-CN"/>
        </w:rPr>
        <w:t>，</w:t>
      </w:r>
    </w:p>
    <w:p w14:paraId="10630BDB"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zh-CN"/>
        </w:rPr>
        <w:t>考虑到</w:t>
      </w:r>
      <w:r w:rsidRPr="000C0842">
        <w:rPr>
          <w:rFonts w:eastAsia="SimSun" w:cs="SimSun" w:hint="eastAsia"/>
          <w:bCs/>
          <w:sz w:val="24"/>
          <w:lang w:val="zh-CN"/>
        </w:rPr>
        <w:t>其他主管政府间组织的工作也提供了宝贵的指导意见</w:t>
      </w:r>
      <w:r w:rsidRPr="000C0842">
        <w:rPr>
          <w:rFonts w:eastAsia="SimSun" w:cs="SimSun" w:hint="eastAsia"/>
          <w:bCs/>
          <w:sz w:val="24"/>
          <w:lang w:val="en-GB"/>
        </w:rPr>
        <w:t>，</w:t>
      </w:r>
      <w:r w:rsidRPr="000C0842">
        <w:rPr>
          <w:rFonts w:eastAsia="SimSun" w:cs="SimSun" w:hint="eastAsia"/>
          <w:bCs/>
          <w:sz w:val="24"/>
          <w:lang w:val="zh-CN"/>
        </w:rPr>
        <w:t>补充了缔约方大会提供的指导意见</w:t>
      </w:r>
      <w:r w:rsidRPr="000C0842">
        <w:rPr>
          <w:rFonts w:eastAsia="SimSun" w:cs="SimSun" w:hint="eastAsia"/>
          <w:bCs/>
          <w:sz w:val="24"/>
          <w:lang w:val="en-GB"/>
        </w:rPr>
        <w:t>，</w:t>
      </w:r>
    </w:p>
    <w:p w14:paraId="42CA8755"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zh-CN"/>
        </w:rPr>
        <w:t>欢迎</w:t>
      </w:r>
      <w:r w:rsidRPr="000C0842">
        <w:rPr>
          <w:rFonts w:eastAsia="SimSun" w:cs="SimSun" w:hint="eastAsia"/>
          <w:bCs/>
          <w:sz w:val="24"/>
          <w:lang w:val="zh-CN"/>
        </w:rPr>
        <w:t>秘书处在国家、区域和全球各级与缔约方、其他国家政府、次国家政府、土著人民和地方社区、妇女、青年、经济部门和相关组织合作</w:t>
      </w:r>
      <w:r w:rsidRPr="000C0842">
        <w:rPr>
          <w:rFonts w:eastAsia="SimSun" w:cs="SimSun" w:hint="eastAsia"/>
          <w:bCs/>
          <w:sz w:val="24"/>
          <w:lang w:val="en-GB"/>
        </w:rPr>
        <w:t>，</w:t>
      </w:r>
      <w:r w:rsidRPr="000C0842">
        <w:rPr>
          <w:rFonts w:eastAsia="SimSun" w:cs="SimSun" w:hint="eastAsia"/>
          <w:bCs/>
          <w:sz w:val="24"/>
          <w:lang w:val="zh-CN"/>
        </w:rPr>
        <w:t>包括通过可持续海洋倡议</w:t>
      </w:r>
      <w:r w:rsidRPr="000C0842">
        <w:rPr>
          <w:rFonts w:eastAsia="SimSun" w:cs="SimSun" w:hint="eastAsia"/>
          <w:bCs/>
          <w:sz w:val="24"/>
          <w:lang w:val="en-GB"/>
        </w:rPr>
        <w:t>，</w:t>
      </w:r>
      <w:r w:rsidRPr="000C0842">
        <w:rPr>
          <w:rFonts w:eastAsia="SimSun" w:cs="SimSun" w:hint="eastAsia"/>
          <w:bCs/>
          <w:sz w:val="24"/>
          <w:lang w:val="zh-CN"/>
        </w:rPr>
        <w:t>推动开展能力建设、经验分享和伙伴关系活动，支持《昆蒙框架》的执行</w:t>
      </w:r>
      <w:r w:rsidRPr="000C0842">
        <w:rPr>
          <w:rFonts w:eastAsia="SimSun" w:cs="SimSun" w:hint="eastAsia"/>
          <w:bCs/>
          <w:sz w:val="24"/>
          <w:lang w:val="en-GB"/>
        </w:rPr>
        <w:t>，</w:t>
      </w:r>
      <w:r w:rsidRPr="000C0842">
        <w:rPr>
          <w:rFonts w:eastAsia="SimSun" w:cs="SimSun" w:hint="eastAsia"/>
          <w:bCs/>
          <w:sz w:val="24"/>
          <w:lang w:val="zh-CN"/>
        </w:rPr>
        <w:t>感谢捐助国和许多其他合作伙伴为实施该倡议下的活动提供财务和技术支持</w:t>
      </w:r>
      <w:r w:rsidRPr="000C0842">
        <w:rPr>
          <w:rFonts w:eastAsia="SimSun" w:cs="SimSun" w:hint="eastAsia"/>
          <w:bCs/>
          <w:sz w:val="24"/>
          <w:lang w:val="en-GB"/>
        </w:rPr>
        <w:t>，</w:t>
      </w:r>
    </w:p>
    <w:p w14:paraId="6EB69940"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zh-CN"/>
        </w:rPr>
        <w:t>又欢迎</w:t>
      </w:r>
      <w:r w:rsidRPr="000C0842">
        <w:rPr>
          <w:rFonts w:eastAsia="SimSun" w:cs="SimSun" w:hint="eastAsia"/>
          <w:bCs/>
          <w:sz w:val="24"/>
          <w:lang w:val="zh-CN"/>
        </w:rPr>
        <w:t>《生物多样性公约》秘书处、联合国粮食及农业组织、联合国环境规划署、联合国秘书处海洋事务和海洋法司、国际海事组织、国际海底管理局、区域海洋公约和行动计划、区域渔业机构、大型海洋生态系统项目和方案以及其他相关联合国机构、国际组织和区域组织和倡议的协作努力</w:t>
      </w:r>
      <w:r w:rsidRPr="000C0842">
        <w:rPr>
          <w:rFonts w:eastAsia="SimSun" w:cs="SimSun" w:hint="eastAsia"/>
          <w:bCs/>
          <w:sz w:val="24"/>
          <w:lang w:val="en-GB"/>
        </w:rPr>
        <w:t>，</w:t>
      </w:r>
      <w:r w:rsidRPr="000C0842">
        <w:rPr>
          <w:rFonts w:eastAsia="SimSun" w:cs="SimSun" w:hint="eastAsia"/>
          <w:bCs/>
          <w:sz w:val="24"/>
          <w:lang w:val="zh-CN"/>
        </w:rPr>
        <w:t>加强区域和全球范围的跨部门合作</w:t>
      </w:r>
      <w:r w:rsidRPr="000C0842">
        <w:rPr>
          <w:rFonts w:eastAsia="SimSun" w:cs="SimSun" w:hint="eastAsia"/>
          <w:bCs/>
          <w:sz w:val="24"/>
          <w:lang w:val="en-GB"/>
        </w:rPr>
        <w:t>，</w:t>
      </w:r>
      <w:r w:rsidRPr="000C0842">
        <w:rPr>
          <w:rFonts w:eastAsia="SimSun" w:cs="SimSun" w:hint="eastAsia"/>
          <w:bCs/>
          <w:sz w:val="24"/>
          <w:lang w:val="zh-CN"/>
        </w:rPr>
        <w:t>包括通过可持续海洋倡议与各区域海洋组织和区域渔业机构的全球对话</w:t>
      </w:r>
      <w:r w:rsidRPr="000C0842">
        <w:rPr>
          <w:rFonts w:eastAsia="SimSun" w:cs="SimSun" w:hint="eastAsia"/>
          <w:bCs/>
          <w:sz w:val="24"/>
          <w:lang w:val="en-GB"/>
        </w:rPr>
        <w:t>，</w:t>
      </w:r>
      <w:r w:rsidRPr="000C0842">
        <w:rPr>
          <w:rFonts w:eastAsia="SimSun" w:cs="SimSun" w:hint="eastAsia"/>
          <w:bCs/>
          <w:sz w:val="24"/>
          <w:lang w:val="zh-CN"/>
        </w:rPr>
        <w:t>加速实现《</w:t>
      </w:r>
      <w:r w:rsidRPr="000C0842">
        <w:rPr>
          <w:rFonts w:eastAsia="SimSun" w:cs="SimSun"/>
          <w:bCs/>
          <w:sz w:val="24"/>
          <w:lang w:val="zh-CN"/>
        </w:rPr>
        <w:t>2030</w:t>
      </w:r>
      <w:r w:rsidRPr="000C0842">
        <w:rPr>
          <w:rFonts w:eastAsia="SimSun" w:cs="SimSun" w:hint="eastAsia"/>
          <w:bCs/>
          <w:sz w:val="24"/>
          <w:lang w:val="zh-CN"/>
        </w:rPr>
        <w:t>年可持续发展框架》</w:t>
      </w:r>
      <w:r w:rsidRPr="000C0842">
        <w:rPr>
          <w:rFonts w:eastAsia="SimSun" w:cs="SimSun"/>
          <w:bCs/>
          <w:sz w:val="24"/>
          <w:vertAlign w:val="superscript"/>
          <w:lang w:val="zh-CN"/>
        </w:rPr>
        <w:footnoteReference w:id="174"/>
      </w:r>
      <w:r w:rsidRPr="000C0842">
        <w:rPr>
          <w:rFonts w:eastAsia="SimSun" w:cs="SimSun" w:hint="eastAsia"/>
          <w:bCs/>
          <w:sz w:val="24"/>
          <w:lang w:val="en-GB"/>
        </w:rPr>
        <w:t>，</w:t>
      </w:r>
    </w:p>
    <w:p w14:paraId="6E221020"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en-GB"/>
        </w:rPr>
        <w:t>确认</w:t>
      </w:r>
      <w:r w:rsidRPr="000C0842">
        <w:rPr>
          <w:rFonts w:eastAsia="SimSun" w:cs="SimSun" w:hint="eastAsia"/>
          <w:bCs/>
          <w:sz w:val="24"/>
          <w:lang w:val="en-GB"/>
        </w:rPr>
        <w:t>缔约方大会通过海洋和沿海生物多样性工作方案</w:t>
      </w:r>
      <w:r w:rsidRPr="000C0842">
        <w:rPr>
          <w:rFonts w:eastAsia="SimSun" w:cs="SimSun"/>
          <w:bCs/>
          <w:sz w:val="24"/>
          <w:vertAlign w:val="superscript"/>
          <w:lang w:val="en-GB"/>
        </w:rPr>
        <w:footnoteReference w:id="175"/>
      </w:r>
      <w:r w:rsidRPr="000C0842">
        <w:rPr>
          <w:rFonts w:eastAsia="SimSun" w:cs="SimSun" w:hint="eastAsia"/>
          <w:bCs/>
          <w:sz w:val="24"/>
          <w:lang w:val="en-GB"/>
        </w:rPr>
        <w:t>和岛屿生物多样性工作方案</w:t>
      </w:r>
      <w:r w:rsidRPr="000C0842">
        <w:rPr>
          <w:rFonts w:eastAsia="SimSun" w:cs="SimSun"/>
          <w:bCs/>
          <w:sz w:val="24"/>
          <w:vertAlign w:val="superscript"/>
          <w:lang w:val="en-GB"/>
        </w:rPr>
        <w:footnoteReference w:id="176"/>
      </w:r>
      <w:r w:rsidRPr="000C0842">
        <w:rPr>
          <w:rFonts w:eastAsia="SimSun" w:cs="SimSun" w:hint="eastAsia"/>
          <w:bCs/>
          <w:sz w:val="24"/>
          <w:lang w:val="en-GB"/>
        </w:rPr>
        <w:t>，为对执行《公约》和实现</w:t>
      </w:r>
      <w:r w:rsidRPr="000C0842">
        <w:rPr>
          <w:rFonts w:eastAsia="SimSun" w:cs="SimSun" w:hint="eastAsia"/>
          <w:bCs/>
          <w:sz w:val="24"/>
          <w:lang w:val="en-GB"/>
        </w:rPr>
        <w:t>2050</w:t>
      </w:r>
      <w:r w:rsidRPr="000C0842">
        <w:rPr>
          <w:rFonts w:eastAsia="SimSun" w:cs="SimSun" w:hint="eastAsia"/>
          <w:bCs/>
          <w:sz w:val="24"/>
          <w:lang w:val="en-GB"/>
        </w:rPr>
        <w:t>年生物多样性愿景非常重要的广泛问题提供了宝贵的指导意见，执行《昆蒙框架》时应继续参考这些指导意见，</w:t>
      </w:r>
    </w:p>
    <w:p w14:paraId="2BD1A0C6" w14:textId="77777777" w:rsidR="005E77FA" w:rsidRPr="000C0842" w:rsidRDefault="005E77FA" w:rsidP="005E77FA">
      <w:p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ascii="KaiTi" w:eastAsia="KaiTi" w:hAnsi="KaiTi" w:cs="SimSun" w:hint="eastAsia"/>
          <w:bCs/>
          <w:sz w:val="24"/>
          <w:lang w:val="en-GB"/>
        </w:rPr>
        <w:t>深切关注</w:t>
      </w:r>
      <w:r w:rsidRPr="000C0842">
        <w:rPr>
          <w:rFonts w:eastAsia="SimSun" w:cs="SimSun" w:hint="eastAsia"/>
          <w:bCs/>
          <w:sz w:val="24"/>
          <w:lang w:val="en-GB"/>
        </w:rPr>
        <w:t>大规模珊瑚白化的频率增加以及珊瑚礁</w:t>
      </w:r>
      <w:r w:rsidRPr="000C0842">
        <w:rPr>
          <w:rFonts w:eastAsia="SimSun" w:cs="SimSun"/>
          <w:bCs/>
          <w:sz w:val="24"/>
          <w:lang w:val="en-GB"/>
        </w:rPr>
        <w:t>不可逆转</w:t>
      </w:r>
      <w:r w:rsidRPr="000C0842">
        <w:rPr>
          <w:rFonts w:eastAsia="SimSun" w:cs="SimSun" w:hint="eastAsia"/>
          <w:bCs/>
          <w:sz w:val="24"/>
          <w:lang w:val="en-GB"/>
        </w:rPr>
        <w:t>的</w:t>
      </w:r>
      <w:r w:rsidRPr="000C0842">
        <w:rPr>
          <w:rFonts w:eastAsia="SimSun" w:cs="SimSun"/>
          <w:bCs/>
          <w:sz w:val="24"/>
        </w:rPr>
        <w:t>消失</w:t>
      </w:r>
      <w:r w:rsidRPr="000C0842">
        <w:rPr>
          <w:rFonts w:eastAsia="SimSun" w:cs="SimSun" w:hint="eastAsia"/>
          <w:bCs/>
          <w:sz w:val="24"/>
          <w:lang w:val="en-GB"/>
        </w:rPr>
        <w:t>风险日益加剧</w:t>
      </w:r>
      <w:r w:rsidRPr="000C0842">
        <w:rPr>
          <w:rFonts w:eastAsia="SimSun" w:cs="SimSun"/>
          <w:bCs/>
          <w:sz w:val="24"/>
          <w:lang w:val="en-GB"/>
        </w:rPr>
        <w:t>,</w:t>
      </w:r>
      <w:r w:rsidRPr="000C0842">
        <w:rPr>
          <w:rFonts w:eastAsia="SimSun" w:cs="SimSun" w:hint="eastAsia"/>
          <w:bCs/>
          <w:sz w:val="24"/>
          <w:lang w:val="en-GB"/>
        </w:rPr>
        <w:t>重申关于生物多样性与气候变化的第</w:t>
      </w:r>
      <w:hyperlink r:id="rId134" w:history="1">
        <w:r w:rsidRPr="000C0842">
          <w:rPr>
            <w:rFonts w:eastAsia="SimSun" w:cs="SimSun"/>
            <w:bCs/>
            <w:sz w:val="24"/>
            <w:u w:val="single"/>
            <w:lang w:val="en-GB"/>
          </w:rPr>
          <w:t>X/33</w:t>
        </w:r>
      </w:hyperlink>
      <w:r w:rsidRPr="000C0842">
        <w:rPr>
          <w:rFonts w:eastAsia="SimSun" w:cs="SimSun" w:hint="eastAsia"/>
          <w:bCs/>
          <w:sz w:val="24"/>
          <w:lang w:val="en-GB"/>
        </w:rPr>
        <w:t>号决定并回顾</w:t>
      </w:r>
      <w:r w:rsidRPr="000C0842">
        <w:rPr>
          <w:rFonts w:eastAsia="SimSun" w:cs="SimSun" w:hint="eastAsia"/>
          <w:bCs/>
          <w:sz w:val="24"/>
          <w:lang w:val="en-GB"/>
        </w:rPr>
        <w:t>2018</w:t>
      </w:r>
      <w:r w:rsidRPr="000C0842">
        <w:rPr>
          <w:rFonts w:eastAsia="SimSun" w:cs="SimSun" w:hint="eastAsia"/>
          <w:bCs/>
          <w:sz w:val="24"/>
          <w:lang w:val="en-GB"/>
        </w:rPr>
        <w:t>年</w:t>
      </w:r>
      <w:r w:rsidRPr="000C0842">
        <w:rPr>
          <w:rFonts w:eastAsia="SimSun" w:cs="SimSun" w:hint="eastAsia"/>
          <w:bCs/>
          <w:sz w:val="24"/>
          <w:lang w:val="en-GB"/>
        </w:rPr>
        <w:t>11</w:t>
      </w:r>
      <w:r w:rsidRPr="000C0842">
        <w:rPr>
          <w:rFonts w:eastAsia="SimSun" w:cs="SimSun" w:hint="eastAsia"/>
          <w:bCs/>
          <w:sz w:val="24"/>
          <w:lang w:val="en-GB"/>
        </w:rPr>
        <w:t>月</w:t>
      </w:r>
      <w:r w:rsidRPr="000C0842">
        <w:rPr>
          <w:rFonts w:eastAsia="SimSun" w:cs="SimSun" w:hint="eastAsia"/>
          <w:bCs/>
          <w:sz w:val="24"/>
          <w:lang w:val="en-GB"/>
        </w:rPr>
        <w:t>29</w:t>
      </w:r>
      <w:r w:rsidRPr="000C0842">
        <w:rPr>
          <w:rFonts w:eastAsia="SimSun" w:cs="SimSun" w:hint="eastAsia"/>
          <w:bCs/>
          <w:sz w:val="24"/>
          <w:lang w:val="en-GB"/>
        </w:rPr>
        <w:t>日关于生物多样性与气候变化的第</w:t>
      </w:r>
      <w:hyperlink r:id="rId135" w:history="1">
        <w:r w:rsidRPr="000C0842">
          <w:rPr>
            <w:rFonts w:eastAsia="SimSun" w:cs="SimSun"/>
            <w:bCs/>
            <w:sz w:val="24"/>
            <w:u w:val="single"/>
            <w:lang w:val="en-GB"/>
          </w:rPr>
          <w:t>14/5</w:t>
        </w:r>
      </w:hyperlink>
      <w:r w:rsidRPr="000C0842">
        <w:rPr>
          <w:rFonts w:eastAsia="SimSun" w:cs="SimSun" w:hint="eastAsia"/>
          <w:bCs/>
          <w:sz w:val="24"/>
          <w:lang w:val="en-GB"/>
        </w:rPr>
        <w:t>号决定，强调迫切需要落实《昆蒙框架》有关海洋和沿海生物多样性和岛屿生物多样性的各行动目标</w:t>
      </w:r>
      <w:r w:rsidRPr="000C0842">
        <w:rPr>
          <w:rFonts w:eastAsia="SimSun" w:cs="SimSun" w:hint="eastAsia"/>
          <w:bCs/>
          <w:sz w:val="24"/>
          <w:lang w:val="en-GB"/>
        </w:rPr>
        <w:t xml:space="preserve"> </w:t>
      </w:r>
      <w:r w:rsidRPr="000C0842">
        <w:rPr>
          <w:rFonts w:eastAsia="SimSun" w:cs="SimSun" w:hint="eastAsia"/>
          <w:bCs/>
          <w:sz w:val="24"/>
          <w:lang w:val="en-GB"/>
        </w:rPr>
        <w:t>，特别是行动目标</w:t>
      </w:r>
      <w:r w:rsidRPr="000C0842">
        <w:rPr>
          <w:rFonts w:eastAsia="SimSun" w:cs="SimSun" w:hint="eastAsia"/>
          <w:bCs/>
          <w:sz w:val="24"/>
          <w:lang w:val="en-GB"/>
        </w:rPr>
        <w:t>8</w:t>
      </w:r>
      <w:r w:rsidRPr="000C0842">
        <w:rPr>
          <w:rFonts w:eastAsia="SimSun" w:cs="SimSun" w:hint="eastAsia"/>
          <w:bCs/>
          <w:sz w:val="24"/>
          <w:lang w:val="en-GB"/>
        </w:rPr>
        <w:t>，</w:t>
      </w:r>
    </w:p>
    <w:p w14:paraId="24119D3B"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en-GB"/>
        </w:rPr>
        <w:t>确认</w:t>
      </w:r>
      <w:r w:rsidRPr="000C0842">
        <w:rPr>
          <w:rFonts w:ascii="SimSun" w:eastAsia="SimSun" w:hAnsi="SimSun" w:cs="SimSun" w:hint="eastAsia"/>
          <w:bCs/>
          <w:sz w:val="24"/>
          <w:szCs w:val="24"/>
          <w:lang w:val="zh-CN"/>
        </w:rPr>
        <w:t>通过《〈联合国海洋法公约〉下国家管辖范围以外区域海洋生物多样性的养护和可持续利用协定》</w:t>
      </w:r>
      <w:r w:rsidRPr="000C0842">
        <w:rPr>
          <w:rFonts w:eastAsia="Times New Roman" w:cs="SimSun"/>
          <w:bCs/>
          <w:sz w:val="24"/>
          <w:szCs w:val="24"/>
          <w:vertAlign w:val="superscript"/>
          <w:lang w:val="zh-CN"/>
        </w:rPr>
        <w:footnoteReference w:id="177"/>
      </w:r>
      <w:r w:rsidRPr="000C0842">
        <w:rPr>
          <w:rFonts w:ascii="SimSun" w:eastAsia="SimSun" w:hAnsi="SimSun" w:cs="SimSun" w:hint="eastAsia"/>
          <w:bCs/>
          <w:sz w:val="24"/>
          <w:szCs w:val="24"/>
          <w:lang w:val="en-GB"/>
        </w:rPr>
        <w:t>；</w:t>
      </w:r>
    </w:p>
    <w:p w14:paraId="52C996FB"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zh-CN"/>
        </w:rPr>
        <w:t>鼓励</w:t>
      </w:r>
      <w:r w:rsidRPr="000C0842">
        <w:rPr>
          <w:rFonts w:ascii="SimSun" w:eastAsia="SimSun" w:hAnsi="SimSun" w:cs="SimSun" w:hint="eastAsia"/>
          <w:bCs/>
          <w:sz w:val="24"/>
          <w:szCs w:val="24"/>
          <w:lang w:val="zh-CN"/>
        </w:rPr>
        <w:t>缔约方并邀请参加政府间谈判委员会的其他各国政府制定关于塑料污染的具有国际法律约束力的文书</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包括海洋环境方面的文书</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并酌情在谈判中考虑</w:t>
      </w:r>
      <w:r w:rsidRPr="000C0842">
        <w:rPr>
          <w:rFonts w:ascii="SimSun" w:eastAsia="SimSun" w:hAnsi="SimSun" w:cs="SimSun" w:hint="eastAsia"/>
          <w:bCs/>
          <w:sz w:val="24"/>
          <w:szCs w:val="24"/>
          <w:lang w:val="en-GB"/>
        </w:rPr>
        <w:t>《昆明</w:t>
      </w:r>
      <w:r w:rsidRPr="000C0842">
        <w:rPr>
          <w:rFonts w:eastAsia="Times New Roman" w:cs="SimSun" w:hint="eastAsia"/>
          <w:bCs/>
          <w:sz w:val="24"/>
          <w:szCs w:val="24"/>
          <w:lang w:val="en-GB"/>
        </w:rPr>
        <w:t>-</w:t>
      </w:r>
      <w:r w:rsidRPr="000C0842">
        <w:rPr>
          <w:rFonts w:ascii="SimSun" w:eastAsia="SimSun" w:hAnsi="SimSun" w:cs="SimSun" w:hint="eastAsia"/>
          <w:bCs/>
          <w:sz w:val="24"/>
          <w:szCs w:val="24"/>
          <w:lang w:val="en-GB"/>
        </w:rPr>
        <w:t>蒙特利尔全球生物多样性框架》；</w:t>
      </w:r>
    </w:p>
    <w:p w14:paraId="1AB1FE04"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i/>
          <w:iCs/>
          <w:sz w:val="24"/>
          <w:szCs w:val="24"/>
          <w:lang w:val="en-GB"/>
        </w:rPr>
      </w:pPr>
      <w:r w:rsidRPr="000C0842">
        <w:rPr>
          <w:rFonts w:ascii="KaiTi" w:eastAsia="KaiTi" w:hAnsi="KaiTi" w:cs="SimSun" w:hint="eastAsia"/>
          <w:bCs/>
          <w:sz w:val="24"/>
          <w:szCs w:val="24"/>
          <w:lang w:val="zh-CN"/>
        </w:rPr>
        <w:t>敦促</w:t>
      </w:r>
      <w:r w:rsidRPr="000C0842">
        <w:rPr>
          <w:rFonts w:ascii="SimSun" w:eastAsia="SimSun" w:hAnsi="SimSun" w:cs="SimSun" w:hint="eastAsia"/>
          <w:bCs/>
          <w:sz w:val="24"/>
          <w:szCs w:val="24"/>
          <w:lang w:val="zh-CN"/>
        </w:rPr>
        <w:t>缔约方并邀请其他国家政府、相关组织和利益攸关方在《昆蒙框架》的范围内</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加快执行</w:t>
      </w:r>
      <w:r w:rsidRPr="000C0842">
        <w:rPr>
          <w:rFonts w:ascii="SimSun" w:eastAsia="SimSun" w:hAnsi="SimSun" w:cs="SimSun" w:hint="eastAsia"/>
          <w:bCs/>
          <w:sz w:val="24"/>
          <w:szCs w:val="24"/>
          <w:lang w:val="en-GB"/>
        </w:rPr>
        <w:t>第</w:t>
      </w:r>
      <w:hyperlink r:id="rId136" w:history="1">
        <w:r w:rsidRPr="000C0842">
          <w:rPr>
            <w:rFonts w:eastAsia="Times New Roman" w:cs="SimSun"/>
            <w:bCs/>
            <w:sz w:val="24"/>
            <w:szCs w:val="24"/>
            <w:u w:val="single"/>
            <w:lang w:val="en-GB"/>
          </w:rPr>
          <w:t>XII/23</w:t>
        </w:r>
      </w:hyperlink>
      <w:r w:rsidRPr="000C0842">
        <w:rPr>
          <w:rFonts w:ascii="SimSun" w:eastAsia="SimSun" w:hAnsi="SimSun" w:cs="SimSun" w:hint="eastAsia"/>
          <w:bCs/>
          <w:sz w:val="24"/>
          <w:szCs w:val="24"/>
          <w:lang w:val="en-GB"/>
        </w:rPr>
        <w:t>号决定所载珊瑚礁和密切相关生态系统优先行动，</w:t>
      </w:r>
    </w:p>
    <w:p w14:paraId="396AA955"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en-GB"/>
        </w:rPr>
        <w:t>确认</w:t>
      </w:r>
      <w:r w:rsidRPr="000C0842">
        <w:rPr>
          <w:rFonts w:ascii="SimSun" w:eastAsia="SimSun" w:hAnsi="SimSun" w:cs="SimSun" w:hint="eastAsia"/>
          <w:bCs/>
          <w:sz w:val="24"/>
          <w:szCs w:val="24"/>
          <w:lang w:val="zh-CN"/>
        </w:rPr>
        <w:t>海洋和沿海生物多样性工作方案、岛屿生物多样性工作方案和缔约方大会的相关决定仍然符合全球优先事项，其中载列的指导意见为执行《昆蒙框架》提供重要支持</w:t>
      </w:r>
      <w:r w:rsidRPr="000C0842">
        <w:rPr>
          <w:rFonts w:ascii="SimSun" w:eastAsia="SimSun" w:hAnsi="SimSun" w:cs="SimSun" w:hint="eastAsia"/>
          <w:bCs/>
          <w:sz w:val="24"/>
          <w:szCs w:val="24"/>
          <w:lang w:val="en-GB"/>
        </w:rPr>
        <w:t>；</w:t>
      </w:r>
    </w:p>
    <w:p w14:paraId="4BEEFF77"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zh-CN"/>
        </w:rPr>
        <w:t>注意到</w:t>
      </w:r>
      <w:r w:rsidRPr="000C0842">
        <w:rPr>
          <w:rFonts w:ascii="SimSun" w:eastAsia="SimSun" w:hAnsi="SimSun" w:cs="SimSun" w:hint="eastAsia"/>
          <w:bCs/>
          <w:sz w:val="24"/>
          <w:szCs w:val="24"/>
          <w:lang w:val="zh-CN"/>
        </w:rPr>
        <w:t>海洋和沿海生物多样性工作方案和岛屿生物多样性工作方案为《昆蒙框架》行动目标中的某些要素提供的指导意见或工具有限</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为了执行《昆蒙框架》，可能需要加强针对这些要素的行动和关注，如本决定附件所列</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此类工作可采取新指导意见的形式，必要时</w:t>
      </w:r>
      <w:r w:rsidRPr="000C0842">
        <w:rPr>
          <w:rFonts w:ascii="SimSun" w:eastAsia="SimSun" w:hAnsi="SimSun" w:cs="SimSun" w:hint="eastAsia"/>
          <w:bCs/>
          <w:sz w:val="24"/>
          <w:szCs w:val="24"/>
          <w:lang w:val="en-GB"/>
        </w:rPr>
        <w:t>与主管政府间组织合作和协作，避免重复，利用其他组织和框架开发的现有工具和指导意见，</w:t>
      </w:r>
      <w:r w:rsidRPr="000C0842">
        <w:rPr>
          <w:rFonts w:ascii="SimSun" w:eastAsia="SimSun" w:hAnsi="SimSun" w:cs="SimSun" w:hint="eastAsia"/>
          <w:bCs/>
          <w:sz w:val="24"/>
          <w:szCs w:val="24"/>
          <w:lang w:val="zh-CN"/>
        </w:rPr>
        <w:t>综合最佳做法和经验，在有关领域开展能力建设和发展</w:t>
      </w:r>
      <w:r w:rsidRPr="000C0842">
        <w:rPr>
          <w:rFonts w:ascii="SimSun" w:eastAsia="SimSun" w:hAnsi="SimSun" w:cs="SimSun" w:hint="eastAsia"/>
          <w:bCs/>
          <w:sz w:val="24"/>
          <w:szCs w:val="24"/>
          <w:lang w:val="en-GB"/>
        </w:rPr>
        <w:t>；</w:t>
      </w:r>
    </w:p>
    <w:p w14:paraId="2ACB4D0D"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zh-CN"/>
        </w:rPr>
        <w:t>强调</w:t>
      </w:r>
      <w:r w:rsidRPr="000C0842">
        <w:rPr>
          <w:rFonts w:ascii="SimSun" w:eastAsia="SimSun" w:hAnsi="SimSun" w:cs="SimSun" w:hint="eastAsia"/>
          <w:bCs/>
          <w:sz w:val="24"/>
          <w:szCs w:val="24"/>
          <w:lang w:val="zh-CN"/>
        </w:rPr>
        <w:t>海洋和沿海生物多样性工作方案和岛屿生物多样性工作方案的许多领域尚未得到充分执行</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为此需要加强资金提供、能力建设和发展、科技合作、技术获得和转让</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特别是对发展中国家缔约方，尤其是最不发达国家和小岛屿发展中国家</w:t>
      </w:r>
      <w:r w:rsidRPr="000C0842">
        <w:rPr>
          <w:rFonts w:ascii="SimSun" w:eastAsia="SimSun" w:hAnsi="SimSun" w:cs="SimSun" w:hint="eastAsia"/>
          <w:bCs/>
          <w:sz w:val="24"/>
          <w:szCs w:val="24"/>
          <w:lang w:val="en-GB"/>
        </w:rPr>
        <w:t>；</w:t>
      </w:r>
    </w:p>
    <w:p w14:paraId="5457B6E0"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zh-CN"/>
        </w:rPr>
        <w:t>又强调</w:t>
      </w:r>
      <w:r w:rsidRPr="000C0842">
        <w:rPr>
          <w:rFonts w:ascii="SimSun" w:eastAsia="SimSun" w:hAnsi="SimSun" w:cs="SimSun" w:hint="eastAsia"/>
          <w:bCs/>
          <w:sz w:val="24"/>
          <w:szCs w:val="24"/>
          <w:lang w:val="en-GB"/>
        </w:rPr>
        <w:t>需要以有效、及时和容易获得的方式大幅和逐步增加资金，包括国家、国际、公共和私人资金，以期执行《昆蒙框架》和关于海洋、沿海和岛屿生态系统的可持续发展目标</w:t>
      </w:r>
      <w:r w:rsidRPr="000C0842">
        <w:rPr>
          <w:rFonts w:eastAsia="Times New Roman" w:cs="SimSun"/>
          <w:bCs/>
          <w:sz w:val="24"/>
          <w:szCs w:val="24"/>
          <w:lang w:val="en-GB"/>
        </w:rPr>
        <w:t>14</w:t>
      </w:r>
      <w:r w:rsidRPr="000C0842">
        <w:rPr>
          <w:rFonts w:ascii="SimSun" w:eastAsia="SimSun" w:hAnsi="SimSun" w:cs="SimSun" w:hint="eastAsia"/>
          <w:bCs/>
          <w:sz w:val="24"/>
          <w:szCs w:val="24"/>
          <w:lang w:val="en-GB"/>
        </w:rPr>
        <w:t>和</w:t>
      </w:r>
      <w:r w:rsidRPr="000C0842">
        <w:rPr>
          <w:rFonts w:eastAsia="Times New Roman" w:cs="SimSun"/>
          <w:bCs/>
          <w:sz w:val="24"/>
          <w:szCs w:val="24"/>
          <w:lang w:val="en-GB"/>
        </w:rPr>
        <w:t>15</w:t>
      </w:r>
      <w:r w:rsidRPr="000C0842">
        <w:rPr>
          <w:rFonts w:ascii="SimSun" w:eastAsia="SimSun" w:hAnsi="SimSun" w:cs="SimSun" w:hint="eastAsia"/>
          <w:bCs/>
          <w:sz w:val="24"/>
          <w:szCs w:val="24"/>
          <w:lang w:val="en-GB"/>
        </w:rPr>
        <w:t>；</w:t>
      </w:r>
    </w:p>
    <w:p w14:paraId="440F9055"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en-GB"/>
        </w:rPr>
        <w:t>邀请</w:t>
      </w:r>
      <w:r w:rsidRPr="000C0842">
        <w:rPr>
          <w:rFonts w:ascii="SimSun" w:eastAsia="SimSun" w:hAnsi="SimSun" w:cs="SimSun" w:hint="eastAsia"/>
          <w:bCs/>
          <w:sz w:val="24"/>
          <w:szCs w:val="24"/>
          <w:lang w:val="zh-CN"/>
        </w:rPr>
        <w:t>相关全球和区域组织和机构在其职权范围内，以及倡议及相关网络加强在本决定附件所列各项问题上的工作</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支持《昆蒙框架》的执行</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同时认识到许多其他组织正在就与执行《昆蒙框架》相关的问题开展工作</w:t>
      </w:r>
      <w:r w:rsidRPr="000C0842">
        <w:rPr>
          <w:rFonts w:ascii="SimSun" w:eastAsia="SimSun" w:hAnsi="SimSun" w:cs="SimSun" w:hint="eastAsia"/>
          <w:bCs/>
          <w:sz w:val="24"/>
          <w:szCs w:val="24"/>
          <w:lang w:val="en-GB"/>
        </w:rPr>
        <w:t>；</w:t>
      </w:r>
      <w:r w:rsidRPr="000C0842">
        <w:rPr>
          <w:rFonts w:eastAsia="Times New Roman" w:cs="SimSun"/>
          <w:bCs/>
          <w:sz w:val="24"/>
          <w:szCs w:val="24"/>
          <w:lang w:val="en-GB"/>
        </w:rPr>
        <w:t xml:space="preserve"> </w:t>
      </w:r>
    </w:p>
    <w:p w14:paraId="2420E85E"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en-GB"/>
        </w:rPr>
        <w:t>注意到</w:t>
      </w:r>
      <w:r w:rsidRPr="000C0842">
        <w:rPr>
          <w:rFonts w:ascii="SimSun" w:eastAsia="SimSun" w:hAnsi="SimSun" w:cs="SimSun" w:hint="eastAsia"/>
          <w:bCs/>
          <w:sz w:val="24"/>
          <w:szCs w:val="24"/>
          <w:lang w:val="en-GB"/>
        </w:rPr>
        <w:t>《国际船舶压载水和沉积物控制和管理公约》</w:t>
      </w:r>
      <w:r w:rsidRPr="000C0842">
        <w:rPr>
          <w:rFonts w:eastAsia="Times New Roman" w:cs="SimSun"/>
          <w:bCs/>
          <w:sz w:val="24"/>
          <w:szCs w:val="24"/>
          <w:vertAlign w:val="superscript"/>
          <w:lang w:val="en-GB"/>
        </w:rPr>
        <w:footnoteReference w:id="178"/>
      </w:r>
      <w:r w:rsidRPr="000C0842">
        <w:rPr>
          <w:rFonts w:ascii="SimSun" w:eastAsia="SimSun" w:hAnsi="SimSun" w:cs="SimSun" w:hint="eastAsia"/>
          <w:bCs/>
          <w:sz w:val="24"/>
          <w:szCs w:val="24"/>
          <w:lang w:val="en-GB"/>
        </w:rPr>
        <w:t>下正在进行的工作，鼓励缔约方并邀请其他国家政府批准、核准、接受或加入《公约》；</w:t>
      </w:r>
    </w:p>
    <w:p w14:paraId="1D7F2FAC"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KaiTi" w:eastAsia="KaiTi" w:hAnsi="KaiTi" w:cs="SimSun" w:hint="eastAsia"/>
          <w:bCs/>
          <w:sz w:val="24"/>
          <w:szCs w:val="24"/>
          <w:lang w:val="zh-CN"/>
        </w:rPr>
        <w:t>请</w:t>
      </w:r>
      <w:r w:rsidRPr="000C0842">
        <w:rPr>
          <w:rFonts w:ascii="SimSun" w:eastAsia="SimSun" w:hAnsi="SimSun" w:cs="SimSun" w:hint="eastAsia"/>
          <w:bCs/>
          <w:sz w:val="24"/>
          <w:szCs w:val="24"/>
          <w:lang w:val="zh-CN"/>
        </w:rPr>
        <w:t>执行秘书在资源允许情况下，就本决定附件所列问题加强与主管国际组织包括区域或次区域组织的合作和协作</w:t>
      </w:r>
      <w:r w:rsidRPr="000C0842">
        <w:rPr>
          <w:rFonts w:ascii="SimSun" w:eastAsia="SimSun" w:hAnsi="SimSun" w:cs="SimSun" w:hint="eastAsia"/>
          <w:bCs/>
          <w:sz w:val="24"/>
          <w:szCs w:val="24"/>
          <w:lang w:val="en-GB"/>
        </w:rPr>
        <w:t>，根据各自的权限：</w:t>
      </w:r>
    </w:p>
    <w:p w14:paraId="3354A4F0" w14:textId="77777777" w:rsidR="005E77FA" w:rsidRPr="000C0842" w:rsidRDefault="005E77FA">
      <w:pPr>
        <w:numPr>
          <w:ilvl w:val="0"/>
          <w:numId w:val="34"/>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执行联合国全系统水和卫生战略；</w:t>
      </w:r>
    </w:p>
    <w:p w14:paraId="514861A7" w14:textId="77777777" w:rsidR="005E77FA" w:rsidRPr="000C0842" w:rsidRDefault="005E77FA">
      <w:pPr>
        <w:numPr>
          <w:ilvl w:val="0"/>
          <w:numId w:val="34"/>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加强努力，防止过度捕捞以及非法、未报告和无管制的捕捞活动，以支持执行《昆蒙框架》和可持续发展目标</w:t>
      </w:r>
      <w:r w:rsidRPr="000C0842">
        <w:rPr>
          <w:rFonts w:eastAsia="Times New Roman" w:cs="SimSun"/>
          <w:bCs/>
          <w:sz w:val="24"/>
          <w:szCs w:val="24"/>
          <w:lang w:val="en-GB"/>
        </w:rPr>
        <w:t>14</w:t>
      </w:r>
      <w:r w:rsidRPr="000C0842">
        <w:rPr>
          <w:rFonts w:ascii="SimSun" w:eastAsia="SimSun" w:hAnsi="SimSun" w:cs="SimSun" w:hint="eastAsia"/>
          <w:bCs/>
          <w:sz w:val="24"/>
          <w:szCs w:val="24"/>
          <w:lang w:val="en-GB"/>
        </w:rPr>
        <w:t>，认识到海洋、沿海和岛屿生态系统在维护海洋生物多样性和粮食安全方面的关键作用；</w:t>
      </w:r>
    </w:p>
    <w:p w14:paraId="60D73508" w14:textId="77777777" w:rsidR="005E77FA" w:rsidRPr="000C0842" w:rsidRDefault="005E77FA">
      <w:pPr>
        <w:numPr>
          <w:ilvl w:val="0"/>
          <w:numId w:val="34"/>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汇编</w:t>
      </w:r>
      <w:r w:rsidRPr="000C0842">
        <w:rPr>
          <w:rFonts w:ascii="SimSun" w:eastAsia="SimSun" w:hAnsi="SimSun" w:cs="SimSun" w:hint="eastAsia"/>
          <w:bCs/>
          <w:sz w:val="24"/>
          <w:szCs w:val="24"/>
          <w:lang w:val="zh-CN"/>
        </w:rPr>
        <w:t>并发布缔约方、其他国家政府、</w:t>
      </w:r>
      <w:r w:rsidRPr="000C0842">
        <w:rPr>
          <w:rFonts w:ascii="SimSun" w:eastAsia="SimSun" w:hAnsi="SimSun" w:cs="SimSun" w:hint="eastAsia"/>
          <w:bCs/>
          <w:sz w:val="24"/>
          <w:szCs w:val="24"/>
          <w:lang w:val="en-GB"/>
        </w:rPr>
        <w:t>主管政府间组织、土著人民和地方社区、其他</w:t>
      </w:r>
      <w:r w:rsidRPr="000C0842">
        <w:rPr>
          <w:rFonts w:ascii="SimSun" w:eastAsia="SimSun" w:hAnsi="SimSun" w:cs="SimSun" w:hint="eastAsia"/>
          <w:bCs/>
          <w:sz w:val="24"/>
          <w:szCs w:val="24"/>
          <w:lang w:val="zh-CN"/>
        </w:rPr>
        <w:t>相关组织和利益攸关方关于这些问题的经验，包括通过信息交换所机制这样做</w:t>
      </w:r>
      <w:r w:rsidRPr="000C0842">
        <w:rPr>
          <w:rFonts w:ascii="SimSun" w:eastAsia="SimSun" w:hAnsi="SimSun" w:cs="SimSun" w:hint="eastAsia"/>
          <w:bCs/>
          <w:sz w:val="24"/>
          <w:szCs w:val="24"/>
          <w:lang w:val="en-GB"/>
        </w:rPr>
        <w:t>；</w:t>
      </w:r>
    </w:p>
    <w:p w14:paraId="3B1A6D4A" w14:textId="77777777" w:rsidR="005E77FA" w:rsidRPr="000C0842" w:rsidRDefault="005E77FA">
      <w:pPr>
        <w:numPr>
          <w:ilvl w:val="0"/>
          <w:numId w:val="34"/>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zh-CN"/>
        </w:rPr>
        <w:t>酌情将这些问题纳入《公约》下开展的相关能力建设和发展</w:t>
      </w:r>
      <w:r w:rsidRPr="000C0842">
        <w:rPr>
          <w:rFonts w:ascii="SimSun" w:eastAsia="SimSun" w:hAnsi="SimSun" w:cs="SimSun" w:hint="eastAsia"/>
          <w:bCs/>
          <w:sz w:val="24"/>
          <w:szCs w:val="24"/>
          <w:lang w:val="en-GB"/>
        </w:rPr>
        <w:t>、科技合作</w:t>
      </w:r>
      <w:r w:rsidRPr="000C0842">
        <w:rPr>
          <w:rFonts w:ascii="SimSun" w:eastAsia="SimSun" w:hAnsi="SimSun" w:cs="SimSun" w:hint="eastAsia"/>
          <w:bCs/>
          <w:sz w:val="24"/>
          <w:szCs w:val="24"/>
          <w:lang w:val="zh-CN"/>
        </w:rPr>
        <w:t>努力</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包括通过可持续海洋倡议</w:t>
      </w:r>
      <w:r w:rsidRPr="000C0842">
        <w:rPr>
          <w:rFonts w:ascii="SimSun" w:eastAsia="SimSun" w:hAnsi="SimSun" w:cs="SimSun" w:hint="eastAsia"/>
          <w:bCs/>
          <w:sz w:val="24"/>
          <w:szCs w:val="24"/>
          <w:lang w:val="en-GB"/>
        </w:rPr>
        <w:t>；</w:t>
      </w:r>
    </w:p>
    <w:p w14:paraId="7FDF939C"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eastAsia="KaiTi"/>
          <w:bCs/>
          <w:sz w:val="24"/>
          <w:szCs w:val="24"/>
          <w:lang w:val="zh-CN"/>
        </w:rPr>
        <w:t>又请</w:t>
      </w:r>
      <w:r w:rsidRPr="000C0842">
        <w:rPr>
          <w:rFonts w:ascii="SimSun" w:eastAsia="SimSun" w:hAnsi="SimSun" w:cs="SimSun" w:hint="eastAsia"/>
          <w:bCs/>
          <w:sz w:val="24"/>
          <w:szCs w:val="24"/>
          <w:lang w:val="zh-CN"/>
        </w:rPr>
        <w:t>执行秘书在资源允许的情况下</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酌情继续与联合国秘书处海洋事务和海洋法司以及</w:t>
      </w:r>
      <w:r w:rsidRPr="000C0842">
        <w:rPr>
          <w:rFonts w:ascii="SimSun" w:eastAsia="SimSun" w:hAnsi="SimSun" w:cs="SimSun" w:hint="eastAsia"/>
          <w:bCs/>
          <w:sz w:val="24"/>
          <w:szCs w:val="24"/>
          <w:lang w:val="en-GB"/>
        </w:rPr>
        <w:t>在国家管辖范围以外海洋区域具有管辖权的</w:t>
      </w:r>
      <w:r w:rsidRPr="000C0842">
        <w:rPr>
          <w:rFonts w:ascii="SimSun" w:eastAsia="SimSun" w:hAnsi="SimSun" w:cs="SimSun" w:hint="eastAsia"/>
          <w:bCs/>
          <w:sz w:val="24"/>
          <w:szCs w:val="24"/>
          <w:lang w:val="zh-CN"/>
        </w:rPr>
        <w:t>组织合作</w:t>
      </w:r>
      <w:r w:rsidRPr="000C0842">
        <w:rPr>
          <w:rFonts w:ascii="SimSun" w:eastAsia="SimSun" w:hAnsi="SimSun" w:cs="SimSun" w:hint="eastAsia"/>
          <w:bCs/>
          <w:sz w:val="24"/>
          <w:szCs w:val="24"/>
          <w:lang w:val="en-GB"/>
        </w:rPr>
        <w:t>，召开一次专家研讨会，讨论根据《生物多样性公约》开展特定领域的科技工作、包括跨部门领域工作的机会，以促进国家管辖范围以外区域海洋生物多样性的养护和可持续利用，并提供关于这种合作和研讨会结果的信息；</w:t>
      </w:r>
      <w:r w:rsidRPr="000C0842">
        <w:rPr>
          <w:rFonts w:eastAsia="Times New Roman"/>
          <w:bCs/>
          <w:sz w:val="24"/>
          <w:szCs w:val="24"/>
          <w:lang w:val="en-GB"/>
        </w:rPr>
        <w:t xml:space="preserve"> </w:t>
      </w:r>
    </w:p>
    <w:p w14:paraId="3F2EBECF" w14:textId="77777777" w:rsidR="005E77FA" w:rsidRPr="000C0842" w:rsidRDefault="005E77FA">
      <w:pPr>
        <w:numPr>
          <w:ilvl w:val="0"/>
          <w:numId w:val="33"/>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KaiTi" w:hAnsi="SimSun" w:cs="SimSun" w:hint="eastAsia"/>
          <w:bCs/>
          <w:sz w:val="24"/>
          <w:szCs w:val="24"/>
          <w:lang w:val="en-GB"/>
        </w:rPr>
        <w:t>还</w:t>
      </w:r>
      <w:r w:rsidRPr="000C0842">
        <w:rPr>
          <w:rFonts w:ascii="SimSun" w:eastAsia="KaiTi" w:hAnsi="SimSun" w:cs="SimSun" w:hint="eastAsia"/>
          <w:bCs/>
          <w:sz w:val="24"/>
          <w:szCs w:val="24"/>
          <w:lang w:val="zh-CN"/>
        </w:rPr>
        <w:t>请</w:t>
      </w:r>
      <w:r w:rsidRPr="000C0842">
        <w:rPr>
          <w:rFonts w:ascii="SimSun" w:eastAsia="SimSun" w:hAnsi="SimSun" w:cs="SimSun" w:hint="eastAsia"/>
          <w:bCs/>
          <w:sz w:val="24"/>
          <w:szCs w:val="24"/>
          <w:lang w:val="zh-CN"/>
        </w:rPr>
        <w:t>执行秘书</w:t>
      </w:r>
      <w:r w:rsidRPr="000C0842">
        <w:rPr>
          <w:rFonts w:ascii="SimSun" w:eastAsia="SimSun" w:hAnsi="SimSun" w:cs="SimSun"/>
          <w:bCs/>
          <w:sz w:val="24"/>
          <w:szCs w:val="24"/>
          <w:lang w:val="en-GB"/>
        </w:rPr>
        <w:t>在</w:t>
      </w:r>
      <w:r w:rsidRPr="000C0842">
        <w:rPr>
          <w:rFonts w:ascii="SimSun" w:eastAsia="SimSun" w:hAnsi="SimSun" w:cs="SimSun" w:hint="eastAsia"/>
          <w:bCs/>
          <w:sz w:val="24"/>
          <w:szCs w:val="24"/>
          <w:lang w:val="zh-CN"/>
        </w:rPr>
        <w:t>资源允许</w:t>
      </w:r>
      <w:r w:rsidRPr="000C0842">
        <w:rPr>
          <w:rFonts w:ascii="SimSun" w:eastAsia="SimSun" w:hAnsi="SimSun" w:cs="SimSun"/>
          <w:bCs/>
          <w:sz w:val="24"/>
          <w:szCs w:val="24"/>
          <w:lang w:val="en-GB"/>
        </w:rPr>
        <w:t>的情况下</w:t>
      </w:r>
      <w:r w:rsidRPr="000C0842">
        <w:rPr>
          <w:rFonts w:ascii="SimSun" w:eastAsia="SimSun" w:hAnsi="SimSun" w:cs="SimSun" w:hint="eastAsia"/>
          <w:bCs/>
          <w:sz w:val="24"/>
          <w:szCs w:val="24"/>
          <w:lang w:val="en-GB"/>
        </w:rPr>
        <w:t>：</w:t>
      </w:r>
    </w:p>
    <w:p w14:paraId="7F5ADDD7" w14:textId="77777777" w:rsidR="005E77FA" w:rsidRPr="000C0842" w:rsidRDefault="005E77FA">
      <w:pPr>
        <w:numPr>
          <w:ilvl w:val="0"/>
          <w:numId w:val="35"/>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zh-CN"/>
        </w:rPr>
        <w:t>继续推进能力建设和伙伴关系活动</w:t>
      </w:r>
      <w:r w:rsidRPr="000C0842">
        <w:rPr>
          <w:rFonts w:ascii="SimSun" w:eastAsia="SimSun" w:hAnsi="SimSun" w:cs="SimSun" w:hint="eastAsia"/>
          <w:bCs/>
          <w:sz w:val="24"/>
          <w:szCs w:val="24"/>
          <w:lang w:val="en-GB"/>
        </w:rPr>
        <w:t>，包括通过有土著人民和地方社区、妇女和青年参与的可持续海洋倡议，</w:t>
      </w:r>
      <w:r w:rsidRPr="000C0842">
        <w:rPr>
          <w:rFonts w:ascii="SimSun" w:eastAsia="SimSun" w:hAnsi="SimSun" w:cs="SimSun" w:hint="eastAsia"/>
          <w:bCs/>
          <w:sz w:val="24"/>
          <w:szCs w:val="24"/>
          <w:lang w:val="zh-CN"/>
        </w:rPr>
        <w:t>支持在海洋和沿海生物多样性和岛屿生物多样性方面执行《昆蒙框架》</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包括其监测框架</w:t>
      </w:r>
      <w:r w:rsidRPr="000C0842">
        <w:rPr>
          <w:rFonts w:eastAsia="Times New Roman" w:cs="SimSun"/>
          <w:bCs/>
          <w:sz w:val="24"/>
          <w:szCs w:val="24"/>
          <w:vertAlign w:val="superscript"/>
          <w:lang w:val="zh-CN"/>
        </w:rPr>
        <w:footnoteReference w:id="179"/>
      </w:r>
      <w:r w:rsidRPr="000C0842">
        <w:rPr>
          <w:rFonts w:ascii="SimSun" w:eastAsia="SimSun" w:hAnsi="SimSun" w:cs="SimSun" w:hint="eastAsia"/>
          <w:bCs/>
          <w:sz w:val="24"/>
          <w:szCs w:val="24"/>
          <w:lang w:val="en-GB"/>
        </w:rPr>
        <w:t>；</w:t>
      </w:r>
    </w:p>
    <w:p w14:paraId="5BFD8EB8" w14:textId="77777777" w:rsidR="005E77FA" w:rsidRPr="000C0842" w:rsidRDefault="005E77FA">
      <w:pPr>
        <w:numPr>
          <w:ilvl w:val="0"/>
          <w:numId w:val="35"/>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w:t>
      </w:r>
      <w:r w:rsidRPr="000C0842">
        <w:rPr>
          <w:rFonts w:ascii="SimSun" w:eastAsia="SimSun" w:hAnsi="SimSun" w:cs="SimSun" w:hint="eastAsia"/>
          <w:bCs/>
          <w:sz w:val="24"/>
          <w:szCs w:val="24"/>
          <w:lang w:val="en-GB"/>
        </w:rPr>
        <w:t>，按照各自的任务授权，</w:t>
      </w:r>
      <w:r w:rsidRPr="000C0842">
        <w:rPr>
          <w:rFonts w:ascii="SimSun" w:eastAsia="SimSun" w:hAnsi="SimSun" w:cs="SimSun" w:hint="eastAsia"/>
          <w:bCs/>
          <w:sz w:val="24"/>
          <w:szCs w:val="24"/>
          <w:lang w:val="zh-CN"/>
        </w:rPr>
        <w:t>加强区域和全球范围的跨部门合作</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包括通过可持续海洋倡议与各区域海洋组织和区域渔业机构的全球对话</w:t>
      </w:r>
      <w:r w:rsidRPr="000C0842">
        <w:rPr>
          <w:rFonts w:ascii="SimSun" w:eastAsia="SimSun" w:hAnsi="SimSun" w:cs="SimSun" w:hint="eastAsia"/>
          <w:bCs/>
          <w:sz w:val="24"/>
          <w:szCs w:val="24"/>
          <w:lang w:val="en-GB"/>
        </w:rPr>
        <w:t>，</w:t>
      </w:r>
      <w:r w:rsidRPr="000C0842">
        <w:rPr>
          <w:rFonts w:ascii="SimSun" w:eastAsia="SimSun" w:hAnsi="SimSun" w:cs="SimSun" w:hint="eastAsia"/>
          <w:bCs/>
          <w:sz w:val="24"/>
          <w:szCs w:val="24"/>
          <w:lang w:val="zh-CN"/>
        </w:rPr>
        <w:t>支持《昆蒙框架》的执行</w:t>
      </w:r>
      <w:r w:rsidRPr="000C0842">
        <w:rPr>
          <w:rFonts w:ascii="SimSun" w:eastAsia="SimSun" w:hAnsi="SimSun" w:cs="SimSun" w:hint="eastAsia"/>
          <w:bCs/>
          <w:sz w:val="24"/>
          <w:szCs w:val="24"/>
          <w:lang w:val="en-GB"/>
        </w:rPr>
        <w:t>；</w:t>
      </w:r>
    </w:p>
    <w:p w14:paraId="29590E60" w14:textId="77777777" w:rsidR="005E77FA" w:rsidRPr="000C0842" w:rsidRDefault="005E77FA">
      <w:pPr>
        <w:numPr>
          <w:ilvl w:val="0"/>
          <w:numId w:val="35"/>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根据相关国家法律，包括《联合国土著人民权利宣言》在内的国际文书和人权法，在与海洋和沿海生物多样性以及岛屿生物多样性相关的各专题上，酌情加强与其他多边环境协定、全球和区域组织、以及全球和区域倡议、土著人民和地方社区、妇女和青年代表和其他相关利益攸关方的合作、协作或协同增效，支持执行</w:t>
      </w:r>
      <w:r w:rsidRPr="000C0842">
        <w:rPr>
          <w:rFonts w:ascii="SimSun" w:eastAsia="SimSun" w:hAnsi="SimSun" w:cs="SimSun" w:hint="eastAsia"/>
          <w:bCs/>
          <w:sz w:val="24"/>
          <w:szCs w:val="24"/>
          <w:lang w:val="zh-CN"/>
        </w:rPr>
        <w:t>《</w:t>
      </w:r>
      <w:r w:rsidRPr="000C0842">
        <w:rPr>
          <w:rFonts w:eastAsia="Times New Roman" w:cs="SimSun"/>
          <w:bCs/>
          <w:sz w:val="24"/>
          <w:szCs w:val="24"/>
          <w:lang w:val="en-GB"/>
        </w:rPr>
        <w:t>2030</w:t>
      </w:r>
      <w:r w:rsidRPr="000C0842">
        <w:rPr>
          <w:rFonts w:ascii="SimSun" w:eastAsia="SimSun" w:hAnsi="SimSun" w:cs="SimSun" w:hint="eastAsia"/>
          <w:bCs/>
          <w:sz w:val="24"/>
          <w:szCs w:val="24"/>
          <w:lang w:val="zh-CN"/>
        </w:rPr>
        <w:t>年可持续发展议程》</w:t>
      </w:r>
      <w:r w:rsidRPr="000C0842">
        <w:rPr>
          <w:rFonts w:ascii="SimSun" w:eastAsia="SimSun" w:hAnsi="SimSun" w:cs="SimSun" w:hint="eastAsia"/>
          <w:bCs/>
          <w:sz w:val="24"/>
          <w:szCs w:val="24"/>
          <w:lang w:val="en-GB"/>
        </w:rPr>
        <w:t>，实现可持续发展目标。</w:t>
      </w:r>
    </w:p>
    <w:p w14:paraId="222C6239" w14:textId="77777777" w:rsidR="005E77FA" w:rsidRPr="000C0842" w:rsidRDefault="005E77FA" w:rsidP="00BD006D">
      <w:pPr>
        <w:keepNext/>
        <w:tabs>
          <w:tab w:val="clear" w:pos="567"/>
          <w:tab w:val="clear" w:pos="1134"/>
          <w:tab w:val="clear" w:pos="1701"/>
          <w:tab w:val="clear" w:pos="2268"/>
        </w:tabs>
        <w:spacing w:before="240"/>
        <w:ind w:left="490"/>
        <w:jc w:val="left"/>
        <w:rPr>
          <w:rFonts w:eastAsia="SimSun" w:cs="SimSun"/>
          <w:b/>
          <w:bCs/>
          <w:sz w:val="24"/>
          <w:lang w:val="en-GB"/>
        </w:rPr>
      </w:pPr>
      <w:r w:rsidRPr="000C0842">
        <w:rPr>
          <w:rFonts w:eastAsia="SimSun" w:cs="SimSun" w:hint="eastAsia"/>
          <w:b/>
          <w:bCs/>
          <w:sz w:val="24"/>
          <w:lang w:val="zh-CN"/>
        </w:rPr>
        <w:t>附件</w:t>
      </w:r>
    </w:p>
    <w:p w14:paraId="1BC0E0A7" w14:textId="77777777" w:rsidR="005E77FA" w:rsidRPr="000C0842" w:rsidRDefault="005E77FA" w:rsidP="00BD006D">
      <w:pPr>
        <w:tabs>
          <w:tab w:val="clear" w:pos="567"/>
          <w:tab w:val="clear" w:pos="1134"/>
          <w:tab w:val="clear" w:pos="1701"/>
          <w:tab w:val="clear" w:pos="2268"/>
        </w:tabs>
        <w:spacing w:after="120"/>
        <w:ind w:left="490"/>
        <w:jc w:val="left"/>
        <w:rPr>
          <w:rFonts w:eastAsia="SimSun" w:cs="SimSun"/>
          <w:b/>
          <w:bCs/>
          <w:sz w:val="24"/>
          <w:lang w:val="en-GB"/>
        </w:rPr>
      </w:pPr>
      <w:r w:rsidRPr="000C0842">
        <w:rPr>
          <w:rFonts w:eastAsia="SimSun" w:cs="SimSun" w:hint="eastAsia"/>
          <w:b/>
          <w:bCs/>
          <w:sz w:val="24"/>
          <w:lang w:val="zh-CN"/>
        </w:rPr>
        <w:t>需要在《生物多样性公约》下进一步关注的差距和领域，以在海洋和沿海生物多样性和岛屿生物多样性方面执行《昆明</w:t>
      </w:r>
      <w:r w:rsidRPr="000C0842">
        <w:rPr>
          <w:rFonts w:eastAsia="SimSun" w:cs="SimSun"/>
          <w:b/>
          <w:bCs/>
          <w:sz w:val="24"/>
          <w:lang w:val="zh-CN"/>
        </w:rPr>
        <w:t>-</w:t>
      </w:r>
      <w:r w:rsidRPr="000C0842">
        <w:rPr>
          <w:rFonts w:eastAsia="SimSun" w:cs="SimSun" w:hint="eastAsia"/>
          <w:b/>
          <w:bCs/>
          <w:sz w:val="24"/>
          <w:lang w:val="zh-CN"/>
        </w:rPr>
        <w:t>蒙特利尔全球生物多样性框架》</w:t>
      </w:r>
    </w:p>
    <w:p w14:paraId="51772622" w14:textId="77777777" w:rsidR="005E77FA" w:rsidRPr="000C0842" w:rsidRDefault="005E77FA" w:rsidP="005E77FA">
      <w:pPr>
        <w:tabs>
          <w:tab w:val="clear" w:pos="567"/>
          <w:tab w:val="clear" w:pos="1134"/>
          <w:tab w:val="clear" w:pos="1701"/>
          <w:tab w:val="clear" w:pos="2268"/>
        </w:tabs>
        <w:spacing w:before="120" w:after="120"/>
        <w:ind w:left="490"/>
        <w:jc w:val="left"/>
        <w:rPr>
          <w:rFonts w:eastAsia="SimSun"/>
          <w:bCs/>
          <w:sz w:val="24"/>
          <w:lang w:val="en-CA"/>
        </w:rPr>
      </w:pPr>
      <w:r w:rsidRPr="000C0842">
        <w:rPr>
          <w:rFonts w:eastAsia="SimSun"/>
          <w:bCs/>
          <w:sz w:val="24"/>
          <w:lang w:val="zh-CN"/>
        </w:rPr>
        <w:t>1.</w:t>
      </w:r>
      <w:r w:rsidRPr="000C0842">
        <w:rPr>
          <w:rFonts w:eastAsia="SimSun"/>
          <w:bCs/>
          <w:sz w:val="24"/>
          <w:lang w:val="zh-CN"/>
        </w:rPr>
        <w:tab/>
      </w:r>
      <w:r w:rsidRPr="000C0842">
        <w:rPr>
          <w:rFonts w:eastAsia="SimSun"/>
          <w:bCs/>
          <w:sz w:val="24"/>
          <w:lang w:val="zh-CN"/>
        </w:rPr>
        <w:t>在海洋和沿海生物多样性方面，需要</w:t>
      </w:r>
      <w:r w:rsidRPr="000C0842">
        <w:rPr>
          <w:rFonts w:eastAsia="SimSun"/>
          <w:bCs/>
          <w:sz w:val="24"/>
          <w:lang w:val="en-CA"/>
        </w:rPr>
        <w:t>在《</w:t>
      </w:r>
      <w:r w:rsidRPr="000C0842">
        <w:rPr>
          <w:rFonts w:eastAsia="SimSun" w:hint="eastAsia"/>
          <w:bCs/>
          <w:sz w:val="24"/>
          <w:lang w:val="en-CA"/>
        </w:rPr>
        <w:t>生物多样性</w:t>
      </w:r>
      <w:r w:rsidRPr="000C0842">
        <w:rPr>
          <w:rFonts w:eastAsia="SimSun"/>
          <w:bCs/>
          <w:sz w:val="24"/>
          <w:lang w:val="en-CA"/>
        </w:rPr>
        <w:t>公约》</w:t>
      </w:r>
      <w:r w:rsidRPr="000C0842">
        <w:rPr>
          <w:rFonts w:eastAsia="SimSun"/>
          <w:bCs/>
          <w:sz w:val="24"/>
          <w:vertAlign w:val="superscript"/>
          <w:lang w:val="en-CA"/>
        </w:rPr>
        <w:footnoteReference w:id="180"/>
      </w:r>
      <w:r w:rsidRPr="000C0842">
        <w:rPr>
          <w:rFonts w:eastAsia="SimSun"/>
          <w:bCs/>
          <w:sz w:val="24"/>
          <w:lang w:val="en-CA"/>
        </w:rPr>
        <w:t>管辖范围内，</w:t>
      </w:r>
      <w:r w:rsidRPr="000C0842">
        <w:rPr>
          <w:rFonts w:eastAsia="SimSun" w:hint="eastAsia"/>
          <w:bCs/>
          <w:sz w:val="24"/>
          <w:lang w:val="en-CA"/>
        </w:rPr>
        <w:t>根据</w:t>
      </w:r>
      <w:r w:rsidRPr="000C0842">
        <w:rPr>
          <w:rFonts w:eastAsia="SimSun"/>
          <w:bCs/>
          <w:sz w:val="24"/>
          <w:lang w:val="en-CA"/>
        </w:rPr>
        <w:t>各国优先事项</w:t>
      </w:r>
      <w:r w:rsidRPr="000C0842">
        <w:rPr>
          <w:rFonts w:eastAsia="SimSun" w:hint="eastAsia"/>
          <w:bCs/>
          <w:sz w:val="24"/>
          <w:lang w:val="en-CA"/>
        </w:rPr>
        <w:t>、</w:t>
      </w:r>
      <w:r w:rsidRPr="000C0842">
        <w:rPr>
          <w:rFonts w:eastAsia="SimSun"/>
          <w:bCs/>
          <w:sz w:val="24"/>
          <w:lang w:val="en-CA"/>
        </w:rPr>
        <w:t>国情</w:t>
      </w:r>
      <w:r w:rsidRPr="000C0842">
        <w:rPr>
          <w:rFonts w:eastAsia="SimSun" w:hint="eastAsia"/>
          <w:bCs/>
          <w:sz w:val="24"/>
          <w:lang w:val="en-CA"/>
        </w:rPr>
        <w:t>和能力</w:t>
      </w:r>
      <w:r w:rsidRPr="000C0842">
        <w:rPr>
          <w:rFonts w:eastAsia="SimSun"/>
          <w:bCs/>
          <w:sz w:val="24"/>
          <w:lang w:val="zh-CN"/>
        </w:rPr>
        <w:t>作出进一步努力：</w:t>
      </w:r>
    </w:p>
    <w:p w14:paraId="62FEBA6B"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bCs/>
          <w:sz w:val="24"/>
          <w:lang w:val="en-GB"/>
        </w:rPr>
        <w:t>加强对海洋和沿海</w:t>
      </w:r>
      <w:r w:rsidRPr="000C0842">
        <w:rPr>
          <w:rFonts w:eastAsia="SimSun" w:cs="SimSun" w:hint="eastAsia"/>
          <w:bCs/>
          <w:sz w:val="24"/>
          <w:lang w:val="en-GB"/>
        </w:rPr>
        <w:t>退化区域</w:t>
      </w:r>
      <w:r w:rsidRPr="000C0842">
        <w:rPr>
          <w:rFonts w:eastAsia="SimSun" w:cs="SimSun"/>
          <w:bCs/>
          <w:sz w:val="24"/>
          <w:lang w:val="en-GB"/>
        </w:rPr>
        <w:t>的范围和程度以及海洋和沿海生态恢复的复杂性的了解，借鉴不同生态系统和部门以及不同规模的经验，在海洋和沿海</w:t>
      </w:r>
      <w:r w:rsidRPr="000C0842">
        <w:rPr>
          <w:rFonts w:eastAsia="SimSun" w:cs="SimSun" w:hint="eastAsia"/>
          <w:bCs/>
          <w:sz w:val="24"/>
          <w:lang w:val="en-GB"/>
        </w:rPr>
        <w:t>区域</w:t>
      </w:r>
      <w:r w:rsidRPr="000C0842">
        <w:rPr>
          <w:rFonts w:eastAsia="SimSun" w:cs="SimSun"/>
          <w:bCs/>
          <w:sz w:val="24"/>
          <w:lang w:val="en-GB"/>
        </w:rPr>
        <w:t>加强开展主动和被动恢复，包括生态恢复，（与《昆明</w:t>
      </w:r>
      <w:r w:rsidRPr="000C0842">
        <w:rPr>
          <w:rFonts w:eastAsia="SimSun" w:cs="SimSun"/>
          <w:bCs/>
          <w:sz w:val="24"/>
          <w:lang w:val="en-GB"/>
        </w:rPr>
        <w:t>-</w:t>
      </w:r>
      <w:r w:rsidRPr="000C0842">
        <w:rPr>
          <w:rFonts w:eastAsia="SimSun" w:cs="SimSun"/>
          <w:bCs/>
          <w:sz w:val="24"/>
          <w:lang w:val="en-GB"/>
        </w:rPr>
        <w:t>蒙特利尔全球生物多样性框架》行动目标</w:t>
      </w:r>
      <w:r w:rsidRPr="000C0842">
        <w:rPr>
          <w:rFonts w:eastAsia="SimSun" w:cs="SimSun"/>
          <w:bCs/>
          <w:sz w:val="24"/>
          <w:lang w:val="en-GB"/>
        </w:rPr>
        <w:t>2</w:t>
      </w:r>
      <w:r w:rsidRPr="000C0842">
        <w:rPr>
          <w:rFonts w:eastAsia="SimSun" w:cs="SimSun"/>
          <w:bCs/>
          <w:sz w:val="24"/>
          <w:lang w:val="en-GB"/>
        </w:rPr>
        <w:t>最相关）</w:t>
      </w:r>
      <w:r w:rsidRPr="000C0842">
        <w:rPr>
          <w:rFonts w:eastAsia="SimSun" w:cs="SimSun"/>
          <w:bCs/>
          <w:sz w:val="24"/>
          <w:vertAlign w:val="superscript"/>
          <w:lang w:val="en-GB"/>
        </w:rPr>
        <w:footnoteReference w:id="181"/>
      </w:r>
      <w:r w:rsidRPr="000C0842">
        <w:rPr>
          <w:rFonts w:eastAsia="SimSun" w:cs="SimSun"/>
          <w:bCs/>
          <w:sz w:val="24"/>
          <w:lang w:val="en-GB"/>
        </w:rPr>
        <w:t>；</w:t>
      </w:r>
    </w:p>
    <w:p w14:paraId="6142936E"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hint="eastAsia"/>
          <w:bCs/>
          <w:sz w:val="24"/>
          <w:lang w:val="en-GB"/>
        </w:rPr>
        <w:t>依照</w:t>
      </w:r>
      <w:r w:rsidRPr="000C0842">
        <w:rPr>
          <w:rFonts w:eastAsia="SimSun" w:cs="SimSun" w:hint="eastAsia"/>
          <w:bCs/>
          <w:sz w:val="24"/>
          <w:lang w:val="en-GB"/>
        </w:rPr>
        <w:t>2018</w:t>
      </w:r>
      <w:r w:rsidRPr="000C0842">
        <w:rPr>
          <w:rFonts w:eastAsia="SimSun" w:cs="SimSun" w:hint="eastAsia"/>
          <w:bCs/>
          <w:sz w:val="24"/>
          <w:lang w:val="en-GB"/>
        </w:rPr>
        <w:t>年</w:t>
      </w:r>
      <w:r w:rsidRPr="000C0842">
        <w:rPr>
          <w:rFonts w:eastAsia="SimSun" w:cs="SimSun" w:hint="eastAsia"/>
          <w:bCs/>
          <w:sz w:val="24"/>
          <w:lang w:val="en-GB"/>
        </w:rPr>
        <w:t>11</w:t>
      </w:r>
      <w:r w:rsidRPr="000C0842">
        <w:rPr>
          <w:rFonts w:eastAsia="SimSun" w:cs="SimSun" w:hint="eastAsia"/>
          <w:bCs/>
          <w:sz w:val="24"/>
          <w:lang w:val="en-GB"/>
        </w:rPr>
        <w:t>月</w:t>
      </w:r>
      <w:r w:rsidRPr="000C0842">
        <w:rPr>
          <w:rFonts w:eastAsia="SimSun" w:cs="SimSun" w:hint="eastAsia"/>
          <w:bCs/>
          <w:sz w:val="24"/>
          <w:lang w:val="en-GB"/>
        </w:rPr>
        <w:t>29</w:t>
      </w:r>
      <w:r w:rsidRPr="000C0842">
        <w:rPr>
          <w:rFonts w:eastAsia="SimSun" w:cs="SimSun" w:hint="eastAsia"/>
          <w:bCs/>
          <w:sz w:val="24"/>
          <w:lang w:val="en-GB"/>
        </w:rPr>
        <w:t>日的第</w:t>
      </w:r>
      <w:hyperlink r:id="rId137" w:history="1">
        <w:r w:rsidRPr="000C0842">
          <w:rPr>
            <w:rFonts w:eastAsia="SimSun" w:cs="SimSun" w:hint="eastAsia"/>
            <w:bCs/>
            <w:sz w:val="24"/>
            <w:u w:val="single"/>
            <w:lang w:val="en-GB"/>
          </w:rPr>
          <w:t>14/8</w:t>
        </w:r>
      </w:hyperlink>
      <w:r w:rsidRPr="000C0842">
        <w:rPr>
          <w:rFonts w:eastAsia="SimSun" w:cs="SimSun" w:hint="eastAsia"/>
          <w:bCs/>
          <w:sz w:val="24"/>
          <w:lang w:val="en-GB"/>
        </w:rPr>
        <w:t>号决定，提高</w:t>
      </w:r>
      <w:r w:rsidRPr="000C0842">
        <w:rPr>
          <w:rFonts w:eastAsia="SimSun" w:cs="SimSun"/>
          <w:bCs/>
          <w:sz w:val="24"/>
          <w:lang w:val="en-GB"/>
        </w:rPr>
        <w:t>对在海洋和沿海</w:t>
      </w:r>
      <w:r w:rsidRPr="000C0842">
        <w:rPr>
          <w:rFonts w:eastAsia="SimSun" w:cs="SimSun" w:hint="eastAsia"/>
          <w:bCs/>
          <w:sz w:val="24"/>
          <w:lang w:val="en-GB"/>
        </w:rPr>
        <w:t>区域</w:t>
      </w:r>
      <w:r w:rsidRPr="000C0842">
        <w:rPr>
          <w:rFonts w:eastAsia="SimSun" w:cs="SimSun"/>
          <w:bCs/>
          <w:sz w:val="24"/>
          <w:lang w:val="en-GB"/>
        </w:rPr>
        <w:t>活跃的各部门中的海洋保护区和其他</w:t>
      </w:r>
      <w:r w:rsidRPr="000C0842">
        <w:rPr>
          <w:rFonts w:eastAsia="SimSun" w:cs="SimSun" w:hint="eastAsia"/>
          <w:bCs/>
          <w:sz w:val="24"/>
          <w:lang w:val="en-GB"/>
        </w:rPr>
        <w:t>基于区域的</w:t>
      </w:r>
      <w:r w:rsidRPr="000C0842">
        <w:rPr>
          <w:rFonts w:eastAsia="SimSun" w:cs="SimSun"/>
          <w:bCs/>
          <w:sz w:val="24"/>
          <w:lang w:val="en-GB"/>
        </w:rPr>
        <w:t>有效</w:t>
      </w:r>
      <w:r w:rsidRPr="000C0842">
        <w:rPr>
          <w:rFonts w:eastAsia="SimSun" w:cs="SimSun" w:hint="eastAsia"/>
          <w:bCs/>
          <w:sz w:val="24"/>
          <w:lang w:val="en-GB"/>
        </w:rPr>
        <w:t>保护</w:t>
      </w:r>
      <w:r w:rsidRPr="000C0842">
        <w:rPr>
          <w:rFonts w:eastAsia="SimSun" w:cs="SimSun"/>
          <w:bCs/>
          <w:sz w:val="24"/>
          <w:lang w:val="en-GB"/>
        </w:rPr>
        <w:t>措施</w:t>
      </w:r>
      <w:r w:rsidRPr="000C0842">
        <w:rPr>
          <w:rFonts w:eastAsia="SimSun" w:cs="SimSun" w:hint="eastAsia"/>
          <w:bCs/>
          <w:sz w:val="24"/>
          <w:lang w:val="en-GB"/>
        </w:rPr>
        <w:t>的了解</w:t>
      </w:r>
      <w:r w:rsidRPr="000C0842">
        <w:rPr>
          <w:rFonts w:eastAsia="SimSun" w:cs="SimSun"/>
          <w:bCs/>
          <w:sz w:val="24"/>
          <w:lang w:val="en-GB"/>
        </w:rPr>
        <w:t>并促进其有效实施，确保这些措施产生有益于生物多样性的切实成果</w:t>
      </w:r>
      <w:r w:rsidRPr="000C0842">
        <w:rPr>
          <w:rFonts w:eastAsia="SimSun" w:cs="SimSun" w:hint="eastAsia"/>
          <w:bCs/>
          <w:sz w:val="24"/>
          <w:lang w:val="en-GB"/>
        </w:rPr>
        <w:t>（</w:t>
      </w:r>
      <w:r w:rsidRPr="000C0842">
        <w:rPr>
          <w:rFonts w:eastAsia="SimSun" w:cs="SimSun"/>
          <w:bCs/>
          <w:sz w:val="24"/>
          <w:lang w:val="en-GB"/>
        </w:rPr>
        <w:t>与行动目标</w:t>
      </w:r>
      <w:r w:rsidRPr="000C0842">
        <w:rPr>
          <w:rFonts w:eastAsia="SimSun" w:cs="SimSun"/>
          <w:bCs/>
          <w:sz w:val="24"/>
          <w:lang w:val="en-GB"/>
        </w:rPr>
        <w:t>3</w:t>
      </w:r>
      <w:r w:rsidRPr="000C0842">
        <w:rPr>
          <w:rFonts w:eastAsia="SimSun" w:cs="SimSun"/>
          <w:bCs/>
          <w:sz w:val="24"/>
          <w:lang w:val="en-GB"/>
        </w:rPr>
        <w:t>最相关</w:t>
      </w:r>
      <w:r w:rsidRPr="000C0842">
        <w:rPr>
          <w:rFonts w:eastAsia="SimSun" w:cs="SimSun" w:hint="eastAsia"/>
          <w:bCs/>
          <w:sz w:val="24"/>
          <w:lang w:val="en-GB"/>
        </w:rPr>
        <w:t>）</w:t>
      </w:r>
      <w:r w:rsidRPr="000C0842">
        <w:rPr>
          <w:rFonts w:eastAsia="SimSun" w:cs="SimSun"/>
          <w:bCs/>
          <w:sz w:val="24"/>
          <w:lang w:val="en-GB"/>
        </w:rPr>
        <w:t>；</w:t>
      </w:r>
    </w:p>
    <w:p w14:paraId="521EC6C4"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bCs/>
          <w:sz w:val="24"/>
          <w:lang w:val="en-GB"/>
        </w:rPr>
        <w:t>防止、减轻或最大限度地减少海洋和沿海区域人类与野生</w:t>
      </w:r>
      <w:r w:rsidRPr="000C0842">
        <w:rPr>
          <w:rFonts w:eastAsia="SimSun" w:cs="SimSun" w:hint="eastAsia"/>
          <w:bCs/>
          <w:sz w:val="24"/>
          <w:lang w:val="en-GB"/>
        </w:rPr>
        <w:t>动物</w:t>
      </w:r>
      <w:r w:rsidRPr="000C0842">
        <w:rPr>
          <w:rFonts w:eastAsia="SimSun" w:cs="SimSun"/>
          <w:bCs/>
          <w:sz w:val="24"/>
          <w:lang w:val="en-GB"/>
        </w:rPr>
        <w:t>特别是受威胁、濒危和脆弱物种</w:t>
      </w:r>
      <w:r w:rsidRPr="000C0842">
        <w:rPr>
          <w:rFonts w:eastAsia="SimSun" w:cs="SimSun" w:hint="eastAsia"/>
          <w:bCs/>
          <w:sz w:val="24"/>
          <w:lang w:val="en-GB"/>
        </w:rPr>
        <w:t>的</w:t>
      </w:r>
      <w:r w:rsidRPr="000C0842">
        <w:rPr>
          <w:rFonts w:eastAsia="SimSun" w:cs="SimSun"/>
          <w:bCs/>
          <w:sz w:val="24"/>
          <w:lang w:val="en-GB"/>
        </w:rPr>
        <w:t>冲突（与行动目标</w:t>
      </w:r>
      <w:r w:rsidRPr="000C0842">
        <w:rPr>
          <w:rFonts w:eastAsia="SimSun" w:cs="SimSun"/>
          <w:bCs/>
          <w:sz w:val="24"/>
          <w:lang w:val="en-GB"/>
        </w:rPr>
        <w:t>4</w:t>
      </w:r>
      <w:r w:rsidRPr="000C0842">
        <w:rPr>
          <w:rFonts w:eastAsia="SimSun" w:cs="SimSun"/>
          <w:bCs/>
          <w:sz w:val="24"/>
          <w:lang w:val="en-GB"/>
        </w:rPr>
        <w:t>最相关）；</w:t>
      </w:r>
    </w:p>
    <w:p w14:paraId="01BC24F3"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bCs/>
          <w:sz w:val="24"/>
          <w:lang w:val="en-GB"/>
        </w:rPr>
        <w:t>根据防</w:t>
      </w:r>
      <w:r w:rsidRPr="000C0842">
        <w:rPr>
          <w:rFonts w:eastAsia="SimSun" w:cs="SimSun" w:hint="eastAsia"/>
          <w:bCs/>
          <w:sz w:val="24"/>
          <w:lang w:val="en-GB"/>
        </w:rPr>
        <w:t>备措施</w:t>
      </w:r>
      <w:r w:rsidRPr="000C0842">
        <w:rPr>
          <w:rFonts w:eastAsia="SimSun" w:cs="SimSun"/>
          <w:bCs/>
          <w:sz w:val="24"/>
          <w:vertAlign w:val="superscript"/>
        </w:rPr>
        <w:footnoteReference w:id="182"/>
      </w:r>
      <w:r w:rsidRPr="000C0842">
        <w:rPr>
          <w:rFonts w:eastAsia="SimSun" w:cs="SimSun"/>
          <w:bCs/>
          <w:sz w:val="24"/>
        </w:rPr>
        <w:t>，</w:t>
      </w:r>
      <w:r w:rsidRPr="000C0842">
        <w:rPr>
          <w:rFonts w:eastAsia="SimSun" w:cs="SimSun" w:hint="eastAsia"/>
          <w:bCs/>
          <w:sz w:val="24"/>
        </w:rPr>
        <w:t>同时</w:t>
      </w:r>
      <w:r w:rsidRPr="000C0842">
        <w:rPr>
          <w:rFonts w:eastAsia="SimSun" w:cs="SimSun"/>
          <w:bCs/>
          <w:sz w:val="24"/>
        </w:rPr>
        <w:t>考虑到</w:t>
      </w:r>
      <w:r w:rsidRPr="000C0842">
        <w:rPr>
          <w:rFonts w:eastAsia="SimSun" w:cs="SimSun"/>
          <w:bCs/>
          <w:sz w:val="24"/>
        </w:rPr>
        <w:t>2010</w:t>
      </w:r>
      <w:r w:rsidRPr="000C0842">
        <w:rPr>
          <w:rFonts w:eastAsia="SimSun" w:cs="SimSun"/>
          <w:bCs/>
          <w:sz w:val="24"/>
        </w:rPr>
        <w:t>年</w:t>
      </w:r>
      <w:r w:rsidRPr="000C0842">
        <w:rPr>
          <w:rFonts w:eastAsia="SimSun" w:cs="SimSun"/>
          <w:bCs/>
          <w:sz w:val="24"/>
        </w:rPr>
        <w:t>10</w:t>
      </w:r>
      <w:r w:rsidRPr="000C0842">
        <w:rPr>
          <w:rFonts w:eastAsia="SimSun" w:cs="SimSun"/>
          <w:bCs/>
          <w:sz w:val="24"/>
        </w:rPr>
        <w:t>月</w:t>
      </w:r>
      <w:r w:rsidRPr="000C0842">
        <w:rPr>
          <w:rFonts w:eastAsia="SimSun" w:cs="SimSun"/>
          <w:bCs/>
          <w:sz w:val="24"/>
        </w:rPr>
        <w:t>29</w:t>
      </w:r>
      <w:r w:rsidRPr="000C0842">
        <w:rPr>
          <w:rFonts w:eastAsia="SimSun" w:cs="SimSun"/>
          <w:bCs/>
          <w:sz w:val="24"/>
        </w:rPr>
        <w:t>日</w:t>
      </w:r>
      <w:r w:rsidRPr="000C0842">
        <w:rPr>
          <w:rFonts w:eastAsia="SimSun" w:cs="SimSun" w:hint="eastAsia"/>
          <w:bCs/>
          <w:sz w:val="24"/>
        </w:rPr>
        <w:t>的</w:t>
      </w:r>
      <w:r w:rsidRPr="000C0842">
        <w:rPr>
          <w:rFonts w:eastAsia="SimSun" w:cs="SimSun"/>
          <w:bCs/>
          <w:sz w:val="24"/>
        </w:rPr>
        <w:t>第</w:t>
      </w:r>
      <w:hyperlink r:id="rId138" w:history="1">
        <w:r w:rsidRPr="000C0842">
          <w:rPr>
            <w:rFonts w:eastAsia="SimSun" w:cs="SimSun"/>
            <w:bCs/>
            <w:sz w:val="24"/>
            <w:u w:val="single"/>
          </w:rPr>
          <w:t>X/33</w:t>
        </w:r>
      </w:hyperlink>
      <w:r w:rsidRPr="000C0842">
        <w:rPr>
          <w:rFonts w:eastAsia="SimSun" w:cs="SimSun"/>
          <w:bCs/>
          <w:sz w:val="24"/>
        </w:rPr>
        <w:t>号决定，更好地了解地球工程活动对海洋和沿海生物多样性的影响</w:t>
      </w:r>
      <w:r w:rsidRPr="000C0842">
        <w:rPr>
          <w:rFonts w:eastAsia="SimSun" w:cs="SimSun" w:hint="eastAsia"/>
          <w:bCs/>
          <w:sz w:val="24"/>
        </w:rPr>
        <w:t>（</w:t>
      </w:r>
      <w:r w:rsidRPr="000C0842">
        <w:rPr>
          <w:rFonts w:eastAsia="SimSun" w:cs="SimSun"/>
          <w:bCs/>
          <w:sz w:val="24"/>
        </w:rPr>
        <w:t>与</w:t>
      </w:r>
      <w:r w:rsidRPr="000C0842">
        <w:rPr>
          <w:rFonts w:eastAsia="SimSun" w:cs="SimSun" w:hint="eastAsia"/>
          <w:bCs/>
          <w:sz w:val="24"/>
        </w:rPr>
        <w:t>行动</w:t>
      </w:r>
      <w:r w:rsidRPr="000C0842">
        <w:rPr>
          <w:rFonts w:eastAsia="SimSun" w:cs="SimSun"/>
          <w:bCs/>
          <w:sz w:val="24"/>
        </w:rPr>
        <w:t>目标</w:t>
      </w:r>
      <w:r w:rsidRPr="000C0842">
        <w:rPr>
          <w:rFonts w:eastAsia="SimSun" w:cs="SimSun"/>
          <w:bCs/>
          <w:sz w:val="24"/>
        </w:rPr>
        <w:t>8</w:t>
      </w:r>
      <w:r w:rsidRPr="000C0842">
        <w:rPr>
          <w:rFonts w:eastAsia="SimSun" w:cs="SimSun"/>
          <w:bCs/>
          <w:sz w:val="24"/>
        </w:rPr>
        <w:t>最相关</w:t>
      </w:r>
      <w:r w:rsidRPr="000C0842">
        <w:rPr>
          <w:rFonts w:eastAsia="SimSun" w:cs="SimSun" w:hint="eastAsia"/>
          <w:bCs/>
          <w:sz w:val="24"/>
        </w:rPr>
        <w:t>）</w:t>
      </w:r>
      <w:r w:rsidRPr="000C0842">
        <w:rPr>
          <w:rFonts w:eastAsia="SimSun" w:cs="SimSun"/>
          <w:bCs/>
          <w:sz w:val="24"/>
        </w:rPr>
        <w:t>；</w:t>
      </w:r>
    </w:p>
    <w:p w14:paraId="29E2264A"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评估、监测和保护海洋和沿海物种的遗传多样性，支持</w:t>
      </w:r>
      <w:r w:rsidRPr="000C0842">
        <w:rPr>
          <w:rFonts w:eastAsia="SimSun" w:cs="SimSun" w:hint="eastAsia"/>
          <w:bCs/>
          <w:sz w:val="24"/>
        </w:rPr>
        <w:t>保护</w:t>
      </w:r>
      <w:r w:rsidRPr="000C0842">
        <w:rPr>
          <w:rFonts w:eastAsia="SimSun" w:cs="SimSun"/>
          <w:bCs/>
          <w:sz w:val="24"/>
        </w:rPr>
        <w:t>工作（与行动目标</w:t>
      </w:r>
      <w:r w:rsidRPr="000C0842">
        <w:rPr>
          <w:rFonts w:eastAsia="SimSun" w:cs="SimSun"/>
          <w:bCs/>
          <w:sz w:val="24"/>
        </w:rPr>
        <w:t>4</w:t>
      </w:r>
      <w:r w:rsidRPr="000C0842">
        <w:rPr>
          <w:rFonts w:eastAsia="SimSun" w:cs="SimSun"/>
          <w:bCs/>
          <w:sz w:val="24"/>
        </w:rPr>
        <w:t>最相关）；</w:t>
      </w:r>
    </w:p>
    <w:p w14:paraId="63E3BE93"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hint="eastAsia"/>
          <w:bCs/>
          <w:sz w:val="24"/>
        </w:rPr>
        <w:t>更好地了解</w:t>
      </w:r>
      <w:r w:rsidRPr="000C0842">
        <w:rPr>
          <w:rFonts w:eastAsia="SimSun" w:cs="SimSun"/>
          <w:bCs/>
          <w:sz w:val="24"/>
        </w:rPr>
        <w:t>海洋中层</w:t>
      </w:r>
      <w:r w:rsidRPr="000C0842">
        <w:rPr>
          <w:rFonts w:eastAsia="SimSun" w:cs="SimSun" w:hint="eastAsia"/>
          <w:bCs/>
          <w:sz w:val="24"/>
        </w:rPr>
        <w:t>、深海和</w:t>
      </w:r>
      <w:r w:rsidRPr="000C0842">
        <w:rPr>
          <w:rFonts w:eastAsia="SimSun" w:cs="SimSun"/>
          <w:bCs/>
          <w:sz w:val="24"/>
        </w:rPr>
        <w:t>底栖生态系统</w:t>
      </w:r>
      <w:r w:rsidRPr="000C0842">
        <w:rPr>
          <w:rFonts w:eastAsia="SimSun" w:cs="SimSun" w:hint="eastAsia"/>
          <w:bCs/>
          <w:sz w:val="24"/>
        </w:rPr>
        <w:t>海洋</w:t>
      </w:r>
      <w:r w:rsidRPr="000C0842">
        <w:rPr>
          <w:rFonts w:eastAsia="SimSun" w:cs="SimSun"/>
          <w:bCs/>
          <w:sz w:val="24"/>
        </w:rPr>
        <w:t>生物多样性</w:t>
      </w:r>
      <w:r w:rsidRPr="000C0842">
        <w:rPr>
          <w:rFonts w:eastAsia="SimSun" w:cs="SimSun" w:hint="eastAsia"/>
          <w:bCs/>
          <w:sz w:val="24"/>
        </w:rPr>
        <w:t>以及它们</w:t>
      </w:r>
      <w:r w:rsidRPr="000C0842">
        <w:rPr>
          <w:rFonts w:eastAsia="SimSun" w:cs="SimSun"/>
          <w:bCs/>
          <w:sz w:val="24"/>
        </w:rPr>
        <w:t>之间</w:t>
      </w:r>
      <w:r w:rsidRPr="000C0842">
        <w:rPr>
          <w:rFonts w:eastAsia="SimSun" w:cs="SimSun" w:hint="eastAsia"/>
          <w:bCs/>
          <w:sz w:val="24"/>
        </w:rPr>
        <w:t>的关联，以期</w:t>
      </w:r>
      <w:r w:rsidRPr="000C0842">
        <w:rPr>
          <w:rFonts w:eastAsia="SimSun" w:cs="SimSun"/>
          <w:bCs/>
          <w:sz w:val="24"/>
        </w:rPr>
        <w:t>支持海洋和沿海生物多样性的</w:t>
      </w:r>
      <w:r w:rsidRPr="000C0842">
        <w:rPr>
          <w:rFonts w:eastAsia="SimSun" w:cs="SimSun" w:hint="eastAsia"/>
          <w:bCs/>
          <w:sz w:val="24"/>
        </w:rPr>
        <w:t>保护</w:t>
      </w:r>
      <w:r w:rsidRPr="000C0842">
        <w:rPr>
          <w:rFonts w:eastAsia="SimSun" w:cs="SimSun"/>
          <w:bCs/>
          <w:sz w:val="24"/>
        </w:rPr>
        <w:t>和可持续利用（与行动目标</w:t>
      </w:r>
      <w:r w:rsidRPr="000C0842">
        <w:rPr>
          <w:rFonts w:eastAsia="SimSun" w:cs="SimSun"/>
          <w:bCs/>
          <w:sz w:val="24"/>
        </w:rPr>
        <w:t>3</w:t>
      </w:r>
      <w:r w:rsidRPr="000C0842">
        <w:rPr>
          <w:rFonts w:eastAsia="SimSun" w:cs="SimSun"/>
          <w:bCs/>
          <w:sz w:val="24"/>
        </w:rPr>
        <w:t>、</w:t>
      </w:r>
      <w:r w:rsidRPr="000C0842">
        <w:rPr>
          <w:rFonts w:eastAsia="SimSun" w:cs="SimSun"/>
          <w:bCs/>
          <w:sz w:val="24"/>
        </w:rPr>
        <w:t>4</w:t>
      </w:r>
      <w:r w:rsidRPr="000C0842">
        <w:rPr>
          <w:rFonts w:eastAsia="SimSun" w:cs="SimSun" w:hint="eastAsia"/>
          <w:bCs/>
          <w:sz w:val="24"/>
        </w:rPr>
        <w:t>、</w:t>
      </w:r>
      <w:r w:rsidRPr="000C0842">
        <w:rPr>
          <w:rFonts w:eastAsia="SimSun" w:cs="SimSun"/>
          <w:bCs/>
          <w:sz w:val="24"/>
        </w:rPr>
        <w:t>5</w:t>
      </w:r>
      <w:r w:rsidRPr="000C0842">
        <w:rPr>
          <w:rFonts w:eastAsia="SimSun" w:cs="SimSun" w:hint="eastAsia"/>
          <w:bCs/>
          <w:sz w:val="24"/>
        </w:rPr>
        <w:t>、</w:t>
      </w:r>
      <w:r w:rsidRPr="000C0842">
        <w:rPr>
          <w:rFonts w:eastAsia="SimSun" w:cs="SimSun" w:hint="eastAsia"/>
          <w:bCs/>
          <w:sz w:val="24"/>
        </w:rPr>
        <w:t>8</w:t>
      </w:r>
      <w:r w:rsidRPr="000C0842">
        <w:rPr>
          <w:rFonts w:eastAsia="SimSun" w:cs="SimSun"/>
          <w:bCs/>
          <w:sz w:val="24"/>
        </w:rPr>
        <w:t>和</w:t>
      </w:r>
      <w:r w:rsidRPr="000C0842">
        <w:rPr>
          <w:rFonts w:eastAsia="SimSun" w:cs="SimSun" w:hint="eastAsia"/>
          <w:bCs/>
          <w:sz w:val="24"/>
        </w:rPr>
        <w:t>9</w:t>
      </w:r>
      <w:r w:rsidRPr="000C0842">
        <w:rPr>
          <w:rFonts w:eastAsia="SimSun" w:cs="SimSun"/>
          <w:bCs/>
          <w:sz w:val="24"/>
        </w:rPr>
        <w:t>最相关）；</w:t>
      </w:r>
    </w:p>
    <w:p w14:paraId="3312E824"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评估和预防、减轻或最大限度地减少海洋和沿海区域同时发生各类污染</w:t>
      </w:r>
      <w:r w:rsidRPr="000C0842">
        <w:rPr>
          <w:rFonts w:eastAsia="SimSun" w:cs="SimSun" w:hint="eastAsia"/>
          <w:bCs/>
          <w:sz w:val="24"/>
        </w:rPr>
        <w:t>时</w:t>
      </w:r>
      <w:r w:rsidRPr="000C0842">
        <w:rPr>
          <w:rFonts w:eastAsia="SimSun" w:cs="SimSun"/>
          <w:bCs/>
          <w:sz w:val="24"/>
        </w:rPr>
        <w:t>各类污染包括跨界污染的单独和累积影响（与行动目标</w:t>
      </w:r>
      <w:r w:rsidRPr="000C0842">
        <w:rPr>
          <w:rFonts w:eastAsia="SimSun" w:cs="SimSun"/>
          <w:bCs/>
          <w:sz w:val="24"/>
        </w:rPr>
        <w:t>7</w:t>
      </w:r>
      <w:r w:rsidRPr="000C0842">
        <w:rPr>
          <w:rFonts w:eastAsia="SimSun" w:cs="SimSun"/>
          <w:bCs/>
          <w:sz w:val="24"/>
        </w:rPr>
        <w:t>最相关）；</w:t>
      </w:r>
    </w:p>
    <w:p w14:paraId="776085A4"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在各种沿海和海洋生态系统中加强使用基于自然的解决方案和（或）基于生态系统的方法；</w:t>
      </w:r>
    </w:p>
    <w:p w14:paraId="4CF3D93E"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bCs/>
          <w:sz w:val="24"/>
        </w:rPr>
        <w:t>规划、监测</w:t>
      </w:r>
      <w:r w:rsidRPr="000C0842">
        <w:rPr>
          <w:rFonts w:eastAsia="SimSun" w:cs="SimSun" w:hint="eastAsia"/>
          <w:bCs/>
          <w:sz w:val="24"/>
        </w:rPr>
        <w:t>、恢复</w:t>
      </w:r>
      <w:r w:rsidRPr="000C0842">
        <w:rPr>
          <w:rFonts w:eastAsia="SimSun" w:cs="SimSun"/>
          <w:bCs/>
          <w:sz w:val="24"/>
        </w:rPr>
        <w:t>并有效管理</w:t>
      </w:r>
      <w:r w:rsidRPr="000C0842">
        <w:rPr>
          <w:rFonts w:eastAsia="SimSun" w:cs="SimSun" w:hint="eastAsia"/>
          <w:bCs/>
          <w:sz w:val="24"/>
        </w:rPr>
        <w:t>促进</w:t>
      </w:r>
      <w:r w:rsidRPr="000C0842">
        <w:rPr>
          <w:rFonts w:eastAsia="SimSun" w:cs="SimSun"/>
          <w:bCs/>
          <w:sz w:val="24"/>
        </w:rPr>
        <w:t>减缓和适应气候变化的</w:t>
      </w:r>
      <w:r w:rsidRPr="000C0842">
        <w:rPr>
          <w:rFonts w:eastAsia="SimSun" w:cs="SimSun" w:hint="eastAsia"/>
          <w:bCs/>
          <w:sz w:val="24"/>
        </w:rPr>
        <w:t>海洋和沿海</w:t>
      </w:r>
      <w:r w:rsidRPr="000C0842">
        <w:rPr>
          <w:rFonts w:eastAsia="SimSun" w:cs="SimSun"/>
          <w:bCs/>
          <w:sz w:val="24"/>
        </w:rPr>
        <w:t>生态</w:t>
      </w:r>
      <w:r w:rsidRPr="000C0842">
        <w:rPr>
          <w:rFonts w:eastAsia="SimSun" w:cs="SimSun"/>
          <w:bCs/>
          <w:sz w:val="24"/>
          <w:lang w:val="en-GB"/>
        </w:rPr>
        <w:t>系统，</w:t>
      </w:r>
      <w:r w:rsidRPr="000C0842">
        <w:rPr>
          <w:rFonts w:eastAsia="SimSun" w:cs="SimSun" w:hint="eastAsia"/>
          <w:bCs/>
          <w:sz w:val="24"/>
          <w:lang w:val="en-GB"/>
        </w:rPr>
        <w:t>包括红树林和海草</w:t>
      </w:r>
      <w:r w:rsidRPr="000C0842">
        <w:rPr>
          <w:rFonts w:eastAsia="SimSun" w:cs="SimSun"/>
          <w:bCs/>
          <w:sz w:val="24"/>
          <w:lang w:val="en-GB"/>
        </w:rPr>
        <w:t>（与行动目标</w:t>
      </w:r>
      <w:r w:rsidRPr="000C0842">
        <w:rPr>
          <w:rFonts w:eastAsia="SimSun" w:cs="SimSun"/>
          <w:bCs/>
          <w:sz w:val="24"/>
          <w:lang w:val="en-GB"/>
        </w:rPr>
        <w:t>8</w:t>
      </w:r>
      <w:r w:rsidRPr="000C0842">
        <w:rPr>
          <w:rFonts w:eastAsia="SimSun" w:cs="SimSun" w:hint="eastAsia"/>
          <w:bCs/>
          <w:sz w:val="24"/>
          <w:lang w:val="en-GB"/>
        </w:rPr>
        <w:t>和</w:t>
      </w:r>
      <w:r w:rsidRPr="000C0842">
        <w:rPr>
          <w:rFonts w:eastAsia="SimSun" w:cs="SimSun" w:hint="eastAsia"/>
          <w:bCs/>
          <w:sz w:val="24"/>
          <w:lang w:val="en-GB"/>
        </w:rPr>
        <w:t>11</w:t>
      </w:r>
      <w:r w:rsidRPr="000C0842">
        <w:rPr>
          <w:rFonts w:eastAsia="SimSun" w:cs="SimSun"/>
          <w:bCs/>
          <w:sz w:val="24"/>
          <w:lang w:val="en-GB"/>
        </w:rPr>
        <w:t>最相关）；</w:t>
      </w:r>
    </w:p>
    <w:p w14:paraId="41E1F252"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保护和可持续利用与海冰相关的生物多样性，提高对海冰迅速减少给海洋</w:t>
      </w:r>
      <w:r w:rsidRPr="000C0842">
        <w:rPr>
          <w:rFonts w:eastAsia="SimSun" w:cs="SimSun" w:hint="eastAsia"/>
          <w:bCs/>
          <w:sz w:val="24"/>
        </w:rPr>
        <w:t>和沿海</w:t>
      </w:r>
      <w:r w:rsidRPr="000C0842">
        <w:rPr>
          <w:rFonts w:eastAsia="SimSun" w:cs="SimSun"/>
          <w:bCs/>
          <w:sz w:val="24"/>
        </w:rPr>
        <w:t>生态系统所造成影响的了解（与行动目标</w:t>
      </w:r>
      <w:r w:rsidRPr="000C0842">
        <w:rPr>
          <w:rFonts w:eastAsia="SimSun" w:cs="SimSun"/>
          <w:bCs/>
          <w:sz w:val="24"/>
        </w:rPr>
        <w:t>3</w:t>
      </w:r>
      <w:r w:rsidRPr="000C0842">
        <w:rPr>
          <w:rFonts w:eastAsia="SimSun" w:cs="SimSun"/>
          <w:bCs/>
          <w:sz w:val="24"/>
        </w:rPr>
        <w:t>、</w:t>
      </w:r>
      <w:r w:rsidRPr="000C0842">
        <w:rPr>
          <w:rFonts w:eastAsia="SimSun" w:cs="SimSun"/>
          <w:bCs/>
          <w:sz w:val="24"/>
        </w:rPr>
        <w:t>4</w:t>
      </w:r>
      <w:r w:rsidRPr="000C0842">
        <w:rPr>
          <w:rFonts w:eastAsia="SimSun" w:cs="SimSun"/>
          <w:bCs/>
          <w:sz w:val="24"/>
        </w:rPr>
        <w:t>和</w:t>
      </w:r>
      <w:r w:rsidRPr="000C0842">
        <w:rPr>
          <w:rFonts w:eastAsia="SimSun" w:cs="SimSun"/>
          <w:bCs/>
          <w:sz w:val="24"/>
        </w:rPr>
        <w:t>8</w:t>
      </w:r>
      <w:r w:rsidRPr="000C0842">
        <w:rPr>
          <w:rFonts w:eastAsia="SimSun" w:cs="SimSun"/>
          <w:bCs/>
          <w:sz w:val="24"/>
        </w:rPr>
        <w:t>最相关）；</w:t>
      </w:r>
    </w:p>
    <w:p w14:paraId="141A029E"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lang w:val="en-GB"/>
        </w:rPr>
      </w:pPr>
      <w:r w:rsidRPr="000C0842">
        <w:rPr>
          <w:rFonts w:eastAsia="SimSun" w:cs="SimSun"/>
          <w:bCs/>
          <w:sz w:val="24"/>
        </w:rPr>
        <w:t>可持续地管理海洋和沿海</w:t>
      </w:r>
      <w:r w:rsidRPr="000C0842">
        <w:rPr>
          <w:rFonts w:eastAsia="SimSun" w:cs="SimSun" w:hint="eastAsia"/>
          <w:bCs/>
          <w:sz w:val="24"/>
        </w:rPr>
        <w:t>区域</w:t>
      </w:r>
      <w:r w:rsidRPr="000C0842">
        <w:rPr>
          <w:rFonts w:eastAsia="SimSun" w:cs="SimSun"/>
          <w:bCs/>
          <w:sz w:val="24"/>
        </w:rPr>
        <w:t>的水产养殖，重点是防止、减轻或</w:t>
      </w:r>
      <w:r w:rsidRPr="000C0842">
        <w:rPr>
          <w:rFonts w:eastAsia="SimSun" w:cs="SimSun" w:hint="eastAsia"/>
          <w:bCs/>
          <w:sz w:val="24"/>
        </w:rPr>
        <w:t>最大限度地</w:t>
      </w:r>
      <w:r w:rsidRPr="000C0842">
        <w:rPr>
          <w:rFonts w:eastAsia="SimSun" w:cs="SimSun"/>
          <w:bCs/>
          <w:sz w:val="24"/>
        </w:rPr>
        <w:t>减少对生境和生态重要物种的负面影响，同时支持应用生物多样性友好型做法，</w:t>
      </w:r>
      <w:r w:rsidRPr="000C0842">
        <w:rPr>
          <w:rFonts w:eastAsia="SimSun" w:cs="SimSun"/>
          <w:bCs/>
          <w:sz w:val="24"/>
          <w:lang w:val="en-GB"/>
        </w:rPr>
        <w:t>创造当地生计和改善粮食安全（与行动目标</w:t>
      </w:r>
      <w:r w:rsidRPr="000C0842">
        <w:rPr>
          <w:rFonts w:eastAsia="SimSun" w:cs="SimSun"/>
          <w:bCs/>
          <w:sz w:val="24"/>
          <w:lang w:val="en-GB"/>
        </w:rPr>
        <w:t>10</w:t>
      </w:r>
      <w:r w:rsidRPr="000C0842">
        <w:rPr>
          <w:rFonts w:eastAsia="SimSun" w:cs="SimSun"/>
          <w:bCs/>
          <w:sz w:val="24"/>
          <w:lang w:val="en-GB"/>
        </w:rPr>
        <w:t>最相关）；</w:t>
      </w:r>
    </w:p>
    <w:p w14:paraId="44E31E2C"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提高对</w:t>
      </w:r>
      <w:r w:rsidRPr="000C0842">
        <w:rPr>
          <w:rFonts w:eastAsia="SimSun" w:cs="SimSun" w:hint="eastAsia"/>
          <w:bCs/>
          <w:sz w:val="24"/>
        </w:rPr>
        <w:t>城市和人口稠密地区的</w:t>
      </w:r>
      <w:r w:rsidRPr="000C0842">
        <w:rPr>
          <w:rFonts w:eastAsia="SimSun" w:cs="SimSun"/>
          <w:bCs/>
          <w:sz w:val="24"/>
        </w:rPr>
        <w:t>海洋和沿海蓝色空间对健康的生态系统和人类健康和福祉的贡献的</w:t>
      </w:r>
      <w:r w:rsidRPr="000C0842">
        <w:rPr>
          <w:rFonts w:eastAsia="SimSun" w:cs="SimSun" w:hint="eastAsia"/>
          <w:bCs/>
          <w:sz w:val="24"/>
        </w:rPr>
        <w:t>了解</w:t>
      </w:r>
      <w:r w:rsidRPr="000C0842">
        <w:rPr>
          <w:rFonts w:eastAsia="SimSun" w:cs="SimSun"/>
          <w:bCs/>
          <w:sz w:val="24"/>
        </w:rPr>
        <w:t>（与行动目标</w:t>
      </w:r>
      <w:r w:rsidRPr="000C0842">
        <w:rPr>
          <w:rFonts w:eastAsia="SimSun" w:cs="SimSun"/>
          <w:bCs/>
          <w:sz w:val="24"/>
        </w:rPr>
        <w:t>12</w:t>
      </w:r>
      <w:r w:rsidRPr="000C0842">
        <w:rPr>
          <w:rFonts w:eastAsia="SimSun" w:cs="SimSun"/>
          <w:bCs/>
          <w:sz w:val="24"/>
        </w:rPr>
        <w:t>最相关）；</w:t>
      </w:r>
      <w:r w:rsidRPr="000C0842">
        <w:rPr>
          <w:rFonts w:eastAsia="SimSun" w:cs="SimSun"/>
          <w:bCs/>
          <w:sz w:val="24"/>
        </w:rPr>
        <w:t xml:space="preserve"> </w:t>
      </w:r>
    </w:p>
    <w:p w14:paraId="58094F5B"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sidDel="001532F2">
        <w:rPr>
          <w:rFonts w:eastAsia="SimSun" w:cs="SimSun" w:hint="eastAsia"/>
          <w:bCs/>
          <w:sz w:val="24"/>
        </w:rPr>
        <w:t xml:space="preserve"> </w:t>
      </w:r>
      <w:r w:rsidRPr="000C0842">
        <w:rPr>
          <w:rFonts w:eastAsia="SimSun" w:cs="SimSun" w:hint="eastAsia"/>
          <w:bCs/>
          <w:sz w:val="24"/>
        </w:rPr>
        <w:t>增强</w:t>
      </w:r>
      <w:r w:rsidRPr="000C0842">
        <w:rPr>
          <w:rFonts w:eastAsia="SimSun" w:cs="SimSun"/>
          <w:bCs/>
          <w:sz w:val="24"/>
        </w:rPr>
        <w:t>海洋和沿海</w:t>
      </w:r>
      <w:r w:rsidRPr="000C0842">
        <w:rPr>
          <w:rFonts w:eastAsia="SimSun" w:cs="SimSun" w:hint="eastAsia"/>
          <w:bCs/>
          <w:sz w:val="24"/>
        </w:rPr>
        <w:t>区域</w:t>
      </w:r>
      <w:r w:rsidRPr="000C0842">
        <w:rPr>
          <w:rFonts w:eastAsia="SimSun" w:cs="SimSun"/>
          <w:bCs/>
          <w:sz w:val="24"/>
        </w:rPr>
        <w:t>生物多样性多重价值的</w:t>
      </w:r>
      <w:r w:rsidRPr="000C0842">
        <w:rPr>
          <w:rFonts w:eastAsia="SimSun" w:cs="SimSun" w:hint="eastAsia"/>
          <w:bCs/>
          <w:sz w:val="24"/>
        </w:rPr>
        <w:t>整合</w:t>
      </w:r>
      <w:r w:rsidRPr="000C0842">
        <w:rPr>
          <w:rFonts w:eastAsia="SimSun" w:cs="SimSun"/>
          <w:bCs/>
          <w:sz w:val="24"/>
        </w:rPr>
        <w:t>，特别是对土著人民和当地社区而言，并将这些价值纳入规划和决策（与行动目标</w:t>
      </w:r>
      <w:r w:rsidRPr="000C0842">
        <w:rPr>
          <w:rFonts w:eastAsia="SimSun" w:cs="SimSun"/>
          <w:bCs/>
          <w:sz w:val="24"/>
        </w:rPr>
        <w:t>14</w:t>
      </w:r>
      <w:r w:rsidRPr="000C0842">
        <w:rPr>
          <w:rFonts w:eastAsia="SimSun" w:cs="SimSun"/>
          <w:bCs/>
          <w:sz w:val="24"/>
        </w:rPr>
        <w:t>和</w:t>
      </w:r>
      <w:r w:rsidRPr="000C0842">
        <w:rPr>
          <w:rFonts w:eastAsia="SimSun" w:cs="SimSun"/>
          <w:bCs/>
          <w:sz w:val="24"/>
        </w:rPr>
        <w:t>21</w:t>
      </w:r>
      <w:r w:rsidRPr="000C0842">
        <w:rPr>
          <w:rFonts w:eastAsia="SimSun" w:cs="SimSun"/>
          <w:bCs/>
          <w:sz w:val="24"/>
        </w:rPr>
        <w:t>最相关）；</w:t>
      </w:r>
    </w:p>
    <w:p w14:paraId="783639EF"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sidDel="001532F2">
        <w:rPr>
          <w:rFonts w:eastAsia="SimSun" w:cs="SimSun" w:hint="eastAsia"/>
          <w:bCs/>
          <w:sz w:val="24"/>
        </w:rPr>
        <w:t xml:space="preserve"> </w:t>
      </w:r>
      <w:r w:rsidRPr="000C0842">
        <w:rPr>
          <w:rFonts w:eastAsia="SimSun" w:cs="SimSun" w:hint="eastAsia"/>
          <w:bCs/>
          <w:sz w:val="24"/>
        </w:rPr>
        <w:t>根据可适用的</w:t>
      </w:r>
      <w:r w:rsidRPr="000C0842">
        <w:rPr>
          <w:rFonts w:eastAsia="SimSun" w:cs="SimSun"/>
          <w:bCs/>
          <w:sz w:val="24"/>
        </w:rPr>
        <w:t>国际获取和惠益分享文书</w:t>
      </w:r>
      <w:r w:rsidRPr="000C0842">
        <w:rPr>
          <w:rFonts w:eastAsia="SimSun" w:cs="SimSun" w:hint="eastAsia"/>
          <w:bCs/>
          <w:sz w:val="24"/>
        </w:rPr>
        <w:t>，酌情在各级采取有效的</w:t>
      </w:r>
      <w:r w:rsidRPr="000C0842">
        <w:rPr>
          <w:rFonts w:eastAsia="SimSun" w:cs="SimSun"/>
          <w:bCs/>
          <w:sz w:val="24"/>
        </w:rPr>
        <w:t>法律、政策、行政和能力建设措施，确保公正和公平分享利用海洋遗传资源</w:t>
      </w:r>
      <w:r w:rsidRPr="000C0842">
        <w:rPr>
          <w:rFonts w:eastAsia="SimSun" w:cs="SimSun" w:hint="eastAsia"/>
          <w:bCs/>
          <w:sz w:val="24"/>
        </w:rPr>
        <w:t>包括数字序列信息</w:t>
      </w:r>
      <w:r w:rsidRPr="000C0842">
        <w:rPr>
          <w:rFonts w:eastAsia="SimSun" w:cs="SimSun"/>
          <w:bCs/>
          <w:sz w:val="24"/>
        </w:rPr>
        <w:t>所产生的惠益（与行动目标</w:t>
      </w:r>
      <w:r w:rsidRPr="000C0842">
        <w:rPr>
          <w:rFonts w:eastAsia="SimSun" w:cs="SimSun"/>
          <w:bCs/>
          <w:sz w:val="24"/>
        </w:rPr>
        <w:t>13</w:t>
      </w:r>
      <w:r w:rsidRPr="000C0842">
        <w:rPr>
          <w:rFonts w:eastAsia="SimSun" w:cs="SimSun"/>
          <w:bCs/>
          <w:sz w:val="24"/>
        </w:rPr>
        <w:t>最相关）；</w:t>
      </w:r>
    </w:p>
    <w:p w14:paraId="53598AE5"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加强措施，尊重、保护和维护与海洋和沿海生物多样性相关的传统知识，确保只有在传统知识持有人自由、事先和知情同意</w:t>
      </w:r>
      <w:r w:rsidRPr="000C0842">
        <w:rPr>
          <w:rFonts w:eastAsia="SimSun"/>
          <w:sz w:val="24"/>
          <w:szCs w:val="24"/>
          <w:vertAlign w:val="superscript"/>
        </w:rPr>
        <w:footnoteReference w:id="183"/>
      </w:r>
      <w:r w:rsidRPr="000C0842">
        <w:rPr>
          <w:rFonts w:eastAsia="SimSun" w:cs="SimSun"/>
          <w:bCs/>
          <w:sz w:val="24"/>
        </w:rPr>
        <w:t>的情况下，才能根据国家</w:t>
      </w:r>
      <w:r w:rsidRPr="000C0842">
        <w:rPr>
          <w:rFonts w:eastAsia="SimSun" w:cs="SimSun" w:hint="eastAsia"/>
          <w:bCs/>
          <w:sz w:val="24"/>
        </w:rPr>
        <w:t>法律</w:t>
      </w:r>
      <w:r w:rsidRPr="000C0842">
        <w:rPr>
          <w:rFonts w:eastAsia="SimSun" w:cs="SimSun"/>
          <w:bCs/>
          <w:sz w:val="24"/>
        </w:rPr>
        <w:t>获取和使用传统知识（与长期目标</w:t>
      </w:r>
      <w:r w:rsidRPr="000C0842">
        <w:rPr>
          <w:rFonts w:eastAsia="SimSun" w:cs="SimSun"/>
          <w:bCs/>
          <w:sz w:val="24"/>
        </w:rPr>
        <w:t xml:space="preserve"> C </w:t>
      </w:r>
      <w:r w:rsidRPr="000C0842">
        <w:rPr>
          <w:rFonts w:eastAsia="SimSun" w:cs="SimSun"/>
          <w:bCs/>
          <w:sz w:val="24"/>
        </w:rPr>
        <w:t>以及行动目标</w:t>
      </w:r>
      <w:r w:rsidRPr="000C0842">
        <w:rPr>
          <w:rFonts w:eastAsia="SimSun" w:cs="SimSun"/>
          <w:bCs/>
          <w:sz w:val="24"/>
        </w:rPr>
        <w:t xml:space="preserve"> 13 </w:t>
      </w:r>
      <w:r w:rsidRPr="000C0842">
        <w:rPr>
          <w:rFonts w:eastAsia="SimSun" w:cs="SimSun"/>
          <w:bCs/>
          <w:sz w:val="24"/>
        </w:rPr>
        <w:t>和</w:t>
      </w:r>
      <w:r w:rsidRPr="000C0842">
        <w:rPr>
          <w:rFonts w:eastAsia="SimSun" w:cs="SimSun"/>
          <w:bCs/>
          <w:sz w:val="24"/>
        </w:rPr>
        <w:t xml:space="preserve"> 21 </w:t>
      </w:r>
      <w:r w:rsidRPr="000C0842">
        <w:rPr>
          <w:rFonts w:eastAsia="SimSun" w:cs="SimSun"/>
          <w:bCs/>
          <w:sz w:val="24"/>
        </w:rPr>
        <w:t>最相关）；</w:t>
      </w:r>
    </w:p>
    <w:p w14:paraId="2D3263CF"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将海洋和沿海生物多样性纳入先前决定中未曾提及的经济活动和部门的主流，同时促进相关政府间进程下的协作（与行动目标</w:t>
      </w:r>
      <w:r w:rsidRPr="000C0842">
        <w:rPr>
          <w:rFonts w:eastAsia="SimSun" w:cs="SimSun"/>
          <w:bCs/>
          <w:sz w:val="24"/>
        </w:rPr>
        <w:t xml:space="preserve"> 14 </w:t>
      </w:r>
      <w:r w:rsidRPr="000C0842">
        <w:rPr>
          <w:rFonts w:eastAsia="SimSun" w:cs="SimSun"/>
          <w:bCs/>
          <w:sz w:val="24"/>
        </w:rPr>
        <w:t>最相关）；</w:t>
      </w:r>
    </w:p>
    <w:p w14:paraId="012BD644"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查明、了解和避免</w:t>
      </w:r>
      <w:r w:rsidRPr="000C0842">
        <w:rPr>
          <w:rFonts w:eastAsia="SimSun" w:cs="SimSun" w:hint="eastAsia"/>
          <w:bCs/>
          <w:sz w:val="24"/>
        </w:rPr>
        <w:t>在</w:t>
      </w:r>
      <w:r w:rsidRPr="000C0842">
        <w:rPr>
          <w:rFonts w:eastAsia="SimSun" w:cs="SimSun"/>
          <w:bCs/>
          <w:sz w:val="24"/>
        </w:rPr>
        <w:t>有害于海洋和沿海生态系统生物多样性的部门</w:t>
      </w:r>
      <w:r w:rsidRPr="000C0842">
        <w:rPr>
          <w:rFonts w:eastAsia="SimSun" w:cs="SimSun" w:hint="eastAsia"/>
          <w:bCs/>
          <w:sz w:val="24"/>
        </w:rPr>
        <w:t>内采取</w:t>
      </w:r>
      <w:r w:rsidRPr="000C0842">
        <w:rPr>
          <w:rFonts w:eastAsia="SimSun" w:cs="SimSun"/>
          <w:bCs/>
          <w:sz w:val="24"/>
        </w:rPr>
        <w:t>激励措施的负面影响，根据相关国际义务</w:t>
      </w:r>
      <w:r w:rsidRPr="000C0842">
        <w:rPr>
          <w:rFonts w:eastAsia="SimSun"/>
          <w:sz w:val="24"/>
          <w:szCs w:val="24"/>
          <w:vertAlign w:val="superscript"/>
        </w:rPr>
        <w:footnoteReference w:id="184"/>
      </w:r>
      <w:r w:rsidRPr="000C0842">
        <w:rPr>
          <w:rFonts w:eastAsia="SimSun" w:cs="SimSun"/>
          <w:bCs/>
          <w:sz w:val="24"/>
        </w:rPr>
        <w:t>取消、逐步淘汰或改革此类激励措施，同时扩大积极的激励措施，促进海洋和沿海生物多样性的保护和可持续利用（与行动目标</w:t>
      </w:r>
      <w:r w:rsidRPr="000C0842">
        <w:rPr>
          <w:rFonts w:eastAsia="SimSun" w:cs="SimSun"/>
          <w:bCs/>
          <w:sz w:val="24"/>
        </w:rPr>
        <w:t>18</w:t>
      </w:r>
      <w:r w:rsidRPr="000C0842">
        <w:rPr>
          <w:rFonts w:eastAsia="SimSun" w:cs="SimSun"/>
          <w:bCs/>
          <w:sz w:val="24"/>
        </w:rPr>
        <w:t>最相关）；</w:t>
      </w:r>
    </w:p>
    <w:p w14:paraId="09C7AEEC"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 xml:space="preserve"> </w:t>
      </w:r>
      <w:r w:rsidRPr="000C0842">
        <w:rPr>
          <w:rFonts w:eastAsia="SimSun" w:cs="SimSun"/>
          <w:bCs/>
          <w:sz w:val="24"/>
        </w:rPr>
        <w:t>促进更多利益攸关方积极参与海洋和沿海生物多样性的保护和可持续利用，特别是通过确保土著人民和地方社区、妇女和女童、儿童和青年以及残疾人的充分和有效参与决策、诉诸法律和获取信息，以及充分保护环境人权维护者</w:t>
      </w:r>
      <w:r w:rsidRPr="000C0842">
        <w:rPr>
          <w:rFonts w:eastAsia="SimSun" w:cs="SimSun" w:hint="eastAsia"/>
          <w:bCs/>
          <w:sz w:val="24"/>
        </w:rPr>
        <w:t>：</w:t>
      </w:r>
      <w:r w:rsidRPr="000C0842">
        <w:rPr>
          <w:rFonts w:eastAsia="SimSun" w:cs="SimSun"/>
          <w:bCs/>
          <w:sz w:val="24"/>
        </w:rPr>
        <w:t>（与行动目标</w:t>
      </w:r>
      <w:r w:rsidRPr="000C0842">
        <w:rPr>
          <w:rFonts w:eastAsia="SimSun" w:cs="SimSun"/>
          <w:bCs/>
          <w:sz w:val="24"/>
        </w:rPr>
        <w:t xml:space="preserve"> 22 </w:t>
      </w:r>
      <w:r w:rsidRPr="000C0842">
        <w:rPr>
          <w:rFonts w:eastAsia="SimSun" w:cs="SimSun"/>
          <w:bCs/>
          <w:sz w:val="24"/>
        </w:rPr>
        <w:t>最相关）</w:t>
      </w:r>
    </w:p>
    <w:p w14:paraId="4C8E3A66" w14:textId="77777777" w:rsidR="005E77FA" w:rsidRPr="000C0842" w:rsidRDefault="005E77FA">
      <w:pPr>
        <w:numPr>
          <w:ilvl w:val="0"/>
          <w:numId w:val="32"/>
        </w:numPr>
        <w:tabs>
          <w:tab w:val="clear" w:pos="567"/>
          <w:tab w:val="clear" w:pos="1134"/>
          <w:tab w:val="clear" w:pos="1701"/>
          <w:tab w:val="clear" w:pos="2268"/>
        </w:tabs>
        <w:spacing w:before="120" w:after="120"/>
        <w:ind w:left="490" w:firstLine="490"/>
        <w:jc w:val="left"/>
        <w:rPr>
          <w:rFonts w:eastAsia="SimSun" w:cs="SimSun"/>
          <w:bCs/>
          <w:sz w:val="24"/>
        </w:rPr>
      </w:pPr>
      <w:r w:rsidRPr="000C0842">
        <w:rPr>
          <w:rFonts w:eastAsia="SimSun" w:cs="SimSun"/>
          <w:bCs/>
          <w:sz w:val="24"/>
        </w:rPr>
        <w:t>促进调动资金</w:t>
      </w:r>
      <w:r w:rsidRPr="000C0842">
        <w:rPr>
          <w:rFonts w:eastAsia="SimSun" w:cs="SimSun" w:hint="eastAsia"/>
          <w:bCs/>
          <w:sz w:val="24"/>
        </w:rPr>
        <w:t>，</w:t>
      </w:r>
      <w:r w:rsidRPr="000C0842">
        <w:rPr>
          <w:rFonts w:eastAsia="SimSun" w:cs="SimSun"/>
          <w:bCs/>
          <w:sz w:val="24"/>
        </w:rPr>
        <w:t>增强对海洋和沿海生物多样性及其</w:t>
      </w:r>
      <w:r w:rsidRPr="000C0842">
        <w:rPr>
          <w:rFonts w:eastAsia="SimSun" w:cs="SimSun" w:hint="eastAsia"/>
          <w:bCs/>
          <w:sz w:val="24"/>
        </w:rPr>
        <w:t>多元</w:t>
      </w:r>
      <w:r w:rsidRPr="000C0842">
        <w:rPr>
          <w:rFonts w:eastAsia="SimSun" w:cs="SimSun"/>
          <w:bCs/>
          <w:sz w:val="24"/>
        </w:rPr>
        <w:t>价值的了解，尤其是在知识严重缺乏的领域（与行动目标</w:t>
      </w:r>
      <w:r w:rsidRPr="000C0842">
        <w:rPr>
          <w:rFonts w:eastAsia="SimSun" w:cs="SimSun" w:hint="eastAsia"/>
          <w:bCs/>
          <w:sz w:val="24"/>
        </w:rPr>
        <w:t>19</w:t>
      </w:r>
      <w:r w:rsidRPr="000C0842">
        <w:rPr>
          <w:rFonts w:eastAsia="SimSun" w:cs="SimSun"/>
          <w:bCs/>
          <w:sz w:val="24"/>
        </w:rPr>
        <w:t>最相关）。</w:t>
      </w:r>
    </w:p>
    <w:p w14:paraId="076335E9" w14:textId="77777777" w:rsidR="005E77FA" w:rsidRPr="000C0842" w:rsidRDefault="005E77FA" w:rsidP="005E77FA">
      <w:pPr>
        <w:tabs>
          <w:tab w:val="clear" w:pos="567"/>
          <w:tab w:val="clear" w:pos="1134"/>
          <w:tab w:val="clear" w:pos="1701"/>
          <w:tab w:val="clear" w:pos="2268"/>
        </w:tabs>
        <w:spacing w:before="120" w:after="120"/>
        <w:ind w:left="490"/>
        <w:jc w:val="left"/>
        <w:rPr>
          <w:rFonts w:eastAsia="SimSun" w:cs="SimSun"/>
          <w:bCs/>
          <w:sz w:val="24"/>
          <w:lang w:val="en-GB"/>
        </w:rPr>
      </w:pPr>
      <w:r w:rsidRPr="000C0842">
        <w:rPr>
          <w:rFonts w:eastAsia="SimSun" w:cs="SimSun"/>
          <w:bCs/>
          <w:sz w:val="24"/>
          <w:lang w:val="en-GB"/>
        </w:rPr>
        <w:t>2.</w:t>
      </w:r>
      <w:r w:rsidRPr="000C0842">
        <w:rPr>
          <w:rFonts w:eastAsia="SimSun" w:cs="SimSun"/>
          <w:bCs/>
          <w:sz w:val="24"/>
          <w:lang w:val="en-GB"/>
        </w:rPr>
        <w:tab/>
      </w:r>
      <w:r w:rsidRPr="000C0842">
        <w:rPr>
          <w:rFonts w:eastAsia="SimSun" w:cs="SimSun"/>
          <w:bCs/>
          <w:sz w:val="24"/>
          <w:lang w:val="en-GB"/>
        </w:rPr>
        <w:t>在岛屿生物多样性方面，需要根据国情、优先事项和能力</w:t>
      </w:r>
      <w:r w:rsidRPr="000C0842">
        <w:rPr>
          <w:rFonts w:eastAsia="SimSun" w:cs="SimSun" w:hint="eastAsia"/>
          <w:bCs/>
          <w:sz w:val="24"/>
          <w:lang w:val="en-GB"/>
        </w:rPr>
        <w:t>作出</w:t>
      </w:r>
      <w:r w:rsidRPr="000C0842">
        <w:rPr>
          <w:rFonts w:eastAsia="SimSun" w:cs="SimSun"/>
          <w:bCs/>
          <w:sz w:val="24"/>
          <w:lang w:val="en-GB"/>
        </w:rPr>
        <w:t>进一步努力：</w:t>
      </w:r>
    </w:p>
    <w:p w14:paraId="0417D529"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促进岛屿生态系统的生态恢复，重点是有助于减少灾害风险和抵御各种压力的生态系统（与行动目标</w:t>
      </w:r>
      <w:r w:rsidRPr="000C0842">
        <w:rPr>
          <w:rFonts w:eastAsia="Times New Roman" w:cs="SimSun"/>
          <w:bCs/>
          <w:sz w:val="24"/>
          <w:szCs w:val="24"/>
          <w:lang w:val="en-GB"/>
        </w:rPr>
        <w:t xml:space="preserve"> 2 </w:t>
      </w:r>
      <w:r w:rsidRPr="000C0842">
        <w:rPr>
          <w:rFonts w:ascii="SimSun" w:eastAsia="SimSun" w:hAnsi="SimSun" w:cs="SimSun" w:hint="eastAsia"/>
          <w:bCs/>
          <w:sz w:val="24"/>
          <w:szCs w:val="24"/>
          <w:lang w:val="en-GB"/>
        </w:rPr>
        <w:t>和</w:t>
      </w:r>
      <w:r w:rsidRPr="000C0842">
        <w:rPr>
          <w:rFonts w:eastAsia="Times New Roman" w:cs="SimSun"/>
          <w:bCs/>
          <w:sz w:val="24"/>
          <w:szCs w:val="24"/>
          <w:lang w:val="en-GB"/>
        </w:rPr>
        <w:t xml:space="preserve"> 11 </w:t>
      </w:r>
      <w:r w:rsidRPr="000C0842">
        <w:rPr>
          <w:rFonts w:ascii="SimSun" w:eastAsia="SimSun" w:hAnsi="SimSun" w:cs="SimSun" w:hint="eastAsia"/>
          <w:bCs/>
          <w:sz w:val="24"/>
          <w:szCs w:val="24"/>
          <w:lang w:val="en-GB"/>
        </w:rPr>
        <w:t>最相关）</w:t>
      </w:r>
      <w:r w:rsidRPr="000C0842">
        <w:rPr>
          <w:rFonts w:eastAsia="Times New Roman" w:cs="SimSun"/>
          <w:bCs/>
          <w:sz w:val="24"/>
          <w:szCs w:val="24"/>
          <w:lang w:val="en-GB"/>
        </w:rPr>
        <w:t>;</w:t>
      </w:r>
    </w:p>
    <w:p w14:paraId="21592B23"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根据国情和优先事项，将岛屿和岛屿生态系统内的某些保护地带确定为消除或控制外来入侵物种的重点地带和区域，并对其进行监测（与行动目标</w:t>
      </w:r>
      <w:r w:rsidRPr="000C0842">
        <w:rPr>
          <w:rFonts w:eastAsia="Times New Roman" w:cs="SimSun"/>
          <w:bCs/>
          <w:sz w:val="24"/>
          <w:szCs w:val="24"/>
          <w:lang w:val="en-GB"/>
        </w:rPr>
        <w:t xml:space="preserve"> 6 </w:t>
      </w:r>
      <w:r w:rsidRPr="000C0842">
        <w:rPr>
          <w:rFonts w:ascii="SimSun" w:eastAsia="SimSun" w:hAnsi="SimSun" w:cs="SimSun" w:hint="eastAsia"/>
          <w:bCs/>
          <w:sz w:val="24"/>
          <w:szCs w:val="24"/>
          <w:lang w:val="en-GB"/>
        </w:rPr>
        <w:t>最相关）</w:t>
      </w:r>
      <w:r w:rsidRPr="000C0842">
        <w:rPr>
          <w:rFonts w:eastAsia="Times New Roman" w:cs="SimSun"/>
          <w:bCs/>
          <w:sz w:val="24"/>
          <w:szCs w:val="24"/>
          <w:lang w:val="en-GB"/>
        </w:rPr>
        <w:t>;</w:t>
      </w:r>
    </w:p>
    <w:p w14:paraId="74D89BC1"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提高对有害岛屿生物多样性和生态系统功能及服务的岛屿污染包括跨界污染的风险及程度的认识，同时考虑到粮食安全和生计问题，并预防、减轻或最大限度地减少岛屿生态系统同时发生各类污染所产生的累积影响（与行动目标</w:t>
      </w:r>
      <w:r w:rsidRPr="000C0842">
        <w:rPr>
          <w:rFonts w:eastAsia="Times New Roman" w:cs="SimSun"/>
          <w:bCs/>
          <w:sz w:val="24"/>
          <w:szCs w:val="24"/>
          <w:lang w:val="en-GB"/>
        </w:rPr>
        <w:t xml:space="preserve"> 7 </w:t>
      </w:r>
      <w:r w:rsidRPr="000C0842">
        <w:rPr>
          <w:rFonts w:ascii="SimSun" w:eastAsia="SimSun" w:hAnsi="SimSun" w:cs="SimSun" w:hint="eastAsia"/>
          <w:bCs/>
          <w:sz w:val="24"/>
          <w:szCs w:val="24"/>
          <w:lang w:val="en-GB"/>
        </w:rPr>
        <w:t>最相关）</w:t>
      </w:r>
      <w:r w:rsidRPr="000C0842">
        <w:rPr>
          <w:rFonts w:eastAsia="Times New Roman" w:cs="SimSun"/>
          <w:bCs/>
          <w:sz w:val="24"/>
          <w:szCs w:val="24"/>
          <w:lang w:val="en-GB"/>
        </w:rPr>
        <w:t>;</w:t>
      </w:r>
    </w:p>
    <w:p w14:paraId="34DC243D"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继续进一步了解海洋酸化和暖化，特别是当它们与其他压力源结合时，对岛屿生态系统尤其是珊瑚礁、海草、红树林和红岩床的影响，提高易受这些影响的生态系统的复原力（与行动目标</w:t>
      </w:r>
      <w:r w:rsidRPr="000C0842">
        <w:rPr>
          <w:rFonts w:eastAsia="Times New Roman" w:cs="SimSun"/>
          <w:bCs/>
          <w:sz w:val="24"/>
          <w:szCs w:val="24"/>
          <w:lang w:val="en-GB"/>
        </w:rPr>
        <w:t xml:space="preserve"> 8 </w:t>
      </w:r>
      <w:r w:rsidRPr="000C0842">
        <w:rPr>
          <w:rFonts w:ascii="SimSun" w:eastAsia="SimSun" w:hAnsi="SimSun" w:cs="SimSun" w:hint="eastAsia"/>
          <w:bCs/>
          <w:sz w:val="24"/>
          <w:szCs w:val="24"/>
          <w:lang w:val="en-GB"/>
        </w:rPr>
        <w:t>最相关）</w:t>
      </w:r>
      <w:r w:rsidRPr="000C0842">
        <w:rPr>
          <w:rFonts w:eastAsia="Times New Roman" w:cs="SimSun"/>
          <w:bCs/>
          <w:sz w:val="24"/>
          <w:szCs w:val="24"/>
          <w:lang w:val="en-GB"/>
        </w:rPr>
        <w:t>;</w:t>
      </w:r>
    </w:p>
    <w:p w14:paraId="7C670C00"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加强协调和统筹执行内陆水系统、地下水和废水管理行动，同时考虑到气候变化的影响及其对岛屿生态系统和生物多样性的相应影响：</w:t>
      </w:r>
    </w:p>
    <w:p w14:paraId="18446605"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更好地利用海洋核算和海洋空间规划来保护和管理岛屿的沿海和海洋生物多样性：</w:t>
      </w:r>
    </w:p>
    <w:p w14:paraId="130A97C6"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改善纳入岛屿生物多样性多重价值的工作，特别是对土著人民和地方社区而言，并纳入规划和决策（与行动目标</w:t>
      </w:r>
      <w:r w:rsidRPr="000C0842">
        <w:rPr>
          <w:rFonts w:eastAsia="Times New Roman" w:cs="SimSun"/>
          <w:bCs/>
          <w:sz w:val="24"/>
          <w:szCs w:val="24"/>
          <w:lang w:val="en-GB"/>
        </w:rPr>
        <w:t xml:space="preserve"> 14 </w:t>
      </w:r>
      <w:r w:rsidRPr="000C0842">
        <w:rPr>
          <w:rFonts w:ascii="SimSun" w:eastAsia="SimSun" w:hAnsi="SimSun" w:cs="SimSun" w:hint="eastAsia"/>
          <w:bCs/>
          <w:sz w:val="24"/>
          <w:szCs w:val="24"/>
          <w:lang w:val="en-GB"/>
        </w:rPr>
        <w:t>和</w:t>
      </w:r>
      <w:r w:rsidRPr="000C0842">
        <w:rPr>
          <w:rFonts w:eastAsia="Times New Roman" w:cs="SimSun"/>
          <w:bCs/>
          <w:sz w:val="24"/>
          <w:szCs w:val="24"/>
          <w:lang w:val="en-GB"/>
        </w:rPr>
        <w:t xml:space="preserve"> 21 </w:t>
      </w:r>
      <w:r w:rsidRPr="000C0842">
        <w:rPr>
          <w:rFonts w:ascii="SimSun" w:eastAsia="SimSun" w:hAnsi="SimSun" w:cs="SimSun" w:hint="eastAsia"/>
          <w:bCs/>
          <w:sz w:val="24"/>
          <w:szCs w:val="24"/>
          <w:lang w:val="en-GB"/>
        </w:rPr>
        <w:t>最相关）</w:t>
      </w:r>
      <w:r w:rsidRPr="000C0842">
        <w:rPr>
          <w:rFonts w:eastAsia="Times New Roman" w:cs="SimSun"/>
          <w:bCs/>
          <w:sz w:val="24"/>
          <w:szCs w:val="24"/>
          <w:lang w:val="en-GB"/>
        </w:rPr>
        <w:t>;</w:t>
      </w:r>
    </w:p>
    <w:p w14:paraId="186D451F"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u w:val="single"/>
          <w:lang w:val="en-GB"/>
        </w:rPr>
      </w:pPr>
      <w:r w:rsidRPr="000C0842">
        <w:rPr>
          <w:rFonts w:ascii="SimSun" w:eastAsia="SimSun" w:hAnsi="SimSun" w:cs="SimSun" w:hint="eastAsia"/>
          <w:bCs/>
          <w:sz w:val="24"/>
          <w:szCs w:val="24"/>
          <w:lang w:val="en-GB"/>
        </w:rPr>
        <w:t>促进更多利益攸关方积极参与岛屿生物多样性的保护和可持续利用，特别是通过确保土著人民和地方社区、妇女和女童、儿童和青年以及残疾人的充分和有效参与决策、诉诸法律和获取信息，以及充分保护环境人权维护者（与行动目标</w:t>
      </w:r>
      <w:r w:rsidRPr="000C0842">
        <w:rPr>
          <w:rFonts w:eastAsia="Times New Roman" w:cs="SimSun"/>
          <w:bCs/>
          <w:sz w:val="24"/>
          <w:szCs w:val="24"/>
          <w:lang w:val="en-GB"/>
        </w:rPr>
        <w:t xml:space="preserve"> 22 </w:t>
      </w:r>
      <w:r w:rsidRPr="000C0842">
        <w:rPr>
          <w:rFonts w:ascii="SimSun" w:eastAsia="SimSun" w:hAnsi="SimSun" w:cs="SimSun" w:hint="eastAsia"/>
          <w:bCs/>
          <w:sz w:val="24"/>
          <w:szCs w:val="24"/>
          <w:lang w:val="en-GB"/>
        </w:rPr>
        <w:t>最相关）：</w:t>
      </w:r>
    </w:p>
    <w:p w14:paraId="330186F6" w14:textId="77777777" w:rsidR="005E77FA" w:rsidRPr="000C0842" w:rsidRDefault="005E77FA">
      <w:pPr>
        <w:numPr>
          <w:ilvl w:val="0"/>
          <w:numId w:val="36"/>
        </w:numPr>
        <w:tabs>
          <w:tab w:val="clear" w:pos="567"/>
          <w:tab w:val="clear" w:pos="1134"/>
          <w:tab w:val="clear" w:pos="1701"/>
          <w:tab w:val="clear" w:pos="2268"/>
        </w:tabs>
        <w:spacing w:before="120" w:after="120" w:line="240" w:lineRule="atLeast"/>
        <w:ind w:left="490" w:firstLine="490"/>
        <w:jc w:val="left"/>
        <w:rPr>
          <w:rFonts w:eastAsia="Times New Roman" w:cs="SimSun"/>
          <w:bCs/>
          <w:sz w:val="24"/>
          <w:szCs w:val="24"/>
          <w:lang w:val="en-GB"/>
        </w:rPr>
      </w:pPr>
      <w:r w:rsidRPr="000C0842">
        <w:rPr>
          <w:rFonts w:ascii="SimSun" w:eastAsia="SimSun" w:hAnsi="SimSun" w:cs="SimSun" w:hint="eastAsia"/>
          <w:bCs/>
          <w:sz w:val="24"/>
          <w:szCs w:val="24"/>
          <w:lang w:val="en-GB"/>
        </w:rPr>
        <w:t>促进调动资金，用于提高世界上那些对岛屿生物多样性及其多种价值知之甚少的地区对岛屿生物多样性及其价值的认识（与行动目标</w:t>
      </w:r>
      <w:r w:rsidRPr="000C0842">
        <w:rPr>
          <w:rFonts w:eastAsia="Times New Roman" w:cs="SimSun" w:hint="eastAsia"/>
          <w:bCs/>
          <w:sz w:val="24"/>
          <w:szCs w:val="24"/>
          <w:lang w:val="en-GB"/>
        </w:rPr>
        <w:t>19</w:t>
      </w:r>
      <w:r w:rsidRPr="000C0842">
        <w:rPr>
          <w:rFonts w:ascii="SimSun" w:eastAsia="SimSun" w:hAnsi="SimSun" w:cs="SimSun" w:hint="eastAsia"/>
          <w:bCs/>
          <w:sz w:val="24"/>
          <w:szCs w:val="24"/>
          <w:lang w:val="en-GB"/>
        </w:rPr>
        <w:t>最相关）。</w:t>
      </w:r>
    </w:p>
    <w:p w14:paraId="5CA356E5" w14:textId="2B59C36B" w:rsidR="002437E6" w:rsidRPr="000C0842" w:rsidRDefault="002437E6">
      <w:pPr>
        <w:tabs>
          <w:tab w:val="clear" w:pos="567"/>
          <w:tab w:val="clear" w:pos="1134"/>
          <w:tab w:val="clear" w:pos="1701"/>
          <w:tab w:val="clear" w:pos="2268"/>
        </w:tabs>
        <w:jc w:val="left"/>
        <w:rPr>
          <w:rFonts w:eastAsia="SimSun" w:cs="SimSun"/>
          <w:bCs/>
          <w:sz w:val="24"/>
          <w:lang w:val="en-GB"/>
        </w:rPr>
      </w:pPr>
      <w:r w:rsidRPr="000C0842">
        <w:rPr>
          <w:rFonts w:eastAsia="SimSun" w:cs="SimSun"/>
          <w:bCs/>
          <w:sz w:val="24"/>
          <w:lang w:val="en-GB"/>
        </w:rPr>
        <w:br w:type="page"/>
      </w:r>
    </w:p>
    <w:p w14:paraId="3A9E664B" w14:textId="07058AED" w:rsidR="005E77FA" w:rsidRPr="000C0842" w:rsidRDefault="005E77FA" w:rsidP="005E77FA">
      <w:pPr>
        <w:suppressLineNumbers/>
        <w:suppressAutoHyphens/>
        <w:jc w:val="center"/>
        <w:rPr>
          <w:rFonts w:eastAsia="SimSun"/>
        </w:rPr>
      </w:pPr>
    </w:p>
    <w:p w14:paraId="5219EE2C" w14:textId="7AAF5A3F" w:rsidR="005E77FA" w:rsidRPr="000C0842" w:rsidRDefault="005E77FA" w:rsidP="002437E6">
      <w:pPr>
        <w:pStyle w:val="a1"/>
        <w:rPr>
          <w:rFonts w:hint="eastAsia"/>
          <w:lang w:eastAsia="zh-CN"/>
        </w:rPr>
      </w:pPr>
      <w:bookmarkStart w:id="69" w:name="_Toc206358214"/>
      <w:r w:rsidRPr="000C0842">
        <w:rPr>
          <w:lang w:eastAsia="zh-CN"/>
        </w:rPr>
        <w:t>16/18.</w:t>
      </w:r>
      <w:r w:rsidR="009A4B30" w:rsidRPr="000C0842">
        <w:rPr>
          <w:rFonts w:hint="eastAsia"/>
          <w:lang w:eastAsia="zh-CN"/>
        </w:rPr>
        <w:t xml:space="preserve"> </w:t>
      </w:r>
      <w:r w:rsidRPr="000C0842">
        <w:rPr>
          <w:rFonts w:hint="eastAsia"/>
          <w:lang w:eastAsia="zh-CN"/>
        </w:rPr>
        <w:t>外来入侵物种</w:t>
      </w:r>
      <w:bookmarkEnd w:id="69"/>
    </w:p>
    <w:p w14:paraId="076975CF" w14:textId="57C3964C" w:rsidR="009A3F11" w:rsidRPr="000C0842" w:rsidRDefault="009A3F11" w:rsidP="00444037">
      <w:pPr>
        <w:pStyle w:val="a1"/>
        <w:spacing w:before="240"/>
        <w:ind w:firstLine="490"/>
        <w:rPr>
          <w:rFonts w:eastAsia="KaiTi" w:hint="eastAsia"/>
          <w:b w:val="0"/>
          <w:bCs/>
          <w:szCs w:val="24"/>
          <w:lang w:eastAsia="zh-CN"/>
        </w:rPr>
      </w:pPr>
      <w:r w:rsidRPr="000C0842">
        <w:rPr>
          <w:rFonts w:eastAsia="KaiTi"/>
          <w:b w:val="0"/>
          <w:bCs/>
          <w:lang w:eastAsia="zh-CN"/>
        </w:rPr>
        <w:t>缔约方大会</w:t>
      </w:r>
      <w:r w:rsidRPr="000C0842">
        <w:rPr>
          <w:rFonts w:eastAsia="KaiTi" w:hint="eastAsia"/>
          <w:b w:val="0"/>
          <w:bCs/>
          <w:szCs w:val="24"/>
          <w:lang w:eastAsia="zh-CN"/>
        </w:rPr>
        <w:t>，</w:t>
      </w:r>
    </w:p>
    <w:p w14:paraId="0208B056"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KaiTi"/>
          <w:sz w:val="24"/>
          <w:szCs w:val="24"/>
        </w:rPr>
        <w:t>回顾</w:t>
      </w:r>
      <w:r w:rsidRPr="000C0842">
        <w:rPr>
          <w:rFonts w:eastAsia="SimSun"/>
          <w:sz w:val="24"/>
          <w:szCs w:val="24"/>
        </w:rPr>
        <w:t>其</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139" w:history="1">
        <w:r w:rsidRPr="000C0842">
          <w:rPr>
            <w:rFonts w:eastAsia="Times New Roman"/>
            <w:kern w:val="22"/>
            <w:sz w:val="24"/>
            <w:szCs w:val="24"/>
            <w:u w:val="single"/>
          </w:rPr>
          <w:t>15/4</w:t>
        </w:r>
      </w:hyperlink>
      <w:r w:rsidRPr="000C0842">
        <w:rPr>
          <w:rFonts w:eastAsia="SimSun"/>
          <w:sz w:val="24"/>
          <w:szCs w:val="24"/>
        </w:rPr>
        <w:t>号、第</w:t>
      </w:r>
      <w:hyperlink r:id="rId140" w:history="1">
        <w:r w:rsidRPr="000C0842">
          <w:rPr>
            <w:rFonts w:eastAsia="Times New Roman"/>
            <w:kern w:val="22"/>
            <w:sz w:val="24"/>
            <w:szCs w:val="24"/>
            <w:u w:val="single"/>
          </w:rPr>
          <w:t>15/27</w:t>
        </w:r>
      </w:hyperlink>
      <w:r w:rsidRPr="000C0842">
        <w:rPr>
          <w:rFonts w:eastAsia="SimSun"/>
          <w:sz w:val="24"/>
          <w:szCs w:val="24"/>
        </w:rPr>
        <w:t>号和第</w:t>
      </w:r>
      <w:hyperlink r:id="rId141" w:history="1">
        <w:r w:rsidRPr="000C0842">
          <w:rPr>
            <w:rFonts w:eastAsia="Times New Roman"/>
            <w:kern w:val="22"/>
            <w:sz w:val="24"/>
            <w:szCs w:val="24"/>
            <w:u w:val="single"/>
          </w:rPr>
          <w:t>15/19</w:t>
        </w:r>
      </w:hyperlink>
      <w:r w:rsidRPr="000C0842">
        <w:rPr>
          <w:rFonts w:eastAsia="SimSun" w:hint="eastAsia"/>
          <w:sz w:val="24"/>
          <w:szCs w:val="24"/>
        </w:rPr>
        <w:t>号</w:t>
      </w:r>
      <w:r w:rsidRPr="000C0842">
        <w:rPr>
          <w:rFonts w:eastAsia="SimSun"/>
          <w:sz w:val="24"/>
          <w:szCs w:val="24"/>
        </w:rPr>
        <w:t>决定，</w:t>
      </w:r>
      <w:r w:rsidRPr="000C0842">
        <w:rPr>
          <w:rFonts w:eastAsia="KaiTi"/>
          <w:sz w:val="24"/>
          <w:szCs w:val="24"/>
        </w:rPr>
        <w:t>认识到</w:t>
      </w:r>
      <w:r w:rsidRPr="000C0842">
        <w:rPr>
          <w:rFonts w:eastAsia="SimSun"/>
          <w:sz w:val="24"/>
          <w:szCs w:val="24"/>
        </w:rPr>
        <w:t>迫切需要执行《昆明</w:t>
      </w:r>
      <w:r w:rsidRPr="000C0842">
        <w:rPr>
          <w:rFonts w:eastAsia="SimSun"/>
          <w:sz w:val="24"/>
          <w:szCs w:val="24"/>
        </w:rPr>
        <w:t>-</w:t>
      </w:r>
      <w:r w:rsidRPr="000C0842">
        <w:rPr>
          <w:rFonts w:eastAsia="SimSun"/>
          <w:sz w:val="24"/>
          <w:szCs w:val="24"/>
        </w:rPr>
        <w:t>蒙特利尔全球生物多样性框架》</w:t>
      </w:r>
      <w:r w:rsidRPr="000C0842">
        <w:rPr>
          <w:rFonts w:eastAsia="SimSun"/>
          <w:sz w:val="24"/>
          <w:szCs w:val="24"/>
          <w:vertAlign w:val="superscript"/>
          <w:lang w:val="en-GB"/>
        </w:rPr>
        <w:footnoteReference w:id="185"/>
      </w:r>
      <w:r w:rsidRPr="000C0842">
        <w:rPr>
          <w:rFonts w:eastAsia="SimSun"/>
          <w:sz w:val="24"/>
          <w:szCs w:val="24"/>
        </w:rPr>
        <w:t>，特别是其行动目标</w:t>
      </w:r>
      <w:r w:rsidRPr="000C0842">
        <w:rPr>
          <w:rFonts w:eastAsia="SimSun"/>
          <w:sz w:val="24"/>
          <w:szCs w:val="24"/>
        </w:rPr>
        <w:t>6</w:t>
      </w:r>
      <w:r w:rsidRPr="000C0842">
        <w:rPr>
          <w:rFonts w:eastAsia="SimSun"/>
          <w:sz w:val="24"/>
          <w:szCs w:val="24"/>
        </w:rPr>
        <w:t>，</w:t>
      </w:r>
    </w:p>
    <w:p w14:paraId="22618140" w14:textId="77777777" w:rsidR="005E77FA" w:rsidRPr="000C0842" w:rsidRDefault="005E77FA" w:rsidP="005E77FA">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KaiTi" w:hint="eastAsia"/>
          <w:sz w:val="24"/>
          <w:szCs w:val="24"/>
        </w:rPr>
        <w:t>1.</w:t>
      </w:r>
      <w:r w:rsidRPr="000C0842">
        <w:rPr>
          <w:rFonts w:eastAsia="KaiTi"/>
          <w:sz w:val="24"/>
          <w:szCs w:val="24"/>
        </w:rPr>
        <w:tab/>
      </w:r>
      <w:r w:rsidRPr="000C0842">
        <w:rPr>
          <w:rFonts w:eastAsia="KaiTi" w:hint="eastAsia"/>
          <w:sz w:val="24"/>
          <w:szCs w:val="24"/>
        </w:rPr>
        <w:t>欢迎</w:t>
      </w:r>
      <w:r w:rsidRPr="000C0842">
        <w:rPr>
          <w:rFonts w:eastAsia="KaiTi"/>
          <w:sz w:val="24"/>
          <w:szCs w:val="24"/>
          <w:vertAlign w:val="superscript"/>
        </w:rPr>
        <w:footnoteReference w:id="186"/>
      </w:r>
      <w:r w:rsidRPr="000C0842">
        <w:rPr>
          <w:rFonts w:eastAsia="SimSun"/>
          <w:sz w:val="24"/>
          <w:szCs w:val="24"/>
        </w:rPr>
        <w:t>生物多样性和生态系统服务政府间科学与政策平台</w:t>
      </w:r>
      <w:r w:rsidRPr="000C0842">
        <w:rPr>
          <w:rFonts w:eastAsia="SimSun"/>
          <w:sz w:val="24"/>
          <w:szCs w:val="24"/>
          <w:lang w:val="en-CA"/>
        </w:rPr>
        <w:t>关于</w:t>
      </w:r>
      <w:r w:rsidRPr="000C0842">
        <w:rPr>
          <w:rFonts w:eastAsia="SimSun"/>
          <w:sz w:val="24"/>
          <w:szCs w:val="24"/>
        </w:rPr>
        <w:t>外来入侵物种及其控制的</w:t>
      </w:r>
      <w:r w:rsidRPr="000C0842">
        <w:rPr>
          <w:rFonts w:eastAsia="SimSun" w:hint="eastAsia"/>
          <w:sz w:val="24"/>
          <w:szCs w:val="24"/>
        </w:rPr>
        <w:t>专题</w:t>
      </w:r>
      <w:r w:rsidRPr="000C0842">
        <w:rPr>
          <w:rFonts w:eastAsia="SimSun"/>
          <w:sz w:val="24"/>
          <w:szCs w:val="24"/>
        </w:rPr>
        <w:t>评估报告，包括其决策者摘要</w:t>
      </w:r>
      <w:r w:rsidRPr="000C0842">
        <w:rPr>
          <w:rFonts w:eastAsia="SimSun" w:hint="eastAsia"/>
          <w:sz w:val="24"/>
          <w:szCs w:val="24"/>
        </w:rPr>
        <w:t>和</w:t>
      </w:r>
      <w:r w:rsidRPr="000C0842">
        <w:rPr>
          <w:rFonts w:eastAsia="SimSun"/>
          <w:sz w:val="24"/>
          <w:szCs w:val="24"/>
        </w:rPr>
        <w:t>关键信息，注意到该报告与在《生物多样性公约》</w:t>
      </w:r>
      <w:r w:rsidRPr="000C0842">
        <w:rPr>
          <w:rFonts w:eastAsia="SimSun"/>
          <w:sz w:val="24"/>
          <w:szCs w:val="24"/>
          <w:vertAlign w:val="superscript"/>
        </w:rPr>
        <w:footnoteReference w:id="187"/>
      </w:r>
      <w:r w:rsidRPr="000C0842">
        <w:rPr>
          <w:rFonts w:eastAsia="SimSun"/>
          <w:sz w:val="24"/>
          <w:szCs w:val="24"/>
        </w:rPr>
        <w:t>下开展的工作以及与执行《昆明</w:t>
      </w:r>
      <w:r w:rsidRPr="000C0842">
        <w:rPr>
          <w:rFonts w:eastAsia="SimSun"/>
          <w:sz w:val="24"/>
          <w:szCs w:val="24"/>
        </w:rPr>
        <w:t>-</w:t>
      </w:r>
      <w:r w:rsidRPr="000C0842">
        <w:rPr>
          <w:rFonts w:eastAsia="SimSun"/>
          <w:sz w:val="24"/>
          <w:szCs w:val="24"/>
        </w:rPr>
        <w:t>蒙特利尔全球生物多样性框架》的相关性；</w:t>
      </w:r>
    </w:p>
    <w:p w14:paraId="11A83BF6"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2.</w:t>
      </w:r>
      <w:r w:rsidRPr="000C0842">
        <w:rPr>
          <w:rFonts w:eastAsia="KaiTi"/>
          <w:sz w:val="24"/>
          <w:szCs w:val="24"/>
        </w:rPr>
        <w:tab/>
      </w:r>
      <w:r w:rsidRPr="000C0842">
        <w:rPr>
          <w:rFonts w:eastAsia="KaiTi"/>
          <w:sz w:val="24"/>
          <w:szCs w:val="24"/>
        </w:rPr>
        <w:t>鼓励</w:t>
      </w:r>
      <w:r w:rsidRPr="000C0842">
        <w:rPr>
          <w:rFonts w:eastAsia="SimSun"/>
          <w:sz w:val="24"/>
          <w:szCs w:val="24"/>
          <w:lang w:val="en-CA"/>
        </w:rPr>
        <w:t>缔约方、其他国家政府、相关组织、土著人民和地方社区以及相关利益攸关方在执行《公约》和《</w:t>
      </w:r>
      <w:r w:rsidRPr="000C0842">
        <w:rPr>
          <w:rFonts w:eastAsia="SimSun" w:hint="eastAsia"/>
          <w:sz w:val="24"/>
          <w:szCs w:val="24"/>
          <w:lang w:val="en-CA"/>
        </w:rPr>
        <w:t>昆蒙</w:t>
      </w:r>
      <w:r w:rsidRPr="000C0842">
        <w:rPr>
          <w:rFonts w:eastAsia="SimSun"/>
          <w:sz w:val="24"/>
          <w:szCs w:val="24"/>
          <w:lang w:val="en-CA"/>
        </w:rPr>
        <w:t>框架》时，包括在更新、修订和执行国家生物多样性战略和行动计划以及编写第七次及以后的国家报告时，酌情利用评估中所载的信息，并敦促发达国家缔约方、其他有能力的缔约方和相关组织在这方面向发展中国家提供支持，包括提供能力建设、资金和技术转让；</w:t>
      </w:r>
    </w:p>
    <w:p w14:paraId="7E111053"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lang w:val="en-CA"/>
        </w:rPr>
        <w:t>3.</w:t>
      </w:r>
      <w:r w:rsidRPr="000C0842">
        <w:rPr>
          <w:rFonts w:eastAsia="KaiTi"/>
          <w:sz w:val="24"/>
          <w:szCs w:val="24"/>
          <w:lang w:val="en-CA"/>
        </w:rPr>
        <w:tab/>
      </w:r>
      <w:r w:rsidRPr="000C0842">
        <w:rPr>
          <w:rFonts w:eastAsia="KaiTi"/>
          <w:sz w:val="24"/>
          <w:szCs w:val="24"/>
          <w:lang w:val="en-CA"/>
        </w:rPr>
        <w:t>认识到</w:t>
      </w:r>
      <w:r w:rsidRPr="000C0842">
        <w:rPr>
          <w:rFonts w:eastAsia="SimSun"/>
          <w:sz w:val="24"/>
          <w:szCs w:val="24"/>
          <w:lang w:val="en-CA"/>
        </w:rPr>
        <w:t>增加信息和执行手段的可得性和可及性并解决生物入侵方面的重大知识差距，特别是在发展中国家这样做，将带来更加有力和有效的政策工具和管理行动，而且特别需要更多的努力和合作</w:t>
      </w:r>
      <w:r w:rsidRPr="000C0842">
        <w:rPr>
          <w:rFonts w:eastAsia="SimSun" w:hint="eastAsia"/>
          <w:sz w:val="24"/>
          <w:szCs w:val="24"/>
          <w:lang w:val="en-CA"/>
        </w:rPr>
        <w:t>，以</w:t>
      </w:r>
      <w:r w:rsidRPr="000C0842">
        <w:rPr>
          <w:rFonts w:eastAsia="SimSun"/>
          <w:sz w:val="24"/>
          <w:szCs w:val="24"/>
          <w:lang w:val="en-CA"/>
        </w:rPr>
        <w:t>改善非洲、亚洲</w:t>
      </w:r>
      <w:r w:rsidRPr="000C0842">
        <w:rPr>
          <w:rFonts w:eastAsia="SimSun" w:hint="eastAsia"/>
          <w:sz w:val="24"/>
          <w:szCs w:val="24"/>
          <w:lang w:val="en-CA"/>
        </w:rPr>
        <w:t>、</w:t>
      </w:r>
      <w:r w:rsidRPr="000C0842">
        <w:rPr>
          <w:rFonts w:eastAsia="SimSun"/>
          <w:sz w:val="24"/>
          <w:szCs w:val="24"/>
          <w:lang w:val="en-CA"/>
        </w:rPr>
        <w:t>拉丁美洲以及加勒比</w:t>
      </w:r>
      <w:r w:rsidRPr="000C0842">
        <w:rPr>
          <w:rFonts w:eastAsia="SimSun" w:hint="eastAsia"/>
          <w:sz w:val="24"/>
          <w:szCs w:val="24"/>
        </w:rPr>
        <w:t>和</w:t>
      </w:r>
      <w:r w:rsidRPr="000C0842">
        <w:rPr>
          <w:rFonts w:eastAsia="SimSun"/>
          <w:sz w:val="24"/>
          <w:szCs w:val="24"/>
        </w:rPr>
        <w:t>太平洋区域</w:t>
      </w:r>
      <w:r w:rsidRPr="000C0842">
        <w:rPr>
          <w:rFonts w:eastAsia="SimSun"/>
          <w:sz w:val="24"/>
          <w:szCs w:val="24"/>
          <w:lang w:val="en-CA"/>
        </w:rPr>
        <w:t>的数据收集工作；</w:t>
      </w:r>
    </w:p>
    <w:p w14:paraId="6FAC36B0"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lang w:val="en-CA"/>
        </w:rPr>
        <w:t>4.</w:t>
      </w:r>
      <w:r w:rsidRPr="000C0842">
        <w:rPr>
          <w:rFonts w:eastAsia="KaiTi"/>
          <w:sz w:val="24"/>
          <w:szCs w:val="24"/>
          <w:lang w:val="en-CA"/>
        </w:rPr>
        <w:tab/>
      </w:r>
      <w:r w:rsidRPr="000C0842">
        <w:rPr>
          <w:rFonts w:eastAsia="KaiTi"/>
          <w:sz w:val="24"/>
          <w:szCs w:val="24"/>
          <w:lang w:val="en-CA"/>
        </w:rPr>
        <w:t>着重指出</w:t>
      </w:r>
      <w:r w:rsidRPr="000C0842">
        <w:rPr>
          <w:rFonts w:eastAsia="SimSun"/>
          <w:sz w:val="24"/>
          <w:szCs w:val="24"/>
          <w:lang w:val="en-CA"/>
        </w:rPr>
        <w:t>根据《公约》第</w:t>
      </w:r>
      <w:r w:rsidRPr="000C0842">
        <w:rPr>
          <w:rFonts w:eastAsia="SimSun"/>
          <w:sz w:val="24"/>
          <w:szCs w:val="24"/>
          <w:lang w:val="en-CA"/>
        </w:rPr>
        <w:t>20</w:t>
      </w:r>
      <w:r w:rsidRPr="000C0842">
        <w:rPr>
          <w:rFonts w:eastAsia="SimSun"/>
          <w:sz w:val="24"/>
          <w:szCs w:val="24"/>
          <w:lang w:val="en-CA"/>
        </w:rPr>
        <w:t>条获得充分和持续的财政资源和其他资源，包括支持发展中国家的国际资金，是采取行动对生物入侵进行长期管理，包括消除、控制和持续监测外来入侵物种及其引进渠道的基础，并提高这些行动的</w:t>
      </w:r>
      <w:r w:rsidRPr="000C0842">
        <w:rPr>
          <w:rFonts w:eastAsia="SimSun" w:hint="eastAsia"/>
          <w:sz w:val="24"/>
          <w:szCs w:val="24"/>
          <w:lang w:val="en-CA"/>
        </w:rPr>
        <w:t>成效</w:t>
      </w:r>
      <w:r w:rsidRPr="000C0842">
        <w:rPr>
          <w:rFonts w:eastAsia="SimSun"/>
          <w:sz w:val="24"/>
          <w:szCs w:val="24"/>
          <w:lang w:val="en-CA"/>
        </w:rPr>
        <w:t>；</w:t>
      </w:r>
    </w:p>
    <w:p w14:paraId="3CBAE590"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5.</w:t>
      </w:r>
      <w:r w:rsidRPr="000C0842">
        <w:rPr>
          <w:rFonts w:eastAsia="KaiTi"/>
          <w:sz w:val="24"/>
          <w:szCs w:val="24"/>
        </w:rPr>
        <w:tab/>
      </w:r>
      <w:r w:rsidRPr="000C0842">
        <w:rPr>
          <w:rFonts w:eastAsia="KaiTi"/>
          <w:sz w:val="24"/>
          <w:szCs w:val="24"/>
        </w:rPr>
        <w:t>赞赏地注意到</w:t>
      </w:r>
      <w:r w:rsidRPr="000C0842">
        <w:rPr>
          <w:rFonts w:eastAsia="SimSun"/>
          <w:sz w:val="24"/>
          <w:szCs w:val="24"/>
          <w:lang w:val="en-CA"/>
        </w:rPr>
        <w:t>全球生物多样性信息机构为更好地获取关于外来入侵物种的数据和信息所进行的努力；</w:t>
      </w:r>
    </w:p>
    <w:p w14:paraId="6905A73E"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6.</w:t>
      </w:r>
      <w:r w:rsidRPr="000C0842">
        <w:rPr>
          <w:rFonts w:eastAsia="KaiTi"/>
          <w:sz w:val="24"/>
          <w:szCs w:val="24"/>
        </w:rPr>
        <w:tab/>
      </w:r>
      <w:r w:rsidRPr="000C0842">
        <w:rPr>
          <w:rFonts w:eastAsia="KaiTi"/>
          <w:sz w:val="24"/>
          <w:szCs w:val="24"/>
        </w:rPr>
        <w:t>认可</w:t>
      </w:r>
      <w:r w:rsidRPr="000C0842">
        <w:rPr>
          <w:rFonts w:eastAsia="SimSun"/>
          <w:sz w:val="24"/>
          <w:szCs w:val="24"/>
        </w:rPr>
        <w:t>为支持《</w:t>
      </w:r>
      <w:r w:rsidRPr="000C0842">
        <w:rPr>
          <w:rFonts w:eastAsia="SimSun" w:hint="eastAsia"/>
          <w:sz w:val="24"/>
          <w:szCs w:val="24"/>
        </w:rPr>
        <w:t>昆蒙</w:t>
      </w:r>
      <w:r w:rsidRPr="000C0842">
        <w:rPr>
          <w:rFonts w:eastAsia="SimSun"/>
          <w:sz w:val="24"/>
          <w:szCs w:val="24"/>
        </w:rPr>
        <w:t>框架》的执行在外来入侵物种问题特设技术专家组工作的基础上制定并经同行评议进一步补充的以下自愿指导要点：</w:t>
      </w:r>
    </w:p>
    <w:p w14:paraId="18EDDEE0"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附件一所载最适用于外来入侵物种管理的成本效益、成本效果和多标准分析方法；</w:t>
      </w:r>
    </w:p>
    <w:p w14:paraId="788BF9AF"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附件二所载查明和最大限度减少与活生物体跨境电子商务相关的额外风险及其影响；</w:t>
      </w:r>
    </w:p>
    <w:p w14:paraId="2CF6A543"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附件三所载与预防气候变化和其他导致生物多样性丧失的驱动因素的潜在风险有关的外来入侵物种管理；</w:t>
      </w:r>
    </w:p>
    <w:p w14:paraId="0D2ECA65"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附件四所载引进外来入侵物种对社会经济和文化价值的潜在后果的风险分析；</w:t>
      </w:r>
    </w:p>
    <w:p w14:paraId="57172A01"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附件五所载数据库与支持外来入侵物种管理的相关性；</w:t>
      </w:r>
    </w:p>
    <w:p w14:paraId="2EB353BD" w14:textId="77777777" w:rsidR="005E77FA" w:rsidRPr="000C0842" w:rsidRDefault="005E77FA">
      <w:pPr>
        <w:numPr>
          <w:ilvl w:val="1"/>
          <w:numId w:val="59"/>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附件六所载外来入侵物种管理的其他建议和技术指导；</w:t>
      </w:r>
    </w:p>
    <w:p w14:paraId="30A0384D"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7.</w:t>
      </w:r>
      <w:r w:rsidRPr="000C0842">
        <w:rPr>
          <w:rFonts w:eastAsia="KaiTi"/>
          <w:sz w:val="24"/>
          <w:szCs w:val="24"/>
        </w:rPr>
        <w:tab/>
      </w:r>
      <w:r w:rsidRPr="000C0842">
        <w:rPr>
          <w:rFonts w:eastAsia="KaiTi"/>
          <w:sz w:val="24"/>
          <w:szCs w:val="24"/>
        </w:rPr>
        <w:t>敦促</w:t>
      </w:r>
      <w:r w:rsidRPr="000C0842">
        <w:rPr>
          <w:rFonts w:eastAsia="SimSun"/>
          <w:sz w:val="24"/>
          <w:szCs w:val="24"/>
          <w:lang w:val="en-CA"/>
        </w:rPr>
        <w:t>缔约方</w:t>
      </w:r>
      <w:r w:rsidRPr="000C0842">
        <w:rPr>
          <w:rFonts w:eastAsia="SimSun"/>
          <w:sz w:val="24"/>
          <w:szCs w:val="24"/>
          <w:lang w:val="zh-CN"/>
        </w:rPr>
        <w:t>在力所能及范围内</w:t>
      </w:r>
      <w:r w:rsidRPr="000C0842">
        <w:rPr>
          <w:rFonts w:eastAsia="SimSun" w:hint="eastAsia"/>
          <w:sz w:val="24"/>
          <w:szCs w:val="24"/>
          <w:lang w:val="zh-CN"/>
        </w:rPr>
        <w:t>并根据其优先事项，</w:t>
      </w:r>
      <w:r w:rsidRPr="000C0842">
        <w:rPr>
          <w:rFonts w:eastAsia="SimSun"/>
          <w:sz w:val="24"/>
          <w:szCs w:val="24"/>
          <w:lang w:val="en-CA"/>
        </w:rPr>
        <w:t>利用第</w:t>
      </w:r>
      <w:r w:rsidRPr="000C0842">
        <w:rPr>
          <w:rFonts w:eastAsia="SimSun"/>
          <w:sz w:val="24"/>
          <w:szCs w:val="24"/>
          <w:lang w:val="en-CA"/>
        </w:rPr>
        <w:t>6</w:t>
      </w:r>
      <w:r w:rsidRPr="000C0842">
        <w:rPr>
          <w:rFonts w:eastAsia="SimSun"/>
          <w:sz w:val="24"/>
          <w:szCs w:val="24"/>
          <w:lang w:val="en-CA"/>
        </w:rPr>
        <w:t>段认可的自愿指导要点，更新和执行国家生物多样性战略和行动计划，指导管理外来入侵物种的国家和</w:t>
      </w:r>
      <w:r w:rsidRPr="000C0842">
        <w:rPr>
          <w:rFonts w:eastAsia="SimSun" w:hint="eastAsia"/>
          <w:sz w:val="24"/>
          <w:szCs w:val="24"/>
          <w:lang w:val="en-CA"/>
        </w:rPr>
        <w:t>次国家</w:t>
      </w:r>
      <w:r w:rsidRPr="000C0842">
        <w:rPr>
          <w:rFonts w:eastAsia="SimSun"/>
          <w:sz w:val="24"/>
          <w:szCs w:val="24"/>
          <w:lang w:val="en-CA"/>
        </w:rPr>
        <w:t>行动；</w:t>
      </w:r>
    </w:p>
    <w:p w14:paraId="0D9CB61F"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KaiTi"/>
          <w:sz w:val="24"/>
          <w:szCs w:val="24"/>
          <w:lang w:val="zh-CN"/>
        </w:rPr>
      </w:pPr>
      <w:r w:rsidRPr="000C0842">
        <w:rPr>
          <w:rFonts w:eastAsia="KaiTi" w:hint="eastAsia"/>
          <w:sz w:val="24"/>
          <w:szCs w:val="24"/>
          <w:lang w:val="zh-CN"/>
        </w:rPr>
        <w:t>8.</w:t>
      </w:r>
      <w:r w:rsidRPr="000C0842">
        <w:rPr>
          <w:rFonts w:eastAsia="KaiTi"/>
          <w:sz w:val="24"/>
          <w:szCs w:val="24"/>
          <w:lang w:val="zh-CN"/>
        </w:rPr>
        <w:tab/>
      </w:r>
      <w:r w:rsidRPr="000C0842">
        <w:rPr>
          <w:rFonts w:eastAsia="KaiTi"/>
          <w:sz w:val="24"/>
          <w:szCs w:val="24"/>
        </w:rPr>
        <w:t>赞赏地注意到</w:t>
      </w:r>
      <w:r w:rsidRPr="000C0842">
        <w:rPr>
          <w:rFonts w:ascii="SimSun" w:eastAsia="SimSun" w:hAnsi="SimSun" w:cs="SimSun" w:hint="eastAsia"/>
          <w:sz w:val="24"/>
          <w:szCs w:val="24"/>
          <w:lang w:val="en-GB"/>
        </w:rPr>
        <w:t>公约秘书处与</w:t>
      </w:r>
      <w:r w:rsidRPr="000C0842">
        <w:rPr>
          <w:rFonts w:ascii="SimSun" w:eastAsia="SimSun" w:hAnsi="SimSun" w:cs="SimSun"/>
          <w:sz w:val="24"/>
          <w:szCs w:val="24"/>
          <w:lang w:val="en-GB"/>
        </w:rPr>
        <w:t>国际自然保护联盟</w:t>
      </w:r>
      <w:r w:rsidRPr="000C0842">
        <w:rPr>
          <w:rFonts w:ascii="SimSun" w:eastAsia="SimSun" w:hAnsi="SimSun" w:cs="SimSun" w:hint="eastAsia"/>
          <w:sz w:val="24"/>
          <w:szCs w:val="24"/>
          <w:lang w:val="en-GB"/>
        </w:rPr>
        <w:t>和</w:t>
      </w:r>
      <w:r w:rsidRPr="000C0842">
        <w:rPr>
          <w:rFonts w:ascii="SimSun" w:eastAsia="SimSun" w:hAnsi="SimSun" w:cs="SimSun"/>
          <w:sz w:val="24"/>
          <w:szCs w:val="24"/>
        </w:rPr>
        <w:t>机构间外来入侵物种问题联络小组</w:t>
      </w:r>
      <w:r w:rsidRPr="000C0842">
        <w:rPr>
          <w:rFonts w:ascii="SimSun" w:eastAsia="SimSun" w:hAnsi="SimSun" w:cs="SimSun" w:hint="eastAsia"/>
          <w:sz w:val="24"/>
          <w:szCs w:val="24"/>
          <w:lang w:val="en-GB"/>
        </w:rPr>
        <w:t>协作，在更新外来入侵物种工具包方面开展的工作；</w:t>
      </w:r>
    </w:p>
    <w:p w14:paraId="50037610" w14:textId="3C6FA910"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rPr>
          <w:rFonts w:eastAsia="SimSun"/>
          <w:sz w:val="24"/>
          <w:szCs w:val="24"/>
          <w:lang w:val="en-CA"/>
        </w:rPr>
      </w:pPr>
      <w:r w:rsidRPr="000C0842">
        <w:rPr>
          <w:rFonts w:eastAsia="KaiTi" w:hint="eastAsia"/>
          <w:sz w:val="24"/>
          <w:szCs w:val="24"/>
          <w:lang w:val="zh-CN"/>
        </w:rPr>
        <w:t xml:space="preserve">9. </w:t>
      </w:r>
      <w:r w:rsidR="00BD006D" w:rsidRPr="000C0842">
        <w:rPr>
          <w:rFonts w:eastAsia="KaiTi"/>
          <w:sz w:val="24"/>
          <w:szCs w:val="24"/>
          <w:lang w:val="zh-CN"/>
        </w:rPr>
        <w:tab/>
      </w:r>
      <w:r w:rsidRPr="000C0842">
        <w:rPr>
          <w:rFonts w:eastAsia="KaiTi"/>
          <w:sz w:val="24"/>
          <w:szCs w:val="24"/>
          <w:lang w:val="zh-CN"/>
        </w:rPr>
        <w:t>敦促</w:t>
      </w:r>
      <w:r w:rsidRPr="000C0842">
        <w:rPr>
          <w:rFonts w:eastAsia="SimSun"/>
          <w:sz w:val="24"/>
          <w:szCs w:val="24"/>
          <w:lang w:val="zh-CN"/>
        </w:rPr>
        <w:t>缔约方在力所能及范围内并邀请其他国家政府和相关国际组织酌情根据本国国情和优先事项，以符合相关国际义务的方式，根据对外来入侵物种及其控制的评估</w:t>
      </w:r>
      <w:r w:rsidRPr="000C0842">
        <w:rPr>
          <w:rFonts w:eastAsia="SimSun"/>
          <w:sz w:val="24"/>
          <w:szCs w:val="24"/>
          <w:lang w:val="en-CA"/>
        </w:rPr>
        <w:t>结果：</w:t>
      </w:r>
    </w:p>
    <w:p w14:paraId="2FD5237F"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利用评估提供的信息，包括外来入侵物种的现状和趋势、外来入侵物种引入和建立种群过程中的直接和间接驱动因素的作用</w:t>
      </w:r>
      <w:r w:rsidRPr="000C0842">
        <w:rPr>
          <w:rFonts w:eastAsia="SimSun" w:hint="eastAsia"/>
          <w:sz w:val="24"/>
          <w:szCs w:val="24"/>
        </w:rPr>
        <w:t>，</w:t>
      </w:r>
      <w:r w:rsidRPr="000C0842">
        <w:rPr>
          <w:rFonts w:eastAsia="SimSun"/>
          <w:sz w:val="24"/>
          <w:szCs w:val="24"/>
        </w:rPr>
        <w:t>以及用于落实《</w:t>
      </w:r>
      <w:r w:rsidRPr="000C0842">
        <w:rPr>
          <w:rFonts w:eastAsia="SimSun" w:hint="eastAsia"/>
          <w:sz w:val="24"/>
          <w:szCs w:val="24"/>
        </w:rPr>
        <w:t>昆蒙</w:t>
      </w:r>
      <w:r w:rsidRPr="000C0842">
        <w:rPr>
          <w:rFonts w:eastAsia="SimSun"/>
          <w:sz w:val="24"/>
          <w:szCs w:val="24"/>
        </w:rPr>
        <w:t>框架》行动目标</w:t>
      </w:r>
      <w:r w:rsidRPr="000C0842">
        <w:rPr>
          <w:rFonts w:eastAsia="SimSun"/>
          <w:sz w:val="24"/>
          <w:szCs w:val="24"/>
        </w:rPr>
        <w:t>6</w:t>
      </w:r>
      <w:r w:rsidRPr="000C0842">
        <w:rPr>
          <w:rFonts w:eastAsia="SimSun"/>
          <w:sz w:val="24"/>
          <w:szCs w:val="24"/>
        </w:rPr>
        <w:t>的各种有效管理方案，例如跨部门</w:t>
      </w:r>
      <w:r w:rsidRPr="000C0842">
        <w:rPr>
          <w:rFonts w:eastAsia="SimSun" w:hint="eastAsia"/>
          <w:sz w:val="24"/>
          <w:szCs w:val="24"/>
        </w:rPr>
        <w:t>协作</w:t>
      </w:r>
      <w:r w:rsidRPr="000C0842">
        <w:rPr>
          <w:rFonts w:eastAsia="SimSun"/>
          <w:sz w:val="24"/>
          <w:szCs w:val="24"/>
        </w:rPr>
        <w:t>等；</w:t>
      </w:r>
    </w:p>
    <w:p w14:paraId="1EBF9741" w14:textId="4A9053EE"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支持和</w:t>
      </w:r>
      <w:r w:rsidR="00FF7936" w:rsidRPr="000C0842">
        <w:rPr>
          <w:rFonts w:eastAsia="SimSun" w:hint="eastAsia"/>
          <w:sz w:val="24"/>
          <w:szCs w:val="24"/>
        </w:rPr>
        <w:t>（</w:t>
      </w:r>
      <w:r w:rsidRPr="000C0842">
        <w:rPr>
          <w:rFonts w:eastAsia="SimSun"/>
          <w:sz w:val="24"/>
          <w:szCs w:val="24"/>
        </w:rPr>
        <w:t>或</w:t>
      </w:r>
      <w:r w:rsidR="00FF7936" w:rsidRPr="000C0842">
        <w:rPr>
          <w:rFonts w:eastAsia="SimSun" w:hint="eastAsia"/>
          <w:sz w:val="24"/>
          <w:szCs w:val="24"/>
        </w:rPr>
        <w:t>）</w:t>
      </w:r>
      <w:r w:rsidRPr="000C0842">
        <w:rPr>
          <w:rFonts w:eastAsia="SimSun"/>
          <w:sz w:val="24"/>
          <w:szCs w:val="24"/>
        </w:rPr>
        <w:t>制定政策工具，寻求相关部门之间的协同作用，以管理外来入侵物种，并酌情考虑利用现有多部门方法实现必要的协调；</w:t>
      </w:r>
    </w:p>
    <w:p w14:paraId="371A6378"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以符合相关国际义务的方式，考虑到具体国情和国家法律，制定或加强现有的国家监管文书，</w:t>
      </w:r>
      <w:r w:rsidRPr="000C0842">
        <w:rPr>
          <w:rFonts w:eastAsia="SimSun"/>
          <w:sz w:val="24"/>
          <w:szCs w:val="24"/>
        </w:rPr>
        <w:t xml:space="preserve"> </w:t>
      </w:r>
      <w:r w:rsidRPr="000C0842">
        <w:rPr>
          <w:rFonts w:eastAsia="SimSun"/>
          <w:sz w:val="24"/>
          <w:szCs w:val="24"/>
        </w:rPr>
        <w:t>以减少外来入侵物种的运输和引入，在适当情况下可使用相关自愿指导意见和行为守则作为补充，包括对在线贸易和现有标准尚未涵盖的领域实行监管；</w:t>
      </w:r>
    </w:p>
    <w:p w14:paraId="0A66B7AE"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发展或加强及早发现新引进的外来物种</w:t>
      </w:r>
      <w:r w:rsidRPr="000C0842">
        <w:rPr>
          <w:rFonts w:eastAsia="SimSun" w:hint="eastAsia"/>
          <w:sz w:val="24"/>
          <w:szCs w:val="24"/>
        </w:rPr>
        <w:t>并</w:t>
      </w:r>
      <w:r w:rsidRPr="000C0842">
        <w:rPr>
          <w:rFonts w:eastAsia="SimSun"/>
          <w:sz w:val="24"/>
          <w:szCs w:val="24"/>
        </w:rPr>
        <w:t>对其做出快速反应的能力，以防止其</w:t>
      </w:r>
      <w:r w:rsidRPr="000C0842">
        <w:rPr>
          <w:rFonts w:eastAsia="SimSun" w:hint="eastAsia"/>
          <w:sz w:val="24"/>
          <w:szCs w:val="24"/>
        </w:rPr>
        <w:t>建群</w:t>
      </w:r>
      <w:r w:rsidRPr="000C0842">
        <w:rPr>
          <w:rFonts w:eastAsia="SimSun"/>
          <w:sz w:val="24"/>
          <w:szCs w:val="24"/>
        </w:rPr>
        <w:t>；</w:t>
      </w:r>
    </w:p>
    <w:p w14:paraId="21A153D2"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除其他外，通过促进外来入侵物种管理相关领域的进一步科学和社会经济研究以及支持能力建设、技术转让以及技术和科学合作的办法，弥补评估中发现的知识和数据空白；</w:t>
      </w:r>
    </w:p>
    <w:p w14:paraId="45196F50"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通过提供财政资源等方式，支持开放和可互操作的信息平台系统、基础设施和数据共享的开发、更新和长期运行，支持外来入侵物种的管理；</w:t>
      </w:r>
    </w:p>
    <w:p w14:paraId="7BD02999"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让妇女、青年、土著人民和地方社区、</w:t>
      </w:r>
      <w:r w:rsidRPr="000C0842">
        <w:rPr>
          <w:rFonts w:eastAsia="SimSun" w:hint="eastAsia"/>
          <w:sz w:val="24"/>
          <w:szCs w:val="24"/>
        </w:rPr>
        <w:t>学术界、</w:t>
      </w:r>
      <w:r w:rsidRPr="000C0842">
        <w:rPr>
          <w:rFonts w:eastAsia="SimSun"/>
          <w:sz w:val="24"/>
          <w:szCs w:val="24"/>
        </w:rPr>
        <w:t>科学和技术团体等广泛利益攸关方参与外来入侵物种的管理；</w:t>
      </w:r>
    </w:p>
    <w:p w14:paraId="7BD8D51B"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提高关于外来入侵物种及其管理的公众意识；</w:t>
      </w:r>
    </w:p>
    <w:p w14:paraId="487456D5"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寻找机会加强国家之间以及国际和区域机制之间和跨部门的协调与</w:t>
      </w:r>
      <w:r w:rsidRPr="000C0842">
        <w:rPr>
          <w:rFonts w:eastAsia="SimSun" w:hint="eastAsia"/>
          <w:sz w:val="24"/>
          <w:szCs w:val="24"/>
        </w:rPr>
        <w:t>协作</w:t>
      </w:r>
      <w:r w:rsidRPr="000C0842">
        <w:rPr>
          <w:rFonts w:eastAsia="SimSun"/>
          <w:sz w:val="24"/>
          <w:szCs w:val="24"/>
        </w:rPr>
        <w:t>，支持实施</w:t>
      </w:r>
      <w:r w:rsidRPr="000C0842">
        <w:rPr>
          <w:rFonts w:eastAsia="SimSun"/>
          <w:sz w:val="24"/>
          <w:szCs w:val="24"/>
        </w:rPr>
        <w:t>“</w:t>
      </w:r>
      <w:r w:rsidRPr="000C0842">
        <w:rPr>
          <w:rFonts w:eastAsia="SimSun"/>
          <w:sz w:val="24"/>
          <w:szCs w:val="24"/>
        </w:rPr>
        <w:t>同一健康</w:t>
      </w:r>
      <w:r w:rsidRPr="000C0842">
        <w:rPr>
          <w:rFonts w:eastAsia="SimSun"/>
          <w:sz w:val="24"/>
          <w:szCs w:val="24"/>
        </w:rPr>
        <w:t>”</w:t>
      </w:r>
      <w:r w:rsidRPr="000C0842">
        <w:rPr>
          <w:rFonts w:eastAsia="SimSun"/>
          <w:sz w:val="24"/>
          <w:szCs w:val="24"/>
        </w:rPr>
        <w:t>和其他整体方法，确保采取持续的战略行动管理外来入侵物种；</w:t>
      </w:r>
    </w:p>
    <w:p w14:paraId="3234041E" w14:textId="77777777" w:rsidR="005E77FA" w:rsidRPr="000C0842" w:rsidRDefault="005E77FA">
      <w:pPr>
        <w:numPr>
          <w:ilvl w:val="0"/>
          <w:numId w:val="60"/>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开展知识共享和能力建设活动，支持缔约方，特别是发展中国家缔约方实施</w:t>
      </w:r>
      <w:r w:rsidRPr="000C0842">
        <w:rPr>
          <w:rFonts w:eastAsia="SimSun" w:hint="eastAsia"/>
          <w:sz w:val="24"/>
          <w:szCs w:val="24"/>
        </w:rPr>
        <w:t>《昆蒙框架》</w:t>
      </w:r>
      <w:r w:rsidRPr="000C0842">
        <w:rPr>
          <w:rFonts w:eastAsia="SimSun"/>
          <w:sz w:val="24"/>
          <w:szCs w:val="24"/>
        </w:rPr>
        <w:t>行动目标</w:t>
      </w:r>
      <w:r w:rsidRPr="000C0842">
        <w:rPr>
          <w:rFonts w:eastAsia="SimSun"/>
          <w:sz w:val="24"/>
          <w:szCs w:val="24"/>
        </w:rPr>
        <w:t>6</w:t>
      </w:r>
      <w:r w:rsidRPr="000C0842">
        <w:rPr>
          <w:rFonts w:eastAsia="SimSun"/>
          <w:sz w:val="24"/>
          <w:szCs w:val="24"/>
        </w:rPr>
        <w:t>，确保土著人民和地方社区、妇女和青年参加这些活动；</w:t>
      </w:r>
    </w:p>
    <w:p w14:paraId="108ECB78" w14:textId="77777777" w:rsidR="005E77FA" w:rsidRPr="000C0842" w:rsidRDefault="005E77FA" w:rsidP="005E77FA">
      <w:pPr>
        <w:tabs>
          <w:tab w:val="clear" w:pos="567"/>
          <w:tab w:val="clear" w:pos="1134"/>
          <w:tab w:val="clear" w:pos="1701"/>
          <w:tab w:val="clear" w:pos="2268"/>
        </w:tabs>
        <w:snapToGrid w:val="0"/>
        <w:spacing w:before="120" w:after="120" w:line="240" w:lineRule="atLeast"/>
        <w:ind w:left="490" w:firstLine="490"/>
        <w:jc w:val="left"/>
        <w:rPr>
          <w:rFonts w:eastAsia="SimSun"/>
          <w:sz w:val="24"/>
          <w:szCs w:val="24"/>
          <w:lang w:val="en-CA"/>
        </w:rPr>
      </w:pPr>
      <w:r w:rsidRPr="000C0842">
        <w:rPr>
          <w:rFonts w:eastAsia="KaiTi" w:hint="eastAsia"/>
          <w:sz w:val="24"/>
          <w:szCs w:val="24"/>
          <w:lang w:val="zh-CN"/>
        </w:rPr>
        <w:t>10.</w:t>
      </w:r>
      <w:r w:rsidRPr="000C0842">
        <w:rPr>
          <w:rFonts w:eastAsia="KaiTi"/>
          <w:sz w:val="24"/>
          <w:szCs w:val="24"/>
          <w:lang w:val="zh-CN"/>
        </w:rPr>
        <w:tab/>
      </w:r>
      <w:r w:rsidRPr="000C0842">
        <w:rPr>
          <w:rFonts w:eastAsia="KaiTi"/>
          <w:sz w:val="24"/>
          <w:szCs w:val="24"/>
          <w:lang w:val="zh-CN"/>
        </w:rPr>
        <w:t>请</w:t>
      </w:r>
      <w:r w:rsidRPr="000C0842">
        <w:rPr>
          <w:rFonts w:eastAsia="SimSun"/>
          <w:sz w:val="24"/>
          <w:szCs w:val="24"/>
          <w:lang w:val="zh-CN"/>
        </w:rPr>
        <w:t>执行秘书在资源允许的情况下开展以下工作</w:t>
      </w:r>
      <w:r w:rsidRPr="000C0842">
        <w:rPr>
          <w:rFonts w:eastAsia="SimSun"/>
          <w:sz w:val="24"/>
          <w:szCs w:val="24"/>
          <w:lang w:val="en-CA"/>
        </w:rPr>
        <w:t>：</w:t>
      </w:r>
    </w:p>
    <w:p w14:paraId="51206288" w14:textId="77777777" w:rsidR="005E77FA" w:rsidRPr="000C0842" w:rsidRDefault="005E77FA">
      <w:pPr>
        <w:numPr>
          <w:ilvl w:val="0"/>
          <w:numId w:val="61"/>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lang w:val="en-GB"/>
        </w:rPr>
      </w:pPr>
      <w:r w:rsidRPr="000C0842">
        <w:rPr>
          <w:rFonts w:eastAsia="SimSun"/>
          <w:sz w:val="24"/>
          <w:szCs w:val="24"/>
        </w:rPr>
        <w:t>通过机构间外来入侵物种问题联络小组进一步加强相关组织之间的</w:t>
      </w:r>
      <w:r w:rsidRPr="000C0842">
        <w:rPr>
          <w:rFonts w:eastAsia="SimSun" w:hint="eastAsia"/>
          <w:sz w:val="24"/>
          <w:szCs w:val="24"/>
        </w:rPr>
        <w:t>协作</w:t>
      </w:r>
      <w:r w:rsidRPr="000C0842">
        <w:rPr>
          <w:rFonts w:eastAsia="SimSun"/>
          <w:sz w:val="24"/>
          <w:szCs w:val="24"/>
          <w:lang w:val="en-GB"/>
        </w:rPr>
        <w:t>，</w:t>
      </w:r>
      <w:r w:rsidRPr="000C0842">
        <w:rPr>
          <w:rFonts w:eastAsia="SimSun"/>
          <w:sz w:val="24"/>
          <w:szCs w:val="24"/>
          <w:lang w:val="zh-CN"/>
        </w:rPr>
        <w:t>以期根据各自的任务规定通过以下方式支持落实</w:t>
      </w:r>
      <w:r w:rsidRPr="000C0842">
        <w:rPr>
          <w:rFonts w:eastAsia="SimSun" w:hint="eastAsia"/>
          <w:sz w:val="24"/>
          <w:szCs w:val="24"/>
        </w:rPr>
        <w:t>《昆蒙框架》</w:t>
      </w:r>
      <w:r w:rsidRPr="000C0842">
        <w:rPr>
          <w:rFonts w:eastAsia="SimSun"/>
          <w:sz w:val="24"/>
          <w:szCs w:val="24"/>
          <w:lang w:val="zh-CN"/>
        </w:rPr>
        <w:t>行动目标</w:t>
      </w:r>
      <w:r w:rsidRPr="000C0842">
        <w:rPr>
          <w:rFonts w:eastAsia="SimSun"/>
          <w:sz w:val="24"/>
          <w:szCs w:val="24"/>
          <w:lang w:val="en-GB"/>
        </w:rPr>
        <w:t>6</w:t>
      </w:r>
      <w:r w:rsidRPr="000C0842">
        <w:rPr>
          <w:rFonts w:eastAsia="SimSun"/>
          <w:sz w:val="24"/>
          <w:szCs w:val="24"/>
          <w:lang w:val="en-GB"/>
        </w:rPr>
        <w:t>：</w:t>
      </w:r>
    </w:p>
    <w:p w14:paraId="6270CE20" w14:textId="77777777" w:rsidR="005E77FA" w:rsidRPr="000C0842" w:rsidRDefault="005E77FA">
      <w:pPr>
        <w:numPr>
          <w:ilvl w:val="0"/>
          <w:numId w:val="56"/>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继续评估缔约方特别是发展中国家落实</w:t>
      </w:r>
      <w:r w:rsidRPr="000C0842">
        <w:rPr>
          <w:rFonts w:eastAsia="SimSun" w:hint="eastAsia"/>
          <w:sz w:val="24"/>
          <w:szCs w:val="24"/>
        </w:rPr>
        <w:t>《昆蒙框架》</w:t>
      </w:r>
      <w:r w:rsidRPr="000C0842">
        <w:rPr>
          <w:rFonts w:eastAsia="SimSun"/>
          <w:sz w:val="24"/>
          <w:szCs w:val="24"/>
          <w:lang w:val="zh-CN"/>
        </w:rPr>
        <w:t>行动目标</w:t>
      </w:r>
      <w:r w:rsidRPr="000C0842">
        <w:rPr>
          <w:rFonts w:eastAsia="SimSun"/>
          <w:sz w:val="24"/>
          <w:szCs w:val="24"/>
          <w:lang w:val="en-GB"/>
        </w:rPr>
        <w:t>6</w:t>
      </w:r>
      <w:r w:rsidRPr="000C0842">
        <w:rPr>
          <w:rFonts w:eastAsia="SimSun"/>
          <w:sz w:val="24"/>
          <w:szCs w:val="24"/>
          <w:lang w:val="zh-CN"/>
        </w:rPr>
        <w:t>的现有能力以及科学、技术和工艺需求</w:t>
      </w:r>
      <w:r w:rsidRPr="000C0842">
        <w:rPr>
          <w:rFonts w:eastAsia="SimSun"/>
          <w:sz w:val="24"/>
          <w:szCs w:val="24"/>
          <w:lang w:val="en-GB"/>
        </w:rPr>
        <w:t>；</w:t>
      </w:r>
    </w:p>
    <w:p w14:paraId="1CA08FD9" w14:textId="77777777" w:rsidR="005E77FA" w:rsidRPr="000C0842" w:rsidRDefault="005E77FA">
      <w:pPr>
        <w:numPr>
          <w:ilvl w:val="0"/>
          <w:numId w:val="56"/>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分享小组成员汲取的经验教训</w:t>
      </w:r>
      <w:r w:rsidRPr="000C0842">
        <w:rPr>
          <w:rFonts w:eastAsia="SimSun"/>
          <w:sz w:val="24"/>
          <w:szCs w:val="24"/>
          <w:lang w:val="en-GB"/>
        </w:rPr>
        <w:t>，</w:t>
      </w:r>
      <w:r w:rsidRPr="000C0842">
        <w:rPr>
          <w:rFonts w:eastAsia="SimSun"/>
          <w:sz w:val="24"/>
          <w:szCs w:val="24"/>
          <w:lang w:val="zh-CN"/>
        </w:rPr>
        <w:t>这些经验教训可能有助于根据《公约》开展与外来入侵物种有关的工作</w:t>
      </w:r>
      <w:r w:rsidRPr="000C0842">
        <w:rPr>
          <w:rFonts w:eastAsia="SimSun"/>
          <w:sz w:val="24"/>
          <w:szCs w:val="24"/>
          <w:lang w:val="en-GB"/>
        </w:rPr>
        <w:t>；</w:t>
      </w:r>
    </w:p>
    <w:p w14:paraId="56BB32BA" w14:textId="77777777" w:rsidR="005E77FA" w:rsidRPr="000C0842" w:rsidRDefault="005E77FA">
      <w:pPr>
        <w:numPr>
          <w:ilvl w:val="0"/>
          <w:numId w:val="56"/>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根据需要制定能力建设活动和指导意见</w:t>
      </w:r>
      <w:r w:rsidRPr="000C0842">
        <w:rPr>
          <w:rFonts w:eastAsia="SimSun"/>
          <w:sz w:val="24"/>
          <w:szCs w:val="24"/>
          <w:lang w:val="en-GB"/>
        </w:rPr>
        <w:t>，</w:t>
      </w:r>
      <w:r w:rsidRPr="000C0842">
        <w:rPr>
          <w:rFonts w:eastAsia="SimSun"/>
          <w:sz w:val="24"/>
          <w:szCs w:val="24"/>
          <w:lang w:val="zh-CN"/>
        </w:rPr>
        <w:t>弥补上述需求评估查明的空白</w:t>
      </w:r>
      <w:r w:rsidRPr="000C0842">
        <w:rPr>
          <w:rFonts w:eastAsia="SimSun"/>
          <w:sz w:val="24"/>
          <w:szCs w:val="24"/>
          <w:lang w:val="en-GB"/>
        </w:rPr>
        <w:t>；</w:t>
      </w:r>
    </w:p>
    <w:p w14:paraId="6695DA91" w14:textId="77777777" w:rsidR="005E77FA" w:rsidRPr="000C0842" w:rsidRDefault="005E77FA">
      <w:pPr>
        <w:numPr>
          <w:ilvl w:val="0"/>
          <w:numId w:val="56"/>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促进国际</w:t>
      </w:r>
      <w:r w:rsidRPr="000C0842">
        <w:rPr>
          <w:rFonts w:eastAsia="SimSun" w:hint="eastAsia"/>
          <w:sz w:val="24"/>
          <w:szCs w:val="24"/>
        </w:rPr>
        <w:t>协作</w:t>
      </w:r>
      <w:r w:rsidRPr="000C0842">
        <w:rPr>
          <w:rFonts w:eastAsia="SimSun"/>
          <w:sz w:val="24"/>
          <w:szCs w:val="24"/>
          <w:lang w:val="en-GB"/>
        </w:rPr>
        <w:t>，</w:t>
      </w:r>
      <w:r w:rsidRPr="000C0842">
        <w:rPr>
          <w:rFonts w:eastAsia="SimSun"/>
          <w:sz w:val="24"/>
          <w:szCs w:val="24"/>
          <w:lang w:val="zh-CN"/>
        </w:rPr>
        <w:t>实现在土著人民和地方社区的参与下管理外来入侵物种</w:t>
      </w:r>
      <w:r w:rsidRPr="000C0842">
        <w:rPr>
          <w:rFonts w:eastAsia="SimSun"/>
          <w:sz w:val="24"/>
          <w:szCs w:val="24"/>
          <w:lang w:val="en-GB"/>
        </w:rPr>
        <w:t>；</w:t>
      </w:r>
    </w:p>
    <w:p w14:paraId="1DEED414" w14:textId="77777777" w:rsidR="005E77FA" w:rsidRPr="000C0842" w:rsidRDefault="005E77FA" w:rsidP="005E77FA">
      <w:p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w:t>
      </w:r>
      <w:r w:rsidRPr="000C0842">
        <w:rPr>
          <w:rFonts w:eastAsia="SimSun" w:hint="eastAsia"/>
          <w:sz w:val="24"/>
          <w:szCs w:val="24"/>
          <w:lang w:val="zh-CN"/>
        </w:rPr>
        <w:t>五</w:t>
      </w:r>
      <w:r w:rsidRPr="000C0842">
        <w:rPr>
          <w:rFonts w:eastAsia="SimSun"/>
          <w:sz w:val="24"/>
          <w:szCs w:val="24"/>
          <w:lang w:val="zh-CN"/>
        </w:rPr>
        <w:t xml:space="preserve">) </w:t>
      </w:r>
      <w:r w:rsidRPr="000C0842">
        <w:rPr>
          <w:rFonts w:eastAsia="SimSun"/>
          <w:sz w:val="24"/>
          <w:szCs w:val="24"/>
          <w:lang w:val="zh-CN"/>
        </w:rPr>
        <w:tab/>
      </w:r>
      <w:r w:rsidRPr="000C0842">
        <w:rPr>
          <w:rFonts w:eastAsia="SimSun"/>
          <w:sz w:val="24"/>
          <w:szCs w:val="24"/>
          <w:lang w:val="zh-CN"/>
        </w:rPr>
        <w:t>加强与相关行业，例如旅游业和贸易业以及全球生物多样性信息机构所属工作队的</w:t>
      </w:r>
      <w:r w:rsidRPr="000C0842">
        <w:rPr>
          <w:rFonts w:eastAsia="SimSun" w:hint="eastAsia"/>
          <w:sz w:val="24"/>
          <w:szCs w:val="24"/>
        </w:rPr>
        <w:t>协作</w:t>
      </w:r>
      <w:r w:rsidRPr="000C0842">
        <w:rPr>
          <w:rFonts w:eastAsia="SimSun"/>
          <w:sz w:val="24"/>
          <w:szCs w:val="24"/>
          <w:lang w:val="en-GB"/>
        </w:rPr>
        <w:t>，</w:t>
      </w:r>
      <w:r w:rsidRPr="000C0842">
        <w:rPr>
          <w:rFonts w:eastAsia="SimSun"/>
          <w:sz w:val="24"/>
          <w:szCs w:val="24"/>
          <w:lang w:val="zh-CN"/>
        </w:rPr>
        <w:t>改善获取外来入侵物种数据和信息的机会</w:t>
      </w:r>
      <w:r w:rsidRPr="000C0842">
        <w:rPr>
          <w:rFonts w:eastAsia="SimSun"/>
          <w:sz w:val="24"/>
          <w:szCs w:val="24"/>
          <w:lang w:val="en-GB"/>
        </w:rPr>
        <w:t>；</w:t>
      </w:r>
    </w:p>
    <w:p w14:paraId="6E4AD037" w14:textId="77777777" w:rsidR="005E77FA" w:rsidRPr="000C0842" w:rsidRDefault="005E77FA">
      <w:pPr>
        <w:numPr>
          <w:ilvl w:val="0"/>
          <w:numId w:val="61"/>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举办不限成员名额在线论坛，促进以下方面的信息和经验交流：</w:t>
      </w:r>
      <w:r w:rsidRPr="000C0842">
        <w:rPr>
          <w:rFonts w:eastAsia="SimSun"/>
          <w:sz w:val="24"/>
          <w:szCs w:val="24"/>
        </w:rPr>
        <w:t xml:space="preserve"> </w:t>
      </w:r>
    </w:p>
    <w:p w14:paraId="4722BCB9" w14:textId="77777777" w:rsidR="005E77FA" w:rsidRPr="000C0842" w:rsidRDefault="005E77FA">
      <w:pPr>
        <w:numPr>
          <w:ilvl w:val="0"/>
          <w:numId w:val="57"/>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缔约方和利益攸关方为落实</w:t>
      </w:r>
      <w:r w:rsidRPr="000C0842">
        <w:rPr>
          <w:rFonts w:eastAsia="SimSun" w:hint="eastAsia"/>
          <w:sz w:val="24"/>
          <w:szCs w:val="24"/>
        </w:rPr>
        <w:t>《昆蒙框架》</w:t>
      </w:r>
      <w:r w:rsidRPr="000C0842">
        <w:rPr>
          <w:rFonts w:eastAsia="SimSun"/>
          <w:sz w:val="24"/>
          <w:szCs w:val="24"/>
          <w:lang w:val="zh-CN"/>
        </w:rPr>
        <w:t>行动目标</w:t>
      </w:r>
      <w:r w:rsidRPr="000C0842">
        <w:rPr>
          <w:rFonts w:eastAsia="SimSun"/>
          <w:sz w:val="24"/>
          <w:szCs w:val="24"/>
          <w:lang w:val="en-GB"/>
        </w:rPr>
        <w:t>6</w:t>
      </w:r>
      <w:r w:rsidRPr="000C0842">
        <w:rPr>
          <w:rFonts w:eastAsia="SimSun"/>
          <w:sz w:val="24"/>
          <w:szCs w:val="24"/>
          <w:lang w:val="zh-CN"/>
        </w:rPr>
        <w:t>特别是促进国际和区域合作所开展的工作</w:t>
      </w:r>
      <w:r w:rsidRPr="000C0842">
        <w:rPr>
          <w:rFonts w:eastAsia="SimSun" w:hint="eastAsia"/>
          <w:sz w:val="24"/>
          <w:szCs w:val="24"/>
          <w:lang w:val="zh-CN"/>
        </w:rPr>
        <w:t>，</w:t>
      </w:r>
      <w:r w:rsidRPr="000C0842">
        <w:rPr>
          <w:rFonts w:eastAsia="SimSun"/>
          <w:sz w:val="24"/>
          <w:szCs w:val="24"/>
        </w:rPr>
        <w:t>包括在预防、管理、控制和根除外来入侵物种方面使用的工具和机制、</w:t>
      </w:r>
      <w:r w:rsidRPr="000C0842">
        <w:rPr>
          <w:rFonts w:eastAsia="SimSun" w:hint="eastAsia"/>
          <w:sz w:val="24"/>
          <w:szCs w:val="24"/>
        </w:rPr>
        <w:t>面临的</w:t>
      </w:r>
      <w:r w:rsidRPr="000C0842">
        <w:rPr>
          <w:rFonts w:eastAsia="SimSun"/>
          <w:sz w:val="24"/>
          <w:szCs w:val="24"/>
        </w:rPr>
        <w:t>挑战和</w:t>
      </w:r>
      <w:r w:rsidRPr="000C0842">
        <w:rPr>
          <w:rFonts w:eastAsia="SimSun" w:hint="eastAsia"/>
          <w:sz w:val="24"/>
          <w:szCs w:val="24"/>
        </w:rPr>
        <w:t>采取的</w:t>
      </w:r>
      <w:r w:rsidRPr="000C0842">
        <w:rPr>
          <w:rFonts w:eastAsia="SimSun"/>
          <w:sz w:val="24"/>
          <w:szCs w:val="24"/>
        </w:rPr>
        <w:t>最佳做法</w:t>
      </w:r>
      <w:r w:rsidRPr="000C0842">
        <w:rPr>
          <w:rFonts w:eastAsia="SimSun"/>
          <w:sz w:val="24"/>
          <w:szCs w:val="24"/>
          <w:lang w:val="en-GB"/>
        </w:rPr>
        <w:t>；</w:t>
      </w:r>
    </w:p>
    <w:p w14:paraId="1AAEF108" w14:textId="77777777" w:rsidR="005E77FA" w:rsidRPr="000C0842" w:rsidRDefault="005E77FA">
      <w:pPr>
        <w:numPr>
          <w:ilvl w:val="0"/>
          <w:numId w:val="57"/>
        </w:numPr>
        <w:tabs>
          <w:tab w:val="clear" w:pos="567"/>
          <w:tab w:val="clear" w:pos="1134"/>
          <w:tab w:val="clear" w:pos="1701"/>
          <w:tab w:val="clear" w:pos="2268"/>
        </w:tabs>
        <w:adjustRightInd w:val="0"/>
        <w:snapToGrid w:val="0"/>
        <w:spacing w:before="120" w:after="120" w:line="240" w:lineRule="atLeast"/>
        <w:ind w:left="1930" w:hanging="490"/>
        <w:jc w:val="left"/>
        <w:rPr>
          <w:rFonts w:eastAsia="SimSun"/>
          <w:sz w:val="24"/>
          <w:szCs w:val="24"/>
          <w:lang w:val="en-GB"/>
        </w:rPr>
      </w:pPr>
      <w:r w:rsidRPr="000C0842">
        <w:rPr>
          <w:rFonts w:eastAsia="SimSun"/>
          <w:sz w:val="24"/>
          <w:szCs w:val="24"/>
          <w:lang w:val="zh-CN"/>
        </w:rPr>
        <w:t>可以用来促进共同应对生物入侵以及外来入侵物种的威胁和影响的方法</w:t>
      </w:r>
      <w:r w:rsidRPr="000C0842">
        <w:rPr>
          <w:rFonts w:eastAsia="SimSun"/>
          <w:sz w:val="24"/>
          <w:szCs w:val="24"/>
          <w:lang w:val="en-GB"/>
        </w:rPr>
        <w:t>，</w:t>
      </w:r>
      <w:r w:rsidRPr="000C0842">
        <w:rPr>
          <w:rFonts w:eastAsia="SimSun"/>
          <w:sz w:val="24"/>
          <w:szCs w:val="24"/>
          <w:lang w:val="zh-CN"/>
        </w:rPr>
        <w:t>以及如何将这些单独的方法纳入</w:t>
      </w:r>
      <w:r w:rsidRPr="000C0842">
        <w:rPr>
          <w:rFonts w:eastAsia="Times New Roman"/>
          <w:sz w:val="24"/>
          <w:szCs w:val="24"/>
          <w:lang w:val="en-GB"/>
        </w:rPr>
        <w:t>“</w:t>
      </w:r>
      <w:r w:rsidRPr="000C0842">
        <w:rPr>
          <w:rFonts w:eastAsia="SimSun"/>
          <w:sz w:val="24"/>
          <w:szCs w:val="24"/>
          <w:lang w:val="zh-CN"/>
        </w:rPr>
        <w:t>同一健康</w:t>
      </w:r>
      <w:r w:rsidRPr="000C0842">
        <w:rPr>
          <w:rFonts w:eastAsia="Times New Roman"/>
          <w:sz w:val="24"/>
          <w:szCs w:val="24"/>
          <w:lang w:val="en-GB"/>
        </w:rPr>
        <w:t>”</w:t>
      </w:r>
      <w:r w:rsidRPr="000C0842">
        <w:rPr>
          <w:rFonts w:eastAsia="SimSun"/>
          <w:sz w:val="24"/>
          <w:szCs w:val="24"/>
          <w:lang w:val="zh-CN"/>
        </w:rPr>
        <w:t>方法</w:t>
      </w:r>
      <w:r w:rsidRPr="000C0842">
        <w:rPr>
          <w:rFonts w:eastAsia="SimSun"/>
          <w:sz w:val="24"/>
          <w:szCs w:val="24"/>
          <w:lang w:val="en-GB"/>
        </w:rPr>
        <w:t>；</w:t>
      </w:r>
    </w:p>
    <w:p w14:paraId="446181FE" w14:textId="77777777" w:rsidR="005E77FA" w:rsidRPr="000C0842" w:rsidRDefault="005E77FA">
      <w:pPr>
        <w:numPr>
          <w:ilvl w:val="0"/>
          <w:numId w:val="61"/>
        </w:numPr>
        <w:tabs>
          <w:tab w:val="clear" w:pos="567"/>
          <w:tab w:val="clear" w:pos="1134"/>
          <w:tab w:val="clear" w:pos="1701"/>
          <w:tab w:val="clear" w:pos="2268"/>
        </w:tabs>
        <w:snapToGrid w:val="0"/>
        <w:spacing w:before="120" w:after="120" w:line="240" w:lineRule="atLeast"/>
        <w:ind w:left="490" w:firstLine="490"/>
        <w:jc w:val="left"/>
        <w:rPr>
          <w:rFonts w:eastAsia="SimSun"/>
          <w:sz w:val="24"/>
          <w:szCs w:val="24"/>
        </w:rPr>
      </w:pPr>
      <w:r w:rsidRPr="000C0842">
        <w:rPr>
          <w:rFonts w:eastAsia="SimSun"/>
          <w:sz w:val="24"/>
          <w:szCs w:val="24"/>
        </w:rPr>
        <w:t>向科学、技术和工艺咨询附属机构未来会议报告上述活动的进展情况。</w:t>
      </w:r>
    </w:p>
    <w:p w14:paraId="7848277F" w14:textId="77777777" w:rsidR="005E77FA" w:rsidRPr="000C0842" w:rsidRDefault="005E77FA" w:rsidP="008574E3">
      <w:pPr>
        <w:keepNext/>
        <w:tabs>
          <w:tab w:val="clear" w:pos="567"/>
          <w:tab w:val="clear" w:pos="1134"/>
          <w:tab w:val="clear" w:pos="1701"/>
          <w:tab w:val="clear" w:pos="2268"/>
        </w:tabs>
        <w:spacing w:before="240"/>
        <w:ind w:left="490"/>
        <w:jc w:val="left"/>
        <w:rPr>
          <w:rFonts w:eastAsia="SimSun"/>
          <w:b/>
          <w:bCs/>
          <w:caps/>
          <w:kern w:val="22"/>
          <w:sz w:val="24"/>
          <w:szCs w:val="24"/>
          <w:lang w:val="en-GB"/>
        </w:rPr>
      </w:pPr>
      <w:r w:rsidRPr="000C0842">
        <w:rPr>
          <w:rFonts w:eastAsia="SimSun"/>
          <w:b/>
          <w:bCs/>
          <w:caps/>
          <w:kern w:val="22"/>
          <w:sz w:val="24"/>
          <w:szCs w:val="24"/>
          <w:lang w:val="en-GB"/>
        </w:rPr>
        <w:t>附件一</w:t>
      </w:r>
    </w:p>
    <w:p w14:paraId="0320240F" w14:textId="77777777" w:rsidR="005E77FA" w:rsidRPr="000C0842" w:rsidRDefault="005E77FA" w:rsidP="005E77FA">
      <w:pPr>
        <w:keepNext/>
        <w:suppressLineNumbers/>
        <w:tabs>
          <w:tab w:val="clear" w:pos="567"/>
          <w:tab w:val="clear" w:pos="1134"/>
          <w:tab w:val="clear" w:pos="1701"/>
          <w:tab w:val="clear" w:pos="2268"/>
        </w:tabs>
        <w:suppressAutoHyphens/>
        <w:adjustRightInd w:val="0"/>
        <w:snapToGrid w:val="0"/>
        <w:ind w:left="490"/>
        <w:rPr>
          <w:rFonts w:eastAsia="SimSun"/>
          <w:b/>
          <w:bCs/>
          <w:caps/>
          <w:kern w:val="22"/>
          <w:sz w:val="24"/>
          <w:szCs w:val="24"/>
          <w:lang w:val="en-GB"/>
        </w:rPr>
      </w:pPr>
      <w:r w:rsidRPr="000C0842">
        <w:rPr>
          <w:rFonts w:eastAsia="SimSun"/>
          <w:b/>
          <w:bCs/>
          <w:caps/>
          <w:kern w:val="22"/>
          <w:sz w:val="24"/>
          <w:szCs w:val="24"/>
          <w:lang w:val="en-GB"/>
        </w:rPr>
        <w:t>最适用于外来入侵物种管理的成本效益、成本效果和多标准分析方法</w:t>
      </w:r>
    </w:p>
    <w:p w14:paraId="0313FCBD"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jc w:val="left"/>
        <w:rPr>
          <w:rFonts w:eastAsia="Times New Roman"/>
          <w:sz w:val="24"/>
          <w:szCs w:val="24"/>
          <w:lang w:val="en-GB"/>
        </w:rPr>
      </w:pPr>
      <w:r w:rsidRPr="000C0842">
        <w:rPr>
          <w:rFonts w:ascii="SimSun" w:eastAsia="SimSun" w:hAnsi="SimSun" w:cs="SimSun" w:hint="eastAsia"/>
          <w:sz w:val="24"/>
          <w:szCs w:val="24"/>
          <w:lang w:val="en-GB"/>
        </w:rPr>
        <w:t>本附件载有对缔约方和利益攸关方的咨询和自愿指导意见，以期支持执行《昆明</w:t>
      </w:r>
      <w:r w:rsidRPr="000C0842">
        <w:rPr>
          <w:rFonts w:eastAsia="Times New Roman"/>
          <w:sz w:val="24"/>
          <w:szCs w:val="24"/>
          <w:lang w:val="en-GB"/>
        </w:rPr>
        <w:t>-</w:t>
      </w:r>
      <w:r w:rsidRPr="000C0842">
        <w:rPr>
          <w:rFonts w:ascii="SimSun" w:eastAsia="SimSun" w:hAnsi="SimSun" w:cs="SimSun" w:hint="eastAsia"/>
          <w:sz w:val="24"/>
          <w:szCs w:val="24"/>
          <w:lang w:val="en-GB"/>
        </w:rPr>
        <w:t>蒙特利尔全球生物多样性框架》</w:t>
      </w:r>
      <w:r w:rsidRPr="000C0842">
        <w:rPr>
          <w:rFonts w:eastAsia="SimSun"/>
          <w:sz w:val="24"/>
          <w:szCs w:val="24"/>
          <w:vertAlign w:val="superscript"/>
        </w:rPr>
        <w:footnoteReference w:id="188"/>
      </w:r>
      <w:r w:rsidRPr="000C0842">
        <w:rPr>
          <w:rFonts w:ascii="SimSun" w:eastAsia="SimSun" w:hAnsi="SimSun" w:cs="SimSun" w:hint="eastAsia"/>
          <w:sz w:val="24"/>
          <w:szCs w:val="24"/>
          <w:lang w:val="en-GB"/>
        </w:rPr>
        <w:t>特别是关于外来入侵物种的行动目标</w:t>
      </w:r>
      <w:r w:rsidRPr="000C0842">
        <w:rPr>
          <w:rFonts w:eastAsia="Times New Roman"/>
          <w:sz w:val="24"/>
          <w:szCs w:val="24"/>
          <w:lang w:val="en-GB"/>
        </w:rPr>
        <w:t>6</w:t>
      </w:r>
      <w:r w:rsidRPr="000C0842">
        <w:rPr>
          <w:rFonts w:eastAsia="SimSun"/>
          <w:sz w:val="24"/>
          <w:szCs w:val="24"/>
          <w:vertAlign w:val="superscript"/>
        </w:rPr>
        <w:footnoteReference w:id="189"/>
      </w:r>
      <w:r w:rsidRPr="000C0842">
        <w:rPr>
          <w:rFonts w:ascii="SimSun" w:eastAsia="SimSun" w:hAnsi="SimSun" w:cs="SimSun" w:hint="eastAsia"/>
          <w:sz w:val="24"/>
          <w:szCs w:val="24"/>
          <w:lang w:val="en-GB"/>
        </w:rPr>
        <w:t>以及其他相关行动目标。</w:t>
      </w:r>
    </w:p>
    <w:p w14:paraId="30D3955D"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Times New Roman"/>
          <w:sz w:val="24"/>
          <w:szCs w:val="24"/>
          <w:lang w:val="en-GB"/>
        </w:rPr>
      </w:pPr>
      <w:r w:rsidRPr="000C0842">
        <w:rPr>
          <w:rFonts w:ascii="SimSun" w:eastAsia="SimSun" w:hAnsi="SimSun" w:cs="SimSun" w:hint="eastAsia"/>
          <w:sz w:val="24"/>
          <w:szCs w:val="24"/>
          <w:lang w:val="en-GB"/>
        </w:rPr>
        <w:t>行动目标</w:t>
      </w:r>
      <w:r w:rsidRPr="000C0842">
        <w:rPr>
          <w:rFonts w:eastAsia="Times New Roman"/>
          <w:sz w:val="24"/>
          <w:szCs w:val="24"/>
          <w:lang w:val="en-GB"/>
        </w:rPr>
        <w:t>6</w:t>
      </w:r>
      <w:r w:rsidRPr="000C0842">
        <w:rPr>
          <w:rFonts w:ascii="SimSun" w:eastAsia="SimSun" w:hAnsi="SimSun" w:cs="SimSun" w:hint="eastAsia"/>
          <w:sz w:val="24"/>
          <w:szCs w:val="24"/>
          <w:lang w:val="en-GB"/>
        </w:rPr>
        <w:t>除其他外强调需要确定和管理外来入侵物种和引进途径，防止重点外来入侵物种的引进和建群。鉴于外来物种有多种引进途径，而且许多国家已经存在多种外来物种和外来入侵物种，有必要优先采取行动管理这些物种以及可能涉及生物多样性或易受入侵影响的最重要的途径</w:t>
      </w:r>
      <w:r w:rsidRPr="000C0842">
        <w:rPr>
          <w:rFonts w:eastAsia="Times New Roman"/>
          <w:sz w:val="24"/>
          <w:szCs w:val="24"/>
          <w:vertAlign w:val="superscript"/>
          <w:lang w:val="en-GB"/>
        </w:rPr>
        <w:footnoteReference w:id="190"/>
      </w:r>
      <w:r w:rsidRPr="000C0842">
        <w:rPr>
          <w:rFonts w:eastAsia="Times New Roman"/>
          <w:sz w:val="24"/>
          <w:szCs w:val="24"/>
          <w:lang w:val="en-GB"/>
        </w:rPr>
        <w:t xml:space="preserve"> </w:t>
      </w:r>
      <w:r w:rsidRPr="000C0842">
        <w:rPr>
          <w:rFonts w:ascii="SimSun" w:eastAsia="SimSun" w:hAnsi="SimSun" w:cs="SimSun" w:hint="eastAsia"/>
          <w:sz w:val="24"/>
          <w:szCs w:val="24"/>
          <w:lang w:val="en-GB"/>
        </w:rPr>
        <w:t>和地带，同时考虑到可行性、资源有效性和生物多样性对人类的不同价值。</w:t>
      </w:r>
    </w:p>
    <w:p w14:paraId="4015CBD3"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Times New Roman"/>
          <w:sz w:val="24"/>
          <w:szCs w:val="24"/>
          <w:lang w:val="en-GB"/>
        </w:rPr>
      </w:pPr>
      <w:r w:rsidRPr="000C0842">
        <w:rPr>
          <w:rFonts w:ascii="SimSun" w:eastAsia="SimSun" w:hAnsi="SimSun" w:cs="SimSun" w:hint="eastAsia"/>
          <w:sz w:val="24"/>
          <w:szCs w:val="24"/>
          <w:lang w:val="en-GB"/>
        </w:rPr>
        <w:t>为了帮助排定外来入侵物种管理努力和最终决定的优先次序，可使用一系列方法分析具体管理行动的成本、效益和成效，例如</w:t>
      </w:r>
      <w:r w:rsidRPr="000C0842">
        <w:rPr>
          <w:rFonts w:eastAsia="Times New Roman"/>
          <w:sz w:val="24"/>
          <w:szCs w:val="24"/>
          <w:vertAlign w:val="superscript"/>
          <w:lang w:val="en-GB"/>
        </w:rPr>
        <w:footnoteReference w:id="191"/>
      </w:r>
      <w:r w:rsidRPr="000C0842">
        <w:rPr>
          <w:rFonts w:eastAsia="Times New Roman"/>
          <w:sz w:val="24"/>
          <w:szCs w:val="24"/>
          <w:lang w:val="en-GB"/>
        </w:rPr>
        <w:t>:</w:t>
      </w:r>
    </w:p>
    <w:p w14:paraId="1F3934F2" w14:textId="77777777" w:rsidR="005E77FA" w:rsidRPr="000C0842" w:rsidRDefault="005E77FA">
      <w:pPr>
        <w:numPr>
          <w:ilvl w:val="0"/>
          <w:numId w:val="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适当的成本效益分析：以货币价值评估管理特定物种或采取管理行动的成本和效益；</w:t>
      </w:r>
    </w:p>
    <w:p w14:paraId="70B0F2D7" w14:textId="77777777" w:rsidR="005E77FA" w:rsidRPr="000C0842" w:rsidRDefault="005E77FA">
      <w:pPr>
        <w:numPr>
          <w:ilvl w:val="0"/>
          <w:numId w:val="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成本效果</w:t>
      </w:r>
      <w:r w:rsidRPr="000C0842">
        <w:rPr>
          <w:rFonts w:eastAsia="SimSun"/>
          <w:sz w:val="24"/>
          <w:szCs w:val="24"/>
          <w:lang w:val="en-GB"/>
        </w:rPr>
        <w:t>分析：</w:t>
      </w:r>
      <w:r w:rsidRPr="000C0842">
        <w:rPr>
          <w:rFonts w:eastAsia="SimSun" w:hint="eastAsia"/>
          <w:sz w:val="24"/>
          <w:szCs w:val="24"/>
          <w:lang w:val="en-GB"/>
        </w:rPr>
        <w:t>对照效益</w:t>
      </w:r>
      <w:r w:rsidRPr="000C0842">
        <w:rPr>
          <w:rFonts w:eastAsia="SimSun"/>
          <w:sz w:val="24"/>
          <w:szCs w:val="24"/>
          <w:lang w:val="en-GB"/>
        </w:rPr>
        <w:t>评估执行一个方案的成本，以非经济尺度计量，例如得到保护的受威胁物种的数量，或对土著人民、地方社区、妇女和青年的社会、文化和环境影响；</w:t>
      </w:r>
    </w:p>
    <w:p w14:paraId="4F611485" w14:textId="77777777" w:rsidR="005E77FA" w:rsidRPr="000C0842" w:rsidRDefault="005E77FA">
      <w:pPr>
        <w:numPr>
          <w:ilvl w:val="0"/>
          <w:numId w:val="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多标准方法：用一系列通常以不同</w:t>
      </w:r>
      <w:r w:rsidRPr="000C0842">
        <w:rPr>
          <w:rFonts w:eastAsia="SimSun" w:hint="eastAsia"/>
          <w:sz w:val="24"/>
          <w:szCs w:val="24"/>
          <w:lang w:val="en-GB"/>
        </w:rPr>
        <w:t>方式</w:t>
      </w:r>
      <w:r w:rsidRPr="000C0842">
        <w:rPr>
          <w:rFonts w:eastAsia="SimSun"/>
          <w:sz w:val="24"/>
          <w:szCs w:val="24"/>
          <w:lang w:val="en-GB"/>
        </w:rPr>
        <w:t>计量的标准进行评估，以确定各种干预方案的优先次序；</w:t>
      </w:r>
    </w:p>
    <w:p w14:paraId="5A5D1A3E" w14:textId="77777777" w:rsidR="005E77FA" w:rsidRPr="000C0842" w:rsidRDefault="005E77FA">
      <w:pPr>
        <w:numPr>
          <w:ilvl w:val="0"/>
          <w:numId w:val="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基于</w:t>
      </w:r>
      <w:r w:rsidRPr="000C0842">
        <w:rPr>
          <w:rFonts w:eastAsia="SimSun"/>
          <w:sz w:val="24"/>
          <w:szCs w:val="24"/>
          <w:lang w:val="en-GB"/>
        </w:rPr>
        <w:t>科学的风险评估：通常通过现有证据和专家意见相结合的办法；</w:t>
      </w:r>
    </w:p>
    <w:p w14:paraId="40C493E4" w14:textId="77777777" w:rsidR="005E77FA" w:rsidRPr="000C0842" w:rsidRDefault="005E77FA">
      <w:pPr>
        <w:numPr>
          <w:ilvl w:val="0"/>
          <w:numId w:val="62"/>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风险管理：</w:t>
      </w:r>
      <w:r w:rsidRPr="000C0842">
        <w:rPr>
          <w:rFonts w:eastAsia="SimSun" w:hint="eastAsia"/>
          <w:sz w:val="24"/>
          <w:szCs w:val="24"/>
          <w:lang w:val="en-GB"/>
        </w:rPr>
        <w:t>借以</w:t>
      </w:r>
      <w:r w:rsidRPr="000C0842">
        <w:rPr>
          <w:rFonts w:eastAsia="SimSun"/>
          <w:sz w:val="24"/>
          <w:szCs w:val="24"/>
          <w:lang w:val="en-GB"/>
        </w:rPr>
        <w:t>确定应采取的减少风险的措施和行动。</w:t>
      </w:r>
    </w:p>
    <w:p w14:paraId="506A63B9"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ascii="SimSun" w:eastAsia="SimSun" w:hAnsi="SimSun" w:cs="SimSun" w:hint="eastAsia"/>
          <w:sz w:val="24"/>
          <w:szCs w:val="24"/>
          <w:lang w:val="en-GB"/>
        </w:rPr>
        <w:t>以下两节介绍其中的三种方法（成本效益分析、成本效果分析、多标准方法），</w:t>
      </w:r>
      <w:r w:rsidRPr="000C0842">
        <w:rPr>
          <w:rFonts w:eastAsia="SimSun"/>
          <w:sz w:val="24"/>
          <w:szCs w:val="24"/>
          <w:lang w:val="en-GB"/>
        </w:rPr>
        <w:t>这些方法适用于广泛的风险分析过程</w:t>
      </w:r>
      <w:r w:rsidRPr="000C0842">
        <w:rPr>
          <w:rFonts w:eastAsia="SimSun"/>
          <w:sz w:val="24"/>
          <w:szCs w:val="24"/>
          <w:vertAlign w:val="superscript"/>
          <w:lang w:val="en-GB"/>
        </w:rPr>
        <w:footnoteReference w:id="192"/>
      </w:r>
      <w:r w:rsidRPr="000C0842">
        <w:rPr>
          <w:rFonts w:ascii="SimSun" w:eastAsia="SimSun" w:hAnsi="SimSun" w:cs="SimSun" w:hint="eastAsia"/>
          <w:sz w:val="24"/>
          <w:szCs w:val="24"/>
          <w:lang w:val="en-GB"/>
        </w:rPr>
        <w:t>，有助于分析与其他依靠纯科学数据的方法（如风险评估）所用信息在性质上不相同的信息</w:t>
      </w:r>
      <w:r w:rsidRPr="000C0842">
        <w:rPr>
          <w:rFonts w:eastAsia="SimSun"/>
          <w:sz w:val="24"/>
          <w:szCs w:val="24"/>
          <w:vertAlign w:val="superscript"/>
          <w:lang w:val="en-GB"/>
        </w:rPr>
        <w:footnoteReference w:id="193"/>
      </w:r>
      <w:r w:rsidRPr="000C0842">
        <w:rPr>
          <w:rFonts w:ascii="SimSun" w:eastAsia="SimSun" w:hAnsi="SimSun" w:cs="SimSun" w:hint="eastAsia"/>
          <w:sz w:val="24"/>
          <w:szCs w:val="24"/>
          <w:lang w:val="en-GB"/>
        </w:rPr>
        <w:t>。</w:t>
      </w:r>
    </w:p>
    <w:p w14:paraId="1C809E81" w14:textId="77777777" w:rsidR="005E77FA" w:rsidRPr="000C0842" w:rsidRDefault="005E77FA" w:rsidP="005E77FA">
      <w:pPr>
        <w:keepNext/>
        <w:widowControl w:val="0"/>
        <w:tabs>
          <w:tab w:val="clear" w:pos="567"/>
          <w:tab w:val="clear" w:pos="1134"/>
          <w:tab w:val="clear" w:pos="1701"/>
          <w:tab w:val="clear" w:pos="2268"/>
        </w:tabs>
        <w:snapToGrid w:val="0"/>
        <w:spacing w:before="120" w:after="120" w:line="240" w:lineRule="atLeast"/>
        <w:rPr>
          <w:rFonts w:eastAsia="SimSun"/>
          <w:b/>
          <w:bCs/>
          <w:sz w:val="24"/>
          <w:szCs w:val="24"/>
          <w:lang w:val="en-GB"/>
        </w:rPr>
      </w:pPr>
      <w:r w:rsidRPr="000C0842">
        <w:rPr>
          <w:rFonts w:eastAsia="SimSun"/>
          <w:b/>
          <w:bCs/>
          <w:sz w:val="24"/>
          <w:szCs w:val="24"/>
          <w:lang w:val="en-GB"/>
        </w:rPr>
        <w:t>一</w:t>
      </w:r>
      <w:r w:rsidRPr="000C0842">
        <w:rPr>
          <w:rFonts w:eastAsia="SimSun"/>
          <w:b/>
          <w:bCs/>
          <w:sz w:val="24"/>
          <w:szCs w:val="24"/>
          <w:lang w:val="en-GB"/>
        </w:rPr>
        <w:t>.</w:t>
      </w:r>
      <w:r w:rsidRPr="000C0842">
        <w:rPr>
          <w:rFonts w:eastAsia="SimSun"/>
          <w:b/>
          <w:bCs/>
          <w:sz w:val="24"/>
          <w:szCs w:val="24"/>
          <w:lang w:val="en-GB"/>
        </w:rPr>
        <w:tab/>
      </w:r>
      <w:r w:rsidRPr="000C0842">
        <w:rPr>
          <w:rFonts w:eastAsia="SimSun"/>
          <w:b/>
          <w:bCs/>
          <w:sz w:val="24"/>
          <w:szCs w:val="24"/>
          <w:lang w:val="en-GB"/>
        </w:rPr>
        <w:t>成本效益分析和成本效果分析</w:t>
      </w:r>
    </w:p>
    <w:p w14:paraId="0D4D7CBB"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现有的成本效益分析和成本效果分析方法</w:t>
      </w:r>
      <w:r w:rsidRPr="000C0842">
        <w:rPr>
          <w:rFonts w:ascii="SimSun" w:eastAsia="SimSun" w:hAnsi="SimSun" w:cs="SimSun" w:hint="eastAsia"/>
          <w:sz w:val="24"/>
          <w:szCs w:val="24"/>
          <w:lang w:val="en-GB"/>
        </w:rPr>
        <w:t>，用于管理外来入侵物种，包括确定优先次序。这些方法也有助于提供信息说明预防行动的必要性和重要性，而这正是实现</w:t>
      </w:r>
      <w:r w:rsidRPr="000C0842">
        <w:rPr>
          <w:rFonts w:eastAsia="SimSun" w:hint="eastAsia"/>
          <w:sz w:val="24"/>
          <w:szCs w:val="24"/>
        </w:rPr>
        <w:t>《昆蒙框架》</w:t>
      </w:r>
      <w:r w:rsidRPr="000C0842">
        <w:rPr>
          <w:rFonts w:ascii="SimSun" w:eastAsia="SimSun" w:hAnsi="SimSun" w:cs="SimSun" w:hint="eastAsia"/>
          <w:sz w:val="24"/>
          <w:szCs w:val="24"/>
          <w:lang w:val="en-GB"/>
        </w:rPr>
        <w:t>行动目标</w:t>
      </w:r>
      <w:r w:rsidRPr="000C0842">
        <w:rPr>
          <w:rFonts w:eastAsia="SimSun"/>
          <w:sz w:val="24"/>
          <w:szCs w:val="24"/>
          <w:lang w:val="en-GB"/>
        </w:rPr>
        <w:t>6</w:t>
      </w:r>
      <w:r w:rsidRPr="000C0842">
        <w:rPr>
          <w:rFonts w:ascii="SimSun" w:eastAsia="SimSun" w:hAnsi="SimSun" w:cs="SimSun" w:hint="eastAsia"/>
          <w:sz w:val="24"/>
          <w:szCs w:val="24"/>
          <w:lang w:val="en-GB"/>
        </w:rPr>
        <w:t>的关键所在。例如，可把成本效益考虑因素用于确定物种或传播途径（国家间和国内）的优先次序，确定最佳管理方案，评估可行性和成本效果。</w:t>
      </w:r>
    </w:p>
    <w:p w14:paraId="70B6B872"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成本效益和成本效果分析应尽可能全面，最好涵盖多个领域，如生物多样性、对其他非目标物种的影响、动物福祉、公众接受程度、对土著人民</w:t>
      </w:r>
      <w:r w:rsidRPr="000C0842">
        <w:rPr>
          <w:rFonts w:eastAsia="SimSun" w:hint="eastAsia"/>
          <w:sz w:val="24"/>
          <w:szCs w:val="24"/>
          <w:lang w:val="en-GB"/>
        </w:rPr>
        <w:t>和</w:t>
      </w:r>
      <w:r w:rsidRPr="000C0842">
        <w:rPr>
          <w:rFonts w:eastAsia="SimSun"/>
          <w:sz w:val="24"/>
          <w:szCs w:val="24"/>
          <w:lang w:val="en-GB"/>
        </w:rPr>
        <w:t>地方社区、妇女和青年的潜在影响、人类健康问题等，尽管其中一些领域往往难以从经济角度描</w:t>
      </w:r>
      <w:r w:rsidRPr="000C0842">
        <w:rPr>
          <w:rFonts w:eastAsia="SimSun"/>
          <w:spacing w:val="8"/>
          <w:sz w:val="24"/>
          <w:szCs w:val="24"/>
          <w:lang w:val="en-GB"/>
        </w:rPr>
        <w:t>述。同样，进行这种类型的分析，应逐案考虑何时进行干预，即使</w:t>
      </w:r>
      <w:r w:rsidRPr="000C0842">
        <w:rPr>
          <w:rFonts w:eastAsia="SimSun" w:hint="eastAsia"/>
          <w:spacing w:val="8"/>
          <w:sz w:val="24"/>
          <w:szCs w:val="24"/>
          <w:lang w:val="en-GB"/>
        </w:rPr>
        <w:t>是</w:t>
      </w:r>
      <w:r w:rsidRPr="000C0842">
        <w:rPr>
          <w:rFonts w:eastAsia="SimSun"/>
          <w:spacing w:val="8"/>
          <w:sz w:val="24"/>
          <w:szCs w:val="24"/>
          <w:lang w:val="en-GB"/>
        </w:rPr>
        <w:t>在缺乏所有</w:t>
      </w:r>
      <w:r w:rsidRPr="000C0842">
        <w:rPr>
          <w:rFonts w:eastAsia="SimSun" w:hint="eastAsia"/>
          <w:spacing w:val="8"/>
          <w:sz w:val="24"/>
          <w:szCs w:val="24"/>
          <w:lang w:val="en-GB"/>
        </w:rPr>
        <w:t>所需</w:t>
      </w:r>
      <w:r w:rsidRPr="000C0842">
        <w:rPr>
          <w:rFonts w:eastAsia="SimSun"/>
          <w:spacing w:val="8"/>
          <w:sz w:val="24"/>
          <w:szCs w:val="24"/>
          <w:lang w:val="en-GB"/>
        </w:rPr>
        <w:t>信息的情况下，并</w:t>
      </w:r>
      <w:r w:rsidRPr="000C0842">
        <w:rPr>
          <w:rFonts w:eastAsia="SimSun" w:hint="eastAsia"/>
          <w:spacing w:val="8"/>
          <w:sz w:val="24"/>
          <w:szCs w:val="24"/>
          <w:lang w:val="en-GB"/>
        </w:rPr>
        <w:t>对</w:t>
      </w:r>
      <w:r w:rsidRPr="000C0842">
        <w:rPr>
          <w:rFonts w:eastAsia="SimSun"/>
          <w:spacing w:val="8"/>
          <w:sz w:val="24"/>
          <w:szCs w:val="24"/>
          <w:lang w:val="en-GB"/>
        </w:rPr>
        <w:t>规划一项管理战略所需的时间与迅速和及</w:t>
      </w:r>
      <w:r w:rsidRPr="000C0842">
        <w:rPr>
          <w:rFonts w:eastAsia="SimSun"/>
          <w:sz w:val="24"/>
          <w:szCs w:val="24"/>
          <w:lang w:val="en-GB"/>
        </w:rPr>
        <w:t>早采取行动</w:t>
      </w:r>
      <w:r w:rsidRPr="000C0842">
        <w:rPr>
          <w:rFonts w:eastAsia="SimSun" w:hint="eastAsia"/>
          <w:sz w:val="24"/>
          <w:szCs w:val="24"/>
          <w:lang w:val="en-GB"/>
        </w:rPr>
        <w:t>加以</w:t>
      </w:r>
      <w:r w:rsidRPr="000C0842">
        <w:rPr>
          <w:rFonts w:eastAsia="SimSun"/>
          <w:sz w:val="24"/>
          <w:szCs w:val="24"/>
          <w:lang w:val="en-GB"/>
        </w:rPr>
        <w:t>权衡。</w:t>
      </w:r>
    </w:p>
    <w:p w14:paraId="2CCED531"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采取行动消除、遏制或管理和控制外来入侵物种的最终决定会带来巨大的成本和风险，包括不作为的代价；因此在作出管理决定之前，应尽可能进行试点研究和经济评估。然而</w:t>
      </w:r>
      <w:r w:rsidRPr="000C0842">
        <w:rPr>
          <w:rFonts w:eastAsia="SimSun" w:hint="eastAsia"/>
          <w:sz w:val="24"/>
          <w:szCs w:val="24"/>
          <w:lang w:val="en-GB"/>
        </w:rPr>
        <w:t>，</w:t>
      </w:r>
      <w:r w:rsidRPr="000C0842">
        <w:rPr>
          <w:rFonts w:eastAsia="SimSun"/>
          <w:sz w:val="24"/>
          <w:szCs w:val="24"/>
          <w:lang w:val="en-GB"/>
        </w:rPr>
        <w:t>这样做有时并不可行，有一些快速的方法，如非货币尺度快速评估，可能有助于产生重点物种或地带的</w:t>
      </w:r>
      <w:r w:rsidRPr="000C0842">
        <w:rPr>
          <w:rFonts w:eastAsia="SimSun"/>
          <w:sz w:val="24"/>
          <w:szCs w:val="24"/>
          <w:lang w:val="en-GB"/>
        </w:rPr>
        <w:t>“</w:t>
      </w:r>
      <w:r w:rsidRPr="000C0842">
        <w:rPr>
          <w:rFonts w:eastAsia="SimSun"/>
          <w:sz w:val="24"/>
          <w:szCs w:val="24"/>
          <w:lang w:val="en-GB"/>
        </w:rPr>
        <w:t>短名单</w:t>
      </w:r>
      <w:r w:rsidRPr="000C0842">
        <w:rPr>
          <w:rFonts w:eastAsia="SimSun"/>
          <w:sz w:val="24"/>
          <w:szCs w:val="24"/>
          <w:lang w:val="en-GB"/>
        </w:rPr>
        <w:t>”</w:t>
      </w:r>
      <w:r w:rsidRPr="000C0842">
        <w:rPr>
          <w:rFonts w:eastAsia="SimSun"/>
          <w:sz w:val="24"/>
          <w:szCs w:val="24"/>
          <w:lang w:val="en-GB"/>
        </w:rPr>
        <w:t>，用于</w:t>
      </w:r>
      <w:r w:rsidRPr="000C0842">
        <w:rPr>
          <w:rFonts w:eastAsia="SimSun" w:hint="eastAsia"/>
          <w:sz w:val="24"/>
          <w:szCs w:val="24"/>
          <w:lang w:val="en-GB"/>
        </w:rPr>
        <w:t>为</w:t>
      </w:r>
      <w:r w:rsidRPr="000C0842">
        <w:rPr>
          <w:rFonts w:eastAsia="SimSun"/>
          <w:sz w:val="24"/>
          <w:szCs w:val="24"/>
          <w:lang w:val="en-GB"/>
        </w:rPr>
        <w:t>管理行动</w:t>
      </w:r>
      <w:r w:rsidRPr="000C0842">
        <w:rPr>
          <w:rFonts w:eastAsia="SimSun" w:hint="eastAsia"/>
          <w:sz w:val="24"/>
          <w:szCs w:val="24"/>
          <w:lang w:val="en-GB"/>
        </w:rPr>
        <w:t>提供信息</w:t>
      </w:r>
      <w:r w:rsidRPr="000C0842">
        <w:rPr>
          <w:rFonts w:eastAsia="SimSun"/>
          <w:sz w:val="24"/>
          <w:szCs w:val="24"/>
          <w:lang w:val="en-GB"/>
        </w:rPr>
        <w:t>。</w:t>
      </w:r>
    </w:p>
    <w:p w14:paraId="15D5824F"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涉及岛屿生态系统时，应考虑</w:t>
      </w:r>
      <w:r w:rsidRPr="000C0842">
        <w:rPr>
          <w:rFonts w:eastAsia="SimSun" w:hint="eastAsia"/>
          <w:sz w:val="24"/>
          <w:szCs w:val="24"/>
        </w:rPr>
        <w:t>《昆蒙框架》</w:t>
      </w:r>
      <w:r w:rsidRPr="000C0842">
        <w:rPr>
          <w:rFonts w:eastAsia="SimSun"/>
          <w:sz w:val="24"/>
          <w:szCs w:val="24"/>
          <w:lang w:val="en-GB"/>
        </w:rPr>
        <w:t>行动目标</w:t>
      </w:r>
      <w:r w:rsidRPr="000C0842">
        <w:rPr>
          <w:rFonts w:eastAsia="SimSun"/>
          <w:sz w:val="24"/>
          <w:szCs w:val="24"/>
          <w:lang w:val="en-GB"/>
        </w:rPr>
        <w:t>6</w:t>
      </w:r>
      <w:r w:rsidRPr="000C0842">
        <w:rPr>
          <w:rFonts w:eastAsia="SimSun" w:hint="eastAsia"/>
          <w:sz w:val="24"/>
          <w:szCs w:val="24"/>
          <w:lang w:val="en-GB"/>
        </w:rPr>
        <w:t>对</w:t>
      </w:r>
      <w:r w:rsidRPr="000C0842">
        <w:rPr>
          <w:rFonts w:eastAsia="SimSun"/>
          <w:sz w:val="24"/>
          <w:szCs w:val="24"/>
          <w:lang w:val="en-GB"/>
        </w:rPr>
        <w:t>重点地带行动排序的</w:t>
      </w:r>
      <w:r w:rsidRPr="000C0842">
        <w:rPr>
          <w:rFonts w:eastAsia="SimSun" w:hint="eastAsia"/>
          <w:sz w:val="24"/>
          <w:szCs w:val="24"/>
          <w:lang w:val="en-GB"/>
        </w:rPr>
        <w:t>要求</w:t>
      </w:r>
      <w:r w:rsidRPr="000C0842">
        <w:rPr>
          <w:rFonts w:eastAsia="SimSun"/>
          <w:sz w:val="24"/>
          <w:szCs w:val="24"/>
          <w:lang w:val="en-GB"/>
        </w:rPr>
        <w:t>，所用排序工具应符合特定岛屿的生物多样性风险水平和潜在效益规模。</w:t>
      </w:r>
    </w:p>
    <w:p w14:paraId="3AF4CB72"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最后，成本效益分析和成本效果分析还应考虑到提高认识包括教育和指导的重要性，考虑到缔约方、组织和利益攸关方之间的数据共享，将其作为最大限度利用资源</w:t>
      </w:r>
      <w:r w:rsidRPr="000C0842">
        <w:rPr>
          <w:rFonts w:eastAsia="SimSun" w:hint="eastAsia"/>
          <w:sz w:val="24"/>
          <w:szCs w:val="24"/>
          <w:lang w:val="en-GB"/>
        </w:rPr>
        <w:t>和</w:t>
      </w:r>
      <w:r w:rsidRPr="000C0842">
        <w:rPr>
          <w:rFonts w:eastAsia="SimSun"/>
          <w:sz w:val="24"/>
          <w:szCs w:val="24"/>
          <w:lang w:val="en-GB"/>
        </w:rPr>
        <w:t>降低干预成本的重要工具。</w:t>
      </w:r>
    </w:p>
    <w:p w14:paraId="5C2D9779" w14:textId="77777777" w:rsidR="005E77FA" w:rsidRPr="000C0842" w:rsidRDefault="005E77FA" w:rsidP="008574E3">
      <w:pPr>
        <w:keepNext/>
        <w:tabs>
          <w:tab w:val="clear" w:pos="567"/>
          <w:tab w:val="clear" w:pos="1134"/>
          <w:tab w:val="clear" w:pos="1701"/>
          <w:tab w:val="clear" w:pos="2268"/>
        </w:tabs>
        <w:snapToGrid w:val="0"/>
        <w:spacing w:before="120" w:after="120" w:line="240" w:lineRule="atLeast"/>
        <w:rPr>
          <w:rFonts w:eastAsia="SimSun"/>
          <w:sz w:val="24"/>
          <w:szCs w:val="24"/>
          <w:lang w:val="en-GB"/>
        </w:rPr>
      </w:pPr>
      <w:r w:rsidRPr="000C0842">
        <w:rPr>
          <w:rFonts w:eastAsia="SimSun"/>
          <w:b/>
          <w:bCs/>
          <w:sz w:val="24"/>
          <w:szCs w:val="24"/>
          <w:lang w:val="en-GB"/>
        </w:rPr>
        <w:t>二</w:t>
      </w:r>
      <w:r w:rsidRPr="000C0842">
        <w:rPr>
          <w:rFonts w:eastAsia="SimSun"/>
          <w:b/>
          <w:bCs/>
          <w:sz w:val="24"/>
          <w:szCs w:val="24"/>
          <w:lang w:val="en-GB"/>
        </w:rPr>
        <w:t>.</w:t>
      </w:r>
      <w:r w:rsidRPr="000C0842">
        <w:rPr>
          <w:rFonts w:eastAsia="SimSun"/>
          <w:b/>
          <w:bCs/>
          <w:sz w:val="24"/>
          <w:szCs w:val="24"/>
          <w:lang w:val="en-GB"/>
        </w:rPr>
        <w:tab/>
      </w:r>
      <w:r w:rsidRPr="000C0842">
        <w:rPr>
          <w:rFonts w:eastAsia="SimSun"/>
          <w:b/>
          <w:bCs/>
          <w:sz w:val="24"/>
          <w:szCs w:val="24"/>
          <w:lang w:val="en-GB"/>
        </w:rPr>
        <w:t>多标准分析</w:t>
      </w:r>
    </w:p>
    <w:p w14:paraId="5C18EC99"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多标准决策方法提供一个结构化程序，帮助解决涉及多个因素的问题，为需要不同评估标准或数据的复杂问题找到最佳解决方案。这种方法能够快速评估各种选项，已广泛用于有关外来入侵物种的决策，例如</w:t>
      </w:r>
      <w:r w:rsidRPr="000C0842">
        <w:rPr>
          <w:rFonts w:eastAsia="SimSun" w:hint="eastAsia"/>
          <w:sz w:val="24"/>
          <w:szCs w:val="24"/>
          <w:lang w:val="en-GB"/>
        </w:rPr>
        <w:t>借助</w:t>
      </w:r>
      <w:r w:rsidRPr="000C0842">
        <w:rPr>
          <w:rFonts w:eastAsia="SimSun"/>
          <w:sz w:val="24"/>
          <w:szCs w:val="24"/>
          <w:lang w:val="en-GB"/>
        </w:rPr>
        <w:t>风险评估。在信息有限或</w:t>
      </w:r>
      <w:r w:rsidRPr="000C0842">
        <w:rPr>
          <w:rFonts w:eastAsia="SimSun" w:hint="eastAsia"/>
          <w:sz w:val="24"/>
          <w:szCs w:val="24"/>
          <w:lang w:val="en-GB"/>
        </w:rPr>
        <w:t>较</w:t>
      </w:r>
      <w:r w:rsidRPr="000C0842">
        <w:rPr>
          <w:rFonts w:eastAsia="SimSun"/>
          <w:sz w:val="24"/>
          <w:szCs w:val="24"/>
          <w:lang w:val="en-GB"/>
        </w:rPr>
        <w:t>详细但数据密集型方法（如成本效益分析）可能不切实际的情况下，可结合专家知识和意见使用</w:t>
      </w:r>
      <w:r w:rsidRPr="000C0842">
        <w:rPr>
          <w:rFonts w:eastAsia="SimSun" w:hint="eastAsia"/>
          <w:sz w:val="24"/>
          <w:szCs w:val="24"/>
          <w:lang w:val="en-GB"/>
        </w:rPr>
        <w:t>这个</w:t>
      </w:r>
      <w:r w:rsidRPr="000C0842">
        <w:rPr>
          <w:rFonts w:eastAsia="SimSun"/>
          <w:sz w:val="24"/>
          <w:szCs w:val="24"/>
          <w:lang w:val="en-GB"/>
        </w:rPr>
        <w:t>方法。多标准方法将问题分解</w:t>
      </w:r>
      <w:r w:rsidRPr="000C0842">
        <w:rPr>
          <w:rFonts w:eastAsia="SimSun" w:hint="eastAsia"/>
          <w:sz w:val="24"/>
          <w:szCs w:val="24"/>
          <w:lang w:val="en-GB"/>
        </w:rPr>
        <w:t>为</w:t>
      </w:r>
      <w:r w:rsidRPr="000C0842">
        <w:rPr>
          <w:rFonts w:eastAsia="SimSun"/>
          <w:sz w:val="24"/>
          <w:szCs w:val="24"/>
          <w:lang w:val="en-GB"/>
        </w:rPr>
        <w:t>一个个组成部分，以透明和理性的方式评估决策选项。</w:t>
      </w:r>
    </w:p>
    <w:p w14:paraId="43399C26"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为物种、地带、路径排序，所用分析方法和数据要求往往互不相同。因此多标准方法有助于就外来入侵物种的管理做出决策，例如何时在预防、消除或长期管理目标之间做出选择，如何对大量物种进行快速评估，或如何比较各种管理方案的可行性。应用风险、成本效益和成本效果分析进行基于风险的排序时也可使用多标准决策方法。然后再对使用这种快速方法按实际或潜在影响排序的外来入侵物种进行详细审视，</w:t>
      </w:r>
      <w:r w:rsidRPr="000C0842">
        <w:rPr>
          <w:rFonts w:eastAsia="SimSun" w:hint="eastAsia"/>
          <w:sz w:val="24"/>
          <w:szCs w:val="24"/>
          <w:lang w:val="en-GB"/>
        </w:rPr>
        <w:t>以</w:t>
      </w:r>
      <w:r w:rsidRPr="000C0842">
        <w:rPr>
          <w:rFonts w:eastAsia="SimSun"/>
          <w:sz w:val="24"/>
          <w:szCs w:val="24"/>
          <w:lang w:val="en-GB"/>
        </w:rPr>
        <w:t>确保管理是有效的、具有成本效益的、可行的。</w:t>
      </w:r>
    </w:p>
    <w:p w14:paraId="14282D3B" w14:textId="3F9D33CC"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因为多标准方法常常在无公布数据的情况下使用，所以可能</w:t>
      </w:r>
      <w:r w:rsidRPr="000C0842">
        <w:rPr>
          <w:rFonts w:eastAsia="SimSun" w:hint="eastAsia"/>
          <w:sz w:val="24"/>
          <w:szCs w:val="24"/>
          <w:lang w:val="en-GB"/>
        </w:rPr>
        <w:t>使人担心</w:t>
      </w:r>
      <w:r w:rsidRPr="000C0842">
        <w:rPr>
          <w:rFonts w:eastAsia="SimSun"/>
          <w:sz w:val="24"/>
          <w:szCs w:val="24"/>
          <w:lang w:val="en-GB"/>
        </w:rPr>
        <w:t>使用专家意见或未经证实的信息。因此应将所用信息和数据的来源、相关性和局限性及其各自的不确定性纳入分析，并在解释结果时</w:t>
      </w:r>
      <w:r w:rsidRPr="000C0842">
        <w:rPr>
          <w:rFonts w:eastAsia="SimSun" w:hint="eastAsia"/>
          <w:sz w:val="24"/>
          <w:szCs w:val="24"/>
          <w:lang w:val="en-GB"/>
        </w:rPr>
        <w:t>加以</w:t>
      </w:r>
      <w:r w:rsidRPr="000C0842">
        <w:rPr>
          <w:rFonts w:eastAsia="SimSun"/>
          <w:sz w:val="24"/>
          <w:szCs w:val="24"/>
          <w:lang w:val="en-GB"/>
        </w:rPr>
        <w:t>说明。多标准分析可利用对一些物种的现有风险分析和影响评估的标准化方法，如外来分类群的环境影响分类</w:t>
      </w:r>
      <w:r w:rsidRPr="000C0842">
        <w:rPr>
          <w:rFonts w:eastAsia="SimSun"/>
          <w:sz w:val="24"/>
          <w:szCs w:val="24"/>
          <w:vertAlign w:val="superscript"/>
          <w:lang w:val="en-GB"/>
        </w:rPr>
        <w:footnoteReference w:id="194"/>
      </w:r>
      <w:r w:rsidRPr="000C0842">
        <w:rPr>
          <w:rFonts w:eastAsia="SimSun"/>
          <w:sz w:val="24"/>
          <w:szCs w:val="24"/>
          <w:lang w:val="en-GB"/>
        </w:rPr>
        <w:t>和外来分类群的社会经济影响分类</w:t>
      </w:r>
      <w:r w:rsidRPr="000C0842">
        <w:rPr>
          <w:rFonts w:eastAsia="SimSun"/>
          <w:sz w:val="24"/>
          <w:szCs w:val="24"/>
          <w:vertAlign w:val="superscript"/>
          <w:lang w:val="en-GB"/>
        </w:rPr>
        <w:footnoteReference w:id="195"/>
      </w:r>
      <w:r w:rsidRPr="000C0842">
        <w:rPr>
          <w:rFonts w:eastAsia="SimSun"/>
          <w:sz w:val="24"/>
          <w:szCs w:val="24"/>
          <w:lang w:val="en-GB"/>
        </w:rPr>
        <w:t>。将多个标准结合起来支持一个总结论，这种方式也可能导致不同意见，因为这个结论通常基于</w:t>
      </w:r>
      <w:r w:rsidRPr="000C0842">
        <w:rPr>
          <w:rFonts w:eastAsia="SimSun" w:hint="eastAsia"/>
          <w:sz w:val="24"/>
          <w:szCs w:val="24"/>
          <w:lang w:val="en-GB"/>
        </w:rPr>
        <w:t>实际情况</w:t>
      </w:r>
      <w:r w:rsidRPr="000C0842">
        <w:rPr>
          <w:rFonts w:eastAsia="SimSun"/>
          <w:sz w:val="24"/>
          <w:szCs w:val="24"/>
          <w:lang w:val="en-GB"/>
        </w:rPr>
        <w:t>而不是经过验证的方法。因此应进行逐案评估，考虑这些方法在具体情况下的效用。</w:t>
      </w:r>
    </w:p>
    <w:p w14:paraId="645BF896" w14:textId="76436B5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SimSun"/>
          <w:sz w:val="24"/>
          <w:szCs w:val="24"/>
          <w:lang w:val="en-GB"/>
        </w:rPr>
      </w:pPr>
      <w:r w:rsidRPr="000C0842">
        <w:rPr>
          <w:rFonts w:eastAsia="SimSun"/>
          <w:sz w:val="24"/>
          <w:szCs w:val="24"/>
          <w:lang w:val="en-GB"/>
        </w:rPr>
        <w:t>可设法改进多标准方法的应用，例如对方法进行检查和协调，制定最佳做法和共同规约；加强与植物健康等其他领域专家的对话以制定最佳做法；应用最新的风险分析工具如水生物种入侵性筛选工具包</w:t>
      </w:r>
      <w:r w:rsidRPr="000C0842">
        <w:rPr>
          <w:rFonts w:eastAsia="SimSun"/>
          <w:sz w:val="24"/>
          <w:szCs w:val="24"/>
          <w:vertAlign w:val="superscript"/>
          <w:lang w:val="en-GB"/>
        </w:rPr>
        <w:footnoteReference w:id="196"/>
      </w:r>
      <w:r w:rsidRPr="000C0842">
        <w:rPr>
          <w:rFonts w:eastAsia="SimSun"/>
          <w:sz w:val="24"/>
          <w:szCs w:val="24"/>
          <w:lang w:val="en-GB"/>
        </w:rPr>
        <w:t>和长期分析</w:t>
      </w:r>
      <w:r w:rsidRPr="000C0842">
        <w:rPr>
          <w:rFonts w:eastAsia="SimSun"/>
          <w:sz w:val="24"/>
          <w:szCs w:val="24"/>
          <w:vertAlign w:val="superscript"/>
          <w:lang w:val="en-GB"/>
        </w:rPr>
        <w:footnoteReference w:id="197"/>
      </w:r>
      <w:r w:rsidRPr="000C0842">
        <w:rPr>
          <w:rFonts w:eastAsia="SimSun"/>
          <w:sz w:val="24"/>
          <w:szCs w:val="24"/>
          <w:lang w:val="en-GB"/>
        </w:rPr>
        <w:t>（如有数据）；增加已公布的经同行评议供开放获取的定量数据，并加大研究力度以生成定量数据；在征得有关土著人民自由、事先和知情同意</w:t>
      </w:r>
      <w:r w:rsidRPr="000C0842">
        <w:rPr>
          <w:rFonts w:eastAsia="SimSun"/>
          <w:sz w:val="24"/>
          <w:szCs w:val="24"/>
          <w:vertAlign w:val="superscript"/>
          <w:lang w:val="en-GB"/>
        </w:rPr>
        <w:footnoteReference w:id="198"/>
      </w:r>
      <w:r w:rsidRPr="000C0842">
        <w:rPr>
          <w:rFonts w:eastAsia="SimSun"/>
          <w:sz w:val="24"/>
          <w:szCs w:val="24"/>
          <w:lang w:val="en-GB"/>
        </w:rPr>
        <w:t>的情况下使用传统土著知识（往往是未公布的），补充其他公开来源的信息。</w:t>
      </w:r>
    </w:p>
    <w:p w14:paraId="375C8FA0" w14:textId="77777777" w:rsidR="005E77FA" w:rsidRPr="000C0842" w:rsidRDefault="005E77FA" w:rsidP="00BD006D">
      <w:pPr>
        <w:keepNext/>
        <w:tabs>
          <w:tab w:val="clear" w:pos="567"/>
          <w:tab w:val="clear" w:pos="1134"/>
          <w:tab w:val="clear" w:pos="1701"/>
          <w:tab w:val="clear" w:pos="2268"/>
        </w:tabs>
        <w:snapToGrid w:val="0"/>
        <w:spacing w:before="120" w:after="120" w:line="240" w:lineRule="atLeast"/>
        <w:rPr>
          <w:rFonts w:eastAsia="SimSun"/>
          <w:sz w:val="24"/>
          <w:szCs w:val="24"/>
          <w:lang w:val="en-GB"/>
        </w:rPr>
      </w:pPr>
      <w:r w:rsidRPr="000C0842">
        <w:rPr>
          <w:rFonts w:eastAsia="SimSun"/>
          <w:b/>
          <w:bCs/>
          <w:sz w:val="24"/>
          <w:szCs w:val="24"/>
          <w:lang w:val="en-GB"/>
        </w:rPr>
        <w:t>三</w:t>
      </w:r>
      <w:r w:rsidRPr="000C0842">
        <w:rPr>
          <w:rFonts w:eastAsia="SimSun"/>
          <w:b/>
          <w:bCs/>
          <w:sz w:val="24"/>
          <w:szCs w:val="24"/>
          <w:lang w:val="en-GB"/>
        </w:rPr>
        <w:t>.</w:t>
      </w:r>
      <w:r w:rsidRPr="000C0842">
        <w:rPr>
          <w:rFonts w:eastAsia="SimSun"/>
          <w:b/>
          <w:bCs/>
          <w:sz w:val="24"/>
          <w:szCs w:val="24"/>
          <w:lang w:val="en-GB"/>
        </w:rPr>
        <w:tab/>
      </w:r>
      <w:r w:rsidRPr="000C0842">
        <w:rPr>
          <w:rFonts w:eastAsia="SimSun"/>
          <w:b/>
          <w:bCs/>
          <w:sz w:val="24"/>
          <w:szCs w:val="24"/>
          <w:lang w:val="en-GB"/>
        </w:rPr>
        <w:t>外来入侵物种管理的</w:t>
      </w:r>
      <w:r w:rsidRPr="000C0842">
        <w:rPr>
          <w:rFonts w:eastAsia="SimSun" w:hint="eastAsia"/>
          <w:b/>
          <w:bCs/>
          <w:sz w:val="24"/>
          <w:szCs w:val="24"/>
          <w:lang w:val="en-GB"/>
        </w:rPr>
        <w:t>其他</w:t>
      </w:r>
      <w:r w:rsidRPr="000C0842">
        <w:rPr>
          <w:rFonts w:eastAsia="SimSun"/>
          <w:b/>
          <w:bCs/>
          <w:sz w:val="24"/>
          <w:szCs w:val="24"/>
          <w:lang w:val="en-GB"/>
        </w:rPr>
        <w:t>行动</w:t>
      </w:r>
    </w:p>
    <w:p w14:paraId="74FEADA3" w14:textId="77777777" w:rsidR="005E77FA" w:rsidRPr="000C0842" w:rsidRDefault="005E77FA">
      <w:pPr>
        <w:numPr>
          <w:ilvl w:val="0"/>
          <w:numId w:val="70"/>
        </w:numPr>
        <w:tabs>
          <w:tab w:val="clear" w:pos="567"/>
          <w:tab w:val="clear" w:pos="1134"/>
          <w:tab w:val="clear" w:pos="1701"/>
          <w:tab w:val="clear" w:pos="2268"/>
        </w:tabs>
        <w:spacing w:before="120" w:after="120" w:line="240" w:lineRule="atLeast"/>
        <w:ind w:left="490" w:firstLine="0"/>
        <w:rPr>
          <w:rFonts w:eastAsia="Times New Roman"/>
          <w:sz w:val="24"/>
          <w:szCs w:val="24"/>
          <w:lang w:val="en-GB"/>
        </w:rPr>
      </w:pPr>
      <w:r w:rsidRPr="000C0842">
        <w:rPr>
          <w:rFonts w:ascii="SimSun" w:eastAsia="SimSun" w:hAnsi="SimSun" w:cs="SimSun" w:hint="eastAsia"/>
          <w:sz w:val="24"/>
          <w:szCs w:val="24"/>
          <w:lang w:val="en-GB"/>
        </w:rPr>
        <w:t>建议缔约方、</w:t>
      </w:r>
      <w:r w:rsidRPr="000C0842">
        <w:rPr>
          <w:rFonts w:eastAsia="SimSun"/>
          <w:sz w:val="24"/>
          <w:szCs w:val="24"/>
          <w:lang w:val="en-GB"/>
        </w:rPr>
        <w:t>地方和次国家政府</w:t>
      </w:r>
      <w:r w:rsidRPr="000C0842">
        <w:rPr>
          <w:rFonts w:ascii="SimSun" w:eastAsia="SimSun" w:hAnsi="SimSun" w:cs="SimSun" w:hint="eastAsia"/>
          <w:sz w:val="24"/>
          <w:szCs w:val="24"/>
          <w:lang w:val="en-GB"/>
        </w:rPr>
        <w:t>、组织和利益攸关方酌情采取以下措施</w:t>
      </w:r>
      <w:r w:rsidRPr="000C0842">
        <w:rPr>
          <w:rFonts w:eastAsia="Times New Roman"/>
          <w:sz w:val="24"/>
          <w:szCs w:val="24"/>
          <w:lang w:val="en-GB"/>
        </w:rPr>
        <w:t>:</w:t>
      </w:r>
    </w:p>
    <w:p w14:paraId="69582F1D"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各级政府制定协调战略，最大限度地减少外来入侵物种的入侵和影响。制定</w:t>
      </w:r>
      <w:r w:rsidRPr="000C0842">
        <w:rPr>
          <w:rFonts w:eastAsia="SimSun" w:hint="eastAsia"/>
          <w:sz w:val="24"/>
          <w:szCs w:val="24"/>
          <w:lang w:val="en-GB"/>
        </w:rPr>
        <w:t>的</w:t>
      </w:r>
      <w:r w:rsidRPr="000C0842">
        <w:rPr>
          <w:rFonts w:eastAsia="SimSun"/>
          <w:sz w:val="24"/>
          <w:szCs w:val="24"/>
          <w:lang w:val="en-GB"/>
        </w:rPr>
        <w:t>这些战略将</w:t>
      </w:r>
      <w:r w:rsidRPr="000C0842">
        <w:rPr>
          <w:rFonts w:eastAsia="SimSun" w:hint="eastAsia"/>
          <w:sz w:val="24"/>
          <w:szCs w:val="24"/>
          <w:lang w:val="en-GB"/>
        </w:rPr>
        <w:t>成为</w:t>
      </w:r>
      <w:r w:rsidRPr="000C0842">
        <w:rPr>
          <w:rFonts w:eastAsia="SimSun"/>
          <w:sz w:val="24"/>
          <w:szCs w:val="24"/>
          <w:lang w:val="en-GB"/>
        </w:rPr>
        <w:t>国家生物多样性战略和行动计划和（或）国家入侵物种战略和行动计划的一部分。如有可能，应使用相同的时间表，并考虑到更广泛的国际合作。战略内容可包括加强和协调现有方案，采取新的举措查明和填补空白，借助伙伴组织（包括学术界和科学机构、民间社会组织、土著人民和地方社区、妇女和青年）的优势和能力；</w:t>
      </w:r>
    </w:p>
    <w:p w14:paraId="771450C3" w14:textId="4CFBFF29"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hint="eastAsia"/>
          <w:sz w:val="24"/>
          <w:szCs w:val="24"/>
          <w:lang w:val="en-GB"/>
        </w:rPr>
        <w:t>分享</w:t>
      </w:r>
      <w:r w:rsidRPr="000C0842">
        <w:rPr>
          <w:rFonts w:eastAsia="SimSun"/>
          <w:sz w:val="24"/>
          <w:szCs w:val="24"/>
          <w:vertAlign w:val="superscript"/>
          <w:lang w:val="en-CA"/>
        </w:rPr>
        <w:footnoteReference w:id="199"/>
      </w:r>
      <w:r w:rsidRPr="000C0842">
        <w:rPr>
          <w:rFonts w:eastAsia="SimSun" w:hint="eastAsia"/>
          <w:sz w:val="24"/>
          <w:szCs w:val="24"/>
          <w:lang w:val="en-GB"/>
        </w:rPr>
        <w:t>关于预防、管理、控制和消除</w:t>
      </w:r>
      <w:r w:rsidRPr="000C0842">
        <w:rPr>
          <w:rFonts w:eastAsia="SimSun"/>
          <w:sz w:val="24"/>
          <w:szCs w:val="24"/>
          <w:vertAlign w:val="superscript"/>
          <w:lang w:val="en-CA"/>
        </w:rPr>
        <w:footnoteReference w:id="200"/>
      </w:r>
      <w:r w:rsidRPr="000C0842">
        <w:rPr>
          <w:rFonts w:eastAsia="SimSun" w:hint="eastAsia"/>
          <w:sz w:val="24"/>
          <w:szCs w:val="24"/>
          <w:lang w:val="en-GB"/>
        </w:rPr>
        <w:t>外来入侵物种的最佳做法的信息，支持风险分析和管理排序。可在各级政府进行机构间和跨部门知识和信息交流</w:t>
      </w:r>
      <w:r w:rsidRPr="000C0842">
        <w:rPr>
          <w:rFonts w:eastAsia="SimSun"/>
          <w:sz w:val="24"/>
          <w:szCs w:val="24"/>
          <w:vertAlign w:val="superscript"/>
          <w:lang w:val="en-CA"/>
        </w:rPr>
        <w:footnoteReference w:id="201"/>
      </w:r>
      <w:r w:rsidRPr="000C0842">
        <w:rPr>
          <w:rFonts w:eastAsia="SimSun" w:hint="eastAsia"/>
          <w:sz w:val="24"/>
          <w:szCs w:val="24"/>
          <w:lang w:val="en-GB"/>
        </w:rPr>
        <w:t>，可制定工具（例如排定优先次序的行动清单</w:t>
      </w:r>
      <w:r w:rsidRPr="000C0842">
        <w:rPr>
          <w:rFonts w:eastAsia="SimSun"/>
          <w:sz w:val="24"/>
          <w:szCs w:val="24"/>
          <w:vertAlign w:val="superscript"/>
          <w:lang w:val="en-CA"/>
        </w:rPr>
        <w:footnoteReference w:id="202"/>
      </w:r>
      <w:r w:rsidRPr="000C0842">
        <w:rPr>
          <w:rFonts w:eastAsia="SimSun" w:hint="eastAsia"/>
          <w:sz w:val="24"/>
          <w:szCs w:val="24"/>
          <w:lang w:val="en-GB"/>
        </w:rPr>
        <w:t>和通用数据格式）；应用现有最佳确定和排序方法，包括</w:t>
      </w:r>
      <w:r w:rsidRPr="000C0842">
        <w:rPr>
          <w:rFonts w:eastAsia="SimSun"/>
          <w:sz w:val="24"/>
          <w:szCs w:val="24"/>
          <w:lang w:val="en-GB"/>
        </w:rPr>
        <w:t>成本效益和多标准方法；培训、能力建设和技术转让工作等；</w:t>
      </w:r>
    </w:p>
    <w:p w14:paraId="616B31E3"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评估预防、管理、控制和消除外来入侵物种干预战略的成本、效益和优先次序时，考虑到经济、社会和文化价值，以及对本地生物多样性可能的积极和消极影响。可借助现有的进程，例如外来物种分类的社会经济影响分类以及关于土著人民和地方社区、妇女和青年和利益攸关方参与决策的国际最佳做法</w:t>
      </w:r>
      <w:r w:rsidRPr="000C0842">
        <w:rPr>
          <w:rFonts w:eastAsia="SimSun"/>
          <w:sz w:val="24"/>
          <w:szCs w:val="24"/>
          <w:vertAlign w:val="superscript"/>
          <w:lang w:val="en-CA"/>
        </w:rPr>
        <w:footnoteReference w:id="203"/>
      </w:r>
      <w:r w:rsidRPr="000C0842">
        <w:rPr>
          <w:rFonts w:eastAsia="SimSun"/>
          <w:sz w:val="24"/>
          <w:szCs w:val="24"/>
          <w:lang w:val="en-GB"/>
        </w:rPr>
        <w:t>。建议制定准则以便在评估管理的成本、效益和优先事项时，将社会和文化</w:t>
      </w:r>
      <w:r w:rsidRPr="000C0842">
        <w:rPr>
          <w:rFonts w:eastAsia="SimSun" w:hint="eastAsia"/>
          <w:sz w:val="24"/>
          <w:szCs w:val="24"/>
          <w:lang w:val="en-GB"/>
        </w:rPr>
        <w:t>价值</w:t>
      </w:r>
      <w:r w:rsidRPr="000C0842">
        <w:rPr>
          <w:rFonts w:eastAsia="SimSun"/>
          <w:sz w:val="24"/>
          <w:szCs w:val="24"/>
          <w:lang w:val="en-GB"/>
        </w:rPr>
        <w:t>更明确地纳入其中。</w:t>
      </w:r>
    </w:p>
    <w:p w14:paraId="6865C4C7"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凡可能时，决策和风险分析应尽可能地考虑以科学</w:t>
      </w:r>
      <w:r w:rsidRPr="000C0842">
        <w:rPr>
          <w:rFonts w:eastAsia="SimSun" w:hint="eastAsia"/>
          <w:sz w:val="24"/>
          <w:szCs w:val="24"/>
          <w:lang w:val="en-GB"/>
        </w:rPr>
        <w:t>证据</w:t>
      </w:r>
      <w:r w:rsidRPr="000C0842">
        <w:rPr>
          <w:rFonts w:eastAsia="SimSun"/>
          <w:sz w:val="24"/>
          <w:szCs w:val="24"/>
          <w:lang w:val="en-GB"/>
        </w:rPr>
        <w:t>为基础，遵循相关国际组织或文书，如《国际植物保护公约》和世界动物卫生组织商定的国际标准，与此同时，尽可能考虑土著知识体系，包括其社会、文化和生态层面，因为这些有助于进行全面评估；</w:t>
      </w:r>
    </w:p>
    <w:p w14:paraId="233AF50A"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以整体方式宣传外来入侵物种的风险，包括相关的不确定性，以及与其引进相关的潜在后果，同时考虑到对生物多样性、经济、土著人民和地方社区的文化和社会价值、公共卫生、动物健康和福祉、生活质量和气候复原力的影响。</w:t>
      </w:r>
    </w:p>
    <w:p w14:paraId="27D745F1"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采用早期发现和快速响应措施，防止外来物种的新入侵，包括通过快速风险评估、可能的从假设入手的分布模型、监测、公民科学方案和警报系统以及快速反应规约，如事故指挥系统；</w:t>
      </w:r>
    </w:p>
    <w:p w14:paraId="08A30911"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使用针对具体风险水平和生物多样性特征的工具和干预措施。这有助于管理重点地带的预防、消除或控制工作，例如岛屿，外来入侵物种是岛屿生物多样性丧失的主要驱动因素，应使用针对岛屿的排序工具，或是在预防工作非常重要的海洋和毗连的水系；</w:t>
      </w:r>
    </w:p>
    <w:p w14:paraId="719F94D5"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使用决策支助工具，即使</w:t>
      </w:r>
      <w:r w:rsidRPr="000C0842">
        <w:rPr>
          <w:rFonts w:eastAsia="SimSun" w:hint="eastAsia"/>
          <w:sz w:val="24"/>
          <w:szCs w:val="24"/>
          <w:lang w:val="en-GB"/>
        </w:rPr>
        <w:t>有</w:t>
      </w:r>
      <w:r w:rsidRPr="000C0842">
        <w:rPr>
          <w:rFonts w:eastAsia="SimSun"/>
          <w:sz w:val="24"/>
          <w:szCs w:val="24"/>
          <w:lang w:val="en-GB"/>
        </w:rPr>
        <w:t>知识和数据空白，这些工具也能让管理行动依照预防性办法付诸实施；</w:t>
      </w:r>
    </w:p>
    <w:p w14:paraId="121DB069" w14:textId="77777777" w:rsidR="005E77FA" w:rsidRPr="000C0842" w:rsidRDefault="005E77FA">
      <w:pPr>
        <w:numPr>
          <w:ilvl w:val="0"/>
          <w:numId w:val="63"/>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Hei"/>
          <w:sz w:val="24"/>
          <w:szCs w:val="24"/>
          <w:lang w:val="en-GB"/>
        </w:rPr>
      </w:pPr>
      <w:r w:rsidRPr="000C0842">
        <w:rPr>
          <w:rFonts w:eastAsia="SimSun"/>
          <w:sz w:val="24"/>
          <w:szCs w:val="24"/>
          <w:lang w:val="en-GB"/>
        </w:rPr>
        <w:t>进行快速评估，支持外来入侵物种消除、遏制或管理措施决策。非货币尺度快速评估法有助于生成重点物种的</w:t>
      </w:r>
      <w:r w:rsidRPr="000C0842">
        <w:rPr>
          <w:rFonts w:eastAsia="SimSun"/>
          <w:sz w:val="24"/>
          <w:szCs w:val="24"/>
          <w:lang w:val="en-GB"/>
        </w:rPr>
        <w:t>“</w:t>
      </w:r>
      <w:r w:rsidRPr="000C0842">
        <w:rPr>
          <w:rFonts w:eastAsia="SimSun"/>
          <w:sz w:val="24"/>
          <w:szCs w:val="24"/>
          <w:lang w:val="en-GB"/>
        </w:rPr>
        <w:t>短名单</w:t>
      </w:r>
      <w:r w:rsidRPr="000C0842">
        <w:rPr>
          <w:rFonts w:eastAsia="SimSun"/>
          <w:sz w:val="24"/>
          <w:szCs w:val="24"/>
          <w:lang w:val="en-GB"/>
        </w:rPr>
        <w:t>”</w:t>
      </w:r>
      <w:r w:rsidRPr="000C0842">
        <w:rPr>
          <w:rFonts w:eastAsia="SimSun"/>
          <w:sz w:val="24"/>
          <w:szCs w:val="24"/>
          <w:lang w:val="en-GB"/>
        </w:rPr>
        <w:t>，供管理</w:t>
      </w:r>
      <w:r w:rsidRPr="000C0842">
        <w:rPr>
          <w:rFonts w:eastAsia="SimSun" w:hint="eastAsia"/>
          <w:sz w:val="24"/>
          <w:szCs w:val="24"/>
          <w:lang w:val="en-GB"/>
        </w:rPr>
        <w:t>时</w:t>
      </w:r>
      <w:r w:rsidRPr="000C0842">
        <w:rPr>
          <w:rFonts w:eastAsia="SimSun"/>
          <w:sz w:val="24"/>
          <w:szCs w:val="24"/>
          <w:lang w:val="en-GB"/>
        </w:rPr>
        <w:t>考虑。然而作出管理行动决策时要进行详细的试点研究和经济评估。为了支持风险管理，在下述情况下可能需要采用额外或补充方法：需要快速评估的物种量很大，缺少详细信息，或者需要使用不以货币尺度计量的社会和文化价值投入。</w:t>
      </w:r>
    </w:p>
    <w:p w14:paraId="1FFBB667" w14:textId="77777777" w:rsidR="005E77FA" w:rsidRPr="000C0842" w:rsidRDefault="005E77FA" w:rsidP="00315B5A">
      <w:pPr>
        <w:tabs>
          <w:tab w:val="clear" w:pos="567"/>
          <w:tab w:val="clear" w:pos="1134"/>
          <w:tab w:val="clear" w:pos="1701"/>
          <w:tab w:val="clear" w:pos="2268"/>
        </w:tabs>
        <w:spacing w:before="240"/>
        <w:ind w:left="490"/>
        <w:jc w:val="left"/>
        <w:rPr>
          <w:rFonts w:eastAsia="SimSun"/>
          <w:b/>
          <w:bCs/>
          <w:caps/>
          <w:kern w:val="22"/>
          <w:sz w:val="24"/>
          <w:szCs w:val="24"/>
          <w:lang w:val="en-GB"/>
        </w:rPr>
      </w:pPr>
      <w:r w:rsidRPr="000C0842">
        <w:rPr>
          <w:rFonts w:eastAsia="SimSun"/>
          <w:b/>
          <w:bCs/>
          <w:caps/>
          <w:kern w:val="22"/>
          <w:sz w:val="24"/>
          <w:szCs w:val="24"/>
          <w:lang w:val="en-GB"/>
        </w:rPr>
        <w:t>附件二</w:t>
      </w:r>
    </w:p>
    <w:p w14:paraId="16915786" w14:textId="77777777" w:rsidR="005E77FA" w:rsidRPr="000C0842" w:rsidRDefault="005E77FA" w:rsidP="005E77FA">
      <w:pPr>
        <w:tabs>
          <w:tab w:val="clear" w:pos="567"/>
          <w:tab w:val="clear" w:pos="1134"/>
          <w:tab w:val="clear" w:pos="1701"/>
          <w:tab w:val="clear" w:pos="2268"/>
        </w:tabs>
        <w:snapToGrid w:val="0"/>
        <w:ind w:left="490"/>
        <w:rPr>
          <w:rFonts w:eastAsia="SimSun"/>
          <w:b/>
          <w:bCs/>
          <w:caps/>
          <w:kern w:val="22"/>
          <w:sz w:val="24"/>
          <w:szCs w:val="24"/>
          <w:lang w:val="en-GB"/>
        </w:rPr>
      </w:pPr>
      <w:r w:rsidRPr="000C0842">
        <w:rPr>
          <w:rFonts w:eastAsia="SimSun"/>
          <w:b/>
          <w:bCs/>
          <w:sz w:val="24"/>
          <w:szCs w:val="24"/>
        </w:rPr>
        <w:t>查明和最大限度减少与活生物体跨境电子商务相关的额外风险及其影响</w:t>
      </w:r>
    </w:p>
    <w:p w14:paraId="60D77BCE"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本附件载有对缔约方和利益攸关方的咨询和自愿指导意见，以期支持执行《昆明</w:t>
      </w:r>
      <w:r w:rsidRPr="000C0842">
        <w:rPr>
          <w:rFonts w:eastAsia="SimSun"/>
          <w:caps/>
          <w:kern w:val="22"/>
          <w:sz w:val="24"/>
          <w:szCs w:val="24"/>
          <w:lang w:val="en-GB"/>
        </w:rPr>
        <w:t>-</w:t>
      </w:r>
      <w:r w:rsidRPr="000C0842">
        <w:rPr>
          <w:rFonts w:eastAsia="SimSun"/>
          <w:caps/>
          <w:kern w:val="22"/>
          <w:sz w:val="24"/>
          <w:szCs w:val="24"/>
          <w:lang w:val="en-GB"/>
        </w:rPr>
        <w:t>蒙特利尔全球生物多样性框架》</w:t>
      </w:r>
      <w:r w:rsidRPr="000C0842">
        <w:rPr>
          <w:rFonts w:eastAsia="SimSun"/>
          <w:sz w:val="24"/>
          <w:szCs w:val="24"/>
          <w:vertAlign w:val="superscript"/>
        </w:rPr>
        <w:footnoteReference w:id="204"/>
      </w:r>
      <w:r w:rsidRPr="000C0842">
        <w:rPr>
          <w:rFonts w:eastAsia="SimSun"/>
          <w:caps/>
          <w:kern w:val="22"/>
          <w:sz w:val="24"/>
          <w:szCs w:val="24"/>
          <w:lang w:val="en-GB"/>
        </w:rPr>
        <w:t>特别是关于外来入侵物种的行动目标</w:t>
      </w:r>
      <w:r w:rsidRPr="000C0842">
        <w:rPr>
          <w:rFonts w:eastAsia="SimSun"/>
          <w:caps/>
          <w:kern w:val="22"/>
          <w:sz w:val="24"/>
          <w:szCs w:val="24"/>
          <w:lang w:val="en-GB"/>
        </w:rPr>
        <w:t>6</w:t>
      </w:r>
      <w:r w:rsidRPr="000C0842">
        <w:rPr>
          <w:rFonts w:eastAsia="SimSun"/>
          <w:caps/>
          <w:kern w:val="22"/>
          <w:sz w:val="24"/>
          <w:szCs w:val="24"/>
          <w:lang w:val="en-GB"/>
        </w:rPr>
        <w:t>以及其他相关行动目标。</w:t>
      </w:r>
    </w:p>
    <w:p w14:paraId="45B57CA8"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rPr>
          <w:rFonts w:eastAsia="SimSun"/>
          <w:b/>
          <w:bCs/>
          <w:caps/>
          <w:kern w:val="22"/>
          <w:sz w:val="24"/>
          <w:szCs w:val="24"/>
          <w:lang w:val="en-GB"/>
        </w:rPr>
      </w:pPr>
      <w:r w:rsidRPr="000C0842">
        <w:rPr>
          <w:rFonts w:eastAsia="SimSun"/>
          <w:b/>
          <w:bCs/>
          <w:caps/>
          <w:kern w:val="22"/>
          <w:sz w:val="24"/>
          <w:szCs w:val="24"/>
          <w:lang w:val="en-GB"/>
        </w:rPr>
        <w:t>一</w:t>
      </w:r>
      <w:r w:rsidRPr="000C0842">
        <w:rPr>
          <w:rFonts w:eastAsia="SimSun"/>
          <w:b/>
          <w:bCs/>
          <w:caps/>
          <w:kern w:val="22"/>
          <w:sz w:val="24"/>
          <w:szCs w:val="24"/>
          <w:lang w:val="en-GB"/>
        </w:rPr>
        <w:t>.</w:t>
      </w:r>
      <w:r w:rsidRPr="000C0842">
        <w:rPr>
          <w:rFonts w:eastAsia="SimSun"/>
          <w:b/>
          <w:bCs/>
          <w:caps/>
          <w:kern w:val="22"/>
          <w:sz w:val="24"/>
          <w:szCs w:val="24"/>
          <w:lang w:val="en-GB"/>
        </w:rPr>
        <w:tab/>
      </w:r>
      <w:r w:rsidRPr="000C0842">
        <w:rPr>
          <w:rFonts w:eastAsia="SimSun"/>
          <w:b/>
          <w:bCs/>
          <w:caps/>
          <w:kern w:val="22"/>
          <w:sz w:val="24"/>
          <w:szCs w:val="24"/>
          <w:lang w:val="en-GB"/>
        </w:rPr>
        <w:t>建议国家和次国家当局以及边境机构采取的行动</w:t>
      </w:r>
    </w:p>
    <w:p w14:paraId="5E7C054F"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rPr>
          <w:rFonts w:eastAsia="SimSun"/>
          <w:b/>
          <w:bCs/>
          <w:caps/>
          <w:kern w:val="22"/>
          <w:sz w:val="24"/>
          <w:szCs w:val="24"/>
          <w:lang w:val="en-GB"/>
        </w:rPr>
      </w:pPr>
      <w:r w:rsidRPr="000C0842">
        <w:rPr>
          <w:rFonts w:eastAsia="SimSun"/>
          <w:b/>
          <w:bCs/>
          <w:caps/>
          <w:kern w:val="22"/>
          <w:sz w:val="24"/>
          <w:szCs w:val="24"/>
          <w:lang w:val="en-GB"/>
        </w:rPr>
        <w:t>A.</w:t>
      </w:r>
      <w:r w:rsidRPr="000C0842">
        <w:rPr>
          <w:rFonts w:eastAsia="SimSun"/>
          <w:b/>
          <w:bCs/>
          <w:caps/>
          <w:kern w:val="22"/>
          <w:sz w:val="24"/>
          <w:szCs w:val="24"/>
          <w:lang w:val="en-GB"/>
        </w:rPr>
        <w:tab/>
      </w:r>
      <w:r w:rsidRPr="000C0842">
        <w:rPr>
          <w:rFonts w:eastAsia="SimSun"/>
          <w:b/>
          <w:bCs/>
          <w:caps/>
          <w:kern w:val="22"/>
          <w:sz w:val="24"/>
          <w:szCs w:val="24"/>
          <w:lang w:val="en-GB"/>
        </w:rPr>
        <w:t>法律、政策和技术行动</w:t>
      </w:r>
    </w:p>
    <w:p w14:paraId="56E47E17"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建议缔约方、组织和利益攸关方酌情采取以下行动：</w:t>
      </w:r>
    </w:p>
    <w:p w14:paraId="16C622C2" w14:textId="7A78B536"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调查和评估</w:t>
      </w:r>
      <w:r w:rsidRPr="000C0842">
        <w:rPr>
          <w:rFonts w:eastAsia="SimSun"/>
          <w:kern w:val="22"/>
          <w:sz w:val="24"/>
          <w:szCs w:val="24"/>
          <w:lang w:val="en-GB"/>
        </w:rPr>
        <w:t>外来入侵和潜在外来入侵物种所有形式的电子商务</w:t>
      </w:r>
      <w:r w:rsidRPr="000C0842">
        <w:rPr>
          <w:rFonts w:eastAsia="SimSun"/>
          <w:kern w:val="22"/>
          <w:sz w:val="24"/>
          <w:szCs w:val="24"/>
          <w:vertAlign w:val="superscript"/>
          <w:lang w:val="en-GB"/>
        </w:rPr>
        <w:footnoteReference w:id="205"/>
      </w:r>
      <w:r w:rsidRPr="000C0842">
        <w:rPr>
          <w:rFonts w:eastAsia="SimSun"/>
          <w:kern w:val="22"/>
          <w:sz w:val="24"/>
          <w:szCs w:val="24"/>
          <w:lang w:val="en-GB"/>
        </w:rPr>
        <w:t>带来的风险，包括来自跨境贸易的风险，制定和执行适当的风险管理战略</w:t>
      </w:r>
      <w:r w:rsidRPr="000C0842">
        <w:rPr>
          <w:rFonts w:eastAsia="SimSun"/>
          <w:kern w:val="22"/>
          <w:sz w:val="24"/>
          <w:szCs w:val="24"/>
          <w:vertAlign w:val="superscript"/>
          <w:lang w:val="en-GB"/>
        </w:rPr>
        <w:footnoteReference w:id="206"/>
      </w:r>
      <w:r w:rsidRPr="000C0842">
        <w:rPr>
          <w:rFonts w:eastAsia="SimSun"/>
          <w:kern w:val="22"/>
          <w:sz w:val="24"/>
          <w:szCs w:val="24"/>
          <w:lang w:val="en-GB"/>
        </w:rPr>
        <w:t>；</w:t>
      </w:r>
    </w:p>
    <w:p w14:paraId="4A301D41" w14:textId="64BAE134"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酌情审查现有的国家、次国家和</w:t>
      </w:r>
      <w:r w:rsidRPr="000C0842">
        <w:rPr>
          <w:rFonts w:eastAsia="SimSun" w:hint="eastAsia"/>
          <w:kern w:val="22"/>
          <w:sz w:val="24"/>
          <w:szCs w:val="24"/>
          <w:lang w:val="en-GB"/>
        </w:rPr>
        <w:t>区域</w:t>
      </w:r>
      <w:r w:rsidRPr="000C0842">
        <w:rPr>
          <w:rFonts w:eastAsia="SimSun"/>
          <w:kern w:val="22"/>
          <w:sz w:val="24"/>
          <w:szCs w:val="24"/>
          <w:lang w:val="en-GB"/>
        </w:rPr>
        <w:t>法律、条例</w:t>
      </w:r>
      <w:r w:rsidRPr="000C0842">
        <w:rPr>
          <w:rFonts w:eastAsia="SimSun"/>
          <w:kern w:val="22"/>
          <w:sz w:val="24"/>
          <w:szCs w:val="24"/>
          <w:vertAlign w:val="superscript"/>
          <w:lang w:val="en-GB"/>
        </w:rPr>
        <w:footnoteReference w:id="207"/>
      </w:r>
      <w:r w:rsidRPr="000C0842">
        <w:rPr>
          <w:rFonts w:eastAsia="SimSun"/>
          <w:kern w:val="22"/>
          <w:sz w:val="24"/>
          <w:szCs w:val="24"/>
          <w:lang w:val="en-GB"/>
        </w:rPr>
        <w:t>和政策，</w:t>
      </w:r>
      <w:r w:rsidRPr="000C0842">
        <w:rPr>
          <w:rFonts w:eastAsia="SimSun"/>
          <w:sz w:val="24"/>
          <w:szCs w:val="24"/>
          <w:lang w:val="en-GB"/>
        </w:rPr>
        <w:t>核查电子商务是否得到适当处理</w:t>
      </w:r>
      <w:r w:rsidRPr="000C0842">
        <w:rPr>
          <w:rFonts w:eastAsia="SimSun"/>
          <w:kern w:val="22"/>
          <w:sz w:val="24"/>
          <w:szCs w:val="24"/>
          <w:lang w:val="en-GB"/>
        </w:rPr>
        <w:t>，进行必要的修改，确保必要时可以采取执法行动，降低野生生物</w:t>
      </w:r>
      <w:r w:rsidRPr="000C0842">
        <w:rPr>
          <w:rFonts w:eastAsia="SimSun"/>
          <w:kern w:val="22"/>
          <w:sz w:val="24"/>
          <w:szCs w:val="24"/>
          <w:vertAlign w:val="superscript"/>
          <w:lang w:val="en-GB"/>
        </w:rPr>
        <w:footnoteReference w:id="208"/>
      </w:r>
      <w:r w:rsidRPr="000C0842">
        <w:rPr>
          <w:rFonts w:eastAsia="SimSun"/>
          <w:kern w:val="22"/>
          <w:sz w:val="24"/>
          <w:szCs w:val="24"/>
          <w:lang w:val="en-GB"/>
        </w:rPr>
        <w:t>电子商务带来的生物入侵风险（根据</w:t>
      </w:r>
      <w:r w:rsidRPr="000C0842">
        <w:rPr>
          <w:rFonts w:eastAsia="SimSun"/>
          <w:kern w:val="22"/>
          <w:sz w:val="24"/>
          <w:szCs w:val="24"/>
          <w:lang w:val="en-GB"/>
        </w:rPr>
        <w:t>2016</w:t>
      </w:r>
      <w:r w:rsidRPr="000C0842">
        <w:rPr>
          <w:rFonts w:eastAsia="SimSun"/>
          <w:kern w:val="22"/>
          <w:sz w:val="24"/>
          <w:szCs w:val="24"/>
          <w:lang w:val="en-GB"/>
        </w:rPr>
        <w:t>年</w:t>
      </w:r>
      <w:r w:rsidRPr="000C0842">
        <w:rPr>
          <w:rFonts w:eastAsia="SimSun"/>
          <w:kern w:val="22"/>
          <w:sz w:val="24"/>
          <w:szCs w:val="24"/>
          <w:lang w:val="en-GB"/>
        </w:rPr>
        <w:t>12</w:t>
      </w:r>
      <w:r w:rsidRPr="000C0842">
        <w:rPr>
          <w:rFonts w:eastAsia="SimSun"/>
          <w:kern w:val="22"/>
          <w:sz w:val="24"/>
          <w:szCs w:val="24"/>
          <w:lang w:val="en-GB"/>
        </w:rPr>
        <w:t>月</w:t>
      </w:r>
      <w:r w:rsidRPr="000C0842">
        <w:rPr>
          <w:rFonts w:eastAsia="SimSun"/>
          <w:kern w:val="22"/>
          <w:sz w:val="24"/>
          <w:szCs w:val="24"/>
          <w:lang w:val="en-GB"/>
        </w:rPr>
        <w:t>17</w:t>
      </w:r>
      <w:r w:rsidRPr="000C0842">
        <w:rPr>
          <w:rFonts w:eastAsia="SimSun"/>
          <w:kern w:val="22"/>
          <w:sz w:val="24"/>
          <w:szCs w:val="24"/>
          <w:lang w:val="en-GB"/>
        </w:rPr>
        <w:t>日第</w:t>
      </w:r>
      <w:hyperlink r:id="rId142" w:history="1">
        <w:r w:rsidRPr="000C0842">
          <w:rPr>
            <w:rFonts w:eastAsia="SimSun"/>
            <w:kern w:val="22"/>
            <w:sz w:val="24"/>
            <w:szCs w:val="24"/>
            <w:u w:val="single"/>
            <w:lang w:val="en-GB"/>
          </w:rPr>
          <w:t>XIII/13</w:t>
        </w:r>
      </w:hyperlink>
      <w:r w:rsidRPr="000C0842">
        <w:rPr>
          <w:rFonts w:eastAsia="SimSun"/>
          <w:kern w:val="22"/>
          <w:sz w:val="24"/>
          <w:szCs w:val="24"/>
          <w:lang w:val="en-GB"/>
        </w:rPr>
        <w:t>号决定）；</w:t>
      </w:r>
    </w:p>
    <w:p w14:paraId="32DF29F8" w14:textId="77777777"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减少与通过网购</w:t>
      </w:r>
      <w:r w:rsidRPr="000C0842">
        <w:rPr>
          <w:rFonts w:eastAsia="SimSun" w:hint="eastAsia"/>
          <w:kern w:val="22"/>
          <w:sz w:val="24"/>
          <w:szCs w:val="24"/>
          <w:lang w:val="en-GB"/>
        </w:rPr>
        <w:t>进行</w:t>
      </w:r>
      <w:r w:rsidRPr="000C0842">
        <w:rPr>
          <w:rFonts w:eastAsia="SimSun"/>
          <w:kern w:val="22"/>
          <w:sz w:val="24"/>
          <w:szCs w:val="24"/>
          <w:lang w:val="en-GB"/>
        </w:rPr>
        <w:t>外来入侵物种贸易相关的风险（根据第</w:t>
      </w:r>
      <w:hyperlink r:id="rId143" w:history="1">
        <w:r w:rsidRPr="000C0842">
          <w:rPr>
            <w:rFonts w:eastAsia="SimSun"/>
            <w:kern w:val="22"/>
            <w:sz w:val="24"/>
            <w:szCs w:val="24"/>
            <w:u w:val="single"/>
            <w:lang w:val="en-GB"/>
          </w:rPr>
          <w:t>XIII/13</w:t>
        </w:r>
      </w:hyperlink>
      <w:r w:rsidRPr="000C0842">
        <w:rPr>
          <w:rFonts w:eastAsia="SimSun"/>
          <w:kern w:val="22"/>
          <w:sz w:val="24"/>
          <w:szCs w:val="24"/>
          <w:lang w:val="en-GB"/>
        </w:rPr>
        <w:t>号决定，第</w:t>
      </w:r>
      <w:r w:rsidRPr="000C0842">
        <w:rPr>
          <w:rFonts w:eastAsia="SimSun"/>
          <w:kern w:val="22"/>
          <w:sz w:val="24"/>
          <w:szCs w:val="24"/>
          <w:lang w:val="en-GB"/>
        </w:rPr>
        <w:t>7</w:t>
      </w:r>
      <w:r w:rsidRPr="000C0842">
        <w:rPr>
          <w:rFonts w:eastAsia="SimSun"/>
          <w:kern w:val="22"/>
          <w:sz w:val="24"/>
          <w:szCs w:val="24"/>
          <w:lang w:val="en-GB"/>
        </w:rPr>
        <w:t>段），办法是；使用关于制定和实施措施解决</w:t>
      </w:r>
      <w:r w:rsidRPr="000C0842">
        <w:rPr>
          <w:rFonts w:eastAsia="SimSun" w:hint="eastAsia"/>
          <w:kern w:val="22"/>
          <w:sz w:val="24"/>
          <w:szCs w:val="24"/>
          <w:lang w:val="en-GB"/>
        </w:rPr>
        <w:t>与</w:t>
      </w:r>
      <w:r w:rsidRPr="000C0842">
        <w:rPr>
          <w:rFonts w:eastAsia="SimSun"/>
          <w:kern w:val="22"/>
          <w:sz w:val="24"/>
          <w:szCs w:val="24"/>
          <w:lang w:val="en-GB"/>
        </w:rPr>
        <w:t>引进外来物种作为宠物、水族箱和</w:t>
      </w:r>
      <w:r w:rsidRPr="000C0842">
        <w:rPr>
          <w:rFonts w:eastAsia="SimSun" w:hint="eastAsia"/>
          <w:kern w:val="22"/>
          <w:sz w:val="24"/>
          <w:szCs w:val="24"/>
          <w:lang w:val="en-GB"/>
        </w:rPr>
        <w:t>温箱</w:t>
      </w:r>
      <w:r w:rsidRPr="000C0842">
        <w:rPr>
          <w:rFonts w:eastAsia="SimSun"/>
          <w:kern w:val="22"/>
          <w:sz w:val="24"/>
          <w:szCs w:val="24"/>
          <w:lang w:val="en-GB"/>
        </w:rPr>
        <w:t>物种、活饵和活食</w:t>
      </w:r>
      <w:r w:rsidRPr="000C0842">
        <w:rPr>
          <w:rFonts w:eastAsia="SimSun" w:hint="eastAsia"/>
          <w:kern w:val="22"/>
          <w:sz w:val="24"/>
          <w:szCs w:val="24"/>
          <w:lang w:val="en-GB"/>
        </w:rPr>
        <w:t>有关</w:t>
      </w:r>
      <w:r w:rsidRPr="000C0842">
        <w:rPr>
          <w:rFonts w:eastAsia="SimSun"/>
          <w:kern w:val="22"/>
          <w:sz w:val="24"/>
          <w:szCs w:val="24"/>
          <w:lang w:val="en-GB"/>
        </w:rPr>
        <w:t>的风险的指导意见（根据</w:t>
      </w:r>
      <w:r w:rsidRPr="000C0842">
        <w:rPr>
          <w:rFonts w:eastAsia="SimSun"/>
          <w:kern w:val="22"/>
          <w:sz w:val="24"/>
          <w:szCs w:val="24"/>
          <w:lang w:val="en-GB"/>
        </w:rPr>
        <w:t>2014</w:t>
      </w:r>
      <w:r w:rsidRPr="000C0842">
        <w:rPr>
          <w:rFonts w:eastAsia="SimSun"/>
          <w:kern w:val="22"/>
          <w:sz w:val="24"/>
          <w:szCs w:val="24"/>
          <w:lang w:val="en-GB"/>
        </w:rPr>
        <w:t>年</w:t>
      </w:r>
      <w:r w:rsidRPr="000C0842">
        <w:rPr>
          <w:rFonts w:eastAsia="SimSun"/>
          <w:kern w:val="22"/>
          <w:sz w:val="24"/>
          <w:szCs w:val="24"/>
          <w:lang w:val="en-GB"/>
        </w:rPr>
        <w:t>10</w:t>
      </w:r>
      <w:r w:rsidRPr="000C0842">
        <w:rPr>
          <w:rFonts w:eastAsia="SimSun"/>
          <w:kern w:val="22"/>
          <w:sz w:val="24"/>
          <w:szCs w:val="24"/>
          <w:lang w:val="en-GB"/>
        </w:rPr>
        <w:t>月</w:t>
      </w:r>
      <w:r w:rsidRPr="000C0842">
        <w:rPr>
          <w:rFonts w:eastAsia="SimSun"/>
          <w:kern w:val="22"/>
          <w:sz w:val="24"/>
          <w:szCs w:val="24"/>
          <w:lang w:val="en-GB"/>
        </w:rPr>
        <w:t>10</w:t>
      </w:r>
      <w:r w:rsidRPr="000C0842">
        <w:rPr>
          <w:rFonts w:eastAsia="SimSun"/>
          <w:kern w:val="22"/>
          <w:sz w:val="24"/>
          <w:szCs w:val="24"/>
          <w:lang w:val="en-GB"/>
        </w:rPr>
        <w:t>日第</w:t>
      </w:r>
      <w:hyperlink r:id="rId144" w:history="1">
        <w:r w:rsidRPr="000C0842">
          <w:rPr>
            <w:rFonts w:eastAsia="SimSun"/>
            <w:kern w:val="22"/>
            <w:sz w:val="24"/>
            <w:szCs w:val="24"/>
            <w:u w:val="single"/>
            <w:lang w:val="en-GB"/>
          </w:rPr>
          <w:t>XII/16</w:t>
        </w:r>
      </w:hyperlink>
      <w:r w:rsidRPr="000C0842">
        <w:rPr>
          <w:rFonts w:eastAsia="SimSun"/>
          <w:kern w:val="22"/>
          <w:sz w:val="24"/>
          <w:szCs w:val="24"/>
          <w:lang w:val="en-GB"/>
        </w:rPr>
        <w:t>号决定）和关于避免无意</w:t>
      </w:r>
      <w:r w:rsidRPr="000C0842">
        <w:rPr>
          <w:rFonts w:eastAsia="SimSun" w:hint="eastAsia"/>
          <w:kern w:val="22"/>
          <w:sz w:val="24"/>
          <w:szCs w:val="24"/>
          <w:lang w:val="en-GB"/>
        </w:rPr>
        <w:t>造成的与</w:t>
      </w:r>
      <w:r w:rsidRPr="000C0842">
        <w:rPr>
          <w:rFonts w:eastAsia="SimSun"/>
          <w:kern w:val="22"/>
          <w:sz w:val="24"/>
          <w:szCs w:val="24"/>
          <w:lang w:val="en-GB"/>
        </w:rPr>
        <w:t>活生物体贸易</w:t>
      </w:r>
      <w:r w:rsidRPr="000C0842">
        <w:rPr>
          <w:rFonts w:eastAsia="SimSun" w:hint="eastAsia"/>
          <w:kern w:val="22"/>
          <w:sz w:val="24"/>
          <w:szCs w:val="24"/>
          <w:lang w:val="en-GB"/>
        </w:rPr>
        <w:t>相关的</w:t>
      </w:r>
      <w:r w:rsidRPr="000C0842">
        <w:rPr>
          <w:rFonts w:eastAsia="SimSun"/>
          <w:kern w:val="22"/>
          <w:sz w:val="24"/>
          <w:szCs w:val="24"/>
          <w:lang w:val="en-GB"/>
        </w:rPr>
        <w:t>引</w:t>
      </w:r>
      <w:r w:rsidRPr="000C0842">
        <w:rPr>
          <w:rFonts w:eastAsia="SimSun" w:hint="eastAsia"/>
          <w:kern w:val="22"/>
          <w:sz w:val="24"/>
          <w:szCs w:val="24"/>
          <w:lang w:val="en-GB"/>
        </w:rPr>
        <w:t>进</w:t>
      </w:r>
      <w:r w:rsidRPr="000C0842">
        <w:rPr>
          <w:rFonts w:eastAsia="SimSun"/>
          <w:kern w:val="22"/>
          <w:sz w:val="24"/>
          <w:szCs w:val="24"/>
          <w:lang w:val="en-GB"/>
        </w:rPr>
        <w:t>外来入侵物种</w:t>
      </w:r>
      <w:r w:rsidRPr="000C0842">
        <w:rPr>
          <w:rFonts w:eastAsia="SimSun" w:hint="eastAsia"/>
          <w:kern w:val="22"/>
          <w:sz w:val="24"/>
          <w:szCs w:val="24"/>
          <w:lang w:val="en-GB"/>
        </w:rPr>
        <w:t>的</w:t>
      </w:r>
      <w:r w:rsidRPr="000C0842">
        <w:rPr>
          <w:rFonts w:eastAsia="SimSun"/>
          <w:kern w:val="22"/>
          <w:sz w:val="24"/>
          <w:szCs w:val="24"/>
          <w:lang w:val="en-GB"/>
        </w:rPr>
        <w:t>补充自愿指导意见（根据</w:t>
      </w:r>
      <w:r w:rsidRPr="000C0842">
        <w:rPr>
          <w:rFonts w:eastAsia="SimSun"/>
          <w:kern w:val="22"/>
          <w:sz w:val="24"/>
          <w:szCs w:val="24"/>
          <w:lang w:val="en-GB"/>
        </w:rPr>
        <w:t>2018</w:t>
      </w:r>
      <w:r w:rsidRPr="000C0842">
        <w:rPr>
          <w:rFonts w:eastAsia="SimSun"/>
          <w:kern w:val="22"/>
          <w:sz w:val="24"/>
          <w:szCs w:val="24"/>
          <w:lang w:val="en-GB"/>
        </w:rPr>
        <w:t>年</w:t>
      </w:r>
      <w:r w:rsidRPr="000C0842">
        <w:rPr>
          <w:rFonts w:eastAsia="SimSun"/>
          <w:kern w:val="22"/>
          <w:sz w:val="24"/>
          <w:szCs w:val="24"/>
          <w:lang w:val="en-GB"/>
        </w:rPr>
        <w:t>11</w:t>
      </w:r>
      <w:r w:rsidRPr="000C0842">
        <w:rPr>
          <w:rFonts w:eastAsia="SimSun"/>
          <w:kern w:val="22"/>
          <w:sz w:val="24"/>
          <w:szCs w:val="24"/>
          <w:lang w:val="en-GB"/>
        </w:rPr>
        <w:t>月</w:t>
      </w:r>
      <w:r w:rsidRPr="000C0842">
        <w:rPr>
          <w:rFonts w:eastAsia="SimSun"/>
          <w:kern w:val="22"/>
          <w:sz w:val="24"/>
          <w:szCs w:val="24"/>
          <w:lang w:val="en-GB"/>
        </w:rPr>
        <w:t>29</w:t>
      </w:r>
      <w:r w:rsidRPr="000C0842">
        <w:rPr>
          <w:rFonts w:eastAsia="SimSun"/>
          <w:kern w:val="22"/>
          <w:sz w:val="24"/>
          <w:szCs w:val="24"/>
          <w:lang w:val="en-GB"/>
        </w:rPr>
        <w:t>日第</w:t>
      </w:r>
      <w:hyperlink r:id="rId145" w:history="1">
        <w:r w:rsidRPr="000C0842">
          <w:rPr>
            <w:rFonts w:eastAsia="SimSun"/>
            <w:kern w:val="22"/>
            <w:sz w:val="24"/>
            <w:szCs w:val="24"/>
            <w:u w:val="single"/>
            <w:lang w:val="en-GB"/>
          </w:rPr>
          <w:t>14/11</w:t>
        </w:r>
      </w:hyperlink>
      <w:r w:rsidRPr="000C0842">
        <w:rPr>
          <w:rFonts w:eastAsia="SimSun"/>
          <w:kern w:val="22"/>
          <w:sz w:val="24"/>
          <w:szCs w:val="24"/>
          <w:lang w:val="en-GB"/>
        </w:rPr>
        <w:t>号决定）；</w:t>
      </w:r>
    </w:p>
    <w:p w14:paraId="3659E364" w14:textId="77777777"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加强国际和区域合作举措和网络</w:t>
      </w:r>
      <w:r w:rsidRPr="000C0842">
        <w:rPr>
          <w:rFonts w:eastAsia="SimSun"/>
          <w:kern w:val="22"/>
          <w:sz w:val="24"/>
          <w:szCs w:val="24"/>
          <w:lang w:val="en-GB"/>
        </w:rPr>
        <w:t>，以期交流良好做法，加强国家和次国家政策和法律，同时顾及具体情况和优先事项；</w:t>
      </w:r>
    </w:p>
    <w:p w14:paraId="31753411" w14:textId="77777777"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与相关组织合作</w:t>
      </w:r>
      <w:r w:rsidRPr="000C0842">
        <w:rPr>
          <w:rFonts w:eastAsia="SimSun"/>
          <w:kern w:val="22"/>
          <w:sz w:val="24"/>
          <w:szCs w:val="24"/>
          <w:lang w:val="en-GB"/>
        </w:rPr>
        <w:t>，建立和支持各种机制，以查明与</w:t>
      </w:r>
      <w:r w:rsidRPr="000C0842">
        <w:rPr>
          <w:rFonts w:eastAsia="SimSun" w:hint="eastAsia"/>
          <w:kern w:val="22"/>
          <w:sz w:val="24"/>
          <w:szCs w:val="24"/>
          <w:lang w:val="en-GB"/>
        </w:rPr>
        <w:t>电子商务</w:t>
      </w:r>
      <w:r w:rsidRPr="000C0842">
        <w:rPr>
          <w:rFonts w:eastAsia="SimSun"/>
          <w:kern w:val="22"/>
          <w:sz w:val="24"/>
          <w:szCs w:val="24"/>
          <w:lang w:val="en-GB"/>
        </w:rPr>
        <w:t>相关的外来入侵物种的发生和传播，重点是高风险和潜在高风险货物，如土壤、生长介质、活生物体（酌情包括其垫料）；</w:t>
      </w:r>
    </w:p>
    <w:p w14:paraId="785B479D" w14:textId="705E78BB"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酌情使用</w:t>
      </w:r>
      <w:r w:rsidRPr="000C0842">
        <w:rPr>
          <w:rFonts w:eastAsia="SimSun"/>
          <w:kern w:val="22"/>
          <w:sz w:val="24"/>
          <w:szCs w:val="24"/>
          <w:lang w:val="en-GB"/>
        </w:rPr>
        <w:t xml:space="preserve"> “</w:t>
      </w:r>
      <w:r w:rsidRPr="000C0842">
        <w:rPr>
          <w:rFonts w:eastAsia="SimSun"/>
          <w:kern w:val="22"/>
          <w:sz w:val="24"/>
          <w:szCs w:val="24"/>
          <w:lang w:val="en-GB"/>
        </w:rPr>
        <w:t>全球引进和入侵物种登记册</w:t>
      </w:r>
      <w:r w:rsidRPr="000C0842">
        <w:rPr>
          <w:rFonts w:eastAsia="SimSun"/>
          <w:kern w:val="22"/>
          <w:sz w:val="24"/>
          <w:szCs w:val="24"/>
          <w:lang w:val="en-GB"/>
        </w:rPr>
        <w:t>”</w:t>
      </w:r>
      <w:r w:rsidRPr="000C0842">
        <w:rPr>
          <w:rFonts w:eastAsia="SimSun"/>
          <w:kern w:val="22"/>
          <w:sz w:val="24"/>
          <w:szCs w:val="24"/>
          <w:vertAlign w:val="superscript"/>
          <w:lang w:val="en-GB"/>
        </w:rPr>
        <w:footnoteReference w:id="209"/>
      </w:r>
      <w:r w:rsidRPr="000C0842">
        <w:rPr>
          <w:rFonts w:eastAsia="SimSun"/>
          <w:kern w:val="22"/>
          <w:sz w:val="24"/>
          <w:szCs w:val="24"/>
          <w:lang w:val="en-GB"/>
        </w:rPr>
        <w:t>等现有工具，这些工具提供国家一级外来物种和外来入侵物种核对清单，并有助于采取行动查明与</w:t>
      </w:r>
      <w:r w:rsidRPr="000C0842">
        <w:rPr>
          <w:rFonts w:eastAsia="SimSun" w:hint="eastAsia"/>
          <w:kern w:val="22"/>
          <w:sz w:val="24"/>
          <w:szCs w:val="24"/>
          <w:lang w:val="en-GB"/>
        </w:rPr>
        <w:t>电子商务</w:t>
      </w:r>
      <w:r w:rsidRPr="000C0842">
        <w:rPr>
          <w:rFonts w:eastAsia="SimSun"/>
          <w:kern w:val="22"/>
          <w:sz w:val="24"/>
          <w:szCs w:val="24"/>
          <w:lang w:val="en-GB"/>
        </w:rPr>
        <w:t>相关的外来入侵物种；</w:t>
      </w:r>
      <w:r w:rsidRPr="000C0842">
        <w:rPr>
          <w:rFonts w:eastAsia="SimSun"/>
          <w:kern w:val="22"/>
          <w:sz w:val="24"/>
          <w:szCs w:val="24"/>
          <w:lang w:val="en-GB"/>
        </w:rPr>
        <w:t xml:space="preserve">   </w:t>
      </w:r>
    </w:p>
    <w:p w14:paraId="60D75143" w14:textId="77777777"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在允许外来物种进入之前评估其带来的入侵风险</w:t>
      </w:r>
      <w:r w:rsidRPr="000C0842">
        <w:rPr>
          <w:rFonts w:eastAsia="SimSun"/>
          <w:kern w:val="22"/>
          <w:sz w:val="24"/>
          <w:szCs w:val="24"/>
          <w:lang w:val="en-GB"/>
        </w:rPr>
        <w:t>。此类评估可用于建立或更新外来入侵物种和潜在外来入侵物种清单，防止其意外引进，特别是在岛屿等特别容易受外来入侵物种侵害的地区。这些考虑应与第</w:t>
      </w:r>
      <w:hyperlink r:id="rId146" w:history="1">
        <w:r w:rsidRPr="000C0842">
          <w:rPr>
            <w:rFonts w:eastAsia="SimSun"/>
            <w:kern w:val="22"/>
            <w:sz w:val="24"/>
            <w:szCs w:val="24"/>
            <w:u w:val="single"/>
            <w:lang w:val="en-GB"/>
          </w:rPr>
          <w:t>XII/16</w:t>
        </w:r>
      </w:hyperlink>
      <w:r w:rsidRPr="000C0842">
        <w:rPr>
          <w:rFonts w:eastAsia="SimSun"/>
          <w:kern w:val="22"/>
          <w:sz w:val="24"/>
          <w:szCs w:val="24"/>
          <w:lang w:val="en-GB"/>
        </w:rPr>
        <w:t>号和第</w:t>
      </w:r>
      <w:hyperlink r:id="rId147" w:history="1">
        <w:r w:rsidRPr="000C0842">
          <w:rPr>
            <w:rFonts w:eastAsia="SimSun"/>
            <w:kern w:val="22"/>
            <w:sz w:val="24"/>
            <w:szCs w:val="24"/>
            <w:u w:val="single"/>
            <w:lang w:val="en-GB"/>
          </w:rPr>
          <w:t>14/11</w:t>
        </w:r>
      </w:hyperlink>
      <w:r w:rsidRPr="000C0842">
        <w:rPr>
          <w:rFonts w:eastAsia="SimSun"/>
          <w:kern w:val="22"/>
          <w:sz w:val="24"/>
          <w:szCs w:val="24"/>
          <w:lang w:val="en-GB"/>
        </w:rPr>
        <w:t>号决定所载指导意见以及其他适用的国际义务和标准保持一致，包括与《服务贸易总协定》</w:t>
      </w:r>
      <w:r w:rsidRPr="000C0842">
        <w:rPr>
          <w:rFonts w:eastAsia="SimSun"/>
          <w:kern w:val="22"/>
          <w:sz w:val="24"/>
          <w:szCs w:val="24"/>
          <w:vertAlign w:val="superscript"/>
          <w:lang w:val="en-GB"/>
        </w:rPr>
        <w:footnoteReference w:id="210"/>
      </w:r>
      <w:r w:rsidRPr="000C0842">
        <w:rPr>
          <w:rFonts w:eastAsia="SimSun"/>
          <w:kern w:val="22"/>
          <w:sz w:val="24"/>
          <w:szCs w:val="24"/>
          <w:lang w:val="en-GB"/>
        </w:rPr>
        <w:t xml:space="preserve"> </w:t>
      </w:r>
      <w:r w:rsidRPr="000C0842">
        <w:rPr>
          <w:rFonts w:eastAsia="SimSun"/>
          <w:kern w:val="22"/>
          <w:sz w:val="24"/>
          <w:szCs w:val="24"/>
          <w:lang w:val="en-GB"/>
        </w:rPr>
        <w:t>相关的跨境电子商务方面的义务和标准；</w:t>
      </w:r>
    </w:p>
    <w:p w14:paraId="3F5561AA" w14:textId="77777777" w:rsidR="005E77FA" w:rsidRPr="000C0842" w:rsidRDefault="005E77FA">
      <w:pPr>
        <w:numPr>
          <w:ilvl w:val="0"/>
          <w:numId w:val="6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sz w:val="24"/>
          <w:szCs w:val="24"/>
          <w:lang w:val="en-GB"/>
        </w:rPr>
        <w:t>修订和更新关于植物检疫规定范围之外的或有可能搭其他物种的便车或污染其他物种的外来入侵和潜在外来入侵物种的国际协定和进口规定</w:t>
      </w:r>
      <w:r w:rsidRPr="000C0842">
        <w:rPr>
          <w:rFonts w:eastAsia="SimSun"/>
          <w:kern w:val="22"/>
          <w:sz w:val="24"/>
          <w:szCs w:val="24"/>
          <w:lang w:val="en-GB"/>
        </w:rPr>
        <w:t>（包括电子商务方面的）。</w:t>
      </w:r>
    </w:p>
    <w:p w14:paraId="499086EE"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rPr>
          <w:rFonts w:eastAsia="SimSun"/>
          <w:b/>
          <w:bCs/>
          <w:caps/>
          <w:kern w:val="22"/>
          <w:sz w:val="24"/>
          <w:szCs w:val="24"/>
          <w:lang w:val="en-GB"/>
        </w:rPr>
      </w:pPr>
      <w:r w:rsidRPr="000C0842">
        <w:rPr>
          <w:rFonts w:eastAsia="SimSun"/>
          <w:b/>
          <w:bCs/>
          <w:caps/>
          <w:kern w:val="22"/>
          <w:sz w:val="24"/>
          <w:szCs w:val="24"/>
          <w:lang w:val="en-GB"/>
        </w:rPr>
        <w:t>B.</w:t>
      </w:r>
      <w:r w:rsidRPr="000C0842">
        <w:rPr>
          <w:rFonts w:eastAsia="SimSun"/>
          <w:b/>
          <w:bCs/>
          <w:caps/>
          <w:kern w:val="22"/>
          <w:sz w:val="24"/>
          <w:szCs w:val="24"/>
          <w:lang w:val="en-GB"/>
        </w:rPr>
        <w:tab/>
      </w:r>
      <w:r w:rsidRPr="000C0842">
        <w:rPr>
          <w:rFonts w:eastAsia="SimSun"/>
          <w:b/>
          <w:bCs/>
          <w:caps/>
          <w:kern w:val="22"/>
          <w:sz w:val="24"/>
          <w:szCs w:val="24"/>
          <w:lang w:val="en-GB"/>
        </w:rPr>
        <w:t>利益攸关方的参与</w:t>
      </w:r>
    </w:p>
    <w:p w14:paraId="48953FF0"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建议缔约方、组织和利益攸关方酌情采取以下行动：</w:t>
      </w:r>
    </w:p>
    <w:p w14:paraId="20C2AE1C"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与电子商务利益攸关方</w:t>
      </w:r>
      <w:r w:rsidRPr="000C0842">
        <w:rPr>
          <w:rFonts w:eastAsia="SimSun" w:hint="eastAsia"/>
          <w:sz w:val="24"/>
          <w:szCs w:val="24"/>
        </w:rPr>
        <w:t>协作</w:t>
      </w:r>
      <w:r w:rsidRPr="000C0842">
        <w:rPr>
          <w:rFonts w:eastAsia="SimSun"/>
          <w:caps/>
          <w:kern w:val="22"/>
          <w:sz w:val="24"/>
          <w:szCs w:val="24"/>
          <w:lang w:val="en-GB"/>
        </w:rPr>
        <w:t>制定机制，查明电子商务交易商及其所在地和其他利益攸关方，以期便利机构间和多方利益攸关方的参与和合作（根据第</w:t>
      </w:r>
      <w:hyperlink r:id="rId148" w:history="1">
        <w:r w:rsidRPr="000C0842">
          <w:rPr>
            <w:rFonts w:eastAsia="SimSun"/>
            <w:sz w:val="24"/>
            <w:szCs w:val="24"/>
            <w:u w:val="single"/>
          </w:rPr>
          <w:t>XIII/13</w:t>
        </w:r>
      </w:hyperlink>
      <w:r w:rsidRPr="000C0842">
        <w:rPr>
          <w:rFonts w:eastAsia="SimSun"/>
          <w:caps/>
          <w:kern w:val="22"/>
          <w:sz w:val="24"/>
          <w:szCs w:val="24"/>
          <w:lang w:val="en-GB"/>
        </w:rPr>
        <w:t>号决定，第</w:t>
      </w:r>
      <w:r w:rsidRPr="000C0842">
        <w:rPr>
          <w:rFonts w:eastAsia="SimSun"/>
          <w:caps/>
          <w:kern w:val="22"/>
          <w:sz w:val="24"/>
          <w:szCs w:val="24"/>
          <w:lang w:val="en-GB"/>
        </w:rPr>
        <w:t>7</w:t>
      </w:r>
      <w:r w:rsidRPr="000C0842">
        <w:rPr>
          <w:rFonts w:eastAsia="SimSun"/>
          <w:caps/>
          <w:kern w:val="22"/>
          <w:sz w:val="24"/>
          <w:szCs w:val="24"/>
          <w:lang w:val="en-GB"/>
        </w:rPr>
        <w:t>段）</w:t>
      </w:r>
      <w:r w:rsidRPr="000C0842">
        <w:rPr>
          <w:rFonts w:eastAsia="SimSun"/>
          <w:caps/>
          <w:kern w:val="22"/>
          <w:sz w:val="24"/>
          <w:szCs w:val="24"/>
          <w:lang w:val="en-GB"/>
        </w:rPr>
        <w:t>;</w:t>
      </w:r>
    </w:p>
    <w:p w14:paraId="679E2C6E"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与土著人民和地方社区、妇女和青年以及更广泛的社区和公众接触</w:t>
      </w:r>
      <w:r w:rsidRPr="000C0842">
        <w:rPr>
          <w:rFonts w:eastAsia="SimSun" w:hint="eastAsia"/>
          <w:caps/>
          <w:kern w:val="22"/>
          <w:sz w:val="24"/>
          <w:szCs w:val="24"/>
          <w:lang w:val="en-GB"/>
        </w:rPr>
        <w:t>和协作</w:t>
      </w:r>
      <w:r w:rsidRPr="000C0842">
        <w:rPr>
          <w:rFonts w:eastAsia="SimSun"/>
          <w:caps/>
          <w:kern w:val="22"/>
          <w:sz w:val="24"/>
          <w:szCs w:val="24"/>
          <w:lang w:val="en-GB"/>
        </w:rPr>
        <w:t>，防止和发现电子商务所致外来入侵物种早期入侵、建群或扩散；</w:t>
      </w:r>
    </w:p>
    <w:p w14:paraId="3A1B6402"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提供关于客户国所面临风险（在法律、环境、健康和社会文化方面）的最新高质量信息，促使客户和电子商务交易商遵守进口国的卫生、植物检疫和兽医进口、动物福祉和野生生物贸易规定（根据第</w:t>
      </w:r>
      <w:hyperlink r:id="rId149" w:history="1">
        <w:r w:rsidRPr="000C0842">
          <w:rPr>
            <w:rFonts w:eastAsia="SimSun"/>
            <w:caps/>
            <w:kern w:val="22"/>
            <w:sz w:val="24"/>
            <w:szCs w:val="24"/>
            <w:u w:val="single"/>
            <w:lang w:val="en-GB"/>
          </w:rPr>
          <w:t>14/11</w:t>
        </w:r>
      </w:hyperlink>
      <w:r w:rsidRPr="000C0842">
        <w:rPr>
          <w:rFonts w:eastAsia="SimSun"/>
          <w:caps/>
          <w:kern w:val="22"/>
          <w:sz w:val="24"/>
          <w:szCs w:val="24"/>
          <w:lang w:val="en-GB"/>
        </w:rPr>
        <w:t>号决定，第</w:t>
      </w:r>
      <w:r w:rsidRPr="000C0842">
        <w:rPr>
          <w:rFonts w:eastAsia="SimSun"/>
          <w:caps/>
          <w:kern w:val="22"/>
          <w:sz w:val="24"/>
          <w:szCs w:val="24"/>
          <w:lang w:val="en-GB"/>
        </w:rPr>
        <w:t>10</w:t>
      </w:r>
      <w:r w:rsidRPr="000C0842">
        <w:rPr>
          <w:rFonts w:eastAsia="SimSun"/>
          <w:caps/>
          <w:kern w:val="22"/>
          <w:sz w:val="24"/>
          <w:szCs w:val="24"/>
          <w:lang w:val="en-GB"/>
        </w:rPr>
        <w:t>段）</w:t>
      </w:r>
      <w:r w:rsidRPr="000C0842">
        <w:rPr>
          <w:rFonts w:eastAsia="SimSun"/>
          <w:caps/>
          <w:kern w:val="22"/>
          <w:sz w:val="24"/>
          <w:szCs w:val="24"/>
          <w:lang w:val="en-GB"/>
        </w:rPr>
        <w:t>;</w:t>
      </w:r>
    </w:p>
    <w:p w14:paraId="47D877B8"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加强与活生物体销售商和出口商以及电子商务用户的协调和沟通，酌情加强与邮政和快递服务的协调和沟通，帮助传播</w:t>
      </w:r>
      <w:r w:rsidRPr="000C0842">
        <w:rPr>
          <w:rFonts w:eastAsia="SimSun" w:hint="eastAsia"/>
          <w:caps/>
          <w:kern w:val="22"/>
          <w:sz w:val="24"/>
          <w:szCs w:val="24"/>
          <w:lang w:val="en-GB"/>
        </w:rPr>
        <w:t>有关</w:t>
      </w:r>
      <w:r w:rsidRPr="000C0842">
        <w:rPr>
          <w:rFonts w:eastAsia="SimSun"/>
          <w:caps/>
          <w:kern w:val="22"/>
          <w:sz w:val="24"/>
          <w:szCs w:val="24"/>
          <w:lang w:val="en-GB"/>
        </w:rPr>
        <w:t>风险和预防措施的信息，同时注意到邮政和快递服务在管制货物进口方面的局限性（根据第</w:t>
      </w:r>
      <w:hyperlink r:id="rId150" w:history="1">
        <w:r w:rsidRPr="000C0842">
          <w:rPr>
            <w:rFonts w:eastAsia="SimSun"/>
            <w:sz w:val="24"/>
            <w:szCs w:val="24"/>
            <w:u w:val="single"/>
          </w:rPr>
          <w:t>XII/16</w:t>
        </w:r>
      </w:hyperlink>
      <w:r w:rsidRPr="000C0842">
        <w:rPr>
          <w:rFonts w:eastAsia="SimSun"/>
          <w:caps/>
          <w:kern w:val="22"/>
          <w:sz w:val="24"/>
          <w:szCs w:val="24"/>
          <w:lang w:val="en-GB"/>
        </w:rPr>
        <w:t>号决定第</w:t>
      </w:r>
      <w:r w:rsidRPr="000C0842">
        <w:rPr>
          <w:rFonts w:eastAsia="SimSun"/>
          <w:caps/>
          <w:kern w:val="22"/>
          <w:sz w:val="24"/>
          <w:szCs w:val="24"/>
          <w:lang w:val="en-GB"/>
        </w:rPr>
        <w:t>24</w:t>
      </w:r>
      <w:r w:rsidRPr="000C0842">
        <w:rPr>
          <w:rFonts w:eastAsia="SimSun"/>
          <w:caps/>
          <w:kern w:val="22"/>
          <w:sz w:val="24"/>
          <w:szCs w:val="24"/>
          <w:lang w:val="en-GB"/>
        </w:rPr>
        <w:t>段，并考虑到第</w:t>
      </w:r>
      <w:hyperlink r:id="rId151" w:history="1">
        <w:r w:rsidRPr="000C0842">
          <w:rPr>
            <w:rFonts w:eastAsia="SimSun"/>
            <w:sz w:val="24"/>
            <w:szCs w:val="24"/>
            <w:u w:val="single"/>
          </w:rPr>
          <w:t>14/11</w:t>
        </w:r>
      </w:hyperlink>
      <w:r w:rsidRPr="000C0842">
        <w:rPr>
          <w:rFonts w:eastAsia="SimSun"/>
          <w:caps/>
          <w:kern w:val="22"/>
          <w:sz w:val="24"/>
          <w:szCs w:val="24"/>
          <w:lang w:val="en-GB"/>
        </w:rPr>
        <w:t>号决定附件一第</w:t>
      </w:r>
      <w:r w:rsidRPr="000C0842">
        <w:rPr>
          <w:rFonts w:eastAsia="SimSun"/>
          <w:caps/>
          <w:kern w:val="22"/>
          <w:sz w:val="24"/>
          <w:szCs w:val="24"/>
          <w:lang w:val="en-GB"/>
        </w:rPr>
        <w:t>7</w:t>
      </w:r>
      <w:r w:rsidRPr="000C0842">
        <w:rPr>
          <w:rFonts w:eastAsia="SimSun"/>
          <w:caps/>
          <w:kern w:val="22"/>
          <w:sz w:val="24"/>
          <w:szCs w:val="24"/>
          <w:lang w:val="en-GB"/>
        </w:rPr>
        <w:t>、</w:t>
      </w:r>
      <w:r w:rsidRPr="000C0842">
        <w:rPr>
          <w:rFonts w:eastAsia="SimSun"/>
          <w:caps/>
          <w:kern w:val="22"/>
          <w:sz w:val="24"/>
          <w:szCs w:val="24"/>
          <w:lang w:val="en-GB"/>
        </w:rPr>
        <w:t>9–11</w:t>
      </w:r>
      <w:r w:rsidRPr="000C0842">
        <w:rPr>
          <w:rFonts w:eastAsia="SimSun"/>
          <w:caps/>
          <w:kern w:val="22"/>
          <w:sz w:val="24"/>
          <w:szCs w:val="24"/>
          <w:lang w:val="en-GB"/>
        </w:rPr>
        <w:t>、</w:t>
      </w:r>
      <w:r w:rsidRPr="000C0842">
        <w:rPr>
          <w:rFonts w:eastAsia="SimSun"/>
          <w:caps/>
          <w:kern w:val="22"/>
          <w:sz w:val="24"/>
          <w:szCs w:val="24"/>
          <w:lang w:val="en-GB"/>
        </w:rPr>
        <w:t>13</w:t>
      </w:r>
      <w:r w:rsidRPr="000C0842">
        <w:rPr>
          <w:rFonts w:eastAsia="SimSun"/>
          <w:caps/>
          <w:kern w:val="22"/>
          <w:sz w:val="24"/>
          <w:szCs w:val="24"/>
          <w:lang w:val="en-GB"/>
        </w:rPr>
        <w:t>和</w:t>
      </w:r>
      <w:r w:rsidRPr="000C0842">
        <w:rPr>
          <w:rFonts w:eastAsia="SimSun"/>
          <w:caps/>
          <w:kern w:val="22"/>
          <w:sz w:val="24"/>
          <w:szCs w:val="24"/>
          <w:lang w:val="en-GB"/>
        </w:rPr>
        <w:t>29</w:t>
      </w:r>
      <w:r w:rsidRPr="000C0842">
        <w:rPr>
          <w:rFonts w:eastAsia="SimSun"/>
          <w:caps/>
          <w:kern w:val="22"/>
          <w:sz w:val="24"/>
          <w:szCs w:val="24"/>
          <w:lang w:val="en-GB"/>
        </w:rPr>
        <w:t>段）；</w:t>
      </w:r>
    </w:p>
    <w:p w14:paraId="5675A343"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与国家和</w:t>
      </w:r>
      <w:r w:rsidRPr="000C0842">
        <w:rPr>
          <w:rFonts w:eastAsia="SimSun" w:hint="eastAsia"/>
          <w:caps/>
          <w:kern w:val="22"/>
          <w:sz w:val="24"/>
          <w:szCs w:val="24"/>
          <w:lang w:val="en-GB"/>
        </w:rPr>
        <w:t>区域</w:t>
      </w:r>
      <w:r w:rsidRPr="000C0842">
        <w:rPr>
          <w:rFonts w:eastAsia="SimSun"/>
          <w:caps/>
          <w:kern w:val="22"/>
          <w:sz w:val="24"/>
          <w:szCs w:val="24"/>
          <w:lang w:val="en-GB"/>
        </w:rPr>
        <w:t>贸易主管部门</w:t>
      </w:r>
      <w:r w:rsidRPr="000C0842">
        <w:rPr>
          <w:rFonts w:eastAsia="SimSun" w:hint="eastAsia"/>
          <w:sz w:val="24"/>
          <w:szCs w:val="24"/>
        </w:rPr>
        <w:t>协作</w:t>
      </w:r>
      <w:r w:rsidRPr="000C0842">
        <w:rPr>
          <w:rFonts w:eastAsia="SimSun"/>
          <w:caps/>
          <w:kern w:val="22"/>
          <w:sz w:val="24"/>
          <w:szCs w:val="24"/>
          <w:lang w:val="en-GB"/>
        </w:rPr>
        <w:t>，确保进出口规定及时更新、清晰明了，便于电子商务贸易商、土著人民</w:t>
      </w:r>
      <w:r w:rsidRPr="000C0842">
        <w:rPr>
          <w:rFonts w:eastAsia="SimSun" w:hint="eastAsia"/>
          <w:caps/>
          <w:kern w:val="22"/>
          <w:sz w:val="24"/>
          <w:szCs w:val="24"/>
          <w:lang w:val="en-GB"/>
        </w:rPr>
        <w:t>和</w:t>
      </w:r>
      <w:r w:rsidRPr="000C0842">
        <w:rPr>
          <w:rFonts w:eastAsia="SimSun"/>
          <w:caps/>
          <w:kern w:val="22"/>
          <w:sz w:val="24"/>
          <w:szCs w:val="24"/>
          <w:lang w:val="en-GB"/>
        </w:rPr>
        <w:t>地方社区</w:t>
      </w:r>
      <w:r w:rsidRPr="000C0842">
        <w:rPr>
          <w:rFonts w:eastAsia="SimSun" w:hint="eastAsia"/>
          <w:caps/>
          <w:kern w:val="22"/>
          <w:sz w:val="24"/>
          <w:szCs w:val="24"/>
          <w:lang w:val="en-GB"/>
        </w:rPr>
        <w:t>以及</w:t>
      </w:r>
      <w:r w:rsidRPr="000C0842">
        <w:rPr>
          <w:rFonts w:eastAsia="SimSun"/>
          <w:caps/>
          <w:kern w:val="22"/>
          <w:sz w:val="24"/>
          <w:szCs w:val="24"/>
          <w:lang w:val="en-GB"/>
        </w:rPr>
        <w:t>相关利益攸关方</w:t>
      </w:r>
      <w:r w:rsidRPr="000C0842">
        <w:rPr>
          <w:rFonts w:eastAsia="SimSun" w:hint="eastAsia"/>
          <w:caps/>
          <w:kern w:val="22"/>
          <w:sz w:val="24"/>
          <w:szCs w:val="24"/>
          <w:lang w:val="en-GB"/>
        </w:rPr>
        <w:t>获取</w:t>
      </w:r>
      <w:r w:rsidRPr="000C0842">
        <w:rPr>
          <w:rFonts w:eastAsia="SimSun"/>
          <w:caps/>
          <w:kern w:val="22"/>
          <w:sz w:val="24"/>
          <w:szCs w:val="24"/>
          <w:lang w:val="en-GB"/>
        </w:rPr>
        <w:t>；</w:t>
      </w:r>
    </w:p>
    <w:p w14:paraId="7A051DE0"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向买卖双方通报入侵性或潜在的外来入侵物种，特别是</w:t>
      </w:r>
      <w:r w:rsidRPr="000C0842">
        <w:rPr>
          <w:rFonts w:eastAsia="SimSun" w:hint="eastAsia"/>
          <w:caps/>
          <w:kern w:val="22"/>
          <w:sz w:val="24"/>
          <w:szCs w:val="24"/>
          <w:lang w:val="en-GB"/>
        </w:rPr>
        <w:t>其</w:t>
      </w:r>
      <w:r w:rsidRPr="000C0842">
        <w:rPr>
          <w:rFonts w:eastAsia="SimSun"/>
          <w:caps/>
          <w:kern w:val="22"/>
          <w:sz w:val="24"/>
          <w:szCs w:val="24"/>
          <w:lang w:val="en-GB"/>
        </w:rPr>
        <w:t>负有的法律责任。可寻求社会媒体和专业媒体的参与，如宠物杂志、期刊和书籍，特别是宠物或植物协会或学会的期刊，以及</w:t>
      </w:r>
      <w:r w:rsidRPr="000C0842">
        <w:rPr>
          <w:rFonts w:eastAsia="SimSun" w:hint="eastAsia"/>
          <w:caps/>
          <w:kern w:val="22"/>
          <w:sz w:val="24"/>
          <w:szCs w:val="24"/>
          <w:lang w:val="en-GB"/>
        </w:rPr>
        <w:t>有关</w:t>
      </w:r>
      <w:r w:rsidRPr="000C0842">
        <w:rPr>
          <w:rFonts w:eastAsia="SimSun"/>
          <w:caps/>
          <w:kern w:val="22"/>
          <w:sz w:val="24"/>
          <w:szCs w:val="24"/>
          <w:lang w:val="en-GB"/>
        </w:rPr>
        <w:t>生物防治物的杂志和期刊，可发起多机构有针对性的宣传活动传播正确信息，以期转变消费者的价值观（如转向本地和非入侵物种），改变其行为（如防止冲动购买外来入侵物种）（根据第</w:t>
      </w:r>
      <w:hyperlink r:id="rId152" w:history="1">
        <w:r w:rsidRPr="000C0842">
          <w:rPr>
            <w:rFonts w:eastAsia="SimSun"/>
            <w:sz w:val="24"/>
            <w:szCs w:val="24"/>
            <w:u w:val="single"/>
          </w:rPr>
          <w:t>XIII/13</w:t>
        </w:r>
      </w:hyperlink>
      <w:r w:rsidRPr="000C0842">
        <w:rPr>
          <w:rFonts w:eastAsia="SimSun"/>
          <w:caps/>
          <w:kern w:val="22"/>
          <w:sz w:val="24"/>
          <w:szCs w:val="24"/>
          <w:lang w:val="en-GB"/>
        </w:rPr>
        <w:t>号决定第</w:t>
      </w:r>
      <w:r w:rsidRPr="000C0842">
        <w:rPr>
          <w:rFonts w:eastAsia="SimSun"/>
          <w:caps/>
          <w:kern w:val="22"/>
          <w:sz w:val="24"/>
          <w:szCs w:val="24"/>
          <w:lang w:val="en-GB"/>
        </w:rPr>
        <w:t>4</w:t>
      </w:r>
      <w:r w:rsidRPr="000C0842">
        <w:rPr>
          <w:rFonts w:eastAsia="SimSun"/>
          <w:caps/>
          <w:kern w:val="22"/>
          <w:sz w:val="24"/>
          <w:szCs w:val="24"/>
          <w:lang w:val="en-GB"/>
        </w:rPr>
        <w:t>段）</w:t>
      </w:r>
      <w:r w:rsidRPr="000C0842">
        <w:rPr>
          <w:rFonts w:eastAsia="SimSun"/>
          <w:caps/>
          <w:kern w:val="22"/>
          <w:sz w:val="24"/>
          <w:szCs w:val="24"/>
          <w:lang w:val="en-GB"/>
        </w:rPr>
        <w:t>;</w:t>
      </w:r>
    </w:p>
    <w:p w14:paraId="315800BA" w14:textId="77777777"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鼓励与电子商务平台、电子支付服务提供商以及邮政和快递服务机构建立伙伴关系和开展</w:t>
      </w:r>
      <w:r w:rsidRPr="000C0842">
        <w:rPr>
          <w:rFonts w:eastAsia="SimSun" w:hint="eastAsia"/>
          <w:sz w:val="24"/>
          <w:szCs w:val="24"/>
        </w:rPr>
        <w:t>协作</w:t>
      </w:r>
      <w:r w:rsidRPr="000C0842">
        <w:rPr>
          <w:rFonts w:eastAsia="SimSun"/>
          <w:caps/>
          <w:kern w:val="22"/>
          <w:sz w:val="24"/>
          <w:szCs w:val="24"/>
          <w:lang w:val="en-GB"/>
        </w:rPr>
        <w:t>，确保在运营中遵守</w:t>
      </w:r>
      <w:r w:rsidRPr="000C0842">
        <w:rPr>
          <w:rFonts w:eastAsia="SimSun" w:hint="eastAsia"/>
          <w:caps/>
          <w:kern w:val="22"/>
          <w:sz w:val="24"/>
          <w:szCs w:val="24"/>
          <w:lang w:val="en-GB"/>
        </w:rPr>
        <w:t>有关</w:t>
      </w:r>
      <w:r w:rsidRPr="000C0842">
        <w:rPr>
          <w:rFonts w:eastAsia="SimSun"/>
          <w:caps/>
          <w:kern w:val="22"/>
          <w:sz w:val="24"/>
          <w:szCs w:val="24"/>
          <w:lang w:val="en-GB"/>
        </w:rPr>
        <w:t>外来入侵物种的国家条例、国际标准和指导意见，并与其他国际义务保持一致（根据第</w:t>
      </w:r>
      <w:hyperlink r:id="rId153" w:history="1">
        <w:r w:rsidRPr="000C0842">
          <w:rPr>
            <w:rFonts w:eastAsia="SimSun"/>
            <w:sz w:val="24"/>
            <w:szCs w:val="24"/>
            <w:u w:val="single"/>
          </w:rPr>
          <w:t>XIII/13</w:t>
        </w:r>
      </w:hyperlink>
      <w:r w:rsidRPr="000C0842">
        <w:rPr>
          <w:rFonts w:eastAsia="SimSun"/>
          <w:caps/>
          <w:kern w:val="22"/>
          <w:sz w:val="24"/>
          <w:szCs w:val="24"/>
          <w:lang w:val="en-GB"/>
        </w:rPr>
        <w:t>号决定第</w:t>
      </w:r>
      <w:r w:rsidRPr="000C0842">
        <w:rPr>
          <w:rFonts w:eastAsia="SimSun"/>
          <w:caps/>
          <w:kern w:val="22"/>
          <w:sz w:val="24"/>
          <w:szCs w:val="24"/>
          <w:lang w:val="en-GB"/>
        </w:rPr>
        <w:t>7</w:t>
      </w:r>
      <w:r w:rsidRPr="000C0842">
        <w:rPr>
          <w:rFonts w:eastAsia="SimSun"/>
          <w:caps/>
          <w:kern w:val="22"/>
          <w:sz w:val="24"/>
          <w:szCs w:val="24"/>
          <w:lang w:val="en-GB"/>
        </w:rPr>
        <w:t>（</w:t>
      </w:r>
      <w:r w:rsidRPr="000C0842">
        <w:rPr>
          <w:rFonts w:eastAsia="DengXian Light"/>
          <w:kern w:val="22"/>
          <w:sz w:val="24"/>
          <w:szCs w:val="24"/>
          <w:lang w:val="en-GB"/>
        </w:rPr>
        <w:t>b</w:t>
      </w:r>
      <w:r w:rsidRPr="000C0842">
        <w:rPr>
          <w:rFonts w:eastAsia="SimSun"/>
          <w:caps/>
          <w:kern w:val="22"/>
          <w:sz w:val="24"/>
          <w:szCs w:val="24"/>
          <w:lang w:val="en-GB"/>
        </w:rPr>
        <w:t>）</w:t>
      </w:r>
      <w:r w:rsidRPr="000C0842">
        <w:rPr>
          <w:rFonts w:eastAsia="SimSun" w:hint="eastAsia"/>
          <w:caps/>
          <w:kern w:val="22"/>
          <w:sz w:val="24"/>
          <w:szCs w:val="24"/>
          <w:lang w:val="en-GB"/>
        </w:rPr>
        <w:t>段</w:t>
      </w:r>
      <w:r w:rsidRPr="000C0842">
        <w:rPr>
          <w:rFonts w:eastAsia="SimSun"/>
          <w:caps/>
          <w:kern w:val="22"/>
          <w:sz w:val="24"/>
          <w:szCs w:val="24"/>
          <w:lang w:val="en-GB"/>
        </w:rPr>
        <w:t>）；</w:t>
      </w:r>
    </w:p>
    <w:p w14:paraId="1820BE35" w14:textId="734A8CE6" w:rsidR="005E77FA" w:rsidRPr="000C0842" w:rsidRDefault="005E77FA">
      <w:pPr>
        <w:numPr>
          <w:ilvl w:val="0"/>
          <w:numId w:val="65"/>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实施单一窗口办法，在单一入境点递交满足全部进口、出口和转口监管规定的标准资料和单证</w:t>
      </w:r>
      <w:r w:rsidRPr="000C0842">
        <w:rPr>
          <w:rFonts w:eastAsia="SimSun"/>
          <w:caps/>
          <w:kern w:val="22"/>
          <w:sz w:val="24"/>
          <w:szCs w:val="24"/>
          <w:vertAlign w:val="superscript"/>
          <w:lang w:val="en-GB"/>
        </w:rPr>
        <w:footnoteReference w:id="211"/>
      </w:r>
      <w:r w:rsidRPr="000C0842">
        <w:rPr>
          <w:rFonts w:eastAsia="SimSun"/>
          <w:caps/>
          <w:kern w:val="22"/>
          <w:sz w:val="24"/>
          <w:szCs w:val="24"/>
          <w:lang w:val="en-GB"/>
        </w:rPr>
        <w:t>。在国家和次国家层面实施这一办法有助于报告受管制物品，包括有植物检疫和卫生风险和生物多样性风险的外来活生物体（根据第</w:t>
      </w:r>
      <w:hyperlink r:id="rId154" w:history="1">
        <w:r w:rsidRPr="000C0842">
          <w:rPr>
            <w:rFonts w:eastAsia="SimSun"/>
            <w:sz w:val="24"/>
            <w:szCs w:val="24"/>
            <w:u w:val="single"/>
          </w:rPr>
          <w:t>XIII/13</w:t>
        </w:r>
      </w:hyperlink>
      <w:r w:rsidRPr="000C0842">
        <w:rPr>
          <w:rFonts w:eastAsia="SimSun"/>
          <w:caps/>
          <w:kern w:val="22"/>
          <w:sz w:val="24"/>
          <w:szCs w:val="24"/>
          <w:lang w:val="en-GB"/>
        </w:rPr>
        <w:t>号决定第</w:t>
      </w:r>
      <w:r w:rsidRPr="000C0842">
        <w:rPr>
          <w:rFonts w:eastAsia="SimSun"/>
          <w:caps/>
          <w:kern w:val="22"/>
          <w:sz w:val="24"/>
          <w:szCs w:val="24"/>
          <w:lang w:val="en-GB"/>
        </w:rPr>
        <w:t>7</w:t>
      </w:r>
      <w:r w:rsidRPr="000C0842">
        <w:rPr>
          <w:rFonts w:eastAsia="SimSun"/>
          <w:caps/>
          <w:kern w:val="22"/>
          <w:sz w:val="24"/>
          <w:szCs w:val="24"/>
          <w:lang w:val="en-GB"/>
        </w:rPr>
        <w:t>（</w:t>
      </w:r>
      <w:r w:rsidRPr="000C0842">
        <w:rPr>
          <w:rFonts w:eastAsia="DengXian Light"/>
          <w:kern w:val="22"/>
          <w:sz w:val="24"/>
          <w:szCs w:val="24"/>
          <w:lang w:val="en-GB"/>
        </w:rPr>
        <w:t>c</w:t>
      </w:r>
      <w:r w:rsidRPr="000C0842">
        <w:rPr>
          <w:rFonts w:eastAsia="SimSun"/>
          <w:caps/>
          <w:kern w:val="22"/>
          <w:sz w:val="24"/>
          <w:szCs w:val="24"/>
          <w:lang w:val="en-GB"/>
        </w:rPr>
        <w:t>）段，第</w:t>
      </w:r>
      <w:hyperlink r:id="rId155" w:history="1">
        <w:r w:rsidRPr="000C0842">
          <w:rPr>
            <w:rFonts w:eastAsia="SimSun"/>
            <w:sz w:val="24"/>
            <w:szCs w:val="24"/>
            <w:u w:val="single"/>
          </w:rPr>
          <w:t>14/11</w:t>
        </w:r>
      </w:hyperlink>
      <w:r w:rsidRPr="000C0842">
        <w:rPr>
          <w:rFonts w:eastAsia="SimSun"/>
          <w:caps/>
          <w:kern w:val="22"/>
          <w:sz w:val="24"/>
          <w:szCs w:val="24"/>
          <w:lang w:val="en-GB"/>
        </w:rPr>
        <w:t>号决定附件一第</w:t>
      </w:r>
      <w:r w:rsidRPr="000C0842">
        <w:rPr>
          <w:rFonts w:eastAsia="SimSun"/>
          <w:caps/>
          <w:kern w:val="22"/>
          <w:sz w:val="24"/>
          <w:szCs w:val="24"/>
          <w:lang w:val="en-GB"/>
        </w:rPr>
        <w:t>32</w:t>
      </w:r>
      <w:r w:rsidRPr="000C0842">
        <w:rPr>
          <w:rFonts w:eastAsia="SimSun"/>
          <w:caps/>
          <w:kern w:val="22"/>
          <w:sz w:val="24"/>
          <w:szCs w:val="24"/>
          <w:lang w:val="en-GB"/>
        </w:rPr>
        <w:t>段）。单一窗口办法可与相关的现有信息系统（如欧洲外来物种信息网）</w:t>
      </w:r>
      <w:r w:rsidRPr="000C0842">
        <w:rPr>
          <w:rFonts w:eastAsia="SimSun"/>
          <w:caps/>
          <w:kern w:val="22"/>
          <w:sz w:val="24"/>
          <w:szCs w:val="24"/>
          <w:vertAlign w:val="superscript"/>
          <w:lang w:val="en-GB"/>
        </w:rPr>
        <w:footnoteReference w:id="212"/>
      </w:r>
      <w:r w:rsidRPr="000C0842">
        <w:rPr>
          <w:rFonts w:eastAsia="SimSun"/>
          <w:caps/>
          <w:kern w:val="22"/>
          <w:sz w:val="24"/>
          <w:szCs w:val="24"/>
          <w:lang w:val="en-GB"/>
        </w:rPr>
        <w:t>交互运作，分享相关信息（双向数据流）。</w:t>
      </w:r>
    </w:p>
    <w:p w14:paraId="3B2DBA8A"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rPr>
          <w:rFonts w:eastAsia="SimSun"/>
          <w:b/>
          <w:bCs/>
          <w:caps/>
          <w:kern w:val="22"/>
          <w:sz w:val="24"/>
          <w:szCs w:val="24"/>
          <w:lang w:val="en-GB"/>
        </w:rPr>
      </w:pPr>
      <w:r w:rsidRPr="000C0842">
        <w:rPr>
          <w:rFonts w:eastAsia="SimSun"/>
          <w:b/>
          <w:bCs/>
          <w:caps/>
          <w:kern w:val="22"/>
          <w:sz w:val="24"/>
          <w:szCs w:val="24"/>
          <w:lang w:val="en-GB"/>
        </w:rPr>
        <w:t>C.</w:t>
      </w:r>
      <w:r w:rsidRPr="000C0842">
        <w:rPr>
          <w:rFonts w:eastAsia="SimSun"/>
          <w:b/>
          <w:bCs/>
          <w:caps/>
          <w:kern w:val="22"/>
          <w:sz w:val="24"/>
          <w:szCs w:val="24"/>
          <w:lang w:val="en-GB"/>
        </w:rPr>
        <w:tab/>
      </w:r>
      <w:r w:rsidRPr="000C0842">
        <w:rPr>
          <w:rFonts w:eastAsia="SimSun"/>
          <w:b/>
          <w:bCs/>
          <w:caps/>
          <w:kern w:val="22"/>
          <w:sz w:val="24"/>
          <w:szCs w:val="24"/>
          <w:lang w:val="en-GB"/>
        </w:rPr>
        <w:t>监测和合规</w:t>
      </w:r>
    </w:p>
    <w:p w14:paraId="645A1E51"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建议缔约方、组织和利益攸关方酌情采取以下行动：</w:t>
      </w:r>
    </w:p>
    <w:p w14:paraId="7049EFA0" w14:textId="0E0C5436" w:rsidR="005E77FA" w:rsidRPr="000C0842" w:rsidRDefault="005E77FA">
      <w:pPr>
        <w:numPr>
          <w:ilvl w:val="0"/>
          <w:numId w:val="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根据国家法律和具体情况收集数据（根据第</w:t>
      </w:r>
      <w:hyperlink r:id="rId156" w:history="1">
        <w:r w:rsidRPr="000C0842">
          <w:rPr>
            <w:rFonts w:eastAsia="SimSun"/>
            <w:sz w:val="24"/>
            <w:szCs w:val="24"/>
            <w:u w:val="single"/>
          </w:rPr>
          <w:t>14/11</w:t>
        </w:r>
      </w:hyperlink>
      <w:r w:rsidRPr="000C0842">
        <w:rPr>
          <w:rFonts w:eastAsia="SimSun"/>
          <w:kern w:val="22"/>
          <w:sz w:val="24"/>
          <w:szCs w:val="24"/>
          <w:lang w:val="en-GB"/>
        </w:rPr>
        <w:t>号决定附件一第</w:t>
      </w:r>
      <w:r w:rsidRPr="000C0842">
        <w:rPr>
          <w:rFonts w:eastAsia="SimSun"/>
          <w:kern w:val="22"/>
          <w:sz w:val="24"/>
          <w:szCs w:val="24"/>
          <w:lang w:val="en-GB"/>
        </w:rPr>
        <w:t>34–36</w:t>
      </w:r>
      <w:r w:rsidRPr="000C0842">
        <w:rPr>
          <w:rFonts w:eastAsia="SimSun"/>
          <w:kern w:val="22"/>
          <w:sz w:val="24"/>
          <w:szCs w:val="24"/>
          <w:lang w:val="en-GB"/>
        </w:rPr>
        <w:t>段），使用包括公民科学在内的所有可用手段和工具监测合规性，评估为降低电子商务相关风险而实施的活动的有效性。收集的数据可与其他相关信息一起使用，包括合规历史和在土著人民和地方社区自由、事先和知情同意</w:t>
      </w:r>
      <w:r w:rsidRPr="000C0842">
        <w:rPr>
          <w:rFonts w:eastAsia="SimSun"/>
          <w:kern w:val="22"/>
          <w:sz w:val="24"/>
          <w:szCs w:val="24"/>
          <w:vertAlign w:val="superscript"/>
          <w:lang w:val="en-GB"/>
        </w:rPr>
        <w:footnoteReference w:id="213"/>
      </w:r>
      <w:r w:rsidRPr="000C0842">
        <w:rPr>
          <w:rFonts w:eastAsia="SimSun"/>
          <w:kern w:val="22"/>
          <w:sz w:val="24"/>
          <w:szCs w:val="24"/>
          <w:lang w:val="en-GB"/>
        </w:rPr>
        <w:t>下获得的信息，用于指导基于风险的</w:t>
      </w:r>
      <w:r w:rsidRPr="000C0842">
        <w:rPr>
          <w:rFonts w:eastAsia="SimSun" w:hint="eastAsia"/>
          <w:kern w:val="22"/>
          <w:sz w:val="24"/>
          <w:szCs w:val="24"/>
          <w:lang w:val="en-GB"/>
        </w:rPr>
        <w:t>检查</w:t>
      </w:r>
      <w:r w:rsidRPr="000C0842">
        <w:rPr>
          <w:rFonts w:eastAsia="SimSun"/>
          <w:kern w:val="22"/>
          <w:sz w:val="24"/>
          <w:szCs w:val="24"/>
          <w:lang w:val="en-GB"/>
        </w:rPr>
        <w:t>，确定是否需要进行调查或采取执法行动。数据分析可用于辨别任何异常趋势和模式，包括潜在的外来物种的入侵和影响风险；</w:t>
      </w:r>
    </w:p>
    <w:p w14:paraId="5F7AC409" w14:textId="77777777" w:rsidR="005E77FA" w:rsidRPr="000C0842" w:rsidRDefault="005E77FA">
      <w:pPr>
        <w:numPr>
          <w:ilvl w:val="0"/>
          <w:numId w:val="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利用最佳数据分析做法传播基于风险的良好干预措施做法，促进合法的电子商务，同时查明并制止非法贸易。在可能的情况下，优先使用非侵入性</w:t>
      </w:r>
      <w:r w:rsidRPr="000C0842">
        <w:rPr>
          <w:rFonts w:eastAsia="SimSun" w:hint="eastAsia"/>
          <w:kern w:val="22"/>
          <w:sz w:val="24"/>
          <w:szCs w:val="24"/>
          <w:lang w:val="en-GB"/>
        </w:rPr>
        <w:t>检查</w:t>
      </w:r>
      <w:r w:rsidRPr="000C0842">
        <w:rPr>
          <w:rFonts w:eastAsia="SimSun"/>
          <w:kern w:val="22"/>
          <w:sz w:val="24"/>
          <w:szCs w:val="24"/>
          <w:lang w:val="en-GB"/>
        </w:rPr>
        <w:t>技术，促进现有技术（如扫描仪、嗅探犬和其他可用工具）在检测外来入侵物种方面的适用性，进一步开发自动生物传感器，更好地检测快递和邮政系统中的违禁和受限制物品；</w:t>
      </w:r>
    </w:p>
    <w:p w14:paraId="03BF714E" w14:textId="77777777" w:rsidR="005E77FA" w:rsidRPr="000C0842" w:rsidRDefault="005E77FA">
      <w:pPr>
        <w:numPr>
          <w:ilvl w:val="0"/>
          <w:numId w:val="66"/>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kern w:val="22"/>
          <w:sz w:val="24"/>
          <w:szCs w:val="24"/>
          <w:lang w:val="en-GB"/>
        </w:rPr>
        <w:t>开发和使用培训和图文并茂的工具，便利对电子商务市场进行适度监测和</w:t>
      </w:r>
      <w:r w:rsidRPr="000C0842">
        <w:rPr>
          <w:rFonts w:eastAsia="SimSun" w:hint="eastAsia"/>
          <w:kern w:val="22"/>
          <w:sz w:val="24"/>
          <w:szCs w:val="24"/>
          <w:lang w:val="en-GB"/>
        </w:rPr>
        <w:t>检查</w:t>
      </w:r>
      <w:r w:rsidRPr="000C0842">
        <w:rPr>
          <w:rFonts w:eastAsia="SimSun"/>
          <w:kern w:val="22"/>
          <w:sz w:val="24"/>
          <w:szCs w:val="24"/>
          <w:lang w:val="en-GB"/>
        </w:rPr>
        <w:t>，特别是考虑到标签可能使人更难明白需要检查什么。这可能包括制定指导意见，指导如何监测电子商务平台，发现电子商务交易中有不合规情况时发出警告、通知和采取其他执法行动，根据国家和次国家法律法规适当处理被扣押的受限制物品。</w:t>
      </w:r>
    </w:p>
    <w:p w14:paraId="626A5D41"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ind w:left="490" w:hanging="490"/>
        <w:rPr>
          <w:rFonts w:eastAsia="SimSun"/>
          <w:b/>
          <w:bCs/>
          <w:caps/>
          <w:kern w:val="22"/>
          <w:sz w:val="24"/>
          <w:szCs w:val="24"/>
          <w:lang w:val="en-GB"/>
        </w:rPr>
      </w:pPr>
      <w:r w:rsidRPr="000C0842">
        <w:rPr>
          <w:rFonts w:eastAsia="SimSun"/>
          <w:b/>
          <w:bCs/>
          <w:caps/>
          <w:kern w:val="22"/>
          <w:sz w:val="24"/>
          <w:szCs w:val="24"/>
          <w:lang w:val="en-GB"/>
        </w:rPr>
        <w:t>二</w:t>
      </w:r>
      <w:r w:rsidRPr="000C0842">
        <w:rPr>
          <w:rFonts w:eastAsia="SimSun"/>
          <w:b/>
          <w:bCs/>
          <w:caps/>
          <w:kern w:val="22"/>
          <w:sz w:val="24"/>
          <w:szCs w:val="24"/>
          <w:lang w:val="en-GB"/>
        </w:rPr>
        <w:t>.</w:t>
      </w:r>
      <w:r w:rsidRPr="000C0842">
        <w:rPr>
          <w:rFonts w:eastAsia="SimSun"/>
          <w:b/>
          <w:bCs/>
          <w:caps/>
          <w:kern w:val="22"/>
          <w:sz w:val="24"/>
          <w:szCs w:val="24"/>
          <w:lang w:val="en-GB"/>
        </w:rPr>
        <w:tab/>
      </w:r>
      <w:r w:rsidRPr="000C0842">
        <w:rPr>
          <w:rFonts w:eastAsia="SimSun"/>
          <w:b/>
          <w:bCs/>
          <w:caps/>
          <w:kern w:val="22"/>
          <w:sz w:val="24"/>
          <w:szCs w:val="24"/>
          <w:lang w:val="en-GB"/>
        </w:rPr>
        <w:t>建议网络市场（销售平台）、电子支付服务提供商以及邮政和快递服务采取的行动</w:t>
      </w:r>
    </w:p>
    <w:p w14:paraId="25886EFE"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网络市场（销售平台）可以分为互有重叠的三</w:t>
      </w:r>
      <w:r w:rsidRPr="000C0842">
        <w:rPr>
          <w:rFonts w:eastAsia="SimSun" w:hint="eastAsia"/>
          <w:caps/>
          <w:kern w:val="22"/>
          <w:sz w:val="24"/>
          <w:szCs w:val="24"/>
          <w:lang w:val="en-GB"/>
        </w:rPr>
        <w:t>个类别</w:t>
      </w:r>
      <w:r w:rsidRPr="000C0842">
        <w:rPr>
          <w:rFonts w:eastAsia="SimSun"/>
          <w:caps/>
          <w:kern w:val="22"/>
          <w:sz w:val="24"/>
          <w:szCs w:val="24"/>
          <w:lang w:val="en-GB"/>
        </w:rPr>
        <w:t>，即：</w:t>
      </w:r>
    </w:p>
    <w:p w14:paraId="7E16BAB8" w14:textId="77777777" w:rsidR="005E77FA" w:rsidRPr="000C0842" w:rsidRDefault="005E77FA">
      <w:pPr>
        <w:numPr>
          <w:ilvl w:val="0"/>
          <w:numId w:val="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在线市场，是销售各种各类商品的</w:t>
      </w:r>
      <w:r w:rsidRPr="000C0842">
        <w:rPr>
          <w:rFonts w:eastAsia="SimSun" w:hint="eastAsia"/>
          <w:caps/>
          <w:kern w:val="22"/>
          <w:sz w:val="24"/>
          <w:szCs w:val="24"/>
          <w:lang w:val="en-GB"/>
        </w:rPr>
        <w:t>较大</w:t>
      </w:r>
      <w:r w:rsidRPr="000C0842">
        <w:rPr>
          <w:rFonts w:eastAsia="SimSun"/>
          <w:caps/>
          <w:kern w:val="22"/>
          <w:sz w:val="24"/>
          <w:szCs w:val="24"/>
          <w:lang w:val="en-GB"/>
        </w:rPr>
        <w:t>在线网站，通常为个体零售商提供接触国际买家的渠道（如亿贝和亚马逊）；</w:t>
      </w:r>
    </w:p>
    <w:p w14:paraId="49062ABE" w14:textId="77777777" w:rsidR="005E77FA" w:rsidRPr="000C0842" w:rsidRDefault="005E77FA">
      <w:pPr>
        <w:numPr>
          <w:ilvl w:val="0"/>
          <w:numId w:val="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个体零售商，从自己的网站在线跨境销售，也可能拥有实体店；</w:t>
      </w:r>
    </w:p>
    <w:p w14:paraId="0CA28548" w14:textId="77777777" w:rsidR="005E77FA" w:rsidRPr="000C0842" w:rsidRDefault="005E77FA">
      <w:pPr>
        <w:numPr>
          <w:ilvl w:val="0"/>
          <w:numId w:val="67"/>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点对点交易平台，例如脸书群组或其他专门买卖某类商品（例如宠物）的在线平台，交易主要在非商业实体间进行。这些平台通常不做跨境生意。</w:t>
      </w:r>
    </w:p>
    <w:p w14:paraId="51DFCEDB"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建议网络市场（销售平台）、电子支付服务提供商以及邮政和快递服务酌情采取以下行动：</w:t>
      </w:r>
    </w:p>
    <w:p w14:paraId="120F8E23" w14:textId="77777777" w:rsidR="005E77FA" w:rsidRPr="000C0842" w:rsidRDefault="005E77FA">
      <w:pPr>
        <w:numPr>
          <w:ilvl w:val="0"/>
          <w:numId w:val="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利用相关国际机构、国家和次国家主管部门以及其他来源提供的关于外来入侵物种所带来风险（法律和环境风险）的信息，以便采取相应措施使其用户了解这些风险（根据第</w:t>
      </w:r>
      <w:hyperlink r:id="rId157" w:history="1">
        <w:r w:rsidRPr="000C0842">
          <w:rPr>
            <w:rFonts w:eastAsia="SimSun"/>
            <w:kern w:val="22"/>
            <w:sz w:val="24"/>
            <w:szCs w:val="24"/>
            <w:u w:val="single"/>
            <w:lang w:val="en-GB"/>
          </w:rPr>
          <w:t>14/11</w:t>
        </w:r>
      </w:hyperlink>
      <w:r w:rsidRPr="000C0842">
        <w:rPr>
          <w:rFonts w:eastAsia="SimSun"/>
          <w:kern w:val="22"/>
          <w:sz w:val="24"/>
          <w:szCs w:val="24"/>
          <w:lang w:val="en-GB"/>
        </w:rPr>
        <w:t>号决定</w:t>
      </w:r>
      <w:r w:rsidRPr="000C0842">
        <w:rPr>
          <w:rFonts w:eastAsia="SimSun" w:hint="eastAsia"/>
          <w:kern w:val="22"/>
          <w:sz w:val="24"/>
          <w:szCs w:val="24"/>
          <w:lang w:val="en-GB"/>
        </w:rPr>
        <w:t>，</w:t>
      </w:r>
      <w:r w:rsidRPr="000C0842">
        <w:rPr>
          <w:rFonts w:eastAsia="SimSun"/>
          <w:kern w:val="22"/>
          <w:sz w:val="24"/>
          <w:szCs w:val="24"/>
          <w:lang w:val="en-GB"/>
        </w:rPr>
        <w:t>附件一</w:t>
      </w:r>
      <w:r w:rsidRPr="000C0842">
        <w:rPr>
          <w:rFonts w:eastAsia="SimSun" w:hint="eastAsia"/>
          <w:kern w:val="22"/>
          <w:sz w:val="24"/>
          <w:szCs w:val="24"/>
          <w:lang w:val="en-GB"/>
        </w:rPr>
        <w:t>，</w:t>
      </w:r>
      <w:r w:rsidRPr="000C0842">
        <w:rPr>
          <w:rFonts w:eastAsia="SimSun"/>
          <w:kern w:val="22"/>
          <w:sz w:val="24"/>
          <w:szCs w:val="24"/>
          <w:lang w:val="en-GB"/>
        </w:rPr>
        <w:t>第</w:t>
      </w:r>
      <w:r w:rsidRPr="000C0842">
        <w:rPr>
          <w:rFonts w:eastAsia="SimSun"/>
          <w:kern w:val="22"/>
          <w:sz w:val="24"/>
          <w:szCs w:val="24"/>
          <w:lang w:val="en-GB"/>
        </w:rPr>
        <w:t>11–13</w:t>
      </w:r>
      <w:r w:rsidRPr="000C0842">
        <w:rPr>
          <w:rFonts w:eastAsia="SimSun"/>
          <w:kern w:val="22"/>
          <w:sz w:val="24"/>
          <w:szCs w:val="24"/>
          <w:lang w:val="en-GB"/>
        </w:rPr>
        <w:t>段）；</w:t>
      </w:r>
    </w:p>
    <w:p w14:paraId="79CCA1BD" w14:textId="77777777" w:rsidR="005E77FA" w:rsidRPr="000C0842" w:rsidRDefault="005E77FA">
      <w:pPr>
        <w:numPr>
          <w:ilvl w:val="0"/>
          <w:numId w:val="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kern w:val="22"/>
          <w:sz w:val="24"/>
          <w:szCs w:val="24"/>
          <w:lang w:val="en-GB"/>
        </w:rPr>
        <w:t>监测在其平台上进行的电子商务，根据相关的国家和次国家法律提高核实邮包货物的能力，发现非法或有潜在</w:t>
      </w:r>
      <w:r w:rsidRPr="000C0842">
        <w:rPr>
          <w:rFonts w:eastAsia="SimSun" w:hint="eastAsia"/>
          <w:kern w:val="22"/>
          <w:sz w:val="24"/>
          <w:szCs w:val="24"/>
          <w:lang w:val="en-GB"/>
        </w:rPr>
        <w:t>危害</w:t>
      </w:r>
      <w:r w:rsidRPr="000C0842">
        <w:rPr>
          <w:rFonts w:eastAsia="SimSun"/>
          <w:kern w:val="22"/>
          <w:sz w:val="24"/>
          <w:szCs w:val="24"/>
          <w:lang w:val="en-GB"/>
        </w:rPr>
        <w:t>性的外来入侵物种贸易证据时提醒</w:t>
      </w:r>
      <w:r w:rsidRPr="000C0842">
        <w:rPr>
          <w:rFonts w:eastAsia="SimSun" w:hint="eastAsia"/>
          <w:kern w:val="22"/>
          <w:sz w:val="24"/>
          <w:szCs w:val="24"/>
          <w:lang w:val="en-GB"/>
        </w:rPr>
        <w:t>有关</w:t>
      </w:r>
      <w:r w:rsidRPr="000C0842">
        <w:rPr>
          <w:rFonts w:eastAsia="SimSun"/>
          <w:kern w:val="22"/>
          <w:sz w:val="24"/>
          <w:szCs w:val="24"/>
          <w:lang w:val="en-GB"/>
        </w:rPr>
        <w:t>当局；</w:t>
      </w:r>
    </w:p>
    <w:p w14:paraId="3A65C560" w14:textId="77777777" w:rsidR="005E77FA" w:rsidRPr="000C0842" w:rsidRDefault="005E77FA">
      <w:pPr>
        <w:numPr>
          <w:ilvl w:val="0"/>
          <w:numId w:val="68"/>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kern w:val="22"/>
          <w:sz w:val="24"/>
          <w:szCs w:val="24"/>
          <w:lang w:val="en-GB"/>
        </w:rPr>
        <w:t>根据国际和国家义务制定和采取完善管理措施，最大限度地减少经电子商务引进</w:t>
      </w:r>
      <w:r w:rsidRPr="000C0842">
        <w:rPr>
          <w:rFonts w:eastAsia="SimSun"/>
          <w:caps/>
          <w:kern w:val="22"/>
          <w:sz w:val="24"/>
          <w:szCs w:val="24"/>
          <w:lang w:val="en-GB"/>
        </w:rPr>
        <w:t>外来入侵和潜在外来入侵物种</w:t>
      </w:r>
      <w:r w:rsidRPr="000C0842">
        <w:rPr>
          <w:rFonts w:eastAsia="SimSun"/>
          <w:kern w:val="22"/>
          <w:sz w:val="24"/>
          <w:szCs w:val="24"/>
          <w:lang w:val="en-GB"/>
        </w:rPr>
        <w:t>的风险。</w:t>
      </w:r>
    </w:p>
    <w:p w14:paraId="6D51B523" w14:textId="77777777" w:rsidR="005E77FA" w:rsidRPr="000C0842" w:rsidRDefault="005E77FA" w:rsidP="005E77FA">
      <w:pPr>
        <w:suppressLineNumbers/>
        <w:tabs>
          <w:tab w:val="clear" w:pos="567"/>
          <w:tab w:val="clear" w:pos="1134"/>
          <w:tab w:val="clear" w:pos="1701"/>
          <w:tab w:val="clear" w:pos="2268"/>
        </w:tabs>
        <w:suppressAutoHyphens/>
        <w:adjustRightInd w:val="0"/>
        <w:snapToGrid w:val="0"/>
        <w:spacing w:before="120" w:after="120" w:line="240" w:lineRule="atLeast"/>
        <w:rPr>
          <w:rFonts w:eastAsia="SimSun"/>
          <w:b/>
          <w:bCs/>
          <w:caps/>
          <w:kern w:val="22"/>
          <w:sz w:val="24"/>
          <w:szCs w:val="24"/>
          <w:lang w:val="en-GB"/>
        </w:rPr>
      </w:pPr>
      <w:r w:rsidRPr="000C0842">
        <w:rPr>
          <w:rFonts w:eastAsia="SimSun"/>
          <w:b/>
          <w:bCs/>
          <w:caps/>
          <w:kern w:val="22"/>
          <w:sz w:val="24"/>
          <w:szCs w:val="24"/>
          <w:lang w:val="en-GB"/>
        </w:rPr>
        <w:t>三</w:t>
      </w:r>
      <w:r w:rsidRPr="000C0842">
        <w:rPr>
          <w:rFonts w:eastAsia="SimSun"/>
          <w:b/>
          <w:bCs/>
          <w:caps/>
          <w:kern w:val="22"/>
          <w:sz w:val="24"/>
          <w:szCs w:val="24"/>
          <w:lang w:val="en-GB"/>
        </w:rPr>
        <w:t>.</w:t>
      </w:r>
      <w:r w:rsidRPr="000C0842">
        <w:rPr>
          <w:rFonts w:eastAsia="SimSun"/>
          <w:b/>
          <w:bCs/>
          <w:caps/>
          <w:kern w:val="22"/>
          <w:sz w:val="24"/>
          <w:szCs w:val="24"/>
          <w:lang w:val="en-GB"/>
        </w:rPr>
        <w:tab/>
      </w:r>
      <w:r w:rsidRPr="000C0842">
        <w:rPr>
          <w:rFonts w:eastAsia="SimSun"/>
          <w:b/>
          <w:bCs/>
          <w:caps/>
          <w:kern w:val="22"/>
          <w:sz w:val="24"/>
          <w:szCs w:val="24"/>
          <w:lang w:val="en-GB"/>
        </w:rPr>
        <w:t>建议相关国际组织、机构和协定包括标准制定组织采取的行动</w:t>
      </w:r>
    </w:p>
    <w:p w14:paraId="729EE192" w14:textId="77777777" w:rsidR="005E77FA" w:rsidRPr="000C0842" w:rsidRDefault="005E77FA">
      <w:pPr>
        <w:numPr>
          <w:ilvl w:val="0"/>
          <w:numId w:val="55"/>
        </w:numPr>
        <w:tabs>
          <w:tab w:val="clear" w:pos="567"/>
          <w:tab w:val="clear" w:pos="1134"/>
          <w:tab w:val="clear" w:pos="1701"/>
          <w:tab w:val="clear" w:pos="2268"/>
        </w:tabs>
        <w:snapToGrid w:val="0"/>
        <w:spacing w:before="120" w:after="120" w:line="240" w:lineRule="atLeast"/>
        <w:ind w:left="490" w:firstLine="0"/>
        <w:jc w:val="left"/>
        <w:rPr>
          <w:rFonts w:eastAsia="SimSun"/>
          <w:caps/>
          <w:kern w:val="22"/>
          <w:sz w:val="24"/>
          <w:szCs w:val="24"/>
          <w:lang w:val="en-GB"/>
        </w:rPr>
      </w:pPr>
      <w:r w:rsidRPr="000C0842">
        <w:rPr>
          <w:rFonts w:eastAsia="SimSun"/>
          <w:caps/>
          <w:kern w:val="22"/>
          <w:sz w:val="24"/>
          <w:szCs w:val="24"/>
          <w:lang w:val="en-GB"/>
        </w:rPr>
        <w:t>建议国际组织和机构酌情采取以下行动：</w:t>
      </w:r>
    </w:p>
    <w:p w14:paraId="54408092"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kern w:val="22"/>
          <w:sz w:val="24"/>
          <w:szCs w:val="24"/>
          <w:lang w:val="en-GB"/>
        </w:rPr>
      </w:pPr>
      <w:r w:rsidRPr="000C0842">
        <w:rPr>
          <w:rFonts w:eastAsia="SimSun"/>
          <w:caps/>
          <w:kern w:val="22"/>
          <w:sz w:val="24"/>
          <w:szCs w:val="24"/>
          <w:lang w:val="en-GB"/>
        </w:rPr>
        <w:t>分享关于外来入侵和潜在外来入侵物种电子商务的数据</w:t>
      </w:r>
      <w:r w:rsidRPr="000C0842">
        <w:rPr>
          <w:rFonts w:eastAsia="SimSun"/>
          <w:kern w:val="22"/>
          <w:sz w:val="24"/>
          <w:szCs w:val="24"/>
          <w:lang w:val="en-GB"/>
        </w:rPr>
        <w:t>、信息、技术和专门知识；</w:t>
      </w:r>
    </w:p>
    <w:p w14:paraId="4991357C"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利用相关国际机构制定的指导意见，包括世界海关组织、养护欧洲野生生物和自然生境公约、国际植物保护公约和世界动物卫生组织正在开展的工作</w:t>
      </w:r>
      <w:r w:rsidRPr="000C0842">
        <w:rPr>
          <w:rFonts w:eastAsia="SimSun"/>
          <w:caps/>
          <w:kern w:val="22"/>
          <w:sz w:val="24"/>
          <w:szCs w:val="24"/>
          <w:vertAlign w:val="superscript"/>
          <w:lang w:val="en-GB"/>
        </w:rPr>
        <w:footnoteReference w:id="214"/>
      </w:r>
      <w:r w:rsidRPr="000C0842">
        <w:rPr>
          <w:rFonts w:eastAsia="SimSun"/>
          <w:caps/>
          <w:kern w:val="22"/>
          <w:sz w:val="24"/>
          <w:szCs w:val="24"/>
          <w:lang w:val="en-GB"/>
        </w:rPr>
        <w:t>；</w:t>
      </w:r>
    </w:p>
    <w:p w14:paraId="62BDA4B8"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在全球和区域两个层面监测外来入侵和潜在外来入侵物种的电子商务，查明这些物种贸易的趋势和风险；</w:t>
      </w:r>
    </w:p>
    <w:p w14:paraId="20651C69"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制定指导意见和工具，协助国家边境机构应对违规行为，同时考虑到</w:t>
      </w:r>
      <w:r w:rsidRPr="000C0842">
        <w:rPr>
          <w:rFonts w:eastAsia="SimSun" w:hint="eastAsia"/>
          <w:caps/>
          <w:kern w:val="22"/>
          <w:sz w:val="24"/>
          <w:szCs w:val="24"/>
          <w:lang w:val="en-GB"/>
        </w:rPr>
        <w:t>为有效做出反应</w:t>
      </w:r>
      <w:r w:rsidRPr="000C0842">
        <w:rPr>
          <w:rFonts w:eastAsia="SimSun"/>
          <w:caps/>
          <w:kern w:val="22"/>
          <w:sz w:val="24"/>
          <w:szCs w:val="24"/>
          <w:lang w:val="en-GB"/>
        </w:rPr>
        <w:t>可能需要国内国际措施双管齐下</w:t>
      </w:r>
      <w:r w:rsidRPr="000C0842">
        <w:rPr>
          <w:rFonts w:eastAsia="SimSun"/>
          <w:caps/>
          <w:kern w:val="22"/>
          <w:sz w:val="24"/>
          <w:szCs w:val="24"/>
          <w:vertAlign w:val="superscript"/>
          <w:lang w:val="en-GB"/>
        </w:rPr>
        <w:footnoteReference w:id="215"/>
      </w:r>
      <w:r w:rsidRPr="000C0842">
        <w:rPr>
          <w:rFonts w:eastAsia="SimSun"/>
          <w:caps/>
          <w:kern w:val="22"/>
          <w:sz w:val="24"/>
          <w:szCs w:val="24"/>
          <w:lang w:val="en-GB"/>
        </w:rPr>
        <w:t>；</w:t>
      </w:r>
    </w:p>
    <w:p w14:paraId="61FF9B65"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改进国家边境机构之间的</w:t>
      </w:r>
      <w:r w:rsidRPr="000C0842">
        <w:rPr>
          <w:rFonts w:eastAsia="SimSun" w:hint="eastAsia"/>
          <w:sz w:val="24"/>
          <w:szCs w:val="24"/>
        </w:rPr>
        <w:t>协作</w:t>
      </w:r>
      <w:r w:rsidRPr="000C0842">
        <w:rPr>
          <w:rFonts w:eastAsia="SimSun"/>
          <w:caps/>
          <w:kern w:val="22"/>
          <w:sz w:val="24"/>
          <w:szCs w:val="24"/>
          <w:lang w:val="en-GB"/>
        </w:rPr>
        <w:t>，尽可能使现有安全举措与外来入侵物种风险管理和有针对性的（基于风险的）</w:t>
      </w:r>
      <w:r w:rsidRPr="000C0842">
        <w:rPr>
          <w:rFonts w:eastAsia="SimSun" w:hint="eastAsia"/>
          <w:caps/>
          <w:kern w:val="22"/>
          <w:sz w:val="24"/>
          <w:szCs w:val="24"/>
          <w:lang w:val="en-GB"/>
        </w:rPr>
        <w:t>检查</w:t>
      </w:r>
      <w:r w:rsidRPr="000C0842">
        <w:rPr>
          <w:rFonts w:eastAsia="SimSun"/>
          <w:caps/>
          <w:kern w:val="22"/>
          <w:sz w:val="24"/>
          <w:szCs w:val="24"/>
          <w:lang w:val="en-GB"/>
        </w:rPr>
        <w:t>挂钩。这</w:t>
      </w:r>
      <w:r w:rsidRPr="000C0842">
        <w:rPr>
          <w:rFonts w:eastAsia="SimSun" w:hint="eastAsia"/>
          <w:caps/>
          <w:kern w:val="22"/>
          <w:sz w:val="24"/>
          <w:szCs w:val="24"/>
          <w:lang w:val="en-GB"/>
        </w:rPr>
        <w:t>也</w:t>
      </w:r>
      <w:r w:rsidRPr="000C0842">
        <w:rPr>
          <w:rFonts w:eastAsia="SimSun"/>
          <w:caps/>
          <w:kern w:val="22"/>
          <w:sz w:val="24"/>
          <w:szCs w:val="24"/>
          <w:lang w:val="en-GB"/>
        </w:rPr>
        <w:t>将提供一个机制，让国家边境机构和其他相关部委及时分享跨境电子商务问题的信息；</w:t>
      </w:r>
    </w:p>
    <w:p w14:paraId="25F954D3"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与相关组织、缔约方和其他各级政府联合开展能力建设活动，为执行现有国际准则和标准提供技术援助和资源，为所有相关利益攸关方包括土著人民和地方社区制定国家或次国家监管框架或措施，应对与电子商务相关的风险；</w:t>
      </w:r>
    </w:p>
    <w:p w14:paraId="6937E20A" w14:textId="0A074A73"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探索能否将</w:t>
      </w:r>
      <w:r w:rsidRPr="000C0842">
        <w:rPr>
          <w:rFonts w:eastAsia="SimSun"/>
          <w:caps/>
          <w:kern w:val="22"/>
          <w:sz w:val="24"/>
          <w:szCs w:val="24"/>
          <w:lang w:val="en-GB"/>
        </w:rPr>
        <w:t>“</w:t>
      </w:r>
      <w:r w:rsidRPr="000C0842">
        <w:rPr>
          <w:rFonts w:eastAsia="SimSun" w:hint="eastAsia"/>
          <w:caps/>
          <w:kern w:val="22"/>
          <w:sz w:val="24"/>
          <w:szCs w:val="24"/>
          <w:lang w:val="en-GB"/>
        </w:rPr>
        <w:t>认证</w:t>
      </w:r>
      <w:r w:rsidRPr="000C0842">
        <w:rPr>
          <w:rFonts w:eastAsia="SimSun"/>
          <w:caps/>
          <w:kern w:val="22"/>
          <w:sz w:val="24"/>
          <w:szCs w:val="24"/>
          <w:lang w:val="en-GB"/>
        </w:rPr>
        <w:t>经营者</w:t>
      </w:r>
      <w:r w:rsidRPr="000C0842">
        <w:rPr>
          <w:rFonts w:eastAsia="SimSun"/>
          <w:caps/>
          <w:kern w:val="22"/>
          <w:sz w:val="24"/>
          <w:szCs w:val="24"/>
          <w:lang w:val="en-GB"/>
        </w:rPr>
        <w:t>”</w:t>
      </w:r>
      <w:r w:rsidRPr="000C0842">
        <w:rPr>
          <w:rFonts w:eastAsia="SimSun"/>
          <w:caps/>
          <w:kern w:val="22"/>
          <w:sz w:val="24"/>
          <w:szCs w:val="24"/>
          <w:lang w:val="en-GB"/>
        </w:rPr>
        <w:t>概念</w:t>
      </w:r>
      <w:r w:rsidRPr="000C0842">
        <w:rPr>
          <w:rFonts w:eastAsia="SimSun"/>
          <w:caps/>
          <w:kern w:val="22"/>
          <w:sz w:val="24"/>
          <w:szCs w:val="24"/>
          <w:vertAlign w:val="superscript"/>
          <w:lang w:val="en-GB"/>
        </w:rPr>
        <w:footnoteReference w:id="216"/>
      </w:r>
      <w:r w:rsidRPr="000C0842">
        <w:rPr>
          <w:rFonts w:eastAsia="SimSun"/>
          <w:caps/>
          <w:kern w:val="22"/>
          <w:sz w:val="24"/>
          <w:szCs w:val="24"/>
          <w:lang w:val="en-GB"/>
        </w:rPr>
        <w:t>扩大到跨境电子商务领域，包括邮政运营商、快递公司和电子平台，这样做可降低</w:t>
      </w:r>
      <w:r w:rsidRPr="000C0842">
        <w:rPr>
          <w:rFonts w:eastAsia="SimSun" w:hint="eastAsia"/>
          <w:caps/>
          <w:kern w:val="22"/>
          <w:sz w:val="24"/>
          <w:szCs w:val="24"/>
          <w:lang w:val="en-GB"/>
        </w:rPr>
        <w:t>检查</w:t>
      </w:r>
      <w:r w:rsidRPr="000C0842">
        <w:rPr>
          <w:rFonts w:eastAsia="SimSun"/>
          <w:caps/>
          <w:kern w:val="22"/>
          <w:sz w:val="24"/>
          <w:szCs w:val="24"/>
          <w:lang w:val="en-GB"/>
        </w:rPr>
        <w:t>频率；</w:t>
      </w:r>
    </w:p>
    <w:p w14:paraId="1FE78D19" w14:textId="77777777"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开发框架和资源，使国际供应链所有参与方都能够进行先进电子数据交换，利用这些数据对包裹进行分类，确定所需的</w:t>
      </w:r>
      <w:r w:rsidRPr="000C0842">
        <w:rPr>
          <w:rFonts w:eastAsia="SimSun" w:hint="eastAsia"/>
          <w:caps/>
          <w:kern w:val="22"/>
          <w:sz w:val="24"/>
          <w:szCs w:val="24"/>
          <w:lang w:val="en-GB"/>
        </w:rPr>
        <w:t>检查</w:t>
      </w:r>
      <w:r w:rsidRPr="000C0842">
        <w:rPr>
          <w:rFonts w:eastAsia="SimSun"/>
          <w:caps/>
          <w:kern w:val="22"/>
          <w:sz w:val="24"/>
          <w:szCs w:val="24"/>
          <w:lang w:val="en-GB"/>
        </w:rPr>
        <w:t>级别（基于风险的</w:t>
      </w:r>
      <w:r w:rsidRPr="000C0842">
        <w:rPr>
          <w:rFonts w:eastAsia="SimSun" w:hint="eastAsia"/>
          <w:caps/>
          <w:kern w:val="22"/>
          <w:sz w:val="24"/>
          <w:szCs w:val="24"/>
          <w:lang w:val="en-GB"/>
        </w:rPr>
        <w:t>检查</w:t>
      </w:r>
      <w:r w:rsidRPr="000C0842">
        <w:rPr>
          <w:rFonts w:eastAsia="SimSun"/>
          <w:caps/>
          <w:kern w:val="22"/>
          <w:sz w:val="24"/>
          <w:szCs w:val="24"/>
          <w:lang w:val="en-GB"/>
        </w:rPr>
        <w:t>）</w:t>
      </w:r>
      <w:r w:rsidRPr="000C0842">
        <w:rPr>
          <w:rFonts w:eastAsia="SimSun"/>
          <w:caps/>
          <w:kern w:val="22"/>
          <w:sz w:val="24"/>
          <w:szCs w:val="24"/>
          <w:vertAlign w:val="superscript"/>
          <w:lang w:val="en-GB"/>
        </w:rPr>
        <w:footnoteReference w:id="217"/>
      </w:r>
      <w:r w:rsidRPr="000C0842">
        <w:rPr>
          <w:rFonts w:eastAsia="SimSun"/>
          <w:caps/>
          <w:kern w:val="22"/>
          <w:sz w:val="24"/>
          <w:szCs w:val="24"/>
          <w:lang w:val="en-GB"/>
        </w:rPr>
        <w:t>；</w:t>
      </w:r>
    </w:p>
    <w:p w14:paraId="111CCE67" w14:textId="54BFE568"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caps/>
          <w:kern w:val="22"/>
          <w:sz w:val="24"/>
          <w:szCs w:val="24"/>
          <w:lang w:val="en-GB"/>
        </w:rPr>
      </w:pPr>
      <w:r w:rsidRPr="000C0842">
        <w:rPr>
          <w:rFonts w:eastAsia="SimSun"/>
          <w:caps/>
          <w:kern w:val="22"/>
          <w:sz w:val="24"/>
          <w:szCs w:val="24"/>
          <w:lang w:val="en-GB"/>
        </w:rPr>
        <w:t>提高国际组织、区域组织、国家组织和电子商务利益攸关方的认识，了解进出口规定和为防止或最大限度减少电子商务所致外来入侵和潜在外来入侵物种的引进和扩散风险而可采取的行动</w:t>
      </w:r>
      <w:r w:rsidRPr="000C0842">
        <w:rPr>
          <w:rFonts w:eastAsia="SimSun"/>
          <w:caps/>
          <w:kern w:val="22"/>
          <w:sz w:val="24"/>
          <w:szCs w:val="24"/>
          <w:vertAlign w:val="superscript"/>
          <w:lang w:val="en-GB"/>
        </w:rPr>
        <w:footnoteReference w:id="218"/>
      </w:r>
      <w:r w:rsidRPr="000C0842">
        <w:rPr>
          <w:rFonts w:eastAsia="SimSun"/>
          <w:caps/>
          <w:kern w:val="22"/>
          <w:sz w:val="24"/>
          <w:szCs w:val="24"/>
          <w:lang w:val="en-GB"/>
        </w:rPr>
        <w:t>（根据第</w:t>
      </w:r>
      <w:hyperlink r:id="rId158" w:history="1">
        <w:r w:rsidRPr="000C0842">
          <w:rPr>
            <w:rFonts w:eastAsia="SimSun"/>
            <w:sz w:val="24"/>
            <w:szCs w:val="24"/>
            <w:u w:val="single"/>
          </w:rPr>
          <w:t>XIII/13</w:t>
        </w:r>
      </w:hyperlink>
      <w:r w:rsidRPr="000C0842">
        <w:rPr>
          <w:rFonts w:eastAsia="SimSun"/>
          <w:caps/>
          <w:kern w:val="22"/>
          <w:sz w:val="24"/>
          <w:szCs w:val="24"/>
          <w:lang w:val="en-GB"/>
        </w:rPr>
        <w:t>号决定第</w:t>
      </w:r>
      <w:r w:rsidRPr="000C0842">
        <w:rPr>
          <w:rFonts w:eastAsia="SimSun"/>
          <w:caps/>
          <w:kern w:val="22"/>
          <w:sz w:val="24"/>
          <w:szCs w:val="24"/>
          <w:lang w:val="en-GB"/>
        </w:rPr>
        <w:t>7</w:t>
      </w:r>
      <w:r w:rsidRPr="000C0842">
        <w:rPr>
          <w:rFonts w:eastAsia="SimSun"/>
          <w:caps/>
          <w:kern w:val="22"/>
          <w:sz w:val="24"/>
          <w:szCs w:val="24"/>
          <w:lang w:val="en-GB"/>
        </w:rPr>
        <w:t>（</w:t>
      </w:r>
      <w:r w:rsidRPr="000C0842">
        <w:rPr>
          <w:rFonts w:eastAsia="DengXian Light"/>
          <w:kern w:val="22"/>
          <w:sz w:val="24"/>
          <w:szCs w:val="24"/>
          <w:lang w:val="en-GB"/>
        </w:rPr>
        <w:t>a</w:t>
      </w:r>
      <w:r w:rsidRPr="000C0842">
        <w:rPr>
          <w:rFonts w:eastAsia="SimSun"/>
          <w:caps/>
          <w:kern w:val="22"/>
          <w:sz w:val="24"/>
          <w:szCs w:val="24"/>
          <w:lang w:val="en-GB"/>
        </w:rPr>
        <w:t>）条）；</w:t>
      </w:r>
    </w:p>
    <w:p w14:paraId="1927027D" w14:textId="60D0B97F" w:rsidR="005E77FA" w:rsidRPr="000C0842" w:rsidRDefault="005E77FA">
      <w:pPr>
        <w:numPr>
          <w:ilvl w:val="0"/>
          <w:numId w:val="69"/>
        </w:numPr>
        <w:suppressLineNumbers/>
        <w:tabs>
          <w:tab w:val="clear" w:pos="567"/>
          <w:tab w:val="clear" w:pos="1134"/>
          <w:tab w:val="clear" w:pos="1701"/>
          <w:tab w:val="clear" w:pos="2268"/>
          <w:tab w:val="left" w:pos="1440"/>
        </w:tabs>
        <w:suppressAutoHyphens/>
        <w:adjustRightInd w:val="0"/>
        <w:snapToGrid w:val="0"/>
        <w:spacing w:before="120" w:after="120" w:line="240" w:lineRule="atLeast"/>
        <w:ind w:left="490" w:firstLine="490"/>
        <w:jc w:val="left"/>
        <w:rPr>
          <w:rFonts w:eastAsia="SimSun"/>
          <w:sz w:val="24"/>
          <w:szCs w:val="24"/>
          <w:lang w:val="en-CA"/>
        </w:rPr>
      </w:pPr>
      <w:r w:rsidRPr="000C0842">
        <w:rPr>
          <w:rFonts w:eastAsia="SimSun"/>
          <w:caps/>
          <w:kern w:val="22"/>
          <w:sz w:val="24"/>
          <w:szCs w:val="24"/>
          <w:lang w:val="en-GB"/>
        </w:rPr>
        <w:t>考虑在外来分类群环境影响分类等框架</w:t>
      </w:r>
      <w:r w:rsidRPr="000C0842">
        <w:rPr>
          <w:rFonts w:eastAsia="SimSun"/>
          <w:caps/>
          <w:kern w:val="22"/>
          <w:sz w:val="24"/>
          <w:szCs w:val="24"/>
          <w:vertAlign w:val="superscript"/>
          <w:lang w:val="en-GB"/>
        </w:rPr>
        <w:footnoteReference w:id="219"/>
      </w:r>
      <w:r w:rsidRPr="000C0842">
        <w:rPr>
          <w:rFonts w:eastAsia="SimSun"/>
          <w:caps/>
          <w:kern w:val="22"/>
          <w:sz w:val="24"/>
          <w:szCs w:val="24"/>
          <w:lang w:val="en-GB"/>
        </w:rPr>
        <w:t>的基础上，开发和实施一种基于风险的国际外来入侵物种标签系统，以知会买方和进口商并用于网上销售的所有物种。对于寄售的活体外来物种，这种标签可注明有助于识别对生物多样性的危害和识别物种或更低层级分类单元的信息（例如学名和分类序列号或类似编号）（根据</w:t>
      </w:r>
      <w:r w:rsidRPr="000C0842">
        <w:rPr>
          <w:rFonts w:eastAsia="SimSun"/>
          <w:caps/>
          <w:kern w:val="22"/>
          <w:sz w:val="24"/>
          <w:szCs w:val="24"/>
          <w:lang w:val="en-GB"/>
        </w:rPr>
        <w:t>2014</w:t>
      </w:r>
      <w:r w:rsidRPr="000C0842">
        <w:rPr>
          <w:rFonts w:eastAsia="SimSun"/>
          <w:caps/>
          <w:kern w:val="22"/>
          <w:sz w:val="24"/>
          <w:szCs w:val="24"/>
          <w:lang w:val="en-GB"/>
        </w:rPr>
        <w:t>年</w:t>
      </w:r>
      <w:r w:rsidRPr="000C0842">
        <w:rPr>
          <w:rFonts w:eastAsia="SimSun"/>
          <w:caps/>
          <w:kern w:val="22"/>
          <w:sz w:val="24"/>
          <w:szCs w:val="24"/>
          <w:lang w:val="en-GB"/>
        </w:rPr>
        <w:t>10</w:t>
      </w:r>
      <w:r w:rsidRPr="000C0842">
        <w:rPr>
          <w:rFonts w:eastAsia="SimSun"/>
          <w:caps/>
          <w:kern w:val="22"/>
          <w:sz w:val="24"/>
          <w:szCs w:val="24"/>
          <w:lang w:val="en-GB"/>
        </w:rPr>
        <w:t>月</w:t>
      </w:r>
      <w:r w:rsidRPr="000C0842">
        <w:rPr>
          <w:rFonts w:eastAsia="SimSun"/>
          <w:caps/>
          <w:kern w:val="22"/>
          <w:sz w:val="24"/>
          <w:szCs w:val="24"/>
          <w:lang w:val="en-GB"/>
        </w:rPr>
        <w:t>10</w:t>
      </w:r>
      <w:r w:rsidRPr="000C0842">
        <w:rPr>
          <w:rFonts w:eastAsia="SimSun"/>
          <w:caps/>
          <w:kern w:val="22"/>
          <w:sz w:val="24"/>
          <w:szCs w:val="24"/>
          <w:lang w:val="en-GB"/>
        </w:rPr>
        <w:t>日第</w:t>
      </w:r>
      <w:hyperlink r:id="rId159" w:history="1">
        <w:r w:rsidRPr="000C0842">
          <w:rPr>
            <w:rFonts w:eastAsia="DengXian Light"/>
            <w:kern w:val="22"/>
            <w:sz w:val="24"/>
            <w:szCs w:val="24"/>
            <w:u w:val="single"/>
          </w:rPr>
          <w:t>XII/17</w:t>
        </w:r>
        <w:bookmarkStart w:id="70" w:name="_Ref133164149"/>
      </w:hyperlink>
      <w:bookmarkEnd w:id="70"/>
      <w:r w:rsidRPr="000C0842">
        <w:rPr>
          <w:rFonts w:eastAsia="SimSun"/>
          <w:caps/>
          <w:kern w:val="22"/>
          <w:sz w:val="24"/>
          <w:szCs w:val="24"/>
          <w:lang w:val="en-GB"/>
        </w:rPr>
        <w:t>号决定第</w:t>
      </w:r>
      <w:r w:rsidRPr="000C0842">
        <w:rPr>
          <w:rFonts w:eastAsia="SimSun"/>
          <w:caps/>
          <w:kern w:val="22"/>
          <w:sz w:val="24"/>
          <w:szCs w:val="24"/>
          <w:lang w:val="en-GB"/>
        </w:rPr>
        <w:t>6(</w:t>
      </w:r>
      <w:r w:rsidRPr="000C0842">
        <w:rPr>
          <w:rFonts w:eastAsia="DengXian Light"/>
          <w:kern w:val="22"/>
          <w:sz w:val="24"/>
          <w:szCs w:val="24"/>
          <w:lang w:val="en-GB"/>
        </w:rPr>
        <w:t>g)</w:t>
      </w:r>
      <w:r w:rsidRPr="000C0842">
        <w:rPr>
          <w:rFonts w:eastAsia="SimSun"/>
          <w:caps/>
          <w:kern w:val="22"/>
          <w:sz w:val="24"/>
          <w:szCs w:val="24"/>
          <w:lang w:val="en-GB"/>
        </w:rPr>
        <w:t>段和第</w:t>
      </w:r>
      <w:hyperlink r:id="rId160" w:history="1">
        <w:r w:rsidRPr="000C0842">
          <w:rPr>
            <w:rFonts w:eastAsia="SimSun"/>
            <w:kern w:val="22"/>
            <w:sz w:val="24"/>
            <w:szCs w:val="24"/>
            <w:u w:val="single"/>
            <w:lang w:val="en-GB"/>
          </w:rPr>
          <w:t>14/11</w:t>
        </w:r>
      </w:hyperlink>
      <w:r w:rsidRPr="000C0842">
        <w:rPr>
          <w:rFonts w:eastAsia="SimSun"/>
          <w:caps/>
          <w:kern w:val="22"/>
          <w:sz w:val="24"/>
          <w:szCs w:val="24"/>
          <w:lang w:val="en-GB"/>
        </w:rPr>
        <w:t>号决定附件一第</w:t>
      </w:r>
      <w:r w:rsidRPr="000C0842">
        <w:rPr>
          <w:rFonts w:eastAsia="SimSun"/>
          <w:caps/>
          <w:kern w:val="22"/>
          <w:sz w:val="24"/>
          <w:szCs w:val="24"/>
          <w:lang w:val="en-GB"/>
        </w:rPr>
        <w:t>14</w:t>
      </w:r>
      <w:r w:rsidRPr="000C0842">
        <w:rPr>
          <w:rFonts w:eastAsia="SimSun"/>
          <w:caps/>
          <w:kern w:val="22"/>
          <w:sz w:val="24"/>
          <w:szCs w:val="24"/>
          <w:lang w:val="en-GB"/>
        </w:rPr>
        <w:t>段），同时考虑到经济及社会理事会危险货物运输问题专家小组委员会、世界贸易组织、国际植物保护公约、世界动物卫生组织和其他相关组织和文书</w:t>
      </w:r>
      <w:r w:rsidRPr="000C0842">
        <w:rPr>
          <w:rFonts w:eastAsia="SimSun" w:hint="eastAsia"/>
          <w:caps/>
          <w:kern w:val="22"/>
          <w:sz w:val="24"/>
          <w:szCs w:val="24"/>
          <w:lang w:val="en-GB"/>
        </w:rPr>
        <w:t>正在进行的工作</w:t>
      </w:r>
      <w:r w:rsidRPr="000C0842">
        <w:rPr>
          <w:rFonts w:eastAsia="SimSun"/>
          <w:caps/>
          <w:kern w:val="22"/>
          <w:sz w:val="24"/>
          <w:szCs w:val="24"/>
          <w:lang w:val="en-GB"/>
        </w:rPr>
        <w:t>。</w:t>
      </w:r>
    </w:p>
    <w:p w14:paraId="2A3EFBAE" w14:textId="77777777" w:rsidR="005E77FA" w:rsidRPr="000C0842" w:rsidRDefault="005E77FA" w:rsidP="00727A7A">
      <w:pPr>
        <w:tabs>
          <w:tab w:val="clear" w:pos="567"/>
          <w:tab w:val="clear" w:pos="1134"/>
          <w:tab w:val="clear" w:pos="1701"/>
          <w:tab w:val="clear" w:pos="2268"/>
        </w:tabs>
        <w:spacing w:before="240"/>
        <w:ind w:left="490"/>
        <w:jc w:val="left"/>
        <w:rPr>
          <w:rFonts w:eastAsia="SimSun"/>
          <w:b/>
          <w:bCs/>
          <w:sz w:val="24"/>
          <w:szCs w:val="24"/>
          <w:lang w:val="en-GB"/>
        </w:rPr>
      </w:pPr>
      <w:r w:rsidRPr="000C0842">
        <w:rPr>
          <w:rFonts w:eastAsia="SimSun"/>
          <w:b/>
          <w:bCs/>
          <w:sz w:val="24"/>
          <w:szCs w:val="24"/>
          <w:lang w:val="en-CA"/>
        </w:rPr>
        <w:t>附件三</w:t>
      </w:r>
    </w:p>
    <w:p w14:paraId="4D4A1A07" w14:textId="77777777" w:rsidR="005E77FA" w:rsidRPr="000C0842" w:rsidRDefault="005E77FA" w:rsidP="005E77FA">
      <w:pPr>
        <w:tabs>
          <w:tab w:val="clear" w:pos="567"/>
          <w:tab w:val="clear" w:pos="1134"/>
          <w:tab w:val="clear" w:pos="1701"/>
          <w:tab w:val="clear" w:pos="2268"/>
        </w:tabs>
        <w:ind w:left="490"/>
        <w:jc w:val="left"/>
        <w:rPr>
          <w:rFonts w:eastAsia="SimHei"/>
          <w:sz w:val="24"/>
          <w:szCs w:val="24"/>
          <w:lang w:val="en-CA"/>
        </w:rPr>
      </w:pPr>
      <w:r w:rsidRPr="000C0842">
        <w:rPr>
          <w:rFonts w:eastAsia="SimSun"/>
          <w:b/>
          <w:sz w:val="24"/>
          <w:szCs w:val="24"/>
          <w:lang w:val="en-CA"/>
        </w:rPr>
        <w:t>与预防气候变化和其他导致生物多样性丧失的驱动因素引起的潜在风险有关的外来入侵物种管理</w:t>
      </w:r>
    </w:p>
    <w:p w14:paraId="2ED553E3" w14:textId="77777777" w:rsidR="005E77FA" w:rsidRPr="000C0842" w:rsidRDefault="005E77FA">
      <w:pPr>
        <w:pStyle w:val="Para1"/>
        <w:numPr>
          <w:ilvl w:val="0"/>
          <w:numId w:val="237"/>
        </w:numPr>
        <w:tabs>
          <w:tab w:val="clear" w:pos="567"/>
          <w:tab w:val="clear" w:pos="1134"/>
          <w:tab w:val="clear" w:pos="1701"/>
          <w:tab w:val="clear" w:pos="2268"/>
        </w:tabs>
        <w:adjustRightInd w:val="0"/>
        <w:ind w:left="490" w:firstLine="0"/>
        <w:jc w:val="left"/>
        <w:rPr>
          <w:rFonts w:eastAsia="SimSun"/>
          <w:bCs/>
          <w:sz w:val="24"/>
          <w:szCs w:val="24"/>
        </w:rPr>
      </w:pPr>
      <w:r w:rsidRPr="000C0842">
        <w:rPr>
          <w:rFonts w:eastAsia="SimSun" w:hint="eastAsia"/>
          <w:bCs/>
          <w:sz w:val="24"/>
          <w:szCs w:val="24"/>
        </w:rPr>
        <w:t>本附件载有对缔约方和利益攸关方的建议和自愿指南，以支持执行《昆明</w:t>
      </w:r>
      <w:r w:rsidRPr="000C0842">
        <w:rPr>
          <w:rFonts w:eastAsia="SimSun"/>
          <w:bCs/>
          <w:sz w:val="24"/>
          <w:szCs w:val="24"/>
        </w:rPr>
        <w:t>-</w:t>
      </w:r>
      <w:r w:rsidRPr="000C0842">
        <w:rPr>
          <w:rFonts w:eastAsia="SimSun" w:hint="eastAsia"/>
          <w:bCs/>
          <w:sz w:val="24"/>
          <w:szCs w:val="24"/>
        </w:rPr>
        <w:t>蒙特利尔全球生物多样性框架》</w:t>
      </w:r>
      <w:r w:rsidRPr="000C0842">
        <w:rPr>
          <w:vertAlign w:val="superscript"/>
        </w:rPr>
        <w:footnoteReference w:id="220"/>
      </w:r>
      <w:r w:rsidRPr="000C0842">
        <w:rPr>
          <w:rFonts w:eastAsia="SimSun" w:hint="eastAsia"/>
          <w:bCs/>
          <w:sz w:val="24"/>
          <w:szCs w:val="24"/>
        </w:rPr>
        <w:t>，特别是关于外来入侵物种的行动目标</w:t>
      </w:r>
      <w:r w:rsidRPr="000C0842">
        <w:rPr>
          <w:rFonts w:eastAsia="SimSun"/>
          <w:bCs/>
          <w:sz w:val="24"/>
          <w:szCs w:val="24"/>
        </w:rPr>
        <w:t>6</w:t>
      </w:r>
      <w:r w:rsidRPr="000C0842">
        <w:rPr>
          <w:rFonts w:eastAsia="SimSun" w:hint="eastAsia"/>
          <w:bCs/>
          <w:sz w:val="24"/>
          <w:szCs w:val="24"/>
        </w:rPr>
        <w:t>，以及其他相关的行动目标。</w:t>
      </w:r>
    </w:p>
    <w:p w14:paraId="49000108" w14:textId="77777777" w:rsidR="005E77FA" w:rsidRPr="000C0842" w:rsidRDefault="005E77FA" w:rsidP="005E77FA">
      <w:pPr>
        <w:keepNext/>
        <w:keepLines/>
        <w:tabs>
          <w:tab w:val="clear" w:pos="567"/>
          <w:tab w:val="clear" w:pos="1134"/>
          <w:tab w:val="clear" w:pos="1701"/>
          <w:tab w:val="clear" w:pos="2268"/>
        </w:tabs>
        <w:snapToGrid w:val="0"/>
        <w:spacing w:before="240" w:after="120"/>
        <w:jc w:val="left"/>
        <w:outlineLvl w:val="0"/>
        <w:rPr>
          <w:rFonts w:eastAsia="SimSun"/>
          <w:b/>
          <w:caps/>
          <w:sz w:val="24"/>
          <w:szCs w:val="24"/>
          <w:lang w:val="en-CA"/>
        </w:rPr>
      </w:pPr>
      <w:r w:rsidRPr="000C0842">
        <w:rPr>
          <w:rFonts w:eastAsia="SimSun" w:hint="eastAsia"/>
          <w:b/>
          <w:caps/>
          <w:sz w:val="24"/>
          <w:szCs w:val="24"/>
          <w:lang w:val="en-CA"/>
        </w:rPr>
        <w:t>一</w:t>
      </w:r>
      <w:r w:rsidRPr="000C0842">
        <w:rPr>
          <w:rFonts w:eastAsia="SimSun"/>
          <w:b/>
          <w:caps/>
          <w:sz w:val="24"/>
          <w:szCs w:val="24"/>
          <w:lang w:val="en-CA"/>
        </w:rPr>
        <w:t>.</w:t>
      </w:r>
      <w:r w:rsidRPr="000C0842">
        <w:rPr>
          <w:rFonts w:eastAsia="SimSun"/>
          <w:b/>
          <w:caps/>
          <w:sz w:val="24"/>
          <w:szCs w:val="24"/>
          <w:lang w:val="en-CA"/>
        </w:rPr>
        <w:tab/>
      </w:r>
      <w:r w:rsidRPr="000C0842">
        <w:rPr>
          <w:rFonts w:eastAsia="SimSun" w:hint="eastAsia"/>
          <w:b/>
          <w:caps/>
          <w:sz w:val="24"/>
          <w:szCs w:val="24"/>
          <w:lang w:val="en-CA"/>
        </w:rPr>
        <w:t>外来入侵物</w:t>
      </w:r>
      <w:r w:rsidRPr="000C0842">
        <w:rPr>
          <w:rFonts w:eastAsia="SimSun"/>
          <w:b/>
          <w:caps/>
          <w:sz w:val="24"/>
          <w:szCs w:val="24"/>
          <w:lang w:val="en-CA"/>
        </w:rPr>
        <w:t>种、气候变化和其他导致生物多样性丧失的驱动因素之间的联系</w:t>
      </w:r>
    </w:p>
    <w:p w14:paraId="20347A62"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土地使用和气候变化等生物多样性丧失全球驱动因素被认为会导致陆地和水生生态系统的变化，从而对生物多样性产生深远影响。气候变化和其他导致生物多样性丧失的驱动因素助长了许多外来物种的传播和立足，为它们成为入侵物种创造新的机会。</w:t>
      </w:r>
      <w:r w:rsidRPr="000C0842">
        <w:rPr>
          <w:rFonts w:eastAsia="SimSun"/>
          <w:bCs/>
          <w:sz w:val="24"/>
          <w:szCs w:val="24"/>
          <w:lang w:val="en-CA"/>
        </w:rPr>
        <w:t>2019</w:t>
      </w:r>
      <w:r w:rsidRPr="000C0842">
        <w:rPr>
          <w:rFonts w:eastAsia="SimSun"/>
          <w:bCs/>
          <w:sz w:val="24"/>
          <w:szCs w:val="24"/>
          <w:lang w:val="en-CA"/>
        </w:rPr>
        <w:t>年为外来入侵物种特设技术专家组编写的报告审议了这些相互作用</w:t>
      </w:r>
      <w:r w:rsidRPr="000C0842">
        <w:rPr>
          <w:rFonts w:eastAsia="SimSun"/>
          <w:bCs/>
          <w:sz w:val="24"/>
          <w:szCs w:val="24"/>
          <w:vertAlign w:val="superscript"/>
          <w:lang w:val="en-GB"/>
        </w:rPr>
        <w:footnoteReference w:id="221"/>
      </w:r>
      <w:r w:rsidRPr="000C0842">
        <w:rPr>
          <w:rFonts w:eastAsia="SimSun"/>
          <w:bCs/>
          <w:sz w:val="24"/>
          <w:szCs w:val="24"/>
          <w:lang w:val="en-CA"/>
        </w:rPr>
        <w:t>，</w:t>
      </w:r>
      <w:r w:rsidRPr="000C0842">
        <w:rPr>
          <w:rFonts w:eastAsia="SimSun"/>
          <w:bCs/>
          <w:kern w:val="22"/>
          <w:sz w:val="24"/>
          <w:szCs w:val="24"/>
          <w:lang w:val="en-GB"/>
        </w:rPr>
        <w:t>并</w:t>
      </w:r>
      <w:r w:rsidRPr="000C0842">
        <w:rPr>
          <w:rFonts w:eastAsia="SimSun" w:hint="eastAsia"/>
          <w:bCs/>
          <w:kern w:val="22"/>
          <w:sz w:val="24"/>
          <w:szCs w:val="24"/>
          <w:lang w:val="en-GB"/>
        </w:rPr>
        <w:t>且</w:t>
      </w:r>
      <w:r w:rsidRPr="000C0842">
        <w:rPr>
          <w:rFonts w:eastAsia="SimSun"/>
          <w:bCs/>
          <w:kern w:val="22"/>
          <w:sz w:val="24"/>
          <w:szCs w:val="24"/>
          <w:lang w:val="en-GB"/>
        </w:rPr>
        <w:t>生物多样性和生态系统服务政府间科学与政策平台的《外来入侵物种及其控制专题评估</w:t>
      </w:r>
      <w:r w:rsidRPr="000C0842">
        <w:rPr>
          <w:rFonts w:eastAsia="SimSun" w:hint="eastAsia"/>
          <w:bCs/>
          <w:kern w:val="22"/>
          <w:sz w:val="24"/>
          <w:szCs w:val="24"/>
          <w:lang w:val="en-GB"/>
        </w:rPr>
        <w:t>的</w:t>
      </w:r>
      <w:r w:rsidRPr="000C0842">
        <w:rPr>
          <w:rFonts w:eastAsia="SimSun"/>
          <w:bCs/>
          <w:kern w:val="22"/>
          <w:sz w:val="24"/>
          <w:szCs w:val="24"/>
          <w:lang w:val="en-GB"/>
        </w:rPr>
        <w:t>决策者摘要》也对此做了作了记录。</w:t>
      </w:r>
    </w:p>
    <w:p w14:paraId="1847B95A"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气候变化会增加许多外来入侵物种和潜在外来入侵物种的引入、立足和传播</w:t>
      </w:r>
      <w:r w:rsidRPr="000C0842">
        <w:rPr>
          <w:rFonts w:eastAsia="SimSun" w:hint="eastAsia"/>
          <w:bCs/>
          <w:sz w:val="24"/>
          <w:szCs w:val="24"/>
          <w:lang w:val="en-CA"/>
        </w:rPr>
        <w:t>的</w:t>
      </w:r>
      <w:r w:rsidRPr="000C0842">
        <w:rPr>
          <w:rFonts w:eastAsia="SimSun"/>
          <w:bCs/>
          <w:sz w:val="24"/>
          <w:szCs w:val="24"/>
          <w:lang w:val="en-CA"/>
        </w:rPr>
        <w:t>速度和风险。人类对气候变化的适应可能会改变土地用途，增加对生态系统的干扰，从而</w:t>
      </w:r>
      <w:r w:rsidRPr="000C0842">
        <w:rPr>
          <w:rFonts w:eastAsia="SimSun" w:hint="eastAsia"/>
          <w:bCs/>
          <w:sz w:val="24"/>
          <w:szCs w:val="24"/>
          <w:lang w:val="en-CA"/>
        </w:rPr>
        <w:t>有</w:t>
      </w:r>
      <w:r w:rsidRPr="000C0842">
        <w:rPr>
          <w:rFonts w:eastAsia="SimSun"/>
          <w:bCs/>
          <w:sz w:val="24"/>
          <w:szCs w:val="24"/>
          <w:lang w:val="en-CA"/>
        </w:rPr>
        <w:t>利于外来物种的立足。气候变化还会影响入侵昆虫和病原体等宿主物种的分布范围、扩张和转移，从而可能导致虫害和疾病的传播。</w:t>
      </w:r>
      <w:r w:rsidRPr="000C0842">
        <w:rPr>
          <w:rFonts w:eastAsia="SimSun"/>
          <w:bCs/>
          <w:sz w:val="24"/>
          <w:szCs w:val="24"/>
          <w:lang w:val="en-CA"/>
        </w:rPr>
        <w:t xml:space="preserve"> </w:t>
      </w:r>
    </w:p>
    <w:p w14:paraId="129E6A92"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气候变化与干旱、飓风和洪水以及缓发事件等更频繁的极端天气事件相关联。</w:t>
      </w:r>
      <w:r w:rsidRPr="000C0842">
        <w:rPr>
          <w:rFonts w:eastAsia="SimSun" w:hint="eastAsia"/>
          <w:bCs/>
          <w:sz w:val="24"/>
          <w:szCs w:val="24"/>
          <w:lang w:val="en-CA"/>
        </w:rPr>
        <w:t>这些</w:t>
      </w:r>
      <w:r w:rsidRPr="000C0842">
        <w:rPr>
          <w:rFonts w:eastAsia="SimSun"/>
          <w:bCs/>
          <w:sz w:val="24"/>
          <w:szCs w:val="24"/>
          <w:lang w:val="en-CA"/>
        </w:rPr>
        <w:t>事件可能导致外来入侵物种和潜在外来入侵物种迁移到新的地区，并扰乱生境，使外来入侵物种得以立足和扩散。它们还可能导致突然的人口流动，而流动人口可能会无意中携带外来入侵物种。</w:t>
      </w:r>
    </w:p>
    <w:p w14:paraId="626B1158"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并非所有外来物种都能成功侵入，也并非所有外来入侵物种都能从气候变化中受益，因为在不断变化的气候条件下，一些物种的数量可能会减少。然而，尽管某些外来入侵物种的重要性将下降，其他目前影响较小的物种可能会成为</w:t>
      </w:r>
      <w:r w:rsidRPr="000C0842">
        <w:rPr>
          <w:rFonts w:eastAsia="SimSun" w:hint="eastAsia"/>
          <w:bCs/>
          <w:sz w:val="24"/>
          <w:szCs w:val="24"/>
          <w:lang w:val="en-CA"/>
        </w:rPr>
        <w:t>重要</w:t>
      </w:r>
      <w:r w:rsidRPr="000C0842">
        <w:rPr>
          <w:rFonts w:eastAsia="SimSun"/>
          <w:bCs/>
          <w:sz w:val="24"/>
          <w:szCs w:val="24"/>
          <w:lang w:val="en-CA"/>
        </w:rPr>
        <w:t>的外来入侵物种。</w:t>
      </w:r>
    </w:p>
    <w:p w14:paraId="4085408C"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在气候变化和其他导致生物多样性丧失的驱动因素影响下，特别是对岛屿生态系统和岛屿国家而言，预防和管理外来入侵物种和潜在外来入侵物种变得更加棘手。面对气候变化，需要有足够的信息、优先考虑采取的行动和其他工具，以支持对外来入侵物种的管理</w:t>
      </w:r>
      <w:r w:rsidRPr="000C0842">
        <w:rPr>
          <w:rFonts w:eastAsia="SimSun"/>
          <w:bCs/>
          <w:sz w:val="24"/>
          <w:szCs w:val="24"/>
          <w:vertAlign w:val="superscript"/>
          <w:lang w:val="en-GB"/>
        </w:rPr>
        <w:footnoteReference w:id="222"/>
      </w:r>
      <w:r w:rsidRPr="000C0842">
        <w:rPr>
          <w:rFonts w:eastAsia="SimSun"/>
          <w:bCs/>
          <w:sz w:val="24"/>
          <w:szCs w:val="24"/>
          <w:lang w:val="en-CA"/>
        </w:rPr>
        <w:t>。</w:t>
      </w:r>
    </w:p>
    <w:p w14:paraId="530A240F"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土地和海洋利用</w:t>
      </w:r>
      <w:r w:rsidRPr="000C0842">
        <w:rPr>
          <w:rFonts w:eastAsia="SimSun" w:hint="eastAsia"/>
          <w:bCs/>
          <w:sz w:val="24"/>
          <w:szCs w:val="24"/>
          <w:lang w:val="en-CA"/>
        </w:rPr>
        <w:t>的</w:t>
      </w:r>
      <w:r w:rsidRPr="000C0842">
        <w:rPr>
          <w:rFonts w:eastAsia="SimSun"/>
          <w:bCs/>
          <w:sz w:val="24"/>
          <w:szCs w:val="24"/>
          <w:lang w:val="en-CA"/>
        </w:rPr>
        <w:t>变化与运输、引进、种群建立和传播等生物入侵的各个阶段相互作用。对陆地、水生和海洋生物群落来说都是如此。干扰和土地改造为新物种的殖民和传播提供了新的机会，而土地和海洋利用的变化往往会导致采用引进的物种（例如新的饲料物种和人造林树木）</w:t>
      </w:r>
      <w:r w:rsidRPr="000C0842">
        <w:rPr>
          <w:rFonts w:eastAsia="SimSun"/>
          <w:bCs/>
          <w:sz w:val="24"/>
          <w:szCs w:val="24"/>
          <w:vertAlign w:val="superscript"/>
          <w:lang w:val="en-CA"/>
        </w:rPr>
        <w:footnoteReference w:id="223"/>
      </w:r>
      <w:r w:rsidRPr="000C0842">
        <w:rPr>
          <w:rFonts w:eastAsia="SimSun"/>
          <w:bCs/>
          <w:sz w:val="24"/>
          <w:szCs w:val="24"/>
          <w:lang w:val="en-CA"/>
        </w:rPr>
        <w:t>。</w:t>
      </w:r>
    </w:p>
    <w:p w14:paraId="47162E30" w14:textId="77777777" w:rsidR="005E77FA" w:rsidRPr="000C0842" w:rsidRDefault="005E77FA" w:rsidP="005E77FA">
      <w:pPr>
        <w:keepNext/>
        <w:keepLines/>
        <w:tabs>
          <w:tab w:val="clear" w:pos="567"/>
          <w:tab w:val="clear" w:pos="1134"/>
          <w:tab w:val="clear" w:pos="1701"/>
          <w:tab w:val="clear" w:pos="2268"/>
        </w:tabs>
        <w:spacing w:before="240" w:after="120"/>
        <w:jc w:val="left"/>
        <w:outlineLvl w:val="0"/>
        <w:rPr>
          <w:rFonts w:eastAsia="SimSun"/>
          <w:b/>
          <w:caps/>
          <w:sz w:val="24"/>
          <w:szCs w:val="24"/>
          <w:lang w:val="en-CA"/>
        </w:rPr>
      </w:pPr>
      <w:r w:rsidRPr="000C0842">
        <w:rPr>
          <w:rFonts w:eastAsia="SimSun" w:hint="eastAsia"/>
          <w:b/>
          <w:caps/>
          <w:sz w:val="24"/>
          <w:szCs w:val="24"/>
          <w:lang w:val="en-CA"/>
        </w:rPr>
        <w:t>二</w:t>
      </w:r>
      <w:r w:rsidRPr="000C0842">
        <w:rPr>
          <w:rFonts w:eastAsia="SimSun" w:hint="eastAsia"/>
          <w:b/>
          <w:caps/>
          <w:sz w:val="24"/>
          <w:szCs w:val="24"/>
          <w:lang w:val="en-CA"/>
        </w:rPr>
        <w:t>.</w:t>
      </w:r>
      <w:r w:rsidRPr="000C0842">
        <w:rPr>
          <w:rFonts w:eastAsia="SimSun"/>
          <w:b/>
          <w:caps/>
          <w:sz w:val="24"/>
          <w:szCs w:val="24"/>
          <w:lang w:val="en-CA"/>
        </w:rPr>
        <w:tab/>
      </w:r>
      <w:r w:rsidRPr="000C0842">
        <w:rPr>
          <w:rFonts w:eastAsia="SimSun"/>
          <w:b/>
          <w:caps/>
          <w:sz w:val="24"/>
          <w:szCs w:val="24"/>
          <w:lang w:val="en-CA"/>
        </w:rPr>
        <w:t>预测</w:t>
      </w:r>
    </w:p>
    <w:p w14:paraId="38F6C001"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管理外来入侵物种对生物多样性和生态系统服务的影响，需要了解这些变化如何可能导致实际和潜在的环境、社会经济和文化影响发生变化，尤其是在气候变化和其他导致生物多样性丧失的驱动因素的背景下，以便相应调整管理方面的优先事项。从这个意义上讲，在不同气候变化情景下的建模和前瞻性</w:t>
      </w:r>
      <w:r w:rsidRPr="000C0842">
        <w:rPr>
          <w:rFonts w:eastAsia="SimSun" w:hint="eastAsia"/>
          <w:bCs/>
          <w:sz w:val="24"/>
          <w:szCs w:val="24"/>
          <w:lang w:val="en-CA"/>
        </w:rPr>
        <w:t>工作</w:t>
      </w:r>
      <w:r w:rsidRPr="000C0842">
        <w:rPr>
          <w:rFonts w:eastAsia="SimSun"/>
          <w:bCs/>
          <w:sz w:val="24"/>
          <w:szCs w:val="24"/>
          <w:lang w:val="en-CA"/>
        </w:rPr>
        <w:t>可能是有所帮助的。</w:t>
      </w:r>
    </w:p>
    <w:p w14:paraId="6D30B4A9"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鉴于上述情况，建议缔约方和利益攸关方酌情采取以下技术行动（考虑到</w:t>
      </w:r>
      <w:r w:rsidRPr="000C0842">
        <w:rPr>
          <w:rFonts w:eastAsia="SimSun"/>
          <w:bCs/>
          <w:sz w:val="24"/>
          <w:szCs w:val="24"/>
          <w:lang w:val="en-CA"/>
        </w:rPr>
        <w:t>2018</w:t>
      </w:r>
      <w:r w:rsidRPr="000C0842">
        <w:rPr>
          <w:rFonts w:eastAsia="SimSun"/>
          <w:bCs/>
          <w:sz w:val="24"/>
          <w:szCs w:val="24"/>
          <w:lang w:val="en-CA"/>
        </w:rPr>
        <w:t>年</w:t>
      </w:r>
      <w:r w:rsidRPr="000C0842">
        <w:rPr>
          <w:rFonts w:eastAsia="SimSun"/>
          <w:bCs/>
          <w:sz w:val="24"/>
          <w:szCs w:val="24"/>
          <w:lang w:val="en-CA"/>
        </w:rPr>
        <w:t>11</w:t>
      </w:r>
      <w:r w:rsidRPr="000C0842">
        <w:rPr>
          <w:rFonts w:eastAsia="SimSun"/>
          <w:bCs/>
          <w:sz w:val="24"/>
          <w:szCs w:val="24"/>
          <w:lang w:val="en-CA"/>
        </w:rPr>
        <w:t>月</w:t>
      </w:r>
      <w:r w:rsidRPr="000C0842">
        <w:rPr>
          <w:rFonts w:eastAsia="SimSun"/>
          <w:bCs/>
          <w:sz w:val="24"/>
          <w:szCs w:val="24"/>
          <w:lang w:val="en-CA"/>
        </w:rPr>
        <w:t>29</w:t>
      </w:r>
      <w:r w:rsidRPr="000C0842">
        <w:rPr>
          <w:rFonts w:eastAsia="SimSun"/>
          <w:bCs/>
          <w:sz w:val="24"/>
          <w:szCs w:val="24"/>
          <w:lang w:val="en-CA"/>
        </w:rPr>
        <w:t>日第</w:t>
      </w:r>
      <w:hyperlink r:id="rId161" w:history="1">
        <w:r w:rsidRPr="000C0842">
          <w:rPr>
            <w:rFonts w:eastAsia="SimSun"/>
            <w:kern w:val="22"/>
            <w:sz w:val="24"/>
            <w:szCs w:val="24"/>
            <w:u w:val="single"/>
          </w:rPr>
          <w:t>14/5</w:t>
        </w:r>
      </w:hyperlink>
      <w:r w:rsidRPr="000C0842">
        <w:rPr>
          <w:rFonts w:eastAsia="SimSun"/>
          <w:sz w:val="24"/>
          <w:szCs w:val="24"/>
        </w:rPr>
        <w:t xml:space="preserve"> </w:t>
      </w:r>
      <w:hyperlink r:id="rId162" w:history="1"/>
      <w:r w:rsidRPr="000C0842">
        <w:rPr>
          <w:rFonts w:eastAsia="SimSun"/>
          <w:bCs/>
          <w:sz w:val="24"/>
          <w:szCs w:val="24"/>
          <w:lang w:val="en-CA"/>
        </w:rPr>
        <w:t>号决定，尤其是其附件）</w:t>
      </w:r>
      <w:r w:rsidRPr="000C0842">
        <w:rPr>
          <w:rFonts w:eastAsia="SimSun"/>
          <w:bCs/>
          <w:sz w:val="24"/>
          <w:szCs w:val="24"/>
          <w:lang w:val="en-CA"/>
        </w:rPr>
        <w:t>:</w:t>
      </w:r>
    </w:p>
    <w:p w14:paraId="008FB07C"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进行水平扫描，以预报或预测气候变化导致的外来入侵物种未来的实际和潜在风险和影响变化；</w:t>
      </w:r>
      <w:r w:rsidRPr="000C0842">
        <w:rPr>
          <w:rFonts w:eastAsia="SimSun"/>
          <w:sz w:val="24"/>
          <w:szCs w:val="24"/>
          <w:lang w:val="en-CA"/>
        </w:rPr>
        <w:t xml:space="preserve"> </w:t>
      </w:r>
    </w:p>
    <w:p w14:paraId="2372268B"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rPr>
      </w:pPr>
      <w:r w:rsidRPr="000C0842">
        <w:rPr>
          <w:rFonts w:ascii="SimSun" w:eastAsia="SimSun" w:hAnsi="SimSun" w:cs="SimSun" w:hint="eastAsia"/>
          <w:sz w:val="24"/>
          <w:szCs w:val="24"/>
          <w:lang w:val="en-CA"/>
        </w:rPr>
        <w:t>辨识气候变化导致的外来入侵物种和潜在外来入侵物种引入途径的变化。目前面临最大风险的气候相似区域未来可能会随着病媒和途径的变化，包括来往这些区域的贸易和人员进出的变化而发生变化；</w:t>
      </w:r>
      <w:r w:rsidRPr="000C0842">
        <w:rPr>
          <w:rFonts w:eastAsia="Times New Roman"/>
          <w:sz w:val="24"/>
          <w:szCs w:val="24"/>
          <w:lang w:val="en-CA"/>
        </w:rPr>
        <w:t xml:space="preserve"> </w:t>
      </w:r>
    </w:p>
    <w:p w14:paraId="6D3D5D63"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rPr>
      </w:pPr>
      <w:r w:rsidRPr="000C0842">
        <w:rPr>
          <w:rFonts w:ascii="SimSun" w:eastAsia="SimSun" w:hAnsi="SimSun" w:cs="SimSun" w:hint="eastAsia"/>
          <w:sz w:val="24"/>
          <w:szCs w:val="24"/>
          <w:lang w:val="en-CA"/>
        </w:rPr>
        <w:t>确认气候变化和其他导致生物多样性丧失的驱动因素对引入新的潜在外来入侵物种的影响或对其引入途径及在原始和入侵社区建立种群的影响；</w:t>
      </w:r>
    </w:p>
    <w:p w14:paraId="6634A1D3"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rPr>
      </w:pPr>
      <w:r w:rsidRPr="000C0842">
        <w:rPr>
          <w:rFonts w:ascii="SimSun" w:eastAsia="SimSun" w:hAnsi="SimSun" w:cs="SimSun" w:hint="eastAsia"/>
          <w:sz w:val="24"/>
          <w:szCs w:val="24"/>
          <w:lang w:val="en-GB"/>
        </w:rPr>
        <w:t>应用建模（例如气候、物种分布和时空尺度）来评估不同气候变化情景下外来入侵物种潜在的扩张范围及其对生物多样性和生态系统服务的影响，包括开发供发展中国家广泛使用的模型</w:t>
      </w:r>
      <w:r w:rsidRPr="000C0842">
        <w:rPr>
          <w:rFonts w:eastAsia="Times New Roman"/>
          <w:sz w:val="24"/>
          <w:szCs w:val="24"/>
          <w:lang w:val="en-GB"/>
        </w:rPr>
        <w:t>;</w:t>
      </w:r>
    </w:p>
    <w:p w14:paraId="0C3111D1"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rPr>
      </w:pPr>
      <w:r w:rsidRPr="000C0842">
        <w:rPr>
          <w:rFonts w:ascii="SimSun" w:eastAsia="SimSun" w:hAnsi="SimSun" w:cs="SimSun" w:hint="eastAsia"/>
          <w:sz w:val="24"/>
          <w:szCs w:val="24"/>
          <w:lang w:val="en-GB"/>
        </w:rPr>
        <w:t>改进方法，利用外来入侵物种数据分析，整合气候变化模型、土地利用情景和贸易趋势，以提高预测能力；</w:t>
      </w:r>
    </w:p>
    <w:p w14:paraId="5185438F"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rPr>
      </w:pPr>
      <w:r w:rsidRPr="000C0842">
        <w:rPr>
          <w:rFonts w:ascii="SimSun" w:eastAsia="SimSun" w:hAnsi="SimSun" w:cs="SimSun" w:hint="eastAsia"/>
          <w:sz w:val="24"/>
          <w:szCs w:val="24"/>
          <w:lang w:val="en-GB"/>
        </w:rPr>
        <w:t>确定情景，以了解外来入侵物种在哪些方面可能通过改变生态系统间接加剧气候变化对生物多样性和生态系统服务的影响</w:t>
      </w:r>
      <w:r w:rsidRPr="000C0842">
        <w:rPr>
          <w:rFonts w:eastAsia="Times New Roman"/>
          <w:sz w:val="24"/>
          <w:szCs w:val="24"/>
          <w:lang w:val="en-GB"/>
        </w:rPr>
        <w:t>;</w:t>
      </w:r>
    </w:p>
    <w:p w14:paraId="007DAD7A"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GB"/>
        </w:rPr>
      </w:pPr>
      <w:r w:rsidRPr="000C0842">
        <w:rPr>
          <w:rFonts w:ascii="SimSun" w:eastAsia="SimSun" w:hAnsi="SimSun" w:cs="SimSun" w:hint="eastAsia"/>
          <w:sz w:val="24"/>
          <w:szCs w:val="24"/>
          <w:lang w:val="en-GB"/>
        </w:rPr>
        <w:t>优化对外来入侵物种的风险分析，包括识别潜在的外来入侵物种（如疾病媒介），这些物种在当前条件下不会产生重大影响，但有可能在气候变化导致人口快速增长时建立种群，或成为入侵物种，并产生更大影响（所谓的</w:t>
      </w:r>
      <w:r w:rsidRPr="000C0842">
        <w:rPr>
          <w:rFonts w:eastAsia="Times New Roman"/>
          <w:sz w:val="24"/>
          <w:szCs w:val="24"/>
          <w:lang w:val="en-GB"/>
        </w:rPr>
        <w:t>“</w:t>
      </w:r>
      <w:r w:rsidRPr="000C0842">
        <w:rPr>
          <w:rFonts w:ascii="SimSun" w:eastAsia="SimSun" w:hAnsi="SimSun" w:cs="SimSun" w:hint="eastAsia"/>
          <w:sz w:val="24"/>
          <w:szCs w:val="24"/>
          <w:lang w:val="en-GB"/>
        </w:rPr>
        <w:t>休眠外来物种</w:t>
      </w:r>
      <w:r w:rsidRPr="000C0842">
        <w:rPr>
          <w:rFonts w:eastAsia="Times New Roman"/>
          <w:sz w:val="24"/>
          <w:szCs w:val="24"/>
          <w:lang w:val="en-GB"/>
        </w:rPr>
        <w:t>”</w:t>
      </w:r>
      <w:r w:rsidRPr="000C0842">
        <w:rPr>
          <w:rFonts w:ascii="SimSun" w:eastAsia="SimSun" w:hAnsi="SimSun" w:cs="SimSun" w:hint="eastAsia"/>
          <w:sz w:val="24"/>
          <w:szCs w:val="24"/>
          <w:lang w:val="en-GB"/>
        </w:rPr>
        <w:t>）。可以通过利用社会参与和数字技术（例如在动物流行病监测中）和通过利用哨兵站等方法来监测此类物种的丰度、传播和影响的变化，或通过开展基于特征和影响的风险评估来做到这一点；</w:t>
      </w:r>
      <w:r w:rsidRPr="000C0842">
        <w:rPr>
          <w:rFonts w:eastAsia="Times New Roman"/>
          <w:sz w:val="24"/>
          <w:szCs w:val="24"/>
          <w:lang w:val="en-GB"/>
        </w:rPr>
        <w:t xml:space="preserve"> </w:t>
      </w:r>
    </w:p>
    <w:p w14:paraId="7074E3B4"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rPr>
      </w:pPr>
      <w:r w:rsidRPr="000C0842">
        <w:rPr>
          <w:rFonts w:ascii="SimSun" w:eastAsia="SimSun" w:hAnsi="SimSun" w:cs="SimSun" w:hint="eastAsia"/>
          <w:sz w:val="24"/>
          <w:szCs w:val="24"/>
          <w:lang w:val="en-GB"/>
        </w:rPr>
        <w:t>加深</w:t>
      </w:r>
      <w:r w:rsidRPr="000C0842">
        <w:rPr>
          <w:rFonts w:ascii="SimSun" w:eastAsia="SimSun" w:hAnsi="SimSun" w:cs="SimSun" w:hint="eastAsia"/>
          <w:sz w:val="24"/>
          <w:szCs w:val="24"/>
          <w:lang w:val="en-CA"/>
        </w:rPr>
        <w:t>对外来入侵物种和潜在外来入侵物种的认识，这些物种可能因二氧化碳含量上升、富营养化、营养物质和肥料的存在、杀虫剂、气温上升、极端天气事件发生率上升、火灾情况频率和强度增加、高盐水入侵、海流变化和降水模式变化而从中受益。改进的科学信息将有助于确定管理决策的优先次序，以防止它们的传播和影响，包括采取根除、遏制和控制措施</w:t>
      </w:r>
      <w:r w:rsidRPr="000C0842">
        <w:rPr>
          <w:rFonts w:eastAsia="Times New Roman"/>
          <w:kern w:val="22"/>
          <w:sz w:val="24"/>
          <w:szCs w:val="24"/>
          <w:vertAlign w:val="superscript"/>
          <w:lang w:val="en-GB"/>
        </w:rPr>
        <w:footnoteReference w:id="224"/>
      </w:r>
      <w:r w:rsidRPr="000C0842">
        <w:rPr>
          <w:rFonts w:ascii="SimSun" w:eastAsia="SimSun" w:hAnsi="SimSun" w:cs="SimSun" w:hint="eastAsia"/>
          <w:sz w:val="24"/>
          <w:szCs w:val="24"/>
          <w:lang w:val="en-CA"/>
        </w:rPr>
        <w:t>；</w:t>
      </w:r>
    </w:p>
    <w:p w14:paraId="4F506E0C"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rPr>
      </w:pPr>
      <w:r w:rsidRPr="000C0842">
        <w:rPr>
          <w:rFonts w:ascii="SimSun" w:eastAsia="SimSun" w:hAnsi="SimSun" w:cs="SimSun" w:hint="eastAsia"/>
          <w:sz w:val="24"/>
          <w:szCs w:val="24"/>
          <w:lang w:val="en-CA"/>
        </w:rPr>
        <w:t>加深认识外来入侵物种适应新环境条件的风险，包括它们快速进化的潜力及其在疾病蔓延和杂交中的作用，以及了解土地利用变化对生态位可用性的影响</w:t>
      </w:r>
      <w:r w:rsidRPr="000C0842">
        <w:rPr>
          <w:rFonts w:eastAsia="Times New Roman"/>
          <w:sz w:val="24"/>
          <w:szCs w:val="24"/>
          <w:lang w:val="en-CA"/>
        </w:rPr>
        <w:t>;</w:t>
      </w:r>
    </w:p>
    <w:p w14:paraId="5B9A98E6" w14:textId="77777777" w:rsidR="005E77FA" w:rsidRPr="000C0842" w:rsidRDefault="005E77FA">
      <w:pPr>
        <w:numPr>
          <w:ilvl w:val="0"/>
          <w:numId w:val="71"/>
        </w:numPr>
        <w:tabs>
          <w:tab w:val="clear" w:pos="567"/>
          <w:tab w:val="clear" w:pos="1134"/>
          <w:tab w:val="clear" w:pos="1701"/>
          <w:tab w:val="clear" w:pos="2268"/>
        </w:tabs>
        <w:adjustRightInd w:val="0"/>
        <w:snapToGrid w:val="0"/>
        <w:spacing w:before="120" w:after="120"/>
        <w:ind w:left="490" w:firstLine="490"/>
        <w:contextualSpacing/>
        <w:rPr>
          <w:rFonts w:eastAsia="Times New Roman"/>
          <w:sz w:val="24"/>
          <w:szCs w:val="24"/>
          <w:lang w:val="en-CA"/>
        </w:rPr>
      </w:pPr>
      <w:r w:rsidRPr="000C0842">
        <w:rPr>
          <w:rFonts w:ascii="SimSun" w:eastAsia="SimSun" w:hAnsi="SimSun" w:cs="SimSun" w:hint="eastAsia"/>
          <w:sz w:val="24"/>
          <w:szCs w:val="24"/>
          <w:lang w:val="en-CA"/>
        </w:rPr>
        <w:t>在相关人民自由、事先和知情同意</w:t>
      </w:r>
      <w:r w:rsidRPr="000C0842">
        <w:rPr>
          <w:rFonts w:eastAsia="Times New Roman"/>
          <w:kern w:val="22"/>
          <w:sz w:val="24"/>
          <w:szCs w:val="24"/>
          <w:vertAlign w:val="superscript"/>
          <w:lang w:val="en-GB"/>
        </w:rPr>
        <w:footnoteReference w:id="225"/>
      </w:r>
      <w:r w:rsidRPr="000C0842">
        <w:rPr>
          <w:rFonts w:ascii="SimSun" w:eastAsia="SimSun" w:hAnsi="SimSun" w:cs="SimSun" w:hint="eastAsia"/>
          <w:sz w:val="24"/>
          <w:szCs w:val="24"/>
          <w:lang w:val="en-CA"/>
        </w:rPr>
        <w:t>的前提下，利用土著生物文化指标和传统知识形成的早期识别和预警系统，预测气候变化和其他导致生物多样性丧失的驱动因素引来的外来入侵物种和潜在外来入侵物种。</w:t>
      </w:r>
    </w:p>
    <w:p w14:paraId="54E8A7E3" w14:textId="77777777" w:rsidR="005E77FA" w:rsidRPr="000C0842" w:rsidRDefault="005E77FA" w:rsidP="005E77FA">
      <w:pPr>
        <w:keepNext/>
        <w:keepLines/>
        <w:tabs>
          <w:tab w:val="clear" w:pos="567"/>
          <w:tab w:val="clear" w:pos="1134"/>
          <w:tab w:val="clear" w:pos="1701"/>
          <w:tab w:val="clear" w:pos="2268"/>
        </w:tabs>
        <w:snapToGrid w:val="0"/>
        <w:spacing w:before="240" w:after="120"/>
        <w:jc w:val="left"/>
        <w:outlineLvl w:val="0"/>
        <w:rPr>
          <w:rFonts w:eastAsia="SimSun"/>
          <w:b/>
          <w:caps/>
          <w:sz w:val="24"/>
          <w:szCs w:val="24"/>
          <w:lang w:val="en-CA"/>
        </w:rPr>
      </w:pPr>
      <w:r w:rsidRPr="000C0842">
        <w:rPr>
          <w:rFonts w:eastAsia="SimSun" w:hint="eastAsia"/>
          <w:b/>
          <w:caps/>
          <w:sz w:val="24"/>
          <w:szCs w:val="24"/>
          <w:lang w:val="en-CA"/>
        </w:rPr>
        <w:t>三</w:t>
      </w:r>
      <w:r w:rsidRPr="000C0842">
        <w:rPr>
          <w:rFonts w:eastAsia="SimSun" w:hint="eastAsia"/>
          <w:b/>
          <w:caps/>
          <w:sz w:val="24"/>
          <w:szCs w:val="24"/>
          <w:lang w:val="en-CA"/>
        </w:rPr>
        <w:t>.</w:t>
      </w:r>
      <w:r w:rsidRPr="000C0842">
        <w:rPr>
          <w:rFonts w:eastAsia="SimSun"/>
          <w:b/>
          <w:caps/>
          <w:sz w:val="24"/>
          <w:szCs w:val="24"/>
          <w:lang w:val="en-CA"/>
        </w:rPr>
        <w:tab/>
      </w:r>
      <w:r w:rsidRPr="000C0842">
        <w:rPr>
          <w:rFonts w:eastAsia="SimSun"/>
          <w:b/>
          <w:caps/>
          <w:sz w:val="24"/>
          <w:szCs w:val="24"/>
          <w:lang w:val="en-CA"/>
        </w:rPr>
        <w:t>规划和预防</w:t>
      </w:r>
    </w:p>
    <w:p w14:paraId="7C7DA4B9"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p>
    <w:p w14:paraId="7B2557AC"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在气候变化背景下，根据外来入侵物种潜在的直接和间接影响，如其在疾病传播中的作用，确定应对的优先次序</w:t>
      </w:r>
      <w:r w:rsidRPr="000C0842">
        <w:rPr>
          <w:rFonts w:eastAsia="SimSun"/>
          <w:sz w:val="24"/>
          <w:szCs w:val="24"/>
          <w:lang w:val="en-CA"/>
        </w:rPr>
        <w:t>;</w:t>
      </w:r>
    </w:p>
    <w:p w14:paraId="62A15519"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确定保护区、关键生物多样性区域和其他有效的区域保护措施的优先次序，同时顾及自然对人类的贡献和生态系统货物和服务以及这些重点地带生态系统功能</w:t>
      </w:r>
      <w:r w:rsidRPr="000C0842">
        <w:rPr>
          <w:rFonts w:eastAsia="SimSun"/>
          <w:sz w:val="24"/>
          <w:szCs w:val="24"/>
          <w:lang w:val="en-CA"/>
        </w:rPr>
        <w:t>;</w:t>
      </w:r>
    </w:p>
    <w:p w14:paraId="624A8469"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监测所有潜在和已有外来物种的传播和影响，特别是在生物多样性和生态系统服务可能因气候变化和其他导致生物多样性丧失的驱动因素而迅速恶化的地带或区域。建议采用基于证据和最佳实践的方法，例如使用遥感或传感器网络，以及地方民间社会团体参与监测的数字工具</w:t>
      </w:r>
      <w:r w:rsidRPr="000C0842">
        <w:rPr>
          <w:rFonts w:eastAsia="SimSun"/>
          <w:sz w:val="24"/>
          <w:szCs w:val="24"/>
          <w:lang w:val="en-CA"/>
        </w:rPr>
        <w:t xml:space="preserve">; </w:t>
      </w:r>
    </w:p>
    <w:p w14:paraId="5FC6924D"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最大限度地减少生物入侵的潜在影响，并为极有可能发生极端天气事件的地区制定空间应对规划（例如，将</w:t>
      </w:r>
      <w:r w:rsidRPr="000C0842">
        <w:rPr>
          <w:rFonts w:eastAsia="SimSun" w:hint="eastAsia"/>
          <w:sz w:val="24"/>
          <w:szCs w:val="24"/>
          <w:lang w:val="en-CA"/>
        </w:rPr>
        <w:t>这些</w:t>
      </w:r>
      <w:r w:rsidRPr="000C0842">
        <w:rPr>
          <w:rFonts w:eastAsia="SimSun"/>
          <w:sz w:val="24"/>
          <w:szCs w:val="24"/>
          <w:lang w:val="en-CA"/>
        </w:rPr>
        <w:t>事件易发地区的动物园、植物园和外来水产养殖设施迁至其他地区）；</w:t>
      </w:r>
    </w:p>
    <w:p w14:paraId="5FE76BDD"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考虑到灾后废弃物的移动是引入外来物种和外来入侵物种的潜在途径</w:t>
      </w:r>
      <w:r w:rsidRPr="000C0842">
        <w:rPr>
          <w:rFonts w:eastAsia="SimSun"/>
          <w:sz w:val="24"/>
          <w:szCs w:val="24"/>
          <w:lang w:val="en-CA"/>
        </w:rPr>
        <w:t>;</w:t>
      </w:r>
    </w:p>
    <w:p w14:paraId="4C21D999"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调整当前的路径管理，以减少气候变化和其他导致生物多样性丧失的驱动因素带来的风险，包括预测贸易和人员流动的相关变化</w:t>
      </w:r>
      <w:r w:rsidRPr="000C0842">
        <w:rPr>
          <w:rFonts w:eastAsia="SimSun"/>
          <w:sz w:val="24"/>
          <w:szCs w:val="24"/>
          <w:lang w:val="en-CA"/>
        </w:rPr>
        <w:t>;</w:t>
      </w:r>
    </w:p>
    <w:p w14:paraId="49A59407"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让农业、公共卫生机构和工业等各个部门都参与其风险来自跨部门气候变化和其他导致生物多样性丧失的驱动因素的有关外来入侵物种的规划活动，以符合框架中呼吁的全社会和全政府办法</w:t>
      </w:r>
      <w:r w:rsidRPr="000C0842">
        <w:rPr>
          <w:rFonts w:eastAsia="SimSun"/>
          <w:sz w:val="24"/>
          <w:szCs w:val="24"/>
          <w:lang w:val="en-CA"/>
        </w:rPr>
        <w:t>;</w:t>
      </w:r>
    </w:p>
    <w:p w14:paraId="702CBB63"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提高公众认识，使其了解气候变化和其他</w:t>
      </w:r>
      <w:r w:rsidRPr="000C0842">
        <w:rPr>
          <w:rFonts w:eastAsia="SimSun" w:hint="eastAsia"/>
          <w:sz w:val="24"/>
          <w:szCs w:val="24"/>
          <w:lang w:val="en-CA"/>
        </w:rPr>
        <w:t>生物多样性丧失驱动因素</w:t>
      </w:r>
      <w:r w:rsidRPr="000C0842">
        <w:rPr>
          <w:rFonts w:eastAsia="SimSun"/>
          <w:sz w:val="24"/>
          <w:szCs w:val="24"/>
          <w:lang w:val="en-CA"/>
        </w:rPr>
        <w:t>进一步加剧外来入侵物种的威胁，并让公众和所有相关部门参与应对规划</w:t>
      </w:r>
      <w:r w:rsidRPr="000C0842">
        <w:rPr>
          <w:rFonts w:eastAsia="SimSun"/>
          <w:sz w:val="24"/>
          <w:szCs w:val="24"/>
          <w:lang w:val="en-CA"/>
        </w:rPr>
        <w:t>;</w:t>
      </w:r>
    </w:p>
    <w:p w14:paraId="7F1DC5EA"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支持土著人民和地方社区预防、监测、控制和减轻气候变化和其他导致生物多样性丧失的驱动因素造成的外来入侵物种影响的最佳做法及其传统知识</w:t>
      </w:r>
      <w:r w:rsidRPr="000C0842" w:rsidDel="007E42FC">
        <w:rPr>
          <w:rFonts w:eastAsia="SimSun"/>
          <w:sz w:val="24"/>
          <w:szCs w:val="24"/>
          <w:vertAlign w:val="superscript"/>
          <w:lang w:val="en-CA"/>
        </w:rPr>
        <w:footnoteReference w:id="226"/>
      </w:r>
      <w:r w:rsidRPr="000C0842">
        <w:rPr>
          <w:rFonts w:eastAsia="SimSun"/>
          <w:sz w:val="24"/>
          <w:szCs w:val="24"/>
          <w:lang w:val="en-CA"/>
        </w:rPr>
        <w:t>、创新和做法；</w:t>
      </w:r>
    </w:p>
    <w:p w14:paraId="343E9313"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请区域和地方专家包括动物福利和人畜共患疾病专家参与审议预防、规划和缓解措施</w:t>
      </w:r>
      <w:r w:rsidRPr="000C0842">
        <w:rPr>
          <w:rFonts w:eastAsia="SimSun"/>
          <w:sz w:val="24"/>
          <w:szCs w:val="24"/>
          <w:lang w:val="en-CA"/>
        </w:rPr>
        <w:t>;</w:t>
      </w:r>
    </w:p>
    <w:p w14:paraId="5F9D1D7C" w14:textId="77777777" w:rsidR="005E77FA" w:rsidRPr="000C0842" w:rsidRDefault="005E77FA">
      <w:pPr>
        <w:numPr>
          <w:ilvl w:val="0"/>
          <w:numId w:val="51"/>
        </w:numPr>
        <w:tabs>
          <w:tab w:val="clear" w:pos="567"/>
          <w:tab w:val="clear" w:pos="1134"/>
          <w:tab w:val="clear" w:pos="1701"/>
          <w:tab w:val="clear" w:pos="2268"/>
        </w:tabs>
        <w:adjustRightInd w:val="0"/>
        <w:snapToGrid w:val="0"/>
        <w:spacing w:before="120" w:after="120"/>
        <w:ind w:left="490" w:firstLine="490"/>
        <w:jc w:val="left"/>
        <w:rPr>
          <w:rFonts w:eastAsia="SimSun"/>
          <w:kern w:val="22"/>
          <w:sz w:val="24"/>
          <w:szCs w:val="24"/>
          <w:lang w:val="en-CA"/>
        </w:rPr>
      </w:pPr>
      <w:r w:rsidRPr="000C0842">
        <w:rPr>
          <w:rFonts w:eastAsia="SimSun"/>
          <w:sz w:val="24"/>
          <w:szCs w:val="24"/>
          <w:lang w:val="en-CA"/>
        </w:rPr>
        <w:t>促进早期发现和快速反应。</w:t>
      </w:r>
    </w:p>
    <w:p w14:paraId="2981193B" w14:textId="77777777" w:rsidR="005E77FA" w:rsidRPr="000C0842" w:rsidRDefault="005E77FA" w:rsidP="005E77FA">
      <w:pPr>
        <w:keepNext/>
        <w:keepLines/>
        <w:tabs>
          <w:tab w:val="clear" w:pos="567"/>
          <w:tab w:val="clear" w:pos="1134"/>
          <w:tab w:val="clear" w:pos="1701"/>
          <w:tab w:val="clear" w:pos="2268"/>
        </w:tabs>
        <w:adjustRightInd w:val="0"/>
        <w:snapToGrid w:val="0"/>
        <w:spacing w:before="240" w:after="120"/>
        <w:jc w:val="left"/>
        <w:outlineLvl w:val="0"/>
        <w:rPr>
          <w:rFonts w:eastAsia="SimSun"/>
          <w:b/>
          <w:caps/>
          <w:sz w:val="24"/>
          <w:szCs w:val="24"/>
          <w:lang w:val="en-CA"/>
        </w:rPr>
      </w:pPr>
      <w:r w:rsidRPr="000C0842">
        <w:rPr>
          <w:rFonts w:eastAsia="SimSun" w:hint="eastAsia"/>
          <w:b/>
          <w:caps/>
          <w:sz w:val="24"/>
          <w:szCs w:val="24"/>
          <w:lang w:val="en-CA"/>
        </w:rPr>
        <w:t>四</w:t>
      </w:r>
      <w:r w:rsidRPr="000C0842">
        <w:rPr>
          <w:rFonts w:eastAsia="SimSun" w:hint="eastAsia"/>
          <w:b/>
          <w:caps/>
          <w:sz w:val="24"/>
          <w:szCs w:val="24"/>
          <w:lang w:val="en-CA"/>
        </w:rPr>
        <w:t>.</w:t>
      </w:r>
      <w:r w:rsidRPr="000C0842">
        <w:rPr>
          <w:rFonts w:eastAsia="SimSun"/>
          <w:b/>
          <w:caps/>
          <w:sz w:val="24"/>
          <w:szCs w:val="24"/>
          <w:lang w:val="en-CA"/>
        </w:rPr>
        <w:tab/>
      </w:r>
      <w:r w:rsidRPr="000C0842">
        <w:rPr>
          <w:rFonts w:eastAsia="SimSun"/>
          <w:b/>
          <w:caps/>
          <w:sz w:val="24"/>
          <w:szCs w:val="24"/>
          <w:lang w:val="en-CA"/>
        </w:rPr>
        <w:t>管理</w:t>
      </w:r>
    </w:p>
    <w:p w14:paraId="58B1B796"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z w:val="24"/>
          <w:szCs w:val="24"/>
          <w:lang w:val="en-CA"/>
        </w:rPr>
        <w:t>建议缔约方、组织、土著人民和地方社区以及相关利益攸关方酌情采取以下管理行动：</w:t>
      </w:r>
    </w:p>
    <w:p w14:paraId="34DCD673"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pacing w:val="8"/>
          <w:kern w:val="22"/>
          <w:sz w:val="24"/>
          <w:szCs w:val="24"/>
          <w:lang w:val="en-CA"/>
        </w:rPr>
        <w:t>应用适应性管理办法，确立气候变化和其他导致生物多样性丧失的驱动因素背景下管理行动的优先次序，并与其他缔约方和利益攸关方分享信息，以扩大</w:t>
      </w:r>
      <w:r w:rsidRPr="000C0842">
        <w:rPr>
          <w:rFonts w:eastAsia="SimSun"/>
          <w:kern w:val="22"/>
          <w:sz w:val="24"/>
          <w:szCs w:val="24"/>
          <w:lang w:val="en-CA"/>
        </w:rPr>
        <w:t>成果；</w:t>
      </w:r>
    </w:p>
    <w:p w14:paraId="171BD545"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采取步骤，增强受到气候变化、极端天气事件、自然灾害和相关外来入侵物种侵入威胁的生态系统和生境的长期功能复原力，特别是在岛屿和沿海系统（根据第</w:t>
      </w:r>
      <w:hyperlink r:id="rId163" w:history="1">
        <w:r w:rsidRPr="000C0842">
          <w:rPr>
            <w:rFonts w:eastAsia="SimSun"/>
            <w:sz w:val="24"/>
            <w:szCs w:val="24"/>
            <w:u w:val="single"/>
            <w:lang w:val="en-CA"/>
          </w:rPr>
          <w:t>14/5</w:t>
        </w:r>
      </w:hyperlink>
      <w:r w:rsidRPr="000C0842">
        <w:rPr>
          <w:rFonts w:eastAsia="SimSun"/>
          <w:sz w:val="24"/>
          <w:szCs w:val="24"/>
          <w:lang w:val="en-CA"/>
        </w:rPr>
        <w:t>号决定，第</w:t>
      </w:r>
      <w:r w:rsidRPr="000C0842">
        <w:rPr>
          <w:rFonts w:eastAsia="SimSun"/>
          <w:sz w:val="24"/>
          <w:szCs w:val="24"/>
          <w:lang w:val="en-CA"/>
        </w:rPr>
        <w:t>3 (h)</w:t>
      </w:r>
      <w:r w:rsidRPr="000C0842">
        <w:rPr>
          <w:rFonts w:eastAsia="SimSun"/>
          <w:sz w:val="24"/>
          <w:szCs w:val="24"/>
          <w:lang w:val="en-CA"/>
        </w:rPr>
        <w:t>段和第</w:t>
      </w:r>
      <w:r w:rsidRPr="000C0842">
        <w:rPr>
          <w:rFonts w:eastAsia="SimSun"/>
          <w:sz w:val="24"/>
          <w:szCs w:val="24"/>
          <w:lang w:val="en-CA"/>
        </w:rPr>
        <w:t>4(b)</w:t>
      </w:r>
      <w:r w:rsidRPr="000C0842">
        <w:rPr>
          <w:rFonts w:eastAsia="SimSun"/>
          <w:sz w:val="24"/>
          <w:szCs w:val="24"/>
          <w:lang w:val="en-CA"/>
        </w:rPr>
        <w:t>段及附件，以及</w:t>
      </w:r>
      <w:r w:rsidRPr="000C0842">
        <w:rPr>
          <w:rFonts w:eastAsia="SimSun"/>
          <w:sz w:val="24"/>
          <w:szCs w:val="24"/>
          <w:lang w:val="en-CA"/>
        </w:rPr>
        <w:t>2010</w:t>
      </w:r>
      <w:r w:rsidRPr="000C0842">
        <w:rPr>
          <w:rFonts w:eastAsia="SimSun"/>
          <w:sz w:val="24"/>
          <w:szCs w:val="24"/>
          <w:lang w:val="en-CA"/>
        </w:rPr>
        <w:t>年</w:t>
      </w:r>
      <w:r w:rsidRPr="000C0842">
        <w:rPr>
          <w:rFonts w:eastAsia="SimSun"/>
          <w:sz w:val="24"/>
          <w:szCs w:val="24"/>
          <w:lang w:val="en-CA"/>
        </w:rPr>
        <w:t>10</w:t>
      </w:r>
      <w:r w:rsidRPr="000C0842">
        <w:rPr>
          <w:rFonts w:eastAsia="SimSun"/>
          <w:sz w:val="24"/>
          <w:szCs w:val="24"/>
          <w:lang w:val="en-CA"/>
        </w:rPr>
        <w:t>月</w:t>
      </w:r>
      <w:r w:rsidRPr="000C0842">
        <w:rPr>
          <w:rFonts w:eastAsia="SimSun"/>
          <w:sz w:val="24"/>
          <w:szCs w:val="24"/>
          <w:lang w:val="en-CA"/>
        </w:rPr>
        <w:t>29</w:t>
      </w:r>
      <w:r w:rsidRPr="000C0842">
        <w:rPr>
          <w:rFonts w:eastAsia="SimSun"/>
          <w:sz w:val="24"/>
          <w:szCs w:val="24"/>
          <w:lang w:val="en-CA"/>
        </w:rPr>
        <w:t>日第</w:t>
      </w:r>
      <w:hyperlink r:id="rId164" w:history="1">
        <w:r w:rsidRPr="000C0842">
          <w:rPr>
            <w:rFonts w:eastAsia="SimSun"/>
            <w:sz w:val="24"/>
            <w:szCs w:val="24"/>
            <w:u w:val="single"/>
          </w:rPr>
          <w:t>X/33</w:t>
        </w:r>
      </w:hyperlink>
      <w:r w:rsidRPr="000C0842">
        <w:rPr>
          <w:rFonts w:eastAsia="SimSun"/>
          <w:sz w:val="24"/>
          <w:szCs w:val="24"/>
          <w:lang w:val="en-CA"/>
        </w:rPr>
        <w:t>号决定，第</w:t>
      </w:r>
      <w:r w:rsidRPr="000C0842">
        <w:rPr>
          <w:rFonts w:eastAsia="SimSun"/>
          <w:sz w:val="24"/>
          <w:szCs w:val="24"/>
          <w:lang w:val="en-CA"/>
        </w:rPr>
        <w:t>8(n)</w:t>
      </w:r>
      <w:r w:rsidRPr="000C0842">
        <w:rPr>
          <w:rFonts w:eastAsia="SimSun"/>
          <w:sz w:val="24"/>
          <w:szCs w:val="24"/>
          <w:lang w:val="en-CA"/>
        </w:rPr>
        <w:t>段）；</w:t>
      </w:r>
    </w:p>
    <w:p w14:paraId="21D1633A"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在可能的情况下采取重点管理行动，包括缓解、监测、遏制、根除或控制可能作为非本地来源</w:t>
      </w:r>
      <w:r w:rsidRPr="000C0842">
        <w:rPr>
          <w:rFonts w:eastAsia="SimSun" w:hint="eastAsia"/>
          <w:sz w:val="24"/>
          <w:szCs w:val="24"/>
          <w:lang w:val="en-CA"/>
        </w:rPr>
        <w:t>的</w:t>
      </w:r>
      <w:r w:rsidRPr="000C0842">
        <w:rPr>
          <w:rFonts w:eastAsia="SimSun"/>
          <w:sz w:val="24"/>
          <w:szCs w:val="24"/>
          <w:lang w:val="en-CA"/>
        </w:rPr>
        <w:t>入侵物种和外来潜在入侵物种扩散到已确定的脆弱地区或土著社区；</w:t>
      </w:r>
    </w:p>
    <w:p w14:paraId="78D87385"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整理现有数据和信息</w:t>
      </w:r>
      <w:r w:rsidRPr="000C0842">
        <w:rPr>
          <w:rFonts w:eastAsia="SimSun" w:hint="eastAsia"/>
          <w:sz w:val="24"/>
          <w:szCs w:val="24"/>
          <w:lang w:val="en-CA"/>
        </w:rPr>
        <w:t>，</w:t>
      </w:r>
      <w:r w:rsidRPr="000C0842">
        <w:rPr>
          <w:rFonts w:eastAsia="SimSun"/>
          <w:sz w:val="24"/>
          <w:szCs w:val="24"/>
        </w:rPr>
        <w:t>以便能够传播信息</w:t>
      </w:r>
      <w:r w:rsidRPr="000C0842">
        <w:rPr>
          <w:rFonts w:eastAsia="SimSun" w:hint="eastAsia"/>
          <w:sz w:val="24"/>
          <w:szCs w:val="24"/>
        </w:rPr>
        <w:t>，说明</w:t>
      </w:r>
      <w:r w:rsidRPr="000C0842">
        <w:rPr>
          <w:rFonts w:eastAsia="SimSun"/>
          <w:sz w:val="24"/>
          <w:szCs w:val="24"/>
        </w:rPr>
        <w:t>减缓</w:t>
      </w:r>
      <w:r w:rsidRPr="000C0842">
        <w:rPr>
          <w:rFonts w:eastAsia="SimSun" w:hint="eastAsia"/>
          <w:sz w:val="24"/>
          <w:szCs w:val="24"/>
        </w:rPr>
        <w:t>因</w:t>
      </w:r>
      <w:r w:rsidRPr="000C0842">
        <w:rPr>
          <w:rFonts w:eastAsia="SimSun"/>
          <w:sz w:val="24"/>
          <w:szCs w:val="24"/>
        </w:rPr>
        <w:t>气候变化和生物多样性丧失</w:t>
      </w:r>
      <w:r w:rsidRPr="000C0842">
        <w:rPr>
          <w:rFonts w:eastAsia="SimSun" w:hint="eastAsia"/>
          <w:sz w:val="24"/>
          <w:szCs w:val="24"/>
        </w:rPr>
        <w:t>的</w:t>
      </w:r>
      <w:r w:rsidRPr="000C0842">
        <w:rPr>
          <w:rFonts w:eastAsia="SimSun"/>
          <w:sz w:val="24"/>
          <w:szCs w:val="24"/>
        </w:rPr>
        <w:t>其他驱动因素</w:t>
      </w:r>
      <w:r w:rsidRPr="000C0842">
        <w:rPr>
          <w:rFonts w:eastAsia="SimSun" w:hint="eastAsia"/>
          <w:sz w:val="24"/>
          <w:szCs w:val="24"/>
        </w:rPr>
        <w:t>导致</w:t>
      </w:r>
      <w:r w:rsidRPr="000C0842">
        <w:rPr>
          <w:rFonts w:eastAsia="SimSun"/>
          <w:sz w:val="24"/>
          <w:szCs w:val="24"/>
        </w:rPr>
        <w:t>的外来入侵物种影响的行动</w:t>
      </w:r>
      <w:r w:rsidRPr="000C0842">
        <w:rPr>
          <w:rFonts w:eastAsia="SimSun" w:hint="eastAsia"/>
          <w:sz w:val="24"/>
          <w:szCs w:val="24"/>
        </w:rPr>
        <w:t>成</w:t>
      </w:r>
      <w:r w:rsidRPr="000C0842">
        <w:rPr>
          <w:rFonts w:eastAsia="SimSun"/>
          <w:sz w:val="24"/>
          <w:szCs w:val="24"/>
        </w:rPr>
        <w:t>效</w:t>
      </w:r>
      <w:r w:rsidRPr="000C0842">
        <w:rPr>
          <w:rFonts w:eastAsia="SimSun"/>
          <w:sz w:val="24"/>
          <w:szCs w:val="24"/>
          <w:lang w:val="en-CA"/>
        </w:rPr>
        <w:t>；</w:t>
      </w:r>
    </w:p>
    <w:p w14:paraId="22D4B226"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pacing w:val="-8"/>
          <w:sz w:val="24"/>
          <w:szCs w:val="24"/>
          <w:lang w:val="en-CA"/>
        </w:rPr>
        <w:t>在设想</w:t>
      </w:r>
      <w:r w:rsidRPr="000C0842">
        <w:rPr>
          <w:rFonts w:eastAsia="SimSun" w:hint="eastAsia"/>
          <w:spacing w:val="-8"/>
          <w:sz w:val="24"/>
          <w:szCs w:val="24"/>
          <w:lang w:val="en-CA"/>
        </w:rPr>
        <w:t>移地</w:t>
      </w:r>
      <w:r w:rsidRPr="000C0842">
        <w:rPr>
          <w:rFonts w:eastAsia="SimSun"/>
          <w:spacing w:val="-8"/>
          <w:sz w:val="24"/>
          <w:szCs w:val="24"/>
          <w:lang w:val="en-CA"/>
        </w:rPr>
        <w:t>保护措施（如迁移或协助迁徙）时，考虑采取预防性方法，避免意外的生态后果，如外来入侵物种的引入和传播（根据第</w:t>
      </w:r>
      <w:hyperlink r:id="rId165" w:history="1">
        <w:r w:rsidRPr="000C0842">
          <w:rPr>
            <w:rFonts w:eastAsia="SimSun"/>
            <w:spacing w:val="-8"/>
            <w:sz w:val="24"/>
            <w:szCs w:val="24"/>
            <w:u w:val="single"/>
            <w:lang w:val="en-CA"/>
          </w:rPr>
          <w:t>X/33</w:t>
        </w:r>
      </w:hyperlink>
      <w:r w:rsidRPr="000C0842">
        <w:rPr>
          <w:rFonts w:eastAsia="SimSun"/>
          <w:spacing w:val="-8"/>
          <w:sz w:val="24"/>
          <w:szCs w:val="24"/>
          <w:lang w:val="en-CA"/>
        </w:rPr>
        <w:t>号决定，第</w:t>
      </w:r>
      <w:r w:rsidRPr="000C0842">
        <w:rPr>
          <w:rFonts w:eastAsia="SimSun"/>
          <w:spacing w:val="-8"/>
          <w:sz w:val="24"/>
          <w:szCs w:val="24"/>
          <w:lang w:val="en-CA"/>
        </w:rPr>
        <w:t>8</w:t>
      </w:r>
      <w:r w:rsidRPr="000C0842">
        <w:rPr>
          <w:rFonts w:eastAsia="SimSun"/>
          <w:spacing w:val="-8"/>
          <w:sz w:val="24"/>
          <w:szCs w:val="24"/>
          <w:lang w:val="en-CA"/>
        </w:rPr>
        <w:t>（</w:t>
      </w:r>
      <w:r w:rsidRPr="000C0842">
        <w:rPr>
          <w:rFonts w:eastAsia="SimSun"/>
          <w:spacing w:val="-8"/>
          <w:sz w:val="24"/>
          <w:szCs w:val="24"/>
          <w:lang w:val="en-CA"/>
        </w:rPr>
        <w:t>e</w:t>
      </w:r>
      <w:r w:rsidRPr="000C0842">
        <w:rPr>
          <w:rFonts w:eastAsia="SimSun"/>
          <w:spacing w:val="-8"/>
          <w:sz w:val="24"/>
          <w:szCs w:val="24"/>
          <w:lang w:val="en-CA"/>
        </w:rPr>
        <w:t>）</w:t>
      </w:r>
      <w:r w:rsidRPr="000C0842">
        <w:rPr>
          <w:rFonts w:eastAsia="SimSun"/>
          <w:sz w:val="24"/>
          <w:szCs w:val="24"/>
          <w:lang w:val="en-CA"/>
        </w:rPr>
        <w:t>条）</w:t>
      </w:r>
      <w:r w:rsidRPr="000C0842">
        <w:rPr>
          <w:rFonts w:eastAsia="SimSun"/>
          <w:sz w:val="24"/>
          <w:szCs w:val="24"/>
          <w:lang w:val="en-CA"/>
        </w:rPr>
        <w:t>;</w:t>
      </w:r>
    </w:p>
    <w:p w14:paraId="54C326F5"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与土著人民和地方社区</w:t>
      </w:r>
      <w:r w:rsidRPr="000C0842">
        <w:rPr>
          <w:rFonts w:eastAsia="SimSun" w:hint="eastAsia"/>
          <w:sz w:val="24"/>
          <w:szCs w:val="24"/>
          <w:lang w:val="en-CA"/>
        </w:rPr>
        <w:t>协作</w:t>
      </w:r>
      <w:r w:rsidRPr="000C0842">
        <w:rPr>
          <w:rFonts w:eastAsia="SimSun"/>
          <w:sz w:val="24"/>
          <w:szCs w:val="24"/>
          <w:lang w:val="en-CA"/>
        </w:rPr>
        <w:t>，经其自由、事先、知情同意后记录和支持最佳做法和传统知识，以监测、控制和减轻气候变化及其他导致生物多样性丧失的驱动因素造成的外来入侵物种、疾病和物种分布变化的影响</w:t>
      </w:r>
      <w:r w:rsidRPr="000C0842">
        <w:rPr>
          <w:rFonts w:eastAsia="SimSun"/>
          <w:sz w:val="24"/>
          <w:szCs w:val="24"/>
          <w:lang w:val="en-CA"/>
        </w:rPr>
        <w:t>;</w:t>
      </w:r>
    </w:p>
    <w:p w14:paraId="5DBA65F6"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提供用于收集和分析数据的工具</w:t>
      </w:r>
      <w:r w:rsidRPr="000C0842">
        <w:rPr>
          <w:rFonts w:eastAsia="SimSun"/>
          <w:sz w:val="24"/>
          <w:szCs w:val="24"/>
          <w:vertAlign w:val="superscript"/>
          <w:lang w:val="en-CA"/>
        </w:rPr>
        <w:footnoteReference w:id="227"/>
      </w:r>
      <w:r w:rsidRPr="000C0842">
        <w:rPr>
          <w:rFonts w:eastAsia="SimSun"/>
          <w:sz w:val="24"/>
          <w:szCs w:val="24"/>
          <w:lang w:val="en-CA"/>
        </w:rPr>
        <w:t>和机制，以便作出有效决策，处理气候变化与外来入侵物种之间的联系</w:t>
      </w:r>
      <w:r w:rsidRPr="000C0842">
        <w:rPr>
          <w:rFonts w:eastAsia="SimSun"/>
          <w:sz w:val="24"/>
          <w:szCs w:val="24"/>
          <w:lang w:val="en-CA"/>
        </w:rPr>
        <w:t>;</w:t>
      </w:r>
    </w:p>
    <w:p w14:paraId="52E669DB"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利用引入外来入侵物种的途径分类和对其优先排序的考虑因素</w:t>
      </w:r>
      <w:r w:rsidRPr="000C0842">
        <w:rPr>
          <w:rFonts w:eastAsia="SimSun"/>
          <w:sz w:val="24"/>
          <w:szCs w:val="24"/>
          <w:vertAlign w:val="superscript"/>
          <w:lang w:val="en-CA"/>
        </w:rPr>
        <w:footnoteReference w:id="228"/>
      </w:r>
      <w:r w:rsidRPr="000C0842">
        <w:rPr>
          <w:rFonts w:eastAsia="SimSun"/>
          <w:sz w:val="24"/>
          <w:szCs w:val="24"/>
          <w:lang w:val="en-CA"/>
        </w:rPr>
        <w:t>，对途径分类有一个共同理解和</w:t>
      </w:r>
      <w:r w:rsidRPr="000C0842">
        <w:rPr>
          <w:rFonts w:eastAsia="SimSun" w:hint="eastAsia"/>
          <w:sz w:val="24"/>
          <w:szCs w:val="24"/>
          <w:lang w:val="en-CA"/>
        </w:rPr>
        <w:t>命名</w:t>
      </w:r>
      <w:r w:rsidRPr="000C0842">
        <w:rPr>
          <w:rFonts w:eastAsia="SimSun"/>
          <w:sz w:val="24"/>
          <w:szCs w:val="24"/>
          <w:lang w:val="en-CA"/>
        </w:rPr>
        <w:t>（根据第</w:t>
      </w:r>
      <w:hyperlink r:id="rId166" w:history="1">
        <w:r w:rsidRPr="000C0842">
          <w:rPr>
            <w:rFonts w:eastAsia="SimSun"/>
            <w:sz w:val="24"/>
            <w:szCs w:val="24"/>
            <w:u w:val="single"/>
            <w:lang w:val="en-CA"/>
          </w:rPr>
          <w:t>XII/17</w:t>
        </w:r>
      </w:hyperlink>
      <w:r w:rsidRPr="000C0842">
        <w:rPr>
          <w:rFonts w:eastAsia="SimSun"/>
          <w:sz w:val="24"/>
          <w:szCs w:val="24"/>
          <w:lang w:val="en-CA"/>
        </w:rPr>
        <w:t>号决定，第</w:t>
      </w:r>
      <w:r w:rsidRPr="000C0842">
        <w:rPr>
          <w:rFonts w:eastAsia="SimSun"/>
          <w:sz w:val="24"/>
          <w:szCs w:val="24"/>
          <w:lang w:val="en-CA"/>
        </w:rPr>
        <w:t xml:space="preserve">6 </w:t>
      </w:r>
      <w:r w:rsidRPr="000C0842">
        <w:rPr>
          <w:rFonts w:eastAsia="SimSun"/>
          <w:sz w:val="24"/>
          <w:szCs w:val="24"/>
          <w:lang w:val="en-CA"/>
        </w:rPr>
        <w:t>（</w:t>
      </w:r>
      <w:r w:rsidRPr="000C0842">
        <w:rPr>
          <w:rFonts w:eastAsia="SimSun"/>
          <w:sz w:val="24"/>
          <w:szCs w:val="24"/>
          <w:lang w:val="en-CA"/>
        </w:rPr>
        <w:t>d</w:t>
      </w:r>
      <w:r w:rsidRPr="000C0842">
        <w:rPr>
          <w:rFonts w:eastAsia="SimSun"/>
          <w:sz w:val="24"/>
          <w:szCs w:val="24"/>
          <w:lang w:val="en-CA"/>
        </w:rPr>
        <w:t>）条）；</w:t>
      </w:r>
    </w:p>
    <w:p w14:paraId="6C77C814" w14:textId="77777777" w:rsidR="005E77FA" w:rsidRPr="000C0842" w:rsidRDefault="005E77FA">
      <w:pPr>
        <w:numPr>
          <w:ilvl w:val="0"/>
          <w:numId w:val="86"/>
        </w:numPr>
        <w:tabs>
          <w:tab w:val="clear" w:pos="567"/>
          <w:tab w:val="clear" w:pos="1134"/>
          <w:tab w:val="clear" w:pos="1701"/>
          <w:tab w:val="clear" w:pos="2268"/>
        </w:tabs>
        <w:adjustRightInd w:val="0"/>
        <w:snapToGrid w:val="0"/>
        <w:spacing w:before="120" w:after="120"/>
        <w:ind w:left="490" w:firstLine="490"/>
        <w:jc w:val="left"/>
        <w:rPr>
          <w:rFonts w:eastAsia="SimSun"/>
          <w:kern w:val="22"/>
          <w:sz w:val="24"/>
          <w:szCs w:val="24"/>
          <w:lang w:val="en-CA"/>
        </w:rPr>
      </w:pPr>
      <w:r w:rsidRPr="000C0842">
        <w:rPr>
          <w:rFonts w:eastAsia="SimSun"/>
          <w:sz w:val="24"/>
          <w:szCs w:val="24"/>
          <w:lang w:val="en-CA"/>
        </w:rPr>
        <w:t>确保关于气候变化和其他导致生物多样性丧失的驱动因素的国家政策认识到它们与外来入侵物种的潜在立足和传播之间的联系，特别是通过适应气候变化的活动。</w:t>
      </w:r>
    </w:p>
    <w:p w14:paraId="4A439915" w14:textId="77777777" w:rsidR="005E77FA" w:rsidRPr="000C0842" w:rsidRDefault="005E77FA" w:rsidP="005E77FA">
      <w:pPr>
        <w:keepNext/>
        <w:keepLines/>
        <w:tabs>
          <w:tab w:val="clear" w:pos="567"/>
          <w:tab w:val="clear" w:pos="1134"/>
          <w:tab w:val="clear" w:pos="1701"/>
          <w:tab w:val="clear" w:pos="2268"/>
        </w:tabs>
        <w:spacing w:before="240" w:after="120"/>
        <w:jc w:val="left"/>
        <w:outlineLvl w:val="0"/>
        <w:rPr>
          <w:rFonts w:eastAsia="SimSun"/>
          <w:b/>
          <w:caps/>
          <w:sz w:val="24"/>
          <w:szCs w:val="24"/>
          <w:lang w:val="en-CA"/>
        </w:rPr>
      </w:pPr>
      <w:r w:rsidRPr="000C0842">
        <w:rPr>
          <w:rFonts w:eastAsia="SimSun" w:hint="eastAsia"/>
          <w:b/>
          <w:caps/>
          <w:sz w:val="24"/>
          <w:szCs w:val="24"/>
          <w:lang w:val="en-CA"/>
        </w:rPr>
        <w:t>五</w:t>
      </w:r>
      <w:r w:rsidRPr="000C0842">
        <w:rPr>
          <w:rFonts w:eastAsia="SimSun" w:hint="eastAsia"/>
          <w:b/>
          <w:caps/>
          <w:sz w:val="24"/>
          <w:szCs w:val="24"/>
          <w:lang w:val="en-CA"/>
        </w:rPr>
        <w:t>.</w:t>
      </w:r>
      <w:r w:rsidRPr="000C0842">
        <w:rPr>
          <w:rFonts w:eastAsia="SimSun"/>
          <w:b/>
          <w:caps/>
          <w:sz w:val="24"/>
          <w:szCs w:val="24"/>
          <w:lang w:val="en-CA"/>
        </w:rPr>
        <w:tab/>
      </w:r>
      <w:r w:rsidRPr="000C0842">
        <w:rPr>
          <w:rFonts w:eastAsia="SimSun"/>
          <w:b/>
          <w:caps/>
          <w:sz w:val="24"/>
          <w:szCs w:val="24"/>
          <w:lang w:val="en-CA"/>
        </w:rPr>
        <w:t>国家、区域和国际合作</w:t>
      </w:r>
    </w:p>
    <w:p w14:paraId="1E54912C" w14:textId="77777777" w:rsidR="005E77FA" w:rsidRPr="000C0842" w:rsidRDefault="005E77FA" w:rsidP="005E77FA">
      <w:pPr>
        <w:numPr>
          <w:ilvl w:val="0"/>
          <w:numId w:val="1"/>
        </w:numPr>
        <w:tabs>
          <w:tab w:val="clear" w:pos="567"/>
          <w:tab w:val="clear" w:pos="1134"/>
          <w:tab w:val="clear" w:pos="1701"/>
          <w:tab w:val="clear" w:pos="2268"/>
        </w:tabs>
        <w:adjustRightInd w:val="0"/>
        <w:spacing w:before="120" w:after="120"/>
        <w:ind w:left="490" w:firstLine="0"/>
        <w:jc w:val="left"/>
        <w:rPr>
          <w:rFonts w:eastAsia="SimSun"/>
          <w:bCs/>
          <w:sz w:val="24"/>
          <w:szCs w:val="24"/>
          <w:lang w:val="en-CA"/>
        </w:rPr>
      </w:pPr>
      <w:r w:rsidRPr="000C0842">
        <w:rPr>
          <w:rFonts w:eastAsia="SimSun"/>
          <w:bCs/>
          <w:spacing w:val="20"/>
          <w:sz w:val="24"/>
          <w:szCs w:val="24"/>
          <w:lang w:val="en-CA"/>
        </w:rPr>
        <w:t>以下领域可受益于针对</w:t>
      </w:r>
      <w:r w:rsidRPr="000C0842">
        <w:rPr>
          <w:rFonts w:eastAsia="SimSun"/>
          <w:bCs/>
          <w:spacing w:val="20"/>
          <w:kern w:val="22"/>
          <w:sz w:val="24"/>
          <w:szCs w:val="24"/>
          <w:lang w:val="en-GB"/>
        </w:rPr>
        <w:t>外来入侵物种相关挑战所</w:t>
      </w:r>
      <w:r w:rsidRPr="000C0842">
        <w:rPr>
          <w:rFonts w:eastAsia="SimSun"/>
          <w:bCs/>
          <w:spacing w:val="20"/>
          <w:sz w:val="24"/>
          <w:szCs w:val="24"/>
          <w:lang w:val="en-CA"/>
        </w:rPr>
        <w:t>开展的国家、区域和国际合</w:t>
      </w:r>
      <w:r w:rsidRPr="000C0842">
        <w:rPr>
          <w:rFonts w:eastAsia="SimSun"/>
          <w:bCs/>
          <w:sz w:val="24"/>
          <w:szCs w:val="24"/>
          <w:lang w:val="en-CA"/>
        </w:rPr>
        <w:t>作</w:t>
      </w:r>
      <w:r w:rsidRPr="000C0842">
        <w:rPr>
          <w:rFonts w:eastAsia="SimSun"/>
          <w:bCs/>
          <w:kern w:val="22"/>
          <w:sz w:val="24"/>
          <w:szCs w:val="24"/>
          <w:lang w:val="en-GB"/>
        </w:rPr>
        <w:t>：</w:t>
      </w:r>
    </w:p>
    <w:p w14:paraId="2D5216F5" w14:textId="77777777" w:rsidR="005E77FA" w:rsidRPr="000C0842" w:rsidRDefault="005E77FA">
      <w:pPr>
        <w:numPr>
          <w:ilvl w:val="0"/>
          <w:numId w:val="85"/>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国家和国际气候减缓和适应战略、环境影响评估和应对规划活动（根据第</w:t>
      </w:r>
      <w:hyperlink r:id="rId167" w:history="1">
        <w:r w:rsidRPr="000C0842">
          <w:rPr>
            <w:rFonts w:eastAsia="SimSun"/>
            <w:sz w:val="24"/>
            <w:szCs w:val="24"/>
            <w:u w:val="single"/>
            <w:lang w:val="en-CA"/>
          </w:rPr>
          <w:t>X/33</w:t>
        </w:r>
      </w:hyperlink>
      <w:r w:rsidRPr="000C0842">
        <w:rPr>
          <w:rFonts w:eastAsia="SimSun"/>
          <w:sz w:val="24"/>
          <w:szCs w:val="24"/>
          <w:lang w:val="en-CA"/>
        </w:rPr>
        <w:t>号决定，</w:t>
      </w:r>
      <w:r w:rsidRPr="000C0842">
        <w:rPr>
          <w:rFonts w:eastAsia="SimSun"/>
          <w:sz w:val="24"/>
          <w:szCs w:val="24"/>
          <w:lang w:val="en-CA"/>
        </w:rPr>
        <w:t>8 (p)</w:t>
      </w:r>
      <w:r w:rsidRPr="000C0842">
        <w:rPr>
          <w:rFonts w:eastAsia="SimSun"/>
          <w:sz w:val="24"/>
          <w:szCs w:val="24"/>
          <w:lang w:val="en-CA"/>
        </w:rPr>
        <w:t>段）；</w:t>
      </w:r>
    </w:p>
    <w:p w14:paraId="414783E7" w14:textId="6925D29D" w:rsidR="005E77FA" w:rsidRPr="000C0842" w:rsidRDefault="005E77FA">
      <w:pPr>
        <w:numPr>
          <w:ilvl w:val="0"/>
          <w:numId w:val="85"/>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在其他相关公约下制定的政策指导（例如《联合国气候变化框架公约》</w:t>
      </w:r>
      <w:r w:rsidRPr="000C0842">
        <w:rPr>
          <w:rFonts w:eastAsia="SimSun"/>
          <w:sz w:val="24"/>
          <w:szCs w:val="24"/>
          <w:vertAlign w:val="superscript"/>
          <w:lang w:val="en-GB"/>
        </w:rPr>
        <w:footnoteReference w:id="229"/>
      </w:r>
      <w:r w:rsidR="00727A7A" w:rsidRPr="000C0842">
        <w:rPr>
          <w:rFonts w:eastAsia="SimSun"/>
          <w:sz w:val="24"/>
          <w:szCs w:val="24"/>
          <w:lang w:val="en-CA"/>
        </w:rPr>
        <w:t>、</w:t>
      </w:r>
      <w:r w:rsidRPr="000C0842">
        <w:rPr>
          <w:rFonts w:eastAsia="SimSun"/>
          <w:sz w:val="24"/>
          <w:szCs w:val="24"/>
          <w:lang w:val="en-CA"/>
        </w:rPr>
        <w:t>《养护野生动物迁徙物种公约》</w:t>
      </w:r>
      <w:r w:rsidRPr="000C0842">
        <w:rPr>
          <w:rFonts w:eastAsia="SimSun"/>
          <w:sz w:val="24"/>
          <w:szCs w:val="24"/>
          <w:vertAlign w:val="superscript"/>
          <w:lang w:val="en-GB"/>
        </w:rPr>
        <w:footnoteReference w:id="230"/>
      </w:r>
      <w:r w:rsidR="00727A7A" w:rsidRPr="000C0842">
        <w:rPr>
          <w:rFonts w:eastAsia="SimSun"/>
          <w:sz w:val="24"/>
          <w:szCs w:val="24"/>
          <w:lang w:val="en-CA"/>
        </w:rPr>
        <w:t>、</w:t>
      </w:r>
      <w:r w:rsidRPr="000C0842">
        <w:rPr>
          <w:rFonts w:eastAsia="SimSun"/>
          <w:sz w:val="24"/>
          <w:szCs w:val="24"/>
          <w:lang w:val="en-CA"/>
        </w:rPr>
        <w:t>《粮食和农业植物遗传资源国际条约》、</w:t>
      </w:r>
      <w:r w:rsidRPr="000C0842">
        <w:rPr>
          <w:rFonts w:eastAsia="SimSun"/>
          <w:sz w:val="24"/>
          <w:szCs w:val="24"/>
          <w:vertAlign w:val="superscript"/>
          <w:lang w:val="en-GB"/>
        </w:rPr>
        <w:footnoteReference w:id="231"/>
      </w:r>
      <w:r w:rsidRPr="000C0842">
        <w:rPr>
          <w:rFonts w:eastAsia="SimSun"/>
          <w:sz w:val="24"/>
          <w:szCs w:val="24"/>
          <w:lang w:val="en-CA"/>
        </w:rPr>
        <w:t>《濒危野生动植物种国际贸易公约》</w:t>
      </w:r>
      <w:r w:rsidRPr="000C0842">
        <w:rPr>
          <w:rFonts w:eastAsia="SimSun"/>
          <w:sz w:val="24"/>
          <w:szCs w:val="24"/>
          <w:vertAlign w:val="superscript"/>
          <w:lang w:val="en-GB"/>
        </w:rPr>
        <w:footnoteReference w:id="232"/>
      </w:r>
      <w:r w:rsidRPr="000C0842">
        <w:rPr>
          <w:rFonts w:eastAsia="SimSun"/>
          <w:sz w:val="24"/>
          <w:szCs w:val="24"/>
          <w:lang w:val="en-CA"/>
        </w:rPr>
        <w:t>和《联合国关于在发生严重干旱和</w:t>
      </w:r>
      <w:r w:rsidRPr="000C0842">
        <w:rPr>
          <w:rFonts w:eastAsia="SimSun"/>
          <w:sz w:val="24"/>
          <w:szCs w:val="24"/>
          <w:lang w:val="en-CA"/>
        </w:rPr>
        <w:t>/</w:t>
      </w:r>
      <w:r w:rsidRPr="000C0842">
        <w:rPr>
          <w:rFonts w:eastAsia="SimSun"/>
          <w:sz w:val="24"/>
          <w:szCs w:val="24"/>
          <w:lang w:val="en-CA"/>
        </w:rPr>
        <w:t>或荒漠化的国家特别是在非洲防治荒漠化的公约》）</w:t>
      </w:r>
      <w:r w:rsidRPr="000C0842">
        <w:rPr>
          <w:rFonts w:eastAsia="SimSun"/>
          <w:sz w:val="24"/>
          <w:szCs w:val="24"/>
          <w:vertAlign w:val="superscript"/>
          <w:lang w:val="en-GB"/>
        </w:rPr>
        <w:footnoteReference w:id="233"/>
      </w:r>
      <w:r w:rsidRPr="000C0842">
        <w:rPr>
          <w:rFonts w:eastAsia="SimSun"/>
          <w:sz w:val="24"/>
          <w:szCs w:val="24"/>
          <w:lang w:val="en-CA"/>
        </w:rPr>
        <w:t>；</w:t>
      </w:r>
    </w:p>
    <w:p w14:paraId="6F9C1905" w14:textId="77777777" w:rsidR="005E77FA" w:rsidRPr="000C0842" w:rsidRDefault="005E77FA">
      <w:pPr>
        <w:numPr>
          <w:ilvl w:val="0"/>
          <w:numId w:val="85"/>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在可持续发展目标下的国家和国际承诺和行动；</w:t>
      </w:r>
    </w:p>
    <w:p w14:paraId="5278C86E" w14:textId="77777777" w:rsidR="005E77FA" w:rsidRPr="000C0842" w:rsidRDefault="005E77FA">
      <w:pPr>
        <w:numPr>
          <w:ilvl w:val="0"/>
          <w:numId w:val="85"/>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w:t>
      </w:r>
      <w:r w:rsidRPr="000C0842">
        <w:rPr>
          <w:rFonts w:eastAsia="SimSun"/>
          <w:sz w:val="24"/>
          <w:szCs w:val="24"/>
          <w:lang w:val="en-CA"/>
        </w:rPr>
        <w:t>同一健康</w:t>
      </w:r>
      <w:r w:rsidRPr="000C0842">
        <w:rPr>
          <w:rFonts w:eastAsia="SimSun"/>
          <w:sz w:val="24"/>
          <w:szCs w:val="24"/>
          <w:lang w:val="en-CA"/>
        </w:rPr>
        <w:t>”</w:t>
      </w:r>
      <w:r w:rsidRPr="000C0842">
        <w:rPr>
          <w:rFonts w:eastAsia="SimSun"/>
          <w:sz w:val="24"/>
          <w:szCs w:val="24"/>
          <w:lang w:val="en-CA"/>
        </w:rPr>
        <w:t>方法</w:t>
      </w:r>
      <w:r w:rsidRPr="000C0842">
        <w:rPr>
          <w:rFonts w:eastAsia="SimSun"/>
          <w:sz w:val="24"/>
          <w:szCs w:val="24"/>
          <w:lang w:val="en-CA"/>
        </w:rPr>
        <w:t>;</w:t>
      </w:r>
    </w:p>
    <w:p w14:paraId="7EAE0849" w14:textId="77777777" w:rsidR="005E77FA" w:rsidRPr="000C0842" w:rsidRDefault="005E77FA">
      <w:pPr>
        <w:numPr>
          <w:ilvl w:val="0"/>
          <w:numId w:val="85"/>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由全球环境基金、清洁发展机制、绿色气候基金、</w:t>
      </w:r>
      <w:r w:rsidRPr="000C0842">
        <w:rPr>
          <w:rFonts w:eastAsia="SimSun"/>
          <w:sz w:val="24"/>
          <w:szCs w:val="24"/>
        </w:rPr>
        <w:t>蓝色基金、损失和损害基金</w:t>
      </w:r>
      <w:r w:rsidRPr="000C0842">
        <w:rPr>
          <w:rFonts w:eastAsia="SimSun"/>
          <w:sz w:val="24"/>
          <w:szCs w:val="24"/>
          <w:lang w:val="en-CA"/>
        </w:rPr>
        <w:t>等多边机构或论坛和其他捐助方资助的方案和其他活动；</w:t>
      </w:r>
    </w:p>
    <w:p w14:paraId="7580E109" w14:textId="77777777" w:rsidR="005E77FA" w:rsidRPr="000C0842" w:rsidRDefault="005E77FA">
      <w:pPr>
        <w:numPr>
          <w:ilvl w:val="0"/>
          <w:numId w:val="85"/>
        </w:numPr>
        <w:pBdr>
          <w:top w:val="nil"/>
          <w:left w:val="nil"/>
          <w:bottom w:val="nil"/>
          <w:right w:val="nil"/>
          <w:between w:val="nil"/>
        </w:pBdr>
        <w:tabs>
          <w:tab w:val="clear" w:pos="567"/>
          <w:tab w:val="clear" w:pos="1134"/>
          <w:tab w:val="clear" w:pos="1701"/>
          <w:tab w:val="clear" w:pos="2268"/>
        </w:tabs>
        <w:adjustRightInd w:val="0"/>
        <w:snapToGrid w:val="0"/>
        <w:spacing w:before="120" w:after="120"/>
        <w:ind w:left="490" w:firstLine="490"/>
        <w:jc w:val="left"/>
        <w:rPr>
          <w:rFonts w:eastAsia="SimSun"/>
          <w:b/>
          <w:sz w:val="24"/>
          <w:szCs w:val="24"/>
          <w:lang w:val="en-CA"/>
        </w:rPr>
      </w:pPr>
      <w:r w:rsidRPr="000C0842">
        <w:rPr>
          <w:rFonts w:eastAsia="SimSun"/>
          <w:sz w:val="24"/>
          <w:szCs w:val="24"/>
          <w:lang w:val="en-CA"/>
        </w:rPr>
        <w:t>为</w:t>
      </w:r>
      <w:r w:rsidRPr="000C0842">
        <w:rPr>
          <w:rFonts w:eastAsia="SimSun" w:hint="eastAsia"/>
          <w:sz w:val="24"/>
          <w:szCs w:val="24"/>
          <w:lang w:val="en-CA"/>
        </w:rPr>
        <w:t>参与</w:t>
      </w:r>
      <w:r w:rsidRPr="000C0842">
        <w:rPr>
          <w:rFonts w:eastAsia="SimSun"/>
          <w:sz w:val="24"/>
          <w:szCs w:val="24"/>
          <w:lang w:val="en-CA"/>
        </w:rPr>
        <w:t>救灾的政府和非政府发展援助机构和人员组织培训、能力建设和知识转让，以</w:t>
      </w:r>
      <w:r w:rsidRPr="000C0842">
        <w:rPr>
          <w:rFonts w:eastAsia="SimSun" w:hint="eastAsia"/>
          <w:sz w:val="24"/>
          <w:szCs w:val="24"/>
          <w:lang w:val="en-CA"/>
        </w:rPr>
        <w:t>了解</w:t>
      </w:r>
      <w:r w:rsidRPr="000C0842">
        <w:rPr>
          <w:rFonts w:eastAsia="SimSun"/>
          <w:sz w:val="24"/>
          <w:szCs w:val="24"/>
          <w:lang w:val="en-CA"/>
        </w:rPr>
        <w:t>通过其各项活动引入和传播外来入侵物种和潜在外来入侵物种的风险。</w:t>
      </w:r>
    </w:p>
    <w:p w14:paraId="6C4614AC" w14:textId="1AA1F80B" w:rsidR="005E77FA" w:rsidRPr="000C0842" w:rsidRDefault="005E77FA" w:rsidP="00A569C6">
      <w:pPr>
        <w:tabs>
          <w:tab w:val="clear" w:pos="567"/>
          <w:tab w:val="clear" w:pos="1134"/>
          <w:tab w:val="clear" w:pos="1701"/>
          <w:tab w:val="clear" w:pos="2268"/>
        </w:tabs>
        <w:spacing w:before="240"/>
        <w:ind w:firstLine="490"/>
        <w:jc w:val="left"/>
        <w:rPr>
          <w:rFonts w:eastAsia="SimSun"/>
          <w:b/>
          <w:bCs/>
          <w:sz w:val="24"/>
          <w:szCs w:val="24"/>
          <w:lang w:val="en-GB"/>
        </w:rPr>
      </w:pPr>
      <w:r w:rsidRPr="000C0842">
        <w:rPr>
          <w:rFonts w:eastAsia="SimSun"/>
          <w:b/>
          <w:bCs/>
          <w:sz w:val="24"/>
          <w:szCs w:val="24"/>
          <w:lang w:val="en-CA"/>
        </w:rPr>
        <w:t>附件四</w:t>
      </w:r>
      <w:bookmarkStart w:id="71" w:name="_Toc118355053"/>
    </w:p>
    <w:p w14:paraId="5793F4CE" w14:textId="77777777" w:rsidR="005E77FA" w:rsidRPr="000C0842" w:rsidRDefault="005E77FA" w:rsidP="005E77FA">
      <w:pPr>
        <w:tabs>
          <w:tab w:val="clear" w:pos="567"/>
          <w:tab w:val="clear" w:pos="1134"/>
          <w:tab w:val="clear" w:pos="1701"/>
          <w:tab w:val="clear" w:pos="2268"/>
        </w:tabs>
        <w:ind w:firstLine="490"/>
        <w:rPr>
          <w:rFonts w:eastAsia="SimSun"/>
          <w:bCs/>
          <w:i/>
          <w:iCs/>
          <w:sz w:val="24"/>
          <w:szCs w:val="24"/>
          <w:lang w:val="en-GB"/>
        </w:rPr>
      </w:pPr>
      <w:r w:rsidRPr="000C0842">
        <w:rPr>
          <w:rFonts w:eastAsia="SimSun"/>
          <w:b/>
          <w:sz w:val="24"/>
          <w:szCs w:val="24"/>
          <w:lang w:val="en-GB"/>
        </w:rPr>
        <w:t>引进外来入侵物种对社会经济和文化价值造成潜在后果的风险分析</w:t>
      </w:r>
      <w:bookmarkEnd w:id="71"/>
    </w:p>
    <w:p w14:paraId="62237972" w14:textId="77777777" w:rsidR="005E77FA" w:rsidRPr="000C0842" w:rsidRDefault="005E77FA">
      <w:pPr>
        <w:numPr>
          <w:ilvl w:val="0"/>
          <w:numId w:val="83"/>
        </w:numPr>
        <w:tabs>
          <w:tab w:val="clear" w:pos="567"/>
          <w:tab w:val="clear" w:pos="1134"/>
          <w:tab w:val="clear" w:pos="1701"/>
          <w:tab w:val="clear" w:pos="2268"/>
        </w:tabs>
        <w:adjustRightInd w:val="0"/>
        <w:snapToGrid w:val="0"/>
        <w:spacing w:before="120" w:after="120"/>
        <w:ind w:left="490" w:firstLine="0"/>
        <w:jc w:val="left"/>
        <w:rPr>
          <w:rFonts w:eastAsia="SimSun"/>
          <w:bCs/>
          <w:sz w:val="24"/>
          <w:szCs w:val="24"/>
          <w:lang w:val="en-CA"/>
        </w:rPr>
      </w:pPr>
      <w:r w:rsidRPr="000C0842">
        <w:rPr>
          <w:rFonts w:eastAsia="SimSun"/>
          <w:bCs/>
          <w:sz w:val="24"/>
          <w:szCs w:val="24"/>
          <w:lang w:val="en-CA"/>
        </w:rPr>
        <w:t>本附件载有对缔约方和利益攸关方的建议和自愿指南，以支持执行《昆明</w:t>
      </w:r>
      <w:r w:rsidRPr="000C0842">
        <w:rPr>
          <w:rFonts w:eastAsia="SimSun"/>
          <w:bCs/>
          <w:sz w:val="24"/>
          <w:szCs w:val="24"/>
          <w:lang w:val="en-CA"/>
        </w:rPr>
        <w:t>-</w:t>
      </w:r>
      <w:r w:rsidRPr="000C0842">
        <w:rPr>
          <w:rFonts w:eastAsia="SimSun"/>
          <w:bCs/>
          <w:sz w:val="24"/>
          <w:szCs w:val="24"/>
          <w:lang w:val="en-CA"/>
        </w:rPr>
        <w:t>蒙特利尔全球生物多样性框架》</w:t>
      </w:r>
      <w:r w:rsidRPr="000C0842">
        <w:rPr>
          <w:rFonts w:eastAsia="SimSun"/>
          <w:sz w:val="24"/>
          <w:szCs w:val="24"/>
          <w:vertAlign w:val="superscript"/>
          <w:lang w:val="en-CA"/>
        </w:rPr>
        <w:footnoteReference w:id="234"/>
      </w:r>
      <w:r w:rsidRPr="000C0842">
        <w:rPr>
          <w:rFonts w:eastAsia="SimSun"/>
          <w:bCs/>
          <w:sz w:val="24"/>
          <w:szCs w:val="24"/>
          <w:lang w:val="en-CA"/>
        </w:rPr>
        <w:t>，特别是关于外来入侵物种的行动目标</w:t>
      </w:r>
      <w:r w:rsidRPr="000C0842">
        <w:rPr>
          <w:rFonts w:eastAsia="SimSun"/>
          <w:bCs/>
          <w:sz w:val="24"/>
          <w:szCs w:val="24"/>
          <w:lang w:val="en-CA"/>
        </w:rPr>
        <w:t>6</w:t>
      </w:r>
      <w:r w:rsidRPr="000C0842">
        <w:rPr>
          <w:rFonts w:eastAsia="SimSun"/>
          <w:bCs/>
          <w:sz w:val="24"/>
          <w:szCs w:val="24"/>
          <w:lang w:val="en-CA"/>
        </w:rPr>
        <w:t>，以及其他相关的行动目标。</w:t>
      </w:r>
    </w:p>
    <w:p w14:paraId="05F6F8DD" w14:textId="77777777" w:rsidR="005E77FA" w:rsidRPr="000C0842" w:rsidRDefault="005E77FA" w:rsidP="005E77FA">
      <w:pPr>
        <w:numPr>
          <w:ilvl w:val="0"/>
          <w:numId w:val="1"/>
        </w:numPr>
        <w:tabs>
          <w:tab w:val="clear" w:pos="567"/>
          <w:tab w:val="clear" w:pos="1134"/>
          <w:tab w:val="clear" w:pos="1701"/>
          <w:tab w:val="clear" w:pos="2268"/>
        </w:tabs>
        <w:adjustRightInd w:val="0"/>
        <w:snapToGrid w:val="0"/>
        <w:spacing w:before="120" w:after="120"/>
        <w:ind w:left="490" w:firstLine="0"/>
        <w:jc w:val="left"/>
        <w:rPr>
          <w:rFonts w:eastAsia="SimSun"/>
          <w:bCs/>
          <w:sz w:val="24"/>
          <w:szCs w:val="24"/>
          <w:lang w:val="en-CA"/>
        </w:rPr>
      </w:pPr>
      <w:r w:rsidRPr="000C0842">
        <w:rPr>
          <w:rFonts w:eastAsia="SimSun"/>
          <w:bCs/>
          <w:sz w:val="24"/>
          <w:szCs w:val="24"/>
          <w:lang w:val="en-CA"/>
        </w:rPr>
        <w:t>社会经济和文化价值往往取决于背景环境，因为它们可能涵盖安全、物质和非物质资产、健康以及社会、精神和文化关系等问题。因此，对于外来入侵物种的影响应按具体情况逐案确定。与环境影响评估同时发展起来的社会影响评估</w:t>
      </w:r>
      <w:r w:rsidRPr="000C0842">
        <w:rPr>
          <w:rFonts w:eastAsia="SimSun"/>
          <w:bCs/>
          <w:sz w:val="24"/>
          <w:szCs w:val="24"/>
          <w:vertAlign w:val="superscript"/>
          <w:lang w:val="en-CA"/>
        </w:rPr>
        <w:footnoteReference w:id="235"/>
      </w:r>
      <w:r w:rsidRPr="000C0842">
        <w:rPr>
          <w:rFonts w:eastAsia="SimSun"/>
          <w:bCs/>
          <w:sz w:val="24"/>
          <w:szCs w:val="24"/>
          <w:lang w:val="en-CA"/>
        </w:rPr>
        <w:t>为确定、评估和解决社会成本和效益提供了一个结构化过程。</w:t>
      </w:r>
    </w:p>
    <w:p w14:paraId="6EB5DFB8" w14:textId="77777777" w:rsidR="005E77FA" w:rsidRPr="000C0842" w:rsidRDefault="005E77FA" w:rsidP="005E77FA">
      <w:pPr>
        <w:numPr>
          <w:ilvl w:val="0"/>
          <w:numId w:val="1"/>
        </w:numPr>
        <w:tabs>
          <w:tab w:val="clear" w:pos="567"/>
          <w:tab w:val="clear" w:pos="1134"/>
          <w:tab w:val="clear" w:pos="1701"/>
          <w:tab w:val="clear" w:pos="2268"/>
        </w:tabs>
        <w:adjustRightInd w:val="0"/>
        <w:snapToGrid w:val="0"/>
        <w:spacing w:before="120" w:after="120"/>
        <w:ind w:left="490" w:firstLine="0"/>
        <w:jc w:val="left"/>
        <w:rPr>
          <w:rFonts w:eastAsia="SimSun"/>
          <w:bCs/>
          <w:sz w:val="24"/>
          <w:szCs w:val="24"/>
          <w:lang w:val="en-CA"/>
        </w:rPr>
      </w:pPr>
      <w:r w:rsidRPr="000C0842">
        <w:rPr>
          <w:rFonts w:eastAsia="SimSun"/>
          <w:bCs/>
          <w:sz w:val="24"/>
          <w:szCs w:val="24"/>
          <w:lang w:val="en-CA"/>
        </w:rPr>
        <w:t>风险分析可以在决策过程中考虑科学和技术信息以及社会经济和文化信息。在这方面，成本</w:t>
      </w:r>
      <w:r w:rsidRPr="000C0842">
        <w:rPr>
          <w:rFonts w:eastAsia="SimSun" w:hint="eastAsia"/>
          <w:bCs/>
          <w:sz w:val="24"/>
          <w:szCs w:val="24"/>
          <w:lang w:val="en-CA"/>
        </w:rPr>
        <w:t>效益</w:t>
      </w:r>
      <w:r w:rsidRPr="000C0842">
        <w:rPr>
          <w:rFonts w:eastAsia="SimSun"/>
          <w:bCs/>
          <w:sz w:val="24"/>
          <w:szCs w:val="24"/>
          <w:lang w:val="en-CA"/>
        </w:rPr>
        <w:t>和成本</w:t>
      </w:r>
      <w:r w:rsidRPr="000C0842">
        <w:rPr>
          <w:rFonts w:eastAsia="SimSun" w:hint="eastAsia"/>
          <w:bCs/>
          <w:sz w:val="24"/>
          <w:szCs w:val="24"/>
          <w:lang w:val="en-CA"/>
        </w:rPr>
        <w:t>效果</w:t>
      </w:r>
      <w:r w:rsidRPr="000C0842">
        <w:rPr>
          <w:rFonts w:eastAsia="SimSun"/>
          <w:bCs/>
          <w:sz w:val="24"/>
          <w:szCs w:val="24"/>
          <w:lang w:val="en-CA"/>
        </w:rPr>
        <w:t>分析的投入（见附件一）在风险分析期间可能是有用的，并有助于审视社会经济和文化价值。</w:t>
      </w:r>
    </w:p>
    <w:p w14:paraId="525480D7" w14:textId="77777777" w:rsidR="005E77FA" w:rsidRPr="000C0842" w:rsidRDefault="005E77FA" w:rsidP="005E77FA">
      <w:pPr>
        <w:numPr>
          <w:ilvl w:val="0"/>
          <w:numId w:val="1"/>
        </w:numPr>
        <w:tabs>
          <w:tab w:val="clear" w:pos="567"/>
          <w:tab w:val="clear" w:pos="1134"/>
          <w:tab w:val="clear" w:pos="1701"/>
          <w:tab w:val="clear" w:pos="2268"/>
        </w:tabs>
        <w:adjustRightInd w:val="0"/>
        <w:snapToGrid w:val="0"/>
        <w:spacing w:before="120" w:after="120"/>
        <w:ind w:left="490" w:firstLine="0"/>
        <w:jc w:val="left"/>
        <w:rPr>
          <w:rFonts w:eastAsia="SimSun"/>
          <w:bCs/>
          <w:sz w:val="24"/>
          <w:szCs w:val="24"/>
          <w:lang w:val="en-CA"/>
        </w:rPr>
      </w:pPr>
      <w:r w:rsidRPr="000C0842">
        <w:rPr>
          <w:rFonts w:eastAsia="SimSun"/>
          <w:bCs/>
          <w:sz w:val="24"/>
          <w:szCs w:val="24"/>
          <w:lang w:val="en-CA"/>
        </w:rPr>
        <w:t>此外，在风险分析方面，风险沟通在促进共同了解外来入侵物种的风险、制定可信的风险管理方案和一致的法规以及提高人们的认识方面发挥着重要作用。</w:t>
      </w:r>
    </w:p>
    <w:p w14:paraId="0EDFA0A2" w14:textId="77777777" w:rsidR="005E77FA" w:rsidRPr="000C0842" w:rsidRDefault="005E77FA" w:rsidP="00234D7F">
      <w:pPr>
        <w:keepNext/>
        <w:tabs>
          <w:tab w:val="clear" w:pos="567"/>
          <w:tab w:val="clear" w:pos="1134"/>
          <w:tab w:val="clear" w:pos="1701"/>
          <w:tab w:val="clear" w:pos="2268"/>
          <w:tab w:val="num" w:pos="360"/>
          <w:tab w:val="left" w:pos="720"/>
        </w:tabs>
        <w:spacing w:before="120" w:after="120"/>
        <w:jc w:val="left"/>
        <w:outlineLvl w:val="0"/>
        <w:rPr>
          <w:rFonts w:eastAsia="SimSun"/>
          <w:b/>
          <w:caps/>
          <w:kern w:val="22"/>
          <w:sz w:val="24"/>
          <w:szCs w:val="24"/>
          <w:lang w:val="en-GB"/>
        </w:rPr>
      </w:pPr>
      <w:r w:rsidRPr="000C0842">
        <w:rPr>
          <w:rFonts w:eastAsia="SimSun"/>
          <w:b/>
          <w:caps/>
          <w:sz w:val="24"/>
          <w:szCs w:val="24"/>
          <w:lang w:val="en-CA"/>
        </w:rPr>
        <w:tab/>
      </w:r>
      <w:r w:rsidRPr="000C0842">
        <w:rPr>
          <w:rFonts w:eastAsia="SimSun" w:hint="eastAsia"/>
          <w:b/>
          <w:caps/>
          <w:sz w:val="24"/>
          <w:szCs w:val="24"/>
          <w:lang w:val="en-CA"/>
        </w:rPr>
        <w:t xml:space="preserve"> </w:t>
      </w:r>
      <w:r w:rsidRPr="000C0842">
        <w:rPr>
          <w:rFonts w:eastAsia="SimSun"/>
          <w:b/>
          <w:caps/>
          <w:sz w:val="24"/>
          <w:szCs w:val="24"/>
          <w:lang w:val="en-CA"/>
        </w:rPr>
        <w:t>社会经济和文化价值的考虑因素</w:t>
      </w:r>
    </w:p>
    <w:p w14:paraId="3422293D" w14:textId="77777777" w:rsidR="005E77FA" w:rsidRPr="000C0842" w:rsidRDefault="005E77FA" w:rsidP="005E77FA">
      <w:pPr>
        <w:numPr>
          <w:ilvl w:val="0"/>
          <w:numId w:val="1"/>
        </w:numPr>
        <w:tabs>
          <w:tab w:val="clear" w:pos="567"/>
          <w:tab w:val="clear" w:pos="1134"/>
          <w:tab w:val="clear" w:pos="1701"/>
          <w:tab w:val="clear" w:pos="2268"/>
        </w:tabs>
        <w:adjustRightInd w:val="0"/>
        <w:snapToGrid w:val="0"/>
        <w:spacing w:before="120" w:after="120"/>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r w:rsidRPr="000C0842">
        <w:rPr>
          <w:rFonts w:eastAsia="SimSun"/>
          <w:bCs/>
          <w:sz w:val="24"/>
          <w:szCs w:val="24"/>
          <w:lang w:val="en-CA"/>
        </w:rPr>
        <w:t>:</w:t>
      </w:r>
    </w:p>
    <w:p w14:paraId="1D94E074"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jc w:val="left"/>
        <w:rPr>
          <w:rFonts w:eastAsia="SimSun"/>
          <w:kern w:val="22"/>
          <w:sz w:val="24"/>
          <w:szCs w:val="24"/>
          <w:lang w:val="en-CA"/>
        </w:rPr>
      </w:pPr>
      <w:r w:rsidRPr="000C0842">
        <w:rPr>
          <w:rFonts w:eastAsia="SimSun"/>
          <w:sz w:val="24"/>
          <w:szCs w:val="24"/>
          <w:lang w:val="en-CA"/>
        </w:rPr>
        <w:t>承认和尊重土著人民和地方社区、妇女和青年的传统知识</w:t>
      </w:r>
      <w:r w:rsidRPr="000C0842" w:rsidDel="007E42FC">
        <w:rPr>
          <w:rFonts w:eastAsia="SimSun"/>
          <w:sz w:val="24"/>
          <w:szCs w:val="24"/>
          <w:vertAlign w:val="superscript"/>
          <w:lang w:val="en-CA"/>
        </w:rPr>
        <w:footnoteReference w:id="236"/>
      </w:r>
      <w:r w:rsidRPr="000C0842">
        <w:rPr>
          <w:rFonts w:eastAsia="SimSun"/>
          <w:sz w:val="24"/>
          <w:szCs w:val="24"/>
          <w:lang w:val="en-CA"/>
        </w:rPr>
        <w:t>、创新和做法，这有助于监测、及早发现和控制外来入侵物种，整合新兴技术需以补充和尊重土著知识体系的方式进行；</w:t>
      </w:r>
    </w:p>
    <w:p w14:paraId="73738D11"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rPr>
          <w:rFonts w:eastAsia="Times New Roman"/>
          <w:kern w:val="22"/>
          <w:sz w:val="24"/>
          <w:szCs w:val="24"/>
          <w:lang w:val="en-CA"/>
        </w:rPr>
      </w:pPr>
      <w:r w:rsidRPr="000C0842">
        <w:rPr>
          <w:rFonts w:ascii="SimSun" w:eastAsia="SimSun" w:hAnsi="SimSun" w:cs="SimSun" w:hint="eastAsia"/>
          <w:sz w:val="24"/>
          <w:szCs w:val="24"/>
          <w:lang w:val="en-CA"/>
        </w:rPr>
        <w:t>通过适合文化的解决方案和能力建设，促进土著人民和地方社区、妇女、青年和利益攸关方之间的知识和信息共享，从而确保酌情在自由、事先和知情同意</w:t>
      </w:r>
      <w:r w:rsidRPr="000C0842">
        <w:rPr>
          <w:rFonts w:eastAsia="Times New Roman"/>
          <w:sz w:val="24"/>
          <w:szCs w:val="24"/>
          <w:vertAlign w:val="superscript"/>
          <w:lang w:val="en-GB"/>
        </w:rPr>
        <w:footnoteReference w:id="237"/>
      </w:r>
      <w:r w:rsidRPr="000C0842">
        <w:rPr>
          <w:rFonts w:ascii="SimSun" w:eastAsia="SimSun" w:hAnsi="SimSun" w:cs="SimSun" w:hint="eastAsia"/>
          <w:sz w:val="24"/>
          <w:szCs w:val="24"/>
          <w:lang w:val="en-CA"/>
        </w:rPr>
        <w:t>的情况下，积极参与有关外来入侵物种管理的决策和做法</w:t>
      </w:r>
      <w:r w:rsidRPr="000C0842">
        <w:rPr>
          <w:rFonts w:eastAsia="Times New Roman"/>
          <w:sz w:val="24"/>
          <w:szCs w:val="24"/>
          <w:lang w:val="en-CA"/>
        </w:rPr>
        <w:t>;</w:t>
      </w:r>
    </w:p>
    <w:p w14:paraId="32F7B798"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制定准则，在评估外来入侵物种管理措施的成本、收益和优先次序时，更明确地纳入社会经济和文化价值。这可以借鉴关于土著人民和地方社区以及相关利益攸关方参与决策的现有进程（例如外来物种的社会经济影响分类）</w:t>
      </w:r>
      <w:r w:rsidRPr="000C0842">
        <w:rPr>
          <w:rFonts w:eastAsia="Times New Roman"/>
          <w:kern w:val="22"/>
          <w:sz w:val="24"/>
          <w:szCs w:val="24"/>
          <w:vertAlign w:val="superscript"/>
          <w:lang w:val="en-CA"/>
        </w:rPr>
        <w:t xml:space="preserve"> </w:t>
      </w:r>
      <w:r w:rsidRPr="000C0842">
        <w:rPr>
          <w:rFonts w:eastAsia="Times New Roman"/>
          <w:kern w:val="22"/>
          <w:sz w:val="24"/>
          <w:szCs w:val="24"/>
          <w:vertAlign w:val="superscript"/>
          <w:lang w:val="en-GB"/>
        </w:rPr>
        <w:footnoteReference w:id="238"/>
      </w:r>
      <w:r w:rsidRPr="000C0842">
        <w:rPr>
          <w:rFonts w:ascii="SimSun" w:eastAsia="SimSun" w:hAnsi="SimSun" w:cs="SimSun" w:hint="eastAsia"/>
          <w:sz w:val="24"/>
          <w:szCs w:val="24"/>
          <w:lang w:val="en-CA"/>
        </w:rPr>
        <w:t>和国际最佳做法，以及适用于其他进程相同范围的现有准则；</w:t>
      </w:r>
    </w:p>
    <w:p w14:paraId="644B03C7"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收集关于外来入侵物种的社会经济和文化影响的定性和定量数据（例如如何衡量外来入侵物种对珍贵、神圣、具有文化和精神意义的本地物种的影响）</w:t>
      </w:r>
      <w:r w:rsidRPr="000C0842">
        <w:rPr>
          <w:rFonts w:eastAsia="SimSun"/>
          <w:sz w:val="24"/>
          <w:szCs w:val="24"/>
          <w:vertAlign w:val="superscript"/>
          <w:lang w:val="en-CA"/>
        </w:rPr>
        <w:footnoteReference w:id="239"/>
      </w:r>
      <w:r w:rsidRPr="000C0842">
        <w:rPr>
          <w:rFonts w:ascii="SimSun" w:eastAsia="SimSun" w:hAnsi="SimSun" w:cs="SimSun" w:hint="eastAsia"/>
          <w:sz w:val="24"/>
          <w:szCs w:val="24"/>
          <w:lang w:val="en-CA"/>
        </w:rPr>
        <w:t>并制定在外来入侵物种的优先排序和管理中考虑这些信息的方法；</w:t>
      </w:r>
    </w:p>
    <w:p w14:paraId="2CDCE706"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考虑到公众意识、所有年龄段的教育活动，特别是在学校和对消费者的教育，以及风险沟通，以支持利益攸关方参与考虑外来入侵物种对社会经济和文化价值的影响；</w:t>
      </w:r>
    </w:p>
    <w:p w14:paraId="3197A314" w14:textId="77777777" w:rsidR="005E77FA" w:rsidRPr="000C0842" w:rsidRDefault="005E77FA">
      <w:pPr>
        <w:numPr>
          <w:ilvl w:val="0"/>
          <w:numId w:val="72"/>
        </w:numPr>
        <w:tabs>
          <w:tab w:val="clear" w:pos="567"/>
          <w:tab w:val="clear" w:pos="1134"/>
          <w:tab w:val="clear" w:pos="1701"/>
          <w:tab w:val="clear" w:pos="2268"/>
        </w:tabs>
        <w:adjustRightInd w:val="0"/>
        <w:spacing w:before="120" w:after="120"/>
        <w:ind w:left="490" w:firstLine="490"/>
        <w:rPr>
          <w:rFonts w:eastAsia="Times New Roman"/>
          <w:sz w:val="24"/>
          <w:szCs w:val="24"/>
          <w:lang w:val="en-CA"/>
        </w:rPr>
      </w:pPr>
      <w:r w:rsidRPr="000C0842">
        <w:rPr>
          <w:rFonts w:ascii="SimSun" w:eastAsia="SimSun" w:hAnsi="SimSun" w:cs="SimSun" w:hint="eastAsia"/>
          <w:sz w:val="24"/>
          <w:szCs w:val="24"/>
          <w:lang w:val="en-CA"/>
        </w:rPr>
        <w:t>利用社会影响评估，以评估外来物种和外来入侵物种的多阶段管理干预措施对人类和社区的影响。这将有助于分析在干预前后和干预过程中收集的信息</w:t>
      </w:r>
      <w:r w:rsidRPr="000C0842">
        <w:rPr>
          <w:rFonts w:eastAsia="Times New Roman"/>
          <w:sz w:val="24"/>
          <w:szCs w:val="24"/>
          <w:vertAlign w:val="superscript"/>
          <w:lang w:val="en-GB"/>
        </w:rPr>
        <w:footnoteReference w:id="240"/>
      </w:r>
      <w:r w:rsidRPr="000C0842">
        <w:rPr>
          <w:rFonts w:ascii="SimSun" w:eastAsia="SimSun" w:hAnsi="SimSun" w:cs="SimSun" w:hint="eastAsia"/>
          <w:sz w:val="24"/>
          <w:szCs w:val="24"/>
          <w:lang w:val="en-CA"/>
        </w:rPr>
        <w:t>。</w:t>
      </w:r>
    </w:p>
    <w:p w14:paraId="47BFAC64" w14:textId="77777777" w:rsidR="005E77FA" w:rsidRPr="000C0842" w:rsidRDefault="005E77FA" w:rsidP="00A603AC">
      <w:pPr>
        <w:keepNext/>
        <w:tabs>
          <w:tab w:val="clear" w:pos="567"/>
          <w:tab w:val="clear" w:pos="1134"/>
          <w:tab w:val="clear" w:pos="1701"/>
          <w:tab w:val="clear" w:pos="2268"/>
        </w:tabs>
        <w:spacing w:before="240"/>
        <w:ind w:firstLine="490"/>
        <w:jc w:val="left"/>
        <w:rPr>
          <w:rFonts w:eastAsia="SimSun"/>
          <w:sz w:val="24"/>
          <w:szCs w:val="24"/>
          <w:lang w:val="en-CA"/>
        </w:rPr>
      </w:pPr>
      <w:r w:rsidRPr="000C0842">
        <w:rPr>
          <w:rFonts w:eastAsia="SimSun"/>
          <w:b/>
          <w:bCs/>
          <w:sz w:val="24"/>
          <w:szCs w:val="24"/>
          <w:lang w:val="en-CA"/>
        </w:rPr>
        <w:t>附</w:t>
      </w:r>
      <w:r w:rsidRPr="000C0842">
        <w:rPr>
          <w:rFonts w:eastAsia="SimSun" w:hint="eastAsia"/>
          <w:b/>
          <w:bCs/>
          <w:sz w:val="24"/>
          <w:szCs w:val="24"/>
          <w:lang w:val="en-CA"/>
        </w:rPr>
        <w:t>文</w:t>
      </w:r>
    </w:p>
    <w:p w14:paraId="1F454535" w14:textId="77777777" w:rsidR="005E77FA" w:rsidRPr="000C0842" w:rsidRDefault="005E77FA" w:rsidP="00A603AC">
      <w:pPr>
        <w:keepNext/>
        <w:tabs>
          <w:tab w:val="clear" w:pos="567"/>
          <w:tab w:val="clear" w:pos="1134"/>
          <w:tab w:val="clear" w:pos="1701"/>
          <w:tab w:val="clear" w:pos="2268"/>
        </w:tabs>
        <w:ind w:firstLine="490"/>
        <w:rPr>
          <w:rFonts w:eastAsia="SimSun"/>
          <w:b/>
          <w:bCs/>
          <w:sz w:val="24"/>
          <w:szCs w:val="24"/>
          <w:lang w:val="en-CA"/>
        </w:rPr>
      </w:pPr>
      <w:r w:rsidRPr="000C0842">
        <w:rPr>
          <w:rFonts w:eastAsia="SimSun"/>
          <w:b/>
          <w:bCs/>
          <w:sz w:val="24"/>
          <w:szCs w:val="24"/>
          <w:lang w:val="en-CA"/>
        </w:rPr>
        <w:t>考虑社会经济和文化价值因素的范例</w:t>
      </w:r>
    </w:p>
    <w:p w14:paraId="3F7CC3AB" w14:textId="77777777" w:rsidR="005E77FA" w:rsidRPr="000C0842" w:rsidRDefault="005E77FA" w:rsidP="005E77FA">
      <w:pPr>
        <w:keepNext/>
        <w:tabs>
          <w:tab w:val="clear" w:pos="567"/>
          <w:tab w:val="clear" w:pos="1134"/>
          <w:tab w:val="clear" w:pos="1701"/>
          <w:tab w:val="clear" w:pos="2268"/>
        </w:tabs>
        <w:spacing w:before="120" w:after="120" w:line="240" w:lineRule="atLeast"/>
        <w:jc w:val="left"/>
        <w:outlineLvl w:val="1"/>
        <w:rPr>
          <w:rFonts w:eastAsia="SimSun"/>
          <w:b/>
          <w:bCs/>
          <w:sz w:val="24"/>
          <w:szCs w:val="24"/>
          <w:lang w:val="en-CA"/>
        </w:rPr>
      </w:pPr>
      <w:r w:rsidRPr="000C0842">
        <w:rPr>
          <w:rFonts w:eastAsia="SimSun"/>
          <w:b/>
          <w:bCs/>
          <w:sz w:val="24"/>
          <w:szCs w:val="24"/>
          <w:lang w:val="en-CA"/>
        </w:rPr>
        <w:tab/>
      </w:r>
      <w:r w:rsidRPr="000C0842">
        <w:rPr>
          <w:rFonts w:eastAsia="SimSun"/>
          <w:b/>
          <w:bCs/>
          <w:sz w:val="24"/>
          <w:szCs w:val="24"/>
          <w:lang w:val="en-CA"/>
        </w:rPr>
        <w:t>尼泊尔</w:t>
      </w:r>
    </w:p>
    <w:p w14:paraId="306B408D" w14:textId="77777777" w:rsidR="005E77FA" w:rsidRPr="000C0842" w:rsidRDefault="005E77FA">
      <w:pPr>
        <w:pStyle w:val="Para1"/>
        <w:numPr>
          <w:ilvl w:val="0"/>
          <w:numId w:val="238"/>
        </w:numPr>
        <w:tabs>
          <w:tab w:val="clear" w:pos="567"/>
          <w:tab w:val="clear" w:pos="1134"/>
          <w:tab w:val="clear" w:pos="1701"/>
          <w:tab w:val="clear" w:pos="2268"/>
        </w:tabs>
        <w:snapToGrid w:val="0"/>
        <w:spacing w:line="240" w:lineRule="atLeast"/>
        <w:ind w:left="490" w:firstLine="0"/>
        <w:jc w:val="left"/>
        <w:rPr>
          <w:rFonts w:eastAsia="SimSun"/>
          <w:bCs/>
          <w:sz w:val="24"/>
          <w:szCs w:val="24"/>
        </w:rPr>
      </w:pPr>
      <w:r w:rsidRPr="000C0842">
        <w:rPr>
          <w:rFonts w:eastAsia="SimSun"/>
          <w:bCs/>
          <w:sz w:val="24"/>
          <w:szCs w:val="24"/>
        </w:rPr>
        <w:t>政府机构与不同组织和社区合作，制定了提高认识宣传、研究和实地管理战略，以支持建立预警系统，遏制外来入侵物种的传播和影响，并促进恢复受其影响的原生生境。应对这一挑战需要在政府机构、研究机构、地方社区和土著组织等利益攸关方之间持续</w:t>
      </w:r>
      <w:r w:rsidRPr="000C0842">
        <w:rPr>
          <w:rFonts w:eastAsia="SimSun" w:hint="eastAsia"/>
          <w:sz w:val="24"/>
          <w:szCs w:val="24"/>
        </w:rPr>
        <w:t>协作</w:t>
      </w:r>
      <w:r w:rsidRPr="000C0842">
        <w:rPr>
          <w:rFonts w:eastAsia="SimSun"/>
          <w:bCs/>
          <w:sz w:val="24"/>
          <w:szCs w:val="24"/>
        </w:rPr>
        <w:t>。通过合作，有可能减轻入侵物种的不利影响，</w:t>
      </w:r>
      <w:r w:rsidRPr="000C0842">
        <w:rPr>
          <w:rFonts w:eastAsia="SimSun" w:hint="eastAsia"/>
          <w:bCs/>
          <w:sz w:val="24"/>
          <w:szCs w:val="24"/>
        </w:rPr>
        <w:t>为</w:t>
      </w:r>
      <w:r w:rsidRPr="000C0842">
        <w:rPr>
          <w:rFonts w:eastAsia="SimSun"/>
          <w:bCs/>
          <w:sz w:val="24"/>
          <w:szCs w:val="24"/>
        </w:rPr>
        <w:t>子孙后代保护尼泊尔独特的生物多样性。</w:t>
      </w:r>
    </w:p>
    <w:p w14:paraId="1D983B5D" w14:textId="77777777" w:rsidR="005E77FA" w:rsidRPr="000C0842" w:rsidRDefault="005E77FA" w:rsidP="005E77FA">
      <w:pPr>
        <w:keepNext/>
        <w:tabs>
          <w:tab w:val="clear" w:pos="567"/>
          <w:tab w:val="clear" w:pos="1134"/>
          <w:tab w:val="clear" w:pos="1701"/>
          <w:tab w:val="clear" w:pos="2268"/>
        </w:tabs>
        <w:spacing w:before="120" w:after="120" w:line="240" w:lineRule="atLeast"/>
        <w:ind w:firstLine="490"/>
        <w:jc w:val="left"/>
        <w:outlineLvl w:val="1"/>
        <w:rPr>
          <w:rFonts w:eastAsia="SimSun"/>
          <w:b/>
          <w:bCs/>
          <w:sz w:val="24"/>
          <w:szCs w:val="24"/>
          <w:lang w:val="en-CA"/>
        </w:rPr>
      </w:pPr>
      <w:r w:rsidRPr="000C0842">
        <w:rPr>
          <w:rFonts w:eastAsia="SimSun"/>
          <w:b/>
          <w:bCs/>
          <w:sz w:val="24"/>
          <w:szCs w:val="24"/>
          <w:lang w:val="en-CA"/>
        </w:rPr>
        <w:t>新西兰</w:t>
      </w:r>
    </w:p>
    <w:p w14:paraId="742A25F7" w14:textId="77777777" w:rsidR="005E77FA" w:rsidRPr="000C0842" w:rsidRDefault="005E77FA">
      <w:pPr>
        <w:pStyle w:val="Para1"/>
        <w:numPr>
          <w:ilvl w:val="0"/>
          <w:numId w:val="238"/>
        </w:numPr>
        <w:tabs>
          <w:tab w:val="clear" w:pos="567"/>
          <w:tab w:val="clear" w:pos="1134"/>
          <w:tab w:val="clear" w:pos="1701"/>
          <w:tab w:val="clear" w:pos="2268"/>
        </w:tabs>
        <w:snapToGrid w:val="0"/>
        <w:spacing w:line="240" w:lineRule="atLeast"/>
        <w:ind w:left="490" w:firstLine="0"/>
        <w:jc w:val="left"/>
        <w:rPr>
          <w:rFonts w:eastAsia="SimSun"/>
          <w:bCs/>
          <w:sz w:val="24"/>
          <w:szCs w:val="24"/>
        </w:rPr>
      </w:pPr>
      <w:r w:rsidRPr="000C0842">
        <w:rPr>
          <w:rFonts w:eastAsia="SimSun"/>
          <w:bCs/>
          <w:sz w:val="24"/>
          <w:szCs w:val="24"/>
        </w:rPr>
        <w:t>新西兰政府正在努力将文化知识、价值和展望（</w:t>
      </w:r>
      <w:r w:rsidRPr="000C0842">
        <w:rPr>
          <w:rFonts w:eastAsia="SimSun"/>
          <w:bCs/>
          <w:i/>
          <w:iCs/>
          <w:sz w:val="24"/>
          <w:szCs w:val="24"/>
        </w:rPr>
        <w:t>mātauranga</w:t>
      </w:r>
      <w:r w:rsidRPr="000C0842">
        <w:rPr>
          <w:rFonts w:eastAsia="SimSun"/>
          <w:bCs/>
          <w:sz w:val="24"/>
          <w:szCs w:val="24"/>
        </w:rPr>
        <w:t>）纳入外来入侵物种的管理之中。毛利人参与了对外来入侵物种的管理，尤其是在具有文化和精神意义的（</w:t>
      </w:r>
      <w:r w:rsidRPr="000C0842">
        <w:rPr>
          <w:rFonts w:eastAsia="SimSun"/>
          <w:bCs/>
          <w:i/>
          <w:iCs/>
          <w:sz w:val="24"/>
          <w:szCs w:val="24"/>
        </w:rPr>
        <w:t>taonga</w:t>
      </w:r>
      <w:r w:rsidRPr="000C0842">
        <w:rPr>
          <w:rFonts w:eastAsia="SimSun"/>
          <w:bCs/>
          <w:sz w:val="24"/>
          <w:szCs w:val="24"/>
        </w:rPr>
        <w:t>）物种面临风险时。国家外来入侵物种制度提供了一个在《怀唐伊条约》独特宪法背景下与土著人民合作促进改善生物多样性成果的范例。</w:t>
      </w:r>
    </w:p>
    <w:p w14:paraId="0FFF6401" w14:textId="77777777" w:rsidR="005E77FA" w:rsidRPr="000C0842" w:rsidRDefault="005E77FA" w:rsidP="005E77FA">
      <w:pPr>
        <w:keepNext/>
        <w:tabs>
          <w:tab w:val="clear" w:pos="567"/>
          <w:tab w:val="clear" w:pos="1134"/>
          <w:tab w:val="clear" w:pos="1701"/>
          <w:tab w:val="clear" w:pos="2268"/>
        </w:tabs>
        <w:spacing w:before="120" w:after="120" w:line="240" w:lineRule="atLeast"/>
        <w:ind w:firstLine="490"/>
        <w:jc w:val="left"/>
        <w:outlineLvl w:val="1"/>
        <w:rPr>
          <w:rFonts w:eastAsia="SimSun"/>
          <w:b/>
          <w:bCs/>
          <w:sz w:val="24"/>
          <w:szCs w:val="24"/>
          <w:lang w:val="en-CA"/>
        </w:rPr>
      </w:pPr>
      <w:r w:rsidRPr="000C0842">
        <w:rPr>
          <w:rFonts w:eastAsia="SimSun"/>
          <w:b/>
          <w:bCs/>
          <w:sz w:val="24"/>
          <w:szCs w:val="24"/>
          <w:lang w:val="en-CA"/>
        </w:rPr>
        <w:t>南非</w:t>
      </w:r>
    </w:p>
    <w:p w14:paraId="53AC23CC" w14:textId="77777777" w:rsidR="005E77FA" w:rsidRPr="000C0842" w:rsidRDefault="005E77FA">
      <w:pPr>
        <w:pStyle w:val="Para1"/>
        <w:numPr>
          <w:ilvl w:val="0"/>
          <w:numId w:val="238"/>
        </w:numPr>
        <w:tabs>
          <w:tab w:val="clear" w:pos="567"/>
          <w:tab w:val="clear" w:pos="1134"/>
          <w:tab w:val="clear" w:pos="1701"/>
          <w:tab w:val="clear" w:pos="2268"/>
        </w:tabs>
        <w:snapToGrid w:val="0"/>
        <w:spacing w:line="240" w:lineRule="atLeast"/>
        <w:ind w:left="490" w:firstLine="0"/>
        <w:jc w:val="left"/>
        <w:rPr>
          <w:rFonts w:eastAsia="SimSun"/>
          <w:bCs/>
          <w:sz w:val="24"/>
          <w:szCs w:val="24"/>
        </w:rPr>
      </w:pPr>
      <w:r w:rsidRPr="000C0842">
        <w:rPr>
          <w:rFonts w:eastAsia="SimSun"/>
          <w:bCs/>
          <w:sz w:val="24"/>
          <w:szCs w:val="24"/>
        </w:rPr>
        <w:t>《南非宪法》规定，人人有权享有对其健康或福祉无害的环境，从而为考虑社会经济因素提供了基础。</w:t>
      </w:r>
      <w:r w:rsidRPr="000C0842">
        <w:rPr>
          <w:rFonts w:eastAsia="SimSun"/>
          <w:bCs/>
          <w:sz w:val="24"/>
          <w:szCs w:val="24"/>
        </w:rPr>
        <w:t>2004</w:t>
      </w:r>
      <w:r w:rsidRPr="000C0842">
        <w:rPr>
          <w:rFonts w:eastAsia="SimSun"/>
          <w:bCs/>
          <w:sz w:val="24"/>
          <w:szCs w:val="24"/>
        </w:rPr>
        <w:t>年《国家环境管理：生物多样性法》和《外来物种和入侵物种条例》规定，风险评估应包括关键的经济、社会和生态因素（没有明确的模式），以指导签发外来物种进口许可证的决定。一些研究表明，环境与社会经济影响显著相关，如水葫芦案例所示。</w:t>
      </w:r>
    </w:p>
    <w:p w14:paraId="0DE6341C" w14:textId="77777777" w:rsidR="005E77FA" w:rsidRPr="000C0842" w:rsidRDefault="005E77FA" w:rsidP="005E77FA">
      <w:pPr>
        <w:keepNext/>
        <w:tabs>
          <w:tab w:val="clear" w:pos="567"/>
          <w:tab w:val="clear" w:pos="1134"/>
          <w:tab w:val="clear" w:pos="1701"/>
          <w:tab w:val="clear" w:pos="2268"/>
        </w:tabs>
        <w:spacing w:before="120" w:after="120" w:line="240" w:lineRule="atLeast"/>
        <w:ind w:firstLine="490"/>
        <w:jc w:val="left"/>
        <w:outlineLvl w:val="1"/>
        <w:rPr>
          <w:rFonts w:eastAsia="SimSun"/>
          <w:b/>
          <w:bCs/>
          <w:sz w:val="24"/>
          <w:szCs w:val="24"/>
          <w:lang w:val="en-CA"/>
        </w:rPr>
      </w:pPr>
      <w:r w:rsidRPr="000C0842">
        <w:rPr>
          <w:rFonts w:eastAsia="SimSun"/>
          <w:b/>
          <w:bCs/>
          <w:sz w:val="24"/>
          <w:szCs w:val="24"/>
          <w:lang w:val="en-CA"/>
        </w:rPr>
        <w:t>瑞典</w:t>
      </w:r>
    </w:p>
    <w:p w14:paraId="5369D855" w14:textId="77777777" w:rsidR="005E77FA" w:rsidRPr="000C0842" w:rsidRDefault="005E77FA">
      <w:pPr>
        <w:pStyle w:val="Para1"/>
        <w:numPr>
          <w:ilvl w:val="0"/>
          <w:numId w:val="238"/>
        </w:numPr>
        <w:tabs>
          <w:tab w:val="clear" w:pos="567"/>
          <w:tab w:val="clear" w:pos="1134"/>
          <w:tab w:val="clear" w:pos="1701"/>
          <w:tab w:val="clear" w:pos="2268"/>
        </w:tabs>
        <w:snapToGrid w:val="0"/>
        <w:spacing w:line="240" w:lineRule="atLeast"/>
        <w:ind w:left="490" w:firstLine="0"/>
        <w:jc w:val="left"/>
        <w:rPr>
          <w:rFonts w:eastAsia="SimSun"/>
          <w:bCs/>
          <w:sz w:val="24"/>
          <w:szCs w:val="24"/>
        </w:rPr>
      </w:pPr>
      <w:r w:rsidRPr="000C0842">
        <w:rPr>
          <w:rFonts w:eastAsia="SimSun"/>
          <w:bCs/>
          <w:sz w:val="24"/>
          <w:szCs w:val="24"/>
        </w:rPr>
        <w:t>羽扇豆、玫瑰、巨型猪草和凤仙花等外来入侵物种对具有重要生物和文化意义的草地和牧场产生影响，而人们正在加快放弃导致产生了这些草地和牧场特有的动植物群的传统农业做法。这样的草地和牧场构成了传统的瑞典乡村景色，既朴实无华又风景如画。人们已经认识到生物多样性丧失产生的一些社会经济影响，包括产自改良牧场的蜂蜜的质量和价值受到损失。入侵植物物种可以形成单一种植，取代本地植物的多样性，并彻底改变景观。一个不断变化的景观对普通民众的文化冲击是难以衡量的。</w:t>
      </w:r>
    </w:p>
    <w:p w14:paraId="0C8680C9" w14:textId="77777777" w:rsidR="005E77FA" w:rsidRPr="000C0842" w:rsidRDefault="005E77FA" w:rsidP="005C17E7">
      <w:pPr>
        <w:tabs>
          <w:tab w:val="clear" w:pos="567"/>
          <w:tab w:val="clear" w:pos="1134"/>
          <w:tab w:val="clear" w:pos="1701"/>
          <w:tab w:val="clear" w:pos="2268"/>
          <w:tab w:val="left" w:pos="2486"/>
        </w:tabs>
        <w:spacing w:before="240"/>
        <w:ind w:firstLine="490"/>
        <w:jc w:val="left"/>
        <w:rPr>
          <w:rFonts w:eastAsia="SimSun"/>
          <w:b/>
          <w:bCs/>
          <w:sz w:val="24"/>
          <w:szCs w:val="24"/>
          <w:lang w:val="en-GB"/>
        </w:rPr>
      </w:pPr>
      <w:r w:rsidRPr="000C0842">
        <w:rPr>
          <w:rFonts w:eastAsia="SimSun"/>
          <w:b/>
          <w:bCs/>
          <w:sz w:val="24"/>
          <w:szCs w:val="24"/>
          <w:lang w:val="en-CA"/>
        </w:rPr>
        <w:t>附件五</w:t>
      </w:r>
    </w:p>
    <w:p w14:paraId="7440CBFB" w14:textId="77777777" w:rsidR="00DD2285" w:rsidRPr="000C0842" w:rsidRDefault="005E77FA" w:rsidP="00DD2285">
      <w:pPr>
        <w:tabs>
          <w:tab w:val="clear" w:pos="567"/>
          <w:tab w:val="clear" w:pos="1134"/>
          <w:tab w:val="clear" w:pos="1701"/>
          <w:tab w:val="clear" w:pos="2268"/>
        </w:tabs>
        <w:ind w:left="490"/>
        <w:jc w:val="left"/>
        <w:rPr>
          <w:rFonts w:eastAsia="SimSun"/>
          <w:b/>
          <w:bCs/>
          <w:sz w:val="24"/>
          <w:szCs w:val="24"/>
          <w:lang w:val="en-CA"/>
        </w:rPr>
      </w:pPr>
      <w:r w:rsidRPr="000C0842">
        <w:rPr>
          <w:rFonts w:eastAsia="SimSun"/>
          <w:b/>
          <w:bCs/>
          <w:sz w:val="24"/>
          <w:szCs w:val="24"/>
          <w:lang w:val="en-CA"/>
        </w:rPr>
        <w:t>数据库与支持外来入侵物种管理的相关性</w:t>
      </w:r>
    </w:p>
    <w:p w14:paraId="74B89D8B" w14:textId="44A7CBC3" w:rsidR="005E77FA" w:rsidRPr="000C0842" w:rsidRDefault="005E77FA">
      <w:pPr>
        <w:pStyle w:val="ListParagraph"/>
        <w:numPr>
          <w:ilvl w:val="0"/>
          <w:numId w:val="249"/>
        </w:numPr>
        <w:tabs>
          <w:tab w:val="clear" w:pos="567"/>
          <w:tab w:val="clear" w:pos="1134"/>
          <w:tab w:val="clear" w:pos="1701"/>
          <w:tab w:val="clear" w:pos="2268"/>
        </w:tabs>
        <w:spacing w:before="120" w:after="120"/>
        <w:ind w:left="490" w:firstLine="0"/>
        <w:jc w:val="left"/>
        <w:rPr>
          <w:rFonts w:eastAsia="SimSun"/>
          <w:bCs/>
          <w:sz w:val="24"/>
          <w:szCs w:val="24"/>
          <w:lang w:val="en-CA"/>
        </w:rPr>
      </w:pPr>
      <w:r w:rsidRPr="000C0842">
        <w:rPr>
          <w:rFonts w:eastAsia="SimSun"/>
          <w:bCs/>
          <w:sz w:val="24"/>
          <w:szCs w:val="24"/>
          <w:lang w:val="en-CA"/>
        </w:rPr>
        <w:t>本附件载有对缔约方和利益攸关方的建议和自愿指南，以支持执行《昆明</w:t>
      </w:r>
      <w:r w:rsidRPr="000C0842">
        <w:rPr>
          <w:rFonts w:eastAsia="SimSun"/>
          <w:bCs/>
          <w:sz w:val="24"/>
          <w:szCs w:val="24"/>
          <w:lang w:val="en-CA"/>
        </w:rPr>
        <w:t>-</w:t>
      </w:r>
      <w:r w:rsidRPr="000C0842">
        <w:rPr>
          <w:rFonts w:eastAsia="SimSun"/>
          <w:bCs/>
          <w:sz w:val="24"/>
          <w:szCs w:val="24"/>
          <w:lang w:val="en-CA"/>
        </w:rPr>
        <w:t>蒙特利尔全球生物多样性框架》</w:t>
      </w:r>
      <w:r w:rsidRPr="000C0842">
        <w:rPr>
          <w:sz w:val="24"/>
          <w:szCs w:val="24"/>
          <w:vertAlign w:val="superscript"/>
          <w:lang w:val="en-CA"/>
        </w:rPr>
        <w:footnoteReference w:id="241"/>
      </w:r>
      <w:r w:rsidRPr="000C0842">
        <w:rPr>
          <w:rFonts w:eastAsia="SimSun"/>
          <w:bCs/>
          <w:sz w:val="24"/>
          <w:szCs w:val="24"/>
          <w:lang w:val="en-CA"/>
        </w:rPr>
        <w:t>，特别是关于外来入侵物种的行动目标</w:t>
      </w:r>
      <w:r w:rsidRPr="000C0842">
        <w:rPr>
          <w:rFonts w:eastAsia="SimSun"/>
          <w:bCs/>
          <w:sz w:val="24"/>
          <w:szCs w:val="24"/>
          <w:lang w:val="en-CA"/>
        </w:rPr>
        <w:t>6</w:t>
      </w:r>
      <w:r w:rsidRPr="000C0842">
        <w:rPr>
          <w:rFonts w:eastAsia="SimSun"/>
          <w:bCs/>
          <w:sz w:val="24"/>
          <w:szCs w:val="24"/>
          <w:lang w:val="en-CA"/>
        </w:rPr>
        <w:t>，以及其他相关的行动目标。</w:t>
      </w:r>
    </w:p>
    <w:p w14:paraId="6980C558" w14:textId="77777777" w:rsidR="005E77FA" w:rsidRPr="000C0842" w:rsidRDefault="005E77FA" w:rsidP="005E77FA">
      <w:pPr>
        <w:keepNext/>
        <w:tabs>
          <w:tab w:val="clear" w:pos="567"/>
          <w:tab w:val="clear" w:pos="1134"/>
          <w:tab w:val="clear" w:pos="1701"/>
          <w:tab w:val="clear" w:pos="2268"/>
          <w:tab w:val="num" w:pos="360"/>
          <w:tab w:val="left" w:pos="720"/>
        </w:tabs>
        <w:spacing w:before="120" w:after="120" w:line="240" w:lineRule="atLeast"/>
        <w:jc w:val="left"/>
        <w:outlineLvl w:val="0"/>
        <w:rPr>
          <w:rFonts w:eastAsia="SimSun"/>
          <w:b/>
          <w:caps/>
          <w:sz w:val="24"/>
          <w:szCs w:val="24"/>
          <w:lang w:val="en-CA"/>
        </w:rPr>
      </w:pPr>
      <w:r w:rsidRPr="000C0842">
        <w:rPr>
          <w:rFonts w:eastAsia="SimSun"/>
          <w:b/>
          <w:caps/>
          <w:sz w:val="24"/>
          <w:szCs w:val="24"/>
          <w:lang w:val="en-CA"/>
        </w:rPr>
        <w:t>一</w:t>
      </w:r>
      <w:r w:rsidRPr="000C0842">
        <w:rPr>
          <w:rFonts w:eastAsia="SimSun"/>
          <w:b/>
          <w:caps/>
          <w:sz w:val="24"/>
          <w:szCs w:val="24"/>
          <w:lang w:val="en-CA"/>
        </w:rPr>
        <w:t xml:space="preserve">.  </w:t>
      </w:r>
      <w:r w:rsidRPr="000C0842">
        <w:rPr>
          <w:rFonts w:eastAsia="SimSun"/>
          <w:b/>
          <w:caps/>
          <w:sz w:val="24"/>
          <w:szCs w:val="24"/>
          <w:lang w:val="en-CA"/>
        </w:rPr>
        <w:t>数据库的重要性</w:t>
      </w:r>
    </w:p>
    <w:p w14:paraId="0C1FB7E2" w14:textId="77777777" w:rsidR="005E77FA" w:rsidRPr="000C0842" w:rsidRDefault="005E77FA">
      <w:pPr>
        <w:pStyle w:val="ListParagraph"/>
        <w:numPr>
          <w:ilvl w:val="0"/>
          <w:numId w:val="249"/>
        </w:numPr>
        <w:tabs>
          <w:tab w:val="clear" w:pos="567"/>
          <w:tab w:val="clear" w:pos="1134"/>
          <w:tab w:val="clear" w:pos="1701"/>
          <w:tab w:val="clear" w:pos="2268"/>
        </w:tabs>
        <w:spacing w:before="120" w:after="120"/>
        <w:ind w:left="490" w:firstLine="0"/>
        <w:jc w:val="left"/>
        <w:rPr>
          <w:rFonts w:eastAsia="SimSun"/>
          <w:bCs/>
          <w:sz w:val="24"/>
          <w:szCs w:val="24"/>
          <w:lang w:val="en-CA"/>
        </w:rPr>
      </w:pPr>
      <w:r w:rsidRPr="000C0842">
        <w:rPr>
          <w:rFonts w:eastAsia="SimSun"/>
          <w:bCs/>
          <w:sz w:val="24"/>
          <w:szCs w:val="24"/>
          <w:lang w:val="en-CA"/>
        </w:rPr>
        <w:t>关于物种分布、特征和影响等问题的信息对于应用分析工具（如风险分析、成本</w:t>
      </w:r>
      <w:r w:rsidRPr="000C0842">
        <w:rPr>
          <w:rFonts w:eastAsia="SimSun" w:hint="eastAsia"/>
          <w:bCs/>
          <w:sz w:val="24"/>
          <w:szCs w:val="24"/>
          <w:lang w:val="en-CA"/>
        </w:rPr>
        <w:t>效益</w:t>
      </w:r>
      <w:r w:rsidRPr="000C0842">
        <w:rPr>
          <w:rFonts w:eastAsia="SimSun"/>
          <w:bCs/>
          <w:sz w:val="24"/>
          <w:szCs w:val="24"/>
          <w:lang w:val="en-CA"/>
        </w:rPr>
        <w:t>和成本</w:t>
      </w:r>
      <w:r w:rsidRPr="000C0842">
        <w:rPr>
          <w:rFonts w:eastAsia="SimSun" w:hint="eastAsia"/>
          <w:bCs/>
          <w:sz w:val="24"/>
          <w:szCs w:val="24"/>
          <w:lang w:val="en-CA"/>
        </w:rPr>
        <w:t>效果</w:t>
      </w:r>
      <w:r w:rsidRPr="000C0842">
        <w:rPr>
          <w:rFonts w:eastAsia="SimSun"/>
          <w:bCs/>
          <w:sz w:val="24"/>
          <w:szCs w:val="24"/>
          <w:lang w:val="en-CA"/>
        </w:rPr>
        <w:t>分析，以及种群建立、传播和种群建模）和设计有效行动以最大限度地减少外来入侵物种的影响是至关重要的。</w:t>
      </w:r>
      <w:r w:rsidRPr="000C0842">
        <w:rPr>
          <w:rFonts w:eastAsia="SimSun"/>
          <w:bCs/>
          <w:sz w:val="24"/>
          <w:szCs w:val="24"/>
          <w:lang w:val="en-CA"/>
        </w:rPr>
        <w:t xml:space="preserve"> </w:t>
      </w:r>
    </w:p>
    <w:p w14:paraId="37DE16B2" w14:textId="77777777" w:rsidR="005E77FA" w:rsidRPr="000C0842" w:rsidRDefault="005E77FA">
      <w:pPr>
        <w:pStyle w:val="ListParagraph"/>
        <w:numPr>
          <w:ilvl w:val="0"/>
          <w:numId w:val="249"/>
        </w:numPr>
        <w:tabs>
          <w:tab w:val="clear" w:pos="567"/>
          <w:tab w:val="clear" w:pos="1134"/>
          <w:tab w:val="clear" w:pos="1701"/>
          <w:tab w:val="clear" w:pos="2268"/>
        </w:tabs>
        <w:spacing w:before="120" w:after="120"/>
        <w:ind w:left="490" w:firstLine="0"/>
        <w:contextualSpacing w:val="0"/>
        <w:jc w:val="left"/>
        <w:rPr>
          <w:rFonts w:eastAsia="SimSun"/>
          <w:bCs/>
          <w:sz w:val="24"/>
          <w:szCs w:val="24"/>
          <w:lang w:val="en-CA"/>
        </w:rPr>
      </w:pPr>
      <w:r w:rsidRPr="000C0842">
        <w:rPr>
          <w:rFonts w:eastAsia="SimSun"/>
          <w:bCs/>
          <w:sz w:val="24"/>
          <w:szCs w:val="24"/>
          <w:lang w:val="en-CA"/>
        </w:rPr>
        <w:t>目前有几个数据库</w:t>
      </w:r>
      <w:r w:rsidRPr="000C0842">
        <w:rPr>
          <w:rFonts w:eastAsia="SimSun"/>
          <w:bCs/>
          <w:sz w:val="24"/>
          <w:szCs w:val="24"/>
          <w:vertAlign w:val="superscript"/>
          <w:lang w:val="en-GB"/>
        </w:rPr>
        <w:footnoteReference w:id="242"/>
      </w:r>
      <w:r w:rsidRPr="000C0842">
        <w:rPr>
          <w:rFonts w:eastAsia="SimSun"/>
          <w:bCs/>
          <w:sz w:val="24"/>
          <w:szCs w:val="24"/>
          <w:lang w:val="en-CA"/>
        </w:rPr>
        <w:t>提供关于预防、控制或根除外来入侵物种的有用信息。系统反应灵敏且得到良好维护的数据库可以为决策提供信息，并支持在实现</w:t>
      </w:r>
      <w:r w:rsidRPr="000C0842">
        <w:rPr>
          <w:rFonts w:eastAsia="SimSun" w:hint="eastAsia"/>
          <w:bCs/>
          <w:sz w:val="24"/>
          <w:szCs w:val="24"/>
          <w:lang w:val="en-CA"/>
        </w:rPr>
        <w:t>《昆蒙框架》</w:t>
      </w:r>
      <w:r w:rsidRPr="000C0842">
        <w:rPr>
          <w:rFonts w:eastAsia="SimSun"/>
          <w:bCs/>
          <w:sz w:val="24"/>
          <w:szCs w:val="24"/>
          <w:lang w:val="en-CA"/>
        </w:rPr>
        <w:t>行动目标</w:t>
      </w:r>
      <w:r w:rsidRPr="000C0842">
        <w:rPr>
          <w:rFonts w:eastAsia="SimSun"/>
          <w:bCs/>
          <w:sz w:val="24"/>
          <w:szCs w:val="24"/>
          <w:lang w:val="en-CA"/>
        </w:rPr>
        <w:t>6</w:t>
      </w:r>
      <w:r w:rsidRPr="000C0842">
        <w:rPr>
          <w:rFonts w:eastAsia="SimSun"/>
          <w:bCs/>
          <w:sz w:val="24"/>
          <w:szCs w:val="24"/>
          <w:lang w:val="en-CA"/>
        </w:rPr>
        <w:t>方面取得</w:t>
      </w:r>
      <w:r w:rsidRPr="000C0842">
        <w:rPr>
          <w:rFonts w:eastAsia="SimSun" w:hint="eastAsia"/>
          <w:bCs/>
          <w:sz w:val="24"/>
          <w:szCs w:val="24"/>
          <w:lang w:val="en-CA"/>
        </w:rPr>
        <w:t>的</w:t>
      </w:r>
      <w:r w:rsidRPr="000C0842">
        <w:rPr>
          <w:rFonts w:eastAsia="SimSun"/>
          <w:bCs/>
          <w:sz w:val="24"/>
          <w:szCs w:val="24"/>
          <w:lang w:val="en-CA"/>
        </w:rPr>
        <w:t>进展和监测进展情况，因为这样的数据库减少了在实地发现外来物种与在线提供信息之间的时间差。</w:t>
      </w:r>
    </w:p>
    <w:p w14:paraId="5E1969FA" w14:textId="77777777" w:rsidR="005E77FA" w:rsidRPr="000C0842" w:rsidRDefault="005E77FA">
      <w:pPr>
        <w:pStyle w:val="ListParagraph"/>
        <w:numPr>
          <w:ilvl w:val="0"/>
          <w:numId w:val="249"/>
        </w:numPr>
        <w:tabs>
          <w:tab w:val="clear" w:pos="567"/>
          <w:tab w:val="clear" w:pos="1134"/>
          <w:tab w:val="clear" w:pos="1701"/>
          <w:tab w:val="clear" w:pos="2268"/>
        </w:tabs>
        <w:spacing w:before="120" w:after="120"/>
        <w:ind w:left="490" w:firstLine="0"/>
        <w:contextualSpacing w:val="0"/>
        <w:jc w:val="left"/>
        <w:rPr>
          <w:rFonts w:eastAsia="SimSun"/>
          <w:bCs/>
          <w:sz w:val="24"/>
          <w:szCs w:val="24"/>
          <w:lang w:val="en-CA"/>
        </w:rPr>
      </w:pPr>
      <w:r w:rsidRPr="000C0842">
        <w:rPr>
          <w:rFonts w:eastAsia="SimSun"/>
          <w:bCs/>
          <w:sz w:val="24"/>
          <w:szCs w:val="24"/>
          <w:lang w:val="en-CA"/>
        </w:rPr>
        <w:t>使用共同的、定义明确和公认的术语对于更有效地利用数据库中的信息十分重要，包括确保数据更好的流动、不同平台之间更好的协调。</w:t>
      </w:r>
    </w:p>
    <w:p w14:paraId="10038852"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由于数据库是确定有关外来入侵物种行动的优先次序和行动管理的关键，因此需要长期供资来支持其适当运作和维护，以确保不断为支持决策提供数据。此外，需要进行能力建设、改进科技合作和技术转让，才能利用</w:t>
      </w:r>
      <w:r w:rsidRPr="000C0842">
        <w:rPr>
          <w:rFonts w:eastAsia="SimSun" w:hint="eastAsia"/>
          <w:bCs/>
          <w:sz w:val="24"/>
          <w:szCs w:val="24"/>
          <w:lang w:val="en-CA"/>
        </w:rPr>
        <w:t>和</w:t>
      </w:r>
      <w:r w:rsidRPr="000C0842">
        <w:rPr>
          <w:rFonts w:eastAsia="SimSun"/>
          <w:bCs/>
          <w:sz w:val="24"/>
          <w:szCs w:val="24"/>
          <w:lang w:val="en-CA"/>
        </w:rPr>
        <w:t>管理</w:t>
      </w:r>
      <w:r w:rsidRPr="000C0842">
        <w:rPr>
          <w:rFonts w:eastAsia="SimSun" w:hint="eastAsia"/>
          <w:bCs/>
          <w:sz w:val="24"/>
          <w:szCs w:val="24"/>
          <w:lang w:val="en-CA"/>
        </w:rPr>
        <w:t>有关</w:t>
      </w:r>
      <w:r w:rsidRPr="000C0842">
        <w:rPr>
          <w:rFonts w:eastAsia="SimSun"/>
          <w:bCs/>
          <w:sz w:val="24"/>
          <w:szCs w:val="24"/>
          <w:lang w:val="en-CA"/>
        </w:rPr>
        <w:t>外来入侵物种数据库。同样，国际社会也需要做出长期努力，维护和更新现有的数据系统。</w:t>
      </w:r>
    </w:p>
    <w:p w14:paraId="729165DD" w14:textId="77777777" w:rsidR="005E77FA" w:rsidRPr="000C0842" w:rsidRDefault="005E77FA" w:rsidP="005E77FA">
      <w:pPr>
        <w:keepNext/>
        <w:tabs>
          <w:tab w:val="clear" w:pos="567"/>
          <w:tab w:val="clear" w:pos="1134"/>
          <w:tab w:val="clear" w:pos="1701"/>
          <w:tab w:val="clear" w:pos="2268"/>
          <w:tab w:val="num" w:pos="360"/>
          <w:tab w:val="left" w:pos="720"/>
        </w:tabs>
        <w:spacing w:before="120" w:after="120" w:line="240" w:lineRule="atLeast"/>
        <w:jc w:val="left"/>
        <w:outlineLvl w:val="0"/>
        <w:rPr>
          <w:rFonts w:eastAsia="SimSun"/>
          <w:b/>
          <w:caps/>
          <w:sz w:val="24"/>
          <w:szCs w:val="24"/>
          <w:lang w:val="en-CA"/>
        </w:rPr>
      </w:pPr>
      <w:r w:rsidRPr="000C0842">
        <w:rPr>
          <w:rFonts w:eastAsia="SimSun"/>
          <w:b/>
          <w:caps/>
          <w:sz w:val="24"/>
          <w:szCs w:val="24"/>
          <w:lang w:val="en-CA"/>
        </w:rPr>
        <w:t>二</w:t>
      </w:r>
      <w:r w:rsidRPr="000C0842">
        <w:rPr>
          <w:rFonts w:eastAsia="SimSun"/>
          <w:b/>
          <w:caps/>
          <w:sz w:val="24"/>
          <w:szCs w:val="24"/>
          <w:lang w:val="en-CA"/>
        </w:rPr>
        <w:t xml:space="preserve">.   </w:t>
      </w:r>
      <w:r w:rsidRPr="000C0842">
        <w:rPr>
          <w:rFonts w:eastAsia="SimSun"/>
          <w:b/>
          <w:caps/>
          <w:sz w:val="24"/>
          <w:szCs w:val="24"/>
          <w:lang w:val="en-CA"/>
        </w:rPr>
        <w:t>维持有效、及时和高质量的最新标准化数据和信息，以管理外来入侵物种</w:t>
      </w:r>
      <w:r w:rsidRPr="000C0842">
        <w:rPr>
          <w:rFonts w:eastAsia="SimSun"/>
          <w:b/>
          <w:caps/>
          <w:sz w:val="24"/>
          <w:szCs w:val="24"/>
          <w:lang w:val="en-CA"/>
        </w:rPr>
        <w:t xml:space="preserve">        </w:t>
      </w:r>
    </w:p>
    <w:p w14:paraId="4EFDB257"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建议缔约方、组织、利益攸关方和数据库管理人员酌情采取以下行动</w:t>
      </w:r>
      <w:r w:rsidRPr="000C0842">
        <w:rPr>
          <w:rFonts w:eastAsia="SimSun"/>
          <w:bCs/>
          <w:sz w:val="24"/>
          <w:szCs w:val="24"/>
          <w:lang w:val="en-CA"/>
        </w:rPr>
        <w:t>:</w:t>
      </w:r>
    </w:p>
    <w:p w14:paraId="75AF9289"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对目前可用的所有国际平台的重点和内容进行分析，以评估是否有足够的信息和能力跟踪实现</w:t>
      </w:r>
      <w:r w:rsidRPr="000C0842">
        <w:rPr>
          <w:rFonts w:eastAsia="SimSun" w:hint="eastAsia"/>
          <w:bCs/>
          <w:sz w:val="24"/>
          <w:szCs w:val="24"/>
          <w:lang w:val="en-CA"/>
        </w:rPr>
        <w:t>《昆蒙框架》</w:t>
      </w:r>
      <w:r w:rsidRPr="000C0842">
        <w:rPr>
          <w:rFonts w:eastAsia="SimSun"/>
          <w:sz w:val="24"/>
          <w:szCs w:val="24"/>
          <w:lang w:val="en-CA"/>
        </w:rPr>
        <w:t>行动目标</w:t>
      </w:r>
      <w:r w:rsidRPr="000C0842">
        <w:rPr>
          <w:rFonts w:eastAsia="SimSun"/>
          <w:sz w:val="24"/>
          <w:szCs w:val="24"/>
          <w:lang w:val="en-CA"/>
        </w:rPr>
        <w:t>6</w:t>
      </w:r>
      <w:r w:rsidRPr="000C0842">
        <w:rPr>
          <w:rFonts w:eastAsia="SimSun"/>
          <w:sz w:val="24"/>
          <w:szCs w:val="24"/>
          <w:lang w:val="en-CA"/>
        </w:rPr>
        <w:t>的进展情况，并查明和弥补任何差距；</w:t>
      </w:r>
    </w:p>
    <w:p w14:paraId="6B95974A"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加强数据提供方之间的</w:t>
      </w:r>
      <w:r w:rsidRPr="000C0842">
        <w:rPr>
          <w:rFonts w:eastAsia="SimSun" w:hint="eastAsia"/>
          <w:sz w:val="24"/>
          <w:szCs w:val="24"/>
        </w:rPr>
        <w:t>协作</w:t>
      </w:r>
      <w:r w:rsidRPr="000C0842">
        <w:rPr>
          <w:rFonts w:eastAsia="SimSun"/>
          <w:sz w:val="24"/>
          <w:szCs w:val="24"/>
          <w:lang w:val="en-CA"/>
        </w:rPr>
        <w:t>，以</w:t>
      </w:r>
      <w:r w:rsidRPr="000C0842">
        <w:rPr>
          <w:rFonts w:eastAsia="SimSun"/>
          <w:sz w:val="24"/>
          <w:szCs w:val="24"/>
        </w:rPr>
        <w:t>弥补</w:t>
      </w:r>
      <w:r w:rsidRPr="000C0842">
        <w:rPr>
          <w:rFonts w:eastAsia="SimSun"/>
          <w:sz w:val="24"/>
          <w:szCs w:val="24"/>
          <w:lang w:val="en-CA"/>
        </w:rPr>
        <w:t>数据缺口，特别</w:t>
      </w:r>
      <w:r w:rsidRPr="000C0842">
        <w:rPr>
          <w:rFonts w:eastAsia="SimSun"/>
          <w:sz w:val="24"/>
          <w:szCs w:val="24"/>
        </w:rPr>
        <w:t>是针对了解</w:t>
      </w:r>
      <w:r w:rsidRPr="000C0842">
        <w:rPr>
          <w:rFonts w:eastAsia="SimSun"/>
          <w:sz w:val="24"/>
          <w:szCs w:val="24"/>
          <w:lang w:val="en-CA"/>
        </w:rPr>
        <w:t>甚少的区域、生态系统和生物群（例如外来海洋物种、无脊椎动物、微生物和真菌），并不断更新数据库中的信息；</w:t>
      </w:r>
    </w:p>
    <w:p w14:paraId="64D9E618"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维护从各种广泛来源记录的外来入侵物种事件的动态数据流，既包括由全球生物多样性信息</w:t>
      </w:r>
      <w:r w:rsidRPr="000C0842">
        <w:rPr>
          <w:rFonts w:eastAsia="SimSun" w:hint="eastAsia"/>
          <w:sz w:val="24"/>
          <w:szCs w:val="24"/>
          <w:lang w:val="en-CA"/>
        </w:rPr>
        <w:t>机构</w:t>
      </w:r>
      <w:r w:rsidRPr="000C0842">
        <w:rPr>
          <w:rFonts w:eastAsia="SimSun"/>
          <w:sz w:val="24"/>
          <w:szCs w:val="24"/>
          <w:vertAlign w:val="superscript"/>
          <w:lang w:val="en-CA"/>
        </w:rPr>
        <w:footnoteReference w:id="243"/>
      </w:r>
      <w:r w:rsidRPr="000C0842">
        <w:rPr>
          <w:rFonts w:eastAsia="SimSun"/>
          <w:sz w:val="24"/>
          <w:szCs w:val="24"/>
          <w:lang w:val="en-CA"/>
        </w:rPr>
        <w:t>汇集的实地监测、公民科学和标本采集，也包括在《全球引进和入侵物种登记册》</w:t>
      </w:r>
      <w:r w:rsidRPr="000C0842">
        <w:rPr>
          <w:rFonts w:eastAsia="SimSun"/>
          <w:sz w:val="24"/>
          <w:szCs w:val="24"/>
          <w:vertAlign w:val="superscript"/>
          <w:lang w:val="en-CA"/>
        </w:rPr>
        <w:footnoteReference w:id="244"/>
      </w:r>
      <w:r w:rsidRPr="000C0842">
        <w:rPr>
          <w:rFonts w:eastAsia="SimSun"/>
          <w:sz w:val="24"/>
          <w:szCs w:val="24"/>
          <w:lang w:val="en-CA"/>
        </w:rPr>
        <w:t>中汇编的专家编制清单，包括最新文献综述；</w:t>
      </w:r>
    </w:p>
    <w:p w14:paraId="165D1C6F" w14:textId="0ABC59FF"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确保数据提供方（如国家主管部门和研究人员）与汇集者（如全球生物多样性信息</w:t>
      </w:r>
      <w:r w:rsidRPr="000C0842">
        <w:rPr>
          <w:rFonts w:eastAsia="SimSun" w:hint="eastAsia"/>
          <w:sz w:val="24"/>
          <w:szCs w:val="24"/>
          <w:lang w:val="en-CA"/>
        </w:rPr>
        <w:t>机构</w:t>
      </w:r>
      <w:r w:rsidRPr="000C0842">
        <w:rPr>
          <w:rFonts w:eastAsia="SimSun"/>
          <w:sz w:val="24"/>
          <w:szCs w:val="24"/>
          <w:lang w:val="en-CA"/>
        </w:rPr>
        <w:t>、《全球引进和入侵物种登记册》、《</w:t>
      </w:r>
      <w:r w:rsidRPr="000C0842">
        <w:rPr>
          <w:rFonts w:eastAsia="SimSun"/>
          <w:sz w:val="24"/>
          <w:szCs w:val="24"/>
        </w:rPr>
        <w:t>国际农业生物科学中心</w:t>
      </w:r>
      <w:r w:rsidRPr="000C0842">
        <w:rPr>
          <w:rFonts w:eastAsia="SimSun"/>
          <w:sz w:val="24"/>
          <w:szCs w:val="24"/>
          <w:lang w:val="en-CA"/>
        </w:rPr>
        <w:t>简编》</w:t>
      </w:r>
      <w:r w:rsidRPr="000C0842">
        <w:rPr>
          <w:rFonts w:eastAsia="SimSun"/>
          <w:sz w:val="24"/>
          <w:szCs w:val="24"/>
          <w:vertAlign w:val="superscript"/>
          <w:lang w:val="en-CA"/>
        </w:rPr>
        <w:footnoteReference w:id="245"/>
      </w:r>
      <w:r w:rsidRPr="000C0842">
        <w:rPr>
          <w:rFonts w:eastAsia="SimSun"/>
          <w:sz w:val="24"/>
          <w:szCs w:val="24"/>
          <w:lang w:val="en-CA"/>
        </w:rPr>
        <w:t>和欧洲外来物种信息网）</w:t>
      </w:r>
      <w:r w:rsidRPr="000C0842">
        <w:rPr>
          <w:rFonts w:eastAsia="SimSun"/>
          <w:sz w:val="24"/>
          <w:szCs w:val="24"/>
          <w:vertAlign w:val="superscript"/>
          <w:lang w:val="en-CA"/>
        </w:rPr>
        <w:t xml:space="preserve"> </w:t>
      </w:r>
      <w:r w:rsidRPr="000C0842">
        <w:rPr>
          <w:rFonts w:eastAsia="SimSun"/>
          <w:sz w:val="24"/>
          <w:szCs w:val="24"/>
          <w:vertAlign w:val="superscript"/>
          <w:lang w:val="en-CA"/>
        </w:rPr>
        <w:footnoteReference w:id="246"/>
      </w:r>
      <w:r w:rsidRPr="000C0842">
        <w:rPr>
          <w:rFonts w:eastAsia="SimSun"/>
          <w:sz w:val="24"/>
          <w:szCs w:val="24"/>
          <w:lang w:val="en-CA"/>
        </w:rPr>
        <w:t>之间数据流的互操作性，以加强全球和区域分析和决策所需的数据流动，并为国家能力建设和融资创造机会</w:t>
      </w:r>
      <w:r w:rsidRPr="000C0842">
        <w:rPr>
          <w:rFonts w:eastAsia="SimSun"/>
          <w:sz w:val="24"/>
          <w:szCs w:val="24"/>
          <w:lang w:val="en-CA"/>
        </w:rPr>
        <w:t>;</w:t>
      </w:r>
    </w:p>
    <w:p w14:paraId="0D188F84"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考虑到支持开发一个国际数据库或储存库的潜在益处，包括加强现有数据库或储存库，避免重复工作，使执行</w:t>
      </w:r>
      <w:r w:rsidRPr="000C0842">
        <w:rPr>
          <w:rFonts w:eastAsia="SimSun" w:hint="eastAsia"/>
          <w:bCs/>
          <w:sz w:val="24"/>
          <w:szCs w:val="24"/>
          <w:lang w:val="en-CA"/>
        </w:rPr>
        <w:t>《昆蒙框架》</w:t>
      </w:r>
      <w:r w:rsidRPr="000C0842">
        <w:rPr>
          <w:rFonts w:eastAsia="SimSun"/>
          <w:sz w:val="24"/>
          <w:szCs w:val="24"/>
          <w:lang w:val="en-CA"/>
        </w:rPr>
        <w:t>行动目标</w:t>
      </w:r>
      <w:r w:rsidRPr="000C0842">
        <w:rPr>
          <w:rFonts w:eastAsia="SimSun"/>
          <w:sz w:val="24"/>
          <w:szCs w:val="24"/>
          <w:lang w:val="en-CA"/>
        </w:rPr>
        <w:t>6</w:t>
      </w:r>
      <w:r w:rsidRPr="000C0842">
        <w:rPr>
          <w:rFonts w:eastAsia="SimSun"/>
          <w:sz w:val="24"/>
          <w:szCs w:val="24"/>
          <w:lang w:val="en-CA"/>
        </w:rPr>
        <w:t>所需的所有信息都能以多种语言获取，并遵循一种便于提交和翻译的标准化格式。可以将此国际数据库作为关于外来入侵物种和潜在外来入侵外来物种信息的一站式服务平台；</w:t>
      </w:r>
    </w:p>
    <w:p w14:paraId="02466F7B"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制定维护数据库和信息系统的长期供资和支助战略，包括支持维护和不断发展侧重于整理和监管新的和现有数据的《全球引进和入侵物种登记册》和其他专家网络，以支持实现</w:t>
      </w:r>
      <w:r w:rsidRPr="000C0842">
        <w:rPr>
          <w:rFonts w:eastAsia="SimSun" w:hint="eastAsia"/>
          <w:bCs/>
          <w:sz w:val="24"/>
          <w:szCs w:val="24"/>
          <w:lang w:val="en-CA"/>
        </w:rPr>
        <w:t>《昆蒙框架》</w:t>
      </w:r>
      <w:r w:rsidRPr="000C0842">
        <w:rPr>
          <w:rFonts w:eastAsia="SimSun"/>
          <w:sz w:val="24"/>
          <w:szCs w:val="24"/>
          <w:lang w:val="en-CA"/>
        </w:rPr>
        <w:t>行动目标</w:t>
      </w:r>
      <w:r w:rsidRPr="000C0842">
        <w:rPr>
          <w:rFonts w:eastAsia="SimSun"/>
          <w:sz w:val="24"/>
          <w:szCs w:val="24"/>
          <w:lang w:val="en-CA"/>
        </w:rPr>
        <w:t xml:space="preserve">6; </w:t>
      </w:r>
    </w:p>
    <w:p w14:paraId="632F81D2"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考虑到知识和数据共享需要做到免费和开源，克服语言和文化障碍，同时也要兼顾处于资金、技术和人力资源不足困境中的发展中</w:t>
      </w:r>
      <w:r w:rsidRPr="000C0842">
        <w:rPr>
          <w:rFonts w:eastAsia="SimSun" w:hint="eastAsia"/>
          <w:sz w:val="24"/>
          <w:szCs w:val="24"/>
          <w:lang w:val="en-CA"/>
        </w:rPr>
        <w:t>国家</w:t>
      </w:r>
      <w:r w:rsidRPr="000C0842">
        <w:rPr>
          <w:rFonts w:eastAsia="SimSun"/>
          <w:sz w:val="24"/>
          <w:szCs w:val="24"/>
          <w:lang w:val="en-CA"/>
        </w:rPr>
        <w:t>缔约方的具体需求。未来可以建立分享案例研究和最佳做法的门户网站（例如全球外来入侵物种信息伙伴关系</w:t>
      </w:r>
      <w:r w:rsidRPr="000C0842">
        <w:rPr>
          <w:rFonts w:eastAsia="SimSun"/>
          <w:sz w:val="24"/>
          <w:szCs w:val="24"/>
          <w:vertAlign w:val="superscript"/>
          <w:lang w:val="en-CA"/>
        </w:rPr>
        <w:footnoteReference w:id="247"/>
      </w:r>
      <w:r w:rsidRPr="000C0842">
        <w:rPr>
          <w:rFonts w:eastAsia="SimSun"/>
          <w:sz w:val="24"/>
          <w:szCs w:val="24"/>
          <w:lang w:val="en-CA"/>
        </w:rPr>
        <w:t>等外来入侵物种信息交换所）来促进这一进程</w:t>
      </w:r>
      <w:r w:rsidRPr="000C0842">
        <w:rPr>
          <w:rFonts w:eastAsia="SimSun"/>
          <w:sz w:val="24"/>
          <w:szCs w:val="24"/>
          <w:lang w:val="en-CA"/>
        </w:rPr>
        <w:t>;</w:t>
      </w:r>
    </w:p>
    <w:p w14:paraId="309441B7"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sz w:val="24"/>
          <w:szCs w:val="24"/>
          <w:lang w:val="en-CA"/>
        </w:rPr>
        <w:t>包括培训可以加强控制和防止外来入侵物种的部门人员（例如海关人员、边境和港口警察以及沿海运输管理人员）；</w:t>
      </w:r>
    </w:p>
    <w:p w14:paraId="42A9CD97"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hint="eastAsia"/>
          <w:sz w:val="24"/>
          <w:szCs w:val="24"/>
          <w:lang w:val="en-CA"/>
        </w:rPr>
        <w:t>在使用土著人民和地方社区的传统知识</w:t>
      </w:r>
      <w:r w:rsidRPr="000C0842">
        <w:rPr>
          <w:rFonts w:eastAsia="SimSun"/>
          <w:sz w:val="24"/>
          <w:szCs w:val="24"/>
          <w:vertAlign w:val="superscript"/>
          <w:lang w:val="en-GB"/>
        </w:rPr>
        <w:footnoteReference w:id="248"/>
      </w:r>
      <w:r w:rsidRPr="000C0842">
        <w:rPr>
          <w:rFonts w:eastAsia="SimSun" w:hint="eastAsia"/>
          <w:sz w:val="24"/>
          <w:szCs w:val="24"/>
          <w:lang w:val="en-CA"/>
        </w:rPr>
        <w:t>时，需获得他们自由、事先和知情同意</w:t>
      </w:r>
      <w:r w:rsidRPr="000C0842">
        <w:rPr>
          <w:rFonts w:eastAsia="SimSun"/>
          <w:sz w:val="24"/>
          <w:szCs w:val="24"/>
          <w:vertAlign w:val="superscript"/>
          <w:lang w:val="en-CA"/>
        </w:rPr>
        <w:footnoteReference w:id="249"/>
      </w:r>
      <w:r w:rsidRPr="000C0842">
        <w:rPr>
          <w:rFonts w:eastAsia="SimSun" w:hint="eastAsia"/>
          <w:sz w:val="24"/>
          <w:szCs w:val="24"/>
          <w:lang w:val="en-CA"/>
        </w:rPr>
        <w:t>；</w:t>
      </w:r>
    </w:p>
    <w:p w14:paraId="0740F7F8"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hint="eastAsia"/>
          <w:sz w:val="24"/>
          <w:szCs w:val="24"/>
          <w:lang w:val="en-CA"/>
        </w:rPr>
        <w:t>利用《</w:t>
      </w:r>
      <w:r w:rsidRPr="000C0842">
        <w:rPr>
          <w:rFonts w:eastAsia="SimSun" w:hint="eastAsia"/>
          <w:sz w:val="24"/>
          <w:szCs w:val="24"/>
        </w:rPr>
        <w:t>国际农业生物科学中心</w:t>
      </w:r>
      <w:r w:rsidRPr="000C0842">
        <w:rPr>
          <w:rFonts w:eastAsia="SimSun" w:hint="eastAsia"/>
          <w:sz w:val="24"/>
          <w:szCs w:val="24"/>
          <w:lang w:val="en-CA"/>
        </w:rPr>
        <w:t>简编》这一外来入侵物种百科全书式科学信息资源为决策提供信息；</w:t>
      </w:r>
    </w:p>
    <w:p w14:paraId="62759DF6" w14:textId="77777777" w:rsidR="005E77FA" w:rsidRPr="000C0842" w:rsidRDefault="005E77FA">
      <w:pPr>
        <w:numPr>
          <w:ilvl w:val="0"/>
          <w:numId w:val="82"/>
        </w:numPr>
        <w:tabs>
          <w:tab w:val="clear" w:pos="567"/>
          <w:tab w:val="clear" w:pos="1134"/>
          <w:tab w:val="clear" w:pos="1701"/>
          <w:tab w:val="clear" w:pos="2268"/>
        </w:tabs>
        <w:spacing w:before="120" w:after="120" w:line="240" w:lineRule="atLeast"/>
        <w:ind w:left="490" w:firstLine="490"/>
        <w:jc w:val="left"/>
        <w:rPr>
          <w:rFonts w:eastAsia="SimSun"/>
          <w:sz w:val="24"/>
          <w:szCs w:val="24"/>
          <w:lang w:val="en-CA"/>
        </w:rPr>
      </w:pPr>
      <w:r w:rsidRPr="000C0842">
        <w:rPr>
          <w:rFonts w:eastAsia="SimSun" w:hint="eastAsia"/>
          <w:sz w:val="24"/>
          <w:szCs w:val="24"/>
          <w:lang w:val="en-CA"/>
        </w:rPr>
        <w:t>酌情</w:t>
      </w:r>
      <w:r w:rsidRPr="000C0842">
        <w:rPr>
          <w:rFonts w:eastAsia="SimSun"/>
          <w:sz w:val="24"/>
          <w:szCs w:val="24"/>
          <w:lang w:val="en-CA"/>
        </w:rPr>
        <w:t>利用和制定风险和影响评估框架（如《外来物种环境影响分类》</w:t>
      </w:r>
      <w:r w:rsidRPr="000C0842">
        <w:rPr>
          <w:rFonts w:eastAsia="SimSun"/>
          <w:sz w:val="24"/>
          <w:szCs w:val="24"/>
          <w:vertAlign w:val="superscript"/>
          <w:lang w:val="en-CA"/>
        </w:rPr>
        <w:footnoteReference w:id="250"/>
      </w:r>
      <w:r w:rsidRPr="000C0842">
        <w:rPr>
          <w:rFonts w:eastAsia="SimSun"/>
          <w:sz w:val="24"/>
          <w:szCs w:val="24"/>
          <w:lang w:val="en-CA"/>
        </w:rPr>
        <w:t>和《外来物种经济社会影响分类》）</w:t>
      </w:r>
      <w:r w:rsidRPr="000C0842">
        <w:rPr>
          <w:rFonts w:eastAsia="SimSun"/>
          <w:sz w:val="24"/>
          <w:szCs w:val="24"/>
          <w:vertAlign w:val="superscript"/>
          <w:lang w:val="en-CA"/>
        </w:rPr>
        <w:footnoteReference w:id="251"/>
      </w:r>
      <w:r w:rsidRPr="000C0842">
        <w:rPr>
          <w:rFonts w:eastAsia="SimSun"/>
          <w:sz w:val="24"/>
          <w:szCs w:val="24"/>
          <w:lang w:val="en-CA"/>
        </w:rPr>
        <w:t>，制定基于科学的政策和确定外来入侵物种管理行动的优先次序</w:t>
      </w:r>
      <w:r w:rsidRPr="000C0842">
        <w:rPr>
          <w:rFonts w:eastAsia="SimSun"/>
          <w:sz w:val="24"/>
          <w:szCs w:val="24"/>
          <w:vertAlign w:val="superscript"/>
          <w:lang w:val="en-CA"/>
        </w:rPr>
        <w:footnoteReference w:id="252"/>
      </w:r>
      <w:r w:rsidRPr="000C0842">
        <w:rPr>
          <w:rFonts w:eastAsia="SimSun"/>
          <w:sz w:val="24"/>
          <w:szCs w:val="24"/>
          <w:lang w:val="en-CA"/>
        </w:rPr>
        <w:t>。</w:t>
      </w:r>
    </w:p>
    <w:p w14:paraId="5539E166" w14:textId="14B5F40B" w:rsidR="005E77FA" w:rsidRPr="000C0842" w:rsidRDefault="005E77FA" w:rsidP="005C17E7">
      <w:pPr>
        <w:tabs>
          <w:tab w:val="clear" w:pos="567"/>
          <w:tab w:val="clear" w:pos="1134"/>
          <w:tab w:val="clear" w:pos="1701"/>
          <w:tab w:val="clear" w:pos="2268"/>
        </w:tabs>
        <w:spacing w:before="240"/>
        <w:ind w:firstLine="490"/>
        <w:jc w:val="left"/>
        <w:rPr>
          <w:rFonts w:eastAsia="SimSun"/>
          <w:b/>
          <w:bCs/>
          <w:sz w:val="24"/>
          <w:szCs w:val="24"/>
          <w:lang w:val="en-GB"/>
        </w:rPr>
      </w:pPr>
      <w:r w:rsidRPr="000C0842">
        <w:rPr>
          <w:rFonts w:eastAsia="SimSun"/>
          <w:b/>
          <w:bCs/>
          <w:sz w:val="24"/>
          <w:szCs w:val="24"/>
          <w:lang w:val="en-CA"/>
        </w:rPr>
        <w:t>附件六</w:t>
      </w:r>
    </w:p>
    <w:p w14:paraId="2888E9A3" w14:textId="77777777" w:rsidR="005E77FA" w:rsidRPr="000C0842" w:rsidRDefault="005E77FA" w:rsidP="005E77FA">
      <w:pPr>
        <w:tabs>
          <w:tab w:val="clear" w:pos="567"/>
          <w:tab w:val="clear" w:pos="1134"/>
          <w:tab w:val="clear" w:pos="1701"/>
          <w:tab w:val="clear" w:pos="2268"/>
        </w:tabs>
        <w:ind w:left="490"/>
        <w:jc w:val="left"/>
        <w:rPr>
          <w:rFonts w:eastAsia="SimSun"/>
          <w:b/>
          <w:bCs/>
          <w:kern w:val="22"/>
          <w:sz w:val="24"/>
          <w:szCs w:val="24"/>
          <w:lang w:val="en-CA"/>
        </w:rPr>
      </w:pPr>
      <w:r w:rsidRPr="000C0842">
        <w:rPr>
          <w:rFonts w:eastAsia="SimSun"/>
          <w:b/>
          <w:bCs/>
          <w:sz w:val="24"/>
          <w:szCs w:val="24"/>
          <w:lang w:val="en-CA"/>
        </w:rPr>
        <w:t>关于外来入侵物种管理的更多建议和技术指导</w:t>
      </w:r>
    </w:p>
    <w:p w14:paraId="2777D50D" w14:textId="77777777" w:rsidR="005E77FA" w:rsidRPr="000C0842" w:rsidRDefault="005E77FA">
      <w:pPr>
        <w:keepNext/>
        <w:numPr>
          <w:ilvl w:val="0"/>
          <w:numId w:val="74"/>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本附件载有对缔约方和利益攸关方的建议和自愿指南，以支持执行《昆明</w:t>
      </w:r>
      <w:r w:rsidRPr="000C0842">
        <w:rPr>
          <w:rFonts w:eastAsia="SimSun"/>
          <w:bCs/>
          <w:sz w:val="24"/>
          <w:szCs w:val="24"/>
          <w:lang w:val="en-CA"/>
        </w:rPr>
        <w:t>-</w:t>
      </w:r>
      <w:r w:rsidRPr="000C0842">
        <w:rPr>
          <w:rFonts w:eastAsia="SimSun"/>
          <w:bCs/>
          <w:sz w:val="24"/>
          <w:szCs w:val="24"/>
          <w:lang w:val="en-CA"/>
        </w:rPr>
        <w:t>蒙特利尔全球生物多样性框架》</w:t>
      </w:r>
      <w:r w:rsidRPr="000C0842">
        <w:rPr>
          <w:rFonts w:eastAsia="SimSun"/>
          <w:sz w:val="24"/>
          <w:szCs w:val="24"/>
          <w:vertAlign w:val="superscript"/>
          <w:lang w:val="en-CA"/>
        </w:rPr>
        <w:footnoteReference w:id="253"/>
      </w:r>
      <w:r w:rsidRPr="000C0842">
        <w:rPr>
          <w:rFonts w:eastAsia="SimSun"/>
          <w:bCs/>
          <w:sz w:val="24"/>
          <w:szCs w:val="24"/>
          <w:lang w:val="en-CA"/>
        </w:rPr>
        <w:t>，特别是其中关于外来入侵物种的行动目标</w:t>
      </w:r>
      <w:r w:rsidRPr="000C0842">
        <w:rPr>
          <w:rFonts w:eastAsia="SimSun"/>
          <w:bCs/>
          <w:sz w:val="24"/>
          <w:szCs w:val="24"/>
          <w:lang w:val="en-CA"/>
        </w:rPr>
        <w:t>6</w:t>
      </w:r>
      <w:r w:rsidRPr="000C0842">
        <w:rPr>
          <w:rFonts w:eastAsia="SimSun"/>
          <w:bCs/>
          <w:sz w:val="24"/>
          <w:szCs w:val="24"/>
          <w:lang w:val="en-CA"/>
        </w:rPr>
        <w:t>以及其他相关的行动目标。</w:t>
      </w:r>
    </w:p>
    <w:p w14:paraId="3B352E76"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本建议并不试图修改《公约》或任何其他国际协定为缔约方规定的现有权利和义务。</w:t>
      </w:r>
    </w:p>
    <w:p w14:paraId="02443D70" w14:textId="77777777" w:rsidR="005E77FA" w:rsidRPr="000C0842" w:rsidRDefault="005E77FA" w:rsidP="005E77FA">
      <w:pPr>
        <w:keepNext/>
        <w:tabs>
          <w:tab w:val="clear" w:pos="567"/>
          <w:tab w:val="clear" w:pos="1134"/>
          <w:tab w:val="clear" w:pos="1701"/>
          <w:tab w:val="clear" w:pos="2268"/>
          <w:tab w:val="num" w:pos="360"/>
        </w:tabs>
        <w:adjustRightInd w:val="0"/>
        <w:snapToGrid w:val="0"/>
        <w:spacing w:before="120" w:after="120" w:line="240" w:lineRule="atLeast"/>
        <w:jc w:val="left"/>
        <w:outlineLvl w:val="0"/>
        <w:rPr>
          <w:rFonts w:eastAsia="SimSun"/>
          <w:b/>
          <w:caps/>
          <w:sz w:val="24"/>
          <w:szCs w:val="24"/>
          <w:lang w:val="en-CA"/>
        </w:rPr>
      </w:pPr>
      <w:r w:rsidRPr="000C0842">
        <w:rPr>
          <w:rFonts w:eastAsia="SimSun"/>
          <w:b/>
          <w:caps/>
          <w:sz w:val="24"/>
          <w:szCs w:val="24"/>
          <w:lang w:val="en-CA"/>
        </w:rPr>
        <w:t>一</w:t>
      </w:r>
      <w:r w:rsidRPr="000C0842">
        <w:rPr>
          <w:rFonts w:eastAsia="SimSun"/>
          <w:b/>
          <w:caps/>
          <w:sz w:val="24"/>
          <w:szCs w:val="24"/>
          <w:lang w:val="en-CA"/>
        </w:rPr>
        <w:t xml:space="preserve">.  </w:t>
      </w:r>
      <w:r w:rsidRPr="000C0842">
        <w:rPr>
          <w:rFonts w:eastAsia="SimSun"/>
          <w:b/>
          <w:caps/>
          <w:sz w:val="24"/>
          <w:szCs w:val="24"/>
          <w:lang w:val="en-CA"/>
        </w:rPr>
        <w:t>利用卫生和植物检疫措施</w:t>
      </w:r>
    </w:p>
    <w:p w14:paraId="0EF599A1"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r w:rsidRPr="000C0842">
        <w:rPr>
          <w:rFonts w:eastAsia="SimSun"/>
          <w:bCs/>
          <w:sz w:val="24"/>
          <w:szCs w:val="24"/>
          <w:lang w:val="en-CA"/>
        </w:rPr>
        <w:t>:</w:t>
      </w:r>
    </w:p>
    <w:p w14:paraId="7F1361D8"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加强相关部委和部门（例如环境卫生、植物检疫和人类健康主管部门）之间的</w:t>
      </w:r>
      <w:r w:rsidRPr="000C0842">
        <w:rPr>
          <w:rFonts w:eastAsia="SimSun" w:hint="eastAsia"/>
          <w:sz w:val="24"/>
          <w:szCs w:val="24"/>
        </w:rPr>
        <w:t>协作</w:t>
      </w:r>
      <w:r w:rsidRPr="000C0842">
        <w:rPr>
          <w:rFonts w:eastAsia="SimSun"/>
          <w:sz w:val="24"/>
          <w:szCs w:val="24"/>
          <w:lang w:val="en-CA"/>
        </w:rPr>
        <w:t>，以实施有助于防止外来入侵物种和潜在外来入侵物种的引进和传播以及疾病</w:t>
      </w:r>
      <w:r w:rsidRPr="000C0842">
        <w:rPr>
          <w:rFonts w:eastAsia="SimSun" w:hint="eastAsia"/>
          <w:sz w:val="24"/>
          <w:szCs w:val="24"/>
          <w:lang w:val="en-CA"/>
        </w:rPr>
        <w:t>溢出</w:t>
      </w:r>
      <w:r w:rsidRPr="000C0842">
        <w:rPr>
          <w:rFonts w:eastAsia="SimSun"/>
          <w:sz w:val="24"/>
          <w:szCs w:val="24"/>
          <w:lang w:val="en-CA"/>
        </w:rPr>
        <w:t>的卫生和植物检疫措施。例如，</w:t>
      </w:r>
      <w:r w:rsidRPr="000C0842">
        <w:rPr>
          <w:rFonts w:eastAsia="SimSun" w:hint="eastAsia"/>
          <w:sz w:val="24"/>
          <w:szCs w:val="24"/>
        </w:rPr>
        <w:t>协作</w:t>
      </w:r>
      <w:r w:rsidRPr="000C0842">
        <w:rPr>
          <w:rFonts w:eastAsia="SimSun"/>
          <w:sz w:val="24"/>
          <w:szCs w:val="24"/>
          <w:lang w:val="en-CA"/>
        </w:rPr>
        <w:t>可以包括确定国家和区域优先事项、完成风险评估、开展监测活动、制定应对计划、共享信息和交流专门知识</w:t>
      </w:r>
      <w:r w:rsidRPr="000C0842">
        <w:rPr>
          <w:rFonts w:eastAsia="SimSun"/>
          <w:sz w:val="24"/>
          <w:szCs w:val="24"/>
          <w:lang w:val="en-CA"/>
        </w:rPr>
        <w:t>;</w:t>
      </w:r>
    </w:p>
    <w:p w14:paraId="259DA0B1"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扩大应用卫生和植物检疫措施不只是适用于农业方面，也为了保护自然环境、生物多样性和人类健康，并根据相关公约的授权，考虑跨部门</w:t>
      </w:r>
      <w:r w:rsidRPr="000C0842">
        <w:rPr>
          <w:rFonts w:eastAsia="SimSun" w:hint="eastAsia"/>
          <w:sz w:val="24"/>
          <w:szCs w:val="24"/>
        </w:rPr>
        <w:t>协作</w:t>
      </w:r>
      <w:r w:rsidRPr="000C0842">
        <w:rPr>
          <w:rFonts w:eastAsia="SimSun"/>
          <w:sz w:val="24"/>
          <w:szCs w:val="24"/>
          <w:lang w:val="en-CA"/>
        </w:rPr>
        <w:t>和技术转让的必要性；</w:t>
      </w:r>
      <w:r w:rsidRPr="000C0842">
        <w:rPr>
          <w:rFonts w:eastAsia="SimSun"/>
          <w:sz w:val="24"/>
          <w:szCs w:val="24"/>
          <w:lang w:val="en-CA"/>
        </w:rPr>
        <w:t xml:space="preserve"> </w:t>
      </w:r>
    </w:p>
    <w:p w14:paraId="2B2A7EA5"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在适当情况下利用在《国际植物保护公约》和世界动物卫生组织之下编制的材料，加强能力并制定国家监管框架和国家生物安全战略，以应对与外来入侵物种和潜在外来入侵物种相关的风险；</w:t>
      </w:r>
    </w:p>
    <w:p w14:paraId="18493957"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通过定期协调和沟通、确定共同优先事项和协调努力，改善区域合作，支持实现</w:t>
      </w:r>
      <w:r w:rsidRPr="000C0842">
        <w:rPr>
          <w:rFonts w:eastAsia="SimSun" w:hint="eastAsia"/>
          <w:bCs/>
          <w:sz w:val="24"/>
          <w:szCs w:val="24"/>
          <w:lang w:val="en-CA"/>
        </w:rPr>
        <w:t>《昆蒙框架》</w:t>
      </w:r>
      <w:r w:rsidRPr="000C0842">
        <w:rPr>
          <w:rFonts w:eastAsia="SimSun"/>
          <w:sz w:val="24"/>
          <w:szCs w:val="24"/>
          <w:lang w:val="en-CA"/>
        </w:rPr>
        <w:t>行动目标</w:t>
      </w:r>
      <w:r w:rsidRPr="000C0842">
        <w:rPr>
          <w:rFonts w:eastAsia="SimSun"/>
          <w:sz w:val="24"/>
          <w:szCs w:val="24"/>
          <w:lang w:val="en-CA"/>
        </w:rPr>
        <w:t>6</w:t>
      </w:r>
      <w:r w:rsidRPr="000C0842">
        <w:rPr>
          <w:rFonts w:eastAsia="SimSun"/>
          <w:sz w:val="24"/>
          <w:szCs w:val="24"/>
          <w:lang w:val="en-CA"/>
        </w:rPr>
        <w:t>。这可以通过《国际植物保护公约》提供支持，利用区域植物保护组织的模式，促进外来入侵物种方面的合作</w:t>
      </w:r>
      <w:r w:rsidRPr="000C0842">
        <w:rPr>
          <w:rFonts w:eastAsia="SimSun"/>
          <w:sz w:val="24"/>
          <w:szCs w:val="24"/>
          <w:lang w:val="en-CA"/>
        </w:rPr>
        <w:t>;</w:t>
      </w:r>
    </w:p>
    <w:p w14:paraId="4C297753"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弥补现有的重大差距，如需要对影响野生物的病原体和外来入侵物种问题给予更多关注和指导，外来入侵物种可能是病原体或寄生虫的</w:t>
      </w:r>
      <w:r w:rsidRPr="000C0842">
        <w:rPr>
          <w:rFonts w:eastAsia="SimSun"/>
          <w:sz w:val="24"/>
          <w:szCs w:val="24"/>
        </w:rPr>
        <w:t>载体</w:t>
      </w:r>
      <w:r w:rsidRPr="000C0842">
        <w:rPr>
          <w:rFonts w:eastAsia="SimSun"/>
          <w:sz w:val="24"/>
          <w:szCs w:val="24"/>
          <w:lang w:val="en-CA"/>
        </w:rPr>
        <w:t>或宿主，也可能是不符合《国际植物保护公约》对检疫性有害生物定义或未列入致病病原体清单或世界动物卫生组织清单的其他生物的载体或宿主（如入侵蚂蚁）；</w:t>
      </w:r>
    </w:p>
    <w:p w14:paraId="6DD3983F" w14:textId="76D551C4"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审议如何按照世界贸易组织《</w:t>
      </w:r>
      <w:r w:rsidRPr="000C0842">
        <w:rPr>
          <w:rFonts w:eastAsia="SimSun" w:hint="eastAsia"/>
          <w:sz w:val="24"/>
          <w:szCs w:val="24"/>
          <w:lang w:val="en-CA"/>
        </w:rPr>
        <w:t>实施</w:t>
      </w:r>
      <w:r w:rsidRPr="000C0842">
        <w:rPr>
          <w:rFonts w:eastAsia="SimSun"/>
          <w:sz w:val="24"/>
          <w:szCs w:val="24"/>
          <w:lang w:val="en-CA"/>
        </w:rPr>
        <w:t>卫生和植物检疫措施的协定》实施各种监管外来入侵物种的方法</w:t>
      </w:r>
      <w:r w:rsidRPr="000C0842">
        <w:rPr>
          <w:rFonts w:eastAsia="SimSun"/>
          <w:sz w:val="24"/>
          <w:szCs w:val="24"/>
          <w:vertAlign w:val="superscript"/>
          <w:lang w:val="en-CA"/>
        </w:rPr>
        <w:footnoteReference w:id="254"/>
      </w:r>
      <w:r w:rsidRPr="000C0842">
        <w:rPr>
          <w:rFonts w:eastAsia="SimSun"/>
          <w:sz w:val="24"/>
          <w:szCs w:val="24"/>
          <w:lang w:val="en-CA"/>
        </w:rPr>
        <w:t>（例如限制、禁止或允许的物种或杂交物种清单），以促进制定更好的监管措施</w:t>
      </w:r>
      <w:r w:rsidRPr="000C0842">
        <w:rPr>
          <w:rFonts w:eastAsia="SimSun"/>
          <w:sz w:val="24"/>
          <w:szCs w:val="24"/>
        </w:rPr>
        <w:t>和</w:t>
      </w:r>
      <w:r w:rsidRPr="000C0842">
        <w:rPr>
          <w:rFonts w:eastAsia="SimSun"/>
          <w:sz w:val="24"/>
          <w:szCs w:val="24"/>
          <w:lang w:val="en-CA"/>
        </w:rPr>
        <w:t>确保透明度</w:t>
      </w:r>
      <w:r w:rsidRPr="000C0842">
        <w:rPr>
          <w:rFonts w:eastAsia="SimSun"/>
          <w:sz w:val="24"/>
          <w:szCs w:val="24"/>
          <w:lang w:val="en-CA"/>
        </w:rPr>
        <w:t>;</w:t>
      </w:r>
    </w:p>
    <w:p w14:paraId="698494B5" w14:textId="77777777" w:rsidR="005E77FA" w:rsidRPr="000C0842" w:rsidRDefault="005E77FA">
      <w:pPr>
        <w:numPr>
          <w:ilvl w:val="0"/>
          <w:numId w:val="75"/>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制定关于国际协定范围之外的外来入侵物种或潜在外来入侵物种</w:t>
      </w:r>
      <w:r w:rsidRPr="000C0842">
        <w:rPr>
          <w:rFonts w:eastAsia="SimSun"/>
          <w:sz w:val="24"/>
          <w:szCs w:val="24"/>
          <w:lang w:val="en-CA"/>
        </w:rPr>
        <w:t xml:space="preserve"> </w:t>
      </w:r>
      <w:r w:rsidRPr="000C0842">
        <w:rPr>
          <w:rFonts w:eastAsia="SimSun"/>
          <w:sz w:val="24"/>
          <w:szCs w:val="24"/>
          <w:lang w:val="en-CA"/>
        </w:rPr>
        <w:t>（例如不受卫生和植物检疫措施管制的物种）</w:t>
      </w:r>
      <w:r w:rsidRPr="000C0842">
        <w:rPr>
          <w:rFonts w:eastAsia="SimSun"/>
          <w:sz w:val="24"/>
          <w:szCs w:val="24"/>
          <w:lang w:val="en-CA"/>
        </w:rPr>
        <w:t xml:space="preserve"> </w:t>
      </w:r>
      <w:r w:rsidRPr="000C0842">
        <w:rPr>
          <w:rFonts w:eastAsia="SimSun"/>
          <w:sz w:val="24"/>
          <w:szCs w:val="24"/>
          <w:lang w:val="en-CA"/>
        </w:rPr>
        <w:t>指南。</w:t>
      </w:r>
    </w:p>
    <w:p w14:paraId="1E49CC48" w14:textId="77777777" w:rsidR="005E77FA" w:rsidRPr="000C0842" w:rsidRDefault="005E77FA" w:rsidP="005E77FA">
      <w:pPr>
        <w:keepNext/>
        <w:tabs>
          <w:tab w:val="clear" w:pos="567"/>
          <w:tab w:val="clear" w:pos="1134"/>
          <w:tab w:val="clear" w:pos="1701"/>
          <w:tab w:val="clear" w:pos="2268"/>
          <w:tab w:val="num" w:pos="360"/>
        </w:tabs>
        <w:adjustRightInd w:val="0"/>
        <w:snapToGrid w:val="0"/>
        <w:spacing w:before="120" w:after="120" w:line="240" w:lineRule="atLeast"/>
        <w:jc w:val="left"/>
        <w:outlineLvl w:val="0"/>
        <w:rPr>
          <w:rFonts w:eastAsia="SimSun"/>
          <w:b/>
          <w:caps/>
          <w:sz w:val="24"/>
          <w:szCs w:val="24"/>
          <w:lang w:val="en-CA"/>
        </w:rPr>
      </w:pPr>
      <w:r w:rsidRPr="000C0842">
        <w:rPr>
          <w:rFonts w:eastAsia="SimSun"/>
          <w:b/>
          <w:caps/>
          <w:sz w:val="24"/>
          <w:szCs w:val="24"/>
          <w:lang w:val="en-CA"/>
        </w:rPr>
        <w:t>二</w:t>
      </w:r>
      <w:r w:rsidRPr="000C0842">
        <w:rPr>
          <w:rFonts w:eastAsia="SimSun"/>
          <w:b/>
          <w:caps/>
          <w:sz w:val="24"/>
          <w:szCs w:val="24"/>
          <w:lang w:val="en-CA"/>
        </w:rPr>
        <w:t xml:space="preserve">.   </w:t>
      </w:r>
      <w:r w:rsidRPr="000C0842">
        <w:rPr>
          <w:rFonts w:eastAsia="SimSun"/>
          <w:b/>
          <w:caps/>
          <w:sz w:val="24"/>
          <w:szCs w:val="24"/>
          <w:lang w:val="en-CA"/>
        </w:rPr>
        <w:t>特定途径的管理措施</w:t>
      </w:r>
    </w:p>
    <w:p w14:paraId="102EA88C"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以下建议涉及的途径</w:t>
      </w:r>
      <w:r w:rsidRPr="000C0842">
        <w:rPr>
          <w:rFonts w:eastAsia="SimSun"/>
          <w:bCs/>
          <w:sz w:val="24"/>
          <w:szCs w:val="24"/>
          <w:vertAlign w:val="superscript"/>
          <w:lang w:val="en-CA"/>
        </w:rPr>
        <w:footnoteReference w:id="255"/>
      </w:r>
      <w:r w:rsidRPr="000C0842">
        <w:rPr>
          <w:rFonts w:eastAsia="SimSun"/>
          <w:bCs/>
          <w:sz w:val="24"/>
          <w:szCs w:val="24"/>
          <w:lang w:val="en-CA"/>
        </w:rPr>
        <w:t>存在需要解决的具体差距和不一致之处（根据</w:t>
      </w:r>
      <w:r w:rsidRPr="000C0842">
        <w:rPr>
          <w:rFonts w:eastAsia="SimSun"/>
          <w:bCs/>
          <w:sz w:val="24"/>
          <w:szCs w:val="24"/>
          <w:lang w:val="en-CA"/>
        </w:rPr>
        <w:t>2006</w:t>
      </w:r>
      <w:r w:rsidRPr="000C0842">
        <w:rPr>
          <w:rFonts w:eastAsia="SimSun"/>
          <w:bCs/>
          <w:sz w:val="24"/>
          <w:szCs w:val="24"/>
          <w:lang w:val="en-CA"/>
        </w:rPr>
        <w:t>年</w:t>
      </w:r>
      <w:r w:rsidRPr="000C0842">
        <w:rPr>
          <w:rFonts w:eastAsia="SimSun"/>
          <w:bCs/>
          <w:sz w:val="24"/>
          <w:szCs w:val="24"/>
          <w:lang w:val="en-CA"/>
        </w:rPr>
        <w:t>3</w:t>
      </w:r>
      <w:r w:rsidRPr="000C0842">
        <w:rPr>
          <w:rFonts w:eastAsia="SimSun"/>
          <w:bCs/>
          <w:sz w:val="24"/>
          <w:szCs w:val="24"/>
          <w:lang w:val="en-CA"/>
        </w:rPr>
        <w:t>月</w:t>
      </w:r>
      <w:r w:rsidRPr="000C0842">
        <w:rPr>
          <w:rFonts w:eastAsia="SimSun"/>
          <w:bCs/>
          <w:sz w:val="24"/>
          <w:szCs w:val="24"/>
          <w:lang w:val="en-CA"/>
        </w:rPr>
        <w:t>31</w:t>
      </w:r>
      <w:r w:rsidRPr="000C0842">
        <w:rPr>
          <w:rFonts w:eastAsia="SimSun"/>
          <w:bCs/>
          <w:sz w:val="24"/>
          <w:szCs w:val="24"/>
          <w:lang w:val="en-CA"/>
        </w:rPr>
        <w:t>日第</w:t>
      </w:r>
      <w:hyperlink r:id="rId168" w:history="1">
        <w:r w:rsidRPr="000C0842">
          <w:rPr>
            <w:rFonts w:eastAsia="SimSun"/>
            <w:sz w:val="24"/>
            <w:szCs w:val="24"/>
            <w:u w:val="single"/>
          </w:rPr>
          <w:t>VIII/27</w:t>
        </w:r>
      </w:hyperlink>
      <w:r w:rsidRPr="000C0842">
        <w:rPr>
          <w:rFonts w:eastAsia="SimSun"/>
          <w:bCs/>
          <w:sz w:val="24"/>
          <w:szCs w:val="24"/>
          <w:lang w:val="en-CA"/>
        </w:rPr>
        <w:t>号决定，第</w:t>
      </w:r>
      <w:r w:rsidRPr="000C0842">
        <w:rPr>
          <w:rFonts w:eastAsia="SimSun"/>
          <w:bCs/>
          <w:sz w:val="24"/>
          <w:szCs w:val="24"/>
          <w:lang w:val="en-CA"/>
        </w:rPr>
        <w:t>16</w:t>
      </w:r>
      <w:r w:rsidRPr="000C0842">
        <w:rPr>
          <w:rFonts w:eastAsia="SimSun"/>
          <w:bCs/>
          <w:sz w:val="24"/>
          <w:szCs w:val="24"/>
          <w:lang w:val="en-CA"/>
        </w:rPr>
        <w:t>、</w:t>
      </w:r>
      <w:r w:rsidRPr="000C0842">
        <w:rPr>
          <w:rFonts w:eastAsia="SimSun"/>
          <w:bCs/>
          <w:sz w:val="24"/>
          <w:szCs w:val="24"/>
          <w:lang w:val="en-CA"/>
        </w:rPr>
        <w:t>29-37</w:t>
      </w:r>
      <w:r w:rsidRPr="000C0842">
        <w:rPr>
          <w:rFonts w:eastAsia="SimSun"/>
          <w:bCs/>
          <w:sz w:val="24"/>
          <w:szCs w:val="24"/>
          <w:lang w:val="en-CA"/>
        </w:rPr>
        <w:t>、</w:t>
      </w:r>
      <w:r w:rsidRPr="000C0842">
        <w:rPr>
          <w:rFonts w:eastAsia="SimSun"/>
          <w:bCs/>
          <w:sz w:val="24"/>
          <w:szCs w:val="24"/>
          <w:lang w:val="en-CA"/>
        </w:rPr>
        <w:t>40-44</w:t>
      </w:r>
      <w:r w:rsidRPr="000C0842">
        <w:rPr>
          <w:rFonts w:eastAsia="SimSun"/>
          <w:bCs/>
          <w:sz w:val="24"/>
          <w:szCs w:val="24"/>
          <w:lang w:val="en-CA"/>
        </w:rPr>
        <w:t>、</w:t>
      </w:r>
      <w:r w:rsidRPr="000C0842">
        <w:rPr>
          <w:rFonts w:eastAsia="SimSun"/>
          <w:bCs/>
          <w:sz w:val="24"/>
          <w:szCs w:val="24"/>
          <w:lang w:val="en-CA"/>
        </w:rPr>
        <w:t>49-51</w:t>
      </w:r>
      <w:r w:rsidRPr="000C0842">
        <w:rPr>
          <w:rFonts w:eastAsia="SimSun"/>
          <w:bCs/>
          <w:sz w:val="24"/>
          <w:szCs w:val="24"/>
          <w:lang w:val="en-CA"/>
        </w:rPr>
        <w:t>、</w:t>
      </w:r>
      <w:r w:rsidRPr="000C0842">
        <w:rPr>
          <w:rFonts w:eastAsia="SimSun"/>
          <w:bCs/>
          <w:sz w:val="24"/>
          <w:szCs w:val="24"/>
          <w:lang w:val="en-CA"/>
        </w:rPr>
        <w:t>58</w:t>
      </w:r>
      <w:r w:rsidRPr="000C0842">
        <w:rPr>
          <w:rFonts w:eastAsia="SimSun"/>
          <w:bCs/>
          <w:sz w:val="24"/>
          <w:szCs w:val="24"/>
          <w:lang w:val="en-CA"/>
        </w:rPr>
        <w:t>和</w:t>
      </w:r>
      <w:r w:rsidRPr="000C0842">
        <w:rPr>
          <w:rFonts w:eastAsia="SimSun"/>
          <w:bCs/>
          <w:sz w:val="24"/>
          <w:szCs w:val="24"/>
          <w:lang w:val="en-CA"/>
        </w:rPr>
        <w:t>59</w:t>
      </w:r>
      <w:r w:rsidRPr="000C0842">
        <w:rPr>
          <w:rFonts w:eastAsia="SimSun"/>
          <w:bCs/>
          <w:sz w:val="24"/>
          <w:szCs w:val="24"/>
          <w:lang w:val="en-CA"/>
        </w:rPr>
        <w:t>段）。</w:t>
      </w:r>
    </w:p>
    <w:p w14:paraId="6904B3C9" w14:textId="77777777" w:rsidR="005E77FA" w:rsidRPr="000C0842" w:rsidRDefault="005E77FA" w:rsidP="005E77FA">
      <w:pPr>
        <w:keepNext/>
        <w:tabs>
          <w:tab w:val="clear" w:pos="567"/>
          <w:tab w:val="clear" w:pos="1134"/>
          <w:tab w:val="clear" w:pos="1701"/>
          <w:tab w:val="clear" w:pos="2268"/>
          <w:tab w:val="num" w:pos="360"/>
        </w:tabs>
        <w:adjustRightInd w:val="0"/>
        <w:snapToGrid w:val="0"/>
        <w:spacing w:before="120" w:after="120" w:line="240" w:lineRule="atLeast"/>
        <w:jc w:val="left"/>
        <w:outlineLvl w:val="1"/>
        <w:rPr>
          <w:rFonts w:eastAsia="SimSun"/>
          <w:b/>
          <w:bCs/>
          <w:sz w:val="24"/>
          <w:szCs w:val="24"/>
          <w:lang w:val="en-CA"/>
        </w:rPr>
      </w:pPr>
      <w:r w:rsidRPr="000C0842">
        <w:rPr>
          <w:rFonts w:eastAsia="SimSun"/>
          <w:b/>
          <w:bCs/>
          <w:sz w:val="24"/>
          <w:szCs w:val="24"/>
          <w:lang w:val="en-CA"/>
        </w:rPr>
        <w:t>A.</w:t>
      </w:r>
      <w:r w:rsidRPr="000C0842">
        <w:rPr>
          <w:rFonts w:eastAsia="SimSun"/>
          <w:b/>
          <w:bCs/>
          <w:sz w:val="24"/>
          <w:szCs w:val="24"/>
          <w:lang w:val="en-CA"/>
        </w:rPr>
        <w:tab/>
      </w:r>
      <w:r w:rsidRPr="000C0842">
        <w:rPr>
          <w:rFonts w:eastAsia="SimSun"/>
          <w:b/>
          <w:bCs/>
          <w:sz w:val="24"/>
          <w:szCs w:val="24"/>
          <w:lang w:val="en-CA"/>
        </w:rPr>
        <w:t>跨流域调水和航道</w:t>
      </w:r>
    </w:p>
    <w:p w14:paraId="7472174F"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p>
    <w:p w14:paraId="57F5241D" w14:textId="77777777" w:rsidR="005E77FA" w:rsidRPr="000C0842" w:rsidRDefault="005E77FA">
      <w:pPr>
        <w:numPr>
          <w:ilvl w:val="0"/>
          <w:numId w:val="76"/>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支持批准和执行适用于所有海上交通的相关国际海事协定和准则（例如《控制和管理船舶压载水和沉积物国际公约》</w:t>
      </w:r>
      <w:r w:rsidRPr="000C0842">
        <w:rPr>
          <w:rFonts w:eastAsia="SimSun"/>
          <w:sz w:val="24"/>
          <w:szCs w:val="24"/>
          <w:vertAlign w:val="superscript"/>
          <w:lang w:val="en-CA"/>
        </w:rPr>
        <w:footnoteReference w:id="256"/>
      </w:r>
      <w:r w:rsidRPr="000C0842">
        <w:rPr>
          <w:rFonts w:eastAsia="SimSun"/>
          <w:sz w:val="24"/>
          <w:szCs w:val="24"/>
          <w:lang w:val="en-CA"/>
        </w:rPr>
        <w:t>和《控制和管理船舶生物污损以尽量减少水生入侵物种转移的准则》</w:t>
      </w:r>
      <w:r w:rsidRPr="000C0842">
        <w:rPr>
          <w:rFonts w:eastAsia="SimSun"/>
          <w:sz w:val="24"/>
          <w:szCs w:val="24"/>
          <w:vertAlign w:val="superscript"/>
          <w:lang w:val="en-CA"/>
        </w:rPr>
        <w:footnoteReference w:id="257"/>
      </w:r>
      <w:r w:rsidRPr="000C0842">
        <w:rPr>
          <w:rFonts w:eastAsia="SimSun"/>
          <w:sz w:val="24"/>
          <w:szCs w:val="24"/>
          <w:lang w:val="en-CA"/>
        </w:rPr>
        <w:t>），以最大限度地减少外来入侵物种和潜在外来入侵物种通过</w:t>
      </w:r>
      <w:r w:rsidRPr="000C0842">
        <w:rPr>
          <w:rFonts w:eastAsia="SimSun"/>
          <w:sz w:val="24"/>
          <w:szCs w:val="24"/>
        </w:rPr>
        <w:t>航运路线</w:t>
      </w:r>
      <w:r w:rsidRPr="000C0842">
        <w:rPr>
          <w:rFonts w:eastAsia="SimSun"/>
          <w:sz w:val="24"/>
          <w:szCs w:val="24"/>
          <w:lang w:val="en-CA"/>
        </w:rPr>
        <w:t>的传播；</w:t>
      </w:r>
    </w:p>
    <w:p w14:paraId="72775475" w14:textId="77777777" w:rsidR="005E77FA" w:rsidRPr="000C0842" w:rsidRDefault="005E77FA">
      <w:pPr>
        <w:numPr>
          <w:ilvl w:val="0"/>
          <w:numId w:val="76"/>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加强区域合作，对与跨流域水道具体相关的外来入侵物种和潜在外来入侵物种进行规划、监测和数据交流，以便建立预警和快速反应系统，研究和采用方法，以减少通过这些渠道发生的新的入侵</w:t>
      </w:r>
      <w:r w:rsidRPr="000C0842">
        <w:rPr>
          <w:rFonts w:eastAsia="SimSun"/>
          <w:sz w:val="24"/>
          <w:szCs w:val="24"/>
          <w:vertAlign w:val="superscript"/>
          <w:lang w:val="en-CA"/>
        </w:rPr>
        <w:footnoteReference w:id="258"/>
      </w:r>
      <w:r w:rsidRPr="000C0842">
        <w:rPr>
          <w:rFonts w:eastAsia="SimSun"/>
          <w:sz w:val="24"/>
          <w:szCs w:val="24"/>
          <w:lang w:val="en-CA"/>
        </w:rPr>
        <w:t>；</w:t>
      </w:r>
    </w:p>
    <w:p w14:paraId="66F00A3B" w14:textId="77777777" w:rsidR="005E77FA" w:rsidRPr="000C0842" w:rsidRDefault="005E77FA">
      <w:pPr>
        <w:numPr>
          <w:ilvl w:val="0"/>
          <w:numId w:val="76"/>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与相关利益攸关方协商，包括在获得其自由、事先和知情同意</w:t>
      </w:r>
      <w:r w:rsidRPr="000C0842">
        <w:rPr>
          <w:rFonts w:eastAsia="SimSun"/>
          <w:sz w:val="24"/>
          <w:szCs w:val="24"/>
          <w:vertAlign w:val="superscript"/>
          <w:lang w:val="en-GB"/>
        </w:rPr>
        <w:footnoteReference w:id="259"/>
      </w:r>
      <w:r w:rsidRPr="000C0842">
        <w:rPr>
          <w:rFonts w:eastAsia="SimSun"/>
          <w:sz w:val="24"/>
          <w:szCs w:val="24"/>
          <w:lang w:val="en-CA"/>
        </w:rPr>
        <w:t>后与土著人民和地方社区以及依赖水道的其他群体（如船民和游艇使用者）协商，在内陆水道和沿海基础设施的规划、开发和管理程序中促进采取措施，防止外来入侵物种的引入、立足和传播。此类措施可包括培训港口国当局和相关利益攸关方进行控制和检查</w:t>
      </w:r>
      <w:r w:rsidRPr="000C0842">
        <w:rPr>
          <w:rFonts w:eastAsia="SimSun"/>
          <w:sz w:val="24"/>
          <w:szCs w:val="24"/>
          <w:lang w:val="en-CA"/>
        </w:rPr>
        <w:t>;</w:t>
      </w:r>
    </w:p>
    <w:p w14:paraId="21C571D8" w14:textId="77777777" w:rsidR="005E77FA" w:rsidRPr="000C0842" w:rsidRDefault="005E77FA">
      <w:pPr>
        <w:numPr>
          <w:ilvl w:val="0"/>
          <w:numId w:val="76"/>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要求进行影响评估，确保在调水方案和运河项目中考虑到外来入侵物种和潜在外来入侵物种的因素，并为制定防止或尽量减少这些物种通过运河和管道引入或传播的方法和机制提供技术咨询</w:t>
      </w:r>
      <w:r w:rsidRPr="000C0842">
        <w:rPr>
          <w:rFonts w:eastAsia="SimSun"/>
          <w:sz w:val="24"/>
          <w:szCs w:val="24"/>
          <w:vertAlign w:val="superscript"/>
          <w:lang w:val="en-CA"/>
        </w:rPr>
        <w:footnoteReference w:id="260"/>
      </w:r>
      <w:r w:rsidRPr="000C0842">
        <w:rPr>
          <w:rFonts w:eastAsia="SimSun"/>
          <w:sz w:val="24"/>
          <w:szCs w:val="24"/>
          <w:lang w:val="en-CA"/>
        </w:rPr>
        <w:t>。</w:t>
      </w:r>
    </w:p>
    <w:p w14:paraId="2EAD4157" w14:textId="77777777" w:rsidR="005E77FA" w:rsidRPr="000C0842" w:rsidRDefault="005E77FA" w:rsidP="005E77FA">
      <w:pPr>
        <w:keepNext/>
        <w:tabs>
          <w:tab w:val="clear" w:pos="567"/>
          <w:tab w:val="clear" w:pos="1134"/>
          <w:tab w:val="clear" w:pos="1701"/>
          <w:tab w:val="clear" w:pos="2268"/>
          <w:tab w:val="num" w:pos="360"/>
        </w:tabs>
        <w:adjustRightInd w:val="0"/>
        <w:snapToGrid w:val="0"/>
        <w:spacing w:before="120" w:after="120" w:line="240" w:lineRule="atLeast"/>
        <w:jc w:val="left"/>
        <w:outlineLvl w:val="1"/>
        <w:rPr>
          <w:rFonts w:eastAsia="SimSun"/>
          <w:b/>
          <w:bCs/>
          <w:sz w:val="24"/>
          <w:szCs w:val="24"/>
          <w:lang w:val="en-CA"/>
        </w:rPr>
      </w:pPr>
      <w:r w:rsidRPr="000C0842">
        <w:rPr>
          <w:rFonts w:eastAsia="SimSun"/>
          <w:b/>
          <w:bCs/>
          <w:sz w:val="24"/>
          <w:szCs w:val="24"/>
          <w:lang w:val="en-CA"/>
        </w:rPr>
        <w:t>B.</w:t>
      </w:r>
      <w:r w:rsidRPr="000C0842">
        <w:rPr>
          <w:rFonts w:eastAsia="SimSun"/>
          <w:b/>
          <w:bCs/>
          <w:sz w:val="24"/>
          <w:szCs w:val="24"/>
          <w:lang w:val="en-CA"/>
        </w:rPr>
        <w:tab/>
      </w:r>
      <w:r w:rsidRPr="000C0842">
        <w:rPr>
          <w:rFonts w:eastAsia="SimSun"/>
          <w:b/>
          <w:bCs/>
          <w:sz w:val="24"/>
          <w:szCs w:val="24"/>
          <w:lang w:val="en-CA"/>
        </w:rPr>
        <w:t>海运集装箱和货物</w:t>
      </w:r>
    </w:p>
    <w:p w14:paraId="47B0603A"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p>
    <w:p w14:paraId="54685EB2" w14:textId="77777777" w:rsidR="005E77FA" w:rsidRPr="000C0842" w:rsidRDefault="005E77FA">
      <w:pPr>
        <w:numPr>
          <w:ilvl w:val="0"/>
          <w:numId w:val="77"/>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提高对海运集装箱问题及其在</w:t>
      </w:r>
      <w:r w:rsidRPr="000C0842">
        <w:rPr>
          <w:rFonts w:eastAsia="SimSun" w:hint="eastAsia"/>
          <w:sz w:val="24"/>
          <w:szCs w:val="24"/>
          <w:lang w:val="en-CA"/>
        </w:rPr>
        <w:t>携带</w:t>
      </w:r>
      <w:r w:rsidRPr="000C0842">
        <w:rPr>
          <w:rFonts w:eastAsia="SimSun"/>
          <w:sz w:val="24"/>
          <w:szCs w:val="24"/>
          <w:lang w:val="en-CA"/>
        </w:rPr>
        <w:t>外来物种或外来入侵物种方面的作用的认识，无论这些集装箱装载哪类货物；</w:t>
      </w:r>
    </w:p>
    <w:p w14:paraId="4305B366" w14:textId="77777777" w:rsidR="005E77FA" w:rsidRPr="000C0842" w:rsidRDefault="005E77FA">
      <w:pPr>
        <w:numPr>
          <w:ilvl w:val="0"/>
          <w:numId w:val="77"/>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进一步加强包括《国际植物保护公约》、世界动物卫生组织、国际海事组织和世界海关组织在内的相关组织、企业部门和相关利益攸关方之间的</w:t>
      </w:r>
      <w:r w:rsidRPr="000C0842">
        <w:rPr>
          <w:rFonts w:eastAsia="SimSun" w:hint="eastAsia"/>
          <w:sz w:val="24"/>
          <w:szCs w:val="24"/>
        </w:rPr>
        <w:t>协作</w:t>
      </w:r>
      <w:r w:rsidRPr="000C0842">
        <w:rPr>
          <w:rFonts w:eastAsia="SimSun"/>
          <w:sz w:val="24"/>
          <w:szCs w:val="24"/>
          <w:lang w:val="en-CA"/>
        </w:rPr>
        <w:t>，酌情制定统一的业务标准和指导方针，以应对通过海运集装箱形成的现有和潜在的生物入侵途径（污染物、偷渡者或搭便车者），同时考虑到装货前对海运集装箱的适当处理</w:t>
      </w:r>
      <w:r w:rsidRPr="000C0842">
        <w:rPr>
          <w:rFonts w:eastAsia="SimSun"/>
          <w:sz w:val="24"/>
          <w:szCs w:val="24"/>
          <w:vertAlign w:val="superscript"/>
          <w:lang w:val="en-CA"/>
        </w:rPr>
        <w:footnoteReference w:id="261"/>
      </w:r>
      <w:r w:rsidRPr="000C0842">
        <w:rPr>
          <w:rFonts w:eastAsia="SimSun"/>
          <w:sz w:val="24"/>
          <w:szCs w:val="24"/>
          <w:lang w:val="en-CA"/>
        </w:rPr>
        <w:t>；</w:t>
      </w:r>
    </w:p>
    <w:p w14:paraId="4CC016A3" w14:textId="77777777" w:rsidR="005E77FA" w:rsidRPr="000C0842" w:rsidRDefault="005E77FA">
      <w:pPr>
        <w:numPr>
          <w:ilvl w:val="0"/>
          <w:numId w:val="77"/>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bCs/>
          <w:sz w:val="24"/>
          <w:szCs w:val="24"/>
          <w:lang w:val="en-CA"/>
        </w:rPr>
      </w:pPr>
      <w:r w:rsidRPr="000C0842">
        <w:rPr>
          <w:rFonts w:eastAsia="SimSun"/>
          <w:sz w:val="24"/>
          <w:szCs w:val="24"/>
          <w:lang w:val="en-CA"/>
        </w:rPr>
        <w:t>避免经由海运集装箱引入和传播外来入侵物种和潜在外来入侵物种（根据第</w:t>
      </w:r>
      <w:hyperlink r:id="rId169" w:history="1">
        <w:r w:rsidRPr="000C0842">
          <w:rPr>
            <w:rFonts w:eastAsia="SimSun"/>
            <w:kern w:val="22"/>
            <w:sz w:val="24"/>
            <w:szCs w:val="24"/>
            <w:u w:val="single"/>
          </w:rPr>
          <w:t>XIII/13</w:t>
        </w:r>
      </w:hyperlink>
      <w:r w:rsidRPr="000C0842">
        <w:rPr>
          <w:rFonts w:eastAsia="SimSun"/>
          <w:sz w:val="24"/>
          <w:szCs w:val="24"/>
          <w:lang w:val="en-CA"/>
        </w:rPr>
        <w:t>号决定，第</w:t>
      </w:r>
      <w:r w:rsidRPr="000C0842">
        <w:rPr>
          <w:rFonts w:eastAsia="SimSun"/>
          <w:sz w:val="24"/>
          <w:szCs w:val="24"/>
          <w:lang w:val="en-CA"/>
        </w:rPr>
        <w:t>11</w:t>
      </w:r>
      <w:r w:rsidRPr="000C0842">
        <w:rPr>
          <w:rFonts w:eastAsia="SimSun"/>
          <w:sz w:val="24"/>
          <w:szCs w:val="24"/>
          <w:lang w:val="en-CA"/>
        </w:rPr>
        <w:t>段，第</w:t>
      </w:r>
      <w:hyperlink r:id="rId170" w:history="1">
        <w:r w:rsidRPr="000C0842">
          <w:rPr>
            <w:rFonts w:eastAsia="SimSun"/>
            <w:kern w:val="22"/>
            <w:sz w:val="24"/>
            <w:szCs w:val="24"/>
            <w:u w:val="single"/>
          </w:rPr>
          <w:t>14/11</w:t>
        </w:r>
      </w:hyperlink>
      <w:r w:rsidRPr="000C0842">
        <w:rPr>
          <w:rFonts w:eastAsia="SimSun"/>
          <w:sz w:val="24"/>
          <w:szCs w:val="24"/>
          <w:lang w:val="en-CA"/>
        </w:rPr>
        <w:t>号决定，附件一，第</w:t>
      </w:r>
      <w:r w:rsidRPr="000C0842">
        <w:rPr>
          <w:rFonts w:eastAsia="SimSun"/>
          <w:sz w:val="24"/>
          <w:szCs w:val="24"/>
          <w:lang w:val="en-CA"/>
        </w:rPr>
        <w:t>10</w:t>
      </w:r>
      <w:r w:rsidRPr="000C0842">
        <w:rPr>
          <w:rFonts w:eastAsia="SimSun" w:hint="eastAsia"/>
          <w:sz w:val="24"/>
          <w:szCs w:val="24"/>
          <w:lang w:val="en-CA"/>
        </w:rPr>
        <w:t>段</w:t>
      </w:r>
      <w:r w:rsidRPr="000C0842">
        <w:rPr>
          <w:rFonts w:eastAsia="SimSun"/>
          <w:sz w:val="24"/>
          <w:szCs w:val="24"/>
          <w:lang w:val="en-CA"/>
        </w:rPr>
        <w:t>和第</w:t>
      </w:r>
      <w:r w:rsidRPr="000C0842">
        <w:rPr>
          <w:rFonts w:eastAsia="SimSun"/>
          <w:sz w:val="24"/>
          <w:szCs w:val="24"/>
          <w:lang w:val="en-CA"/>
        </w:rPr>
        <w:t>34–36</w:t>
      </w:r>
      <w:r w:rsidRPr="000C0842">
        <w:rPr>
          <w:rFonts w:eastAsia="SimSun"/>
          <w:sz w:val="24"/>
          <w:szCs w:val="24"/>
          <w:lang w:val="en-CA"/>
        </w:rPr>
        <w:t>段和其他相关国际指南）</w:t>
      </w:r>
      <w:r w:rsidRPr="000C0842">
        <w:rPr>
          <w:rFonts w:eastAsia="SimSun"/>
          <w:sz w:val="24"/>
          <w:szCs w:val="24"/>
          <w:vertAlign w:val="superscript"/>
          <w:lang w:val="en-CA"/>
        </w:rPr>
        <w:t xml:space="preserve"> </w:t>
      </w:r>
      <w:r w:rsidRPr="000C0842">
        <w:rPr>
          <w:rFonts w:eastAsia="SimSun"/>
          <w:sz w:val="24"/>
          <w:szCs w:val="24"/>
          <w:vertAlign w:val="superscript"/>
          <w:lang w:val="en-CA"/>
        </w:rPr>
        <w:footnoteReference w:id="262"/>
      </w:r>
      <w:r w:rsidRPr="000C0842">
        <w:rPr>
          <w:rFonts w:eastAsia="SimSun"/>
          <w:sz w:val="24"/>
          <w:szCs w:val="24"/>
          <w:lang w:val="en-CA"/>
        </w:rPr>
        <w:t>，并确保海运集装箱供应链中的贸易伙伴在承担其保管责任时履行尽职义务，在将集装箱移交给供应链中下一个责任方之前，核实集装箱没有可见的害虫污染。</w:t>
      </w:r>
    </w:p>
    <w:p w14:paraId="0031491B" w14:textId="77777777" w:rsidR="005E77FA" w:rsidRPr="000C0842" w:rsidRDefault="005E77FA" w:rsidP="005E77FA">
      <w:pPr>
        <w:keepNext/>
        <w:tabs>
          <w:tab w:val="clear" w:pos="567"/>
          <w:tab w:val="clear" w:pos="1134"/>
          <w:tab w:val="clear" w:pos="1701"/>
          <w:tab w:val="clear" w:pos="2268"/>
          <w:tab w:val="num" w:pos="360"/>
        </w:tabs>
        <w:spacing w:before="120" w:after="120" w:line="240" w:lineRule="atLeast"/>
        <w:jc w:val="left"/>
        <w:outlineLvl w:val="1"/>
        <w:rPr>
          <w:rFonts w:eastAsia="SimSun"/>
          <w:b/>
          <w:bCs/>
          <w:kern w:val="22"/>
          <w:sz w:val="24"/>
          <w:szCs w:val="24"/>
          <w:lang w:val="en-CA"/>
        </w:rPr>
      </w:pPr>
      <w:r w:rsidRPr="000C0842">
        <w:rPr>
          <w:rFonts w:eastAsia="SimSun"/>
          <w:b/>
          <w:bCs/>
          <w:sz w:val="24"/>
          <w:szCs w:val="24"/>
          <w:lang w:val="en-CA"/>
        </w:rPr>
        <w:t>C.</w:t>
      </w:r>
      <w:r w:rsidRPr="000C0842">
        <w:rPr>
          <w:rFonts w:eastAsia="SimSun"/>
          <w:b/>
          <w:bCs/>
          <w:sz w:val="24"/>
          <w:szCs w:val="24"/>
          <w:lang w:val="en-CA"/>
        </w:rPr>
        <w:tab/>
      </w:r>
      <w:r w:rsidRPr="000C0842">
        <w:rPr>
          <w:rFonts w:eastAsia="SimSun"/>
          <w:b/>
          <w:bCs/>
          <w:sz w:val="24"/>
          <w:szCs w:val="24"/>
          <w:lang w:val="en-CA"/>
        </w:rPr>
        <w:t>海洋生物垢物</w:t>
      </w:r>
    </w:p>
    <w:p w14:paraId="7DCE34C5"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r w:rsidRPr="000C0842">
        <w:rPr>
          <w:rFonts w:eastAsia="SimSun"/>
          <w:bCs/>
          <w:sz w:val="24"/>
          <w:szCs w:val="24"/>
          <w:lang w:val="en-CA"/>
        </w:rPr>
        <w:t>:</w:t>
      </w:r>
    </w:p>
    <w:p w14:paraId="6ACB70F6" w14:textId="77777777" w:rsidR="005E77FA" w:rsidRPr="000C0842" w:rsidRDefault="005E77FA">
      <w:pPr>
        <w:numPr>
          <w:ilvl w:val="0"/>
          <w:numId w:val="78"/>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制定和推广新法规，以防止和解决海上风力发电场、石油平台、港口和海岸防护设施等海洋基础设施的生物污染问题；</w:t>
      </w:r>
    </w:p>
    <w:p w14:paraId="19B97E49" w14:textId="77777777" w:rsidR="005E77FA" w:rsidRPr="000C0842" w:rsidRDefault="005E77FA">
      <w:pPr>
        <w:numPr>
          <w:ilvl w:val="0"/>
          <w:numId w:val="78"/>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就防止外来入侵物种的引入和传播向航运和船舶利益攸关方提供信息和培训（例如，提高对出版物《游艇生物污损管理》中所载建议的认识）</w:t>
      </w:r>
      <w:r w:rsidRPr="000C0842">
        <w:rPr>
          <w:rFonts w:eastAsia="SimSun"/>
          <w:sz w:val="24"/>
          <w:szCs w:val="24"/>
          <w:vertAlign w:val="superscript"/>
          <w:lang w:val="en-CA"/>
        </w:rPr>
        <w:footnoteReference w:id="263"/>
      </w:r>
      <w:r w:rsidRPr="000C0842">
        <w:rPr>
          <w:rFonts w:eastAsia="SimSun"/>
          <w:sz w:val="24"/>
          <w:szCs w:val="24"/>
          <w:lang w:val="en-CA"/>
        </w:rPr>
        <w:t>；</w:t>
      </w:r>
    </w:p>
    <w:p w14:paraId="7C2E862A" w14:textId="77777777" w:rsidR="005E77FA" w:rsidRPr="000C0842" w:rsidRDefault="005E77FA">
      <w:pPr>
        <w:numPr>
          <w:ilvl w:val="0"/>
          <w:numId w:val="78"/>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制定缓解措施和方案，防止引入或传播水生外来入侵物种和潜在外来入侵物种。这些措施尤其重要，因为这类物种一旦立足，几乎不可能根除。</w:t>
      </w:r>
    </w:p>
    <w:p w14:paraId="1FDDFCAF" w14:textId="77777777" w:rsidR="005E77FA" w:rsidRPr="000C0842" w:rsidRDefault="005E77FA" w:rsidP="005E77FA">
      <w:pPr>
        <w:keepNext/>
        <w:tabs>
          <w:tab w:val="clear" w:pos="567"/>
          <w:tab w:val="clear" w:pos="1134"/>
          <w:tab w:val="clear" w:pos="1701"/>
          <w:tab w:val="clear" w:pos="2268"/>
          <w:tab w:val="num" w:pos="360"/>
        </w:tabs>
        <w:spacing w:before="120" w:after="120" w:line="240" w:lineRule="atLeast"/>
        <w:jc w:val="left"/>
        <w:outlineLvl w:val="1"/>
        <w:rPr>
          <w:rFonts w:eastAsia="SimSun"/>
          <w:b/>
          <w:bCs/>
          <w:sz w:val="24"/>
          <w:szCs w:val="24"/>
          <w:lang w:val="en-CA"/>
        </w:rPr>
      </w:pPr>
      <w:r w:rsidRPr="000C0842">
        <w:rPr>
          <w:rFonts w:eastAsia="SimSun"/>
          <w:b/>
          <w:bCs/>
          <w:sz w:val="24"/>
          <w:szCs w:val="24"/>
          <w:lang w:val="en-CA"/>
        </w:rPr>
        <w:t>D</w:t>
      </w:r>
      <w:r w:rsidRPr="000C0842">
        <w:rPr>
          <w:rFonts w:eastAsia="SimSun"/>
          <w:b/>
          <w:bCs/>
          <w:i/>
          <w:iCs/>
          <w:sz w:val="24"/>
          <w:szCs w:val="24"/>
          <w:lang w:val="en-CA"/>
        </w:rPr>
        <w:t>.</w:t>
      </w:r>
      <w:r w:rsidRPr="000C0842">
        <w:rPr>
          <w:rFonts w:eastAsia="SimSun"/>
          <w:b/>
          <w:bCs/>
          <w:i/>
          <w:iCs/>
          <w:sz w:val="24"/>
          <w:szCs w:val="24"/>
          <w:lang w:val="en-CA"/>
        </w:rPr>
        <w:tab/>
      </w:r>
      <w:r w:rsidRPr="000C0842">
        <w:rPr>
          <w:rFonts w:eastAsia="SimSun"/>
          <w:b/>
          <w:bCs/>
          <w:sz w:val="24"/>
          <w:szCs w:val="24"/>
          <w:lang w:val="en-CA"/>
        </w:rPr>
        <w:t>国际发展援助</w:t>
      </w:r>
    </w:p>
    <w:p w14:paraId="22339021"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p>
    <w:p w14:paraId="2F2D1190" w14:textId="77777777" w:rsidR="005E77FA" w:rsidRPr="000C0842" w:rsidRDefault="005E77FA">
      <w:pPr>
        <w:numPr>
          <w:ilvl w:val="0"/>
          <w:numId w:val="7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i/>
          <w:sz w:val="24"/>
          <w:szCs w:val="24"/>
          <w:lang w:val="en-CA"/>
        </w:rPr>
      </w:pPr>
      <w:r w:rsidRPr="000C0842">
        <w:rPr>
          <w:rFonts w:eastAsia="SimSun"/>
          <w:sz w:val="24"/>
          <w:szCs w:val="24"/>
          <w:lang w:val="en-CA"/>
        </w:rPr>
        <w:t>与国际援助方案</w:t>
      </w:r>
      <w:r w:rsidRPr="000C0842">
        <w:rPr>
          <w:rFonts w:eastAsia="SimSun" w:hint="eastAsia"/>
          <w:sz w:val="24"/>
          <w:szCs w:val="24"/>
          <w:lang w:val="en-CA"/>
        </w:rPr>
        <w:t>一道</w:t>
      </w:r>
      <w:r w:rsidRPr="000C0842">
        <w:rPr>
          <w:rFonts w:eastAsia="SimSun"/>
          <w:sz w:val="24"/>
          <w:szCs w:val="24"/>
          <w:lang w:val="en-CA"/>
        </w:rPr>
        <w:t>支持发展中国家进行能力建设、资源调动和信息共享，以评估和管理引入外来入侵物种的风险。发达国家可以在促进这一进程中发挥关键作用；</w:t>
      </w:r>
    </w:p>
    <w:p w14:paraId="6F079767" w14:textId="77777777" w:rsidR="005E77FA" w:rsidRPr="000C0842" w:rsidRDefault="005E77FA">
      <w:pPr>
        <w:numPr>
          <w:ilvl w:val="0"/>
          <w:numId w:val="79"/>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i/>
          <w:sz w:val="24"/>
          <w:szCs w:val="24"/>
          <w:lang w:val="en-CA"/>
        </w:rPr>
      </w:pPr>
      <w:r w:rsidRPr="000C0842">
        <w:rPr>
          <w:rFonts w:eastAsia="SimSun"/>
          <w:sz w:val="24"/>
          <w:szCs w:val="24"/>
          <w:lang w:val="en-CA"/>
        </w:rPr>
        <w:t>帮助确保援助机构在其倡议、项目、方案和协议中考虑到程序或行为守则，以最大限度地减少或避免引入和传播外来入侵物种和潜在外来入侵物种。</w:t>
      </w:r>
    </w:p>
    <w:p w14:paraId="11483F4F" w14:textId="77777777" w:rsidR="005E77FA" w:rsidRPr="000C0842" w:rsidRDefault="005E77FA" w:rsidP="005E77FA">
      <w:pPr>
        <w:keepNext/>
        <w:tabs>
          <w:tab w:val="clear" w:pos="567"/>
          <w:tab w:val="clear" w:pos="1134"/>
          <w:tab w:val="clear" w:pos="1701"/>
          <w:tab w:val="clear" w:pos="2268"/>
          <w:tab w:val="num" w:pos="360"/>
        </w:tabs>
        <w:spacing w:before="120" w:after="120" w:line="240" w:lineRule="atLeast"/>
        <w:jc w:val="left"/>
        <w:outlineLvl w:val="1"/>
        <w:rPr>
          <w:rFonts w:eastAsia="SimSun"/>
          <w:b/>
          <w:bCs/>
          <w:sz w:val="24"/>
          <w:szCs w:val="24"/>
          <w:lang w:val="en-CA"/>
        </w:rPr>
      </w:pPr>
      <w:r w:rsidRPr="000C0842">
        <w:rPr>
          <w:rFonts w:eastAsia="SimSun"/>
          <w:b/>
          <w:bCs/>
          <w:sz w:val="24"/>
          <w:szCs w:val="24"/>
          <w:lang w:val="en-CA"/>
        </w:rPr>
        <w:t>E.</w:t>
      </w:r>
      <w:r w:rsidRPr="000C0842">
        <w:rPr>
          <w:rFonts w:eastAsia="SimSun"/>
          <w:b/>
          <w:bCs/>
          <w:sz w:val="24"/>
          <w:szCs w:val="24"/>
          <w:lang w:val="en-CA"/>
        </w:rPr>
        <w:tab/>
      </w:r>
      <w:r w:rsidRPr="000C0842">
        <w:rPr>
          <w:rFonts w:eastAsia="SimSun"/>
          <w:b/>
          <w:bCs/>
          <w:sz w:val="24"/>
          <w:szCs w:val="24"/>
          <w:lang w:val="en-CA"/>
        </w:rPr>
        <w:t>紧急救济、援助和反应</w:t>
      </w:r>
    </w:p>
    <w:p w14:paraId="1BB17AF7" w14:textId="77777777" w:rsidR="005E77FA" w:rsidRPr="000C0842" w:rsidRDefault="005E77FA" w:rsidP="005E77FA">
      <w:pPr>
        <w:keepNext/>
        <w:numPr>
          <w:ilvl w:val="0"/>
          <w:numId w:val="1"/>
        </w:numPr>
        <w:tabs>
          <w:tab w:val="clear" w:pos="567"/>
          <w:tab w:val="clear" w:pos="1134"/>
          <w:tab w:val="clear" w:pos="1701"/>
          <w:tab w:val="clear" w:pos="2268"/>
        </w:tabs>
        <w:spacing w:before="120" w:after="120" w:line="240" w:lineRule="atLeast"/>
        <w:ind w:left="490" w:firstLine="0"/>
        <w:jc w:val="left"/>
        <w:rPr>
          <w:rFonts w:eastAsia="SimSun"/>
          <w:bCs/>
          <w:sz w:val="24"/>
          <w:szCs w:val="24"/>
          <w:lang w:val="en-CA"/>
        </w:rPr>
      </w:pPr>
      <w:r w:rsidRPr="000C0842">
        <w:rPr>
          <w:rFonts w:eastAsia="SimSun"/>
          <w:bCs/>
          <w:sz w:val="24"/>
          <w:szCs w:val="24"/>
          <w:lang w:val="en-CA"/>
        </w:rPr>
        <w:t>建议缔约方、组织和利益攸关方酌情采取以下行动：</w:t>
      </w:r>
    </w:p>
    <w:p w14:paraId="02C7113A" w14:textId="77777777" w:rsidR="005E77FA" w:rsidRPr="000C0842" w:rsidRDefault="005E77FA">
      <w:pPr>
        <w:numPr>
          <w:ilvl w:val="0"/>
          <w:numId w:val="73"/>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记录受援国各大部门外来入侵物种的案例；</w:t>
      </w:r>
    </w:p>
    <w:p w14:paraId="29EC9A17" w14:textId="77777777" w:rsidR="005E77FA" w:rsidRPr="000C0842" w:rsidRDefault="005E77FA">
      <w:pPr>
        <w:numPr>
          <w:ilvl w:val="0"/>
          <w:numId w:val="73"/>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将引入和传播外来入侵物种和潜在外来入侵物种的风险纳入应急反应战略、协议和行为守则，并鼓励相关行为</w:t>
      </w:r>
      <w:r w:rsidRPr="000C0842">
        <w:rPr>
          <w:rFonts w:eastAsia="SimSun" w:hint="eastAsia"/>
          <w:sz w:val="24"/>
          <w:szCs w:val="24"/>
          <w:lang w:val="en-CA"/>
        </w:rPr>
        <w:t>体</w:t>
      </w:r>
      <w:r w:rsidRPr="000C0842">
        <w:rPr>
          <w:rFonts w:eastAsia="SimSun"/>
          <w:sz w:val="24"/>
          <w:szCs w:val="24"/>
          <w:lang w:val="en-CA"/>
        </w:rPr>
        <w:t>遵循建议，以防止和最大限度减少此类物种引入和传播到新的地区（根据第</w:t>
      </w:r>
      <w:hyperlink r:id="rId171" w:history="1">
        <w:r w:rsidRPr="000C0842">
          <w:rPr>
            <w:rFonts w:eastAsia="SimSun"/>
            <w:sz w:val="24"/>
            <w:szCs w:val="24"/>
            <w:u w:val="single"/>
          </w:rPr>
          <w:t>VIII/27</w:t>
        </w:r>
      </w:hyperlink>
      <w:r w:rsidRPr="000C0842">
        <w:rPr>
          <w:rFonts w:eastAsia="SimSun"/>
          <w:sz w:val="24"/>
          <w:szCs w:val="24"/>
          <w:lang w:val="en-CA"/>
        </w:rPr>
        <w:t>号决定，第</w:t>
      </w:r>
      <w:r w:rsidRPr="000C0842">
        <w:rPr>
          <w:rFonts w:eastAsia="SimSun"/>
          <w:sz w:val="24"/>
          <w:szCs w:val="24"/>
          <w:lang w:val="en-CA"/>
        </w:rPr>
        <w:t>42</w:t>
      </w:r>
      <w:r w:rsidRPr="000C0842">
        <w:rPr>
          <w:rFonts w:eastAsia="SimSun"/>
          <w:sz w:val="24"/>
          <w:szCs w:val="24"/>
          <w:lang w:val="en-CA"/>
        </w:rPr>
        <w:t>段）。为了支持这些行动，可以将突发事件指挥系统等应急管理方法与针对外来入侵物种的快速反应措施联系起来；</w:t>
      </w:r>
      <w:r w:rsidRPr="000C0842">
        <w:rPr>
          <w:rFonts w:eastAsia="SimSun"/>
          <w:sz w:val="24"/>
          <w:szCs w:val="24"/>
          <w:lang w:val="en-CA"/>
        </w:rPr>
        <w:t xml:space="preserve"> </w:t>
      </w:r>
    </w:p>
    <w:p w14:paraId="74E02ACA" w14:textId="77777777" w:rsidR="005E77FA" w:rsidRPr="000C0842" w:rsidRDefault="005E77FA">
      <w:pPr>
        <w:numPr>
          <w:ilvl w:val="0"/>
          <w:numId w:val="73"/>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i/>
          <w:sz w:val="24"/>
          <w:szCs w:val="24"/>
          <w:lang w:val="en-CA"/>
        </w:rPr>
      </w:pPr>
      <w:r w:rsidRPr="000C0842">
        <w:rPr>
          <w:rFonts w:eastAsia="SimSun" w:hint="eastAsia"/>
          <w:sz w:val="24"/>
          <w:szCs w:val="24"/>
          <w:lang w:val="en-CA"/>
        </w:rPr>
        <w:t>确定</w:t>
      </w:r>
      <w:r w:rsidRPr="000C0842">
        <w:rPr>
          <w:rFonts w:eastAsia="SimSun"/>
          <w:sz w:val="24"/>
          <w:szCs w:val="24"/>
          <w:lang w:val="en-CA"/>
        </w:rPr>
        <w:t>援助提供方和受援方的责任，避免通过援助物质运输和转移中的污染物引入任何外来入侵物种</w:t>
      </w:r>
      <w:r w:rsidRPr="000C0842">
        <w:rPr>
          <w:rFonts w:eastAsia="SimSun"/>
          <w:sz w:val="24"/>
          <w:szCs w:val="24"/>
          <w:vertAlign w:val="superscript"/>
          <w:lang w:val="en-CA"/>
        </w:rPr>
        <w:footnoteReference w:id="264"/>
      </w:r>
      <w:r w:rsidRPr="000C0842">
        <w:rPr>
          <w:rFonts w:eastAsia="SimSun"/>
          <w:sz w:val="24"/>
          <w:szCs w:val="24"/>
          <w:lang w:val="en-CA"/>
        </w:rPr>
        <w:t>。</w:t>
      </w:r>
      <w:r w:rsidRPr="000C0842">
        <w:rPr>
          <w:rFonts w:eastAsia="SimSun"/>
          <w:sz w:val="24"/>
          <w:szCs w:val="24"/>
          <w:lang w:val="en-CA"/>
        </w:rPr>
        <w:t xml:space="preserve"> </w:t>
      </w:r>
    </w:p>
    <w:p w14:paraId="56D66E55" w14:textId="77777777" w:rsidR="005E77FA" w:rsidRPr="000C0842" w:rsidRDefault="005E77FA" w:rsidP="005E77FA">
      <w:pPr>
        <w:keepNext/>
        <w:tabs>
          <w:tab w:val="clear" w:pos="567"/>
          <w:tab w:val="clear" w:pos="1134"/>
          <w:tab w:val="clear" w:pos="1701"/>
          <w:tab w:val="clear" w:pos="2268"/>
          <w:tab w:val="num" w:pos="360"/>
        </w:tabs>
        <w:spacing w:before="120" w:after="120" w:line="240" w:lineRule="atLeast"/>
        <w:jc w:val="left"/>
        <w:outlineLvl w:val="1"/>
        <w:rPr>
          <w:rFonts w:eastAsia="SimSun"/>
          <w:b/>
          <w:bCs/>
          <w:sz w:val="24"/>
          <w:szCs w:val="24"/>
          <w:lang w:val="en-CA"/>
        </w:rPr>
      </w:pPr>
      <w:r w:rsidRPr="000C0842">
        <w:rPr>
          <w:rFonts w:eastAsia="SimSun"/>
          <w:b/>
          <w:bCs/>
          <w:sz w:val="24"/>
          <w:szCs w:val="24"/>
          <w:lang w:val="en-CA"/>
        </w:rPr>
        <w:t>F.</w:t>
      </w:r>
      <w:r w:rsidRPr="000C0842">
        <w:rPr>
          <w:rFonts w:eastAsia="SimSun"/>
          <w:b/>
          <w:bCs/>
          <w:sz w:val="24"/>
          <w:szCs w:val="24"/>
          <w:lang w:val="en-CA"/>
        </w:rPr>
        <w:tab/>
      </w:r>
      <w:r w:rsidRPr="000C0842">
        <w:rPr>
          <w:rFonts w:eastAsia="SimSun"/>
          <w:b/>
          <w:bCs/>
          <w:sz w:val="24"/>
          <w:szCs w:val="24"/>
          <w:lang w:val="en-CA"/>
        </w:rPr>
        <w:t>民用航空运输</w:t>
      </w:r>
    </w:p>
    <w:p w14:paraId="7B53A2E5" w14:textId="77777777" w:rsidR="005E77FA" w:rsidRPr="000C0842" w:rsidRDefault="005E77FA" w:rsidP="005E77FA">
      <w:pPr>
        <w:keepNext/>
        <w:tabs>
          <w:tab w:val="clear" w:pos="567"/>
          <w:tab w:val="clear" w:pos="1134"/>
          <w:tab w:val="clear" w:pos="1701"/>
          <w:tab w:val="clear" w:pos="2268"/>
        </w:tabs>
        <w:spacing w:before="120" w:after="120" w:line="240" w:lineRule="atLeast"/>
        <w:ind w:left="490"/>
        <w:jc w:val="left"/>
        <w:rPr>
          <w:rFonts w:eastAsia="SimSun"/>
          <w:bCs/>
          <w:sz w:val="24"/>
          <w:szCs w:val="24"/>
          <w:lang w:val="en-CA"/>
        </w:rPr>
      </w:pPr>
      <w:r w:rsidRPr="000C0842">
        <w:rPr>
          <w:rFonts w:eastAsia="SimSun"/>
          <w:bCs/>
          <w:sz w:val="24"/>
          <w:szCs w:val="24"/>
          <w:lang w:val="en-CA"/>
        </w:rPr>
        <w:t>10.</w:t>
      </w:r>
      <w:r w:rsidRPr="000C0842">
        <w:rPr>
          <w:rFonts w:eastAsia="SimSun"/>
          <w:bCs/>
          <w:sz w:val="24"/>
          <w:szCs w:val="24"/>
          <w:lang w:val="en-CA"/>
        </w:rPr>
        <w:tab/>
      </w:r>
      <w:r w:rsidRPr="000C0842">
        <w:rPr>
          <w:rFonts w:eastAsia="SimSun"/>
          <w:bCs/>
          <w:sz w:val="24"/>
          <w:szCs w:val="24"/>
          <w:lang w:val="en-CA"/>
        </w:rPr>
        <w:t>建议缔约方、组织和利益攸关方酌情采取以下行动：</w:t>
      </w:r>
    </w:p>
    <w:p w14:paraId="529D1A3C" w14:textId="77777777" w:rsidR="005E77FA" w:rsidRPr="000C0842" w:rsidRDefault="005E77FA">
      <w:pPr>
        <w:numPr>
          <w:ilvl w:val="0"/>
          <w:numId w:val="87"/>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让各级相关部门参与制定标准，防止搭便车或偷渡物种通过空运抵达</w:t>
      </w:r>
      <w:r w:rsidRPr="000C0842">
        <w:rPr>
          <w:rFonts w:eastAsia="SimSun"/>
          <w:sz w:val="24"/>
          <w:szCs w:val="24"/>
          <w:vertAlign w:val="superscript"/>
          <w:lang w:val="en-CA"/>
        </w:rPr>
        <w:footnoteReference w:id="265"/>
      </w:r>
      <w:r w:rsidRPr="000C0842">
        <w:rPr>
          <w:rFonts w:eastAsia="SimSun"/>
          <w:sz w:val="24"/>
          <w:szCs w:val="24"/>
          <w:lang w:val="en-CA"/>
        </w:rPr>
        <w:t>；</w:t>
      </w:r>
    </w:p>
    <w:p w14:paraId="70045120" w14:textId="77777777" w:rsidR="005E77FA" w:rsidRPr="000C0842" w:rsidRDefault="005E77FA">
      <w:pPr>
        <w:numPr>
          <w:ilvl w:val="0"/>
          <w:numId w:val="87"/>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i/>
          <w:sz w:val="24"/>
          <w:szCs w:val="24"/>
          <w:lang w:val="en-CA"/>
        </w:rPr>
      </w:pPr>
      <w:r w:rsidRPr="000C0842">
        <w:rPr>
          <w:rFonts w:eastAsia="SimSun"/>
          <w:sz w:val="24"/>
          <w:szCs w:val="24"/>
          <w:lang w:val="en-CA"/>
        </w:rPr>
        <w:t>加强包括《国际植物保护公约》、世界动物卫生组织、国际民用航空组织（民航组织）、世界海关组织和国际航空运输协会在内的相关组织之间的</w:t>
      </w:r>
      <w:r w:rsidRPr="000C0842">
        <w:rPr>
          <w:rFonts w:eastAsia="SimSun" w:hint="eastAsia"/>
          <w:sz w:val="24"/>
          <w:szCs w:val="24"/>
        </w:rPr>
        <w:t>协作</w:t>
      </w:r>
      <w:r w:rsidRPr="000C0842">
        <w:rPr>
          <w:rFonts w:eastAsia="SimSun"/>
          <w:sz w:val="24"/>
          <w:szCs w:val="24"/>
          <w:lang w:val="en-CA"/>
        </w:rPr>
        <w:t>，以根据国际民航组织大会第</w:t>
      </w:r>
      <w:r w:rsidRPr="000C0842">
        <w:rPr>
          <w:rFonts w:eastAsia="SimSun"/>
          <w:sz w:val="24"/>
          <w:szCs w:val="24"/>
          <w:lang w:val="en-CA"/>
        </w:rPr>
        <w:t>A36-21</w:t>
      </w:r>
      <w:r w:rsidRPr="000C0842">
        <w:rPr>
          <w:rFonts w:eastAsia="SimSun"/>
          <w:sz w:val="24"/>
          <w:szCs w:val="24"/>
          <w:lang w:val="en-CA"/>
        </w:rPr>
        <w:t>号决议制定统一的航空货运业务标准。</w:t>
      </w:r>
    </w:p>
    <w:p w14:paraId="70A936F4" w14:textId="77777777" w:rsidR="005E77FA" w:rsidRPr="000C0842" w:rsidRDefault="005E77FA" w:rsidP="005E77FA">
      <w:pPr>
        <w:keepNext/>
        <w:tabs>
          <w:tab w:val="clear" w:pos="567"/>
          <w:tab w:val="clear" w:pos="1134"/>
          <w:tab w:val="clear" w:pos="1701"/>
          <w:tab w:val="clear" w:pos="2268"/>
          <w:tab w:val="num" w:pos="360"/>
        </w:tabs>
        <w:spacing w:before="120" w:after="120" w:line="240" w:lineRule="atLeast"/>
        <w:jc w:val="left"/>
        <w:outlineLvl w:val="1"/>
        <w:rPr>
          <w:rFonts w:eastAsia="SimSun"/>
          <w:b/>
          <w:bCs/>
          <w:sz w:val="24"/>
          <w:szCs w:val="24"/>
          <w:lang w:val="en-CA"/>
        </w:rPr>
      </w:pPr>
      <w:r w:rsidRPr="000C0842">
        <w:rPr>
          <w:rFonts w:eastAsia="SimSun"/>
          <w:b/>
          <w:bCs/>
          <w:sz w:val="24"/>
          <w:szCs w:val="24"/>
          <w:lang w:val="en-CA"/>
        </w:rPr>
        <w:t>G.</w:t>
      </w:r>
      <w:r w:rsidRPr="000C0842">
        <w:rPr>
          <w:rFonts w:eastAsia="SimSun"/>
          <w:b/>
          <w:bCs/>
          <w:sz w:val="24"/>
          <w:szCs w:val="24"/>
          <w:lang w:val="en-CA"/>
        </w:rPr>
        <w:tab/>
      </w:r>
      <w:r w:rsidRPr="000C0842">
        <w:rPr>
          <w:rFonts w:eastAsia="SimSun"/>
          <w:b/>
          <w:bCs/>
          <w:sz w:val="24"/>
          <w:szCs w:val="24"/>
          <w:lang w:val="en-CA"/>
        </w:rPr>
        <w:t>旅游业</w:t>
      </w:r>
    </w:p>
    <w:p w14:paraId="26AE1213" w14:textId="77777777" w:rsidR="005E77FA" w:rsidRPr="000C0842" w:rsidRDefault="005E77FA" w:rsidP="005E77FA">
      <w:pPr>
        <w:keepNext/>
        <w:tabs>
          <w:tab w:val="clear" w:pos="567"/>
          <w:tab w:val="clear" w:pos="1134"/>
          <w:tab w:val="clear" w:pos="1701"/>
          <w:tab w:val="clear" w:pos="2268"/>
        </w:tabs>
        <w:spacing w:before="120" w:after="120" w:line="240" w:lineRule="atLeast"/>
        <w:ind w:left="490"/>
        <w:jc w:val="left"/>
        <w:rPr>
          <w:rFonts w:eastAsia="SimSun"/>
          <w:bCs/>
          <w:sz w:val="24"/>
          <w:szCs w:val="24"/>
          <w:lang w:val="en-CA"/>
        </w:rPr>
      </w:pPr>
      <w:r w:rsidRPr="000C0842">
        <w:rPr>
          <w:rFonts w:eastAsia="SimSun"/>
          <w:bCs/>
          <w:sz w:val="24"/>
          <w:szCs w:val="24"/>
          <w:lang w:val="en-CA"/>
        </w:rPr>
        <w:t>11.</w:t>
      </w:r>
      <w:r w:rsidRPr="000C0842">
        <w:rPr>
          <w:rFonts w:eastAsia="SimSun"/>
          <w:bCs/>
          <w:sz w:val="24"/>
          <w:szCs w:val="24"/>
          <w:lang w:val="en-CA"/>
        </w:rPr>
        <w:tab/>
      </w:r>
      <w:r w:rsidRPr="000C0842">
        <w:rPr>
          <w:rFonts w:eastAsia="SimSun"/>
          <w:bCs/>
          <w:sz w:val="24"/>
          <w:szCs w:val="24"/>
          <w:lang w:val="en-CA"/>
        </w:rPr>
        <w:t>建议缔约方、组织和利益攸关方酌情采取以下行动：</w:t>
      </w:r>
    </w:p>
    <w:p w14:paraId="7EF817E0" w14:textId="77777777" w:rsidR="005E77FA" w:rsidRPr="000C0842" w:rsidRDefault="005E77FA">
      <w:pPr>
        <w:numPr>
          <w:ilvl w:val="0"/>
          <w:numId w:val="80"/>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避免通过运输活生物体引入和传播外来入侵物种（根据第</w:t>
      </w:r>
      <w:hyperlink r:id="rId172" w:history="1">
        <w:r w:rsidRPr="000C0842">
          <w:rPr>
            <w:rFonts w:eastAsia="SimSun"/>
            <w:sz w:val="24"/>
            <w:szCs w:val="24"/>
            <w:u w:val="single"/>
            <w:lang w:val="en-CA"/>
          </w:rPr>
          <w:t>XII/16</w:t>
        </w:r>
      </w:hyperlink>
      <w:r w:rsidRPr="000C0842">
        <w:rPr>
          <w:rFonts w:eastAsia="SimSun"/>
          <w:sz w:val="24"/>
          <w:szCs w:val="24"/>
          <w:lang w:val="en-CA"/>
        </w:rPr>
        <w:t>号决定附件第</w:t>
      </w:r>
      <w:r w:rsidRPr="000C0842">
        <w:rPr>
          <w:rFonts w:eastAsia="SimSun"/>
          <w:sz w:val="24"/>
          <w:szCs w:val="24"/>
          <w:lang w:val="en-CA"/>
        </w:rPr>
        <w:t>9</w:t>
      </w:r>
      <w:r w:rsidRPr="000C0842">
        <w:rPr>
          <w:rFonts w:eastAsia="SimSun"/>
          <w:sz w:val="24"/>
          <w:szCs w:val="24"/>
          <w:lang w:val="en-CA"/>
        </w:rPr>
        <w:t>段和第</w:t>
      </w:r>
      <w:hyperlink r:id="rId173" w:history="1">
        <w:r w:rsidRPr="000C0842">
          <w:rPr>
            <w:rFonts w:eastAsia="SimSun"/>
            <w:sz w:val="24"/>
            <w:szCs w:val="24"/>
            <w:u w:val="single"/>
            <w:lang w:val="en-CA"/>
          </w:rPr>
          <w:t>14/11</w:t>
        </w:r>
      </w:hyperlink>
      <w:r w:rsidRPr="000C0842">
        <w:rPr>
          <w:rFonts w:eastAsia="SimSun"/>
          <w:sz w:val="24"/>
          <w:szCs w:val="24"/>
          <w:lang w:val="en-CA"/>
        </w:rPr>
        <w:t>号决定第</w:t>
      </w:r>
      <w:r w:rsidRPr="000C0842">
        <w:rPr>
          <w:rFonts w:eastAsia="SimSun"/>
          <w:sz w:val="24"/>
          <w:szCs w:val="24"/>
          <w:lang w:val="en-CA"/>
        </w:rPr>
        <w:t>11</w:t>
      </w:r>
      <w:r w:rsidRPr="000C0842">
        <w:rPr>
          <w:rFonts w:eastAsia="SimSun"/>
          <w:sz w:val="24"/>
          <w:szCs w:val="24"/>
          <w:lang w:val="en-CA"/>
        </w:rPr>
        <w:t>（</w:t>
      </w:r>
      <w:r w:rsidRPr="000C0842">
        <w:rPr>
          <w:rFonts w:eastAsia="SimSun"/>
          <w:sz w:val="24"/>
          <w:szCs w:val="24"/>
          <w:lang w:val="en-CA"/>
        </w:rPr>
        <w:t>c</w:t>
      </w:r>
      <w:r w:rsidRPr="000C0842">
        <w:rPr>
          <w:rFonts w:eastAsia="SimSun"/>
          <w:sz w:val="24"/>
          <w:szCs w:val="24"/>
          <w:lang w:val="en-CA"/>
        </w:rPr>
        <w:t>）段中的指导意见）；</w:t>
      </w:r>
    </w:p>
    <w:p w14:paraId="0EB8D654" w14:textId="77777777" w:rsidR="005E77FA" w:rsidRPr="000C0842" w:rsidRDefault="005E77FA">
      <w:pPr>
        <w:numPr>
          <w:ilvl w:val="0"/>
          <w:numId w:val="80"/>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b/>
          <w:i/>
          <w:sz w:val="24"/>
          <w:szCs w:val="24"/>
          <w:lang w:val="en-CA"/>
        </w:rPr>
      </w:pPr>
      <w:r w:rsidRPr="000C0842">
        <w:rPr>
          <w:rFonts w:eastAsia="SimSun"/>
          <w:sz w:val="24"/>
          <w:szCs w:val="24"/>
          <w:lang w:val="en-CA"/>
        </w:rPr>
        <w:t>与各级政府的旅行、旅游经营者和旅游协会</w:t>
      </w:r>
      <w:r w:rsidRPr="000C0842">
        <w:rPr>
          <w:rFonts w:eastAsia="SimSun" w:hint="eastAsia"/>
          <w:sz w:val="24"/>
          <w:szCs w:val="24"/>
          <w:lang w:val="en-CA"/>
        </w:rPr>
        <w:t>协作</w:t>
      </w:r>
      <w:r w:rsidRPr="000C0842">
        <w:rPr>
          <w:rFonts w:eastAsia="SimSun"/>
          <w:sz w:val="24"/>
          <w:szCs w:val="24"/>
          <w:lang w:val="en-CA"/>
        </w:rPr>
        <w:t>，（一）制定宣传方案和准则</w:t>
      </w:r>
      <w:r w:rsidRPr="000C0842">
        <w:rPr>
          <w:rFonts w:eastAsia="SimSun"/>
          <w:sz w:val="24"/>
          <w:szCs w:val="24"/>
          <w:vertAlign w:val="superscript"/>
          <w:lang w:val="en-CA"/>
        </w:rPr>
        <w:footnoteReference w:id="266"/>
      </w:r>
      <w:r w:rsidRPr="000C0842">
        <w:rPr>
          <w:rFonts w:eastAsia="SimSun"/>
          <w:sz w:val="24"/>
          <w:szCs w:val="24"/>
          <w:lang w:val="en-CA"/>
        </w:rPr>
        <w:t>，</w:t>
      </w:r>
      <w:r w:rsidRPr="000C0842">
        <w:rPr>
          <w:rFonts w:eastAsia="SimSun"/>
          <w:spacing w:val="8"/>
          <w:sz w:val="24"/>
          <w:szCs w:val="24"/>
          <w:lang w:val="en-CA"/>
        </w:rPr>
        <w:t>将外来入侵物种构成的风险告知游客、旅游机构、土著人民和地方社区、决策者、保护区管理者和海关当局等方面；（二）</w:t>
      </w:r>
      <w:r w:rsidRPr="000C0842">
        <w:rPr>
          <w:rFonts w:eastAsia="SimSun" w:hint="eastAsia"/>
          <w:spacing w:val="8"/>
          <w:sz w:val="24"/>
          <w:szCs w:val="24"/>
          <w:lang w:val="en-CA"/>
        </w:rPr>
        <w:t>制定</w:t>
      </w:r>
      <w:r w:rsidRPr="000C0842">
        <w:rPr>
          <w:rFonts w:eastAsia="SimSun"/>
          <w:spacing w:val="8"/>
          <w:sz w:val="24"/>
          <w:szCs w:val="24"/>
          <w:lang w:val="en-CA"/>
        </w:rPr>
        <w:t>将这些风险降至最低点的战</w:t>
      </w:r>
      <w:r w:rsidRPr="000C0842">
        <w:rPr>
          <w:rFonts w:eastAsia="SimSun"/>
          <w:sz w:val="24"/>
          <w:szCs w:val="24"/>
          <w:lang w:val="en-CA"/>
        </w:rPr>
        <w:t>略</w:t>
      </w:r>
      <w:r w:rsidRPr="000C0842">
        <w:rPr>
          <w:rFonts w:eastAsia="SimSun"/>
          <w:sz w:val="24"/>
          <w:szCs w:val="24"/>
          <w:vertAlign w:val="superscript"/>
          <w:lang w:val="en-CA"/>
        </w:rPr>
        <w:footnoteReference w:id="267"/>
      </w:r>
      <w:r w:rsidRPr="000C0842">
        <w:rPr>
          <w:rFonts w:eastAsia="SimSun"/>
          <w:sz w:val="24"/>
          <w:szCs w:val="24"/>
          <w:lang w:val="en-CA"/>
        </w:rPr>
        <w:t>，特别是在岛屿生态系统等重点地带。</w:t>
      </w:r>
    </w:p>
    <w:p w14:paraId="640301FF" w14:textId="77777777" w:rsidR="005E77FA" w:rsidRPr="000C0842" w:rsidRDefault="005E77FA" w:rsidP="005E77FA">
      <w:pPr>
        <w:keepNext/>
        <w:tabs>
          <w:tab w:val="clear" w:pos="567"/>
          <w:tab w:val="clear" w:pos="1134"/>
          <w:tab w:val="clear" w:pos="1701"/>
          <w:tab w:val="clear" w:pos="2268"/>
          <w:tab w:val="num" w:pos="360"/>
        </w:tabs>
        <w:adjustRightInd w:val="0"/>
        <w:snapToGrid w:val="0"/>
        <w:spacing w:before="120" w:after="120" w:line="240" w:lineRule="atLeast"/>
        <w:jc w:val="left"/>
        <w:outlineLvl w:val="0"/>
        <w:rPr>
          <w:rFonts w:eastAsia="SimSun"/>
          <w:b/>
          <w:caps/>
          <w:sz w:val="24"/>
          <w:szCs w:val="24"/>
          <w:lang w:val="en-CA"/>
        </w:rPr>
      </w:pPr>
      <w:r w:rsidRPr="000C0842">
        <w:rPr>
          <w:rFonts w:eastAsia="SimSun"/>
          <w:b/>
          <w:caps/>
          <w:sz w:val="24"/>
          <w:szCs w:val="24"/>
          <w:lang w:val="en-CA"/>
        </w:rPr>
        <w:t>三</w:t>
      </w:r>
      <w:r w:rsidRPr="000C0842">
        <w:rPr>
          <w:rFonts w:eastAsia="SimSun"/>
          <w:b/>
          <w:caps/>
          <w:sz w:val="24"/>
          <w:szCs w:val="24"/>
          <w:lang w:val="en-CA"/>
        </w:rPr>
        <w:t xml:space="preserve">.   </w:t>
      </w:r>
      <w:r w:rsidRPr="000C0842">
        <w:rPr>
          <w:rFonts w:eastAsia="SimSun"/>
          <w:b/>
          <w:caps/>
          <w:sz w:val="24"/>
          <w:szCs w:val="24"/>
          <w:lang w:val="en-CA"/>
        </w:rPr>
        <w:t>能力建设活动</w:t>
      </w:r>
    </w:p>
    <w:p w14:paraId="6270774A" w14:textId="77777777" w:rsidR="005E77FA" w:rsidRPr="000C0842" w:rsidRDefault="005E77FA" w:rsidP="005E77FA">
      <w:pPr>
        <w:keepNext/>
        <w:tabs>
          <w:tab w:val="clear" w:pos="567"/>
          <w:tab w:val="clear" w:pos="1134"/>
          <w:tab w:val="clear" w:pos="1701"/>
          <w:tab w:val="clear" w:pos="2268"/>
        </w:tabs>
        <w:spacing w:before="120" w:after="120" w:line="240" w:lineRule="atLeast"/>
        <w:ind w:left="490"/>
        <w:jc w:val="left"/>
        <w:rPr>
          <w:rFonts w:eastAsia="SimSun"/>
          <w:bCs/>
          <w:sz w:val="24"/>
          <w:szCs w:val="24"/>
          <w:lang w:val="en-CA"/>
        </w:rPr>
      </w:pPr>
      <w:r w:rsidRPr="000C0842">
        <w:rPr>
          <w:rFonts w:eastAsia="SimSun"/>
          <w:bCs/>
          <w:sz w:val="24"/>
          <w:szCs w:val="24"/>
          <w:lang w:val="en-CA"/>
        </w:rPr>
        <w:t>12.</w:t>
      </w:r>
      <w:r w:rsidRPr="000C0842">
        <w:rPr>
          <w:rFonts w:eastAsia="SimSun"/>
          <w:bCs/>
          <w:sz w:val="24"/>
          <w:szCs w:val="24"/>
          <w:lang w:val="en-CA"/>
        </w:rPr>
        <w:tab/>
      </w:r>
      <w:r w:rsidRPr="000C0842">
        <w:rPr>
          <w:rFonts w:eastAsia="SimSun"/>
          <w:bCs/>
          <w:sz w:val="24"/>
          <w:szCs w:val="24"/>
          <w:lang w:val="en-CA"/>
        </w:rPr>
        <w:t>建议缔约方、组织和利益攸关方酌情采取以下行动：</w:t>
      </w:r>
    </w:p>
    <w:p w14:paraId="0F9D420E" w14:textId="77777777" w:rsidR="005E77FA" w:rsidRPr="000C0842" w:rsidRDefault="005E77FA">
      <w:pPr>
        <w:numPr>
          <w:ilvl w:val="0"/>
          <w:numId w:val="8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根据</w:t>
      </w:r>
      <w:r w:rsidRPr="000C0842">
        <w:rPr>
          <w:rFonts w:eastAsia="SimSun" w:hint="eastAsia"/>
          <w:sz w:val="24"/>
          <w:szCs w:val="24"/>
          <w:lang w:val="en-CA"/>
        </w:rPr>
        <w:t>《昆蒙框架》</w:t>
      </w:r>
      <w:r w:rsidRPr="000C0842">
        <w:rPr>
          <w:rFonts w:eastAsia="SimSun"/>
          <w:sz w:val="24"/>
          <w:szCs w:val="24"/>
          <w:lang w:val="en-CA"/>
        </w:rPr>
        <w:t>行动目标</w:t>
      </w:r>
      <w:r w:rsidRPr="000C0842">
        <w:rPr>
          <w:rFonts w:eastAsia="SimSun"/>
          <w:sz w:val="24"/>
          <w:szCs w:val="24"/>
          <w:lang w:val="en-CA"/>
        </w:rPr>
        <w:t>6</w:t>
      </w:r>
      <w:r w:rsidRPr="000C0842">
        <w:rPr>
          <w:rFonts w:eastAsia="SimSun"/>
          <w:sz w:val="24"/>
          <w:szCs w:val="24"/>
          <w:lang w:val="en-CA"/>
        </w:rPr>
        <w:t>，将防止和管理外来入侵物种纳入生物多样性公约秘书处的能力建设方案；</w:t>
      </w:r>
    </w:p>
    <w:p w14:paraId="1EFBC358" w14:textId="77777777" w:rsidR="005E77FA" w:rsidRPr="000C0842" w:rsidRDefault="005E77FA">
      <w:pPr>
        <w:numPr>
          <w:ilvl w:val="0"/>
          <w:numId w:val="8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在</w:t>
      </w:r>
      <w:r w:rsidRPr="000C0842">
        <w:rPr>
          <w:rFonts w:eastAsia="SimSun" w:hint="eastAsia"/>
          <w:sz w:val="24"/>
          <w:szCs w:val="24"/>
        </w:rPr>
        <w:t>广泛</w:t>
      </w:r>
      <w:r w:rsidRPr="000C0842">
        <w:rPr>
          <w:rFonts w:eastAsia="SimSun"/>
          <w:sz w:val="24"/>
          <w:szCs w:val="24"/>
          <w:lang w:val="en-CA"/>
        </w:rPr>
        <w:t>行为</w:t>
      </w:r>
      <w:r w:rsidRPr="000C0842">
        <w:rPr>
          <w:rFonts w:eastAsia="SimSun" w:hint="eastAsia"/>
          <w:sz w:val="24"/>
          <w:szCs w:val="24"/>
          <w:lang w:val="en-CA"/>
        </w:rPr>
        <w:t>体</w:t>
      </w:r>
      <w:r w:rsidRPr="000C0842">
        <w:rPr>
          <w:rFonts w:eastAsia="SimSun"/>
          <w:sz w:val="24"/>
          <w:szCs w:val="24"/>
          <w:lang w:val="en-CA"/>
        </w:rPr>
        <w:t>，特别是学术界、科学专家、土著人民和地方社区（须在获得其自由、事先和知情同意后）的支持下，在全球、区域、国家或国家以下各级建立定期培训方案，促进及时实现</w:t>
      </w:r>
      <w:r w:rsidRPr="000C0842">
        <w:rPr>
          <w:rFonts w:eastAsia="SimSun" w:hint="eastAsia"/>
          <w:sz w:val="24"/>
          <w:szCs w:val="24"/>
          <w:lang w:val="en-CA"/>
        </w:rPr>
        <w:t>《昆蒙框架》</w:t>
      </w:r>
      <w:r w:rsidRPr="000C0842">
        <w:rPr>
          <w:rFonts w:eastAsia="SimSun"/>
          <w:sz w:val="24"/>
          <w:szCs w:val="24"/>
          <w:lang w:val="en-CA"/>
        </w:rPr>
        <w:t>行动目标</w:t>
      </w:r>
      <w:r w:rsidRPr="000C0842">
        <w:rPr>
          <w:rFonts w:eastAsia="SimSun"/>
          <w:sz w:val="24"/>
          <w:szCs w:val="24"/>
          <w:lang w:val="en-CA"/>
        </w:rPr>
        <w:t>6;</w:t>
      </w:r>
    </w:p>
    <w:p w14:paraId="3B81B98C" w14:textId="77777777" w:rsidR="005E77FA" w:rsidRPr="000C0842" w:rsidRDefault="005E77FA">
      <w:pPr>
        <w:numPr>
          <w:ilvl w:val="0"/>
          <w:numId w:val="81"/>
        </w:num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CA"/>
        </w:rPr>
        <w:t>考虑利用现有资源，酌情编写关于以下主题的技术手册和培训教材：</w:t>
      </w:r>
    </w:p>
    <w:p w14:paraId="7AB7FAA2"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生物体分类识别，包括基于形态学的</w:t>
      </w:r>
      <w:r w:rsidRPr="000C0842">
        <w:rPr>
          <w:rFonts w:eastAsia="SimSun"/>
          <w:sz w:val="24"/>
          <w:szCs w:val="24"/>
        </w:rPr>
        <w:t>鉴定检索表</w:t>
      </w:r>
      <w:r w:rsidRPr="000C0842">
        <w:rPr>
          <w:rFonts w:eastAsia="SimSun"/>
          <w:sz w:val="24"/>
          <w:szCs w:val="24"/>
          <w:lang w:val="en-GB"/>
        </w:rPr>
        <w:t>、与图像数据库、</w:t>
      </w:r>
      <w:r w:rsidRPr="000C0842">
        <w:rPr>
          <w:rFonts w:eastAsia="SimSun"/>
          <w:sz w:val="24"/>
          <w:szCs w:val="24"/>
          <w:lang w:val="en-GB"/>
        </w:rPr>
        <w:t>DNA</w:t>
      </w:r>
      <w:r w:rsidRPr="000C0842">
        <w:rPr>
          <w:rFonts w:eastAsia="SimSun"/>
          <w:sz w:val="24"/>
          <w:szCs w:val="24"/>
          <w:lang w:val="en-GB"/>
        </w:rPr>
        <w:t>条形码，人工智能辅助识别和公民科学的连接</w:t>
      </w:r>
      <w:r w:rsidRPr="000C0842">
        <w:rPr>
          <w:rFonts w:eastAsia="SimSun"/>
          <w:sz w:val="24"/>
          <w:szCs w:val="24"/>
          <w:lang w:val="en-GB"/>
        </w:rPr>
        <w:t>;</w:t>
      </w:r>
    </w:p>
    <w:p w14:paraId="7F1723B1"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根据国际数据标准公布和使用关于外来入侵物种的数据，以实现国家以下各级、国家、区域及全球专题数据库的交叉连接</w:t>
      </w:r>
      <w:r w:rsidRPr="000C0842">
        <w:rPr>
          <w:rFonts w:eastAsia="SimSun"/>
          <w:sz w:val="24"/>
          <w:szCs w:val="24"/>
          <w:lang w:val="en-GB"/>
        </w:rPr>
        <w:t>;</w:t>
      </w:r>
    </w:p>
    <w:p w14:paraId="35C12D78"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利用监测数据预测外来入侵物种和潜在外来入侵物种的传播趋势；</w:t>
      </w:r>
    </w:p>
    <w:p w14:paraId="4EFA2B49"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成功根除的最佳做法和其他有用的技术咨询信息资源</w:t>
      </w:r>
      <w:r w:rsidRPr="000C0842">
        <w:rPr>
          <w:rFonts w:eastAsia="SimSun"/>
          <w:kern w:val="22"/>
          <w:sz w:val="24"/>
          <w:szCs w:val="24"/>
          <w:vertAlign w:val="superscript"/>
          <w:lang w:val="en-GB"/>
        </w:rPr>
        <w:footnoteReference w:id="268"/>
      </w:r>
      <w:r w:rsidRPr="000C0842">
        <w:rPr>
          <w:rFonts w:eastAsia="SimSun"/>
          <w:sz w:val="24"/>
          <w:szCs w:val="24"/>
          <w:lang w:val="en-GB"/>
        </w:rPr>
        <w:t>；</w:t>
      </w:r>
    </w:p>
    <w:p w14:paraId="6E5B6F6D"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利用有关外来入侵物种的共享信息，制定和执行国家以下各级和国家政策</w:t>
      </w:r>
      <w:r w:rsidRPr="000C0842">
        <w:rPr>
          <w:rFonts w:eastAsia="SimSun"/>
          <w:sz w:val="24"/>
          <w:szCs w:val="24"/>
          <w:lang w:val="en-GB"/>
        </w:rPr>
        <w:t>;</w:t>
      </w:r>
    </w:p>
    <w:p w14:paraId="44CE959E"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使用</w:t>
      </w:r>
      <w:r w:rsidRPr="000C0842">
        <w:rPr>
          <w:rFonts w:eastAsia="SimSun" w:hint="eastAsia"/>
          <w:sz w:val="24"/>
          <w:szCs w:val="24"/>
          <w:lang w:val="en-GB"/>
        </w:rPr>
        <w:t>传统</w:t>
      </w:r>
      <w:r w:rsidRPr="000C0842">
        <w:rPr>
          <w:rFonts w:eastAsia="SimSun"/>
          <w:sz w:val="24"/>
          <w:szCs w:val="24"/>
          <w:lang w:val="en-GB"/>
        </w:rPr>
        <w:t>生物防控剂</w:t>
      </w:r>
      <w:r w:rsidRPr="000C0842">
        <w:rPr>
          <w:rFonts w:eastAsia="SimSun"/>
          <w:kern w:val="22"/>
          <w:sz w:val="24"/>
          <w:szCs w:val="24"/>
          <w:vertAlign w:val="superscript"/>
          <w:lang w:val="en-GB"/>
        </w:rPr>
        <w:footnoteReference w:id="269"/>
      </w:r>
      <w:r w:rsidRPr="000C0842">
        <w:rPr>
          <w:rFonts w:eastAsia="SimSun"/>
          <w:sz w:val="24"/>
          <w:szCs w:val="24"/>
          <w:lang w:val="en-GB"/>
        </w:rPr>
        <w:t>对付外来入侵物种</w:t>
      </w:r>
      <w:r w:rsidRPr="000C0842">
        <w:rPr>
          <w:rFonts w:eastAsia="SimSun"/>
          <w:kern w:val="22"/>
          <w:sz w:val="24"/>
          <w:szCs w:val="24"/>
          <w:vertAlign w:val="superscript"/>
          <w:lang w:val="en-GB"/>
        </w:rPr>
        <w:footnoteReference w:id="270"/>
      </w:r>
      <w:r w:rsidRPr="000C0842">
        <w:rPr>
          <w:rFonts w:eastAsia="SimSun"/>
          <w:sz w:val="24"/>
          <w:szCs w:val="24"/>
          <w:lang w:val="en-GB"/>
        </w:rPr>
        <w:t>；</w:t>
      </w:r>
    </w:p>
    <w:p w14:paraId="444EB354"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应用基于生态系统的办法控制外来入侵物种</w:t>
      </w:r>
      <w:r w:rsidRPr="000C0842">
        <w:rPr>
          <w:rFonts w:eastAsia="SimSun"/>
          <w:kern w:val="22"/>
          <w:sz w:val="24"/>
          <w:szCs w:val="24"/>
          <w:vertAlign w:val="superscript"/>
          <w:lang w:val="en-GB"/>
        </w:rPr>
        <w:footnoteReference w:id="271"/>
      </w:r>
      <w:r w:rsidRPr="000C0842">
        <w:rPr>
          <w:rFonts w:eastAsia="SimSun"/>
          <w:sz w:val="24"/>
          <w:szCs w:val="24"/>
          <w:lang w:val="en-GB"/>
        </w:rPr>
        <w:t>；</w:t>
      </w:r>
    </w:p>
    <w:p w14:paraId="1A426AB2"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sz w:val="24"/>
          <w:szCs w:val="24"/>
          <w:lang w:val="en-GB"/>
        </w:rPr>
        <w:t>为决策者编写的支持多准则</w:t>
      </w:r>
      <w:r w:rsidRPr="000C0842">
        <w:rPr>
          <w:rFonts w:eastAsia="SimSun" w:hint="eastAsia"/>
          <w:sz w:val="24"/>
          <w:szCs w:val="24"/>
          <w:lang w:val="en-GB"/>
        </w:rPr>
        <w:t>决策</w:t>
      </w:r>
      <w:r w:rsidRPr="000C0842">
        <w:rPr>
          <w:rFonts w:eastAsia="SimSun"/>
          <w:sz w:val="24"/>
          <w:szCs w:val="24"/>
          <w:lang w:val="en-GB"/>
        </w:rPr>
        <w:t>手册；</w:t>
      </w:r>
    </w:p>
    <w:p w14:paraId="0103E597"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kern w:val="22"/>
          <w:sz w:val="24"/>
          <w:szCs w:val="24"/>
          <w:lang w:val="en-GB"/>
        </w:rPr>
      </w:pPr>
      <w:r w:rsidRPr="000C0842">
        <w:rPr>
          <w:rFonts w:eastAsia="SimSun"/>
          <w:sz w:val="24"/>
          <w:szCs w:val="24"/>
          <w:lang w:val="en-GB"/>
        </w:rPr>
        <w:t>由各部门之间分担责任的外来入侵物种监管示范法</w:t>
      </w:r>
      <w:r w:rsidRPr="000C0842">
        <w:rPr>
          <w:rFonts w:eastAsia="SimSun"/>
          <w:sz w:val="24"/>
          <w:szCs w:val="24"/>
          <w:lang w:val="en-GB"/>
        </w:rPr>
        <w:t>;</w:t>
      </w:r>
    </w:p>
    <w:p w14:paraId="0D8B8ACE" w14:textId="77777777"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146" w:hanging="274"/>
        <w:jc w:val="left"/>
        <w:rPr>
          <w:rFonts w:eastAsia="SimSun"/>
          <w:sz w:val="24"/>
          <w:szCs w:val="24"/>
          <w:lang w:val="en-GB"/>
        </w:rPr>
      </w:pPr>
      <w:r w:rsidRPr="000C0842">
        <w:rPr>
          <w:rFonts w:eastAsia="SimSun"/>
          <w:kern w:val="22"/>
          <w:sz w:val="24"/>
          <w:szCs w:val="24"/>
          <w:lang w:val="en-GB"/>
        </w:rPr>
        <w:t>以成本</w:t>
      </w:r>
      <w:r w:rsidRPr="000C0842">
        <w:rPr>
          <w:rFonts w:eastAsia="SimSun" w:hint="eastAsia"/>
          <w:kern w:val="22"/>
          <w:sz w:val="24"/>
          <w:szCs w:val="24"/>
          <w:lang w:val="en-GB"/>
        </w:rPr>
        <w:t>效果好的</w:t>
      </w:r>
      <w:r w:rsidRPr="000C0842">
        <w:rPr>
          <w:rFonts w:eastAsia="SimSun"/>
          <w:kern w:val="22"/>
          <w:sz w:val="24"/>
          <w:szCs w:val="24"/>
          <w:lang w:val="en-GB"/>
        </w:rPr>
        <w:t>方式包装现场收集的生物样本，确保在偏远和限制进入的地点进行早期检测</w:t>
      </w:r>
      <w:r w:rsidRPr="000C0842">
        <w:rPr>
          <w:rFonts w:eastAsia="SimSun"/>
          <w:sz w:val="24"/>
          <w:szCs w:val="24"/>
          <w:lang w:val="en-GB"/>
        </w:rPr>
        <w:t>;</w:t>
      </w:r>
    </w:p>
    <w:p w14:paraId="3D58B61D" w14:textId="088CFE0C" w:rsidR="005E77FA" w:rsidRPr="000C0842" w:rsidRDefault="005E77FA">
      <w:pPr>
        <w:numPr>
          <w:ilvl w:val="0"/>
          <w:numId w:val="58"/>
        </w:numPr>
        <w:tabs>
          <w:tab w:val="clear" w:pos="567"/>
          <w:tab w:val="clear" w:pos="1134"/>
          <w:tab w:val="clear" w:pos="1701"/>
          <w:tab w:val="clear" w:pos="2268"/>
        </w:tabs>
        <w:adjustRightInd w:val="0"/>
        <w:snapToGrid w:val="0"/>
        <w:spacing w:before="120" w:after="120" w:line="240" w:lineRule="atLeast"/>
        <w:ind w:left="2410" w:hanging="274"/>
        <w:jc w:val="left"/>
        <w:rPr>
          <w:rFonts w:eastAsia="SimSun"/>
          <w:snapToGrid w:val="0"/>
          <w:sz w:val="24"/>
          <w:szCs w:val="24"/>
          <w:lang w:val="en-GB"/>
        </w:rPr>
      </w:pPr>
      <w:r w:rsidRPr="000C0842">
        <w:rPr>
          <w:rFonts w:eastAsia="SimSun"/>
          <w:sz w:val="24"/>
          <w:szCs w:val="24"/>
          <w:lang w:val="en-GB"/>
        </w:rPr>
        <w:t>落实</w:t>
      </w:r>
      <w:r w:rsidRPr="000C0842">
        <w:rPr>
          <w:rFonts w:eastAsia="SimSun" w:hint="eastAsia"/>
          <w:sz w:val="24"/>
          <w:szCs w:val="24"/>
          <w:lang w:val="en-CA"/>
        </w:rPr>
        <w:t>《昆蒙框架》</w:t>
      </w:r>
      <w:r w:rsidRPr="000C0842">
        <w:rPr>
          <w:rFonts w:eastAsia="SimSun"/>
          <w:sz w:val="24"/>
          <w:szCs w:val="24"/>
          <w:lang w:val="en-GB"/>
        </w:rPr>
        <w:t>行动目标</w:t>
      </w:r>
      <w:r w:rsidRPr="000C0842">
        <w:rPr>
          <w:rFonts w:eastAsia="SimSun"/>
          <w:sz w:val="24"/>
          <w:szCs w:val="24"/>
          <w:lang w:val="en-GB"/>
        </w:rPr>
        <w:t>6</w:t>
      </w:r>
      <w:r w:rsidRPr="000C0842">
        <w:rPr>
          <w:rFonts w:eastAsia="SimSun"/>
          <w:sz w:val="24"/>
          <w:szCs w:val="24"/>
          <w:lang w:val="en-GB"/>
        </w:rPr>
        <w:t>的方法和途径</w:t>
      </w:r>
      <w:r w:rsidRPr="000C0842">
        <w:rPr>
          <w:rFonts w:eastAsia="SimSun"/>
          <w:snapToGrid w:val="0"/>
          <w:sz w:val="24"/>
          <w:szCs w:val="24"/>
          <w:lang w:val="en-GB"/>
        </w:rPr>
        <w:t>。</w:t>
      </w:r>
    </w:p>
    <w:p w14:paraId="23FAD679" w14:textId="77777777" w:rsidR="005E77FA" w:rsidRPr="000C0842" w:rsidRDefault="005E77FA">
      <w:pPr>
        <w:tabs>
          <w:tab w:val="clear" w:pos="567"/>
          <w:tab w:val="clear" w:pos="1134"/>
          <w:tab w:val="clear" w:pos="1701"/>
          <w:tab w:val="clear" w:pos="2268"/>
        </w:tabs>
        <w:jc w:val="left"/>
        <w:rPr>
          <w:rFonts w:eastAsia="SimSun"/>
          <w:snapToGrid w:val="0"/>
          <w:sz w:val="24"/>
          <w:szCs w:val="24"/>
          <w:lang w:val="en-GB"/>
        </w:rPr>
      </w:pPr>
      <w:r w:rsidRPr="000C0842">
        <w:rPr>
          <w:rFonts w:eastAsia="SimSun"/>
          <w:snapToGrid w:val="0"/>
          <w:sz w:val="24"/>
          <w:szCs w:val="24"/>
          <w:lang w:val="en-GB"/>
        </w:rPr>
        <w:br w:type="page"/>
      </w:r>
    </w:p>
    <w:p w14:paraId="4B920E90" w14:textId="3C7A4E4A" w:rsidR="00382AC2" w:rsidRPr="000C0842" w:rsidRDefault="00382AC2" w:rsidP="002437E6">
      <w:pPr>
        <w:pStyle w:val="a1"/>
        <w:rPr>
          <w:rFonts w:hint="eastAsia"/>
          <w:lang w:eastAsia="zh-CN"/>
        </w:rPr>
      </w:pPr>
      <w:bookmarkStart w:id="75" w:name="_Toc206358216"/>
      <w:r w:rsidRPr="000C0842">
        <w:rPr>
          <w:lang w:eastAsia="zh-CN"/>
        </w:rPr>
        <w:t>16/19.</w:t>
      </w:r>
      <w:r w:rsidR="000D3D37" w:rsidRPr="000C0842">
        <w:rPr>
          <w:rFonts w:hint="eastAsia"/>
          <w:lang w:eastAsia="zh-CN"/>
        </w:rPr>
        <w:t xml:space="preserve"> </w:t>
      </w:r>
      <w:r w:rsidRPr="000C0842">
        <w:rPr>
          <w:lang w:eastAsia="zh-CN"/>
        </w:rPr>
        <w:t xml:space="preserve"> </w:t>
      </w:r>
      <w:r w:rsidRPr="000C0842">
        <w:rPr>
          <w:lang w:eastAsia="zh-CN"/>
        </w:rPr>
        <w:t>生物多样性与健康</w:t>
      </w:r>
      <w:bookmarkEnd w:id="75"/>
    </w:p>
    <w:p w14:paraId="3D458E91" w14:textId="77777777" w:rsidR="00382AC2" w:rsidRPr="000C0842" w:rsidRDefault="00382AC2" w:rsidP="00382AC2">
      <w:pPr>
        <w:tabs>
          <w:tab w:val="clear" w:pos="567"/>
          <w:tab w:val="clear" w:pos="1134"/>
          <w:tab w:val="clear" w:pos="1701"/>
          <w:tab w:val="clear" w:pos="2268"/>
        </w:tabs>
        <w:snapToGrid w:val="0"/>
        <w:spacing w:before="240" w:after="120" w:line="240" w:lineRule="atLeast"/>
        <w:ind w:left="490" w:firstLine="490"/>
        <w:jc w:val="left"/>
        <w:rPr>
          <w:rFonts w:eastAsia="KaiTi"/>
          <w:sz w:val="24"/>
          <w:szCs w:val="24"/>
        </w:rPr>
      </w:pPr>
      <w:r w:rsidRPr="000C0842">
        <w:rPr>
          <w:rFonts w:eastAsia="KaiTi" w:hint="eastAsia"/>
          <w:sz w:val="24"/>
          <w:szCs w:val="24"/>
        </w:rPr>
        <w:t>缔约方大会，</w:t>
      </w:r>
      <w:r w:rsidRPr="000C0842">
        <w:rPr>
          <w:rFonts w:eastAsia="KaiTi"/>
          <w:sz w:val="24"/>
          <w:szCs w:val="24"/>
        </w:rPr>
        <w:t xml:space="preserve"> </w:t>
      </w:r>
    </w:p>
    <w:p w14:paraId="307B2BDD"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回顾</w:t>
      </w:r>
      <w:r w:rsidRPr="000C0842">
        <w:rPr>
          <w:rFonts w:eastAsia="SimSun" w:hint="eastAsia"/>
          <w:sz w:val="24"/>
          <w:szCs w:val="24"/>
        </w:rPr>
        <w:t>其</w:t>
      </w:r>
      <w:smartTag w:uri="urn:schemas-microsoft-com:office:smarttags" w:element="chsdate">
        <w:smartTagPr>
          <w:attr w:name="IsROCDate" w:val="False"/>
          <w:attr w:name="IsLunarDate" w:val="False"/>
          <w:attr w:name="Day" w:val="17"/>
          <w:attr w:name="Month" w:val="10"/>
          <w:attr w:name="Year" w:val="2014"/>
        </w:smartTagPr>
        <w:r w:rsidRPr="000C0842">
          <w:rPr>
            <w:rFonts w:eastAsia="SimSun"/>
            <w:sz w:val="24"/>
            <w:szCs w:val="24"/>
          </w:rPr>
          <w:t>2014</w:t>
        </w:r>
        <w:r w:rsidRPr="000C0842">
          <w:rPr>
            <w:rFonts w:eastAsia="SimSun" w:hint="eastAsia"/>
            <w:sz w:val="24"/>
            <w:szCs w:val="24"/>
          </w:rPr>
          <w:t>年</w:t>
        </w:r>
        <w:r w:rsidRPr="000C0842">
          <w:rPr>
            <w:rFonts w:eastAsia="SimSun"/>
            <w:sz w:val="24"/>
            <w:szCs w:val="24"/>
          </w:rPr>
          <w:t>10</w:t>
        </w:r>
        <w:r w:rsidRPr="000C0842">
          <w:rPr>
            <w:rFonts w:eastAsia="SimSun" w:hint="eastAsia"/>
            <w:sz w:val="24"/>
            <w:szCs w:val="24"/>
          </w:rPr>
          <w:t>月</w:t>
        </w:r>
        <w:r w:rsidRPr="000C0842">
          <w:rPr>
            <w:rFonts w:eastAsia="SimSun"/>
            <w:sz w:val="24"/>
            <w:szCs w:val="24"/>
          </w:rPr>
          <w:t>17</w:t>
        </w:r>
        <w:r w:rsidRPr="000C0842">
          <w:rPr>
            <w:rFonts w:eastAsia="SimSun" w:hint="eastAsia"/>
            <w:sz w:val="24"/>
            <w:szCs w:val="24"/>
          </w:rPr>
          <w:t>日</w:t>
        </w:r>
      </w:smartTag>
      <w:r w:rsidRPr="000C0842">
        <w:rPr>
          <w:rFonts w:eastAsia="SimSun" w:hint="eastAsia"/>
          <w:sz w:val="24"/>
          <w:szCs w:val="24"/>
        </w:rPr>
        <w:t>第</w:t>
      </w:r>
      <w:hyperlink r:id="rId174" w:history="1">
        <w:r w:rsidRPr="000C0842">
          <w:rPr>
            <w:rFonts w:eastAsia="SimSun"/>
            <w:sz w:val="24"/>
            <w:szCs w:val="24"/>
            <w:u w:val="single"/>
            <w:lang w:val="en-GB"/>
          </w:rPr>
          <w:t>XII/21</w:t>
        </w:r>
      </w:hyperlink>
      <w:r w:rsidRPr="000C0842">
        <w:rPr>
          <w:rFonts w:eastAsia="SimSun" w:hint="eastAsia"/>
          <w:sz w:val="24"/>
          <w:szCs w:val="24"/>
        </w:rPr>
        <w:t>号、</w:t>
      </w:r>
      <w:smartTag w:uri="urn:schemas-microsoft-com:office:smarttags" w:element="chsdate">
        <w:smartTagPr>
          <w:attr w:name="IsROCDate" w:val="False"/>
          <w:attr w:name="IsLunarDate" w:val="False"/>
          <w:attr w:name="Day" w:val="17"/>
          <w:attr w:name="Month" w:val="12"/>
          <w:attr w:name="Year" w:val="2016"/>
        </w:smartTagPr>
        <w:r w:rsidRPr="000C0842">
          <w:rPr>
            <w:rFonts w:eastAsia="SimSun"/>
            <w:sz w:val="24"/>
            <w:szCs w:val="24"/>
          </w:rPr>
          <w:t>2016</w:t>
        </w:r>
        <w:r w:rsidRPr="000C0842">
          <w:rPr>
            <w:rFonts w:eastAsia="SimSun" w:hint="eastAsia"/>
            <w:sz w:val="24"/>
            <w:szCs w:val="24"/>
          </w:rPr>
          <w:t>年</w:t>
        </w:r>
        <w:r w:rsidRPr="000C0842">
          <w:rPr>
            <w:rFonts w:eastAsia="SimSun"/>
            <w:sz w:val="24"/>
            <w:szCs w:val="24"/>
          </w:rPr>
          <w:t>12</w:t>
        </w:r>
        <w:r w:rsidRPr="000C0842">
          <w:rPr>
            <w:rFonts w:eastAsia="SimSun" w:hint="eastAsia"/>
            <w:sz w:val="24"/>
            <w:szCs w:val="24"/>
          </w:rPr>
          <w:t>月</w:t>
        </w:r>
        <w:r w:rsidRPr="000C0842">
          <w:rPr>
            <w:rFonts w:eastAsia="SimSun"/>
            <w:sz w:val="24"/>
            <w:szCs w:val="24"/>
          </w:rPr>
          <w:t>17</w:t>
        </w:r>
        <w:r w:rsidRPr="000C0842">
          <w:rPr>
            <w:rFonts w:eastAsia="SimSun" w:hint="eastAsia"/>
            <w:sz w:val="24"/>
            <w:szCs w:val="24"/>
          </w:rPr>
          <w:t>日</w:t>
        </w:r>
      </w:smartTag>
      <w:r w:rsidRPr="000C0842">
        <w:rPr>
          <w:rFonts w:eastAsia="SimSun" w:hint="eastAsia"/>
          <w:sz w:val="24"/>
          <w:szCs w:val="24"/>
        </w:rPr>
        <w:t>第</w:t>
      </w:r>
      <w:hyperlink r:id="rId175" w:history="1">
        <w:r w:rsidRPr="000C0842">
          <w:rPr>
            <w:rFonts w:eastAsia="SimSun"/>
            <w:sz w:val="24"/>
            <w:szCs w:val="24"/>
            <w:u w:val="single"/>
            <w:lang w:val="en-GB"/>
          </w:rPr>
          <w:t>XIII/6</w:t>
        </w:r>
      </w:hyperlink>
      <w:r w:rsidRPr="000C0842">
        <w:rPr>
          <w:rFonts w:eastAsia="SimSun" w:hint="eastAsia"/>
          <w:sz w:val="24"/>
          <w:szCs w:val="24"/>
        </w:rPr>
        <w:t>号、</w:t>
      </w:r>
      <w:smartTag w:uri="urn:schemas-microsoft-com:office:smarttags" w:element="chsdate">
        <w:smartTagPr>
          <w:attr w:name="IsROCDate" w:val="False"/>
          <w:attr w:name="IsLunarDate" w:val="False"/>
          <w:attr w:name="Day" w:val="22"/>
          <w:attr w:name="Month" w:val="11"/>
          <w:attr w:name="Year" w:val="2018"/>
        </w:smartTagPr>
        <w:r w:rsidRPr="000C0842">
          <w:rPr>
            <w:rFonts w:eastAsia="SimSun"/>
            <w:sz w:val="24"/>
            <w:szCs w:val="24"/>
          </w:rPr>
          <w:t>2018</w:t>
        </w:r>
        <w:r w:rsidRPr="000C0842">
          <w:rPr>
            <w:rFonts w:eastAsia="SimSun" w:hint="eastAsia"/>
            <w:sz w:val="24"/>
            <w:szCs w:val="24"/>
          </w:rPr>
          <w:t>年</w:t>
        </w:r>
        <w:r w:rsidRPr="000C0842">
          <w:rPr>
            <w:rFonts w:eastAsia="SimSun"/>
            <w:sz w:val="24"/>
            <w:szCs w:val="24"/>
          </w:rPr>
          <w:t>11</w:t>
        </w:r>
        <w:r w:rsidRPr="000C0842">
          <w:rPr>
            <w:rFonts w:eastAsia="SimSun" w:hint="eastAsia"/>
            <w:sz w:val="24"/>
            <w:szCs w:val="24"/>
          </w:rPr>
          <w:t>月</w:t>
        </w:r>
        <w:r w:rsidRPr="000C0842">
          <w:rPr>
            <w:rFonts w:eastAsia="SimSun"/>
            <w:sz w:val="24"/>
            <w:szCs w:val="24"/>
          </w:rPr>
          <w:t>22</w:t>
        </w:r>
        <w:r w:rsidRPr="000C0842">
          <w:rPr>
            <w:rFonts w:eastAsia="SimSun" w:hint="eastAsia"/>
            <w:sz w:val="24"/>
            <w:szCs w:val="24"/>
          </w:rPr>
          <w:t>日</w:t>
        </w:r>
      </w:smartTag>
      <w:r w:rsidRPr="000C0842">
        <w:rPr>
          <w:rFonts w:eastAsia="SimSun" w:hint="eastAsia"/>
          <w:sz w:val="24"/>
          <w:szCs w:val="24"/>
        </w:rPr>
        <w:t>第</w:t>
      </w:r>
      <w:hyperlink r:id="rId176" w:history="1">
        <w:r w:rsidRPr="000C0842">
          <w:rPr>
            <w:rFonts w:eastAsia="SimSun"/>
            <w:sz w:val="24"/>
            <w:szCs w:val="24"/>
            <w:u w:val="single"/>
            <w:lang w:val="en-GB"/>
          </w:rPr>
          <w:t>14/4</w:t>
        </w:r>
      </w:hyperlink>
      <w:r w:rsidRPr="000C0842">
        <w:rPr>
          <w:rFonts w:eastAsia="SimSun" w:hint="eastAsia"/>
          <w:sz w:val="24"/>
          <w:szCs w:val="24"/>
        </w:rPr>
        <w:t>号和</w:t>
      </w:r>
      <w:smartTag w:uri="urn:schemas-microsoft-com:office:smarttags" w:element="chsdate">
        <w:smartTagPr>
          <w:attr w:name="IsROCDate" w:val="False"/>
          <w:attr w:name="IsLunarDate" w:val="False"/>
          <w:attr w:name="Day" w:val="19"/>
          <w:attr w:name="Month" w:val="12"/>
          <w:attr w:name="Year" w:val="2022"/>
        </w:smartTagPr>
        <w:r w:rsidRPr="000C0842">
          <w:rPr>
            <w:rFonts w:eastAsia="SimSun"/>
            <w:sz w:val="24"/>
            <w:szCs w:val="24"/>
          </w:rPr>
          <w:t>2022</w:t>
        </w:r>
        <w:r w:rsidRPr="000C0842">
          <w:rPr>
            <w:rFonts w:eastAsia="SimSun" w:hint="eastAsia"/>
            <w:sz w:val="24"/>
            <w:szCs w:val="24"/>
          </w:rPr>
          <w:t>年</w:t>
        </w:r>
        <w:r w:rsidRPr="000C0842">
          <w:rPr>
            <w:rFonts w:eastAsia="SimSun"/>
            <w:sz w:val="24"/>
            <w:szCs w:val="24"/>
          </w:rPr>
          <w:t>12</w:t>
        </w:r>
        <w:r w:rsidRPr="000C0842">
          <w:rPr>
            <w:rFonts w:eastAsia="SimSun" w:hint="eastAsia"/>
            <w:sz w:val="24"/>
            <w:szCs w:val="24"/>
          </w:rPr>
          <w:t>月</w:t>
        </w:r>
        <w:r w:rsidRPr="000C0842">
          <w:rPr>
            <w:rFonts w:eastAsia="SimSun"/>
            <w:sz w:val="24"/>
            <w:szCs w:val="24"/>
          </w:rPr>
          <w:t>19</w:t>
        </w:r>
        <w:r w:rsidRPr="000C0842">
          <w:rPr>
            <w:rFonts w:eastAsia="SimSun" w:hint="eastAsia"/>
            <w:sz w:val="24"/>
            <w:szCs w:val="24"/>
          </w:rPr>
          <w:t>日</w:t>
        </w:r>
      </w:smartTag>
      <w:r w:rsidRPr="000C0842">
        <w:rPr>
          <w:rFonts w:eastAsia="SimSun" w:hint="eastAsia"/>
          <w:sz w:val="24"/>
          <w:szCs w:val="24"/>
        </w:rPr>
        <w:t>第</w:t>
      </w:r>
      <w:hyperlink r:id="rId177" w:history="1">
        <w:r w:rsidRPr="000C0842">
          <w:rPr>
            <w:rFonts w:eastAsia="SimSun"/>
            <w:sz w:val="24"/>
            <w:szCs w:val="24"/>
            <w:u w:val="single"/>
            <w:lang w:val="en-GB"/>
          </w:rPr>
          <w:t>15/29</w:t>
        </w:r>
      </w:hyperlink>
      <w:r w:rsidRPr="000C0842">
        <w:rPr>
          <w:rFonts w:eastAsia="SimSun" w:hint="eastAsia"/>
          <w:sz w:val="24"/>
          <w:szCs w:val="24"/>
        </w:rPr>
        <w:t>号决定，</w:t>
      </w:r>
    </w:p>
    <w:p w14:paraId="004E994D"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又回顾</w:t>
      </w:r>
      <w:r w:rsidRPr="000C0842">
        <w:rPr>
          <w:rFonts w:eastAsia="SimSun" w:hint="eastAsia"/>
          <w:sz w:val="24"/>
          <w:szCs w:val="24"/>
        </w:rPr>
        <w:t>《昆明</w:t>
      </w:r>
      <w:r w:rsidRPr="000C0842">
        <w:rPr>
          <w:rFonts w:eastAsia="SimSun"/>
          <w:sz w:val="24"/>
          <w:szCs w:val="24"/>
        </w:rPr>
        <w:t>-</w:t>
      </w:r>
      <w:r w:rsidRPr="000C0842">
        <w:rPr>
          <w:rFonts w:eastAsia="SimSun" w:hint="eastAsia"/>
          <w:sz w:val="24"/>
          <w:szCs w:val="24"/>
          <w:lang w:val="en-GB"/>
        </w:rPr>
        <w:t>蒙特利尔全球生物多样性框架</w:t>
      </w:r>
      <w:r w:rsidRPr="000C0842">
        <w:rPr>
          <w:rFonts w:eastAsia="SimSun" w:hint="eastAsia"/>
          <w:sz w:val="24"/>
          <w:szCs w:val="24"/>
        </w:rPr>
        <w:t>》</w:t>
      </w:r>
      <w:r w:rsidRPr="000C0842">
        <w:rPr>
          <w:rFonts w:eastAsia="SimSun"/>
          <w:sz w:val="24"/>
          <w:szCs w:val="24"/>
          <w:vertAlign w:val="superscript"/>
          <w:lang w:val="en-GB"/>
        </w:rPr>
        <w:footnoteReference w:id="272"/>
      </w:r>
      <w:r w:rsidRPr="000C0842">
        <w:rPr>
          <w:rFonts w:eastAsia="SimSun"/>
          <w:sz w:val="24"/>
          <w:szCs w:val="24"/>
        </w:rPr>
        <w:t xml:space="preserve"> </w:t>
      </w:r>
      <w:r w:rsidRPr="000C0842">
        <w:rPr>
          <w:rFonts w:eastAsia="SimSun" w:hint="eastAsia"/>
          <w:sz w:val="24"/>
          <w:szCs w:val="24"/>
        </w:rPr>
        <w:t>确认生物多样性和健康与《生物多样性公约》</w:t>
      </w:r>
      <w:r w:rsidRPr="000C0842">
        <w:rPr>
          <w:rFonts w:eastAsia="SimSun"/>
          <w:sz w:val="24"/>
          <w:szCs w:val="24"/>
          <w:vertAlign w:val="superscript"/>
          <w:lang w:val="en-GB"/>
        </w:rPr>
        <w:footnoteReference w:id="273"/>
      </w:r>
      <w:r w:rsidRPr="000C0842">
        <w:rPr>
          <w:rFonts w:eastAsia="SimSun"/>
          <w:sz w:val="24"/>
          <w:szCs w:val="24"/>
        </w:rPr>
        <w:t xml:space="preserve"> </w:t>
      </w:r>
      <w:r w:rsidRPr="000C0842">
        <w:rPr>
          <w:rFonts w:eastAsia="SimSun" w:hint="eastAsia"/>
          <w:sz w:val="24"/>
          <w:szCs w:val="24"/>
        </w:rPr>
        <w:t>三个目标的相互关联，</w:t>
      </w:r>
    </w:p>
    <w:p w14:paraId="625BD48B"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还回顾</w:t>
      </w:r>
      <w:smartTag w:uri="urn:schemas-microsoft-com:office:smarttags" w:element="chsdate">
        <w:smartTagPr>
          <w:attr w:name="IsROCDate" w:val="False"/>
          <w:attr w:name="IsLunarDate" w:val="False"/>
          <w:attr w:name="Day" w:val="31"/>
          <w:attr w:name="Month" w:val="3"/>
          <w:attr w:name="Year" w:val="2006"/>
        </w:smartTagPr>
        <w:r w:rsidRPr="000C0842">
          <w:rPr>
            <w:rFonts w:eastAsia="SimSun"/>
            <w:sz w:val="24"/>
            <w:szCs w:val="24"/>
            <w:lang w:val="en-GB"/>
          </w:rPr>
          <w:t>2006</w:t>
        </w:r>
        <w:r w:rsidRPr="000C0842">
          <w:rPr>
            <w:rFonts w:eastAsia="SimSun" w:hint="eastAsia"/>
            <w:sz w:val="24"/>
            <w:szCs w:val="24"/>
            <w:lang w:val="en-GB"/>
          </w:rPr>
          <w:t>年</w:t>
        </w:r>
        <w:r w:rsidRPr="000C0842">
          <w:rPr>
            <w:rFonts w:eastAsia="SimSun"/>
            <w:sz w:val="24"/>
            <w:szCs w:val="24"/>
            <w:lang w:val="en-GB"/>
          </w:rPr>
          <w:t>3</w:t>
        </w:r>
        <w:r w:rsidRPr="000C0842">
          <w:rPr>
            <w:rFonts w:eastAsia="SimSun" w:hint="eastAsia"/>
            <w:sz w:val="24"/>
            <w:szCs w:val="24"/>
            <w:lang w:val="en-GB"/>
          </w:rPr>
          <w:t>月</w:t>
        </w:r>
        <w:r w:rsidRPr="000C0842">
          <w:rPr>
            <w:rFonts w:eastAsia="SimSun"/>
            <w:sz w:val="24"/>
            <w:szCs w:val="24"/>
            <w:lang w:val="en-GB"/>
          </w:rPr>
          <w:t>31</w:t>
        </w:r>
        <w:r w:rsidRPr="000C0842">
          <w:rPr>
            <w:rFonts w:eastAsia="SimSun" w:hint="eastAsia"/>
            <w:sz w:val="24"/>
            <w:szCs w:val="24"/>
            <w:lang w:val="en-GB"/>
          </w:rPr>
          <w:t>日</w:t>
        </w:r>
      </w:smartTag>
      <w:r w:rsidRPr="000C0842">
        <w:rPr>
          <w:rFonts w:eastAsia="SimSun" w:hint="eastAsia"/>
          <w:sz w:val="24"/>
          <w:szCs w:val="24"/>
          <w:lang w:val="en-GB"/>
        </w:rPr>
        <w:t>缔约方大会第</w:t>
      </w:r>
      <w:r w:rsidRPr="000C0842">
        <w:rPr>
          <w:rFonts w:eastAsia="SimSun"/>
          <w:sz w:val="24"/>
          <w:szCs w:val="24"/>
          <w:lang w:val="en-GB"/>
        </w:rPr>
        <w:t xml:space="preserve"> </w:t>
      </w:r>
      <w:hyperlink r:id="rId178" w:history="1">
        <w:r w:rsidRPr="000C0842">
          <w:rPr>
            <w:rFonts w:eastAsia="SimSun"/>
            <w:sz w:val="24"/>
            <w:szCs w:val="24"/>
            <w:u w:val="single"/>
            <w:lang w:val="en-GB"/>
          </w:rPr>
          <w:t>VIII/23</w:t>
        </w:r>
      </w:hyperlink>
      <w:r w:rsidRPr="000C0842">
        <w:rPr>
          <w:rFonts w:eastAsia="SimSun"/>
          <w:sz w:val="24"/>
          <w:szCs w:val="24"/>
          <w:lang w:val="en-GB"/>
        </w:rPr>
        <w:t xml:space="preserve"> </w:t>
      </w:r>
      <w:r w:rsidRPr="000C0842">
        <w:rPr>
          <w:rFonts w:eastAsia="SimSun" w:hint="eastAsia"/>
          <w:sz w:val="24"/>
          <w:szCs w:val="24"/>
          <w:lang w:val="en-GB"/>
        </w:rPr>
        <w:t>号决定通过的关于生物多样性促进粮食和营养的跨领域倡议，</w:t>
      </w:r>
    </w:p>
    <w:p w14:paraId="77F5D3D4"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认识到</w:t>
      </w:r>
      <w:r w:rsidRPr="000C0842">
        <w:rPr>
          <w:rFonts w:eastAsia="SimSun" w:hint="eastAsia"/>
          <w:sz w:val="24"/>
          <w:szCs w:val="24"/>
          <w:lang w:val="en-GB"/>
        </w:rPr>
        <w:t>《昆明</w:t>
      </w:r>
      <w:r w:rsidRPr="000C0842">
        <w:rPr>
          <w:rFonts w:eastAsia="SimSun"/>
          <w:sz w:val="24"/>
          <w:szCs w:val="24"/>
          <w:lang w:val="en-GB"/>
        </w:rPr>
        <w:t>-</w:t>
      </w:r>
      <w:r w:rsidRPr="000C0842">
        <w:rPr>
          <w:rFonts w:eastAsia="SimSun" w:hint="eastAsia"/>
          <w:sz w:val="24"/>
          <w:szCs w:val="24"/>
          <w:lang w:val="en-GB"/>
        </w:rPr>
        <w:t>蒙特利尔全球生物多样性框架》的执行将有助于解决导致生物多样性丧失的驱动因素，进而改善健康和福祉，包括身心健康，因为生物多样性丧失往往也是导致健康状况不佳的驱动因素，同时注意到</w:t>
      </w:r>
      <w:hyperlink r:id="rId179" w:history="1">
        <w:r w:rsidRPr="000C0842">
          <w:rPr>
            <w:rFonts w:eastAsia="SimSun"/>
            <w:sz w:val="24"/>
            <w:szCs w:val="24"/>
            <w:u w:val="single"/>
            <w:lang w:val="en-GB"/>
          </w:rPr>
          <w:t>CBD/SBSTTA/26/INF/3</w:t>
        </w:r>
      </w:hyperlink>
      <w:r w:rsidRPr="000C0842">
        <w:rPr>
          <w:rFonts w:eastAsia="SimSun" w:hint="eastAsia"/>
          <w:sz w:val="24"/>
          <w:szCs w:val="24"/>
          <w:lang w:val="en-GB"/>
        </w:rPr>
        <w:t>号文件中的信息，</w:t>
      </w:r>
    </w:p>
    <w:p w14:paraId="2CCC537E"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rPr>
        <w:t>注意到</w:t>
      </w:r>
      <w:r w:rsidRPr="000C0842">
        <w:rPr>
          <w:rFonts w:eastAsia="SimSun" w:hint="eastAsia"/>
          <w:sz w:val="24"/>
          <w:szCs w:val="24"/>
        </w:rPr>
        <w:t>《世界卫生组织组织法》把“健康”一词定义为一种完全享有身心健康和社会福祉的状态，而非仅仅是没有病痛，</w:t>
      </w:r>
    </w:p>
    <w:p w14:paraId="35ABDCC5"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认识到</w:t>
      </w:r>
      <w:r w:rsidRPr="000C0842">
        <w:rPr>
          <w:rFonts w:eastAsia="SimSun" w:hint="eastAsia"/>
          <w:sz w:val="24"/>
          <w:szCs w:val="24"/>
          <w:lang w:val="en-GB"/>
        </w:rPr>
        <w:t>教育和提高认识</w:t>
      </w:r>
      <w:r w:rsidRPr="000C0842">
        <w:rPr>
          <w:rFonts w:eastAsia="SimSun" w:hint="eastAsia"/>
          <w:sz w:val="24"/>
          <w:szCs w:val="24"/>
        </w:rPr>
        <w:t>在</w:t>
      </w:r>
      <w:r w:rsidRPr="000C0842">
        <w:rPr>
          <w:rFonts w:eastAsia="SimSun" w:hint="eastAsia"/>
          <w:sz w:val="24"/>
          <w:szCs w:val="24"/>
          <w:lang w:val="en-GB"/>
        </w:rPr>
        <w:t>通过“同一健康</w:t>
      </w:r>
      <w:r w:rsidRPr="000C0842">
        <w:rPr>
          <w:rFonts w:eastAsia="SimSun"/>
          <w:sz w:val="24"/>
          <w:szCs w:val="24"/>
          <w:lang w:val="en-GB"/>
        </w:rPr>
        <w:t xml:space="preserve"> </w:t>
      </w:r>
      <w:r w:rsidRPr="000C0842">
        <w:rPr>
          <w:rFonts w:eastAsia="SimSun" w:hint="eastAsia"/>
          <w:sz w:val="24"/>
          <w:szCs w:val="24"/>
          <w:lang w:val="en-GB"/>
        </w:rPr>
        <w:t>”方法以及全政府和全社会方法将生物多样性与健康的相互关联纳入主流</w:t>
      </w:r>
      <w:r w:rsidRPr="000C0842">
        <w:rPr>
          <w:rFonts w:eastAsia="SimSun" w:hint="eastAsia"/>
          <w:sz w:val="24"/>
          <w:szCs w:val="24"/>
        </w:rPr>
        <w:t>方面发挥</w:t>
      </w:r>
      <w:r w:rsidRPr="000C0842">
        <w:rPr>
          <w:rFonts w:eastAsia="SimSun" w:hint="eastAsia"/>
          <w:sz w:val="24"/>
          <w:szCs w:val="24"/>
          <w:lang w:val="en-GB"/>
        </w:rPr>
        <w:t>重要作用，</w:t>
      </w:r>
    </w:p>
    <w:p w14:paraId="1D413CCC"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欢迎</w:t>
      </w:r>
      <w:r w:rsidRPr="000C0842">
        <w:rPr>
          <w:rFonts w:eastAsia="SimSun"/>
          <w:sz w:val="24"/>
          <w:szCs w:val="24"/>
          <w:lang w:val="en-GB"/>
        </w:rPr>
        <w:t xml:space="preserve"> "</w:t>
      </w:r>
      <w:r w:rsidRPr="000C0842">
        <w:rPr>
          <w:rFonts w:eastAsia="SimSun" w:hint="eastAsia"/>
          <w:sz w:val="24"/>
          <w:szCs w:val="24"/>
          <w:lang w:val="en-GB"/>
        </w:rPr>
        <w:t>同一健康</w:t>
      </w:r>
      <w:r w:rsidRPr="000C0842">
        <w:rPr>
          <w:rFonts w:eastAsia="SimSun"/>
          <w:sz w:val="24"/>
          <w:szCs w:val="24"/>
          <w:lang w:val="en-GB"/>
        </w:rPr>
        <w:t>"</w:t>
      </w:r>
      <w:r w:rsidRPr="000C0842">
        <w:rPr>
          <w:rFonts w:eastAsia="SimSun" w:hint="eastAsia"/>
          <w:sz w:val="24"/>
          <w:szCs w:val="24"/>
          <w:lang w:val="en-GB"/>
        </w:rPr>
        <w:t>四方联盟参与拟订生物多样性与健康全球行动计划草案，同时认识到与现有任务规定保持一致的重要性，</w:t>
      </w:r>
    </w:p>
    <w:p w14:paraId="6AC61FAB"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注意到</w:t>
      </w:r>
      <w:r w:rsidRPr="000C0842">
        <w:rPr>
          <w:rFonts w:eastAsia="SimSun" w:hint="eastAsia"/>
          <w:sz w:val="24"/>
          <w:szCs w:val="24"/>
          <w:lang w:val="en-GB"/>
        </w:rPr>
        <w:t>生物多样性和生态系统服务政府间科学与政策平台</w:t>
      </w:r>
      <w:r w:rsidRPr="000C0842">
        <w:rPr>
          <w:rFonts w:eastAsia="SimSun" w:hint="eastAsia"/>
          <w:sz w:val="24"/>
          <w:szCs w:val="24"/>
        </w:rPr>
        <w:t>当前开展的关于</w:t>
      </w:r>
      <w:r w:rsidRPr="000C0842">
        <w:rPr>
          <w:rFonts w:eastAsia="SimSun" w:hint="eastAsia"/>
          <w:sz w:val="24"/>
          <w:szCs w:val="24"/>
          <w:lang w:val="en-GB"/>
        </w:rPr>
        <w:t>生物多样性、水、粮食和健康相互关联的专题评估工作，</w:t>
      </w:r>
    </w:p>
    <w:p w14:paraId="4DB9E0DA" w14:textId="70AECD01"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表示注意到</w:t>
      </w:r>
      <w:r w:rsidRPr="000C0842">
        <w:rPr>
          <w:rFonts w:eastAsia="SimSun"/>
          <w:sz w:val="24"/>
          <w:szCs w:val="24"/>
          <w:lang w:val="en-GB"/>
        </w:rPr>
        <w:t xml:space="preserve"> </w:t>
      </w:r>
      <w:hyperlink r:id="rId180" w:history="1">
        <w:r w:rsidRPr="000C0842">
          <w:rPr>
            <w:rFonts w:eastAsia="SimSun"/>
            <w:sz w:val="24"/>
            <w:szCs w:val="24"/>
            <w:u w:val="single"/>
            <w:lang w:val="en-GB"/>
          </w:rPr>
          <w:t>CBD/SBSTTA/26/INF/3</w:t>
        </w:r>
      </w:hyperlink>
      <w:r w:rsidRPr="000C0842">
        <w:rPr>
          <w:rFonts w:eastAsia="SimSun" w:hint="eastAsia"/>
          <w:sz w:val="24"/>
          <w:szCs w:val="24"/>
          <w:lang w:val="en-GB"/>
        </w:rPr>
        <w:t>号文件和世界卫生组织</w:t>
      </w:r>
      <w:r w:rsidRPr="000C0842">
        <w:rPr>
          <w:rFonts w:eastAsia="SimSun"/>
          <w:sz w:val="24"/>
          <w:szCs w:val="24"/>
          <w:lang w:val="en-GB"/>
        </w:rPr>
        <w:t xml:space="preserve"> </w:t>
      </w:r>
      <w:r w:rsidRPr="000C0842">
        <w:rPr>
          <w:rFonts w:eastAsia="SimSun" w:hint="eastAsia"/>
          <w:sz w:val="24"/>
          <w:szCs w:val="24"/>
          <w:lang w:val="en-GB"/>
        </w:rPr>
        <w:t>《从</w:t>
      </w:r>
      <w:r w:rsidRPr="000C0842">
        <w:rPr>
          <w:rFonts w:eastAsia="SimSun"/>
          <w:sz w:val="24"/>
          <w:szCs w:val="24"/>
          <w:lang w:val="en-GB"/>
        </w:rPr>
        <w:t>COVID-19</w:t>
      </w:r>
      <w:r w:rsidRPr="000C0842">
        <w:rPr>
          <w:rFonts w:eastAsia="SimSun" w:hint="eastAsia"/>
          <w:sz w:val="24"/>
          <w:szCs w:val="24"/>
          <w:lang w:val="en-GB"/>
        </w:rPr>
        <w:t>疫情中健康复苏宣言》</w:t>
      </w:r>
      <w:r w:rsidRPr="000C0842">
        <w:rPr>
          <w:rFonts w:eastAsia="SimSun"/>
          <w:sz w:val="24"/>
          <w:szCs w:val="24"/>
          <w:vertAlign w:val="superscript"/>
          <w:lang w:val="en-GB"/>
        </w:rPr>
        <w:footnoteReference w:id="274"/>
      </w:r>
      <w:r w:rsidRPr="000C0842">
        <w:rPr>
          <w:rFonts w:eastAsia="SimSun" w:hint="eastAsia"/>
          <w:sz w:val="24"/>
          <w:szCs w:val="24"/>
          <w:lang w:val="en-GB"/>
        </w:rPr>
        <w:t>所载将生物多样性纳入</w:t>
      </w:r>
      <w:r w:rsidRPr="000C0842">
        <w:rPr>
          <w:rFonts w:eastAsia="SimSun"/>
          <w:sz w:val="24"/>
          <w:szCs w:val="24"/>
          <w:lang w:val="en-GB"/>
        </w:rPr>
        <w:t xml:space="preserve"> COVID-19 </w:t>
      </w:r>
      <w:r w:rsidRPr="000C0842">
        <w:rPr>
          <w:rFonts w:eastAsia="SimSun" w:hint="eastAsia"/>
          <w:sz w:val="24"/>
          <w:szCs w:val="24"/>
          <w:lang w:val="en-GB"/>
        </w:rPr>
        <w:t>刺激和复苏措施的备选方案</w:t>
      </w:r>
      <w:r w:rsidRPr="000C0842">
        <w:rPr>
          <w:rFonts w:eastAsia="SimSun"/>
          <w:sz w:val="24"/>
          <w:szCs w:val="24"/>
          <w:lang w:val="en-GB"/>
        </w:rPr>
        <w:t xml:space="preserve">, </w:t>
      </w:r>
    </w:p>
    <w:p w14:paraId="6EF3DD3D" w14:textId="7CFB827D"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rPr>
        <w:t>注意到</w:t>
      </w:r>
      <w:r w:rsidRPr="000C0842">
        <w:rPr>
          <w:rFonts w:eastAsia="SimSun" w:hint="eastAsia"/>
          <w:sz w:val="24"/>
          <w:szCs w:val="24"/>
          <w:lang w:val="en-GB"/>
        </w:rPr>
        <w:t>其他组织和倡议对生物多样性与健康相互关联的重视，包括联合国环境大会通过其关于生物多样性与健康的第</w:t>
      </w:r>
      <w:r w:rsidRPr="000C0842">
        <w:rPr>
          <w:rFonts w:eastAsia="SimSun"/>
          <w:sz w:val="24"/>
          <w:szCs w:val="24"/>
          <w:lang w:val="en-GB"/>
        </w:rPr>
        <w:t xml:space="preserve"> 5.6 </w:t>
      </w:r>
      <w:r w:rsidRPr="000C0842">
        <w:rPr>
          <w:rFonts w:eastAsia="SimSun" w:hint="eastAsia"/>
          <w:sz w:val="24"/>
          <w:szCs w:val="24"/>
          <w:lang w:val="en-GB"/>
        </w:rPr>
        <w:t>号决议；《联合国气候变化框架公约》</w:t>
      </w:r>
      <w:r w:rsidRPr="000C0842">
        <w:rPr>
          <w:rFonts w:eastAsia="SimSun"/>
          <w:sz w:val="24"/>
          <w:szCs w:val="24"/>
          <w:vertAlign w:val="superscript"/>
          <w:lang w:val="en-GB"/>
        </w:rPr>
        <w:footnoteReference w:id="275"/>
      </w:r>
      <w:r w:rsidRPr="000C0842">
        <w:rPr>
          <w:rFonts w:eastAsia="SimSun" w:hint="eastAsia"/>
          <w:sz w:val="24"/>
          <w:szCs w:val="24"/>
          <w:lang w:val="en-GB"/>
        </w:rPr>
        <w:t>和《巴黎协定》</w:t>
      </w:r>
      <w:r w:rsidRPr="000C0842">
        <w:rPr>
          <w:rFonts w:eastAsia="SimSun"/>
          <w:sz w:val="24"/>
          <w:szCs w:val="24"/>
          <w:vertAlign w:val="superscript"/>
          <w:lang w:val="en-GB"/>
        </w:rPr>
        <w:footnoteReference w:id="276"/>
      </w:r>
      <w:r w:rsidRPr="000C0842">
        <w:rPr>
          <w:rFonts w:eastAsia="SimSun" w:hint="eastAsia"/>
          <w:sz w:val="24"/>
          <w:szCs w:val="24"/>
          <w:lang w:val="en-GB"/>
        </w:rPr>
        <w:t>通过其相关决定；土著问题常设论坛</w:t>
      </w:r>
      <w:r w:rsidRPr="000C0842">
        <w:rPr>
          <w:rFonts w:eastAsia="SimSun"/>
          <w:sz w:val="24"/>
          <w:szCs w:val="24"/>
          <w:vertAlign w:val="superscript"/>
          <w:lang w:val="en-GB"/>
        </w:rPr>
        <w:footnoteReference w:id="277"/>
      </w:r>
      <w:r w:rsidRPr="000C0842">
        <w:rPr>
          <w:rFonts w:eastAsia="SimSun" w:hint="eastAsia"/>
          <w:sz w:val="24"/>
          <w:szCs w:val="24"/>
          <w:lang w:val="en-GB"/>
        </w:rPr>
        <w:t>；《全球化学品框架：使地球免受化学品和废物危害》</w:t>
      </w:r>
      <w:r w:rsidRPr="000C0842">
        <w:rPr>
          <w:rFonts w:eastAsia="SimSun"/>
          <w:sz w:val="24"/>
          <w:szCs w:val="24"/>
          <w:vertAlign w:val="superscript"/>
          <w:lang w:val="en-GB"/>
        </w:rPr>
        <w:footnoteReference w:id="278"/>
      </w:r>
      <w:r w:rsidRPr="000C0842">
        <w:rPr>
          <w:rFonts w:eastAsia="SimSun" w:hint="eastAsia"/>
          <w:sz w:val="24"/>
          <w:szCs w:val="24"/>
          <w:lang w:val="en-GB"/>
        </w:rPr>
        <w:t>；当前世界卫生组织就一项新的大流行病预防、防备和应对协定举行的谈判，</w:t>
      </w:r>
    </w:p>
    <w:p w14:paraId="1C7B6965"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i/>
          <w:iCs/>
          <w:sz w:val="24"/>
          <w:szCs w:val="24"/>
          <w:lang w:val="en-GB"/>
        </w:rPr>
      </w:pPr>
      <w:r w:rsidRPr="000C0842">
        <w:rPr>
          <w:rFonts w:eastAsia="KaiTi" w:hint="eastAsia"/>
          <w:sz w:val="24"/>
        </w:rPr>
        <w:t>考虑到</w:t>
      </w:r>
      <w:r w:rsidRPr="000C0842">
        <w:rPr>
          <w:rFonts w:eastAsia="SimSun" w:hint="eastAsia"/>
          <w:sz w:val="24"/>
          <w:szCs w:val="24"/>
          <w:lang w:val="en-GB"/>
        </w:rPr>
        <w:t>与其他多边环境协定及相关组织和倡议合作，支持把生物多样性与健康的相互关联纳入主流的重要性以及避免重复工作的必要性</w:t>
      </w:r>
      <w:r w:rsidRPr="000C0842">
        <w:rPr>
          <w:rFonts w:eastAsia="SimSun"/>
          <w:sz w:val="24"/>
          <w:szCs w:val="24"/>
          <w:lang w:val="en-GB"/>
        </w:rPr>
        <w:t>,</w:t>
      </w:r>
    </w:p>
    <w:p w14:paraId="45870176"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1</w:t>
      </w:r>
      <w:r w:rsidRPr="000C0842">
        <w:rPr>
          <w:rFonts w:eastAsia="SimSun"/>
          <w:i/>
          <w:iCs/>
          <w:sz w:val="24"/>
          <w:szCs w:val="24"/>
          <w:lang w:val="en-GB"/>
        </w:rPr>
        <w:t>.</w:t>
      </w:r>
      <w:r w:rsidRPr="000C0842">
        <w:rPr>
          <w:rFonts w:eastAsia="SimSun"/>
          <w:i/>
          <w:iCs/>
          <w:sz w:val="24"/>
          <w:szCs w:val="24"/>
          <w:lang w:val="en-GB"/>
        </w:rPr>
        <w:tab/>
      </w:r>
      <w:r w:rsidRPr="000C0842">
        <w:rPr>
          <w:rFonts w:eastAsia="KaiTi" w:hint="eastAsia"/>
          <w:sz w:val="24"/>
        </w:rPr>
        <w:t>通过</w:t>
      </w:r>
      <w:r w:rsidRPr="000C0842">
        <w:rPr>
          <w:rFonts w:eastAsia="SimSun" w:hint="eastAsia"/>
          <w:sz w:val="24"/>
          <w:szCs w:val="24"/>
          <w:lang w:val="en-GB"/>
        </w:rPr>
        <w:t>本决定附件一所载《生物多样性与健康全球行动计划》，作为支持执行</w:t>
      </w:r>
      <w:r w:rsidRPr="000C0842">
        <w:rPr>
          <w:rFonts w:eastAsia="SimSun"/>
          <w:sz w:val="24"/>
          <w:szCs w:val="24"/>
          <w:lang w:val="en-GB"/>
        </w:rPr>
        <w:t xml:space="preserve"> </w:t>
      </w:r>
      <w:r w:rsidRPr="000C0842">
        <w:rPr>
          <w:rFonts w:eastAsia="SimSun" w:hint="eastAsia"/>
          <w:sz w:val="24"/>
          <w:szCs w:val="24"/>
          <w:lang w:val="en-GB"/>
        </w:rPr>
        <w:t>《昆明</w:t>
      </w:r>
      <w:r w:rsidRPr="000C0842">
        <w:rPr>
          <w:rFonts w:eastAsia="SimSun"/>
          <w:sz w:val="24"/>
          <w:szCs w:val="24"/>
          <w:lang w:val="en-GB"/>
        </w:rPr>
        <w:t>-</w:t>
      </w:r>
      <w:r w:rsidRPr="000C0842">
        <w:rPr>
          <w:rFonts w:eastAsia="SimSun" w:hint="eastAsia"/>
          <w:sz w:val="24"/>
          <w:szCs w:val="24"/>
          <w:lang w:val="en-GB"/>
        </w:rPr>
        <w:t>蒙特利尔全球生物多样性框架》的自愿计划，补充第</w:t>
      </w:r>
      <w:hyperlink r:id="rId181" w:history="1">
        <w:r w:rsidRPr="000C0842">
          <w:rPr>
            <w:rFonts w:eastAsia="SimSun"/>
            <w:u w:val="single"/>
            <w:lang w:val="en-GB"/>
          </w:rPr>
          <w:t>XIII/6</w:t>
        </w:r>
      </w:hyperlink>
      <w:r w:rsidRPr="000C0842">
        <w:rPr>
          <w:rFonts w:eastAsia="SimSun" w:hint="eastAsia"/>
          <w:sz w:val="24"/>
          <w:szCs w:val="24"/>
          <w:lang w:val="en-GB"/>
        </w:rPr>
        <w:t>号、第</w:t>
      </w:r>
      <w:hyperlink r:id="rId182" w:history="1">
        <w:r w:rsidRPr="000C0842">
          <w:rPr>
            <w:rFonts w:eastAsia="SimSun"/>
            <w:u w:val="single"/>
            <w:lang w:val="en-GB"/>
          </w:rPr>
          <w:t>14/4</w:t>
        </w:r>
      </w:hyperlink>
      <w:r w:rsidRPr="000C0842">
        <w:rPr>
          <w:rFonts w:eastAsia="SimSun" w:hint="eastAsia"/>
          <w:sz w:val="24"/>
          <w:szCs w:val="24"/>
          <w:lang w:val="en-GB"/>
        </w:rPr>
        <w:t>号和第</w:t>
      </w:r>
      <w:hyperlink r:id="rId183" w:history="1">
        <w:r w:rsidRPr="000C0842">
          <w:rPr>
            <w:rFonts w:eastAsia="SimSun"/>
            <w:u w:val="single"/>
            <w:lang w:val="en-GB"/>
          </w:rPr>
          <w:t>15/29</w:t>
        </w:r>
      </w:hyperlink>
      <w:r w:rsidRPr="000C0842">
        <w:rPr>
          <w:rFonts w:eastAsia="SimSun" w:hint="eastAsia"/>
          <w:sz w:val="24"/>
          <w:szCs w:val="24"/>
          <w:lang w:val="en-GB"/>
        </w:rPr>
        <w:t>号决定中的指导意见；</w:t>
      </w:r>
    </w:p>
    <w:p w14:paraId="674FE76D"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i/>
          <w:iCs/>
          <w:sz w:val="24"/>
          <w:szCs w:val="24"/>
          <w:lang w:val="en-GB"/>
        </w:rPr>
        <w:tab/>
      </w:r>
      <w:r w:rsidRPr="000C0842">
        <w:rPr>
          <w:rFonts w:eastAsia="KaiTi" w:hint="eastAsia"/>
          <w:sz w:val="24"/>
          <w:szCs w:val="24"/>
          <w:lang w:val="en-GB"/>
        </w:rPr>
        <w:t>表示</w:t>
      </w:r>
      <w:r w:rsidRPr="000C0842">
        <w:rPr>
          <w:rFonts w:eastAsia="KaiTi" w:hint="eastAsia"/>
          <w:sz w:val="24"/>
        </w:rPr>
        <w:t>注意到</w:t>
      </w:r>
      <w:r w:rsidRPr="000C0842">
        <w:rPr>
          <w:rFonts w:ascii="SimSun" w:eastAsia="SimSun" w:hAnsi="SimSun" w:hint="eastAsia"/>
          <w:sz w:val="24"/>
          <w:lang w:val="en-GB"/>
        </w:rPr>
        <w:t>关于生物多样性与健康的</w:t>
      </w:r>
      <w:hyperlink r:id="rId184" w:history="1">
        <w:r w:rsidRPr="000C0842">
          <w:rPr>
            <w:rFonts w:eastAsia="KaiTi"/>
            <w:sz w:val="24"/>
            <w:u w:val="single"/>
            <w:lang w:val="en-GB"/>
          </w:rPr>
          <w:t>CBD/SBSTTA/26/8</w:t>
        </w:r>
      </w:hyperlink>
      <w:r w:rsidRPr="000C0842">
        <w:rPr>
          <w:rFonts w:ascii="SimSun" w:eastAsia="SimSun" w:hAnsi="SimSun" w:hint="eastAsia"/>
          <w:sz w:val="24"/>
          <w:lang w:val="en-GB"/>
        </w:rPr>
        <w:t>号文件，特别是其附件一的附文一和附文二和其附件二</w:t>
      </w:r>
      <w:r w:rsidRPr="000C0842">
        <w:rPr>
          <w:rFonts w:eastAsia="SimSun"/>
          <w:sz w:val="24"/>
          <w:szCs w:val="24"/>
          <w:vertAlign w:val="superscript"/>
          <w:lang w:val="en-GB"/>
        </w:rPr>
        <w:footnoteReference w:id="279"/>
      </w:r>
      <w:r w:rsidRPr="000C0842">
        <w:rPr>
          <w:rFonts w:eastAsia="SimSun" w:hint="eastAsia"/>
          <w:sz w:val="24"/>
          <w:szCs w:val="24"/>
          <w:lang w:val="en-GB"/>
        </w:rPr>
        <w:t>；</w:t>
      </w:r>
    </w:p>
    <w:p w14:paraId="7F6E3F73"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3.</w:t>
      </w:r>
      <w:r w:rsidRPr="000C0842">
        <w:rPr>
          <w:rFonts w:eastAsia="SimSun"/>
          <w:i/>
          <w:iCs/>
          <w:sz w:val="24"/>
          <w:szCs w:val="24"/>
          <w:lang w:val="en-GB"/>
        </w:rPr>
        <w:tab/>
      </w:r>
      <w:r w:rsidRPr="000C0842">
        <w:rPr>
          <w:rFonts w:eastAsia="KaiTi" w:hint="eastAsia"/>
          <w:sz w:val="24"/>
        </w:rPr>
        <w:t>鼓励</w:t>
      </w:r>
      <w:r w:rsidRPr="000C0842">
        <w:rPr>
          <w:rFonts w:eastAsia="SimSun" w:hint="eastAsia"/>
          <w:sz w:val="24"/>
          <w:szCs w:val="24"/>
        </w:rPr>
        <w:t>缔约方根据本国国情和优先事项，在自愿基础上</w:t>
      </w:r>
      <w:r w:rsidRPr="000C0842">
        <w:rPr>
          <w:rFonts w:eastAsia="SimSun" w:hint="eastAsia"/>
          <w:sz w:val="24"/>
          <w:szCs w:val="24"/>
          <w:lang w:val="en-GB"/>
        </w:rPr>
        <w:t>：</w:t>
      </w:r>
    </w:p>
    <w:p w14:paraId="43850C79" w14:textId="77777777" w:rsidR="00382AC2" w:rsidRPr="000C0842" w:rsidRDefault="00382AC2">
      <w:pPr>
        <w:numPr>
          <w:ilvl w:val="0"/>
          <w:numId w:val="88"/>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iCs/>
          <w:sz w:val="24"/>
          <w:szCs w:val="24"/>
          <w:lang w:val="en-GB"/>
        </w:rPr>
        <w:t>在将生物多样性与健康纳入主流时执行《全球行动计划》，并</w:t>
      </w:r>
      <w:r w:rsidRPr="000C0842">
        <w:rPr>
          <w:rFonts w:eastAsia="SimSun" w:hint="eastAsia"/>
          <w:iCs/>
          <w:sz w:val="24"/>
          <w:szCs w:val="24"/>
          <w:lang w:val="en-GB"/>
        </w:rPr>
        <w:t>酌情通过国家报告等渠道</w:t>
      </w:r>
      <w:r w:rsidRPr="000C0842">
        <w:rPr>
          <w:rFonts w:eastAsia="SimSun"/>
          <w:iCs/>
          <w:sz w:val="24"/>
          <w:szCs w:val="24"/>
          <w:lang w:val="en-GB"/>
        </w:rPr>
        <w:t>通报其执行活动和取得的结果；</w:t>
      </w:r>
    </w:p>
    <w:p w14:paraId="623C54CC" w14:textId="77777777" w:rsidR="00382AC2" w:rsidRPr="000C0842" w:rsidRDefault="00382AC2">
      <w:pPr>
        <w:numPr>
          <w:ilvl w:val="0"/>
          <w:numId w:val="88"/>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iCs/>
          <w:sz w:val="24"/>
          <w:szCs w:val="24"/>
          <w:lang w:val="en-GB"/>
        </w:rPr>
        <w:t>加强生物多样性与健康行为体包括从事人类、动植物和生态系统健康工作、环境工作和传统医药工作的行为体之间的全国协调、知识交流、</w:t>
      </w:r>
      <w:r w:rsidRPr="000C0842">
        <w:rPr>
          <w:rFonts w:eastAsia="SimSun"/>
          <w:iCs/>
          <w:sz w:val="24"/>
          <w:szCs w:val="24"/>
          <w:lang w:val="en-GB"/>
        </w:rPr>
        <w:t xml:space="preserve"> </w:t>
      </w:r>
      <w:r w:rsidRPr="000C0842">
        <w:rPr>
          <w:rFonts w:eastAsia="SimSun"/>
          <w:iCs/>
          <w:sz w:val="24"/>
          <w:szCs w:val="24"/>
          <w:lang w:val="en-GB"/>
        </w:rPr>
        <w:t>执行工作以及良好做法和经验教训的分享，与健康和健康相关机构和专业人员在全国层面全面合作，包括酌情为此指定一个关于生物多样性与健康的国家联络点</w:t>
      </w:r>
      <w:r w:rsidRPr="000C0842">
        <w:rPr>
          <w:rFonts w:eastAsia="SimSun"/>
          <w:sz w:val="24"/>
          <w:szCs w:val="24"/>
          <w:lang w:val="en-GB"/>
        </w:rPr>
        <w:t>；</w:t>
      </w:r>
    </w:p>
    <w:p w14:paraId="3F8E03F4" w14:textId="77777777" w:rsidR="00382AC2" w:rsidRPr="000C0842" w:rsidRDefault="00382AC2">
      <w:pPr>
        <w:numPr>
          <w:ilvl w:val="0"/>
          <w:numId w:val="88"/>
        </w:numPr>
        <w:tabs>
          <w:tab w:val="clear" w:pos="567"/>
          <w:tab w:val="clear" w:pos="1134"/>
          <w:tab w:val="clear" w:pos="1701"/>
          <w:tab w:val="clear" w:pos="2268"/>
        </w:tabs>
        <w:spacing w:before="120" w:after="120"/>
        <w:ind w:left="490" w:firstLine="432"/>
        <w:rPr>
          <w:rFonts w:eastAsia="SimSun"/>
          <w:kern w:val="2"/>
          <w:sz w:val="24"/>
          <w:szCs w:val="24"/>
          <w:lang w:val="en-GB"/>
        </w:rPr>
      </w:pPr>
      <w:r w:rsidRPr="000C0842">
        <w:rPr>
          <w:rFonts w:eastAsia="SimSun"/>
          <w:sz w:val="24"/>
          <w:szCs w:val="24"/>
          <w:lang w:val="en-GB"/>
        </w:rPr>
        <w:t>确保青年充分和有效参与关于生物多样性与健康的决策和行动；</w:t>
      </w:r>
    </w:p>
    <w:p w14:paraId="463A8C6B" w14:textId="5C2323BF" w:rsidR="00382AC2" w:rsidRPr="000C0842" w:rsidRDefault="00382AC2">
      <w:pPr>
        <w:numPr>
          <w:ilvl w:val="0"/>
          <w:numId w:val="88"/>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iCs/>
          <w:sz w:val="24"/>
          <w:szCs w:val="24"/>
          <w:lang w:val="en-GB"/>
        </w:rPr>
        <w:t>根据第</w:t>
      </w:r>
      <w:r w:rsidRPr="000C0842">
        <w:rPr>
          <w:rFonts w:eastAsia="SimSun"/>
          <w:iCs/>
          <w:sz w:val="24"/>
          <w:szCs w:val="24"/>
          <w:lang w:val="en-GB"/>
        </w:rPr>
        <w:t xml:space="preserve"> </w:t>
      </w:r>
      <w:hyperlink r:id="rId185" w:history="1">
        <w:r w:rsidRPr="000C0842">
          <w:rPr>
            <w:rFonts w:eastAsia="SimSun"/>
            <w:iCs/>
            <w:sz w:val="24"/>
            <w:szCs w:val="24"/>
            <w:u w:val="single"/>
            <w:lang w:val="en-GB"/>
          </w:rPr>
          <w:t>14/4</w:t>
        </w:r>
      </w:hyperlink>
      <w:r w:rsidRPr="000C0842">
        <w:rPr>
          <w:rFonts w:eastAsia="SimSun"/>
          <w:iCs/>
          <w:sz w:val="24"/>
          <w:szCs w:val="24"/>
          <w:lang w:val="en-GB"/>
        </w:rPr>
        <w:t xml:space="preserve"> </w:t>
      </w:r>
      <w:r w:rsidRPr="000C0842">
        <w:rPr>
          <w:rFonts w:eastAsia="SimSun"/>
          <w:iCs/>
          <w:sz w:val="24"/>
          <w:szCs w:val="24"/>
          <w:lang w:val="en-GB"/>
        </w:rPr>
        <w:t>号决定，将生物多样性与健康的相互关联纳入生物多样性相关政策和方案，并酌情根据《昆蒙框架》</w:t>
      </w:r>
      <w:r w:rsidRPr="000C0842">
        <w:rPr>
          <w:rFonts w:eastAsia="SimSun"/>
          <w:iCs/>
          <w:sz w:val="24"/>
          <w:szCs w:val="24"/>
          <w:lang w:val="en-GB"/>
        </w:rPr>
        <w:t xml:space="preserve">C </w:t>
      </w:r>
      <w:r w:rsidRPr="000C0842">
        <w:rPr>
          <w:rFonts w:eastAsia="SimSun"/>
          <w:iCs/>
          <w:sz w:val="24"/>
          <w:szCs w:val="24"/>
          <w:lang w:val="en-GB"/>
        </w:rPr>
        <w:t>部分将其纳入国家生物多样性战略和行动计划，同时考虑到《全球行动计划》的要素；</w:t>
      </w:r>
    </w:p>
    <w:p w14:paraId="4F29CA79" w14:textId="77777777" w:rsidR="00382AC2" w:rsidRPr="000C0842" w:rsidRDefault="00382AC2">
      <w:pPr>
        <w:numPr>
          <w:ilvl w:val="0"/>
          <w:numId w:val="88"/>
        </w:numPr>
        <w:tabs>
          <w:tab w:val="clear" w:pos="567"/>
          <w:tab w:val="clear" w:pos="1134"/>
          <w:tab w:val="clear" w:pos="1701"/>
          <w:tab w:val="clear" w:pos="2268"/>
        </w:tabs>
        <w:spacing w:before="120" w:after="120"/>
        <w:ind w:left="490" w:firstLine="432"/>
        <w:rPr>
          <w:sz w:val="24"/>
          <w:szCs w:val="24"/>
          <w:lang w:val="en-GB"/>
        </w:rPr>
      </w:pPr>
      <w:r w:rsidRPr="000C0842">
        <w:rPr>
          <w:rFonts w:eastAsia="SimSun"/>
          <w:sz w:val="24"/>
          <w:szCs w:val="24"/>
          <w:lang w:val="en-GB"/>
        </w:rPr>
        <w:t>确认迫切需要解决导致生物多样性丧失的驱动因素，以期减少健康风险，同时支持执行《昆明</w:t>
      </w:r>
      <w:r w:rsidRPr="000C0842">
        <w:rPr>
          <w:rFonts w:eastAsia="SimSun"/>
          <w:sz w:val="24"/>
          <w:szCs w:val="24"/>
          <w:lang w:val="en-GB"/>
        </w:rPr>
        <w:t>-</w:t>
      </w:r>
      <w:r w:rsidRPr="000C0842">
        <w:rPr>
          <w:rFonts w:eastAsia="SimSun"/>
          <w:sz w:val="24"/>
          <w:szCs w:val="24"/>
          <w:lang w:val="en-GB"/>
        </w:rPr>
        <w:t>蒙特利尔全球生物多样性框架》，特别是</w:t>
      </w:r>
      <w:r w:rsidRPr="000C0842">
        <w:rPr>
          <w:rFonts w:eastAsia="SimSun"/>
          <w:sz w:val="24"/>
          <w:szCs w:val="24"/>
          <w:lang w:val="en-GB"/>
        </w:rPr>
        <w:t xml:space="preserve"> C </w:t>
      </w:r>
      <w:r w:rsidRPr="000C0842">
        <w:rPr>
          <w:rFonts w:eastAsia="SimSun"/>
          <w:sz w:val="24"/>
          <w:szCs w:val="24"/>
          <w:lang w:val="en-GB"/>
        </w:rPr>
        <w:t>部分第</w:t>
      </w:r>
      <w:r w:rsidRPr="000C0842">
        <w:rPr>
          <w:rFonts w:eastAsia="SimSun"/>
          <w:sz w:val="24"/>
          <w:szCs w:val="24"/>
          <w:lang w:val="en-GB"/>
        </w:rPr>
        <w:t xml:space="preserve"> 7 (r) </w:t>
      </w:r>
      <w:r w:rsidRPr="000C0842">
        <w:rPr>
          <w:rFonts w:eastAsia="SimSun"/>
          <w:sz w:val="24"/>
          <w:szCs w:val="24"/>
          <w:lang w:val="en-GB"/>
        </w:rPr>
        <w:t>段和行动目标</w:t>
      </w:r>
      <w:r w:rsidRPr="000C0842">
        <w:rPr>
          <w:rFonts w:eastAsia="SimSun"/>
          <w:sz w:val="24"/>
          <w:szCs w:val="24"/>
          <w:lang w:val="en-GB"/>
        </w:rPr>
        <w:t xml:space="preserve"> 14</w:t>
      </w:r>
      <w:r w:rsidRPr="000C0842">
        <w:rPr>
          <w:rFonts w:eastAsia="SimSun"/>
          <w:sz w:val="24"/>
          <w:szCs w:val="24"/>
          <w:lang w:val="en-GB"/>
        </w:rPr>
        <w:t>；</w:t>
      </w:r>
    </w:p>
    <w:p w14:paraId="1149697D"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4.</w:t>
      </w:r>
      <w:r w:rsidRPr="000C0842">
        <w:rPr>
          <w:rFonts w:eastAsia="SimSun"/>
          <w:sz w:val="24"/>
          <w:szCs w:val="24"/>
          <w:lang w:val="en-GB"/>
        </w:rPr>
        <w:tab/>
      </w:r>
      <w:r w:rsidRPr="000C0842">
        <w:rPr>
          <w:rFonts w:eastAsia="KaiTi" w:hint="eastAsia"/>
          <w:sz w:val="24"/>
        </w:rPr>
        <w:t>邀请</w:t>
      </w:r>
      <w:r w:rsidRPr="000C0842">
        <w:rPr>
          <w:rFonts w:eastAsia="SimSun" w:hint="eastAsia"/>
          <w:sz w:val="24"/>
          <w:szCs w:val="24"/>
          <w:lang w:val="en-GB"/>
        </w:rPr>
        <w:t>其他国家政府、相关多边环境和健康协定的理事机构和秘书处、国际组织、包括</w:t>
      </w:r>
      <w:r w:rsidRPr="000C0842">
        <w:rPr>
          <w:rFonts w:eastAsia="SimSun"/>
          <w:sz w:val="24"/>
          <w:szCs w:val="24"/>
          <w:lang w:val="en-GB"/>
        </w:rPr>
        <w:t xml:space="preserve"> "</w:t>
      </w:r>
      <w:r w:rsidRPr="000C0842">
        <w:rPr>
          <w:rFonts w:eastAsia="SimSun" w:hint="eastAsia"/>
          <w:sz w:val="24"/>
          <w:szCs w:val="24"/>
        </w:rPr>
        <w:t>同一</w:t>
      </w:r>
      <w:r w:rsidRPr="000C0842">
        <w:rPr>
          <w:rFonts w:eastAsia="SimSun" w:hint="eastAsia"/>
          <w:sz w:val="24"/>
          <w:szCs w:val="24"/>
          <w:lang w:val="en-GB"/>
        </w:rPr>
        <w:t>健康</w:t>
      </w:r>
      <w:r w:rsidRPr="000C0842">
        <w:rPr>
          <w:rFonts w:eastAsia="SimSun"/>
          <w:sz w:val="24"/>
          <w:szCs w:val="24"/>
          <w:lang w:val="en-GB"/>
        </w:rPr>
        <w:t>"</w:t>
      </w:r>
      <w:r w:rsidRPr="000C0842">
        <w:rPr>
          <w:rFonts w:eastAsia="SimSun" w:hint="eastAsia"/>
          <w:sz w:val="24"/>
          <w:szCs w:val="24"/>
          <w:lang w:val="en-GB"/>
        </w:rPr>
        <w:t>四方联盟成员，提高对《全球行动计划》的认识，推动</w:t>
      </w:r>
      <w:r w:rsidRPr="000C0842">
        <w:rPr>
          <w:rFonts w:eastAsia="SimSun" w:hint="eastAsia"/>
          <w:sz w:val="24"/>
          <w:szCs w:val="24"/>
        </w:rPr>
        <w:t>将</w:t>
      </w:r>
      <w:r w:rsidRPr="000C0842">
        <w:rPr>
          <w:rFonts w:eastAsia="SimSun" w:hint="eastAsia"/>
          <w:sz w:val="24"/>
          <w:szCs w:val="24"/>
          <w:lang w:val="en-GB"/>
        </w:rPr>
        <w:t>生物多样性与健康的相互关联纳入各个部门的主流，同时尊重国家自行决定的优先事项，进一步支持制定和实施措施、指南和工具，促进和支持生物多样性与健康关联主流化；</w:t>
      </w:r>
    </w:p>
    <w:p w14:paraId="4860989B"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5.</w:t>
      </w:r>
      <w:r w:rsidRPr="000C0842">
        <w:rPr>
          <w:rFonts w:eastAsia="SimSun"/>
          <w:sz w:val="24"/>
          <w:szCs w:val="24"/>
          <w:lang w:val="en-GB"/>
        </w:rPr>
        <w:tab/>
      </w:r>
      <w:r w:rsidRPr="000C0842">
        <w:rPr>
          <w:rFonts w:eastAsia="KaiTi" w:hint="eastAsia"/>
          <w:sz w:val="24"/>
        </w:rPr>
        <w:t>邀请</w:t>
      </w:r>
      <w:r w:rsidRPr="000C0842">
        <w:rPr>
          <w:rFonts w:eastAsia="SimSun" w:hint="eastAsia"/>
          <w:sz w:val="24"/>
          <w:szCs w:val="24"/>
          <w:lang w:val="en-GB"/>
        </w:rPr>
        <w:t>土著人民和地方社区、相关利益攸关方（包括私营部门和学术界）、妇女、儿童和青年为执行《全球行动计划》作出贡献</w:t>
      </w:r>
      <w:r w:rsidRPr="000C0842">
        <w:rPr>
          <w:rFonts w:eastAsia="SimSun"/>
          <w:sz w:val="24"/>
          <w:szCs w:val="24"/>
          <w:lang w:val="en-GB"/>
        </w:rPr>
        <w:t xml:space="preserve">; </w:t>
      </w:r>
    </w:p>
    <w:p w14:paraId="3CCB54FD"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6.</w:t>
      </w:r>
      <w:r w:rsidRPr="000C0842">
        <w:rPr>
          <w:rFonts w:eastAsia="SimSun"/>
          <w:sz w:val="24"/>
          <w:szCs w:val="24"/>
          <w:lang w:val="en-GB"/>
        </w:rPr>
        <w:tab/>
      </w:r>
      <w:r w:rsidRPr="000C0842">
        <w:rPr>
          <w:rFonts w:eastAsia="KaiTi" w:hint="eastAsia"/>
          <w:sz w:val="24"/>
        </w:rPr>
        <w:t>邀请</w:t>
      </w:r>
      <w:r w:rsidRPr="000C0842">
        <w:rPr>
          <w:rFonts w:eastAsia="SimSun" w:hint="eastAsia"/>
          <w:sz w:val="24"/>
          <w:szCs w:val="24"/>
          <w:lang w:val="en-GB"/>
        </w:rPr>
        <w:t>世界卫生组织酌情考虑到根据其</w:t>
      </w:r>
      <w:r w:rsidRPr="000C0842">
        <w:rPr>
          <w:rFonts w:eastAsia="SimSun"/>
          <w:sz w:val="24"/>
          <w:szCs w:val="24"/>
          <w:lang w:val="en-GB"/>
        </w:rPr>
        <w:t>2025-2028</w:t>
      </w:r>
      <w:r w:rsidRPr="000C0842">
        <w:rPr>
          <w:rFonts w:eastAsia="SimSun" w:hint="eastAsia"/>
          <w:sz w:val="24"/>
          <w:szCs w:val="24"/>
          <w:lang w:val="en-GB"/>
        </w:rPr>
        <w:t>年第十四个工作总规划和世界卫生大会关于“同一健康”和健康的环境决定因素的各项决议开展的生物多样性和健康工作与《生物多样性公约》下开展的工作之间的协同增效作用；</w:t>
      </w:r>
    </w:p>
    <w:p w14:paraId="5F885037"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7.</w:t>
      </w:r>
      <w:r w:rsidRPr="000C0842">
        <w:rPr>
          <w:rFonts w:eastAsia="SimSun"/>
          <w:sz w:val="24"/>
          <w:szCs w:val="24"/>
          <w:lang w:val="en-GB"/>
        </w:rPr>
        <w:tab/>
      </w:r>
      <w:r w:rsidRPr="000C0842">
        <w:rPr>
          <w:rFonts w:eastAsia="KaiTi" w:hint="eastAsia"/>
          <w:sz w:val="24"/>
          <w:lang w:val="en-GB"/>
        </w:rPr>
        <w:t>鼓励</w:t>
      </w:r>
      <w:r w:rsidRPr="000C0842">
        <w:rPr>
          <w:rFonts w:eastAsia="SimSun" w:hint="eastAsia"/>
          <w:sz w:val="24"/>
          <w:szCs w:val="24"/>
          <w:lang w:val="en-GB"/>
        </w:rPr>
        <w:t>缔约方根据《公约》第</w:t>
      </w:r>
      <w:r w:rsidRPr="000C0842">
        <w:rPr>
          <w:rFonts w:eastAsia="SimSun"/>
          <w:sz w:val="24"/>
          <w:szCs w:val="24"/>
          <w:lang w:val="en-GB"/>
        </w:rPr>
        <w:t xml:space="preserve"> </w:t>
      </w:r>
      <w:hyperlink r:id="rId186" w:history="1">
        <w:r w:rsidRPr="000C0842">
          <w:rPr>
            <w:rFonts w:eastAsia="SimSun"/>
            <w:sz w:val="24"/>
            <w:szCs w:val="24"/>
            <w:u w:val="single"/>
            <w:lang w:val="en-GB"/>
          </w:rPr>
          <w:t>20</w:t>
        </w:r>
      </w:hyperlink>
      <w:r w:rsidRPr="000C0842">
        <w:rPr>
          <w:rFonts w:eastAsia="SimSun"/>
          <w:sz w:val="24"/>
          <w:szCs w:val="24"/>
          <w:lang w:val="en-GB"/>
        </w:rPr>
        <w:t xml:space="preserve"> </w:t>
      </w:r>
      <w:r w:rsidRPr="000C0842">
        <w:rPr>
          <w:rFonts w:eastAsia="SimSun" w:hint="eastAsia"/>
          <w:sz w:val="24"/>
          <w:szCs w:val="24"/>
          <w:lang w:val="en-GB"/>
        </w:rPr>
        <w:t>条、并邀请其他国家政府、相关多边环境和健康协定、相关组织、捐助方和相关金融机构酌情为旨在有效落实生物多样性与健康的相互关联以及《全球行动计划》的能力建设和发展提供资金和技术支持；</w:t>
      </w:r>
    </w:p>
    <w:p w14:paraId="0B7A33D0"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highlight w:val="green"/>
          <w:lang w:val="en-GB"/>
        </w:rPr>
      </w:pPr>
      <w:r w:rsidRPr="000C0842">
        <w:rPr>
          <w:rFonts w:eastAsia="SimSun"/>
          <w:sz w:val="24"/>
          <w:szCs w:val="24"/>
          <w:lang w:val="en-GB"/>
        </w:rPr>
        <w:t>8.</w:t>
      </w:r>
      <w:r w:rsidRPr="000C0842">
        <w:rPr>
          <w:rFonts w:eastAsia="SimSun"/>
          <w:sz w:val="24"/>
          <w:szCs w:val="24"/>
          <w:lang w:val="en-GB"/>
        </w:rPr>
        <w:tab/>
      </w:r>
      <w:r w:rsidRPr="000C0842">
        <w:rPr>
          <w:rFonts w:eastAsia="KaiTi" w:hint="eastAsia"/>
          <w:sz w:val="24"/>
        </w:rPr>
        <w:t>邀请</w:t>
      </w:r>
      <w:r w:rsidRPr="000C0842">
        <w:rPr>
          <w:rFonts w:eastAsia="SimSun" w:hint="eastAsia"/>
          <w:sz w:val="24"/>
          <w:szCs w:val="24"/>
          <w:lang w:val="en-GB"/>
        </w:rPr>
        <w:t>缔约方、其他国家政府、相关多边环境协定和其他组织分享各级执行</w:t>
      </w:r>
      <w:r w:rsidRPr="000C0842">
        <w:rPr>
          <w:rFonts w:eastAsia="SimSun"/>
          <w:sz w:val="24"/>
          <w:szCs w:val="24"/>
          <w:lang w:val="en-GB"/>
        </w:rPr>
        <w:t xml:space="preserve"> </w:t>
      </w:r>
      <w:r w:rsidRPr="000C0842">
        <w:rPr>
          <w:rFonts w:eastAsia="SimSun" w:hint="eastAsia"/>
          <w:sz w:val="24"/>
          <w:szCs w:val="24"/>
          <w:lang w:val="en-GB"/>
        </w:rPr>
        <w:t>《全球行动计划》和将生物多样性与健康的相互关联纳入主流的措施、指南和工具、范例、最佳做法和经验教训；</w:t>
      </w:r>
    </w:p>
    <w:p w14:paraId="6A226044"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9.</w:t>
      </w:r>
      <w:r w:rsidRPr="000C0842">
        <w:rPr>
          <w:rFonts w:eastAsia="SimSun"/>
          <w:i/>
          <w:iCs/>
          <w:sz w:val="24"/>
          <w:szCs w:val="24"/>
          <w:lang w:val="en-GB"/>
        </w:rPr>
        <w:tab/>
      </w:r>
      <w:r w:rsidRPr="000C0842">
        <w:rPr>
          <w:rFonts w:eastAsia="KaiTi" w:hint="eastAsia"/>
          <w:sz w:val="24"/>
        </w:rPr>
        <w:t>请</w:t>
      </w:r>
      <w:r w:rsidRPr="000C0842">
        <w:rPr>
          <w:rFonts w:eastAsia="SimSun" w:hint="eastAsia"/>
          <w:sz w:val="24"/>
          <w:szCs w:val="24"/>
        </w:rPr>
        <w:t>执行秘书在资源允许的情况下：</w:t>
      </w:r>
    </w:p>
    <w:p w14:paraId="43D40943"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sz w:val="24"/>
          <w:szCs w:val="24"/>
          <w:lang w:val="en-GB"/>
        </w:rPr>
        <w:t>参考本决定附件第三节，包括其第</w:t>
      </w:r>
      <w:r w:rsidRPr="000C0842">
        <w:rPr>
          <w:rFonts w:eastAsia="SimSun"/>
          <w:sz w:val="24"/>
          <w:szCs w:val="24"/>
          <w:lang w:val="en-GB"/>
        </w:rPr>
        <w:t>14</w:t>
      </w:r>
      <w:r w:rsidRPr="000C0842">
        <w:rPr>
          <w:rFonts w:eastAsia="SimSun"/>
          <w:sz w:val="24"/>
          <w:szCs w:val="24"/>
          <w:lang w:val="en-GB"/>
        </w:rPr>
        <w:t>段及其他部分的信息</w:t>
      </w:r>
      <w:r w:rsidRPr="000C0842">
        <w:rPr>
          <w:rFonts w:eastAsia="SimSun" w:hint="eastAsia"/>
          <w:sz w:val="24"/>
          <w:szCs w:val="24"/>
          <w:lang w:val="en-GB"/>
        </w:rPr>
        <w:t>，</w:t>
      </w:r>
      <w:r w:rsidRPr="000C0842">
        <w:rPr>
          <w:rFonts w:eastAsia="SimSun"/>
          <w:sz w:val="24"/>
          <w:szCs w:val="24"/>
          <w:lang w:val="en-GB"/>
        </w:rPr>
        <w:t>完成根据第</w:t>
      </w:r>
      <w:hyperlink r:id="rId187" w:history="1">
        <w:r w:rsidRPr="000C0842">
          <w:rPr>
            <w:rFonts w:eastAsia="SimSun"/>
            <w:sz w:val="24"/>
            <w:szCs w:val="24"/>
            <w:u w:val="single"/>
            <w:lang w:val="en-GB"/>
          </w:rPr>
          <w:t>14/4</w:t>
        </w:r>
      </w:hyperlink>
      <w:r w:rsidRPr="000C0842">
        <w:rPr>
          <w:rFonts w:eastAsia="SimSun"/>
          <w:sz w:val="24"/>
          <w:szCs w:val="24"/>
          <w:lang w:val="en-GB"/>
        </w:rPr>
        <w:t>号决定第</w:t>
      </w:r>
      <w:r w:rsidRPr="000C0842">
        <w:rPr>
          <w:rFonts w:eastAsia="SimSun"/>
          <w:sz w:val="24"/>
          <w:szCs w:val="24"/>
          <w:lang w:val="en-GB"/>
        </w:rPr>
        <w:t>13(a)</w:t>
      </w:r>
      <w:r w:rsidRPr="000C0842">
        <w:rPr>
          <w:rFonts w:eastAsia="SimSun"/>
          <w:sz w:val="24"/>
          <w:szCs w:val="24"/>
          <w:lang w:val="en-GB"/>
        </w:rPr>
        <w:t>段开展的关于制定生物多样性与健康方面的科学综合指标、标尺和进展衡量工具的工作；</w:t>
      </w:r>
    </w:p>
    <w:p w14:paraId="38743325"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sz w:val="24"/>
          <w:szCs w:val="24"/>
          <w:lang w:val="en-GB"/>
        </w:rPr>
        <w:t>与合作伙伴协作，促进能力建设、科技合作和技术转让活动，支持缔约方、土著人民和地方社区以及相关组织、学术界、妇女、儿童、青年、老年人和残疾人等利益攸关方采纳和执行《全球行动计划》，包括与</w:t>
      </w:r>
      <w:r w:rsidRPr="000C0842">
        <w:rPr>
          <w:rFonts w:eastAsia="SimSun"/>
          <w:sz w:val="24"/>
          <w:szCs w:val="24"/>
          <w:lang w:val="en-GB"/>
        </w:rPr>
        <w:t xml:space="preserve"> “</w:t>
      </w:r>
      <w:r w:rsidRPr="000C0842">
        <w:rPr>
          <w:rFonts w:eastAsia="SimSun"/>
          <w:sz w:val="24"/>
          <w:szCs w:val="24"/>
          <w:lang w:val="en-GB"/>
        </w:rPr>
        <w:t>同一健康</w:t>
      </w:r>
      <w:r w:rsidRPr="000C0842">
        <w:rPr>
          <w:rFonts w:eastAsia="SimSun"/>
          <w:sz w:val="24"/>
          <w:szCs w:val="24"/>
          <w:lang w:val="en-GB"/>
        </w:rPr>
        <w:t xml:space="preserve"> ”</w:t>
      </w:r>
      <w:r w:rsidRPr="000C0842">
        <w:rPr>
          <w:rFonts w:eastAsia="SimSun"/>
          <w:sz w:val="24"/>
          <w:szCs w:val="24"/>
          <w:lang w:val="en-GB"/>
        </w:rPr>
        <w:t>四方联盟和其他多边环境协定秘书处以及其他方面的成员开展合作，举办区域研讨会，促进对话，确保土著人民和地方社区、妇女和青年的参与</w:t>
      </w:r>
      <w:r w:rsidRPr="000C0842">
        <w:rPr>
          <w:rFonts w:eastAsia="SimSun"/>
          <w:sz w:val="24"/>
          <w:szCs w:val="24"/>
          <w:lang w:val="en-GB"/>
        </w:rPr>
        <w:t>;</w:t>
      </w:r>
    </w:p>
    <w:p w14:paraId="5CDAEA2E"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sz w:val="24"/>
          <w:szCs w:val="24"/>
          <w:lang w:val="en-GB"/>
        </w:rPr>
        <w:t>继续提高各级对生物多样性与健康重要相互关联的认识，包括认识到这些关联对《昆蒙框架》执行工作的意义，同时也通过其他多边环境协定和政府间机构的相关进程这样做；</w:t>
      </w:r>
      <w:r w:rsidRPr="000C0842">
        <w:rPr>
          <w:rFonts w:eastAsia="SimSun"/>
          <w:sz w:val="24"/>
          <w:szCs w:val="24"/>
          <w:lang w:val="en-GB"/>
        </w:rPr>
        <w:t xml:space="preserve"> </w:t>
      </w:r>
    </w:p>
    <w:p w14:paraId="5556DB73"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rFonts w:eastAsia="SimSun"/>
          <w:sz w:val="24"/>
          <w:szCs w:val="24"/>
          <w:lang w:val="en-GB"/>
        </w:rPr>
      </w:pPr>
      <w:r w:rsidRPr="000C0842">
        <w:rPr>
          <w:rFonts w:eastAsia="SimSun"/>
          <w:iCs/>
          <w:sz w:val="24"/>
          <w:szCs w:val="24"/>
          <w:lang w:val="en-GB"/>
        </w:rPr>
        <w:t>根据国际义务增进和加强与国际组织和其他多边环境、健康和人权协定秘书处在生物多样性与健康的相互关联方面的合作</w:t>
      </w:r>
      <w:r w:rsidRPr="000C0842">
        <w:rPr>
          <w:rFonts w:eastAsia="SimSun"/>
          <w:sz w:val="24"/>
          <w:szCs w:val="24"/>
          <w:lang w:val="en-GB"/>
        </w:rPr>
        <w:t>；</w:t>
      </w:r>
      <w:r w:rsidRPr="000C0842">
        <w:rPr>
          <w:rFonts w:eastAsia="SimSun"/>
          <w:sz w:val="24"/>
          <w:szCs w:val="24"/>
          <w:lang w:val="en-GB"/>
        </w:rPr>
        <w:t xml:space="preserve"> </w:t>
      </w:r>
    </w:p>
    <w:p w14:paraId="002DA479"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sz w:val="24"/>
          <w:szCs w:val="24"/>
          <w:lang w:val="en-GB"/>
        </w:rPr>
      </w:pPr>
      <w:r w:rsidRPr="000C0842">
        <w:rPr>
          <w:rFonts w:eastAsia="SimSun"/>
          <w:sz w:val="24"/>
          <w:szCs w:val="24"/>
          <w:lang w:val="en-GB"/>
        </w:rPr>
        <w:t>与世界卫生组织以及</w:t>
      </w:r>
      <w:r w:rsidRPr="000C0842">
        <w:rPr>
          <w:rFonts w:eastAsia="SimSun"/>
          <w:sz w:val="24"/>
          <w:szCs w:val="24"/>
          <w:lang w:val="en-GB"/>
        </w:rPr>
        <w:t>“</w:t>
      </w:r>
      <w:r w:rsidRPr="000C0842">
        <w:rPr>
          <w:rFonts w:eastAsia="SimSun"/>
          <w:sz w:val="24"/>
          <w:szCs w:val="24"/>
          <w:lang w:val="en-GB"/>
        </w:rPr>
        <w:t>同一健康</w:t>
      </w:r>
      <w:r w:rsidRPr="000C0842">
        <w:rPr>
          <w:rFonts w:eastAsia="SimSun"/>
          <w:sz w:val="24"/>
          <w:szCs w:val="24"/>
          <w:lang w:val="en-GB"/>
        </w:rPr>
        <w:t>”</w:t>
      </w:r>
      <w:r w:rsidRPr="000C0842">
        <w:rPr>
          <w:rFonts w:eastAsia="SimSun"/>
          <w:sz w:val="24"/>
          <w:szCs w:val="24"/>
          <w:lang w:val="en-GB"/>
        </w:rPr>
        <w:t>四方联盟的其他成员协商，探讨开发一个在线信息平台，整理关于相互关联的生物多样性与健康政策和行动的知识和经验，其中包括案例研究、指标、评估和方法，以促进采纳</w:t>
      </w:r>
      <w:r w:rsidRPr="000C0842">
        <w:rPr>
          <w:rFonts w:eastAsia="SimSun" w:hint="eastAsia"/>
          <w:sz w:val="24"/>
          <w:szCs w:val="24"/>
          <w:lang w:val="en-GB"/>
        </w:rPr>
        <w:t>“</w:t>
      </w:r>
      <w:r w:rsidRPr="000C0842">
        <w:rPr>
          <w:rFonts w:eastAsia="SimSun"/>
          <w:sz w:val="24"/>
          <w:szCs w:val="24"/>
          <w:lang w:val="en-GB"/>
        </w:rPr>
        <w:t>同一健康</w:t>
      </w:r>
      <w:r w:rsidRPr="000C0842">
        <w:rPr>
          <w:rFonts w:eastAsia="SimSun" w:hint="eastAsia"/>
          <w:sz w:val="24"/>
          <w:szCs w:val="24"/>
          <w:lang w:val="en-GB"/>
        </w:rPr>
        <w:t>”</w:t>
      </w:r>
      <w:r w:rsidRPr="000C0842">
        <w:rPr>
          <w:rFonts w:eastAsia="SimSun"/>
          <w:sz w:val="24"/>
          <w:szCs w:val="24"/>
          <w:lang w:val="en-GB"/>
        </w:rPr>
        <w:t>方法的知识共享和能力建设，从而进一步支持执行《全球行动计划》；</w:t>
      </w:r>
    </w:p>
    <w:p w14:paraId="720B5354" w14:textId="77777777" w:rsidR="00382AC2" w:rsidRPr="000C0842" w:rsidRDefault="00382AC2">
      <w:pPr>
        <w:numPr>
          <w:ilvl w:val="0"/>
          <w:numId w:val="89"/>
        </w:numPr>
        <w:tabs>
          <w:tab w:val="clear" w:pos="567"/>
          <w:tab w:val="clear" w:pos="1134"/>
          <w:tab w:val="clear" w:pos="1701"/>
          <w:tab w:val="clear" w:pos="2268"/>
        </w:tabs>
        <w:spacing w:before="120" w:after="120"/>
        <w:ind w:left="490" w:firstLine="432"/>
        <w:rPr>
          <w:rFonts w:eastAsia="SimSun"/>
          <w:b/>
          <w:bCs/>
          <w:sz w:val="28"/>
          <w:szCs w:val="28"/>
          <w:lang w:val="en-GB"/>
        </w:rPr>
      </w:pPr>
      <w:r w:rsidRPr="000C0842">
        <w:rPr>
          <w:rFonts w:eastAsia="SimSun"/>
          <w:sz w:val="24"/>
          <w:szCs w:val="24"/>
          <w:lang w:val="en-GB"/>
        </w:rPr>
        <w:t>向在缔约方大会第十七届会议之前举行的一次科学、技术和工艺咨询附属机构会议和世界卫生大会第七十</w:t>
      </w:r>
      <w:r w:rsidRPr="000C0842">
        <w:rPr>
          <w:rFonts w:eastAsia="SimSun" w:hint="eastAsia"/>
          <w:sz w:val="24"/>
          <w:szCs w:val="24"/>
          <w:lang w:val="en-GB"/>
        </w:rPr>
        <w:t>九届</w:t>
      </w:r>
      <w:r w:rsidRPr="000C0842">
        <w:rPr>
          <w:rFonts w:eastAsia="SimSun"/>
          <w:sz w:val="24"/>
          <w:szCs w:val="24"/>
          <w:lang w:val="en-GB"/>
        </w:rPr>
        <w:t>会议报告这项工作的成果。</w:t>
      </w:r>
    </w:p>
    <w:p w14:paraId="37889F26" w14:textId="77777777" w:rsidR="00382AC2" w:rsidRPr="000C0842" w:rsidRDefault="00382AC2" w:rsidP="003237F6">
      <w:pPr>
        <w:keepNext/>
        <w:tabs>
          <w:tab w:val="clear" w:pos="567"/>
          <w:tab w:val="clear" w:pos="1134"/>
          <w:tab w:val="clear" w:pos="1701"/>
          <w:tab w:val="clear" w:pos="2268"/>
        </w:tabs>
        <w:spacing w:before="240"/>
        <w:ind w:left="490"/>
        <w:rPr>
          <w:rFonts w:eastAsia="SimSun"/>
          <w:b/>
          <w:bCs/>
          <w:sz w:val="24"/>
          <w:szCs w:val="24"/>
        </w:rPr>
      </w:pPr>
      <w:r w:rsidRPr="000C0842">
        <w:rPr>
          <w:rFonts w:eastAsia="SimSun" w:hint="eastAsia"/>
          <w:b/>
          <w:bCs/>
          <w:sz w:val="24"/>
          <w:szCs w:val="24"/>
        </w:rPr>
        <w:t>附件</w:t>
      </w:r>
      <w:bookmarkStart w:id="76" w:name="_Hlk160734646"/>
    </w:p>
    <w:p w14:paraId="0F4E50BF" w14:textId="77777777" w:rsidR="00382AC2" w:rsidRPr="000C0842" w:rsidRDefault="00382AC2" w:rsidP="003237F6">
      <w:pPr>
        <w:keepNext/>
        <w:tabs>
          <w:tab w:val="clear" w:pos="567"/>
          <w:tab w:val="clear" w:pos="1134"/>
          <w:tab w:val="clear" w:pos="1701"/>
          <w:tab w:val="clear" w:pos="2268"/>
        </w:tabs>
        <w:spacing w:after="120"/>
        <w:ind w:left="490"/>
        <w:rPr>
          <w:rFonts w:eastAsia="SimSun"/>
          <w:spacing w:val="5"/>
          <w:kern w:val="28"/>
          <w:sz w:val="28"/>
          <w:szCs w:val="28"/>
          <w:lang w:val="en-GB"/>
        </w:rPr>
      </w:pPr>
      <w:r w:rsidRPr="000C0842">
        <w:rPr>
          <w:rFonts w:eastAsia="SimSun" w:hint="eastAsia"/>
          <w:b/>
          <w:bCs/>
          <w:spacing w:val="5"/>
          <w:kern w:val="28"/>
          <w:sz w:val="24"/>
          <w:szCs w:val="24"/>
        </w:rPr>
        <w:t>生物多样性与健康全球行动计划</w:t>
      </w:r>
    </w:p>
    <w:p w14:paraId="4A7C5DFE" w14:textId="77777777" w:rsidR="00382AC2" w:rsidRPr="000C0842" w:rsidRDefault="00382AC2" w:rsidP="00382AC2">
      <w:pPr>
        <w:keepNext/>
        <w:tabs>
          <w:tab w:val="clear" w:pos="567"/>
          <w:tab w:val="clear" w:pos="1134"/>
          <w:tab w:val="clear" w:pos="1701"/>
          <w:tab w:val="clear" w:pos="2268"/>
        </w:tabs>
        <w:spacing w:before="120" w:after="120"/>
        <w:rPr>
          <w:rFonts w:eastAsia="SimSun"/>
          <w:b/>
          <w:bCs/>
          <w:snapToGrid w:val="0"/>
          <w:sz w:val="24"/>
          <w:szCs w:val="24"/>
          <w:lang w:val="en-GB"/>
        </w:rPr>
      </w:pPr>
      <w:r w:rsidRPr="000C0842">
        <w:rPr>
          <w:rFonts w:eastAsia="SimSun" w:hint="eastAsia"/>
          <w:b/>
          <w:bCs/>
          <w:snapToGrid w:val="0"/>
          <w:sz w:val="24"/>
          <w:szCs w:val="24"/>
          <w:lang w:val="en-GB"/>
        </w:rPr>
        <w:t>一</w:t>
      </w:r>
      <w:r w:rsidRPr="000C0842">
        <w:rPr>
          <w:rFonts w:eastAsia="SimSun"/>
          <w:b/>
          <w:bCs/>
          <w:snapToGrid w:val="0"/>
          <w:sz w:val="24"/>
          <w:szCs w:val="24"/>
          <w:lang w:val="en-GB"/>
        </w:rPr>
        <w:t>.</w:t>
      </w:r>
      <w:r w:rsidRPr="000C0842">
        <w:rPr>
          <w:rFonts w:eastAsia="SimSun"/>
          <w:snapToGrid w:val="0"/>
          <w:sz w:val="24"/>
          <w:szCs w:val="24"/>
          <w:lang w:val="en-GB"/>
        </w:rPr>
        <w:tab/>
      </w:r>
      <w:r w:rsidRPr="000C0842">
        <w:rPr>
          <w:rFonts w:eastAsia="SimSun" w:hint="eastAsia"/>
          <w:b/>
          <w:bCs/>
          <w:snapToGrid w:val="0"/>
          <w:sz w:val="24"/>
          <w:szCs w:val="24"/>
          <w:lang w:val="en-GB"/>
        </w:rPr>
        <w:t>宗旨</w:t>
      </w:r>
    </w:p>
    <w:p w14:paraId="202EB25E"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1.</w:t>
      </w:r>
      <w:r w:rsidRPr="000C0842">
        <w:rPr>
          <w:rFonts w:eastAsia="SimSun"/>
          <w:snapToGrid w:val="0"/>
          <w:sz w:val="24"/>
          <w:szCs w:val="18"/>
        </w:rPr>
        <w:tab/>
      </w:r>
      <w:r w:rsidRPr="000C0842">
        <w:rPr>
          <w:rFonts w:eastAsia="SimSun" w:hint="eastAsia"/>
          <w:snapToGrid w:val="0"/>
          <w:sz w:val="24"/>
          <w:szCs w:val="18"/>
        </w:rPr>
        <w:t>根据生物多样性公约</w:t>
      </w:r>
      <w:r w:rsidRPr="000C0842">
        <w:rPr>
          <w:rFonts w:eastAsia="SimSun"/>
          <w:snapToGrid w:val="0"/>
          <w:sz w:val="24"/>
          <w:szCs w:val="18"/>
          <w:vertAlign w:val="superscript"/>
        </w:rPr>
        <w:footnoteReference w:id="280"/>
      </w:r>
      <w:r w:rsidRPr="000C0842">
        <w:rPr>
          <w:rFonts w:eastAsia="SimSun" w:hint="eastAsia"/>
          <w:snapToGrid w:val="0"/>
          <w:sz w:val="24"/>
          <w:szCs w:val="18"/>
        </w:rPr>
        <w:t>缔约方大会</w:t>
      </w:r>
      <w:r w:rsidRPr="000C0842">
        <w:rPr>
          <w:rFonts w:eastAsia="SimSun"/>
          <w:snapToGrid w:val="0"/>
          <w:sz w:val="24"/>
          <w:szCs w:val="18"/>
        </w:rPr>
        <w:t>2014</w:t>
      </w:r>
      <w:r w:rsidRPr="000C0842">
        <w:rPr>
          <w:rFonts w:eastAsia="SimSun" w:hint="eastAsia"/>
          <w:snapToGrid w:val="0"/>
          <w:sz w:val="24"/>
          <w:szCs w:val="18"/>
        </w:rPr>
        <w:t>年</w:t>
      </w:r>
      <w:r w:rsidRPr="000C0842">
        <w:rPr>
          <w:rFonts w:eastAsia="SimSun"/>
          <w:snapToGrid w:val="0"/>
          <w:sz w:val="24"/>
          <w:szCs w:val="18"/>
        </w:rPr>
        <w:t>10</w:t>
      </w:r>
      <w:r w:rsidRPr="000C0842">
        <w:rPr>
          <w:rFonts w:eastAsia="SimSun" w:hint="eastAsia"/>
          <w:snapToGrid w:val="0"/>
          <w:sz w:val="24"/>
          <w:szCs w:val="18"/>
        </w:rPr>
        <w:t>月</w:t>
      </w:r>
      <w:r w:rsidRPr="000C0842">
        <w:rPr>
          <w:rFonts w:eastAsia="SimSun"/>
          <w:snapToGrid w:val="0"/>
          <w:sz w:val="24"/>
          <w:szCs w:val="18"/>
        </w:rPr>
        <w:t>17</w:t>
      </w:r>
      <w:r w:rsidRPr="000C0842">
        <w:rPr>
          <w:rFonts w:eastAsia="SimSun" w:hint="eastAsia"/>
          <w:snapToGrid w:val="0"/>
          <w:sz w:val="24"/>
          <w:szCs w:val="18"/>
        </w:rPr>
        <w:t>日第</w:t>
      </w:r>
      <w:hyperlink r:id="rId188" w:history="1">
        <w:r w:rsidRPr="000C0842">
          <w:rPr>
            <w:rFonts w:eastAsia="SimSun"/>
            <w:snapToGrid w:val="0"/>
            <w:sz w:val="24"/>
            <w:szCs w:val="18"/>
            <w:u w:val="single"/>
          </w:rPr>
          <w:t>XII/21</w:t>
        </w:r>
      </w:hyperlink>
      <w:r w:rsidRPr="000C0842">
        <w:rPr>
          <w:rFonts w:eastAsia="SimSun" w:hint="eastAsia"/>
          <w:snapToGrid w:val="0"/>
          <w:sz w:val="24"/>
          <w:szCs w:val="18"/>
        </w:rPr>
        <w:t>号决定、</w:t>
      </w:r>
      <w:smartTag w:uri="urn:schemas-microsoft-com:office:smarttags" w:element="chsdate">
        <w:smartTagPr>
          <w:attr w:name="IsROCDate" w:val="False"/>
          <w:attr w:name="IsLunarDate" w:val="False"/>
          <w:attr w:name="Day" w:val="17"/>
          <w:attr w:name="Month" w:val="12"/>
          <w:attr w:name="Year" w:val="2016"/>
        </w:smartTagPr>
        <w:r w:rsidRPr="000C0842">
          <w:rPr>
            <w:rFonts w:eastAsia="SimSun"/>
            <w:snapToGrid w:val="0"/>
            <w:sz w:val="24"/>
            <w:szCs w:val="18"/>
          </w:rPr>
          <w:t>2016</w:t>
        </w:r>
        <w:r w:rsidRPr="000C0842">
          <w:rPr>
            <w:rFonts w:eastAsia="SimSun" w:hint="eastAsia"/>
            <w:snapToGrid w:val="0"/>
            <w:sz w:val="24"/>
            <w:szCs w:val="18"/>
          </w:rPr>
          <w:t>年</w:t>
        </w:r>
        <w:r w:rsidRPr="000C0842">
          <w:rPr>
            <w:rFonts w:eastAsia="SimSun"/>
            <w:snapToGrid w:val="0"/>
            <w:sz w:val="24"/>
            <w:szCs w:val="18"/>
          </w:rPr>
          <w:t>12</w:t>
        </w:r>
        <w:r w:rsidRPr="000C0842">
          <w:rPr>
            <w:rFonts w:eastAsia="SimSun" w:hint="eastAsia"/>
            <w:snapToGrid w:val="0"/>
            <w:sz w:val="24"/>
            <w:szCs w:val="18"/>
          </w:rPr>
          <w:t>月</w:t>
        </w:r>
        <w:r w:rsidRPr="000C0842">
          <w:rPr>
            <w:rFonts w:eastAsia="SimSun"/>
            <w:snapToGrid w:val="0"/>
            <w:sz w:val="24"/>
            <w:szCs w:val="18"/>
          </w:rPr>
          <w:t>17</w:t>
        </w:r>
        <w:r w:rsidRPr="000C0842">
          <w:rPr>
            <w:rFonts w:eastAsia="SimSun" w:hint="eastAsia"/>
            <w:snapToGrid w:val="0"/>
            <w:sz w:val="24"/>
            <w:szCs w:val="18"/>
          </w:rPr>
          <w:t>日</w:t>
        </w:r>
      </w:smartTag>
      <w:r w:rsidRPr="000C0842">
        <w:rPr>
          <w:rFonts w:eastAsia="SimSun" w:hint="eastAsia"/>
          <w:snapToGrid w:val="0"/>
          <w:sz w:val="24"/>
          <w:szCs w:val="18"/>
        </w:rPr>
        <w:t>第</w:t>
      </w:r>
      <w:hyperlink r:id="rId189" w:history="1">
        <w:r w:rsidRPr="000C0842">
          <w:rPr>
            <w:rFonts w:eastAsia="SimSun"/>
            <w:snapToGrid w:val="0"/>
            <w:sz w:val="24"/>
            <w:szCs w:val="18"/>
            <w:u w:val="single"/>
          </w:rPr>
          <w:t>XIII/6</w:t>
        </w:r>
      </w:hyperlink>
      <w:r w:rsidRPr="000C0842">
        <w:rPr>
          <w:rFonts w:eastAsia="SimSun" w:hint="eastAsia"/>
          <w:snapToGrid w:val="0"/>
          <w:sz w:val="24"/>
          <w:szCs w:val="18"/>
        </w:rPr>
        <w:t>号决定、</w:t>
      </w:r>
      <w:smartTag w:uri="urn:schemas-microsoft-com:office:smarttags" w:element="chsdate">
        <w:smartTagPr>
          <w:attr w:name="IsROCDate" w:val="False"/>
          <w:attr w:name="IsLunarDate" w:val="False"/>
          <w:attr w:name="Day" w:val="22"/>
          <w:attr w:name="Month" w:val="11"/>
          <w:attr w:name="Year" w:val="2018"/>
        </w:smartTagPr>
        <w:r w:rsidRPr="000C0842">
          <w:rPr>
            <w:rFonts w:eastAsia="SimSun"/>
            <w:snapToGrid w:val="0"/>
            <w:sz w:val="24"/>
            <w:szCs w:val="18"/>
          </w:rPr>
          <w:t>2018</w:t>
        </w:r>
        <w:r w:rsidRPr="000C0842">
          <w:rPr>
            <w:rFonts w:eastAsia="SimSun" w:hint="eastAsia"/>
            <w:snapToGrid w:val="0"/>
            <w:sz w:val="24"/>
            <w:szCs w:val="18"/>
          </w:rPr>
          <w:t>年</w:t>
        </w:r>
        <w:r w:rsidRPr="000C0842">
          <w:rPr>
            <w:rFonts w:eastAsia="SimSun"/>
            <w:snapToGrid w:val="0"/>
            <w:sz w:val="24"/>
            <w:szCs w:val="18"/>
          </w:rPr>
          <w:t>11</w:t>
        </w:r>
        <w:r w:rsidRPr="000C0842">
          <w:rPr>
            <w:rFonts w:eastAsia="SimSun" w:hint="eastAsia"/>
            <w:snapToGrid w:val="0"/>
            <w:sz w:val="24"/>
            <w:szCs w:val="18"/>
          </w:rPr>
          <w:t>月</w:t>
        </w:r>
        <w:r w:rsidRPr="000C0842">
          <w:rPr>
            <w:rFonts w:eastAsia="SimSun"/>
            <w:snapToGrid w:val="0"/>
            <w:sz w:val="24"/>
            <w:szCs w:val="18"/>
          </w:rPr>
          <w:t>22</w:t>
        </w:r>
        <w:r w:rsidRPr="000C0842">
          <w:rPr>
            <w:rFonts w:eastAsia="SimSun" w:hint="eastAsia"/>
            <w:snapToGrid w:val="0"/>
            <w:sz w:val="24"/>
            <w:szCs w:val="18"/>
          </w:rPr>
          <w:t>日</w:t>
        </w:r>
      </w:smartTag>
      <w:r w:rsidRPr="000C0842">
        <w:rPr>
          <w:rFonts w:eastAsia="SimSun" w:hint="eastAsia"/>
          <w:snapToGrid w:val="0"/>
          <w:sz w:val="24"/>
          <w:szCs w:val="18"/>
        </w:rPr>
        <w:t>第</w:t>
      </w:r>
      <w:hyperlink r:id="rId190" w:history="1">
        <w:r w:rsidRPr="000C0842">
          <w:rPr>
            <w:rFonts w:eastAsia="SimSun"/>
            <w:snapToGrid w:val="0"/>
            <w:sz w:val="24"/>
            <w:szCs w:val="18"/>
            <w:u w:val="single"/>
          </w:rPr>
          <w:t>14/4</w:t>
        </w:r>
      </w:hyperlink>
      <w:r w:rsidRPr="000C0842">
        <w:rPr>
          <w:rFonts w:eastAsia="SimSun" w:hint="eastAsia"/>
          <w:snapToGrid w:val="0"/>
          <w:sz w:val="24"/>
          <w:szCs w:val="18"/>
        </w:rPr>
        <w:t>号决定和</w:t>
      </w:r>
      <w:smartTag w:uri="urn:schemas-microsoft-com:office:smarttags" w:element="chsdate">
        <w:smartTagPr>
          <w:attr w:name="IsROCDate" w:val="False"/>
          <w:attr w:name="IsLunarDate" w:val="False"/>
          <w:attr w:name="Day" w:val="19"/>
          <w:attr w:name="Month" w:val="12"/>
          <w:attr w:name="Year" w:val="2022"/>
        </w:smartTagPr>
        <w:r w:rsidRPr="000C0842">
          <w:rPr>
            <w:rFonts w:eastAsia="SimSun"/>
            <w:snapToGrid w:val="0"/>
            <w:sz w:val="24"/>
            <w:szCs w:val="18"/>
          </w:rPr>
          <w:t>2022</w:t>
        </w:r>
        <w:r w:rsidRPr="000C0842">
          <w:rPr>
            <w:rFonts w:eastAsia="SimSun" w:hint="eastAsia"/>
            <w:snapToGrid w:val="0"/>
            <w:sz w:val="24"/>
            <w:szCs w:val="18"/>
          </w:rPr>
          <w:t>年</w:t>
        </w:r>
        <w:r w:rsidRPr="000C0842">
          <w:rPr>
            <w:rFonts w:eastAsia="SimSun"/>
            <w:snapToGrid w:val="0"/>
            <w:sz w:val="24"/>
            <w:szCs w:val="18"/>
          </w:rPr>
          <w:t>12</w:t>
        </w:r>
        <w:r w:rsidRPr="000C0842">
          <w:rPr>
            <w:rFonts w:eastAsia="SimSun" w:hint="eastAsia"/>
            <w:snapToGrid w:val="0"/>
            <w:sz w:val="24"/>
            <w:szCs w:val="18"/>
          </w:rPr>
          <w:t>月</w:t>
        </w:r>
        <w:r w:rsidRPr="000C0842">
          <w:rPr>
            <w:rFonts w:eastAsia="SimSun"/>
            <w:snapToGrid w:val="0"/>
            <w:sz w:val="24"/>
            <w:szCs w:val="18"/>
          </w:rPr>
          <w:t>19</w:t>
        </w:r>
        <w:r w:rsidRPr="000C0842">
          <w:rPr>
            <w:rFonts w:eastAsia="SimSun" w:hint="eastAsia"/>
            <w:snapToGrid w:val="0"/>
            <w:sz w:val="24"/>
            <w:szCs w:val="18"/>
          </w:rPr>
          <w:t>日</w:t>
        </w:r>
      </w:smartTag>
      <w:r w:rsidRPr="000C0842">
        <w:rPr>
          <w:rFonts w:eastAsia="SimSun" w:hint="eastAsia"/>
          <w:snapToGrid w:val="0"/>
          <w:sz w:val="24"/>
          <w:szCs w:val="18"/>
        </w:rPr>
        <w:t>第</w:t>
      </w:r>
      <w:hyperlink r:id="rId191" w:history="1">
        <w:r w:rsidRPr="000C0842">
          <w:rPr>
            <w:rFonts w:eastAsia="SimSun"/>
            <w:snapToGrid w:val="0"/>
            <w:sz w:val="24"/>
            <w:szCs w:val="18"/>
            <w:u w:val="single"/>
          </w:rPr>
          <w:t>15/29</w:t>
        </w:r>
      </w:hyperlink>
      <w:r w:rsidRPr="000C0842">
        <w:rPr>
          <w:rFonts w:eastAsia="SimSun" w:hint="eastAsia"/>
          <w:snapToGrid w:val="0"/>
          <w:sz w:val="24"/>
          <w:szCs w:val="18"/>
        </w:rPr>
        <w:t>号决定并为落实这些决定，《生物多样性与健康全球行动计划》的目标是支持缔约方和其他各级政府、相关组织和倡议、土著人民和地方社区、妇女、儿童、青年、私营部门和其他利益攸关方根据国情、优先事项和法律，并以符合相关国际义务的方式，将生物多样性与健康的相互关联纳入国家政策、战略、方案和核算的主流。《全球行动计划》尤其旨在使相关政府主管部门能够密切协作，协调其与生物多样性和健康的相互关联有关的工作。</w:t>
      </w:r>
      <w:r w:rsidRPr="000C0842">
        <w:rPr>
          <w:rFonts w:eastAsia="SimSun"/>
          <w:snapToGrid w:val="0"/>
          <w:sz w:val="24"/>
          <w:szCs w:val="18"/>
        </w:rPr>
        <w:t xml:space="preserve"> </w:t>
      </w:r>
    </w:p>
    <w:p w14:paraId="3A7D7280"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2.</w:t>
      </w:r>
      <w:r w:rsidRPr="000C0842">
        <w:rPr>
          <w:rFonts w:eastAsia="SimSun"/>
          <w:snapToGrid w:val="0"/>
          <w:sz w:val="24"/>
          <w:szCs w:val="18"/>
        </w:rPr>
        <w:tab/>
      </w:r>
      <w:r w:rsidRPr="000C0842">
        <w:rPr>
          <w:rFonts w:eastAsia="SimSun" w:hint="eastAsia"/>
          <w:snapToGrid w:val="0"/>
          <w:sz w:val="24"/>
          <w:szCs w:val="18"/>
        </w:rPr>
        <w:t>《全球行动计划》包括一系列自愿行动，可在从国际到国家和地方、从多领域到具体领域的不同层面和不同规模上执行，在政府层面开展跨领域合作，并让民间社会、土著人民和地方社区、妇女、儿童、青年、老年人和残疾人以及学术界、私营部门和金融部门等参与。鉴于生物多样性与健康的相互关联的跨领域性质，在执行该计划时，还应考虑其他多边文书和进程，并与相关国际义务保持一致。</w:t>
      </w:r>
    </w:p>
    <w:p w14:paraId="799E74BC"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3.</w:t>
      </w:r>
      <w:r w:rsidRPr="000C0842">
        <w:rPr>
          <w:rFonts w:eastAsia="SimSun"/>
          <w:snapToGrid w:val="0"/>
          <w:sz w:val="24"/>
          <w:szCs w:val="18"/>
        </w:rPr>
        <w:tab/>
      </w:r>
      <w:r w:rsidRPr="000C0842">
        <w:rPr>
          <w:rFonts w:eastAsia="SimSun" w:hint="eastAsia"/>
          <w:snapToGrid w:val="0"/>
          <w:sz w:val="24"/>
          <w:szCs w:val="18"/>
        </w:rPr>
        <w:t>《全球行动计划》以之前根据《公约》开展的工作为基础</w:t>
      </w:r>
      <w:r w:rsidRPr="000C0842">
        <w:rPr>
          <w:rFonts w:eastAsia="SimSun"/>
          <w:snapToGrid w:val="0"/>
          <w:sz w:val="24"/>
          <w:szCs w:val="18"/>
          <w:vertAlign w:val="superscript"/>
        </w:rPr>
        <w:footnoteReference w:id="281"/>
      </w:r>
      <w:r w:rsidRPr="000C0842">
        <w:rPr>
          <w:rFonts w:eastAsia="SimSun" w:hint="eastAsia"/>
          <w:snapToGrid w:val="0"/>
          <w:sz w:val="24"/>
          <w:szCs w:val="18"/>
        </w:rPr>
        <w:t>，包括</w:t>
      </w:r>
      <w:r w:rsidRPr="000C0842">
        <w:rPr>
          <w:rFonts w:eastAsia="SimSun"/>
          <w:snapToGrid w:val="0"/>
          <w:sz w:val="24"/>
          <w:szCs w:val="18"/>
        </w:rPr>
        <w:t>2012</w:t>
      </w:r>
      <w:r w:rsidRPr="000C0842">
        <w:rPr>
          <w:rFonts w:eastAsia="SimSun" w:hint="eastAsia"/>
          <w:snapToGrid w:val="0"/>
          <w:sz w:val="24"/>
          <w:szCs w:val="18"/>
        </w:rPr>
        <w:t>年至</w:t>
      </w:r>
      <w:r w:rsidRPr="000C0842">
        <w:rPr>
          <w:rFonts w:eastAsia="SimSun"/>
          <w:snapToGrid w:val="0"/>
          <w:sz w:val="24"/>
          <w:szCs w:val="18"/>
        </w:rPr>
        <w:t>2021</w:t>
      </w:r>
      <w:r w:rsidRPr="000C0842">
        <w:rPr>
          <w:rFonts w:eastAsia="SimSun" w:hint="eastAsia"/>
          <w:snapToGrid w:val="0"/>
          <w:sz w:val="24"/>
          <w:szCs w:val="18"/>
        </w:rPr>
        <w:t>年通过联合工作方案与世界卫生组织合作开展的关于生物多样性与健康的相互关联的工作。《全球行动计划》旨在补充和支持缔约方大会先前关于生物多样性与健康的决定（第</w:t>
      </w:r>
      <w:hyperlink r:id="rId192" w:history="1">
        <w:r w:rsidRPr="000C0842">
          <w:rPr>
            <w:rFonts w:eastAsia="SimSun"/>
            <w:szCs w:val="24"/>
            <w:u w:val="single"/>
            <w:lang w:val="en-GB"/>
          </w:rPr>
          <w:t>XII/21</w:t>
        </w:r>
      </w:hyperlink>
      <w:r w:rsidRPr="000C0842">
        <w:rPr>
          <w:rFonts w:eastAsia="SimSun" w:hint="eastAsia"/>
          <w:snapToGrid w:val="0"/>
          <w:sz w:val="24"/>
          <w:szCs w:val="18"/>
        </w:rPr>
        <w:t>号、第</w:t>
      </w:r>
      <w:hyperlink r:id="rId193" w:history="1">
        <w:r w:rsidRPr="000C0842">
          <w:rPr>
            <w:rFonts w:eastAsia="SimSun"/>
            <w:szCs w:val="24"/>
            <w:u w:val="single"/>
            <w:lang w:val="en-GB"/>
          </w:rPr>
          <w:t>XIII/6</w:t>
        </w:r>
      </w:hyperlink>
      <w:r w:rsidRPr="000C0842">
        <w:rPr>
          <w:rFonts w:eastAsia="SimSun" w:hint="eastAsia"/>
          <w:snapToGrid w:val="0"/>
          <w:sz w:val="24"/>
          <w:szCs w:val="18"/>
        </w:rPr>
        <w:t>号、第</w:t>
      </w:r>
      <w:hyperlink r:id="rId194" w:history="1">
        <w:r w:rsidRPr="000C0842">
          <w:rPr>
            <w:rFonts w:eastAsia="SimSun"/>
            <w:snapToGrid w:val="0"/>
            <w:sz w:val="24"/>
            <w:szCs w:val="18"/>
            <w:u w:val="single"/>
          </w:rPr>
          <w:t>14/4</w:t>
        </w:r>
      </w:hyperlink>
      <w:r w:rsidRPr="000C0842">
        <w:rPr>
          <w:rFonts w:eastAsia="SimSun" w:hint="eastAsia"/>
          <w:snapToGrid w:val="0"/>
          <w:sz w:val="24"/>
          <w:szCs w:val="18"/>
        </w:rPr>
        <w:t>号和第</w:t>
      </w:r>
      <w:hyperlink r:id="rId195" w:history="1">
        <w:r w:rsidRPr="000C0842">
          <w:rPr>
            <w:rFonts w:eastAsia="SimSun"/>
            <w:szCs w:val="24"/>
            <w:u w:val="single"/>
            <w:lang w:val="en-GB"/>
          </w:rPr>
          <w:t>15/29</w:t>
        </w:r>
      </w:hyperlink>
      <w:r w:rsidRPr="000C0842">
        <w:rPr>
          <w:rFonts w:eastAsia="SimSun" w:hint="eastAsia"/>
          <w:snapToGrid w:val="0"/>
          <w:sz w:val="24"/>
          <w:szCs w:val="18"/>
        </w:rPr>
        <w:t>号决定）的执行工作，促进通过执行《公约》和《昆明</w:t>
      </w:r>
      <w:r w:rsidRPr="000C0842">
        <w:rPr>
          <w:rFonts w:eastAsia="SimSun"/>
          <w:snapToGrid w:val="0"/>
          <w:sz w:val="24"/>
          <w:szCs w:val="18"/>
        </w:rPr>
        <w:t>-</w:t>
      </w:r>
      <w:r w:rsidRPr="000C0842">
        <w:rPr>
          <w:rFonts w:eastAsia="SimSun" w:hint="eastAsia"/>
          <w:snapToGrid w:val="0"/>
          <w:sz w:val="24"/>
          <w:szCs w:val="18"/>
        </w:rPr>
        <w:t>蒙特利尔全球生物多样性框架》来实现生物多样性与健康的附带效益</w:t>
      </w:r>
      <w:r w:rsidRPr="000C0842">
        <w:rPr>
          <w:rFonts w:eastAsia="SimSun"/>
          <w:snapToGrid w:val="0"/>
          <w:sz w:val="24"/>
          <w:szCs w:val="18"/>
          <w:vertAlign w:val="superscript"/>
        </w:rPr>
        <w:footnoteReference w:id="282"/>
      </w:r>
      <w:r w:rsidRPr="000C0842">
        <w:rPr>
          <w:rFonts w:eastAsia="SimSun" w:hint="eastAsia"/>
          <w:snapToGrid w:val="0"/>
          <w:sz w:val="24"/>
          <w:szCs w:val="18"/>
        </w:rPr>
        <w:t>。</w:t>
      </w:r>
    </w:p>
    <w:p w14:paraId="4EF14123"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4.</w:t>
      </w:r>
      <w:r w:rsidRPr="000C0842">
        <w:rPr>
          <w:rFonts w:eastAsia="SimSun"/>
          <w:snapToGrid w:val="0"/>
          <w:sz w:val="24"/>
          <w:szCs w:val="18"/>
        </w:rPr>
        <w:tab/>
      </w:r>
      <w:r w:rsidRPr="000C0842">
        <w:rPr>
          <w:rFonts w:eastAsia="SimSun" w:hint="eastAsia"/>
          <w:snapToGrid w:val="0"/>
          <w:sz w:val="24"/>
          <w:szCs w:val="18"/>
        </w:rPr>
        <w:t>在以平衡的方式执行《全球行动计划》时，应认识到《公约》三个目标</w:t>
      </w:r>
      <w:r w:rsidRPr="000C0842">
        <w:rPr>
          <w:rFonts w:eastAsia="SimSun"/>
          <w:snapToGrid w:val="0"/>
          <w:sz w:val="24"/>
          <w:szCs w:val="18"/>
        </w:rPr>
        <w:t>——</w:t>
      </w:r>
      <w:r w:rsidRPr="000C0842">
        <w:rPr>
          <w:rFonts w:eastAsia="SimSun" w:hint="eastAsia"/>
          <w:snapToGrid w:val="0"/>
          <w:sz w:val="24"/>
          <w:szCs w:val="18"/>
        </w:rPr>
        <w:t>即保护生物多样性、可持续利用其组成部分、公正公平地分享利用遗传资源所产生的惠益</w:t>
      </w:r>
      <w:r w:rsidRPr="000C0842">
        <w:rPr>
          <w:rFonts w:eastAsia="SimSun"/>
          <w:snapToGrid w:val="0"/>
          <w:sz w:val="24"/>
          <w:szCs w:val="18"/>
        </w:rPr>
        <w:t>——</w:t>
      </w:r>
      <w:r w:rsidRPr="000C0842">
        <w:rPr>
          <w:rFonts w:eastAsia="SimSun" w:hint="eastAsia"/>
          <w:snapToGrid w:val="0"/>
          <w:sz w:val="24"/>
          <w:szCs w:val="18"/>
        </w:rPr>
        <w:t>的重要性，进一步致力于生物多样性与健康的相互关联。《全球行动计划》还确认，向发展中国家提供充足的执行手段，包括充足和可预测的财务资源、能力建设、科技合作和技术转让，对于促进该计划的执行和确保公平至关重要。《全球行动计划》进一步强调，迫切需要解决全球卫生方面的不平等问题，需要加强发展中国家和经济转型国家的卫生系统，包括为此开展南北、南南和三方合作。</w:t>
      </w:r>
    </w:p>
    <w:p w14:paraId="185CCAD6"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5.</w:t>
      </w:r>
      <w:r w:rsidRPr="000C0842">
        <w:rPr>
          <w:rFonts w:eastAsia="SimSun"/>
          <w:snapToGrid w:val="0"/>
          <w:sz w:val="24"/>
          <w:szCs w:val="18"/>
        </w:rPr>
        <w:tab/>
      </w:r>
      <w:r w:rsidRPr="000C0842">
        <w:rPr>
          <w:rFonts w:eastAsia="SimSun" w:hint="eastAsia"/>
          <w:snapToGrid w:val="0"/>
          <w:sz w:val="24"/>
          <w:szCs w:val="18"/>
        </w:rPr>
        <w:t>本《全球行动计划》的任何内容均不得解释为修改《公约》或任何其他国际协定规定的缔约方的权利和义务。</w:t>
      </w:r>
    </w:p>
    <w:p w14:paraId="3ADE3588"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6.</w:t>
      </w:r>
      <w:r w:rsidRPr="000C0842">
        <w:rPr>
          <w:rFonts w:eastAsia="SimSun"/>
          <w:snapToGrid w:val="0"/>
          <w:sz w:val="24"/>
          <w:szCs w:val="18"/>
        </w:rPr>
        <w:tab/>
      </w:r>
      <w:r w:rsidRPr="000C0842">
        <w:rPr>
          <w:rFonts w:eastAsia="SimSun" w:hint="eastAsia"/>
          <w:snapToGrid w:val="0"/>
          <w:sz w:val="24"/>
          <w:szCs w:val="18"/>
        </w:rPr>
        <w:t>《全球行动计划》还借鉴了以下成果：</w:t>
      </w:r>
    </w:p>
    <w:p w14:paraId="79B86850" w14:textId="57CA019A" w:rsidR="00382AC2" w:rsidRPr="000C0842" w:rsidRDefault="00382AC2" w:rsidP="00382AC2">
      <w:pPr>
        <w:tabs>
          <w:tab w:val="clear" w:pos="567"/>
          <w:tab w:val="clear" w:pos="1134"/>
          <w:tab w:val="clear" w:pos="1701"/>
          <w:tab w:val="clear" w:pos="2268"/>
        </w:tabs>
        <w:spacing w:before="120" w:after="120"/>
        <w:ind w:left="490" w:firstLine="490"/>
        <w:jc w:val="left"/>
        <w:rPr>
          <w:rFonts w:eastAsia="SimSun"/>
          <w:snapToGrid w:val="0"/>
          <w:sz w:val="24"/>
          <w:szCs w:val="18"/>
        </w:rPr>
      </w:pPr>
      <w:r w:rsidRPr="000C0842">
        <w:rPr>
          <w:rFonts w:eastAsia="SimSun"/>
          <w:snapToGrid w:val="0"/>
          <w:sz w:val="24"/>
          <w:szCs w:val="18"/>
        </w:rPr>
        <w:t xml:space="preserve">(a) </w:t>
      </w:r>
      <w:r w:rsidRPr="000C0842">
        <w:rPr>
          <w:rFonts w:eastAsia="SimSun"/>
          <w:snapToGrid w:val="0"/>
          <w:sz w:val="24"/>
          <w:szCs w:val="18"/>
        </w:rPr>
        <w:tab/>
      </w:r>
      <w:r w:rsidRPr="000C0842">
        <w:rPr>
          <w:rFonts w:eastAsia="SimSun"/>
          <w:snapToGrid w:val="0"/>
          <w:sz w:val="24"/>
          <w:szCs w:val="18"/>
        </w:rPr>
        <w:t>生物多样性和生态系统服务政府间科学与政策平台的研究结果，即㈠</w:t>
      </w:r>
      <w:r w:rsidRPr="000C0842">
        <w:rPr>
          <w:rFonts w:eastAsia="SimSun"/>
          <w:snapToGrid w:val="0"/>
          <w:sz w:val="24"/>
          <w:szCs w:val="18"/>
        </w:rPr>
        <w:t xml:space="preserve"> </w:t>
      </w:r>
      <w:r w:rsidRPr="000C0842">
        <w:rPr>
          <w:rFonts w:eastAsia="SimSun"/>
          <w:snapToGrid w:val="0"/>
          <w:sz w:val="24"/>
          <w:szCs w:val="18"/>
        </w:rPr>
        <w:t>自然是人类健康各个方面的基础，而且有助于提高非物质的生活质量（灵感和学习、身体和心理体验、支持性认同）</w:t>
      </w:r>
      <w:r w:rsidRPr="000C0842">
        <w:rPr>
          <w:rFonts w:eastAsia="SimSun"/>
          <w:snapToGrid w:val="0"/>
          <w:sz w:val="24"/>
          <w:szCs w:val="18"/>
          <w:vertAlign w:val="superscript"/>
        </w:rPr>
        <w:footnoteReference w:id="283"/>
      </w:r>
      <w:r w:rsidRPr="000C0842">
        <w:rPr>
          <w:rFonts w:eastAsia="SimSun"/>
          <w:snapToGrid w:val="0"/>
          <w:sz w:val="24"/>
          <w:szCs w:val="18"/>
        </w:rPr>
        <w:t>，对于生活质量和文化完整性至关重要；</w:t>
      </w:r>
      <w:r w:rsidRPr="000C0842">
        <w:rPr>
          <w:rFonts w:eastAsia="SimSun"/>
          <w:snapToGrid w:val="0"/>
          <w:sz w:val="24"/>
          <w:szCs w:val="18"/>
        </w:rPr>
        <w:t xml:space="preserve"> </w:t>
      </w:r>
      <w:r w:rsidRPr="000C0842">
        <w:rPr>
          <w:rFonts w:eastAsia="SimSun"/>
          <w:snapToGrid w:val="0"/>
          <w:sz w:val="24"/>
          <w:szCs w:val="18"/>
        </w:rPr>
        <w:t>㈡</w:t>
      </w:r>
      <w:r w:rsidRPr="000C0842">
        <w:rPr>
          <w:rFonts w:eastAsia="SimSun"/>
          <w:snapToGrid w:val="0"/>
          <w:sz w:val="24"/>
          <w:szCs w:val="18"/>
        </w:rPr>
        <w:t xml:space="preserve"> </w:t>
      </w:r>
      <w:r w:rsidRPr="000C0842">
        <w:rPr>
          <w:rFonts w:eastAsia="SimSun"/>
          <w:snapToGrid w:val="0"/>
          <w:sz w:val="24"/>
          <w:szCs w:val="18"/>
        </w:rPr>
        <w:t>自然对人类的贡献</w:t>
      </w:r>
      <w:r w:rsidRPr="000C0842">
        <w:rPr>
          <w:rFonts w:eastAsia="SimSun"/>
          <w:snapToGrid w:val="0"/>
          <w:sz w:val="24"/>
          <w:szCs w:val="18"/>
          <w:vertAlign w:val="superscript"/>
        </w:rPr>
        <w:footnoteReference w:id="284"/>
      </w:r>
      <w:r w:rsidRPr="000C0842">
        <w:rPr>
          <w:rFonts w:eastAsia="SimSun"/>
          <w:snapToGrid w:val="0"/>
          <w:sz w:val="24"/>
          <w:szCs w:val="18"/>
        </w:rPr>
        <w:t>通过调节物质和非物质贡献，在人类健康中发挥着重要作用</w:t>
      </w:r>
      <w:r w:rsidRPr="000C0842">
        <w:rPr>
          <w:rFonts w:eastAsia="SimSun"/>
          <w:snapToGrid w:val="0"/>
          <w:sz w:val="24"/>
          <w:szCs w:val="18"/>
        </w:rPr>
        <w:t xml:space="preserve"> </w:t>
      </w:r>
      <w:r w:rsidRPr="000C0842">
        <w:rPr>
          <w:rFonts w:eastAsia="SimSun"/>
          <w:snapToGrid w:val="0"/>
          <w:sz w:val="24"/>
          <w:szCs w:val="18"/>
        </w:rPr>
        <w:t>；㈢</w:t>
      </w:r>
      <w:r w:rsidRPr="000C0842">
        <w:rPr>
          <w:rFonts w:eastAsia="SimSun"/>
          <w:snapToGrid w:val="0"/>
          <w:sz w:val="24"/>
          <w:szCs w:val="18"/>
        </w:rPr>
        <w:t xml:space="preserve"> </w:t>
      </w:r>
      <w:r w:rsidRPr="000C0842">
        <w:rPr>
          <w:rFonts w:eastAsia="SimSun"/>
          <w:snapToGrid w:val="0"/>
          <w:sz w:val="24"/>
          <w:szCs w:val="18"/>
        </w:rPr>
        <w:t>在世界各地，社会群体获得自然贡献的机会不平等；</w:t>
      </w:r>
      <w:r w:rsidRPr="000C0842">
        <w:rPr>
          <w:rFonts w:eastAsia="SimSun"/>
          <w:snapToGrid w:val="0"/>
          <w:sz w:val="24"/>
          <w:szCs w:val="18"/>
        </w:rPr>
        <w:t xml:space="preserve"> </w:t>
      </w:r>
      <w:r w:rsidRPr="000C0842">
        <w:rPr>
          <w:rFonts w:eastAsia="SimSun"/>
          <w:snapToGrid w:val="0"/>
          <w:sz w:val="24"/>
          <w:szCs w:val="18"/>
        </w:rPr>
        <w:t>㈣</w:t>
      </w:r>
      <w:r w:rsidRPr="000C0842">
        <w:rPr>
          <w:rFonts w:eastAsia="SimSun"/>
          <w:snapToGrid w:val="0"/>
          <w:sz w:val="24"/>
          <w:szCs w:val="18"/>
        </w:rPr>
        <w:t xml:space="preserve"> </w:t>
      </w:r>
      <w:r w:rsidRPr="000C0842">
        <w:rPr>
          <w:rFonts w:eastAsia="SimSun"/>
          <w:snapToGrid w:val="0"/>
          <w:sz w:val="24"/>
          <w:szCs w:val="18"/>
        </w:rPr>
        <w:t>自然对人类所</w:t>
      </w:r>
      <w:r w:rsidR="001A5C0A" w:rsidRPr="000C0842">
        <w:rPr>
          <w:rFonts w:eastAsia="SimSun"/>
          <w:snapToGrid w:val="0"/>
          <w:sz w:val="24"/>
          <w:szCs w:val="18"/>
        </w:rPr>
        <w:t>作</w:t>
      </w:r>
      <w:r w:rsidRPr="000C0842">
        <w:rPr>
          <w:rFonts w:eastAsia="SimSun"/>
          <w:snapToGrid w:val="0"/>
          <w:sz w:val="24"/>
          <w:szCs w:val="18"/>
        </w:rPr>
        <w:t>贡献的减少威胁到生活质量；</w:t>
      </w:r>
      <w:r w:rsidRPr="000C0842">
        <w:rPr>
          <w:rFonts w:eastAsia="SimSun"/>
          <w:snapToGrid w:val="0"/>
          <w:sz w:val="24"/>
          <w:szCs w:val="18"/>
        </w:rPr>
        <w:t xml:space="preserve"> </w:t>
      </w:r>
      <w:r w:rsidRPr="000C0842">
        <w:rPr>
          <w:rFonts w:eastAsia="SimSun"/>
          <w:snapToGrid w:val="0"/>
          <w:sz w:val="24"/>
          <w:szCs w:val="18"/>
        </w:rPr>
        <w:t>㈤</w:t>
      </w:r>
      <w:r w:rsidRPr="000C0842">
        <w:rPr>
          <w:rFonts w:eastAsia="SimSun"/>
          <w:snapToGrid w:val="0"/>
          <w:sz w:val="24"/>
          <w:szCs w:val="18"/>
        </w:rPr>
        <w:t xml:space="preserve"> </w:t>
      </w:r>
      <w:r w:rsidRPr="000C0842">
        <w:rPr>
          <w:rFonts w:eastAsia="SimSun"/>
          <w:snapToGrid w:val="0"/>
          <w:sz w:val="24"/>
          <w:szCs w:val="18"/>
        </w:rPr>
        <w:t>自然环境的恶化和人类惠益随之受到的破坏对公众健康造成直接和间接的影响，并可能加剧当前在获得医疗保健或健康饮食方面的不平等；㈥</w:t>
      </w:r>
      <w:r w:rsidRPr="000C0842">
        <w:rPr>
          <w:rFonts w:eastAsia="SimSun"/>
          <w:snapToGrid w:val="0"/>
          <w:sz w:val="24"/>
          <w:szCs w:val="18"/>
        </w:rPr>
        <w:t xml:space="preserve"> </w:t>
      </w:r>
      <w:r w:rsidRPr="000C0842">
        <w:rPr>
          <w:rFonts w:eastAsia="SimSun"/>
          <w:snapToGrid w:val="0"/>
          <w:sz w:val="24"/>
          <w:szCs w:val="18"/>
        </w:rPr>
        <w:t>可通过加强国际合作和采取与当地相关的相互关联措施来保护全球环境；</w:t>
      </w:r>
    </w:p>
    <w:p w14:paraId="3286B0F6"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napToGrid w:val="0"/>
          <w:sz w:val="24"/>
          <w:szCs w:val="18"/>
        </w:rPr>
      </w:pPr>
      <w:r w:rsidRPr="000C0842">
        <w:rPr>
          <w:rFonts w:eastAsia="SimSun"/>
          <w:snapToGrid w:val="0"/>
          <w:sz w:val="24"/>
          <w:szCs w:val="18"/>
        </w:rPr>
        <w:t>(b)</w:t>
      </w:r>
      <w:r w:rsidRPr="000C0842">
        <w:rPr>
          <w:rFonts w:eastAsia="SimSun"/>
          <w:snapToGrid w:val="0"/>
          <w:sz w:val="24"/>
          <w:szCs w:val="18"/>
        </w:rPr>
        <w:tab/>
      </w:r>
      <w:r w:rsidRPr="000C0842">
        <w:rPr>
          <w:rFonts w:eastAsia="SimSun" w:hint="eastAsia"/>
          <w:snapToGrid w:val="0"/>
          <w:sz w:val="24"/>
          <w:szCs w:val="18"/>
        </w:rPr>
        <w:t>政府间气候变化专门委员会的调查结果，调查结果表明气候变化对人类福祉构成威胁</w:t>
      </w:r>
      <w:r w:rsidRPr="000C0842">
        <w:rPr>
          <w:rFonts w:eastAsia="SimSun"/>
          <w:snapToGrid w:val="0"/>
          <w:sz w:val="24"/>
          <w:szCs w:val="18"/>
          <w:vertAlign w:val="superscript"/>
        </w:rPr>
        <w:footnoteReference w:id="285"/>
      </w:r>
      <w:r w:rsidRPr="000C0842">
        <w:rPr>
          <w:rFonts w:eastAsia="SimSun" w:hint="eastAsia"/>
          <w:snapToGrid w:val="0"/>
          <w:sz w:val="24"/>
          <w:szCs w:val="18"/>
        </w:rPr>
        <w:t>；</w:t>
      </w:r>
    </w:p>
    <w:p w14:paraId="743F966B"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napToGrid w:val="0"/>
          <w:sz w:val="24"/>
          <w:szCs w:val="18"/>
        </w:rPr>
      </w:pPr>
      <w:r w:rsidRPr="000C0842">
        <w:rPr>
          <w:rFonts w:eastAsia="SimSun"/>
          <w:snapToGrid w:val="0"/>
          <w:sz w:val="24"/>
          <w:szCs w:val="18"/>
        </w:rPr>
        <w:t>(c)</w:t>
      </w:r>
      <w:r w:rsidRPr="000C0842">
        <w:rPr>
          <w:rFonts w:eastAsia="SimSun"/>
          <w:snapToGrid w:val="0"/>
          <w:sz w:val="24"/>
          <w:szCs w:val="18"/>
        </w:rPr>
        <w:tab/>
      </w:r>
      <w:r w:rsidRPr="000C0842">
        <w:rPr>
          <w:rFonts w:eastAsia="SimSun" w:hint="eastAsia"/>
          <w:snapToGrid w:val="0"/>
          <w:sz w:val="24"/>
          <w:szCs w:val="18"/>
        </w:rPr>
        <w:t>关于《</w:t>
      </w:r>
      <w:r w:rsidRPr="000C0842">
        <w:rPr>
          <w:rFonts w:eastAsia="SimSun"/>
          <w:snapToGrid w:val="0"/>
          <w:sz w:val="24"/>
          <w:szCs w:val="18"/>
        </w:rPr>
        <w:t>2030</w:t>
      </w:r>
      <w:r w:rsidRPr="000C0842">
        <w:rPr>
          <w:rFonts w:eastAsia="SimSun" w:hint="eastAsia"/>
          <w:snapToGrid w:val="0"/>
          <w:sz w:val="24"/>
          <w:szCs w:val="18"/>
        </w:rPr>
        <w:t>年可持续发展议程》所述土著人健康决定因素的研究</w:t>
      </w:r>
      <w:r w:rsidRPr="000C0842">
        <w:rPr>
          <w:rFonts w:eastAsia="SimSun"/>
          <w:snapToGrid w:val="0"/>
          <w:sz w:val="24"/>
          <w:szCs w:val="18"/>
          <w:vertAlign w:val="superscript"/>
        </w:rPr>
        <w:footnoteReference w:id="286"/>
      </w:r>
      <w:r w:rsidRPr="000C0842">
        <w:rPr>
          <w:rFonts w:eastAsia="SimSun" w:hint="eastAsia"/>
          <w:snapToGrid w:val="0"/>
          <w:sz w:val="24"/>
          <w:szCs w:val="18"/>
        </w:rPr>
        <w:t>，土著问题常设论坛对此表示欢迎；</w:t>
      </w:r>
    </w:p>
    <w:p w14:paraId="467A8AE5" w14:textId="77777777" w:rsidR="00382AC2" w:rsidRPr="000C0842" w:rsidRDefault="00382AC2" w:rsidP="00382AC2">
      <w:pPr>
        <w:tabs>
          <w:tab w:val="clear" w:pos="567"/>
          <w:tab w:val="clear" w:pos="1134"/>
          <w:tab w:val="clear" w:pos="1701"/>
          <w:tab w:val="clear" w:pos="2268"/>
        </w:tabs>
        <w:spacing w:before="120" w:after="120"/>
        <w:ind w:left="490" w:firstLine="490"/>
        <w:rPr>
          <w:rFonts w:eastAsia="SimSun"/>
          <w:snapToGrid w:val="0"/>
          <w:sz w:val="24"/>
          <w:szCs w:val="18"/>
        </w:rPr>
      </w:pPr>
      <w:r w:rsidRPr="000C0842">
        <w:rPr>
          <w:rFonts w:eastAsia="SimSun"/>
          <w:snapToGrid w:val="0"/>
          <w:sz w:val="24"/>
          <w:szCs w:val="18"/>
        </w:rPr>
        <w:t>(d)</w:t>
      </w:r>
      <w:r w:rsidRPr="000C0842">
        <w:rPr>
          <w:rFonts w:eastAsia="SimSun"/>
          <w:snapToGrid w:val="0"/>
          <w:sz w:val="24"/>
          <w:szCs w:val="18"/>
        </w:rPr>
        <w:tab/>
      </w:r>
      <w:r w:rsidRPr="000C0842">
        <w:rPr>
          <w:rFonts w:eastAsia="SimSun" w:hint="eastAsia"/>
          <w:snapToGrid w:val="0"/>
          <w:sz w:val="24"/>
          <w:szCs w:val="18"/>
        </w:rPr>
        <w:t>从冠状病毒病（</w:t>
      </w:r>
      <w:r w:rsidRPr="000C0842">
        <w:rPr>
          <w:rFonts w:eastAsia="SimSun"/>
          <w:snapToGrid w:val="0"/>
          <w:sz w:val="24"/>
          <w:szCs w:val="18"/>
        </w:rPr>
        <w:t>COVID-19</w:t>
      </w:r>
      <w:r w:rsidRPr="000C0842">
        <w:rPr>
          <w:rFonts w:eastAsia="SimSun" w:hint="eastAsia"/>
          <w:snapToGrid w:val="0"/>
          <w:sz w:val="24"/>
          <w:szCs w:val="18"/>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662F4F20" w14:textId="77777777" w:rsidR="00382AC2" w:rsidRPr="000C0842" w:rsidRDefault="00382AC2" w:rsidP="00382AC2">
      <w:pPr>
        <w:keepNext/>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rPr>
        <w:t>7.</w:t>
      </w:r>
      <w:r w:rsidRPr="000C0842">
        <w:rPr>
          <w:rFonts w:eastAsia="SimSun"/>
          <w:snapToGrid w:val="0"/>
          <w:sz w:val="24"/>
          <w:szCs w:val="18"/>
        </w:rPr>
        <w:tab/>
      </w:r>
      <w:r w:rsidRPr="000C0842">
        <w:rPr>
          <w:rFonts w:eastAsia="SimSun" w:hint="eastAsia"/>
          <w:snapToGrid w:val="0"/>
          <w:sz w:val="24"/>
          <w:szCs w:val="18"/>
        </w:rPr>
        <w:t>《全球行动计划》确认：</w:t>
      </w:r>
    </w:p>
    <w:p w14:paraId="3FFB79F5"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生物多样性丧失、生态系统退化和负面的健康后果有着许多共同的驱动因素，包括导致环境变化的直接驱动因素，其根本原因有许多，基础是社会价值观和行为；</w:t>
      </w:r>
    </w:p>
    <w:p w14:paraId="2D828518"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生物多样性是人类和动物健康的关键环境决定因素</w:t>
      </w:r>
      <w:r w:rsidRPr="000C0842">
        <w:rPr>
          <w:rFonts w:eastAsia="SimSun"/>
          <w:snapToGrid w:val="0"/>
          <w:sz w:val="24"/>
          <w:szCs w:val="24"/>
          <w:vertAlign w:val="superscript"/>
          <w:lang w:val="en-GB"/>
        </w:rPr>
        <w:footnoteReference w:id="287"/>
      </w:r>
      <w:r w:rsidRPr="000C0842">
        <w:rPr>
          <w:rFonts w:eastAsia="SimSun"/>
          <w:snapToGrid w:val="0"/>
          <w:sz w:val="24"/>
          <w:szCs w:val="24"/>
          <w:lang w:val="en-GB"/>
        </w:rPr>
        <w:t>，保护、恢复和可持续利用生物多样性可通过维护生态系统服务而有利于人类健康，从而有助于满足与自然保持关系的心理需求和到</w:t>
      </w:r>
      <w:r w:rsidRPr="000C0842">
        <w:rPr>
          <w:rFonts w:eastAsia="SimSun"/>
          <w:snapToGrid w:val="0"/>
          <w:sz w:val="24"/>
          <w:szCs w:val="24"/>
          <w:lang w:val="en-GB"/>
        </w:rPr>
        <w:t>2050</w:t>
      </w:r>
      <w:r w:rsidRPr="000C0842">
        <w:rPr>
          <w:rFonts w:eastAsia="SimSun"/>
          <w:snapToGrid w:val="0"/>
          <w:sz w:val="24"/>
          <w:szCs w:val="24"/>
          <w:lang w:val="en-GB"/>
        </w:rPr>
        <w:t>年实现与自然和谐相处的愿景；</w:t>
      </w:r>
      <w:r w:rsidRPr="000C0842">
        <w:rPr>
          <w:rFonts w:eastAsia="SimSun"/>
          <w:snapToGrid w:val="0"/>
          <w:sz w:val="24"/>
          <w:szCs w:val="24"/>
          <w:lang w:val="en-GB"/>
        </w:rPr>
        <w:t xml:space="preserve"> </w:t>
      </w:r>
    </w:p>
    <w:p w14:paraId="0338C270"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3387F890"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人类活动，例如不可持续的改变土地利用方式的做法和生境碎片化，可能加剧新出现的野生物、家畜、植物或人类传染病；</w:t>
      </w:r>
    </w:p>
    <w:p w14:paraId="025776CC"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可持续发展的三个层面（社会、经济和环境）以及对环境、包括生态系统的保护，有助于并促进人类福祉和充分享受所有人权，包括健康</w:t>
      </w:r>
      <w:r w:rsidRPr="000C0842">
        <w:rPr>
          <w:rFonts w:eastAsia="SimSun" w:hint="eastAsia"/>
          <w:snapToGrid w:val="0"/>
          <w:sz w:val="24"/>
          <w:szCs w:val="24"/>
          <w:lang w:val="en-GB"/>
        </w:rPr>
        <w:t>权利</w:t>
      </w:r>
      <w:r w:rsidRPr="000C0842">
        <w:rPr>
          <w:rFonts w:eastAsia="SimSun"/>
          <w:snapToGrid w:val="0"/>
          <w:sz w:val="24"/>
          <w:szCs w:val="24"/>
          <w:lang w:val="en-GB"/>
        </w:rPr>
        <w:t>以及今世后代享有清洁、健康和可持续环境的权利</w:t>
      </w:r>
      <w:r w:rsidRPr="000C0842">
        <w:rPr>
          <w:rFonts w:eastAsia="SimSun"/>
          <w:snapToGrid w:val="0"/>
          <w:sz w:val="24"/>
          <w:szCs w:val="24"/>
          <w:vertAlign w:val="superscript"/>
          <w:lang w:val="en-GB"/>
        </w:rPr>
        <w:footnoteReference w:id="288"/>
      </w:r>
      <w:r w:rsidRPr="000C0842">
        <w:rPr>
          <w:rFonts w:eastAsia="SimSun"/>
          <w:snapToGrid w:val="0"/>
          <w:sz w:val="24"/>
          <w:szCs w:val="24"/>
          <w:lang w:val="en-GB"/>
        </w:rPr>
        <w:t>；</w:t>
      </w:r>
    </w:p>
    <w:p w14:paraId="7075295A"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确保公正公平地分享利用遗传资源和与遗传资源和传统知识相关的数字序列信息所产生的惠益，包括为健康相关研究和开发提供遗传资源的缔约方的惠益，对于实现更公平的卫生系统至关重要；</w:t>
      </w:r>
    </w:p>
    <w:p w14:paraId="59C05935"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就确保各年龄段所有人的健康生活，促进他们的福祉（可持续发展目标</w:t>
      </w:r>
      <w:r w:rsidRPr="000C0842">
        <w:rPr>
          <w:rFonts w:eastAsia="SimSun"/>
          <w:snapToGrid w:val="0"/>
          <w:sz w:val="24"/>
          <w:szCs w:val="24"/>
          <w:lang w:val="en-GB"/>
        </w:rPr>
        <w:t xml:space="preserve"> 3</w:t>
      </w:r>
      <w:r w:rsidRPr="000C0842">
        <w:rPr>
          <w:rFonts w:eastAsia="SimSun"/>
          <w:snapToGrid w:val="0"/>
          <w:sz w:val="24"/>
          <w:szCs w:val="24"/>
          <w:lang w:val="en-GB"/>
        </w:rPr>
        <w:t>）而言，儿童、青年、老年人以及生活在已有病史中的人，在身体、精神和情感上更容易受到环境退化和环境变化的损害；</w:t>
      </w:r>
    </w:p>
    <w:p w14:paraId="432B2C3B"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生物多样性丧失及其直接驱动因素是对动物、人类和地球健康的威胁；</w:t>
      </w:r>
      <w:r w:rsidRPr="000C0842">
        <w:rPr>
          <w:rFonts w:eastAsia="SimSun"/>
          <w:snapToGrid w:val="0"/>
          <w:sz w:val="24"/>
          <w:szCs w:val="24"/>
          <w:lang w:val="en-GB"/>
        </w:rPr>
        <w:t xml:space="preserve"> </w:t>
      </w:r>
    </w:p>
    <w:p w14:paraId="6A4CB570"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环境退化和生物多样性丧失助长健康不平等，对于包括妇女、儿童、青年和残疾人在内的处于弱势境况者尤其如此，特别是对土著人民和地方社区的健康及其与本地生态系统之间的独特的相互依存关系造成严重不利影响，包括影响他们的身心健康、生计、饮食方式和传统医疗体系；</w:t>
      </w:r>
    </w:p>
    <w:p w14:paraId="1BD97A02" w14:textId="77777777" w:rsidR="00382AC2" w:rsidRPr="000C0842" w:rsidRDefault="00382AC2">
      <w:pPr>
        <w:numPr>
          <w:ilvl w:val="0"/>
          <w:numId w:val="90"/>
        </w:numPr>
        <w:tabs>
          <w:tab w:val="clear" w:pos="567"/>
          <w:tab w:val="clear" w:pos="1134"/>
          <w:tab w:val="clear" w:pos="1701"/>
          <w:tab w:val="clear" w:pos="2268"/>
        </w:tabs>
        <w:spacing w:before="120" w:after="120"/>
        <w:ind w:left="490" w:firstLine="432"/>
        <w:rPr>
          <w:snapToGrid w:val="0"/>
          <w:sz w:val="24"/>
          <w:szCs w:val="18"/>
          <w:lang w:val="en-GB"/>
        </w:rPr>
      </w:pPr>
      <w:r w:rsidRPr="000C0842">
        <w:rPr>
          <w:rFonts w:eastAsia="SimSun"/>
          <w:snapToGrid w:val="0"/>
          <w:sz w:val="24"/>
          <w:szCs w:val="24"/>
          <w:lang w:val="en-GB"/>
        </w:rPr>
        <w:t>需要在生物多样性与健康方面进行更有效和综合的政策协调，包括加强政府部委以及所有政府和领域之间的沟通、对话和协作。这包括需要加强</w:t>
      </w:r>
      <w:r w:rsidRPr="000C0842">
        <w:rPr>
          <w:rFonts w:eastAsia="SimSun" w:hint="eastAsia"/>
          <w:snapToGrid w:val="0"/>
          <w:sz w:val="24"/>
          <w:szCs w:val="24"/>
          <w:lang w:val="en-GB"/>
        </w:rPr>
        <w:t>“</w:t>
      </w:r>
      <w:r w:rsidRPr="000C0842">
        <w:rPr>
          <w:rFonts w:eastAsia="SimSun"/>
          <w:snapToGrid w:val="0"/>
          <w:sz w:val="24"/>
          <w:szCs w:val="24"/>
          <w:lang w:val="en-GB"/>
        </w:rPr>
        <w:t>同一健康</w:t>
      </w:r>
      <w:r w:rsidRPr="000C0842">
        <w:rPr>
          <w:rFonts w:eastAsia="SimSun" w:hint="eastAsia"/>
          <w:snapToGrid w:val="0"/>
          <w:sz w:val="24"/>
          <w:szCs w:val="24"/>
          <w:lang w:val="en-GB"/>
        </w:rPr>
        <w:t>”</w:t>
      </w:r>
      <w:r w:rsidRPr="000C0842">
        <w:rPr>
          <w:rFonts w:eastAsia="SimSun"/>
          <w:snapToGrid w:val="0"/>
          <w:sz w:val="24"/>
          <w:szCs w:val="24"/>
          <w:lang w:val="en-GB"/>
        </w:rPr>
        <w:t>方法及其他综合做法的环境内容，同时承认需要加强国际合作，以期解决发展中国家在实施</w:t>
      </w:r>
      <w:r w:rsidRPr="000C0842">
        <w:rPr>
          <w:rFonts w:eastAsia="SimSun" w:hint="eastAsia"/>
          <w:snapToGrid w:val="0"/>
          <w:sz w:val="24"/>
          <w:szCs w:val="24"/>
          <w:lang w:val="en-GB"/>
        </w:rPr>
        <w:t>“</w:t>
      </w:r>
      <w:r w:rsidRPr="000C0842">
        <w:rPr>
          <w:rFonts w:eastAsia="SimSun"/>
          <w:snapToGrid w:val="0"/>
          <w:sz w:val="24"/>
          <w:szCs w:val="24"/>
          <w:lang w:val="en-GB"/>
        </w:rPr>
        <w:t>同一健康</w:t>
      </w:r>
      <w:r w:rsidRPr="000C0842">
        <w:rPr>
          <w:rFonts w:eastAsia="SimSun" w:hint="eastAsia"/>
          <w:snapToGrid w:val="0"/>
          <w:sz w:val="24"/>
          <w:szCs w:val="24"/>
          <w:lang w:val="en-GB"/>
        </w:rPr>
        <w:t>”</w:t>
      </w:r>
      <w:r w:rsidRPr="000C0842">
        <w:rPr>
          <w:rFonts w:eastAsia="SimSun"/>
          <w:snapToGrid w:val="0"/>
          <w:sz w:val="24"/>
          <w:szCs w:val="24"/>
          <w:lang w:val="en-GB"/>
        </w:rPr>
        <w:t>或其他综合做法方面遇到的挑战，包括根据国情和优先事项，增强健康监测能力和促进公平应对。</w:t>
      </w:r>
    </w:p>
    <w:p w14:paraId="012A5CEC" w14:textId="77777777" w:rsidR="00382AC2" w:rsidRPr="000C0842" w:rsidRDefault="00382AC2" w:rsidP="00382AC2">
      <w:pPr>
        <w:tabs>
          <w:tab w:val="clear" w:pos="567"/>
          <w:tab w:val="clear" w:pos="1134"/>
          <w:tab w:val="clear" w:pos="1701"/>
          <w:tab w:val="clear" w:pos="2268"/>
        </w:tabs>
        <w:spacing w:before="120" w:after="120"/>
        <w:rPr>
          <w:rFonts w:eastAsia="SimSun"/>
          <w:b/>
          <w:bCs/>
          <w:snapToGrid w:val="0"/>
          <w:sz w:val="24"/>
          <w:szCs w:val="18"/>
          <w:lang w:val="en-GB"/>
        </w:rPr>
      </w:pPr>
      <w:r w:rsidRPr="000C0842">
        <w:rPr>
          <w:rFonts w:eastAsia="SimSun" w:hint="eastAsia"/>
          <w:b/>
          <w:bCs/>
          <w:snapToGrid w:val="0"/>
          <w:sz w:val="24"/>
          <w:szCs w:val="18"/>
          <w:lang w:val="en-GB"/>
        </w:rPr>
        <w:t>二</w:t>
      </w:r>
      <w:r w:rsidRPr="000C0842">
        <w:rPr>
          <w:rFonts w:eastAsia="SimSun"/>
          <w:b/>
          <w:bCs/>
          <w:snapToGrid w:val="0"/>
          <w:sz w:val="24"/>
          <w:szCs w:val="18"/>
          <w:lang w:val="en-GB"/>
        </w:rPr>
        <w:t>.</w:t>
      </w:r>
      <w:r w:rsidRPr="000C0842">
        <w:rPr>
          <w:rFonts w:eastAsia="SimSun"/>
          <w:b/>
          <w:bCs/>
          <w:snapToGrid w:val="0"/>
          <w:sz w:val="24"/>
          <w:szCs w:val="18"/>
          <w:lang w:val="en-GB"/>
        </w:rPr>
        <w:tab/>
      </w:r>
      <w:r w:rsidRPr="000C0842">
        <w:rPr>
          <w:rFonts w:eastAsia="SimSun" w:hint="eastAsia"/>
          <w:b/>
          <w:bCs/>
          <w:snapToGrid w:val="0"/>
          <w:sz w:val="24"/>
          <w:szCs w:val="18"/>
        </w:rPr>
        <w:t>为执行《生物多样性与健康全球行动计划》提供支持的考虑因素和工具</w:t>
      </w:r>
    </w:p>
    <w:p w14:paraId="513B7411" w14:textId="77777777" w:rsidR="00382AC2" w:rsidRPr="000C0842" w:rsidDel="00D263DD"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8.</w:t>
      </w:r>
      <w:r w:rsidRPr="000C0842">
        <w:rPr>
          <w:rFonts w:eastAsia="SimSun"/>
          <w:snapToGrid w:val="0"/>
          <w:sz w:val="24"/>
          <w:szCs w:val="18"/>
          <w:lang w:val="en-GB"/>
        </w:rPr>
        <w:tab/>
      </w:r>
      <w:r w:rsidRPr="000C0842">
        <w:rPr>
          <w:rFonts w:eastAsia="SimSun" w:hint="eastAsia"/>
          <w:snapToGrid w:val="0"/>
          <w:sz w:val="24"/>
          <w:szCs w:val="18"/>
        </w:rPr>
        <w:t>鉴于生物多样性与健康的相互关联具有跨领域性质，应根据国情和以符合国际义务与协定的方式执行《全球行动计划》。</w:t>
      </w:r>
      <w:r w:rsidRPr="000C0842">
        <w:rPr>
          <w:rFonts w:eastAsia="SimSun"/>
          <w:snapToGrid w:val="0"/>
          <w:sz w:val="24"/>
          <w:szCs w:val="18"/>
          <w:lang w:val="en-GB"/>
        </w:rPr>
        <w:t xml:space="preserve"> </w:t>
      </w:r>
    </w:p>
    <w:p w14:paraId="70E0A211"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9.</w:t>
      </w:r>
      <w:r w:rsidRPr="000C0842">
        <w:rPr>
          <w:rFonts w:eastAsia="SimSun"/>
          <w:snapToGrid w:val="0"/>
          <w:sz w:val="24"/>
          <w:szCs w:val="18"/>
          <w:lang w:val="en-GB"/>
        </w:rPr>
        <w:tab/>
      </w:r>
      <w:r w:rsidRPr="000C0842">
        <w:rPr>
          <w:rFonts w:eastAsia="SimSun" w:hint="eastAsia"/>
          <w:snapToGrid w:val="0"/>
          <w:sz w:val="24"/>
          <w:szCs w:val="18"/>
        </w:rPr>
        <w:t>《全球行动计划》体现了这一观点：环境的健康与所有物种的健康相互关联和相互依存；需要采取全政府和全社会的方法，将这一看法纳入国家政策、战略、方案和核算的主流。生物多样性与健康相互关联的概念应顾及贯穿各物种和生态系统的单独和集体系统层面，以及健康和福祉的多个层面。《全球行动计划》的各个要素的落实工作应该争取创造有利条件，改善对环境、动物、植物和其他生物类群的管理，最迟在</w:t>
      </w:r>
      <w:r w:rsidRPr="000C0842">
        <w:rPr>
          <w:rFonts w:eastAsia="SimSun"/>
          <w:snapToGrid w:val="0"/>
          <w:sz w:val="24"/>
          <w:szCs w:val="18"/>
        </w:rPr>
        <w:t xml:space="preserve"> 2050 </w:t>
      </w:r>
      <w:r w:rsidRPr="000C0842">
        <w:rPr>
          <w:rFonts w:eastAsia="SimSun" w:hint="eastAsia"/>
          <w:snapToGrid w:val="0"/>
          <w:sz w:val="24"/>
          <w:szCs w:val="18"/>
        </w:rPr>
        <w:t>年实现与自然和谐相处的愿景。</w:t>
      </w:r>
    </w:p>
    <w:p w14:paraId="74B64F13"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10.</w:t>
      </w:r>
      <w:r w:rsidRPr="000C0842">
        <w:rPr>
          <w:rFonts w:eastAsia="SimSun"/>
          <w:snapToGrid w:val="0"/>
          <w:sz w:val="24"/>
          <w:szCs w:val="18"/>
          <w:lang w:val="en-GB"/>
        </w:rPr>
        <w:tab/>
      </w:r>
      <w:r w:rsidRPr="000C0842">
        <w:rPr>
          <w:rFonts w:eastAsia="SimSun" w:hint="eastAsia"/>
          <w:snapToGrid w:val="0"/>
          <w:sz w:val="24"/>
          <w:szCs w:val="18"/>
        </w:rPr>
        <w:t>可通过拟定资源汇编进一步支持执行《全球行动计划》，包括拟定一个有助于其执行的工具和资源清单</w:t>
      </w:r>
      <w:r w:rsidRPr="000C0842">
        <w:rPr>
          <w:rFonts w:eastAsia="SimSun"/>
          <w:snapToGrid w:val="0"/>
          <w:sz w:val="24"/>
          <w:szCs w:val="18"/>
          <w:vertAlign w:val="superscript"/>
        </w:rPr>
        <w:footnoteReference w:id="289"/>
      </w:r>
      <w:r w:rsidRPr="000C0842">
        <w:rPr>
          <w:rFonts w:eastAsia="SimSun" w:hint="eastAsia"/>
          <w:snapToGrid w:val="0"/>
          <w:sz w:val="24"/>
          <w:szCs w:val="18"/>
          <w:lang w:val="en-GB"/>
        </w:rPr>
        <w:t>。</w:t>
      </w:r>
    </w:p>
    <w:p w14:paraId="11047122" w14:textId="77777777" w:rsidR="00382AC2" w:rsidRPr="000C0842" w:rsidRDefault="00382AC2" w:rsidP="00382AC2">
      <w:pPr>
        <w:tabs>
          <w:tab w:val="clear" w:pos="567"/>
          <w:tab w:val="clear" w:pos="1134"/>
          <w:tab w:val="clear" w:pos="1701"/>
          <w:tab w:val="clear" w:pos="2268"/>
        </w:tabs>
        <w:spacing w:before="120" w:after="120"/>
        <w:rPr>
          <w:rFonts w:eastAsia="SimSun"/>
          <w:b/>
          <w:bCs/>
          <w:snapToGrid w:val="0"/>
          <w:sz w:val="24"/>
          <w:szCs w:val="18"/>
          <w:lang w:val="en-GB"/>
        </w:rPr>
      </w:pPr>
      <w:r w:rsidRPr="000C0842">
        <w:rPr>
          <w:rFonts w:eastAsia="SimSun" w:hint="eastAsia"/>
          <w:b/>
          <w:bCs/>
          <w:snapToGrid w:val="0"/>
          <w:sz w:val="24"/>
          <w:szCs w:val="18"/>
          <w:lang w:val="en-GB"/>
        </w:rPr>
        <w:t>三</w:t>
      </w:r>
      <w:r w:rsidRPr="000C0842">
        <w:rPr>
          <w:rFonts w:eastAsia="SimSun"/>
          <w:b/>
          <w:bCs/>
          <w:snapToGrid w:val="0"/>
          <w:sz w:val="24"/>
          <w:szCs w:val="18"/>
          <w:lang w:val="en-GB"/>
        </w:rPr>
        <w:t>.</w:t>
      </w:r>
      <w:r w:rsidRPr="000C0842">
        <w:rPr>
          <w:rFonts w:eastAsia="SimSun"/>
          <w:b/>
          <w:bCs/>
          <w:snapToGrid w:val="0"/>
          <w:sz w:val="24"/>
          <w:szCs w:val="18"/>
          <w:lang w:val="en-GB"/>
        </w:rPr>
        <w:tab/>
      </w:r>
      <w:r w:rsidRPr="000C0842">
        <w:rPr>
          <w:rFonts w:eastAsia="SimSun" w:hint="eastAsia"/>
          <w:b/>
          <w:bCs/>
          <w:snapToGrid w:val="0"/>
          <w:sz w:val="24"/>
          <w:szCs w:val="18"/>
        </w:rPr>
        <w:t>将生物多样性与健康的相互关联纳入国家政策、战略、方案和核算主流的行动</w:t>
      </w:r>
    </w:p>
    <w:p w14:paraId="7274E81C" w14:textId="371341AF" w:rsidR="00382AC2" w:rsidRPr="000C0842" w:rsidRDefault="00382AC2" w:rsidP="00382AC2">
      <w:pPr>
        <w:tabs>
          <w:tab w:val="clear" w:pos="567"/>
          <w:tab w:val="clear" w:pos="1134"/>
          <w:tab w:val="clear" w:pos="1701"/>
          <w:tab w:val="clear" w:pos="2268"/>
        </w:tabs>
        <w:spacing w:before="120" w:after="120"/>
        <w:ind w:left="490"/>
        <w:rPr>
          <w:rFonts w:eastAsia="SimSun"/>
          <w:b/>
          <w:bCs/>
          <w:snapToGrid w:val="0"/>
          <w:sz w:val="24"/>
          <w:szCs w:val="18"/>
          <w:lang w:val="en-GB"/>
        </w:rPr>
      </w:pPr>
      <w:r w:rsidRPr="000C0842">
        <w:rPr>
          <w:rFonts w:eastAsia="SimSun"/>
          <w:snapToGrid w:val="0"/>
          <w:sz w:val="24"/>
          <w:szCs w:val="18"/>
          <w:lang w:val="en-GB"/>
        </w:rPr>
        <w:t>11.</w:t>
      </w:r>
      <w:r w:rsidRPr="000C0842">
        <w:rPr>
          <w:rFonts w:eastAsia="SimSun"/>
          <w:snapToGrid w:val="0"/>
          <w:sz w:val="24"/>
          <w:szCs w:val="18"/>
          <w:lang w:val="en-GB"/>
        </w:rPr>
        <w:tab/>
      </w:r>
      <w:r w:rsidRPr="000C0842">
        <w:rPr>
          <w:rFonts w:eastAsia="SimSun" w:hint="eastAsia"/>
          <w:snapToGrid w:val="0"/>
          <w:sz w:val="24"/>
          <w:szCs w:val="18"/>
        </w:rPr>
        <w:t>各国政府可在适当水平根据国情和相关国际义务采取以下自愿行动，其他行为体亦可在适当情况下采取这些行动，将生物多样性与健康的相互关联纳入主流，从而为健康和环境带来惠益。</w:t>
      </w:r>
      <w:r w:rsidRPr="000C0842">
        <w:rPr>
          <w:rFonts w:eastAsia="SimSun"/>
          <w:snapToGrid w:val="0"/>
          <w:sz w:val="24"/>
          <w:szCs w:val="18"/>
        </w:rPr>
        <w:t xml:space="preserve"> </w:t>
      </w:r>
      <w:r w:rsidRPr="000C0842">
        <w:rPr>
          <w:rFonts w:eastAsia="SimSun" w:hint="eastAsia"/>
          <w:snapToGrid w:val="0"/>
          <w:sz w:val="24"/>
          <w:szCs w:val="18"/>
        </w:rPr>
        <w:t>拟议的一般行动（</w:t>
      </w:r>
      <w:r w:rsidRPr="000C0842">
        <w:rPr>
          <w:rFonts w:eastAsia="SimSun"/>
          <w:snapToGrid w:val="0"/>
          <w:sz w:val="24"/>
          <w:szCs w:val="18"/>
        </w:rPr>
        <w:t>A</w:t>
      </w:r>
      <w:r w:rsidRPr="000C0842">
        <w:rPr>
          <w:rFonts w:eastAsia="SimSun" w:hint="eastAsia"/>
          <w:snapToGrid w:val="0"/>
          <w:sz w:val="24"/>
          <w:szCs w:val="18"/>
        </w:rPr>
        <w:t>节）可以从将生物多样性与健康的相互关联纳入《昆蒙框架》执行工作的行动（</w:t>
      </w:r>
      <w:r w:rsidRPr="000C0842">
        <w:rPr>
          <w:rFonts w:eastAsia="SimSun"/>
          <w:snapToGrid w:val="0"/>
          <w:sz w:val="24"/>
          <w:szCs w:val="18"/>
        </w:rPr>
        <w:t>B</w:t>
      </w:r>
      <w:r w:rsidRPr="000C0842">
        <w:rPr>
          <w:rFonts w:eastAsia="SimSun" w:hint="eastAsia"/>
          <w:snapToGrid w:val="0"/>
          <w:sz w:val="24"/>
          <w:szCs w:val="18"/>
        </w:rPr>
        <w:t>节）中得到补充。</w:t>
      </w:r>
      <w:r w:rsidRPr="000C0842">
        <w:rPr>
          <w:rFonts w:eastAsia="SimSun"/>
          <w:snapToGrid w:val="0"/>
          <w:sz w:val="24"/>
          <w:szCs w:val="18"/>
          <w:lang w:val="en-GB"/>
        </w:rPr>
        <w:t xml:space="preserve"> </w:t>
      </w:r>
    </w:p>
    <w:p w14:paraId="09F9744F" w14:textId="77777777" w:rsidR="00382AC2" w:rsidRPr="000C0842" w:rsidRDefault="00382AC2" w:rsidP="00382AC2">
      <w:pPr>
        <w:tabs>
          <w:tab w:val="clear" w:pos="567"/>
          <w:tab w:val="clear" w:pos="1134"/>
          <w:tab w:val="clear" w:pos="1701"/>
          <w:tab w:val="clear" w:pos="2268"/>
        </w:tabs>
        <w:spacing w:before="120" w:after="120"/>
        <w:rPr>
          <w:rFonts w:eastAsia="SimSun"/>
          <w:b/>
          <w:bCs/>
          <w:snapToGrid w:val="0"/>
          <w:sz w:val="24"/>
          <w:szCs w:val="18"/>
          <w:lang w:val="en-GB"/>
        </w:rPr>
      </w:pPr>
      <w:r w:rsidRPr="000C0842">
        <w:rPr>
          <w:rFonts w:eastAsia="SimSun"/>
          <w:b/>
          <w:bCs/>
          <w:snapToGrid w:val="0"/>
          <w:sz w:val="24"/>
          <w:szCs w:val="18"/>
          <w:lang w:val="en-GB"/>
        </w:rPr>
        <w:t>A.</w:t>
      </w:r>
      <w:r w:rsidRPr="000C0842">
        <w:rPr>
          <w:rFonts w:eastAsia="SimSun"/>
          <w:b/>
          <w:bCs/>
          <w:snapToGrid w:val="0"/>
          <w:sz w:val="24"/>
          <w:szCs w:val="18"/>
          <w:lang w:val="en-GB"/>
        </w:rPr>
        <w:tab/>
      </w:r>
      <w:r w:rsidRPr="000C0842">
        <w:rPr>
          <w:rFonts w:eastAsia="SimSun" w:hint="eastAsia"/>
          <w:b/>
          <w:bCs/>
          <w:snapToGrid w:val="0"/>
          <w:sz w:val="24"/>
          <w:szCs w:val="18"/>
        </w:rPr>
        <w:t>一般行动</w:t>
      </w:r>
    </w:p>
    <w:p w14:paraId="41EFB12C"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12.</w:t>
      </w:r>
      <w:r w:rsidRPr="000C0842">
        <w:rPr>
          <w:rFonts w:eastAsia="SimSun"/>
          <w:snapToGrid w:val="0"/>
          <w:sz w:val="24"/>
          <w:szCs w:val="18"/>
          <w:lang w:val="en-GB"/>
        </w:rPr>
        <w:tab/>
      </w:r>
      <w:r w:rsidRPr="000C0842">
        <w:rPr>
          <w:rFonts w:eastAsia="SimSun" w:hint="eastAsia"/>
          <w:snapToGrid w:val="0"/>
          <w:sz w:val="24"/>
          <w:szCs w:val="18"/>
        </w:rPr>
        <w:t>拟议的一般行动包括：</w:t>
      </w:r>
    </w:p>
    <w:p w14:paraId="236CC0D9"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pacing w:val="-10"/>
          <w:sz w:val="24"/>
          <w:szCs w:val="24"/>
          <w:lang w:val="en-GB"/>
        </w:rPr>
      </w:pPr>
      <w:r w:rsidRPr="000C0842">
        <w:rPr>
          <w:rFonts w:eastAsia="SimSun"/>
          <w:snapToGrid w:val="0"/>
          <w:spacing w:val="-10"/>
          <w:sz w:val="24"/>
          <w:szCs w:val="24"/>
          <w:lang w:val="en-GB"/>
        </w:rPr>
        <w:t>评估生物多样性与健康的相互关联，包括自然对人类健康方面的贡献、健康的环境决定因素以及国家一级疾病的环境疾病负担</w:t>
      </w:r>
      <w:r w:rsidRPr="000C0842">
        <w:rPr>
          <w:rFonts w:eastAsia="SimSun"/>
          <w:snapToGrid w:val="0"/>
          <w:spacing w:val="-10"/>
          <w:sz w:val="24"/>
          <w:szCs w:val="24"/>
          <w:vertAlign w:val="superscript"/>
          <w:lang w:val="en-GB"/>
        </w:rPr>
        <w:footnoteReference w:id="290"/>
      </w:r>
      <w:r w:rsidRPr="000C0842">
        <w:rPr>
          <w:rFonts w:eastAsia="SimSun"/>
          <w:snapToGrid w:val="0"/>
          <w:spacing w:val="-10"/>
          <w:sz w:val="24"/>
          <w:szCs w:val="24"/>
          <w:lang w:val="en-GB"/>
        </w:rPr>
        <w:t xml:space="preserve"> </w:t>
      </w:r>
      <w:r w:rsidRPr="000C0842">
        <w:rPr>
          <w:rFonts w:eastAsia="SimSun"/>
          <w:snapToGrid w:val="0"/>
          <w:spacing w:val="-10"/>
          <w:sz w:val="24"/>
          <w:szCs w:val="24"/>
          <w:lang w:val="en-GB"/>
        </w:rPr>
        <w:t>，同时考虑到生物文化多样性</w:t>
      </w:r>
      <w:r w:rsidRPr="000C0842">
        <w:rPr>
          <w:rFonts w:eastAsia="SimSun"/>
          <w:snapToGrid w:val="0"/>
          <w:spacing w:val="-10"/>
          <w:sz w:val="24"/>
          <w:szCs w:val="24"/>
          <w:vertAlign w:val="superscript"/>
          <w:lang w:val="en-GB"/>
        </w:rPr>
        <w:footnoteReference w:id="291"/>
      </w:r>
      <w:r w:rsidRPr="000C0842">
        <w:rPr>
          <w:rFonts w:eastAsia="SimSun"/>
          <w:snapToGrid w:val="0"/>
          <w:spacing w:val="-10"/>
          <w:sz w:val="24"/>
          <w:szCs w:val="24"/>
          <w:lang w:val="en-GB"/>
        </w:rPr>
        <w:t>、</w:t>
      </w:r>
      <w:r w:rsidRPr="000C0842">
        <w:rPr>
          <w:rFonts w:eastAsia="SimSun"/>
          <w:snapToGrid w:val="0"/>
          <w:spacing w:val="-10"/>
          <w:sz w:val="24"/>
          <w:szCs w:val="24"/>
          <w:lang w:val="en-GB"/>
        </w:rPr>
        <w:t xml:space="preserve"> </w:t>
      </w:r>
      <w:r w:rsidRPr="000C0842">
        <w:rPr>
          <w:rFonts w:eastAsia="SimSun"/>
          <w:snapToGrid w:val="0"/>
          <w:spacing w:val="-10"/>
          <w:sz w:val="24"/>
          <w:szCs w:val="24"/>
          <w:lang w:val="en-GB"/>
        </w:rPr>
        <w:t>多样化的价值体系以及对健康和福祉全面的理解，包括身体、性别、生殖和心理健康、认知发展、学习、支持性认同和健康的社会决定因素；</w:t>
      </w:r>
    </w:p>
    <w:p w14:paraId="1E2F12D6"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鼓励和促进国家对话和知识共享平台及活动，以加强所有领域和行为体与生物多样性和健康的相互关联有关的能力，从而发展同业交流群，同时注意到生物多样性在健康和福祉的所有方面发挥的正面作用；</w:t>
      </w:r>
      <w:r w:rsidRPr="000C0842">
        <w:rPr>
          <w:rFonts w:eastAsia="SimSun"/>
          <w:snapToGrid w:val="0"/>
          <w:sz w:val="24"/>
          <w:szCs w:val="24"/>
          <w:lang w:val="en-GB"/>
        </w:rPr>
        <w:t xml:space="preserve"> </w:t>
      </w:r>
    </w:p>
    <w:p w14:paraId="0EF25298"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鉴于</w:t>
      </w:r>
      <w:r w:rsidRPr="000C0842">
        <w:rPr>
          <w:rFonts w:eastAsia="SimSun"/>
          <w:snapToGrid w:val="0"/>
          <w:sz w:val="24"/>
          <w:szCs w:val="24"/>
          <w:lang w:val="en-GB"/>
        </w:rPr>
        <w:t>“</w:t>
      </w:r>
      <w:r w:rsidRPr="000C0842">
        <w:rPr>
          <w:rFonts w:eastAsia="SimSun"/>
          <w:snapToGrid w:val="0"/>
          <w:sz w:val="24"/>
          <w:szCs w:val="24"/>
          <w:lang w:val="en-GB"/>
        </w:rPr>
        <w:t>同一健康</w:t>
      </w:r>
      <w:r w:rsidRPr="000C0842">
        <w:rPr>
          <w:rFonts w:eastAsia="SimSun"/>
          <w:snapToGrid w:val="0"/>
          <w:sz w:val="24"/>
          <w:szCs w:val="24"/>
          <w:lang w:val="en-GB"/>
        </w:rPr>
        <w:t>”</w:t>
      </w:r>
      <w:r w:rsidRPr="000C0842">
        <w:rPr>
          <w:rFonts w:eastAsia="SimSun"/>
          <w:snapToGrid w:val="0"/>
          <w:sz w:val="24"/>
          <w:szCs w:val="24"/>
          <w:lang w:val="en-GB"/>
        </w:rPr>
        <w:t>办法和其他综合做法，促进政策协调和将生物多样性与健康的相互关联纳入以下方面的主流：对生物多样性有重要影响的部门的主流；国家生物多样性战略和行动计划的主流；心理健康、营养、农业、非传染性和传染性疾病控制以及儿童发展各项计划的主流；经济和可持续发展政策、与动植物健康相关政策、减少灾害和、救济和恢复流行病预防、防范和应对行动计划以及卫生部门可持续性政策的主流；</w:t>
      </w:r>
    </w:p>
    <w:p w14:paraId="01574333"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制定并在必要时加强跨学科和部际的关于生物多样性与健康的相互关联的国家协调机制，确保包括土著人民和地方社区、妇女、青年和老年人在内所有行为体的参与；</w:t>
      </w:r>
      <w:r w:rsidRPr="000C0842">
        <w:rPr>
          <w:rFonts w:eastAsia="SimSun"/>
          <w:snapToGrid w:val="0"/>
          <w:sz w:val="24"/>
          <w:szCs w:val="24"/>
          <w:lang w:val="en-GB"/>
        </w:rPr>
        <w:t xml:space="preserve"> </w:t>
      </w:r>
      <w:r w:rsidRPr="000C0842">
        <w:rPr>
          <w:rFonts w:eastAsia="SimSun"/>
          <w:snapToGrid w:val="0"/>
          <w:sz w:val="24"/>
          <w:szCs w:val="24"/>
          <w:lang w:val="en-GB"/>
        </w:rPr>
        <w:t>指定一个生物多样性与健康国家</w:t>
      </w:r>
      <w:r w:rsidRPr="000C0842">
        <w:rPr>
          <w:rFonts w:eastAsia="SimSun" w:hint="eastAsia"/>
          <w:snapToGrid w:val="0"/>
          <w:sz w:val="24"/>
          <w:szCs w:val="24"/>
          <w:lang w:val="en-GB"/>
        </w:rPr>
        <w:t>联络点</w:t>
      </w:r>
      <w:r w:rsidRPr="000C0842">
        <w:rPr>
          <w:rFonts w:eastAsia="SimSun"/>
          <w:snapToGrid w:val="0"/>
          <w:sz w:val="24"/>
          <w:szCs w:val="24"/>
          <w:lang w:val="en-GB"/>
        </w:rPr>
        <w:t>，协助这一进程；</w:t>
      </w:r>
    </w:p>
    <w:p w14:paraId="0BB9B4ED"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考虑指定一个生物多样性和公共卫生国家性别平等联络点，其任务之一可以是报告妇女和女童在环境管理和性别平等方面的贡献和需求；</w:t>
      </w:r>
      <w:r w:rsidRPr="000C0842">
        <w:rPr>
          <w:rFonts w:eastAsia="SimSun"/>
          <w:snapToGrid w:val="0"/>
          <w:sz w:val="24"/>
          <w:szCs w:val="24"/>
          <w:lang w:val="en-GB"/>
        </w:rPr>
        <w:t xml:space="preserve"> </w:t>
      </w:r>
    </w:p>
    <w:p w14:paraId="6E5EA0D1"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采取措施确保青年全面和有效的参与关于生物多样性与健康的各项决策和行动，包括考虑考虑指定一个生物多样性和公共卫生国家青年联络点，其任务之一可以是报告儿童和青年在环境管理、健康和代际公平方面的贡献和需求；</w:t>
      </w:r>
      <w:r w:rsidRPr="000C0842">
        <w:rPr>
          <w:rFonts w:eastAsia="SimSun"/>
          <w:snapToGrid w:val="0"/>
          <w:sz w:val="24"/>
          <w:szCs w:val="24"/>
          <w:lang w:val="en-GB"/>
        </w:rPr>
        <w:t xml:space="preserve"> </w:t>
      </w:r>
    </w:p>
    <w:p w14:paraId="3F4C6A86"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将生物多样性与健康的相互关联纳入与可持续发展相关的评估，包括环境影响评估、战略性环境评估、健康评估、健康影响评估、社会经济评估和其他相关评估，特别是：</w:t>
      </w:r>
    </w:p>
    <w:p w14:paraId="719F6AD2" w14:textId="77777777" w:rsidR="00382AC2" w:rsidRPr="000C0842" w:rsidRDefault="00382AC2">
      <w:pPr>
        <w:numPr>
          <w:ilvl w:val="0"/>
          <w:numId w:val="92"/>
        </w:numPr>
        <w:tabs>
          <w:tab w:val="clear" w:pos="567"/>
          <w:tab w:val="clear" w:pos="1134"/>
          <w:tab w:val="clear" w:pos="1701"/>
          <w:tab w:val="clear" w:pos="2268"/>
        </w:tabs>
        <w:spacing w:before="120" w:after="120"/>
        <w:ind w:left="2160" w:hanging="720"/>
        <w:rPr>
          <w:rFonts w:eastAsia="SimSun"/>
          <w:snapToGrid w:val="0"/>
          <w:sz w:val="24"/>
          <w:szCs w:val="24"/>
          <w:lang w:val="en-GB"/>
        </w:rPr>
      </w:pPr>
      <w:r w:rsidRPr="000C0842">
        <w:rPr>
          <w:rFonts w:eastAsia="SimSun"/>
          <w:snapToGrid w:val="0"/>
          <w:sz w:val="24"/>
          <w:szCs w:val="24"/>
          <w:lang w:val="en-GB"/>
        </w:rPr>
        <w:t>在上述评估中评估生物多样性的丧失给健康和生计造成的风险，将其作为指导决策的宝贵工具；</w:t>
      </w:r>
    </w:p>
    <w:p w14:paraId="0BD1F9D2" w14:textId="7BAC4516" w:rsidR="00382AC2" w:rsidRPr="000C0842" w:rsidRDefault="00382AC2">
      <w:pPr>
        <w:numPr>
          <w:ilvl w:val="0"/>
          <w:numId w:val="92"/>
        </w:numPr>
        <w:tabs>
          <w:tab w:val="clear" w:pos="567"/>
          <w:tab w:val="clear" w:pos="1134"/>
          <w:tab w:val="clear" w:pos="1701"/>
          <w:tab w:val="clear" w:pos="2268"/>
        </w:tabs>
        <w:spacing w:before="120" w:after="120"/>
        <w:ind w:left="2160" w:hanging="720"/>
        <w:rPr>
          <w:rFonts w:eastAsia="SimSun"/>
          <w:snapToGrid w:val="0"/>
          <w:sz w:val="24"/>
          <w:szCs w:val="24"/>
          <w:lang w:val="en-GB"/>
        </w:rPr>
      </w:pPr>
      <w:r w:rsidRPr="000C0842">
        <w:rPr>
          <w:rFonts w:eastAsia="SimSun"/>
          <w:snapToGrid w:val="0"/>
          <w:sz w:val="24"/>
          <w:szCs w:val="24"/>
          <w:lang w:val="en-GB"/>
        </w:rPr>
        <w:t>让多种多样的健康利益攸关方</w:t>
      </w:r>
      <w:r w:rsidRPr="000C0842">
        <w:rPr>
          <w:rFonts w:eastAsia="SimSun"/>
          <w:snapToGrid w:val="0"/>
          <w:sz w:val="24"/>
          <w:szCs w:val="24"/>
          <w:vertAlign w:val="superscript"/>
          <w:lang w:val="en-GB"/>
        </w:rPr>
        <w:footnoteReference w:id="292"/>
      </w:r>
      <w:r w:rsidRPr="000C0842">
        <w:rPr>
          <w:rFonts w:eastAsia="SimSun"/>
          <w:snapToGrid w:val="0"/>
          <w:sz w:val="24"/>
          <w:szCs w:val="24"/>
          <w:lang w:val="en-GB"/>
        </w:rPr>
        <w:t>参与评估和国家报告的筛选、范围界定、审查、决策和后续进程；</w:t>
      </w:r>
    </w:p>
    <w:p w14:paraId="1169A6C3" w14:textId="77777777" w:rsidR="00382AC2" w:rsidRPr="000C0842" w:rsidRDefault="00382AC2">
      <w:pPr>
        <w:numPr>
          <w:ilvl w:val="0"/>
          <w:numId w:val="92"/>
        </w:numPr>
        <w:tabs>
          <w:tab w:val="clear" w:pos="567"/>
          <w:tab w:val="clear" w:pos="1134"/>
          <w:tab w:val="clear" w:pos="1701"/>
          <w:tab w:val="clear" w:pos="2268"/>
        </w:tabs>
        <w:spacing w:before="120" w:after="120"/>
        <w:ind w:left="2160" w:hanging="720"/>
        <w:rPr>
          <w:rFonts w:eastAsia="SimSun"/>
          <w:snapToGrid w:val="0"/>
          <w:sz w:val="24"/>
          <w:szCs w:val="24"/>
          <w:lang w:val="en-GB"/>
        </w:rPr>
      </w:pPr>
      <w:r w:rsidRPr="000C0842">
        <w:rPr>
          <w:rFonts w:eastAsia="SimSun"/>
          <w:snapToGrid w:val="0"/>
          <w:sz w:val="24"/>
          <w:szCs w:val="24"/>
          <w:lang w:val="en-GB"/>
        </w:rPr>
        <w:t>在评估中纳入反映生物多样性与健康广泛相互关联的综合筛选因素；</w:t>
      </w:r>
    </w:p>
    <w:p w14:paraId="1D2F4688" w14:textId="77777777" w:rsidR="00382AC2" w:rsidRPr="000C0842" w:rsidRDefault="00382AC2">
      <w:pPr>
        <w:numPr>
          <w:ilvl w:val="0"/>
          <w:numId w:val="92"/>
        </w:numPr>
        <w:tabs>
          <w:tab w:val="clear" w:pos="567"/>
          <w:tab w:val="clear" w:pos="1134"/>
          <w:tab w:val="clear" w:pos="1701"/>
          <w:tab w:val="clear" w:pos="2268"/>
        </w:tabs>
        <w:spacing w:before="120" w:after="120"/>
        <w:ind w:left="2160" w:hanging="720"/>
        <w:rPr>
          <w:snapToGrid w:val="0"/>
          <w:sz w:val="24"/>
          <w:szCs w:val="18"/>
          <w:lang w:val="en-GB"/>
        </w:rPr>
      </w:pPr>
      <w:r w:rsidRPr="000C0842">
        <w:rPr>
          <w:rFonts w:eastAsia="SimSun"/>
          <w:snapToGrid w:val="0"/>
          <w:sz w:val="24"/>
          <w:szCs w:val="24"/>
          <w:lang w:val="en-GB"/>
        </w:rPr>
        <w:t>在代际公平和性别平等以及子孙后代的健康，特别是儿童的出生、成长和身心发育的能力的情况下，确保在评估工作以及国家监测、报告和审查框架结合中考虑生物多样性的丧失与退化；</w:t>
      </w:r>
    </w:p>
    <w:p w14:paraId="39B19205"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z w:val="24"/>
          <w:szCs w:val="24"/>
          <w:lang w:val="en-GB"/>
        </w:rPr>
        <w:t>在土著人民和地方社区自由、事先和知情同意的情况下，</w:t>
      </w:r>
      <w:r w:rsidRPr="000C0842">
        <w:rPr>
          <w:rFonts w:eastAsia="SimSun" w:hint="eastAsia"/>
          <w:snapToGrid w:val="0"/>
          <w:sz w:val="24"/>
          <w:szCs w:val="18"/>
          <w:lang w:val="en-GB"/>
        </w:rPr>
        <w:t>支持生物多样性</w:t>
      </w:r>
      <w:r w:rsidRPr="000C0842">
        <w:rPr>
          <w:rFonts w:eastAsia="SimSun"/>
          <w:snapToGrid w:val="0"/>
          <w:sz w:val="24"/>
          <w:szCs w:val="24"/>
          <w:lang w:val="en-GB"/>
        </w:rPr>
        <w:t>与健康相互关联问题的研究以解决知识空白，改进科学证据和良好做法的获取，办法是确保转型性和跨学科教育和研究，尊重土著人民和地方社区的传统知识</w:t>
      </w:r>
      <w:r w:rsidRPr="000C0842">
        <w:rPr>
          <w:rFonts w:eastAsia="SimSun"/>
          <w:snapToGrid w:val="0"/>
          <w:sz w:val="24"/>
          <w:szCs w:val="24"/>
          <w:vertAlign w:val="superscript"/>
          <w:lang w:val="en-GB"/>
        </w:rPr>
        <w:footnoteReference w:id="293"/>
      </w:r>
      <w:r w:rsidRPr="000C0842">
        <w:rPr>
          <w:rFonts w:eastAsia="SimSun"/>
          <w:snapToGrid w:val="0"/>
          <w:sz w:val="24"/>
          <w:szCs w:val="24"/>
          <w:lang w:val="en-GB"/>
        </w:rPr>
        <w:t>；</w:t>
      </w:r>
    </w:p>
    <w:p w14:paraId="6C3B8FA6"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加强对</w:t>
      </w:r>
      <w:r w:rsidRPr="000C0842">
        <w:rPr>
          <w:rFonts w:eastAsia="SimSun"/>
          <w:snapToGrid w:val="0"/>
          <w:sz w:val="24"/>
          <w:szCs w:val="24"/>
          <w:lang w:val="en-GB"/>
        </w:rPr>
        <w:t>“</w:t>
      </w:r>
      <w:r w:rsidRPr="000C0842">
        <w:rPr>
          <w:rFonts w:eastAsia="SimSun"/>
          <w:snapToGrid w:val="0"/>
          <w:sz w:val="24"/>
          <w:szCs w:val="24"/>
          <w:lang w:val="en-GB"/>
        </w:rPr>
        <w:t>同一健康</w:t>
      </w:r>
      <w:r w:rsidRPr="000C0842">
        <w:rPr>
          <w:rFonts w:eastAsia="SimSun"/>
          <w:snapToGrid w:val="0"/>
          <w:sz w:val="24"/>
          <w:szCs w:val="24"/>
          <w:lang w:val="en-GB"/>
        </w:rPr>
        <w:t>”</w:t>
      </w:r>
      <w:r w:rsidRPr="000C0842">
        <w:rPr>
          <w:rFonts w:eastAsia="SimSun"/>
          <w:snapToGrid w:val="0"/>
          <w:sz w:val="24"/>
          <w:szCs w:val="24"/>
          <w:lang w:val="en-GB"/>
        </w:rPr>
        <w:t>做法以及综合做法的理解，集中关注生物多样性与健康的相互关联，为此将其纳入保健和医学、公共和全球健康、动物健康、生物多样性和环境、城市空间规划（包括绿色和蓝色空间）及其他相关领域专业人员的课程，作为终身学习和技能发展的一部分；</w:t>
      </w:r>
    </w:p>
    <w:p w14:paraId="4402B83C"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酌情鼓励与卫生相关组织合作，按照现有任务规定将生物多样性相关衡量尺度、指标和工具纳入卫生战略、计划和方案，另一方面，推动将健康相关衡量尺度、指标和工具纳入生物多样性战略、计划和方案；</w:t>
      </w:r>
    </w:p>
    <w:p w14:paraId="3762A30C"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鼓励制订针对具体部门的宣传材料，例如简明介绍，把生物多样性与健康的相互关联纳入在国家一级确定的相关部门</w:t>
      </w:r>
      <w:r w:rsidRPr="000C0842">
        <w:rPr>
          <w:rFonts w:eastAsia="SimSun"/>
          <w:snapToGrid w:val="0"/>
          <w:sz w:val="24"/>
          <w:szCs w:val="24"/>
          <w:vertAlign w:val="superscript"/>
          <w:lang w:val="en-GB"/>
        </w:rPr>
        <w:footnoteReference w:id="294"/>
      </w:r>
      <w:r w:rsidRPr="000C0842">
        <w:rPr>
          <w:rFonts w:eastAsia="SimSun"/>
          <w:snapToGrid w:val="0"/>
          <w:sz w:val="24"/>
          <w:szCs w:val="24"/>
          <w:lang w:val="en-GB"/>
        </w:rPr>
        <w:t>；</w:t>
      </w:r>
    </w:p>
    <w:p w14:paraId="5E15E79D"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rFonts w:eastAsia="SimSun"/>
          <w:snapToGrid w:val="0"/>
          <w:sz w:val="24"/>
          <w:szCs w:val="24"/>
          <w:lang w:val="en-GB"/>
        </w:rPr>
      </w:pPr>
      <w:r w:rsidRPr="000C0842">
        <w:rPr>
          <w:rFonts w:eastAsia="SimSun"/>
          <w:snapToGrid w:val="0"/>
          <w:sz w:val="24"/>
          <w:szCs w:val="24"/>
          <w:lang w:val="en-GB"/>
        </w:rPr>
        <w:t>根据适用的国际法和本国法律加强国际合作，支持发展中国家应对其面临的具体环境和健康相关挑战，包括实施</w:t>
      </w:r>
      <w:r w:rsidRPr="000C0842">
        <w:rPr>
          <w:rFonts w:eastAsia="SimSun" w:hint="eastAsia"/>
          <w:snapToGrid w:val="0"/>
          <w:sz w:val="24"/>
          <w:szCs w:val="24"/>
          <w:lang w:val="en-GB"/>
        </w:rPr>
        <w:t>“</w:t>
      </w:r>
      <w:r w:rsidRPr="000C0842">
        <w:rPr>
          <w:rFonts w:eastAsia="SimSun"/>
          <w:snapToGrid w:val="0"/>
          <w:sz w:val="24"/>
          <w:szCs w:val="24"/>
          <w:lang w:val="en-GB"/>
        </w:rPr>
        <w:t>同一健康</w:t>
      </w:r>
      <w:r w:rsidRPr="000C0842">
        <w:rPr>
          <w:rFonts w:eastAsia="SimSun" w:hint="eastAsia"/>
          <w:snapToGrid w:val="0"/>
          <w:sz w:val="24"/>
          <w:szCs w:val="24"/>
          <w:lang w:val="en-GB"/>
        </w:rPr>
        <w:t>”</w:t>
      </w:r>
      <w:r w:rsidRPr="000C0842">
        <w:rPr>
          <w:rFonts w:eastAsia="SimSun"/>
          <w:snapToGrid w:val="0"/>
          <w:sz w:val="24"/>
          <w:szCs w:val="24"/>
          <w:lang w:val="en-GB"/>
        </w:rPr>
        <w:t>和其他整体解决方法；</w:t>
      </w:r>
    </w:p>
    <w:p w14:paraId="09634D3A" w14:textId="77777777" w:rsidR="00382AC2" w:rsidRPr="000C0842" w:rsidRDefault="00382AC2">
      <w:pPr>
        <w:numPr>
          <w:ilvl w:val="0"/>
          <w:numId w:val="91"/>
        </w:numPr>
        <w:tabs>
          <w:tab w:val="clear" w:pos="567"/>
          <w:tab w:val="clear" w:pos="1134"/>
          <w:tab w:val="clear" w:pos="1701"/>
          <w:tab w:val="clear" w:pos="2268"/>
        </w:tabs>
        <w:spacing w:before="120" w:after="120"/>
        <w:ind w:left="490" w:firstLine="432"/>
        <w:rPr>
          <w:snapToGrid w:val="0"/>
          <w:sz w:val="24"/>
          <w:szCs w:val="18"/>
          <w:lang w:val="en-GB"/>
        </w:rPr>
      </w:pPr>
      <w:r w:rsidRPr="000C0842">
        <w:rPr>
          <w:rFonts w:eastAsia="SimSun"/>
          <w:snapToGrid w:val="0"/>
          <w:sz w:val="24"/>
          <w:szCs w:val="24"/>
          <w:lang w:val="en-GB"/>
        </w:rPr>
        <w:t>鼓励各项相关多边环境和卫生协定的国家</w:t>
      </w:r>
      <w:r w:rsidRPr="000C0842">
        <w:rPr>
          <w:rFonts w:eastAsia="SimSun" w:hint="eastAsia"/>
          <w:snapToGrid w:val="0"/>
          <w:sz w:val="24"/>
          <w:szCs w:val="24"/>
          <w:lang w:val="en-GB"/>
        </w:rPr>
        <w:t>联络点</w:t>
      </w:r>
      <w:r w:rsidRPr="000C0842">
        <w:rPr>
          <w:rFonts w:eastAsia="SimSun"/>
          <w:snapToGrid w:val="0"/>
          <w:sz w:val="24"/>
          <w:szCs w:val="24"/>
          <w:lang w:val="en-GB"/>
        </w:rPr>
        <w:t>在彼此之间就有关生物</w:t>
      </w:r>
      <w:r w:rsidRPr="000C0842">
        <w:rPr>
          <w:rFonts w:eastAsia="SimSun" w:hint="eastAsia"/>
          <w:snapToGrid w:val="0"/>
          <w:sz w:val="24"/>
          <w:szCs w:val="18"/>
          <w:lang w:val="en-GB"/>
        </w:rPr>
        <w:t>多样性与健康的相互关联的行动开展合作，包括通过全社会方法参与跨领域活动。</w:t>
      </w:r>
    </w:p>
    <w:p w14:paraId="41965FB8" w14:textId="77777777" w:rsidR="00382AC2" w:rsidRPr="000C0842" w:rsidRDefault="00382AC2" w:rsidP="0069726A">
      <w:pPr>
        <w:keepNext/>
        <w:tabs>
          <w:tab w:val="clear" w:pos="567"/>
          <w:tab w:val="clear" w:pos="1134"/>
          <w:tab w:val="clear" w:pos="1701"/>
          <w:tab w:val="clear" w:pos="2268"/>
        </w:tabs>
        <w:spacing w:before="120" w:after="120"/>
        <w:ind w:left="490" w:hanging="490"/>
        <w:rPr>
          <w:rFonts w:eastAsia="SimSun"/>
          <w:b/>
          <w:bCs/>
          <w:kern w:val="2"/>
          <w:sz w:val="24"/>
          <w:szCs w:val="24"/>
          <w:lang w:val="en-GB"/>
        </w:rPr>
      </w:pPr>
      <w:r w:rsidRPr="000C0842">
        <w:rPr>
          <w:rFonts w:eastAsia="SimSun"/>
          <w:b/>
          <w:bCs/>
          <w:kern w:val="2"/>
          <w:sz w:val="24"/>
          <w:szCs w:val="24"/>
          <w:lang w:val="en-GB"/>
        </w:rPr>
        <w:t>B.</w:t>
      </w:r>
      <w:r w:rsidRPr="000C0842">
        <w:rPr>
          <w:rFonts w:eastAsia="SimSun"/>
          <w:kern w:val="2"/>
          <w:sz w:val="24"/>
          <w:szCs w:val="24"/>
          <w:lang w:val="en-GB"/>
        </w:rPr>
        <w:tab/>
      </w:r>
      <w:r w:rsidRPr="000C0842">
        <w:rPr>
          <w:rFonts w:eastAsia="SimSun" w:hint="eastAsia"/>
          <w:b/>
          <w:bCs/>
          <w:snapToGrid w:val="0"/>
          <w:sz w:val="24"/>
          <w:szCs w:val="18"/>
        </w:rPr>
        <w:t>将生物多样性与健康的相互关联纳入</w:t>
      </w:r>
      <w:r w:rsidRPr="000C0842">
        <w:rPr>
          <w:rFonts w:eastAsia="SimSun" w:hint="eastAsia"/>
          <w:b/>
          <w:bCs/>
          <w:kern w:val="2"/>
          <w:sz w:val="24"/>
          <w:szCs w:val="24"/>
        </w:rPr>
        <w:t>《昆明</w:t>
      </w:r>
      <w:r w:rsidRPr="000C0842">
        <w:rPr>
          <w:rFonts w:eastAsia="SimSun"/>
          <w:b/>
          <w:bCs/>
          <w:kern w:val="2"/>
          <w:sz w:val="24"/>
          <w:szCs w:val="24"/>
        </w:rPr>
        <w:t>-</w:t>
      </w:r>
      <w:r w:rsidRPr="000C0842">
        <w:rPr>
          <w:rFonts w:eastAsia="SimSun" w:hint="eastAsia"/>
          <w:b/>
          <w:bCs/>
          <w:kern w:val="2"/>
          <w:sz w:val="24"/>
          <w:szCs w:val="24"/>
        </w:rPr>
        <w:t>蒙特利尔全球生物多样性框架》执行工作的行动</w:t>
      </w:r>
    </w:p>
    <w:p w14:paraId="40E2F1C8"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13.</w:t>
      </w:r>
      <w:r w:rsidRPr="000C0842">
        <w:rPr>
          <w:rFonts w:eastAsia="SimSun"/>
          <w:snapToGrid w:val="0"/>
          <w:sz w:val="24"/>
          <w:szCs w:val="18"/>
          <w:lang w:val="en-GB"/>
        </w:rPr>
        <w:tab/>
      </w:r>
      <w:r w:rsidRPr="000C0842">
        <w:rPr>
          <w:rFonts w:eastAsia="SimSun" w:hint="eastAsia"/>
          <w:snapToGrid w:val="0"/>
          <w:sz w:val="24"/>
          <w:szCs w:val="18"/>
        </w:rPr>
        <w:t>《昆蒙框架》确认了生物多样性与健康的相互关联，以之作为其执行当中的考虑因素之一，具体如下：</w:t>
      </w:r>
    </w:p>
    <w:p w14:paraId="5D625AA0" w14:textId="7D2DDBD7" w:rsidR="00382AC2" w:rsidRPr="000C0842" w:rsidRDefault="00382AC2" w:rsidP="00382AC2">
      <w:pPr>
        <w:tabs>
          <w:tab w:val="clear" w:pos="567"/>
          <w:tab w:val="clear" w:pos="1134"/>
          <w:tab w:val="clear" w:pos="1701"/>
          <w:tab w:val="clear" w:pos="2268"/>
        </w:tabs>
        <w:spacing w:before="120" w:after="120"/>
        <w:ind w:left="979"/>
        <w:rPr>
          <w:rFonts w:eastAsia="SimSun"/>
          <w:snapToGrid w:val="0"/>
          <w:sz w:val="24"/>
          <w:szCs w:val="18"/>
          <w:lang w:val="en-GB"/>
        </w:rPr>
      </w:pPr>
      <w:r w:rsidRPr="000C0842">
        <w:rPr>
          <w:rFonts w:eastAsia="SimSun" w:hint="eastAsia"/>
          <w:snapToGrid w:val="0"/>
          <w:sz w:val="24"/>
          <w:szCs w:val="18"/>
        </w:rPr>
        <w:t>《框架》承认生物多样性和健康与《公约》三项目标的相互关联。《框架》的执行将考虑到</w:t>
      </w:r>
      <w:r w:rsidRPr="000C0842">
        <w:rPr>
          <w:rFonts w:eastAsia="SimSun"/>
          <w:snapToGrid w:val="0"/>
          <w:sz w:val="24"/>
          <w:szCs w:val="18"/>
        </w:rPr>
        <w:t xml:space="preserve"> “</w:t>
      </w:r>
      <w:r w:rsidRPr="000C0842">
        <w:rPr>
          <w:rFonts w:eastAsia="SimSun" w:hint="eastAsia"/>
          <w:snapToGrid w:val="0"/>
          <w:sz w:val="24"/>
          <w:szCs w:val="18"/>
        </w:rPr>
        <w:t>同一健康</w:t>
      </w:r>
      <w:r w:rsidRPr="000C0842">
        <w:rPr>
          <w:rFonts w:eastAsia="SimSun"/>
          <w:snapToGrid w:val="0"/>
          <w:sz w:val="24"/>
          <w:szCs w:val="18"/>
        </w:rPr>
        <w:t>”</w:t>
      </w:r>
      <w:r w:rsidRPr="000C0842">
        <w:rPr>
          <w:rFonts w:eastAsia="SimSun" w:hint="eastAsia"/>
          <w:snapToGrid w:val="0"/>
          <w:sz w:val="24"/>
          <w:szCs w:val="18"/>
        </w:rPr>
        <w:t>方法以及其他基于科学的整体方法，动员多个部门、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r w:rsidRPr="000C0842">
        <w:rPr>
          <w:rFonts w:eastAsia="SimSun"/>
          <w:snapToGrid w:val="0"/>
          <w:sz w:val="24"/>
          <w:szCs w:val="18"/>
          <w:vertAlign w:val="superscript"/>
        </w:rPr>
        <w:footnoteReference w:id="295"/>
      </w:r>
      <w:r w:rsidRPr="000C0842">
        <w:rPr>
          <w:rFonts w:eastAsia="SimSun" w:hint="eastAsia"/>
          <w:snapToGrid w:val="0"/>
          <w:sz w:val="24"/>
          <w:szCs w:val="18"/>
        </w:rPr>
        <w:t>。</w:t>
      </w:r>
    </w:p>
    <w:p w14:paraId="213B8538"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pPr>
      <w:r w:rsidRPr="000C0842">
        <w:rPr>
          <w:rFonts w:eastAsia="SimSun"/>
          <w:snapToGrid w:val="0"/>
          <w:sz w:val="24"/>
          <w:szCs w:val="18"/>
          <w:lang w:val="en-GB"/>
        </w:rPr>
        <w:t>14.</w:t>
      </w:r>
      <w:r w:rsidRPr="000C0842">
        <w:rPr>
          <w:rFonts w:eastAsia="SimSun"/>
          <w:snapToGrid w:val="0"/>
          <w:sz w:val="24"/>
          <w:szCs w:val="18"/>
          <w:lang w:val="en-GB"/>
        </w:rPr>
        <w:tab/>
      </w:r>
      <w:r w:rsidRPr="000C0842">
        <w:rPr>
          <w:rFonts w:eastAsia="SimSun" w:hint="eastAsia"/>
          <w:snapToGrid w:val="0"/>
          <w:sz w:val="24"/>
          <w:szCs w:val="18"/>
        </w:rPr>
        <w:t>《昆蒙框架》还确认了享有清洁、健康和可持续环境的人权</w:t>
      </w:r>
      <w:r w:rsidRPr="000C0842">
        <w:rPr>
          <w:rFonts w:eastAsia="SimSun"/>
          <w:snapToGrid w:val="0"/>
          <w:sz w:val="24"/>
          <w:szCs w:val="18"/>
          <w:vertAlign w:val="superscript"/>
        </w:rPr>
        <w:footnoteReference w:id="296"/>
      </w:r>
      <w:r w:rsidRPr="000C0842">
        <w:rPr>
          <w:rFonts w:eastAsia="SimSun" w:hint="eastAsia"/>
          <w:snapToGrid w:val="0"/>
          <w:sz w:val="24"/>
          <w:szCs w:val="18"/>
        </w:rPr>
        <w:t>。</w:t>
      </w:r>
    </w:p>
    <w:p w14:paraId="037267B3"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rPr>
      </w:pPr>
      <w:r w:rsidRPr="000C0842">
        <w:rPr>
          <w:rFonts w:eastAsia="SimSun"/>
          <w:snapToGrid w:val="0"/>
          <w:sz w:val="24"/>
          <w:szCs w:val="18"/>
          <w:lang w:val="en-GB"/>
        </w:rPr>
        <w:t>15.</w:t>
      </w:r>
      <w:r w:rsidRPr="000C0842">
        <w:rPr>
          <w:rFonts w:eastAsia="SimSun"/>
          <w:snapToGrid w:val="0"/>
          <w:sz w:val="24"/>
          <w:szCs w:val="18"/>
          <w:lang w:val="en-GB"/>
        </w:rPr>
        <w:tab/>
      </w:r>
      <w:r w:rsidRPr="000C0842">
        <w:rPr>
          <w:rFonts w:eastAsia="SimSun" w:hint="eastAsia"/>
          <w:snapToGrid w:val="0"/>
          <w:sz w:val="24"/>
          <w:szCs w:val="18"/>
        </w:rPr>
        <w:t>由于环境健康和所有物种的健康和福祉是相互关联的，为执行《昆蒙框架》采取的所有行动都将为所有物种和人类健康带来附带效益。</w:t>
      </w:r>
      <w:r w:rsidRPr="000C0842">
        <w:rPr>
          <w:rFonts w:eastAsia="SimSun"/>
          <w:snapToGrid w:val="0"/>
          <w:sz w:val="24"/>
          <w:szCs w:val="18"/>
        </w:rPr>
        <w:t xml:space="preserve"> </w:t>
      </w:r>
      <w:r w:rsidRPr="000C0842">
        <w:rPr>
          <w:rFonts w:eastAsia="SimSun" w:hint="eastAsia"/>
          <w:snapToGrid w:val="0"/>
          <w:sz w:val="24"/>
          <w:szCs w:val="18"/>
        </w:rPr>
        <w:t>下表开列了将生物多样性与健康的相互关联纳入框架执行工作主流的行动。</w:t>
      </w:r>
    </w:p>
    <w:p w14:paraId="5700F3E6" w14:textId="77777777" w:rsidR="00382AC2" w:rsidRPr="000C0842" w:rsidRDefault="00382AC2" w:rsidP="00382AC2">
      <w:pPr>
        <w:tabs>
          <w:tab w:val="clear" w:pos="567"/>
          <w:tab w:val="clear" w:pos="1134"/>
          <w:tab w:val="clear" w:pos="1701"/>
          <w:tab w:val="clear" w:pos="2268"/>
        </w:tabs>
        <w:spacing w:before="120" w:after="120"/>
        <w:ind w:left="490"/>
        <w:rPr>
          <w:rFonts w:eastAsia="SimSun"/>
          <w:snapToGrid w:val="0"/>
          <w:sz w:val="24"/>
          <w:szCs w:val="18"/>
          <w:lang w:val="en-GB"/>
        </w:rPr>
        <w:sectPr w:rsidR="00382AC2" w:rsidRPr="000C0842" w:rsidSect="00D83DAC">
          <w:headerReference w:type="even" r:id="rId196"/>
          <w:headerReference w:type="default" r:id="rId197"/>
          <w:footerReference w:type="even" r:id="rId198"/>
          <w:footerReference w:type="default" r:id="rId199"/>
          <w:headerReference w:type="first" r:id="rId200"/>
          <w:pgSz w:w="12240" w:h="15840"/>
          <w:pgMar w:top="1134" w:right="1440" w:bottom="1134" w:left="1440" w:header="709" w:footer="709" w:gutter="0"/>
          <w:cols w:space="708"/>
          <w:docGrid w:linePitch="360"/>
        </w:sectPr>
      </w:pPr>
      <w:r w:rsidRPr="000C0842">
        <w:rPr>
          <w:rFonts w:eastAsia="SimSun"/>
          <w:snapToGrid w:val="0"/>
          <w:sz w:val="24"/>
          <w:szCs w:val="18"/>
        </w:rPr>
        <w:t xml:space="preserve">  </w:t>
      </w:r>
    </w:p>
    <w:p w14:paraId="5A99AF65" w14:textId="77777777" w:rsidR="00382AC2" w:rsidRPr="000C0842" w:rsidRDefault="00382AC2" w:rsidP="00382AC2">
      <w:pPr>
        <w:tabs>
          <w:tab w:val="clear" w:pos="567"/>
          <w:tab w:val="clear" w:pos="1134"/>
          <w:tab w:val="clear" w:pos="1701"/>
          <w:tab w:val="clear" w:pos="2268"/>
        </w:tabs>
        <w:spacing w:before="240" w:after="240"/>
        <w:jc w:val="left"/>
        <w:rPr>
          <w:rFonts w:eastAsia="SimSun"/>
          <w:b/>
          <w:bCs/>
          <w:kern w:val="2"/>
          <w:sz w:val="24"/>
          <w:lang w:val="en-GB"/>
        </w:rPr>
      </w:pPr>
      <w:r w:rsidRPr="000C0842">
        <w:rPr>
          <w:rFonts w:eastAsia="SimSun" w:hint="eastAsia"/>
          <w:b/>
          <w:bCs/>
          <w:kern w:val="2"/>
          <w:sz w:val="24"/>
        </w:rPr>
        <w:t>将生物多样性与健康的相互关联纳入《昆明</w:t>
      </w:r>
      <w:r w:rsidRPr="000C0842">
        <w:rPr>
          <w:rFonts w:eastAsia="SimSun" w:hint="eastAsia"/>
          <w:b/>
          <w:bCs/>
          <w:kern w:val="2"/>
          <w:sz w:val="24"/>
        </w:rPr>
        <w:t>-</w:t>
      </w:r>
      <w:r w:rsidRPr="000C0842">
        <w:rPr>
          <w:rFonts w:eastAsia="SimSun" w:hint="eastAsia"/>
          <w:b/>
          <w:bCs/>
          <w:kern w:val="2"/>
          <w:sz w:val="24"/>
        </w:rPr>
        <w:t>蒙特利尔全球生物多样性框架》执行工作主流</w:t>
      </w:r>
      <w:r w:rsidRPr="000C0842">
        <w:rPr>
          <w:rFonts w:eastAsia="SimSun" w:hint="eastAsia"/>
          <w:b/>
          <w:bCs/>
          <w:kern w:val="2"/>
          <w:sz w:val="24"/>
          <w:lang w:val="en-GB"/>
        </w:rPr>
        <w:t>的行动</w:t>
      </w:r>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2"/>
        <w:gridCol w:w="2647"/>
        <w:gridCol w:w="34"/>
        <w:gridCol w:w="4796"/>
      </w:tblGrid>
      <w:tr w:rsidR="000C0842" w:rsidRPr="000C0842" w14:paraId="0E0CA271" w14:textId="77777777" w:rsidTr="001F32B3">
        <w:trPr>
          <w:tblHeader/>
        </w:trPr>
        <w:tc>
          <w:tcPr>
            <w:tcW w:w="2700" w:type="dxa"/>
          </w:tcPr>
          <w:p w14:paraId="54EAA4A9" w14:textId="77777777" w:rsidR="00382AC2" w:rsidRPr="000C0842" w:rsidRDefault="00382AC2" w:rsidP="00382AC2">
            <w:pPr>
              <w:tabs>
                <w:tab w:val="clear" w:pos="567"/>
                <w:tab w:val="clear" w:pos="1134"/>
                <w:tab w:val="clear" w:pos="1701"/>
                <w:tab w:val="clear" w:pos="2268"/>
              </w:tabs>
              <w:spacing w:after="40"/>
              <w:jc w:val="left"/>
              <w:rPr>
                <w:rFonts w:eastAsia="KaiTi"/>
                <w:kern w:val="2"/>
                <w:sz w:val="20"/>
                <w:szCs w:val="20"/>
                <w:lang w:val="en-GB"/>
              </w:rPr>
            </w:pPr>
            <w:r w:rsidRPr="000C0842">
              <w:rPr>
                <w:rFonts w:eastAsia="KaiTi" w:hint="eastAsia"/>
                <w:kern w:val="2"/>
                <w:sz w:val="20"/>
                <w:szCs w:val="20"/>
                <w:lang w:val="en-GB"/>
              </w:rPr>
              <w:t>《昆蒙框架》行动目标</w:t>
            </w:r>
            <w:r w:rsidRPr="000C0842">
              <w:rPr>
                <w:rFonts w:eastAsia="KaiTi"/>
                <w:kern w:val="2"/>
                <w:sz w:val="20"/>
                <w:szCs w:val="20"/>
                <w:vertAlign w:val="superscript"/>
                <w:lang w:val="en-GB"/>
              </w:rPr>
              <w:footnoteReference w:id="297"/>
            </w:r>
          </w:p>
        </w:tc>
        <w:tc>
          <w:tcPr>
            <w:tcW w:w="3822" w:type="dxa"/>
          </w:tcPr>
          <w:p w14:paraId="48BBC19C" w14:textId="77777777" w:rsidR="00382AC2" w:rsidRPr="000C0842" w:rsidRDefault="00382AC2" w:rsidP="00382AC2">
            <w:pPr>
              <w:tabs>
                <w:tab w:val="clear" w:pos="567"/>
                <w:tab w:val="clear" w:pos="1134"/>
                <w:tab w:val="clear" w:pos="1701"/>
                <w:tab w:val="clear" w:pos="2268"/>
              </w:tabs>
              <w:spacing w:after="40"/>
              <w:jc w:val="left"/>
              <w:rPr>
                <w:rFonts w:eastAsia="KaiTi"/>
                <w:kern w:val="2"/>
                <w:sz w:val="20"/>
                <w:szCs w:val="20"/>
                <w:lang w:val="en-GB"/>
              </w:rPr>
            </w:pPr>
            <w:r w:rsidRPr="000C0842">
              <w:rPr>
                <w:rFonts w:eastAsia="KaiTi" w:hint="eastAsia"/>
                <w:kern w:val="2"/>
                <w:sz w:val="20"/>
                <w:szCs w:val="20"/>
                <w:lang w:val="en-GB"/>
              </w:rPr>
              <w:t>与健康的关系</w:t>
            </w:r>
            <w:r w:rsidRPr="000C0842">
              <w:rPr>
                <w:rFonts w:eastAsia="KaiTi"/>
                <w:kern w:val="2"/>
                <w:sz w:val="20"/>
                <w:szCs w:val="20"/>
                <w:vertAlign w:val="superscript"/>
                <w:lang w:val="en-GB"/>
              </w:rPr>
              <w:footnoteReference w:id="298"/>
            </w:r>
          </w:p>
        </w:tc>
        <w:tc>
          <w:tcPr>
            <w:tcW w:w="7068" w:type="dxa"/>
            <w:gridSpan w:val="2"/>
          </w:tcPr>
          <w:p w14:paraId="65FF4BD2" w14:textId="77777777" w:rsidR="00382AC2" w:rsidRPr="000C0842" w:rsidRDefault="00382AC2" w:rsidP="00382AC2">
            <w:pPr>
              <w:tabs>
                <w:tab w:val="clear" w:pos="567"/>
                <w:tab w:val="clear" w:pos="1134"/>
                <w:tab w:val="clear" w:pos="1701"/>
                <w:tab w:val="clear" w:pos="2268"/>
              </w:tabs>
              <w:spacing w:after="40"/>
              <w:jc w:val="left"/>
              <w:rPr>
                <w:rFonts w:eastAsia="KaiTi"/>
                <w:kern w:val="2"/>
                <w:sz w:val="20"/>
                <w:szCs w:val="20"/>
                <w:lang w:val="en-GB"/>
              </w:rPr>
            </w:pPr>
            <w:r w:rsidRPr="000C0842">
              <w:rPr>
                <w:rFonts w:eastAsia="KaiTi" w:hint="eastAsia"/>
                <w:kern w:val="2"/>
                <w:sz w:val="20"/>
                <w:szCs w:val="20"/>
                <w:lang w:val="en-GB"/>
              </w:rPr>
              <w:t>确保带来生物多样性与健康附带效益的行动，执行时考虑到</w:t>
            </w:r>
            <w:r w:rsidRPr="000C0842">
              <w:rPr>
                <w:rFonts w:eastAsia="KaiTi"/>
                <w:kern w:val="2"/>
                <w:sz w:val="20"/>
                <w:szCs w:val="20"/>
                <w:lang w:val="en-GB"/>
              </w:rPr>
              <w:t>“</w:t>
            </w:r>
            <w:r w:rsidRPr="000C0842">
              <w:rPr>
                <w:rFonts w:eastAsia="KaiTi" w:hint="eastAsia"/>
                <w:kern w:val="2"/>
                <w:sz w:val="20"/>
                <w:szCs w:val="20"/>
                <w:lang w:val="en-GB"/>
              </w:rPr>
              <w:t>同一健康</w:t>
            </w:r>
            <w:r w:rsidRPr="000C0842">
              <w:rPr>
                <w:rFonts w:eastAsia="KaiTi"/>
                <w:kern w:val="2"/>
                <w:sz w:val="20"/>
                <w:szCs w:val="20"/>
                <w:lang w:val="en-GB"/>
              </w:rPr>
              <w:t>”</w:t>
            </w:r>
            <w:r w:rsidRPr="000C0842">
              <w:rPr>
                <w:rFonts w:eastAsia="KaiTi" w:hint="eastAsia"/>
                <w:kern w:val="2"/>
                <w:sz w:val="20"/>
                <w:szCs w:val="20"/>
                <w:lang w:val="en-GB"/>
              </w:rPr>
              <w:t>和其他整体方法</w:t>
            </w:r>
          </w:p>
        </w:tc>
      </w:tr>
      <w:tr w:rsidR="000C0842" w:rsidRPr="000C0842" w14:paraId="13006988" w14:textId="77777777" w:rsidTr="001F32B3">
        <w:tc>
          <w:tcPr>
            <w:tcW w:w="13590" w:type="dxa"/>
            <w:gridSpan w:val="4"/>
          </w:tcPr>
          <w:p w14:paraId="15C072CA" w14:textId="77777777" w:rsidR="00382AC2" w:rsidRPr="000C0842" w:rsidRDefault="00382AC2" w:rsidP="00382AC2">
            <w:pPr>
              <w:tabs>
                <w:tab w:val="clear" w:pos="567"/>
                <w:tab w:val="clear" w:pos="1134"/>
                <w:tab w:val="clear" w:pos="1701"/>
                <w:tab w:val="clear" w:pos="2268"/>
              </w:tabs>
              <w:spacing w:before="40" w:after="40"/>
              <w:jc w:val="left"/>
              <w:rPr>
                <w:rFonts w:eastAsia="SimSun"/>
                <w:sz w:val="20"/>
                <w:szCs w:val="20"/>
                <w:lang w:val="en-GB"/>
              </w:rPr>
            </w:pPr>
            <w:r w:rsidRPr="000C0842">
              <w:rPr>
                <w:rFonts w:eastAsia="SimSun" w:hint="eastAsia"/>
                <w:b/>
                <w:kern w:val="2"/>
                <w:sz w:val="20"/>
                <w:szCs w:val="20"/>
                <w:lang w:val="en-GB"/>
              </w:rPr>
              <w:t>土地和海洋的利用</w:t>
            </w:r>
          </w:p>
        </w:tc>
      </w:tr>
      <w:tr w:rsidR="000C0842" w:rsidRPr="000C0842" w14:paraId="3B801CC8" w14:textId="77777777" w:rsidTr="001F32B3">
        <w:tc>
          <w:tcPr>
            <w:tcW w:w="2700" w:type="dxa"/>
          </w:tcPr>
          <w:p w14:paraId="11DD3816" w14:textId="77777777" w:rsidR="00382AC2" w:rsidRPr="000C0842" w:rsidRDefault="00382AC2" w:rsidP="00382AC2">
            <w:pPr>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hint="eastAsia"/>
                <w:bCs/>
                <w:kern w:val="2"/>
                <w:sz w:val="20"/>
                <w:szCs w:val="20"/>
                <w:lang w:val="en-GB"/>
              </w:rPr>
              <w:t>行动目标</w:t>
            </w:r>
            <w:r w:rsidRPr="000C0842">
              <w:rPr>
                <w:rFonts w:eastAsia="SimSun"/>
                <w:bCs/>
                <w:kern w:val="2"/>
                <w:sz w:val="20"/>
                <w:szCs w:val="20"/>
                <w:lang w:val="en-GB"/>
              </w:rPr>
              <w:t>1</w:t>
            </w:r>
            <w:r w:rsidRPr="000C0842">
              <w:rPr>
                <w:rFonts w:eastAsia="SimSun" w:hint="eastAsia"/>
                <w:bCs/>
                <w:kern w:val="2"/>
                <w:sz w:val="20"/>
                <w:szCs w:val="20"/>
                <w:lang w:val="en-GB"/>
              </w:rPr>
              <w:t>、</w:t>
            </w:r>
            <w:r w:rsidRPr="000C0842">
              <w:rPr>
                <w:rFonts w:eastAsia="SimSun"/>
                <w:bCs/>
                <w:kern w:val="2"/>
                <w:sz w:val="20"/>
                <w:szCs w:val="20"/>
                <w:lang w:val="en-GB"/>
              </w:rPr>
              <w:t>2</w:t>
            </w:r>
            <w:r w:rsidRPr="000C0842">
              <w:rPr>
                <w:rFonts w:eastAsia="SimSun" w:hint="eastAsia"/>
                <w:bCs/>
                <w:kern w:val="2"/>
                <w:sz w:val="20"/>
                <w:szCs w:val="20"/>
                <w:lang w:val="en-GB"/>
              </w:rPr>
              <w:t>和</w:t>
            </w:r>
            <w:r w:rsidRPr="000C0842">
              <w:rPr>
                <w:rFonts w:eastAsia="SimSun"/>
                <w:bCs/>
                <w:kern w:val="2"/>
                <w:sz w:val="20"/>
                <w:szCs w:val="20"/>
                <w:lang w:val="en-GB"/>
              </w:rPr>
              <w:t>3</w:t>
            </w:r>
          </w:p>
        </w:tc>
        <w:tc>
          <w:tcPr>
            <w:tcW w:w="3822" w:type="dxa"/>
          </w:tcPr>
          <w:p w14:paraId="6EBD67E0" w14:textId="77777777" w:rsidR="00382AC2" w:rsidRPr="000C0842" w:rsidRDefault="00382AC2" w:rsidP="00382AC2">
            <w:pPr>
              <w:tabs>
                <w:tab w:val="clear" w:pos="567"/>
                <w:tab w:val="clear" w:pos="1134"/>
                <w:tab w:val="clear" w:pos="1701"/>
                <w:tab w:val="clear" w:pos="2268"/>
              </w:tabs>
              <w:jc w:val="left"/>
              <w:rPr>
                <w:rFonts w:eastAsia="SimSun"/>
                <w:kern w:val="2"/>
                <w:sz w:val="20"/>
                <w:szCs w:val="20"/>
                <w:lang w:val="en-GB"/>
              </w:rPr>
            </w:pPr>
            <w:r w:rsidRPr="000C0842">
              <w:rPr>
                <w:rFonts w:eastAsia="SimSun" w:hint="eastAsia"/>
                <w:sz w:val="20"/>
                <w:szCs w:val="20"/>
              </w:rPr>
              <w:t>减少野生物生境的丧失、退化和破碎化以及对生物多样性区域的侵占，有助于自然继续为人类作出贡献，从而支持健康，减少疾病的出现和在野生物、牲畜和人之间的传播。</w:t>
            </w:r>
          </w:p>
        </w:tc>
        <w:tc>
          <w:tcPr>
            <w:tcW w:w="7068" w:type="dxa"/>
            <w:gridSpan w:val="2"/>
          </w:tcPr>
          <w:p w14:paraId="7346EBF1"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lang w:val="en-GB"/>
              </w:rPr>
            </w:pPr>
            <w:r w:rsidRPr="000C0842">
              <w:rPr>
                <w:rFonts w:eastAsia="SimSun"/>
                <w:sz w:val="20"/>
                <w:szCs w:val="20"/>
                <w:lang w:val="en-GB"/>
              </w:rPr>
              <w:t xml:space="preserve">1. </w:t>
            </w:r>
            <w:r w:rsidRPr="000C0842">
              <w:rPr>
                <w:rFonts w:eastAsia="SimSun" w:hint="eastAsia"/>
                <w:sz w:val="20"/>
                <w:szCs w:val="20"/>
                <w:lang w:val="en-GB"/>
              </w:rPr>
              <w:t>鼓励进行努力，在</w:t>
            </w:r>
            <w:r w:rsidRPr="000C0842">
              <w:rPr>
                <w:rFonts w:eastAsia="SimSun" w:hint="eastAsia"/>
                <w:sz w:val="20"/>
                <w:szCs w:val="20"/>
              </w:rPr>
              <w:t>土地和海洋利用规划以及保护和恢复政策、计划和行动中考虑到生物多样性与健康的相互关联，以确定生物多样性与健康的潜在附带效益和权衡取舍，包括将健康影响评估纳入此类活动，从而促进多个层面的健康，减少和缓解人类尤其是土著人民和地方社区、妇女、儿童、青年和老年人以及牲畜和野生物面临的疾病风险，同时考虑到疾病溢出和回流的风险。</w:t>
            </w:r>
          </w:p>
          <w:p w14:paraId="02D6683A"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lang w:val="en-GB"/>
              </w:rPr>
            </w:pPr>
            <w:r w:rsidRPr="000C0842">
              <w:rPr>
                <w:rFonts w:eastAsia="SimSun"/>
                <w:sz w:val="20"/>
                <w:szCs w:val="20"/>
                <w:lang w:val="en-GB"/>
              </w:rPr>
              <w:t xml:space="preserve">2. </w:t>
            </w:r>
            <w:r w:rsidRPr="000C0842">
              <w:rPr>
                <w:rFonts w:eastAsia="SimSun" w:hint="eastAsia"/>
                <w:sz w:val="20"/>
                <w:szCs w:val="20"/>
              </w:rPr>
              <w:t>鼓励进行努力，按照本国能力改进监测系统，在其中评估这些活动对人类、动物和生态系统的影响，包括在环境条件迅速变化并有利于疾病出现的高风险地区建立监测点。</w:t>
            </w:r>
          </w:p>
          <w:p w14:paraId="76692D4B"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2"/>
                <w:sz w:val="20"/>
                <w:szCs w:val="20"/>
              </w:rPr>
            </w:pPr>
            <w:r w:rsidRPr="000C0842">
              <w:rPr>
                <w:rFonts w:eastAsia="SimSun"/>
                <w:kern w:val="22"/>
                <w:sz w:val="20"/>
                <w:szCs w:val="20"/>
                <w:lang w:val="en-GB"/>
              </w:rPr>
              <w:t xml:space="preserve">3. </w:t>
            </w:r>
            <w:r w:rsidRPr="000C0842">
              <w:rPr>
                <w:rFonts w:eastAsia="SimSun" w:hint="eastAsia"/>
                <w:kern w:val="22"/>
                <w:sz w:val="20"/>
                <w:szCs w:val="20"/>
              </w:rPr>
              <w:t>将关于生物多样性与健康相互关联的考虑因素纳入水、环境卫生和个人卫生政策和方案以及保护和可持续管理供水生态系统的措施。</w:t>
            </w:r>
          </w:p>
          <w:p w14:paraId="3BFB873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2"/>
                <w:sz w:val="20"/>
                <w:szCs w:val="20"/>
                <w:lang w:val="en-GB"/>
              </w:rPr>
            </w:pPr>
            <w:r w:rsidRPr="000C0842">
              <w:rPr>
                <w:rFonts w:eastAsia="SimSun"/>
                <w:kern w:val="22"/>
                <w:sz w:val="20"/>
                <w:szCs w:val="20"/>
              </w:rPr>
              <w:t xml:space="preserve">4. </w:t>
            </w:r>
            <w:r w:rsidRPr="000C0842">
              <w:rPr>
                <w:rFonts w:eastAsia="SimSun" w:hint="eastAsia"/>
                <w:kern w:val="22"/>
                <w:sz w:val="20"/>
                <w:szCs w:val="20"/>
              </w:rPr>
              <w:t>在土地和海洋利用规划以及养护和恢复行动中考虑土著人民和地方社区以及传统做法的贡献，减轻有害的健康影响。</w:t>
            </w:r>
          </w:p>
        </w:tc>
      </w:tr>
      <w:tr w:rsidR="000C0842" w:rsidRPr="000C0842" w14:paraId="039DD103" w14:textId="77777777" w:rsidTr="001F32B3">
        <w:tc>
          <w:tcPr>
            <w:tcW w:w="13590" w:type="dxa"/>
            <w:gridSpan w:val="4"/>
          </w:tcPr>
          <w:p w14:paraId="3CDCF488" w14:textId="77777777" w:rsidR="00382AC2" w:rsidRPr="000C0842" w:rsidRDefault="00382AC2" w:rsidP="00382AC2">
            <w:pPr>
              <w:tabs>
                <w:tab w:val="clear" w:pos="567"/>
                <w:tab w:val="clear" w:pos="1134"/>
                <w:tab w:val="clear" w:pos="1701"/>
                <w:tab w:val="clear" w:pos="2268"/>
              </w:tabs>
              <w:spacing w:before="40" w:after="40"/>
              <w:jc w:val="left"/>
              <w:rPr>
                <w:rFonts w:eastAsia="SimSun"/>
                <w:b/>
                <w:bCs/>
                <w:kern w:val="2"/>
                <w:sz w:val="20"/>
                <w:szCs w:val="20"/>
                <w:lang w:val="en-GB"/>
              </w:rPr>
            </w:pPr>
            <w:r w:rsidRPr="000C0842">
              <w:rPr>
                <w:rFonts w:eastAsia="SimSun" w:hint="eastAsia"/>
                <w:b/>
                <w:bCs/>
                <w:kern w:val="2"/>
                <w:sz w:val="20"/>
                <w:szCs w:val="20"/>
                <w:lang w:val="en-GB"/>
              </w:rPr>
              <w:t>物种管理</w:t>
            </w:r>
          </w:p>
        </w:tc>
      </w:tr>
      <w:tr w:rsidR="000C0842" w:rsidRPr="000C0842" w14:paraId="144A1DEA" w14:textId="77777777" w:rsidTr="001F32B3">
        <w:tc>
          <w:tcPr>
            <w:tcW w:w="2700" w:type="dxa"/>
          </w:tcPr>
          <w:p w14:paraId="58681E21"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bCs/>
                <w:kern w:val="2"/>
                <w:sz w:val="20"/>
                <w:szCs w:val="20"/>
                <w:lang w:val="en-GB"/>
              </w:rPr>
              <w:t>行动目标</w:t>
            </w:r>
            <w:r w:rsidRPr="000C0842">
              <w:rPr>
                <w:rFonts w:eastAsia="SimSun"/>
                <w:bCs/>
                <w:kern w:val="2"/>
                <w:sz w:val="20"/>
                <w:szCs w:val="20"/>
                <w:lang w:val="en-GB"/>
              </w:rPr>
              <w:t>4</w:t>
            </w:r>
            <w:r w:rsidRPr="000C0842">
              <w:rPr>
                <w:rFonts w:eastAsia="SimSun" w:hint="eastAsia"/>
                <w:bCs/>
                <w:kern w:val="2"/>
                <w:sz w:val="20"/>
                <w:szCs w:val="20"/>
                <w:lang w:val="en-GB"/>
              </w:rPr>
              <w:t>、</w:t>
            </w:r>
            <w:r w:rsidRPr="000C0842">
              <w:rPr>
                <w:rFonts w:eastAsia="SimSun"/>
                <w:bCs/>
                <w:kern w:val="2"/>
                <w:sz w:val="20"/>
                <w:szCs w:val="20"/>
                <w:lang w:val="en-GB"/>
              </w:rPr>
              <w:t>5</w:t>
            </w:r>
            <w:r w:rsidRPr="000C0842">
              <w:rPr>
                <w:rFonts w:eastAsia="SimSun" w:hint="eastAsia"/>
                <w:bCs/>
                <w:kern w:val="2"/>
                <w:sz w:val="20"/>
                <w:szCs w:val="20"/>
                <w:lang w:val="en-GB"/>
              </w:rPr>
              <w:t>和</w:t>
            </w:r>
            <w:r w:rsidRPr="000C0842">
              <w:rPr>
                <w:rFonts w:eastAsia="SimSun"/>
                <w:bCs/>
                <w:kern w:val="2"/>
                <w:sz w:val="20"/>
                <w:szCs w:val="20"/>
                <w:lang w:val="en-GB"/>
              </w:rPr>
              <w:t>9</w:t>
            </w:r>
          </w:p>
        </w:tc>
        <w:tc>
          <w:tcPr>
            <w:tcW w:w="3822" w:type="dxa"/>
          </w:tcPr>
          <w:p w14:paraId="2D58C11D"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hint="eastAsia"/>
                <w:kern w:val="2"/>
                <w:sz w:val="20"/>
                <w:szCs w:val="20"/>
              </w:rPr>
              <w:t>野生物种种群的可持续管理对于生态系统的健康和提供生态系统服务（例如粮食安全、营养、生物医学发现和医药）非常重要，将使人们能够继续从这些种群受益。</w:t>
            </w:r>
            <w:r w:rsidRPr="000C0842">
              <w:rPr>
                <w:rFonts w:eastAsia="SimSun"/>
                <w:kern w:val="2"/>
                <w:sz w:val="20"/>
                <w:szCs w:val="20"/>
              </w:rPr>
              <w:t xml:space="preserve"> </w:t>
            </w:r>
            <w:r w:rsidRPr="000C0842">
              <w:rPr>
                <w:rFonts w:eastAsia="SimSun" w:hint="eastAsia"/>
                <w:kern w:val="2"/>
                <w:sz w:val="20"/>
                <w:szCs w:val="20"/>
              </w:rPr>
              <w:t>保护土著人民和地方社区以及特别依赖野生物种的人们的可持续习惯利用尤为重要。</w:t>
            </w:r>
            <w:r w:rsidRPr="000C0842">
              <w:rPr>
                <w:rFonts w:eastAsia="SimSun"/>
                <w:kern w:val="2"/>
                <w:sz w:val="20"/>
                <w:szCs w:val="20"/>
              </w:rPr>
              <w:t xml:space="preserve"> </w:t>
            </w:r>
            <w:r w:rsidRPr="000C0842">
              <w:rPr>
                <w:rFonts w:eastAsia="SimSun" w:hint="eastAsia"/>
                <w:kern w:val="2"/>
                <w:sz w:val="20"/>
                <w:szCs w:val="20"/>
              </w:rPr>
              <w:t>同时，通过改进对野生物种利用和贸易的监管和管理，减少人类与野生物的冲突，可以减少传染病的传播。通过</w:t>
            </w:r>
            <w:r w:rsidRPr="000C0842">
              <w:rPr>
                <w:rFonts w:eastAsia="SimSun" w:hint="eastAsia"/>
                <w:kern w:val="2"/>
                <w:sz w:val="20"/>
                <w:szCs w:val="20"/>
                <w:lang w:val="en-GB"/>
              </w:rPr>
              <w:t>与土著人民和地方社区合作，维护野生物种、驯化物种及其野生近缘种的遗传多样性，可增强抵御未来病原体的能力、粮食安全和营养价值，从而造福于环境和人类健康。</w:t>
            </w:r>
            <w:r w:rsidRPr="000C0842">
              <w:rPr>
                <w:rFonts w:eastAsia="SimSun"/>
                <w:kern w:val="2"/>
                <w:sz w:val="20"/>
                <w:szCs w:val="20"/>
                <w:lang w:val="en-GB"/>
              </w:rPr>
              <w:t xml:space="preserve"> </w:t>
            </w:r>
          </w:p>
          <w:p w14:paraId="40F5494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hint="eastAsia"/>
                <w:kern w:val="2"/>
                <w:sz w:val="20"/>
                <w:szCs w:val="20"/>
                <w:lang w:val="en-GB"/>
              </w:rPr>
              <w:t>通过保护野生物种和更好地管理人类、家畜和野生物之间的互动，可以减少传染病的出现。</w:t>
            </w:r>
          </w:p>
        </w:tc>
        <w:tc>
          <w:tcPr>
            <w:tcW w:w="7068" w:type="dxa"/>
            <w:gridSpan w:val="2"/>
          </w:tcPr>
          <w:p w14:paraId="1D0A1206"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lang w:val="en-GB"/>
              </w:rPr>
              <w:t xml:space="preserve">1. </w:t>
            </w:r>
            <w:r w:rsidRPr="000C0842">
              <w:rPr>
                <w:rFonts w:eastAsia="SimSun" w:hint="eastAsia"/>
                <w:snapToGrid w:val="0"/>
                <w:sz w:val="20"/>
                <w:szCs w:val="20"/>
              </w:rPr>
              <w:t>在保护区、采取其他有效区域保护措施的区域以及土著和传统领地保护土著人民和地方社区对生物多样性的可持续习惯利用和生态系统管理，保护相关的健康惠益。</w:t>
            </w:r>
            <w:r w:rsidRPr="000C0842">
              <w:rPr>
                <w:rFonts w:eastAsia="SimSun"/>
                <w:snapToGrid w:val="0"/>
                <w:sz w:val="20"/>
                <w:szCs w:val="20"/>
                <w:lang w:val="en-GB"/>
              </w:rPr>
              <w:t xml:space="preserve"> </w:t>
            </w:r>
          </w:p>
          <w:p w14:paraId="26623E1B"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lang w:val="en-GB"/>
              </w:rPr>
              <w:t xml:space="preserve">2. </w:t>
            </w:r>
            <w:r w:rsidRPr="000C0842">
              <w:rPr>
                <w:rFonts w:eastAsia="SimSun" w:hint="eastAsia"/>
                <w:sz w:val="20"/>
                <w:szCs w:val="20"/>
              </w:rPr>
              <w:t>考虑物种和遗传多样性在营养食品、粮食安全、营养、医药和其他货物的生产中所起作用，确保野生物种的药用，包括在传统医学中的利用，是可持续、安全、合法的；</w:t>
            </w:r>
            <w:r w:rsidRPr="000C0842">
              <w:rPr>
                <w:rFonts w:eastAsia="SimSun"/>
                <w:sz w:val="20"/>
                <w:szCs w:val="20"/>
              </w:rPr>
              <w:t xml:space="preserve"> </w:t>
            </w:r>
            <w:r w:rsidRPr="000C0842">
              <w:rPr>
                <w:rFonts w:eastAsia="SimSun" w:hint="eastAsia"/>
                <w:sz w:val="20"/>
                <w:szCs w:val="20"/>
              </w:rPr>
              <w:t>对于受威胁或受保护的物种，尽可能鼓励采取养护行动以及使用替代的、可持续的药用来源。</w:t>
            </w:r>
          </w:p>
          <w:p w14:paraId="21F5680E"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lang w:val="en-GB"/>
              </w:rPr>
              <w:t xml:space="preserve">3. </w:t>
            </w:r>
            <w:r w:rsidRPr="000C0842">
              <w:rPr>
                <w:rFonts w:eastAsia="SimSun" w:hint="eastAsia"/>
                <w:snapToGrid w:val="0"/>
                <w:sz w:val="20"/>
                <w:szCs w:val="20"/>
              </w:rPr>
              <w:t>根据其他国际协定，在本国能力范围内通过以下方式改进野生物种的监管、管理、利用和贸易，从而确保可持续利用以及人类和野生物的健康安全：</w:t>
            </w:r>
          </w:p>
          <w:p w14:paraId="5EA5972F" w14:textId="77777777" w:rsidR="00382AC2" w:rsidRPr="000C0842" w:rsidRDefault="00382AC2" w:rsidP="00382AC2">
            <w:pPr>
              <w:tabs>
                <w:tab w:val="clear" w:pos="567"/>
                <w:tab w:val="clear" w:pos="1134"/>
                <w:tab w:val="clear" w:pos="1701"/>
                <w:tab w:val="clear" w:pos="2268"/>
              </w:tabs>
              <w:spacing w:before="40" w:after="40"/>
              <w:ind w:firstLine="245"/>
              <w:jc w:val="left"/>
              <w:rPr>
                <w:rFonts w:eastAsia="SimSun"/>
                <w:snapToGrid w:val="0"/>
                <w:sz w:val="20"/>
                <w:szCs w:val="20"/>
                <w:lang w:val="en-GB"/>
              </w:rPr>
            </w:pPr>
            <w:r w:rsidRPr="000C0842">
              <w:rPr>
                <w:rFonts w:eastAsia="SimSun"/>
                <w:snapToGrid w:val="0"/>
                <w:sz w:val="20"/>
                <w:szCs w:val="20"/>
                <w:lang w:val="en-GB"/>
              </w:rPr>
              <w:t xml:space="preserve">(a) </w:t>
            </w:r>
            <w:r w:rsidRPr="000C0842">
              <w:rPr>
                <w:rFonts w:eastAsia="SimSun" w:hint="eastAsia"/>
                <w:snapToGrid w:val="0"/>
                <w:sz w:val="20"/>
                <w:szCs w:val="20"/>
              </w:rPr>
              <w:t>确认并解决利用做法（例如野生物种标本的运输、营销和商业化）带来的潜在健康风险；</w:t>
            </w:r>
            <w:r w:rsidRPr="000C0842">
              <w:rPr>
                <w:rFonts w:eastAsia="SimSun"/>
                <w:snapToGrid w:val="0"/>
                <w:sz w:val="20"/>
                <w:szCs w:val="20"/>
                <w:lang w:val="en-GB"/>
              </w:rPr>
              <w:t xml:space="preserve"> </w:t>
            </w:r>
          </w:p>
          <w:p w14:paraId="11A5C576" w14:textId="77777777" w:rsidR="00382AC2" w:rsidRPr="000C0842" w:rsidRDefault="00382AC2" w:rsidP="00382AC2">
            <w:pPr>
              <w:tabs>
                <w:tab w:val="clear" w:pos="567"/>
                <w:tab w:val="clear" w:pos="1134"/>
                <w:tab w:val="clear" w:pos="1701"/>
                <w:tab w:val="clear" w:pos="2268"/>
              </w:tabs>
              <w:spacing w:before="40" w:after="40"/>
              <w:ind w:firstLine="245"/>
              <w:jc w:val="left"/>
              <w:rPr>
                <w:rFonts w:eastAsia="SimSun"/>
                <w:snapToGrid w:val="0"/>
                <w:sz w:val="20"/>
                <w:szCs w:val="20"/>
                <w:lang w:val="en-GB"/>
              </w:rPr>
            </w:pPr>
            <w:r w:rsidRPr="000C0842">
              <w:rPr>
                <w:rFonts w:eastAsia="SimSun"/>
                <w:snapToGrid w:val="0"/>
                <w:sz w:val="20"/>
                <w:szCs w:val="20"/>
                <w:lang w:val="en-GB"/>
              </w:rPr>
              <w:t xml:space="preserve">(b) </w:t>
            </w:r>
            <w:r w:rsidRPr="000C0842">
              <w:rPr>
                <w:rFonts w:eastAsia="SimSun" w:hint="eastAsia"/>
                <w:snapToGrid w:val="0"/>
                <w:sz w:val="20"/>
                <w:szCs w:val="20"/>
              </w:rPr>
              <w:t>改进市场和整个价值链中的生物安全措施和环境卫生；</w:t>
            </w:r>
            <w:r w:rsidRPr="000C0842">
              <w:rPr>
                <w:rFonts w:eastAsia="SimSun"/>
                <w:snapToGrid w:val="0"/>
                <w:sz w:val="20"/>
                <w:szCs w:val="20"/>
                <w:lang w:val="en-GB"/>
              </w:rPr>
              <w:t xml:space="preserve"> </w:t>
            </w:r>
          </w:p>
          <w:p w14:paraId="1F94FC1D" w14:textId="77777777" w:rsidR="00382AC2" w:rsidRPr="000C0842" w:rsidRDefault="00382AC2" w:rsidP="00382AC2">
            <w:pPr>
              <w:tabs>
                <w:tab w:val="clear" w:pos="567"/>
                <w:tab w:val="clear" w:pos="1134"/>
                <w:tab w:val="clear" w:pos="1701"/>
                <w:tab w:val="clear" w:pos="2268"/>
              </w:tabs>
              <w:spacing w:before="40" w:after="40"/>
              <w:ind w:firstLine="245"/>
              <w:jc w:val="left"/>
              <w:rPr>
                <w:rFonts w:eastAsia="SimSun"/>
                <w:snapToGrid w:val="0"/>
                <w:sz w:val="20"/>
                <w:szCs w:val="20"/>
                <w:lang w:val="en-GB"/>
              </w:rPr>
            </w:pPr>
            <w:r w:rsidRPr="000C0842">
              <w:rPr>
                <w:rFonts w:eastAsia="SimSun"/>
                <w:snapToGrid w:val="0"/>
                <w:sz w:val="20"/>
                <w:szCs w:val="20"/>
                <w:lang w:val="en-GB"/>
              </w:rPr>
              <w:t xml:space="preserve">(c) </w:t>
            </w:r>
            <w:r w:rsidRPr="000C0842">
              <w:rPr>
                <w:rFonts w:eastAsia="SimSun" w:hint="eastAsia"/>
                <w:snapToGrid w:val="0"/>
                <w:sz w:val="20"/>
                <w:szCs w:val="20"/>
                <w:lang w:val="en-GB"/>
              </w:rPr>
              <w:t>开发技术和疾病监测系统，用以改进对野生物贸易的管理；</w:t>
            </w:r>
          </w:p>
          <w:p w14:paraId="31989983" w14:textId="77777777" w:rsidR="00382AC2" w:rsidRPr="000C0842" w:rsidRDefault="00382AC2" w:rsidP="00382AC2">
            <w:pPr>
              <w:tabs>
                <w:tab w:val="clear" w:pos="567"/>
                <w:tab w:val="clear" w:pos="1134"/>
                <w:tab w:val="clear" w:pos="1701"/>
                <w:tab w:val="clear" w:pos="2268"/>
              </w:tabs>
              <w:spacing w:before="40" w:after="40"/>
              <w:ind w:firstLine="245"/>
              <w:jc w:val="left"/>
              <w:rPr>
                <w:rFonts w:eastAsia="SimSun"/>
                <w:snapToGrid w:val="0"/>
                <w:sz w:val="20"/>
                <w:szCs w:val="20"/>
                <w:lang w:val="en-GB"/>
              </w:rPr>
            </w:pPr>
            <w:r w:rsidRPr="000C0842">
              <w:rPr>
                <w:rFonts w:eastAsia="SimSun"/>
                <w:snapToGrid w:val="0"/>
                <w:sz w:val="20"/>
                <w:szCs w:val="20"/>
                <w:lang w:val="en-GB"/>
              </w:rPr>
              <w:t xml:space="preserve">(d) </w:t>
            </w:r>
            <w:r w:rsidRPr="000C0842">
              <w:rPr>
                <w:rFonts w:eastAsia="SimSun" w:hint="eastAsia"/>
                <w:snapToGrid w:val="0"/>
                <w:sz w:val="20"/>
                <w:szCs w:val="20"/>
              </w:rPr>
              <w:t>鼓励在新出现的疾病热点地区对野生物进行参与性的监测，包括由野生物猎人、农民和贸易商参与监测，以之作为疾病预防战略的内容；</w:t>
            </w:r>
            <w:r w:rsidRPr="000C0842">
              <w:rPr>
                <w:rFonts w:eastAsia="SimSun"/>
                <w:snapToGrid w:val="0"/>
                <w:sz w:val="20"/>
                <w:szCs w:val="20"/>
                <w:vertAlign w:val="superscript"/>
              </w:rPr>
              <w:t>1</w:t>
            </w:r>
          </w:p>
          <w:p w14:paraId="4645FA2D" w14:textId="77777777" w:rsidR="00382AC2" w:rsidRPr="000C0842" w:rsidRDefault="00382AC2" w:rsidP="00382AC2">
            <w:pPr>
              <w:tabs>
                <w:tab w:val="clear" w:pos="567"/>
                <w:tab w:val="clear" w:pos="1134"/>
                <w:tab w:val="clear" w:pos="1701"/>
                <w:tab w:val="clear" w:pos="2268"/>
              </w:tabs>
              <w:spacing w:before="40" w:after="40"/>
              <w:ind w:firstLine="245"/>
              <w:jc w:val="left"/>
              <w:rPr>
                <w:rFonts w:eastAsia="SimSun"/>
                <w:snapToGrid w:val="0"/>
                <w:sz w:val="20"/>
                <w:szCs w:val="20"/>
                <w:lang w:val="en-GB"/>
              </w:rPr>
            </w:pPr>
            <w:r w:rsidRPr="000C0842">
              <w:rPr>
                <w:rFonts w:eastAsia="SimSun"/>
                <w:snapToGrid w:val="0"/>
                <w:sz w:val="20"/>
                <w:szCs w:val="20"/>
                <w:lang w:val="en-GB"/>
              </w:rPr>
              <w:t xml:space="preserve">(e) </w:t>
            </w:r>
            <w:r w:rsidRPr="000C0842">
              <w:rPr>
                <w:rFonts w:eastAsia="SimSun" w:hint="eastAsia"/>
                <w:snapToGrid w:val="0"/>
                <w:sz w:val="20"/>
                <w:szCs w:val="20"/>
              </w:rPr>
              <w:t>将旨在限制病原体溢出和回流的政策和行动纳入野生物利用和管理方案和活动，例如野生物养殖和商业化。</w:t>
            </w:r>
          </w:p>
          <w:p w14:paraId="059B640C"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rPr>
            </w:pPr>
            <w:r w:rsidRPr="000C0842">
              <w:rPr>
                <w:rFonts w:eastAsia="SimSun"/>
                <w:snapToGrid w:val="0"/>
                <w:sz w:val="20"/>
                <w:szCs w:val="20"/>
                <w:lang w:val="en-GB"/>
              </w:rPr>
              <w:t xml:space="preserve">4. </w:t>
            </w:r>
            <w:r w:rsidRPr="000C0842">
              <w:rPr>
                <w:rFonts w:eastAsia="SimSun" w:hint="eastAsia"/>
                <w:snapToGrid w:val="0"/>
                <w:sz w:val="20"/>
                <w:szCs w:val="20"/>
                <w:lang w:val="en-GB"/>
              </w:rPr>
              <w:t>尽可能并根据本国能力</w:t>
            </w:r>
            <w:r w:rsidRPr="000C0842">
              <w:rPr>
                <w:rFonts w:eastAsia="SimSun" w:hint="eastAsia"/>
                <w:snapToGrid w:val="0"/>
                <w:sz w:val="20"/>
                <w:szCs w:val="20"/>
              </w:rPr>
              <w:t>加强了解和管理极有可能促成人畜共患疾病传播的人类媒介因素的能力，这些因素的例子包括无监管和不可持续的对野味的消费。</w:t>
            </w:r>
          </w:p>
          <w:p w14:paraId="3559CFB7"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rPr>
            </w:pPr>
            <w:r w:rsidRPr="000C0842">
              <w:rPr>
                <w:rFonts w:eastAsia="SimSun"/>
                <w:snapToGrid w:val="0"/>
                <w:sz w:val="20"/>
                <w:szCs w:val="20"/>
              </w:rPr>
              <w:t xml:space="preserve">5. </w:t>
            </w:r>
            <w:r w:rsidRPr="000C0842">
              <w:rPr>
                <w:rFonts w:eastAsia="SimSun" w:hint="eastAsia"/>
                <w:snapToGrid w:val="0"/>
                <w:sz w:val="20"/>
                <w:szCs w:val="20"/>
              </w:rPr>
              <w:t>保持野生和驯化物种及其野生亲缘种的遗传多样性，以此保护其复原力和潜在适应力，从而保护其存在所带来的健康惠益。</w:t>
            </w:r>
          </w:p>
          <w:p w14:paraId="51827187"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rPr>
              <w:t xml:space="preserve">6. </w:t>
            </w:r>
            <w:r w:rsidRPr="000C0842">
              <w:rPr>
                <w:rFonts w:eastAsia="SimSun" w:hint="eastAsia"/>
                <w:snapToGrid w:val="0"/>
                <w:sz w:val="20"/>
                <w:szCs w:val="20"/>
                <w:lang w:val="en-GB"/>
              </w:rPr>
              <w:t>加强生物多样性规划和监测，包括有关野生物生境和人畜共患病原体溢出风险的规划和监测，按照“同一健康”方法促进合作，更好地评估和应对健康和疾病风险，从而可持续地管理野生物种。</w:t>
            </w:r>
          </w:p>
        </w:tc>
      </w:tr>
      <w:tr w:rsidR="000C0842" w:rsidRPr="000C0842" w14:paraId="5C17151D" w14:textId="77777777" w:rsidTr="001F32B3">
        <w:tc>
          <w:tcPr>
            <w:tcW w:w="13590" w:type="dxa"/>
            <w:gridSpan w:val="4"/>
          </w:tcPr>
          <w:p w14:paraId="7A6A53A0"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b/>
                <w:bCs/>
                <w:kern w:val="2"/>
                <w:sz w:val="20"/>
                <w:szCs w:val="20"/>
                <w:lang w:val="en-GB"/>
              </w:rPr>
              <w:t>外来入侵物种</w:t>
            </w:r>
            <w:r w:rsidRPr="000C0842">
              <w:rPr>
                <w:rFonts w:eastAsia="SimSun"/>
                <w:kern w:val="2"/>
                <w:sz w:val="20"/>
                <w:szCs w:val="20"/>
                <w:vertAlign w:val="superscript"/>
                <w:lang w:val="en-GB"/>
              </w:rPr>
              <w:footnoteReference w:id="299"/>
            </w:r>
          </w:p>
        </w:tc>
      </w:tr>
      <w:tr w:rsidR="000C0842" w:rsidRPr="000C0842" w14:paraId="3FC2E6E8" w14:textId="77777777" w:rsidTr="001F32B3">
        <w:tc>
          <w:tcPr>
            <w:tcW w:w="2700" w:type="dxa"/>
          </w:tcPr>
          <w:p w14:paraId="7C91DA44" w14:textId="77777777" w:rsidR="00382AC2" w:rsidRPr="000C0842" w:rsidRDefault="00382AC2" w:rsidP="00382AC2">
            <w:pPr>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hint="eastAsia"/>
                <w:kern w:val="2"/>
                <w:sz w:val="20"/>
                <w:szCs w:val="20"/>
                <w:lang w:val="en-GB"/>
              </w:rPr>
              <w:t>行动目标</w:t>
            </w:r>
            <w:r w:rsidRPr="000C0842">
              <w:rPr>
                <w:rFonts w:eastAsia="SimSun"/>
                <w:kern w:val="2"/>
                <w:sz w:val="20"/>
                <w:szCs w:val="20"/>
                <w:lang w:val="en-GB"/>
              </w:rPr>
              <w:t>6</w:t>
            </w:r>
          </w:p>
        </w:tc>
        <w:tc>
          <w:tcPr>
            <w:tcW w:w="3822" w:type="dxa"/>
          </w:tcPr>
          <w:p w14:paraId="026F4FA7"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hint="eastAsia"/>
                <w:kern w:val="2"/>
                <w:sz w:val="20"/>
                <w:szCs w:val="20"/>
              </w:rPr>
              <w:t>外来入侵物种是导致生物多样性丧失</w:t>
            </w:r>
            <w:r w:rsidRPr="000C0842">
              <w:rPr>
                <w:rFonts w:eastAsia="SimSun"/>
                <w:kern w:val="2"/>
                <w:sz w:val="20"/>
                <w:szCs w:val="20"/>
                <w:vertAlign w:val="superscript"/>
              </w:rPr>
              <w:footnoteReference w:id="300"/>
            </w:r>
            <w:r w:rsidRPr="000C0842">
              <w:rPr>
                <w:rFonts w:eastAsia="SimSun" w:hint="eastAsia"/>
                <w:kern w:val="2"/>
                <w:sz w:val="20"/>
                <w:szCs w:val="20"/>
              </w:rPr>
              <w:t>的主要驱动因素，也给自然、自然对人类的贡献和良好生活质量带来重大威胁</w:t>
            </w:r>
            <w:r w:rsidRPr="000C0842">
              <w:rPr>
                <w:rFonts w:eastAsia="SimSun"/>
                <w:kern w:val="2"/>
                <w:sz w:val="20"/>
                <w:szCs w:val="20"/>
                <w:vertAlign w:val="superscript"/>
              </w:rPr>
              <w:footnoteReference w:id="301"/>
            </w:r>
            <w:r w:rsidRPr="000C0842">
              <w:rPr>
                <w:rFonts w:eastAsia="SimSun" w:hint="eastAsia"/>
                <w:kern w:val="2"/>
                <w:sz w:val="20"/>
                <w:szCs w:val="20"/>
              </w:rPr>
              <w:t>。</w:t>
            </w:r>
            <w:r w:rsidRPr="000C0842">
              <w:rPr>
                <w:rFonts w:eastAsia="SimSun"/>
                <w:kern w:val="2"/>
                <w:sz w:val="20"/>
                <w:szCs w:val="20"/>
              </w:rPr>
              <w:t xml:space="preserve"> </w:t>
            </w:r>
            <w:r w:rsidRPr="000C0842">
              <w:rPr>
                <w:rFonts w:eastAsia="SimSun" w:hint="eastAsia"/>
                <w:kern w:val="2"/>
                <w:sz w:val="20"/>
                <w:szCs w:val="20"/>
              </w:rPr>
              <w:t>外来入侵物种可以是病原体或害虫，影响人类、动物、植物和环境健康，包括由于其毒性或作为病原体传播媒介而导致疾病，例如过敏性疾病。</w:t>
            </w:r>
            <w:r w:rsidRPr="000C0842">
              <w:rPr>
                <w:rFonts w:eastAsia="SimSun"/>
                <w:kern w:val="2"/>
                <w:sz w:val="20"/>
                <w:szCs w:val="20"/>
              </w:rPr>
              <w:t xml:space="preserve"> </w:t>
            </w:r>
            <w:r w:rsidRPr="000C0842">
              <w:rPr>
                <w:rFonts w:eastAsia="SimSun" w:hint="eastAsia"/>
                <w:kern w:val="2"/>
                <w:sz w:val="20"/>
                <w:szCs w:val="20"/>
              </w:rPr>
              <w:t>此外，外来入侵物种往往会降低生态系统所提供服务的数量和质量，并可能影响生计和粮食安全。</w:t>
            </w:r>
            <w:r w:rsidRPr="000C0842">
              <w:rPr>
                <w:rFonts w:eastAsia="SimSun"/>
                <w:kern w:val="2"/>
                <w:sz w:val="20"/>
                <w:szCs w:val="20"/>
                <w:lang w:val="en-GB"/>
              </w:rPr>
              <w:t xml:space="preserve"> </w:t>
            </w:r>
          </w:p>
          <w:p w14:paraId="034F7158"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vertAlign w:val="superscript"/>
                <w:lang w:val="en-GB"/>
              </w:rPr>
              <w:t xml:space="preserve"> </w:t>
            </w:r>
            <w:r w:rsidRPr="000C0842">
              <w:rPr>
                <w:rFonts w:eastAsia="SimSun"/>
                <w:kern w:val="2"/>
                <w:sz w:val="20"/>
                <w:szCs w:val="20"/>
                <w:lang w:val="en-GB"/>
              </w:rPr>
              <w:t xml:space="preserve">  </w:t>
            </w:r>
          </w:p>
        </w:tc>
        <w:tc>
          <w:tcPr>
            <w:tcW w:w="7068" w:type="dxa"/>
            <w:gridSpan w:val="2"/>
          </w:tcPr>
          <w:p w14:paraId="19BBEEE0"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rPr>
              <w:t>在战略、行动计划和项目中考虑到外来入侵物种对人类、动物、植物和生态系统健康的不利影响，并就此问题进行评估，以支持旨在防止和尽量减少此类影响的知情决策和行动，包括为此采用多领域和跨学科方法。</w:t>
            </w:r>
          </w:p>
          <w:p w14:paraId="59C7D0C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kern w:val="2"/>
                <w:sz w:val="20"/>
                <w:szCs w:val="20"/>
              </w:rPr>
              <w:t>查明与外来入侵物种导致或助长、影响生物多样性和人类健康的新出现传染病有关的知识、监测和管理当中的差距</w:t>
            </w:r>
            <w:r w:rsidRPr="000C0842">
              <w:rPr>
                <w:rFonts w:eastAsia="SimSun"/>
                <w:kern w:val="2"/>
                <w:sz w:val="20"/>
                <w:szCs w:val="20"/>
                <w:vertAlign w:val="superscript"/>
              </w:rPr>
              <w:footnoteReference w:id="302"/>
            </w:r>
            <w:r w:rsidRPr="000C0842">
              <w:rPr>
                <w:rFonts w:eastAsia="SimSun" w:hint="eastAsia"/>
                <w:kern w:val="2"/>
                <w:sz w:val="20"/>
                <w:szCs w:val="20"/>
              </w:rPr>
              <w:t>。</w:t>
            </w:r>
          </w:p>
          <w:p w14:paraId="61A21AF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lang w:val="en-GB"/>
              </w:rPr>
              <w:t xml:space="preserve">3. </w:t>
            </w:r>
            <w:r w:rsidRPr="000C0842">
              <w:rPr>
                <w:rFonts w:eastAsia="SimSun" w:hint="eastAsia"/>
                <w:kern w:val="2"/>
                <w:sz w:val="20"/>
                <w:szCs w:val="20"/>
              </w:rPr>
              <w:t>增加有关外来入侵物种对人类、动物、植物和生态系统健康所产生影响的认识和教育。</w:t>
            </w:r>
          </w:p>
          <w:p w14:paraId="22F22D5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4. </w:t>
            </w:r>
            <w:r w:rsidRPr="000C0842">
              <w:rPr>
                <w:rFonts w:eastAsia="SimSun" w:hint="eastAsia"/>
                <w:kern w:val="2"/>
                <w:sz w:val="20"/>
                <w:szCs w:val="20"/>
                <w:lang w:val="en-GB"/>
              </w:rPr>
              <w:t>促进和加强与受外来入侵物种影响的其他部门的合作，以增进外来入侵物种的预防、控制或根除和管理，特别是解决病原体入侵问题，减少和预防疾病的出现。</w:t>
            </w:r>
          </w:p>
        </w:tc>
      </w:tr>
      <w:tr w:rsidR="000C0842" w:rsidRPr="000C0842" w14:paraId="1AC331A5" w14:textId="77777777" w:rsidTr="001F32B3">
        <w:tc>
          <w:tcPr>
            <w:tcW w:w="13590" w:type="dxa"/>
            <w:gridSpan w:val="4"/>
          </w:tcPr>
          <w:p w14:paraId="33212CDF" w14:textId="77777777" w:rsidR="00382AC2" w:rsidRPr="000C0842" w:rsidRDefault="00382AC2" w:rsidP="00382AC2">
            <w:pPr>
              <w:tabs>
                <w:tab w:val="clear" w:pos="567"/>
                <w:tab w:val="clear" w:pos="1134"/>
                <w:tab w:val="clear" w:pos="1701"/>
                <w:tab w:val="clear" w:pos="2268"/>
              </w:tabs>
              <w:spacing w:before="40" w:after="40"/>
              <w:jc w:val="left"/>
              <w:rPr>
                <w:rFonts w:eastAsia="SimSun"/>
                <w:b/>
                <w:spacing w:val="6"/>
                <w:kern w:val="2"/>
                <w:sz w:val="20"/>
                <w:szCs w:val="20"/>
                <w:lang w:val="en-GB"/>
              </w:rPr>
            </w:pPr>
            <w:r w:rsidRPr="000C0842">
              <w:rPr>
                <w:rFonts w:eastAsia="SimSun" w:hint="eastAsia"/>
                <w:b/>
                <w:spacing w:val="6"/>
                <w:kern w:val="2"/>
                <w:sz w:val="20"/>
                <w:szCs w:val="20"/>
                <w:lang w:val="en-GB"/>
              </w:rPr>
              <w:t>污染</w:t>
            </w:r>
          </w:p>
        </w:tc>
      </w:tr>
      <w:tr w:rsidR="000C0842" w:rsidRPr="000C0842" w14:paraId="6F003E00" w14:textId="77777777" w:rsidTr="001F32B3">
        <w:tc>
          <w:tcPr>
            <w:tcW w:w="2700" w:type="dxa"/>
          </w:tcPr>
          <w:p w14:paraId="4D54371F"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spacing w:val="6"/>
                <w:kern w:val="2"/>
                <w:sz w:val="20"/>
                <w:szCs w:val="20"/>
                <w:lang w:val="en-GB"/>
              </w:rPr>
              <w:t>行动目标</w:t>
            </w:r>
            <w:r w:rsidRPr="000C0842">
              <w:rPr>
                <w:rFonts w:eastAsia="SimSun"/>
                <w:spacing w:val="6"/>
                <w:kern w:val="2"/>
                <w:sz w:val="20"/>
                <w:szCs w:val="20"/>
                <w:lang w:val="en-GB"/>
              </w:rPr>
              <w:t>7</w:t>
            </w:r>
          </w:p>
        </w:tc>
        <w:tc>
          <w:tcPr>
            <w:tcW w:w="3822" w:type="dxa"/>
          </w:tcPr>
          <w:p w14:paraId="32D3723C"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hint="eastAsia"/>
                <w:kern w:val="2"/>
                <w:sz w:val="20"/>
                <w:szCs w:val="20"/>
              </w:rPr>
              <w:t>一切形式的污染都对生物多样性、生态系统功能以及人类、动物、植物和其他生物体的健康有害。</w:t>
            </w:r>
            <w:r w:rsidRPr="000C0842">
              <w:rPr>
                <w:rFonts w:eastAsia="SimSun"/>
                <w:kern w:val="2"/>
                <w:sz w:val="20"/>
                <w:szCs w:val="20"/>
              </w:rPr>
              <w:t xml:space="preserve"> </w:t>
            </w:r>
            <w:r w:rsidRPr="000C0842">
              <w:rPr>
                <w:rFonts w:eastAsia="SimSun" w:hint="eastAsia"/>
                <w:kern w:val="2"/>
                <w:sz w:val="20"/>
                <w:szCs w:val="20"/>
              </w:rPr>
              <w:t>污染影响生物多样性作贡献的能力，例如提供清洁空气和水、土壤肥力、授粉和害虫控制的能力。</w:t>
            </w:r>
            <w:r w:rsidRPr="000C0842">
              <w:rPr>
                <w:rFonts w:eastAsia="SimSun"/>
                <w:kern w:val="2"/>
                <w:sz w:val="20"/>
                <w:szCs w:val="20"/>
              </w:rPr>
              <w:t xml:space="preserve"> </w:t>
            </w:r>
            <w:r w:rsidRPr="000C0842">
              <w:rPr>
                <w:rFonts w:eastAsia="SimSun" w:hint="eastAsia"/>
                <w:kern w:val="2"/>
                <w:sz w:val="20"/>
                <w:szCs w:val="20"/>
              </w:rPr>
              <w:t>直接和间接接触污染物，特别是生命早期的接触，会增加生命过程中患多种非传染性疾病的风险</w:t>
            </w:r>
            <w:r w:rsidRPr="000C0842">
              <w:rPr>
                <w:rFonts w:eastAsia="SimSun"/>
                <w:kern w:val="2"/>
                <w:sz w:val="20"/>
                <w:szCs w:val="20"/>
                <w:vertAlign w:val="superscript"/>
              </w:rPr>
              <w:footnoteReference w:id="303"/>
            </w:r>
            <w:r w:rsidRPr="000C0842">
              <w:rPr>
                <w:rFonts w:eastAsia="SimSun"/>
                <w:kern w:val="2"/>
                <w:sz w:val="20"/>
                <w:szCs w:val="20"/>
                <w:vertAlign w:val="superscript"/>
              </w:rPr>
              <w:t>,</w:t>
            </w:r>
            <w:r w:rsidRPr="000C0842">
              <w:rPr>
                <w:rFonts w:eastAsia="SimSun"/>
                <w:kern w:val="2"/>
                <w:sz w:val="20"/>
                <w:szCs w:val="20"/>
                <w:vertAlign w:val="superscript"/>
              </w:rPr>
              <w:footnoteReference w:id="304"/>
            </w:r>
            <w:r w:rsidRPr="000C0842">
              <w:rPr>
                <w:rFonts w:eastAsia="SimSun" w:hint="eastAsia"/>
                <w:kern w:val="2"/>
                <w:sz w:val="20"/>
                <w:szCs w:val="20"/>
              </w:rPr>
              <w:t>。</w:t>
            </w:r>
          </w:p>
          <w:p w14:paraId="74D236B2"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vertAlign w:val="superscript"/>
              </w:rPr>
              <w:t xml:space="preserve"> </w:t>
            </w:r>
          </w:p>
        </w:tc>
        <w:tc>
          <w:tcPr>
            <w:tcW w:w="7068" w:type="dxa"/>
            <w:gridSpan w:val="2"/>
          </w:tcPr>
          <w:p w14:paraId="3F892EC5"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rPr>
            </w:pPr>
            <w:r w:rsidRPr="000C0842">
              <w:rPr>
                <w:rFonts w:eastAsia="SimSun"/>
                <w:sz w:val="20"/>
                <w:szCs w:val="20"/>
              </w:rPr>
              <w:t xml:space="preserve">1. </w:t>
            </w:r>
            <w:r w:rsidRPr="000C0842">
              <w:rPr>
                <w:rFonts w:eastAsia="SimSun" w:hint="eastAsia"/>
                <w:sz w:val="20"/>
                <w:szCs w:val="20"/>
              </w:rPr>
              <w:t>提高对各种来源污染的负面影响的认识，包括重金属、高度危险化学品、塑料和微塑料</w:t>
            </w:r>
            <w:r w:rsidRPr="000C0842">
              <w:rPr>
                <w:rFonts w:eastAsia="SimSun"/>
                <w:sz w:val="20"/>
                <w:szCs w:val="20"/>
                <w:vertAlign w:val="superscript"/>
              </w:rPr>
              <w:footnoteReference w:id="305"/>
            </w:r>
            <w:r w:rsidRPr="000C0842">
              <w:rPr>
                <w:rFonts w:eastAsia="SimSun"/>
                <w:sz w:val="20"/>
                <w:szCs w:val="20"/>
                <w:vertAlign w:val="superscript"/>
              </w:rPr>
              <w:t>,</w:t>
            </w:r>
            <w:r w:rsidRPr="000C0842">
              <w:rPr>
                <w:rFonts w:eastAsia="SimSun"/>
                <w:sz w:val="20"/>
                <w:szCs w:val="20"/>
                <w:vertAlign w:val="superscript"/>
              </w:rPr>
              <w:footnoteReference w:id="306"/>
            </w:r>
            <w:r w:rsidRPr="000C0842">
              <w:rPr>
                <w:rFonts w:eastAsia="SimSun"/>
                <w:sz w:val="20"/>
                <w:szCs w:val="20"/>
              </w:rPr>
              <w:t xml:space="preserve"> </w:t>
            </w:r>
            <w:r w:rsidRPr="000C0842">
              <w:rPr>
                <w:rFonts w:eastAsia="SimSun" w:hint="eastAsia"/>
                <w:sz w:val="20"/>
                <w:szCs w:val="20"/>
              </w:rPr>
              <w:t>以及空气、光和噪音污染对生物多样性和人类健康的负面影响。</w:t>
            </w:r>
          </w:p>
          <w:p w14:paraId="0CD408D2"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sz w:val="20"/>
                <w:szCs w:val="20"/>
              </w:rPr>
              <w:t>推动实施对公共卫生、医疗和兽医业务及其废物进行环境无害化管理的自愿联合准则</w:t>
            </w:r>
            <w:r w:rsidRPr="000C0842">
              <w:rPr>
                <w:rFonts w:eastAsia="SimSun"/>
                <w:sz w:val="20"/>
                <w:szCs w:val="20"/>
                <w:vertAlign w:val="superscript"/>
              </w:rPr>
              <w:footnoteReference w:id="307"/>
            </w:r>
            <w:r w:rsidRPr="000C0842">
              <w:rPr>
                <w:rFonts w:eastAsia="SimSun" w:hint="eastAsia"/>
                <w:sz w:val="20"/>
                <w:szCs w:val="20"/>
              </w:rPr>
              <w:t>，其中包括根据科学证据，避免抗微生物药物、药品</w:t>
            </w:r>
            <w:r w:rsidRPr="000C0842">
              <w:rPr>
                <w:rFonts w:eastAsia="SimSun"/>
                <w:sz w:val="20"/>
                <w:szCs w:val="20"/>
                <w:vertAlign w:val="superscript"/>
              </w:rPr>
              <w:footnoteReference w:id="308"/>
            </w:r>
            <w:r w:rsidRPr="000C0842">
              <w:rPr>
                <w:rFonts w:eastAsia="SimSun" w:hint="eastAsia"/>
                <w:sz w:val="20"/>
                <w:szCs w:val="20"/>
              </w:rPr>
              <w:t>、医疗产品</w:t>
            </w:r>
            <w:r w:rsidRPr="000C0842">
              <w:rPr>
                <w:rFonts w:eastAsia="SimSun"/>
                <w:sz w:val="20"/>
                <w:szCs w:val="20"/>
                <w:vertAlign w:val="superscript"/>
              </w:rPr>
              <w:footnoteReference w:id="309"/>
            </w:r>
            <w:r w:rsidRPr="000C0842">
              <w:rPr>
                <w:rFonts w:eastAsia="SimSun" w:hint="eastAsia"/>
                <w:sz w:val="20"/>
                <w:szCs w:val="20"/>
              </w:rPr>
              <w:t>、重金属和废物的不当使用和处置</w:t>
            </w:r>
            <w:r w:rsidRPr="000C0842">
              <w:rPr>
                <w:rFonts w:eastAsia="SimSun"/>
                <w:sz w:val="20"/>
                <w:szCs w:val="20"/>
                <w:vertAlign w:val="superscript"/>
              </w:rPr>
              <w:footnoteReference w:id="310"/>
            </w:r>
            <w:r w:rsidRPr="000C0842">
              <w:rPr>
                <w:rFonts w:eastAsia="SimSun" w:hint="eastAsia"/>
                <w:sz w:val="20"/>
                <w:szCs w:val="20"/>
              </w:rPr>
              <w:t>。</w:t>
            </w:r>
          </w:p>
          <w:p w14:paraId="3D631E2E"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z w:val="20"/>
                <w:szCs w:val="20"/>
                <w:lang w:val="en-GB"/>
              </w:rPr>
              <w:t xml:space="preserve">3. </w:t>
            </w:r>
            <w:r w:rsidRPr="000C0842">
              <w:rPr>
                <w:rFonts w:eastAsia="SimSun" w:hint="eastAsia"/>
                <w:sz w:val="20"/>
                <w:szCs w:val="20"/>
              </w:rPr>
              <w:t>最大限度地减少废物和废水市政系统造成的污染，将生物多样性与健康考虑因素纳入地方和城市废物和废水管理计划；</w:t>
            </w:r>
            <w:r w:rsidRPr="000C0842">
              <w:rPr>
                <w:rFonts w:eastAsia="SimSun"/>
                <w:sz w:val="20"/>
                <w:szCs w:val="20"/>
              </w:rPr>
              <w:t xml:space="preserve"> </w:t>
            </w:r>
            <w:r w:rsidRPr="000C0842">
              <w:rPr>
                <w:rFonts w:eastAsia="SimSun" w:hint="eastAsia"/>
                <w:sz w:val="20"/>
                <w:szCs w:val="20"/>
              </w:rPr>
              <w:t>将国家和次国家城市废水排放管理战略纳入国家生物多样性战略和行动计划。</w:t>
            </w:r>
          </w:p>
          <w:p w14:paraId="1E89A5E7"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z w:val="20"/>
                <w:szCs w:val="20"/>
                <w:lang w:val="en-GB"/>
              </w:rPr>
              <w:t xml:space="preserve">4. </w:t>
            </w:r>
            <w:r w:rsidRPr="000C0842">
              <w:rPr>
                <w:rFonts w:eastAsia="SimSun" w:hint="eastAsia"/>
                <w:sz w:val="20"/>
                <w:szCs w:val="20"/>
              </w:rPr>
              <w:t>倡导采取战略措施，减少对人类健康和其他生物体健康有害的光和噪音污染</w:t>
            </w:r>
            <w:r w:rsidRPr="000C0842">
              <w:rPr>
                <w:rFonts w:eastAsia="SimSun"/>
                <w:sz w:val="20"/>
                <w:szCs w:val="20"/>
                <w:vertAlign w:val="superscript"/>
              </w:rPr>
              <w:footnoteReference w:id="311"/>
            </w:r>
            <w:r w:rsidRPr="000C0842">
              <w:rPr>
                <w:rFonts w:eastAsia="SimSun"/>
                <w:sz w:val="20"/>
                <w:szCs w:val="20"/>
                <w:vertAlign w:val="superscript"/>
              </w:rPr>
              <w:t>,</w:t>
            </w:r>
            <w:r w:rsidRPr="000C0842">
              <w:rPr>
                <w:rFonts w:eastAsia="SimSun"/>
                <w:sz w:val="20"/>
                <w:szCs w:val="20"/>
                <w:vertAlign w:val="superscript"/>
              </w:rPr>
              <w:footnoteReference w:id="312"/>
            </w:r>
            <w:r w:rsidRPr="000C0842">
              <w:rPr>
                <w:rFonts w:eastAsia="SimSun" w:hint="eastAsia"/>
                <w:sz w:val="20"/>
                <w:szCs w:val="20"/>
              </w:rPr>
              <w:t>，特别是在城市环境中这样做。</w:t>
            </w:r>
          </w:p>
          <w:p w14:paraId="21AE4492"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rPr>
            </w:pPr>
            <w:r w:rsidRPr="000C0842">
              <w:rPr>
                <w:rFonts w:eastAsia="SimSun"/>
                <w:snapToGrid w:val="0"/>
                <w:sz w:val="20"/>
                <w:szCs w:val="20"/>
                <w:lang w:val="en-GB"/>
              </w:rPr>
              <w:t xml:space="preserve">5. </w:t>
            </w:r>
            <w:r w:rsidRPr="000C0842">
              <w:rPr>
                <w:rFonts w:eastAsia="SimSun" w:hint="eastAsia"/>
                <w:snapToGrid w:val="0"/>
                <w:sz w:val="20"/>
                <w:szCs w:val="20"/>
              </w:rPr>
              <w:t>利用国家人体生物监测系统</w:t>
            </w:r>
            <w:r w:rsidRPr="000C0842">
              <w:rPr>
                <w:rFonts w:eastAsia="SimSun"/>
                <w:snapToGrid w:val="0"/>
                <w:sz w:val="20"/>
                <w:szCs w:val="20"/>
                <w:vertAlign w:val="superscript"/>
              </w:rPr>
              <w:footnoteReference w:id="313"/>
            </w:r>
            <w:r w:rsidRPr="000C0842">
              <w:rPr>
                <w:rFonts w:eastAsia="SimSun" w:hint="eastAsia"/>
                <w:snapToGrid w:val="0"/>
                <w:sz w:val="20"/>
                <w:szCs w:val="20"/>
              </w:rPr>
              <w:t>，以便除其他外，调动资源来制作或增强数据，用于制定加强污染控制措施的新战略</w:t>
            </w:r>
            <w:r w:rsidRPr="000C0842">
              <w:rPr>
                <w:rFonts w:eastAsia="SimSun"/>
                <w:snapToGrid w:val="0"/>
                <w:sz w:val="20"/>
                <w:szCs w:val="20"/>
                <w:vertAlign w:val="superscript"/>
              </w:rPr>
              <w:footnoteReference w:id="314"/>
            </w:r>
            <w:r w:rsidRPr="000C0842">
              <w:rPr>
                <w:rFonts w:eastAsia="SimSun" w:hint="eastAsia"/>
                <w:snapToGrid w:val="0"/>
                <w:sz w:val="20"/>
                <w:szCs w:val="20"/>
              </w:rPr>
              <w:t>。</w:t>
            </w:r>
          </w:p>
          <w:p w14:paraId="35894A9D" w14:textId="77777777" w:rsidR="00382AC2" w:rsidRPr="000C0842" w:rsidRDefault="00382AC2" w:rsidP="00382AC2">
            <w:pPr>
              <w:tabs>
                <w:tab w:val="clear" w:pos="567"/>
                <w:tab w:val="clear" w:pos="1134"/>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rPr>
              <w:t xml:space="preserve">6. </w:t>
            </w:r>
            <w:r w:rsidRPr="000C0842">
              <w:rPr>
                <w:rFonts w:eastAsia="SimSun" w:hint="eastAsia"/>
                <w:snapToGrid w:val="0"/>
                <w:sz w:val="20"/>
                <w:szCs w:val="20"/>
              </w:rPr>
              <w:t>编制</w:t>
            </w:r>
            <w:r w:rsidRPr="000C0842">
              <w:rPr>
                <w:rFonts w:eastAsia="SimSun" w:hint="eastAsia"/>
                <w:snapToGrid w:val="0"/>
                <w:sz w:val="20"/>
                <w:szCs w:val="20"/>
                <w:lang w:val="en-GB"/>
              </w:rPr>
              <w:t>监测和</w:t>
            </w:r>
            <w:r w:rsidRPr="000C0842">
              <w:rPr>
                <w:rFonts w:eastAsia="SimSun"/>
                <w:snapToGrid w:val="0"/>
                <w:sz w:val="20"/>
                <w:szCs w:val="20"/>
                <w:lang w:val="en-GB"/>
              </w:rPr>
              <w:t>/</w:t>
            </w:r>
            <w:r w:rsidRPr="000C0842">
              <w:rPr>
                <w:rFonts w:eastAsia="SimSun" w:hint="eastAsia"/>
                <w:snapToGrid w:val="0"/>
                <w:sz w:val="20"/>
                <w:szCs w:val="20"/>
                <w:lang w:val="en-GB"/>
              </w:rPr>
              <w:t>或监视数据，加强信息共享并促进对化学品、废物和人类健康影响之间关联的了解，最大限度地提高生物多样性和人类健康的附带效益，包括通过“同一健康”方法这样做。</w:t>
            </w:r>
            <w:r w:rsidRPr="000C0842">
              <w:rPr>
                <w:rFonts w:eastAsia="SimSun"/>
                <w:snapToGrid w:val="0"/>
                <w:sz w:val="20"/>
                <w:szCs w:val="20"/>
                <w:lang w:val="en-GB"/>
              </w:rPr>
              <w:tab/>
            </w:r>
            <w:r w:rsidRPr="000C0842">
              <w:rPr>
                <w:rFonts w:eastAsia="SimSun"/>
                <w:snapToGrid w:val="0"/>
                <w:sz w:val="20"/>
                <w:szCs w:val="20"/>
                <w:vertAlign w:val="superscript"/>
                <w:lang w:val="en-GB"/>
              </w:rPr>
              <w:t xml:space="preserve"> </w:t>
            </w:r>
          </w:p>
        </w:tc>
      </w:tr>
      <w:tr w:rsidR="000C0842" w:rsidRPr="000C0842" w14:paraId="73A78BEE" w14:textId="77777777" w:rsidTr="001F32B3">
        <w:tc>
          <w:tcPr>
            <w:tcW w:w="13590" w:type="dxa"/>
            <w:gridSpan w:val="4"/>
          </w:tcPr>
          <w:p w14:paraId="77578573" w14:textId="77777777" w:rsidR="00382AC2" w:rsidRPr="000C0842" w:rsidRDefault="00382AC2" w:rsidP="00382AC2">
            <w:pPr>
              <w:tabs>
                <w:tab w:val="clear" w:pos="567"/>
                <w:tab w:val="clear" w:pos="1134"/>
                <w:tab w:val="clear" w:pos="1701"/>
                <w:tab w:val="clear" w:pos="2268"/>
              </w:tabs>
              <w:spacing w:before="40" w:after="40"/>
              <w:jc w:val="left"/>
              <w:rPr>
                <w:rFonts w:eastAsia="SimSun"/>
                <w:b/>
                <w:spacing w:val="6"/>
                <w:kern w:val="2"/>
                <w:sz w:val="20"/>
                <w:szCs w:val="20"/>
                <w:lang w:val="en-GB"/>
              </w:rPr>
            </w:pPr>
            <w:bookmarkStart w:id="78" w:name="_Hlk162806571"/>
            <w:r w:rsidRPr="000C0842">
              <w:rPr>
                <w:rFonts w:eastAsia="SimSun" w:hint="eastAsia"/>
                <w:b/>
                <w:spacing w:val="6"/>
                <w:kern w:val="2"/>
                <w:sz w:val="20"/>
                <w:szCs w:val="20"/>
              </w:rPr>
              <w:t>气候变化</w:t>
            </w:r>
          </w:p>
        </w:tc>
      </w:tr>
      <w:tr w:rsidR="000C0842" w:rsidRPr="000C0842" w14:paraId="76BFF78E" w14:textId="77777777" w:rsidTr="001F32B3">
        <w:tc>
          <w:tcPr>
            <w:tcW w:w="2700" w:type="dxa"/>
          </w:tcPr>
          <w:p w14:paraId="7DB00CBD" w14:textId="77777777" w:rsidR="00382AC2" w:rsidRPr="000C0842" w:rsidRDefault="00382AC2" w:rsidP="00382AC2">
            <w:pPr>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hint="eastAsia"/>
                <w:bCs/>
                <w:spacing w:val="6"/>
                <w:kern w:val="2"/>
                <w:sz w:val="20"/>
                <w:szCs w:val="20"/>
                <w:lang w:val="en-GB"/>
              </w:rPr>
              <w:t>行动目标</w:t>
            </w:r>
            <w:r w:rsidRPr="000C0842">
              <w:rPr>
                <w:rFonts w:eastAsia="SimSun"/>
                <w:bCs/>
                <w:spacing w:val="6"/>
                <w:kern w:val="2"/>
                <w:sz w:val="20"/>
                <w:szCs w:val="20"/>
                <w:lang w:val="en-GB"/>
              </w:rPr>
              <w:t>8</w:t>
            </w:r>
          </w:p>
        </w:tc>
        <w:tc>
          <w:tcPr>
            <w:tcW w:w="3822" w:type="dxa"/>
          </w:tcPr>
          <w:p w14:paraId="65E5A26C" w14:textId="1AE35C86"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hint="eastAsia"/>
                <w:kern w:val="2"/>
                <w:sz w:val="20"/>
                <w:szCs w:val="20"/>
              </w:rPr>
              <w:t>气候变化由于生物多样性的丧失而恶化，是生物多样性丧失和健康不良的驱动因素之一</w:t>
            </w:r>
            <w:r w:rsidRPr="000C0842">
              <w:rPr>
                <w:rFonts w:eastAsia="SimSun"/>
                <w:kern w:val="2"/>
                <w:sz w:val="20"/>
                <w:szCs w:val="20"/>
                <w:vertAlign w:val="superscript"/>
              </w:rPr>
              <w:footnoteReference w:id="315"/>
            </w:r>
            <w:r w:rsidRPr="000C0842">
              <w:rPr>
                <w:rFonts w:eastAsia="SimSun" w:hint="eastAsia"/>
                <w:kern w:val="2"/>
                <w:sz w:val="20"/>
                <w:szCs w:val="20"/>
              </w:rPr>
              <w:t>。</w:t>
            </w:r>
            <w:r w:rsidRPr="000C0842">
              <w:rPr>
                <w:rFonts w:eastAsia="SimSun"/>
                <w:kern w:val="2"/>
                <w:sz w:val="20"/>
                <w:szCs w:val="20"/>
              </w:rPr>
              <w:t xml:space="preserve"> </w:t>
            </w:r>
            <w:r w:rsidRPr="000C0842">
              <w:rPr>
                <w:rFonts w:eastAsia="SimSun" w:hint="eastAsia"/>
                <w:kern w:val="2"/>
                <w:sz w:val="20"/>
                <w:szCs w:val="20"/>
              </w:rPr>
              <w:t>气候变化增加极端天气事件（例如热浪、森林火灾、干旱和洪水）和海洋酸化的风险，对水的质量和数量、农业、畜牧业、渔业和水产养殖业的食物生产以及支持城市和住区的基础设施产生不利影响，增加病媒传播、水传播和食源性疾病、营养不良、中暑、心理健康和流离失所的风险。</w:t>
            </w:r>
            <w:r w:rsidRPr="000C0842">
              <w:rPr>
                <w:rFonts w:eastAsia="SimSun"/>
                <w:kern w:val="2"/>
                <w:sz w:val="20"/>
                <w:szCs w:val="20"/>
              </w:rPr>
              <w:t xml:space="preserve"> </w:t>
            </w:r>
            <w:r w:rsidRPr="000C0842">
              <w:rPr>
                <w:rFonts w:eastAsia="SimSun" w:hint="eastAsia"/>
                <w:kern w:val="2"/>
                <w:sz w:val="20"/>
                <w:szCs w:val="20"/>
              </w:rPr>
              <w:t>气候变化风险对人类、动物、植物和生态系统造成影响</w:t>
            </w:r>
            <w:r w:rsidRPr="000C0842">
              <w:rPr>
                <w:rFonts w:eastAsia="SimSun"/>
                <w:kern w:val="2"/>
                <w:sz w:val="20"/>
                <w:szCs w:val="20"/>
                <w:vertAlign w:val="superscript"/>
              </w:rPr>
              <w:footnoteReference w:id="316"/>
            </w:r>
            <w:r w:rsidRPr="000C0842">
              <w:rPr>
                <w:rFonts w:eastAsia="SimSun"/>
                <w:kern w:val="2"/>
                <w:sz w:val="20"/>
                <w:szCs w:val="20"/>
                <w:vertAlign w:val="superscript"/>
              </w:rPr>
              <w:t>,</w:t>
            </w:r>
            <w:r w:rsidRPr="000C0842">
              <w:rPr>
                <w:rFonts w:eastAsia="SimSun"/>
                <w:kern w:val="2"/>
                <w:sz w:val="20"/>
                <w:szCs w:val="20"/>
                <w:vertAlign w:val="superscript"/>
              </w:rPr>
              <w:footnoteReference w:id="317"/>
            </w:r>
            <w:r w:rsidRPr="000C0842">
              <w:rPr>
                <w:rFonts w:eastAsia="SimSun" w:hint="eastAsia"/>
                <w:kern w:val="2"/>
                <w:sz w:val="20"/>
                <w:szCs w:val="20"/>
              </w:rPr>
              <w:t>。基于自然的解决方案</w:t>
            </w:r>
            <w:r w:rsidRPr="000C0842">
              <w:rPr>
                <w:rFonts w:eastAsia="SimSun"/>
                <w:kern w:val="2"/>
                <w:sz w:val="20"/>
                <w:szCs w:val="20"/>
                <w:vertAlign w:val="superscript"/>
              </w:rPr>
              <w:footnoteReference w:id="318"/>
            </w:r>
            <w:r w:rsidRPr="000C0842">
              <w:rPr>
                <w:rFonts w:eastAsia="SimSun" w:hint="eastAsia"/>
                <w:kern w:val="2"/>
                <w:sz w:val="20"/>
                <w:szCs w:val="20"/>
              </w:rPr>
              <w:t>和</w:t>
            </w:r>
            <w:r w:rsidRPr="000C0842">
              <w:rPr>
                <w:rFonts w:eastAsia="SimSun"/>
                <w:kern w:val="2"/>
                <w:sz w:val="20"/>
                <w:szCs w:val="20"/>
              </w:rPr>
              <w:t>/</w:t>
            </w:r>
            <w:r w:rsidRPr="000C0842">
              <w:rPr>
                <w:rFonts w:eastAsia="SimSun" w:hint="eastAsia"/>
                <w:kern w:val="2"/>
                <w:sz w:val="20"/>
                <w:szCs w:val="20"/>
              </w:rPr>
              <w:t>或基于生态系统的方法有助于减缓、适应有害健康的气候变化并增进复原力。</w:t>
            </w:r>
          </w:p>
          <w:p w14:paraId="3594FB80"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rPr>
              <w:tab/>
            </w:r>
            <w:r w:rsidRPr="000C0842">
              <w:rPr>
                <w:rFonts w:eastAsia="SimSun"/>
                <w:kern w:val="2"/>
                <w:sz w:val="20"/>
                <w:szCs w:val="20"/>
                <w:vertAlign w:val="superscript"/>
              </w:rPr>
              <w:t xml:space="preserve"> </w:t>
            </w:r>
          </w:p>
        </w:tc>
        <w:tc>
          <w:tcPr>
            <w:tcW w:w="7068" w:type="dxa"/>
            <w:gridSpan w:val="2"/>
          </w:tcPr>
          <w:p w14:paraId="2F81376A"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lang w:val="en-GB"/>
              </w:rPr>
              <w:t>根据国家具体情况和优先事项在相关的国家政策和规划工具中考虑到气候变化、生物多样性与健康的相互关联。</w:t>
            </w:r>
          </w:p>
          <w:p w14:paraId="0B37B627" w14:textId="77777777" w:rsidR="00382AC2" w:rsidRPr="000C0842" w:rsidRDefault="00382AC2" w:rsidP="00382AC2">
            <w:pPr>
              <w:tabs>
                <w:tab w:val="clear" w:pos="567"/>
                <w:tab w:val="clear" w:pos="1134"/>
                <w:tab w:val="clear" w:pos="1701"/>
                <w:tab w:val="clear" w:pos="2268"/>
              </w:tabs>
              <w:spacing w:before="60" w:after="60"/>
              <w:jc w:val="left"/>
              <w:rPr>
                <w:rFonts w:eastAsia="SimSun"/>
                <w:strike/>
                <w:kern w:val="2"/>
                <w:sz w:val="20"/>
                <w:szCs w:val="20"/>
                <w:lang w:val="en-GB"/>
              </w:rPr>
            </w:pPr>
            <w:r w:rsidRPr="000C0842">
              <w:rPr>
                <w:rFonts w:eastAsia="SimSun"/>
                <w:kern w:val="2"/>
                <w:sz w:val="20"/>
                <w:szCs w:val="20"/>
                <w:lang w:val="en-GB"/>
              </w:rPr>
              <w:t xml:space="preserve">2. </w:t>
            </w:r>
            <w:r w:rsidRPr="000C0842">
              <w:rPr>
                <w:rFonts w:eastAsia="SimSun" w:hint="eastAsia"/>
                <w:sz w:val="20"/>
                <w:szCs w:val="20"/>
              </w:rPr>
              <w:t>加强能力建设和发展，处理生物多样性、气候变化和健康的相互关联，包括为此进行研究、教育以及开发知识和交流工具，并通过技术转让在增进国际合作。</w:t>
            </w:r>
          </w:p>
          <w:p w14:paraId="7353A512"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vertAlign w:val="superscript"/>
                <w:lang w:val="en-GB"/>
              </w:rPr>
            </w:pPr>
            <w:r w:rsidRPr="000C0842">
              <w:rPr>
                <w:rFonts w:eastAsia="SimSun"/>
                <w:kern w:val="2"/>
                <w:sz w:val="20"/>
                <w:szCs w:val="20"/>
                <w:lang w:val="en-GB"/>
              </w:rPr>
              <w:t xml:space="preserve">3. </w:t>
            </w:r>
            <w:r w:rsidRPr="000C0842">
              <w:rPr>
                <w:rFonts w:eastAsia="SimSun" w:hint="eastAsia"/>
                <w:kern w:val="2"/>
                <w:sz w:val="20"/>
                <w:szCs w:val="20"/>
              </w:rPr>
              <w:t>共同开发和实施早期预警系统，通过纳入适当时空尺度上可互操作</w:t>
            </w:r>
            <w:r w:rsidRPr="000C0842">
              <w:rPr>
                <w:rFonts w:eastAsia="SimSun"/>
                <w:kern w:val="2"/>
                <w:sz w:val="20"/>
                <w:szCs w:val="20"/>
                <w:vertAlign w:val="superscript"/>
              </w:rPr>
              <w:footnoteReference w:id="319"/>
            </w:r>
            <w:r w:rsidRPr="000C0842">
              <w:rPr>
                <w:rFonts w:eastAsia="SimSun" w:hint="eastAsia"/>
                <w:kern w:val="2"/>
                <w:sz w:val="20"/>
                <w:szCs w:val="20"/>
              </w:rPr>
              <w:t>的气候和环境信息以及流行病学信息来预测陆地、内陆水域和海洋生态系统中的疾病爆发，以支持地方决策</w:t>
            </w:r>
            <w:r w:rsidRPr="000C0842">
              <w:rPr>
                <w:rFonts w:eastAsia="SimSun"/>
                <w:kern w:val="2"/>
                <w:sz w:val="20"/>
                <w:szCs w:val="20"/>
                <w:vertAlign w:val="superscript"/>
              </w:rPr>
              <w:footnoteReference w:id="320"/>
            </w:r>
            <w:r w:rsidRPr="000C0842">
              <w:rPr>
                <w:rFonts w:eastAsia="SimSun" w:hint="eastAsia"/>
                <w:kern w:val="2"/>
                <w:sz w:val="20"/>
                <w:szCs w:val="20"/>
              </w:rPr>
              <w:t>。</w:t>
            </w:r>
          </w:p>
          <w:p w14:paraId="6AF09880"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4. </w:t>
            </w:r>
            <w:r w:rsidRPr="000C0842">
              <w:rPr>
                <w:rFonts w:eastAsia="SimSun" w:hint="eastAsia"/>
                <w:sz w:val="20"/>
                <w:szCs w:val="20"/>
              </w:rPr>
              <w:t>推动研究气候、生物多样性与健康之间可能存在的相互关联，例如媒介传播和水传播疾病与心理健康的关联。</w:t>
            </w:r>
          </w:p>
          <w:p w14:paraId="2B17552C" w14:textId="77777777" w:rsidR="00382AC2" w:rsidRPr="000C0842" w:rsidRDefault="00382AC2" w:rsidP="00382AC2">
            <w:pPr>
              <w:tabs>
                <w:tab w:val="clear" w:pos="567"/>
                <w:tab w:val="clear" w:pos="1134"/>
                <w:tab w:val="clear" w:pos="1701"/>
                <w:tab w:val="clear" w:pos="2268"/>
              </w:tabs>
              <w:spacing w:before="40" w:after="40"/>
              <w:ind w:right="-20"/>
              <w:jc w:val="left"/>
              <w:rPr>
                <w:rFonts w:eastAsia="SimSun"/>
                <w:kern w:val="2"/>
                <w:sz w:val="20"/>
                <w:szCs w:val="20"/>
                <w:lang w:val="en-GB"/>
              </w:rPr>
            </w:pPr>
            <w:r w:rsidRPr="000C0842">
              <w:rPr>
                <w:rFonts w:eastAsia="SimSun"/>
                <w:kern w:val="2"/>
                <w:sz w:val="20"/>
                <w:szCs w:val="20"/>
                <w:lang w:val="en-GB"/>
              </w:rPr>
              <w:t xml:space="preserve">5. </w:t>
            </w:r>
            <w:r w:rsidRPr="000C0842">
              <w:rPr>
                <w:rFonts w:eastAsia="SimSun" w:hint="eastAsia"/>
                <w:kern w:val="2"/>
                <w:sz w:val="20"/>
                <w:szCs w:val="20"/>
                <w:lang w:val="en-GB"/>
              </w:rPr>
              <w:t>提高对基于自然的解决办法和</w:t>
            </w:r>
            <w:r w:rsidRPr="000C0842">
              <w:rPr>
                <w:rFonts w:eastAsia="SimSun"/>
                <w:kern w:val="2"/>
                <w:sz w:val="20"/>
                <w:szCs w:val="20"/>
                <w:lang w:val="en-GB"/>
              </w:rPr>
              <w:t>/</w:t>
            </w:r>
            <w:r w:rsidRPr="000C0842">
              <w:rPr>
                <w:rFonts w:eastAsia="SimSun" w:hint="eastAsia"/>
                <w:kern w:val="2"/>
                <w:sz w:val="20"/>
                <w:szCs w:val="20"/>
                <w:lang w:val="en-GB"/>
              </w:rPr>
              <w:t>或基于生态系统的方法对人类健康的潜在附带效益的认识，并考虑纳入这些附带效益。</w:t>
            </w:r>
          </w:p>
          <w:p w14:paraId="392B3766" w14:textId="77777777" w:rsidR="00382AC2" w:rsidRPr="000C0842" w:rsidRDefault="00382AC2" w:rsidP="00382AC2">
            <w:pPr>
              <w:tabs>
                <w:tab w:val="clear" w:pos="567"/>
                <w:tab w:val="clear" w:pos="1134"/>
                <w:tab w:val="clear" w:pos="1701"/>
                <w:tab w:val="clear" w:pos="2268"/>
              </w:tabs>
              <w:spacing w:before="40" w:after="40"/>
              <w:ind w:right="-20"/>
              <w:jc w:val="left"/>
              <w:rPr>
                <w:rFonts w:eastAsia="SimSun"/>
                <w:kern w:val="2"/>
                <w:sz w:val="20"/>
                <w:szCs w:val="20"/>
                <w:lang w:val="en-GB"/>
              </w:rPr>
            </w:pPr>
            <w:r w:rsidRPr="000C0842">
              <w:rPr>
                <w:rFonts w:eastAsia="SimSun"/>
                <w:kern w:val="2"/>
                <w:sz w:val="20"/>
                <w:szCs w:val="20"/>
                <w:lang w:val="en-GB"/>
              </w:rPr>
              <w:t xml:space="preserve">6. </w:t>
            </w:r>
            <w:r w:rsidRPr="000C0842">
              <w:rPr>
                <w:rFonts w:eastAsia="SimSun" w:hint="eastAsia"/>
                <w:kern w:val="2"/>
                <w:sz w:val="20"/>
                <w:szCs w:val="20"/>
                <w:lang w:val="en-GB"/>
              </w:rPr>
              <w:t>探讨有无可能制订关于气候、生物多样性与健康的相互关联指标。</w:t>
            </w:r>
          </w:p>
          <w:p w14:paraId="49F929A8" w14:textId="77777777" w:rsidR="00382AC2" w:rsidRPr="000C0842" w:rsidRDefault="00382AC2" w:rsidP="00382AC2">
            <w:pPr>
              <w:tabs>
                <w:tab w:val="clear" w:pos="567"/>
                <w:tab w:val="clear" w:pos="1134"/>
                <w:tab w:val="clear" w:pos="1701"/>
                <w:tab w:val="clear" w:pos="2268"/>
              </w:tabs>
              <w:spacing w:before="40" w:after="40"/>
              <w:ind w:right="-20"/>
              <w:jc w:val="left"/>
              <w:rPr>
                <w:rFonts w:eastAsia="SimSun"/>
                <w:kern w:val="2"/>
                <w:sz w:val="20"/>
                <w:szCs w:val="20"/>
                <w:lang w:val="en-GB"/>
              </w:rPr>
            </w:pPr>
            <w:r w:rsidRPr="000C0842">
              <w:rPr>
                <w:rFonts w:eastAsia="SimSun"/>
                <w:kern w:val="2"/>
                <w:sz w:val="20"/>
                <w:szCs w:val="20"/>
                <w:lang w:val="en-GB"/>
              </w:rPr>
              <w:t xml:space="preserve"> </w:t>
            </w:r>
            <w:r w:rsidRPr="000C0842">
              <w:rPr>
                <w:rFonts w:eastAsia="SimSun"/>
                <w:kern w:val="2"/>
                <w:sz w:val="20"/>
                <w:szCs w:val="20"/>
                <w:lang w:val="en-GB"/>
              </w:rPr>
              <w:tab/>
            </w:r>
            <w:r w:rsidRPr="000C0842">
              <w:rPr>
                <w:rFonts w:eastAsia="SimSun"/>
                <w:kern w:val="2"/>
                <w:sz w:val="20"/>
                <w:szCs w:val="20"/>
                <w:vertAlign w:val="superscript"/>
                <w:lang w:val="en-GB"/>
              </w:rPr>
              <w:t xml:space="preserve"> </w:t>
            </w:r>
          </w:p>
        </w:tc>
      </w:tr>
      <w:tr w:rsidR="000C0842" w:rsidRPr="000C0842" w14:paraId="4CF1E90E" w14:textId="77777777" w:rsidTr="001F32B3">
        <w:tc>
          <w:tcPr>
            <w:tcW w:w="13590" w:type="dxa"/>
            <w:gridSpan w:val="4"/>
          </w:tcPr>
          <w:p w14:paraId="3D890782" w14:textId="77777777" w:rsidR="00382AC2" w:rsidRPr="000C0842" w:rsidRDefault="00382AC2" w:rsidP="00382AC2">
            <w:pPr>
              <w:tabs>
                <w:tab w:val="clear" w:pos="567"/>
                <w:tab w:val="clear" w:pos="1134"/>
                <w:tab w:val="clear" w:pos="1701"/>
                <w:tab w:val="clear" w:pos="2268"/>
              </w:tabs>
              <w:spacing w:before="40" w:after="40"/>
              <w:jc w:val="left"/>
              <w:rPr>
                <w:rFonts w:eastAsia="SimSun"/>
                <w:b/>
                <w:bCs/>
                <w:kern w:val="2"/>
                <w:sz w:val="20"/>
                <w:szCs w:val="20"/>
                <w:shd w:val="clear" w:color="auto" w:fill="E7E6E6"/>
                <w:lang w:val="en-GB"/>
              </w:rPr>
            </w:pPr>
            <w:r w:rsidRPr="000C0842">
              <w:rPr>
                <w:rFonts w:eastAsia="SimSun" w:hint="eastAsia"/>
                <w:b/>
                <w:bCs/>
                <w:kern w:val="2"/>
                <w:sz w:val="20"/>
                <w:szCs w:val="20"/>
              </w:rPr>
              <w:t>农业、水产养殖业、渔业和林业</w:t>
            </w:r>
            <w:r w:rsidRPr="000C0842">
              <w:rPr>
                <w:rFonts w:eastAsia="SimSun"/>
                <w:b/>
                <w:bCs/>
                <w:kern w:val="2"/>
                <w:sz w:val="20"/>
                <w:szCs w:val="20"/>
              </w:rPr>
              <w:tab/>
            </w:r>
          </w:p>
        </w:tc>
      </w:tr>
      <w:tr w:rsidR="000C0842" w:rsidRPr="000C0842" w14:paraId="5127068A" w14:textId="77777777" w:rsidTr="001F32B3">
        <w:tc>
          <w:tcPr>
            <w:tcW w:w="2700" w:type="dxa"/>
          </w:tcPr>
          <w:p w14:paraId="7786AE53"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lang w:val="en-GB"/>
              </w:rPr>
              <w:t>行动目标</w:t>
            </w:r>
            <w:r w:rsidRPr="000C0842">
              <w:rPr>
                <w:rFonts w:eastAsia="SimSun"/>
                <w:kern w:val="2"/>
                <w:sz w:val="20"/>
                <w:szCs w:val="20"/>
                <w:lang w:val="en-GB"/>
              </w:rPr>
              <w:t xml:space="preserve">10 </w:t>
            </w:r>
          </w:p>
          <w:p w14:paraId="04DAAA1B"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p>
        </w:tc>
        <w:tc>
          <w:tcPr>
            <w:tcW w:w="3822" w:type="dxa"/>
          </w:tcPr>
          <w:p w14:paraId="53BC7C57"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hint="eastAsia"/>
                <w:kern w:val="2"/>
                <w:sz w:val="20"/>
                <w:szCs w:val="20"/>
              </w:rPr>
              <w:t>各个层面（遗传、物种和生态系统层面）的生物多样性是粮食安全、营养和健康饮食的支柱</w:t>
            </w:r>
            <w:r w:rsidRPr="000C0842">
              <w:rPr>
                <w:rFonts w:eastAsia="SimSun"/>
                <w:kern w:val="2"/>
                <w:sz w:val="20"/>
                <w:szCs w:val="20"/>
                <w:vertAlign w:val="superscript"/>
              </w:rPr>
              <w:footnoteReference w:id="321"/>
            </w:r>
            <w:r w:rsidRPr="000C0842">
              <w:rPr>
                <w:rFonts w:eastAsia="SimSun" w:hint="eastAsia"/>
                <w:kern w:val="2"/>
                <w:sz w:val="20"/>
                <w:szCs w:val="20"/>
              </w:rPr>
              <w:t>。食品的质量和数量及其生产方式对人类健康以及牲畜、野生物和环境的健康产生影响。</w:t>
            </w:r>
            <w:r w:rsidRPr="000C0842">
              <w:rPr>
                <w:rFonts w:eastAsia="SimSun"/>
                <w:kern w:val="2"/>
                <w:sz w:val="20"/>
                <w:szCs w:val="20"/>
              </w:rPr>
              <w:t xml:space="preserve"> </w:t>
            </w:r>
            <w:r w:rsidRPr="000C0842">
              <w:rPr>
                <w:rFonts w:eastAsia="SimSun" w:hint="eastAsia"/>
                <w:kern w:val="2"/>
                <w:sz w:val="20"/>
                <w:szCs w:val="20"/>
              </w:rPr>
              <w:t>以多样化作物、牲畜、健康的森林以及海洋和淡水食物等为基础的膳食多样性提供了多种多样的必需营养素和非营养素，例如纤维。</w:t>
            </w:r>
            <w:r w:rsidRPr="000C0842">
              <w:rPr>
                <w:rFonts w:eastAsia="SimSun"/>
                <w:kern w:val="2"/>
                <w:sz w:val="20"/>
                <w:szCs w:val="20"/>
              </w:rPr>
              <w:t xml:space="preserve"> </w:t>
            </w:r>
            <w:r w:rsidRPr="000C0842">
              <w:rPr>
                <w:rFonts w:eastAsia="SimSun" w:hint="eastAsia"/>
                <w:kern w:val="2"/>
                <w:sz w:val="20"/>
                <w:szCs w:val="20"/>
              </w:rPr>
              <w:t>营养丰富的作物的种植取决于传粉媒介、土壤中有益微生物的多样性及其他因素。</w:t>
            </w:r>
            <w:r w:rsidRPr="000C0842">
              <w:rPr>
                <w:rFonts w:eastAsia="SimSun"/>
                <w:kern w:val="2"/>
                <w:sz w:val="20"/>
                <w:szCs w:val="20"/>
              </w:rPr>
              <w:t xml:space="preserve"> </w:t>
            </w:r>
            <w:r w:rsidRPr="000C0842">
              <w:rPr>
                <w:rFonts w:eastAsia="SimSun" w:hint="eastAsia"/>
                <w:kern w:val="2"/>
                <w:sz w:val="20"/>
                <w:szCs w:val="20"/>
              </w:rPr>
              <w:t>可持续集约化、病虫害综合治理、培育适应性作物品种和农业生态方法可以减少对营养元素和农药的需求，包括对那些有害人类和传粉媒介的营养要素和农药的需求。</w:t>
            </w:r>
          </w:p>
        </w:tc>
        <w:tc>
          <w:tcPr>
            <w:tcW w:w="7068" w:type="dxa"/>
            <w:gridSpan w:val="2"/>
          </w:tcPr>
          <w:p w14:paraId="00FAE7BB"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rPr>
              <w:t>提高对生物多样性与健康的相互关联的认识，促进营养、粮食安全、生计和粮食系统的复原力</w:t>
            </w:r>
            <w:r w:rsidRPr="000C0842">
              <w:rPr>
                <w:rFonts w:eastAsia="SimSun"/>
                <w:kern w:val="2"/>
                <w:sz w:val="20"/>
                <w:szCs w:val="20"/>
                <w:vertAlign w:val="superscript"/>
              </w:rPr>
              <w:footnoteReference w:id="322"/>
            </w:r>
            <w:r w:rsidRPr="000C0842">
              <w:rPr>
                <w:rFonts w:eastAsia="SimSun"/>
                <w:kern w:val="2"/>
                <w:sz w:val="20"/>
                <w:szCs w:val="20"/>
                <w:vertAlign w:val="superscript"/>
              </w:rPr>
              <w:t>,</w:t>
            </w:r>
            <w:r w:rsidRPr="000C0842">
              <w:rPr>
                <w:rFonts w:eastAsia="SimSun"/>
                <w:kern w:val="2"/>
                <w:sz w:val="20"/>
                <w:szCs w:val="20"/>
                <w:vertAlign w:val="superscript"/>
              </w:rPr>
              <w:footnoteReference w:id="323"/>
            </w:r>
            <w:r w:rsidRPr="000C0842">
              <w:rPr>
                <w:rFonts w:eastAsia="SimSun"/>
                <w:kern w:val="2"/>
                <w:sz w:val="20"/>
                <w:szCs w:val="20"/>
                <w:vertAlign w:val="superscript"/>
              </w:rPr>
              <w:t>,</w:t>
            </w:r>
            <w:r w:rsidRPr="000C0842">
              <w:rPr>
                <w:rFonts w:eastAsia="SimSun"/>
                <w:kern w:val="2"/>
                <w:sz w:val="20"/>
                <w:szCs w:val="20"/>
                <w:vertAlign w:val="superscript"/>
              </w:rPr>
              <w:footnoteReference w:id="324"/>
            </w:r>
            <w:r w:rsidRPr="000C0842">
              <w:rPr>
                <w:rFonts w:eastAsia="SimSun"/>
                <w:kern w:val="2"/>
                <w:sz w:val="20"/>
                <w:szCs w:val="20"/>
                <w:vertAlign w:val="superscript"/>
              </w:rPr>
              <w:t>,</w:t>
            </w:r>
            <w:r w:rsidRPr="000C0842">
              <w:rPr>
                <w:rFonts w:eastAsia="SimSun"/>
                <w:kern w:val="2"/>
                <w:sz w:val="20"/>
                <w:szCs w:val="20"/>
                <w:vertAlign w:val="superscript"/>
              </w:rPr>
              <w:footnoteReference w:id="325"/>
            </w:r>
            <w:r w:rsidRPr="000C0842">
              <w:rPr>
                <w:rFonts w:eastAsia="SimSun" w:hint="eastAsia"/>
                <w:kern w:val="2"/>
                <w:sz w:val="20"/>
                <w:szCs w:val="20"/>
              </w:rPr>
              <w:t>。</w:t>
            </w:r>
          </w:p>
          <w:p w14:paraId="3498A768"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kern w:val="2"/>
                <w:sz w:val="20"/>
                <w:szCs w:val="20"/>
              </w:rPr>
              <w:t>采用可持续集约化、农业生物多样性、农业生态学、综合景观规划、培育适应性作物品种和综合病虫害防治等可持续做法，减少对农药、化肥和其他化学品投入的需要和使用，从而减少对农业、水产养殖、渔业和林业等生物多样性与健康的负面影响。</w:t>
            </w:r>
          </w:p>
          <w:p w14:paraId="5F5B1CA5"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lang w:val="en-GB"/>
              </w:rPr>
              <w:t xml:space="preserve">3. </w:t>
            </w:r>
            <w:r w:rsidRPr="000C0842">
              <w:rPr>
                <w:rFonts w:eastAsia="SimSun" w:hint="eastAsia"/>
                <w:kern w:val="2"/>
                <w:sz w:val="20"/>
                <w:szCs w:val="20"/>
              </w:rPr>
              <w:t>推动提高动物福利标准，从而促进其健康和福祉</w:t>
            </w:r>
            <w:r w:rsidRPr="000C0842">
              <w:rPr>
                <w:rFonts w:eastAsia="SimSun"/>
                <w:kern w:val="2"/>
                <w:sz w:val="20"/>
                <w:szCs w:val="20"/>
                <w:vertAlign w:val="superscript"/>
              </w:rPr>
              <w:footnoteReference w:id="326"/>
            </w:r>
            <w:r w:rsidRPr="000C0842">
              <w:rPr>
                <w:rFonts w:eastAsia="SimSun" w:hint="eastAsia"/>
                <w:kern w:val="2"/>
                <w:sz w:val="20"/>
                <w:szCs w:val="20"/>
              </w:rPr>
              <w:t>，包括降低牲畜和水产养殖当中的传染病风险，具体方法除其他外，包括根据科学证据，通过避免抗微生物药物的不当使用和处置来防止其抗药性。</w:t>
            </w:r>
          </w:p>
          <w:p w14:paraId="4566BF71"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4. </w:t>
            </w:r>
            <w:r w:rsidRPr="000C0842">
              <w:rPr>
                <w:rFonts w:eastAsia="SimSun" w:hint="eastAsia"/>
                <w:kern w:val="2"/>
                <w:sz w:val="20"/>
                <w:szCs w:val="20"/>
              </w:rPr>
              <w:t>认识到传统食物做法的价值、土著人民</w:t>
            </w:r>
            <w:r w:rsidRPr="000C0842">
              <w:rPr>
                <w:rFonts w:eastAsia="SimSun"/>
                <w:kern w:val="2"/>
                <w:sz w:val="20"/>
                <w:szCs w:val="20"/>
                <w:vertAlign w:val="superscript"/>
              </w:rPr>
              <w:footnoteReference w:id="327"/>
            </w:r>
            <w:r w:rsidRPr="000C0842">
              <w:rPr>
                <w:rFonts w:eastAsia="SimSun"/>
                <w:kern w:val="2"/>
                <w:sz w:val="20"/>
                <w:szCs w:val="20"/>
                <w:vertAlign w:val="superscript"/>
              </w:rPr>
              <w:t xml:space="preserve"> </w:t>
            </w:r>
            <w:r w:rsidRPr="000C0842">
              <w:rPr>
                <w:rFonts w:eastAsia="SimSun" w:hint="eastAsia"/>
                <w:kern w:val="2"/>
                <w:sz w:val="20"/>
                <w:szCs w:val="20"/>
              </w:rPr>
              <w:t>和地方社区的饮食方式在健康、福祉和疾病预防战略中的作用。</w:t>
            </w:r>
          </w:p>
          <w:p w14:paraId="11CB3DF3"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vertAlign w:val="superscript"/>
              </w:rPr>
            </w:pPr>
            <w:r w:rsidRPr="000C0842">
              <w:rPr>
                <w:rFonts w:eastAsia="SimSun"/>
                <w:kern w:val="2"/>
                <w:sz w:val="20"/>
                <w:szCs w:val="20"/>
                <w:lang w:val="en-GB"/>
              </w:rPr>
              <w:t xml:space="preserve">5. </w:t>
            </w:r>
            <w:r w:rsidRPr="000C0842">
              <w:rPr>
                <w:rFonts w:eastAsia="SimSun" w:hint="eastAsia"/>
                <w:kern w:val="2"/>
                <w:sz w:val="20"/>
                <w:szCs w:val="20"/>
              </w:rPr>
              <w:t>支持为健康生态系统和粮食安全保护遗传多样性的举措，除其他外包括保护种子、牲畜、林业、渔业和授粉媒介的遗传多样性的举措</w:t>
            </w:r>
            <w:r w:rsidRPr="000C0842">
              <w:rPr>
                <w:rFonts w:eastAsia="SimSun"/>
                <w:kern w:val="2"/>
                <w:sz w:val="20"/>
                <w:szCs w:val="20"/>
                <w:vertAlign w:val="superscript"/>
              </w:rPr>
              <w:footnoteReference w:id="328"/>
            </w:r>
            <w:r w:rsidRPr="000C0842">
              <w:rPr>
                <w:rFonts w:eastAsia="SimSun" w:hint="eastAsia"/>
                <w:kern w:val="2"/>
                <w:sz w:val="20"/>
                <w:szCs w:val="20"/>
              </w:rPr>
              <w:t>。</w:t>
            </w:r>
          </w:p>
          <w:p w14:paraId="3D145C55"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u w:val="single"/>
                <w:lang w:val="en-GB"/>
              </w:rPr>
            </w:pPr>
          </w:p>
        </w:tc>
      </w:tr>
      <w:tr w:rsidR="000C0842" w:rsidRPr="000C0842" w14:paraId="71C69FC4" w14:textId="77777777" w:rsidTr="001F32B3">
        <w:tc>
          <w:tcPr>
            <w:tcW w:w="13590" w:type="dxa"/>
            <w:gridSpan w:val="4"/>
          </w:tcPr>
          <w:p w14:paraId="6132B7EB"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b/>
                <w:kern w:val="2"/>
                <w:sz w:val="20"/>
                <w:szCs w:val="20"/>
                <w:lang w:val="en-GB"/>
              </w:rPr>
            </w:pPr>
            <w:r w:rsidRPr="000C0842">
              <w:rPr>
                <w:rFonts w:eastAsia="SimSun" w:hint="eastAsia"/>
                <w:b/>
                <w:kern w:val="2"/>
                <w:sz w:val="20"/>
                <w:szCs w:val="20"/>
              </w:rPr>
              <w:t>自然对人类的贡献</w:t>
            </w:r>
          </w:p>
        </w:tc>
      </w:tr>
      <w:tr w:rsidR="000C0842" w:rsidRPr="000C0842" w14:paraId="19BAAF9A" w14:textId="77777777" w:rsidTr="001F32B3">
        <w:tc>
          <w:tcPr>
            <w:tcW w:w="2700" w:type="dxa"/>
          </w:tcPr>
          <w:p w14:paraId="6BEC0388"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lang w:val="en-GB"/>
              </w:rPr>
              <w:t>行动目标</w:t>
            </w:r>
            <w:r w:rsidRPr="000C0842">
              <w:rPr>
                <w:rFonts w:eastAsia="SimSun"/>
                <w:kern w:val="2"/>
                <w:sz w:val="20"/>
                <w:szCs w:val="20"/>
                <w:lang w:val="en-GB"/>
              </w:rPr>
              <w:t>11</w:t>
            </w:r>
          </w:p>
        </w:tc>
        <w:tc>
          <w:tcPr>
            <w:tcW w:w="3822" w:type="dxa"/>
          </w:tcPr>
          <w:p w14:paraId="585076CF"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rPr>
              <w:t>生物多样性是自然对人类作贡献的基础</w:t>
            </w:r>
            <w:r w:rsidRPr="000C0842">
              <w:rPr>
                <w:rFonts w:eastAsia="SimSun"/>
                <w:kern w:val="2"/>
                <w:sz w:val="20"/>
                <w:szCs w:val="20"/>
                <w:vertAlign w:val="superscript"/>
              </w:rPr>
              <w:footnoteReference w:id="329"/>
            </w:r>
            <w:r w:rsidRPr="000C0842">
              <w:rPr>
                <w:rFonts w:eastAsia="SimSun" w:hint="eastAsia"/>
                <w:kern w:val="2"/>
                <w:sz w:val="20"/>
                <w:szCs w:val="20"/>
              </w:rPr>
              <w:t>。保护这些贡献有利于人类健康，包括身心健康，降低死亡率和发病率。</w:t>
            </w:r>
            <w:r w:rsidRPr="000C0842">
              <w:rPr>
                <w:rFonts w:eastAsia="SimSun"/>
                <w:kern w:val="2"/>
                <w:sz w:val="20"/>
                <w:szCs w:val="20"/>
              </w:rPr>
              <w:t xml:space="preserve"> </w:t>
            </w:r>
            <w:r w:rsidRPr="000C0842">
              <w:rPr>
                <w:rFonts w:eastAsia="SimSun" w:hint="eastAsia"/>
                <w:kern w:val="2"/>
                <w:sz w:val="20"/>
                <w:szCs w:val="20"/>
              </w:rPr>
              <w:t>这些贡献包括</w:t>
            </w:r>
            <w:r w:rsidRPr="000C0842">
              <w:rPr>
                <w:rFonts w:eastAsia="SimSun"/>
                <w:kern w:val="2"/>
                <w:sz w:val="20"/>
                <w:szCs w:val="20"/>
                <w:vertAlign w:val="superscript"/>
              </w:rPr>
              <w:footnoteReference w:id="330"/>
            </w:r>
            <w:r w:rsidRPr="000C0842">
              <w:rPr>
                <w:rFonts w:eastAsia="SimSun" w:hint="eastAsia"/>
                <w:kern w:val="2"/>
                <w:sz w:val="20"/>
                <w:szCs w:val="20"/>
              </w:rPr>
              <w:t>：</w:t>
            </w:r>
            <w:r w:rsidRPr="000C0842">
              <w:rPr>
                <w:rFonts w:eastAsia="SimSun"/>
                <w:kern w:val="2"/>
                <w:sz w:val="20"/>
                <w:szCs w:val="20"/>
                <w:vertAlign w:val="superscript"/>
                <w:lang w:val="en-GB"/>
              </w:rPr>
              <w:t xml:space="preserve"> </w:t>
            </w:r>
          </w:p>
          <w:p w14:paraId="21EACD86"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(a) </w:t>
            </w:r>
            <w:r w:rsidRPr="000C0842">
              <w:rPr>
                <w:rFonts w:eastAsia="SimSun" w:hint="eastAsia"/>
                <w:kern w:val="2"/>
                <w:sz w:val="20"/>
                <w:szCs w:val="20"/>
              </w:rPr>
              <w:t>控制气候、海洋酸化和水文循环；</w:t>
            </w:r>
          </w:p>
          <w:p w14:paraId="47DB5DDA"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(b) </w:t>
            </w:r>
            <w:r w:rsidRPr="000C0842">
              <w:rPr>
                <w:rFonts w:eastAsia="SimSun" w:hint="eastAsia"/>
                <w:kern w:val="2"/>
                <w:sz w:val="20"/>
                <w:szCs w:val="20"/>
              </w:rPr>
              <w:t>调节和改善空气、淡水和沿海水质，调节水流；</w:t>
            </w:r>
          </w:p>
          <w:p w14:paraId="45AC5BAC"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(c) </w:t>
            </w:r>
            <w:r w:rsidRPr="000C0842">
              <w:rPr>
                <w:rFonts w:eastAsia="SimSun" w:hint="eastAsia"/>
                <w:kern w:val="2"/>
                <w:sz w:val="20"/>
                <w:szCs w:val="20"/>
              </w:rPr>
              <w:t>土壤生物多样性、质量和肥力以及污染物的降解或储存；</w:t>
            </w:r>
          </w:p>
          <w:p w14:paraId="0045A969"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(d) </w:t>
            </w:r>
            <w:r w:rsidRPr="000C0842">
              <w:rPr>
                <w:rFonts w:eastAsia="SimSun" w:hint="eastAsia"/>
                <w:kern w:val="2"/>
                <w:sz w:val="20"/>
                <w:szCs w:val="20"/>
              </w:rPr>
              <w:t>控制自然灾害和极端事件；</w:t>
            </w:r>
          </w:p>
          <w:p w14:paraId="0B80BF0B"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(e) </w:t>
            </w:r>
            <w:r w:rsidRPr="000C0842">
              <w:rPr>
                <w:rFonts w:eastAsia="SimSun" w:hint="eastAsia"/>
                <w:kern w:val="2"/>
                <w:sz w:val="20"/>
                <w:szCs w:val="20"/>
              </w:rPr>
              <w:t>授粉和种子传播；</w:t>
            </w:r>
          </w:p>
          <w:p w14:paraId="652DCEAE"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(f) </w:t>
            </w:r>
            <w:r w:rsidRPr="000C0842">
              <w:rPr>
                <w:rFonts w:eastAsia="SimSun" w:hint="eastAsia"/>
                <w:kern w:val="2"/>
                <w:sz w:val="20"/>
                <w:szCs w:val="20"/>
              </w:rPr>
              <w:t>利用野生、管理或驯化的陆地或海洋生物体生产食物和饲料；</w:t>
            </w:r>
            <w:r w:rsidRPr="000C0842">
              <w:rPr>
                <w:rFonts w:eastAsia="SimSun"/>
                <w:kern w:val="2"/>
                <w:sz w:val="20"/>
                <w:szCs w:val="20"/>
                <w:lang w:val="en-GB"/>
              </w:rPr>
              <w:t xml:space="preserve"> </w:t>
            </w:r>
          </w:p>
          <w:p w14:paraId="295ECE95"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(g) </w:t>
            </w:r>
            <w:r w:rsidRPr="000C0842">
              <w:rPr>
                <w:rFonts w:eastAsia="SimSun" w:hint="eastAsia"/>
                <w:kern w:val="2"/>
                <w:sz w:val="20"/>
                <w:szCs w:val="20"/>
              </w:rPr>
              <w:t>控制害虫、病原体、捕食动物、竞争生物、寄生虫和潜在有害生物；</w:t>
            </w:r>
          </w:p>
          <w:p w14:paraId="3527EB78"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(h) </w:t>
            </w:r>
            <w:r w:rsidRPr="000C0842">
              <w:rPr>
                <w:rFonts w:eastAsia="SimSun" w:hint="eastAsia"/>
                <w:kern w:val="2"/>
                <w:sz w:val="20"/>
                <w:szCs w:val="20"/>
              </w:rPr>
              <w:t>学习（教育、知识获取以及艺术和技术设计的灵感，例如仿生学）；</w:t>
            </w:r>
          </w:p>
          <w:p w14:paraId="57811D0E"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 xml:space="preserve">(i) </w:t>
            </w:r>
            <w:r w:rsidRPr="000C0842">
              <w:rPr>
                <w:rFonts w:eastAsia="SimSun" w:hint="eastAsia"/>
                <w:kern w:val="2"/>
                <w:sz w:val="20"/>
                <w:szCs w:val="20"/>
              </w:rPr>
              <w:t>治疗、放松、娱乐和休闲；</w:t>
            </w:r>
          </w:p>
          <w:p w14:paraId="0F448059" w14:textId="77777777" w:rsidR="00382AC2" w:rsidRPr="000C0842" w:rsidRDefault="00382AC2" w:rsidP="00382AC2">
            <w:pPr>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bCs/>
                <w:kern w:val="2"/>
                <w:sz w:val="20"/>
                <w:szCs w:val="20"/>
                <w:lang w:val="en-GB"/>
              </w:rPr>
              <w:t xml:space="preserve">(j) </w:t>
            </w:r>
            <w:r w:rsidRPr="000C0842">
              <w:rPr>
                <w:rFonts w:eastAsia="SimSun" w:hint="eastAsia"/>
                <w:bCs/>
                <w:kern w:val="2"/>
                <w:sz w:val="20"/>
                <w:szCs w:val="20"/>
              </w:rPr>
              <w:t>内在的相互关联和支持性认同（即</w:t>
            </w:r>
            <w:r w:rsidRPr="000C0842">
              <w:rPr>
                <w:rFonts w:eastAsia="SimSun" w:hint="eastAsia"/>
                <w:bCs/>
                <w:kern w:val="2"/>
                <w:sz w:val="20"/>
                <w:szCs w:val="20"/>
                <w:lang w:val="en-GB"/>
              </w:rPr>
              <w:t>宗教、精神、社会凝聚力体验等等的基础以及地方感、目的感、归属感、根植感或亲近感）；</w:t>
            </w:r>
          </w:p>
          <w:p w14:paraId="51FC9D23"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kern w:val="2"/>
                <w:sz w:val="20"/>
                <w:szCs w:val="20"/>
                <w:lang w:val="en-GB"/>
              </w:rPr>
              <w:t xml:space="preserve">(k) </w:t>
            </w:r>
            <w:r w:rsidRPr="000C0842">
              <w:rPr>
                <w:rFonts w:eastAsia="SimSun" w:hint="eastAsia"/>
                <w:kern w:val="2"/>
                <w:sz w:val="20"/>
                <w:szCs w:val="20"/>
              </w:rPr>
              <w:t>提供医药、生物化学和遗传资源。</w:t>
            </w:r>
          </w:p>
        </w:tc>
        <w:tc>
          <w:tcPr>
            <w:tcW w:w="7068" w:type="dxa"/>
            <w:gridSpan w:val="2"/>
          </w:tcPr>
          <w:p w14:paraId="63253A81"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lang w:val="en-GB"/>
              </w:rPr>
              <w:t>在</w:t>
            </w:r>
            <w:r w:rsidRPr="000C0842">
              <w:rPr>
                <w:rFonts w:eastAsia="SimSun" w:hint="eastAsia"/>
                <w:kern w:val="2"/>
                <w:sz w:val="20"/>
                <w:szCs w:val="20"/>
              </w:rPr>
              <w:t>国家政策、战略和方案中考虑生物多样性的贡献，包括在整个生命过程和对于不同社会群体发挥的作用，</w:t>
            </w:r>
            <w:r w:rsidRPr="000C0842">
              <w:rPr>
                <w:rFonts w:eastAsia="SimSun"/>
                <w:kern w:val="2"/>
                <w:sz w:val="20"/>
                <w:szCs w:val="20"/>
              </w:rPr>
              <w:t xml:space="preserve"> </w:t>
            </w:r>
            <w:r w:rsidRPr="000C0842">
              <w:rPr>
                <w:rFonts w:eastAsia="SimSun" w:hint="eastAsia"/>
                <w:kern w:val="2"/>
                <w:sz w:val="20"/>
                <w:szCs w:val="20"/>
              </w:rPr>
              <w:t>认识到大自然对人类健康和福祉的各个方面的积极贡献。</w:t>
            </w:r>
          </w:p>
          <w:p w14:paraId="26424B32"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kern w:val="2"/>
                <w:sz w:val="20"/>
                <w:szCs w:val="20"/>
              </w:rPr>
              <w:t>采取措施解决生物多样性丧失对健康，包括心理健康的不利影响，例如以下措施：</w:t>
            </w:r>
          </w:p>
          <w:p w14:paraId="584B78F5" w14:textId="77777777" w:rsidR="00382AC2" w:rsidRPr="000C0842" w:rsidRDefault="00382AC2" w:rsidP="00382AC2">
            <w:pPr>
              <w:tabs>
                <w:tab w:val="clear" w:pos="567"/>
                <w:tab w:val="clear" w:pos="1134"/>
                <w:tab w:val="clear" w:pos="1701"/>
                <w:tab w:val="clear" w:pos="2268"/>
              </w:tabs>
              <w:spacing w:before="40" w:after="40"/>
              <w:ind w:firstLine="188"/>
              <w:jc w:val="left"/>
              <w:rPr>
                <w:rFonts w:eastAsia="SimSun"/>
                <w:snapToGrid w:val="0"/>
                <w:sz w:val="20"/>
                <w:szCs w:val="20"/>
                <w:lang w:val="en-GB"/>
              </w:rPr>
            </w:pPr>
            <w:r w:rsidRPr="000C0842">
              <w:rPr>
                <w:rFonts w:eastAsia="SimSun"/>
                <w:kern w:val="2"/>
                <w:sz w:val="20"/>
                <w:szCs w:val="20"/>
                <w:lang w:val="en-GB"/>
              </w:rPr>
              <w:t>(a) </w:t>
            </w:r>
            <w:r w:rsidRPr="000C0842">
              <w:rPr>
                <w:rFonts w:eastAsia="SimSun" w:hint="eastAsia"/>
                <w:kern w:val="2"/>
                <w:sz w:val="20"/>
                <w:szCs w:val="20"/>
              </w:rPr>
              <w:t>支持为受到这些影响的个人和社区提供援助的支持性举措；</w:t>
            </w:r>
            <w:r w:rsidRPr="000C0842">
              <w:rPr>
                <w:rFonts w:eastAsia="SimSun"/>
                <w:snapToGrid w:val="0"/>
                <w:sz w:val="20"/>
                <w:szCs w:val="20"/>
                <w:lang w:val="en-GB"/>
              </w:rPr>
              <w:t xml:space="preserve"> </w:t>
            </w:r>
          </w:p>
          <w:p w14:paraId="626C26E5" w14:textId="77777777" w:rsidR="00382AC2" w:rsidRPr="000C0842" w:rsidRDefault="00382AC2" w:rsidP="00382AC2">
            <w:pPr>
              <w:tabs>
                <w:tab w:val="clear" w:pos="567"/>
                <w:tab w:val="clear" w:pos="1134"/>
                <w:tab w:val="clear" w:pos="1701"/>
                <w:tab w:val="clear" w:pos="2268"/>
              </w:tabs>
              <w:spacing w:before="40" w:after="40"/>
              <w:ind w:firstLine="188"/>
              <w:jc w:val="left"/>
              <w:rPr>
                <w:rFonts w:eastAsia="SimSun"/>
                <w:snapToGrid w:val="0"/>
                <w:sz w:val="20"/>
                <w:szCs w:val="20"/>
                <w:lang w:val="en-GB"/>
              </w:rPr>
            </w:pPr>
            <w:r w:rsidRPr="000C0842">
              <w:rPr>
                <w:rFonts w:eastAsia="SimSun"/>
                <w:snapToGrid w:val="0"/>
                <w:sz w:val="20"/>
                <w:szCs w:val="20"/>
                <w:lang w:val="en-GB"/>
              </w:rPr>
              <w:t xml:space="preserve">(b) </w:t>
            </w:r>
            <w:r w:rsidRPr="000C0842">
              <w:rPr>
                <w:rFonts w:eastAsia="SimSun" w:hint="eastAsia"/>
                <w:snapToGrid w:val="0"/>
                <w:sz w:val="20"/>
                <w:szCs w:val="20"/>
              </w:rPr>
              <w:t>支持关于造福未来的环境的积极叙事，特别是在儿童和青少年当中这样做；</w:t>
            </w:r>
          </w:p>
          <w:p w14:paraId="6A1CFB80" w14:textId="77777777" w:rsidR="00382AC2" w:rsidRPr="000C0842" w:rsidRDefault="00382AC2" w:rsidP="00382AC2">
            <w:pPr>
              <w:tabs>
                <w:tab w:val="clear" w:pos="567"/>
                <w:tab w:val="clear" w:pos="1134"/>
                <w:tab w:val="clear" w:pos="1701"/>
                <w:tab w:val="clear" w:pos="2268"/>
              </w:tabs>
              <w:spacing w:before="40" w:after="40"/>
              <w:ind w:firstLine="188"/>
              <w:jc w:val="left"/>
              <w:rPr>
                <w:rFonts w:eastAsia="SimSun"/>
                <w:kern w:val="2"/>
                <w:sz w:val="20"/>
                <w:szCs w:val="20"/>
                <w:lang w:val="en-GB"/>
              </w:rPr>
            </w:pPr>
            <w:r w:rsidRPr="000C0842">
              <w:rPr>
                <w:rFonts w:eastAsia="SimSun"/>
                <w:snapToGrid w:val="0"/>
                <w:sz w:val="20"/>
                <w:szCs w:val="20"/>
                <w:lang w:val="en-GB"/>
              </w:rPr>
              <w:t xml:space="preserve">(c) </w:t>
            </w:r>
            <w:r w:rsidRPr="000C0842">
              <w:rPr>
                <w:rFonts w:eastAsia="SimSun" w:hint="eastAsia"/>
                <w:snapToGrid w:val="0"/>
                <w:sz w:val="20"/>
                <w:szCs w:val="20"/>
              </w:rPr>
              <w:t>承认相关的公共卫生工具，例如自然处方和基于自然的疗法、传统医药和草药产品，让卫生领域参与能力建设，以尽量减少、预防和解决不利影响。</w:t>
            </w:r>
          </w:p>
          <w:p w14:paraId="74E9554F"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lang w:val="en-GB"/>
              </w:rPr>
              <w:t xml:space="preserve">3. </w:t>
            </w:r>
            <w:r w:rsidRPr="000C0842">
              <w:rPr>
                <w:rFonts w:eastAsia="SimSun" w:hint="eastAsia"/>
                <w:kern w:val="2"/>
                <w:sz w:val="20"/>
                <w:szCs w:val="20"/>
              </w:rPr>
              <w:t>采用基于自然的解决方案和</w:t>
            </w:r>
            <w:r w:rsidRPr="000C0842">
              <w:rPr>
                <w:rFonts w:eastAsia="SimSun"/>
                <w:kern w:val="2"/>
                <w:sz w:val="20"/>
                <w:szCs w:val="20"/>
              </w:rPr>
              <w:t>/</w:t>
            </w:r>
            <w:r w:rsidRPr="000C0842">
              <w:rPr>
                <w:rFonts w:eastAsia="SimSun" w:hint="eastAsia"/>
                <w:kern w:val="2"/>
                <w:sz w:val="20"/>
                <w:szCs w:val="20"/>
              </w:rPr>
              <w:t>或基于生态系统的方法和创新方法，实现生物多样性、生态系统完整性和自然系统效益，同时人类健康效益，例如减少灾害风险。</w:t>
            </w:r>
          </w:p>
          <w:p w14:paraId="367AA28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rPr>
              <w:t xml:space="preserve"> </w:t>
            </w:r>
          </w:p>
        </w:tc>
      </w:tr>
      <w:tr w:rsidR="000C0842" w:rsidRPr="000C0842" w14:paraId="5E3BD51A" w14:textId="77777777" w:rsidTr="001F32B3">
        <w:trPr>
          <w:trHeight w:val="449"/>
        </w:trPr>
        <w:tc>
          <w:tcPr>
            <w:tcW w:w="13590" w:type="dxa"/>
            <w:gridSpan w:val="4"/>
          </w:tcPr>
          <w:p w14:paraId="29EF5926"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b/>
                <w:spacing w:val="6"/>
                <w:kern w:val="2"/>
                <w:sz w:val="20"/>
                <w:szCs w:val="20"/>
                <w:lang w:val="en-GB"/>
              </w:rPr>
            </w:pPr>
            <w:r w:rsidRPr="000C0842">
              <w:rPr>
                <w:rFonts w:eastAsia="SimSun" w:hint="eastAsia"/>
                <w:b/>
                <w:spacing w:val="6"/>
                <w:kern w:val="2"/>
                <w:sz w:val="20"/>
                <w:szCs w:val="20"/>
              </w:rPr>
              <w:t>城市地区</w:t>
            </w:r>
          </w:p>
        </w:tc>
      </w:tr>
      <w:tr w:rsidR="000C0842" w:rsidRPr="000C0842" w14:paraId="23B90755" w14:textId="77777777" w:rsidTr="001F32B3">
        <w:trPr>
          <w:trHeight w:val="449"/>
        </w:trPr>
        <w:tc>
          <w:tcPr>
            <w:tcW w:w="2700" w:type="dxa"/>
          </w:tcPr>
          <w:p w14:paraId="386B3F88"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spacing w:val="6"/>
                <w:kern w:val="2"/>
                <w:sz w:val="20"/>
                <w:szCs w:val="20"/>
                <w:lang w:val="en-GB"/>
              </w:rPr>
              <w:t>行动目标</w:t>
            </w:r>
            <w:r w:rsidRPr="000C0842">
              <w:rPr>
                <w:rFonts w:eastAsia="SimSun"/>
                <w:spacing w:val="6"/>
                <w:kern w:val="2"/>
                <w:sz w:val="20"/>
                <w:szCs w:val="20"/>
                <w:lang w:val="en-GB"/>
              </w:rPr>
              <w:t>12</w:t>
            </w:r>
          </w:p>
        </w:tc>
        <w:tc>
          <w:tcPr>
            <w:tcW w:w="3822" w:type="dxa"/>
          </w:tcPr>
          <w:p w14:paraId="05710C44"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rPr>
              <w:t>把生物多样性考虑在内的绿色和蓝色空间以及城市规划可优化生态系统的完整性和连通性，通过各种机制增强身体、心理、精神和情感健康，包括通过改善空气质量、减少热岛效应、增强防洪能力、</w:t>
            </w:r>
            <w:r w:rsidRPr="000C0842">
              <w:rPr>
                <w:rFonts w:eastAsia="SimSun"/>
                <w:kern w:val="2"/>
                <w:sz w:val="20"/>
                <w:szCs w:val="20"/>
              </w:rPr>
              <w:t xml:space="preserve"> </w:t>
            </w:r>
            <w:r w:rsidRPr="000C0842">
              <w:rPr>
                <w:rFonts w:eastAsia="SimSun" w:hint="eastAsia"/>
                <w:kern w:val="2"/>
                <w:sz w:val="20"/>
                <w:szCs w:val="20"/>
              </w:rPr>
              <w:t>提供有益的微生物群，带来文化和心理益处，有助于体育锻炼，并有利于治疗、放松、娱乐和支持性认同以及社区和社会凝聚力活动。</w:t>
            </w:r>
            <w:r w:rsidRPr="000C0842">
              <w:rPr>
                <w:rFonts w:eastAsia="SimSun"/>
                <w:kern w:val="2"/>
                <w:sz w:val="20"/>
                <w:szCs w:val="20"/>
                <w:lang w:val="en-GB"/>
              </w:rPr>
              <w:t xml:space="preserve"> </w:t>
            </w:r>
          </w:p>
        </w:tc>
        <w:tc>
          <w:tcPr>
            <w:tcW w:w="7068" w:type="dxa"/>
            <w:gridSpan w:val="2"/>
          </w:tcPr>
          <w:p w14:paraId="5CF04798"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rPr>
              <w:t>在包容生物多样性的城市规划政策中以及在提供蓝色和绿色空间时考虑对各方面人类健康的益处。</w:t>
            </w:r>
            <w:r w:rsidRPr="000C0842">
              <w:rPr>
                <w:rFonts w:eastAsia="SimSun"/>
                <w:kern w:val="2"/>
                <w:sz w:val="20"/>
                <w:szCs w:val="20"/>
                <w:lang w:val="en-GB"/>
              </w:rPr>
              <w:t xml:space="preserve"> </w:t>
            </w:r>
          </w:p>
          <w:p w14:paraId="08F78995" w14:textId="77777777" w:rsidR="00382AC2" w:rsidRPr="000C0842" w:rsidRDefault="00382AC2" w:rsidP="00382AC2">
            <w:pPr>
              <w:tabs>
                <w:tab w:val="clear" w:pos="567"/>
                <w:tab w:val="clear" w:pos="1134"/>
                <w:tab w:val="clear" w:pos="1701"/>
                <w:tab w:val="clear" w:pos="2268"/>
              </w:tabs>
              <w:spacing w:before="40" w:after="40"/>
              <w:ind w:left="-20" w:right="-2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kern w:val="2"/>
                <w:sz w:val="20"/>
                <w:szCs w:val="20"/>
              </w:rPr>
              <w:t>增加所有人，尤其是在社会或环境决定因素面前较为脆弱的人，例如儿童、青少年、老年人、残疾人、移民、少数民族或低收入人群享受生物多样性丰富的绿色和蓝色空间的机会和可能性。</w:t>
            </w:r>
          </w:p>
          <w:p w14:paraId="1B65DA2B" w14:textId="77777777" w:rsidR="00382AC2" w:rsidRPr="000C0842" w:rsidRDefault="00382AC2" w:rsidP="00382AC2">
            <w:pPr>
              <w:tabs>
                <w:tab w:val="clear" w:pos="567"/>
                <w:tab w:val="clear" w:pos="1134"/>
                <w:tab w:val="clear" w:pos="1701"/>
                <w:tab w:val="clear" w:pos="2268"/>
              </w:tabs>
              <w:spacing w:after="160"/>
              <w:jc w:val="left"/>
              <w:rPr>
                <w:rFonts w:eastAsia="SimSun"/>
                <w:kern w:val="2"/>
                <w:sz w:val="20"/>
                <w:szCs w:val="20"/>
              </w:rPr>
            </w:pPr>
            <w:r w:rsidRPr="000C0842">
              <w:rPr>
                <w:rFonts w:eastAsia="SimSun"/>
                <w:kern w:val="2"/>
                <w:sz w:val="20"/>
                <w:szCs w:val="20"/>
                <w:lang w:val="en-GB"/>
              </w:rPr>
              <w:t xml:space="preserve">3. </w:t>
            </w:r>
            <w:r w:rsidRPr="000C0842">
              <w:rPr>
                <w:rFonts w:eastAsia="SimSun" w:hint="eastAsia"/>
                <w:kern w:val="2"/>
                <w:sz w:val="20"/>
                <w:szCs w:val="20"/>
              </w:rPr>
              <w:t>与卫生领域合作开发传播工具，宣传增强城市地区的生物多样性、生态完整性和连通性对于所有物种的健康和福祉的重要行；</w:t>
            </w:r>
            <w:r w:rsidRPr="000C0842">
              <w:rPr>
                <w:rFonts w:eastAsia="SimSun"/>
                <w:kern w:val="2"/>
                <w:sz w:val="20"/>
                <w:szCs w:val="20"/>
              </w:rPr>
              <w:t xml:space="preserve"> </w:t>
            </w:r>
            <w:r w:rsidRPr="000C0842">
              <w:rPr>
                <w:rFonts w:eastAsia="SimSun" w:hint="eastAsia"/>
                <w:kern w:val="2"/>
                <w:sz w:val="20"/>
                <w:szCs w:val="20"/>
              </w:rPr>
              <w:t>采取措施向各部门、所有卫生部门、学校和社区组织传播这些工具。</w:t>
            </w:r>
          </w:p>
          <w:p w14:paraId="2D6F7093" w14:textId="77777777" w:rsidR="00382AC2" w:rsidRPr="000C0842" w:rsidRDefault="00382AC2" w:rsidP="00382AC2">
            <w:pPr>
              <w:tabs>
                <w:tab w:val="clear" w:pos="567"/>
                <w:tab w:val="clear" w:pos="1134"/>
                <w:tab w:val="clear" w:pos="1701"/>
                <w:tab w:val="clear" w:pos="2268"/>
              </w:tabs>
              <w:spacing w:after="160"/>
              <w:jc w:val="left"/>
              <w:rPr>
                <w:rFonts w:eastAsia="SimSun"/>
                <w:kern w:val="2"/>
                <w:sz w:val="20"/>
                <w:szCs w:val="20"/>
                <w:lang w:val="en-GB"/>
              </w:rPr>
            </w:pPr>
            <w:r w:rsidRPr="000C0842">
              <w:rPr>
                <w:rFonts w:eastAsia="SimSun"/>
                <w:kern w:val="2"/>
                <w:sz w:val="20"/>
                <w:szCs w:val="20"/>
              </w:rPr>
              <w:t xml:space="preserve">4. </w:t>
            </w:r>
            <w:r w:rsidRPr="000C0842">
              <w:rPr>
                <w:rFonts w:eastAsia="SimSun" w:hint="eastAsia"/>
                <w:kern w:val="2"/>
                <w:sz w:val="20"/>
                <w:szCs w:val="20"/>
                <w:lang w:val="en-GB"/>
              </w:rPr>
              <w:t>改进绿色和蓝色基础设施和连通性，促进生物多样性并优化生态系统服务，特别是那些与城市地区健康高度相关的服务，例如消除空气污染；吸收声污染；避免径流、土壤侵蚀和使用引发过敏的植物；提供接触自然和体育锻炼的空间等等。</w:t>
            </w:r>
            <w:r w:rsidRPr="000C0842">
              <w:rPr>
                <w:rFonts w:eastAsia="SimSun"/>
                <w:kern w:val="2"/>
                <w:sz w:val="20"/>
                <w:szCs w:val="20"/>
                <w:lang w:val="en-GB"/>
              </w:rPr>
              <w:t xml:space="preserve"> </w:t>
            </w:r>
          </w:p>
          <w:p w14:paraId="273E7FC9" w14:textId="77777777" w:rsidR="00382AC2" w:rsidRPr="000C0842" w:rsidRDefault="00382AC2" w:rsidP="00382AC2">
            <w:pPr>
              <w:tabs>
                <w:tab w:val="clear" w:pos="567"/>
                <w:tab w:val="clear" w:pos="1134"/>
                <w:tab w:val="clear" w:pos="1701"/>
                <w:tab w:val="clear" w:pos="2268"/>
              </w:tabs>
              <w:spacing w:after="160"/>
              <w:jc w:val="left"/>
              <w:rPr>
                <w:rFonts w:eastAsia="SimSun"/>
                <w:kern w:val="2"/>
                <w:sz w:val="20"/>
                <w:szCs w:val="20"/>
                <w:lang w:val="en-GB"/>
              </w:rPr>
            </w:pPr>
            <w:r w:rsidRPr="000C0842">
              <w:rPr>
                <w:rFonts w:eastAsia="SimSun"/>
                <w:kern w:val="2"/>
                <w:sz w:val="20"/>
                <w:szCs w:val="20"/>
                <w:lang w:val="en-GB"/>
              </w:rPr>
              <w:t xml:space="preserve">5. </w:t>
            </w:r>
            <w:r w:rsidRPr="000C0842">
              <w:rPr>
                <w:rFonts w:eastAsia="SimSun" w:hint="eastAsia"/>
                <w:kern w:val="2"/>
                <w:sz w:val="20"/>
                <w:szCs w:val="20"/>
                <w:lang w:val="en-GB"/>
              </w:rPr>
              <w:t>促进自然在康复、放松、娱乐和休闲方面对人类的贡献，特别是在城市和人口稠密地区的这类贡献。</w:t>
            </w:r>
          </w:p>
        </w:tc>
      </w:tr>
      <w:tr w:rsidR="000C0842" w:rsidRPr="000C0842" w14:paraId="19838292" w14:textId="77777777" w:rsidTr="001F32B3">
        <w:tc>
          <w:tcPr>
            <w:tcW w:w="13590" w:type="dxa"/>
            <w:gridSpan w:val="4"/>
          </w:tcPr>
          <w:p w14:paraId="0C5AFC08"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b/>
                <w:bCs/>
                <w:kern w:val="2"/>
                <w:sz w:val="20"/>
                <w:szCs w:val="20"/>
              </w:rPr>
              <w:t>获取和惠益分享</w:t>
            </w:r>
          </w:p>
        </w:tc>
      </w:tr>
      <w:tr w:rsidR="000C0842" w:rsidRPr="000C0842" w14:paraId="5504F52D" w14:textId="77777777" w:rsidTr="001F32B3">
        <w:tc>
          <w:tcPr>
            <w:tcW w:w="2700" w:type="dxa"/>
          </w:tcPr>
          <w:p w14:paraId="6534CF56" w14:textId="77777777" w:rsidR="00382AC2" w:rsidRPr="000C0842" w:rsidRDefault="00382AC2" w:rsidP="00382AC2">
            <w:pPr>
              <w:tabs>
                <w:tab w:val="clear" w:pos="567"/>
                <w:tab w:val="clear" w:pos="1134"/>
                <w:tab w:val="clear" w:pos="1701"/>
                <w:tab w:val="clear" w:pos="2268"/>
              </w:tabs>
              <w:spacing w:before="120" w:after="40"/>
              <w:jc w:val="left"/>
              <w:rPr>
                <w:rFonts w:eastAsia="SimSun"/>
                <w:kern w:val="2"/>
                <w:sz w:val="20"/>
                <w:szCs w:val="20"/>
                <w:lang w:val="en-GB"/>
              </w:rPr>
            </w:pPr>
            <w:r w:rsidRPr="000C0842">
              <w:rPr>
                <w:rFonts w:eastAsia="SimSun" w:hint="eastAsia"/>
                <w:kern w:val="2"/>
                <w:sz w:val="20"/>
                <w:szCs w:val="20"/>
                <w:lang w:val="en-GB"/>
              </w:rPr>
              <w:t>行动目标</w:t>
            </w:r>
            <w:r w:rsidRPr="000C0842">
              <w:rPr>
                <w:rFonts w:eastAsia="SimSun"/>
                <w:kern w:val="2"/>
                <w:sz w:val="20"/>
                <w:szCs w:val="20"/>
                <w:lang w:val="en-GB"/>
              </w:rPr>
              <w:t>13</w:t>
            </w:r>
          </w:p>
        </w:tc>
        <w:tc>
          <w:tcPr>
            <w:tcW w:w="3822" w:type="dxa"/>
          </w:tcPr>
          <w:p w14:paraId="36030E34"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rPr>
              <w:t>获取遗传资源以及公正公平地分享其利用所产生的惠益对于健康、卫生实践和有效的卫生系统至关重要。</w:t>
            </w:r>
            <w:r w:rsidRPr="000C0842">
              <w:rPr>
                <w:rFonts w:eastAsia="SimSun"/>
                <w:kern w:val="2"/>
                <w:sz w:val="20"/>
                <w:szCs w:val="20"/>
              </w:rPr>
              <w:t xml:space="preserve"> </w:t>
            </w:r>
            <w:r w:rsidRPr="000C0842">
              <w:rPr>
                <w:rFonts w:eastAsia="SimSun" w:hint="eastAsia"/>
                <w:kern w:val="2"/>
                <w:sz w:val="20"/>
                <w:szCs w:val="20"/>
              </w:rPr>
              <w:t>疫苗和治疗方法的开发依赖获取在自然界发现的生物体、分子和基因的多样性。许多重要的疗法都源自土著人民和地方社区的知识系统和传统医学实践。</w:t>
            </w:r>
          </w:p>
        </w:tc>
        <w:tc>
          <w:tcPr>
            <w:tcW w:w="7068" w:type="dxa"/>
            <w:gridSpan w:val="2"/>
          </w:tcPr>
          <w:p w14:paraId="2E44B350"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kern w:val="2"/>
                <w:sz w:val="20"/>
                <w:szCs w:val="20"/>
                <w:lang w:val="en-GB"/>
              </w:rPr>
              <w:t xml:space="preserve">1. </w:t>
            </w:r>
            <w:r w:rsidRPr="000C0842">
              <w:rPr>
                <w:rFonts w:eastAsia="SimSun" w:hint="eastAsia"/>
                <w:kern w:val="2"/>
                <w:sz w:val="20"/>
                <w:szCs w:val="20"/>
              </w:rPr>
              <w:t>认识到遗传资源、遗传资源数字序列信息以及与遗传资源相关的传统知识在医疗产品和服务的研究和开发中发挥的作用，以及在这方面公正公平分享其利用所产生惠益的重要性</w:t>
            </w:r>
            <w:r w:rsidRPr="000C0842">
              <w:rPr>
                <w:rFonts w:eastAsia="SimSun"/>
                <w:kern w:val="2"/>
                <w:sz w:val="20"/>
                <w:szCs w:val="20"/>
                <w:vertAlign w:val="superscript"/>
              </w:rPr>
              <w:footnoteReference w:id="331"/>
            </w:r>
            <w:r w:rsidRPr="000C0842">
              <w:rPr>
                <w:rFonts w:eastAsia="SimSun" w:hint="eastAsia"/>
                <w:kern w:val="2"/>
                <w:sz w:val="20"/>
                <w:szCs w:val="20"/>
              </w:rPr>
              <w:t>。</w:t>
            </w:r>
          </w:p>
          <w:p w14:paraId="1C9FD669"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rPr>
              <w:t xml:space="preserve">2. </w:t>
            </w:r>
            <w:r w:rsidRPr="000C0842">
              <w:rPr>
                <w:rFonts w:eastAsia="SimSun" w:hint="eastAsia"/>
                <w:kern w:val="2"/>
                <w:sz w:val="20"/>
                <w:szCs w:val="20"/>
              </w:rPr>
              <w:t>认识到传统医学在保护和可持续利用生物多样性方面的作用。</w:t>
            </w:r>
          </w:p>
          <w:p w14:paraId="3AF14586" w14:textId="77777777" w:rsidR="00382AC2" w:rsidRPr="000C0842" w:rsidRDefault="00382AC2" w:rsidP="00382AC2">
            <w:pPr>
              <w:tabs>
                <w:tab w:val="clear" w:pos="567"/>
                <w:tab w:val="clear" w:pos="1134"/>
                <w:tab w:val="clear" w:pos="1701"/>
                <w:tab w:val="clear" w:pos="2268"/>
              </w:tabs>
              <w:spacing w:before="40" w:after="40"/>
              <w:jc w:val="left"/>
              <w:rPr>
                <w:rFonts w:eastAsia="SimSun"/>
                <w:snapToGrid w:val="0"/>
                <w:sz w:val="20"/>
                <w:szCs w:val="20"/>
                <w:lang w:val="en-GB"/>
              </w:rPr>
            </w:pPr>
            <w:r w:rsidRPr="000C0842">
              <w:rPr>
                <w:rFonts w:eastAsia="SimSun"/>
                <w:snapToGrid w:val="0"/>
                <w:sz w:val="20"/>
                <w:szCs w:val="20"/>
                <w:lang w:val="en-GB"/>
              </w:rPr>
              <w:t xml:space="preserve">3. </w:t>
            </w:r>
            <w:r w:rsidRPr="000C0842">
              <w:rPr>
                <w:rFonts w:eastAsia="SimSun" w:hint="eastAsia"/>
                <w:snapToGrid w:val="0"/>
                <w:sz w:val="20"/>
                <w:szCs w:val="20"/>
                <w:lang w:val="en-GB"/>
              </w:rPr>
              <w:t>酌情在各级采取有效的法律、政策、行政和能力建设措施，确保以公正公平的方式分享利用遗传资源、遗传资源数字序列信息、与遗传资源相关的传统知识所产生的与生物多样性和健康有关的惠益，</w:t>
            </w:r>
            <w:r w:rsidRPr="000C0842">
              <w:rPr>
                <w:rFonts w:eastAsia="SimSun"/>
                <w:sz w:val="20"/>
                <w:szCs w:val="20"/>
              </w:rPr>
              <w:t>并在适用的情况下，促进遵守《关于获取遗传资源和公正和公平分享其利用所产生惠益的名古屋议定</w:t>
            </w:r>
            <w:r w:rsidRPr="000C0842">
              <w:rPr>
                <w:rFonts w:ascii="SimSun" w:eastAsia="SimSun" w:hAnsi="SimSun" w:cs="SimSun" w:hint="eastAsia"/>
                <w:sz w:val="20"/>
                <w:szCs w:val="20"/>
              </w:rPr>
              <w:t>书</w:t>
            </w:r>
            <w:r w:rsidRPr="000C0842">
              <w:rPr>
                <w:rFonts w:eastAsia="SimSun"/>
                <w:sz w:val="20"/>
                <w:szCs w:val="20"/>
              </w:rPr>
              <w:t>》</w:t>
            </w:r>
            <w:r w:rsidRPr="000C0842">
              <w:rPr>
                <w:rFonts w:eastAsia="SimSun"/>
                <w:sz w:val="20"/>
                <w:szCs w:val="20"/>
                <w:vertAlign w:val="superscript"/>
              </w:rPr>
              <w:footnoteReference w:id="332"/>
            </w:r>
            <w:r w:rsidRPr="000C0842">
              <w:rPr>
                <w:rFonts w:eastAsia="SimSun"/>
                <w:sz w:val="20"/>
                <w:szCs w:val="20"/>
              </w:rPr>
              <w:t>和其他</w:t>
            </w:r>
            <w:r w:rsidRPr="000C0842">
              <w:rPr>
                <w:rFonts w:eastAsia="SimSun" w:hint="eastAsia"/>
                <w:sz w:val="20"/>
                <w:szCs w:val="20"/>
              </w:rPr>
              <w:t>适用的</w:t>
            </w:r>
            <w:r w:rsidRPr="000C0842">
              <w:rPr>
                <w:rFonts w:eastAsia="SimSun"/>
                <w:sz w:val="20"/>
                <w:szCs w:val="20"/>
              </w:rPr>
              <w:t>获取和惠益分享国际协定</w:t>
            </w:r>
            <w:r w:rsidRPr="000C0842">
              <w:rPr>
                <w:rFonts w:eastAsia="SimSun" w:hint="eastAsia"/>
                <w:snapToGrid w:val="0"/>
                <w:sz w:val="20"/>
                <w:szCs w:val="20"/>
                <w:lang w:val="en-GB"/>
              </w:rPr>
              <w:t>。</w:t>
            </w:r>
          </w:p>
        </w:tc>
      </w:tr>
      <w:tr w:rsidR="000C0842" w:rsidRPr="000C0842" w14:paraId="12AC4864" w14:textId="77777777" w:rsidTr="001F32B3">
        <w:tc>
          <w:tcPr>
            <w:tcW w:w="13590" w:type="dxa"/>
            <w:gridSpan w:val="4"/>
          </w:tcPr>
          <w:p w14:paraId="3A3EB4D6" w14:textId="77777777" w:rsidR="00382AC2" w:rsidRPr="000C0842" w:rsidRDefault="00382AC2" w:rsidP="00382AC2">
            <w:pPr>
              <w:keepLines/>
              <w:tabs>
                <w:tab w:val="clear" w:pos="567"/>
                <w:tab w:val="clear" w:pos="1134"/>
                <w:tab w:val="clear" w:pos="1701"/>
                <w:tab w:val="clear" w:pos="2268"/>
              </w:tabs>
              <w:spacing w:before="40" w:after="40"/>
              <w:jc w:val="left"/>
              <w:rPr>
                <w:rFonts w:eastAsia="SimSun"/>
                <w:b/>
                <w:bCs/>
                <w:kern w:val="2"/>
                <w:sz w:val="20"/>
                <w:szCs w:val="20"/>
                <w:lang w:val="en-GB"/>
              </w:rPr>
            </w:pPr>
            <w:r w:rsidRPr="000C0842">
              <w:rPr>
                <w:rFonts w:eastAsia="SimSun" w:hint="eastAsia"/>
                <w:b/>
                <w:bCs/>
                <w:kern w:val="2"/>
                <w:sz w:val="20"/>
                <w:szCs w:val="20"/>
              </w:rPr>
              <w:t>生物安全和生物技术</w:t>
            </w:r>
          </w:p>
        </w:tc>
      </w:tr>
      <w:tr w:rsidR="000C0842" w:rsidRPr="000C0842" w14:paraId="5932097C" w14:textId="77777777" w:rsidTr="001F32B3">
        <w:tc>
          <w:tcPr>
            <w:tcW w:w="2700" w:type="dxa"/>
          </w:tcPr>
          <w:p w14:paraId="7661E537" w14:textId="77777777" w:rsidR="00382AC2" w:rsidRPr="000C0842" w:rsidRDefault="00382AC2" w:rsidP="00382AC2">
            <w:pPr>
              <w:tabs>
                <w:tab w:val="clear" w:pos="567"/>
                <w:tab w:val="clear" w:pos="1134"/>
                <w:tab w:val="clear" w:pos="1701"/>
                <w:tab w:val="clear" w:pos="2268"/>
              </w:tabs>
              <w:spacing w:before="40" w:after="40"/>
              <w:jc w:val="left"/>
              <w:rPr>
                <w:bCs/>
                <w:kern w:val="2"/>
                <w:sz w:val="20"/>
                <w:szCs w:val="20"/>
                <w:lang w:val="en-GB"/>
              </w:rPr>
            </w:pPr>
            <w:r w:rsidRPr="000C0842">
              <w:rPr>
                <w:rFonts w:eastAsia="SimSun" w:hint="eastAsia"/>
                <w:sz w:val="20"/>
                <w:szCs w:val="20"/>
                <w:shd w:val="clear" w:color="auto" w:fill="FFFFFF"/>
                <w:lang w:val="en-GB"/>
              </w:rPr>
              <w:t>行动目标</w:t>
            </w:r>
            <w:r w:rsidRPr="000C0842">
              <w:rPr>
                <w:bCs/>
                <w:kern w:val="2"/>
                <w:sz w:val="20"/>
                <w:szCs w:val="20"/>
                <w:lang w:val="en-GB"/>
              </w:rPr>
              <w:t>17</w:t>
            </w:r>
          </w:p>
          <w:p w14:paraId="24A3545C" w14:textId="77777777" w:rsidR="00382AC2" w:rsidRPr="000C0842" w:rsidRDefault="00382AC2" w:rsidP="00382AC2">
            <w:pPr>
              <w:tabs>
                <w:tab w:val="clear" w:pos="567"/>
                <w:tab w:val="clear" w:pos="1134"/>
                <w:tab w:val="clear" w:pos="1701"/>
                <w:tab w:val="clear" w:pos="2268"/>
              </w:tabs>
              <w:spacing w:before="40" w:after="40"/>
              <w:jc w:val="left"/>
              <w:rPr>
                <w:rFonts w:eastAsia="SimSun"/>
                <w:b/>
                <w:bCs/>
                <w:kern w:val="2"/>
                <w:sz w:val="20"/>
                <w:szCs w:val="20"/>
                <w:lang w:val="en-GB"/>
              </w:rPr>
            </w:pPr>
          </w:p>
        </w:tc>
        <w:tc>
          <w:tcPr>
            <w:tcW w:w="3870" w:type="dxa"/>
            <w:gridSpan w:val="2"/>
          </w:tcPr>
          <w:p w14:paraId="28E81E1F" w14:textId="77777777" w:rsidR="00382AC2" w:rsidRPr="000C0842" w:rsidRDefault="00382AC2" w:rsidP="00382AC2">
            <w:pPr>
              <w:tabs>
                <w:tab w:val="clear" w:pos="567"/>
                <w:tab w:val="clear" w:pos="1134"/>
                <w:tab w:val="clear" w:pos="1701"/>
                <w:tab w:val="clear" w:pos="2268"/>
              </w:tabs>
              <w:spacing w:before="40" w:after="40"/>
              <w:jc w:val="left"/>
              <w:rPr>
                <w:rFonts w:eastAsia="SimSun"/>
                <w:b/>
                <w:bCs/>
                <w:kern w:val="2"/>
                <w:sz w:val="20"/>
                <w:szCs w:val="20"/>
                <w:lang w:val="en-GB"/>
              </w:rPr>
            </w:pPr>
            <w:r w:rsidRPr="000C0842">
              <w:rPr>
                <w:rFonts w:eastAsia="SimSun" w:hint="eastAsia"/>
                <w:sz w:val="20"/>
                <w:szCs w:val="20"/>
                <w:shd w:val="clear" w:color="auto" w:fill="FFFFFF"/>
                <w:lang w:val="en-GB"/>
              </w:rPr>
              <w:t>生物技术产生的改性活生物体的安全使用，包括通过生物安全措施来调节、管理和控制对生物多样性和人类健康的潜在不利影响，可在为应对生物多样性与健康挑战提供工具和解决方案方面发挥重要作用。</w:t>
            </w:r>
          </w:p>
        </w:tc>
        <w:tc>
          <w:tcPr>
            <w:tcW w:w="7020" w:type="dxa"/>
          </w:tcPr>
          <w:p w14:paraId="6BD856C9" w14:textId="77777777" w:rsidR="00382AC2" w:rsidRPr="000C0842" w:rsidRDefault="00382AC2" w:rsidP="00382AC2">
            <w:pPr>
              <w:tabs>
                <w:tab w:val="clear" w:pos="567"/>
                <w:tab w:val="clear" w:pos="1701"/>
                <w:tab w:val="clear" w:pos="2268"/>
              </w:tabs>
              <w:spacing w:before="60" w:after="60"/>
              <w:jc w:val="left"/>
              <w:rPr>
                <w:rFonts w:eastAsia="SimSun"/>
                <w:snapToGrid w:val="0"/>
                <w:sz w:val="20"/>
                <w:szCs w:val="20"/>
                <w:lang w:val="en-GB"/>
              </w:rPr>
            </w:pPr>
            <w:r w:rsidRPr="000C0842">
              <w:rPr>
                <w:rFonts w:eastAsia="SimSun"/>
                <w:snapToGrid w:val="0"/>
                <w:sz w:val="20"/>
                <w:szCs w:val="20"/>
                <w:lang w:val="en-GB"/>
              </w:rPr>
              <w:t xml:space="preserve">1. </w:t>
            </w:r>
            <w:r w:rsidRPr="000C0842">
              <w:rPr>
                <w:rFonts w:eastAsia="SimSun" w:hint="eastAsia"/>
                <w:sz w:val="20"/>
                <w:szCs w:val="20"/>
                <w:shd w:val="clear" w:color="auto" w:fill="FFFFFF"/>
                <w:lang w:val="en-GB"/>
              </w:rPr>
              <w:t>确保有适当的手段来评价、规范、管理和控制生物技术产生的改性活生物体的使用和释放可能对生物多样性的保护和可持续利用产生不利影响的相关风险，同时考虑到对人类健康的风险。</w:t>
            </w:r>
          </w:p>
          <w:p w14:paraId="658660D1"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shd w:val="clear" w:color="auto" w:fill="FFFFFF"/>
                <w:lang w:val="en-GB"/>
              </w:rPr>
            </w:pPr>
            <w:r w:rsidRPr="000C0842">
              <w:rPr>
                <w:rFonts w:eastAsia="SimSun"/>
                <w:sz w:val="20"/>
                <w:szCs w:val="20"/>
                <w:shd w:val="clear" w:color="auto" w:fill="FFFFFF"/>
                <w:lang w:val="en-GB"/>
              </w:rPr>
              <w:t>2.</w:t>
            </w:r>
            <w:r w:rsidRPr="000C0842">
              <w:rPr>
                <w:rFonts w:eastAsia="SimSun"/>
                <w:kern w:val="2"/>
                <w:sz w:val="20"/>
                <w:szCs w:val="20"/>
              </w:rPr>
              <w:t xml:space="preserve">  </w:t>
            </w:r>
            <w:r w:rsidRPr="000C0842">
              <w:rPr>
                <w:rFonts w:eastAsia="SimSun" w:hint="eastAsia"/>
                <w:sz w:val="20"/>
                <w:szCs w:val="20"/>
                <w:shd w:val="clear" w:color="auto" w:fill="FFFFFF"/>
                <w:lang w:val="en-GB"/>
              </w:rPr>
              <w:t>促进分享生物技术发展带来的健康惠益。</w:t>
            </w:r>
            <w:r w:rsidRPr="000C0842">
              <w:rPr>
                <w:rFonts w:eastAsia="SimSun"/>
                <w:sz w:val="20"/>
                <w:szCs w:val="20"/>
                <w:shd w:val="clear" w:color="auto" w:fill="FFFFFF"/>
                <w:lang w:val="en-GB"/>
              </w:rPr>
              <w:t xml:space="preserve"> </w:t>
            </w:r>
          </w:p>
          <w:p w14:paraId="6F3D1F3E"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shd w:val="clear" w:color="auto" w:fill="FFFFFF"/>
                <w:lang w:val="en-GB"/>
              </w:rPr>
            </w:pPr>
            <w:r w:rsidRPr="000C0842">
              <w:rPr>
                <w:rFonts w:eastAsia="SimSun"/>
                <w:sz w:val="20"/>
                <w:szCs w:val="20"/>
                <w:shd w:val="clear" w:color="auto" w:fill="FFFFFF"/>
                <w:lang w:val="en-GB"/>
              </w:rPr>
              <w:t>3.</w:t>
            </w:r>
            <w:r w:rsidRPr="000C0842">
              <w:rPr>
                <w:rFonts w:eastAsia="SimSun"/>
                <w:kern w:val="2"/>
                <w:sz w:val="20"/>
                <w:szCs w:val="20"/>
              </w:rPr>
              <w:t xml:space="preserve">  </w:t>
            </w:r>
            <w:r w:rsidRPr="000C0842">
              <w:rPr>
                <w:rFonts w:eastAsia="SimSun" w:hint="eastAsia"/>
                <w:sz w:val="20"/>
                <w:szCs w:val="20"/>
                <w:shd w:val="clear" w:color="auto" w:fill="FFFFFF"/>
                <w:lang w:val="en-GB"/>
              </w:rPr>
              <w:t>采取一切切实可行的措施，促进发展中国家有效参与与健康有关的生物技术研究活动，包括有能力根据国情为此类研究提供遗传资源的缔约方。</w:t>
            </w:r>
            <w:r w:rsidRPr="000C0842">
              <w:rPr>
                <w:rFonts w:eastAsia="SimSun"/>
                <w:sz w:val="20"/>
                <w:szCs w:val="20"/>
                <w:shd w:val="clear" w:color="auto" w:fill="FFFFFF"/>
                <w:lang w:val="en-GB"/>
              </w:rPr>
              <w:t xml:space="preserve"> </w:t>
            </w:r>
          </w:p>
          <w:p w14:paraId="16E48E41" w14:textId="77777777" w:rsidR="00382AC2" w:rsidRPr="000C0842" w:rsidRDefault="00382AC2" w:rsidP="00382AC2">
            <w:pPr>
              <w:tabs>
                <w:tab w:val="clear" w:pos="567"/>
                <w:tab w:val="clear" w:pos="1134"/>
                <w:tab w:val="clear" w:pos="1701"/>
                <w:tab w:val="clear" w:pos="2268"/>
              </w:tabs>
              <w:spacing w:before="60" w:after="60"/>
              <w:jc w:val="left"/>
              <w:rPr>
                <w:rFonts w:eastAsia="SimSun"/>
                <w:b/>
                <w:bCs/>
                <w:kern w:val="2"/>
                <w:sz w:val="20"/>
                <w:szCs w:val="20"/>
                <w:lang w:val="en-GB"/>
              </w:rPr>
            </w:pPr>
            <w:r w:rsidRPr="000C0842">
              <w:rPr>
                <w:rFonts w:eastAsia="SimSun"/>
                <w:sz w:val="20"/>
                <w:szCs w:val="20"/>
                <w:shd w:val="clear" w:color="auto" w:fill="FFFFFF"/>
                <w:lang w:val="en-GB"/>
              </w:rPr>
              <w:t>4.</w:t>
            </w:r>
            <w:r w:rsidRPr="000C0842">
              <w:rPr>
                <w:rFonts w:eastAsia="SimSun"/>
                <w:kern w:val="2"/>
                <w:sz w:val="20"/>
                <w:szCs w:val="20"/>
              </w:rPr>
              <w:t xml:space="preserve">  </w:t>
            </w:r>
            <w:r w:rsidRPr="000C0842">
              <w:rPr>
                <w:rFonts w:eastAsia="SimSun" w:hint="eastAsia"/>
                <w:sz w:val="20"/>
                <w:szCs w:val="20"/>
                <w:shd w:val="clear" w:color="auto" w:fill="FFFFFF"/>
                <w:lang w:val="en-GB"/>
              </w:rPr>
              <w:t>采取一切切实可行的措施，促进和推动发展中国家根据本国国情，在公正公平的基础上优先获得基于这些缔约方提供的遗传资源的生物技术产生的成果和惠益。</w:t>
            </w:r>
          </w:p>
        </w:tc>
      </w:tr>
      <w:tr w:rsidR="000C0842" w:rsidRPr="000C0842" w14:paraId="534E556F" w14:textId="77777777" w:rsidTr="001F32B3">
        <w:tc>
          <w:tcPr>
            <w:tcW w:w="13590" w:type="dxa"/>
            <w:gridSpan w:val="4"/>
          </w:tcPr>
          <w:p w14:paraId="6FA2CAE3"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b/>
                <w:bCs/>
                <w:kern w:val="2"/>
                <w:sz w:val="20"/>
                <w:szCs w:val="20"/>
                <w:lang w:val="en-GB"/>
              </w:rPr>
            </w:pPr>
            <w:r w:rsidRPr="000C0842">
              <w:rPr>
                <w:rFonts w:eastAsia="SimSun" w:hint="eastAsia"/>
                <w:b/>
                <w:bCs/>
                <w:kern w:val="2"/>
                <w:sz w:val="20"/>
                <w:szCs w:val="20"/>
                <w:lang w:val="en-GB"/>
              </w:rPr>
              <w:t>主流化</w:t>
            </w:r>
          </w:p>
        </w:tc>
      </w:tr>
      <w:tr w:rsidR="000C0842" w:rsidRPr="000C0842" w14:paraId="0DE8A7D7" w14:textId="77777777" w:rsidTr="001F32B3">
        <w:tc>
          <w:tcPr>
            <w:tcW w:w="2700" w:type="dxa"/>
          </w:tcPr>
          <w:p w14:paraId="7F305D9C"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hint="eastAsia"/>
                <w:kern w:val="2"/>
                <w:sz w:val="20"/>
                <w:szCs w:val="20"/>
                <w:lang w:val="en-GB"/>
              </w:rPr>
              <w:t>行动目标</w:t>
            </w:r>
            <w:r w:rsidRPr="000C0842">
              <w:rPr>
                <w:rFonts w:eastAsia="SimSun"/>
                <w:kern w:val="2"/>
                <w:sz w:val="20"/>
                <w:szCs w:val="20"/>
                <w:lang w:val="en-GB"/>
              </w:rPr>
              <w:t>14</w:t>
            </w:r>
            <w:r w:rsidRPr="000C0842">
              <w:rPr>
                <w:rFonts w:eastAsia="SimSun" w:hint="eastAsia"/>
                <w:kern w:val="2"/>
                <w:sz w:val="20"/>
                <w:szCs w:val="20"/>
                <w:lang w:val="en-GB"/>
              </w:rPr>
              <w:t>、</w:t>
            </w:r>
            <w:r w:rsidRPr="000C0842">
              <w:rPr>
                <w:rFonts w:eastAsia="SimSun"/>
                <w:kern w:val="2"/>
                <w:sz w:val="20"/>
                <w:szCs w:val="20"/>
                <w:lang w:val="en-GB"/>
              </w:rPr>
              <w:t>15</w:t>
            </w:r>
            <w:r w:rsidRPr="000C0842">
              <w:rPr>
                <w:rFonts w:eastAsia="SimSun" w:hint="eastAsia"/>
                <w:kern w:val="2"/>
                <w:sz w:val="20"/>
                <w:szCs w:val="20"/>
                <w:lang w:val="en-GB"/>
              </w:rPr>
              <w:t>和</w:t>
            </w:r>
            <w:r w:rsidRPr="000C0842">
              <w:rPr>
                <w:rFonts w:eastAsia="SimSun"/>
                <w:kern w:val="2"/>
                <w:sz w:val="20"/>
                <w:szCs w:val="20"/>
                <w:lang w:val="en-GB"/>
              </w:rPr>
              <w:t>18</w:t>
            </w:r>
          </w:p>
          <w:p w14:paraId="7D842526"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p>
        </w:tc>
        <w:tc>
          <w:tcPr>
            <w:tcW w:w="3822" w:type="dxa"/>
          </w:tcPr>
          <w:p w14:paraId="51923032"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hint="eastAsia"/>
                <w:kern w:val="2"/>
                <w:sz w:val="20"/>
                <w:szCs w:val="20"/>
              </w:rPr>
              <w:t>在所有领域的决策中考虑生物多样性与健康的相互关联，可提高对生物多样性惠益的认识，从而促进更公平的卫生系统。</w:t>
            </w:r>
          </w:p>
          <w:p w14:paraId="704FBEB6"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p>
          <w:p w14:paraId="3E543012"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 </w:t>
            </w:r>
          </w:p>
        </w:tc>
        <w:tc>
          <w:tcPr>
            <w:tcW w:w="7068" w:type="dxa"/>
            <w:gridSpan w:val="2"/>
          </w:tcPr>
          <w:p w14:paraId="3EC5085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1. </w:t>
            </w:r>
            <w:r w:rsidRPr="000C0842">
              <w:rPr>
                <w:rFonts w:eastAsia="SimSun" w:hint="eastAsia"/>
                <w:kern w:val="2"/>
                <w:sz w:val="20"/>
                <w:szCs w:val="20"/>
              </w:rPr>
              <w:t>通过与企业界积极对话，在商业活动和企业环境社会治理标准</w:t>
            </w:r>
            <w:r w:rsidRPr="000C0842">
              <w:rPr>
                <w:rFonts w:eastAsia="SimSun"/>
                <w:kern w:val="2"/>
                <w:sz w:val="20"/>
                <w:szCs w:val="20"/>
                <w:vertAlign w:val="superscript"/>
              </w:rPr>
              <w:footnoteReference w:id="333"/>
            </w:r>
            <w:r w:rsidRPr="000C0842">
              <w:rPr>
                <w:rFonts w:eastAsia="SimSun" w:hint="eastAsia"/>
                <w:kern w:val="2"/>
                <w:sz w:val="20"/>
                <w:szCs w:val="20"/>
              </w:rPr>
              <w:t>以及对生物多样性的价值和受益者的评估中酌情考虑生物多样性与健康的相互关联。</w:t>
            </w:r>
            <w:r w:rsidRPr="000C0842">
              <w:rPr>
                <w:rFonts w:eastAsia="SimSun"/>
                <w:kern w:val="2"/>
                <w:sz w:val="20"/>
                <w:szCs w:val="20"/>
                <w:lang w:val="en-GB"/>
              </w:rPr>
              <w:t xml:space="preserve"> </w:t>
            </w:r>
          </w:p>
          <w:p w14:paraId="27DED238"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2. </w:t>
            </w:r>
            <w:r w:rsidRPr="000C0842">
              <w:rPr>
                <w:rFonts w:eastAsia="SimSun" w:hint="eastAsia"/>
                <w:kern w:val="2"/>
                <w:sz w:val="20"/>
                <w:szCs w:val="20"/>
              </w:rPr>
              <w:t>在与自然相关的财务披露中纳入生物多样性与健康的相互关联。</w:t>
            </w:r>
          </w:p>
          <w:p w14:paraId="2A33808B"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3. </w:t>
            </w:r>
            <w:r w:rsidRPr="000C0842">
              <w:rPr>
                <w:rFonts w:eastAsia="SimSun" w:hint="eastAsia"/>
                <w:kern w:val="2"/>
                <w:sz w:val="20"/>
                <w:szCs w:val="20"/>
              </w:rPr>
              <w:t>促进保护广泛的生物多样性与健康相互关联的私人和公共投资和激励措施。</w:t>
            </w:r>
          </w:p>
          <w:p w14:paraId="14D711F1"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4. </w:t>
            </w:r>
            <w:r w:rsidRPr="000C0842">
              <w:rPr>
                <w:rFonts w:eastAsia="SimSun" w:hint="eastAsia"/>
                <w:kern w:val="2"/>
                <w:sz w:val="20"/>
                <w:szCs w:val="20"/>
              </w:rPr>
              <w:t>提倡以多种多样的知识和知识体系为基础，在各级和跨学科的教育课程和培训方案中顾及自然的多重健康价值，确保土著人民和地方社区以及卫生部门等的知识持有者和传播者的参与</w:t>
            </w:r>
            <w:r w:rsidRPr="000C0842">
              <w:rPr>
                <w:rFonts w:eastAsia="SimSun"/>
                <w:kern w:val="2"/>
                <w:sz w:val="20"/>
                <w:szCs w:val="20"/>
                <w:vertAlign w:val="superscript"/>
              </w:rPr>
              <w:footnoteReference w:id="334"/>
            </w:r>
            <w:r w:rsidRPr="000C0842">
              <w:rPr>
                <w:rFonts w:eastAsia="SimSun"/>
                <w:kern w:val="2"/>
                <w:sz w:val="20"/>
                <w:szCs w:val="20"/>
                <w:vertAlign w:val="superscript"/>
              </w:rPr>
              <w:t>,</w:t>
            </w:r>
            <w:r w:rsidRPr="000C0842">
              <w:rPr>
                <w:rFonts w:eastAsia="SimSun"/>
                <w:kern w:val="2"/>
                <w:sz w:val="20"/>
                <w:szCs w:val="20"/>
                <w:vertAlign w:val="superscript"/>
              </w:rPr>
              <w:footnoteReference w:id="335"/>
            </w:r>
            <w:r w:rsidRPr="000C0842">
              <w:rPr>
                <w:rFonts w:eastAsia="SimSun" w:hint="eastAsia"/>
                <w:kern w:val="2"/>
                <w:sz w:val="20"/>
                <w:szCs w:val="20"/>
              </w:rPr>
              <w:t>。</w:t>
            </w:r>
          </w:p>
          <w:p w14:paraId="19D7FBE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lang w:val="en-GB"/>
              </w:rPr>
              <w:t xml:space="preserve">5. </w:t>
            </w:r>
            <w:r w:rsidRPr="000C0842">
              <w:rPr>
                <w:rFonts w:eastAsia="SimSun" w:hint="eastAsia"/>
                <w:kern w:val="2"/>
                <w:sz w:val="20"/>
                <w:szCs w:val="20"/>
              </w:rPr>
              <w:t>编制具体部门的信息材料，如概况介绍，将生物多样性与健康的相互关联纳入国家确定的相关部门的主流</w:t>
            </w:r>
            <w:r w:rsidRPr="000C0842">
              <w:rPr>
                <w:rFonts w:eastAsia="Times New Roman"/>
                <w:sz w:val="20"/>
                <w:szCs w:val="20"/>
                <w:vertAlign w:val="superscript"/>
                <w:lang w:val="en-GB"/>
              </w:rPr>
              <w:footnoteReference w:id="336"/>
            </w:r>
            <w:r w:rsidRPr="000C0842">
              <w:rPr>
                <w:rFonts w:eastAsia="SimSun" w:hint="eastAsia"/>
                <w:kern w:val="2"/>
                <w:sz w:val="20"/>
                <w:szCs w:val="20"/>
              </w:rPr>
              <w:t>。</w:t>
            </w:r>
          </w:p>
        </w:tc>
      </w:tr>
      <w:tr w:rsidR="000C0842" w:rsidRPr="000C0842" w14:paraId="6D46E40F" w14:textId="77777777" w:rsidTr="001F32B3">
        <w:tc>
          <w:tcPr>
            <w:tcW w:w="13590" w:type="dxa"/>
            <w:gridSpan w:val="4"/>
          </w:tcPr>
          <w:p w14:paraId="317B966F" w14:textId="77777777" w:rsidR="00382AC2" w:rsidRPr="000C0842" w:rsidRDefault="00382AC2" w:rsidP="00382AC2">
            <w:pPr>
              <w:tabs>
                <w:tab w:val="clear" w:pos="567"/>
                <w:tab w:val="clear" w:pos="1134"/>
                <w:tab w:val="clear" w:pos="1701"/>
                <w:tab w:val="clear" w:pos="2268"/>
              </w:tabs>
              <w:spacing w:before="40" w:after="40"/>
              <w:jc w:val="left"/>
              <w:rPr>
                <w:rFonts w:eastAsia="SimSun"/>
                <w:b/>
                <w:spacing w:val="6"/>
                <w:kern w:val="2"/>
                <w:sz w:val="20"/>
                <w:szCs w:val="20"/>
                <w:shd w:val="clear" w:color="auto" w:fill="FFFFFF"/>
                <w:lang w:val="en-GB"/>
              </w:rPr>
            </w:pPr>
            <w:r w:rsidRPr="000C0842">
              <w:rPr>
                <w:rFonts w:eastAsia="SimSun" w:hint="eastAsia"/>
                <w:b/>
                <w:spacing w:val="6"/>
                <w:kern w:val="2"/>
                <w:sz w:val="20"/>
                <w:szCs w:val="20"/>
                <w:shd w:val="clear" w:color="auto" w:fill="FFFFFF"/>
                <w:lang w:val="en-GB"/>
              </w:rPr>
              <w:t>消费</w:t>
            </w:r>
          </w:p>
        </w:tc>
      </w:tr>
      <w:tr w:rsidR="000C0842" w:rsidRPr="000C0842" w14:paraId="56EA07AA" w14:textId="77777777" w:rsidTr="001F32B3">
        <w:tc>
          <w:tcPr>
            <w:tcW w:w="2700" w:type="dxa"/>
          </w:tcPr>
          <w:p w14:paraId="53A7F514" w14:textId="77777777" w:rsidR="00382AC2" w:rsidRPr="000C0842" w:rsidRDefault="00382AC2" w:rsidP="00382AC2">
            <w:pPr>
              <w:tabs>
                <w:tab w:val="clear" w:pos="567"/>
                <w:tab w:val="clear" w:pos="1134"/>
                <w:tab w:val="clear" w:pos="1701"/>
                <w:tab w:val="clear" w:pos="2268"/>
              </w:tabs>
              <w:spacing w:before="40" w:after="40"/>
              <w:jc w:val="left"/>
              <w:rPr>
                <w:rFonts w:eastAsia="SimSun"/>
                <w:b/>
                <w:bCs/>
                <w:kern w:val="2"/>
                <w:sz w:val="20"/>
                <w:szCs w:val="20"/>
                <w:lang w:val="en-GB"/>
              </w:rPr>
            </w:pPr>
            <w:r w:rsidRPr="000C0842">
              <w:rPr>
                <w:rFonts w:eastAsia="SimSun" w:hint="eastAsia"/>
                <w:spacing w:val="6"/>
                <w:kern w:val="2"/>
                <w:sz w:val="20"/>
                <w:szCs w:val="20"/>
                <w:shd w:val="clear" w:color="auto" w:fill="FFFFFF"/>
                <w:lang w:val="en-GB"/>
              </w:rPr>
              <w:t>行动目标</w:t>
            </w:r>
            <w:r w:rsidRPr="000C0842">
              <w:rPr>
                <w:rFonts w:eastAsia="SimSun"/>
                <w:spacing w:val="6"/>
                <w:kern w:val="2"/>
                <w:sz w:val="20"/>
                <w:szCs w:val="20"/>
                <w:shd w:val="clear" w:color="auto" w:fill="FFFFFF"/>
                <w:lang w:val="en-GB"/>
              </w:rPr>
              <w:t>16</w:t>
            </w:r>
          </w:p>
        </w:tc>
        <w:tc>
          <w:tcPr>
            <w:tcW w:w="3822" w:type="dxa"/>
          </w:tcPr>
          <w:p w14:paraId="6D71F42D" w14:textId="77777777" w:rsidR="00382AC2" w:rsidRPr="000C0842" w:rsidRDefault="00382AC2" w:rsidP="00382AC2">
            <w:pPr>
              <w:tabs>
                <w:tab w:val="clear" w:pos="567"/>
                <w:tab w:val="clear" w:pos="1134"/>
                <w:tab w:val="clear" w:pos="1701"/>
                <w:tab w:val="clear" w:pos="2268"/>
              </w:tabs>
              <w:spacing w:before="60" w:after="60"/>
              <w:jc w:val="left"/>
              <w:rPr>
                <w:rFonts w:eastAsia="SimSun"/>
                <w:bCs/>
                <w:kern w:val="2"/>
                <w:sz w:val="20"/>
                <w:szCs w:val="20"/>
                <w:lang w:val="en-GB"/>
              </w:rPr>
            </w:pPr>
            <w:r w:rsidRPr="000C0842">
              <w:rPr>
                <w:rFonts w:eastAsia="SimSun" w:hint="eastAsia"/>
                <w:kern w:val="2"/>
                <w:sz w:val="20"/>
                <w:szCs w:val="20"/>
              </w:rPr>
              <w:t>过度消费是生物多样性丧失和健康不良的根本驱动因素之一。</w:t>
            </w:r>
            <w:r w:rsidRPr="000C0842">
              <w:rPr>
                <w:rFonts w:eastAsia="SimSun"/>
                <w:kern w:val="2"/>
                <w:sz w:val="20"/>
                <w:szCs w:val="20"/>
              </w:rPr>
              <w:t xml:space="preserve"> </w:t>
            </w:r>
            <w:r w:rsidRPr="000C0842">
              <w:rPr>
                <w:rFonts w:eastAsia="SimSun" w:hint="eastAsia"/>
                <w:kern w:val="2"/>
                <w:sz w:val="20"/>
                <w:szCs w:val="20"/>
              </w:rPr>
              <w:t>通过更公平和更可持续地利用资源，包括通过减少浪费和过度消费，可让所有人都能够生活得好，并与自然和谐相处。</w:t>
            </w:r>
            <w:r w:rsidRPr="000C0842">
              <w:rPr>
                <w:rFonts w:eastAsia="SimSun"/>
                <w:bCs/>
                <w:kern w:val="2"/>
                <w:sz w:val="20"/>
                <w:szCs w:val="20"/>
                <w:lang w:val="en-GB"/>
              </w:rPr>
              <w:t xml:space="preserve"> </w:t>
            </w:r>
          </w:p>
          <w:p w14:paraId="47B1627A"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p>
        </w:tc>
        <w:tc>
          <w:tcPr>
            <w:tcW w:w="7068" w:type="dxa"/>
            <w:gridSpan w:val="2"/>
          </w:tcPr>
          <w:p w14:paraId="7B1BAD2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hint="eastAsia"/>
                <w:kern w:val="2"/>
                <w:sz w:val="20"/>
                <w:szCs w:val="20"/>
                <w:lang w:val="en-GB"/>
              </w:rPr>
              <w:t>通过以下方式</w:t>
            </w:r>
            <w:r w:rsidRPr="000C0842">
              <w:rPr>
                <w:rFonts w:eastAsia="SimSun" w:hint="eastAsia"/>
                <w:kern w:val="2"/>
                <w:sz w:val="20"/>
                <w:szCs w:val="20"/>
              </w:rPr>
              <w:t>促进附带效益：</w:t>
            </w:r>
          </w:p>
          <w:p w14:paraId="6FCF5C6E" w14:textId="77777777" w:rsidR="00382AC2" w:rsidRPr="000C0842" w:rsidRDefault="00382AC2" w:rsidP="00382AC2">
            <w:pPr>
              <w:tabs>
                <w:tab w:val="clear" w:pos="567"/>
                <w:tab w:val="clear" w:pos="1134"/>
                <w:tab w:val="clear" w:pos="1701"/>
                <w:tab w:val="clear" w:pos="2268"/>
              </w:tabs>
              <w:spacing w:before="40" w:after="40"/>
              <w:ind w:firstLine="168"/>
              <w:jc w:val="left"/>
              <w:rPr>
                <w:rFonts w:eastAsia="SimSun"/>
                <w:spacing w:val="-10"/>
                <w:kern w:val="2"/>
                <w:sz w:val="20"/>
                <w:szCs w:val="20"/>
                <w:lang w:val="en-GB"/>
              </w:rPr>
            </w:pPr>
            <w:r w:rsidRPr="000C0842">
              <w:rPr>
                <w:rFonts w:eastAsia="SimSun"/>
                <w:spacing w:val="-10"/>
                <w:kern w:val="2"/>
                <w:sz w:val="20"/>
                <w:szCs w:val="20"/>
                <w:lang w:val="en-GB"/>
              </w:rPr>
              <w:t xml:space="preserve">(a) </w:t>
            </w:r>
            <w:r w:rsidRPr="000C0842">
              <w:rPr>
                <w:rFonts w:eastAsia="SimSun" w:hint="eastAsia"/>
                <w:spacing w:val="-10"/>
                <w:kern w:val="2"/>
                <w:sz w:val="20"/>
                <w:szCs w:val="20"/>
              </w:rPr>
              <w:t>寻找机会提倡健康和可持续的生活方式、可持续的消费模式、减少废物和改变相关行为，从而有利于生物多样性与健康，并限制远程耦合的负面影响</w:t>
            </w:r>
            <w:r w:rsidRPr="000C0842">
              <w:rPr>
                <w:rFonts w:eastAsia="SimSun"/>
                <w:spacing w:val="-10"/>
                <w:kern w:val="2"/>
                <w:sz w:val="20"/>
                <w:szCs w:val="20"/>
                <w:vertAlign w:val="superscript"/>
              </w:rPr>
              <w:footnoteReference w:id="337"/>
            </w:r>
            <w:r w:rsidRPr="000C0842">
              <w:rPr>
                <w:rFonts w:eastAsia="SimSun" w:hint="eastAsia"/>
                <w:spacing w:val="-10"/>
                <w:kern w:val="2"/>
                <w:sz w:val="20"/>
                <w:szCs w:val="20"/>
              </w:rPr>
              <w:t>；</w:t>
            </w:r>
          </w:p>
          <w:p w14:paraId="0119D416" w14:textId="77777777" w:rsidR="00382AC2" w:rsidRPr="000C0842" w:rsidRDefault="00382AC2" w:rsidP="00382AC2">
            <w:pPr>
              <w:tabs>
                <w:tab w:val="clear" w:pos="567"/>
                <w:tab w:val="clear" w:pos="1134"/>
                <w:tab w:val="clear" w:pos="1701"/>
                <w:tab w:val="clear" w:pos="2268"/>
              </w:tabs>
              <w:spacing w:before="40" w:after="40"/>
              <w:ind w:firstLine="188"/>
              <w:jc w:val="left"/>
              <w:rPr>
                <w:rFonts w:eastAsia="SimSun"/>
                <w:kern w:val="2"/>
                <w:sz w:val="20"/>
                <w:szCs w:val="20"/>
                <w:lang w:val="en-GB"/>
              </w:rPr>
            </w:pPr>
            <w:r w:rsidRPr="000C0842">
              <w:rPr>
                <w:rFonts w:eastAsia="SimSun"/>
                <w:kern w:val="2"/>
                <w:sz w:val="20"/>
                <w:szCs w:val="20"/>
                <w:lang w:val="en-GB"/>
              </w:rPr>
              <w:t xml:space="preserve">(b) </w:t>
            </w:r>
            <w:r w:rsidRPr="000C0842">
              <w:rPr>
                <w:rFonts w:eastAsia="SimSun" w:hint="eastAsia"/>
                <w:kern w:val="2"/>
                <w:sz w:val="20"/>
                <w:szCs w:val="20"/>
              </w:rPr>
              <w:t>开发知识工具和教育活动，使消费者更多地认识到和了解过度消费和浪费对生物多样性与健康的负面影响。</w:t>
            </w:r>
          </w:p>
        </w:tc>
      </w:tr>
      <w:tr w:rsidR="000C0842" w:rsidRPr="000C0842" w14:paraId="6610136F" w14:textId="77777777" w:rsidTr="001F32B3">
        <w:tc>
          <w:tcPr>
            <w:tcW w:w="13590" w:type="dxa"/>
            <w:gridSpan w:val="4"/>
          </w:tcPr>
          <w:p w14:paraId="6B34DD06"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hint="eastAsia"/>
                <w:b/>
                <w:kern w:val="2"/>
                <w:sz w:val="20"/>
                <w:szCs w:val="20"/>
                <w:lang w:val="en-GB"/>
              </w:rPr>
              <w:t>执行手段</w:t>
            </w:r>
            <w:r w:rsidRPr="000C0842">
              <w:rPr>
                <w:rFonts w:eastAsia="SimSun"/>
                <w:b/>
                <w:kern w:val="2"/>
                <w:sz w:val="20"/>
                <w:szCs w:val="20"/>
                <w:lang w:val="en-GB"/>
              </w:rPr>
              <w:t xml:space="preserve">   </w:t>
            </w:r>
          </w:p>
        </w:tc>
      </w:tr>
      <w:tr w:rsidR="000C0842" w:rsidRPr="000C0842" w14:paraId="221A3F7B" w14:textId="77777777" w:rsidTr="001F32B3">
        <w:tc>
          <w:tcPr>
            <w:tcW w:w="2700" w:type="dxa"/>
          </w:tcPr>
          <w:p w14:paraId="11C664AA" w14:textId="77777777" w:rsidR="00382AC2" w:rsidRPr="000C0842" w:rsidRDefault="00382AC2" w:rsidP="00382AC2">
            <w:pPr>
              <w:tabs>
                <w:tab w:val="clear" w:pos="567"/>
                <w:tab w:val="clear" w:pos="1134"/>
                <w:tab w:val="clear" w:pos="1701"/>
                <w:tab w:val="clear" w:pos="2268"/>
              </w:tabs>
              <w:spacing w:before="40" w:after="40"/>
              <w:jc w:val="left"/>
              <w:rPr>
                <w:rFonts w:eastAsia="SimSun"/>
                <w:b/>
                <w:spacing w:val="6"/>
                <w:kern w:val="2"/>
                <w:sz w:val="20"/>
                <w:szCs w:val="20"/>
                <w:shd w:val="clear" w:color="auto" w:fill="FFFFFF"/>
                <w:lang w:val="en-GB"/>
              </w:rPr>
            </w:pPr>
            <w:r w:rsidRPr="000C0842">
              <w:rPr>
                <w:rFonts w:eastAsia="SimSun" w:hint="eastAsia"/>
                <w:bCs/>
                <w:kern w:val="2"/>
                <w:sz w:val="20"/>
                <w:szCs w:val="20"/>
                <w:lang w:val="en-GB"/>
              </w:rPr>
              <w:t>行动目标</w:t>
            </w:r>
            <w:r w:rsidRPr="000C0842">
              <w:rPr>
                <w:rFonts w:eastAsia="SimSun"/>
                <w:bCs/>
                <w:kern w:val="2"/>
                <w:sz w:val="20"/>
                <w:szCs w:val="20"/>
                <w:lang w:val="en-GB"/>
              </w:rPr>
              <w:t>19</w:t>
            </w:r>
          </w:p>
        </w:tc>
        <w:tc>
          <w:tcPr>
            <w:tcW w:w="3822" w:type="dxa"/>
          </w:tcPr>
          <w:p w14:paraId="03109159"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hint="eastAsia"/>
                <w:sz w:val="20"/>
                <w:szCs w:val="20"/>
              </w:rPr>
              <w:t>了解投资于阻止生物多样性丧失的战略和活动所产生的附带健康效益有助于调动必要的财务资源。</w:t>
            </w:r>
          </w:p>
        </w:tc>
        <w:tc>
          <w:tcPr>
            <w:tcW w:w="7068" w:type="dxa"/>
            <w:gridSpan w:val="2"/>
          </w:tcPr>
          <w:p w14:paraId="2DA4B0AA"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hint="eastAsia"/>
                <w:kern w:val="2"/>
                <w:sz w:val="20"/>
                <w:szCs w:val="20"/>
              </w:rPr>
              <w:t>增加所有来源的资金，包括对发展中国家的官方发展援助，支持将生物多样性与健康的相互关联纳入相关政策、战略、方案和核算的项目和方案。</w:t>
            </w:r>
          </w:p>
        </w:tc>
      </w:tr>
      <w:tr w:rsidR="000C0842" w:rsidRPr="000C0842" w14:paraId="2236AB8A" w14:textId="77777777" w:rsidTr="001F32B3">
        <w:tc>
          <w:tcPr>
            <w:tcW w:w="2700" w:type="dxa"/>
          </w:tcPr>
          <w:p w14:paraId="6402145E" w14:textId="77777777" w:rsidR="00382AC2" w:rsidRPr="000C0842" w:rsidRDefault="00382AC2" w:rsidP="00382AC2">
            <w:pPr>
              <w:tabs>
                <w:tab w:val="clear" w:pos="567"/>
                <w:tab w:val="clear" w:pos="1134"/>
                <w:tab w:val="clear" w:pos="1701"/>
                <w:tab w:val="clear" w:pos="2268"/>
              </w:tabs>
              <w:spacing w:before="40" w:after="40"/>
              <w:jc w:val="left"/>
              <w:rPr>
                <w:rFonts w:eastAsia="SimSun"/>
                <w:bCs/>
                <w:kern w:val="2"/>
                <w:sz w:val="20"/>
                <w:szCs w:val="20"/>
                <w:lang w:val="en-GB"/>
              </w:rPr>
            </w:pPr>
            <w:r w:rsidRPr="000C0842">
              <w:rPr>
                <w:rFonts w:eastAsia="SimSun" w:hint="eastAsia"/>
                <w:bCs/>
                <w:kern w:val="2"/>
                <w:sz w:val="20"/>
                <w:szCs w:val="20"/>
                <w:lang w:val="en-GB"/>
              </w:rPr>
              <w:t>行动目标</w:t>
            </w:r>
            <w:r w:rsidRPr="000C0842">
              <w:rPr>
                <w:rFonts w:eastAsia="SimSun"/>
                <w:bCs/>
                <w:kern w:val="2"/>
                <w:sz w:val="20"/>
                <w:szCs w:val="20"/>
                <w:lang w:val="en-GB"/>
              </w:rPr>
              <w:t>20</w:t>
            </w:r>
          </w:p>
        </w:tc>
        <w:tc>
          <w:tcPr>
            <w:tcW w:w="3822" w:type="dxa"/>
          </w:tcPr>
          <w:p w14:paraId="3ED44D50"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hint="eastAsia"/>
                <w:kern w:val="2"/>
                <w:sz w:val="20"/>
                <w:szCs w:val="20"/>
              </w:rPr>
              <w:t>改善与生物多样性与健康的相互关联相关的能力建设、科技合作以及技术的获取和转让，包括通过南北、南南和三角伙伴关系，有助于这些相互关联的主流化。</w:t>
            </w:r>
          </w:p>
        </w:tc>
        <w:tc>
          <w:tcPr>
            <w:tcW w:w="7068" w:type="dxa"/>
            <w:gridSpan w:val="2"/>
          </w:tcPr>
          <w:p w14:paraId="71A6D6D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1.  </w:t>
            </w:r>
            <w:r w:rsidRPr="000C0842">
              <w:rPr>
                <w:rFonts w:eastAsia="SimSun" w:hint="eastAsia"/>
                <w:kern w:val="2"/>
                <w:sz w:val="20"/>
                <w:szCs w:val="20"/>
              </w:rPr>
              <w:t>将生物多样性与健康的相互关联纳入能力建设和发展、科技合作和技术转让活动，支持各种卫生专业人员和保健提供者的方案和培训倡议，以提高他们对生物多样性与健康的相互关联的理解，包括传统医学做法和传统知识。</w:t>
            </w:r>
            <w:r w:rsidRPr="000C0842">
              <w:rPr>
                <w:rFonts w:eastAsia="SimSun"/>
                <w:kern w:val="2"/>
                <w:sz w:val="20"/>
                <w:szCs w:val="20"/>
              </w:rPr>
              <w:t xml:space="preserve"> </w:t>
            </w:r>
          </w:p>
          <w:p w14:paraId="288DF690"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2.  </w:t>
            </w:r>
            <w:r w:rsidRPr="000C0842">
              <w:rPr>
                <w:rFonts w:eastAsia="SimSun" w:hint="eastAsia"/>
                <w:kern w:val="2"/>
                <w:sz w:val="20"/>
                <w:szCs w:val="20"/>
              </w:rPr>
              <w:t>根据《公约》条款，向缔约方特别是发展中国家提供和便利其获取和转让与保护和可持续利用生物多样性相关的技术，将生物多样性与健康的相互关联纳入相关政策和举措。</w:t>
            </w:r>
            <w:r w:rsidRPr="000C0842">
              <w:rPr>
                <w:rFonts w:eastAsia="SimSun"/>
                <w:kern w:val="2"/>
                <w:sz w:val="20"/>
                <w:szCs w:val="20"/>
              </w:rPr>
              <w:t xml:space="preserve"> </w:t>
            </w:r>
          </w:p>
          <w:p w14:paraId="6938CC26"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3.  </w:t>
            </w:r>
            <w:r w:rsidRPr="000C0842">
              <w:rPr>
                <w:rFonts w:eastAsia="SimSun" w:hint="eastAsia"/>
                <w:spacing w:val="-10"/>
                <w:kern w:val="2"/>
                <w:sz w:val="20"/>
                <w:szCs w:val="20"/>
              </w:rPr>
              <w:t>根据《公约》条款，酌情采取法律、行政或政策措施，确保私营部门为联合开发和转让技术提供便利，将生物多样性与健康的相互关联纳入相关政策和倡议。</w:t>
            </w:r>
          </w:p>
          <w:p w14:paraId="42FCC5D7"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4.  </w:t>
            </w:r>
            <w:r w:rsidRPr="000C0842">
              <w:rPr>
                <w:rFonts w:eastAsia="SimSun" w:hint="eastAsia"/>
                <w:kern w:val="2"/>
                <w:sz w:val="20"/>
                <w:szCs w:val="20"/>
              </w:rPr>
              <w:t>促进交流来自所有公开来源的与保护和可持续利用生物多样性以及将生物多样性与健康的相互关联纳入相关政策和举措有关的信息，同时考虑到发展中国家的特殊需要。</w:t>
            </w:r>
            <w:r w:rsidRPr="000C0842">
              <w:rPr>
                <w:rFonts w:eastAsia="SimSun"/>
                <w:kern w:val="2"/>
                <w:sz w:val="20"/>
                <w:szCs w:val="20"/>
              </w:rPr>
              <w:t xml:space="preserve"> </w:t>
            </w:r>
          </w:p>
          <w:p w14:paraId="763EA27E"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5.  </w:t>
            </w:r>
            <w:r w:rsidRPr="000C0842">
              <w:rPr>
                <w:rFonts w:eastAsia="SimSun" w:hint="eastAsia"/>
                <w:kern w:val="2"/>
                <w:sz w:val="20"/>
                <w:szCs w:val="20"/>
              </w:rPr>
              <w:t>除其他外，通过制定和执行国家政策，促进与其他缔约方特别是发展中国家在执行本《全球行动计划》方面的科技合作。在促进这种合作时，应特别注意通过人力资源开发和机构建设来发展和加强国家能力。</w:t>
            </w:r>
          </w:p>
          <w:p w14:paraId="5BECB05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rPr>
              <w:t xml:space="preserve">6.  </w:t>
            </w:r>
            <w:r w:rsidRPr="000C0842">
              <w:rPr>
                <w:rFonts w:eastAsia="SimSun" w:hint="eastAsia"/>
                <w:kern w:val="2"/>
                <w:sz w:val="20"/>
                <w:szCs w:val="20"/>
              </w:rPr>
              <w:t>支持记载传统医药做法的努力，特别是土著人民和地方社区使用的传统医药做法，但要获得其自由、事先和知情同意，并承认和尊重他们对其传统知识的权利。</w:t>
            </w:r>
          </w:p>
        </w:tc>
      </w:tr>
      <w:tr w:rsidR="000C0842" w:rsidRPr="000C0842" w14:paraId="3C81A80E" w14:textId="77777777" w:rsidTr="001F32B3">
        <w:tc>
          <w:tcPr>
            <w:tcW w:w="13590" w:type="dxa"/>
            <w:gridSpan w:val="4"/>
          </w:tcPr>
          <w:p w14:paraId="265F991D" w14:textId="77777777" w:rsidR="00382AC2" w:rsidRPr="000C0842" w:rsidRDefault="00382AC2" w:rsidP="00382AC2">
            <w:pPr>
              <w:keepNext/>
              <w:tabs>
                <w:tab w:val="clear" w:pos="567"/>
                <w:tab w:val="clear" w:pos="1134"/>
                <w:tab w:val="clear" w:pos="1701"/>
                <w:tab w:val="clear" w:pos="2268"/>
              </w:tabs>
              <w:spacing w:before="40" w:after="40"/>
              <w:jc w:val="left"/>
              <w:rPr>
                <w:rFonts w:eastAsia="SimSun"/>
                <w:kern w:val="2"/>
                <w:sz w:val="20"/>
                <w:szCs w:val="20"/>
              </w:rPr>
            </w:pPr>
            <w:r w:rsidRPr="000C0842">
              <w:rPr>
                <w:rFonts w:eastAsia="SimSun" w:hint="eastAsia"/>
                <w:b/>
                <w:spacing w:val="6"/>
                <w:kern w:val="2"/>
                <w:sz w:val="20"/>
                <w:szCs w:val="20"/>
                <w:shd w:val="clear" w:color="auto" w:fill="FFFFFF"/>
                <w:lang w:val="en-GB"/>
              </w:rPr>
              <w:t>人的知识和参与</w:t>
            </w:r>
            <w:r w:rsidRPr="000C0842">
              <w:rPr>
                <w:rFonts w:eastAsia="SimSun"/>
                <w:b/>
                <w:spacing w:val="6"/>
                <w:kern w:val="2"/>
                <w:sz w:val="20"/>
                <w:szCs w:val="20"/>
                <w:shd w:val="clear" w:color="auto" w:fill="FFFFFF"/>
                <w:lang w:val="en-GB"/>
              </w:rPr>
              <w:t xml:space="preserve">   </w:t>
            </w:r>
          </w:p>
        </w:tc>
      </w:tr>
      <w:tr w:rsidR="000C0842" w:rsidRPr="000C0842" w14:paraId="3C5E9114" w14:textId="77777777" w:rsidTr="001F32B3">
        <w:tc>
          <w:tcPr>
            <w:tcW w:w="2700" w:type="dxa"/>
          </w:tcPr>
          <w:p w14:paraId="5518F59B" w14:textId="77777777" w:rsidR="00382AC2" w:rsidRPr="000C0842" w:rsidRDefault="00382AC2" w:rsidP="00382AC2">
            <w:pPr>
              <w:tabs>
                <w:tab w:val="clear" w:pos="567"/>
                <w:tab w:val="clear" w:pos="1134"/>
                <w:tab w:val="clear" w:pos="1701"/>
                <w:tab w:val="clear" w:pos="2268"/>
              </w:tabs>
              <w:spacing w:before="60" w:after="60"/>
              <w:jc w:val="left"/>
              <w:rPr>
                <w:rFonts w:eastAsia="SimSun"/>
                <w:b/>
                <w:kern w:val="2"/>
                <w:sz w:val="20"/>
                <w:szCs w:val="20"/>
                <w:lang w:val="en-GB"/>
              </w:rPr>
            </w:pPr>
            <w:r w:rsidRPr="000C0842">
              <w:rPr>
                <w:rFonts w:eastAsia="SimSun" w:hint="eastAsia"/>
                <w:spacing w:val="6"/>
                <w:kern w:val="2"/>
                <w:sz w:val="20"/>
                <w:szCs w:val="20"/>
              </w:rPr>
              <w:t>行动目标</w:t>
            </w:r>
            <w:r w:rsidRPr="000C0842">
              <w:rPr>
                <w:rFonts w:eastAsia="SimSun"/>
                <w:spacing w:val="6"/>
                <w:kern w:val="2"/>
                <w:sz w:val="20"/>
                <w:szCs w:val="20"/>
              </w:rPr>
              <w:t xml:space="preserve"> 21</w:t>
            </w:r>
            <w:r w:rsidRPr="000C0842">
              <w:rPr>
                <w:rFonts w:eastAsia="SimSun" w:hint="eastAsia"/>
                <w:spacing w:val="6"/>
                <w:kern w:val="2"/>
                <w:sz w:val="20"/>
                <w:szCs w:val="20"/>
              </w:rPr>
              <w:t>、</w:t>
            </w:r>
            <w:r w:rsidRPr="000C0842">
              <w:rPr>
                <w:rFonts w:eastAsia="SimSun"/>
                <w:spacing w:val="6"/>
                <w:kern w:val="2"/>
                <w:sz w:val="20"/>
                <w:szCs w:val="20"/>
              </w:rPr>
              <w:t xml:space="preserve">22 </w:t>
            </w:r>
            <w:r w:rsidRPr="000C0842">
              <w:rPr>
                <w:rFonts w:eastAsia="SimSun" w:hint="eastAsia"/>
                <w:spacing w:val="6"/>
                <w:kern w:val="2"/>
                <w:sz w:val="20"/>
                <w:szCs w:val="20"/>
              </w:rPr>
              <w:t>和</w:t>
            </w:r>
            <w:r w:rsidRPr="000C0842">
              <w:rPr>
                <w:rFonts w:eastAsia="SimSun"/>
                <w:spacing w:val="6"/>
                <w:kern w:val="2"/>
                <w:sz w:val="20"/>
                <w:szCs w:val="20"/>
              </w:rPr>
              <w:t xml:space="preserve"> 23 </w:t>
            </w:r>
            <w:r w:rsidRPr="000C0842">
              <w:rPr>
                <w:rFonts w:eastAsia="SimSun"/>
                <w:spacing w:val="6"/>
                <w:kern w:val="2"/>
                <w:sz w:val="20"/>
                <w:szCs w:val="20"/>
                <w:lang w:val="en-GB"/>
              </w:rPr>
              <w:t xml:space="preserve"> </w:t>
            </w:r>
          </w:p>
        </w:tc>
        <w:tc>
          <w:tcPr>
            <w:tcW w:w="3822" w:type="dxa"/>
          </w:tcPr>
          <w:p w14:paraId="399310F4"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hint="eastAsia"/>
                <w:kern w:val="2"/>
                <w:sz w:val="20"/>
                <w:szCs w:val="20"/>
              </w:rPr>
              <w:t>确保所有人都能获得知识，争取使所有群体都参与关于生物多样性的决策，有助于确保把对某些群体尤其重要的生物多样性与健康的相互关联考虑在内，从而有利于保护权利、注重性别平等以及代际公平和健康公平。</w:t>
            </w:r>
          </w:p>
          <w:p w14:paraId="59FE2BB8"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lang w:val="en-GB"/>
              </w:rPr>
            </w:pPr>
          </w:p>
        </w:tc>
        <w:tc>
          <w:tcPr>
            <w:tcW w:w="7068" w:type="dxa"/>
            <w:gridSpan w:val="2"/>
          </w:tcPr>
          <w:p w14:paraId="06E00BD6"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lang w:val="en-GB"/>
              </w:rPr>
              <w:t xml:space="preserve">1. </w:t>
            </w:r>
            <w:r w:rsidRPr="000C0842">
              <w:rPr>
                <w:rFonts w:eastAsia="SimSun" w:hint="eastAsia"/>
                <w:kern w:val="2"/>
                <w:sz w:val="20"/>
                <w:szCs w:val="20"/>
              </w:rPr>
              <w:t>帮助建立或加强关于生物多样性与健康的相互关联的知识共享平台和学习网络，从而促进最佳做法、经验教训和创新解决方案的交流，同时考虑到弱势群体以及土著人民和地方社区的需求。</w:t>
            </w:r>
          </w:p>
          <w:p w14:paraId="5C32C9FC"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2. </w:t>
            </w:r>
            <w:r w:rsidRPr="000C0842">
              <w:rPr>
                <w:rFonts w:eastAsia="SimSun" w:hint="eastAsia"/>
                <w:kern w:val="2"/>
                <w:sz w:val="20"/>
                <w:szCs w:val="20"/>
              </w:rPr>
              <w:t>推广和传播提高认识的材料、宣传工具、最佳做法和政策，最大限度地实现生物多样性与健康的附带效益，并突出土著人民、地方社区以及妇女、儿童、青年和老年人以及残疾人等弱势群体的相关贡献。</w:t>
            </w:r>
            <w:r w:rsidRPr="000C0842">
              <w:rPr>
                <w:rFonts w:eastAsia="SimSun"/>
                <w:kern w:val="2"/>
                <w:sz w:val="20"/>
                <w:szCs w:val="20"/>
              </w:rPr>
              <w:t xml:space="preserve"> </w:t>
            </w:r>
          </w:p>
          <w:p w14:paraId="237BC00F"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rPr>
              <w:t xml:space="preserve">3. </w:t>
            </w:r>
            <w:r w:rsidRPr="000C0842">
              <w:rPr>
                <w:rFonts w:eastAsia="SimSun" w:hint="eastAsia"/>
                <w:kern w:val="2"/>
                <w:sz w:val="20"/>
                <w:szCs w:val="20"/>
              </w:rPr>
              <w:t>将生物多样性对健康的益处纳入从小学到中学后教育的正规教育系统，以进一步加强生物多样性与健康的相互关联。</w:t>
            </w:r>
          </w:p>
          <w:p w14:paraId="5D83CE6C"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rPr>
            </w:pPr>
            <w:r w:rsidRPr="000C0842">
              <w:rPr>
                <w:rFonts w:eastAsia="SimSun"/>
                <w:kern w:val="2"/>
                <w:sz w:val="20"/>
                <w:szCs w:val="20"/>
                <w:lang w:val="en-GB"/>
              </w:rPr>
              <w:t>4.</w:t>
            </w:r>
            <w:r w:rsidRPr="000C0842">
              <w:rPr>
                <w:rFonts w:eastAsia="SimSun"/>
                <w:kern w:val="2"/>
                <w:sz w:val="20"/>
                <w:szCs w:val="20"/>
              </w:rPr>
              <w:t xml:space="preserve">  </w:t>
            </w:r>
            <w:r w:rsidRPr="000C0842">
              <w:rPr>
                <w:rFonts w:eastAsia="SimSun" w:hint="eastAsia"/>
                <w:kern w:val="2"/>
                <w:sz w:val="20"/>
                <w:szCs w:val="20"/>
              </w:rPr>
              <w:t>承认土著人民和地方社区的传统知识是一个重要的知识体系，有助于科学、技术、社会和经济进步，从而增加人类的福祉。</w:t>
            </w:r>
          </w:p>
          <w:p w14:paraId="2492F04F" w14:textId="77777777" w:rsidR="00382AC2" w:rsidRPr="000C0842" w:rsidRDefault="00382AC2" w:rsidP="00382AC2">
            <w:pPr>
              <w:tabs>
                <w:tab w:val="clear" w:pos="567"/>
                <w:tab w:val="clear" w:pos="1134"/>
                <w:tab w:val="clear" w:pos="1701"/>
                <w:tab w:val="clear" w:pos="2268"/>
              </w:tabs>
              <w:spacing w:before="40" w:after="40"/>
              <w:jc w:val="left"/>
              <w:rPr>
                <w:rFonts w:eastAsia="SimSun"/>
                <w:kern w:val="2"/>
                <w:sz w:val="20"/>
                <w:szCs w:val="20"/>
                <w:lang w:val="en-GB"/>
              </w:rPr>
            </w:pPr>
            <w:r w:rsidRPr="000C0842">
              <w:rPr>
                <w:rFonts w:eastAsia="SimSun"/>
                <w:kern w:val="2"/>
                <w:sz w:val="20"/>
                <w:szCs w:val="20"/>
                <w:lang w:val="en-GB"/>
              </w:rPr>
              <w:t>5.</w:t>
            </w:r>
            <w:r w:rsidRPr="000C0842">
              <w:rPr>
                <w:rFonts w:eastAsia="SimSun"/>
                <w:kern w:val="2"/>
                <w:sz w:val="20"/>
                <w:szCs w:val="20"/>
              </w:rPr>
              <w:t xml:space="preserve">  </w:t>
            </w:r>
            <w:r w:rsidRPr="000C0842">
              <w:rPr>
                <w:rFonts w:eastAsia="SimSun" w:hint="eastAsia"/>
                <w:kern w:val="2"/>
                <w:sz w:val="20"/>
                <w:szCs w:val="20"/>
              </w:rPr>
              <w:t>促进和支持民间社会所有行为体的有意义和积极的参与，这些行为体包括传统知识持有者、土著人民和地方社区、妇女、儿童、青年和老年人以及残疾人，同时认识到他们在把生物多样性与健康的相互关联纳入主流方面的独特贡献和积极作用。</w:t>
            </w:r>
          </w:p>
          <w:p w14:paraId="3419CFD5" w14:textId="77777777" w:rsidR="00382AC2" w:rsidRPr="000C0842" w:rsidRDefault="00382AC2" w:rsidP="00382AC2">
            <w:pPr>
              <w:tabs>
                <w:tab w:val="clear" w:pos="567"/>
                <w:tab w:val="clear" w:pos="1134"/>
                <w:tab w:val="clear" w:pos="1701"/>
                <w:tab w:val="clear" w:pos="2268"/>
              </w:tabs>
              <w:spacing w:before="60" w:after="60"/>
              <w:jc w:val="left"/>
              <w:rPr>
                <w:rFonts w:eastAsia="SimSun"/>
                <w:sz w:val="20"/>
                <w:szCs w:val="20"/>
              </w:rPr>
            </w:pPr>
            <w:r w:rsidRPr="000C0842">
              <w:rPr>
                <w:rFonts w:eastAsia="SimSun"/>
                <w:kern w:val="2"/>
                <w:sz w:val="20"/>
                <w:szCs w:val="20"/>
                <w:lang w:val="en-GB"/>
              </w:rPr>
              <w:t>6.</w:t>
            </w:r>
            <w:r w:rsidRPr="000C0842">
              <w:rPr>
                <w:rFonts w:eastAsia="SimSun"/>
                <w:kern w:val="2"/>
                <w:sz w:val="20"/>
                <w:szCs w:val="20"/>
              </w:rPr>
              <w:t xml:space="preserve">  </w:t>
            </w:r>
            <w:r w:rsidRPr="000C0842">
              <w:rPr>
                <w:rFonts w:eastAsia="SimSun" w:hint="eastAsia"/>
                <w:sz w:val="20"/>
                <w:szCs w:val="20"/>
              </w:rPr>
              <w:t>投资开发传播工具和战略，采用不同行为体群体可以使用的语言和格式，以期</w:t>
            </w:r>
            <w:r w:rsidRPr="000C0842">
              <w:rPr>
                <w:rFonts w:eastAsia="SimSun" w:hint="eastAsia"/>
                <w:kern w:val="2"/>
                <w:sz w:val="20"/>
                <w:szCs w:val="20"/>
                <w:lang w:val="en-GB"/>
              </w:rPr>
              <w:t>提高对生态系统功能和服务价值的认识，确保不同利益攸关方的健康、福祉和健康公平</w:t>
            </w:r>
            <w:r w:rsidRPr="000C0842">
              <w:rPr>
                <w:rFonts w:eastAsia="SimSun" w:hint="eastAsia"/>
                <w:sz w:val="20"/>
                <w:szCs w:val="20"/>
              </w:rPr>
              <w:t>。</w:t>
            </w:r>
          </w:p>
          <w:p w14:paraId="5D46DCA5"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rPr>
            </w:pPr>
            <w:r w:rsidRPr="000C0842">
              <w:rPr>
                <w:rFonts w:eastAsia="SimSun"/>
                <w:kern w:val="2"/>
                <w:sz w:val="20"/>
                <w:szCs w:val="20"/>
                <w:lang w:val="en-GB"/>
              </w:rPr>
              <w:t>7.</w:t>
            </w:r>
            <w:r w:rsidRPr="000C0842">
              <w:rPr>
                <w:rFonts w:eastAsia="SimSun"/>
                <w:kern w:val="2"/>
                <w:sz w:val="20"/>
                <w:szCs w:val="20"/>
              </w:rPr>
              <w:t xml:space="preserve">  </w:t>
            </w:r>
            <w:r w:rsidRPr="000C0842">
              <w:rPr>
                <w:rFonts w:eastAsia="SimSun" w:hint="eastAsia"/>
                <w:kern w:val="2"/>
                <w:sz w:val="20"/>
                <w:szCs w:val="20"/>
              </w:rPr>
              <w:t>执行缔约方大会通过的《性别平等行动计划》（</w:t>
            </w:r>
            <w:r w:rsidRPr="000C0842">
              <w:rPr>
                <w:rFonts w:eastAsia="SimSun"/>
                <w:kern w:val="2"/>
                <w:sz w:val="20"/>
                <w:szCs w:val="20"/>
              </w:rPr>
              <w:t>2023-2030</w:t>
            </w:r>
            <w:r w:rsidRPr="000C0842">
              <w:rPr>
                <w:rFonts w:eastAsia="SimSun" w:hint="eastAsia"/>
                <w:kern w:val="2"/>
                <w:sz w:val="20"/>
                <w:szCs w:val="20"/>
              </w:rPr>
              <w:t>年）</w:t>
            </w:r>
            <w:r w:rsidRPr="000C0842">
              <w:rPr>
                <w:rFonts w:eastAsia="SimSun"/>
                <w:kern w:val="2"/>
                <w:sz w:val="20"/>
                <w:szCs w:val="20"/>
                <w:vertAlign w:val="superscript"/>
              </w:rPr>
              <w:footnoteReference w:id="338"/>
            </w:r>
            <w:r w:rsidRPr="000C0842">
              <w:rPr>
                <w:rFonts w:eastAsia="SimSun" w:hint="eastAsia"/>
                <w:kern w:val="2"/>
                <w:sz w:val="20"/>
                <w:szCs w:val="20"/>
              </w:rPr>
              <w:t>，支持以注重性别平等的方式考虑生物多样性与健康的相互关联。</w:t>
            </w:r>
          </w:p>
          <w:p w14:paraId="028B7D9D" w14:textId="77777777" w:rsidR="00382AC2" w:rsidRPr="000C0842" w:rsidRDefault="00382AC2" w:rsidP="00382AC2">
            <w:pPr>
              <w:tabs>
                <w:tab w:val="clear" w:pos="567"/>
                <w:tab w:val="clear" w:pos="1134"/>
                <w:tab w:val="clear" w:pos="1701"/>
                <w:tab w:val="clear" w:pos="2268"/>
              </w:tabs>
              <w:spacing w:before="60" w:after="60"/>
              <w:jc w:val="left"/>
              <w:rPr>
                <w:rFonts w:eastAsia="SimSun"/>
                <w:kern w:val="2"/>
                <w:sz w:val="20"/>
                <w:szCs w:val="20"/>
                <w:lang w:val="en-GB"/>
              </w:rPr>
            </w:pPr>
            <w:r w:rsidRPr="000C0842">
              <w:rPr>
                <w:rFonts w:eastAsia="SimSun"/>
                <w:kern w:val="2"/>
                <w:sz w:val="20"/>
                <w:szCs w:val="20"/>
              </w:rPr>
              <w:t xml:space="preserve">8.  </w:t>
            </w:r>
            <w:r w:rsidRPr="000C0842">
              <w:rPr>
                <w:rFonts w:eastAsia="SimSun" w:hint="eastAsia"/>
                <w:kern w:val="2"/>
                <w:sz w:val="20"/>
                <w:szCs w:val="20"/>
              </w:rPr>
              <w:t>宣传生态系统持续退化和生物多样性不断丧失带来的健康风险以及生物多样性对人类健康的益处。</w:t>
            </w:r>
          </w:p>
        </w:tc>
      </w:tr>
    </w:tbl>
    <w:p w14:paraId="12F08A15" w14:textId="77777777" w:rsidR="00382AC2" w:rsidRPr="000C0842" w:rsidRDefault="00382AC2" w:rsidP="00382AC2">
      <w:pPr>
        <w:tabs>
          <w:tab w:val="clear" w:pos="567"/>
          <w:tab w:val="clear" w:pos="1134"/>
          <w:tab w:val="clear" w:pos="1701"/>
          <w:tab w:val="clear" w:pos="2268"/>
        </w:tabs>
        <w:spacing w:after="60"/>
        <w:jc w:val="left"/>
        <w:rPr>
          <w:rFonts w:eastAsia="SimSun"/>
          <w:sz w:val="20"/>
          <w:szCs w:val="20"/>
          <w:lang w:val="en-GB"/>
        </w:rPr>
      </w:pPr>
      <w:r w:rsidRPr="000C0842">
        <w:rPr>
          <w:rFonts w:eastAsia="SimSun" w:hint="eastAsia"/>
          <w:sz w:val="20"/>
          <w:szCs w:val="20"/>
        </w:rPr>
        <w:t xml:space="preserve"> </w:t>
      </w:r>
    </w:p>
    <w:bookmarkEnd w:id="76"/>
    <w:bookmarkEnd w:id="78"/>
    <w:p w14:paraId="30EDFBA1" w14:textId="77777777" w:rsidR="00382AC2" w:rsidRPr="000C0842" w:rsidRDefault="00382AC2" w:rsidP="00382AC2">
      <w:pPr>
        <w:tabs>
          <w:tab w:val="clear" w:pos="567"/>
          <w:tab w:val="clear" w:pos="1134"/>
          <w:tab w:val="clear" w:pos="1701"/>
          <w:tab w:val="clear" w:pos="2268"/>
        </w:tabs>
        <w:spacing w:after="60"/>
        <w:jc w:val="left"/>
        <w:rPr>
          <w:rFonts w:eastAsia="SimSun"/>
          <w:b/>
          <w:sz w:val="20"/>
          <w:szCs w:val="20"/>
          <w:lang w:val="en-GB"/>
        </w:rPr>
      </w:pPr>
    </w:p>
    <w:p w14:paraId="0FD20EC3" w14:textId="08F42552" w:rsidR="00382AC2" w:rsidRPr="000C0842" w:rsidRDefault="00382AC2">
      <w:pPr>
        <w:tabs>
          <w:tab w:val="clear" w:pos="567"/>
          <w:tab w:val="clear" w:pos="1134"/>
          <w:tab w:val="clear" w:pos="1701"/>
          <w:tab w:val="clear" w:pos="2268"/>
        </w:tabs>
        <w:jc w:val="left"/>
        <w:rPr>
          <w:rFonts w:eastAsia="SimSun"/>
          <w:kern w:val="22"/>
          <w:sz w:val="24"/>
          <w:szCs w:val="24"/>
        </w:rPr>
      </w:pPr>
      <w:r w:rsidRPr="000C0842">
        <w:rPr>
          <w:rFonts w:eastAsia="SimSun"/>
          <w:kern w:val="22"/>
          <w:sz w:val="24"/>
          <w:szCs w:val="24"/>
        </w:rPr>
        <w:br w:type="page"/>
      </w:r>
    </w:p>
    <w:p w14:paraId="36CA9F86" w14:textId="6C34B671" w:rsidR="00382AC2" w:rsidRPr="000C0842" w:rsidRDefault="00382AC2" w:rsidP="002437E6">
      <w:pPr>
        <w:pStyle w:val="a1"/>
        <w:rPr>
          <w:rFonts w:hint="eastAsia"/>
          <w:lang w:eastAsia="zh-CN"/>
        </w:rPr>
      </w:pPr>
      <w:bookmarkStart w:id="79" w:name="_Toc206358217"/>
      <w:r w:rsidRPr="000C0842">
        <w:rPr>
          <w:rFonts w:hint="eastAsia"/>
          <w:lang w:eastAsia="zh-CN"/>
        </w:rPr>
        <w:t>16/20.</w:t>
      </w:r>
      <w:r w:rsidR="0069726A" w:rsidRPr="000C0842">
        <w:rPr>
          <w:rFonts w:hint="eastAsia"/>
          <w:lang w:eastAsia="zh-CN"/>
        </w:rPr>
        <w:t xml:space="preserve"> </w:t>
      </w:r>
      <w:r w:rsidRPr="000C0842">
        <w:rPr>
          <w:rFonts w:hint="eastAsia"/>
          <w:lang w:eastAsia="zh-CN"/>
        </w:rPr>
        <w:t>植物保护</w:t>
      </w:r>
      <w:bookmarkEnd w:id="79"/>
    </w:p>
    <w:p w14:paraId="1656B81E" w14:textId="77777777" w:rsidR="00382AC2" w:rsidRPr="000C0842" w:rsidRDefault="00382AC2" w:rsidP="00444037">
      <w:pPr>
        <w:tabs>
          <w:tab w:val="clear" w:pos="567"/>
          <w:tab w:val="clear" w:pos="1134"/>
          <w:tab w:val="clear" w:pos="1701"/>
          <w:tab w:val="clear" w:pos="2268"/>
          <w:tab w:val="left" w:pos="1620"/>
        </w:tabs>
        <w:adjustRightInd w:val="0"/>
        <w:spacing w:before="240" w:after="120"/>
        <w:ind w:left="490" w:firstLine="490"/>
        <w:rPr>
          <w:rFonts w:eastAsia="SimSun"/>
          <w:i/>
          <w:iCs/>
          <w:sz w:val="24"/>
          <w:szCs w:val="24"/>
          <w:lang w:val="en-GB"/>
        </w:rPr>
      </w:pPr>
      <w:r w:rsidRPr="000C0842">
        <w:rPr>
          <w:rFonts w:eastAsia="KaiTi"/>
          <w:sz w:val="24"/>
          <w:szCs w:val="24"/>
          <w:lang w:val="en-GB"/>
        </w:rPr>
        <w:t>缔约方大会</w:t>
      </w:r>
      <w:r w:rsidRPr="000C0842">
        <w:rPr>
          <w:rFonts w:eastAsia="SimSun"/>
          <w:i/>
          <w:iCs/>
          <w:sz w:val="24"/>
          <w:szCs w:val="24"/>
          <w:lang w:val="en-GB"/>
        </w:rPr>
        <w:t>，</w:t>
      </w:r>
    </w:p>
    <w:p w14:paraId="17E2019C" w14:textId="77777777" w:rsidR="00382AC2" w:rsidRPr="000C0842" w:rsidRDefault="00382AC2" w:rsidP="00382AC2">
      <w:pPr>
        <w:tabs>
          <w:tab w:val="clear" w:pos="567"/>
          <w:tab w:val="clear" w:pos="1134"/>
          <w:tab w:val="clear" w:pos="1701"/>
          <w:tab w:val="clear" w:pos="2268"/>
          <w:tab w:val="left" w:pos="1620"/>
        </w:tabs>
        <w:adjustRightInd w:val="0"/>
        <w:snapToGrid w:val="0"/>
        <w:spacing w:before="120" w:after="120"/>
        <w:ind w:left="490" w:firstLine="490"/>
        <w:rPr>
          <w:rFonts w:eastAsia="SimSun"/>
          <w:spacing w:val="-4"/>
          <w:sz w:val="24"/>
          <w:szCs w:val="24"/>
          <w:lang w:val="en-GB"/>
        </w:rPr>
      </w:pPr>
      <w:r w:rsidRPr="000C0842">
        <w:rPr>
          <w:rFonts w:eastAsia="KaiTi"/>
          <w:spacing w:val="-4"/>
          <w:sz w:val="24"/>
          <w:szCs w:val="24"/>
          <w:lang w:val="en-GB"/>
        </w:rPr>
        <w:t>回顾</w:t>
      </w:r>
      <w:r w:rsidRPr="000C0842">
        <w:rPr>
          <w:rFonts w:eastAsia="SimSun"/>
          <w:spacing w:val="-4"/>
          <w:sz w:val="24"/>
          <w:szCs w:val="24"/>
          <w:lang w:val="en-GB"/>
        </w:rPr>
        <w:t>其</w:t>
      </w:r>
      <w:r w:rsidRPr="000C0842">
        <w:rPr>
          <w:rFonts w:eastAsia="SimSun"/>
          <w:spacing w:val="-4"/>
          <w:sz w:val="24"/>
          <w:szCs w:val="24"/>
          <w:lang w:val="en-GB"/>
        </w:rPr>
        <w:t>2000</w:t>
      </w:r>
      <w:r w:rsidRPr="000C0842">
        <w:rPr>
          <w:rFonts w:eastAsia="SimSun"/>
          <w:spacing w:val="-4"/>
          <w:sz w:val="24"/>
          <w:szCs w:val="24"/>
          <w:lang w:val="en-GB"/>
        </w:rPr>
        <w:t>年</w:t>
      </w:r>
      <w:r w:rsidRPr="000C0842">
        <w:rPr>
          <w:rFonts w:eastAsia="SimSun"/>
          <w:spacing w:val="-4"/>
          <w:sz w:val="24"/>
          <w:szCs w:val="24"/>
          <w:lang w:val="en-GB"/>
        </w:rPr>
        <w:t>5</w:t>
      </w:r>
      <w:r w:rsidRPr="000C0842">
        <w:rPr>
          <w:rFonts w:eastAsia="SimSun"/>
          <w:spacing w:val="-4"/>
          <w:sz w:val="24"/>
          <w:szCs w:val="24"/>
          <w:lang w:val="en-GB"/>
        </w:rPr>
        <w:t>月</w:t>
      </w:r>
      <w:r w:rsidRPr="000C0842">
        <w:rPr>
          <w:rFonts w:eastAsia="SimSun"/>
          <w:spacing w:val="-4"/>
          <w:sz w:val="24"/>
          <w:szCs w:val="24"/>
          <w:lang w:val="en-GB"/>
        </w:rPr>
        <w:t>26</w:t>
      </w:r>
      <w:r w:rsidRPr="000C0842">
        <w:rPr>
          <w:rFonts w:eastAsia="SimSun"/>
          <w:spacing w:val="-4"/>
          <w:sz w:val="24"/>
          <w:szCs w:val="24"/>
          <w:lang w:val="en-GB"/>
        </w:rPr>
        <w:t>日第</w:t>
      </w:r>
      <w:hyperlink r:id="rId201" w:history="1">
        <w:r w:rsidRPr="000C0842">
          <w:rPr>
            <w:rFonts w:eastAsia="SimSun"/>
            <w:sz w:val="24"/>
            <w:szCs w:val="24"/>
            <w:u w:val="single"/>
          </w:rPr>
          <w:t>V/10</w:t>
        </w:r>
      </w:hyperlink>
      <w:r w:rsidRPr="000C0842">
        <w:rPr>
          <w:rFonts w:eastAsia="SimSun"/>
          <w:spacing w:val="-4"/>
          <w:sz w:val="24"/>
          <w:szCs w:val="24"/>
          <w:lang w:val="en-GB"/>
        </w:rPr>
        <w:t>号、</w:t>
      </w:r>
      <w:r w:rsidRPr="000C0842">
        <w:rPr>
          <w:rFonts w:eastAsia="SimSun"/>
          <w:spacing w:val="-4"/>
          <w:sz w:val="24"/>
          <w:szCs w:val="24"/>
          <w:lang w:val="en-GB"/>
        </w:rPr>
        <w:t>2002</w:t>
      </w:r>
      <w:r w:rsidRPr="000C0842">
        <w:rPr>
          <w:rFonts w:eastAsia="SimSun"/>
          <w:spacing w:val="-4"/>
          <w:sz w:val="24"/>
          <w:szCs w:val="24"/>
          <w:lang w:val="en-GB"/>
        </w:rPr>
        <w:t>年</w:t>
      </w:r>
      <w:r w:rsidRPr="000C0842">
        <w:rPr>
          <w:rFonts w:eastAsia="SimSun"/>
          <w:spacing w:val="-4"/>
          <w:sz w:val="24"/>
          <w:szCs w:val="24"/>
          <w:lang w:val="en-GB"/>
        </w:rPr>
        <w:t>4</w:t>
      </w:r>
      <w:r w:rsidRPr="000C0842">
        <w:rPr>
          <w:rFonts w:eastAsia="SimSun"/>
          <w:spacing w:val="-4"/>
          <w:sz w:val="24"/>
          <w:szCs w:val="24"/>
          <w:lang w:val="en-GB"/>
        </w:rPr>
        <w:t>月</w:t>
      </w:r>
      <w:r w:rsidRPr="000C0842">
        <w:rPr>
          <w:rFonts w:eastAsia="SimSun"/>
          <w:spacing w:val="-4"/>
          <w:sz w:val="24"/>
          <w:szCs w:val="24"/>
          <w:lang w:val="en-GB"/>
        </w:rPr>
        <w:t>19</w:t>
      </w:r>
      <w:r w:rsidRPr="000C0842">
        <w:rPr>
          <w:rFonts w:eastAsia="SimSun"/>
          <w:spacing w:val="-4"/>
          <w:sz w:val="24"/>
          <w:szCs w:val="24"/>
          <w:lang w:val="en-GB"/>
        </w:rPr>
        <w:t>日第</w:t>
      </w:r>
      <w:hyperlink r:id="rId202" w:history="1">
        <w:r w:rsidRPr="000C0842">
          <w:rPr>
            <w:rFonts w:eastAsia="SimSun"/>
            <w:sz w:val="24"/>
            <w:szCs w:val="24"/>
            <w:u w:val="single"/>
          </w:rPr>
          <w:t>VI/9</w:t>
        </w:r>
      </w:hyperlink>
      <w:r w:rsidRPr="000C0842">
        <w:rPr>
          <w:rFonts w:eastAsia="SimSun"/>
          <w:spacing w:val="-4"/>
          <w:sz w:val="24"/>
          <w:szCs w:val="24"/>
          <w:lang w:val="en-GB"/>
        </w:rPr>
        <w:t>号、</w:t>
      </w:r>
      <w:r w:rsidRPr="000C0842">
        <w:rPr>
          <w:rFonts w:eastAsia="SimSun"/>
          <w:spacing w:val="-4"/>
          <w:sz w:val="24"/>
          <w:szCs w:val="24"/>
          <w:lang w:val="en-GB"/>
        </w:rPr>
        <w:t>2004</w:t>
      </w:r>
      <w:r w:rsidRPr="000C0842">
        <w:rPr>
          <w:rFonts w:eastAsia="SimSun"/>
          <w:spacing w:val="-4"/>
          <w:sz w:val="24"/>
          <w:szCs w:val="24"/>
          <w:lang w:val="en-GB"/>
        </w:rPr>
        <w:t>年</w:t>
      </w:r>
      <w:r w:rsidRPr="000C0842">
        <w:rPr>
          <w:rFonts w:eastAsia="SimSun"/>
          <w:spacing w:val="-4"/>
          <w:sz w:val="24"/>
          <w:szCs w:val="24"/>
          <w:lang w:val="en-GB"/>
        </w:rPr>
        <w:t>2</w:t>
      </w:r>
      <w:r w:rsidRPr="000C0842">
        <w:rPr>
          <w:rFonts w:eastAsia="SimSun"/>
          <w:spacing w:val="-4"/>
          <w:sz w:val="24"/>
          <w:szCs w:val="24"/>
          <w:lang w:val="en-GB"/>
        </w:rPr>
        <w:t>月</w:t>
      </w:r>
      <w:r w:rsidRPr="000C0842">
        <w:rPr>
          <w:rFonts w:eastAsia="SimSun"/>
          <w:spacing w:val="-4"/>
          <w:sz w:val="24"/>
          <w:szCs w:val="24"/>
          <w:lang w:val="en-GB"/>
        </w:rPr>
        <w:t>20</w:t>
      </w:r>
      <w:r w:rsidRPr="000C0842">
        <w:rPr>
          <w:rFonts w:eastAsia="SimSun"/>
          <w:spacing w:val="-4"/>
          <w:sz w:val="24"/>
          <w:szCs w:val="24"/>
          <w:lang w:val="en-GB"/>
        </w:rPr>
        <w:t>日</w:t>
      </w:r>
      <w:hyperlink r:id="rId203" w:history="1">
        <w:r w:rsidRPr="000C0842">
          <w:rPr>
            <w:rFonts w:eastAsia="SimSun"/>
            <w:sz w:val="24"/>
            <w:szCs w:val="24"/>
            <w:u w:val="single"/>
          </w:rPr>
          <w:t>VII/10</w:t>
        </w:r>
      </w:hyperlink>
      <w:r w:rsidRPr="000C0842">
        <w:rPr>
          <w:rFonts w:eastAsia="SimSun"/>
          <w:spacing w:val="-4"/>
          <w:sz w:val="24"/>
          <w:szCs w:val="24"/>
          <w:lang w:val="en-GB"/>
        </w:rPr>
        <w:t>号、</w:t>
      </w:r>
      <w:r w:rsidRPr="000C0842">
        <w:rPr>
          <w:rFonts w:eastAsia="SimSun"/>
          <w:spacing w:val="-4"/>
          <w:sz w:val="24"/>
          <w:szCs w:val="24"/>
          <w:lang w:val="en-GB"/>
        </w:rPr>
        <w:t>2008</w:t>
      </w:r>
      <w:r w:rsidRPr="000C0842">
        <w:rPr>
          <w:rFonts w:eastAsia="SimSun"/>
          <w:spacing w:val="-4"/>
          <w:sz w:val="24"/>
          <w:szCs w:val="24"/>
          <w:lang w:val="en-GB"/>
        </w:rPr>
        <w:t>年</w:t>
      </w:r>
      <w:r w:rsidRPr="000C0842">
        <w:rPr>
          <w:rFonts w:eastAsia="SimSun"/>
          <w:spacing w:val="-4"/>
          <w:sz w:val="24"/>
          <w:szCs w:val="24"/>
          <w:lang w:val="en-GB"/>
        </w:rPr>
        <w:t>5</w:t>
      </w:r>
      <w:r w:rsidRPr="000C0842">
        <w:rPr>
          <w:rFonts w:eastAsia="SimSun"/>
          <w:spacing w:val="-4"/>
          <w:sz w:val="24"/>
          <w:szCs w:val="24"/>
          <w:lang w:val="en-GB"/>
        </w:rPr>
        <w:t>月</w:t>
      </w:r>
      <w:r w:rsidRPr="000C0842">
        <w:rPr>
          <w:rFonts w:eastAsia="SimSun"/>
          <w:spacing w:val="-4"/>
          <w:sz w:val="24"/>
          <w:szCs w:val="24"/>
          <w:lang w:val="en-GB"/>
        </w:rPr>
        <w:t>30</w:t>
      </w:r>
      <w:r w:rsidRPr="000C0842">
        <w:rPr>
          <w:rFonts w:eastAsia="SimSun"/>
          <w:spacing w:val="-4"/>
          <w:sz w:val="24"/>
          <w:szCs w:val="24"/>
          <w:lang w:val="en-GB"/>
        </w:rPr>
        <w:t>日第</w:t>
      </w:r>
      <w:hyperlink r:id="rId204" w:history="1">
        <w:r w:rsidRPr="000C0842">
          <w:rPr>
            <w:rFonts w:eastAsia="SimSun"/>
            <w:sz w:val="24"/>
            <w:szCs w:val="24"/>
            <w:u w:val="single"/>
          </w:rPr>
          <w:t>IX/3</w:t>
        </w:r>
      </w:hyperlink>
      <w:r w:rsidRPr="000C0842">
        <w:rPr>
          <w:rFonts w:eastAsia="SimSun"/>
          <w:spacing w:val="-4"/>
          <w:sz w:val="24"/>
          <w:szCs w:val="24"/>
          <w:lang w:val="en-GB"/>
        </w:rPr>
        <w:t>号和</w:t>
      </w:r>
      <w:r w:rsidRPr="000C0842">
        <w:rPr>
          <w:rFonts w:eastAsia="SimSun"/>
          <w:spacing w:val="-4"/>
          <w:sz w:val="24"/>
          <w:szCs w:val="24"/>
          <w:lang w:val="en-GB"/>
        </w:rPr>
        <w:t>2010</w:t>
      </w:r>
      <w:r w:rsidRPr="000C0842">
        <w:rPr>
          <w:rFonts w:eastAsia="SimSun"/>
          <w:spacing w:val="-4"/>
          <w:sz w:val="24"/>
          <w:szCs w:val="24"/>
          <w:lang w:val="en-GB"/>
        </w:rPr>
        <w:t>年</w:t>
      </w:r>
      <w:r w:rsidRPr="000C0842">
        <w:rPr>
          <w:rFonts w:eastAsia="SimSun"/>
          <w:spacing w:val="-4"/>
          <w:sz w:val="24"/>
          <w:szCs w:val="24"/>
          <w:lang w:val="en-GB"/>
        </w:rPr>
        <w:t>10</w:t>
      </w:r>
      <w:r w:rsidRPr="000C0842">
        <w:rPr>
          <w:rFonts w:eastAsia="SimSun"/>
          <w:spacing w:val="-4"/>
          <w:sz w:val="24"/>
          <w:szCs w:val="24"/>
          <w:lang w:val="en-GB"/>
        </w:rPr>
        <w:t>月</w:t>
      </w:r>
      <w:r w:rsidRPr="000C0842">
        <w:rPr>
          <w:rFonts w:eastAsia="SimSun"/>
          <w:spacing w:val="-4"/>
          <w:sz w:val="24"/>
          <w:szCs w:val="24"/>
          <w:lang w:val="en-GB"/>
        </w:rPr>
        <w:t>29</w:t>
      </w:r>
      <w:r w:rsidRPr="000C0842">
        <w:rPr>
          <w:rFonts w:eastAsia="SimSun"/>
          <w:spacing w:val="-4"/>
          <w:sz w:val="24"/>
          <w:szCs w:val="24"/>
          <w:lang w:val="en-GB"/>
        </w:rPr>
        <w:t>日</w:t>
      </w:r>
      <w:hyperlink r:id="rId205" w:history="1">
        <w:r w:rsidRPr="000C0842">
          <w:rPr>
            <w:rFonts w:eastAsia="SimSun"/>
            <w:sz w:val="24"/>
            <w:szCs w:val="24"/>
            <w:u w:val="single"/>
          </w:rPr>
          <w:t>X/17</w:t>
        </w:r>
      </w:hyperlink>
      <w:r w:rsidRPr="000C0842">
        <w:rPr>
          <w:rFonts w:eastAsia="SimSun"/>
          <w:spacing w:val="-4"/>
          <w:sz w:val="24"/>
          <w:szCs w:val="24"/>
          <w:lang w:val="en-GB"/>
        </w:rPr>
        <w:t>号决定，</w:t>
      </w:r>
    </w:p>
    <w:p w14:paraId="546485AD"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spacing w:val="-4"/>
          <w:sz w:val="24"/>
          <w:szCs w:val="24"/>
          <w:lang w:val="en-GB"/>
        </w:rPr>
        <w:t>决定</w:t>
      </w:r>
      <w:r w:rsidRPr="000C0842">
        <w:rPr>
          <w:rFonts w:eastAsia="SimSun"/>
          <w:spacing w:val="-4"/>
          <w:sz w:val="24"/>
          <w:szCs w:val="24"/>
          <w:lang w:val="en-GB"/>
        </w:rPr>
        <w:t>通过附件所载植物保护自愿补充</w:t>
      </w:r>
      <w:r w:rsidRPr="000C0842">
        <w:rPr>
          <w:rFonts w:eastAsia="SimSun" w:hint="eastAsia"/>
          <w:spacing w:val="-4"/>
          <w:sz w:val="24"/>
          <w:szCs w:val="24"/>
          <w:lang w:val="en-GB"/>
        </w:rPr>
        <w:t>措施</w:t>
      </w:r>
      <w:r w:rsidRPr="000C0842">
        <w:rPr>
          <w:rFonts w:eastAsia="SimSun"/>
          <w:spacing w:val="-4"/>
          <w:sz w:val="24"/>
          <w:szCs w:val="24"/>
          <w:lang w:val="en-GB"/>
        </w:rPr>
        <w:t>，作为对《全球植物保护战略》</w:t>
      </w:r>
      <w:r w:rsidRPr="000C0842">
        <w:rPr>
          <w:rFonts w:eastAsia="SimSun"/>
          <w:spacing w:val="-4"/>
          <w:sz w:val="24"/>
          <w:szCs w:val="24"/>
          <w:vertAlign w:val="superscript"/>
          <w:lang w:val="en-GB"/>
        </w:rPr>
        <w:footnoteReference w:id="339"/>
      </w:r>
      <w:r w:rsidRPr="000C0842">
        <w:rPr>
          <w:rFonts w:eastAsia="SimSun" w:hint="eastAsia"/>
          <w:spacing w:val="-4"/>
          <w:sz w:val="24"/>
          <w:szCs w:val="24"/>
          <w:lang w:val="en-GB"/>
        </w:rPr>
        <w:t xml:space="preserve"> </w:t>
      </w:r>
      <w:r w:rsidRPr="000C0842">
        <w:rPr>
          <w:rFonts w:eastAsia="SimSun"/>
          <w:spacing w:val="-4"/>
          <w:sz w:val="24"/>
          <w:szCs w:val="24"/>
          <w:lang w:val="en-GB"/>
        </w:rPr>
        <w:t>的更新，</w:t>
      </w:r>
      <w:r w:rsidRPr="000C0842">
        <w:rPr>
          <w:rFonts w:eastAsia="SimSun"/>
          <w:spacing w:val="-4"/>
          <w:sz w:val="24"/>
          <w:szCs w:val="24"/>
          <w:lang w:val="en-GB"/>
        </w:rPr>
        <w:t xml:space="preserve"> </w:t>
      </w:r>
      <w:r w:rsidRPr="000C0842">
        <w:rPr>
          <w:rFonts w:eastAsia="SimSun"/>
          <w:spacing w:val="-4"/>
          <w:sz w:val="24"/>
          <w:szCs w:val="24"/>
          <w:lang w:val="en-GB"/>
        </w:rPr>
        <w:t>支持执行《昆明</w:t>
      </w:r>
      <w:r w:rsidRPr="000C0842">
        <w:rPr>
          <w:rFonts w:eastAsia="SimSun"/>
          <w:spacing w:val="-4"/>
          <w:sz w:val="24"/>
          <w:szCs w:val="24"/>
          <w:lang w:val="en-GB"/>
        </w:rPr>
        <w:t>-</w:t>
      </w:r>
      <w:r w:rsidRPr="000C0842">
        <w:rPr>
          <w:rFonts w:eastAsia="SimSun"/>
          <w:spacing w:val="-4"/>
          <w:sz w:val="24"/>
          <w:szCs w:val="24"/>
          <w:lang w:val="en-GB"/>
        </w:rPr>
        <w:t>蒙特利尔全球生物多样性框架》</w:t>
      </w:r>
      <w:r w:rsidRPr="000C0842">
        <w:rPr>
          <w:rFonts w:eastAsia="SimSun"/>
          <w:spacing w:val="-4"/>
          <w:sz w:val="24"/>
          <w:szCs w:val="24"/>
          <w:vertAlign w:val="superscript"/>
          <w:lang w:val="en-GB"/>
        </w:rPr>
        <w:footnoteReference w:id="340"/>
      </w:r>
      <w:r w:rsidRPr="000C0842">
        <w:rPr>
          <w:rFonts w:eastAsia="SimSun"/>
          <w:spacing w:val="-4"/>
          <w:sz w:val="24"/>
          <w:szCs w:val="24"/>
          <w:lang w:val="en-GB"/>
        </w:rPr>
        <w:t>，</w:t>
      </w:r>
      <w:r w:rsidRPr="000C0842">
        <w:rPr>
          <w:rFonts w:eastAsia="SimSun"/>
          <w:spacing w:val="-4"/>
          <w:sz w:val="24"/>
          <w:szCs w:val="24"/>
          <w:lang w:val="en-GB"/>
        </w:rPr>
        <w:t xml:space="preserve"> </w:t>
      </w:r>
      <w:r w:rsidRPr="000C0842">
        <w:rPr>
          <w:rFonts w:eastAsia="SimSun"/>
          <w:spacing w:val="-4"/>
          <w:sz w:val="24"/>
          <w:szCs w:val="24"/>
          <w:lang w:val="en-GB"/>
        </w:rPr>
        <w:t>同时注意到，自愿补充</w:t>
      </w:r>
      <w:r w:rsidRPr="000C0842">
        <w:rPr>
          <w:rFonts w:eastAsia="SimSun" w:hint="eastAsia"/>
          <w:spacing w:val="-4"/>
          <w:sz w:val="24"/>
          <w:szCs w:val="24"/>
          <w:lang w:val="en-GB"/>
        </w:rPr>
        <w:t>措施</w:t>
      </w:r>
      <w:r w:rsidRPr="000C0842">
        <w:rPr>
          <w:rFonts w:eastAsia="SimSun"/>
          <w:spacing w:val="-4"/>
          <w:sz w:val="24"/>
          <w:szCs w:val="24"/>
          <w:lang w:val="en-GB"/>
        </w:rPr>
        <w:t>涉及陆上、内陆水域、海洋和沿海生态系统中的植物；</w:t>
      </w:r>
    </w:p>
    <w:p w14:paraId="2F692D0B"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spacing w:val="-4"/>
          <w:sz w:val="24"/>
          <w:szCs w:val="24"/>
          <w:lang w:val="en-GB"/>
        </w:rPr>
        <w:t>强调</w:t>
      </w:r>
      <w:r w:rsidRPr="000C0842">
        <w:rPr>
          <w:rFonts w:eastAsia="SimSun"/>
          <w:spacing w:val="-4"/>
          <w:sz w:val="24"/>
          <w:szCs w:val="24"/>
          <w:lang w:val="en-GB"/>
        </w:rPr>
        <w:t>应将</w:t>
      </w:r>
      <w:r w:rsidRPr="000C0842">
        <w:rPr>
          <w:rFonts w:eastAsia="SimSun" w:hint="eastAsia"/>
          <w:spacing w:val="-4"/>
          <w:sz w:val="24"/>
          <w:szCs w:val="24"/>
          <w:lang w:val="en-GB"/>
        </w:rPr>
        <w:t>有关植物保护的自愿</w:t>
      </w:r>
      <w:r w:rsidRPr="000C0842">
        <w:rPr>
          <w:rFonts w:eastAsia="SimSun"/>
          <w:spacing w:val="-4"/>
          <w:sz w:val="24"/>
          <w:szCs w:val="24"/>
          <w:lang w:val="en-GB"/>
        </w:rPr>
        <w:t>补充</w:t>
      </w:r>
      <w:r w:rsidRPr="000C0842">
        <w:rPr>
          <w:rFonts w:eastAsia="SimSun" w:hint="eastAsia"/>
          <w:spacing w:val="-4"/>
          <w:sz w:val="24"/>
          <w:szCs w:val="24"/>
          <w:lang w:val="en-GB"/>
        </w:rPr>
        <w:t>措施</w:t>
      </w:r>
      <w:r w:rsidRPr="000C0842">
        <w:rPr>
          <w:rFonts w:eastAsia="SimSun"/>
          <w:spacing w:val="-4"/>
          <w:sz w:val="24"/>
          <w:szCs w:val="24"/>
          <w:lang w:val="en-GB"/>
        </w:rPr>
        <w:t>视为一个灵活框架，可</w:t>
      </w:r>
      <w:r w:rsidRPr="000C0842">
        <w:rPr>
          <w:rFonts w:eastAsia="SimSun" w:hint="eastAsia"/>
          <w:spacing w:val="-4"/>
          <w:sz w:val="24"/>
          <w:szCs w:val="24"/>
          <w:lang w:val="en-GB"/>
        </w:rPr>
        <w:t>使用这个框架</w:t>
      </w:r>
      <w:r w:rsidRPr="000C0842">
        <w:rPr>
          <w:rFonts w:eastAsia="SimSun"/>
          <w:spacing w:val="-4"/>
          <w:sz w:val="24"/>
          <w:szCs w:val="24"/>
          <w:lang w:val="en-GB"/>
        </w:rPr>
        <w:t>根据国家优先事项和能力制定国家和区域</w:t>
      </w:r>
      <w:r w:rsidRPr="000C0842">
        <w:rPr>
          <w:rFonts w:eastAsia="SimSun" w:hint="eastAsia"/>
          <w:spacing w:val="-4"/>
          <w:sz w:val="24"/>
          <w:szCs w:val="24"/>
          <w:lang w:val="en-GB"/>
        </w:rPr>
        <w:t>行动</w:t>
      </w:r>
      <w:r w:rsidRPr="000C0842">
        <w:rPr>
          <w:rFonts w:eastAsia="SimSun"/>
          <w:spacing w:val="-4"/>
          <w:sz w:val="24"/>
          <w:szCs w:val="24"/>
          <w:lang w:val="en-GB"/>
        </w:rPr>
        <w:t>，</w:t>
      </w:r>
      <w:r w:rsidRPr="000C0842">
        <w:rPr>
          <w:rFonts w:eastAsia="SimSun" w:hint="eastAsia"/>
          <w:spacing w:val="-4"/>
          <w:sz w:val="24"/>
          <w:szCs w:val="24"/>
          <w:lang w:val="en-GB"/>
        </w:rPr>
        <w:t>同时顾及</w:t>
      </w:r>
      <w:r w:rsidRPr="000C0842">
        <w:rPr>
          <w:rFonts w:eastAsia="SimSun"/>
          <w:spacing w:val="-4"/>
          <w:sz w:val="24"/>
          <w:szCs w:val="24"/>
          <w:lang w:val="en-GB"/>
        </w:rPr>
        <w:t>各国植物多样性的差异</w:t>
      </w:r>
      <w:r w:rsidRPr="000C0842">
        <w:rPr>
          <w:rFonts w:eastAsia="SimSun" w:hint="eastAsia"/>
          <w:spacing w:val="-4"/>
          <w:sz w:val="24"/>
          <w:szCs w:val="24"/>
          <w:lang w:val="en-GB"/>
        </w:rPr>
        <w:t>和发展中国家面临的挑战</w:t>
      </w:r>
      <w:r w:rsidRPr="000C0842">
        <w:rPr>
          <w:rFonts w:eastAsia="SimSun"/>
          <w:spacing w:val="-4"/>
          <w:sz w:val="24"/>
          <w:szCs w:val="24"/>
          <w:lang w:val="en-GB"/>
        </w:rPr>
        <w:t>；</w:t>
      </w:r>
    </w:p>
    <w:p w14:paraId="70F1C7C0"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KaiTi" w:hint="eastAsia"/>
          <w:spacing w:val="-4"/>
          <w:sz w:val="24"/>
          <w:szCs w:val="24"/>
          <w:lang w:val="en-GB"/>
        </w:rPr>
        <w:t>邀请</w:t>
      </w:r>
      <w:r w:rsidRPr="000C0842">
        <w:rPr>
          <w:rFonts w:eastAsia="SimSun" w:hint="eastAsia"/>
          <w:spacing w:val="-4"/>
          <w:sz w:val="24"/>
          <w:szCs w:val="24"/>
          <w:lang w:val="en-GB"/>
        </w:rPr>
        <w:t>各</w:t>
      </w:r>
      <w:r w:rsidRPr="000C0842">
        <w:rPr>
          <w:rFonts w:eastAsia="SimSun"/>
          <w:spacing w:val="-4"/>
          <w:sz w:val="24"/>
          <w:szCs w:val="24"/>
          <w:lang w:val="en-GB"/>
        </w:rPr>
        <w:t>缔约方</w:t>
      </w:r>
      <w:r w:rsidRPr="000C0842">
        <w:rPr>
          <w:rFonts w:eastAsia="SimSun" w:hint="eastAsia"/>
          <w:spacing w:val="-4"/>
          <w:sz w:val="24"/>
          <w:szCs w:val="24"/>
          <w:lang w:val="en-GB"/>
        </w:rPr>
        <w:t>和</w:t>
      </w:r>
      <w:r w:rsidRPr="000C0842">
        <w:rPr>
          <w:rFonts w:eastAsia="SimSun"/>
          <w:spacing w:val="-4"/>
          <w:sz w:val="24"/>
          <w:szCs w:val="24"/>
          <w:lang w:val="en-GB"/>
        </w:rPr>
        <w:t>其他国家政府：</w:t>
      </w:r>
    </w:p>
    <w:p w14:paraId="0688F8E7" w14:textId="3974806D"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sz w:val="24"/>
          <w:szCs w:val="24"/>
          <w:lang w:val="en-GB"/>
        </w:rPr>
        <w:t>制定或更新与植物保护</w:t>
      </w:r>
      <w:r w:rsidRPr="000C0842">
        <w:rPr>
          <w:rFonts w:eastAsia="SimSun" w:hint="eastAsia"/>
          <w:sz w:val="24"/>
          <w:szCs w:val="24"/>
          <w:lang w:val="en-GB"/>
        </w:rPr>
        <w:t>相关</w:t>
      </w:r>
      <w:r w:rsidRPr="000C0842">
        <w:rPr>
          <w:rFonts w:eastAsia="SimSun"/>
          <w:sz w:val="24"/>
          <w:szCs w:val="24"/>
          <w:lang w:val="en-GB"/>
        </w:rPr>
        <w:t>的国家和区域行动，将其纳入相关计划、方案和倡议，包括</w:t>
      </w:r>
      <w:r w:rsidRPr="000C0842">
        <w:rPr>
          <w:rFonts w:eastAsia="SimSun" w:hint="eastAsia"/>
          <w:sz w:val="24"/>
          <w:szCs w:val="24"/>
          <w:lang w:val="en-GB"/>
        </w:rPr>
        <w:t>酌情纳入</w:t>
      </w:r>
      <w:r w:rsidRPr="000C0842">
        <w:rPr>
          <w:rFonts w:eastAsia="SimSun"/>
          <w:sz w:val="24"/>
          <w:szCs w:val="24"/>
          <w:lang w:val="en-GB"/>
        </w:rPr>
        <w:t>国家生物多样性战略和行动计划</w:t>
      </w:r>
      <w:r w:rsidRPr="000C0842">
        <w:rPr>
          <w:rFonts w:eastAsia="SimSun" w:hint="eastAsia"/>
          <w:sz w:val="24"/>
          <w:szCs w:val="24"/>
          <w:lang w:val="en-GB"/>
        </w:rPr>
        <w:t>以及部门性计划</w:t>
      </w:r>
      <w:r w:rsidRPr="000C0842">
        <w:rPr>
          <w:rFonts w:eastAsia="SimSun"/>
          <w:sz w:val="24"/>
          <w:szCs w:val="24"/>
          <w:lang w:val="en-GB"/>
        </w:rPr>
        <w:t>，并</w:t>
      </w:r>
      <w:r w:rsidRPr="000C0842">
        <w:rPr>
          <w:rFonts w:eastAsia="SimSun" w:hint="eastAsia"/>
          <w:sz w:val="24"/>
          <w:szCs w:val="24"/>
          <w:lang w:val="en-GB"/>
        </w:rPr>
        <w:t>在自愿基础上，酌情</w:t>
      </w:r>
      <w:r w:rsidRPr="000C0842">
        <w:rPr>
          <w:rFonts w:eastAsia="SimSun"/>
          <w:sz w:val="24"/>
          <w:szCs w:val="24"/>
          <w:lang w:val="en-GB"/>
        </w:rPr>
        <w:t>使</w:t>
      </w:r>
      <w:r w:rsidRPr="000C0842">
        <w:rPr>
          <w:rFonts w:eastAsia="SimSun" w:hint="eastAsia"/>
          <w:sz w:val="24"/>
          <w:szCs w:val="24"/>
          <w:lang w:val="en-GB"/>
        </w:rPr>
        <w:t>植物保护自愿补充措施</w:t>
      </w:r>
      <w:r w:rsidRPr="000C0842">
        <w:rPr>
          <w:rFonts w:eastAsia="SimSun"/>
          <w:sz w:val="24"/>
          <w:szCs w:val="24"/>
          <w:lang w:val="en-GB"/>
        </w:rPr>
        <w:t>与</w:t>
      </w:r>
      <w:r w:rsidRPr="000C0842">
        <w:rPr>
          <w:rFonts w:eastAsia="SimSun" w:hint="eastAsia"/>
          <w:sz w:val="24"/>
          <w:szCs w:val="24"/>
          <w:lang w:val="en-GB"/>
        </w:rPr>
        <w:t>执行</w:t>
      </w:r>
      <w:r w:rsidR="001A5C0A" w:rsidRPr="000C0842">
        <w:rPr>
          <w:rFonts w:eastAsia="SimSun" w:hint="eastAsia"/>
          <w:sz w:val="24"/>
          <w:szCs w:val="24"/>
          <w:lang w:val="en-GB"/>
        </w:rPr>
        <w:t>《昆蒙框架》</w:t>
      </w:r>
      <w:r w:rsidRPr="000C0842">
        <w:rPr>
          <w:rFonts w:eastAsia="SimSun" w:hint="eastAsia"/>
          <w:sz w:val="24"/>
          <w:szCs w:val="24"/>
          <w:lang w:val="en-GB"/>
        </w:rPr>
        <w:t>的国家和区域性</w:t>
      </w:r>
      <w:r w:rsidRPr="000C0842">
        <w:rPr>
          <w:rFonts w:eastAsia="SimSun"/>
          <w:sz w:val="24"/>
          <w:szCs w:val="24"/>
          <w:lang w:val="en-GB"/>
        </w:rPr>
        <w:t>努力保持一致；</w:t>
      </w:r>
    </w:p>
    <w:p w14:paraId="4FC17BFA" w14:textId="77777777"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ascii="SimSun" w:eastAsia="SimSun" w:hAnsi="SimSun" w:cs="SimSun" w:hint="eastAsia"/>
          <w:sz w:val="24"/>
          <w:szCs w:val="24"/>
          <w:lang w:val="en-GB"/>
        </w:rPr>
        <w:t>酌情将植物保护自愿补充措施</w:t>
      </w:r>
      <w:r w:rsidRPr="000C0842">
        <w:rPr>
          <w:rFonts w:eastAsia="SimSun" w:hint="eastAsia"/>
          <w:sz w:val="24"/>
          <w:szCs w:val="24"/>
          <w:lang w:val="en-GB"/>
        </w:rPr>
        <w:t>的进展情况纳入其国家报告工作；</w:t>
      </w:r>
    </w:p>
    <w:p w14:paraId="4CBDF94A" w14:textId="77777777"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sz w:val="24"/>
          <w:szCs w:val="24"/>
          <w:lang w:val="en-GB"/>
        </w:rPr>
        <w:t>回顾第</w:t>
      </w:r>
      <w:hyperlink r:id="rId206" w:history="1">
        <w:r w:rsidRPr="000C0842">
          <w:rPr>
            <w:rFonts w:eastAsia="SimSun"/>
            <w:sz w:val="24"/>
            <w:szCs w:val="24"/>
            <w:u w:val="single"/>
          </w:rPr>
          <w:t>VII/10</w:t>
        </w:r>
      </w:hyperlink>
      <w:r w:rsidRPr="000C0842">
        <w:rPr>
          <w:rFonts w:eastAsia="SimSun"/>
          <w:sz w:val="24"/>
          <w:szCs w:val="24"/>
          <w:lang w:val="en-GB"/>
        </w:rPr>
        <w:t>号决定第</w:t>
      </w:r>
      <w:r w:rsidRPr="000C0842">
        <w:rPr>
          <w:rFonts w:eastAsia="SimSun"/>
          <w:sz w:val="24"/>
          <w:szCs w:val="24"/>
          <w:lang w:val="en-GB"/>
        </w:rPr>
        <w:t>6</w:t>
      </w:r>
      <w:r w:rsidRPr="000C0842">
        <w:rPr>
          <w:rFonts w:eastAsia="SimSun"/>
          <w:sz w:val="24"/>
          <w:szCs w:val="24"/>
          <w:lang w:val="en-GB"/>
        </w:rPr>
        <w:t>段，</w:t>
      </w:r>
      <w:r w:rsidRPr="000C0842">
        <w:rPr>
          <w:rFonts w:eastAsia="SimSun" w:hint="eastAsia"/>
          <w:sz w:val="24"/>
          <w:szCs w:val="24"/>
          <w:lang w:val="en-GB"/>
        </w:rPr>
        <w:t>请</w:t>
      </w:r>
      <w:r w:rsidRPr="000C0842">
        <w:rPr>
          <w:rFonts w:eastAsia="SimSun"/>
          <w:sz w:val="24"/>
          <w:szCs w:val="24"/>
          <w:lang w:val="en-GB"/>
        </w:rPr>
        <w:t>尚未这样做的国家</w:t>
      </w:r>
      <w:r w:rsidRPr="000C0842">
        <w:rPr>
          <w:rFonts w:eastAsia="SimSun" w:hint="eastAsia"/>
          <w:sz w:val="24"/>
          <w:szCs w:val="24"/>
          <w:lang w:val="en-GB"/>
        </w:rPr>
        <w:t>考虑</w:t>
      </w:r>
      <w:r w:rsidRPr="000C0842">
        <w:rPr>
          <w:rFonts w:eastAsia="SimSun"/>
          <w:sz w:val="24"/>
          <w:szCs w:val="24"/>
          <w:lang w:val="en-GB"/>
        </w:rPr>
        <w:t>任命全球植物保护战略国家联络点，以加强国家协调和执行工作；</w:t>
      </w:r>
    </w:p>
    <w:p w14:paraId="2F11730F"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spacing w:val="-4"/>
          <w:sz w:val="24"/>
          <w:szCs w:val="24"/>
          <w:lang w:val="en-GB"/>
        </w:rPr>
        <w:t>邀请</w:t>
      </w:r>
      <w:r w:rsidRPr="000C0842">
        <w:rPr>
          <w:rFonts w:eastAsia="SimSun"/>
          <w:spacing w:val="-4"/>
          <w:sz w:val="24"/>
          <w:szCs w:val="24"/>
          <w:lang w:val="en-GB"/>
        </w:rPr>
        <w:t>相关国际</w:t>
      </w:r>
      <w:r w:rsidRPr="000C0842">
        <w:rPr>
          <w:rFonts w:eastAsia="SimSun" w:hint="eastAsia"/>
          <w:spacing w:val="-4"/>
          <w:sz w:val="24"/>
          <w:szCs w:val="24"/>
          <w:lang w:val="en-GB"/>
        </w:rPr>
        <w:t>、</w:t>
      </w:r>
      <w:r w:rsidRPr="000C0842">
        <w:rPr>
          <w:rFonts w:eastAsia="SimSun"/>
          <w:spacing w:val="-4"/>
          <w:sz w:val="24"/>
          <w:szCs w:val="24"/>
          <w:lang w:val="en-GB"/>
        </w:rPr>
        <w:t>区域</w:t>
      </w:r>
      <w:r w:rsidRPr="000C0842">
        <w:rPr>
          <w:rFonts w:eastAsia="SimSun" w:hint="eastAsia"/>
          <w:spacing w:val="-4"/>
          <w:sz w:val="24"/>
          <w:szCs w:val="24"/>
          <w:lang w:val="en-GB"/>
        </w:rPr>
        <w:t>和国家</w:t>
      </w:r>
      <w:r w:rsidRPr="000C0842">
        <w:rPr>
          <w:rFonts w:eastAsia="SimSun"/>
          <w:spacing w:val="-4"/>
          <w:sz w:val="24"/>
          <w:szCs w:val="24"/>
          <w:lang w:val="en-GB"/>
        </w:rPr>
        <w:t>组织</w:t>
      </w:r>
      <w:r w:rsidRPr="000C0842">
        <w:rPr>
          <w:rFonts w:eastAsia="SimSun" w:hint="eastAsia"/>
          <w:spacing w:val="-4"/>
          <w:sz w:val="24"/>
          <w:szCs w:val="24"/>
          <w:lang w:val="en-GB"/>
        </w:rPr>
        <w:t>根据各自的任务规定，酌情为实施植物保护自愿补充措施作出贡献；</w:t>
      </w:r>
    </w:p>
    <w:p w14:paraId="4B77E4DC"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spacing w:val="-4"/>
          <w:sz w:val="24"/>
          <w:szCs w:val="24"/>
          <w:lang w:val="en-GB"/>
        </w:rPr>
        <w:t>感谢</w:t>
      </w:r>
      <w:r w:rsidRPr="000C0842">
        <w:rPr>
          <w:rFonts w:eastAsia="SimSun"/>
          <w:spacing w:val="-4"/>
          <w:sz w:val="24"/>
          <w:szCs w:val="24"/>
          <w:lang w:val="en-GB"/>
        </w:rPr>
        <w:t>全球植物保护伙伴关系，包括国际植物园保护组织</w:t>
      </w:r>
      <w:r w:rsidRPr="000C0842">
        <w:rPr>
          <w:rFonts w:eastAsia="SimSun" w:hint="eastAsia"/>
          <w:spacing w:val="-4"/>
          <w:sz w:val="24"/>
          <w:szCs w:val="24"/>
          <w:lang w:val="en-GB"/>
        </w:rPr>
        <w:t>为其</w:t>
      </w:r>
      <w:r w:rsidRPr="000C0842">
        <w:rPr>
          <w:rFonts w:eastAsia="SimSun"/>
          <w:spacing w:val="-4"/>
          <w:sz w:val="24"/>
          <w:szCs w:val="24"/>
          <w:lang w:val="en-GB"/>
        </w:rPr>
        <w:t>提供的秘书处，支持</w:t>
      </w:r>
      <w:r w:rsidRPr="000C0842">
        <w:rPr>
          <w:rFonts w:eastAsia="SimSun" w:hint="eastAsia"/>
          <w:spacing w:val="-4"/>
          <w:sz w:val="24"/>
          <w:szCs w:val="24"/>
          <w:lang w:val="en-GB"/>
        </w:rPr>
        <w:t>制定植物保护自愿补充措施</w:t>
      </w:r>
      <w:r w:rsidRPr="000C0842">
        <w:rPr>
          <w:rFonts w:eastAsia="SimSun"/>
          <w:spacing w:val="-4"/>
          <w:sz w:val="24"/>
          <w:szCs w:val="24"/>
          <w:lang w:val="en-GB"/>
        </w:rPr>
        <w:t>的</w:t>
      </w:r>
      <w:r w:rsidRPr="000C0842">
        <w:rPr>
          <w:rFonts w:eastAsia="SimSun" w:hint="eastAsia"/>
          <w:spacing w:val="-4"/>
          <w:sz w:val="24"/>
          <w:szCs w:val="24"/>
          <w:lang w:val="en-GB"/>
        </w:rPr>
        <w:t>工作</w:t>
      </w:r>
      <w:r w:rsidRPr="000C0842">
        <w:rPr>
          <w:rFonts w:eastAsia="SimSun"/>
          <w:spacing w:val="-4"/>
          <w:sz w:val="24"/>
          <w:szCs w:val="24"/>
          <w:lang w:val="en-GB"/>
        </w:rPr>
        <w:t>；</w:t>
      </w:r>
    </w:p>
    <w:p w14:paraId="5193A0AA"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hint="eastAsia"/>
          <w:spacing w:val="-4"/>
          <w:sz w:val="24"/>
          <w:szCs w:val="24"/>
        </w:rPr>
        <w:t>邀请</w:t>
      </w:r>
      <w:r w:rsidRPr="000C0842">
        <w:rPr>
          <w:rFonts w:eastAsia="SimSun"/>
          <w:spacing w:val="-4"/>
          <w:sz w:val="24"/>
          <w:szCs w:val="24"/>
        </w:rPr>
        <w:t>缔约方、其他</w:t>
      </w:r>
      <w:r w:rsidRPr="000C0842">
        <w:rPr>
          <w:rFonts w:eastAsia="SimSun" w:hint="eastAsia"/>
          <w:spacing w:val="-4"/>
          <w:sz w:val="24"/>
          <w:szCs w:val="24"/>
        </w:rPr>
        <w:t>国家</w:t>
      </w:r>
      <w:r w:rsidRPr="000C0842">
        <w:rPr>
          <w:rFonts w:eastAsia="SimSun"/>
          <w:spacing w:val="-4"/>
          <w:sz w:val="24"/>
          <w:szCs w:val="24"/>
        </w:rPr>
        <w:t>政府、企业和其他相关组织支持与保护植物多样性相关的植物园举措</w:t>
      </w:r>
      <w:r w:rsidRPr="000C0842">
        <w:rPr>
          <w:rFonts w:eastAsia="SimSun"/>
          <w:spacing w:val="-4"/>
          <w:sz w:val="24"/>
          <w:szCs w:val="24"/>
        </w:rPr>
        <w:t>;</w:t>
      </w:r>
    </w:p>
    <w:p w14:paraId="2787844F"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pacing w:val="-4"/>
          <w:sz w:val="24"/>
          <w:szCs w:val="24"/>
          <w:lang w:val="en-GB"/>
        </w:rPr>
      </w:pPr>
      <w:r w:rsidRPr="000C0842">
        <w:rPr>
          <w:rFonts w:eastAsia="KaiTi" w:hint="eastAsia"/>
          <w:spacing w:val="-4"/>
          <w:sz w:val="24"/>
          <w:szCs w:val="24"/>
          <w:lang w:val="en-GB"/>
        </w:rPr>
        <w:t>邀请</w:t>
      </w:r>
      <w:r w:rsidRPr="000C0842">
        <w:rPr>
          <w:rFonts w:eastAsia="SimSun" w:hint="eastAsia"/>
          <w:spacing w:val="-4"/>
          <w:sz w:val="24"/>
          <w:szCs w:val="24"/>
          <w:lang w:val="en-GB"/>
        </w:rPr>
        <w:t>全球植物保护伙伴关系：</w:t>
      </w:r>
    </w:p>
    <w:p w14:paraId="14EB896B" w14:textId="77777777"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就利用《</w:t>
      </w:r>
      <w:r w:rsidRPr="000C0842">
        <w:rPr>
          <w:rFonts w:eastAsia="SimSun" w:hint="eastAsia"/>
          <w:sz w:val="24"/>
          <w:szCs w:val="24"/>
          <w:lang w:val="en-GB"/>
        </w:rPr>
        <w:t>昆明</w:t>
      </w:r>
      <w:r w:rsidRPr="000C0842">
        <w:rPr>
          <w:rFonts w:eastAsia="SimSun"/>
          <w:sz w:val="24"/>
          <w:szCs w:val="24"/>
          <w:lang w:val="en-GB"/>
        </w:rPr>
        <w:t>-</w:t>
      </w:r>
      <w:r w:rsidRPr="000C0842">
        <w:rPr>
          <w:rFonts w:eastAsia="SimSun" w:hint="eastAsia"/>
          <w:sz w:val="24"/>
          <w:szCs w:val="24"/>
          <w:lang w:val="en-GB"/>
        </w:rPr>
        <w:t>蒙特利尔全球生物多样性框架》的监测框架监测实施植物保护自愿补充措施的进展情况，包括查明差距，提供指导意见；</w:t>
      </w:r>
    </w:p>
    <w:p w14:paraId="2B03829F" w14:textId="77777777"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制定每一植物保护自愿补充措施的具体指标，</w:t>
      </w:r>
      <w:r w:rsidRPr="000C0842">
        <w:rPr>
          <w:rFonts w:ascii="SimSun" w:eastAsia="SimSun" w:hAnsi="SimSun" w:cs="SimSun"/>
          <w:sz w:val="24"/>
          <w:szCs w:val="24"/>
        </w:rPr>
        <w:t>确保</w:t>
      </w:r>
      <w:r w:rsidRPr="000C0842">
        <w:rPr>
          <w:rFonts w:ascii="SimSun" w:eastAsia="SimSun" w:hAnsi="SimSun" w:cs="SimSun" w:hint="eastAsia"/>
          <w:sz w:val="24"/>
          <w:szCs w:val="24"/>
        </w:rPr>
        <w:t>这些指标</w:t>
      </w:r>
      <w:r w:rsidRPr="000C0842">
        <w:rPr>
          <w:rFonts w:ascii="SimSun" w:eastAsia="SimSun" w:hAnsi="SimSun" w:cs="SimSun"/>
          <w:sz w:val="24"/>
          <w:szCs w:val="24"/>
        </w:rPr>
        <w:t>与</w:t>
      </w:r>
      <w:r w:rsidRPr="000C0842">
        <w:rPr>
          <w:rFonts w:ascii="SimSun" w:eastAsia="SimSun" w:hAnsi="SimSun" w:cs="SimSun" w:hint="eastAsia"/>
          <w:sz w:val="24"/>
          <w:szCs w:val="24"/>
          <w:lang w:val="en-GB"/>
        </w:rPr>
        <w:t>《</w:t>
      </w:r>
      <w:r w:rsidRPr="000C0842">
        <w:rPr>
          <w:rFonts w:eastAsia="SimSun" w:hint="eastAsia"/>
          <w:sz w:val="24"/>
          <w:szCs w:val="24"/>
          <w:lang w:val="en-GB"/>
        </w:rPr>
        <w:t>昆明</w:t>
      </w:r>
      <w:r w:rsidRPr="000C0842">
        <w:rPr>
          <w:rFonts w:eastAsia="SimSun"/>
          <w:sz w:val="24"/>
          <w:szCs w:val="24"/>
          <w:lang w:val="en-GB"/>
        </w:rPr>
        <w:t>-</w:t>
      </w:r>
      <w:r w:rsidRPr="000C0842">
        <w:rPr>
          <w:rFonts w:eastAsia="SimSun" w:hint="eastAsia"/>
          <w:sz w:val="24"/>
          <w:szCs w:val="24"/>
          <w:lang w:val="en-GB"/>
        </w:rPr>
        <w:t>蒙特利尔全球生物多样性框架》的监测框架</w:t>
      </w:r>
      <w:r w:rsidRPr="000C0842">
        <w:rPr>
          <w:rFonts w:ascii="SimSun" w:eastAsia="SimSun" w:hAnsi="SimSun" w:cs="SimSun"/>
          <w:sz w:val="24"/>
          <w:szCs w:val="24"/>
        </w:rPr>
        <w:t>保持一致，并酌情</w:t>
      </w:r>
      <w:r w:rsidRPr="000C0842">
        <w:rPr>
          <w:rFonts w:ascii="SimSun" w:eastAsia="SimSun" w:hAnsi="SimSun" w:cs="SimSun" w:hint="eastAsia"/>
          <w:sz w:val="24"/>
          <w:szCs w:val="24"/>
        </w:rPr>
        <w:t>确保这些指标</w:t>
      </w:r>
      <w:r w:rsidRPr="000C0842">
        <w:rPr>
          <w:rFonts w:ascii="SimSun" w:eastAsia="SimSun" w:hAnsi="SimSun" w:cs="SimSun"/>
          <w:sz w:val="24"/>
          <w:szCs w:val="24"/>
        </w:rPr>
        <w:t>与其他多边进程下制定的指标保持一致</w:t>
      </w:r>
      <w:r w:rsidRPr="000C0842">
        <w:rPr>
          <w:rFonts w:ascii="SimSun" w:eastAsia="SimSun" w:hAnsi="SimSun" w:cs="SimSun" w:hint="eastAsia"/>
          <w:sz w:val="24"/>
          <w:szCs w:val="24"/>
          <w:lang w:val="en-GB"/>
        </w:rPr>
        <w:t>；</w:t>
      </w:r>
    </w:p>
    <w:p w14:paraId="40B6E2CE" w14:textId="77777777" w:rsidR="00382AC2" w:rsidRPr="000C0842" w:rsidRDefault="00382AC2">
      <w:pPr>
        <w:numPr>
          <w:ilvl w:val="1"/>
          <w:numId w:val="97"/>
        </w:num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制定自愿报告实施植物保护自愿补充措施进展情况的模板；</w:t>
      </w:r>
    </w:p>
    <w:p w14:paraId="4327D8E5" w14:textId="77777777" w:rsidR="00382AC2" w:rsidRPr="000C0842" w:rsidRDefault="00382AC2">
      <w:pPr>
        <w:numPr>
          <w:ilvl w:val="0"/>
          <w:numId w:val="97"/>
        </w:numPr>
        <w:tabs>
          <w:tab w:val="clear" w:pos="567"/>
          <w:tab w:val="clear" w:pos="1134"/>
          <w:tab w:val="clear" w:pos="1701"/>
          <w:tab w:val="clear" w:pos="2268"/>
        </w:tabs>
        <w:adjustRightInd w:val="0"/>
        <w:snapToGrid w:val="0"/>
        <w:spacing w:before="120" w:after="120"/>
        <w:ind w:left="490" w:firstLine="490"/>
        <w:rPr>
          <w:rFonts w:eastAsia="SimSun"/>
          <w:sz w:val="24"/>
          <w:szCs w:val="24"/>
          <w:lang w:val="en-GB"/>
        </w:rPr>
      </w:pPr>
      <w:r w:rsidRPr="000C0842">
        <w:rPr>
          <w:rFonts w:eastAsia="SimSun" w:hint="eastAsia"/>
          <w:sz w:val="24"/>
          <w:szCs w:val="24"/>
          <w:lang w:val="en-GB"/>
        </w:rPr>
        <w:t>在资源允许的情况下</w:t>
      </w:r>
      <w:r w:rsidRPr="000C0842">
        <w:rPr>
          <w:rFonts w:ascii="SimSun" w:eastAsia="SimSun" w:hAnsi="SimSun" w:cs="SimSun" w:hint="eastAsia"/>
          <w:sz w:val="24"/>
          <w:szCs w:val="24"/>
          <w:lang w:val="en-GB"/>
        </w:rPr>
        <w:t>，</w:t>
      </w:r>
      <w:r w:rsidRPr="000C0842">
        <w:rPr>
          <w:rFonts w:ascii="KaiTi" w:eastAsia="KaiTi" w:hAnsi="KaiTi" w:cs="SimSun" w:hint="eastAsia"/>
          <w:sz w:val="24"/>
          <w:szCs w:val="24"/>
          <w:lang w:val="en-GB"/>
        </w:rPr>
        <w:t>邀请</w:t>
      </w:r>
      <w:r w:rsidRPr="000C0842">
        <w:rPr>
          <w:rFonts w:eastAsia="SimSun"/>
          <w:sz w:val="24"/>
          <w:szCs w:val="24"/>
          <w:lang w:val="en-GB"/>
        </w:rPr>
        <w:t>第</w:t>
      </w:r>
      <w:hyperlink r:id="rId207" w:history="1">
        <w:r w:rsidRPr="000C0842">
          <w:rPr>
            <w:rFonts w:eastAsia="SimSun"/>
            <w:sz w:val="24"/>
            <w:szCs w:val="24"/>
            <w:u w:val="single"/>
          </w:rPr>
          <w:t>VII/10</w:t>
        </w:r>
      </w:hyperlink>
      <w:r w:rsidRPr="000C0842">
        <w:rPr>
          <w:rFonts w:eastAsia="SimSun"/>
          <w:sz w:val="24"/>
          <w:szCs w:val="24"/>
          <w:lang w:val="en-GB"/>
        </w:rPr>
        <w:t>号决定</w:t>
      </w:r>
      <w:r w:rsidRPr="000C0842">
        <w:rPr>
          <w:rFonts w:eastAsia="SimSun" w:hint="eastAsia"/>
          <w:sz w:val="24"/>
          <w:szCs w:val="24"/>
          <w:lang w:val="en-GB"/>
        </w:rPr>
        <w:t>所设全球植物保护</w:t>
      </w:r>
      <w:r w:rsidRPr="000C0842">
        <w:rPr>
          <w:rFonts w:eastAsia="SimSun"/>
          <w:sz w:val="24"/>
          <w:szCs w:val="24"/>
          <w:lang w:val="en-GB"/>
        </w:rPr>
        <w:t>战略灵活协调机制履行支持缔约方</w:t>
      </w:r>
      <w:r w:rsidRPr="000C0842">
        <w:rPr>
          <w:rFonts w:eastAsia="SimSun" w:hint="eastAsia"/>
          <w:sz w:val="24"/>
          <w:szCs w:val="24"/>
          <w:lang w:val="en-GB"/>
        </w:rPr>
        <w:t>实施植物保护自愿补充措施</w:t>
      </w:r>
      <w:r w:rsidRPr="000C0842">
        <w:rPr>
          <w:rFonts w:eastAsia="SimSun"/>
          <w:sz w:val="24"/>
          <w:szCs w:val="24"/>
          <w:lang w:val="en-GB"/>
        </w:rPr>
        <w:t>的任务</w:t>
      </w:r>
      <w:r w:rsidRPr="000C0842">
        <w:rPr>
          <w:rFonts w:eastAsia="SimSun" w:hint="eastAsia"/>
          <w:sz w:val="24"/>
          <w:szCs w:val="24"/>
          <w:lang w:val="en-GB"/>
        </w:rPr>
        <w:t>，同时认识到有</w:t>
      </w:r>
      <w:r w:rsidRPr="000C0842">
        <w:rPr>
          <w:rFonts w:eastAsia="SimSun" w:hint="eastAsia"/>
          <w:spacing w:val="-4"/>
          <w:sz w:val="24"/>
          <w:szCs w:val="24"/>
          <w:lang w:val="en-GB"/>
        </w:rPr>
        <w:t>必要</w:t>
      </w:r>
      <w:r w:rsidRPr="000C0842">
        <w:rPr>
          <w:rFonts w:eastAsia="SimSun" w:hint="eastAsia"/>
          <w:sz w:val="24"/>
          <w:szCs w:val="24"/>
          <w:lang w:val="en-GB"/>
        </w:rPr>
        <w:t>强化国际合作，包括促进科技合作、能力建设和技术转让，以期增强各国特别是发展中国家的能力；</w:t>
      </w:r>
    </w:p>
    <w:p w14:paraId="6AB89DC8" w14:textId="1F613A27" w:rsidR="00382AC2" w:rsidRPr="000C0842" w:rsidRDefault="00382AC2" w:rsidP="00382AC2">
      <w:pPr>
        <w:tabs>
          <w:tab w:val="clear" w:pos="567"/>
          <w:tab w:val="clear" w:pos="1134"/>
          <w:tab w:val="clear" w:pos="1701"/>
          <w:tab w:val="clear" w:pos="2268"/>
        </w:tabs>
        <w:adjustRightInd w:val="0"/>
        <w:snapToGrid w:val="0"/>
        <w:spacing w:before="120" w:after="120"/>
        <w:ind w:left="490" w:firstLine="490"/>
        <w:jc w:val="left"/>
        <w:rPr>
          <w:rFonts w:ascii="SimSun" w:eastAsia="SimSun" w:hAnsi="SimSun" w:cs="SimSun"/>
          <w:sz w:val="24"/>
          <w:szCs w:val="24"/>
          <w:lang w:val="en-CA"/>
        </w:rPr>
      </w:pPr>
      <w:r w:rsidRPr="000C0842">
        <w:rPr>
          <w:rFonts w:eastAsia="SimSun" w:hint="eastAsia"/>
          <w:sz w:val="24"/>
          <w:szCs w:val="24"/>
          <w:lang w:val="en-GB"/>
        </w:rPr>
        <w:t>9.</w:t>
      </w:r>
      <w:r w:rsidRPr="000C0842">
        <w:rPr>
          <w:rFonts w:eastAsia="SimSun"/>
          <w:sz w:val="24"/>
          <w:szCs w:val="24"/>
          <w:lang w:val="en-GB"/>
        </w:rPr>
        <w:tab/>
      </w:r>
      <w:r w:rsidRPr="000C0842">
        <w:rPr>
          <w:rFonts w:ascii="KaiTi" w:eastAsia="KaiTi" w:hAnsi="KaiTi" w:cs="SimSun" w:hint="eastAsia"/>
          <w:sz w:val="24"/>
          <w:szCs w:val="24"/>
          <w:lang w:val="en-CA"/>
        </w:rPr>
        <w:t>邀请</w:t>
      </w:r>
      <w:r w:rsidRPr="000C0842">
        <w:rPr>
          <w:rFonts w:ascii="SimSun" w:eastAsia="SimSun" w:hAnsi="SimSun" w:cs="SimSun" w:hint="eastAsia"/>
          <w:sz w:val="24"/>
          <w:szCs w:val="24"/>
          <w:lang w:val="en-CA"/>
        </w:rPr>
        <w:t>缔约方根据《生物多样性公约》</w:t>
      </w:r>
      <w:r w:rsidRPr="000C0842">
        <w:rPr>
          <w:rFonts w:eastAsia="Times New Roman"/>
          <w:sz w:val="24"/>
          <w:szCs w:val="24"/>
          <w:vertAlign w:val="superscript"/>
          <w:lang w:val="en-CA"/>
        </w:rPr>
        <w:footnoteReference w:id="341"/>
      </w:r>
      <w:r w:rsidRPr="000C0842">
        <w:rPr>
          <w:rFonts w:ascii="SimSun" w:eastAsia="SimSun" w:hAnsi="SimSun" w:cs="SimSun" w:hint="eastAsia"/>
          <w:sz w:val="24"/>
          <w:szCs w:val="24"/>
          <w:lang w:val="en-CA"/>
        </w:rPr>
        <w:t>第</w:t>
      </w:r>
      <w:r w:rsidRPr="000C0842">
        <w:rPr>
          <w:rFonts w:eastAsia="Times New Roman" w:hint="eastAsia"/>
          <w:sz w:val="24"/>
          <w:szCs w:val="24"/>
          <w:lang w:val="en-CA"/>
        </w:rPr>
        <w:t>2</w:t>
      </w:r>
      <w:r w:rsidRPr="000C0842">
        <w:rPr>
          <w:rFonts w:eastAsia="Times New Roman"/>
          <w:sz w:val="24"/>
          <w:szCs w:val="24"/>
          <w:lang w:val="en-CA"/>
        </w:rPr>
        <w:t>0</w:t>
      </w:r>
      <w:r w:rsidRPr="000C0842">
        <w:rPr>
          <w:rFonts w:ascii="SimSun" w:eastAsia="SimSun" w:hAnsi="SimSun" w:cs="SimSun" w:hint="eastAsia"/>
          <w:sz w:val="24"/>
          <w:szCs w:val="24"/>
          <w:lang w:val="en-CA"/>
        </w:rPr>
        <w:t>条</w:t>
      </w:r>
      <w:r w:rsidRPr="000C0842">
        <w:rPr>
          <w:rFonts w:eastAsia="SimSun"/>
          <w:sz w:val="24"/>
          <w:szCs w:val="24"/>
          <w:lang w:val="en-CA"/>
        </w:rPr>
        <w:t>和第</w:t>
      </w:r>
      <w:r w:rsidRPr="000C0842">
        <w:rPr>
          <w:rFonts w:eastAsia="SimSun"/>
          <w:sz w:val="24"/>
          <w:szCs w:val="24"/>
          <w:lang w:val="en-CA"/>
        </w:rPr>
        <w:t>21</w:t>
      </w:r>
      <w:r w:rsidRPr="000C0842">
        <w:rPr>
          <w:rFonts w:eastAsia="SimSun"/>
          <w:sz w:val="24"/>
          <w:szCs w:val="24"/>
          <w:lang w:val="en-CA"/>
        </w:rPr>
        <w:t>条，</w:t>
      </w:r>
      <w:r w:rsidRPr="000C0842">
        <w:rPr>
          <w:rFonts w:ascii="SimSun" w:eastAsia="SimSun" w:hAnsi="SimSun" w:cs="SimSun" w:hint="eastAsia"/>
          <w:sz w:val="24"/>
          <w:szCs w:val="24"/>
          <w:lang w:val="en-CA"/>
        </w:rPr>
        <w:t>并邀请各相关组织，酌情提供资金和技术支持，使发展中国家缔约方，特别是最不发达国家和小岛屿发展中国家以及经济转型国家缔约方能够执行植物保护自愿补充措施，并提交所取得进展的国家报告。</w:t>
      </w:r>
    </w:p>
    <w:p w14:paraId="14E081D0" w14:textId="77777777" w:rsidR="00382AC2" w:rsidRPr="000C0842" w:rsidRDefault="00382AC2" w:rsidP="00E307C9">
      <w:pPr>
        <w:tabs>
          <w:tab w:val="clear" w:pos="567"/>
          <w:tab w:val="clear" w:pos="1134"/>
          <w:tab w:val="clear" w:pos="1701"/>
          <w:tab w:val="clear" w:pos="2268"/>
        </w:tabs>
        <w:adjustRightInd w:val="0"/>
        <w:snapToGrid w:val="0"/>
        <w:spacing w:before="240"/>
        <w:ind w:firstLine="490"/>
        <w:jc w:val="left"/>
        <w:rPr>
          <w:rFonts w:ascii="SimSun" w:eastAsia="SimSun" w:hAnsi="SimSun" w:cs="SimSun"/>
          <w:b/>
          <w:sz w:val="24"/>
          <w:szCs w:val="24"/>
          <w:lang w:val="en-GB"/>
        </w:rPr>
      </w:pPr>
      <w:r w:rsidRPr="000C0842">
        <w:rPr>
          <w:rFonts w:ascii="SimSun" w:eastAsia="SimSun" w:hAnsi="SimSun" w:cs="SimSun" w:hint="eastAsia"/>
          <w:b/>
          <w:sz w:val="24"/>
          <w:szCs w:val="24"/>
          <w:lang w:val="en-GB"/>
        </w:rPr>
        <w:t>附件</w:t>
      </w:r>
    </w:p>
    <w:p w14:paraId="03E0BC91" w14:textId="77777777" w:rsidR="00382AC2" w:rsidRPr="000C0842" w:rsidRDefault="00382AC2" w:rsidP="00382AC2">
      <w:pPr>
        <w:tabs>
          <w:tab w:val="clear" w:pos="567"/>
          <w:tab w:val="clear" w:pos="1134"/>
          <w:tab w:val="clear" w:pos="1701"/>
          <w:tab w:val="clear" w:pos="2268"/>
        </w:tabs>
        <w:spacing w:after="120"/>
        <w:ind w:firstLine="490"/>
        <w:rPr>
          <w:rFonts w:eastAsia="SimSun"/>
          <w:b/>
          <w:spacing w:val="5"/>
          <w:kern w:val="28"/>
          <w:sz w:val="28"/>
          <w:szCs w:val="28"/>
          <w:lang w:val="en-GB"/>
          <w14:ligatures w14:val="standardContextual"/>
        </w:rPr>
      </w:pPr>
      <w:r w:rsidRPr="000C0842">
        <w:rPr>
          <w:rFonts w:eastAsia="SimSun"/>
          <w:b/>
          <w:bCs/>
          <w:spacing w:val="5"/>
          <w:kern w:val="28"/>
          <w:sz w:val="24"/>
          <w:szCs w:val="24"/>
          <w:lang w:val="en-GB"/>
          <w14:ligatures w14:val="standardContextual"/>
        </w:rPr>
        <w:t>支持</w:t>
      </w:r>
      <w:r w:rsidRPr="000C0842">
        <w:rPr>
          <w:rFonts w:eastAsia="SimSun" w:hint="eastAsia"/>
          <w:b/>
          <w:bCs/>
          <w:spacing w:val="5"/>
          <w:kern w:val="28"/>
          <w:sz w:val="24"/>
          <w:szCs w:val="24"/>
          <w:lang w:val="en-GB"/>
          <w14:ligatures w14:val="standardContextual"/>
        </w:rPr>
        <w:t>执行</w:t>
      </w:r>
      <w:r w:rsidRPr="000C0842">
        <w:rPr>
          <w:rFonts w:eastAsia="SimSun"/>
          <w:b/>
          <w:bCs/>
          <w:spacing w:val="5"/>
          <w:kern w:val="28"/>
          <w:sz w:val="24"/>
          <w:szCs w:val="24"/>
          <w:lang w:val="en-GB"/>
          <w14:ligatures w14:val="standardContextual"/>
        </w:rPr>
        <w:t>《昆明</w:t>
      </w:r>
      <w:r w:rsidRPr="000C0842">
        <w:rPr>
          <w:rFonts w:eastAsia="SimSun"/>
          <w:b/>
          <w:bCs/>
          <w:spacing w:val="5"/>
          <w:kern w:val="28"/>
          <w:sz w:val="24"/>
          <w:szCs w:val="24"/>
          <w:lang w:val="en-GB"/>
          <w14:ligatures w14:val="standardContextual"/>
        </w:rPr>
        <w:t>-</w:t>
      </w:r>
      <w:r w:rsidRPr="000C0842">
        <w:rPr>
          <w:rFonts w:eastAsia="SimSun"/>
          <w:b/>
          <w:bCs/>
          <w:spacing w:val="5"/>
          <w:kern w:val="28"/>
          <w:sz w:val="24"/>
          <w:szCs w:val="24"/>
          <w:lang w:val="en-GB"/>
          <w14:ligatures w14:val="standardContextual"/>
        </w:rPr>
        <w:t>蒙特利尔全球生物多样性框架》</w:t>
      </w:r>
      <w:r w:rsidRPr="000C0842">
        <w:rPr>
          <w:rFonts w:eastAsia="SimSun" w:hint="eastAsia"/>
          <w:b/>
          <w:bCs/>
          <w:spacing w:val="5"/>
          <w:kern w:val="28"/>
          <w:sz w:val="24"/>
          <w:szCs w:val="24"/>
          <w:lang w:val="en-GB"/>
          <w14:ligatures w14:val="standardContextual"/>
        </w:rPr>
        <w:t>的</w:t>
      </w:r>
      <w:r w:rsidRPr="000C0842">
        <w:rPr>
          <w:rFonts w:eastAsia="SimSun"/>
          <w:b/>
          <w:bCs/>
          <w:spacing w:val="5"/>
          <w:kern w:val="28"/>
          <w:sz w:val="24"/>
          <w:szCs w:val="24"/>
          <w:lang w:val="en-GB"/>
          <w14:ligatures w14:val="standardContextual"/>
        </w:rPr>
        <w:t>植物保护自愿补充措施</w:t>
      </w:r>
    </w:p>
    <w:tbl>
      <w:tblPr>
        <w:tblStyle w:val="TableGrid103"/>
        <w:tblW w:w="9355" w:type="dxa"/>
        <w:tblLook w:val="04A0" w:firstRow="1" w:lastRow="0" w:firstColumn="1" w:lastColumn="0" w:noHBand="0" w:noVBand="1"/>
      </w:tblPr>
      <w:tblGrid>
        <w:gridCol w:w="4675"/>
        <w:gridCol w:w="4680"/>
      </w:tblGrid>
      <w:tr w:rsidR="000C0842" w:rsidRPr="000C0842" w14:paraId="07CCE938" w14:textId="77777777" w:rsidTr="00382AC2">
        <w:trPr>
          <w:trHeight w:val="300"/>
          <w:tblHeader/>
        </w:trPr>
        <w:tc>
          <w:tcPr>
            <w:tcW w:w="4675" w:type="dxa"/>
            <w:shd w:val="clear" w:color="auto" w:fill="D9D9D9"/>
            <w:tcMar>
              <w:top w:w="58" w:type="dxa"/>
              <w:left w:w="115" w:type="dxa"/>
              <w:bottom w:w="58" w:type="dxa"/>
              <w:right w:w="115" w:type="dxa"/>
            </w:tcMar>
            <w:vAlign w:val="bottom"/>
          </w:tcPr>
          <w:p w14:paraId="5FAEBC66" w14:textId="77777777" w:rsidR="00382AC2" w:rsidRPr="000C0842" w:rsidRDefault="00382AC2" w:rsidP="00382AC2">
            <w:pPr>
              <w:tabs>
                <w:tab w:val="clear" w:pos="567"/>
                <w:tab w:val="clear" w:pos="1134"/>
                <w:tab w:val="clear" w:pos="1701"/>
                <w:tab w:val="clear" w:pos="2268"/>
              </w:tabs>
              <w:spacing w:before="120" w:after="120"/>
              <w:jc w:val="center"/>
              <w:rPr>
                <w:rFonts w:eastAsia="KaiTi" w:cs="Times New Roman"/>
                <w:bCs/>
                <w:spacing w:val="-10"/>
                <w:kern w:val="0"/>
                <w:sz w:val="20"/>
                <w:szCs w:val="20"/>
                <w:lang w:val="en-GB" w:eastAsia="zh-CN"/>
              </w:rPr>
            </w:pPr>
            <w:r w:rsidRPr="000C0842">
              <w:rPr>
                <w:rFonts w:eastAsia="KaiTi" w:cs="Times New Roman"/>
                <w:bCs/>
                <w:spacing w:val="-10"/>
                <w:kern w:val="0"/>
                <w:sz w:val="20"/>
                <w:szCs w:val="20"/>
                <w:lang w:val="en-GB" w:eastAsia="zh-CN"/>
              </w:rPr>
              <w:t>《昆明</w:t>
            </w:r>
            <w:r w:rsidRPr="000C0842">
              <w:rPr>
                <w:rFonts w:eastAsia="KaiTi" w:cs="Times New Roman"/>
                <w:bCs/>
                <w:spacing w:val="-10"/>
                <w:kern w:val="0"/>
                <w:sz w:val="20"/>
                <w:szCs w:val="20"/>
                <w:lang w:val="en-GB" w:eastAsia="zh-CN"/>
              </w:rPr>
              <w:t>-</w:t>
            </w:r>
            <w:r w:rsidRPr="000C0842">
              <w:rPr>
                <w:rFonts w:eastAsia="KaiTi" w:cs="Times New Roman"/>
                <w:bCs/>
                <w:spacing w:val="-10"/>
                <w:kern w:val="0"/>
                <w:sz w:val="20"/>
                <w:szCs w:val="20"/>
                <w:lang w:val="en-GB" w:eastAsia="zh-CN"/>
              </w:rPr>
              <w:t>蒙特利尔全球生物多样性框架》的</w:t>
            </w:r>
            <w:r w:rsidRPr="000C0842">
              <w:rPr>
                <w:rFonts w:eastAsia="KaiTi" w:cs="Times New Roman" w:hint="eastAsia"/>
                <w:bCs/>
                <w:spacing w:val="-10"/>
                <w:kern w:val="0"/>
                <w:sz w:val="20"/>
                <w:szCs w:val="20"/>
                <w:lang w:val="en-GB" w:eastAsia="zh-CN"/>
              </w:rPr>
              <w:t>行动</w:t>
            </w:r>
            <w:r w:rsidRPr="000C0842">
              <w:rPr>
                <w:rFonts w:eastAsia="KaiTi" w:cs="Times New Roman"/>
                <w:bCs/>
                <w:spacing w:val="-10"/>
                <w:kern w:val="0"/>
                <w:sz w:val="20"/>
                <w:szCs w:val="20"/>
                <w:lang w:val="en-GB" w:eastAsia="zh-CN"/>
              </w:rPr>
              <w:t>目标</w:t>
            </w:r>
          </w:p>
        </w:tc>
        <w:tc>
          <w:tcPr>
            <w:tcW w:w="4680" w:type="dxa"/>
            <w:shd w:val="clear" w:color="auto" w:fill="D9D9D9"/>
            <w:tcMar>
              <w:top w:w="58" w:type="dxa"/>
              <w:left w:w="115" w:type="dxa"/>
              <w:bottom w:w="58" w:type="dxa"/>
              <w:right w:w="115" w:type="dxa"/>
            </w:tcMar>
            <w:vAlign w:val="bottom"/>
          </w:tcPr>
          <w:p w14:paraId="4D7E77F6" w14:textId="77777777" w:rsidR="00382AC2" w:rsidRPr="000C0842" w:rsidRDefault="00382AC2" w:rsidP="00382AC2">
            <w:pPr>
              <w:tabs>
                <w:tab w:val="clear" w:pos="567"/>
                <w:tab w:val="clear" w:pos="1134"/>
                <w:tab w:val="clear" w:pos="1701"/>
                <w:tab w:val="clear" w:pos="2268"/>
              </w:tabs>
              <w:spacing w:before="120" w:after="120"/>
              <w:jc w:val="center"/>
              <w:rPr>
                <w:rFonts w:eastAsia="KaiTi" w:cs="Times New Roman"/>
                <w:bCs/>
                <w:kern w:val="0"/>
                <w:sz w:val="20"/>
                <w:szCs w:val="20"/>
                <w:lang w:val="en-GB" w:eastAsia="zh-CN"/>
              </w:rPr>
            </w:pPr>
            <w:r w:rsidRPr="000C0842">
              <w:rPr>
                <w:rFonts w:eastAsia="KaiTi" w:cs="Times New Roman"/>
                <w:bCs/>
                <w:kern w:val="0"/>
                <w:sz w:val="20"/>
                <w:szCs w:val="20"/>
                <w:lang w:val="en-GB" w:eastAsia="zh-CN"/>
              </w:rPr>
              <w:t>202</w:t>
            </w:r>
            <w:r w:rsidRPr="000C0842">
              <w:rPr>
                <w:rFonts w:eastAsia="KaiTi" w:cs="Times New Roman" w:hint="eastAsia"/>
                <w:bCs/>
                <w:kern w:val="0"/>
                <w:sz w:val="20"/>
                <w:szCs w:val="20"/>
                <w:lang w:val="en-GB" w:eastAsia="zh-CN"/>
              </w:rPr>
              <w:t>4</w:t>
            </w:r>
            <w:r w:rsidRPr="000C0842">
              <w:rPr>
                <w:rFonts w:eastAsia="KaiTi" w:cs="Times New Roman"/>
                <w:bCs/>
                <w:kern w:val="0"/>
                <w:sz w:val="20"/>
                <w:szCs w:val="20"/>
                <w:lang w:val="en-GB" w:eastAsia="zh-CN"/>
              </w:rPr>
              <w:t>-2030</w:t>
            </w:r>
            <w:r w:rsidRPr="000C0842">
              <w:rPr>
                <w:rFonts w:eastAsia="KaiTi" w:cs="Times New Roman"/>
                <w:bCs/>
                <w:kern w:val="0"/>
                <w:sz w:val="20"/>
                <w:szCs w:val="20"/>
                <w:lang w:val="en-GB" w:eastAsia="zh-CN"/>
              </w:rPr>
              <w:t>年期间的</w:t>
            </w:r>
            <w:r w:rsidRPr="000C0842">
              <w:rPr>
                <w:rFonts w:eastAsia="KaiTi" w:cs="Times New Roman" w:hint="eastAsia"/>
                <w:bCs/>
                <w:kern w:val="0"/>
                <w:sz w:val="20"/>
                <w:szCs w:val="20"/>
                <w:lang w:val="en-GB" w:eastAsia="zh-CN"/>
              </w:rPr>
              <w:t>自愿</w:t>
            </w:r>
            <w:r w:rsidRPr="000C0842">
              <w:rPr>
                <w:rFonts w:eastAsia="KaiTi" w:cs="Times New Roman"/>
                <w:bCs/>
                <w:kern w:val="0"/>
                <w:sz w:val="20"/>
                <w:szCs w:val="20"/>
                <w:lang w:val="en-GB" w:eastAsia="zh-CN"/>
              </w:rPr>
              <w:t>补充</w:t>
            </w:r>
            <w:r w:rsidRPr="000C0842">
              <w:rPr>
                <w:rFonts w:eastAsia="KaiTi" w:cs="Times New Roman" w:hint="eastAsia"/>
                <w:bCs/>
                <w:kern w:val="0"/>
                <w:sz w:val="20"/>
                <w:szCs w:val="20"/>
                <w:lang w:val="en-GB" w:eastAsia="zh-CN"/>
              </w:rPr>
              <w:t>措施</w:t>
            </w:r>
          </w:p>
        </w:tc>
      </w:tr>
      <w:tr w:rsidR="000C0842" w:rsidRPr="000C0842" w14:paraId="5219369B" w14:textId="77777777" w:rsidTr="001F32B3">
        <w:trPr>
          <w:trHeight w:val="300"/>
        </w:trPr>
        <w:tc>
          <w:tcPr>
            <w:tcW w:w="9355" w:type="dxa"/>
            <w:gridSpan w:val="2"/>
            <w:tcMar>
              <w:top w:w="58" w:type="dxa"/>
              <w:left w:w="115" w:type="dxa"/>
              <w:bottom w:w="58" w:type="dxa"/>
              <w:right w:w="115" w:type="dxa"/>
            </w:tcMar>
          </w:tcPr>
          <w:p w14:paraId="5B1BBC72" w14:textId="77777777" w:rsidR="00382AC2" w:rsidRPr="000C0842" w:rsidRDefault="00382AC2" w:rsidP="00382AC2">
            <w:pPr>
              <w:tabs>
                <w:tab w:val="clear" w:pos="567"/>
                <w:tab w:val="clear" w:pos="1134"/>
                <w:tab w:val="clear" w:pos="1701"/>
                <w:tab w:val="clear" w:pos="2268"/>
              </w:tabs>
              <w:spacing w:before="120" w:after="120"/>
              <w:ind w:left="310" w:hanging="310"/>
              <w:jc w:val="left"/>
              <w:rPr>
                <w:rFonts w:cs="Times New Roman"/>
                <w:b/>
                <w:bCs/>
                <w:kern w:val="0"/>
                <w:sz w:val="20"/>
                <w:szCs w:val="20"/>
                <w:lang w:val="en-GB" w:eastAsia="zh-CN"/>
              </w:rPr>
            </w:pPr>
            <w:r w:rsidRPr="000C0842">
              <w:rPr>
                <w:rFonts w:cs="Times New Roman"/>
                <w:b/>
                <w:bCs/>
                <w:kern w:val="0"/>
                <w:sz w:val="20"/>
                <w:szCs w:val="20"/>
                <w:lang w:val="en-GB" w:eastAsia="zh-CN"/>
              </w:rPr>
              <w:t>1.</w:t>
            </w:r>
            <w:r w:rsidRPr="000C0842">
              <w:rPr>
                <w:rFonts w:cs="Times New Roman"/>
                <w:b/>
                <w:bCs/>
                <w:kern w:val="0"/>
                <w:sz w:val="20"/>
                <w:szCs w:val="20"/>
                <w:lang w:val="en-GB" w:eastAsia="zh-CN"/>
              </w:rPr>
              <w:tab/>
            </w:r>
            <w:r w:rsidRPr="000C0842">
              <w:rPr>
                <w:rFonts w:ascii="SimHei" w:hAnsi="SimHei" w:cs="Times New Roman"/>
                <w:b/>
                <w:kern w:val="0"/>
                <w:sz w:val="20"/>
                <w:szCs w:val="20"/>
                <w:lang w:val="en-GB" w:eastAsia="zh-CN"/>
              </w:rPr>
              <w:t>减少对生物多样性的威胁</w:t>
            </w:r>
          </w:p>
        </w:tc>
      </w:tr>
      <w:tr w:rsidR="000C0842" w:rsidRPr="000C0842" w14:paraId="24A557FC" w14:textId="77777777" w:rsidTr="001F32B3">
        <w:trPr>
          <w:trHeight w:val="300"/>
        </w:trPr>
        <w:tc>
          <w:tcPr>
            <w:tcW w:w="4675" w:type="dxa"/>
            <w:tcMar>
              <w:top w:w="58" w:type="dxa"/>
              <w:left w:w="115" w:type="dxa"/>
              <w:bottom w:w="58" w:type="dxa"/>
              <w:right w:w="115" w:type="dxa"/>
            </w:tcMar>
          </w:tcPr>
          <w:p w14:paraId="2C50C64E"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行动目标</w:t>
            </w:r>
            <w:r w:rsidRPr="000C0842">
              <w:rPr>
                <w:rFonts w:cs="Times New Roman"/>
                <w:b/>
                <w:kern w:val="0"/>
                <w:sz w:val="20"/>
                <w:szCs w:val="20"/>
                <w:lang w:val="en-GB" w:eastAsia="zh-CN"/>
              </w:rPr>
              <w:t>1</w:t>
            </w:r>
          </w:p>
          <w:p w14:paraId="31D46AB0"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确保所有区域处于解决土地和海洋利用变化的参与性、综合性、涵盖生物多样性的空间规划和</w:t>
            </w:r>
            <w:r w:rsidRPr="000C0842">
              <w:rPr>
                <w:rFonts w:cs="Times New Roman"/>
                <w:kern w:val="0"/>
                <w:sz w:val="20"/>
                <w:szCs w:val="20"/>
                <w:lang w:val="en-US" w:eastAsia="zh-CN"/>
              </w:rPr>
              <w:t>/</w:t>
            </w:r>
            <w:r w:rsidRPr="000C0842">
              <w:rPr>
                <w:rFonts w:cs="Times New Roman"/>
                <w:kern w:val="0"/>
                <w:sz w:val="20"/>
                <w:szCs w:val="20"/>
                <w:lang w:val="en-US" w:eastAsia="zh-CN"/>
              </w:rPr>
              <w:t>或其他有效管理进程之下，到</w:t>
            </w:r>
            <w:r w:rsidRPr="000C0842">
              <w:rPr>
                <w:rFonts w:cs="Times New Roman"/>
                <w:kern w:val="0"/>
                <w:sz w:val="20"/>
                <w:szCs w:val="20"/>
                <w:lang w:val="en-US" w:eastAsia="zh-CN"/>
              </w:rPr>
              <w:t>2030</w:t>
            </w:r>
            <w:r w:rsidRPr="000C0842">
              <w:rPr>
                <w:rFonts w:cs="Times New Roman"/>
                <w:kern w:val="0"/>
                <w:sz w:val="20"/>
                <w:szCs w:val="20"/>
                <w:lang w:val="en-US" w:eastAsia="zh-CN"/>
              </w:rPr>
              <w:t>年使具有高度生物多样性重要性的区域包括具有高度生态完整性的生态系统的丧失接近于零，同时尊重土著人民和地方社区的权利</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3D0DBF4C"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空间规划和管理</w:t>
            </w:r>
            <w:r w:rsidRPr="000C0842">
              <w:rPr>
                <w:rFonts w:ascii="SimHei" w:hAnsi="SimHei" w:cs="Times New Roman" w:hint="eastAsia"/>
                <w:b/>
                <w:kern w:val="0"/>
                <w:sz w:val="20"/>
                <w:szCs w:val="20"/>
                <w:lang w:val="en-GB" w:eastAsia="zh-CN"/>
              </w:rPr>
              <w:t>进程</w:t>
            </w:r>
            <w:r w:rsidRPr="000C0842">
              <w:rPr>
                <w:rFonts w:ascii="SimHei" w:hAnsi="SimHei" w:cs="Times New Roman"/>
                <w:b/>
                <w:kern w:val="0"/>
                <w:sz w:val="20"/>
                <w:szCs w:val="20"/>
                <w:lang w:val="en-GB" w:eastAsia="zh-CN"/>
              </w:rPr>
              <w:t>中的植物保护</w:t>
            </w:r>
          </w:p>
          <w:p w14:paraId="5370ACE3" w14:textId="77777777" w:rsidR="00382AC2" w:rsidRPr="000C0842" w:rsidRDefault="00382AC2">
            <w:pPr>
              <w:numPr>
                <w:ilvl w:val="0"/>
                <w:numId w:val="94"/>
              </w:numPr>
              <w:tabs>
                <w:tab w:val="clear" w:pos="567"/>
                <w:tab w:val="clear" w:pos="1134"/>
                <w:tab w:val="clear" w:pos="1701"/>
                <w:tab w:val="clear" w:pos="2268"/>
              </w:tabs>
              <w:spacing w:before="120" w:after="120" w:line="300" w:lineRule="exact"/>
              <w:contextualSpacing/>
              <w:rPr>
                <w:rFonts w:cs="Times New Roman"/>
                <w:kern w:val="0"/>
                <w:sz w:val="20"/>
                <w:szCs w:val="20"/>
                <w:lang w:val="en-GB" w:eastAsia="zh-CN"/>
              </w:rPr>
            </w:pPr>
            <w:r w:rsidRPr="000C0842">
              <w:rPr>
                <w:rFonts w:cs="Times New Roman" w:hint="eastAsia"/>
                <w:kern w:val="0"/>
                <w:sz w:val="20"/>
                <w:szCs w:val="20"/>
                <w:lang w:val="en-GB" w:eastAsia="zh-CN"/>
              </w:rPr>
              <w:t>在可能的情况下，利用多种知识体系，识别陆地、内陆水域、海洋和沿海生态系统包括种群层面的所有植物物种，以及对植物多样性具有重要意义的区域和生态系统，并绘制图谱。</w:t>
            </w:r>
          </w:p>
        </w:tc>
      </w:tr>
      <w:tr w:rsidR="000C0842" w:rsidRPr="000C0842" w14:paraId="7FF0910B" w14:textId="77777777" w:rsidTr="001F32B3">
        <w:trPr>
          <w:trHeight w:val="300"/>
        </w:trPr>
        <w:tc>
          <w:tcPr>
            <w:tcW w:w="4675" w:type="dxa"/>
            <w:tcMar>
              <w:top w:w="58" w:type="dxa"/>
              <w:left w:w="115" w:type="dxa"/>
              <w:bottom w:w="58" w:type="dxa"/>
              <w:right w:w="115" w:type="dxa"/>
            </w:tcMar>
          </w:tcPr>
          <w:p w14:paraId="762D1804"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snapToGrid w:val="0"/>
                <w:kern w:val="0"/>
                <w:sz w:val="20"/>
                <w:szCs w:val="20"/>
                <w:lang w:val="en-GB" w:eastAsia="zh-CN"/>
              </w:rPr>
            </w:pPr>
            <w:r w:rsidRPr="000C0842">
              <w:rPr>
                <w:rFonts w:cs="Times New Roman"/>
                <w:b/>
                <w:snapToGrid w:val="0"/>
                <w:kern w:val="0"/>
                <w:sz w:val="20"/>
                <w:szCs w:val="20"/>
                <w:lang w:val="en-GB" w:eastAsia="zh-CN"/>
              </w:rPr>
              <w:t>行动目标</w:t>
            </w:r>
            <w:r w:rsidRPr="000C0842">
              <w:rPr>
                <w:rFonts w:cs="Times New Roman"/>
                <w:b/>
                <w:snapToGrid w:val="0"/>
                <w:kern w:val="0"/>
                <w:sz w:val="20"/>
                <w:szCs w:val="20"/>
                <w:lang w:val="en-GB" w:eastAsia="zh-CN"/>
              </w:rPr>
              <w:t>2</w:t>
            </w:r>
          </w:p>
          <w:p w14:paraId="3AFF3782"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GB" w:eastAsia="zh-CN"/>
              </w:rPr>
              <w:t>确保到</w:t>
            </w:r>
            <w:r w:rsidRPr="000C0842">
              <w:rPr>
                <w:rFonts w:cs="Times New Roman"/>
                <w:kern w:val="0"/>
                <w:sz w:val="20"/>
                <w:szCs w:val="20"/>
                <w:lang w:val="en-GB" w:eastAsia="zh-CN"/>
              </w:rPr>
              <w:t>2030</w:t>
            </w:r>
            <w:r w:rsidRPr="000C0842">
              <w:rPr>
                <w:rFonts w:cs="Times New Roman"/>
                <w:kern w:val="0"/>
                <w:sz w:val="20"/>
                <w:szCs w:val="20"/>
                <w:lang w:val="en-GB" w:eastAsia="zh-CN"/>
              </w:rPr>
              <w:t>年，至少</w:t>
            </w:r>
            <w:r w:rsidRPr="000C0842">
              <w:rPr>
                <w:rFonts w:cs="Times New Roman"/>
                <w:kern w:val="0"/>
                <w:sz w:val="20"/>
                <w:szCs w:val="20"/>
                <w:lang w:val="en-GB" w:eastAsia="zh-CN"/>
              </w:rPr>
              <w:t>30%</w:t>
            </w:r>
            <w:r w:rsidRPr="000C0842">
              <w:rPr>
                <w:rFonts w:cs="Times New Roman"/>
                <w:kern w:val="0"/>
                <w:sz w:val="20"/>
                <w:szCs w:val="20"/>
                <w:lang w:val="en-GB" w:eastAsia="zh-CN"/>
              </w:rPr>
              <w:t>的陆地、内陆水域、海洋和沿海生态系统退化区域得到有效恢复，以增强生物多样性和生态系统功能和服务、生态完整性和连通性。</w:t>
            </w:r>
          </w:p>
        </w:tc>
        <w:tc>
          <w:tcPr>
            <w:tcW w:w="4680" w:type="dxa"/>
            <w:tcMar>
              <w:top w:w="58" w:type="dxa"/>
              <w:left w:w="115" w:type="dxa"/>
              <w:bottom w:w="58" w:type="dxa"/>
              <w:right w:w="115" w:type="dxa"/>
            </w:tcMar>
          </w:tcPr>
          <w:p w14:paraId="6C0138FC"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生态恢复</w:t>
            </w:r>
          </w:p>
          <w:p w14:paraId="05F415AF" w14:textId="77777777" w:rsidR="00382AC2" w:rsidRPr="000C0842" w:rsidRDefault="00382AC2">
            <w:pPr>
              <w:numPr>
                <w:ilvl w:val="0"/>
                <w:numId w:val="94"/>
              </w:numPr>
              <w:tabs>
                <w:tab w:val="clear" w:pos="567"/>
                <w:tab w:val="clear" w:pos="1134"/>
                <w:tab w:val="clear" w:pos="1701"/>
                <w:tab w:val="clear" w:pos="2268"/>
              </w:tabs>
              <w:spacing w:before="120" w:after="120" w:line="300" w:lineRule="exact"/>
              <w:ind w:left="357" w:hanging="357"/>
              <w:rPr>
                <w:rFonts w:cs="Times New Roman"/>
                <w:kern w:val="0"/>
                <w:sz w:val="20"/>
                <w:szCs w:val="20"/>
                <w:lang w:val="en-GB" w:eastAsia="zh-CN"/>
              </w:rPr>
            </w:pPr>
            <w:r w:rsidRPr="000C0842">
              <w:rPr>
                <w:rFonts w:cs="Times New Roman"/>
                <w:kern w:val="0"/>
                <w:sz w:val="20"/>
                <w:szCs w:val="20"/>
                <w:lang w:val="en-GB" w:eastAsia="zh-CN"/>
              </w:rPr>
              <w:t>执行或参与</w:t>
            </w:r>
            <w:r w:rsidRPr="000C0842">
              <w:rPr>
                <w:rFonts w:cs="Times New Roman" w:hint="eastAsia"/>
                <w:kern w:val="0"/>
                <w:sz w:val="20"/>
                <w:szCs w:val="20"/>
                <w:lang w:val="en-GB" w:eastAsia="zh-CN"/>
              </w:rPr>
              <w:t>有效</w:t>
            </w:r>
            <w:r w:rsidRPr="000C0842">
              <w:rPr>
                <w:rFonts w:cs="Times New Roman"/>
                <w:kern w:val="0"/>
                <w:sz w:val="20"/>
                <w:szCs w:val="20"/>
                <w:lang w:val="en-GB" w:eastAsia="zh-CN"/>
              </w:rPr>
              <w:t>恢复</w:t>
            </w:r>
            <w:r w:rsidRPr="000C0842">
              <w:rPr>
                <w:rFonts w:cs="Times New Roman" w:hint="eastAsia"/>
                <w:kern w:val="0"/>
                <w:sz w:val="20"/>
                <w:szCs w:val="20"/>
                <w:lang w:val="en-GB" w:eastAsia="zh-CN"/>
              </w:rPr>
              <w:t>已</w:t>
            </w:r>
            <w:r w:rsidRPr="000C0842">
              <w:rPr>
                <w:rFonts w:cs="Times New Roman"/>
                <w:kern w:val="0"/>
                <w:sz w:val="20"/>
                <w:szCs w:val="20"/>
                <w:lang w:val="en-GB" w:eastAsia="zh-CN"/>
              </w:rPr>
              <w:t>退化</w:t>
            </w:r>
            <w:r w:rsidRPr="000C0842">
              <w:rPr>
                <w:rFonts w:cs="Times New Roman" w:hint="eastAsia"/>
                <w:kern w:val="0"/>
                <w:sz w:val="20"/>
                <w:szCs w:val="20"/>
                <w:lang w:val="en-GB" w:eastAsia="zh-CN"/>
              </w:rPr>
              <w:t>的</w:t>
            </w:r>
            <w:r w:rsidRPr="000C0842">
              <w:rPr>
                <w:rFonts w:cs="Times New Roman"/>
                <w:kern w:val="0"/>
                <w:sz w:val="20"/>
                <w:szCs w:val="20"/>
                <w:lang w:val="en-GB" w:eastAsia="zh-CN"/>
              </w:rPr>
              <w:t>生态系统和生境的方案，</w:t>
            </w:r>
            <w:r w:rsidRPr="000C0842">
              <w:rPr>
                <w:rFonts w:cs="Times New Roman" w:hint="eastAsia"/>
                <w:kern w:val="0"/>
                <w:sz w:val="20"/>
                <w:szCs w:val="20"/>
                <w:lang w:val="en-GB" w:eastAsia="zh-CN"/>
              </w:rPr>
              <w:t>包括预防和减轻导致现有退化的驱动因素，</w:t>
            </w:r>
            <w:r w:rsidRPr="000C0842">
              <w:rPr>
                <w:rFonts w:cs="Times New Roman"/>
                <w:kern w:val="0"/>
                <w:sz w:val="20"/>
                <w:szCs w:val="20"/>
                <w:lang w:val="en-GB" w:eastAsia="zh-CN"/>
              </w:rPr>
              <w:t>优先利用本地物种的遗传适宜材料</w:t>
            </w:r>
            <w:r w:rsidRPr="000C0842">
              <w:rPr>
                <w:rFonts w:cs="Times New Roman" w:hint="eastAsia"/>
                <w:kern w:val="0"/>
                <w:sz w:val="20"/>
                <w:szCs w:val="20"/>
                <w:lang w:val="en-GB" w:eastAsia="zh-CN"/>
              </w:rPr>
              <w:t>、加强和保护土壤、</w:t>
            </w:r>
            <w:r w:rsidRPr="000C0842">
              <w:rPr>
                <w:rFonts w:cs="Times New Roman"/>
                <w:kern w:val="0"/>
                <w:sz w:val="20"/>
                <w:szCs w:val="20"/>
                <w:lang w:val="en-GB" w:eastAsia="zh-CN"/>
              </w:rPr>
              <w:t>考虑</w:t>
            </w:r>
            <w:r w:rsidRPr="000C0842">
              <w:rPr>
                <w:rFonts w:cs="Times New Roman" w:hint="eastAsia"/>
                <w:kern w:val="0"/>
                <w:sz w:val="20"/>
                <w:szCs w:val="20"/>
                <w:lang w:val="en-GB" w:eastAsia="zh-CN"/>
              </w:rPr>
              <w:t>到</w:t>
            </w:r>
            <w:r w:rsidRPr="000C0842">
              <w:rPr>
                <w:rFonts w:cs="Times New Roman"/>
                <w:kern w:val="0"/>
                <w:sz w:val="20"/>
                <w:szCs w:val="20"/>
                <w:lang w:val="en-GB" w:eastAsia="zh-CN"/>
              </w:rPr>
              <w:t>生态标准、相关</w:t>
            </w:r>
            <w:r w:rsidRPr="000C0842">
              <w:rPr>
                <w:rFonts w:cs="Times New Roman" w:hint="eastAsia"/>
                <w:kern w:val="0"/>
                <w:sz w:val="20"/>
                <w:szCs w:val="20"/>
                <w:lang w:val="en-GB" w:eastAsia="zh-CN"/>
              </w:rPr>
              <w:t>土壤生物区系</w:t>
            </w:r>
            <w:r w:rsidRPr="000C0842">
              <w:rPr>
                <w:rFonts w:cs="Times New Roman"/>
                <w:kern w:val="0"/>
                <w:sz w:val="20"/>
                <w:szCs w:val="20"/>
                <w:lang w:val="en-GB" w:eastAsia="zh-CN"/>
              </w:rPr>
              <w:t>、</w:t>
            </w:r>
            <w:r w:rsidRPr="000C0842">
              <w:rPr>
                <w:rFonts w:cs="Times New Roman" w:hint="eastAsia"/>
                <w:kern w:val="0"/>
                <w:sz w:val="20"/>
                <w:szCs w:val="20"/>
                <w:lang w:val="en-GB" w:eastAsia="zh-CN"/>
              </w:rPr>
              <w:t>授粉</w:t>
            </w:r>
            <w:r w:rsidRPr="000C0842">
              <w:rPr>
                <w:rFonts w:cs="Times New Roman"/>
                <w:kern w:val="0"/>
                <w:sz w:val="20"/>
                <w:szCs w:val="20"/>
                <w:lang w:val="en-GB" w:eastAsia="zh-CN"/>
              </w:rPr>
              <w:t>和传播</w:t>
            </w:r>
            <w:r w:rsidRPr="000C0842">
              <w:rPr>
                <w:rFonts w:cs="Times New Roman" w:hint="eastAsia"/>
                <w:kern w:val="0"/>
                <w:sz w:val="20"/>
                <w:szCs w:val="20"/>
                <w:lang w:val="en-GB" w:eastAsia="zh-CN"/>
              </w:rPr>
              <w:t>媒介</w:t>
            </w:r>
            <w:r w:rsidRPr="000C0842">
              <w:rPr>
                <w:rFonts w:cs="Times New Roman"/>
                <w:kern w:val="0"/>
                <w:sz w:val="20"/>
                <w:szCs w:val="20"/>
                <w:lang w:val="en-GB" w:eastAsia="zh-CN"/>
              </w:rPr>
              <w:t>，包括</w:t>
            </w:r>
            <w:r w:rsidRPr="000C0842">
              <w:rPr>
                <w:rFonts w:cs="Times New Roman" w:hint="eastAsia"/>
                <w:kern w:val="0"/>
                <w:sz w:val="20"/>
                <w:szCs w:val="20"/>
                <w:lang w:val="en-GB" w:eastAsia="zh-CN"/>
              </w:rPr>
              <w:t>受关注</w:t>
            </w:r>
            <w:r w:rsidRPr="000C0842">
              <w:rPr>
                <w:rFonts w:cs="Times New Roman"/>
                <w:kern w:val="0"/>
                <w:sz w:val="20"/>
                <w:szCs w:val="20"/>
                <w:lang w:val="en-GB" w:eastAsia="zh-CN"/>
              </w:rPr>
              <w:t>物种，</w:t>
            </w:r>
            <w:r w:rsidRPr="000C0842">
              <w:rPr>
                <w:rFonts w:cs="Times New Roman" w:hint="eastAsia"/>
                <w:kern w:val="0"/>
                <w:sz w:val="20"/>
                <w:szCs w:val="20"/>
                <w:lang w:val="en-GB" w:eastAsia="zh-CN"/>
              </w:rPr>
              <w:t>以及气候复原力、长期承诺、创新融资和适应性管理，</w:t>
            </w:r>
            <w:r w:rsidRPr="000C0842">
              <w:rPr>
                <w:rFonts w:cs="Times New Roman"/>
                <w:kern w:val="0"/>
                <w:sz w:val="20"/>
                <w:szCs w:val="20"/>
                <w:lang w:val="en-GB" w:eastAsia="zh-CN"/>
              </w:rPr>
              <w:t>确保这些方案增强生物多样性</w:t>
            </w:r>
            <w:r w:rsidRPr="000C0842">
              <w:rPr>
                <w:rFonts w:cs="Times New Roman" w:hint="eastAsia"/>
                <w:kern w:val="0"/>
                <w:sz w:val="20"/>
                <w:szCs w:val="20"/>
                <w:lang w:val="en-GB" w:eastAsia="zh-CN"/>
              </w:rPr>
              <w:t>和人类福祉，并在可能时</w:t>
            </w:r>
            <w:r w:rsidRPr="000C0842">
              <w:rPr>
                <w:rFonts w:cs="Times New Roman"/>
                <w:kern w:val="0"/>
                <w:sz w:val="20"/>
                <w:szCs w:val="20"/>
                <w:lang w:val="en-GB" w:eastAsia="zh-CN"/>
              </w:rPr>
              <w:t>，在征得有关土著人民自由、事先和知情同意</w:t>
            </w:r>
            <w:r w:rsidRPr="000C0842">
              <w:rPr>
                <w:rFonts w:cs="Times New Roman"/>
                <w:kern w:val="0"/>
                <w:vertAlign w:val="superscript"/>
                <w:lang w:val="en-US" w:eastAsia="zh-CN"/>
              </w:rPr>
              <w:footnoteReference w:id="342"/>
            </w:r>
            <w:r w:rsidRPr="000C0842">
              <w:rPr>
                <w:rFonts w:cs="Times New Roman" w:hint="eastAsia"/>
                <w:kern w:val="0"/>
                <w:sz w:val="20"/>
                <w:szCs w:val="20"/>
                <w:lang w:val="en-GB" w:eastAsia="zh-CN"/>
              </w:rPr>
              <w:t>后</w:t>
            </w:r>
            <w:r w:rsidRPr="000C0842">
              <w:rPr>
                <w:rFonts w:cs="Times New Roman"/>
                <w:kern w:val="0"/>
                <w:sz w:val="20"/>
                <w:szCs w:val="20"/>
                <w:lang w:val="en-GB" w:eastAsia="zh-CN"/>
              </w:rPr>
              <w:t>，</w:t>
            </w:r>
            <w:r w:rsidRPr="000C0842">
              <w:rPr>
                <w:rFonts w:cs="Times New Roman" w:hint="eastAsia"/>
                <w:kern w:val="0"/>
                <w:sz w:val="20"/>
                <w:szCs w:val="20"/>
                <w:lang w:val="en-GB" w:eastAsia="zh-CN"/>
              </w:rPr>
              <w:t>利用传统</w:t>
            </w:r>
            <w:r w:rsidRPr="000C0842">
              <w:rPr>
                <w:rFonts w:cs="Times New Roman"/>
                <w:kern w:val="0"/>
                <w:sz w:val="20"/>
                <w:szCs w:val="20"/>
                <w:lang w:val="en-GB" w:eastAsia="zh-CN"/>
              </w:rPr>
              <w:t>知识。</w:t>
            </w:r>
          </w:p>
        </w:tc>
      </w:tr>
      <w:tr w:rsidR="000C0842" w:rsidRPr="000C0842" w14:paraId="0EFF0C4E" w14:textId="77777777" w:rsidTr="001F32B3">
        <w:trPr>
          <w:trHeight w:val="300"/>
        </w:trPr>
        <w:tc>
          <w:tcPr>
            <w:tcW w:w="4675" w:type="dxa"/>
            <w:tcMar>
              <w:top w:w="58" w:type="dxa"/>
              <w:left w:w="115" w:type="dxa"/>
              <w:bottom w:w="58" w:type="dxa"/>
              <w:right w:w="115" w:type="dxa"/>
            </w:tcMar>
          </w:tcPr>
          <w:p w14:paraId="4AF95539"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3</w:t>
            </w:r>
          </w:p>
          <w:p w14:paraId="5A4739DB"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kern w:val="0"/>
                <w:sz w:val="20"/>
                <w:szCs w:val="20"/>
                <w:lang w:val="en-GB" w:eastAsia="zh-CN"/>
              </w:rPr>
            </w:pPr>
            <w:r w:rsidRPr="000C0842">
              <w:rPr>
                <w:rFonts w:cs="Times New Roman"/>
                <w:kern w:val="0"/>
                <w:sz w:val="20"/>
                <w:szCs w:val="20"/>
                <w:lang w:val="en-GB" w:eastAsia="zh-CN"/>
              </w:rPr>
              <w:t>到</w:t>
            </w:r>
            <w:r w:rsidRPr="000C0842">
              <w:rPr>
                <w:rFonts w:cs="Times New Roman"/>
                <w:kern w:val="0"/>
                <w:sz w:val="20"/>
                <w:szCs w:val="20"/>
                <w:lang w:val="en-GB" w:eastAsia="zh-CN"/>
              </w:rPr>
              <w:t>2030</w:t>
            </w:r>
            <w:r w:rsidRPr="000C0842">
              <w:rPr>
                <w:rFonts w:cs="Times New Roman"/>
                <w:kern w:val="0"/>
                <w:sz w:val="20"/>
                <w:szCs w:val="20"/>
                <w:lang w:val="en-GB" w:eastAsia="zh-CN"/>
              </w:rPr>
              <w:t>年，确保和促使至少</w:t>
            </w:r>
            <w:r w:rsidRPr="000C0842">
              <w:rPr>
                <w:rFonts w:cs="Times New Roman"/>
                <w:kern w:val="0"/>
                <w:sz w:val="20"/>
                <w:szCs w:val="20"/>
                <w:lang w:val="en-GB" w:eastAsia="zh-CN"/>
              </w:rPr>
              <w:t>30%</w:t>
            </w:r>
            <w:r w:rsidRPr="000C0842">
              <w:rPr>
                <w:rFonts w:cs="Times New Roman"/>
                <w:kern w:val="0"/>
                <w:sz w:val="20"/>
                <w:szCs w:val="20"/>
                <w:lang w:val="en-GB"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p>
        </w:tc>
        <w:tc>
          <w:tcPr>
            <w:tcW w:w="4680" w:type="dxa"/>
            <w:tcMar>
              <w:top w:w="58" w:type="dxa"/>
              <w:left w:w="115" w:type="dxa"/>
              <w:bottom w:w="58" w:type="dxa"/>
              <w:right w:w="115" w:type="dxa"/>
            </w:tcMar>
          </w:tcPr>
          <w:p w14:paraId="798371B4" w14:textId="77777777" w:rsidR="00382AC2" w:rsidRPr="000C0842" w:rsidRDefault="00382AC2" w:rsidP="00382AC2">
            <w:pPr>
              <w:tabs>
                <w:tab w:val="clear" w:pos="567"/>
                <w:tab w:val="clear" w:pos="1134"/>
                <w:tab w:val="clear" w:pos="1701"/>
                <w:tab w:val="clear" w:pos="2268"/>
              </w:tabs>
              <w:spacing w:before="120" w:after="120" w:line="320" w:lineRule="exact"/>
              <w:rPr>
                <w:rFonts w:ascii="SimHei" w:hAnsi="SimHei" w:cs="Times New Roman"/>
                <w:b/>
                <w:snapToGrid w:val="0"/>
                <w:kern w:val="0"/>
                <w:sz w:val="20"/>
                <w:szCs w:val="20"/>
                <w:lang w:val="en-GB" w:eastAsia="zh-CN"/>
              </w:rPr>
            </w:pPr>
            <w:r w:rsidRPr="000C0842">
              <w:rPr>
                <w:rFonts w:ascii="SimHei" w:hAnsi="SimHei" w:cs="Times New Roman"/>
                <w:b/>
                <w:snapToGrid w:val="0"/>
                <w:kern w:val="0"/>
                <w:sz w:val="20"/>
                <w:szCs w:val="20"/>
                <w:lang w:val="en-GB" w:eastAsia="zh-CN"/>
              </w:rPr>
              <w:t>植物多样性重要</w:t>
            </w:r>
            <w:r w:rsidRPr="000C0842">
              <w:rPr>
                <w:rFonts w:ascii="SimHei" w:hAnsi="SimHei" w:cs="Times New Roman" w:hint="eastAsia"/>
                <w:b/>
                <w:snapToGrid w:val="0"/>
                <w:kern w:val="0"/>
                <w:sz w:val="20"/>
                <w:szCs w:val="20"/>
                <w:lang w:val="en-GB" w:eastAsia="zh-CN"/>
              </w:rPr>
              <w:t>区域</w:t>
            </w:r>
          </w:p>
          <w:p w14:paraId="42ADFCDA" w14:textId="77777777" w:rsidR="00382AC2" w:rsidRPr="000C0842" w:rsidRDefault="00382AC2" w:rsidP="00382AC2">
            <w:pPr>
              <w:tabs>
                <w:tab w:val="clear" w:pos="567"/>
                <w:tab w:val="clear" w:pos="1134"/>
                <w:tab w:val="clear" w:pos="1701"/>
                <w:tab w:val="clear" w:pos="2268"/>
              </w:tabs>
              <w:spacing w:before="120" w:after="120" w:line="320" w:lineRule="exact"/>
              <w:ind w:left="505" w:hanging="516"/>
              <w:rPr>
                <w:rFonts w:cs="Times New Roman"/>
                <w:snapToGrid w:val="0"/>
                <w:kern w:val="0"/>
                <w:sz w:val="20"/>
                <w:szCs w:val="20"/>
                <w:lang w:val="en-GB" w:eastAsia="zh-CN"/>
              </w:rPr>
            </w:pPr>
            <w:r w:rsidRPr="000C0842">
              <w:rPr>
                <w:rFonts w:cs="Times New Roman"/>
                <w:snapToGrid w:val="0"/>
                <w:kern w:val="0"/>
                <w:sz w:val="20"/>
                <w:szCs w:val="20"/>
                <w:lang w:val="en-GB" w:eastAsia="zh-CN"/>
              </w:rPr>
              <w:t>3(a)</w:t>
            </w:r>
            <w:r w:rsidRPr="000C0842">
              <w:rPr>
                <w:rFonts w:cs="Times New Roman"/>
                <w:snapToGrid w:val="0"/>
                <w:kern w:val="0"/>
                <w:sz w:val="20"/>
                <w:szCs w:val="20"/>
                <w:lang w:val="en-GB" w:eastAsia="zh-CN"/>
              </w:rPr>
              <w:tab/>
            </w:r>
            <w:r w:rsidRPr="000C0842">
              <w:rPr>
                <w:rFonts w:cs="Times New Roman"/>
                <w:snapToGrid w:val="0"/>
                <w:kern w:val="0"/>
                <w:sz w:val="20"/>
                <w:szCs w:val="20"/>
                <w:lang w:val="en-GB" w:eastAsia="zh-CN"/>
              </w:rPr>
              <w:t>确保在保护区和其他</w:t>
            </w:r>
            <w:r w:rsidRPr="000C0842">
              <w:rPr>
                <w:rFonts w:cs="Times New Roman" w:hint="eastAsia"/>
                <w:snapToGrid w:val="0"/>
                <w:kern w:val="0"/>
                <w:sz w:val="20"/>
                <w:szCs w:val="20"/>
                <w:lang w:val="en-GB" w:eastAsia="zh-CN"/>
              </w:rPr>
              <w:t>基于区域的</w:t>
            </w:r>
            <w:r w:rsidRPr="000C0842">
              <w:rPr>
                <w:rFonts w:cs="Times New Roman"/>
                <w:snapToGrid w:val="0"/>
                <w:kern w:val="0"/>
                <w:sz w:val="20"/>
                <w:szCs w:val="20"/>
                <w:lang w:val="en-GB" w:eastAsia="zh-CN"/>
              </w:rPr>
              <w:t>有效保护措施</w:t>
            </w:r>
            <w:r w:rsidRPr="000C0842">
              <w:rPr>
                <w:rFonts w:cs="Times New Roman" w:hint="eastAsia"/>
                <w:snapToGrid w:val="0"/>
                <w:kern w:val="0"/>
                <w:sz w:val="20"/>
                <w:szCs w:val="20"/>
                <w:lang w:val="en-GB" w:eastAsia="zh-CN"/>
              </w:rPr>
              <w:t>范围</w:t>
            </w:r>
            <w:r w:rsidRPr="000C0842">
              <w:rPr>
                <w:rFonts w:cs="Times New Roman"/>
                <w:snapToGrid w:val="0"/>
                <w:kern w:val="0"/>
                <w:sz w:val="20"/>
                <w:szCs w:val="20"/>
                <w:lang w:val="en-GB" w:eastAsia="zh-CN"/>
              </w:rPr>
              <w:t>内，</w:t>
            </w:r>
            <w:r w:rsidRPr="000C0842">
              <w:rPr>
                <w:rFonts w:cs="Times New Roman" w:hint="eastAsia"/>
                <w:snapToGrid w:val="0"/>
                <w:kern w:val="0"/>
                <w:sz w:val="20"/>
                <w:szCs w:val="20"/>
                <w:lang w:val="en-GB" w:eastAsia="zh-CN"/>
              </w:rPr>
              <w:t>包括在海洋和沿海区域，</w:t>
            </w:r>
            <w:r w:rsidRPr="000C0842">
              <w:rPr>
                <w:rFonts w:cs="Times New Roman"/>
                <w:snapToGrid w:val="0"/>
                <w:kern w:val="0"/>
                <w:sz w:val="20"/>
                <w:szCs w:val="20"/>
                <w:lang w:val="en-GB" w:eastAsia="zh-CN"/>
              </w:rPr>
              <w:t>植物物种</w:t>
            </w:r>
            <w:r w:rsidRPr="000C0842">
              <w:rPr>
                <w:rFonts w:cs="Times New Roman" w:hint="eastAsia"/>
                <w:snapToGrid w:val="0"/>
                <w:kern w:val="0"/>
                <w:sz w:val="20"/>
                <w:szCs w:val="20"/>
                <w:lang w:val="en-GB" w:eastAsia="zh-CN"/>
              </w:rPr>
              <w:t>及其遗传多样性</w:t>
            </w:r>
            <w:r w:rsidRPr="000C0842">
              <w:rPr>
                <w:rFonts w:cs="Times New Roman"/>
                <w:snapToGrid w:val="0"/>
                <w:kern w:val="0"/>
                <w:sz w:val="20"/>
                <w:szCs w:val="20"/>
                <w:lang w:val="en-GB" w:eastAsia="zh-CN"/>
              </w:rPr>
              <w:t>保护的重要区域</w:t>
            </w:r>
            <w:r w:rsidRPr="000C0842">
              <w:rPr>
                <w:rFonts w:cs="Times New Roman" w:hint="eastAsia"/>
                <w:snapToGrid w:val="0"/>
                <w:kern w:val="0"/>
                <w:sz w:val="20"/>
                <w:szCs w:val="20"/>
                <w:lang w:val="en-GB" w:eastAsia="zh-CN"/>
              </w:rPr>
              <w:t>得到确定</w:t>
            </w:r>
            <w:r w:rsidRPr="000C0842">
              <w:rPr>
                <w:rFonts w:cs="Times New Roman"/>
                <w:snapToGrid w:val="0"/>
                <w:kern w:val="0"/>
                <w:sz w:val="20"/>
                <w:szCs w:val="20"/>
                <w:lang w:val="en-GB" w:eastAsia="zh-CN"/>
              </w:rPr>
              <w:t>、良好</w:t>
            </w:r>
            <w:r w:rsidRPr="000C0842">
              <w:rPr>
                <w:rFonts w:cs="Times New Roman" w:hint="eastAsia"/>
                <w:snapToGrid w:val="0"/>
                <w:kern w:val="0"/>
                <w:sz w:val="20"/>
                <w:szCs w:val="20"/>
                <w:lang w:val="en-GB" w:eastAsia="zh-CN"/>
              </w:rPr>
              <w:t>连通</w:t>
            </w:r>
            <w:r w:rsidRPr="000C0842">
              <w:rPr>
                <w:rFonts w:cs="Times New Roman"/>
                <w:snapToGrid w:val="0"/>
                <w:kern w:val="0"/>
                <w:sz w:val="20"/>
                <w:szCs w:val="20"/>
                <w:lang w:val="en-GB" w:eastAsia="zh-CN"/>
              </w:rPr>
              <w:t>和</w:t>
            </w:r>
            <w:r w:rsidRPr="000C0842">
              <w:rPr>
                <w:rFonts w:cs="Times New Roman" w:hint="eastAsia"/>
                <w:snapToGrid w:val="0"/>
                <w:kern w:val="0"/>
                <w:sz w:val="20"/>
                <w:szCs w:val="20"/>
                <w:lang w:val="en-GB" w:eastAsia="zh-CN"/>
              </w:rPr>
              <w:t>体现</w:t>
            </w:r>
            <w:r w:rsidRPr="000C0842">
              <w:rPr>
                <w:rFonts w:cs="Times New Roman"/>
                <w:snapToGrid w:val="0"/>
                <w:kern w:val="0"/>
                <w:sz w:val="20"/>
                <w:szCs w:val="20"/>
                <w:lang w:val="en-GB" w:eastAsia="zh-CN"/>
              </w:rPr>
              <w:t>。</w:t>
            </w:r>
          </w:p>
          <w:p w14:paraId="27CA17C8" w14:textId="77777777" w:rsidR="00382AC2" w:rsidRPr="000C0842" w:rsidRDefault="00382AC2" w:rsidP="00382AC2">
            <w:pPr>
              <w:tabs>
                <w:tab w:val="clear" w:pos="567"/>
                <w:tab w:val="clear" w:pos="1134"/>
                <w:tab w:val="clear" w:pos="1701"/>
                <w:tab w:val="clear" w:pos="2268"/>
              </w:tabs>
              <w:spacing w:before="120" w:after="120" w:line="320" w:lineRule="exact"/>
              <w:ind w:left="482" w:hanging="516"/>
              <w:rPr>
                <w:rFonts w:cs="Times New Roman"/>
                <w:snapToGrid w:val="0"/>
                <w:kern w:val="0"/>
                <w:sz w:val="20"/>
                <w:szCs w:val="20"/>
                <w:lang w:val="en-GB" w:eastAsia="zh-CN"/>
              </w:rPr>
            </w:pPr>
            <w:r w:rsidRPr="000C0842">
              <w:rPr>
                <w:rFonts w:cs="Times New Roman" w:hint="eastAsia"/>
                <w:snapToGrid w:val="0"/>
                <w:kern w:val="0"/>
                <w:sz w:val="20"/>
                <w:szCs w:val="20"/>
                <w:lang w:val="en-GB" w:eastAsia="zh-CN"/>
              </w:rPr>
              <w:t>3</w:t>
            </w:r>
            <w:r w:rsidRPr="000C0842">
              <w:rPr>
                <w:rFonts w:cs="Times New Roman"/>
                <w:snapToGrid w:val="0"/>
                <w:kern w:val="0"/>
                <w:sz w:val="20"/>
                <w:szCs w:val="20"/>
                <w:lang w:val="en-GB" w:eastAsia="zh-CN"/>
              </w:rPr>
              <w:t>(b)</w:t>
            </w:r>
            <w:r w:rsidRPr="000C0842">
              <w:rPr>
                <w:rFonts w:cs="Times New Roman"/>
                <w:snapToGrid w:val="0"/>
                <w:kern w:val="0"/>
                <w:sz w:val="20"/>
                <w:szCs w:val="20"/>
                <w:lang w:val="en-GB" w:eastAsia="zh-CN"/>
              </w:rPr>
              <w:tab/>
            </w:r>
            <w:r w:rsidRPr="000C0842">
              <w:rPr>
                <w:rFonts w:cs="Times New Roman"/>
                <w:snapToGrid w:val="0"/>
                <w:kern w:val="0"/>
                <w:sz w:val="20"/>
                <w:szCs w:val="20"/>
                <w:lang w:val="en-GB" w:eastAsia="zh-CN"/>
              </w:rPr>
              <w:t>为植物多样性重要</w:t>
            </w:r>
            <w:r w:rsidRPr="000C0842">
              <w:rPr>
                <w:rFonts w:cs="Times New Roman" w:hint="eastAsia"/>
                <w:snapToGrid w:val="0"/>
                <w:kern w:val="0"/>
                <w:sz w:val="20"/>
                <w:szCs w:val="20"/>
                <w:lang w:val="en-GB" w:eastAsia="zh-CN"/>
              </w:rPr>
              <w:t>区域</w:t>
            </w:r>
            <w:r w:rsidRPr="000C0842">
              <w:rPr>
                <w:rFonts w:cs="Times New Roman"/>
                <w:snapToGrid w:val="0"/>
                <w:kern w:val="0"/>
                <w:sz w:val="20"/>
                <w:szCs w:val="20"/>
                <w:lang w:val="en-GB" w:eastAsia="zh-CN"/>
              </w:rPr>
              <w:t>制定综合管理计划，并实施方案，确保这些</w:t>
            </w:r>
            <w:r w:rsidRPr="000C0842">
              <w:rPr>
                <w:rFonts w:cs="Times New Roman" w:hint="eastAsia"/>
                <w:snapToGrid w:val="0"/>
                <w:kern w:val="0"/>
                <w:sz w:val="20"/>
                <w:szCs w:val="20"/>
                <w:lang w:val="en-GB" w:eastAsia="zh-CN"/>
              </w:rPr>
              <w:t>区域</w:t>
            </w:r>
            <w:r w:rsidRPr="000C0842">
              <w:rPr>
                <w:rFonts w:cs="Times New Roman"/>
                <w:snapToGrid w:val="0"/>
                <w:kern w:val="0"/>
                <w:sz w:val="20"/>
                <w:szCs w:val="20"/>
                <w:lang w:val="en-GB" w:eastAsia="zh-CN"/>
              </w:rPr>
              <w:t>得到有效记录、保护、监测和可持续管理，承认和尊重土著人民和地方社区的权利，包括对其传统领地的权利。</w:t>
            </w:r>
          </w:p>
        </w:tc>
      </w:tr>
      <w:tr w:rsidR="000C0842" w:rsidRPr="000C0842" w14:paraId="30C86C28" w14:textId="77777777" w:rsidTr="001F32B3">
        <w:trPr>
          <w:trHeight w:val="300"/>
        </w:trPr>
        <w:tc>
          <w:tcPr>
            <w:tcW w:w="4675" w:type="dxa"/>
            <w:tcMar>
              <w:top w:w="58" w:type="dxa"/>
              <w:left w:w="115" w:type="dxa"/>
              <w:bottom w:w="58" w:type="dxa"/>
              <w:right w:w="115" w:type="dxa"/>
            </w:tcMar>
          </w:tcPr>
          <w:p w14:paraId="6987CC19"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4</w:t>
            </w:r>
          </w:p>
          <w:p w14:paraId="19ADCB07" w14:textId="77777777" w:rsidR="00382AC2" w:rsidRPr="000C0842" w:rsidRDefault="00382AC2" w:rsidP="00382AC2">
            <w:pPr>
              <w:keepNext/>
              <w:tabs>
                <w:tab w:val="clear" w:pos="567"/>
                <w:tab w:val="clear" w:pos="1134"/>
                <w:tab w:val="clear" w:pos="1701"/>
                <w:tab w:val="clear" w:pos="2268"/>
              </w:tabs>
              <w:spacing w:before="120" w:after="120" w:line="320" w:lineRule="exact"/>
              <w:rPr>
                <w:rFonts w:cs="Times New Roman"/>
                <w:kern w:val="0"/>
                <w:sz w:val="20"/>
                <w:szCs w:val="20"/>
                <w:lang w:val="en-GB" w:eastAsia="zh-CN"/>
              </w:rPr>
            </w:pPr>
            <w:r w:rsidRPr="000C0842">
              <w:rPr>
                <w:rFonts w:cs="Times New Roman"/>
                <w:kern w:val="0"/>
                <w:sz w:val="20"/>
                <w:szCs w:val="20"/>
                <w:lang w:val="en-GB"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tc>
        <w:tc>
          <w:tcPr>
            <w:tcW w:w="4680" w:type="dxa"/>
            <w:tcMar>
              <w:top w:w="58" w:type="dxa"/>
              <w:left w:w="115" w:type="dxa"/>
              <w:bottom w:w="58" w:type="dxa"/>
              <w:right w:w="115" w:type="dxa"/>
            </w:tcMar>
          </w:tcPr>
          <w:p w14:paraId="3B528D41" w14:textId="77777777" w:rsidR="00382AC2" w:rsidRPr="000C0842" w:rsidRDefault="00382AC2" w:rsidP="00382AC2">
            <w:pPr>
              <w:tabs>
                <w:tab w:val="clear" w:pos="567"/>
                <w:tab w:val="clear" w:pos="1134"/>
                <w:tab w:val="clear" w:pos="1701"/>
                <w:tab w:val="clear" w:pos="2268"/>
              </w:tabs>
              <w:spacing w:before="120" w:after="120" w:line="320" w:lineRule="exact"/>
              <w:ind w:left="173" w:hanging="173"/>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植物物种保护</w:t>
            </w:r>
          </w:p>
          <w:p w14:paraId="6901DBEA"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rPr>
                <w:rFonts w:cs="Times New Roman"/>
                <w:kern w:val="0"/>
                <w:sz w:val="20"/>
                <w:szCs w:val="20"/>
                <w:lang w:val="en-GB" w:eastAsia="zh-CN"/>
              </w:rPr>
            </w:pPr>
            <w:r w:rsidRPr="000C0842">
              <w:rPr>
                <w:rFonts w:cs="Times New Roman"/>
                <w:kern w:val="0"/>
                <w:sz w:val="20"/>
                <w:szCs w:val="20"/>
                <w:lang w:val="en-GB" w:eastAsia="zh-CN"/>
              </w:rPr>
              <w:t>4(a)</w:t>
            </w:r>
            <w:r w:rsidRPr="000C0842">
              <w:rPr>
                <w:rFonts w:cs="Times New Roman"/>
                <w:kern w:val="0"/>
                <w:sz w:val="20"/>
                <w:szCs w:val="20"/>
                <w:lang w:val="en-GB" w:eastAsia="zh-CN"/>
              </w:rPr>
              <w:tab/>
            </w:r>
            <w:r w:rsidRPr="000C0842">
              <w:rPr>
                <w:rFonts w:cs="Times New Roman"/>
                <w:kern w:val="0"/>
                <w:sz w:val="20"/>
                <w:szCs w:val="20"/>
                <w:lang w:val="en-GB" w:eastAsia="zh-CN"/>
              </w:rPr>
              <w:t>确保尽可能了解、理解和维护所有已知植物物种的灭绝风险和保护状态</w:t>
            </w:r>
            <w:r w:rsidRPr="000C0842">
              <w:rPr>
                <w:rFonts w:cs="Times New Roman" w:hint="eastAsia"/>
                <w:kern w:val="0"/>
                <w:sz w:val="20"/>
                <w:szCs w:val="20"/>
                <w:lang w:val="en-GB" w:eastAsia="zh-CN"/>
              </w:rPr>
              <w:t>，并定期更新评估。</w:t>
            </w:r>
          </w:p>
          <w:p w14:paraId="075E9008"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textAlignment w:val="baseline"/>
              <w:rPr>
                <w:rFonts w:cs="Times New Roman"/>
                <w:kern w:val="0"/>
                <w:sz w:val="20"/>
                <w:szCs w:val="20"/>
                <w:lang w:val="en-GB" w:eastAsia="zh-CN"/>
              </w:rPr>
            </w:pPr>
            <w:r w:rsidRPr="000C0842">
              <w:rPr>
                <w:rFonts w:cs="Times New Roman" w:hint="eastAsia"/>
                <w:kern w:val="0"/>
                <w:sz w:val="20"/>
                <w:szCs w:val="20"/>
                <w:lang w:val="en-GB" w:eastAsia="zh-CN"/>
              </w:rPr>
              <w:t>4</w:t>
            </w:r>
            <w:r w:rsidRPr="000C0842">
              <w:rPr>
                <w:rFonts w:cs="Times New Roman"/>
                <w:kern w:val="0"/>
                <w:sz w:val="20"/>
                <w:szCs w:val="20"/>
                <w:lang w:val="en-GB" w:eastAsia="zh-CN"/>
              </w:rPr>
              <w:t>(b)</w:t>
            </w:r>
            <w:r w:rsidRPr="000C0842">
              <w:rPr>
                <w:rFonts w:cs="Times New Roman"/>
                <w:kern w:val="0"/>
                <w:sz w:val="20"/>
                <w:szCs w:val="20"/>
                <w:lang w:val="en-GB" w:eastAsia="zh-CN"/>
              </w:rPr>
              <w:tab/>
            </w:r>
            <w:r w:rsidRPr="000C0842">
              <w:rPr>
                <w:rFonts w:cs="Times New Roman"/>
                <w:kern w:val="0"/>
                <w:sz w:val="20"/>
                <w:szCs w:val="20"/>
                <w:lang w:val="en-GB" w:eastAsia="zh-CN"/>
              </w:rPr>
              <w:t>为已知的</w:t>
            </w:r>
            <w:r w:rsidRPr="000C0842">
              <w:rPr>
                <w:rFonts w:cs="Times New Roman" w:hint="eastAsia"/>
                <w:kern w:val="0"/>
                <w:sz w:val="20"/>
                <w:szCs w:val="20"/>
                <w:lang w:val="en-GB" w:eastAsia="zh-CN"/>
              </w:rPr>
              <w:t>受威胁</w:t>
            </w:r>
            <w:r w:rsidRPr="000C0842">
              <w:rPr>
                <w:rFonts w:cs="Times New Roman"/>
                <w:kern w:val="0"/>
                <w:sz w:val="20"/>
                <w:szCs w:val="20"/>
                <w:lang w:val="en-GB" w:eastAsia="zh-CN"/>
              </w:rPr>
              <w:t>植物物种制定</w:t>
            </w:r>
            <w:r w:rsidRPr="000C0842">
              <w:rPr>
                <w:rFonts w:cs="Times New Roman" w:hint="eastAsia"/>
                <w:kern w:val="0"/>
                <w:sz w:val="20"/>
                <w:szCs w:val="20"/>
                <w:lang w:val="en-GB" w:eastAsia="zh-CN"/>
              </w:rPr>
              <w:t>和实施</w:t>
            </w:r>
            <w:r w:rsidRPr="000C0842">
              <w:rPr>
                <w:rFonts w:cs="Times New Roman"/>
                <w:kern w:val="0"/>
                <w:sz w:val="20"/>
                <w:szCs w:val="20"/>
                <w:lang w:val="en-GB" w:eastAsia="zh-CN"/>
              </w:rPr>
              <w:t>恢复计划</w:t>
            </w:r>
            <w:r w:rsidRPr="000C0842">
              <w:rPr>
                <w:rFonts w:cs="Times New Roman" w:hint="eastAsia"/>
                <w:kern w:val="0"/>
                <w:sz w:val="20"/>
                <w:szCs w:val="20"/>
                <w:lang w:val="en-GB" w:eastAsia="zh-CN"/>
              </w:rPr>
              <w:t>，包括针对害虫、杂草和其他已知威胁和损失驱动因素的管理计划，以大幅降低物种灭绝风险。</w:t>
            </w:r>
          </w:p>
          <w:p w14:paraId="51C82539"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rPr>
                <w:rFonts w:cs="Times New Roman"/>
                <w:spacing w:val="-4"/>
                <w:kern w:val="0"/>
                <w:sz w:val="20"/>
                <w:szCs w:val="20"/>
                <w:lang w:val="en-GB" w:eastAsia="zh-CN"/>
              </w:rPr>
            </w:pPr>
            <w:r w:rsidRPr="000C0842">
              <w:rPr>
                <w:rFonts w:eastAsia="DengXian" w:cs="Times New Roman"/>
                <w:kern w:val="0"/>
                <w:sz w:val="20"/>
                <w:szCs w:val="20"/>
                <w:lang w:val="en-GB" w:eastAsia="zh-CN"/>
              </w:rPr>
              <w:t>4(c)</w:t>
            </w:r>
            <w:r w:rsidRPr="000C0842">
              <w:rPr>
                <w:rFonts w:eastAsia="DengXian" w:cs="Times New Roman"/>
                <w:spacing w:val="-4"/>
                <w:kern w:val="0"/>
                <w:sz w:val="20"/>
                <w:szCs w:val="20"/>
                <w:lang w:val="en-GB" w:eastAsia="zh-CN"/>
              </w:rPr>
              <w:tab/>
            </w:r>
            <w:r w:rsidRPr="000C0842">
              <w:rPr>
                <w:rFonts w:cs="Times New Roman" w:hint="eastAsia"/>
                <w:spacing w:val="-4"/>
                <w:kern w:val="0"/>
                <w:sz w:val="20"/>
                <w:szCs w:val="20"/>
                <w:lang w:val="en-GB" w:eastAsia="zh-CN"/>
              </w:rPr>
              <w:t>推动</w:t>
            </w:r>
            <w:r w:rsidRPr="000C0842">
              <w:rPr>
                <w:rFonts w:cs="Times New Roman"/>
                <w:spacing w:val="-4"/>
                <w:kern w:val="0"/>
                <w:sz w:val="20"/>
                <w:szCs w:val="20"/>
                <w:lang w:val="en-GB" w:eastAsia="zh-CN"/>
              </w:rPr>
              <w:t>方案，确保利用就地和</w:t>
            </w:r>
            <w:r w:rsidRPr="000C0842">
              <w:rPr>
                <w:rFonts w:cs="Times New Roman" w:hint="eastAsia"/>
                <w:spacing w:val="-4"/>
                <w:kern w:val="0"/>
                <w:sz w:val="20"/>
                <w:szCs w:val="20"/>
                <w:lang w:val="en-GB" w:eastAsia="zh-CN"/>
              </w:rPr>
              <w:t>移</w:t>
            </w:r>
            <w:r w:rsidRPr="000C0842">
              <w:rPr>
                <w:rFonts w:cs="Times New Roman"/>
                <w:spacing w:val="-4"/>
                <w:kern w:val="0"/>
                <w:sz w:val="20"/>
                <w:szCs w:val="20"/>
                <w:lang w:val="en-GB" w:eastAsia="zh-CN"/>
              </w:rPr>
              <w:t>地方法有效保护、管理</w:t>
            </w:r>
            <w:r w:rsidRPr="000C0842">
              <w:rPr>
                <w:rFonts w:cs="Times New Roman" w:hint="eastAsia"/>
                <w:spacing w:val="-4"/>
                <w:kern w:val="0"/>
                <w:sz w:val="20"/>
                <w:szCs w:val="20"/>
                <w:lang w:val="en-GB" w:eastAsia="zh-CN"/>
              </w:rPr>
              <w:t>、监测</w:t>
            </w:r>
            <w:r w:rsidRPr="000C0842">
              <w:rPr>
                <w:rFonts w:cs="Times New Roman"/>
                <w:spacing w:val="-4"/>
                <w:kern w:val="0"/>
                <w:sz w:val="20"/>
                <w:szCs w:val="20"/>
                <w:lang w:val="en-GB" w:eastAsia="zh-CN"/>
              </w:rPr>
              <w:t>和恢复受威胁植物物种，旨在实现</w:t>
            </w:r>
            <w:r w:rsidRPr="000C0842">
              <w:rPr>
                <w:rFonts w:cs="Times New Roman" w:hint="eastAsia"/>
                <w:spacing w:val="-4"/>
                <w:kern w:val="0"/>
                <w:sz w:val="20"/>
                <w:szCs w:val="20"/>
                <w:lang w:val="en-GB" w:eastAsia="zh-CN"/>
              </w:rPr>
              <w:t>适当程度的</w:t>
            </w:r>
            <w:r w:rsidRPr="000C0842">
              <w:rPr>
                <w:rFonts w:cs="Times New Roman"/>
                <w:spacing w:val="-4"/>
                <w:kern w:val="0"/>
                <w:sz w:val="20"/>
                <w:szCs w:val="20"/>
                <w:lang w:val="en-GB" w:eastAsia="zh-CN"/>
              </w:rPr>
              <w:t>遗传多样</w:t>
            </w:r>
            <w:r w:rsidRPr="000C0842">
              <w:rPr>
                <w:rFonts w:cs="Times New Roman" w:hint="eastAsia"/>
                <w:spacing w:val="-4"/>
                <w:kern w:val="0"/>
                <w:sz w:val="20"/>
                <w:szCs w:val="20"/>
                <w:lang w:val="en-GB" w:eastAsia="zh-CN"/>
              </w:rPr>
              <w:t>性</w:t>
            </w:r>
            <w:r w:rsidRPr="000C0842">
              <w:rPr>
                <w:rFonts w:cs="Times New Roman"/>
                <w:spacing w:val="-4"/>
                <w:kern w:val="0"/>
                <w:sz w:val="20"/>
                <w:szCs w:val="20"/>
                <w:lang w:val="en-GB" w:eastAsia="zh-CN"/>
              </w:rPr>
              <w:t>和有活力的种群，并酌情让土著人民和地方社区参与进来。</w:t>
            </w:r>
          </w:p>
          <w:p w14:paraId="0648DCE5" w14:textId="77777777" w:rsidR="00382AC2" w:rsidRPr="000C0842" w:rsidRDefault="00382AC2" w:rsidP="00382AC2">
            <w:pPr>
              <w:keepNext/>
              <w:tabs>
                <w:tab w:val="clear" w:pos="567"/>
                <w:tab w:val="clear" w:pos="1134"/>
                <w:tab w:val="clear" w:pos="1701"/>
                <w:tab w:val="clear" w:pos="2268"/>
              </w:tabs>
              <w:spacing w:before="120" w:after="120" w:line="320" w:lineRule="exact"/>
              <w:ind w:left="169" w:hanging="169"/>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遗传多样性保护</w:t>
            </w:r>
          </w:p>
          <w:p w14:paraId="344EE0DC"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rPr>
                <w:rFonts w:cs="Times New Roman"/>
                <w:kern w:val="0"/>
                <w:sz w:val="20"/>
                <w:szCs w:val="20"/>
                <w:lang w:val="en-GB" w:eastAsia="zh-CN"/>
              </w:rPr>
            </w:pPr>
            <w:r w:rsidRPr="000C0842">
              <w:rPr>
                <w:rFonts w:cs="Times New Roman"/>
                <w:kern w:val="0"/>
                <w:sz w:val="20"/>
                <w:szCs w:val="20"/>
                <w:lang w:val="en-GB" w:eastAsia="zh-CN"/>
              </w:rPr>
              <w:t>4(d)</w:t>
            </w:r>
            <w:r w:rsidRPr="000C0842">
              <w:rPr>
                <w:rFonts w:cs="Times New Roman"/>
                <w:kern w:val="0"/>
                <w:sz w:val="20"/>
                <w:szCs w:val="20"/>
                <w:lang w:val="en-GB" w:eastAsia="zh-CN"/>
              </w:rPr>
              <w:tab/>
            </w:r>
            <w:r w:rsidRPr="000C0842">
              <w:rPr>
                <w:rFonts w:cs="Times New Roman"/>
                <w:kern w:val="0"/>
                <w:sz w:val="20"/>
                <w:szCs w:val="20"/>
                <w:lang w:val="en-GB" w:eastAsia="zh-CN"/>
              </w:rPr>
              <w:t>对野生和驯化植物物种和种群</w:t>
            </w:r>
            <w:r w:rsidRPr="000C0842">
              <w:rPr>
                <w:rFonts w:cs="Times New Roman" w:hint="eastAsia"/>
                <w:kern w:val="0"/>
                <w:sz w:val="20"/>
                <w:szCs w:val="20"/>
                <w:lang w:val="en-GB" w:eastAsia="zh-CN"/>
              </w:rPr>
              <w:t>，包括</w:t>
            </w:r>
            <w:r w:rsidRPr="000C0842">
              <w:rPr>
                <w:rFonts w:ascii="SimSun" w:hAnsi="SimSun" w:cs="SimSun" w:hint="eastAsia"/>
                <w:kern w:val="0"/>
                <w:sz w:val="20"/>
                <w:szCs w:val="20"/>
                <w:shd w:val="clear" w:color="auto" w:fill="FFFFFF"/>
                <w:lang w:val="en-GB" w:eastAsia="zh-CN"/>
              </w:rPr>
              <w:t>作物及其野生近缘植物和其他具有社会经济价值的植物物种</w:t>
            </w:r>
            <w:r w:rsidRPr="000C0842">
              <w:rPr>
                <w:rFonts w:cs="Times New Roman" w:hint="eastAsia"/>
                <w:kern w:val="0"/>
                <w:sz w:val="20"/>
                <w:szCs w:val="20"/>
                <w:lang w:val="en-GB" w:eastAsia="zh-CN"/>
              </w:rPr>
              <w:t>的遗传多样性</w:t>
            </w:r>
            <w:r w:rsidRPr="000C0842">
              <w:rPr>
                <w:rFonts w:cs="Times New Roman"/>
                <w:kern w:val="0"/>
                <w:sz w:val="20"/>
                <w:szCs w:val="20"/>
                <w:lang w:val="en-GB" w:eastAsia="zh-CN"/>
              </w:rPr>
              <w:t>实施</w:t>
            </w:r>
            <w:r w:rsidRPr="000C0842">
              <w:rPr>
                <w:rFonts w:cs="Times New Roman" w:hint="eastAsia"/>
                <w:kern w:val="0"/>
                <w:sz w:val="20"/>
                <w:szCs w:val="20"/>
                <w:lang w:val="en-GB" w:eastAsia="zh-CN"/>
              </w:rPr>
              <w:t>就</w:t>
            </w:r>
            <w:r w:rsidRPr="000C0842">
              <w:rPr>
                <w:rFonts w:cs="Times New Roman"/>
                <w:kern w:val="0"/>
                <w:sz w:val="20"/>
                <w:szCs w:val="20"/>
                <w:lang w:val="en-GB" w:eastAsia="zh-CN"/>
              </w:rPr>
              <w:t>地和</w:t>
            </w:r>
            <w:r w:rsidRPr="000C0842">
              <w:rPr>
                <w:rFonts w:cs="Times New Roman" w:hint="eastAsia"/>
                <w:kern w:val="0"/>
                <w:sz w:val="20"/>
                <w:szCs w:val="20"/>
                <w:lang w:val="en-GB" w:eastAsia="zh-CN"/>
              </w:rPr>
              <w:t>移</w:t>
            </w:r>
            <w:r w:rsidRPr="000C0842">
              <w:rPr>
                <w:rFonts w:cs="Times New Roman"/>
                <w:kern w:val="0"/>
                <w:sz w:val="20"/>
                <w:szCs w:val="20"/>
                <w:lang w:val="en-GB" w:eastAsia="zh-CN"/>
              </w:rPr>
              <w:t>地保护方案，</w:t>
            </w:r>
            <w:r w:rsidRPr="000C0842">
              <w:rPr>
                <w:rFonts w:cs="Times New Roman" w:hint="eastAsia"/>
                <w:kern w:val="0"/>
                <w:sz w:val="20"/>
                <w:szCs w:val="20"/>
                <w:lang w:val="en-GB" w:eastAsia="zh-CN"/>
              </w:rPr>
              <w:t>同时考虑到</w:t>
            </w:r>
            <w:r w:rsidRPr="000C0842">
              <w:rPr>
                <w:rFonts w:ascii="SimSun" w:hAnsi="SimSun" w:cs="SimSun" w:hint="eastAsia"/>
                <w:kern w:val="0"/>
                <w:sz w:val="20"/>
                <w:szCs w:val="20"/>
                <w:shd w:val="clear" w:color="auto" w:fill="FFFFFF"/>
                <w:lang w:val="en-GB" w:eastAsia="zh-CN"/>
              </w:rPr>
              <w:t>驯化梯度和使用替代物或代理物，</w:t>
            </w:r>
            <w:r w:rsidRPr="000C0842">
              <w:rPr>
                <w:rFonts w:cs="Times New Roman"/>
                <w:kern w:val="0"/>
                <w:sz w:val="20"/>
                <w:szCs w:val="20"/>
                <w:lang w:val="en-GB" w:eastAsia="zh-CN"/>
              </w:rPr>
              <w:t>确保种群内和种群间的遗传多样性得到有效记录、管理和监测</w:t>
            </w:r>
            <w:r w:rsidRPr="000C0842">
              <w:rPr>
                <w:rFonts w:cs="Times New Roman" w:hint="eastAsia"/>
                <w:kern w:val="0"/>
                <w:sz w:val="20"/>
                <w:szCs w:val="20"/>
                <w:lang w:val="en-GB" w:eastAsia="zh-CN"/>
              </w:rPr>
              <w:t>，以</w:t>
            </w:r>
            <w:r w:rsidRPr="000C0842">
              <w:rPr>
                <w:rFonts w:cs="Times New Roman"/>
                <w:kern w:val="0"/>
                <w:sz w:val="20"/>
                <w:szCs w:val="20"/>
                <w:lang w:val="en-GB" w:eastAsia="zh-CN"/>
              </w:rPr>
              <w:t>保持和恢复遗传多样性并</w:t>
            </w:r>
            <w:r w:rsidRPr="000C0842">
              <w:rPr>
                <w:rFonts w:cs="Times New Roman" w:hint="eastAsia"/>
                <w:kern w:val="0"/>
                <w:sz w:val="20"/>
                <w:szCs w:val="20"/>
                <w:lang w:val="en-GB" w:eastAsia="zh-CN"/>
              </w:rPr>
              <w:t>保障</w:t>
            </w:r>
            <w:r w:rsidRPr="000C0842">
              <w:rPr>
                <w:rFonts w:cs="Times New Roman"/>
                <w:kern w:val="0"/>
                <w:sz w:val="20"/>
                <w:szCs w:val="20"/>
                <w:lang w:val="en-GB" w:eastAsia="zh-CN"/>
              </w:rPr>
              <w:t>其适应潜力</w:t>
            </w:r>
            <w:r w:rsidRPr="000C0842">
              <w:rPr>
                <w:rFonts w:cs="Times New Roman" w:hint="eastAsia"/>
                <w:kern w:val="0"/>
                <w:sz w:val="20"/>
                <w:szCs w:val="20"/>
                <w:lang w:val="en-GB" w:eastAsia="zh-CN"/>
              </w:rPr>
              <w:t>，并参考联合国粮食及农业组织粮食和农业遗传资源委员会制定的相关框架和行动计划</w:t>
            </w:r>
            <w:r w:rsidRPr="000C0842">
              <w:rPr>
                <w:rFonts w:cs="Times New Roman"/>
                <w:kern w:val="0"/>
                <w:sz w:val="20"/>
                <w:szCs w:val="20"/>
                <w:lang w:val="en-GB" w:eastAsia="zh-CN"/>
              </w:rPr>
              <w:t>。</w:t>
            </w:r>
          </w:p>
          <w:p w14:paraId="51151D14"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rPr>
                <w:rFonts w:cs="Times New Roman"/>
                <w:spacing w:val="-6"/>
                <w:kern w:val="0"/>
                <w:sz w:val="20"/>
                <w:szCs w:val="20"/>
                <w:lang w:val="en-GB" w:eastAsia="zh-CN"/>
              </w:rPr>
            </w:pPr>
            <w:r w:rsidRPr="000C0842">
              <w:rPr>
                <w:rFonts w:cs="Times New Roman" w:hint="eastAsia"/>
                <w:kern w:val="0"/>
                <w:sz w:val="20"/>
                <w:szCs w:val="20"/>
                <w:lang w:val="en-GB" w:eastAsia="zh-CN"/>
              </w:rPr>
              <w:t>4</w:t>
            </w:r>
            <w:r w:rsidRPr="000C0842">
              <w:rPr>
                <w:rFonts w:cs="Times New Roman"/>
                <w:kern w:val="0"/>
                <w:sz w:val="20"/>
                <w:szCs w:val="20"/>
                <w:lang w:val="en-GB" w:eastAsia="zh-CN"/>
              </w:rPr>
              <w:t>(e)</w:t>
            </w:r>
            <w:r w:rsidRPr="000C0842">
              <w:rPr>
                <w:rFonts w:cs="Times New Roman"/>
                <w:kern w:val="0"/>
                <w:sz w:val="20"/>
                <w:szCs w:val="20"/>
                <w:lang w:val="en-GB" w:eastAsia="zh-CN"/>
              </w:rPr>
              <w:tab/>
            </w:r>
            <w:r w:rsidRPr="000C0842">
              <w:rPr>
                <w:rFonts w:cs="Times New Roman"/>
                <w:spacing w:val="-6"/>
                <w:kern w:val="0"/>
                <w:sz w:val="20"/>
                <w:szCs w:val="20"/>
                <w:lang w:val="en-GB" w:eastAsia="zh-CN"/>
              </w:rPr>
              <w:t>制定方案，确保驯化、栽培的物种和</w:t>
            </w:r>
            <w:r w:rsidRPr="000C0842">
              <w:rPr>
                <w:rFonts w:cs="Times New Roman"/>
                <w:spacing w:val="-6"/>
                <w:kern w:val="0"/>
                <w:sz w:val="20"/>
                <w:szCs w:val="20"/>
                <w:lang w:val="en-US" w:eastAsia="zh-CN"/>
              </w:rPr>
              <w:t>作物的野生亲缘品种</w:t>
            </w:r>
            <w:r w:rsidRPr="000C0842">
              <w:rPr>
                <w:rFonts w:cs="Times New Roman"/>
                <w:spacing w:val="-6"/>
                <w:kern w:val="0"/>
                <w:sz w:val="20"/>
                <w:szCs w:val="20"/>
                <w:lang w:val="en-GB" w:eastAsia="zh-CN"/>
              </w:rPr>
              <w:t>得到有效保护、恢复和管理，</w:t>
            </w:r>
            <w:r w:rsidRPr="000C0842">
              <w:rPr>
                <w:rFonts w:cs="Times New Roman" w:hint="eastAsia"/>
                <w:spacing w:val="-6"/>
                <w:kern w:val="0"/>
                <w:sz w:val="20"/>
                <w:szCs w:val="20"/>
                <w:lang w:val="en-GB" w:eastAsia="zh-CN"/>
              </w:rPr>
              <w:t>利用就</w:t>
            </w:r>
            <w:r w:rsidRPr="000C0842">
              <w:rPr>
                <w:rFonts w:cs="Times New Roman"/>
                <w:spacing w:val="-6"/>
                <w:kern w:val="0"/>
                <w:sz w:val="20"/>
                <w:szCs w:val="20"/>
                <w:lang w:val="en-GB" w:eastAsia="zh-CN"/>
              </w:rPr>
              <w:t>地方法，</w:t>
            </w:r>
            <w:r w:rsidRPr="000C0842">
              <w:rPr>
                <w:rFonts w:cs="Times New Roman" w:hint="eastAsia"/>
                <w:spacing w:val="-6"/>
                <w:kern w:val="0"/>
                <w:sz w:val="20"/>
                <w:szCs w:val="20"/>
                <w:lang w:val="en-GB" w:eastAsia="zh-CN"/>
              </w:rPr>
              <w:t>采用</w:t>
            </w:r>
            <w:r w:rsidRPr="000C0842">
              <w:rPr>
                <w:rFonts w:cs="Times New Roman"/>
                <w:spacing w:val="-6"/>
                <w:kern w:val="0"/>
                <w:sz w:val="20"/>
                <w:szCs w:val="20"/>
                <w:lang w:val="en-GB" w:eastAsia="zh-CN"/>
              </w:rPr>
              <w:t>可持续管理做法</w:t>
            </w:r>
            <w:r w:rsidRPr="000C0842">
              <w:rPr>
                <w:rFonts w:cs="Times New Roman" w:hint="eastAsia"/>
                <w:spacing w:val="-6"/>
                <w:kern w:val="0"/>
                <w:sz w:val="20"/>
                <w:szCs w:val="20"/>
                <w:lang w:val="en-GB" w:eastAsia="zh-CN"/>
              </w:rPr>
              <w:t>，</w:t>
            </w:r>
            <w:r w:rsidRPr="000C0842">
              <w:rPr>
                <w:rFonts w:cs="Times New Roman"/>
                <w:spacing w:val="-6"/>
                <w:kern w:val="0"/>
                <w:sz w:val="20"/>
                <w:szCs w:val="20"/>
                <w:lang w:val="en-GB" w:eastAsia="zh-CN"/>
              </w:rPr>
              <w:t>在土著人民和地方社区自由、事先和知情同意的情况下，</w:t>
            </w:r>
            <w:r w:rsidRPr="000C0842">
              <w:rPr>
                <w:rFonts w:cs="Times New Roman" w:hint="eastAsia"/>
                <w:spacing w:val="-6"/>
                <w:kern w:val="0"/>
                <w:sz w:val="20"/>
                <w:szCs w:val="20"/>
                <w:lang w:val="en-GB" w:eastAsia="zh-CN"/>
              </w:rPr>
              <w:t>利用</w:t>
            </w:r>
            <w:r w:rsidRPr="000C0842">
              <w:rPr>
                <w:rFonts w:cs="Times New Roman"/>
                <w:spacing w:val="-6"/>
                <w:kern w:val="0"/>
                <w:sz w:val="20"/>
                <w:szCs w:val="20"/>
                <w:lang w:val="en-GB" w:eastAsia="zh-CN"/>
              </w:rPr>
              <w:t>农业生态学和其他涉及其传统知识的可持续生产做法。</w:t>
            </w:r>
          </w:p>
          <w:p w14:paraId="32097B35" w14:textId="77777777" w:rsidR="00382AC2" w:rsidRPr="000C0842" w:rsidRDefault="00382AC2" w:rsidP="00382AC2">
            <w:pPr>
              <w:keepNext/>
              <w:tabs>
                <w:tab w:val="clear" w:pos="567"/>
                <w:tab w:val="clear" w:pos="1134"/>
                <w:tab w:val="clear" w:pos="1701"/>
                <w:tab w:val="clear" w:pos="2268"/>
              </w:tabs>
              <w:spacing w:before="120" w:after="120" w:line="320" w:lineRule="exact"/>
              <w:ind w:left="516" w:hanging="516"/>
              <w:rPr>
                <w:rFonts w:cs="Times New Roman"/>
                <w:kern w:val="0"/>
                <w:sz w:val="20"/>
                <w:szCs w:val="20"/>
                <w:lang w:val="en-GB" w:eastAsia="zh-CN"/>
              </w:rPr>
            </w:pPr>
            <w:r w:rsidRPr="000C0842">
              <w:rPr>
                <w:rFonts w:cs="Times New Roman"/>
                <w:kern w:val="0"/>
                <w:sz w:val="20"/>
                <w:szCs w:val="20"/>
                <w:lang w:val="en-GB" w:eastAsia="zh-CN"/>
              </w:rPr>
              <w:t>4</w:t>
            </w:r>
            <w:r w:rsidRPr="000C0842">
              <w:rPr>
                <w:rFonts w:cs="Times New Roman" w:hint="eastAsia"/>
                <w:kern w:val="0"/>
                <w:sz w:val="20"/>
                <w:szCs w:val="20"/>
                <w:lang w:val="en-GB" w:eastAsia="zh-CN"/>
              </w:rPr>
              <w:t>(f)</w:t>
            </w:r>
            <w:r w:rsidRPr="000C0842">
              <w:rPr>
                <w:rFonts w:cs="Times New Roman"/>
                <w:kern w:val="0"/>
                <w:sz w:val="20"/>
                <w:szCs w:val="20"/>
                <w:lang w:val="en-GB" w:eastAsia="zh-CN"/>
              </w:rPr>
              <w:t xml:space="preserve">  </w:t>
            </w:r>
            <w:r w:rsidRPr="000C0842">
              <w:rPr>
                <w:rFonts w:cs="Times New Roman" w:hint="eastAsia"/>
                <w:kern w:val="0"/>
                <w:sz w:val="20"/>
                <w:szCs w:val="20"/>
                <w:lang w:val="en-GB" w:eastAsia="zh-CN"/>
              </w:rPr>
              <w:t>鼓励移地作业，人工繁殖受威胁植物物种，寻求支持就地保护的合作措施，如技术支持、资金捐助、交换放归野外的标本、能力建设和培训、技术转让、投资、基础设施等。</w:t>
            </w:r>
          </w:p>
        </w:tc>
      </w:tr>
      <w:tr w:rsidR="000C0842" w:rsidRPr="000C0842" w14:paraId="12ABF5AE" w14:textId="77777777" w:rsidTr="001F32B3">
        <w:trPr>
          <w:trHeight w:val="300"/>
        </w:trPr>
        <w:tc>
          <w:tcPr>
            <w:tcW w:w="4675" w:type="dxa"/>
            <w:tcMar>
              <w:top w:w="58" w:type="dxa"/>
              <w:left w:w="115" w:type="dxa"/>
              <w:bottom w:w="58" w:type="dxa"/>
              <w:right w:w="115" w:type="dxa"/>
            </w:tcMar>
          </w:tcPr>
          <w:p w14:paraId="13EA1473"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5</w:t>
            </w:r>
          </w:p>
          <w:p w14:paraId="161F320F"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确保野生物种的使用、采猎、交易是</w:t>
            </w:r>
            <w:bookmarkStart w:id="80" w:name="_Hlk117503806"/>
            <w:r w:rsidRPr="000C0842">
              <w:rPr>
                <w:rFonts w:cs="Times New Roman"/>
                <w:kern w:val="0"/>
                <w:sz w:val="20"/>
                <w:szCs w:val="20"/>
                <w:lang w:val="en-US" w:eastAsia="zh-CN"/>
              </w:rPr>
              <w:t>可持续的、安全的、合法的</w:t>
            </w:r>
            <w:bookmarkEnd w:id="80"/>
            <w:r w:rsidRPr="000C0842">
              <w:rPr>
                <w:rFonts w:cs="Times New Roman"/>
                <w:kern w:val="0"/>
                <w:sz w:val="20"/>
                <w:szCs w:val="20"/>
                <w:lang w:val="en-US" w:eastAsia="zh-CN"/>
              </w:rPr>
              <w:t>，防止过度开发，减少对非目标</w:t>
            </w:r>
            <w:bookmarkStart w:id="81" w:name="_Hlk121160526"/>
            <w:r w:rsidRPr="000C0842">
              <w:rPr>
                <w:rFonts w:cs="Times New Roman"/>
                <w:kern w:val="0"/>
                <w:sz w:val="20"/>
                <w:szCs w:val="20"/>
                <w:lang w:val="en-US" w:eastAsia="zh-CN"/>
              </w:rPr>
              <w:t>物种</w:t>
            </w:r>
            <w:bookmarkEnd w:id="81"/>
            <w:r w:rsidRPr="000C0842">
              <w:rPr>
                <w:rFonts w:cs="Times New Roman"/>
                <w:kern w:val="0"/>
                <w:sz w:val="20"/>
                <w:szCs w:val="20"/>
                <w:lang w:val="en-US" w:eastAsia="zh-CN"/>
              </w:rPr>
              <w:t>和生态系统的影响，减少病原体溢出的风险，采用生态系统方法，同时尊重和保护土著人民和地方社区的可持续习惯使用</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45D0185B"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可持续</w:t>
            </w:r>
            <w:r w:rsidRPr="000C0842">
              <w:rPr>
                <w:rFonts w:ascii="SimHei" w:hAnsi="SimHei" w:cs="Times New Roman" w:hint="eastAsia"/>
                <w:b/>
                <w:kern w:val="0"/>
                <w:sz w:val="20"/>
                <w:szCs w:val="20"/>
                <w:lang w:val="en-GB" w:eastAsia="zh-CN"/>
              </w:rPr>
              <w:t>采伐</w:t>
            </w:r>
          </w:p>
          <w:p w14:paraId="5B4329A8" w14:textId="77777777" w:rsidR="00382AC2" w:rsidRPr="000C0842" w:rsidRDefault="00382AC2" w:rsidP="00382AC2">
            <w:pPr>
              <w:tabs>
                <w:tab w:val="clear" w:pos="567"/>
                <w:tab w:val="clear" w:pos="1134"/>
                <w:tab w:val="clear" w:pos="1701"/>
                <w:tab w:val="clear" w:pos="2268"/>
                <w:tab w:val="left" w:pos="722"/>
              </w:tabs>
              <w:spacing w:before="120" w:after="120" w:line="300" w:lineRule="exact"/>
              <w:ind w:left="516" w:hanging="516"/>
              <w:rPr>
                <w:rFonts w:eastAsia="DengXian Light" w:cs="Times New Roman"/>
                <w:kern w:val="0"/>
                <w:sz w:val="20"/>
                <w:szCs w:val="20"/>
                <w:lang w:val="en-GB" w:eastAsia="zh-CN"/>
              </w:rPr>
            </w:pPr>
            <w:r w:rsidRPr="000C0842">
              <w:rPr>
                <w:rFonts w:cs="Times New Roman"/>
                <w:kern w:val="0"/>
                <w:sz w:val="20"/>
                <w:szCs w:val="20"/>
                <w:lang w:val="en-GB" w:eastAsia="zh-CN"/>
              </w:rPr>
              <w:t>5(a)</w:t>
            </w:r>
            <w:r w:rsidRPr="000C0842">
              <w:rPr>
                <w:rFonts w:cs="Times New Roman"/>
                <w:kern w:val="0"/>
                <w:sz w:val="20"/>
                <w:szCs w:val="20"/>
                <w:lang w:val="en-GB" w:eastAsia="zh-CN"/>
              </w:rPr>
              <w:tab/>
            </w:r>
            <w:r w:rsidRPr="000C0842">
              <w:rPr>
                <w:rFonts w:cs="Times New Roman"/>
                <w:kern w:val="0"/>
                <w:sz w:val="20"/>
                <w:szCs w:val="20"/>
                <w:lang w:val="en-GB" w:eastAsia="zh-CN"/>
              </w:rPr>
              <w:t>制定和实施战略，</w:t>
            </w:r>
            <w:r w:rsidRPr="000C0842">
              <w:rPr>
                <w:rFonts w:cs="Times New Roman" w:hint="eastAsia"/>
                <w:kern w:val="0"/>
                <w:sz w:val="20"/>
                <w:szCs w:val="20"/>
                <w:lang w:val="en-GB" w:eastAsia="zh-CN"/>
              </w:rPr>
              <w:t>通过查明可持续采伐水平和进行</w:t>
            </w:r>
            <w:r w:rsidRPr="000C0842">
              <w:rPr>
                <w:rFonts w:cs="Times New Roman"/>
                <w:kern w:val="0"/>
                <w:sz w:val="20"/>
                <w:szCs w:val="20"/>
                <w:lang w:val="en-GB" w:eastAsia="zh-CN"/>
              </w:rPr>
              <w:t>人工繁殖或辅助生产</w:t>
            </w:r>
            <w:r w:rsidRPr="000C0842">
              <w:rPr>
                <w:rFonts w:cs="Times New Roman" w:hint="eastAsia"/>
                <w:kern w:val="0"/>
                <w:sz w:val="20"/>
                <w:szCs w:val="20"/>
                <w:lang w:val="en-GB" w:eastAsia="zh-CN"/>
              </w:rPr>
              <w:t>等措施，</w:t>
            </w:r>
            <w:r w:rsidRPr="000C0842">
              <w:rPr>
                <w:rFonts w:cs="Times New Roman"/>
                <w:kern w:val="0"/>
                <w:sz w:val="20"/>
                <w:szCs w:val="20"/>
                <w:lang w:val="en-GB" w:eastAsia="zh-CN"/>
              </w:rPr>
              <w:t>确保可持续和合法</w:t>
            </w:r>
            <w:r w:rsidRPr="000C0842">
              <w:rPr>
                <w:rFonts w:cs="Times New Roman" w:hint="eastAsia"/>
                <w:kern w:val="0"/>
                <w:sz w:val="20"/>
                <w:szCs w:val="20"/>
                <w:lang w:val="en-GB" w:eastAsia="zh-CN"/>
              </w:rPr>
              <w:t>采伐</w:t>
            </w:r>
            <w:r w:rsidRPr="000C0842">
              <w:rPr>
                <w:rFonts w:cs="Times New Roman"/>
                <w:kern w:val="0"/>
                <w:sz w:val="20"/>
                <w:szCs w:val="20"/>
                <w:lang w:val="en-GB" w:eastAsia="zh-CN"/>
              </w:rPr>
              <w:t>利用野生植物，同时尊重</w:t>
            </w:r>
            <w:r w:rsidRPr="000C0842">
              <w:rPr>
                <w:rFonts w:cs="Times New Roman" w:hint="eastAsia"/>
                <w:kern w:val="0"/>
                <w:sz w:val="20"/>
                <w:szCs w:val="20"/>
                <w:lang w:val="en-GB" w:eastAsia="zh-CN"/>
              </w:rPr>
              <w:t>和保护</w:t>
            </w:r>
            <w:r w:rsidRPr="000C0842">
              <w:rPr>
                <w:rFonts w:cs="Times New Roman"/>
                <w:kern w:val="0"/>
                <w:sz w:val="20"/>
                <w:szCs w:val="20"/>
                <w:lang w:val="en-GB" w:eastAsia="zh-CN"/>
              </w:rPr>
              <w:t>土著人民和地方社区的可持续习惯</w:t>
            </w:r>
            <w:r w:rsidRPr="000C0842">
              <w:rPr>
                <w:rFonts w:cs="Times New Roman" w:hint="eastAsia"/>
                <w:kern w:val="0"/>
                <w:sz w:val="20"/>
                <w:szCs w:val="20"/>
                <w:lang w:val="en-GB" w:eastAsia="zh-CN"/>
              </w:rPr>
              <w:t>使用</w:t>
            </w:r>
            <w:r w:rsidRPr="000C0842">
              <w:rPr>
                <w:rFonts w:cs="Times New Roman"/>
                <w:kern w:val="0"/>
                <w:sz w:val="20"/>
                <w:szCs w:val="20"/>
                <w:lang w:val="en-GB" w:eastAsia="zh-CN"/>
              </w:rPr>
              <w:t>。</w:t>
            </w:r>
          </w:p>
          <w:p w14:paraId="3AA200A0"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植物贸易</w:t>
            </w:r>
          </w:p>
          <w:p w14:paraId="73FED7DC" w14:textId="77777777" w:rsidR="00382AC2" w:rsidRPr="000C0842" w:rsidRDefault="00382AC2" w:rsidP="00382AC2">
            <w:pPr>
              <w:tabs>
                <w:tab w:val="clear" w:pos="567"/>
                <w:tab w:val="clear" w:pos="1134"/>
                <w:tab w:val="clear" w:pos="1701"/>
                <w:tab w:val="clear" w:pos="2268"/>
              </w:tabs>
              <w:spacing w:before="120" w:after="120" w:line="300" w:lineRule="exact"/>
              <w:ind w:left="516" w:hanging="516"/>
              <w:rPr>
                <w:rFonts w:cs="Times New Roman"/>
                <w:kern w:val="0"/>
                <w:sz w:val="20"/>
                <w:szCs w:val="20"/>
                <w:lang w:val="en-GB" w:eastAsia="zh-CN"/>
              </w:rPr>
            </w:pPr>
            <w:r w:rsidRPr="000C0842">
              <w:rPr>
                <w:rFonts w:eastAsia="DengXian Light" w:cs="Times New Roman" w:hint="eastAsia"/>
                <w:kern w:val="0"/>
                <w:sz w:val="20"/>
                <w:szCs w:val="20"/>
                <w:lang w:val="en-GB" w:eastAsia="zh-CN"/>
              </w:rPr>
              <w:t>5</w:t>
            </w:r>
            <w:r w:rsidRPr="000C0842">
              <w:rPr>
                <w:rFonts w:eastAsia="DengXian Light" w:cs="Times New Roman"/>
                <w:kern w:val="0"/>
                <w:sz w:val="20"/>
                <w:szCs w:val="20"/>
                <w:lang w:val="en-GB" w:eastAsia="zh-CN"/>
              </w:rPr>
              <w:t>(b)</w:t>
            </w:r>
            <w:r w:rsidRPr="000C0842">
              <w:rPr>
                <w:rFonts w:eastAsia="DengXian Light" w:cs="Times New Roman"/>
                <w:kern w:val="0"/>
                <w:sz w:val="20"/>
                <w:szCs w:val="20"/>
                <w:lang w:val="en-GB" w:eastAsia="zh-CN"/>
              </w:rPr>
              <w:tab/>
            </w:r>
            <w:r w:rsidRPr="000C0842">
              <w:rPr>
                <w:rFonts w:cs="Times New Roman" w:hint="eastAsia"/>
                <w:kern w:val="0"/>
                <w:sz w:val="20"/>
                <w:szCs w:val="20"/>
                <w:lang w:val="en-GB" w:eastAsia="zh-CN"/>
              </w:rPr>
              <w:t>查明受到或有可能</w:t>
            </w:r>
            <w:r w:rsidRPr="000C0842">
              <w:rPr>
                <w:rFonts w:cs="Times New Roman"/>
                <w:kern w:val="0"/>
                <w:sz w:val="20"/>
                <w:szCs w:val="20"/>
                <w:lang w:val="en-GB" w:eastAsia="zh-CN"/>
              </w:rPr>
              <w:t>受到不可持续或非法贸易威胁的野生植物，支持</w:t>
            </w:r>
            <w:r w:rsidRPr="000C0842">
              <w:rPr>
                <w:rFonts w:cs="Times New Roman" w:hint="eastAsia"/>
                <w:kern w:val="0"/>
                <w:sz w:val="20"/>
                <w:szCs w:val="20"/>
                <w:lang w:val="en-GB" w:eastAsia="zh-CN"/>
              </w:rPr>
              <w:t>执行、</w:t>
            </w:r>
            <w:r w:rsidRPr="000C0842">
              <w:rPr>
                <w:rFonts w:cs="Times New Roman"/>
                <w:kern w:val="0"/>
                <w:sz w:val="20"/>
                <w:szCs w:val="20"/>
                <w:lang w:val="en-GB" w:eastAsia="zh-CN"/>
              </w:rPr>
              <w:t>制定</w:t>
            </w:r>
            <w:r w:rsidRPr="000C0842">
              <w:rPr>
                <w:rFonts w:cs="Times New Roman" w:hint="eastAsia"/>
                <w:kern w:val="0"/>
                <w:sz w:val="20"/>
                <w:szCs w:val="20"/>
                <w:lang w:val="en-GB" w:eastAsia="zh-CN"/>
              </w:rPr>
              <w:t>、</w:t>
            </w:r>
            <w:r w:rsidRPr="000C0842">
              <w:rPr>
                <w:rFonts w:cs="Times New Roman"/>
                <w:kern w:val="0"/>
                <w:sz w:val="20"/>
                <w:szCs w:val="20"/>
                <w:lang w:val="en-GB" w:eastAsia="zh-CN"/>
              </w:rPr>
              <w:t>通过国家或国际准则及其他措施，确保植物的</w:t>
            </w:r>
            <w:r w:rsidRPr="000C0842">
              <w:rPr>
                <w:rFonts w:cs="Times New Roman" w:hint="eastAsia"/>
                <w:kern w:val="0"/>
                <w:sz w:val="20"/>
                <w:szCs w:val="20"/>
                <w:lang w:val="en-GB" w:eastAsia="zh-CN"/>
              </w:rPr>
              <w:t>采伐</w:t>
            </w:r>
            <w:r w:rsidRPr="000C0842">
              <w:rPr>
                <w:rFonts w:cs="Times New Roman"/>
                <w:kern w:val="0"/>
                <w:sz w:val="20"/>
                <w:szCs w:val="20"/>
                <w:lang w:val="en-GB" w:eastAsia="zh-CN"/>
              </w:rPr>
              <w:t>和贸易是可持续、安全和合法的。</w:t>
            </w:r>
          </w:p>
        </w:tc>
      </w:tr>
      <w:tr w:rsidR="000C0842" w:rsidRPr="000C0842" w14:paraId="670DA88F" w14:textId="77777777" w:rsidTr="001F32B3">
        <w:trPr>
          <w:trHeight w:val="300"/>
        </w:trPr>
        <w:tc>
          <w:tcPr>
            <w:tcW w:w="4675" w:type="dxa"/>
            <w:tcMar>
              <w:top w:w="58" w:type="dxa"/>
              <w:left w:w="115" w:type="dxa"/>
              <w:bottom w:w="58" w:type="dxa"/>
              <w:right w:w="115" w:type="dxa"/>
            </w:tcMar>
          </w:tcPr>
          <w:p w14:paraId="69FCD745" w14:textId="77777777" w:rsidR="00382AC2" w:rsidRPr="000C0842" w:rsidRDefault="00382AC2" w:rsidP="00382AC2">
            <w:pPr>
              <w:keepNext/>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6</w:t>
            </w:r>
          </w:p>
          <w:p w14:paraId="23DB61B6" w14:textId="77777777" w:rsidR="00382AC2" w:rsidRPr="000C0842" w:rsidRDefault="00382AC2" w:rsidP="00382AC2">
            <w:pPr>
              <w:keepNext/>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AU" w:eastAsia="zh-CN"/>
              </w:rPr>
              <w:t>通过确定和管理外来物种的引进途径，防止重点外来入侵物种的引进和建群，消除、尽量降低、减少和</w:t>
            </w:r>
            <w:r w:rsidRPr="000C0842">
              <w:rPr>
                <w:rFonts w:cs="Times New Roman"/>
                <w:kern w:val="0"/>
                <w:sz w:val="20"/>
                <w:szCs w:val="20"/>
                <w:lang w:val="en-AU" w:eastAsia="zh-CN"/>
              </w:rPr>
              <w:t>/</w:t>
            </w:r>
            <w:r w:rsidRPr="000C0842">
              <w:rPr>
                <w:rFonts w:cs="Times New Roman"/>
                <w:kern w:val="0"/>
                <w:sz w:val="20"/>
                <w:szCs w:val="20"/>
                <w:lang w:val="en-AU" w:eastAsia="zh-CN"/>
              </w:rPr>
              <w:t>或减轻外来入侵物种对生物多样性和生态系统服务的影响，到</w:t>
            </w:r>
            <w:r w:rsidRPr="000C0842">
              <w:rPr>
                <w:rFonts w:cs="Times New Roman"/>
                <w:kern w:val="0"/>
                <w:sz w:val="20"/>
                <w:szCs w:val="20"/>
                <w:lang w:val="en-AU" w:eastAsia="zh-CN"/>
              </w:rPr>
              <w:t>2030</w:t>
            </w:r>
            <w:r w:rsidRPr="000C0842">
              <w:rPr>
                <w:rFonts w:cs="Times New Roman"/>
                <w:kern w:val="0"/>
                <w:sz w:val="20"/>
                <w:szCs w:val="20"/>
                <w:lang w:val="en-AU" w:eastAsia="zh-CN"/>
              </w:rPr>
              <w:t>年，将其他已知或潜在外来入侵物种的引进和建群率至少降低</w:t>
            </w:r>
            <w:r w:rsidRPr="000C0842">
              <w:rPr>
                <w:rFonts w:cs="Times New Roman"/>
                <w:kern w:val="0"/>
                <w:sz w:val="20"/>
                <w:szCs w:val="20"/>
                <w:lang w:val="en-AU" w:eastAsia="zh-CN"/>
              </w:rPr>
              <w:t>50%</w:t>
            </w:r>
            <w:r w:rsidRPr="000C0842">
              <w:rPr>
                <w:rFonts w:cs="Times New Roman"/>
                <w:kern w:val="0"/>
                <w:sz w:val="20"/>
                <w:szCs w:val="20"/>
                <w:lang w:val="en-AU" w:eastAsia="zh-CN"/>
              </w:rPr>
              <w:t>，消除或控制外来入侵物种，特别是在岛屿等重点地带</w:t>
            </w:r>
            <w:r w:rsidRPr="000C0842">
              <w:rPr>
                <w:rFonts w:cs="Times New Roman" w:hint="eastAsia"/>
                <w:kern w:val="0"/>
                <w:sz w:val="20"/>
                <w:szCs w:val="20"/>
                <w:lang w:val="en-AU" w:eastAsia="zh-CN"/>
              </w:rPr>
              <w:t>这样做</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32404F52" w14:textId="77777777" w:rsidR="00382AC2" w:rsidRPr="000C0842" w:rsidRDefault="00382AC2" w:rsidP="00382AC2">
            <w:pPr>
              <w:tabs>
                <w:tab w:val="clear" w:pos="567"/>
                <w:tab w:val="clear" w:pos="1134"/>
                <w:tab w:val="clear" w:pos="1701"/>
                <w:tab w:val="clear" w:pos="2268"/>
              </w:tabs>
              <w:snapToGrid w:val="0"/>
              <w:spacing w:before="120" w:after="120" w:line="300" w:lineRule="exact"/>
              <w:rPr>
                <w:rFonts w:ascii="SimHei" w:hAnsi="SimHei" w:cs="Times New Roman"/>
                <w:b/>
                <w:kern w:val="0"/>
                <w:sz w:val="20"/>
                <w:szCs w:val="20"/>
                <w:lang w:val="en-GB" w:eastAsia="zh-CN"/>
              </w:rPr>
            </w:pPr>
            <w:r w:rsidRPr="000C0842">
              <w:rPr>
                <w:rFonts w:ascii="SimHei" w:hAnsi="SimHei" w:cs="Times New Roman" w:hint="eastAsia"/>
                <w:b/>
                <w:kern w:val="0"/>
                <w:sz w:val="20"/>
                <w:szCs w:val="20"/>
                <w:lang w:val="en-GB" w:eastAsia="zh-CN"/>
              </w:rPr>
              <w:t>监测</w:t>
            </w:r>
            <w:r w:rsidRPr="000C0842">
              <w:rPr>
                <w:rFonts w:ascii="SimHei" w:hAnsi="SimHei" w:cs="Times New Roman"/>
                <w:b/>
                <w:kern w:val="0"/>
                <w:sz w:val="20"/>
                <w:szCs w:val="20"/>
                <w:lang w:val="en-GB" w:eastAsia="zh-CN"/>
              </w:rPr>
              <w:t>入侵物种</w:t>
            </w:r>
          </w:p>
          <w:p w14:paraId="682FCC36" w14:textId="77777777" w:rsidR="00382AC2" w:rsidRPr="000C0842" w:rsidRDefault="00382AC2" w:rsidP="00382AC2">
            <w:pPr>
              <w:tabs>
                <w:tab w:val="clear" w:pos="567"/>
                <w:tab w:val="clear" w:pos="1134"/>
                <w:tab w:val="clear" w:pos="1701"/>
                <w:tab w:val="clear" w:pos="2268"/>
              </w:tabs>
              <w:spacing w:before="120" w:after="120" w:line="300" w:lineRule="exact"/>
              <w:ind w:left="516" w:hanging="516"/>
              <w:rPr>
                <w:rFonts w:cs="Times New Roman"/>
                <w:kern w:val="0"/>
                <w:sz w:val="20"/>
                <w:szCs w:val="20"/>
                <w:lang w:val="en-GB" w:eastAsia="zh-CN"/>
              </w:rPr>
            </w:pPr>
            <w:r w:rsidRPr="000C0842">
              <w:rPr>
                <w:rFonts w:cs="Times New Roman"/>
                <w:kern w:val="0"/>
                <w:sz w:val="20"/>
                <w:szCs w:val="20"/>
                <w:lang w:val="en-GB" w:eastAsia="zh-CN"/>
              </w:rPr>
              <w:t>6(a)</w:t>
            </w:r>
            <w:r w:rsidRPr="000C0842">
              <w:rPr>
                <w:rFonts w:cs="Times New Roman"/>
                <w:kern w:val="0"/>
                <w:sz w:val="20"/>
                <w:szCs w:val="20"/>
                <w:lang w:val="en-GB" w:eastAsia="zh-CN"/>
              </w:rPr>
              <w:tab/>
            </w:r>
            <w:r w:rsidRPr="000C0842">
              <w:rPr>
                <w:rFonts w:cs="Times New Roman"/>
                <w:kern w:val="0"/>
                <w:sz w:val="20"/>
                <w:szCs w:val="20"/>
                <w:lang w:val="en-GB" w:eastAsia="zh-CN"/>
              </w:rPr>
              <w:t>在国家和国际两级开发或加强预警、监测和跟踪系统，包括公众宣传方案，以预防、管理和根除影响或可能影响本地植物及其生态系统的潜在外来入侵物种，并制定措施</w:t>
            </w:r>
            <w:r w:rsidRPr="000C0842">
              <w:rPr>
                <w:rFonts w:cs="Times New Roman"/>
                <w:kern w:val="0"/>
                <w:vertAlign w:val="superscript"/>
                <w:lang w:val="en-US" w:eastAsia="zh-CN"/>
              </w:rPr>
              <w:footnoteReference w:id="343"/>
            </w:r>
            <w:r w:rsidRPr="000C0842">
              <w:rPr>
                <w:rFonts w:cs="Times New Roman"/>
                <w:kern w:val="0"/>
                <w:sz w:val="20"/>
                <w:szCs w:val="20"/>
                <w:lang w:val="en-GB" w:eastAsia="zh-CN"/>
              </w:rPr>
              <w:t>管理引进途径。</w:t>
            </w:r>
          </w:p>
          <w:p w14:paraId="0CBA2224" w14:textId="77777777" w:rsidR="00382AC2" w:rsidRPr="000C0842" w:rsidRDefault="00382AC2" w:rsidP="00382AC2">
            <w:pPr>
              <w:tabs>
                <w:tab w:val="clear" w:pos="567"/>
                <w:tab w:val="clear" w:pos="1134"/>
                <w:tab w:val="clear" w:pos="1701"/>
                <w:tab w:val="clear" w:pos="2268"/>
              </w:tabs>
              <w:spacing w:before="120" w:after="120" w:line="300" w:lineRule="exact"/>
              <w:ind w:left="516" w:hanging="516"/>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控制入侵物种</w:t>
            </w:r>
          </w:p>
          <w:p w14:paraId="5BBC6F7B" w14:textId="77777777" w:rsidR="00382AC2" w:rsidRPr="000C0842" w:rsidRDefault="00382AC2" w:rsidP="00382AC2">
            <w:pPr>
              <w:tabs>
                <w:tab w:val="clear" w:pos="567"/>
                <w:tab w:val="clear" w:pos="1134"/>
                <w:tab w:val="clear" w:pos="1701"/>
                <w:tab w:val="clear" w:pos="2268"/>
              </w:tabs>
              <w:spacing w:before="120" w:after="120" w:line="300" w:lineRule="exact"/>
              <w:ind w:left="516" w:hanging="516"/>
              <w:rPr>
                <w:rFonts w:cs="Times New Roman"/>
                <w:kern w:val="0"/>
                <w:sz w:val="20"/>
                <w:szCs w:val="20"/>
                <w:lang w:val="en-GB" w:eastAsia="zh-CN"/>
              </w:rPr>
            </w:pPr>
            <w:r w:rsidRPr="000C0842">
              <w:rPr>
                <w:rFonts w:cs="Times New Roman" w:hint="eastAsia"/>
                <w:kern w:val="0"/>
                <w:sz w:val="20"/>
                <w:szCs w:val="20"/>
                <w:lang w:val="en-GB" w:eastAsia="zh-CN"/>
              </w:rPr>
              <w:t>6</w:t>
            </w:r>
            <w:r w:rsidRPr="000C0842">
              <w:rPr>
                <w:rFonts w:cs="Times New Roman"/>
                <w:kern w:val="0"/>
                <w:sz w:val="20"/>
                <w:szCs w:val="20"/>
                <w:lang w:val="en-GB" w:eastAsia="zh-CN"/>
              </w:rPr>
              <w:t>(b)</w:t>
            </w:r>
            <w:r w:rsidRPr="000C0842">
              <w:rPr>
                <w:rFonts w:cs="Times New Roman"/>
                <w:kern w:val="0"/>
                <w:sz w:val="20"/>
                <w:szCs w:val="20"/>
                <w:lang w:val="en-GB" w:eastAsia="zh-CN"/>
              </w:rPr>
              <w:tab/>
            </w:r>
            <w:r w:rsidRPr="000C0842">
              <w:rPr>
                <w:rFonts w:cs="Times New Roman"/>
                <w:kern w:val="0"/>
                <w:sz w:val="20"/>
                <w:szCs w:val="20"/>
                <w:lang w:val="en-GB" w:eastAsia="zh-CN"/>
              </w:rPr>
              <w:t>采取控制或</w:t>
            </w:r>
            <w:r w:rsidRPr="000C0842">
              <w:rPr>
                <w:rFonts w:cs="Times New Roman" w:hint="eastAsia"/>
                <w:kern w:val="0"/>
                <w:sz w:val="20"/>
                <w:szCs w:val="20"/>
                <w:lang w:val="en-GB" w:eastAsia="zh-CN"/>
              </w:rPr>
              <w:t>根除</w:t>
            </w:r>
            <w:r w:rsidRPr="000C0842">
              <w:rPr>
                <w:rFonts w:cs="Times New Roman"/>
                <w:kern w:val="0"/>
                <w:sz w:val="20"/>
                <w:szCs w:val="20"/>
                <w:lang w:val="en-GB" w:eastAsia="zh-CN"/>
              </w:rPr>
              <w:t>措施，解决外来入侵物种对植物多样性和生态系统的有害影响，重点是对植物多样性</w:t>
            </w:r>
            <w:r w:rsidRPr="000C0842">
              <w:rPr>
                <w:rFonts w:cs="Times New Roman" w:hint="eastAsia"/>
                <w:kern w:val="0"/>
                <w:sz w:val="20"/>
                <w:szCs w:val="20"/>
                <w:lang w:val="en-GB" w:eastAsia="zh-CN"/>
              </w:rPr>
              <w:t>具有重要意义</w:t>
            </w:r>
            <w:r w:rsidRPr="000C0842">
              <w:rPr>
                <w:rFonts w:cs="Times New Roman"/>
                <w:kern w:val="0"/>
                <w:sz w:val="20"/>
                <w:szCs w:val="20"/>
                <w:lang w:val="en-GB" w:eastAsia="zh-CN"/>
              </w:rPr>
              <w:t>的</w:t>
            </w:r>
            <w:r w:rsidRPr="000C0842">
              <w:rPr>
                <w:rFonts w:cs="Times New Roman" w:hint="eastAsia"/>
                <w:kern w:val="0"/>
                <w:sz w:val="20"/>
                <w:szCs w:val="20"/>
                <w:lang w:val="en-GB" w:eastAsia="zh-CN"/>
              </w:rPr>
              <w:t>区域，同时考虑到气候变化的影响。</w:t>
            </w:r>
          </w:p>
        </w:tc>
      </w:tr>
      <w:tr w:rsidR="000C0842" w:rsidRPr="000C0842" w14:paraId="33C0D1C8" w14:textId="77777777" w:rsidTr="001F32B3">
        <w:trPr>
          <w:trHeight w:val="300"/>
        </w:trPr>
        <w:tc>
          <w:tcPr>
            <w:tcW w:w="4675" w:type="dxa"/>
            <w:tcMar>
              <w:top w:w="58" w:type="dxa"/>
              <w:left w:w="115" w:type="dxa"/>
              <w:bottom w:w="58" w:type="dxa"/>
              <w:right w:w="115" w:type="dxa"/>
            </w:tcMar>
          </w:tcPr>
          <w:p w14:paraId="12085EDA"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行动目标</w:t>
            </w:r>
            <w:r w:rsidRPr="000C0842">
              <w:rPr>
                <w:rFonts w:cs="Times New Roman"/>
                <w:b/>
                <w:kern w:val="0"/>
                <w:sz w:val="20"/>
                <w:szCs w:val="20"/>
                <w:lang w:val="en-GB" w:eastAsia="zh-CN"/>
              </w:rPr>
              <w:t>7</w:t>
            </w:r>
          </w:p>
          <w:p w14:paraId="662B900F"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考虑到累积效应，到</w:t>
            </w:r>
            <w:r w:rsidRPr="000C0842">
              <w:rPr>
                <w:rFonts w:cs="Times New Roman"/>
                <w:kern w:val="0"/>
                <w:sz w:val="20"/>
                <w:szCs w:val="20"/>
                <w:lang w:val="en-US" w:eastAsia="zh-CN"/>
              </w:rPr>
              <w:t>2030</w:t>
            </w:r>
            <w:r w:rsidRPr="000C0842">
              <w:rPr>
                <w:rFonts w:cs="Times New Roman"/>
                <w:kern w:val="0"/>
                <w:sz w:val="20"/>
                <w:szCs w:val="20"/>
                <w:lang w:val="en-US" w:eastAsia="zh-CN"/>
              </w:rPr>
              <w:t>年将所有来源的污染风险和不利影响减少到</w:t>
            </w:r>
            <w:bookmarkStart w:id="82" w:name="_Hlk117515471"/>
            <w:r w:rsidRPr="000C0842">
              <w:rPr>
                <w:rFonts w:cs="Times New Roman"/>
                <w:kern w:val="0"/>
                <w:sz w:val="20"/>
                <w:szCs w:val="20"/>
                <w:lang w:val="en-US" w:eastAsia="zh-CN"/>
              </w:rPr>
              <w:t>对生物多样性和生态系统功能和服务</w:t>
            </w:r>
            <w:bookmarkEnd w:id="82"/>
            <w:r w:rsidRPr="000C0842">
              <w:rPr>
                <w:rFonts w:cs="Times New Roman"/>
                <w:kern w:val="0"/>
                <w:sz w:val="20"/>
                <w:szCs w:val="20"/>
                <w:lang w:val="en-US" w:eastAsia="zh-CN"/>
              </w:rPr>
              <w:t>无害的水平，包括：</w:t>
            </w:r>
            <w:bookmarkStart w:id="83" w:name="_Hlk117514770"/>
            <w:r w:rsidRPr="000C0842">
              <w:rPr>
                <w:rFonts w:cs="Times New Roman"/>
                <w:kern w:val="0"/>
                <w:sz w:val="20"/>
                <w:szCs w:val="20"/>
                <w:lang w:val="en-US" w:eastAsia="zh-CN"/>
              </w:rPr>
              <w:t xml:space="preserve">(a) </w:t>
            </w:r>
            <w:r w:rsidRPr="000C0842">
              <w:rPr>
                <w:rFonts w:cs="Times New Roman"/>
                <w:kern w:val="0"/>
                <w:sz w:val="20"/>
                <w:szCs w:val="20"/>
                <w:lang w:val="en-US" w:eastAsia="zh-CN"/>
              </w:rPr>
              <w:t>把流失到环境中的过量养分</w:t>
            </w:r>
            <w:bookmarkEnd w:id="83"/>
            <w:r w:rsidRPr="000C0842">
              <w:rPr>
                <w:rFonts w:cs="Times New Roman"/>
                <w:kern w:val="0"/>
                <w:sz w:val="20"/>
                <w:szCs w:val="20"/>
                <w:lang w:val="en-US" w:eastAsia="zh-CN"/>
              </w:rPr>
              <w:t>减少至少一半，包括提高养分循环和利用的效率；</w:t>
            </w:r>
            <w:r w:rsidRPr="000C0842">
              <w:rPr>
                <w:rFonts w:cs="Times New Roman"/>
                <w:kern w:val="0"/>
                <w:sz w:val="20"/>
                <w:szCs w:val="20"/>
                <w:lang w:val="en-US" w:eastAsia="zh-CN"/>
              </w:rPr>
              <w:t xml:space="preserve">(b) </w:t>
            </w:r>
            <w:r w:rsidRPr="000C0842">
              <w:rPr>
                <w:rFonts w:cs="Times New Roman"/>
                <w:kern w:val="0"/>
                <w:sz w:val="20"/>
                <w:szCs w:val="20"/>
                <w:lang w:val="en-US" w:eastAsia="zh-CN"/>
              </w:rPr>
              <w:t>总体上将有关使用</w:t>
            </w:r>
            <w:bookmarkStart w:id="84" w:name="_Hlk121163623"/>
            <w:r w:rsidRPr="000C0842">
              <w:rPr>
                <w:rFonts w:cs="Times New Roman"/>
                <w:kern w:val="0"/>
                <w:sz w:val="20"/>
                <w:szCs w:val="20"/>
                <w:lang w:val="en-US" w:eastAsia="zh-CN"/>
              </w:rPr>
              <w:t>农药</w:t>
            </w:r>
            <w:bookmarkEnd w:id="84"/>
            <w:r w:rsidRPr="000C0842">
              <w:rPr>
                <w:rFonts w:cs="Times New Roman"/>
                <w:kern w:val="0"/>
                <w:sz w:val="20"/>
                <w:szCs w:val="20"/>
                <w:lang w:val="en-US" w:eastAsia="zh-CN"/>
              </w:rPr>
              <w:t>和剧毒化学品的风险减少至少一半，</w:t>
            </w:r>
            <w:bookmarkStart w:id="85" w:name="_Hlk117516404"/>
            <w:r w:rsidRPr="000C0842">
              <w:rPr>
                <w:rFonts w:cs="Times New Roman"/>
                <w:kern w:val="0"/>
                <w:sz w:val="20"/>
                <w:szCs w:val="20"/>
                <w:lang w:val="en-US" w:eastAsia="zh-CN"/>
              </w:rPr>
              <w:t>以科学为根据，考虑到粮食安全</w:t>
            </w:r>
            <w:bookmarkEnd w:id="85"/>
            <w:r w:rsidRPr="000C0842">
              <w:rPr>
                <w:rFonts w:cs="Times New Roman"/>
                <w:kern w:val="0"/>
                <w:sz w:val="20"/>
                <w:szCs w:val="20"/>
                <w:lang w:val="en-US" w:eastAsia="zh-CN"/>
              </w:rPr>
              <w:t>和生计；</w:t>
            </w:r>
            <w:r w:rsidRPr="000C0842">
              <w:rPr>
                <w:rFonts w:cs="Times New Roman"/>
                <w:kern w:val="0"/>
                <w:sz w:val="20"/>
                <w:szCs w:val="20"/>
                <w:lang w:val="en-US" w:eastAsia="zh-CN"/>
              </w:rPr>
              <w:t xml:space="preserve">(c) </w:t>
            </w:r>
            <w:r w:rsidRPr="000C0842">
              <w:rPr>
                <w:rFonts w:cs="Times New Roman"/>
                <w:kern w:val="0"/>
                <w:sz w:val="20"/>
                <w:szCs w:val="20"/>
                <w:lang w:val="en-US" w:eastAsia="zh-CN"/>
              </w:rPr>
              <w:t>防止、减少和努力消除塑料污染</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30427880"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污染对植物的影响</w:t>
            </w:r>
          </w:p>
          <w:p w14:paraId="0115934E" w14:textId="77777777" w:rsidR="00382AC2" w:rsidRPr="000C0842" w:rsidRDefault="00382AC2">
            <w:pPr>
              <w:numPr>
                <w:ilvl w:val="0"/>
                <w:numId w:val="95"/>
              </w:numPr>
              <w:tabs>
                <w:tab w:val="clear" w:pos="567"/>
                <w:tab w:val="clear" w:pos="1134"/>
                <w:tab w:val="clear" w:pos="1701"/>
                <w:tab w:val="clear" w:pos="2268"/>
              </w:tabs>
              <w:snapToGrid w:val="0"/>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收集</w:t>
            </w:r>
            <w:r w:rsidRPr="000C0842">
              <w:rPr>
                <w:rFonts w:cs="Times New Roman" w:hint="eastAsia"/>
                <w:kern w:val="0"/>
                <w:sz w:val="20"/>
                <w:szCs w:val="20"/>
                <w:lang w:val="en-GB" w:eastAsia="zh-CN"/>
              </w:rPr>
              <w:t>有关</w:t>
            </w:r>
            <w:r w:rsidRPr="000C0842">
              <w:rPr>
                <w:rFonts w:cs="Times New Roman"/>
                <w:kern w:val="0"/>
                <w:sz w:val="20"/>
                <w:szCs w:val="20"/>
                <w:lang w:val="en-GB" w:eastAsia="zh-CN"/>
              </w:rPr>
              <w:t>信息</w:t>
            </w:r>
            <w:r w:rsidRPr="000C0842">
              <w:rPr>
                <w:rFonts w:cs="Times New Roman" w:hint="eastAsia"/>
                <w:kern w:val="0"/>
                <w:sz w:val="20"/>
                <w:szCs w:val="20"/>
                <w:lang w:val="en-GB" w:eastAsia="zh-CN"/>
              </w:rPr>
              <w:t>，开展</w:t>
            </w:r>
            <w:r w:rsidRPr="000C0842">
              <w:rPr>
                <w:rFonts w:cs="Times New Roman"/>
                <w:kern w:val="0"/>
                <w:sz w:val="20"/>
                <w:szCs w:val="20"/>
                <w:lang w:val="en-GB" w:eastAsia="zh-CN"/>
              </w:rPr>
              <w:t>研究</w:t>
            </w:r>
            <w:r w:rsidRPr="000C0842">
              <w:rPr>
                <w:rFonts w:cs="Times New Roman" w:hint="eastAsia"/>
                <w:kern w:val="0"/>
                <w:sz w:val="20"/>
                <w:szCs w:val="20"/>
                <w:lang w:val="en-GB" w:eastAsia="zh-CN"/>
              </w:rPr>
              <w:t>，进行</w:t>
            </w:r>
            <w:r w:rsidRPr="000C0842">
              <w:rPr>
                <w:rFonts w:cs="Times New Roman"/>
                <w:kern w:val="0"/>
                <w:sz w:val="20"/>
                <w:szCs w:val="20"/>
                <w:lang w:val="en-GB" w:eastAsia="zh-CN"/>
              </w:rPr>
              <w:t>评估</w:t>
            </w:r>
            <w:r w:rsidRPr="000C0842">
              <w:rPr>
                <w:rFonts w:cs="Times New Roman" w:hint="eastAsia"/>
                <w:kern w:val="0"/>
                <w:sz w:val="20"/>
                <w:szCs w:val="20"/>
                <w:lang w:val="en-GB" w:eastAsia="zh-CN"/>
              </w:rPr>
              <w:t>，</w:t>
            </w:r>
            <w:r w:rsidRPr="000C0842">
              <w:rPr>
                <w:rFonts w:cs="Times New Roman"/>
                <w:kern w:val="0"/>
                <w:sz w:val="20"/>
                <w:szCs w:val="20"/>
                <w:lang w:val="en-GB" w:eastAsia="zh-CN"/>
              </w:rPr>
              <w:t>提供污染风险及其负面影响的证据，采取行动</w:t>
            </w:r>
            <w:r w:rsidRPr="000C0842">
              <w:rPr>
                <w:rFonts w:cs="Times New Roman" w:hint="eastAsia"/>
                <w:kern w:val="0"/>
                <w:sz w:val="20"/>
                <w:szCs w:val="20"/>
                <w:lang w:val="en-GB" w:eastAsia="zh-CN"/>
              </w:rPr>
              <w:t>尽量降低</w:t>
            </w:r>
            <w:r w:rsidRPr="000C0842">
              <w:rPr>
                <w:rFonts w:cs="Times New Roman"/>
                <w:kern w:val="0"/>
                <w:sz w:val="20"/>
                <w:szCs w:val="20"/>
                <w:lang w:val="en-GB" w:eastAsia="zh-CN"/>
              </w:rPr>
              <w:t>植物物种及其生态系统</w:t>
            </w:r>
            <w:r w:rsidRPr="000C0842">
              <w:rPr>
                <w:rFonts w:cs="Times New Roman" w:hint="eastAsia"/>
                <w:kern w:val="0"/>
                <w:sz w:val="20"/>
                <w:szCs w:val="20"/>
                <w:lang w:val="en-GB" w:eastAsia="zh-CN"/>
              </w:rPr>
              <w:t>受到</w:t>
            </w:r>
            <w:r w:rsidRPr="000C0842">
              <w:rPr>
                <w:rFonts w:cs="Times New Roman"/>
                <w:kern w:val="0"/>
                <w:sz w:val="20"/>
                <w:szCs w:val="20"/>
                <w:lang w:val="en-GB" w:eastAsia="zh-CN"/>
              </w:rPr>
              <w:t>的污染压力。</w:t>
            </w:r>
          </w:p>
        </w:tc>
      </w:tr>
      <w:tr w:rsidR="000C0842" w:rsidRPr="000C0842" w14:paraId="639DFD02" w14:textId="77777777" w:rsidTr="001F32B3">
        <w:trPr>
          <w:trHeight w:val="300"/>
        </w:trPr>
        <w:tc>
          <w:tcPr>
            <w:tcW w:w="4675" w:type="dxa"/>
            <w:tcMar>
              <w:top w:w="58" w:type="dxa"/>
              <w:left w:w="115" w:type="dxa"/>
              <w:bottom w:w="58" w:type="dxa"/>
              <w:right w:w="115" w:type="dxa"/>
            </w:tcMar>
          </w:tcPr>
          <w:p w14:paraId="073CB336"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8</w:t>
            </w:r>
          </w:p>
          <w:p w14:paraId="3EB3DD85"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通过缓解、适应和减少灾害风险行动，包括通过基于自然的解决方案和</w:t>
            </w:r>
            <w:r w:rsidRPr="000C0842">
              <w:rPr>
                <w:rFonts w:cs="Times New Roman"/>
                <w:kern w:val="0"/>
                <w:sz w:val="20"/>
                <w:szCs w:val="20"/>
                <w:lang w:val="en-US" w:eastAsia="zh-CN"/>
              </w:rPr>
              <w:t>/</w:t>
            </w:r>
            <w:r w:rsidRPr="000C0842">
              <w:rPr>
                <w:rFonts w:cs="Times New Roman"/>
                <w:kern w:val="0"/>
                <w:sz w:val="20"/>
                <w:szCs w:val="20"/>
                <w:lang w:val="en-US" w:eastAsia="zh-CN"/>
              </w:rPr>
              <w:t>或基于生态系统的方法，最大限度地减少气候变化和海洋酸化对生物多样性的影响，提高其复原力，同时减少气候行动对生物多样性的不利影响并促进积极影响</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154610AC"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hint="eastAsia"/>
                <w:b/>
                <w:kern w:val="0"/>
                <w:sz w:val="20"/>
                <w:szCs w:val="20"/>
                <w:lang w:val="en-GB" w:eastAsia="zh-CN"/>
              </w:rPr>
              <w:t>利用</w:t>
            </w:r>
            <w:r w:rsidRPr="000C0842">
              <w:rPr>
                <w:rFonts w:ascii="SimHei" w:hAnsi="SimHei" w:cs="Times New Roman"/>
                <w:b/>
                <w:kern w:val="0"/>
                <w:sz w:val="20"/>
                <w:szCs w:val="20"/>
                <w:lang w:val="en-GB" w:eastAsia="zh-CN"/>
              </w:rPr>
              <w:t>本</w:t>
            </w:r>
            <w:r w:rsidRPr="000C0842">
              <w:rPr>
                <w:rFonts w:ascii="SimHei" w:hAnsi="SimHei" w:cs="Times New Roman" w:hint="eastAsia"/>
                <w:b/>
                <w:kern w:val="0"/>
                <w:sz w:val="20"/>
                <w:szCs w:val="20"/>
                <w:lang w:val="en-GB" w:eastAsia="zh-CN"/>
              </w:rPr>
              <w:t>地</w:t>
            </w:r>
            <w:r w:rsidRPr="000C0842">
              <w:rPr>
                <w:rFonts w:ascii="SimHei" w:hAnsi="SimHei" w:cs="Times New Roman"/>
                <w:b/>
                <w:kern w:val="0"/>
                <w:sz w:val="20"/>
                <w:szCs w:val="20"/>
                <w:lang w:val="en-GB" w:eastAsia="zh-CN"/>
              </w:rPr>
              <w:t>植物减缓和适应气候</w:t>
            </w:r>
            <w:r w:rsidRPr="000C0842">
              <w:rPr>
                <w:rFonts w:ascii="SimHei" w:hAnsi="SimHei" w:cs="Times New Roman" w:hint="eastAsia"/>
                <w:b/>
                <w:kern w:val="0"/>
                <w:sz w:val="20"/>
                <w:szCs w:val="20"/>
                <w:lang w:val="en-GB" w:eastAsia="zh-CN"/>
              </w:rPr>
              <w:t>变化</w:t>
            </w:r>
          </w:p>
          <w:p w14:paraId="3BFA4E15" w14:textId="65FB2C44" w:rsidR="00382AC2" w:rsidRPr="000C0842" w:rsidRDefault="00382AC2" w:rsidP="00382AC2">
            <w:pPr>
              <w:tabs>
                <w:tab w:val="clear" w:pos="567"/>
                <w:tab w:val="clear" w:pos="1134"/>
                <w:tab w:val="clear" w:pos="1701"/>
                <w:tab w:val="clear" w:pos="2268"/>
              </w:tabs>
              <w:spacing w:before="120" w:after="120" w:line="300" w:lineRule="exact"/>
              <w:ind w:left="516" w:hanging="516"/>
              <w:rPr>
                <w:rFonts w:cs="Times New Roman"/>
                <w:kern w:val="0"/>
                <w:sz w:val="20"/>
                <w:szCs w:val="20"/>
                <w:lang w:val="en-GB" w:eastAsia="zh-CN"/>
              </w:rPr>
            </w:pPr>
            <w:r w:rsidRPr="000C0842">
              <w:rPr>
                <w:rFonts w:cs="Times New Roman"/>
                <w:kern w:val="0"/>
                <w:sz w:val="20"/>
                <w:szCs w:val="20"/>
                <w:lang w:val="en-GB" w:eastAsia="zh-CN"/>
              </w:rPr>
              <w:t>8</w:t>
            </w:r>
            <w:r w:rsidRPr="000C0842">
              <w:rPr>
                <w:rFonts w:cs="Times New Roman" w:hint="eastAsia"/>
                <w:kern w:val="0"/>
                <w:sz w:val="20"/>
                <w:szCs w:val="20"/>
                <w:lang w:val="en-GB" w:eastAsia="zh-CN"/>
              </w:rPr>
              <w:t>(</w:t>
            </w:r>
            <w:r w:rsidRPr="000C0842">
              <w:rPr>
                <w:rFonts w:cs="Times New Roman"/>
                <w:kern w:val="0"/>
                <w:sz w:val="20"/>
                <w:szCs w:val="20"/>
                <w:lang w:val="en-GB" w:eastAsia="zh-CN"/>
              </w:rPr>
              <w:t>a)</w:t>
            </w:r>
            <w:r w:rsidRPr="000C0842">
              <w:rPr>
                <w:rFonts w:cs="Times New Roman"/>
                <w:kern w:val="0"/>
                <w:sz w:val="20"/>
                <w:szCs w:val="20"/>
                <w:lang w:val="en-GB" w:eastAsia="zh-CN"/>
              </w:rPr>
              <w:tab/>
            </w:r>
            <w:r w:rsidRPr="000C0842">
              <w:rPr>
                <w:rFonts w:cs="Times New Roman" w:hint="eastAsia"/>
                <w:kern w:val="0"/>
                <w:sz w:val="20"/>
                <w:szCs w:val="20"/>
                <w:lang w:val="en-GB" w:eastAsia="zh-CN"/>
              </w:rPr>
              <w:t>在实施植物保护活动时，包括根据</w:t>
            </w:r>
            <w:r w:rsidR="001A5C0A" w:rsidRPr="000C0842">
              <w:rPr>
                <w:rFonts w:cs="Times New Roman" w:hint="eastAsia"/>
                <w:kern w:val="0"/>
                <w:sz w:val="20"/>
                <w:szCs w:val="20"/>
                <w:lang w:val="en-GB" w:eastAsia="zh-CN"/>
              </w:rPr>
              <w:t>《昆蒙框架》</w:t>
            </w:r>
            <w:r w:rsidRPr="000C0842">
              <w:rPr>
                <w:rFonts w:cs="Times New Roman" w:hint="eastAsia"/>
                <w:kern w:val="0"/>
                <w:sz w:val="20"/>
                <w:szCs w:val="20"/>
                <w:lang w:val="en-GB" w:eastAsia="zh-CN"/>
              </w:rPr>
              <w:t>行动目标</w:t>
            </w:r>
            <w:r w:rsidRPr="000C0842">
              <w:rPr>
                <w:rFonts w:cs="Times New Roman" w:hint="eastAsia"/>
                <w:kern w:val="0"/>
                <w:sz w:val="20"/>
                <w:szCs w:val="20"/>
                <w:lang w:val="en-GB" w:eastAsia="zh-CN"/>
              </w:rPr>
              <w:t>2</w:t>
            </w:r>
            <w:r w:rsidRPr="000C0842">
              <w:rPr>
                <w:rFonts w:cs="Times New Roman" w:hint="eastAsia"/>
                <w:kern w:val="0"/>
                <w:sz w:val="20"/>
                <w:szCs w:val="20"/>
                <w:lang w:val="en-GB" w:eastAsia="zh-CN"/>
              </w:rPr>
              <w:t>、</w:t>
            </w:r>
            <w:r w:rsidRPr="000C0842">
              <w:rPr>
                <w:rFonts w:cs="Times New Roman" w:hint="eastAsia"/>
                <w:kern w:val="0"/>
                <w:sz w:val="20"/>
                <w:szCs w:val="20"/>
                <w:lang w:val="en-GB" w:eastAsia="zh-CN"/>
              </w:rPr>
              <w:t>3</w:t>
            </w:r>
            <w:r w:rsidRPr="000C0842">
              <w:rPr>
                <w:rFonts w:cs="Times New Roman" w:hint="eastAsia"/>
                <w:kern w:val="0"/>
                <w:sz w:val="20"/>
                <w:szCs w:val="20"/>
                <w:lang w:val="en-GB" w:eastAsia="zh-CN"/>
              </w:rPr>
              <w:t>、</w:t>
            </w:r>
            <w:r w:rsidRPr="000C0842">
              <w:rPr>
                <w:rFonts w:cs="Times New Roman" w:hint="eastAsia"/>
                <w:kern w:val="0"/>
                <w:sz w:val="20"/>
                <w:szCs w:val="20"/>
                <w:lang w:val="en-GB" w:eastAsia="zh-CN"/>
              </w:rPr>
              <w:t>4</w:t>
            </w:r>
            <w:r w:rsidRPr="000C0842">
              <w:rPr>
                <w:rFonts w:cs="Times New Roman" w:hint="eastAsia"/>
                <w:kern w:val="0"/>
                <w:sz w:val="20"/>
                <w:szCs w:val="20"/>
                <w:lang w:val="en-GB" w:eastAsia="zh-CN"/>
              </w:rPr>
              <w:t>和</w:t>
            </w:r>
            <w:r w:rsidRPr="000C0842">
              <w:rPr>
                <w:rFonts w:cs="Times New Roman" w:hint="eastAsia"/>
                <w:kern w:val="0"/>
                <w:sz w:val="20"/>
                <w:szCs w:val="20"/>
                <w:lang w:val="en-GB" w:eastAsia="zh-CN"/>
              </w:rPr>
              <w:t>6</w:t>
            </w:r>
            <w:r w:rsidRPr="000C0842">
              <w:rPr>
                <w:rFonts w:cs="Times New Roman" w:hint="eastAsia"/>
                <w:kern w:val="0"/>
                <w:sz w:val="20"/>
                <w:szCs w:val="20"/>
                <w:lang w:val="en-GB" w:eastAsia="zh-CN"/>
              </w:rPr>
              <w:t>开展的活动，考虑到气候变化对物种、物种分布和生态系统的当前和预期影响。</w:t>
            </w:r>
          </w:p>
          <w:p w14:paraId="0C924CEE" w14:textId="77777777" w:rsidR="00382AC2" w:rsidRPr="000C0842" w:rsidRDefault="00382AC2" w:rsidP="00382AC2">
            <w:pPr>
              <w:tabs>
                <w:tab w:val="clear" w:pos="567"/>
                <w:tab w:val="clear" w:pos="1134"/>
                <w:tab w:val="clear" w:pos="1701"/>
                <w:tab w:val="clear" w:pos="2268"/>
              </w:tabs>
              <w:spacing w:before="120" w:after="120" w:line="300" w:lineRule="exact"/>
              <w:ind w:left="516" w:hanging="516"/>
              <w:rPr>
                <w:rFonts w:cs="Times New Roman"/>
                <w:kern w:val="0"/>
                <w:sz w:val="20"/>
                <w:szCs w:val="20"/>
                <w:lang w:val="en-GB" w:eastAsia="zh-CN"/>
              </w:rPr>
            </w:pPr>
            <w:r w:rsidRPr="000C0842">
              <w:rPr>
                <w:rFonts w:cs="Times New Roman"/>
                <w:kern w:val="0"/>
                <w:sz w:val="20"/>
                <w:szCs w:val="20"/>
                <w:lang w:val="en-GB" w:eastAsia="zh-CN"/>
              </w:rPr>
              <w:t>8</w:t>
            </w:r>
            <w:r w:rsidRPr="000C0842">
              <w:rPr>
                <w:rFonts w:cs="Times New Roman" w:hint="eastAsia"/>
                <w:kern w:val="0"/>
                <w:sz w:val="20"/>
                <w:szCs w:val="20"/>
                <w:lang w:val="en-GB" w:eastAsia="zh-CN"/>
              </w:rPr>
              <w:t>(</w:t>
            </w:r>
            <w:r w:rsidRPr="000C0842">
              <w:rPr>
                <w:rFonts w:cs="Times New Roman"/>
                <w:kern w:val="0"/>
                <w:sz w:val="20"/>
                <w:szCs w:val="20"/>
                <w:lang w:val="en-GB" w:eastAsia="zh-CN"/>
              </w:rPr>
              <w:t>b)</w:t>
            </w:r>
            <w:r w:rsidRPr="000C0842">
              <w:rPr>
                <w:rFonts w:cs="Times New Roman"/>
                <w:kern w:val="0"/>
                <w:sz w:val="20"/>
                <w:szCs w:val="20"/>
                <w:lang w:val="en-GB" w:eastAsia="zh-CN"/>
              </w:rPr>
              <w:tab/>
            </w:r>
            <w:r w:rsidRPr="000C0842">
              <w:rPr>
                <w:rFonts w:cs="Times New Roman"/>
                <w:kern w:val="0"/>
                <w:sz w:val="20"/>
                <w:szCs w:val="20"/>
                <w:lang w:val="en-GB" w:eastAsia="zh-CN"/>
              </w:rPr>
              <w:t>在碳固存种植区以及基于自然的解决</w:t>
            </w:r>
            <w:r w:rsidRPr="000C0842">
              <w:rPr>
                <w:rFonts w:cs="Times New Roman" w:hint="eastAsia"/>
                <w:kern w:val="0"/>
                <w:sz w:val="20"/>
                <w:szCs w:val="20"/>
                <w:lang w:val="en-GB" w:eastAsia="zh-CN"/>
              </w:rPr>
              <w:t>方案和</w:t>
            </w:r>
            <w:r w:rsidRPr="000C0842">
              <w:rPr>
                <w:rFonts w:cs="Times New Roman"/>
                <w:kern w:val="0"/>
                <w:sz w:val="20"/>
                <w:szCs w:val="20"/>
                <w:lang w:val="en-GB" w:eastAsia="zh-CN"/>
              </w:rPr>
              <w:t>基于生态系统的</w:t>
            </w:r>
            <w:r w:rsidRPr="000C0842">
              <w:rPr>
                <w:rFonts w:cs="Times New Roman" w:hint="eastAsia"/>
                <w:kern w:val="0"/>
                <w:sz w:val="20"/>
                <w:szCs w:val="20"/>
                <w:lang w:val="en-GB" w:eastAsia="zh-CN"/>
              </w:rPr>
              <w:t>减缓</w:t>
            </w:r>
            <w:r w:rsidRPr="000C0842">
              <w:rPr>
                <w:rFonts w:cs="Times New Roman"/>
                <w:kern w:val="0"/>
                <w:sz w:val="20"/>
                <w:szCs w:val="20"/>
                <w:lang w:val="en-GB" w:eastAsia="zh-CN"/>
              </w:rPr>
              <w:t>和适应气候</w:t>
            </w:r>
            <w:r w:rsidRPr="000C0842">
              <w:rPr>
                <w:rFonts w:cs="Times New Roman" w:hint="eastAsia"/>
                <w:kern w:val="0"/>
                <w:sz w:val="20"/>
                <w:szCs w:val="20"/>
                <w:lang w:val="en-GB" w:eastAsia="zh-CN"/>
              </w:rPr>
              <w:t>变化方法</w:t>
            </w:r>
            <w:r w:rsidRPr="000C0842">
              <w:rPr>
                <w:rFonts w:cs="Times New Roman"/>
                <w:kern w:val="0"/>
                <w:sz w:val="20"/>
                <w:szCs w:val="20"/>
                <w:lang w:val="en-GB" w:eastAsia="zh-CN"/>
              </w:rPr>
              <w:t>中，</w:t>
            </w:r>
            <w:r w:rsidRPr="000C0842">
              <w:rPr>
                <w:rFonts w:cs="Times New Roman" w:hint="eastAsia"/>
                <w:kern w:val="0"/>
                <w:sz w:val="20"/>
                <w:szCs w:val="20"/>
                <w:lang w:val="en-GB" w:eastAsia="zh-CN"/>
              </w:rPr>
              <w:t>鼓励</w:t>
            </w:r>
            <w:r w:rsidRPr="000C0842">
              <w:rPr>
                <w:rFonts w:cs="Times New Roman"/>
                <w:kern w:val="0"/>
                <w:sz w:val="20"/>
                <w:szCs w:val="20"/>
                <w:lang w:val="en-GB" w:eastAsia="zh-CN"/>
              </w:rPr>
              <w:t>利用遗传、生物</w:t>
            </w:r>
            <w:r w:rsidRPr="000C0842">
              <w:rPr>
                <w:rFonts w:cs="Times New Roman" w:hint="eastAsia"/>
                <w:kern w:val="0"/>
                <w:sz w:val="20"/>
                <w:szCs w:val="20"/>
                <w:lang w:val="en-GB" w:eastAsia="zh-CN"/>
              </w:rPr>
              <w:t>和</w:t>
            </w:r>
            <w:r w:rsidRPr="000C0842">
              <w:rPr>
                <w:rFonts w:cs="Times New Roman"/>
                <w:kern w:val="0"/>
                <w:sz w:val="20"/>
                <w:szCs w:val="20"/>
                <w:lang w:val="en-GB" w:eastAsia="zh-CN"/>
              </w:rPr>
              <w:t>生态上适当的本地植物物种，包括</w:t>
            </w:r>
            <w:r w:rsidRPr="000C0842">
              <w:rPr>
                <w:rFonts w:cs="Times New Roman" w:hint="eastAsia"/>
                <w:kern w:val="0"/>
                <w:sz w:val="20"/>
                <w:szCs w:val="20"/>
                <w:lang w:val="en-GB" w:eastAsia="zh-CN"/>
              </w:rPr>
              <w:t>受关注</w:t>
            </w:r>
            <w:r w:rsidRPr="000C0842">
              <w:rPr>
                <w:rFonts w:cs="Times New Roman"/>
                <w:kern w:val="0"/>
                <w:sz w:val="20"/>
                <w:szCs w:val="20"/>
                <w:lang w:val="en-GB" w:eastAsia="zh-CN"/>
              </w:rPr>
              <w:t>物种，确保适当选择</w:t>
            </w:r>
            <w:r w:rsidRPr="000C0842">
              <w:rPr>
                <w:rFonts w:cs="Times New Roman" w:hint="eastAsia"/>
                <w:kern w:val="0"/>
                <w:sz w:val="20"/>
                <w:szCs w:val="20"/>
                <w:lang w:val="en-GB" w:eastAsia="zh-CN"/>
              </w:rPr>
              <w:t>选择这些区域</w:t>
            </w:r>
            <w:r w:rsidRPr="000C0842">
              <w:rPr>
                <w:rFonts w:cs="Times New Roman"/>
                <w:kern w:val="0"/>
                <w:sz w:val="20"/>
                <w:szCs w:val="20"/>
                <w:lang w:val="en-GB" w:eastAsia="zh-CN"/>
              </w:rPr>
              <w:t>，避免对生物多样性的负面影响，促进积极影响。</w:t>
            </w:r>
          </w:p>
        </w:tc>
      </w:tr>
      <w:tr w:rsidR="000C0842" w:rsidRPr="000C0842" w14:paraId="01BAEFD5" w14:textId="77777777" w:rsidTr="001F32B3">
        <w:trPr>
          <w:trHeight w:val="300"/>
        </w:trPr>
        <w:tc>
          <w:tcPr>
            <w:tcW w:w="9355" w:type="dxa"/>
            <w:gridSpan w:val="2"/>
            <w:tcMar>
              <w:top w:w="58" w:type="dxa"/>
              <w:left w:w="115" w:type="dxa"/>
              <w:bottom w:w="58" w:type="dxa"/>
              <w:right w:w="115" w:type="dxa"/>
            </w:tcMar>
          </w:tcPr>
          <w:p w14:paraId="3F00188F" w14:textId="77777777" w:rsidR="00382AC2" w:rsidRPr="000C0842" w:rsidRDefault="00382AC2" w:rsidP="00382AC2">
            <w:pPr>
              <w:keepNext/>
              <w:tabs>
                <w:tab w:val="clear" w:pos="567"/>
                <w:tab w:val="clear" w:pos="1134"/>
                <w:tab w:val="clear" w:pos="1701"/>
                <w:tab w:val="clear" w:pos="2268"/>
              </w:tabs>
              <w:spacing w:before="120" w:after="120" w:line="300" w:lineRule="exact"/>
              <w:ind w:left="317" w:hanging="317"/>
              <w:jc w:val="left"/>
              <w:rPr>
                <w:rFonts w:cs="Times New Roman"/>
                <w:b/>
                <w:kern w:val="0"/>
                <w:sz w:val="20"/>
                <w:szCs w:val="20"/>
                <w:lang w:val="en-GB" w:eastAsia="zh-CN"/>
              </w:rPr>
            </w:pPr>
            <w:r w:rsidRPr="000C0842">
              <w:rPr>
                <w:rFonts w:cs="Times New Roman"/>
                <w:b/>
                <w:kern w:val="0"/>
                <w:sz w:val="20"/>
                <w:szCs w:val="20"/>
                <w:lang w:val="en-GB" w:eastAsia="zh-CN"/>
              </w:rPr>
              <w:t>2.</w:t>
            </w:r>
            <w:r w:rsidRPr="000C0842">
              <w:rPr>
                <w:rFonts w:cs="Times New Roman"/>
                <w:b/>
                <w:kern w:val="0"/>
                <w:sz w:val="20"/>
                <w:szCs w:val="20"/>
                <w:lang w:val="en-GB" w:eastAsia="zh-CN"/>
              </w:rPr>
              <w:tab/>
            </w:r>
            <w:r w:rsidRPr="000C0842">
              <w:rPr>
                <w:rFonts w:ascii="SimHei" w:hAnsi="SimHei" w:cs="Times New Roman"/>
                <w:b/>
                <w:bCs/>
                <w:kern w:val="0"/>
                <w:sz w:val="20"/>
                <w:szCs w:val="20"/>
                <w:lang w:val="en-GB" w:eastAsia="zh-CN"/>
              </w:rPr>
              <w:t>通过可持续利用和</w:t>
            </w:r>
            <w:r w:rsidRPr="000C0842">
              <w:rPr>
                <w:rFonts w:ascii="SimHei" w:hAnsi="SimHei" w:cs="Times New Roman" w:hint="eastAsia"/>
                <w:b/>
                <w:bCs/>
                <w:kern w:val="0"/>
                <w:sz w:val="20"/>
                <w:szCs w:val="20"/>
                <w:lang w:val="en-GB" w:eastAsia="zh-CN"/>
              </w:rPr>
              <w:t>惠益分享</w:t>
            </w:r>
            <w:r w:rsidRPr="000C0842">
              <w:rPr>
                <w:rFonts w:ascii="SimHei" w:hAnsi="SimHei" w:cs="Times New Roman"/>
                <w:b/>
                <w:bCs/>
                <w:kern w:val="0"/>
                <w:sz w:val="20"/>
                <w:szCs w:val="20"/>
                <w:lang w:val="en-GB" w:eastAsia="zh-CN"/>
              </w:rPr>
              <w:t>满足</w:t>
            </w:r>
            <w:r w:rsidRPr="000C0842">
              <w:rPr>
                <w:rFonts w:ascii="SimHei" w:hAnsi="SimHei" w:cs="Times New Roman" w:hint="eastAsia"/>
                <w:b/>
                <w:bCs/>
                <w:kern w:val="0"/>
                <w:sz w:val="20"/>
                <w:szCs w:val="20"/>
                <w:lang w:val="en-GB" w:eastAsia="zh-CN"/>
              </w:rPr>
              <w:t>人类</w:t>
            </w:r>
            <w:r w:rsidRPr="000C0842">
              <w:rPr>
                <w:rFonts w:ascii="SimHei" w:hAnsi="SimHei" w:cs="Times New Roman"/>
                <w:b/>
                <w:bCs/>
                <w:kern w:val="0"/>
                <w:sz w:val="20"/>
                <w:szCs w:val="20"/>
                <w:lang w:val="en-GB" w:eastAsia="zh-CN"/>
              </w:rPr>
              <w:t>需求</w:t>
            </w:r>
          </w:p>
        </w:tc>
      </w:tr>
      <w:tr w:rsidR="000C0842" w:rsidRPr="000C0842" w14:paraId="6040D643" w14:textId="77777777" w:rsidTr="001F32B3">
        <w:trPr>
          <w:trHeight w:val="300"/>
        </w:trPr>
        <w:tc>
          <w:tcPr>
            <w:tcW w:w="4675" w:type="dxa"/>
            <w:tcMar>
              <w:top w:w="58" w:type="dxa"/>
              <w:left w:w="115" w:type="dxa"/>
              <w:bottom w:w="58" w:type="dxa"/>
              <w:right w:w="115" w:type="dxa"/>
            </w:tcMar>
          </w:tcPr>
          <w:p w14:paraId="7B8F7599"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9</w:t>
            </w:r>
          </w:p>
          <w:p w14:paraId="499F69C4"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bCs/>
                <w:kern w:val="0"/>
                <w:sz w:val="20"/>
                <w:szCs w:val="20"/>
                <w:lang w:val="en-GB" w:eastAsia="zh-CN"/>
              </w:rPr>
              <w:t>确保野生物种的管理和利用可持续，从而为人，特别是处境脆弱和最依赖生物多样性的人提供社会、经济和环境福利，包括通过可持续的生物多样性活动，能增强生物多样性的产品和服务，保护</w:t>
            </w:r>
            <w:r w:rsidRPr="000C0842">
              <w:rPr>
                <w:rFonts w:cs="Times New Roman"/>
                <w:bCs/>
                <w:kern w:val="0"/>
                <w:sz w:val="20"/>
                <w:szCs w:val="20"/>
                <w:lang w:val="en-US" w:eastAsia="zh-CN"/>
              </w:rPr>
              <w:t>和鼓励</w:t>
            </w:r>
            <w:r w:rsidRPr="000C0842">
              <w:rPr>
                <w:rFonts w:cs="Times New Roman"/>
                <w:bCs/>
                <w:kern w:val="0"/>
                <w:sz w:val="20"/>
                <w:szCs w:val="20"/>
                <w:lang w:val="en-GB" w:eastAsia="zh-CN"/>
              </w:rPr>
              <w:t>土著人民和地方社区的可持续习惯使用</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03A96670"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植物满足</w:t>
            </w:r>
            <w:r w:rsidRPr="000C0842">
              <w:rPr>
                <w:rFonts w:ascii="SimHei" w:hAnsi="SimHei" w:cs="Times New Roman" w:hint="eastAsia"/>
                <w:b/>
                <w:kern w:val="0"/>
                <w:sz w:val="20"/>
                <w:szCs w:val="20"/>
                <w:lang w:val="en-GB" w:eastAsia="zh-CN"/>
              </w:rPr>
              <w:t>人类</w:t>
            </w:r>
            <w:r w:rsidRPr="000C0842">
              <w:rPr>
                <w:rFonts w:ascii="SimHei" w:hAnsi="SimHei" w:cs="Times New Roman"/>
                <w:b/>
                <w:kern w:val="0"/>
                <w:sz w:val="20"/>
                <w:szCs w:val="20"/>
                <w:lang w:val="en-GB" w:eastAsia="zh-CN"/>
              </w:rPr>
              <w:t>需求</w:t>
            </w:r>
          </w:p>
          <w:p w14:paraId="14CB8F30" w14:textId="77777777" w:rsidR="00382AC2" w:rsidRPr="000C0842" w:rsidRDefault="00382AC2">
            <w:pPr>
              <w:numPr>
                <w:ilvl w:val="0"/>
                <w:numId w:val="99"/>
              </w:numPr>
              <w:tabs>
                <w:tab w:val="clear" w:pos="567"/>
                <w:tab w:val="clear" w:pos="1134"/>
                <w:tab w:val="clear" w:pos="1701"/>
                <w:tab w:val="clear" w:pos="2268"/>
              </w:tabs>
              <w:spacing w:before="120" w:after="120" w:line="300" w:lineRule="exact"/>
              <w:ind w:left="518" w:hanging="518"/>
              <w:contextualSpacing/>
              <w:rPr>
                <w:rFonts w:cs="Times New Roman"/>
                <w:spacing w:val="2"/>
                <w:kern w:val="0"/>
                <w:sz w:val="20"/>
                <w:szCs w:val="20"/>
                <w:lang w:val="en-GB" w:eastAsia="zh-CN"/>
              </w:rPr>
            </w:pPr>
            <w:r w:rsidRPr="000C0842">
              <w:rPr>
                <w:rFonts w:cs="Times New Roman"/>
                <w:spacing w:val="2"/>
                <w:kern w:val="0"/>
                <w:sz w:val="20"/>
                <w:szCs w:val="20"/>
                <w:lang w:val="en-GB" w:eastAsia="zh-CN"/>
              </w:rPr>
              <w:t>与土著人民、地方社区和相关利益攸关方共同制定和实施方案，可持续地维护和管理具有社会经济和文化重要性的野生植物及其生态系统，增进人民的福祉。</w:t>
            </w:r>
          </w:p>
        </w:tc>
      </w:tr>
      <w:tr w:rsidR="000C0842" w:rsidRPr="000C0842" w14:paraId="4422DDB3" w14:textId="77777777" w:rsidTr="001F32B3">
        <w:trPr>
          <w:trHeight w:val="300"/>
        </w:trPr>
        <w:tc>
          <w:tcPr>
            <w:tcW w:w="4675" w:type="dxa"/>
            <w:tcMar>
              <w:top w:w="58" w:type="dxa"/>
              <w:left w:w="115" w:type="dxa"/>
              <w:bottom w:w="58" w:type="dxa"/>
              <w:right w:w="115" w:type="dxa"/>
            </w:tcMar>
          </w:tcPr>
          <w:p w14:paraId="3268C087"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10</w:t>
            </w:r>
          </w:p>
          <w:p w14:paraId="77AEBC01"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iCs/>
                <w:kern w:val="0"/>
                <w:sz w:val="20"/>
                <w:szCs w:val="20"/>
                <w:lang w:val="en-GB"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056F5EB7"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生产用地的可持续管理</w:t>
            </w:r>
          </w:p>
          <w:p w14:paraId="1C9138C5"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cs="Times New Roman"/>
                <w:spacing w:val="4"/>
                <w:kern w:val="0"/>
                <w:sz w:val="20"/>
                <w:szCs w:val="20"/>
                <w:lang w:val="en-GB" w:eastAsia="zh-CN"/>
              </w:rPr>
            </w:pPr>
            <w:r w:rsidRPr="000C0842">
              <w:rPr>
                <w:rFonts w:cs="Times New Roman" w:hint="eastAsia"/>
                <w:spacing w:val="4"/>
                <w:kern w:val="0"/>
                <w:sz w:val="20"/>
                <w:szCs w:val="20"/>
                <w:lang w:val="en-GB" w:eastAsia="zh-CN"/>
              </w:rPr>
              <w:t>1</w:t>
            </w:r>
            <w:r w:rsidRPr="000C0842">
              <w:rPr>
                <w:rFonts w:cs="Times New Roman"/>
                <w:spacing w:val="4"/>
                <w:kern w:val="0"/>
                <w:sz w:val="20"/>
                <w:szCs w:val="20"/>
                <w:lang w:val="en-GB" w:eastAsia="zh-CN"/>
              </w:rPr>
              <w:t xml:space="preserve">0(a) </w:t>
            </w:r>
            <w:r w:rsidRPr="000C0842">
              <w:rPr>
                <w:rFonts w:cs="Times New Roman" w:hint="eastAsia"/>
                <w:spacing w:val="4"/>
                <w:kern w:val="0"/>
                <w:sz w:val="20"/>
                <w:szCs w:val="20"/>
                <w:lang w:val="en-GB" w:eastAsia="zh-CN"/>
              </w:rPr>
              <w:t>支持并实施现有农业、水产养殖、渔业和林业地区</w:t>
            </w:r>
            <w:r w:rsidRPr="000C0842">
              <w:rPr>
                <w:rFonts w:cs="Times New Roman"/>
                <w:spacing w:val="4"/>
                <w:kern w:val="0"/>
                <w:sz w:val="20"/>
                <w:szCs w:val="20"/>
                <w:lang w:val="en-GB" w:eastAsia="zh-CN"/>
              </w:rPr>
              <w:t>的可持续管理方案，增加可持续管理的比例，确保相关野生植物多样性的保护和恢复，包括作物的野生亲缘品种。</w:t>
            </w:r>
          </w:p>
          <w:p w14:paraId="0A3BB071"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cs="Times New Roman"/>
                <w:spacing w:val="4"/>
                <w:kern w:val="0"/>
                <w:sz w:val="20"/>
                <w:szCs w:val="20"/>
                <w:lang w:val="en-GB" w:eastAsia="zh-CN"/>
              </w:rPr>
            </w:pPr>
            <w:r w:rsidRPr="000C0842">
              <w:rPr>
                <w:rFonts w:cs="Times New Roman"/>
                <w:spacing w:val="4"/>
                <w:kern w:val="0"/>
                <w:sz w:val="20"/>
                <w:szCs w:val="20"/>
                <w:lang w:val="en-GB" w:eastAsia="zh-CN"/>
              </w:rPr>
              <w:t xml:space="preserve">10(b) </w:t>
            </w:r>
            <w:r w:rsidRPr="000C0842">
              <w:rPr>
                <w:rFonts w:cs="Times New Roman" w:hint="eastAsia"/>
                <w:spacing w:val="4"/>
                <w:kern w:val="0"/>
                <w:sz w:val="20"/>
                <w:szCs w:val="20"/>
                <w:lang w:val="en-GB" w:eastAsia="zh-CN"/>
              </w:rPr>
              <w:t>采取特别措施保护原地和异地的地方品种，促进更广泛地使用地方品种来支持作物和种植制度的多样化。</w:t>
            </w:r>
          </w:p>
          <w:p w14:paraId="2EEC8E7B"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cs="Times New Roman"/>
                <w:spacing w:val="4"/>
                <w:kern w:val="0"/>
                <w:sz w:val="20"/>
                <w:szCs w:val="20"/>
                <w:lang w:val="en-GB" w:eastAsia="zh-CN"/>
              </w:rPr>
            </w:pPr>
            <w:r w:rsidRPr="000C0842">
              <w:rPr>
                <w:rFonts w:cs="Times New Roman" w:hint="eastAsia"/>
                <w:spacing w:val="4"/>
                <w:kern w:val="0"/>
                <w:sz w:val="20"/>
                <w:szCs w:val="20"/>
                <w:lang w:val="en-GB" w:eastAsia="zh-CN"/>
              </w:rPr>
              <w:t>1</w:t>
            </w:r>
            <w:r w:rsidRPr="000C0842">
              <w:rPr>
                <w:rFonts w:cs="Times New Roman"/>
                <w:spacing w:val="4"/>
                <w:kern w:val="0"/>
                <w:sz w:val="20"/>
                <w:szCs w:val="20"/>
                <w:lang w:val="en-GB" w:eastAsia="zh-CN"/>
              </w:rPr>
              <w:t xml:space="preserve">0(c) </w:t>
            </w:r>
            <w:r w:rsidRPr="000C0842">
              <w:rPr>
                <w:rFonts w:cs="Times New Roman" w:hint="eastAsia"/>
                <w:spacing w:val="4"/>
                <w:kern w:val="0"/>
                <w:sz w:val="20"/>
                <w:szCs w:val="20"/>
                <w:lang w:val="en-GB" w:eastAsia="zh-CN"/>
              </w:rPr>
              <w:t>促进和支持保护食用物种的野生亲缘种群的行动，作为对粮食安全的一项明确贡献。</w:t>
            </w:r>
            <w:r w:rsidRPr="000C0842">
              <w:rPr>
                <w:rFonts w:cs="Times New Roman" w:hint="eastAsia"/>
                <w:spacing w:val="4"/>
                <w:kern w:val="0"/>
                <w:sz w:val="20"/>
                <w:szCs w:val="20"/>
                <w:lang w:val="en-GB" w:eastAsia="zh-CN"/>
              </w:rPr>
              <w:t xml:space="preserve"> </w:t>
            </w:r>
            <w:r w:rsidRPr="000C0842">
              <w:rPr>
                <w:rFonts w:cs="Times New Roman"/>
                <w:spacing w:val="4"/>
                <w:kern w:val="0"/>
                <w:sz w:val="20"/>
                <w:szCs w:val="20"/>
                <w:lang w:val="en-GB" w:eastAsia="zh-CN"/>
              </w:rPr>
              <w:t xml:space="preserve">        </w:t>
            </w:r>
          </w:p>
        </w:tc>
      </w:tr>
      <w:tr w:rsidR="000C0842" w:rsidRPr="000C0842" w14:paraId="35C05F09" w14:textId="77777777" w:rsidTr="001F32B3">
        <w:trPr>
          <w:trHeight w:val="300"/>
        </w:trPr>
        <w:tc>
          <w:tcPr>
            <w:tcW w:w="4675" w:type="dxa"/>
            <w:tcMar>
              <w:top w:w="58" w:type="dxa"/>
              <w:left w:w="115" w:type="dxa"/>
              <w:bottom w:w="58" w:type="dxa"/>
              <w:right w:w="115" w:type="dxa"/>
            </w:tcMar>
          </w:tcPr>
          <w:p w14:paraId="089FEDC7"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11</w:t>
            </w:r>
          </w:p>
          <w:p w14:paraId="7A71A549"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恢复、维持和增进自然对人类的贡献，包括生态系统功能和服务，例如调节空气、水和气候、土壤健康、授粉和减少疾病风险，以及通过</w:t>
            </w:r>
            <w:bookmarkStart w:id="86" w:name="_Hlk117583319"/>
            <w:r w:rsidRPr="000C0842">
              <w:rPr>
                <w:rFonts w:cs="Times New Roman"/>
                <w:kern w:val="0"/>
                <w:sz w:val="20"/>
                <w:szCs w:val="20"/>
                <w:lang w:val="en-US" w:eastAsia="zh-CN"/>
              </w:rPr>
              <w:t>基于自然的解决方案和</w:t>
            </w:r>
            <w:r w:rsidRPr="000C0842">
              <w:rPr>
                <w:rFonts w:cs="Times New Roman"/>
                <w:kern w:val="0"/>
                <w:sz w:val="20"/>
                <w:szCs w:val="20"/>
                <w:lang w:val="en-US" w:eastAsia="zh-CN"/>
              </w:rPr>
              <w:t>/</w:t>
            </w:r>
            <w:r w:rsidRPr="000C0842">
              <w:rPr>
                <w:rFonts w:cs="Times New Roman"/>
                <w:kern w:val="0"/>
                <w:sz w:val="20"/>
                <w:szCs w:val="20"/>
                <w:lang w:val="en-US" w:eastAsia="zh-CN"/>
              </w:rPr>
              <w:t>或基于生态系统的方法</w:t>
            </w:r>
            <w:bookmarkEnd w:id="86"/>
            <w:r w:rsidRPr="000C0842">
              <w:rPr>
                <w:rFonts w:cs="Times New Roman"/>
                <w:kern w:val="0"/>
                <w:sz w:val="20"/>
                <w:szCs w:val="20"/>
                <w:lang w:val="en-US" w:eastAsia="zh-CN"/>
              </w:rPr>
              <w:t>造福人类和自然</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74DED1FC"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本地植物和生态系统的功能和服务</w:t>
            </w:r>
          </w:p>
          <w:p w14:paraId="232AA31D" w14:textId="77777777" w:rsidR="00382AC2" w:rsidRPr="000C0842" w:rsidRDefault="00382AC2">
            <w:pPr>
              <w:numPr>
                <w:ilvl w:val="0"/>
                <w:numId w:val="100"/>
              </w:numPr>
              <w:tabs>
                <w:tab w:val="clear" w:pos="567"/>
                <w:tab w:val="clear" w:pos="1134"/>
                <w:tab w:val="clear" w:pos="1701"/>
                <w:tab w:val="clear" w:pos="2268"/>
              </w:tabs>
              <w:spacing w:before="120" w:after="120" w:line="300" w:lineRule="exact"/>
              <w:ind w:left="518" w:hanging="518"/>
              <w:contextualSpacing/>
              <w:jc w:val="left"/>
              <w:rPr>
                <w:rFonts w:cs="Times New Roman"/>
                <w:kern w:val="0"/>
                <w:sz w:val="20"/>
                <w:szCs w:val="20"/>
                <w:lang w:val="en-GB" w:eastAsia="zh-CN"/>
              </w:rPr>
            </w:pPr>
            <w:r w:rsidRPr="000C0842">
              <w:rPr>
                <w:rFonts w:cs="Times New Roman" w:hint="eastAsia"/>
                <w:kern w:val="0"/>
                <w:sz w:val="20"/>
                <w:szCs w:val="20"/>
                <w:lang w:val="en-GB" w:eastAsia="zh-CN"/>
              </w:rPr>
              <w:t>确保通过</w:t>
            </w:r>
            <w:r w:rsidRPr="000C0842">
              <w:rPr>
                <w:rFonts w:cs="Times New Roman"/>
                <w:kern w:val="0"/>
                <w:sz w:val="20"/>
                <w:szCs w:val="20"/>
                <w:lang w:val="en-GB" w:eastAsia="zh-CN"/>
              </w:rPr>
              <w:t>基于自然</w:t>
            </w:r>
            <w:r w:rsidRPr="000C0842">
              <w:rPr>
                <w:rFonts w:cs="Times New Roman" w:hint="eastAsia"/>
                <w:kern w:val="0"/>
                <w:sz w:val="20"/>
                <w:szCs w:val="20"/>
                <w:lang w:val="en-GB" w:eastAsia="zh-CN"/>
              </w:rPr>
              <w:t>和</w:t>
            </w:r>
            <w:r w:rsidRPr="000C0842">
              <w:rPr>
                <w:rFonts w:cs="Times New Roman" w:hint="eastAsia"/>
                <w:kern w:val="0"/>
                <w:sz w:val="20"/>
                <w:szCs w:val="20"/>
                <w:lang w:val="en-GB" w:eastAsia="zh-CN"/>
              </w:rPr>
              <w:t>/</w:t>
            </w:r>
            <w:r w:rsidRPr="000C0842">
              <w:rPr>
                <w:rFonts w:cs="Times New Roman"/>
                <w:kern w:val="0"/>
                <w:sz w:val="20"/>
                <w:szCs w:val="20"/>
                <w:lang w:val="en-GB" w:eastAsia="zh-CN"/>
              </w:rPr>
              <w:t>或基于生态系统的</w:t>
            </w:r>
            <w:r w:rsidRPr="000C0842">
              <w:rPr>
                <w:rFonts w:cs="Times New Roman" w:hint="eastAsia"/>
                <w:kern w:val="0"/>
                <w:sz w:val="20"/>
                <w:szCs w:val="20"/>
                <w:lang w:val="en-GB" w:eastAsia="zh-CN"/>
              </w:rPr>
              <w:t>方法等途径，在恢复生态系统或生态系统服务时，</w:t>
            </w:r>
            <w:r w:rsidRPr="000C0842">
              <w:rPr>
                <w:rFonts w:cs="Times New Roman"/>
                <w:kern w:val="0"/>
                <w:sz w:val="20"/>
                <w:szCs w:val="20"/>
                <w:lang w:val="en-GB" w:eastAsia="zh-CN"/>
              </w:rPr>
              <w:t>利用遗传、生物</w:t>
            </w:r>
            <w:r w:rsidRPr="000C0842">
              <w:rPr>
                <w:rFonts w:cs="Times New Roman" w:hint="eastAsia"/>
                <w:kern w:val="0"/>
                <w:sz w:val="20"/>
                <w:szCs w:val="20"/>
                <w:lang w:val="en-GB" w:eastAsia="zh-CN"/>
              </w:rPr>
              <w:t>和</w:t>
            </w:r>
            <w:r w:rsidRPr="000C0842">
              <w:rPr>
                <w:rFonts w:cs="Times New Roman"/>
                <w:kern w:val="0"/>
                <w:sz w:val="20"/>
                <w:szCs w:val="20"/>
                <w:lang w:val="en-GB" w:eastAsia="zh-CN"/>
              </w:rPr>
              <w:t>生态上合适</w:t>
            </w:r>
            <w:r w:rsidRPr="000C0842">
              <w:rPr>
                <w:rFonts w:cs="Times New Roman" w:hint="eastAsia"/>
                <w:kern w:val="0"/>
                <w:sz w:val="20"/>
                <w:szCs w:val="20"/>
                <w:lang w:val="en-GB" w:eastAsia="zh-CN"/>
              </w:rPr>
              <w:t>和适应</w:t>
            </w:r>
            <w:r w:rsidRPr="000C0842">
              <w:rPr>
                <w:rFonts w:cs="Times New Roman"/>
                <w:kern w:val="0"/>
                <w:sz w:val="20"/>
                <w:szCs w:val="20"/>
                <w:lang w:val="en-GB" w:eastAsia="zh-CN"/>
              </w:rPr>
              <w:t>的本地植物物种，包括</w:t>
            </w:r>
            <w:r w:rsidRPr="000C0842">
              <w:rPr>
                <w:rFonts w:cs="Times New Roman" w:hint="eastAsia"/>
                <w:kern w:val="0"/>
                <w:sz w:val="20"/>
                <w:szCs w:val="20"/>
                <w:lang w:val="en-GB" w:eastAsia="zh-CN"/>
              </w:rPr>
              <w:t>受关注</w:t>
            </w:r>
            <w:r w:rsidRPr="000C0842">
              <w:rPr>
                <w:rFonts w:cs="Times New Roman"/>
                <w:kern w:val="0"/>
                <w:sz w:val="20"/>
                <w:szCs w:val="20"/>
                <w:lang w:val="en-GB" w:eastAsia="zh-CN"/>
              </w:rPr>
              <w:t>物种。</w:t>
            </w:r>
          </w:p>
        </w:tc>
      </w:tr>
      <w:tr w:rsidR="000C0842" w:rsidRPr="000C0842" w14:paraId="3CCA3AE5" w14:textId="77777777" w:rsidTr="001F32B3">
        <w:trPr>
          <w:trHeight w:val="300"/>
        </w:trPr>
        <w:tc>
          <w:tcPr>
            <w:tcW w:w="4675" w:type="dxa"/>
            <w:tcMar>
              <w:top w:w="58" w:type="dxa"/>
              <w:left w:w="115" w:type="dxa"/>
              <w:bottom w:w="58" w:type="dxa"/>
              <w:right w:w="115" w:type="dxa"/>
            </w:tcMar>
          </w:tcPr>
          <w:p w14:paraId="300AAB65"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12</w:t>
            </w:r>
          </w:p>
          <w:p w14:paraId="245E1457"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bCs/>
                <w:kern w:val="0"/>
                <w:sz w:val="20"/>
                <w:szCs w:val="20"/>
                <w:lang w:val="en-GB"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483F0E7E"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城市绿色基础设施</w:t>
            </w:r>
          </w:p>
          <w:p w14:paraId="361BDD27" w14:textId="77777777" w:rsidR="00382AC2" w:rsidRPr="000C0842" w:rsidRDefault="00382AC2" w:rsidP="00382AC2">
            <w:pPr>
              <w:tabs>
                <w:tab w:val="clear" w:pos="567"/>
                <w:tab w:val="clear" w:pos="1134"/>
                <w:tab w:val="clear" w:pos="1701"/>
                <w:tab w:val="clear" w:pos="2268"/>
              </w:tabs>
              <w:spacing w:before="120" w:after="120" w:line="300" w:lineRule="exact"/>
              <w:ind w:left="489" w:hanging="518"/>
              <w:rPr>
                <w:rFonts w:cs="Times New Roman"/>
                <w:kern w:val="0"/>
                <w:sz w:val="20"/>
                <w:szCs w:val="20"/>
                <w:lang w:val="en-GB" w:eastAsia="zh-CN"/>
              </w:rPr>
            </w:pPr>
            <w:r w:rsidRPr="000C0842">
              <w:rPr>
                <w:rFonts w:cs="Times New Roman"/>
                <w:kern w:val="0"/>
                <w:sz w:val="20"/>
                <w:szCs w:val="20"/>
                <w:lang w:val="en-GB" w:eastAsia="zh-CN"/>
              </w:rPr>
              <w:t>12(a)</w:t>
            </w:r>
            <w:r w:rsidRPr="000C0842">
              <w:rPr>
                <w:rFonts w:cs="Times New Roman"/>
                <w:kern w:val="0"/>
                <w:sz w:val="20"/>
                <w:szCs w:val="20"/>
                <w:lang w:val="en-GB" w:eastAsia="zh-CN"/>
              </w:rPr>
              <w:tab/>
            </w:r>
            <w:r w:rsidRPr="000C0842">
              <w:rPr>
                <w:rFonts w:cs="Times New Roman" w:hint="eastAsia"/>
                <w:kern w:val="0"/>
                <w:sz w:val="20"/>
                <w:szCs w:val="20"/>
                <w:lang w:val="en-GB" w:eastAsia="zh-CN"/>
              </w:rPr>
              <w:t>建立</w:t>
            </w:r>
            <w:r w:rsidRPr="000C0842">
              <w:rPr>
                <w:rFonts w:cs="Times New Roman"/>
                <w:kern w:val="0"/>
                <w:sz w:val="20"/>
                <w:szCs w:val="20"/>
                <w:lang w:val="en-GB" w:eastAsia="zh-CN"/>
              </w:rPr>
              <w:t>以植物多样性</w:t>
            </w:r>
            <w:r w:rsidRPr="000C0842">
              <w:rPr>
                <w:rFonts w:cs="Times New Roman" w:hint="eastAsia"/>
                <w:kern w:val="0"/>
                <w:sz w:val="20"/>
                <w:szCs w:val="20"/>
                <w:lang w:val="en-GB" w:eastAsia="zh-CN"/>
              </w:rPr>
              <w:t>和连通性</w:t>
            </w:r>
            <w:r w:rsidRPr="000C0842">
              <w:rPr>
                <w:rFonts w:cs="Times New Roman"/>
                <w:kern w:val="0"/>
                <w:sz w:val="20"/>
                <w:szCs w:val="20"/>
                <w:lang w:val="en-GB" w:eastAsia="zh-CN"/>
              </w:rPr>
              <w:t>为重点的绿色基础设施项目，鼓励在城市地区的植物多样性保护方案中利用本地</w:t>
            </w:r>
            <w:r w:rsidRPr="000C0842">
              <w:rPr>
                <w:rFonts w:cs="Times New Roman" w:hint="eastAsia"/>
                <w:kern w:val="0"/>
                <w:sz w:val="20"/>
                <w:szCs w:val="20"/>
                <w:lang w:val="en-GB" w:eastAsia="zh-CN"/>
              </w:rPr>
              <w:t>气候适应能力强的</w:t>
            </w:r>
            <w:r w:rsidRPr="000C0842">
              <w:rPr>
                <w:rFonts w:cs="Times New Roman"/>
                <w:kern w:val="0"/>
                <w:sz w:val="20"/>
                <w:szCs w:val="20"/>
                <w:lang w:val="en-GB" w:eastAsia="zh-CN"/>
              </w:rPr>
              <w:t>物种</w:t>
            </w:r>
            <w:r w:rsidRPr="000C0842">
              <w:rPr>
                <w:rFonts w:cs="Times New Roman" w:hint="eastAsia"/>
                <w:kern w:val="0"/>
                <w:sz w:val="20"/>
                <w:szCs w:val="20"/>
                <w:lang w:val="en-GB" w:eastAsia="zh-CN"/>
              </w:rPr>
              <w:t>并防止使用外来入侵物种</w:t>
            </w:r>
            <w:r w:rsidRPr="000C0842">
              <w:rPr>
                <w:rFonts w:cs="Times New Roman"/>
                <w:kern w:val="0"/>
                <w:sz w:val="20"/>
                <w:szCs w:val="20"/>
                <w:lang w:val="en-GB" w:eastAsia="zh-CN"/>
              </w:rPr>
              <w:t>，并制定和实施新战略，促进将生物多样性和生态系统服务纳入城市和</w:t>
            </w:r>
            <w:r w:rsidRPr="000C0842">
              <w:rPr>
                <w:rFonts w:cs="Times New Roman" w:hint="eastAsia"/>
                <w:kern w:val="0"/>
                <w:sz w:val="20"/>
                <w:szCs w:val="20"/>
                <w:lang w:val="en-GB" w:eastAsia="zh-CN"/>
              </w:rPr>
              <w:t>国土</w:t>
            </w:r>
            <w:r w:rsidRPr="000C0842">
              <w:rPr>
                <w:rFonts w:cs="Times New Roman"/>
                <w:kern w:val="0"/>
                <w:sz w:val="20"/>
                <w:szCs w:val="20"/>
                <w:lang w:val="en-GB" w:eastAsia="zh-CN"/>
              </w:rPr>
              <w:t>规划和管理的主流</w:t>
            </w:r>
            <w:r w:rsidRPr="000C0842">
              <w:rPr>
                <w:rFonts w:cs="Times New Roman" w:hint="eastAsia"/>
                <w:kern w:val="0"/>
                <w:sz w:val="20"/>
                <w:szCs w:val="20"/>
                <w:lang w:val="en-GB" w:eastAsia="zh-CN"/>
              </w:rPr>
              <w:t>，同时考虑到沿海城市地区以及沿海和海洋生态系统。</w:t>
            </w:r>
          </w:p>
          <w:p w14:paraId="65FFF1CA" w14:textId="77777777" w:rsidR="00382AC2" w:rsidRPr="000C0842" w:rsidRDefault="00382AC2" w:rsidP="00382AC2">
            <w:pPr>
              <w:keepNext/>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城市植物多样性</w:t>
            </w:r>
          </w:p>
          <w:p w14:paraId="26EBBD4F" w14:textId="77777777" w:rsidR="00382AC2" w:rsidRPr="000C0842" w:rsidRDefault="00382AC2" w:rsidP="00382AC2">
            <w:pPr>
              <w:tabs>
                <w:tab w:val="clear" w:pos="567"/>
                <w:tab w:val="clear" w:pos="1134"/>
                <w:tab w:val="clear" w:pos="1701"/>
                <w:tab w:val="clear" w:pos="2268"/>
              </w:tabs>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12(b)</w:t>
            </w:r>
            <w:r w:rsidRPr="000C0842">
              <w:rPr>
                <w:rFonts w:cs="Times New Roman"/>
                <w:kern w:val="0"/>
                <w:sz w:val="20"/>
                <w:szCs w:val="20"/>
                <w:lang w:val="en-GB" w:eastAsia="zh-CN"/>
              </w:rPr>
              <w:tab/>
            </w:r>
            <w:r w:rsidRPr="000C0842">
              <w:rPr>
                <w:rFonts w:cs="Times New Roman"/>
                <w:kern w:val="0"/>
                <w:sz w:val="20"/>
                <w:szCs w:val="20"/>
                <w:lang w:val="en-GB" w:eastAsia="zh-CN"/>
              </w:rPr>
              <w:t>通过在城市地区建立或</w:t>
            </w:r>
            <w:r w:rsidRPr="000C0842">
              <w:rPr>
                <w:rFonts w:cs="Times New Roman" w:hint="eastAsia"/>
                <w:kern w:val="0"/>
                <w:sz w:val="20"/>
                <w:szCs w:val="20"/>
                <w:lang w:val="en-GB" w:eastAsia="zh-CN"/>
              </w:rPr>
              <w:t>改进</w:t>
            </w:r>
            <w:r w:rsidRPr="000C0842">
              <w:rPr>
                <w:rFonts w:cs="Times New Roman"/>
                <w:kern w:val="0"/>
                <w:sz w:val="20"/>
                <w:szCs w:val="20"/>
                <w:lang w:val="en-GB" w:eastAsia="zh-CN"/>
              </w:rPr>
              <w:t>公园、绿道、</w:t>
            </w:r>
            <w:r w:rsidRPr="000C0842">
              <w:rPr>
                <w:rFonts w:cs="Times New Roman" w:hint="eastAsia"/>
                <w:kern w:val="0"/>
                <w:sz w:val="20"/>
                <w:szCs w:val="20"/>
                <w:lang w:val="en-GB" w:eastAsia="zh-CN"/>
              </w:rPr>
              <w:t>池塘、水道、湿地、</w:t>
            </w:r>
            <w:r w:rsidRPr="000C0842">
              <w:rPr>
                <w:rFonts w:cs="Times New Roman"/>
                <w:kern w:val="0"/>
                <w:sz w:val="20"/>
                <w:szCs w:val="20"/>
                <w:lang w:val="en-GB" w:eastAsia="zh-CN"/>
              </w:rPr>
              <w:t>植物园和</w:t>
            </w:r>
            <w:r w:rsidRPr="000C0842">
              <w:rPr>
                <w:rFonts w:cs="Times New Roman" w:hint="eastAsia"/>
                <w:kern w:val="0"/>
                <w:sz w:val="20"/>
                <w:szCs w:val="20"/>
                <w:lang w:val="en-GB" w:eastAsia="zh-CN"/>
              </w:rPr>
              <w:t>树木园等</w:t>
            </w:r>
            <w:r w:rsidRPr="000C0842">
              <w:rPr>
                <w:rFonts w:cs="Times New Roman"/>
                <w:kern w:val="0"/>
                <w:sz w:val="20"/>
                <w:szCs w:val="20"/>
                <w:lang w:val="en-GB" w:eastAsia="zh-CN"/>
              </w:rPr>
              <w:t>，开发、指定和保护城市地区生物多样性丰富的无障碍绿色</w:t>
            </w:r>
            <w:r w:rsidRPr="000C0842">
              <w:rPr>
                <w:rFonts w:cs="Times New Roman" w:hint="eastAsia"/>
                <w:kern w:val="0"/>
                <w:sz w:val="20"/>
                <w:szCs w:val="20"/>
                <w:lang w:val="en-GB" w:eastAsia="zh-CN"/>
              </w:rPr>
              <w:t>和蓝色</w:t>
            </w:r>
            <w:r w:rsidRPr="000C0842">
              <w:rPr>
                <w:rFonts w:cs="Times New Roman"/>
                <w:kern w:val="0"/>
                <w:sz w:val="20"/>
                <w:szCs w:val="20"/>
                <w:lang w:val="en-GB" w:eastAsia="zh-CN"/>
              </w:rPr>
              <w:t>空间，并确保这些空间之间的连通性，以有效支持生物多样性保护、环境教育和</w:t>
            </w:r>
            <w:r w:rsidRPr="000C0842">
              <w:rPr>
                <w:rFonts w:cs="Times New Roman" w:hint="eastAsia"/>
                <w:kern w:val="0"/>
                <w:sz w:val="20"/>
                <w:szCs w:val="20"/>
                <w:lang w:val="en-GB" w:eastAsia="zh-CN"/>
              </w:rPr>
              <w:t>宣传</w:t>
            </w:r>
            <w:r w:rsidRPr="000C0842">
              <w:rPr>
                <w:rFonts w:cs="Times New Roman"/>
                <w:kern w:val="0"/>
                <w:sz w:val="20"/>
                <w:szCs w:val="20"/>
                <w:lang w:val="en-GB" w:eastAsia="zh-CN"/>
              </w:rPr>
              <w:t>以及人类健康和福祉。</w:t>
            </w:r>
          </w:p>
        </w:tc>
      </w:tr>
      <w:tr w:rsidR="000C0842" w:rsidRPr="000C0842" w14:paraId="78DD4D06" w14:textId="77777777" w:rsidTr="001F32B3">
        <w:trPr>
          <w:trHeight w:val="300"/>
        </w:trPr>
        <w:tc>
          <w:tcPr>
            <w:tcW w:w="4675" w:type="dxa"/>
            <w:tcMar>
              <w:top w:w="58" w:type="dxa"/>
              <w:left w:w="115" w:type="dxa"/>
              <w:bottom w:w="58" w:type="dxa"/>
              <w:right w:w="115" w:type="dxa"/>
            </w:tcMar>
          </w:tcPr>
          <w:p w14:paraId="354229B3"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行动目标</w:t>
            </w:r>
            <w:r w:rsidRPr="000C0842">
              <w:rPr>
                <w:rFonts w:cs="Times New Roman"/>
                <w:b/>
                <w:kern w:val="0"/>
                <w:sz w:val="20"/>
                <w:szCs w:val="20"/>
                <w:lang w:val="en-GB" w:eastAsia="zh-CN"/>
              </w:rPr>
              <w:t>13</w:t>
            </w:r>
          </w:p>
          <w:p w14:paraId="46468EF2"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US"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0C0842">
              <w:rPr>
                <w:rFonts w:cs="Times New Roman"/>
                <w:kern w:val="0"/>
                <w:sz w:val="20"/>
                <w:szCs w:val="20"/>
                <w:lang w:val="en-US" w:eastAsia="zh-CN"/>
              </w:rPr>
              <w:t>2030</w:t>
            </w:r>
            <w:r w:rsidRPr="000C0842">
              <w:rPr>
                <w:rFonts w:cs="Times New Roman"/>
                <w:kern w:val="0"/>
                <w:sz w:val="20"/>
                <w:szCs w:val="20"/>
                <w:lang w:val="en-US" w:eastAsia="zh-CN"/>
              </w:rPr>
              <w:t>年大幅增加分享的惠益</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1BE6A85E"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获取和</w:t>
            </w:r>
            <w:r w:rsidRPr="000C0842">
              <w:rPr>
                <w:rFonts w:ascii="SimHei" w:hAnsi="SimHei" w:cs="Times New Roman" w:hint="eastAsia"/>
                <w:b/>
                <w:kern w:val="0"/>
                <w:sz w:val="20"/>
                <w:szCs w:val="20"/>
                <w:lang w:val="en-GB" w:eastAsia="zh-CN"/>
              </w:rPr>
              <w:t>分享</w:t>
            </w:r>
            <w:r w:rsidRPr="000C0842">
              <w:rPr>
                <w:rFonts w:ascii="SimHei" w:hAnsi="SimHei" w:cs="Times New Roman"/>
                <w:b/>
                <w:kern w:val="0"/>
                <w:sz w:val="20"/>
                <w:szCs w:val="20"/>
                <w:lang w:val="en-GB" w:eastAsia="zh-CN"/>
              </w:rPr>
              <w:t>植物保护</w:t>
            </w:r>
            <w:r w:rsidRPr="000C0842">
              <w:rPr>
                <w:rFonts w:ascii="SimHei" w:hAnsi="SimHei" w:cs="Times New Roman" w:hint="eastAsia"/>
                <w:b/>
                <w:kern w:val="0"/>
                <w:sz w:val="20"/>
                <w:szCs w:val="20"/>
                <w:lang w:val="en-GB" w:eastAsia="zh-CN"/>
              </w:rPr>
              <w:t>惠益</w:t>
            </w:r>
          </w:p>
          <w:p w14:paraId="7AD5D870" w14:textId="77777777" w:rsidR="00382AC2" w:rsidRPr="000C0842" w:rsidRDefault="00382AC2">
            <w:pPr>
              <w:numPr>
                <w:ilvl w:val="0"/>
                <w:numId w:val="96"/>
              </w:numPr>
              <w:tabs>
                <w:tab w:val="clear" w:pos="567"/>
                <w:tab w:val="clear" w:pos="1134"/>
                <w:tab w:val="clear" w:pos="1701"/>
                <w:tab w:val="clear" w:pos="2268"/>
              </w:tabs>
              <w:spacing w:before="120" w:after="120" w:line="300" w:lineRule="exact"/>
              <w:ind w:left="518" w:hanging="518"/>
              <w:contextualSpacing/>
              <w:rPr>
                <w:rFonts w:cs="Times New Roman"/>
                <w:kern w:val="0"/>
                <w:sz w:val="20"/>
                <w:szCs w:val="20"/>
                <w:lang w:val="en-GB" w:eastAsia="zh-CN"/>
              </w:rPr>
            </w:pPr>
            <w:r w:rsidRPr="000C0842">
              <w:rPr>
                <w:rFonts w:cs="Times New Roman"/>
                <w:kern w:val="0"/>
                <w:sz w:val="20"/>
                <w:szCs w:val="20"/>
                <w:lang w:val="en-GB" w:eastAsia="zh-CN"/>
              </w:rPr>
              <w:t>支持和鼓励采取措施，</w:t>
            </w:r>
            <w:r w:rsidRPr="000C0842">
              <w:rPr>
                <w:rFonts w:cs="Times New Roman" w:hint="eastAsia"/>
                <w:kern w:val="0"/>
                <w:sz w:val="20"/>
                <w:szCs w:val="20"/>
                <w:lang w:val="en-GB" w:eastAsia="zh-CN"/>
              </w:rPr>
              <w:t>便利适当获取植物遗传资源，</w:t>
            </w:r>
            <w:r w:rsidRPr="000C0842">
              <w:rPr>
                <w:rFonts w:cs="Times New Roman"/>
                <w:kern w:val="0"/>
                <w:sz w:val="20"/>
                <w:szCs w:val="20"/>
                <w:lang w:val="en-GB" w:eastAsia="zh-CN"/>
              </w:rPr>
              <w:t>确保根据适用的获取和惠益分享国际文书，公正公平地分享利用</w:t>
            </w:r>
            <w:r w:rsidRPr="000C0842">
              <w:rPr>
                <w:rFonts w:cs="Times New Roman" w:hint="eastAsia"/>
                <w:kern w:val="0"/>
                <w:sz w:val="20"/>
                <w:szCs w:val="20"/>
                <w:lang w:val="en-GB" w:eastAsia="zh-CN"/>
              </w:rPr>
              <w:t>这类</w:t>
            </w:r>
            <w:r w:rsidRPr="000C0842">
              <w:rPr>
                <w:rFonts w:cs="Times New Roman"/>
                <w:kern w:val="0"/>
                <w:sz w:val="20"/>
                <w:szCs w:val="20"/>
                <w:lang w:val="en-GB" w:eastAsia="zh-CN"/>
              </w:rPr>
              <w:t>资源和相关传统知识</w:t>
            </w:r>
            <w:r w:rsidRPr="000C0842">
              <w:rPr>
                <w:rFonts w:cs="Times New Roman" w:hint="eastAsia"/>
                <w:kern w:val="0"/>
                <w:sz w:val="20"/>
                <w:szCs w:val="20"/>
                <w:lang w:val="en-GB" w:eastAsia="zh-CN"/>
              </w:rPr>
              <w:t>以及利用</w:t>
            </w:r>
            <w:r w:rsidRPr="000C0842">
              <w:rPr>
                <w:rFonts w:cs="Times New Roman"/>
                <w:kern w:val="0"/>
                <w:sz w:val="20"/>
                <w:szCs w:val="20"/>
                <w:lang w:val="en-US" w:eastAsia="zh-CN"/>
              </w:rPr>
              <w:t>植物遗传资源</w:t>
            </w:r>
            <w:r w:rsidRPr="000C0842">
              <w:rPr>
                <w:rFonts w:cs="Times New Roman" w:hint="eastAsia"/>
                <w:kern w:val="0"/>
                <w:sz w:val="20"/>
                <w:szCs w:val="20"/>
                <w:lang w:val="en-GB" w:eastAsia="zh-CN"/>
              </w:rPr>
              <w:t>数字序列信息</w:t>
            </w:r>
            <w:r w:rsidRPr="000C0842">
              <w:rPr>
                <w:rFonts w:cs="Times New Roman"/>
                <w:kern w:val="0"/>
                <w:sz w:val="20"/>
                <w:szCs w:val="20"/>
                <w:lang w:val="en-GB" w:eastAsia="zh-CN"/>
              </w:rPr>
              <w:t>所产生的惠益。</w:t>
            </w:r>
          </w:p>
        </w:tc>
      </w:tr>
      <w:tr w:rsidR="000C0842" w:rsidRPr="000C0842" w14:paraId="3B22B620" w14:textId="77777777" w:rsidTr="001F32B3">
        <w:trPr>
          <w:trHeight w:val="300"/>
        </w:trPr>
        <w:tc>
          <w:tcPr>
            <w:tcW w:w="9355" w:type="dxa"/>
            <w:gridSpan w:val="2"/>
            <w:tcMar>
              <w:top w:w="58" w:type="dxa"/>
              <w:left w:w="115" w:type="dxa"/>
              <w:bottom w:w="58" w:type="dxa"/>
              <w:right w:w="115" w:type="dxa"/>
            </w:tcMar>
          </w:tcPr>
          <w:p w14:paraId="5CE0E79F" w14:textId="77777777" w:rsidR="00382AC2" w:rsidRPr="000C0842" w:rsidRDefault="00382AC2" w:rsidP="00382AC2">
            <w:pPr>
              <w:keepNext/>
              <w:tabs>
                <w:tab w:val="clear" w:pos="567"/>
                <w:tab w:val="clear" w:pos="1134"/>
                <w:tab w:val="clear" w:pos="1701"/>
                <w:tab w:val="clear" w:pos="2268"/>
              </w:tabs>
              <w:spacing w:before="120" w:after="120" w:line="300" w:lineRule="exact"/>
              <w:ind w:left="447" w:hanging="447"/>
              <w:rPr>
                <w:rFonts w:cs="Times New Roman"/>
                <w:b/>
                <w:snapToGrid w:val="0"/>
                <w:kern w:val="0"/>
                <w:sz w:val="20"/>
                <w:szCs w:val="20"/>
                <w:lang w:val="en-GB" w:eastAsia="zh-CN"/>
              </w:rPr>
            </w:pPr>
            <w:r w:rsidRPr="000C0842">
              <w:rPr>
                <w:rFonts w:cs="Times New Roman"/>
                <w:b/>
                <w:snapToGrid w:val="0"/>
                <w:kern w:val="0"/>
                <w:sz w:val="20"/>
                <w:szCs w:val="20"/>
                <w:lang w:val="en-GB" w:eastAsia="zh-CN"/>
              </w:rPr>
              <w:t>3.</w:t>
            </w:r>
            <w:r w:rsidRPr="000C0842">
              <w:rPr>
                <w:rFonts w:cs="Times New Roman"/>
                <w:b/>
                <w:snapToGrid w:val="0"/>
                <w:kern w:val="0"/>
                <w:sz w:val="20"/>
                <w:szCs w:val="20"/>
                <w:lang w:val="en-GB" w:eastAsia="zh-CN"/>
              </w:rPr>
              <w:tab/>
            </w:r>
            <w:r w:rsidRPr="000C0842">
              <w:rPr>
                <w:rFonts w:ascii="SimHei" w:hAnsi="SimHei" w:cs="Times New Roman" w:hint="eastAsia"/>
                <w:b/>
                <w:bCs/>
                <w:snapToGrid w:val="0"/>
                <w:kern w:val="0"/>
                <w:sz w:val="20"/>
                <w:szCs w:val="20"/>
                <w:lang w:val="en-GB" w:eastAsia="zh-CN"/>
              </w:rPr>
              <w:t>执行工作</w:t>
            </w:r>
            <w:r w:rsidRPr="000C0842">
              <w:rPr>
                <w:rFonts w:ascii="SimHei" w:hAnsi="SimHei" w:cs="Times New Roman"/>
                <w:b/>
                <w:bCs/>
                <w:snapToGrid w:val="0"/>
                <w:kern w:val="0"/>
                <w:sz w:val="20"/>
                <w:szCs w:val="20"/>
                <w:lang w:val="en-GB" w:eastAsia="zh-CN"/>
              </w:rPr>
              <w:t>和主流化的工具和解决</w:t>
            </w:r>
            <w:r w:rsidRPr="000C0842">
              <w:rPr>
                <w:rFonts w:ascii="SimHei" w:hAnsi="SimHei" w:cs="Times New Roman" w:hint="eastAsia"/>
                <w:b/>
                <w:bCs/>
                <w:snapToGrid w:val="0"/>
                <w:kern w:val="0"/>
                <w:sz w:val="20"/>
                <w:szCs w:val="20"/>
                <w:lang w:val="en-GB" w:eastAsia="zh-CN"/>
              </w:rPr>
              <w:t>方案</w:t>
            </w:r>
          </w:p>
        </w:tc>
      </w:tr>
      <w:tr w:rsidR="000C0842" w:rsidRPr="000C0842" w14:paraId="44834CB6" w14:textId="77777777" w:rsidTr="001F32B3">
        <w:trPr>
          <w:trHeight w:val="300"/>
        </w:trPr>
        <w:tc>
          <w:tcPr>
            <w:tcW w:w="4675" w:type="dxa"/>
            <w:tcMar>
              <w:top w:w="58" w:type="dxa"/>
              <w:left w:w="115" w:type="dxa"/>
              <w:bottom w:w="58" w:type="dxa"/>
              <w:right w:w="115" w:type="dxa"/>
            </w:tcMar>
          </w:tcPr>
          <w:p w14:paraId="3DB1AAAA" w14:textId="77777777" w:rsidR="00382AC2" w:rsidRPr="000C0842" w:rsidRDefault="00382AC2" w:rsidP="00382AC2">
            <w:pPr>
              <w:tabs>
                <w:tab w:val="clear" w:pos="567"/>
                <w:tab w:val="clear" w:pos="1134"/>
                <w:tab w:val="clear" w:pos="1701"/>
                <w:tab w:val="clear" w:pos="2268"/>
              </w:tabs>
              <w:spacing w:before="120" w:after="120" w:line="300" w:lineRule="exact"/>
              <w:jc w:val="lef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14</w:t>
            </w:r>
          </w:p>
          <w:p w14:paraId="63ED08B5" w14:textId="377C4854" w:rsidR="00382AC2" w:rsidRPr="000C0842" w:rsidRDefault="00382AC2" w:rsidP="00382AC2">
            <w:pPr>
              <w:tabs>
                <w:tab w:val="clear" w:pos="567"/>
                <w:tab w:val="clear" w:pos="1134"/>
                <w:tab w:val="clear" w:pos="1701"/>
                <w:tab w:val="clear" w:pos="2268"/>
              </w:tabs>
              <w:spacing w:before="120" w:after="120" w:line="300" w:lineRule="exact"/>
              <w:rPr>
                <w:rFonts w:cs="Times New Roman"/>
                <w:spacing w:val="-4"/>
                <w:kern w:val="0"/>
                <w:sz w:val="20"/>
                <w:szCs w:val="20"/>
                <w:lang w:val="en-GB" w:eastAsia="zh-CN"/>
              </w:rPr>
            </w:pPr>
            <w:r w:rsidRPr="000C0842">
              <w:rPr>
                <w:rFonts w:cs="Times New Roman"/>
                <w:spacing w:val="-4"/>
                <w:kern w:val="0"/>
                <w:sz w:val="20"/>
                <w:szCs w:val="20"/>
                <w:lang w:val="en-US"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001A5C0A" w:rsidRPr="000C0842">
              <w:rPr>
                <w:rFonts w:cs="Times New Roman"/>
                <w:spacing w:val="-4"/>
                <w:kern w:val="0"/>
                <w:sz w:val="20"/>
                <w:szCs w:val="20"/>
                <w:lang w:val="en-US" w:eastAsia="zh-CN"/>
              </w:rPr>
              <w:t>《昆蒙框架》</w:t>
            </w:r>
            <w:r w:rsidRPr="000C0842">
              <w:rPr>
                <w:rFonts w:cs="Times New Roman"/>
                <w:spacing w:val="-4"/>
                <w:kern w:val="0"/>
                <w:sz w:val="20"/>
                <w:szCs w:val="20"/>
                <w:lang w:val="en-US" w:eastAsia="zh-CN"/>
              </w:rPr>
              <w:t>的长期目标和行动目标相一致</w:t>
            </w:r>
            <w:r w:rsidRPr="000C0842">
              <w:rPr>
                <w:rFonts w:cs="Times New Roman"/>
                <w:spacing w:val="-4"/>
                <w:kern w:val="0"/>
                <w:sz w:val="20"/>
                <w:szCs w:val="20"/>
                <w:lang w:val="en-GB" w:eastAsia="zh-CN"/>
              </w:rPr>
              <w:t>。</w:t>
            </w:r>
          </w:p>
        </w:tc>
        <w:tc>
          <w:tcPr>
            <w:tcW w:w="4680" w:type="dxa"/>
            <w:tcMar>
              <w:top w:w="58" w:type="dxa"/>
              <w:left w:w="115" w:type="dxa"/>
              <w:bottom w:w="58" w:type="dxa"/>
              <w:right w:w="115" w:type="dxa"/>
            </w:tcMar>
          </w:tcPr>
          <w:p w14:paraId="1773F680" w14:textId="77777777" w:rsidR="00382AC2" w:rsidRPr="000C0842" w:rsidRDefault="00382AC2" w:rsidP="00382AC2">
            <w:pPr>
              <w:tabs>
                <w:tab w:val="clear" w:pos="567"/>
                <w:tab w:val="clear" w:pos="1134"/>
                <w:tab w:val="clear" w:pos="1701"/>
                <w:tab w:val="clear" w:pos="2268"/>
              </w:tabs>
              <w:spacing w:before="120" w:after="120" w:line="300" w:lineRule="exact"/>
              <w:jc w:val="lef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将植物保护纳入主流的工具</w:t>
            </w:r>
          </w:p>
          <w:p w14:paraId="56C451CF" w14:textId="77777777" w:rsidR="00382AC2" w:rsidRPr="000C0842" w:rsidRDefault="00382AC2">
            <w:pPr>
              <w:numPr>
                <w:ilvl w:val="0"/>
                <w:numId w:val="96"/>
              </w:numPr>
              <w:tabs>
                <w:tab w:val="clear" w:pos="567"/>
                <w:tab w:val="clear" w:pos="1134"/>
                <w:tab w:val="clear" w:pos="1701"/>
                <w:tab w:val="clear" w:pos="2268"/>
              </w:tabs>
              <w:spacing w:before="120" w:after="120" w:line="300" w:lineRule="exact"/>
              <w:ind w:left="447" w:hanging="447"/>
              <w:contextualSpacing/>
              <w:jc w:val="left"/>
              <w:rPr>
                <w:rFonts w:cs="Times New Roman"/>
                <w:kern w:val="0"/>
                <w:sz w:val="20"/>
                <w:szCs w:val="20"/>
                <w:lang w:val="en-GB" w:eastAsia="zh-CN"/>
              </w:rPr>
            </w:pPr>
            <w:r w:rsidRPr="000C0842">
              <w:rPr>
                <w:rFonts w:cs="Times New Roman"/>
                <w:kern w:val="0"/>
                <w:sz w:val="20"/>
                <w:szCs w:val="20"/>
                <w:lang w:val="en-GB" w:eastAsia="zh-CN"/>
              </w:rPr>
              <w:t>提供</w:t>
            </w:r>
            <w:r w:rsidRPr="000C0842">
              <w:rPr>
                <w:rFonts w:cs="Times New Roman" w:hint="eastAsia"/>
                <w:kern w:val="0"/>
                <w:sz w:val="20"/>
                <w:szCs w:val="20"/>
                <w:lang w:val="en-GB" w:eastAsia="zh-CN"/>
              </w:rPr>
              <w:t>开放和可获取的</w:t>
            </w:r>
            <w:r w:rsidRPr="000C0842">
              <w:rPr>
                <w:rFonts w:cs="Times New Roman"/>
                <w:kern w:val="0"/>
                <w:sz w:val="20"/>
                <w:szCs w:val="20"/>
                <w:lang w:val="en-GB" w:eastAsia="zh-CN"/>
              </w:rPr>
              <w:t>数据并开发工具，以帮助衡量</w:t>
            </w:r>
            <w:r w:rsidRPr="000C0842">
              <w:rPr>
                <w:rFonts w:cs="Times New Roman" w:hint="eastAsia"/>
                <w:kern w:val="0"/>
                <w:sz w:val="20"/>
                <w:szCs w:val="20"/>
                <w:lang w:val="en-GB" w:eastAsia="zh-CN"/>
              </w:rPr>
              <w:t>多种知识体系的重要意义和</w:t>
            </w:r>
            <w:r w:rsidRPr="000C0842">
              <w:rPr>
                <w:rFonts w:cs="Times New Roman"/>
                <w:kern w:val="0"/>
                <w:sz w:val="20"/>
                <w:szCs w:val="20"/>
                <w:lang w:val="en-GB" w:eastAsia="zh-CN"/>
              </w:rPr>
              <w:t>植物多样性的价值，将其纳入政策、法规、环境评估和规划进程，包括农村和城市发展、减贫战略以及国家核算和报告机制。</w:t>
            </w:r>
          </w:p>
        </w:tc>
      </w:tr>
      <w:tr w:rsidR="000C0842" w:rsidRPr="000C0842" w14:paraId="12731287" w14:textId="77777777" w:rsidTr="001F32B3">
        <w:trPr>
          <w:trHeight w:val="300"/>
        </w:trPr>
        <w:tc>
          <w:tcPr>
            <w:tcW w:w="4675" w:type="dxa"/>
            <w:tcMar>
              <w:top w:w="58" w:type="dxa"/>
              <w:left w:w="115" w:type="dxa"/>
              <w:bottom w:w="58" w:type="dxa"/>
              <w:right w:w="115" w:type="dxa"/>
            </w:tcMar>
          </w:tcPr>
          <w:p w14:paraId="7C22CC23"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15</w:t>
            </w:r>
          </w:p>
          <w:p w14:paraId="5DFE5BBD"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fr-CA" w:eastAsia="zh-CN"/>
              </w:rPr>
            </w:pPr>
            <w:r w:rsidRPr="000C0842">
              <w:rPr>
                <w:rFonts w:cs="Times New Roman"/>
                <w:kern w:val="0"/>
                <w:sz w:val="20"/>
                <w:szCs w:val="20"/>
                <w:lang w:val="fr-CA" w:eastAsia="zh-CN"/>
              </w:rPr>
              <w:t>采取法律、行政或政策措施，鼓励和推动企业，特别是确保所有大型跨国公司和金融机构：</w:t>
            </w:r>
          </w:p>
          <w:p w14:paraId="021259C6" w14:textId="77777777" w:rsidR="00382AC2" w:rsidRPr="000C0842" w:rsidRDefault="00382AC2">
            <w:pPr>
              <w:numPr>
                <w:ilvl w:val="0"/>
                <w:numId w:val="93"/>
              </w:numPr>
              <w:tabs>
                <w:tab w:val="clear" w:pos="567"/>
                <w:tab w:val="clear" w:pos="1134"/>
                <w:tab w:val="clear" w:pos="1701"/>
                <w:tab w:val="clear" w:pos="2268"/>
              </w:tabs>
              <w:spacing w:before="120" w:after="120" w:line="320" w:lineRule="exact"/>
              <w:ind w:left="877" w:hanging="426"/>
              <w:rPr>
                <w:rFonts w:cs="Times New Roman"/>
                <w:spacing w:val="-4"/>
                <w:kern w:val="0"/>
                <w:sz w:val="20"/>
                <w:szCs w:val="20"/>
                <w:lang w:val="fr-CA" w:eastAsia="zh-CN"/>
              </w:rPr>
            </w:pPr>
            <w:r w:rsidRPr="000C0842">
              <w:rPr>
                <w:rFonts w:cs="Times New Roman"/>
                <w:spacing w:val="-4"/>
                <w:kern w:val="0"/>
                <w:sz w:val="20"/>
                <w:szCs w:val="20"/>
                <w:lang w:val="fr-CA" w:eastAsia="zh-CN"/>
              </w:rPr>
              <w:t>定期监测、评估和透明地披露其生物多样性</w:t>
            </w:r>
            <w:r w:rsidRPr="000C0842">
              <w:rPr>
                <w:rFonts w:cs="Times New Roman"/>
                <w:spacing w:val="-4"/>
                <w:kern w:val="0"/>
                <w:sz w:val="20"/>
                <w:szCs w:val="20"/>
                <w:lang w:val="en-US" w:eastAsia="zh-CN"/>
              </w:rPr>
              <w:t>风险、</w:t>
            </w:r>
            <w:r w:rsidRPr="000C0842">
              <w:rPr>
                <w:rFonts w:cs="Times New Roman"/>
                <w:spacing w:val="-4"/>
                <w:kern w:val="0"/>
                <w:sz w:val="20"/>
                <w:szCs w:val="20"/>
                <w:lang w:val="fr-CA" w:eastAsia="zh-CN"/>
              </w:rPr>
              <w:t>依赖程度和影响，包括对所有大型跨国公司和金融机构及其运营、供应链和价值链和投资组合的要求；</w:t>
            </w:r>
          </w:p>
          <w:p w14:paraId="150ABAED" w14:textId="77777777" w:rsidR="00382AC2" w:rsidRPr="000C0842" w:rsidRDefault="00382AC2">
            <w:pPr>
              <w:numPr>
                <w:ilvl w:val="0"/>
                <w:numId w:val="93"/>
              </w:numPr>
              <w:tabs>
                <w:tab w:val="clear" w:pos="567"/>
                <w:tab w:val="clear" w:pos="1134"/>
                <w:tab w:val="clear" w:pos="1701"/>
                <w:tab w:val="clear" w:pos="2268"/>
              </w:tabs>
              <w:spacing w:before="120" w:after="120" w:line="320" w:lineRule="exact"/>
              <w:ind w:left="877" w:hanging="426"/>
              <w:rPr>
                <w:rFonts w:cs="Times New Roman"/>
                <w:kern w:val="0"/>
                <w:sz w:val="20"/>
                <w:szCs w:val="20"/>
                <w:lang w:val="fr-CA" w:eastAsia="zh-CN"/>
              </w:rPr>
            </w:pPr>
            <w:r w:rsidRPr="000C0842">
              <w:rPr>
                <w:rFonts w:cs="Times New Roman"/>
                <w:kern w:val="0"/>
                <w:sz w:val="20"/>
                <w:szCs w:val="20"/>
                <w:lang w:val="fr-CA" w:eastAsia="zh-CN"/>
              </w:rPr>
              <w:t>向消费者提供所需信息，促进可持续的消费模式；</w:t>
            </w:r>
          </w:p>
          <w:p w14:paraId="57B1E034" w14:textId="77777777" w:rsidR="00382AC2" w:rsidRPr="000C0842" w:rsidRDefault="00382AC2">
            <w:pPr>
              <w:numPr>
                <w:ilvl w:val="0"/>
                <w:numId w:val="93"/>
              </w:numPr>
              <w:tabs>
                <w:tab w:val="clear" w:pos="567"/>
                <w:tab w:val="clear" w:pos="1134"/>
                <w:tab w:val="clear" w:pos="1701"/>
                <w:tab w:val="clear" w:pos="2268"/>
              </w:tabs>
              <w:spacing w:before="120" w:after="120" w:line="320" w:lineRule="exact"/>
              <w:ind w:left="877" w:hanging="426"/>
              <w:rPr>
                <w:rFonts w:cs="Times New Roman"/>
                <w:kern w:val="0"/>
                <w:sz w:val="20"/>
                <w:szCs w:val="20"/>
                <w:lang w:val="fr-CA" w:eastAsia="zh-CN"/>
              </w:rPr>
            </w:pPr>
            <w:r w:rsidRPr="000C0842">
              <w:rPr>
                <w:rFonts w:cs="Times New Roman"/>
                <w:kern w:val="0"/>
                <w:sz w:val="20"/>
                <w:szCs w:val="20"/>
                <w:lang w:val="fr-CA" w:eastAsia="zh-CN"/>
              </w:rPr>
              <w:t>酌情报告遵守获取和惠益分享法规和措施的情况；</w:t>
            </w:r>
          </w:p>
          <w:p w14:paraId="5DF30E05"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kern w:val="0"/>
                <w:sz w:val="20"/>
                <w:szCs w:val="20"/>
                <w:lang w:val="en-GB" w:eastAsia="zh-CN"/>
              </w:rPr>
            </w:pPr>
            <w:r w:rsidRPr="000C0842">
              <w:rPr>
                <w:rFonts w:cs="Times New Roman"/>
                <w:bCs/>
                <w:kern w:val="0"/>
                <w:sz w:val="20"/>
                <w:szCs w:val="20"/>
                <w:lang w:val="fr-CA" w:eastAsia="zh-CN"/>
              </w:rPr>
              <w:t>以逐步减少对生物多样性的不利影响，增加有利影响，减少企业和金融机构的生物多样性风险，并促进有利于可持续生产模式的措施</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506DBB91" w14:textId="77777777" w:rsidR="00382AC2" w:rsidRPr="000C0842" w:rsidRDefault="00382AC2" w:rsidP="00382AC2">
            <w:pPr>
              <w:tabs>
                <w:tab w:val="clear" w:pos="567"/>
                <w:tab w:val="clear" w:pos="1134"/>
                <w:tab w:val="clear" w:pos="1701"/>
                <w:tab w:val="clear" w:pos="2268"/>
              </w:tabs>
              <w:spacing w:before="120" w:after="120" w:line="320" w:lineRule="exact"/>
              <w:ind w:left="340" w:hanging="340"/>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植物利用</w:t>
            </w:r>
            <w:r w:rsidRPr="000C0842">
              <w:rPr>
                <w:rFonts w:ascii="SimHei" w:hAnsi="SimHei" w:cs="Times New Roman" w:hint="eastAsia"/>
                <w:b/>
                <w:kern w:val="0"/>
                <w:sz w:val="20"/>
                <w:szCs w:val="20"/>
                <w:lang w:val="en-GB" w:eastAsia="zh-CN"/>
              </w:rPr>
              <w:t>方面</w:t>
            </w:r>
            <w:r w:rsidRPr="000C0842">
              <w:rPr>
                <w:rFonts w:ascii="SimHei" w:hAnsi="SimHei" w:cs="Times New Roman"/>
                <w:b/>
                <w:kern w:val="0"/>
                <w:sz w:val="20"/>
                <w:szCs w:val="20"/>
                <w:lang w:val="en-GB" w:eastAsia="zh-CN"/>
              </w:rPr>
              <w:t>的可持续</w:t>
            </w:r>
            <w:r w:rsidRPr="000C0842">
              <w:rPr>
                <w:rFonts w:ascii="SimHei" w:hAnsi="SimHei" w:cs="Times New Roman" w:hint="eastAsia"/>
                <w:b/>
                <w:kern w:val="0"/>
                <w:sz w:val="20"/>
                <w:szCs w:val="20"/>
                <w:lang w:val="en-GB" w:eastAsia="zh-CN"/>
              </w:rPr>
              <w:t>做法</w:t>
            </w:r>
          </w:p>
          <w:p w14:paraId="1CC19D25" w14:textId="77777777" w:rsidR="00382AC2" w:rsidRPr="000C0842" w:rsidRDefault="00382AC2" w:rsidP="00382AC2">
            <w:pPr>
              <w:tabs>
                <w:tab w:val="clear" w:pos="567"/>
                <w:tab w:val="clear" w:pos="1134"/>
                <w:tab w:val="clear" w:pos="1701"/>
                <w:tab w:val="clear" w:pos="2268"/>
              </w:tabs>
              <w:spacing w:before="120" w:after="120" w:line="320" w:lineRule="exact"/>
              <w:ind w:left="518" w:hanging="518"/>
              <w:rPr>
                <w:rFonts w:cs="Times New Roman"/>
                <w:kern w:val="0"/>
                <w:sz w:val="20"/>
                <w:szCs w:val="20"/>
                <w:lang w:val="en-GB" w:eastAsia="zh-CN"/>
              </w:rPr>
            </w:pPr>
            <w:r w:rsidRPr="000C0842">
              <w:rPr>
                <w:rFonts w:cs="Times New Roman"/>
                <w:kern w:val="0"/>
                <w:sz w:val="20"/>
                <w:szCs w:val="20"/>
                <w:lang w:val="en-GB" w:eastAsia="zh-CN"/>
              </w:rPr>
              <w:t>15(a)</w:t>
            </w:r>
            <w:r w:rsidRPr="000C0842">
              <w:rPr>
                <w:rFonts w:cs="Times New Roman"/>
                <w:kern w:val="0"/>
                <w:sz w:val="20"/>
                <w:szCs w:val="20"/>
                <w:lang w:val="en-GB" w:eastAsia="zh-CN"/>
              </w:rPr>
              <w:tab/>
            </w:r>
            <w:r w:rsidRPr="000C0842">
              <w:rPr>
                <w:rFonts w:cs="Times New Roman"/>
                <w:kern w:val="0"/>
                <w:sz w:val="20"/>
                <w:szCs w:val="20"/>
                <w:lang w:val="en-GB" w:eastAsia="zh-CN"/>
              </w:rPr>
              <w:t>鼓励和支持以植物为重点的企业</w:t>
            </w:r>
            <w:r w:rsidRPr="000C0842">
              <w:rPr>
                <w:rFonts w:cs="Times New Roman" w:hint="eastAsia"/>
                <w:kern w:val="0"/>
                <w:sz w:val="20"/>
                <w:szCs w:val="20"/>
                <w:lang w:val="en-GB" w:eastAsia="zh-CN"/>
              </w:rPr>
              <w:t>，尤其是大型跨国公司和</w:t>
            </w:r>
            <w:r w:rsidRPr="000C0842">
              <w:rPr>
                <w:rFonts w:cs="Times New Roman"/>
                <w:kern w:val="0"/>
                <w:sz w:val="20"/>
                <w:szCs w:val="20"/>
                <w:lang w:val="en-GB" w:eastAsia="zh-CN"/>
              </w:rPr>
              <w:t>其他</w:t>
            </w:r>
            <w:r w:rsidRPr="000C0842">
              <w:rPr>
                <w:rFonts w:cs="Times New Roman" w:hint="eastAsia"/>
                <w:kern w:val="0"/>
                <w:sz w:val="20"/>
                <w:szCs w:val="20"/>
                <w:lang w:val="en-GB" w:eastAsia="zh-CN"/>
              </w:rPr>
              <w:t>行业，</w:t>
            </w:r>
            <w:r w:rsidRPr="000C0842">
              <w:rPr>
                <w:rFonts w:cs="Times New Roman"/>
                <w:kern w:val="0"/>
                <w:sz w:val="20"/>
                <w:szCs w:val="20"/>
                <w:lang w:val="en-GB" w:eastAsia="zh-CN"/>
              </w:rPr>
              <w:t>在野生植物物种贸易供应链上采用可持续做法，并在金融、运输、电子商务和旅游等</w:t>
            </w:r>
            <w:r w:rsidRPr="000C0842">
              <w:rPr>
                <w:rFonts w:cs="Times New Roman" w:hint="eastAsia"/>
                <w:kern w:val="0"/>
                <w:sz w:val="20"/>
                <w:szCs w:val="20"/>
                <w:lang w:val="en-GB" w:eastAsia="zh-CN"/>
              </w:rPr>
              <w:t>行业</w:t>
            </w:r>
            <w:r w:rsidRPr="000C0842">
              <w:rPr>
                <w:rFonts w:cs="Times New Roman"/>
                <w:kern w:val="0"/>
                <w:sz w:val="20"/>
                <w:szCs w:val="20"/>
                <w:lang w:val="en-GB" w:eastAsia="zh-CN"/>
              </w:rPr>
              <w:t>推广这些做法。</w:t>
            </w:r>
          </w:p>
          <w:p w14:paraId="4AB64465" w14:textId="77777777" w:rsidR="00382AC2" w:rsidRPr="000C0842" w:rsidRDefault="00382AC2" w:rsidP="00382AC2">
            <w:pPr>
              <w:tabs>
                <w:tab w:val="clear" w:pos="567"/>
                <w:tab w:val="clear" w:pos="1134"/>
                <w:tab w:val="clear" w:pos="1701"/>
                <w:tab w:val="clear" w:pos="2268"/>
              </w:tabs>
              <w:spacing w:before="120" w:after="120" w:line="320" w:lineRule="exact"/>
              <w:ind w:left="518" w:hanging="518"/>
              <w:rPr>
                <w:rFonts w:cs="Times New Roman"/>
                <w:kern w:val="0"/>
                <w:sz w:val="20"/>
                <w:szCs w:val="20"/>
                <w:lang w:val="en-GB" w:eastAsia="zh-CN"/>
              </w:rPr>
            </w:pPr>
            <w:r w:rsidRPr="000C0842">
              <w:rPr>
                <w:rFonts w:cs="Times New Roman"/>
                <w:kern w:val="0"/>
                <w:sz w:val="20"/>
                <w:szCs w:val="20"/>
                <w:lang w:val="en-GB" w:eastAsia="zh-CN"/>
              </w:rPr>
              <w:t>15(b)</w:t>
            </w:r>
            <w:r w:rsidRPr="000C0842">
              <w:rPr>
                <w:rFonts w:cs="Times New Roman"/>
                <w:kern w:val="0"/>
                <w:sz w:val="20"/>
                <w:szCs w:val="20"/>
                <w:lang w:val="en-GB" w:eastAsia="zh-CN"/>
              </w:rPr>
              <w:tab/>
            </w:r>
            <w:r w:rsidRPr="000C0842">
              <w:rPr>
                <w:rFonts w:cs="Times New Roman"/>
                <w:kern w:val="0"/>
                <w:sz w:val="20"/>
                <w:szCs w:val="20"/>
                <w:lang w:val="en-GB" w:eastAsia="zh-CN"/>
              </w:rPr>
              <w:t>促进和支持</w:t>
            </w:r>
            <w:r w:rsidRPr="000C0842">
              <w:rPr>
                <w:rFonts w:cs="Times New Roman" w:hint="eastAsia"/>
                <w:kern w:val="0"/>
                <w:sz w:val="20"/>
                <w:szCs w:val="20"/>
                <w:lang w:val="en-GB" w:eastAsia="zh-CN"/>
              </w:rPr>
              <w:t>拟订</w:t>
            </w:r>
            <w:r w:rsidRPr="000C0842">
              <w:rPr>
                <w:rFonts w:cs="Times New Roman"/>
                <w:kern w:val="0"/>
                <w:sz w:val="20"/>
                <w:szCs w:val="20"/>
                <w:lang w:val="en-GB" w:eastAsia="zh-CN"/>
              </w:rPr>
              <w:t>监测和评估可持续生产中植物利用的最佳做法，支持植物保护</w:t>
            </w:r>
            <w:r w:rsidRPr="000C0842">
              <w:rPr>
                <w:rFonts w:cs="Times New Roman" w:hint="eastAsia"/>
                <w:kern w:val="0"/>
                <w:sz w:val="20"/>
                <w:szCs w:val="20"/>
                <w:lang w:val="en-GB" w:eastAsia="zh-CN"/>
              </w:rPr>
              <w:t>，使土著人民和</w:t>
            </w:r>
            <w:r w:rsidRPr="000C0842">
              <w:rPr>
                <w:rFonts w:cs="Times New Roman"/>
                <w:kern w:val="0"/>
                <w:sz w:val="20"/>
                <w:szCs w:val="20"/>
                <w:lang w:val="en-GB" w:eastAsia="zh-CN"/>
              </w:rPr>
              <w:t>地方社区</w:t>
            </w:r>
            <w:r w:rsidRPr="000C0842">
              <w:rPr>
                <w:rFonts w:cs="Times New Roman" w:hint="eastAsia"/>
                <w:kern w:val="0"/>
                <w:sz w:val="20"/>
                <w:szCs w:val="20"/>
                <w:lang w:val="en-GB" w:eastAsia="zh-CN"/>
              </w:rPr>
              <w:t>受惠</w:t>
            </w:r>
            <w:r w:rsidRPr="000C0842">
              <w:rPr>
                <w:rFonts w:cs="Times New Roman"/>
                <w:kern w:val="0"/>
                <w:sz w:val="20"/>
                <w:szCs w:val="20"/>
                <w:lang w:val="en-GB" w:eastAsia="zh-CN"/>
              </w:rPr>
              <w:t>。</w:t>
            </w:r>
          </w:p>
          <w:p w14:paraId="4D6ABA1F" w14:textId="77777777" w:rsidR="00382AC2" w:rsidRPr="000C0842" w:rsidRDefault="00382AC2" w:rsidP="00382AC2">
            <w:pPr>
              <w:tabs>
                <w:tab w:val="clear" w:pos="567"/>
                <w:tab w:val="clear" w:pos="1134"/>
                <w:tab w:val="clear" w:pos="1701"/>
                <w:tab w:val="clear" w:pos="2268"/>
              </w:tabs>
              <w:spacing w:before="120" w:after="120" w:line="320" w:lineRule="exact"/>
              <w:ind w:left="518" w:hanging="518"/>
              <w:rPr>
                <w:rFonts w:cs="Times New Roman"/>
                <w:kern w:val="0"/>
                <w:sz w:val="20"/>
                <w:szCs w:val="20"/>
                <w:lang w:val="en-GB" w:eastAsia="zh-CN"/>
              </w:rPr>
            </w:pPr>
            <w:r w:rsidRPr="000C0842">
              <w:rPr>
                <w:rFonts w:cs="Times New Roman"/>
                <w:kern w:val="0"/>
                <w:sz w:val="20"/>
                <w:szCs w:val="20"/>
                <w:lang w:val="en-GB" w:eastAsia="zh-CN"/>
              </w:rPr>
              <w:t>15(c)</w:t>
            </w:r>
            <w:r w:rsidRPr="000C0842">
              <w:rPr>
                <w:rFonts w:eastAsia="Times New Roman" w:cs="Times New Roman" w:hint="eastAsia"/>
                <w:kern w:val="0"/>
                <w:sz w:val="20"/>
                <w:szCs w:val="20"/>
                <w:lang w:val="en-GB" w:eastAsia="zh-CN"/>
              </w:rPr>
              <w:t xml:space="preserve"> </w:t>
            </w:r>
            <w:r w:rsidRPr="000C0842">
              <w:rPr>
                <w:rFonts w:eastAsia="Times New Roman" w:cs="Times New Roman"/>
                <w:kern w:val="0"/>
                <w:sz w:val="20"/>
                <w:szCs w:val="20"/>
                <w:lang w:val="en-GB" w:eastAsia="zh-CN"/>
              </w:rPr>
              <w:t xml:space="preserve"> </w:t>
            </w:r>
            <w:r w:rsidRPr="000C0842">
              <w:rPr>
                <w:rFonts w:cs="Times New Roman" w:hint="eastAsia"/>
                <w:kern w:val="0"/>
                <w:sz w:val="20"/>
                <w:szCs w:val="20"/>
                <w:lang w:val="en-GB" w:eastAsia="zh-CN"/>
              </w:rPr>
              <w:t>向消费者提供所需信息，促进植物使用中的可持消费做法。</w:t>
            </w:r>
          </w:p>
        </w:tc>
      </w:tr>
      <w:tr w:rsidR="000C0842" w:rsidRPr="000C0842" w14:paraId="340116B8" w14:textId="77777777" w:rsidTr="001F32B3">
        <w:trPr>
          <w:trHeight w:val="300"/>
        </w:trPr>
        <w:tc>
          <w:tcPr>
            <w:tcW w:w="4675" w:type="dxa"/>
            <w:tcMar>
              <w:top w:w="58" w:type="dxa"/>
              <w:left w:w="115" w:type="dxa"/>
              <w:bottom w:w="58" w:type="dxa"/>
              <w:right w:w="115" w:type="dxa"/>
            </w:tcMar>
          </w:tcPr>
          <w:p w14:paraId="639A81A8"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16</w:t>
            </w:r>
          </w:p>
          <w:p w14:paraId="396D0836"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kern w:val="0"/>
                <w:sz w:val="20"/>
                <w:szCs w:val="20"/>
                <w:lang w:val="en-GB" w:eastAsia="zh-CN"/>
              </w:rPr>
            </w:pPr>
            <w:r w:rsidRPr="000C0842">
              <w:rPr>
                <w:rFonts w:cs="Times New Roman"/>
                <w:kern w:val="0"/>
                <w:sz w:val="20"/>
                <w:szCs w:val="20"/>
                <w:lang w:val="fr-CA" w:eastAsia="zh-CN"/>
              </w:rPr>
              <w:t>通过制定支持性政策、立法或监管框架，改进教育和提供相关准确信息和其他选择等措施，鼓励人们并使其能做出可持续的消费选择，到</w:t>
            </w:r>
            <w:r w:rsidRPr="000C0842">
              <w:rPr>
                <w:rFonts w:cs="Times New Roman"/>
                <w:kern w:val="0"/>
                <w:sz w:val="20"/>
                <w:szCs w:val="20"/>
                <w:lang w:val="fr-CA" w:eastAsia="zh-CN"/>
              </w:rPr>
              <w:t>2030</w:t>
            </w:r>
            <w:r w:rsidRPr="000C0842">
              <w:rPr>
                <w:rFonts w:cs="Times New Roman"/>
                <w:kern w:val="0"/>
                <w:sz w:val="20"/>
                <w:szCs w:val="20"/>
                <w:lang w:val="fr-CA" w:eastAsia="zh-CN"/>
              </w:rPr>
              <w:t>年以公平的方式减少全球消费足迹，包括将全球粮食浪费减半，大幅减少过度消费，大幅减少废物产生，使所有人都能与地球母亲和谐相处</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26E0D4F6" w14:textId="77777777" w:rsidR="00382AC2" w:rsidRPr="000C0842" w:rsidRDefault="00382AC2" w:rsidP="00382AC2">
            <w:pPr>
              <w:tabs>
                <w:tab w:val="clear" w:pos="567"/>
                <w:tab w:val="clear" w:pos="1134"/>
                <w:tab w:val="clear" w:pos="1701"/>
                <w:tab w:val="clear" w:pos="2268"/>
              </w:tabs>
              <w:spacing w:before="120" w:after="120" w:line="320" w:lineRule="exact"/>
              <w:ind w:left="340" w:hanging="340"/>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可持续消费</w:t>
            </w:r>
          </w:p>
          <w:p w14:paraId="1A56B6F0" w14:textId="77777777" w:rsidR="00382AC2" w:rsidRPr="000C0842" w:rsidRDefault="00382AC2" w:rsidP="00382AC2">
            <w:pPr>
              <w:tabs>
                <w:tab w:val="clear" w:pos="567"/>
                <w:tab w:val="clear" w:pos="1134"/>
                <w:tab w:val="clear" w:pos="1701"/>
                <w:tab w:val="clear" w:pos="2268"/>
              </w:tabs>
              <w:spacing w:before="120" w:after="120" w:line="320" w:lineRule="exact"/>
              <w:ind w:left="518" w:hanging="518"/>
              <w:rPr>
                <w:rFonts w:cs="Times New Roman"/>
                <w:kern w:val="0"/>
                <w:sz w:val="20"/>
                <w:szCs w:val="20"/>
                <w:lang w:val="en-GB" w:eastAsia="zh-CN"/>
              </w:rPr>
            </w:pPr>
            <w:r w:rsidRPr="000C0842">
              <w:rPr>
                <w:rFonts w:cs="Times New Roman" w:hint="eastAsia"/>
                <w:kern w:val="0"/>
                <w:sz w:val="20"/>
                <w:szCs w:val="20"/>
                <w:lang w:val="en-GB" w:eastAsia="zh-CN"/>
              </w:rPr>
              <w:t>1</w:t>
            </w:r>
            <w:r w:rsidRPr="000C0842">
              <w:rPr>
                <w:rFonts w:cs="Times New Roman"/>
                <w:kern w:val="0"/>
                <w:sz w:val="20"/>
                <w:szCs w:val="20"/>
                <w:lang w:val="en-GB" w:eastAsia="zh-CN"/>
              </w:rPr>
              <w:t>6(a)</w:t>
            </w:r>
            <w:r w:rsidRPr="000C0842">
              <w:rPr>
                <w:rFonts w:cs="Times New Roman"/>
                <w:kern w:val="0"/>
                <w:sz w:val="20"/>
                <w:szCs w:val="20"/>
                <w:lang w:val="en-GB" w:eastAsia="zh-CN"/>
              </w:rPr>
              <w:tab/>
            </w:r>
            <w:r w:rsidRPr="000C0842">
              <w:rPr>
                <w:rFonts w:cs="Times New Roman" w:hint="eastAsia"/>
                <w:kern w:val="0"/>
                <w:sz w:val="20"/>
                <w:szCs w:val="20"/>
                <w:lang w:val="en-GB" w:eastAsia="zh-CN"/>
              </w:rPr>
              <w:t>以</w:t>
            </w:r>
            <w:r w:rsidRPr="000C0842">
              <w:rPr>
                <w:rFonts w:cs="Times New Roman"/>
                <w:kern w:val="0"/>
                <w:sz w:val="20"/>
                <w:szCs w:val="20"/>
                <w:lang w:val="en-GB" w:eastAsia="zh-CN"/>
              </w:rPr>
              <w:t>贸易统计</w:t>
            </w:r>
            <w:r w:rsidRPr="000C0842">
              <w:rPr>
                <w:rFonts w:cs="Times New Roman" w:hint="eastAsia"/>
                <w:kern w:val="0"/>
                <w:sz w:val="20"/>
                <w:szCs w:val="20"/>
                <w:lang w:val="en-GB" w:eastAsia="zh-CN"/>
              </w:rPr>
              <w:t>数字</w:t>
            </w:r>
            <w:r w:rsidRPr="000C0842">
              <w:rPr>
                <w:rFonts w:cs="Times New Roman"/>
                <w:kern w:val="0"/>
                <w:sz w:val="20"/>
                <w:szCs w:val="20"/>
                <w:lang w:val="en-GB" w:eastAsia="zh-CN"/>
              </w:rPr>
              <w:t>和数据</w:t>
            </w:r>
            <w:r w:rsidRPr="000C0842">
              <w:rPr>
                <w:rFonts w:cs="Times New Roman" w:hint="eastAsia"/>
                <w:kern w:val="0"/>
                <w:sz w:val="20"/>
                <w:szCs w:val="20"/>
                <w:lang w:val="en-GB" w:eastAsia="zh-CN"/>
              </w:rPr>
              <w:t>等形式</w:t>
            </w:r>
            <w:r w:rsidRPr="000C0842">
              <w:rPr>
                <w:rFonts w:cs="Times New Roman"/>
                <w:kern w:val="0"/>
                <w:sz w:val="20"/>
                <w:szCs w:val="20"/>
                <w:lang w:val="en-GB" w:eastAsia="zh-CN"/>
              </w:rPr>
              <w:t>提供信息和指导以及能力建设，为制定政策</w:t>
            </w:r>
            <w:r w:rsidRPr="000C0842">
              <w:rPr>
                <w:rFonts w:cs="Times New Roman" w:hint="eastAsia"/>
                <w:kern w:val="0"/>
                <w:sz w:val="20"/>
                <w:szCs w:val="20"/>
                <w:lang w:val="en-GB" w:eastAsia="zh-CN"/>
              </w:rPr>
              <w:t>、法律、</w:t>
            </w:r>
            <w:r w:rsidRPr="000C0842">
              <w:rPr>
                <w:rFonts w:cs="Times New Roman"/>
                <w:kern w:val="0"/>
                <w:sz w:val="20"/>
                <w:szCs w:val="20"/>
                <w:lang w:val="en-GB" w:eastAsia="zh-CN"/>
              </w:rPr>
              <w:t>监管框架提供信息，承认野生植物作为食物、纤维、药品、药物和建筑材料来源以及作为其他</w:t>
            </w:r>
            <w:r w:rsidRPr="000C0842">
              <w:rPr>
                <w:rFonts w:cs="Times New Roman" w:hint="eastAsia"/>
                <w:kern w:val="0"/>
                <w:sz w:val="20"/>
                <w:szCs w:val="20"/>
                <w:lang w:val="en-GB" w:eastAsia="zh-CN"/>
              </w:rPr>
              <w:t>行业</w:t>
            </w:r>
            <w:r w:rsidRPr="000C0842">
              <w:rPr>
                <w:rFonts w:cs="Times New Roman"/>
                <w:kern w:val="0"/>
                <w:sz w:val="20"/>
                <w:szCs w:val="20"/>
                <w:lang w:val="en-GB" w:eastAsia="zh-CN"/>
              </w:rPr>
              <w:t>资源的重要性。</w:t>
            </w:r>
          </w:p>
          <w:p w14:paraId="0BB4D94D" w14:textId="77777777" w:rsidR="00382AC2" w:rsidRPr="000C0842" w:rsidRDefault="00382AC2" w:rsidP="00382AC2">
            <w:pPr>
              <w:tabs>
                <w:tab w:val="clear" w:pos="567"/>
                <w:tab w:val="clear" w:pos="1134"/>
                <w:tab w:val="clear" w:pos="1701"/>
                <w:tab w:val="clear" w:pos="2268"/>
              </w:tabs>
              <w:spacing w:before="120" w:after="120" w:line="320" w:lineRule="exact"/>
              <w:ind w:left="518" w:hanging="518"/>
              <w:rPr>
                <w:rFonts w:cs="Times New Roman"/>
                <w:kern w:val="0"/>
                <w:sz w:val="20"/>
                <w:szCs w:val="20"/>
                <w:lang w:val="en-GB" w:eastAsia="zh-CN"/>
              </w:rPr>
            </w:pPr>
            <w:r w:rsidRPr="000C0842">
              <w:rPr>
                <w:rFonts w:cs="Times New Roman"/>
                <w:kern w:val="0"/>
                <w:sz w:val="20"/>
                <w:szCs w:val="20"/>
                <w:lang w:val="en-GB" w:eastAsia="zh-CN"/>
              </w:rPr>
              <w:t>16(b)</w:t>
            </w:r>
            <w:r w:rsidRPr="000C0842">
              <w:rPr>
                <w:rFonts w:cs="Times New Roman"/>
                <w:kern w:val="0"/>
                <w:sz w:val="20"/>
                <w:szCs w:val="20"/>
                <w:lang w:val="en-GB" w:eastAsia="zh-CN"/>
              </w:rPr>
              <w:tab/>
            </w:r>
            <w:r w:rsidRPr="000C0842">
              <w:rPr>
                <w:rFonts w:cs="Times New Roman"/>
                <w:kern w:val="0"/>
                <w:sz w:val="20"/>
                <w:szCs w:val="20"/>
                <w:lang w:val="en-GB" w:eastAsia="zh-CN"/>
              </w:rPr>
              <w:t>制定和支持关于植物重要性以及全球消费足迹、全球食物浪费和过度消费对植物多样性影响的教育方案。</w:t>
            </w:r>
          </w:p>
        </w:tc>
      </w:tr>
      <w:tr w:rsidR="000C0842" w:rsidRPr="000C0842" w14:paraId="4D50979E" w14:textId="77777777" w:rsidTr="001F32B3">
        <w:trPr>
          <w:trHeight w:val="300"/>
        </w:trPr>
        <w:tc>
          <w:tcPr>
            <w:tcW w:w="4675" w:type="dxa"/>
            <w:tcMar>
              <w:top w:w="58" w:type="dxa"/>
              <w:left w:w="115" w:type="dxa"/>
              <w:bottom w:w="58" w:type="dxa"/>
              <w:right w:w="115" w:type="dxa"/>
            </w:tcMar>
          </w:tcPr>
          <w:p w14:paraId="28D17014"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17</w:t>
            </w:r>
          </w:p>
          <w:p w14:paraId="05C583F0"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spacing w:val="4"/>
                <w:kern w:val="0"/>
                <w:sz w:val="20"/>
                <w:szCs w:val="20"/>
                <w:lang w:val="en-GB" w:eastAsia="zh-CN"/>
              </w:rPr>
            </w:pPr>
            <w:r w:rsidRPr="000C0842">
              <w:rPr>
                <w:rFonts w:cs="Times New Roman"/>
                <w:iCs/>
                <w:spacing w:val="4"/>
                <w:kern w:val="0"/>
                <w:sz w:val="20"/>
                <w:szCs w:val="20"/>
                <w:lang w:val="fr-CA" w:eastAsia="zh-CN"/>
              </w:rPr>
              <w:t>所有国家加强能力，制定和执行《生物多样性公约》第</w:t>
            </w:r>
            <w:r w:rsidRPr="000C0842">
              <w:rPr>
                <w:rFonts w:cs="Times New Roman"/>
                <w:iCs/>
                <w:spacing w:val="4"/>
                <w:kern w:val="0"/>
                <w:sz w:val="20"/>
                <w:szCs w:val="20"/>
                <w:lang w:val="fr-CA" w:eastAsia="zh-CN"/>
              </w:rPr>
              <w:t>8</w:t>
            </w:r>
            <w:r w:rsidRPr="000C0842">
              <w:rPr>
                <w:rFonts w:cs="Times New Roman" w:hint="eastAsia"/>
                <w:iCs/>
                <w:spacing w:val="4"/>
                <w:kern w:val="0"/>
                <w:sz w:val="20"/>
                <w:szCs w:val="20"/>
                <w:lang w:val="fr-CA" w:eastAsia="zh-CN"/>
              </w:rPr>
              <w:t>(</w:t>
            </w:r>
            <w:r w:rsidRPr="000C0842">
              <w:rPr>
                <w:rFonts w:cs="Times New Roman"/>
                <w:iCs/>
                <w:spacing w:val="4"/>
                <w:kern w:val="0"/>
                <w:sz w:val="20"/>
                <w:szCs w:val="20"/>
                <w:lang w:val="fr-CA" w:eastAsia="zh-CN"/>
              </w:rPr>
              <w:t>g</w:t>
            </w:r>
            <w:r w:rsidRPr="000C0842">
              <w:rPr>
                <w:rFonts w:cs="Times New Roman" w:hint="eastAsia"/>
                <w:iCs/>
                <w:spacing w:val="4"/>
                <w:kern w:val="0"/>
                <w:sz w:val="20"/>
                <w:szCs w:val="20"/>
                <w:lang w:val="fr-CA" w:eastAsia="zh-CN"/>
              </w:rPr>
              <w:t>)</w:t>
            </w:r>
            <w:r w:rsidRPr="000C0842">
              <w:rPr>
                <w:rFonts w:cs="Times New Roman"/>
                <w:iCs/>
                <w:spacing w:val="4"/>
                <w:kern w:val="0"/>
                <w:sz w:val="20"/>
                <w:szCs w:val="20"/>
                <w:lang w:val="fr-CA" w:eastAsia="zh-CN"/>
              </w:rPr>
              <w:t>条所述生物安全措施和第</w:t>
            </w:r>
            <w:r w:rsidRPr="000C0842">
              <w:rPr>
                <w:rFonts w:cs="Times New Roman"/>
                <w:iCs/>
                <w:spacing w:val="4"/>
                <w:kern w:val="0"/>
                <w:sz w:val="20"/>
                <w:szCs w:val="20"/>
                <w:lang w:val="fr-CA" w:eastAsia="zh-CN"/>
              </w:rPr>
              <w:t>19</w:t>
            </w:r>
            <w:r w:rsidRPr="000C0842">
              <w:rPr>
                <w:rFonts w:cs="Times New Roman"/>
                <w:iCs/>
                <w:spacing w:val="4"/>
                <w:kern w:val="0"/>
                <w:sz w:val="20"/>
                <w:szCs w:val="20"/>
                <w:lang w:val="fr-CA" w:eastAsia="zh-CN"/>
              </w:rPr>
              <w:t>条所述生物技术处理和惠益分配措施</w:t>
            </w:r>
            <w:r w:rsidRPr="000C0842">
              <w:rPr>
                <w:rFonts w:cs="Times New Roman"/>
                <w:spacing w:val="4"/>
                <w:kern w:val="0"/>
                <w:sz w:val="20"/>
                <w:szCs w:val="20"/>
                <w:lang w:val="en-GB" w:eastAsia="zh-CN"/>
              </w:rPr>
              <w:t>。</w:t>
            </w:r>
          </w:p>
        </w:tc>
        <w:tc>
          <w:tcPr>
            <w:tcW w:w="4680" w:type="dxa"/>
            <w:tcMar>
              <w:top w:w="58" w:type="dxa"/>
              <w:left w:w="115" w:type="dxa"/>
              <w:bottom w:w="58" w:type="dxa"/>
              <w:right w:w="115" w:type="dxa"/>
            </w:tcMar>
          </w:tcPr>
          <w:p w14:paraId="05634B68" w14:textId="77777777" w:rsidR="00382AC2" w:rsidRPr="000C0842" w:rsidRDefault="00382AC2" w:rsidP="00382AC2">
            <w:pPr>
              <w:tabs>
                <w:tab w:val="clear" w:pos="567"/>
                <w:tab w:val="clear" w:pos="1134"/>
                <w:tab w:val="clear" w:pos="1701"/>
                <w:tab w:val="clear" w:pos="2268"/>
              </w:tabs>
              <w:spacing w:before="120" w:after="120" w:line="320" w:lineRule="exact"/>
              <w:rPr>
                <w:rFonts w:eastAsia="KaiTi" w:cs="Times New Roman"/>
                <w:kern w:val="0"/>
                <w:sz w:val="20"/>
                <w:szCs w:val="20"/>
                <w:lang w:val="en-GB" w:eastAsia="zh-CN"/>
              </w:rPr>
            </w:pPr>
            <w:r w:rsidRPr="000C0842">
              <w:rPr>
                <w:rFonts w:eastAsia="KaiTi" w:cs="Times New Roman" w:hint="eastAsia"/>
                <w:kern w:val="0"/>
                <w:sz w:val="20"/>
                <w:szCs w:val="20"/>
                <w:lang w:val="en-GB" w:eastAsia="zh-CN"/>
              </w:rPr>
              <w:t>行动目标</w:t>
            </w:r>
            <w:r w:rsidRPr="000C0842">
              <w:rPr>
                <w:rFonts w:eastAsia="KaiTi" w:cs="Times New Roman" w:hint="eastAsia"/>
                <w:kern w:val="0"/>
                <w:sz w:val="20"/>
                <w:szCs w:val="20"/>
                <w:lang w:val="en-GB" w:eastAsia="zh-CN"/>
              </w:rPr>
              <w:t>17</w:t>
            </w:r>
            <w:r w:rsidRPr="000C0842">
              <w:rPr>
                <w:rFonts w:eastAsia="KaiTi" w:cs="Times New Roman" w:hint="eastAsia"/>
                <w:kern w:val="0"/>
                <w:sz w:val="20"/>
                <w:szCs w:val="20"/>
                <w:lang w:val="en-GB" w:eastAsia="zh-CN"/>
              </w:rPr>
              <w:t>没有要求采取特别的植物保护措施。</w:t>
            </w:r>
          </w:p>
        </w:tc>
      </w:tr>
      <w:tr w:rsidR="000C0842" w:rsidRPr="000C0842" w14:paraId="4DF29139" w14:textId="77777777" w:rsidTr="001F32B3">
        <w:trPr>
          <w:trHeight w:val="300"/>
        </w:trPr>
        <w:tc>
          <w:tcPr>
            <w:tcW w:w="4675" w:type="dxa"/>
            <w:tcMar>
              <w:top w:w="58" w:type="dxa"/>
              <w:left w:w="115" w:type="dxa"/>
              <w:bottom w:w="58" w:type="dxa"/>
              <w:right w:w="115" w:type="dxa"/>
            </w:tcMar>
          </w:tcPr>
          <w:p w14:paraId="27D56323"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18</w:t>
            </w:r>
          </w:p>
          <w:p w14:paraId="40490E48" w14:textId="77777777" w:rsidR="00382AC2" w:rsidRPr="000C0842" w:rsidRDefault="00382AC2" w:rsidP="00382AC2">
            <w:pPr>
              <w:tabs>
                <w:tab w:val="clear" w:pos="567"/>
                <w:tab w:val="clear" w:pos="1134"/>
                <w:tab w:val="clear" w:pos="1701"/>
                <w:tab w:val="clear" w:pos="2268"/>
              </w:tabs>
              <w:spacing w:before="120" w:after="120" w:line="320" w:lineRule="exact"/>
              <w:rPr>
                <w:rFonts w:cs="Times New Roman"/>
                <w:kern w:val="0"/>
                <w:sz w:val="20"/>
                <w:szCs w:val="20"/>
                <w:lang w:val="en-GB" w:eastAsia="zh-CN"/>
              </w:rPr>
            </w:pPr>
            <w:r w:rsidRPr="000C0842">
              <w:rPr>
                <w:rFonts w:cs="Times New Roman"/>
                <w:kern w:val="0"/>
                <w:sz w:val="20"/>
                <w:szCs w:val="20"/>
                <w:lang w:val="en-GB" w:eastAsia="zh-CN"/>
              </w:rPr>
              <w:t>到</w:t>
            </w:r>
            <w:r w:rsidRPr="000C0842">
              <w:rPr>
                <w:rFonts w:cs="Times New Roman"/>
                <w:kern w:val="0"/>
                <w:sz w:val="20"/>
                <w:szCs w:val="20"/>
                <w:lang w:val="en-GB" w:eastAsia="zh-CN"/>
              </w:rPr>
              <w:t>2025</w:t>
            </w:r>
            <w:r w:rsidRPr="000C0842">
              <w:rPr>
                <w:rFonts w:cs="Times New Roman"/>
                <w:kern w:val="0"/>
                <w:sz w:val="20"/>
                <w:szCs w:val="20"/>
                <w:lang w:val="en-GB" w:eastAsia="zh-CN"/>
              </w:rPr>
              <w:t>年，以相称、公正、正当、有效和公平的方式确定并消除、逐步淘汰或改革激励措施，包括对生物多样性有害的补贴，同时逐步大幅减少这些激励措施，到</w:t>
            </w:r>
            <w:r w:rsidRPr="000C0842">
              <w:rPr>
                <w:rFonts w:cs="Times New Roman"/>
                <w:kern w:val="0"/>
                <w:sz w:val="20"/>
                <w:szCs w:val="20"/>
                <w:lang w:val="en-GB" w:eastAsia="zh-CN"/>
              </w:rPr>
              <w:t>2030</w:t>
            </w:r>
            <w:r w:rsidRPr="000C0842">
              <w:rPr>
                <w:rFonts w:cs="Times New Roman"/>
                <w:kern w:val="0"/>
                <w:sz w:val="20"/>
                <w:szCs w:val="20"/>
                <w:lang w:val="en-GB" w:eastAsia="zh-CN"/>
              </w:rPr>
              <w:t>年每年至少减少</w:t>
            </w:r>
            <w:r w:rsidRPr="000C0842">
              <w:rPr>
                <w:rFonts w:cs="Times New Roman"/>
                <w:kern w:val="0"/>
                <w:sz w:val="20"/>
                <w:szCs w:val="20"/>
                <w:lang w:val="en-GB" w:eastAsia="zh-CN"/>
              </w:rPr>
              <w:t>5 000</w:t>
            </w:r>
            <w:r w:rsidRPr="000C0842">
              <w:rPr>
                <w:rFonts w:cs="Times New Roman"/>
                <w:kern w:val="0"/>
                <w:sz w:val="20"/>
                <w:szCs w:val="20"/>
                <w:lang w:val="en-GB" w:eastAsia="zh-CN"/>
              </w:rPr>
              <w:t>亿美元，首先减少最有害的激励措施，扩大</w:t>
            </w:r>
            <w:r w:rsidRPr="000C0842">
              <w:rPr>
                <w:rFonts w:cs="Times New Roman" w:hint="eastAsia"/>
                <w:kern w:val="0"/>
                <w:sz w:val="20"/>
                <w:szCs w:val="20"/>
                <w:lang w:val="en-GB" w:eastAsia="zh-CN"/>
              </w:rPr>
              <w:t>有利于</w:t>
            </w:r>
            <w:r w:rsidRPr="000C0842">
              <w:rPr>
                <w:rFonts w:cs="Times New Roman"/>
                <w:kern w:val="0"/>
                <w:sz w:val="20"/>
                <w:szCs w:val="20"/>
                <w:lang w:val="en-GB" w:eastAsia="zh-CN"/>
              </w:rPr>
              <w:t>生物多样性保护和可持续利用的积极激励措施。</w:t>
            </w:r>
          </w:p>
        </w:tc>
        <w:tc>
          <w:tcPr>
            <w:tcW w:w="4680" w:type="dxa"/>
            <w:tcMar>
              <w:top w:w="58" w:type="dxa"/>
              <w:left w:w="115" w:type="dxa"/>
              <w:bottom w:w="58" w:type="dxa"/>
              <w:right w:w="115" w:type="dxa"/>
            </w:tcMar>
          </w:tcPr>
          <w:p w14:paraId="4DB5AE75" w14:textId="77777777" w:rsidR="00382AC2" w:rsidRPr="000C0842" w:rsidRDefault="00382AC2" w:rsidP="00382AC2">
            <w:pPr>
              <w:tabs>
                <w:tab w:val="clear" w:pos="567"/>
                <w:tab w:val="clear" w:pos="1134"/>
                <w:tab w:val="clear" w:pos="1701"/>
                <w:tab w:val="clear" w:pos="2268"/>
              </w:tabs>
              <w:spacing w:before="120" w:after="120" w:line="320" w:lineRule="exact"/>
              <w:rPr>
                <w:rFonts w:eastAsia="KaiTi" w:cs="Times New Roman"/>
                <w:kern w:val="0"/>
                <w:sz w:val="20"/>
                <w:szCs w:val="20"/>
                <w:lang w:val="en-GB" w:eastAsia="zh-CN"/>
              </w:rPr>
            </w:pPr>
            <w:r w:rsidRPr="000C0842">
              <w:rPr>
                <w:rFonts w:eastAsia="KaiTi" w:cs="Times New Roman"/>
                <w:kern w:val="0"/>
                <w:sz w:val="20"/>
                <w:szCs w:val="20"/>
                <w:lang w:val="en-GB" w:eastAsia="zh-CN"/>
              </w:rPr>
              <w:t>除了支持</w:t>
            </w:r>
            <w:r w:rsidRPr="000C0842">
              <w:rPr>
                <w:rFonts w:eastAsia="KaiTi" w:cs="Times New Roman" w:hint="eastAsia"/>
                <w:kern w:val="0"/>
                <w:sz w:val="20"/>
                <w:szCs w:val="20"/>
                <w:lang w:val="en-GB" w:eastAsia="zh-CN"/>
              </w:rPr>
              <w:t>其</w:t>
            </w:r>
            <w:r w:rsidRPr="000C0842">
              <w:rPr>
                <w:rFonts w:eastAsia="KaiTi" w:cs="Times New Roman"/>
                <w:kern w:val="0"/>
                <w:sz w:val="20"/>
                <w:szCs w:val="20"/>
                <w:lang w:val="en-GB" w:eastAsia="zh-CN"/>
              </w:rPr>
              <w:t>实现，</w:t>
            </w:r>
            <w:r w:rsidRPr="000C0842">
              <w:rPr>
                <w:rFonts w:eastAsia="KaiTi" w:cs="Times New Roman" w:hint="eastAsia"/>
                <w:kern w:val="0"/>
                <w:sz w:val="20"/>
                <w:szCs w:val="20"/>
                <w:lang w:val="en-GB" w:eastAsia="zh-CN"/>
              </w:rPr>
              <w:t>行动</w:t>
            </w:r>
            <w:r w:rsidRPr="000C0842">
              <w:rPr>
                <w:rFonts w:eastAsia="KaiTi" w:cs="Times New Roman"/>
                <w:kern w:val="0"/>
                <w:sz w:val="20"/>
                <w:szCs w:val="20"/>
                <w:lang w:val="en-GB" w:eastAsia="zh-CN"/>
              </w:rPr>
              <w:t>目标</w:t>
            </w:r>
            <w:r w:rsidRPr="000C0842">
              <w:rPr>
                <w:rFonts w:eastAsia="KaiTi" w:cs="Times New Roman"/>
                <w:kern w:val="0"/>
                <w:sz w:val="20"/>
                <w:szCs w:val="20"/>
                <w:lang w:val="en-GB" w:eastAsia="zh-CN"/>
              </w:rPr>
              <w:t>18</w:t>
            </w:r>
            <w:r w:rsidRPr="000C0842">
              <w:rPr>
                <w:rFonts w:eastAsia="KaiTi" w:cs="Times New Roman" w:hint="eastAsia"/>
                <w:kern w:val="0"/>
                <w:sz w:val="20"/>
                <w:szCs w:val="20"/>
                <w:lang w:val="en-GB" w:eastAsia="zh-CN"/>
              </w:rPr>
              <w:t>没有</w:t>
            </w:r>
            <w:r w:rsidRPr="000C0842">
              <w:rPr>
                <w:rFonts w:eastAsia="KaiTi" w:cs="Times New Roman"/>
                <w:kern w:val="0"/>
                <w:sz w:val="20"/>
                <w:szCs w:val="20"/>
                <w:lang w:val="en-GB" w:eastAsia="zh-CN"/>
              </w:rPr>
              <w:t>要求采取特别的植物保护</w:t>
            </w:r>
            <w:r w:rsidRPr="000C0842">
              <w:rPr>
                <w:rFonts w:eastAsia="KaiTi" w:cs="Times New Roman" w:hint="eastAsia"/>
                <w:kern w:val="0"/>
                <w:sz w:val="20"/>
                <w:szCs w:val="20"/>
                <w:lang w:val="en-GB" w:eastAsia="zh-CN"/>
              </w:rPr>
              <w:t>措施</w:t>
            </w:r>
            <w:r w:rsidRPr="000C0842">
              <w:rPr>
                <w:rFonts w:eastAsia="KaiTi" w:cs="Times New Roman"/>
                <w:kern w:val="0"/>
                <w:sz w:val="20"/>
                <w:szCs w:val="20"/>
                <w:lang w:val="en-GB" w:eastAsia="zh-CN"/>
              </w:rPr>
              <w:t>。</w:t>
            </w:r>
          </w:p>
        </w:tc>
      </w:tr>
      <w:tr w:rsidR="000C0842" w:rsidRPr="000C0842" w14:paraId="780DFFD5" w14:textId="77777777" w:rsidTr="001F32B3">
        <w:trPr>
          <w:trHeight w:val="300"/>
        </w:trPr>
        <w:tc>
          <w:tcPr>
            <w:tcW w:w="4675" w:type="dxa"/>
            <w:tcMar>
              <w:top w:w="58" w:type="dxa"/>
              <w:left w:w="115" w:type="dxa"/>
              <w:bottom w:w="58" w:type="dxa"/>
              <w:right w:w="115" w:type="dxa"/>
            </w:tcMar>
          </w:tcPr>
          <w:p w14:paraId="6DBA25ED" w14:textId="77777777" w:rsidR="00382AC2" w:rsidRPr="000C0842" w:rsidRDefault="00382AC2" w:rsidP="00382AC2">
            <w:pPr>
              <w:tabs>
                <w:tab w:val="clear" w:pos="567"/>
                <w:tab w:val="clear" w:pos="1134"/>
                <w:tab w:val="clear" w:pos="1701"/>
                <w:tab w:val="clear" w:pos="2268"/>
              </w:tabs>
              <w:adjustRightInd w:val="0"/>
              <w:snapToGrid w:val="0"/>
              <w:spacing w:before="120" w:after="120" w:line="300" w:lineRule="exact"/>
              <w:ind w:left="432" w:hanging="432"/>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行动目标</w:t>
            </w:r>
            <w:r w:rsidRPr="000C0842">
              <w:rPr>
                <w:rFonts w:cs="Times New Roman"/>
                <w:b/>
                <w:kern w:val="0"/>
                <w:sz w:val="20"/>
                <w:szCs w:val="20"/>
                <w:lang w:val="en-GB" w:eastAsia="zh-CN"/>
              </w:rPr>
              <w:t>19</w:t>
            </w:r>
          </w:p>
          <w:p w14:paraId="194DD65B" w14:textId="77777777" w:rsidR="00382AC2" w:rsidRPr="000C0842" w:rsidRDefault="00382AC2" w:rsidP="00382AC2">
            <w:pPr>
              <w:tabs>
                <w:tab w:val="clear" w:pos="567"/>
                <w:tab w:val="clear" w:pos="1134"/>
                <w:tab w:val="clear" w:pos="1701"/>
                <w:tab w:val="clear" w:pos="2268"/>
              </w:tabs>
              <w:adjustRightInd w:val="0"/>
              <w:snapToGrid w:val="0"/>
              <w:spacing w:before="120" w:after="120" w:line="300" w:lineRule="exact"/>
              <w:rPr>
                <w:rFonts w:cs="Times New Roman"/>
                <w:b/>
                <w:iCs/>
                <w:kern w:val="0"/>
                <w:sz w:val="20"/>
                <w:szCs w:val="20"/>
                <w:lang w:val="fr-CA" w:eastAsia="zh-CN"/>
              </w:rPr>
            </w:pPr>
            <w:r w:rsidRPr="000C0842">
              <w:rPr>
                <w:rFonts w:cs="Times New Roman"/>
                <w:kern w:val="22"/>
                <w:sz w:val="20"/>
                <w:szCs w:val="20"/>
                <w:lang w:val="en-GB" w:eastAsia="zh-CN"/>
              </w:rPr>
              <w:t>根据《公约》第</w:t>
            </w:r>
            <w:r w:rsidRPr="000C0842">
              <w:rPr>
                <w:rFonts w:cs="Times New Roman"/>
                <w:kern w:val="22"/>
                <w:sz w:val="20"/>
                <w:szCs w:val="20"/>
                <w:lang w:val="en-GB" w:eastAsia="zh-CN"/>
              </w:rPr>
              <w:t>20</w:t>
            </w:r>
            <w:r w:rsidRPr="000C0842">
              <w:rPr>
                <w:rFonts w:cs="Times New Roman"/>
                <w:kern w:val="22"/>
                <w:sz w:val="20"/>
                <w:szCs w:val="20"/>
                <w:lang w:val="en-GB" w:eastAsia="zh-CN"/>
              </w:rPr>
              <w:t>条，以有效、及时和容易获得的方式逐步大幅增加所有来源的财务资源量，包括国内、国际、公共和私人资源，以执行国家生物多样性战略和行动计划，到</w:t>
            </w:r>
            <w:r w:rsidRPr="000C0842">
              <w:rPr>
                <w:rFonts w:cs="Times New Roman"/>
                <w:kern w:val="22"/>
                <w:sz w:val="20"/>
                <w:szCs w:val="20"/>
                <w:lang w:val="en-GB" w:eastAsia="zh-CN"/>
              </w:rPr>
              <w:t>2030</w:t>
            </w:r>
            <w:r w:rsidRPr="000C0842">
              <w:rPr>
                <w:rFonts w:cs="Times New Roman"/>
                <w:kern w:val="22"/>
                <w:sz w:val="20"/>
                <w:szCs w:val="20"/>
                <w:lang w:val="en-GB" w:eastAsia="zh-CN"/>
              </w:rPr>
              <w:t>年每年至少筹集</w:t>
            </w:r>
            <w:r w:rsidRPr="000C0842">
              <w:rPr>
                <w:rFonts w:cs="Times New Roman"/>
                <w:kern w:val="22"/>
                <w:sz w:val="20"/>
                <w:szCs w:val="20"/>
                <w:lang w:val="en-GB" w:eastAsia="zh-CN"/>
              </w:rPr>
              <w:t>2 000</w:t>
            </w:r>
            <w:r w:rsidRPr="000C0842">
              <w:rPr>
                <w:rFonts w:cs="Times New Roman"/>
                <w:kern w:val="22"/>
                <w:sz w:val="20"/>
                <w:szCs w:val="20"/>
                <w:lang w:val="en-GB" w:eastAsia="zh-CN"/>
              </w:rPr>
              <w:t>亿美元，包括</w:t>
            </w:r>
            <w:r w:rsidRPr="000C0842">
              <w:rPr>
                <w:rFonts w:cs="Times New Roman" w:hint="eastAsia"/>
                <w:kern w:val="22"/>
                <w:sz w:val="20"/>
                <w:szCs w:val="20"/>
                <w:lang w:val="en-GB" w:eastAsia="zh-CN"/>
              </w:rPr>
              <w:t>为此</w:t>
            </w:r>
            <w:r w:rsidRPr="000C0842">
              <w:rPr>
                <w:rFonts w:cs="Times New Roman"/>
                <w:kern w:val="22"/>
                <w:sz w:val="20"/>
                <w:szCs w:val="20"/>
                <w:lang w:val="en-GB" w:eastAsia="zh-CN"/>
              </w:rPr>
              <w:t>：</w:t>
            </w:r>
          </w:p>
          <w:p w14:paraId="5A253234"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增加从发达国家和自愿承担发达国家缔约方义务的国家流向发展中国家特别是最不发达国家和小岛屿发展中国家以及经济转型国家的与生物多样性有关的国际资金总量，包括海外发展援助，到</w:t>
            </w:r>
            <w:r w:rsidRPr="000C0842">
              <w:rPr>
                <w:rFonts w:cs="Times New Roman"/>
                <w:kern w:val="22"/>
                <w:sz w:val="20"/>
                <w:szCs w:val="20"/>
                <w:lang w:val="en-GB" w:eastAsia="zh-CN"/>
              </w:rPr>
              <w:t>2025</w:t>
            </w:r>
            <w:r w:rsidRPr="000C0842">
              <w:rPr>
                <w:rFonts w:cs="Times New Roman"/>
                <w:kern w:val="22"/>
                <w:sz w:val="20"/>
                <w:szCs w:val="20"/>
                <w:lang w:val="en-GB" w:eastAsia="zh-CN"/>
              </w:rPr>
              <w:t>年每年至少达到</w:t>
            </w:r>
            <w:r w:rsidRPr="000C0842">
              <w:rPr>
                <w:rFonts w:cs="Times New Roman"/>
                <w:kern w:val="22"/>
                <w:sz w:val="20"/>
                <w:szCs w:val="20"/>
                <w:lang w:val="en-GB" w:eastAsia="zh-CN"/>
              </w:rPr>
              <w:t>200</w:t>
            </w:r>
            <w:r w:rsidRPr="000C0842">
              <w:rPr>
                <w:rFonts w:cs="Times New Roman"/>
                <w:kern w:val="22"/>
                <w:sz w:val="20"/>
                <w:szCs w:val="20"/>
                <w:lang w:val="en-GB" w:eastAsia="zh-CN"/>
              </w:rPr>
              <w:t>亿美元，到</w:t>
            </w:r>
            <w:r w:rsidRPr="000C0842">
              <w:rPr>
                <w:rFonts w:cs="Times New Roman"/>
                <w:kern w:val="22"/>
                <w:sz w:val="20"/>
                <w:szCs w:val="20"/>
                <w:lang w:val="en-GB" w:eastAsia="zh-CN"/>
              </w:rPr>
              <w:t>2030</w:t>
            </w:r>
            <w:r w:rsidRPr="000C0842">
              <w:rPr>
                <w:rFonts w:cs="Times New Roman"/>
                <w:kern w:val="22"/>
                <w:sz w:val="20"/>
                <w:szCs w:val="20"/>
                <w:lang w:val="en-GB" w:eastAsia="zh-CN"/>
              </w:rPr>
              <w:t>年每年至少达到</w:t>
            </w:r>
            <w:r w:rsidRPr="000C0842">
              <w:rPr>
                <w:rFonts w:cs="Times New Roman"/>
                <w:kern w:val="22"/>
                <w:sz w:val="20"/>
                <w:szCs w:val="20"/>
                <w:lang w:val="en-GB" w:eastAsia="zh-CN"/>
              </w:rPr>
              <w:t>300</w:t>
            </w:r>
            <w:r w:rsidRPr="000C0842">
              <w:rPr>
                <w:rFonts w:cs="Times New Roman"/>
                <w:kern w:val="22"/>
                <w:sz w:val="20"/>
                <w:szCs w:val="20"/>
                <w:lang w:val="en-GB" w:eastAsia="zh-CN"/>
              </w:rPr>
              <w:t>亿美元；</w:t>
            </w:r>
          </w:p>
          <w:p w14:paraId="6003EA3A"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制定和实施国家生物多样性融资计划或类似工具，根据国家需要、优先事项和国情大幅增加国内资源调动；</w:t>
            </w:r>
          </w:p>
          <w:p w14:paraId="113D9E25"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利用私人资金，促进混合融资，实施新资源和额外资源筹集战略，鼓励私营部门向生物多样性投资，包括通过影响基金和其他工具；</w:t>
            </w:r>
          </w:p>
          <w:p w14:paraId="03E8BA93"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激励具有环境和社会保障的创新计划，如生态系统服务付费、绿色债券、生物多样性补偿和信用、惠益分享机制等；</w:t>
            </w:r>
          </w:p>
          <w:p w14:paraId="124A57AC"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优化生物多样性和气候危机融资的共同惠益和协同作用；</w:t>
            </w:r>
          </w:p>
          <w:p w14:paraId="491212C9"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kern w:val="22"/>
                <w:sz w:val="20"/>
                <w:szCs w:val="20"/>
                <w:lang w:val="en-GB" w:eastAsia="zh-CN"/>
              </w:rPr>
            </w:pPr>
            <w:r w:rsidRPr="000C0842">
              <w:rPr>
                <w:rFonts w:cs="Times New Roman"/>
                <w:kern w:val="22"/>
                <w:sz w:val="20"/>
                <w:szCs w:val="20"/>
                <w:lang w:val="en-GB" w:eastAsia="zh-CN"/>
              </w:rPr>
              <w:t>加强集体行动的作用，包括土著人民和地方社区的集体行动、以地球母亲为中心行动和非市场办法，包括基于社区的自然资源管理和民间社会旨在保护生物多样性的合作和团结措施；</w:t>
            </w:r>
          </w:p>
          <w:p w14:paraId="556796CA" w14:textId="77777777" w:rsidR="00382AC2" w:rsidRPr="000C0842" w:rsidRDefault="00382AC2">
            <w:pPr>
              <w:numPr>
                <w:ilvl w:val="0"/>
                <w:numId w:val="98"/>
              </w:numPr>
              <w:tabs>
                <w:tab w:val="clear" w:pos="567"/>
                <w:tab w:val="clear" w:pos="1134"/>
                <w:tab w:val="clear" w:pos="1701"/>
                <w:tab w:val="clear" w:pos="2268"/>
              </w:tabs>
              <w:adjustRightInd w:val="0"/>
              <w:snapToGrid w:val="0"/>
              <w:spacing w:before="120" w:after="120" w:line="300" w:lineRule="exact"/>
              <w:ind w:left="432" w:hanging="432"/>
              <w:rPr>
                <w:rFonts w:cs="Times New Roman"/>
                <w:spacing w:val="-6"/>
                <w:kern w:val="0"/>
                <w:sz w:val="20"/>
                <w:szCs w:val="20"/>
                <w:lang w:val="en-GB" w:eastAsia="zh-CN"/>
              </w:rPr>
            </w:pPr>
            <w:r w:rsidRPr="000C0842">
              <w:rPr>
                <w:rFonts w:cs="Times New Roman"/>
                <w:spacing w:val="-6"/>
                <w:kern w:val="22"/>
                <w:sz w:val="20"/>
                <w:szCs w:val="20"/>
                <w:lang w:val="en-GB" w:eastAsia="zh-CN"/>
              </w:rPr>
              <w:t>提高资源提供和使用的效力、效率和透明度。</w:t>
            </w:r>
          </w:p>
        </w:tc>
        <w:tc>
          <w:tcPr>
            <w:tcW w:w="4680" w:type="dxa"/>
            <w:tcMar>
              <w:top w:w="58" w:type="dxa"/>
              <w:left w:w="115" w:type="dxa"/>
              <w:bottom w:w="58" w:type="dxa"/>
              <w:right w:w="115" w:type="dxa"/>
            </w:tcMar>
          </w:tcPr>
          <w:p w14:paraId="0210A132"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植物保护的财政资源</w:t>
            </w:r>
          </w:p>
          <w:p w14:paraId="5304BE86" w14:textId="77777777" w:rsidR="00382AC2" w:rsidRPr="000C0842" w:rsidRDefault="00382AC2" w:rsidP="00382AC2">
            <w:pPr>
              <w:tabs>
                <w:tab w:val="clear" w:pos="567"/>
                <w:tab w:val="clear" w:pos="1134"/>
                <w:tab w:val="clear" w:pos="1701"/>
                <w:tab w:val="clear" w:pos="2268"/>
              </w:tabs>
              <w:spacing w:before="120" w:after="120" w:line="300" w:lineRule="exact"/>
              <w:ind w:left="452" w:hanging="425"/>
              <w:rPr>
                <w:rFonts w:cs="Times New Roman"/>
                <w:kern w:val="0"/>
                <w:sz w:val="20"/>
                <w:szCs w:val="20"/>
                <w:lang w:val="en-GB" w:eastAsia="zh-CN"/>
              </w:rPr>
            </w:pPr>
            <w:r w:rsidRPr="000C0842">
              <w:rPr>
                <w:rFonts w:cs="Times New Roman"/>
                <w:kern w:val="0"/>
                <w:sz w:val="20"/>
                <w:szCs w:val="20"/>
                <w:lang w:val="en-GB" w:eastAsia="zh-CN"/>
              </w:rPr>
              <w:t>19.</w:t>
            </w:r>
            <w:r w:rsidRPr="000C0842">
              <w:rPr>
                <w:rFonts w:cs="Times New Roman"/>
                <w:kern w:val="0"/>
                <w:sz w:val="20"/>
                <w:szCs w:val="20"/>
                <w:lang w:val="en-GB" w:eastAsia="zh-CN"/>
              </w:rPr>
              <w:tab/>
            </w:r>
            <w:r w:rsidRPr="000C0842">
              <w:rPr>
                <w:rFonts w:cs="Times New Roman"/>
                <w:kern w:val="0"/>
                <w:sz w:val="20"/>
                <w:szCs w:val="20"/>
                <w:lang w:val="en-GB" w:eastAsia="zh-CN"/>
              </w:rPr>
              <w:t>支持和</w:t>
            </w:r>
            <w:r w:rsidRPr="000C0842">
              <w:rPr>
                <w:rFonts w:cs="Times New Roman" w:hint="eastAsia"/>
                <w:kern w:val="0"/>
                <w:sz w:val="20"/>
                <w:szCs w:val="20"/>
                <w:lang w:val="en-GB" w:eastAsia="zh-CN"/>
              </w:rPr>
              <w:t>调动</w:t>
            </w:r>
            <w:r w:rsidRPr="000C0842">
              <w:rPr>
                <w:rFonts w:cs="Times New Roman"/>
                <w:kern w:val="0"/>
                <w:sz w:val="20"/>
                <w:szCs w:val="20"/>
                <w:lang w:val="en-GB" w:eastAsia="zh-CN"/>
              </w:rPr>
              <w:t>各种适当来源的资源</w:t>
            </w:r>
            <w:r w:rsidRPr="000C0842">
              <w:rPr>
                <w:rFonts w:cs="Times New Roman" w:hint="eastAsia"/>
                <w:kern w:val="0"/>
                <w:sz w:val="20"/>
                <w:szCs w:val="20"/>
                <w:lang w:val="en-GB" w:eastAsia="zh-CN"/>
              </w:rPr>
              <w:t>，实施</w:t>
            </w:r>
            <w:r w:rsidRPr="000C0842">
              <w:rPr>
                <w:rFonts w:cs="Times New Roman"/>
                <w:kern w:val="0"/>
                <w:sz w:val="20"/>
                <w:szCs w:val="20"/>
                <w:lang w:val="en-GB" w:eastAsia="zh-CN"/>
              </w:rPr>
              <w:t>植物保护</w:t>
            </w:r>
            <w:r w:rsidRPr="000C0842">
              <w:rPr>
                <w:rFonts w:cs="Times New Roman" w:hint="eastAsia"/>
                <w:kern w:val="0"/>
                <w:sz w:val="20"/>
                <w:szCs w:val="20"/>
                <w:lang w:val="en-GB" w:eastAsia="zh-CN"/>
              </w:rPr>
              <w:t>措施</w:t>
            </w:r>
            <w:r w:rsidRPr="000C0842">
              <w:rPr>
                <w:rFonts w:cs="Times New Roman"/>
                <w:kern w:val="0"/>
                <w:sz w:val="20"/>
                <w:szCs w:val="20"/>
                <w:lang w:val="en-GB" w:eastAsia="zh-CN"/>
              </w:rPr>
              <w:t>。</w:t>
            </w:r>
          </w:p>
        </w:tc>
      </w:tr>
      <w:tr w:rsidR="000C0842" w:rsidRPr="000C0842" w14:paraId="0961609F" w14:textId="77777777" w:rsidTr="001F32B3">
        <w:trPr>
          <w:trHeight w:val="300"/>
        </w:trPr>
        <w:tc>
          <w:tcPr>
            <w:tcW w:w="4675" w:type="dxa"/>
            <w:tcMar>
              <w:top w:w="58" w:type="dxa"/>
              <w:left w:w="115" w:type="dxa"/>
              <w:bottom w:w="58" w:type="dxa"/>
              <w:right w:w="115" w:type="dxa"/>
            </w:tcMar>
          </w:tcPr>
          <w:p w14:paraId="4C1C8776"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20</w:t>
            </w:r>
          </w:p>
          <w:p w14:paraId="7D85A815" w14:textId="414208EC"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en-GB" w:eastAsia="zh-CN"/>
              </w:rPr>
              <w:t>加强能力建设和发展，加强技术获得和转让，促进创新和科技合作的发展和获得，包括</w:t>
            </w:r>
            <w:r w:rsidRPr="000C0842">
              <w:rPr>
                <w:rFonts w:cs="Times New Roman" w:hint="eastAsia"/>
                <w:kern w:val="0"/>
                <w:sz w:val="20"/>
                <w:szCs w:val="20"/>
                <w:lang w:val="en-GB" w:eastAsia="zh-CN"/>
              </w:rPr>
              <w:t>为此开展</w:t>
            </w:r>
            <w:r w:rsidRPr="000C0842">
              <w:rPr>
                <w:rFonts w:cs="Times New Roman"/>
                <w:kern w:val="0"/>
                <w:sz w:val="20"/>
                <w:szCs w:val="20"/>
                <w:lang w:val="en-GB" w:eastAsia="zh-CN"/>
              </w:rPr>
              <w:t>南南合作、南北合作和三边合作，以满足有效执行的需要，特别是</w:t>
            </w:r>
            <w:r w:rsidRPr="000C0842">
              <w:rPr>
                <w:rFonts w:cs="Times New Roman" w:hint="eastAsia"/>
                <w:kern w:val="0"/>
                <w:sz w:val="20"/>
                <w:szCs w:val="20"/>
                <w:lang w:val="en-GB" w:eastAsia="zh-CN"/>
              </w:rPr>
              <w:t>满足</w:t>
            </w:r>
            <w:r w:rsidRPr="000C0842">
              <w:rPr>
                <w:rFonts w:cs="Times New Roman"/>
                <w:kern w:val="0"/>
                <w:sz w:val="20"/>
                <w:szCs w:val="20"/>
                <w:lang w:val="en-GB" w:eastAsia="zh-CN"/>
              </w:rPr>
              <w:t>发展中国家</w:t>
            </w:r>
            <w:r w:rsidRPr="000C0842">
              <w:rPr>
                <w:rFonts w:cs="Times New Roman" w:hint="eastAsia"/>
                <w:kern w:val="0"/>
                <w:sz w:val="20"/>
                <w:szCs w:val="20"/>
                <w:lang w:val="en-GB" w:eastAsia="zh-CN"/>
              </w:rPr>
              <w:t>的这种需要</w:t>
            </w:r>
            <w:r w:rsidRPr="000C0842">
              <w:rPr>
                <w:rFonts w:cs="Times New Roman"/>
                <w:kern w:val="0"/>
                <w:sz w:val="20"/>
                <w:szCs w:val="20"/>
                <w:lang w:val="en-GB" w:eastAsia="zh-CN"/>
              </w:rPr>
              <w:t>，促进联合技术开发和联合科研方案，保护和可持续利用生物多样性，加强科研和监测能力，与</w:t>
            </w:r>
            <w:r w:rsidR="001A5C0A" w:rsidRPr="000C0842">
              <w:rPr>
                <w:rFonts w:cs="Times New Roman"/>
                <w:kern w:val="0"/>
                <w:sz w:val="20"/>
                <w:szCs w:val="20"/>
                <w:lang w:val="en-GB" w:eastAsia="zh-CN"/>
              </w:rPr>
              <w:t>《昆蒙框架》</w:t>
            </w:r>
            <w:r w:rsidRPr="000C0842">
              <w:rPr>
                <w:rFonts w:cs="Times New Roman"/>
                <w:kern w:val="0"/>
                <w:sz w:val="20"/>
                <w:szCs w:val="20"/>
                <w:lang w:val="en-GB" w:eastAsia="zh-CN"/>
              </w:rPr>
              <w:t>的长期目标和行动目标的雄心相称。</w:t>
            </w:r>
          </w:p>
        </w:tc>
        <w:tc>
          <w:tcPr>
            <w:tcW w:w="4680" w:type="dxa"/>
            <w:tcMar>
              <w:top w:w="58" w:type="dxa"/>
              <w:left w:w="115" w:type="dxa"/>
              <w:bottom w:w="58" w:type="dxa"/>
              <w:right w:w="115" w:type="dxa"/>
            </w:tcMar>
          </w:tcPr>
          <w:p w14:paraId="0B8E3541"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能力建设</w:t>
            </w:r>
          </w:p>
          <w:p w14:paraId="699DA965"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20(a)</w:t>
            </w:r>
            <w:r w:rsidRPr="000C0842">
              <w:rPr>
                <w:rFonts w:cs="Times New Roman"/>
                <w:kern w:val="0"/>
                <w:sz w:val="20"/>
                <w:szCs w:val="20"/>
                <w:lang w:val="en-GB" w:eastAsia="zh-CN"/>
              </w:rPr>
              <w:tab/>
            </w:r>
            <w:r w:rsidRPr="000C0842">
              <w:rPr>
                <w:rFonts w:cs="Times New Roman"/>
                <w:kern w:val="0"/>
                <w:sz w:val="20"/>
                <w:szCs w:val="20"/>
                <w:lang w:val="en-GB" w:eastAsia="zh-CN"/>
              </w:rPr>
              <w:t>建立或加强有关植物保护、科学研究和监测、分类学和信息管理、园艺、植物学、植物保护生物学研究、生物技术和生态恢复的专业培训和能力建设举措。</w:t>
            </w:r>
          </w:p>
          <w:p w14:paraId="60787D07"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ascii="SimSun" w:hAnsi="SimSun"/>
                <w:kern w:val="0"/>
                <w:sz w:val="20"/>
                <w:szCs w:val="20"/>
                <w:lang w:val="en-GB" w:eastAsia="zh-CN"/>
              </w:rPr>
            </w:pPr>
            <w:r w:rsidRPr="000C0842">
              <w:rPr>
                <w:rFonts w:cs="Times New Roman"/>
                <w:kern w:val="0"/>
                <w:sz w:val="20"/>
                <w:szCs w:val="20"/>
                <w:lang w:val="en-GB" w:eastAsia="zh-CN"/>
              </w:rPr>
              <w:t>20(b)</w:t>
            </w:r>
            <w:r w:rsidRPr="000C0842">
              <w:rPr>
                <w:rFonts w:cs="Times New Roman"/>
                <w:kern w:val="0"/>
                <w:sz w:val="20"/>
                <w:szCs w:val="20"/>
                <w:lang w:val="en-GB" w:eastAsia="zh-CN"/>
              </w:rPr>
              <w:tab/>
            </w:r>
            <w:r w:rsidRPr="000C0842">
              <w:rPr>
                <w:rFonts w:cs="Times New Roman"/>
                <w:kern w:val="0"/>
                <w:sz w:val="20"/>
                <w:szCs w:val="20"/>
                <w:lang w:val="en-GB" w:eastAsia="zh-CN"/>
              </w:rPr>
              <w:t>建立机制、伙伴关系和网络，支持获取数据、知识、技术</w:t>
            </w:r>
            <w:r w:rsidRPr="000C0842">
              <w:rPr>
                <w:rFonts w:cs="Times New Roman" w:hint="eastAsia"/>
                <w:kern w:val="0"/>
                <w:sz w:val="20"/>
                <w:szCs w:val="20"/>
                <w:lang w:val="en-GB" w:eastAsia="zh-CN"/>
              </w:rPr>
              <w:t>，支持开展</w:t>
            </w:r>
            <w:r w:rsidRPr="000C0842">
              <w:rPr>
                <w:rFonts w:cs="Times New Roman"/>
                <w:kern w:val="0"/>
                <w:sz w:val="20"/>
                <w:szCs w:val="20"/>
                <w:lang w:val="en-GB" w:eastAsia="zh-CN"/>
              </w:rPr>
              <w:t>南南</w:t>
            </w:r>
            <w:r w:rsidRPr="000C0842">
              <w:rPr>
                <w:rFonts w:cs="Times New Roman" w:hint="eastAsia"/>
                <w:kern w:val="0"/>
                <w:sz w:val="20"/>
                <w:szCs w:val="20"/>
                <w:lang w:val="en-GB" w:eastAsia="zh-CN"/>
              </w:rPr>
              <w:t>合作</w:t>
            </w:r>
            <w:r w:rsidRPr="000C0842">
              <w:rPr>
                <w:rFonts w:cs="Times New Roman"/>
                <w:kern w:val="0"/>
                <w:sz w:val="20"/>
                <w:szCs w:val="20"/>
                <w:lang w:val="en-GB" w:eastAsia="zh-CN"/>
              </w:rPr>
              <w:t>、南北</w:t>
            </w:r>
            <w:r w:rsidRPr="000C0842">
              <w:rPr>
                <w:rFonts w:cs="Times New Roman" w:hint="eastAsia"/>
                <w:kern w:val="0"/>
                <w:sz w:val="20"/>
                <w:szCs w:val="20"/>
                <w:lang w:val="en-GB" w:eastAsia="zh-CN"/>
              </w:rPr>
              <w:t>合作</w:t>
            </w:r>
            <w:r w:rsidRPr="000C0842">
              <w:rPr>
                <w:rFonts w:cs="Times New Roman"/>
                <w:kern w:val="0"/>
                <w:sz w:val="20"/>
                <w:szCs w:val="20"/>
                <w:lang w:val="en-GB" w:eastAsia="zh-CN"/>
              </w:rPr>
              <w:t>和三</w:t>
            </w:r>
            <w:r w:rsidRPr="000C0842">
              <w:rPr>
                <w:rFonts w:cs="Times New Roman" w:hint="eastAsia"/>
                <w:kern w:val="0"/>
                <w:sz w:val="20"/>
                <w:szCs w:val="20"/>
                <w:lang w:val="en-GB" w:eastAsia="zh-CN"/>
              </w:rPr>
              <w:t>边</w:t>
            </w:r>
            <w:r w:rsidRPr="000C0842">
              <w:rPr>
                <w:rFonts w:cs="Times New Roman"/>
                <w:kern w:val="0"/>
                <w:sz w:val="20"/>
                <w:szCs w:val="20"/>
                <w:lang w:val="en-GB" w:eastAsia="zh-CN"/>
              </w:rPr>
              <w:t>合作</w:t>
            </w:r>
            <w:r w:rsidRPr="000C0842">
              <w:rPr>
                <w:rFonts w:cs="Times New Roman" w:hint="eastAsia"/>
                <w:kern w:val="0"/>
                <w:sz w:val="20"/>
                <w:szCs w:val="20"/>
                <w:lang w:val="en-GB" w:eastAsia="zh-CN"/>
              </w:rPr>
              <w:t>，</w:t>
            </w:r>
            <w:r w:rsidRPr="000C0842">
              <w:rPr>
                <w:rFonts w:cs="Times New Roman"/>
                <w:kern w:val="0"/>
                <w:sz w:val="20"/>
                <w:szCs w:val="20"/>
                <w:lang w:val="en-GB" w:eastAsia="zh-CN"/>
              </w:rPr>
              <w:t>促进植物保护协作</w:t>
            </w:r>
            <w:r w:rsidRPr="000C0842">
              <w:rPr>
                <w:rFonts w:cs="Times New Roman" w:hint="eastAsia"/>
                <w:kern w:val="0"/>
                <w:sz w:val="20"/>
                <w:szCs w:val="20"/>
                <w:lang w:val="en-GB" w:eastAsia="zh-CN"/>
              </w:rPr>
              <w:t>。</w:t>
            </w:r>
          </w:p>
        </w:tc>
      </w:tr>
      <w:tr w:rsidR="000C0842" w:rsidRPr="000C0842" w14:paraId="4632167D" w14:textId="77777777" w:rsidTr="001F32B3">
        <w:trPr>
          <w:trHeight w:val="300"/>
        </w:trPr>
        <w:tc>
          <w:tcPr>
            <w:tcW w:w="4675" w:type="dxa"/>
            <w:tcMar>
              <w:top w:w="58" w:type="dxa"/>
              <w:left w:w="115" w:type="dxa"/>
              <w:bottom w:w="58" w:type="dxa"/>
              <w:right w:w="115" w:type="dxa"/>
            </w:tcMar>
          </w:tcPr>
          <w:p w14:paraId="77C45686"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21</w:t>
            </w:r>
          </w:p>
          <w:p w14:paraId="42385DAC"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tc>
        <w:tc>
          <w:tcPr>
            <w:tcW w:w="4680" w:type="dxa"/>
            <w:tcMar>
              <w:top w:w="58" w:type="dxa"/>
              <w:left w:w="115" w:type="dxa"/>
              <w:bottom w:w="58" w:type="dxa"/>
              <w:right w:w="115" w:type="dxa"/>
            </w:tcMar>
          </w:tcPr>
          <w:p w14:paraId="076E673B"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公众宣传方案</w:t>
            </w:r>
          </w:p>
          <w:p w14:paraId="317AEA72" w14:textId="77777777" w:rsidR="00382AC2" w:rsidRPr="000C0842" w:rsidRDefault="00382AC2" w:rsidP="00382AC2">
            <w:pPr>
              <w:tabs>
                <w:tab w:val="clear" w:pos="567"/>
                <w:tab w:val="clear" w:pos="1134"/>
                <w:tab w:val="clear" w:pos="1701"/>
                <w:tab w:val="clear" w:pos="2268"/>
              </w:tabs>
              <w:spacing w:before="120" w:after="120" w:line="300" w:lineRule="exact"/>
              <w:ind w:left="518" w:hanging="518"/>
              <w:rPr>
                <w:rFonts w:cs="Times New Roman"/>
                <w:spacing w:val="-4"/>
                <w:kern w:val="0"/>
                <w:sz w:val="20"/>
                <w:szCs w:val="20"/>
                <w:lang w:val="en-GB" w:eastAsia="zh-CN"/>
              </w:rPr>
            </w:pPr>
            <w:r w:rsidRPr="000C0842">
              <w:rPr>
                <w:rFonts w:cs="Times New Roman"/>
                <w:spacing w:val="4"/>
                <w:kern w:val="0"/>
                <w:sz w:val="20"/>
                <w:szCs w:val="20"/>
                <w:lang w:val="en-GB" w:eastAsia="zh-CN"/>
              </w:rPr>
              <w:t>21(a)</w:t>
            </w:r>
            <w:r w:rsidRPr="000C0842">
              <w:rPr>
                <w:rFonts w:cs="Times New Roman"/>
                <w:spacing w:val="4"/>
                <w:kern w:val="0"/>
                <w:sz w:val="20"/>
                <w:szCs w:val="20"/>
                <w:lang w:val="en-GB" w:eastAsia="zh-CN"/>
              </w:rPr>
              <w:tab/>
            </w:r>
            <w:r w:rsidRPr="000C0842">
              <w:rPr>
                <w:rFonts w:cs="Times New Roman"/>
                <w:spacing w:val="-4"/>
                <w:kern w:val="0"/>
                <w:sz w:val="20"/>
                <w:szCs w:val="20"/>
                <w:lang w:val="en-GB" w:eastAsia="zh-CN"/>
              </w:rPr>
              <w:t>制定或实施方案，提高公众对植物多样性价值及其提供的生态系统服务的认识。</w:t>
            </w:r>
          </w:p>
          <w:p w14:paraId="5380F11A" w14:textId="77777777" w:rsidR="00382AC2" w:rsidRPr="000C0842" w:rsidRDefault="00382AC2" w:rsidP="00382AC2">
            <w:pPr>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hint="eastAsia"/>
                <w:b/>
                <w:kern w:val="0"/>
                <w:sz w:val="20"/>
                <w:szCs w:val="20"/>
                <w:lang w:val="en-GB" w:eastAsia="zh-CN"/>
              </w:rPr>
              <w:t>植物</w:t>
            </w:r>
            <w:r w:rsidRPr="000C0842">
              <w:rPr>
                <w:rFonts w:ascii="SimHei" w:hAnsi="SimHei" w:cs="Times New Roman"/>
                <w:b/>
                <w:kern w:val="0"/>
                <w:sz w:val="20"/>
                <w:szCs w:val="20"/>
                <w:lang w:val="en-GB" w:eastAsia="zh-CN"/>
              </w:rPr>
              <w:t>信息系统</w:t>
            </w:r>
          </w:p>
          <w:p w14:paraId="14AE5C8C" w14:textId="6368681A" w:rsidR="00382AC2" w:rsidRPr="000C0842" w:rsidRDefault="00382AC2" w:rsidP="00382AC2">
            <w:pPr>
              <w:tabs>
                <w:tab w:val="clear" w:pos="567"/>
                <w:tab w:val="clear" w:pos="1134"/>
                <w:tab w:val="clear" w:pos="1701"/>
                <w:tab w:val="clear" w:pos="2268"/>
              </w:tabs>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21(b)</w:t>
            </w:r>
            <w:r w:rsidRPr="000C0842">
              <w:rPr>
                <w:rFonts w:cs="Times New Roman"/>
                <w:kern w:val="0"/>
                <w:sz w:val="20"/>
                <w:szCs w:val="20"/>
                <w:lang w:val="en-GB" w:eastAsia="zh-CN"/>
              </w:rPr>
              <w:tab/>
            </w:r>
            <w:r w:rsidRPr="000C0842">
              <w:rPr>
                <w:rFonts w:cs="Times New Roman"/>
                <w:kern w:val="0"/>
                <w:sz w:val="20"/>
                <w:szCs w:val="20"/>
                <w:lang w:val="en-GB" w:eastAsia="zh-CN"/>
              </w:rPr>
              <w:t>支持在地方、国家和国际各级</w:t>
            </w:r>
            <w:r w:rsidRPr="000C0842">
              <w:rPr>
                <w:rFonts w:cs="Times New Roman" w:hint="eastAsia"/>
                <w:kern w:val="0"/>
                <w:sz w:val="20"/>
                <w:szCs w:val="20"/>
                <w:lang w:val="en-GB" w:eastAsia="zh-CN"/>
              </w:rPr>
              <w:t>编制</w:t>
            </w:r>
            <w:r w:rsidRPr="000C0842">
              <w:rPr>
                <w:rFonts w:cs="Times New Roman"/>
                <w:kern w:val="0"/>
                <w:sz w:val="20"/>
                <w:szCs w:val="20"/>
                <w:lang w:val="en-GB" w:eastAsia="zh-CN"/>
              </w:rPr>
              <w:t>和利用</w:t>
            </w:r>
            <w:r w:rsidRPr="000C0842">
              <w:rPr>
                <w:rFonts w:cs="Times New Roman" w:hint="eastAsia"/>
                <w:kern w:val="0"/>
                <w:sz w:val="20"/>
                <w:szCs w:val="20"/>
                <w:lang w:val="en-GB" w:eastAsia="zh-CN"/>
              </w:rPr>
              <w:t>现有</w:t>
            </w:r>
            <w:r w:rsidRPr="000C0842">
              <w:rPr>
                <w:rFonts w:cs="Times New Roman"/>
                <w:kern w:val="0"/>
                <w:sz w:val="20"/>
                <w:szCs w:val="20"/>
                <w:lang w:val="en-GB" w:eastAsia="zh-CN"/>
              </w:rPr>
              <w:t>全面、权威和</w:t>
            </w:r>
            <w:r w:rsidRPr="000C0842">
              <w:rPr>
                <w:rFonts w:cs="Times New Roman" w:hint="eastAsia"/>
                <w:kern w:val="0"/>
                <w:sz w:val="20"/>
                <w:szCs w:val="20"/>
                <w:lang w:val="en-GB" w:eastAsia="zh-CN"/>
              </w:rPr>
              <w:t>便于</w:t>
            </w:r>
            <w:r w:rsidRPr="000C0842">
              <w:rPr>
                <w:rFonts w:cs="Times New Roman"/>
                <w:kern w:val="0"/>
                <w:sz w:val="20"/>
                <w:szCs w:val="20"/>
                <w:lang w:val="en-GB" w:eastAsia="zh-CN"/>
              </w:rPr>
              <w:t>获取的专门知识、在线信息系统、文献和目录，</w:t>
            </w:r>
            <w:r w:rsidRPr="000C0842">
              <w:rPr>
                <w:rFonts w:cs="Times New Roman" w:hint="eastAsia"/>
                <w:kern w:val="0"/>
                <w:sz w:val="20"/>
                <w:szCs w:val="20"/>
                <w:lang w:val="en-GB" w:eastAsia="zh-CN"/>
              </w:rPr>
              <w:t>支持</w:t>
            </w:r>
            <w:r w:rsidRPr="000C0842">
              <w:rPr>
                <w:rFonts w:cs="Times New Roman"/>
                <w:kern w:val="0"/>
                <w:sz w:val="20"/>
                <w:szCs w:val="20"/>
                <w:lang w:val="en-GB" w:eastAsia="zh-CN"/>
              </w:rPr>
              <w:t>获取生物</w:t>
            </w:r>
            <w:r w:rsidRPr="000C0842">
              <w:rPr>
                <w:rFonts w:cs="Times New Roman" w:hint="eastAsia"/>
                <w:kern w:val="0"/>
                <w:sz w:val="20"/>
                <w:szCs w:val="20"/>
                <w:lang w:val="en-GB" w:eastAsia="zh-CN"/>
              </w:rPr>
              <w:t>收集品</w:t>
            </w:r>
            <w:r w:rsidR="00FF7936" w:rsidRPr="000C0842">
              <w:rPr>
                <w:rFonts w:cs="Times New Roman" w:hint="eastAsia"/>
                <w:kern w:val="0"/>
                <w:sz w:val="20"/>
                <w:szCs w:val="20"/>
                <w:lang w:val="en-GB" w:eastAsia="zh-CN"/>
              </w:rPr>
              <w:t>（</w:t>
            </w:r>
            <w:r w:rsidRPr="000C0842">
              <w:rPr>
                <w:rFonts w:cs="Times New Roman"/>
                <w:kern w:val="0"/>
                <w:sz w:val="20"/>
                <w:szCs w:val="20"/>
                <w:lang w:val="en-GB" w:eastAsia="zh-CN"/>
              </w:rPr>
              <w:t>例如通过数字化</w:t>
            </w:r>
            <w:r w:rsidR="00FF7936" w:rsidRPr="000C0842">
              <w:rPr>
                <w:rFonts w:cs="Times New Roman" w:hint="eastAsia"/>
                <w:kern w:val="0"/>
                <w:sz w:val="20"/>
                <w:szCs w:val="20"/>
                <w:lang w:val="en-GB" w:eastAsia="zh-CN"/>
              </w:rPr>
              <w:t>）</w:t>
            </w:r>
            <w:r w:rsidRPr="000C0842">
              <w:rPr>
                <w:rFonts w:cs="Times New Roman"/>
                <w:kern w:val="0"/>
                <w:sz w:val="20"/>
                <w:szCs w:val="20"/>
                <w:lang w:val="en-GB" w:eastAsia="zh-CN"/>
              </w:rPr>
              <w:t>，使所有国家都能获</w:t>
            </w:r>
            <w:r w:rsidRPr="000C0842">
              <w:rPr>
                <w:rFonts w:cs="Times New Roman" w:hint="eastAsia"/>
                <w:kern w:val="0"/>
                <w:sz w:val="20"/>
                <w:szCs w:val="20"/>
                <w:lang w:val="en-GB" w:eastAsia="zh-CN"/>
              </w:rPr>
              <w:t>得</w:t>
            </w:r>
            <w:r w:rsidRPr="000C0842">
              <w:rPr>
                <w:rFonts w:cs="Times New Roman"/>
                <w:kern w:val="0"/>
                <w:sz w:val="20"/>
                <w:szCs w:val="20"/>
                <w:lang w:val="en-GB" w:eastAsia="zh-CN"/>
              </w:rPr>
              <w:t>关于其植物以及已知植物物种和相关生态系统状况的信息</w:t>
            </w:r>
            <w:r w:rsidRPr="000C0842">
              <w:rPr>
                <w:rFonts w:cs="Times New Roman" w:hint="eastAsia"/>
                <w:kern w:val="0"/>
                <w:sz w:val="20"/>
                <w:szCs w:val="20"/>
                <w:lang w:val="en-GB" w:eastAsia="zh-CN"/>
              </w:rPr>
              <w:t>，同时确保土著人民对获取传统知识的自由、事先和知情同意，并考虑到联合国粮食及农业组织及其粮食和农业遗传资源委员会等相关组织正在开展的工作和进程。</w:t>
            </w:r>
          </w:p>
          <w:p w14:paraId="00212222" w14:textId="77777777" w:rsidR="00382AC2" w:rsidRPr="000C0842" w:rsidRDefault="00382AC2" w:rsidP="00382AC2">
            <w:pPr>
              <w:tabs>
                <w:tab w:val="clear" w:pos="567"/>
                <w:tab w:val="clear" w:pos="1134"/>
                <w:tab w:val="clear" w:pos="1701"/>
                <w:tab w:val="clear" w:pos="2268"/>
              </w:tabs>
              <w:snapToGrid w:val="0"/>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21(c</w:t>
            </w:r>
            <w:r w:rsidRPr="000C0842">
              <w:rPr>
                <w:rFonts w:cs="Times New Roman" w:hint="eastAsia"/>
                <w:kern w:val="0"/>
                <w:sz w:val="20"/>
                <w:szCs w:val="20"/>
                <w:lang w:val="en-GB" w:eastAsia="zh-CN"/>
              </w:rPr>
              <w:t>)</w:t>
            </w:r>
            <w:r w:rsidRPr="000C0842">
              <w:rPr>
                <w:rFonts w:cs="Times New Roman"/>
                <w:kern w:val="0"/>
                <w:sz w:val="20"/>
                <w:szCs w:val="20"/>
                <w:lang w:val="en-GB" w:eastAsia="zh-CN"/>
              </w:rPr>
              <w:t xml:space="preserve"> </w:t>
            </w:r>
            <w:r w:rsidRPr="000C0842">
              <w:rPr>
                <w:rFonts w:cs="Times New Roman" w:hint="eastAsia"/>
                <w:kern w:val="0"/>
                <w:sz w:val="20"/>
                <w:szCs w:val="20"/>
                <w:lang w:val="en-GB" w:eastAsia="zh-CN"/>
              </w:rPr>
              <w:t>探索如何利用各种知识体系，包括传统知识、创新、做法和技术，支持植物保护措施。</w:t>
            </w:r>
          </w:p>
          <w:p w14:paraId="12271978" w14:textId="77777777" w:rsidR="00382AC2" w:rsidRPr="000C0842" w:rsidRDefault="00382AC2" w:rsidP="00382AC2">
            <w:pPr>
              <w:tabs>
                <w:tab w:val="clear" w:pos="567"/>
                <w:tab w:val="clear" w:pos="1134"/>
                <w:tab w:val="clear" w:pos="1701"/>
                <w:tab w:val="clear" w:pos="2268"/>
              </w:tabs>
              <w:adjustRightInd w:val="0"/>
              <w:snapToGrid w:val="0"/>
              <w:spacing w:before="120" w:after="120" w:line="300" w:lineRule="exact"/>
              <w:ind w:left="518" w:hanging="518"/>
              <w:rPr>
                <w:rFonts w:cs="Times New Roman"/>
                <w:kern w:val="0"/>
                <w:sz w:val="20"/>
                <w:szCs w:val="20"/>
                <w:lang w:val="en-GB" w:eastAsia="zh-CN"/>
              </w:rPr>
            </w:pPr>
            <w:r w:rsidRPr="000C0842">
              <w:rPr>
                <w:rFonts w:cs="Times New Roman"/>
                <w:kern w:val="0"/>
                <w:sz w:val="20"/>
                <w:szCs w:val="20"/>
                <w:lang w:val="en-GB" w:eastAsia="zh-CN"/>
              </w:rPr>
              <w:t>21(d</w:t>
            </w:r>
            <w:r w:rsidRPr="000C0842">
              <w:rPr>
                <w:rFonts w:cs="Times New Roman" w:hint="eastAsia"/>
                <w:kern w:val="0"/>
                <w:sz w:val="20"/>
                <w:szCs w:val="20"/>
                <w:lang w:val="en-GB" w:eastAsia="zh-CN"/>
              </w:rPr>
              <w:t>)</w:t>
            </w:r>
            <w:r w:rsidRPr="000C0842">
              <w:rPr>
                <w:rFonts w:cs="Times New Roman"/>
                <w:kern w:val="0"/>
                <w:sz w:val="20"/>
                <w:szCs w:val="20"/>
                <w:lang w:val="en-GB" w:eastAsia="zh-CN"/>
              </w:rPr>
              <w:t xml:space="preserve"> </w:t>
            </w:r>
            <w:r w:rsidRPr="000C0842">
              <w:rPr>
                <w:rFonts w:cs="Times New Roman" w:hint="eastAsia"/>
                <w:kern w:val="0"/>
                <w:sz w:val="20"/>
                <w:szCs w:val="20"/>
                <w:lang w:val="en-GB" w:eastAsia="zh-CN"/>
              </w:rPr>
              <w:t>促进不断更新《世界在线植物志》，包括其鉴定辅助工具、植物分布信息和区域植物志更新，并开发其他国际和国家植物数据库。</w:t>
            </w:r>
          </w:p>
          <w:p w14:paraId="0108BD08" w14:textId="77777777" w:rsidR="00382AC2" w:rsidRPr="000C0842" w:rsidRDefault="00382AC2" w:rsidP="00382AC2">
            <w:pPr>
              <w:keepNext/>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公民科学</w:t>
            </w:r>
          </w:p>
          <w:p w14:paraId="474892BC" w14:textId="77777777" w:rsidR="00382AC2" w:rsidRPr="000C0842" w:rsidRDefault="00382AC2" w:rsidP="00382AC2">
            <w:pPr>
              <w:tabs>
                <w:tab w:val="clear" w:pos="567"/>
                <w:tab w:val="clear" w:pos="1134"/>
                <w:tab w:val="clear" w:pos="1701"/>
                <w:tab w:val="clear" w:pos="2268"/>
              </w:tabs>
              <w:adjustRightInd w:val="0"/>
              <w:snapToGrid w:val="0"/>
              <w:spacing w:before="120" w:after="120" w:line="300" w:lineRule="exact"/>
              <w:ind w:left="518" w:hanging="518"/>
              <w:rPr>
                <w:rFonts w:cs="Times New Roman"/>
                <w:kern w:val="0"/>
                <w:sz w:val="20"/>
                <w:szCs w:val="20"/>
                <w:lang w:val="en-GB" w:eastAsia="zh-CN"/>
              </w:rPr>
            </w:pPr>
            <w:r w:rsidRPr="000C0842">
              <w:rPr>
                <w:rFonts w:cs="Times New Roman"/>
                <w:spacing w:val="4"/>
                <w:kern w:val="0"/>
                <w:sz w:val="20"/>
                <w:szCs w:val="20"/>
                <w:lang w:val="en-GB" w:eastAsia="zh-CN"/>
              </w:rPr>
              <w:t>21(e)</w:t>
            </w:r>
            <w:r w:rsidRPr="000C0842">
              <w:rPr>
                <w:rFonts w:cs="Times New Roman"/>
                <w:spacing w:val="4"/>
                <w:kern w:val="0"/>
                <w:sz w:val="20"/>
                <w:szCs w:val="20"/>
                <w:lang w:val="en-GB" w:eastAsia="zh-CN"/>
              </w:rPr>
              <w:tab/>
            </w:r>
            <w:r w:rsidRPr="000C0842">
              <w:rPr>
                <w:rFonts w:cs="Times New Roman" w:hint="eastAsia"/>
                <w:spacing w:val="4"/>
                <w:kern w:val="0"/>
                <w:sz w:val="20"/>
                <w:szCs w:val="20"/>
                <w:lang w:val="en-GB" w:eastAsia="zh-CN"/>
              </w:rPr>
              <w:t>与科学机构合作，</w:t>
            </w:r>
            <w:r w:rsidRPr="000C0842">
              <w:rPr>
                <w:rFonts w:cs="Times New Roman" w:hint="eastAsia"/>
                <w:spacing w:val="-4"/>
                <w:kern w:val="0"/>
                <w:sz w:val="20"/>
                <w:szCs w:val="20"/>
                <w:lang w:val="en-GB" w:eastAsia="zh-CN"/>
              </w:rPr>
              <w:t>拟订</w:t>
            </w:r>
            <w:r w:rsidRPr="000C0842">
              <w:rPr>
                <w:rFonts w:cs="Times New Roman"/>
                <w:spacing w:val="-4"/>
                <w:kern w:val="0"/>
                <w:sz w:val="20"/>
                <w:szCs w:val="20"/>
                <w:lang w:val="en-GB" w:eastAsia="zh-CN"/>
              </w:rPr>
              <w:t>或支持识别、记录、监测、保护</w:t>
            </w:r>
            <w:r w:rsidRPr="000C0842">
              <w:rPr>
                <w:rFonts w:cs="Times New Roman" w:hint="eastAsia"/>
                <w:spacing w:val="-4"/>
                <w:kern w:val="0"/>
                <w:sz w:val="20"/>
                <w:szCs w:val="20"/>
                <w:lang w:val="en-GB" w:eastAsia="zh-CN"/>
              </w:rPr>
              <w:t>、恢复</w:t>
            </w:r>
            <w:r w:rsidRPr="000C0842">
              <w:rPr>
                <w:rFonts w:cs="Times New Roman"/>
                <w:spacing w:val="-4"/>
                <w:kern w:val="0"/>
                <w:sz w:val="20"/>
                <w:szCs w:val="20"/>
                <w:lang w:val="en-GB" w:eastAsia="zh-CN"/>
              </w:rPr>
              <w:t>和可持续利用植物多样性</w:t>
            </w:r>
            <w:r w:rsidRPr="000C0842">
              <w:rPr>
                <w:rFonts w:cs="Times New Roman" w:hint="eastAsia"/>
                <w:spacing w:val="-4"/>
                <w:kern w:val="0"/>
                <w:sz w:val="20"/>
                <w:szCs w:val="20"/>
                <w:lang w:val="en-GB" w:eastAsia="zh-CN"/>
              </w:rPr>
              <w:t>的</w:t>
            </w:r>
            <w:r w:rsidRPr="000C0842">
              <w:rPr>
                <w:rFonts w:cs="Times New Roman"/>
                <w:spacing w:val="-4"/>
                <w:kern w:val="0"/>
                <w:sz w:val="20"/>
                <w:szCs w:val="20"/>
                <w:lang w:val="en-GB" w:eastAsia="zh-CN"/>
              </w:rPr>
              <w:t>公民科学</w:t>
            </w:r>
            <w:r w:rsidRPr="000C0842">
              <w:rPr>
                <w:rFonts w:cs="Times New Roman" w:hint="eastAsia"/>
                <w:spacing w:val="-4"/>
                <w:kern w:val="0"/>
                <w:sz w:val="20"/>
                <w:szCs w:val="20"/>
                <w:lang w:val="en-GB" w:eastAsia="zh-CN"/>
              </w:rPr>
              <w:t>方案。</w:t>
            </w:r>
          </w:p>
        </w:tc>
      </w:tr>
      <w:tr w:rsidR="000C0842" w:rsidRPr="000C0842" w14:paraId="67FC2D06" w14:textId="77777777" w:rsidTr="001F32B3">
        <w:trPr>
          <w:trHeight w:val="300"/>
        </w:trPr>
        <w:tc>
          <w:tcPr>
            <w:tcW w:w="4675" w:type="dxa"/>
            <w:tcMar>
              <w:top w:w="58" w:type="dxa"/>
              <w:left w:w="115" w:type="dxa"/>
              <w:bottom w:w="58" w:type="dxa"/>
              <w:right w:w="115" w:type="dxa"/>
            </w:tcMar>
          </w:tcPr>
          <w:p w14:paraId="0A9588EA"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22</w:t>
            </w:r>
          </w:p>
          <w:p w14:paraId="25B221C5" w14:textId="77777777" w:rsidR="00382AC2" w:rsidRPr="000C0842" w:rsidRDefault="00382AC2" w:rsidP="00382AC2">
            <w:pPr>
              <w:tabs>
                <w:tab w:val="clear" w:pos="567"/>
                <w:tab w:val="clear" w:pos="1134"/>
                <w:tab w:val="clear" w:pos="1701"/>
                <w:tab w:val="clear" w:pos="2268"/>
              </w:tabs>
              <w:spacing w:before="120" w:after="120" w:line="300" w:lineRule="exact"/>
              <w:rPr>
                <w:rFonts w:cs="Times New Roman"/>
                <w:kern w:val="0"/>
                <w:sz w:val="20"/>
                <w:szCs w:val="20"/>
                <w:lang w:val="en-GB" w:eastAsia="zh-CN"/>
              </w:rPr>
            </w:pPr>
            <w:r w:rsidRPr="000C0842">
              <w:rPr>
                <w:rFonts w:cs="Times New Roman"/>
                <w:kern w:val="0"/>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3DC65536" w14:textId="77777777" w:rsidR="00382AC2" w:rsidRPr="000C0842" w:rsidRDefault="00382AC2" w:rsidP="00382AC2">
            <w:pPr>
              <w:keepNext/>
              <w:tabs>
                <w:tab w:val="clear" w:pos="567"/>
                <w:tab w:val="clear" w:pos="1134"/>
                <w:tab w:val="clear" w:pos="1701"/>
                <w:tab w:val="clear" w:pos="2268"/>
              </w:tabs>
              <w:spacing w:before="120" w:after="120" w:line="30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植物保护和传统知识</w:t>
            </w:r>
          </w:p>
          <w:p w14:paraId="7CBFDFDD" w14:textId="77777777" w:rsidR="00382AC2" w:rsidRPr="000C0842" w:rsidRDefault="00382AC2" w:rsidP="00382AC2">
            <w:pPr>
              <w:tabs>
                <w:tab w:val="clear" w:pos="567"/>
                <w:tab w:val="clear" w:pos="1134"/>
                <w:tab w:val="clear" w:pos="1701"/>
                <w:tab w:val="clear" w:pos="2268"/>
              </w:tabs>
              <w:spacing w:before="120" w:after="120" w:line="300" w:lineRule="exact"/>
              <w:ind w:left="452" w:hanging="452"/>
              <w:rPr>
                <w:rFonts w:cs="Times New Roman"/>
                <w:kern w:val="0"/>
                <w:sz w:val="20"/>
                <w:szCs w:val="20"/>
                <w:lang w:val="en-GB" w:eastAsia="zh-CN"/>
              </w:rPr>
            </w:pPr>
            <w:r w:rsidRPr="000C0842">
              <w:rPr>
                <w:rFonts w:cs="Times New Roman"/>
                <w:kern w:val="0"/>
                <w:sz w:val="20"/>
                <w:szCs w:val="20"/>
                <w:lang w:val="en-GB" w:eastAsia="zh-CN"/>
              </w:rPr>
              <w:t>22.</w:t>
            </w:r>
            <w:r w:rsidRPr="000C0842">
              <w:rPr>
                <w:rFonts w:cs="Times New Roman"/>
                <w:kern w:val="0"/>
                <w:sz w:val="20"/>
                <w:szCs w:val="20"/>
                <w:lang w:val="en-GB" w:eastAsia="zh-CN"/>
              </w:rPr>
              <w:tab/>
            </w:r>
            <w:r w:rsidRPr="000C0842">
              <w:rPr>
                <w:rFonts w:cs="Times New Roman" w:hint="eastAsia"/>
                <w:kern w:val="0"/>
                <w:sz w:val="20"/>
                <w:szCs w:val="20"/>
                <w:lang w:val="en-GB" w:eastAsia="zh-CN"/>
              </w:rPr>
              <w:t>根据国家法律，确保土著人民和地方社区在自由、事先和知情同意的情况下，在所有相关层面以公平、包容、有效、促进性别平等的方式充分参与，以建立对保护和可持续利用植物多样性的传统知识、创新和做法的尊重，并保护这些知识、创新和做法</w:t>
            </w:r>
            <w:r w:rsidRPr="000C0842">
              <w:rPr>
                <w:rFonts w:cs="Times New Roman"/>
                <w:kern w:val="0"/>
                <w:sz w:val="20"/>
                <w:szCs w:val="20"/>
                <w:lang w:val="en-GB" w:eastAsia="zh-CN"/>
              </w:rPr>
              <w:t>。</w:t>
            </w:r>
          </w:p>
        </w:tc>
      </w:tr>
      <w:tr w:rsidR="00382AC2" w:rsidRPr="000C0842" w14:paraId="5E79D8B0" w14:textId="77777777" w:rsidTr="001F32B3">
        <w:trPr>
          <w:trHeight w:val="807"/>
        </w:trPr>
        <w:tc>
          <w:tcPr>
            <w:tcW w:w="4675" w:type="dxa"/>
            <w:tcMar>
              <w:top w:w="58" w:type="dxa"/>
              <w:left w:w="115" w:type="dxa"/>
              <w:bottom w:w="58" w:type="dxa"/>
              <w:right w:w="115" w:type="dxa"/>
            </w:tcMar>
          </w:tcPr>
          <w:p w14:paraId="5058363D" w14:textId="77777777" w:rsidR="00382AC2" w:rsidRPr="000C0842" w:rsidRDefault="00382AC2" w:rsidP="00382AC2">
            <w:pPr>
              <w:tabs>
                <w:tab w:val="clear" w:pos="567"/>
                <w:tab w:val="clear" w:pos="1134"/>
                <w:tab w:val="clear" w:pos="1701"/>
                <w:tab w:val="clear" w:pos="2268"/>
              </w:tabs>
              <w:spacing w:before="120" w:after="120" w:line="280" w:lineRule="exact"/>
              <w:rPr>
                <w:rFonts w:cs="Times New Roman"/>
                <w:b/>
                <w:kern w:val="0"/>
                <w:sz w:val="20"/>
                <w:szCs w:val="20"/>
                <w:lang w:val="en-GB" w:eastAsia="zh-CN"/>
              </w:rPr>
            </w:pPr>
            <w:r w:rsidRPr="000C0842">
              <w:rPr>
                <w:rFonts w:cs="Times New Roman"/>
                <w:b/>
                <w:kern w:val="0"/>
                <w:sz w:val="20"/>
                <w:szCs w:val="20"/>
                <w:lang w:val="en-GB" w:eastAsia="zh-CN"/>
              </w:rPr>
              <w:t>行动目标</w:t>
            </w:r>
            <w:r w:rsidRPr="000C0842">
              <w:rPr>
                <w:rFonts w:cs="Times New Roman"/>
                <w:b/>
                <w:kern w:val="0"/>
                <w:sz w:val="20"/>
                <w:szCs w:val="20"/>
                <w:lang w:val="en-GB" w:eastAsia="zh-CN"/>
              </w:rPr>
              <w:t>23</w:t>
            </w:r>
          </w:p>
          <w:p w14:paraId="6325B40D" w14:textId="1AE7012D" w:rsidR="00382AC2" w:rsidRPr="000C0842" w:rsidRDefault="00382AC2" w:rsidP="00382AC2">
            <w:pPr>
              <w:tabs>
                <w:tab w:val="clear" w:pos="567"/>
                <w:tab w:val="clear" w:pos="1134"/>
                <w:tab w:val="clear" w:pos="1701"/>
                <w:tab w:val="clear" w:pos="2268"/>
              </w:tabs>
              <w:spacing w:before="120" w:after="120" w:line="280" w:lineRule="exact"/>
              <w:rPr>
                <w:rFonts w:cs="Times New Roman"/>
                <w:kern w:val="0"/>
                <w:sz w:val="20"/>
                <w:szCs w:val="20"/>
                <w:lang w:val="en-GB" w:eastAsia="zh-CN"/>
              </w:rPr>
            </w:pPr>
            <w:r w:rsidRPr="000C0842">
              <w:rPr>
                <w:rFonts w:cs="Times New Roman"/>
                <w:kern w:val="0"/>
                <w:sz w:val="20"/>
                <w:szCs w:val="20"/>
                <w:lang w:val="fr-CA" w:eastAsia="zh-CN"/>
              </w:rPr>
              <w:t>在</w:t>
            </w:r>
            <w:r w:rsidR="001A5C0A" w:rsidRPr="000C0842">
              <w:rPr>
                <w:rFonts w:cs="Times New Roman"/>
                <w:kern w:val="0"/>
                <w:sz w:val="20"/>
                <w:szCs w:val="20"/>
                <w:lang w:val="fr-CA" w:eastAsia="zh-CN"/>
              </w:rPr>
              <w:t>《昆蒙框架》</w:t>
            </w:r>
            <w:r w:rsidRPr="000C0842">
              <w:rPr>
                <w:rFonts w:cs="Times New Roman"/>
                <w:kern w:val="0"/>
                <w:sz w:val="20"/>
                <w:szCs w:val="20"/>
                <w:lang w:val="fr-CA" w:eastAsia="zh-CN"/>
              </w:rPr>
              <w:t>执行过程中</w:t>
            </w:r>
            <w:r w:rsidRPr="000C0842">
              <w:rPr>
                <w:rFonts w:cs="Times New Roman"/>
                <w:kern w:val="0"/>
                <w:sz w:val="20"/>
                <w:szCs w:val="20"/>
                <w:lang w:val="en-GB" w:eastAsia="zh-CN"/>
              </w:rPr>
              <w:t>采用促进性别平等的方法</w:t>
            </w:r>
            <w:r w:rsidRPr="000C0842">
              <w:rPr>
                <w:rFonts w:cs="Times New Roman"/>
                <w:kern w:val="0"/>
                <w:sz w:val="20"/>
                <w:szCs w:val="20"/>
                <w:lang w:val="fr-CA" w:eastAsia="zh-CN"/>
              </w:rPr>
              <w:t>确保性别平等，确保妇女和女童有平等的机会和能力</w:t>
            </w:r>
            <w:r w:rsidRPr="000C0842">
              <w:rPr>
                <w:rFonts w:cs="Times New Roman"/>
                <w:kern w:val="0"/>
                <w:sz w:val="20"/>
                <w:szCs w:val="20"/>
                <w:lang w:val="en-GB" w:eastAsia="zh-CN"/>
              </w:rPr>
              <w:t>为《</w:t>
            </w:r>
            <w:r w:rsidRPr="000C0842">
              <w:rPr>
                <w:rFonts w:cs="Times New Roman"/>
                <w:kern w:val="0"/>
                <w:sz w:val="20"/>
                <w:szCs w:val="20"/>
                <w:lang w:val="fr-CA" w:eastAsia="zh-CN"/>
              </w:rPr>
              <w:t>公约》的三项目标作贡献，包括承认妇女和女童</w:t>
            </w:r>
            <w:r w:rsidRPr="000C0842">
              <w:rPr>
                <w:rFonts w:cs="Times New Roman" w:hint="eastAsia"/>
                <w:kern w:val="0"/>
                <w:sz w:val="20"/>
                <w:szCs w:val="20"/>
                <w:lang w:val="fr-CA" w:eastAsia="zh-CN"/>
              </w:rPr>
              <w:t>应有</w:t>
            </w:r>
            <w:r w:rsidRPr="000C0842">
              <w:rPr>
                <w:rFonts w:cs="Times New Roman"/>
                <w:kern w:val="0"/>
                <w:sz w:val="20"/>
                <w:szCs w:val="20"/>
                <w:lang w:val="fr-CA" w:eastAsia="zh-CN"/>
              </w:rPr>
              <w:t>平等</w:t>
            </w:r>
            <w:r w:rsidRPr="000C0842">
              <w:rPr>
                <w:rFonts w:cs="Times New Roman" w:hint="eastAsia"/>
                <w:kern w:val="0"/>
                <w:sz w:val="20"/>
                <w:szCs w:val="20"/>
                <w:lang w:val="fr-CA" w:eastAsia="zh-CN"/>
              </w:rPr>
              <w:t>的</w:t>
            </w:r>
            <w:r w:rsidRPr="000C0842">
              <w:rPr>
                <w:rFonts w:cs="Times New Roman"/>
                <w:kern w:val="0"/>
                <w:sz w:val="20"/>
                <w:szCs w:val="20"/>
                <w:lang w:val="fr-CA" w:eastAsia="zh-CN"/>
              </w:rPr>
              <w:t>权利和机会获得土地和自然资源，以及在与生物多样性有关的行动、接触、政策和决策的所有层面充分、公平、有意义和知情地参与和发挥领导作用</w:t>
            </w:r>
            <w:r w:rsidRPr="000C0842">
              <w:rPr>
                <w:rFonts w:cs="Times New Roman"/>
                <w:kern w:val="0"/>
                <w:sz w:val="20"/>
                <w:szCs w:val="20"/>
                <w:lang w:val="en-GB" w:eastAsia="zh-CN"/>
              </w:rPr>
              <w:t>。</w:t>
            </w:r>
          </w:p>
        </w:tc>
        <w:tc>
          <w:tcPr>
            <w:tcW w:w="4680" w:type="dxa"/>
            <w:tcMar>
              <w:top w:w="58" w:type="dxa"/>
              <w:left w:w="115" w:type="dxa"/>
              <w:bottom w:w="58" w:type="dxa"/>
              <w:right w:w="115" w:type="dxa"/>
            </w:tcMar>
          </w:tcPr>
          <w:p w14:paraId="38793429" w14:textId="77777777" w:rsidR="00382AC2" w:rsidRPr="000C0842" w:rsidRDefault="00382AC2" w:rsidP="00382AC2">
            <w:pPr>
              <w:tabs>
                <w:tab w:val="clear" w:pos="567"/>
                <w:tab w:val="clear" w:pos="1134"/>
                <w:tab w:val="clear" w:pos="1701"/>
                <w:tab w:val="clear" w:pos="2268"/>
              </w:tabs>
              <w:spacing w:before="120" w:after="120" w:line="280" w:lineRule="exact"/>
              <w:rPr>
                <w:rFonts w:ascii="SimHei" w:hAnsi="SimHei" w:cs="Times New Roman"/>
                <w:b/>
                <w:kern w:val="0"/>
                <w:sz w:val="20"/>
                <w:szCs w:val="20"/>
                <w:lang w:val="en-GB" w:eastAsia="zh-CN"/>
              </w:rPr>
            </w:pPr>
            <w:r w:rsidRPr="000C0842">
              <w:rPr>
                <w:rFonts w:ascii="SimHei" w:hAnsi="SimHei" w:cs="Times New Roman"/>
                <w:b/>
                <w:kern w:val="0"/>
                <w:sz w:val="20"/>
                <w:szCs w:val="20"/>
                <w:lang w:val="en-GB" w:eastAsia="zh-CN"/>
              </w:rPr>
              <w:t>性别平等</w:t>
            </w:r>
          </w:p>
          <w:p w14:paraId="1CD2CFC7" w14:textId="77777777" w:rsidR="00382AC2" w:rsidRPr="000C0842" w:rsidRDefault="00382AC2" w:rsidP="00382AC2">
            <w:pPr>
              <w:tabs>
                <w:tab w:val="clear" w:pos="567"/>
                <w:tab w:val="clear" w:pos="1134"/>
                <w:tab w:val="clear" w:pos="1701"/>
                <w:tab w:val="clear" w:pos="2268"/>
              </w:tabs>
              <w:spacing w:before="120" w:after="120" w:line="280" w:lineRule="exact"/>
              <w:ind w:left="452" w:hanging="425"/>
              <w:rPr>
                <w:rFonts w:cs="Times New Roman"/>
                <w:kern w:val="0"/>
                <w:sz w:val="20"/>
                <w:szCs w:val="20"/>
                <w:lang w:val="en-GB" w:eastAsia="zh-CN"/>
              </w:rPr>
            </w:pPr>
            <w:r w:rsidRPr="000C0842">
              <w:rPr>
                <w:rFonts w:cs="Times New Roman"/>
                <w:kern w:val="0"/>
                <w:sz w:val="20"/>
                <w:szCs w:val="20"/>
                <w:lang w:val="en-GB" w:eastAsia="zh-CN"/>
              </w:rPr>
              <w:t>23.</w:t>
            </w:r>
            <w:r w:rsidRPr="000C0842">
              <w:rPr>
                <w:rFonts w:cs="Times New Roman"/>
                <w:kern w:val="0"/>
                <w:sz w:val="20"/>
                <w:szCs w:val="20"/>
                <w:lang w:val="en-GB" w:eastAsia="zh-CN"/>
              </w:rPr>
              <w:tab/>
            </w:r>
            <w:r w:rsidRPr="000C0842">
              <w:rPr>
                <w:rFonts w:cs="Times New Roman" w:hint="eastAsia"/>
                <w:kern w:val="0"/>
                <w:sz w:val="20"/>
                <w:szCs w:val="20"/>
                <w:lang w:val="en-GB" w:eastAsia="zh-CN"/>
              </w:rPr>
              <w:t>在实施植物保护和恢复行动中确保性别平等，积极实施应对办法，包括承认妇女权利、公平获得植物资源和包容性参与各级决策过程，同时强调妇女作为重要知识持有者在植物保护中的重要作用。</w:t>
            </w:r>
          </w:p>
        </w:tc>
      </w:tr>
    </w:tbl>
    <w:p w14:paraId="1948625B" w14:textId="38FE4116" w:rsidR="004D5AD7" w:rsidRPr="000C0842" w:rsidRDefault="004D5AD7" w:rsidP="005E77FA">
      <w:pPr>
        <w:tabs>
          <w:tab w:val="clear" w:pos="567"/>
          <w:tab w:val="clear" w:pos="1134"/>
          <w:tab w:val="clear" w:pos="1701"/>
          <w:tab w:val="clear" w:pos="2268"/>
        </w:tabs>
        <w:adjustRightInd w:val="0"/>
        <w:snapToGrid w:val="0"/>
        <w:spacing w:before="120" w:after="120" w:line="240" w:lineRule="atLeast"/>
        <w:ind w:left="490"/>
        <w:jc w:val="left"/>
        <w:rPr>
          <w:rFonts w:eastAsia="SimSun"/>
          <w:sz w:val="24"/>
          <w:szCs w:val="24"/>
        </w:rPr>
      </w:pPr>
    </w:p>
    <w:p w14:paraId="0D13C515" w14:textId="77777777" w:rsidR="004D5AD7" w:rsidRPr="000C0842" w:rsidRDefault="004D5AD7">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74E84DDD" w14:textId="1319C48B" w:rsidR="004D5AD7" w:rsidRPr="000C0842" w:rsidRDefault="004D5AD7" w:rsidP="002437E6">
      <w:pPr>
        <w:pStyle w:val="a1"/>
        <w:rPr>
          <w:rFonts w:hint="eastAsia"/>
          <w:lang w:eastAsia="zh-CN"/>
        </w:rPr>
      </w:pPr>
      <w:bookmarkStart w:id="87" w:name="_Toc206358218"/>
      <w:r w:rsidRPr="000C0842">
        <w:rPr>
          <w:lang w:eastAsia="zh-CN"/>
        </w:rPr>
        <w:t xml:space="preserve">16/21. </w:t>
      </w:r>
      <w:r w:rsidRPr="000C0842">
        <w:rPr>
          <w:lang w:eastAsia="zh-CN"/>
        </w:rPr>
        <w:t>合成生物学</w:t>
      </w:r>
      <w:bookmarkEnd w:id="87"/>
    </w:p>
    <w:p w14:paraId="0F001505" w14:textId="77777777" w:rsidR="004D5AD7" w:rsidRPr="000C0842" w:rsidRDefault="004D5AD7" w:rsidP="004D5AD7">
      <w:pPr>
        <w:tabs>
          <w:tab w:val="clear" w:pos="567"/>
          <w:tab w:val="clear" w:pos="1134"/>
          <w:tab w:val="clear" w:pos="1701"/>
          <w:tab w:val="clear" w:pos="2268"/>
        </w:tabs>
        <w:topLinePunct/>
        <w:snapToGrid w:val="0"/>
        <w:spacing w:before="240" w:after="120"/>
        <w:ind w:left="490" w:firstLine="490"/>
        <w:rPr>
          <w:rFonts w:eastAsia="SimSun"/>
          <w:i/>
          <w:sz w:val="24"/>
          <w:szCs w:val="24"/>
          <w:lang w:val="en-GB"/>
        </w:rPr>
      </w:pPr>
      <w:r w:rsidRPr="000C0842">
        <w:rPr>
          <w:rFonts w:ascii="KaiTi" w:eastAsia="KaiTi" w:hAnsi="KaiTi" w:hint="eastAsia"/>
          <w:snapToGrid w:val="0"/>
          <w:kern w:val="22"/>
          <w:sz w:val="24"/>
          <w:szCs w:val="24"/>
          <w:lang w:val="zh-CN"/>
        </w:rPr>
        <w:t>缔约方大会</w:t>
      </w:r>
      <w:r w:rsidRPr="000C0842">
        <w:rPr>
          <w:rFonts w:eastAsia="SimSun" w:hint="eastAsia"/>
          <w:sz w:val="24"/>
          <w:szCs w:val="24"/>
          <w:lang w:val="en-GB"/>
        </w:rPr>
        <w:t>，</w:t>
      </w:r>
    </w:p>
    <w:p w14:paraId="11330C81" w14:textId="4199F784"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kern w:val="22"/>
          <w:sz w:val="24"/>
          <w:szCs w:val="24"/>
          <w:lang w:val="zh-CN"/>
        </w:rPr>
      </w:pPr>
      <w:r w:rsidRPr="000C0842">
        <w:rPr>
          <w:rFonts w:ascii="KaiTi" w:eastAsia="KaiTi" w:hAnsi="KaiTi" w:hint="eastAsia"/>
          <w:snapToGrid w:val="0"/>
          <w:kern w:val="22"/>
          <w:sz w:val="24"/>
          <w:szCs w:val="24"/>
          <w:lang w:val="zh-CN"/>
        </w:rPr>
        <w:t>回顾</w:t>
      </w:r>
      <w:r w:rsidRPr="000C0842">
        <w:rPr>
          <w:rFonts w:eastAsia="SimSun" w:hint="eastAsia"/>
          <w:sz w:val="24"/>
          <w:szCs w:val="24"/>
          <w:lang w:val="zh-CN"/>
        </w:rPr>
        <w:t>其</w:t>
      </w:r>
      <w:r w:rsidRPr="000C0842">
        <w:rPr>
          <w:rFonts w:eastAsia="SimSun"/>
          <w:sz w:val="24"/>
          <w:szCs w:val="24"/>
          <w:lang w:val="en-GB"/>
        </w:rPr>
        <w:t>2018</w:t>
      </w:r>
      <w:r w:rsidRPr="000C0842">
        <w:rPr>
          <w:rFonts w:eastAsia="SimSun" w:hint="eastAsia"/>
          <w:sz w:val="24"/>
          <w:szCs w:val="24"/>
          <w:lang w:val="zh-CN"/>
        </w:rPr>
        <w:t>年</w:t>
      </w:r>
      <w:r w:rsidRPr="000C0842">
        <w:rPr>
          <w:rFonts w:eastAsia="SimSun"/>
          <w:sz w:val="24"/>
          <w:szCs w:val="24"/>
          <w:lang w:val="en-GB"/>
        </w:rPr>
        <w:t>11</w:t>
      </w:r>
      <w:r w:rsidRPr="000C0842">
        <w:rPr>
          <w:rFonts w:eastAsia="SimSun" w:hint="eastAsia"/>
          <w:sz w:val="24"/>
          <w:szCs w:val="24"/>
          <w:lang w:val="zh-CN"/>
        </w:rPr>
        <w:t>月</w:t>
      </w:r>
      <w:r w:rsidRPr="000C0842">
        <w:rPr>
          <w:rFonts w:eastAsia="SimSun"/>
          <w:sz w:val="24"/>
          <w:szCs w:val="24"/>
          <w:lang w:val="en-GB"/>
        </w:rPr>
        <w:t>29</w:t>
      </w:r>
      <w:r w:rsidRPr="000C0842">
        <w:rPr>
          <w:rFonts w:eastAsia="SimSun" w:hint="eastAsia"/>
          <w:sz w:val="24"/>
          <w:szCs w:val="24"/>
          <w:lang w:val="zh-CN"/>
        </w:rPr>
        <w:t>日第</w:t>
      </w:r>
      <w:hyperlink r:id="rId208" w:history="1">
        <w:r w:rsidRPr="000C0842">
          <w:rPr>
            <w:rStyle w:val="Hyperlink"/>
            <w:rFonts w:eastAsia="SimSun"/>
            <w:color w:val="auto"/>
            <w:sz w:val="24"/>
            <w:szCs w:val="24"/>
            <w:lang w:val="en-GB"/>
          </w:rPr>
          <w:t>14/19</w:t>
        </w:r>
      </w:hyperlink>
      <w:r w:rsidRPr="000C0842">
        <w:rPr>
          <w:rFonts w:eastAsia="SimSun" w:hint="eastAsia"/>
          <w:sz w:val="24"/>
          <w:szCs w:val="24"/>
          <w:lang w:val="zh-CN"/>
        </w:rPr>
        <w:t>号</w:t>
      </w:r>
      <w:r w:rsidRPr="000C0842">
        <w:rPr>
          <w:rFonts w:eastAsia="SimSun" w:hint="eastAsia"/>
          <w:sz w:val="24"/>
          <w:szCs w:val="24"/>
        </w:rPr>
        <w:t>、</w:t>
      </w:r>
      <w:smartTag w:uri="urn:schemas-microsoft-com:office:smarttags" w:element="chsdate">
        <w:smartTagPr>
          <w:attr w:name="IsROCDate" w:val="False"/>
          <w:attr w:name="IsLunarDate" w:val="False"/>
          <w:attr w:name="Day" w:val="19"/>
          <w:attr w:name="Month" w:val="12"/>
          <w:attr w:name="Year" w:val="2022"/>
        </w:smartTagPr>
        <w:r w:rsidRPr="000C0842">
          <w:rPr>
            <w:rFonts w:eastAsia="SimSun"/>
            <w:sz w:val="24"/>
            <w:szCs w:val="24"/>
            <w:lang w:val="en-GB"/>
          </w:rPr>
          <w:t>2022</w:t>
        </w:r>
        <w:r w:rsidRPr="000C0842">
          <w:rPr>
            <w:rFonts w:eastAsia="SimSun" w:hint="eastAsia"/>
            <w:sz w:val="24"/>
            <w:szCs w:val="24"/>
            <w:lang w:val="zh-CN"/>
          </w:rPr>
          <w:t>年</w:t>
        </w:r>
        <w:r w:rsidRPr="000C0842">
          <w:rPr>
            <w:rFonts w:eastAsia="SimSun"/>
            <w:sz w:val="24"/>
            <w:szCs w:val="24"/>
            <w:lang w:val="en-GB"/>
          </w:rPr>
          <w:t>12</w:t>
        </w:r>
        <w:r w:rsidRPr="000C0842">
          <w:rPr>
            <w:rFonts w:eastAsia="SimSun" w:hint="eastAsia"/>
            <w:sz w:val="24"/>
            <w:szCs w:val="24"/>
            <w:lang w:val="zh-CN"/>
          </w:rPr>
          <w:t>月</w:t>
        </w:r>
        <w:r w:rsidRPr="000C0842">
          <w:rPr>
            <w:rFonts w:eastAsia="SimSun"/>
            <w:sz w:val="24"/>
            <w:szCs w:val="24"/>
            <w:lang w:val="en-GB"/>
          </w:rPr>
          <w:t>19</w:t>
        </w:r>
        <w:r w:rsidRPr="000C0842">
          <w:rPr>
            <w:rFonts w:eastAsia="SimSun" w:hint="eastAsia"/>
            <w:sz w:val="24"/>
            <w:szCs w:val="24"/>
            <w:lang w:val="zh-CN"/>
          </w:rPr>
          <w:t>日</w:t>
        </w:r>
      </w:smartTag>
      <w:r w:rsidRPr="000C0842">
        <w:rPr>
          <w:rFonts w:eastAsia="SimSun" w:hint="eastAsia"/>
          <w:sz w:val="24"/>
          <w:szCs w:val="24"/>
          <w:lang w:val="zh-CN"/>
        </w:rPr>
        <w:t>第</w:t>
      </w:r>
      <w:hyperlink r:id="rId209" w:history="1">
        <w:r w:rsidRPr="000C0842">
          <w:rPr>
            <w:rStyle w:val="Hyperlink"/>
            <w:rFonts w:eastAsia="SimSun"/>
            <w:color w:val="auto"/>
            <w:sz w:val="24"/>
            <w:szCs w:val="24"/>
            <w:lang w:val="en-GB"/>
          </w:rPr>
          <w:t>15/</w:t>
        </w:r>
        <w:r w:rsidRPr="000C0842">
          <w:rPr>
            <w:rStyle w:val="Hyperlink"/>
            <w:rFonts w:eastAsia="SimSun" w:hint="eastAsia"/>
            <w:color w:val="auto"/>
            <w:sz w:val="24"/>
            <w:szCs w:val="24"/>
            <w:lang w:val="en-GB"/>
          </w:rPr>
          <w:t>4</w:t>
        </w:r>
      </w:hyperlink>
      <w:r w:rsidRPr="000C0842">
        <w:rPr>
          <w:rFonts w:eastAsia="SimSun" w:hint="eastAsia"/>
          <w:sz w:val="24"/>
          <w:szCs w:val="24"/>
          <w:lang w:val="zh-CN"/>
        </w:rPr>
        <w:t>号</w:t>
      </w:r>
      <w:r w:rsidRPr="000C0842">
        <w:rPr>
          <w:rFonts w:eastAsia="SimSun" w:hint="eastAsia"/>
          <w:sz w:val="24"/>
          <w:szCs w:val="24"/>
        </w:rPr>
        <w:t>、第</w:t>
      </w:r>
      <w:hyperlink r:id="rId210" w:history="1">
        <w:r w:rsidRPr="000C0842">
          <w:rPr>
            <w:rStyle w:val="Hyperlink"/>
            <w:rFonts w:eastAsia="SimSun"/>
            <w:color w:val="auto"/>
            <w:kern w:val="22"/>
            <w:sz w:val="24"/>
            <w:szCs w:val="24"/>
          </w:rPr>
          <w:t>15/8</w:t>
        </w:r>
      </w:hyperlink>
      <w:r w:rsidRPr="000C0842">
        <w:rPr>
          <w:rFonts w:eastAsia="SimSun" w:hint="eastAsia"/>
          <w:sz w:val="24"/>
          <w:szCs w:val="24"/>
        </w:rPr>
        <w:t>号和第</w:t>
      </w:r>
      <w:hyperlink r:id="rId211" w:history="1">
        <w:r w:rsidRPr="000C0842">
          <w:rPr>
            <w:rStyle w:val="Hyperlink"/>
            <w:rFonts w:eastAsia="SimSun"/>
            <w:color w:val="auto"/>
            <w:sz w:val="24"/>
            <w:szCs w:val="24"/>
            <w:lang w:val="en-GB"/>
          </w:rPr>
          <w:t>15/31</w:t>
        </w:r>
      </w:hyperlink>
      <w:r w:rsidRPr="000C0842">
        <w:rPr>
          <w:rFonts w:eastAsia="SimSun" w:hint="eastAsia"/>
          <w:sz w:val="24"/>
          <w:szCs w:val="24"/>
        </w:rPr>
        <w:t>号决定以及</w:t>
      </w:r>
      <w:r w:rsidRPr="000C0842">
        <w:rPr>
          <w:rFonts w:eastAsia="SimSun" w:hint="eastAsia"/>
          <w:sz w:val="24"/>
          <w:szCs w:val="24"/>
          <w:lang w:val="zh-CN"/>
        </w:rPr>
        <w:t>作为卡塔赫纳生物安全议定书</w:t>
      </w:r>
      <w:r w:rsidRPr="000C0842">
        <w:rPr>
          <w:rFonts w:eastAsia="SimSun"/>
          <w:sz w:val="24"/>
          <w:szCs w:val="24"/>
          <w:vertAlign w:val="superscript"/>
          <w:lang w:val="zh-CN"/>
        </w:rPr>
        <w:footnoteReference w:id="344"/>
      </w:r>
      <w:r w:rsidRPr="000C0842">
        <w:rPr>
          <w:rFonts w:eastAsia="SimSun" w:hint="eastAsia"/>
          <w:sz w:val="24"/>
          <w:szCs w:val="24"/>
          <w:lang w:val="zh-CN"/>
        </w:rPr>
        <w:t>缔约方会议的缔约方大会</w:t>
      </w:r>
      <w:r w:rsidRPr="000C0842">
        <w:rPr>
          <w:rFonts w:eastAsia="SimSun" w:hint="eastAsia"/>
          <w:sz w:val="24"/>
          <w:szCs w:val="24"/>
          <w:lang w:val="zh-CN"/>
        </w:rPr>
        <w:t>2014</w:t>
      </w:r>
      <w:r w:rsidRPr="000C0842">
        <w:rPr>
          <w:rFonts w:eastAsia="SimSun" w:hint="eastAsia"/>
          <w:sz w:val="24"/>
          <w:szCs w:val="24"/>
          <w:lang w:val="zh-CN"/>
        </w:rPr>
        <w:t>年</w:t>
      </w:r>
      <w:r w:rsidRPr="000C0842">
        <w:rPr>
          <w:rFonts w:eastAsia="SimSun" w:hint="eastAsia"/>
          <w:sz w:val="24"/>
          <w:szCs w:val="24"/>
          <w:lang w:val="zh-CN"/>
        </w:rPr>
        <w:t>10</w:t>
      </w:r>
      <w:r w:rsidRPr="000C0842">
        <w:rPr>
          <w:rFonts w:eastAsia="SimSun" w:hint="eastAsia"/>
          <w:sz w:val="24"/>
          <w:szCs w:val="24"/>
          <w:lang w:val="zh-CN"/>
        </w:rPr>
        <w:t>月</w:t>
      </w:r>
      <w:r w:rsidRPr="000C0842">
        <w:rPr>
          <w:rFonts w:eastAsia="SimSun" w:hint="eastAsia"/>
          <w:sz w:val="24"/>
          <w:szCs w:val="24"/>
          <w:lang w:val="zh-CN"/>
        </w:rPr>
        <w:t>3</w:t>
      </w:r>
      <w:r w:rsidRPr="000C0842">
        <w:rPr>
          <w:rFonts w:eastAsia="SimSun" w:hint="eastAsia"/>
          <w:sz w:val="24"/>
          <w:szCs w:val="24"/>
          <w:lang w:val="zh-CN"/>
        </w:rPr>
        <w:t>日第</w:t>
      </w:r>
      <w:hyperlink r:id="rId212" w:history="1">
        <w:r w:rsidRPr="000C0842">
          <w:rPr>
            <w:rStyle w:val="Hyperlink"/>
            <w:rFonts w:eastAsia="SimSun"/>
            <w:color w:val="auto"/>
            <w:sz w:val="24"/>
            <w:szCs w:val="24"/>
            <w:lang w:val="en-GB"/>
          </w:rPr>
          <w:t>BS-VII/12</w:t>
        </w:r>
      </w:hyperlink>
      <w:r w:rsidRPr="000C0842">
        <w:rPr>
          <w:rFonts w:eastAsia="SimSun" w:hint="eastAsia"/>
          <w:sz w:val="24"/>
          <w:szCs w:val="24"/>
          <w:lang w:val="zh-CN"/>
        </w:rPr>
        <w:t>号决定，</w:t>
      </w:r>
    </w:p>
    <w:p w14:paraId="6E73605E"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kern w:val="22"/>
          <w:sz w:val="24"/>
          <w:szCs w:val="24"/>
          <w:lang w:val="zh-CN"/>
        </w:rPr>
      </w:pPr>
      <w:r w:rsidRPr="000C0842">
        <w:rPr>
          <w:rFonts w:ascii="KaiTi" w:eastAsia="KaiTi" w:hAnsi="KaiTi" w:hint="eastAsia"/>
          <w:snapToGrid w:val="0"/>
          <w:kern w:val="22"/>
          <w:sz w:val="24"/>
          <w:szCs w:val="24"/>
          <w:lang w:val="zh-CN"/>
        </w:rPr>
        <w:t>再次强调</w:t>
      </w:r>
      <w:r w:rsidRPr="000C0842">
        <w:rPr>
          <w:rFonts w:eastAsia="SimSun" w:hint="eastAsia"/>
          <w:kern w:val="22"/>
          <w:sz w:val="24"/>
          <w:szCs w:val="24"/>
          <w:lang w:val="zh-CN"/>
        </w:rPr>
        <w:t>依照《生物多样性公约》</w:t>
      </w:r>
      <w:r w:rsidRPr="000C0842">
        <w:rPr>
          <w:rFonts w:eastAsia="SimSun"/>
          <w:kern w:val="22"/>
          <w:sz w:val="24"/>
          <w:szCs w:val="24"/>
          <w:vertAlign w:val="superscript"/>
        </w:rPr>
        <w:footnoteReference w:id="345"/>
      </w:r>
      <w:r w:rsidRPr="000C0842">
        <w:rPr>
          <w:rFonts w:eastAsia="SimSun" w:hint="eastAsia"/>
          <w:kern w:val="22"/>
          <w:sz w:val="24"/>
          <w:szCs w:val="24"/>
          <w:lang w:val="zh-CN"/>
        </w:rPr>
        <w:t>的目标，对合成生物学应用的环境释放应采取</w:t>
      </w:r>
      <w:r w:rsidRPr="000C0842">
        <w:rPr>
          <w:rFonts w:eastAsia="SimSun"/>
        </w:rPr>
        <w:t>预先防范办</w:t>
      </w:r>
      <w:r w:rsidRPr="000C0842">
        <w:rPr>
          <w:rFonts w:ascii="SimSun" w:eastAsia="SimSun" w:hAnsi="SimSun" w:cs="SimSun" w:hint="eastAsia"/>
        </w:rPr>
        <w:t>法</w:t>
      </w:r>
      <w:r w:rsidRPr="000C0842">
        <w:rPr>
          <w:rFonts w:eastAsia="SimSun" w:hint="eastAsia"/>
          <w:kern w:val="22"/>
          <w:sz w:val="24"/>
          <w:szCs w:val="24"/>
          <w:lang w:val="zh-CN"/>
        </w:rPr>
        <w:t>，</w:t>
      </w:r>
    </w:p>
    <w:p w14:paraId="5B44D621"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en-GB"/>
        </w:rPr>
      </w:pPr>
      <w:r w:rsidRPr="000C0842">
        <w:rPr>
          <w:rFonts w:ascii="KaiTi" w:eastAsia="KaiTi" w:hAnsi="KaiTi" w:hint="eastAsia"/>
          <w:snapToGrid w:val="0"/>
          <w:kern w:val="22"/>
          <w:sz w:val="24"/>
          <w:szCs w:val="24"/>
          <w:lang w:val="zh-CN"/>
        </w:rPr>
        <w:t>认识到</w:t>
      </w:r>
      <w:r w:rsidRPr="000C0842">
        <w:rPr>
          <w:rFonts w:eastAsia="SimSun" w:hint="eastAsia"/>
          <w:sz w:val="24"/>
          <w:szCs w:val="24"/>
          <w:lang w:val="zh-CN"/>
        </w:rPr>
        <w:t>发展中国家在参与合成生物学</w:t>
      </w:r>
      <w:r w:rsidRPr="000C0842">
        <w:rPr>
          <w:rFonts w:eastAsia="SimSun" w:hint="eastAsia"/>
          <w:sz w:val="24"/>
          <w:szCs w:val="24"/>
        </w:rPr>
        <w:t>领域</w:t>
      </w:r>
      <w:r w:rsidRPr="000C0842">
        <w:rPr>
          <w:rFonts w:eastAsia="SimSun" w:hint="eastAsia"/>
          <w:sz w:val="24"/>
          <w:szCs w:val="24"/>
          <w:lang w:val="zh-CN"/>
        </w:rPr>
        <w:t>的研发和评估方面存在不平等以及处理影响的重要性</w:t>
      </w:r>
      <w:r w:rsidRPr="000C0842">
        <w:rPr>
          <w:rFonts w:eastAsia="SimSun" w:hint="eastAsia"/>
          <w:sz w:val="24"/>
          <w:szCs w:val="24"/>
          <w:lang w:val="en-GB"/>
        </w:rPr>
        <w:t>，</w:t>
      </w:r>
    </w:p>
    <w:p w14:paraId="7AD7A40D"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en-GB"/>
        </w:rPr>
      </w:pPr>
      <w:r w:rsidRPr="000C0842">
        <w:rPr>
          <w:rFonts w:ascii="KaiTi" w:eastAsia="KaiTi" w:hAnsi="KaiTi" w:hint="eastAsia"/>
          <w:snapToGrid w:val="0"/>
          <w:kern w:val="22"/>
          <w:sz w:val="24"/>
          <w:szCs w:val="24"/>
          <w:lang w:val="zh-CN"/>
        </w:rPr>
        <w:t>注意到</w:t>
      </w:r>
      <w:r w:rsidRPr="000C0842">
        <w:rPr>
          <w:rFonts w:ascii="SimSun" w:eastAsia="SimSun" w:hAnsi="SimSun" w:cs="Segoe UI" w:hint="eastAsia"/>
        </w:rPr>
        <w:t>支持广泛和定期前景扫描、监测和评估进程的合成生物学问题多学科特设技术专家组</w:t>
      </w:r>
      <w:r w:rsidRPr="000C0842">
        <w:rPr>
          <w:rFonts w:eastAsia="SimSun" w:hint="eastAsia"/>
          <w:sz w:val="24"/>
          <w:szCs w:val="24"/>
          <w:lang w:val="en-GB"/>
        </w:rPr>
        <w:t>的工作以及对合成生物学最新技术发展进行广泛和定期前景扫描、监测和评估的成果</w:t>
      </w:r>
      <w:r w:rsidRPr="000C0842">
        <w:rPr>
          <w:rFonts w:eastAsia="SimSun"/>
          <w:sz w:val="24"/>
          <w:szCs w:val="24"/>
          <w:vertAlign w:val="superscript"/>
          <w:lang w:val="en-GB"/>
        </w:rPr>
        <w:footnoteReference w:id="346"/>
      </w:r>
      <w:r w:rsidRPr="000C0842">
        <w:rPr>
          <w:rFonts w:eastAsia="SimSun" w:hint="eastAsia"/>
          <w:sz w:val="24"/>
          <w:szCs w:val="24"/>
          <w:lang w:val="en-GB"/>
        </w:rPr>
        <w:t>，</w:t>
      </w:r>
    </w:p>
    <w:p w14:paraId="3DBD6E6D"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强调</w:t>
      </w:r>
      <w:r w:rsidRPr="000C0842">
        <w:rPr>
          <w:rFonts w:eastAsia="SimSun" w:hAnsi="SimSun" w:hint="eastAsia"/>
          <w:sz w:val="24"/>
          <w:szCs w:val="24"/>
        </w:rPr>
        <w:t>迫切需要在合成生物学领域进行能力建设和发展、获取和转让技术以及共享知识，特别是为发展中国家缔约方，以实现《昆明</w:t>
      </w:r>
      <w:r w:rsidRPr="000C0842">
        <w:rPr>
          <w:rFonts w:eastAsia="SimSun"/>
          <w:sz w:val="24"/>
          <w:szCs w:val="24"/>
        </w:rPr>
        <w:t>-</w:t>
      </w:r>
      <w:r w:rsidRPr="000C0842">
        <w:rPr>
          <w:rFonts w:eastAsia="SimSun" w:hAnsi="SimSun" w:hint="eastAsia"/>
          <w:sz w:val="24"/>
          <w:szCs w:val="24"/>
        </w:rPr>
        <w:t>蒙特利尔全球生物多样性框架》</w:t>
      </w:r>
      <w:r w:rsidRPr="000C0842">
        <w:rPr>
          <w:rFonts w:eastAsia="SimSun" w:hAnsi="SimSun"/>
          <w:sz w:val="24"/>
          <w:szCs w:val="24"/>
          <w:vertAlign w:val="superscript"/>
        </w:rPr>
        <w:footnoteReference w:id="347"/>
      </w:r>
      <w:r w:rsidRPr="000C0842">
        <w:rPr>
          <w:rFonts w:eastAsia="SimSun" w:hAnsi="SimSun" w:hint="eastAsia"/>
          <w:sz w:val="24"/>
          <w:szCs w:val="24"/>
        </w:rPr>
        <w:t>的长期目标和行动目标；</w:t>
      </w:r>
    </w:p>
    <w:p w14:paraId="27420E10"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en-CA"/>
        </w:rPr>
      </w:pPr>
      <w:r w:rsidRPr="000C0842">
        <w:rPr>
          <w:rFonts w:ascii="KaiTi" w:eastAsia="KaiTi" w:hAnsi="KaiTi" w:hint="eastAsia"/>
          <w:snapToGrid w:val="0"/>
          <w:kern w:val="22"/>
          <w:sz w:val="24"/>
          <w:szCs w:val="24"/>
          <w:lang w:val="zh-CN"/>
        </w:rPr>
        <w:t>敦促</w:t>
      </w:r>
      <w:r w:rsidRPr="000C0842">
        <w:rPr>
          <w:rFonts w:eastAsia="SimSun" w:hint="eastAsia"/>
          <w:sz w:val="24"/>
          <w:szCs w:val="24"/>
          <w:lang w:val="zh-CN"/>
        </w:rPr>
        <w:t>缔约方并邀请其他国家政府和相关组织为发展中国家缔约方特别是最不发达国家和小岛屿发展中国家和经济转型缔约方的能力建设和发展及技术转让举措提供资金和技术支持，包括为合成生物学领域的研发和评估提</w:t>
      </w:r>
      <w:r w:rsidRPr="000C0842">
        <w:rPr>
          <w:rFonts w:eastAsia="SimSun" w:hint="eastAsia"/>
          <w:sz w:val="24"/>
          <w:szCs w:val="24"/>
          <w:lang w:val="en-CA"/>
        </w:rPr>
        <w:t>供支持；</w:t>
      </w:r>
    </w:p>
    <w:p w14:paraId="2C2233B6"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en-CA"/>
        </w:rPr>
        <w:t>敦促</w:t>
      </w:r>
      <w:r w:rsidRPr="000C0842">
        <w:rPr>
          <w:rFonts w:eastAsia="SimSun" w:hint="eastAsia"/>
          <w:sz w:val="24"/>
          <w:szCs w:val="24"/>
          <w:lang w:val="zh-CN"/>
        </w:rPr>
        <w:t>缔约方和其他利益攸关方促进与合成生物学相关的广泛国际合作、技术转让、知识共享以及能力建设和发展，同时考虑到缔约方、土著人民和地方社区、妇女和青年的需要；</w:t>
      </w:r>
    </w:p>
    <w:p w14:paraId="372693ED"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鼓励</w:t>
      </w:r>
      <w:r w:rsidRPr="000C0842">
        <w:rPr>
          <w:rFonts w:eastAsia="SimSun" w:hAnsi="SimSun" w:hint="eastAsia"/>
          <w:sz w:val="24"/>
          <w:szCs w:val="24"/>
        </w:rPr>
        <w:t>缔约方分享《昆蒙框架》背景下与合成生物学有关的需求和优先事项，包括通过科技合作机制的区域和次区域支持中心；</w:t>
      </w:r>
    </w:p>
    <w:p w14:paraId="5E05B786"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决定</w:t>
      </w:r>
      <w:r w:rsidRPr="000C0842">
        <w:rPr>
          <w:rFonts w:eastAsia="SimSun" w:hAnsi="SimSun" w:hint="eastAsia"/>
          <w:sz w:val="24"/>
          <w:szCs w:val="24"/>
        </w:rPr>
        <w:t>根据各缔约方，特别是发展中国家缔约方，尤其是最不发达国家和小岛屿发展中国家以及经济转型缔约方的需求和优先事项，参考能力建设和发展长期战略框架</w:t>
      </w:r>
      <w:r w:rsidRPr="000C0842">
        <w:rPr>
          <w:rFonts w:eastAsia="SimSun"/>
          <w:kern w:val="2"/>
          <w:sz w:val="24"/>
          <w:szCs w:val="24"/>
          <w:vertAlign w:val="superscript"/>
          <w:lang w:val="en-GB"/>
        </w:rPr>
        <w:footnoteReference w:id="348"/>
      </w:r>
      <w:r w:rsidRPr="000C0842">
        <w:rPr>
          <w:rFonts w:eastAsia="SimSun" w:hAnsi="SimSun" w:hint="eastAsia"/>
          <w:sz w:val="24"/>
          <w:szCs w:val="24"/>
        </w:rPr>
        <w:t>，制定一项专题行动计划，以支持合成生物学领域的能力建设和发展、技术获取和转让以及知识共享，落实《生物多样性公约》的三个目标和《昆蒙框架》，同时避免与《公约》及其各项议定书下的现有计划和战略</w:t>
      </w:r>
      <w:r w:rsidRPr="000C0842">
        <w:rPr>
          <w:rFonts w:eastAsia="SimSun"/>
          <w:kern w:val="2"/>
          <w:szCs w:val="18"/>
          <w:vertAlign w:val="superscript"/>
          <w:lang w:val="en-GB"/>
        </w:rPr>
        <w:footnoteReference w:id="349"/>
      </w:r>
      <w:r w:rsidRPr="000C0842">
        <w:rPr>
          <w:rFonts w:eastAsia="SimSun" w:hAnsi="SimSun" w:hint="eastAsia"/>
          <w:sz w:val="24"/>
          <w:szCs w:val="24"/>
        </w:rPr>
        <w:t>重复，并顾及：</w:t>
      </w:r>
    </w:p>
    <w:p w14:paraId="1C5E7403"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eastAsia="SimSun"/>
          <w:sz w:val="24"/>
          <w:szCs w:val="24"/>
          <w:lang w:val="zh-CN"/>
        </w:rPr>
        <w:t>(a)</w:t>
      </w:r>
      <w:r w:rsidRPr="000C0842">
        <w:rPr>
          <w:rFonts w:eastAsia="SimSun"/>
          <w:sz w:val="24"/>
          <w:szCs w:val="24"/>
          <w:lang w:val="zh-CN"/>
        </w:rPr>
        <w:tab/>
      </w:r>
      <w:r w:rsidRPr="000C0842">
        <w:rPr>
          <w:rFonts w:eastAsia="SimSun" w:hAnsi="SimSun" w:hint="eastAsia"/>
          <w:sz w:val="24"/>
          <w:szCs w:val="24"/>
          <w:lang w:val="zh-CN"/>
        </w:rPr>
        <w:t>缔约方、土著人民和地方社区在根据第</w:t>
      </w:r>
      <w:r w:rsidRPr="000C0842">
        <w:rPr>
          <w:rFonts w:eastAsia="SimSun" w:hAnsi="SimSun" w:hint="eastAsia"/>
          <w:sz w:val="24"/>
          <w:szCs w:val="24"/>
          <w:lang w:val="zh-CN"/>
        </w:rPr>
        <w:t xml:space="preserve"> 7 </w:t>
      </w:r>
      <w:r w:rsidRPr="000C0842">
        <w:rPr>
          <w:rFonts w:eastAsia="SimSun" w:hAnsi="SimSun" w:hint="eastAsia"/>
          <w:sz w:val="24"/>
          <w:szCs w:val="24"/>
          <w:lang w:val="zh-CN"/>
        </w:rPr>
        <w:t>段的要求提交的资料中提出的、与《卡塔赫纳议定书》能力建设行动计划相辅相成的具体需求；</w:t>
      </w:r>
    </w:p>
    <w:p w14:paraId="6E9552E1"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eastAsia="SimSun"/>
          <w:sz w:val="24"/>
          <w:szCs w:val="24"/>
          <w:lang w:val="zh-CN"/>
        </w:rPr>
        <w:t>(b)</w:t>
      </w:r>
      <w:r w:rsidRPr="000C0842">
        <w:rPr>
          <w:rFonts w:eastAsia="SimSun"/>
          <w:sz w:val="24"/>
          <w:szCs w:val="24"/>
          <w:lang w:val="zh-CN"/>
        </w:rPr>
        <w:tab/>
      </w:r>
      <w:r w:rsidRPr="000C0842">
        <w:rPr>
          <w:rFonts w:eastAsia="SimSun" w:hAnsi="SimSun" w:hint="eastAsia"/>
          <w:sz w:val="24"/>
          <w:szCs w:val="24"/>
          <w:lang w:val="zh-CN"/>
        </w:rPr>
        <w:t>查明合成生物学领域的研发和评估需要能力建设和发展、技术获取和转让及知识共享的领域；</w:t>
      </w:r>
    </w:p>
    <w:p w14:paraId="71997FFD"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eastAsia="SimSun"/>
          <w:sz w:val="24"/>
          <w:szCs w:val="24"/>
          <w:lang w:val="zh-CN"/>
        </w:rPr>
        <w:t>(c)</w:t>
      </w:r>
      <w:r w:rsidRPr="000C0842">
        <w:rPr>
          <w:rFonts w:eastAsia="SimSun"/>
          <w:sz w:val="24"/>
          <w:szCs w:val="24"/>
          <w:lang w:val="zh-CN"/>
        </w:rPr>
        <w:tab/>
      </w:r>
      <w:r w:rsidRPr="000C0842">
        <w:rPr>
          <w:rFonts w:eastAsia="SimSun" w:hAnsi="SimSun" w:hint="eastAsia"/>
          <w:sz w:val="24"/>
          <w:szCs w:val="24"/>
          <w:lang w:val="zh-CN"/>
        </w:rPr>
        <w:t>促进发展中国家缔约方、土著人民和地方社区、妇女、青年、学术界、工商界和相关机构公平参与合成生物学领域研发的战略；</w:t>
      </w:r>
    </w:p>
    <w:p w14:paraId="28D00FA9"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eastAsia="SimSun"/>
          <w:sz w:val="24"/>
          <w:szCs w:val="24"/>
          <w:lang w:val="zh-CN"/>
        </w:rPr>
        <w:t>(d)</w:t>
      </w:r>
      <w:r w:rsidRPr="000C0842">
        <w:rPr>
          <w:rFonts w:eastAsia="SimSun"/>
          <w:sz w:val="24"/>
          <w:szCs w:val="24"/>
          <w:lang w:val="zh-CN"/>
        </w:rPr>
        <w:tab/>
      </w:r>
      <w:r w:rsidRPr="000C0842">
        <w:rPr>
          <w:rFonts w:eastAsia="SimSun" w:hAnsi="SimSun" w:hint="eastAsia"/>
          <w:sz w:val="24"/>
          <w:szCs w:val="24"/>
          <w:lang w:val="zh-CN"/>
        </w:rPr>
        <w:t>按照《公约》第</w:t>
      </w:r>
      <w:hyperlink r:id="rId213" w:history="1">
        <w:r w:rsidRPr="000C0842">
          <w:rPr>
            <w:rFonts w:eastAsia="SimSun"/>
            <w:sz w:val="24"/>
            <w:szCs w:val="24"/>
            <w:u w:val="single"/>
            <w:lang w:val="zh-CN"/>
          </w:rPr>
          <w:t>16</w:t>
        </w:r>
      </w:hyperlink>
      <w:r w:rsidRPr="000C0842">
        <w:rPr>
          <w:rFonts w:eastAsia="SimSun" w:hAnsi="SimSun" w:hint="eastAsia"/>
          <w:sz w:val="24"/>
          <w:szCs w:val="24"/>
          <w:lang w:val="zh-CN"/>
        </w:rPr>
        <w:t>条和第</w:t>
      </w:r>
      <w:hyperlink r:id="rId214" w:history="1">
        <w:r w:rsidRPr="000C0842">
          <w:rPr>
            <w:rFonts w:eastAsia="SimSun"/>
            <w:sz w:val="24"/>
            <w:szCs w:val="24"/>
            <w:u w:val="single"/>
            <w:lang w:val="zh-CN"/>
          </w:rPr>
          <w:t>19</w:t>
        </w:r>
      </w:hyperlink>
      <w:r w:rsidRPr="000C0842">
        <w:rPr>
          <w:rFonts w:eastAsia="SimSun" w:hAnsi="SimSun" w:hint="eastAsia"/>
          <w:sz w:val="24"/>
          <w:szCs w:val="24"/>
          <w:lang w:val="zh-CN"/>
        </w:rPr>
        <w:t>条和《昆蒙框架》，促进公正和公平分享合成生物学产生的惠益的战略；</w:t>
      </w:r>
    </w:p>
    <w:p w14:paraId="50F59EE2" w14:textId="77777777" w:rsidR="004D5AD7" w:rsidRPr="000C0842" w:rsidRDefault="004D5AD7" w:rsidP="004D5AD7">
      <w:p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eastAsia="SimSun"/>
          <w:sz w:val="24"/>
          <w:szCs w:val="24"/>
          <w:lang w:val="zh-CN"/>
        </w:rPr>
        <w:t>(e)</w:t>
      </w:r>
      <w:r w:rsidRPr="000C0842">
        <w:rPr>
          <w:rFonts w:eastAsia="SimSun"/>
          <w:sz w:val="24"/>
          <w:szCs w:val="24"/>
          <w:lang w:val="zh-CN"/>
        </w:rPr>
        <w:tab/>
      </w:r>
      <w:r w:rsidRPr="000C0842">
        <w:rPr>
          <w:rFonts w:eastAsia="SimSun" w:hAnsi="SimSun" w:hint="eastAsia"/>
          <w:sz w:val="24"/>
          <w:szCs w:val="24"/>
          <w:lang w:val="zh-CN"/>
        </w:rPr>
        <w:t>按照《公约》第</w:t>
      </w:r>
      <w:hyperlink r:id="rId215" w:history="1">
        <w:r w:rsidRPr="000C0842">
          <w:rPr>
            <w:rFonts w:eastAsia="SimSun"/>
            <w:sz w:val="24"/>
            <w:szCs w:val="24"/>
            <w:u w:val="single"/>
            <w:lang w:val="zh-CN"/>
          </w:rPr>
          <w:t>16</w:t>
        </w:r>
      </w:hyperlink>
      <w:r w:rsidRPr="000C0842">
        <w:rPr>
          <w:rFonts w:eastAsia="SimSun" w:hAnsi="SimSun" w:hint="eastAsia"/>
          <w:sz w:val="24"/>
          <w:szCs w:val="24"/>
          <w:lang w:val="zh-CN"/>
        </w:rPr>
        <w:t>条和第</w:t>
      </w:r>
      <w:hyperlink r:id="rId216" w:history="1">
        <w:r w:rsidRPr="000C0842">
          <w:rPr>
            <w:rFonts w:eastAsia="SimSun"/>
            <w:sz w:val="24"/>
            <w:szCs w:val="24"/>
            <w:u w:val="single"/>
            <w:lang w:val="zh-CN"/>
          </w:rPr>
          <w:t>18</w:t>
        </w:r>
      </w:hyperlink>
      <w:r w:rsidRPr="000C0842">
        <w:rPr>
          <w:rFonts w:eastAsia="SimSun" w:hAnsi="SimSun" w:hint="eastAsia"/>
          <w:sz w:val="24"/>
          <w:szCs w:val="24"/>
          <w:lang w:val="zh-CN"/>
        </w:rPr>
        <w:t>条和《昆蒙框架》，促进创新的技术转让、知识共享和国际科技合作机制；</w:t>
      </w:r>
    </w:p>
    <w:p w14:paraId="79DD31CB"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设立</w:t>
      </w:r>
      <w:r w:rsidRPr="000C0842">
        <w:rPr>
          <w:rFonts w:eastAsia="SimSun" w:hAnsi="SimSun" w:hint="eastAsia"/>
          <w:sz w:val="24"/>
          <w:szCs w:val="24"/>
          <w:lang w:val="zh-CN"/>
        </w:rPr>
        <w:t>一个新的合成生物学问题特设技术专家组，其职权范围见本决定附件；</w:t>
      </w:r>
    </w:p>
    <w:p w14:paraId="35CC35F4"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邀请</w:t>
      </w:r>
      <w:r w:rsidRPr="000C0842">
        <w:rPr>
          <w:rFonts w:eastAsia="SimSun" w:hAnsi="SimSun" w:hint="eastAsia"/>
          <w:sz w:val="24"/>
          <w:szCs w:val="24"/>
          <w:lang w:val="zh-CN"/>
        </w:rPr>
        <w:t>缔约方、其他国家政府、土著人民和地方社区、妇女、青年、学术界、研究机构、工商界和相关组织提交关于其在以下方面的经验、需求和优先事项的信息：</w:t>
      </w:r>
      <w:r w:rsidRPr="000C0842">
        <w:rPr>
          <w:rFonts w:eastAsia="SimSun" w:hAnsi="SimSun" w:hint="eastAsia"/>
          <w:sz w:val="24"/>
          <w:szCs w:val="24"/>
          <w:lang w:val="zh-CN"/>
        </w:rPr>
        <w:t xml:space="preserve">(a) </w:t>
      </w:r>
      <w:r w:rsidRPr="000C0842">
        <w:rPr>
          <w:rFonts w:eastAsia="SimSun" w:hAnsi="SimSun" w:hint="eastAsia"/>
          <w:sz w:val="24"/>
          <w:szCs w:val="24"/>
          <w:lang w:val="zh-CN"/>
        </w:rPr>
        <w:t>合成生物学，以支持编写第</w:t>
      </w:r>
      <w:r w:rsidRPr="000C0842">
        <w:rPr>
          <w:rFonts w:eastAsia="SimSun" w:hAnsi="SimSun" w:hint="eastAsia"/>
          <w:sz w:val="24"/>
          <w:szCs w:val="24"/>
          <w:lang w:val="zh-CN"/>
        </w:rPr>
        <w:t>5</w:t>
      </w:r>
      <w:r w:rsidRPr="000C0842">
        <w:rPr>
          <w:rFonts w:eastAsia="SimSun" w:hAnsi="SimSun" w:hint="eastAsia"/>
          <w:sz w:val="24"/>
          <w:szCs w:val="24"/>
          <w:lang w:val="zh-CN"/>
        </w:rPr>
        <w:t>段所述专题行动计划；</w:t>
      </w:r>
      <w:r w:rsidRPr="000C0842">
        <w:rPr>
          <w:rFonts w:eastAsia="SimSun" w:hAnsi="SimSun" w:hint="eastAsia"/>
          <w:sz w:val="24"/>
          <w:szCs w:val="24"/>
          <w:lang w:val="zh-CN"/>
        </w:rPr>
        <w:t xml:space="preserve">(b) </w:t>
      </w:r>
      <w:r w:rsidRPr="000C0842">
        <w:rPr>
          <w:rFonts w:eastAsia="SimSun" w:hAnsi="SimSun" w:hint="eastAsia"/>
          <w:sz w:val="24"/>
          <w:szCs w:val="24"/>
          <w:lang w:val="zh-CN"/>
        </w:rPr>
        <w:t>与合成生物学相关的能力建设和发展、技术获取和转让以及知识共享方面的其他相关进程和举措；</w:t>
      </w:r>
    </w:p>
    <w:p w14:paraId="763E9932"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lang w:val="zh-CN"/>
        </w:rPr>
      </w:pPr>
      <w:r w:rsidRPr="000C0842">
        <w:rPr>
          <w:rFonts w:ascii="KaiTi" w:eastAsia="KaiTi" w:hAnsi="KaiTi" w:hint="eastAsia"/>
          <w:snapToGrid w:val="0"/>
          <w:kern w:val="22"/>
          <w:sz w:val="24"/>
          <w:szCs w:val="24"/>
          <w:lang w:val="zh-CN"/>
        </w:rPr>
        <w:t>又邀请</w:t>
      </w:r>
      <w:r w:rsidRPr="000C0842">
        <w:rPr>
          <w:rFonts w:eastAsia="SimSun" w:hAnsi="SimSun" w:hint="eastAsia"/>
          <w:sz w:val="24"/>
          <w:szCs w:val="24"/>
          <w:lang w:val="zh-CN"/>
        </w:rPr>
        <w:t>缔约方、其他国家政府、土著人民和地方社区、妇女、青年、学术界、研究机构、工商界和相关组织提交关于合成生物学优先领域的信息，包括与《公约》的三个目标和《昆蒙框架》相关的最新技术发展，以期指导本决定附件第</w:t>
      </w:r>
      <w:r w:rsidRPr="000C0842">
        <w:rPr>
          <w:rFonts w:eastAsia="SimSun"/>
          <w:sz w:val="24"/>
          <w:szCs w:val="24"/>
          <w:lang w:val="zh-CN"/>
        </w:rPr>
        <w:t>3</w:t>
      </w:r>
      <w:r w:rsidRPr="000C0842">
        <w:rPr>
          <w:rFonts w:eastAsia="SimSun" w:hAnsi="SimSun" w:hint="eastAsia"/>
          <w:sz w:val="24"/>
          <w:szCs w:val="24"/>
          <w:lang w:val="zh-CN"/>
        </w:rPr>
        <w:t>段所述合成生物学问题特设技术专家组的工作；</w:t>
      </w:r>
    </w:p>
    <w:p w14:paraId="5A87FEE9"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sz w:val="24"/>
          <w:szCs w:val="24"/>
        </w:rPr>
      </w:pPr>
      <w:r w:rsidRPr="000C0842">
        <w:rPr>
          <w:rFonts w:eastAsia="KaiTi" w:hAnsi="SimSun"/>
          <w:sz w:val="24"/>
          <w:szCs w:val="24"/>
          <w:lang w:val="zh-CN"/>
        </w:rPr>
        <w:t>请</w:t>
      </w:r>
      <w:r w:rsidRPr="000C0842">
        <w:rPr>
          <w:rFonts w:eastAsia="SimSun" w:hAnsi="SimSun"/>
          <w:sz w:val="24"/>
          <w:szCs w:val="24"/>
          <w:lang w:val="zh-CN"/>
        </w:rPr>
        <w:t>执行秘书在资源允许的</w:t>
      </w:r>
      <w:r w:rsidRPr="000C0842">
        <w:rPr>
          <w:rFonts w:eastAsia="SimSun" w:hAnsi="SimSun" w:hint="eastAsia"/>
          <w:sz w:val="24"/>
          <w:szCs w:val="24"/>
          <w:lang w:val="zh-CN"/>
        </w:rPr>
        <w:t>情况</w:t>
      </w:r>
      <w:r w:rsidRPr="000C0842">
        <w:rPr>
          <w:rFonts w:eastAsia="SimSun" w:hAnsi="SimSun"/>
          <w:sz w:val="24"/>
          <w:szCs w:val="24"/>
          <w:lang w:val="zh-CN"/>
        </w:rPr>
        <w:t>下</w:t>
      </w:r>
      <w:r w:rsidRPr="000C0842">
        <w:rPr>
          <w:rFonts w:eastAsia="SimSun"/>
          <w:sz w:val="24"/>
          <w:szCs w:val="24"/>
        </w:rPr>
        <w:t>：</w:t>
      </w:r>
    </w:p>
    <w:p w14:paraId="2E4B1247"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拟定</w:t>
      </w:r>
      <w:r w:rsidRPr="000C0842">
        <w:rPr>
          <w:rFonts w:eastAsia="SimSun"/>
          <w:sz w:val="24"/>
          <w:szCs w:val="24"/>
        </w:rPr>
        <w:t>一个专题行动计划</w:t>
      </w:r>
      <w:r w:rsidRPr="000C0842">
        <w:rPr>
          <w:rFonts w:eastAsia="SimSun" w:hint="eastAsia"/>
          <w:sz w:val="24"/>
          <w:szCs w:val="24"/>
        </w:rPr>
        <w:t>草案</w:t>
      </w:r>
      <w:r w:rsidRPr="000C0842">
        <w:rPr>
          <w:rFonts w:eastAsia="SimSun"/>
          <w:sz w:val="24"/>
          <w:szCs w:val="24"/>
        </w:rPr>
        <w:t>，</w:t>
      </w:r>
      <w:r w:rsidRPr="000C0842">
        <w:rPr>
          <w:rFonts w:eastAsia="SimSun" w:hint="eastAsia"/>
          <w:sz w:val="24"/>
          <w:szCs w:val="24"/>
        </w:rPr>
        <w:t>以</w:t>
      </w:r>
      <w:r w:rsidRPr="000C0842">
        <w:rPr>
          <w:rFonts w:eastAsia="SimSun"/>
          <w:sz w:val="24"/>
          <w:szCs w:val="24"/>
        </w:rPr>
        <w:t>支持</w:t>
      </w:r>
      <w:r w:rsidRPr="000C0842">
        <w:rPr>
          <w:rFonts w:eastAsia="SimSun" w:hint="eastAsia"/>
          <w:sz w:val="24"/>
          <w:szCs w:val="24"/>
        </w:rPr>
        <w:t>第</w:t>
      </w:r>
      <w:r w:rsidRPr="000C0842">
        <w:rPr>
          <w:rFonts w:eastAsia="SimSun" w:hint="eastAsia"/>
          <w:sz w:val="24"/>
          <w:szCs w:val="24"/>
        </w:rPr>
        <w:t>5</w:t>
      </w:r>
      <w:r w:rsidRPr="000C0842">
        <w:rPr>
          <w:rFonts w:eastAsia="SimSun" w:hint="eastAsia"/>
          <w:sz w:val="24"/>
          <w:szCs w:val="24"/>
        </w:rPr>
        <w:t>段所述</w:t>
      </w:r>
      <w:r w:rsidRPr="000C0842">
        <w:rPr>
          <w:rFonts w:eastAsia="SimSun"/>
          <w:sz w:val="24"/>
          <w:szCs w:val="24"/>
        </w:rPr>
        <w:t>合成生物学领域的能力建设和发展、技术获取和转让以及知识共享；</w:t>
      </w:r>
    </w:p>
    <w:p w14:paraId="1108FB46"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委托</w:t>
      </w:r>
      <w:r w:rsidRPr="000C0842">
        <w:rPr>
          <w:rFonts w:eastAsia="SimSun" w:hint="eastAsia"/>
          <w:sz w:val="24"/>
          <w:szCs w:val="24"/>
        </w:rPr>
        <w:t>进行</w:t>
      </w:r>
      <w:r w:rsidRPr="000C0842">
        <w:rPr>
          <w:rFonts w:eastAsia="SimSun"/>
          <w:sz w:val="24"/>
          <w:szCs w:val="24"/>
        </w:rPr>
        <w:t>一项独立的科学研究，汇编和总结现有的科学研究、公共研发资金需求和优先事项，以及与实现</w:t>
      </w:r>
      <w:r w:rsidRPr="000C0842">
        <w:rPr>
          <w:rFonts w:eastAsia="SimSun" w:hint="eastAsia"/>
          <w:sz w:val="24"/>
          <w:szCs w:val="24"/>
        </w:rPr>
        <w:t>《昆蒙框架》</w:t>
      </w:r>
      <w:r w:rsidRPr="000C0842">
        <w:rPr>
          <w:rFonts w:eastAsia="SimSun"/>
          <w:sz w:val="24"/>
          <w:szCs w:val="24"/>
        </w:rPr>
        <w:t>特别是与</w:t>
      </w:r>
      <w:r w:rsidRPr="000C0842">
        <w:rPr>
          <w:rFonts w:eastAsia="SimSun" w:hint="eastAsia"/>
          <w:sz w:val="24"/>
          <w:szCs w:val="24"/>
        </w:rPr>
        <w:t>行动</w:t>
      </w:r>
      <w:r w:rsidRPr="000C0842">
        <w:rPr>
          <w:rFonts w:eastAsia="SimSun"/>
          <w:sz w:val="24"/>
          <w:szCs w:val="24"/>
        </w:rPr>
        <w:t>目标</w:t>
      </w:r>
      <w:r w:rsidRPr="000C0842">
        <w:rPr>
          <w:rFonts w:eastAsia="SimSun"/>
          <w:sz w:val="24"/>
          <w:szCs w:val="24"/>
        </w:rPr>
        <w:t>4</w:t>
      </w:r>
      <w:r w:rsidRPr="000C0842">
        <w:rPr>
          <w:rFonts w:eastAsia="SimSun"/>
          <w:sz w:val="24"/>
          <w:szCs w:val="24"/>
        </w:rPr>
        <w:t>、</w:t>
      </w:r>
      <w:r w:rsidRPr="000C0842">
        <w:rPr>
          <w:rFonts w:eastAsia="SimSun"/>
          <w:sz w:val="24"/>
          <w:szCs w:val="24"/>
        </w:rPr>
        <w:t>6</w:t>
      </w:r>
      <w:r w:rsidRPr="000C0842">
        <w:rPr>
          <w:rFonts w:eastAsia="SimSun"/>
          <w:sz w:val="24"/>
          <w:szCs w:val="24"/>
        </w:rPr>
        <w:t>、</w:t>
      </w:r>
      <w:r w:rsidRPr="000C0842">
        <w:rPr>
          <w:rFonts w:eastAsia="SimSun"/>
          <w:sz w:val="24"/>
          <w:szCs w:val="24"/>
        </w:rPr>
        <w:t>7</w:t>
      </w:r>
      <w:r w:rsidRPr="000C0842">
        <w:rPr>
          <w:rFonts w:eastAsia="SimSun"/>
          <w:sz w:val="24"/>
          <w:szCs w:val="24"/>
        </w:rPr>
        <w:t>、</w:t>
      </w:r>
      <w:r w:rsidRPr="000C0842">
        <w:rPr>
          <w:rFonts w:eastAsia="SimSun"/>
          <w:sz w:val="24"/>
          <w:szCs w:val="24"/>
        </w:rPr>
        <w:t>8</w:t>
      </w:r>
      <w:r w:rsidRPr="000C0842">
        <w:rPr>
          <w:rFonts w:eastAsia="SimSun"/>
          <w:sz w:val="24"/>
          <w:szCs w:val="24"/>
        </w:rPr>
        <w:t>、</w:t>
      </w:r>
      <w:r w:rsidRPr="000C0842">
        <w:rPr>
          <w:rFonts w:eastAsia="SimSun"/>
          <w:sz w:val="24"/>
          <w:szCs w:val="24"/>
        </w:rPr>
        <w:t>10</w:t>
      </w:r>
      <w:r w:rsidRPr="000C0842">
        <w:rPr>
          <w:rFonts w:eastAsia="SimSun"/>
          <w:sz w:val="24"/>
          <w:szCs w:val="24"/>
        </w:rPr>
        <w:t>、</w:t>
      </w:r>
      <w:r w:rsidRPr="000C0842">
        <w:rPr>
          <w:rFonts w:eastAsia="SimSun"/>
          <w:sz w:val="24"/>
          <w:szCs w:val="24"/>
        </w:rPr>
        <w:t>13</w:t>
      </w:r>
      <w:r w:rsidRPr="000C0842">
        <w:rPr>
          <w:rFonts w:eastAsia="SimSun"/>
          <w:sz w:val="24"/>
          <w:szCs w:val="24"/>
        </w:rPr>
        <w:t>和</w:t>
      </w:r>
      <w:r w:rsidRPr="000C0842">
        <w:rPr>
          <w:rFonts w:eastAsia="SimSun"/>
          <w:sz w:val="24"/>
          <w:szCs w:val="24"/>
        </w:rPr>
        <w:t>17</w:t>
      </w:r>
      <w:r w:rsidRPr="000C0842">
        <w:rPr>
          <w:rFonts w:eastAsia="SimSun"/>
          <w:sz w:val="24"/>
          <w:szCs w:val="24"/>
        </w:rPr>
        <w:t>相关的合成生物学应用研究路线图；</w:t>
      </w:r>
    </w:p>
    <w:p w14:paraId="209C58DD"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汇总根据</w:t>
      </w:r>
      <w:r w:rsidRPr="000C0842">
        <w:rPr>
          <w:rFonts w:eastAsia="SimSun"/>
          <w:sz w:val="24"/>
          <w:szCs w:val="24"/>
        </w:rPr>
        <w:t>第</w:t>
      </w:r>
      <w:r w:rsidRPr="000C0842">
        <w:rPr>
          <w:rFonts w:eastAsia="SimSun"/>
          <w:sz w:val="24"/>
          <w:szCs w:val="24"/>
        </w:rPr>
        <w:t xml:space="preserve"> 7</w:t>
      </w:r>
      <w:r w:rsidRPr="000C0842">
        <w:rPr>
          <w:rFonts w:eastAsia="SimSun"/>
          <w:sz w:val="24"/>
          <w:szCs w:val="24"/>
        </w:rPr>
        <w:t>、</w:t>
      </w:r>
      <w:r w:rsidRPr="000C0842">
        <w:rPr>
          <w:rFonts w:eastAsia="SimSun"/>
          <w:sz w:val="24"/>
          <w:szCs w:val="24"/>
        </w:rPr>
        <w:t xml:space="preserve">8 </w:t>
      </w:r>
      <w:r w:rsidRPr="000C0842">
        <w:rPr>
          <w:rFonts w:eastAsia="SimSun"/>
          <w:sz w:val="24"/>
          <w:szCs w:val="24"/>
        </w:rPr>
        <w:t>和</w:t>
      </w:r>
      <w:r w:rsidRPr="000C0842">
        <w:rPr>
          <w:rFonts w:eastAsia="SimSun"/>
          <w:sz w:val="24"/>
          <w:szCs w:val="24"/>
        </w:rPr>
        <w:t xml:space="preserve"> 9 (f) </w:t>
      </w:r>
      <w:r w:rsidRPr="000C0842">
        <w:rPr>
          <w:rFonts w:eastAsia="SimSun"/>
          <w:sz w:val="24"/>
          <w:szCs w:val="24"/>
        </w:rPr>
        <w:t>段</w:t>
      </w:r>
      <w:r w:rsidRPr="000C0842">
        <w:rPr>
          <w:rFonts w:eastAsia="SimSun" w:hint="eastAsia"/>
          <w:sz w:val="24"/>
          <w:szCs w:val="24"/>
        </w:rPr>
        <w:t>分享</w:t>
      </w:r>
      <w:r w:rsidRPr="000C0842">
        <w:rPr>
          <w:rFonts w:eastAsia="SimSun"/>
          <w:sz w:val="24"/>
          <w:szCs w:val="24"/>
        </w:rPr>
        <w:t>的信息；</w:t>
      </w:r>
    </w:p>
    <w:p w14:paraId="2909E51D"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在科学、技术和工艺咨询附属机构第二十八</w:t>
      </w:r>
      <w:r w:rsidRPr="000C0842">
        <w:rPr>
          <w:rFonts w:eastAsia="SimSun" w:hint="eastAsia"/>
          <w:sz w:val="24"/>
          <w:szCs w:val="24"/>
        </w:rPr>
        <w:t>次</w:t>
      </w:r>
      <w:r w:rsidRPr="000C0842">
        <w:rPr>
          <w:rFonts w:eastAsia="SimSun"/>
          <w:sz w:val="24"/>
          <w:szCs w:val="24"/>
        </w:rPr>
        <w:t>会议之前提交专题行动计划草案供同行评议；</w:t>
      </w:r>
      <w:r w:rsidRPr="000C0842">
        <w:rPr>
          <w:rFonts w:eastAsia="SimSun"/>
          <w:sz w:val="24"/>
          <w:szCs w:val="24"/>
        </w:rPr>
        <w:tab/>
      </w:r>
    </w:p>
    <w:p w14:paraId="7BA7404E"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在信息交换所机制设一专栏，</w:t>
      </w:r>
      <w:r w:rsidRPr="000C0842">
        <w:rPr>
          <w:rFonts w:eastAsia="SimSun"/>
          <w:sz w:val="24"/>
          <w:szCs w:val="24"/>
        </w:rPr>
        <w:t>宣传专题行动计划</w:t>
      </w:r>
      <w:r w:rsidRPr="000C0842">
        <w:rPr>
          <w:rFonts w:eastAsia="SimSun" w:hint="eastAsia"/>
          <w:sz w:val="24"/>
          <w:szCs w:val="24"/>
        </w:rPr>
        <w:t>和</w:t>
      </w:r>
      <w:r w:rsidRPr="000C0842">
        <w:rPr>
          <w:rFonts w:eastAsia="SimSun"/>
          <w:sz w:val="24"/>
          <w:szCs w:val="24"/>
        </w:rPr>
        <w:t>合成生物学特设技术专家组</w:t>
      </w:r>
      <w:r w:rsidRPr="000C0842">
        <w:rPr>
          <w:rFonts w:eastAsia="SimSun" w:hint="eastAsia"/>
          <w:sz w:val="24"/>
          <w:szCs w:val="24"/>
        </w:rPr>
        <w:t>的成果，</w:t>
      </w:r>
      <w:r w:rsidRPr="000C0842">
        <w:rPr>
          <w:rFonts w:eastAsia="SimSun"/>
          <w:sz w:val="24"/>
          <w:szCs w:val="24"/>
        </w:rPr>
        <w:t>促进合成生物学方面的知识共享；</w:t>
      </w:r>
      <w:r w:rsidRPr="000C0842">
        <w:rPr>
          <w:rFonts w:eastAsia="SimSun"/>
          <w:sz w:val="24"/>
          <w:szCs w:val="24"/>
        </w:rPr>
        <w:t xml:space="preserve"> </w:t>
      </w:r>
    </w:p>
    <w:p w14:paraId="5A5AE812"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召集合成生物学问题不限成员名额在线论坛的在线讨论，支持特设技术专家组的合成生物学工作；</w:t>
      </w:r>
      <w:r w:rsidRPr="000C0842">
        <w:rPr>
          <w:rFonts w:eastAsia="SimSun"/>
          <w:sz w:val="24"/>
          <w:szCs w:val="24"/>
        </w:rPr>
        <w:t xml:space="preserve"> </w:t>
      </w:r>
    </w:p>
    <w:p w14:paraId="6C85DE91"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召开合成生物学特设技术专家组</w:t>
      </w:r>
      <w:r w:rsidRPr="000C0842">
        <w:rPr>
          <w:rFonts w:eastAsia="SimSun" w:hint="eastAsia"/>
          <w:sz w:val="24"/>
          <w:szCs w:val="24"/>
        </w:rPr>
        <w:t>会议，其中一次应为</w:t>
      </w:r>
      <w:r w:rsidRPr="000C0842">
        <w:rPr>
          <w:rFonts w:eastAsia="SimSun"/>
          <w:sz w:val="24"/>
          <w:szCs w:val="24"/>
        </w:rPr>
        <w:t>面对面会议；</w:t>
      </w:r>
      <w:r w:rsidRPr="000C0842">
        <w:rPr>
          <w:rFonts w:eastAsia="SimSun"/>
          <w:sz w:val="24"/>
          <w:szCs w:val="24"/>
        </w:rPr>
        <w:t xml:space="preserve"> </w:t>
      </w:r>
    </w:p>
    <w:p w14:paraId="66B84D52"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根据</w:t>
      </w:r>
      <w:r w:rsidRPr="000C0842">
        <w:rPr>
          <w:rFonts w:eastAsia="SimSun"/>
          <w:sz w:val="24"/>
          <w:szCs w:val="24"/>
        </w:rPr>
        <w:t>2010</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29</w:t>
      </w:r>
      <w:r w:rsidRPr="000C0842">
        <w:rPr>
          <w:rFonts w:eastAsia="SimSun"/>
          <w:sz w:val="24"/>
          <w:szCs w:val="24"/>
        </w:rPr>
        <w:t>日第</w:t>
      </w:r>
      <w:hyperlink r:id="rId217" w:history="1">
        <w:r w:rsidRPr="000C0842">
          <w:rPr>
            <w:rFonts w:eastAsia="SimSun"/>
            <w:sz w:val="24"/>
            <w:szCs w:val="24"/>
            <w:u w:val="single"/>
          </w:rPr>
          <w:t>X/40</w:t>
        </w:r>
      </w:hyperlink>
      <w:r w:rsidRPr="000C0842">
        <w:rPr>
          <w:rFonts w:eastAsia="SimSun"/>
          <w:sz w:val="24"/>
          <w:szCs w:val="24"/>
        </w:rPr>
        <w:t>号决定，支持土著人民和地方社区充分有效地参与《公约》下开展的合成生物学工作；</w:t>
      </w:r>
      <w:r w:rsidRPr="000C0842">
        <w:rPr>
          <w:rFonts w:eastAsia="SimSun"/>
          <w:sz w:val="24"/>
          <w:szCs w:val="24"/>
        </w:rPr>
        <w:t xml:space="preserve"> </w:t>
      </w:r>
    </w:p>
    <w:p w14:paraId="477B2B50"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继续支持妇女</w:t>
      </w:r>
      <w:r w:rsidRPr="000C0842">
        <w:rPr>
          <w:rFonts w:eastAsia="SimSun" w:hint="eastAsia"/>
          <w:sz w:val="24"/>
          <w:szCs w:val="24"/>
        </w:rPr>
        <w:t>、</w:t>
      </w:r>
      <w:r w:rsidRPr="000C0842">
        <w:rPr>
          <w:rFonts w:eastAsia="SimSun"/>
          <w:sz w:val="24"/>
          <w:szCs w:val="24"/>
        </w:rPr>
        <w:t>青年</w:t>
      </w:r>
      <w:r w:rsidRPr="000C0842">
        <w:rPr>
          <w:rFonts w:eastAsia="SimSun" w:hint="eastAsia"/>
          <w:sz w:val="24"/>
          <w:szCs w:val="24"/>
        </w:rPr>
        <w:t>、</w:t>
      </w:r>
      <w:r w:rsidRPr="000C0842">
        <w:rPr>
          <w:rFonts w:eastAsia="SimSun"/>
          <w:sz w:val="24"/>
          <w:szCs w:val="24"/>
        </w:rPr>
        <w:t>学术界</w:t>
      </w:r>
      <w:r w:rsidRPr="000C0842">
        <w:rPr>
          <w:rFonts w:eastAsia="SimSun" w:hint="eastAsia"/>
          <w:sz w:val="24"/>
          <w:szCs w:val="24"/>
        </w:rPr>
        <w:t>和研究机构</w:t>
      </w:r>
      <w:r w:rsidRPr="000C0842">
        <w:rPr>
          <w:rFonts w:eastAsia="SimSun"/>
          <w:sz w:val="24"/>
          <w:szCs w:val="24"/>
        </w:rPr>
        <w:t>参与《公约》下开展的合成生物学工作；</w:t>
      </w:r>
      <w:r w:rsidRPr="000C0842">
        <w:rPr>
          <w:rFonts w:eastAsia="SimSun"/>
          <w:sz w:val="24"/>
          <w:szCs w:val="24"/>
        </w:rPr>
        <w:t xml:space="preserve"> </w:t>
      </w:r>
    </w:p>
    <w:p w14:paraId="5B3984D0" w14:textId="77777777" w:rsidR="004D5AD7" w:rsidRPr="000C0842" w:rsidRDefault="004D5AD7">
      <w:pPr>
        <w:numPr>
          <w:ilvl w:val="0"/>
          <w:numId w:val="102"/>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便利</w:t>
      </w:r>
      <w:r w:rsidRPr="000C0842">
        <w:rPr>
          <w:rFonts w:eastAsia="SimSun"/>
          <w:sz w:val="24"/>
          <w:szCs w:val="24"/>
        </w:rPr>
        <w:t>合成生物学方面的能力建设</w:t>
      </w:r>
      <w:r w:rsidRPr="000C0842">
        <w:rPr>
          <w:rFonts w:eastAsia="SimSun" w:hint="eastAsia"/>
          <w:sz w:val="24"/>
          <w:szCs w:val="24"/>
        </w:rPr>
        <w:t>活动</w:t>
      </w:r>
      <w:r w:rsidRPr="000C0842">
        <w:rPr>
          <w:rFonts w:eastAsia="SimSun"/>
          <w:sz w:val="24"/>
          <w:szCs w:val="24"/>
        </w:rPr>
        <w:t>；</w:t>
      </w:r>
    </w:p>
    <w:p w14:paraId="48A8F6DB" w14:textId="77777777" w:rsidR="004D5AD7" w:rsidRPr="000C0842" w:rsidRDefault="004D5AD7">
      <w:pPr>
        <w:numPr>
          <w:ilvl w:val="0"/>
          <w:numId w:val="101"/>
        </w:numPr>
        <w:tabs>
          <w:tab w:val="clear" w:pos="567"/>
          <w:tab w:val="clear" w:pos="1134"/>
          <w:tab w:val="clear" w:pos="1701"/>
          <w:tab w:val="clear" w:pos="2268"/>
        </w:tabs>
        <w:topLinePunct/>
        <w:snapToGrid w:val="0"/>
        <w:spacing w:before="120" w:after="120"/>
        <w:ind w:left="490" w:firstLine="490"/>
        <w:rPr>
          <w:rFonts w:eastAsia="SimSun" w:hAnsi="SimSun"/>
          <w:sz w:val="24"/>
          <w:szCs w:val="24"/>
          <w:lang w:val="zh-CN"/>
        </w:rPr>
      </w:pPr>
      <w:r w:rsidRPr="000C0842">
        <w:rPr>
          <w:rFonts w:eastAsia="KaiTi" w:hAnsi="SimSun"/>
          <w:sz w:val="24"/>
          <w:szCs w:val="24"/>
          <w:lang w:val="zh-CN"/>
        </w:rPr>
        <w:t>请</w:t>
      </w:r>
      <w:r w:rsidRPr="000C0842">
        <w:rPr>
          <w:rFonts w:eastAsia="SimSun" w:hAnsi="SimSun"/>
          <w:sz w:val="24"/>
          <w:szCs w:val="24"/>
          <w:lang w:val="zh-CN"/>
        </w:rPr>
        <w:t>科学、技术和工艺咨询附属机构第二十八</w:t>
      </w:r>
      <w:r w:rsidRPr="000C0842">
        <w:rPr>
          <w:rFonts w:eastAsia="SimSun" w:hAnsi="SimSun" w:hint="eastAsia"/>
          <w:sz w:val="24"/>
          <w:szCs w:val="24"/>
          <w:lang w:val="zh-CN"/>
        </w:rPr>
        <w:t>次</w:t>
      </w:r>
      <w:r w:rsidRPr="000C0842">
        <w:rPr>
          <w:rFonts w:eastAsia="SimSun" w:hAnsi="SimSun"/>
          <w:sz w:val="24"/>
          <w:szCs w:val="24"/>
          <w:lang w:val="zh-CN"/>
        </w:rPr>
        <w:t>会议</w:t>
      </w:r>
      <w:r w:rsidRPr="000C0842">
        <w:rPr>
          <w:rFonts w:eastAsia="SimSun" w:hAnsi="SimSun" w:hint="eastAsia"/>
          <w:sz w:val="24"/>
          <w:szCs w:val="24"/>
          <w:lang w:val="zh-CN"/>
        </w:rPr>
        <w:t>审议专题行动计划草案和</w:t>
      </w:r>
      <w:r w:rsidRPr="000C0842">
        <w:rPr>
          <w:rFonts w:eastAsia="SimSun" w:hAnsi="SimSun"/>
          <w:sz w:val="24"/>
          <w:szCs w:val="24"/>
          <w:lang w:val="zh-CN"/>
        </w:rPr>
        <w:t>合成生物学特设技术专家组的</w:t>
      </w:r>
      <w:r w:rsidRPr="000C0842">
        <w:rPr>
          <w:rFonts w:eastAsia="SimSun" w:hAnsi="SimSun" w:hint="eastAsia"/>
          <w:sz w:val="24"/>
          <w:szCs w:val="24"/>
          <w:lang w:val="zh-CN"/>
        </w:rPr>
        <w:t>工作</w:t>
      </w:r>
      <w:r w:rsidRPr="000C0842">
        <w:rPr>
          <w:rFonts w:eastAsia="SimSun" w:hAnsi="SimSun"/>
          <w:sz w:val="24"/>
          <w:szCs w:val="24"/>
          <w:lang w:val="zh-CN"/>
        </w:rPr>
        <w:t>成果，</w:t>
      </w:r>
      <w:r w:rsidRPr="000C0842">
        <w:rPr>
          <w:rFonts w:eastAsia="SimSun" w:hAnsi="SimSun" w:hint="eastAsia"/>
          <w:sz w:val="24"/>
          <w:szCs w:val="24"/>
          <w:lang w:val="zh-CN"/>
        </w:rPr>
        <w:t>并请执行问题附属机构在其一次会议上审查专题行动计划的执行方面，以便提交一项决定草案，供</w:t>
      </w:r>
      <w:r w:rsidRPr="000C0842">
        <w:rPr>
          <w:rFonts w:eastAsia="SimSun" w:hAnsi="SimSun"/>
          <w:sz w:val="24"/>
          <w:szCs w:val="24"/>
          <w:lang w:val="zh-CN"/>
        </w:rPr>
        <w:t>缔约方</w:t>
      </w:r>
      <w:r w:rsidRPr="000C0842">
        <w:rPr>
          <w:rFonts w:eastAsia="SimSun" w:hAnsi="SimSun" w:hint="eastAsia"/>
          <w:sz w:val="24"/>
          <w:szCs w:val="24"/>
          <w:lang w:val="zh-CN"/>
        </w:rPr>
        <w:t>大会</w:t>
      </w:r>
      <w:r w:rsidRPr="000C0842">
        <w:rPr>
          <w:rFonts w:eastAsia="SimSun" w:hAnsi="SimSun"/>
          <w:sz w:val="24"/>
          <w:szCs w:val="24"/>
          <w:lang w:val="zh-CN"/>
        </w:rPr>
        <w:t>第十七届会议</w:t>
      </w:r>
      <w:r w:rsidRPr="000C0842">
        <w:rPr>
          <w:rFonts w:eastAsia="SimSun" w:hAnsi="SimSun" w:hint="eastAsia"/>
          <w:sz w:val="24"/>
          <w:szCs w:val="24"/>
          <w:lang w:val="zh-CN"/>
        </w:rPr>
        <w:t>审议</w:t>
      </w:r>
      <w:r w:rsidRPr="000C0842">
        <w:rPr>
          <w:rFonts w:eastAsia="SimSun" w:hAnsi="SimSun"/>
          <w:sz w:val="24"/>
          <w:szCs w:val="24"/>
          <w:lang w:val="zh-CN"/>
        </w:rPr>
        <w:t>；</w:t>
      </w:r>
    </w:p>
    <w:p w14:paraId="14205977" w14:textId="5A037082" w:rsidR="004D5AD7" w:rsidRPr="000C0842" w:rsidRDefault="00880B82" w:rsidP="00880B82">
      <w:pPr>
        <w:tabs>
          <w:tab w:val="clear" w:pos="567"/>
          <w:tab w:val="clear" w:pos="1134"/>
          <w:tab w:val="clear" w:pos="1701"/>
          <w:tab w:val="clear" w:pos="2268"/>
        </w:tabs>
        <w:spacing w:before="240"/>
        <w:jc w:val="left"/>
        <w:rPr>
          <w:rFonts w:eastAsia="SimSun"/>
          <w:b/>
          <w:sz w:val="24"/>
          <w:szCs w:val="24"/>
        </w:rPr>
      </w:pPr>
      <w:r w:rsidRPr="000C0842">
        <w:rPr>
          <w:rFonts w:eastAsia="SimSun"/>
          <w:sz w:val="24"/>
          <w:szCs w:val="24"/>
        </w:rPr>
        <w:tab/>
      </w:r>
      <w:r w:rsidR="004D5AD7" w:rsidRPr="000C0842">
        <w:rPr>
          <w:rFonts w:eastAsia="SimSun"/>
          <w:b/>
          <w:sz w:val="24"/>
          <w:szCs w:val="24"/>
        </w:rPr>
        <w:t>附件</w:t>
      </w:r>
    </w:p>
    <w:p w14:paraId="3814EBB8" w14:textId="77777777" w:rsidR="004D5AD7" w:rsidRPr="000C0842" w:rsidRDefault="004D5AD7" w:rsidP="00880B82">
      <w:pPr>
        <w:spacing w:after="120"/>
        <w:ind w:left="490"/>
        <w:rPr>
          <w:rFonts w:eastAsia="SimSun"/>
          <w:b/>
          <w:sz w:val="24"/>
          <w:szCs w:val="24"/>
        </w:rPr>
      </w:pPr>
      <w:r w:rsidRPr="000C0842">
        <w:rPr>
          <w:rFonts w:eastAsia="SimSun"/>
          <w:b/>
          <w:sz w:val="24"/>
          <w:szCs w:val="24"/>
        </w:rPr>
        <w:t>合成生物学问题</w:t>
      </w:r>
      <w:r w:rsidRPr="000C0842">
        <w:rPr>
          <w:rFonts w:eastAsia="SimSun" w:hint="eastAsia"/>
          <w:b/>
          <w:sz w:val="24"/>
          <w:szCs w:val="24"/>
        </w:rPr>
        <w:t>特设</w:t>
      </w:r>
      <w:r w:rsidRPr="000C0842">
        <w:rPr>
          <w:rFonts w:eastAsia="SimSun"/>
          <w:b/>
          <w:sz w:val="24"/>
          <w:szCs w:val="24"/>
        </w:rPr>
        <w:t>技术专家组的职权范围</w:t>
      </w:r>
      <w:r w:rsidRPr="000C0842">
        <w:rPr>
          <w:rFonts w:eastAsia="SimSun"/>
          <w:b/>
          <w:sz w:val="24"/>
          <w:szCs w:val="24"/>
        </w:rPr>
        <w:t xml:space="preserve"> </w:t>
      </w:r>
    </w:p>
    <w:p w14:paraId="15A3C23F" w14:textId="7D25BEF3" w:rsidR="004D5AD7" w:rsidRPr="000C0842" w:rsidRDefault="004D5AD7" w:rsidP="004D5AD7">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 xml:space="preserve">1. </w:t>
      </w:r>
      <w:r w:rsidRPr="000C0842">
        <w:rPr>
          <w:rFonts w:eastAsia="SimSun"/>
          <w:sz w:val="24"/>
          <w:szCs w:val="24"/>
        </w:rPr>
        <w:tab/>
      </w:r>
      <w:r w:rsidRPr="000C0842">
        <w:rPr>
          <w:rFonts w:eastAsia="SimSun"/>
          <w:sz w:val="24"/>
          <w:szCs w:val="24"/>
        </w:rPr>
        <w:t>合成生物学问题特设技术专家组的召集将遵循科学、技术和工艺咨询附属机构综合工作方法</w:t>
      </w:r>
      <w:r w:rsidRPr="000C0842">
        <w:rPr>
          <w:rFonts w:eastAsia="SimSun"/>
          <w:sz w:val="24"/>
          <w:szCs w:val="24"/>
          <w:vertAlign w:val="superscript"/>
        </w:rPr>
        <w:footnoteReference w:id="350"/>
      </w:r>
      <w:r w:rsidRPr="000C0842">
        <w:rPr>
          <w:rFonts w:eastAsia="SimSun"/>
          <w:sz w:val="24"/>
          <w:szCs w:val="24"/>
        </w:rPr>
        <w:t xml:space="preserve">H </w:t>
      </w:r>
      <w:r w:rsidRPr="000C0842">
        <w:rPr>
          <w:rFonts w:eastAsia="SimSun"/>
          <w:sz w:val="24"/>
          <w:szCs w:val="24"/>
        </w:rPr>
        <w:t>节的规定处理。</w:t>
      </w:r>
    </w:p>
    <w:p w14:paraId="465F9A8B" w14:textId="77777777" w:rsidR="004D5AD7" w:rsidRPr="000C0842" w:rsidRDefault="004D5AD7" w:rsidP="004D5AD7">
      <w:pPr>
        <w:pBdr>
          <w:top w:val="nil"/>
          <w:left w:val="nil"/>
          <w:bottom w:val="nil"/>
          <w:right w:val="nil"/>
          <w:between w:val="nil"/>
        </w:pBd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 xml:space="preserve">2. </w:t>
      </w:r>
      <w:r w:rsidRPr="000C0842">
        <w:rPr>
          <w:rFonts w:eastAsia="SimSun"/>
          <w:sz w:val="24"/>
          <w:szCs w:val="24"/>
        </w:rPr>
        <w:tab/>
        <w:t xml:space="preserve">2018 </w:t>
      </w:r>
      <w:r w:rsidRPr="000C0842">
        <w:rPr>
          <w:rFonts w:eastAsia="SimSun"/>
          <w:sz w:val="24"/>
          <w:szCs w:val="24"/>
        </w:rPr>
        <w:t>年</w:t>
      </w:r>
      <w:r w:rsidRPr="000C0842">
        <w:rPr>
          <w:rFonts w:eastAsia="SimSun"/>
          <w:sz w:val="24"/>
          <w:szCs w:val="24"/>
        </w:rPr>
        <w:t xml:space="preserve"> 11 </w:t>
      </w:r>
      <w:r w:rsidRPr="000C0842">
        <w:rPr>
          <w:rFonts w:eastAsia="SimSun"/>
          <w:sz w:val="24"/>
          <w:szCs w:val="24"/>
        </w:rPr>
        <w:t>月</w:t>
      </w:r>
      <w:r w:rsidRPr="000C0842">
        <w:rPr>
          <w:rFonts w:eastAsia="SimSun"/>
          <w:sz w:val="24"/>
          <w:szCs w:val="24"/>
        </w:rPr>
        <w:t xml:space="preserve"> 29 </w:t>
      </w:r>
      <w:r w:rsidRPr="000C0842">
        <w:rPr>
          <w:rFonts w:eastAsia="SimSun"/>
          <w:sz w:val="24"/>
          <w:szCs w:val="24"/>
        </w:rPr>
        <w:t>日第</w:t>
      </w:r>
      <w:r w:rsidRPr="000C0842">
        <w:rPr>
          <w:rFonts w:eastAsia="SimSun"/>
          <w:sz w:val="24"/>
          <w:szCs w:val="24"/>
        </w:rPr>
        <w:t xml:space="preserve"> </w:t>
      </w:r>
      <w:hyperlink r:id="rId218" w:history="1">
        <w:r w:rsidRPr="000C0842">
          <w:rPr>
            <w:rFonts w:eastAsia="SimSun"/>
            <w:sz w:val="24"/>
            <w:szCs w:val="24"/>
            <w:u w:val="single"/>
          </w:rPr>
          <w:t>14/33</w:t>
        </w:r>
      </w:hyperlink>
      <w:r w:rsidRPr="000C0842">
        <w:rPr>
          <w:rFonts w:eastAsia="SimSun"/>
          <w:sz w:val="24"/>
          <w:szCs w:val="24"/>
        </w:rPr>
        <w:t xml:space="preserve"> </w:t>
      </w:r>
      <w:r w:rsidRPr="000C0842">
        <w:rPr>
          <w:rFonts w:eastAsia="SimSun"/>
          <w:sz w:val="24"/>
          <w:szCs w:val="24"/>
        </w:rPr>
        <w:t>号决定附件规定的</w:t>
      </w:r>
      <w:r w:rsidRPr="000C0842">
        <w:rPr>
          <w:rFonts w:eastAsia="SimSun" w:hint="eastAsia"/>
          <w:sz w:val="24"/>
          <w:szCs w:val="24"/>
        </w:rPr>
        <w:t>规避</w:t>
      </w:r>
      <w:r w:rsidRPr="000C0842">
        <w:rPr>
          <w:rFonts w:eastAsia="SimSun"/>
          <w:sz w:val="24"/>
          <w:szCs w:val="24"/>
        </w:rPr>
        <w:t>或管理专家组利益冲突的程序适用于合成生物学问题特设技术专家组。</w:t>
      </w:r>
    </w:p>
    <w:p w14:paraId="5CB88E0D" w14:textId="77777777" w:rsidR="004D5AD7" w:rsidRPr="000C0842" w:rsidRDefault="004D5AD7" w:rsidP="004D5AD7">
      <w:pPr>
        <w:pBdr>
          <w:top w:val="nil"/>
          <w:left w:val="nil"/>
          <w:bottom w:val="nil"/>
          <w:right w:val="nil"/>
          <w:between w:val="nil"/>
        </w:pBd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 xml:space="preserve">3. </w:t>
      </w:r>
      <w:r w:rsidRPr="000C0842">
        <w:rPr>
          <w:rFonts w:eastAsia="SimSun"/>
          <w:sz w:val="24"/>
          <w:szCs w:val="24"/>
        </w:rPr>
        <w:tab/>
      </w:r>
      <w:r w:rsidRPr="000C0842">
        <w:rPr>
          <w:rFonts w:eastAsia="SimSun"/>
          <w:sz w:val="24"/>
          <w:szCs w:val="24"/>
        </w:rPr>
        <w:t>合成生物学特设技术专家组将</w:t>
      </w:r>
      <w:r w:rsidRPr="000C0842">
        <w:rPr>
          <w:rFonts w:eastAsia="SimSun" w:hint="eastAsia"/>
          <w:sz w:val="24"/>
          <w:szCs w:val="24"/>
        </w:rPr>
        <w:t>：</w:t>
      </w:r>
    </w:p>
    <w:p w14:paraId="2F2E7479"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审查</w:t>
      </w:r>
      <w:r w:rsidRPr="000C0842">
        <w:rPr>
          <w:rFonts w:eastAsia="SimSun" w:hint="eastAsia"/>
          <w:sz w:val="24"/>
          <w:szCs w:val="24"/>
        </w:rPr>
        <w:t>并汇总</w:t>
      </w:r>
      <w:r w:rsidRPr="000C0842">
        <w:rPr>
          <w:rFonts w:eastAsia="SimSun"/>
          <w:sz w:val="24"/>
          <w:szCs w:val="24"/>
        </w:rPr>
        <w:t>本决定第</w:t>
      </w:r>
      <w:r w:rsidRPr="000C0842">
        <w:rPr>
          <w:rFonts w:eastAsia="SimSun"/>
          <w:sz w:val="24"/>
          <w:szCs w:val="24"/>
        </w:rPr>
        <w:t xml:space="preserve"> 9(c)</w:t>
      </w:r>
      <w:r w:rsidRPr="000C0842">
        <w:rPr>
          <w:rFonts w:eastAsia="SimSun" w:hint="eastAsia"/>
          <w:sz w:val="24"/>
          <w:szCs w:val="24"/>
        </w:rPr>
        <w:t>分</w:t>
      </w:r>
      <w:r w:rsidRPr="000C0842">
        <w:rPr>
          <w:rFonts w:eastAsia="SimSun"/>
          <w:sz w:val="24"/>
          <w:szCs w:val="24"/>
        </w:rPr>
        <w:t>段提及的</w:t>
      </w:r>
      <w:r w:rsidRPr="000C0842">
        <w:rPr>
          <w:rFonts w:eastAsia="SimSun" w:hint="eastAsia"/>
          <w:sz w:val="24"/>
          <w:szCs w:val="24"/>
        </w:rPr>
        <w:t>信息汇编和</w:t>
      </w:r>
      <w:r w:rsidRPr="000C0842">
        <w:rPr>
          <w:rFonts w:eastAsia="SimSun"/>
          <w:sz w:val="24"/>
          <w:szCs w:val="24"/>
        </w:rPr>
        <w:t>第</w:t>
      </w:r>
      <w:r w:rsidRPr="000C0842">
        <w:rPr>
          <w:rFonts w:eastAsia="SimSun"/>
          <w:sz w:val="24"/>
          <w:szCs w:val="24"/>
        </w:rPr>
        <w:t xml:space="preserve"> 9(b)</w:t>
      </w:r>
      <w:r w:rsidRPr="000C0842">
        <w:rPr>
          <w:rFonts w:eastAsia="SimSun" w:hint="eastAsia"/>
          <w:sz w:val="24"/>
          <w:szCs w:val="24"/>
        </w:rPr>
        <w:t>分</w:t>
      </w:r>
      <w:r w:rsidRPr="000C0842">
        <w:rPr>
          <w:rFonts w:eastAsia="SimSun"/>
          <w:sz w:val="24"/>
          <w:szCs w:val="24"/>
        </w:rPr>
        <w:t>段提及的科研报告，同时考虑到专题行动计划草案和其他现有相关技术信息；</w:t>
      </w:r>
    </w:p>
    <w:p w14:paraId="24370114"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借鉴</w:t>
      </w:r>
      <w:r w:rsidRPr="000C0842">
        <w:rPr>
          <w:rFonts w:eastAsia="SimSun"/>
          <w:sz w:val="24"/>
          <w:szCs w:val="24"/>
        </w:rPr>
        <w:t>《生物多样性公约》</w:t>
      </w:r>
      <w:r w:rsidRPr="000C0842">
        <w:rPr>
          <w:rFonts w:eastAsia="SimSun"/>
          <w:sz w:val="24"/>
          <w:szCs w:val="24"/>
          <w:vertAlign w:val="superscript"/>
        </w:rPr>
        <w:footnoteReference w:id="351"/>
      </w:r>
      <w:r w:rsidRPr="000C0842">
        <w:rPr>
          <w:rFonts w:eastAsia="SimSun"/>
          <w:sz w:val="24"/>
          <w:szCs w:val="24"/>
        </w:rPr>
        <w:t>及其</w:t>
      </w:r>
      <w:r w:rsidRPr="000C0842">
        <w:rPr>
          <w:rFonts w:eastAsia="SimSun" w:hint="eastAsia"/>
          <w:sz w:val="24"/>
          <w:szCs w:val="24"/>
        </w:rPr>
        <w:t>议定书下以往进行的</w:t>
      </w:r>
      <w:r w:rsidRPr="000C0842">
        <w:rPr>
          <w:rFonts w:eastAsia="SimSun"/>
          <w:sz w:val="24"/>
          <w:szCs w:val="24"/>
        </w:rPr>
        <w:t>相关工作；</w:t>
      </w:r>
    </w:p>
    <w:p w14:paraId="6D311BCD"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hint="eastAsia"/>
          <w:sz w:val="24"/>
          <w:szCs w:val="24"/>
        </w:rPr>
        <w:t>查明合成生物学对《公约》三个目标和《昆明</w:t>
      </w:r>
      <w:r w:rsidRPr="000C0842">
        <w:rPr>
          <w:rFonts w:eastAsia="SimSun" w:hint="eastAsia"/>
          <w:sz w:val="24"/>
          <w:szCs w:val="24"/>
        </w:rPr>
        <w:t>-</w:t>
      </w:r>
      <w:r w:rsidRPr="000C0842">
        <w:rPr>
          <w:rFonts w:eastAsia="SimSun" w:hint="eastAsia"/>
          <w:sz w:val="24"/>
          <w:szCs w:val="24"/>
        </w:rPr>
        <w:t>蒙特利尔全球生物多样性框架》</w:t>
      </w:r>
      <w:r w:rsidRPr="000C0842">
        <w:rPr>
          <w:rFonts w:eastAsia="SimSun"/>
          <w:sz w:val="24"/>
          <w:szCs w:val="24"/>
          <w:vertAlign w:val="superscript"/>
        </w:rPr>
        <w:footnoteReference w:id="352"/>
      </w:r>
      <w:r w:rsidRPr="000C0842">
        <w:rPr>
          <w:rFonts w:eastAsia="SimSun" w:hint="eastAsia"/>
          <w:sz w:val="24"/>
          <w:szCs w:val="24"/>
        </w:rPr>
        <w:t>执行工作的现有和潜在益处</w:t>
      </w:r>
      <w:r w:rsidRPr="000C0842">
        <w:rPr>
          <w:rFonts w:eastAsia="SimSun"/>
          <w:sz w:val="24"/>
          <w:szCs w:val="24"/>
        </w:rPr>
        <w:t>；</w:t>
      </w:r>
    </w:p>
    <w:p w14:paraId="100488E1"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查明合成生物学最新技术发展对《公约》三</w:t>
      </w:r>
      <w:r w:rsidRPr="000C0842">
        <w:rPr>
          <w:rFonts w:eastAsia="SimSun" w:hint="eastAsia"/>
          <w:sz w:val="24"/>
          <w:szCs w:val="24"/>
        </w:rPr>
        <w:t>个</w:t>
      </w:r>
      <w:r w:rsidRPr="000C0842">
        <w:rPr>
          <w:rFonts w:eastAsia="SimSun"/>
          <w:sz w:val="24"/>
          <w:szCs w:val="24"/>
        </w:rPr>
        <w:t>目标和《昆蒙框架》</w:t>
      </w:r>
      <w:r w:rsidRPr="000C0842">
        <w:rPr>
          <w:rFonts w:eastAsia="SimSun" w:hint="eastAsia"/>
          <w:sz w:val="24"/>
          <w:szCs w:val="24"/>
        </w:rPr>
        <w:t>执行工作</w:t>
      </w:r>
      <w:r w:rsidRPr="000C0842">
        <w:rPr>
          <w:rFonts w:eastAsia="SimSun"/>
          <w:sz w:val="24"/>
          <w:szCs w:val="24"/>
        </w:rPr>
        <w:t>的潜在积极影响；</w:t>
      </w:r>
    </w:p>
    <w:p w14:paraId="1903C787"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查明合成生物学最新技术发展对《公约》三</w:t>
      </w:r>
      <w:r w:rsidRPr="000C0842">
        <w:rPr>
          <w:rFonts w:eastAsia="SimSun" w:hint="eastAsia"/>
          <w:sz w:val="24"/>
          <w:szCs w:val="24"/>
        </w:rPr>
        <w:t>个</w:t>
      </w:r>
      <w:r w:rsidRPr="000C0842">
        <w:rPr>
          <w:rFonts w:eastAsia="SimSun"/>
          <w:sz w:val="24"/>
          <w:szCs w:val="24"/>
        </w:rPr>
        <w:t>目标和《昆蒙框架》</w:t>
      </w:r>
      <w:r w:rsidRPr="000C0842">
        <w:rPr>
          <w:rFonts w:eastAsia="SimSun" w:hint="eastAsia"/>
          <w:sz w:val="24"/>
          <w:szCs w:val="24"/>
        </w:rPr>
        <w:t>执行工作</w:t>
      </w:r>
      <w:r w:rsidRPr="000C0842">
        <w:rPr>
          <w:rFonts w:eastAsia="SimSun"/>
          <w:sz w:val="24"/>
          <w:szCs w:val="24"/>
        </w:rPr>
        <w:t>的潜在负面影响；</w:t>
      </w:r>
    </w:p>
    <w:p w14:paraId="410A4AD4"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eastAsia="SimSun"/>
          <w:sz w:val="24"/>
          <w:szCs w:val="24"/>
        </w:rPr>
      </w:pPr>
      <w:r w:rsidRPr="000C0842">
        <w:rPr>
          <w:rFonts w:eastAsia="SimSun"/>
          <w:sz w:val="24"/>
          <w:szCs w:val="24"/>
        </w:rPr>
        <w:t>根据合成生物学的未来发展以及《公约》和《昆蒙框架》目标的</w:t>
      </w:r>
      <w:r w:rsidRPr="000C0842">
        <w:rPr>
          <w:rFonts w:eastAsia="SimSun" w:hint="eastAsia"/>
          <w:sz w:val="24"/>
          <w:szCs w:val="24"/>
        </w:rPr>
        <w:t>执行</w:t>
      </w:r>
      <w:r w:rsidRPr="000C0842">
        <w:rPr>
          <w:rFonts w:eastAsia="SimSun"/>
          <w:sz w:val="24"/>
          <w:szCs w:val="24"/>
        </w:rPr>
        <w:t>情况，就如何在专题行动计划草案中考虑合成生物学方面的能力建设和发展、技术获取和转让以及知识共享</w:t>
      </w:r>
      <w:r w:rsidRPr="000C0842">
        <w:rPr>
          <w:rFonts w:eastAsia="SimSun" w:hint="eastAsia"/>
          <w:sz w:val="24"/>
          <w:szCs w:val="24"/>
        </w:rPr>
        <w:t>提供咨询</w:t>
      </w:r>
      <w:r w:rsidRPr="000C0842">
        <w:rPr>
          <w:rFonts w:eastAsia="SimSun"/>
          <w:sz w:val="24"/>
          <w:szCs w:val="24"/>
        </w:rPr>
        <w:t>；</w:t>
      </w:r>
    </w:p>
    <w:p w14:paraId="42E5771D" w14:textId="77777777" w:rsidR="004D5AD7" w:rsidRPr="000C0842" w:rsidRDefault="004D5AD7">
      <w:pPr>
        <w:numPr>
          <w:ilvl w:val="0"/>
          <w:numId w:val="103"/>
        </w:numPr>
        <w:tabs>
          <w:tab w:val="clear" w:pos="567"/>
          <w:tab w:val="clear" w:pos="1134"/>
          <w:tab w:val="clear" w:pos="1701"/>
          <w:tab w:val="clear" w:pos="2268"/>
        </w:tabs>
        <w:snapToGrid w:val="0"/>
        <w:spacing w:before="120" w:after="120"/>
        <w:ind w:left="490" w:firstLine="490"/>
        <w:jc w:val="left"/>
        <w:rPr>
          <w:rFonts w:ascii="SimSun" w:eastAsia="SimSun" w:hAnsi="SimSun" w:cs="SimSun"/>
          <w:spacing w:val="-10"/>
          <w:sz w:val="24"/>
          <w:szCs w:val="24"/>
        </w:rPr>
      </w:pPr>
      <w:r w:rsidRPr="000C0842">
        <w:rPr>
          <w:rFonts w:eastAsia="SimSun" w:hint="eastAsia"/>
          <w:spacing w:val="-10"/>
          <w:sz w:val="24"/>
          <w:szCs w:val="24"/>
        </w:rPr>
        <w:t>拟定</w:t>
      </w:r>
      <w:r w:rsidRPr="000C0842">
        <w:rPr>
          <w:rFonts w:eastAsia="SimSun"/>
          <w:spacing w:val="-10"/>
          <w:sz w:val="24"/>
          <w:szCs w:val="24"/>
        </w:rPr>
        <w:t>一项工作报告供科学、技术和工艺咨询附属机构</w:t>
      </w:r>
      <w:r w:rsidRPr="000C0842">
        <w:rPr>
          <w:rFonts w:eastAsia="SimSun" w:hint="eastAsia"/>
          <w:spacing w:val="-10"/>
          <w:sz w:val="24"/>
          <w:szCs w:val="24"/>
        </w:rPr>
        <w:t>第二十八次会议审议</w:t>
      </w:r>
      <w:r w:rsidRPr="000C0842">
        <w:rPr>
          <w:rFonts w:eastAsia="SimSun"/>
          <w:spacing w:val="-10"/>
          <w:sz w:val="24"/>
          <w:szCs w:val="24"/>
        </w:rPr>
        <w:t>。</w:t>
      </w:r>
      <w:r w:rsidRPr="000C0842">
        <w:rPr>
          <w:rFonts w:ascii="Gungsuh" w:eastAsia="Gungsuh" w:hAnsi="Gungsuh" w:cs="Gungsuh"/>
          <w:spacing w:val="-10"/>
          <w:sz w:val="24"/>
          <w:szCs w:val="24"/>
        </w:rPr>
        <w:br/>
      </w:r>
    </w:p>
    <w:p w14:paraId="514E040D" w14:textId="324D4EB0" w:rsidR="004D5AD7" w:rsidRPr="000C0842" w:rsidRDefault="004D5AD7">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670FCCD0" w14:textId="0F2BC87B" w:rsidR="004D5AD7" w:rsidRPr="000C0842" w:rsidRDefault="004D5AD7" w:rsidP="002437E6">
      <w:pPr>
        <w:pStyle w:val="a1"/>
        <w:rPr>
          <w:rFonts w:hint="eastAsia"/>
          <w:lang w:eastAsia="zh-CN"/>
        </w:rPr>
      </w:pPr>
      <w:bookmarkStart w:id="88" w:name="_Toc206358219"/>
      <w:r w:rsidRPr="000C0842">
        <w:rPr>
          <w:rFonts w:hint="eastAsia"/>
          <w:lang w:eastAsia="zh-CN"/>
        </w:rPr>
        <w:t>16/22.</w:t>
      </w:r>
      <w:r w:rsidR="002437E6" w:rsidRPr="000C0842">
        <w:rPr>
          <w:rFonts w:hint="eastAsia"/>
          <w:lang w:eastAsia="zh-CN"/>
        </w:rPr>
        <w:t xml:space="preserve"> </w:t>
      </w:r>
      <w:r w:rsidRPr="000C0842">
        <w:rPr>
          <w:rFonts w:hint="eastAsia"/>
          <w:lang w:eastAsia="zh-CN"/>
        </w:rPr>
        <w:t>生物多样性与气候变化</w:t>
      </w:r>
      <w:bookmarkEnd w:id="88"/>
    </w:p>
    <w:p w14:paraId="64313136" w14:textId="77777777" w:rsidR="004D5AD7" w:rsidRPr="000C0842" w:rsidRDefault="004D5AD7" w:rsidP="00444037">
      <w:pPr>
        <w:tabs>
          <w:tab w:val="clear" w:pos="567"/>
          <w:tab w:val="clear" w:pos="1134"/>
          <w:tab w:val="clear" w:pos="1701"/>
          <w:tab w:val="clear" w:pos="2268"/>
        </w:tabs>
        <w:topLinePunct/>
        <w:adjustRightInd w:val="0"/>
        <w:snapToGrid w:val="0"/>
        <w:spacing w:before="240" w:after="120" w:line="240" w:lineRule="atLeast"/>
        <w:ind w:left="490" w:firstLine="490"/>
        <w:jc w:val="left"/>
        <w:rPr>
          <w:rFonts w:eastAsia="SimSun"/>
          <w:i/>
          <w:snapToGrid w:val="0"/>
          <w:kern w:val="22"/>
          <w:sz w:val="24"/>
          <w:szCs w:val="24"/>
          <w:lang w:val="en-CA"/>
        </w:rPr>
      </w:pPr>
      <w:r w:rsidRPr="000C0842">
        <w:rPr>
          <w:rFonts w:eastAsia="KaiTi" w:hint="eastAsia"/>
          <w:snapToGrid w:val="0"/>
          <w:kern w:val="22"/>
          <w:sz w:val="24"/>
          <w:szCs w:val="24"/>
          <w:lang w:val="zh-CN"/>
        </w:rPr>
        <w:t>缔约方大会</w:t>
      </w:r>
      <w:r w:rsidRPr="000C0842">
        <w:rPr>
          <w:rFonts w:eastAsia="SimSun" w:hint="eastAsia"/>
          <w:snapToGrid w:val="0"/>
          <w:kern w:val="22"/>
          <w:sz w:val="24"/>
          <w:szCs w:val="24"/>
          <w:lang w:val="en-CA"/>
        </w:rPr>
        <w:t>，</w:t>
      </w:r>
    </w:p>
    <w:p w14:paraId="4E39C2CD"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en-GB"/>
        </w:rPr>
      </w:pPr>
      <w:r w:rsidRPr="000C0842">
        <w:rPr>
          <w:rFonts w:eastAsia="KaiTi" w:hint="eastAsia"/>
          <w:bCs/>
          <w:kern w:val="22"/>
          <w:sz w:val="24"/>
          <w:szCs w:val="24"/>
          <w:lang w:val="zh-CN"/>
        </w:rPr>
        <w:t>回顾</w:t>
      </w:r>
      <w:r w:rsidRPr="000C0842">
        <w:rPr>
          <w:rFonts w:eastAsia="SimSun" w:hint="eastAsia"/>
          <w:bCs/>
          <w:sz w:val="24"/>
          <w:szCs w:val="24"/>
          <w:lang w:val="zh-CN"/>
        </w:rPr>
        <w:t>生物多样性公约</w:t>
      </w:r>
      <w:r w:rsidRPr="000C0842">
        <w:rPr>
          <w:rFonts w:eastAsia="SimSun"/>
          <w:bCs/>
          <w:sz w:val="24"/>
          <w:szCs w:val="24"/>
          <w:vertAlign w:val="superscript"/>
          <w:lang w:val="zh-CN"/>
        </w:rPr>
        <w:footnoteReference w:id="353"/>
      </w:r>
      <w:r w:rsidRPr="000C0842">
        <w:rPr>
          <w:rFonts w:eastAsia="SimSun"/>
          <w:bCs/>
          <w:sz w:val="24"/>
          <w:szCs w:val="24"/>
          <w:lang w:val="zh-CN"/>
        </w:rPr>
        <w:t xml:space="preserve"> </w:t>
      </w:r>
      <w:r w:rsidRPr="000C0842">
        <w:rPr>
          <w:rFonts w:eastAsia="SimSun" w:hint="eastAsia"/>
          <w:bCs/>
          <w:sz w:val="24"/>
          <w:szCs w:val="24"/>
          <w:lang w:val="zh-CN"/>
        </w:rPr>
        <w:t>缔约方大会</w:t>
      </w:r>
      <w:smartTag w:uri="urn:schemas-microsoft-com:office:smarttags" w:element="chsdate">
        <w:smartTagPr>
          <w:attr w:name="Year" w:val="2004"/>
          <w:attr w:name="Month" w:val="2"/>
          <w:attr w:name="Day" w:val="20"/>
          <w:attr w:name="IsLunarDate" w:val="False"/>
          <w:attr w:name="IsROCDate" w:val="False"/>
        </w:smartTagPr>
        <w:r w:rsidRPr="000C0842">
          <w:rPr>
            <w:rFonts w:eastAsia="SimSun"/>
            <w:bCs/>
            <w:sz w:val="24"/>
            <w:szCs w:val="24"/>
            <w:lang w:val="en-GB"/>
          </w:rPr>
          <w:t>2004</w:t>
        </w:r>
        <w:r w:rsidRPr="000C0842">
          <w:rPr>
            <w:rFonts w:eastAsia="SimSun" w:hint="eastAsia"/>
            <w:bCs/>
            <w:sz w:val="24"/>
            <w:szCs w:val="24"/>
            <w:lang w:val="zh-CN"/>
          </w:rPr>
          <w:t>年</w:t>
        </w:r>
        <w:r w:rsidRPr="000C0842">
          <w:rPr>
            <w:rFonts w:eastAsia="SimSun"/>
            <w:bCs/>
            <w:sz w:val="24"/>
            <w:szCs w:val="24"/>
            <w:lang w:val="en-GB"/>
          </w:rPr>
          <w:t>2</w:t>
        </w:r>
        <w:r w:rsidRPr="000C0842">
          <w:rPr>
            <w:rFonts w:eastAsia="SimSun" w:hint="eastAsia"/>
            <w:bCs/>
            <w:sz w:val="24"/>
            <w:szCs w:val="24"/>
            <w:lang w:val="zh-CN"/>
          </w:rPr>
          <w:t>月</w:t>
        </w:r>
        <w:r w:rsidRPr="000C0842">
          <w:rPr>
            <w:rFonts w:eastAsia="SimSun"/>
            <w:bCs/>
            <w:sz w:val="24"/>
            <w:szCs w:val="24"/>
            <w:lang w:val="en-GB"/>
          </w:rPr>
          <w:t>20</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19" w:history="1">
        <w:r w:rsidRPr="000C0842">
          <w:rPr>
            <w:rFonts w:eastAsia="SimSun"/>
            <w:sz w:val="24"/>
            <w:szCs w:val="24"/>
            <w:u w:val="single"/>
          </w:rPr>
          <w:t>VII/15</w:t>
        </w:r>
      </w:hyperlink>
      <w:r w:rsidRPr="000C0842">
        <w:rPr>
          <w:rFonts w:eastAsia="SimSun" w:hint="eastAsia"/>
          <w:bCs/>
          <w:sz w:val="24"/>
          <w:szCs w:val="24"/>
          <w:lang w:val="zh-CN"/>
        </w:rPr>
        <w:t>号决定、</w:t>
      </w:r>
      <w:smartTag w:uri="urn:schemas-microsoft-com:office:smarttags" w:element="chsdate">
        <w:smartTagPr>
          <w:attr w:name="Year" w:val="2008"/>
          <w:attr w:name="Month" w:val="5"/>
          <w:attr w:name="Day" w:val="30"/>
          <w:attr w:name="IsLunarDate" w:val="False"/>
          <w:attr w:name="IsROCDate" w:val="False"/>
        </w:smartTagPr>
        <w:r w:rsidRPr="000C0842">
          <w:rPr>
            <w:rFonts w:eastAsia="SimSun"/>
            <w:bCs/>
            <w:sz w:val="24"/>
            <w:szCs w:val="24"/>
            <w:lang w:val="en-GB"/>
          </w:rPr>
          <w:t>2008</w:t>
        </w:r>
        <w:r w:rsidRPr="000C0842">
          <w:rPr>
            <w:rFonts w:eastAsia="SimSun" w:hint="eastAsia"/>
            <w:bCs/>
            <w:sz w:val="24"/>
            <w:szCs w:val="24"/>
            <w:lang w:val="zh-CN"/>
          </w:rPr>
          <w:t>年</w:t>
        </w:r>
        <w:r w:rsidRPr="000C0842">
          <w:rPr>
            <w:rFonts w:eastAsia="SimSun"/>
            <w:bCs/>
            <w:sz w:val="24"/>
            <w:szCs w:val="24"/>
            <w:lang w:val="en-GB"/>
          </w:rPr>
          <w:t>5</w:t>
        </w:r>
        <w:r w:rsidRPr="000C0842">
          <w:rPr>
            <w:rFonts w:eastAsia="SimSun" w:hint="eastAsia"/>
            <w:bCs/>
            <w:sz w:val="24"/>
            <w:szCs w:val="24"/>
            <w:lang w:val="zh-CN"/>
          </w:rPr>
          <w:t>月</w:t>
        </w:r>
        <w:r w:rsidRPr="000C0842">
          <w:rPr>
            <w:rFonts w:eastAsia="SimSun"/>
            <w:bCs/>
            <w:sz w:val="24"/>
            <w:szCs w:val="24"/>
            <w:lang w:val="en-GB"/>
          </w:rPr>
          <w:t>30</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0" w:history="1">
        <w:r w:rsidRPr="000C0842">
          <w:rPr>
            <w:rFonts w:eastAsia="SimSun"/>
            <w:sz w:val="24"/>
            <w:szCs w:val="24"/>
            <w:u w:val="single"/>
          </w:rPr>
          <w:t>IX/16</w:t>
        </w:r>
      </w:hyperlink>
      <w:r w:rsidRPr="000C0842">
        <w:rPr>
          <w:rFonts w:eastAsia="SimSun" w:hint="eastAsia"/>
          <w:bCs/>
          <w:sz w:val="24"/>
          <w:szCs w:val="24"/>
          <w:lang w:val="zh-CN"/>
        </w:rPr>
        <w:t>号决定</w:t>
      </w:r>
      <w:r w:rsidRPr="000C0842">
        <w:rPr>
          <w:rFonts w:eastAsia="SimSun"/>
          <w:bCs/>
          <w:sz w:val="24"/>
          <w:szCs w:val="24"/>
        </w:rPr>
        <w:t>A-D</w:t>
      </w:r>
      <w:r w:rsidRPr="000C0842">
        <w:rPr>
          <w:rFonts w:eastAsia="SimSun" w:hint="eastAsia"/>
          <w:bCs/>
          <w:sz w:val="24"/>
          <w:szCs w:val="24"/>
          <w:lang w:val="zh-CN"/>
        </w:rPr>
        <w:t>、</w:t>
      </w:r>
      <w:smartTag w:uri="urn:schemas-microsoft-com:office:smarttags" w:element="chsdate">
        <w:smartTagPr>
          <w:attr w:name="Year" w:val="2010"/>
          <w:attr w:name="Month" w:val="10"/>
          <w:attr w:name="Day" w:val="29"/>
          <w:attr w:name="IsLunarDate" w:val="False"/>
          <w:attr w:name="IsROCDate" w:val="False"/>
        </w:smartTagPr>
        <w:r w:rsidRPr="000C0842">
          <w:rPr>
            <w:rFonts w:eastAsia="SimSun"/>
            <w:bCs/>
            <w:sz w:val="24"/>
            <w:szCs w:val="24"/>
            <w:lang w:val="en-GB"/>
          </w:rPr>
          <w:t>2010</w:t>
        </w:r>
        <w:r w:rsidRPr="000C0842">
          <w:rPr>
            <w:rFonts w:eastAsia="SimSun" w:hint="eastAsia"/>
            <w:bCs/>
            <w:sz w:val="24"/>
            <w:szCs w:val="24"/>
            <w:lang w:val="zh-CN"/>
          </w:rPr>
          <w:t>年</w:t>
        </w:r>
        <w:r w:rsidRPr="000C0842">
          <w:rPr>
            <w:rFonts w:eastAsia="SimSun"/>
            <w:bCs/>
            <w:sz w:val="24"/>
            <w:szCs w:val="24"/>
            <w:lang w:val="en-GB"/>
          </w:rPr>
          <w:t>10</w:t>
        </w:r>
        <w:r w:rsidRPr="000C0842">
          <w:rPr>
            <w:rFonts w:eastAsia="SimSun" w:hint="eastAsia"/>
            <w:bCs/>
            <w:sz w:val="24"/>
            <w:szCs w:val="24"/>
            <w:lang w:val="zh-CN"/>
          </w:rPr>
          <w:t>月</w:t>
        </w:r>
        <w:r w:rsidRPr="000C0842">
          <w:rPr>
            <w:rFonts w:eastAsia="SimSun"/>
            <w:bCs/>
            <w:sz w:val="24"/>
            <w:szCs w:val="24"/>
            <w:lang w:val="en-GB"/>
          </w:rPr>
          <w:t>29</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1" w:history="1">
        <w:r w:rsidRPr="000C0842">
          <w:rPr>
            <w:rFonts w:eastAsia="SimSun"/>
            <w:sz w:val="24"/>
            <w:szCs w:val="24"/>
            <w:u w:val="single"/>
          </w:rPr>
          <w:t>X/33</w:t>
        </w:r>
      </w:hyperlink>
      <w:r w:rsidRPr="000C0842">
        <w:rPr>
          <w:rFonts w:eastAsia="SimSun" w:hint="eastAsia"/>
          <w:bCs/>
          <w:sz w:val="24"/>
          <w:szCs w:val="24"/>
          <w:lang w:val="zh-CN"/>
        </w:rPr>
        <w:t>号决定、</w:t>
      </w:r>
      <w:smartTag w:uri="urn:schemas-microsoft-com:office:smarttags" w:element="chsdate">
        <w:smartTagPr>
          <w:attr w:name="Year" w:val="2012"/>
          <w:attr w:name="Month" w:val="10"/>
          <w:attr w:name="Day" w:val="19"/>
          <w:attr w:name="IsLunarDate" w:val="False"/>
          <w:attr w:name="IsROCDate" w:val="False"/>
        </w:smartTagPr>
        <w:r w:rsidRPr="000C0842">
          <w:rPr>
            <w:rFonts w:eastAsia="SimSun"/>
            <w:bCs/>
            <w:sz w:val="24"/>
            <w:szCs w:val="24"/>
            <w:lang w:val="en-GB"/>
          </w:rPr>
          <w:t>2012</w:t>
        </w:r>
        <w:r w:rsidRPr="000C0842">
          <w:rPr>
            <w:rFonts w:eastAsia="SimSun" w:hint="eastAsia"/>
            <w:bCs/>
            <w:sz w:val="24"/>
            <w:szCs w:val="24"/>
            <w:lang w:val="zh-CN"/>
          </w:rPr>
          <w:t>年</w:t>
        </w:r>
        <w:r w:rsidRPr="000C0842">
          <w:rPr>
            <w:rFonts w:eastAsia="SimSun"/>
            <w:bCs/>
            <w:sz w:val="24"/>
            <w:szCs w:val="24"/>
            <w:lang w:val="en-GB"/>
          </w:rPr>
          <w:t>10</w:t>
        </w:r>
        <w:r w:rsidRPr="000C0842">
          <w:rPr>
            <w:rFonts w:eastAsia="SimSun" w:hint="eastAsia"/>
            <w:bCs/>
            <w:sz w:val="24"/>
            <w:szCs w:val="24"/>
            <w:lang w:val="zh-CN"/>
          </w:rPr>
          <w:t>月</w:t>
        </w:r>
        <w:r w:rsidRPr="000C0842">
          <w:rPr>
            <w:rFonts w:eastAsia="SimSun"/>
            <w:bCs/>
            <w:sz w:val="24"/>
            <w:szCs w:val="24"/>
            <w:lang w:val="en-GB"/>
          </w:rPr>
          <w:t>19</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2" w:history="1">
        <w:r w:rsidRPr="000C0842">
          <w:rPr>
            <w:rFonts w:eastAsia="SimSun"/>
            <w:sz w:val="24"/>
            <w:szCs w:val="24"/>
            <w:u w:val="single"/>
          </w:rPr>
          <w:t>XI/19</w:t>
        </w:r>
      </w:hyperlink>
      <w:r w:rsidRPr="000C0842">
        <w:rPr>
          <w:rFonts w:eastAsia="SimSun" w:hint="eastAsia"/>
          <w:bCs/>
          <w:sz w:val="24"/>
          <w:szCs w:val="24"/>
          <w:lang w:val="zh-CN"/>
        </w:rPr>
        <w:t>号、第</w:t>
      </w:r>
      <w:hyperlink r:id="rId223" w:history="1">
        <w:r w:rsidRPr="000C0842">
          <w:rPr>
            <w:rFonts w:eastAsia="SimSun"/>
            <w:sz w:val="24"/>
            <w:szCs w:val="24"/>
            <w:u w:val="single"/>
          </w:rPr>
          <w:t>XI/20</w:t>
        </w:r>
      </w:hyperlink>
      <w:r w:rsidRPr="000C0842">
        <w:rPr>
          <w:rFonts w:eastAsia="SimSun" w:hint="eastAsia"/>
          <w:bCs/>
          <w:sz w:val="24"/>
          <w:szCs w:val="24"/>
          <w:lang w:val="zh-CN"/>
        </w:rPr>
        <w:t>号和第</w:t>
      </w:r>
      <w:hyperlink r:id="rId224" w:history="1">
        <w:r w:rsidRPr="000C0842">
          <w:rPr>
            <w:rFonts w:eastAsia="SimSun"/>
            <w:sz w:val="24"/>
            <w:szCs w:val="24"/>
            <w:u w:val="single"/>
          </w:rPr>
          <w:t>XI/21</w:t>
        </w:r>
      </w:hyperlink>
      <w:r w:rsidRPr="000C0842">
        <w:rPr>
          <w:rFonts w:eastAsia="SimSun" w:hint="eastAsia"/>
          <w:bCs/>
          <w:sz w:val="24"/>
          <w:szCs w:val="24"/>
          <w:lang w:val="zh-CN"/>
        </w:rPr>
        <w:t>号决定、</w:t>
      </w:r>
      <w:smartTag w:uri="urn:schemas-microsoft-com:office:smarttags" w:element="chsdate">
        <w:smartTagPr>
          <w:attr w:name="Year" w:val="2014"/>
          <w:attr w:name="Month" w:val="10"/>
          <w:attr w:name="Day" w:val="17"/>
          <w:attr w:name="IsLunarDate" w:val="False"/>
          <w:attr w:name="IsROCDate" w:val="False"/>
        </w:smartTagPr>
        <w:r w:rsidRPr="000C0842">
          <w:rPr>
            <w:rFonts w:eastAsia="SimSun"/>
            <w:bCs/>
            <w:sz w:val="24"/>
            <w:szCs w:val="24"/>
            <w:lang w:val="en-GB"/>
          </w:rPr>
          <w:t>2014</w:t>
        </w:r>
        <w:r w:rsidRPr="000C0842">
          <w:rPr>
            <w:rFonts w:eastAsia="SimSun" w:hint="eastAsia"/>
            <w:bCs/>
            <w:sz w:val="24"/>
            <w:szCs w:val="24"/>
            <w:lang w:val="zh-CN"/>
          </w:rPr>
          <w:t>年</w:t>
        </w:r>
        <w:r w:rsidRPr="000C0842">
          <w:rPr>
            <w:rFonts w:eastAsia="SimSun"/>
            <w:bCs/>
            <w:sz w:val="24"/>
            <w:szCs w:val="24"/>
            <w:lang w:val="en-GB"/>
          </w:rPr>
          <w:t>10</w:t>
        </w:r>
        <w:r w:rsidRPr="000C0842">
          <w:rPr>
            <w:rFonts w:eastAsia="SimSun" w:hint="eastAsia"/>
            <w:bCs/>
            <w:sz w:val="24"/>
            <w:szCs w:val="24"/>
            <w:lang w:val="zh-CN"/>
          </w:rPr>
          <w:t>月</w:t>
        </w:r>
        <w:r w:rsidRPr="000C0842">
          <w:rPr>
            <w:rFonts w:eastAsia="SimSun"/>
            <w:bCs/>
            <w:sz w:val="24"/>
            <w:szCs w:val="24"/>
            <w:lang w:val="en-GB"/>
          </w:rPr>
          <w:t>17</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5" w:history="1">
        <w:r w:rsidRPr="000C0842">
          <w:rPr>
            <w:rFonts w:eastAsia="SimSun"/>
            <w:sz w:val="24"/>
            <w:szCs w:val="24"/>
            <w:u w:val="single"/>
          </w:rPr>
          <w:t>XII/20</w:t>
        </w:r>
      </w:hyperlink>
      <w:r w:rsidRPr="000C0842">
        <w:rPr>
          <w:rFonts w:eastAsia="SimSun" w:hint="eastAsia"/>
          <w:bCs/>
          <w:sz w:val="24"/>
          <w:szCs w:val="24"/>
          <w:lang w:val="zh-CN"/>
        </w:rPr>
        <w:t>号决定、</w:t>
      </w:r>
      <w:smartTag w:uri="urn:schemas-microsoft-com:office:smarttags" w:element="chsdate">
        <w:smartTagPr>
          <w:attr w:name="Year" w:val="2016"/>
          <w:attr w:name="Month" w:val="12"/>
          <w:attr w:name="Day" w:val="13"/>
          <w:attr w:name="IsLunarDate" w:val="False"/>
          <w:attr w:name="IsROCDate" w:val="False"/>
        </w:smartTagPr>
        <w:r w:rsidRPr="000C0842">
          <w:rPr>
            <w:rFonts w:eastAsia="SimSun"/>
            <w:bCs/>
            <w:sz w:val="24"/>
            <w:szCs w:val="24"/>
            <w:lang w:val="en-GB"/>
          </w:rPr>
          <w:t>2016</w:t>
        </w:r>
        <w:r w:rsidRPr="000C0842">
          <w:rPr>
            <w:rFonts w:eastAsia="SimSun" w:hint="eastAsia"/>
            <w:bCs/>
            <w:sz w:val="24"/>
            <w:szCs w:val="24"/>
            <w:lang w:val="zh-CN"/>
          </w:rPr>
          <w:t>年</w:t>
        </w:r>
        <w:r w:rsidRPr="000C0842">
          <w:rPr>
            <w:rFonts w:eastAsia="SimSun"/>
            <w:bCs/>
            <w:sz w:val="24"/>
            <w:szCs w:val="24"/>
            <w:lang w:val="en-GB"/>
          </w:rPr>
          <w:t>12</w:t>
        </w:r>
        <w:r w:rsidRPr="000C0842">
          <w:rPr>
            <w:rFonts w:eastAsia="SimSun" w:hint="eastAsia"/>
            <w:bCs/>
            <w:sz w:val="24"/>
            <w:szCs w:val="24"/>
            <w:lang w:val="zh-CN"/>
          </w:rPr>
          <w:t>月</w:t>
        </w:r>
        <w:r w:rsidRPr="000C0842">
          <w:rPr>
            <w:rFonts w:eastAsia="SimSun"/>
            <w:bCs/>
            <w:sz w:val="24"/>
            <w:szCs w:val="24"/>
            <w:lang w:val="en-GB"/>
          </w:rPr>
          <w:t>13</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6" w:history="1">
        <w:r w:rsidRPr="000C0842">
          <w:rPr>
            <w:rFonts w:eastAsia="SimSun"/>
            <w:sz w:val="24"/>
            <w:szCs w:val="24"/>
            <w:u w:val="single"/>
          </w:rPr>
          <w:t>XIII/4</w:t>
        </w:r>
      </w:hyperlink>
      <w:r w:rsidRPr="000C0842">
        <w:rPr>
          <w:rFonts w:eastAsia="SimSun" w:hint="eastAsia"/>
          <w:bCs/>
          <w:sz w:val="24"/>
          <w:szCs w:val="24"/>
          <w:lang w:val="zh-CN"/>
        </w:rPr>
        <w:t>号决定、</w:t>
      </w:r>
      <w:smartTag w:uri="urn:schemas-microsoft-com:office:smarttags" w:element="chsdate">
        <w:smartTagPr>
          <w:attr w:name="Year" w:val="2018"/>
          <w:attr w:name="Month" w:val="11"/>
          <w:attr w:name="Day" w:val="29"/>
          <w:attr w:name="IsLunarDate" w:val="False"/>
          <w:attr w:name="IsROCDate" w:val="False"/>
        </w:smartTagPr>
        <w:r w:rsidRPr="000C0842">
          <w:rPr>
            <w:rFonts w:eastAsia="SimSun"/>
            <w:bCs/>
            <w:sz w:val="24"/>
            <w:szCs w:val="24"/>
            <w:lang w:val="en-GB"/>
          </w:rPr>
          <w:t>2018</w:t>
        </w:r>
        <w:r w:rsidRPr="000C0842">
          <w:rPr>
            <w:rFonts w:eastAsia="SimSun" w:hint="eastAsia"/>
            <w:bCs/>
            <w:sz w:val="24"/>
            <w:szCs w:val="24"/>
            <w:lang w:val="zh-CN"/>
          </w:rPr>
          <w:t>年</w:t>
        </w:r>
        <w:r w:rsidRPr="000C0842">
          <w:rPr>
            <w:rFonts w:eastAsia="SimSun"/>
            <w:bCs/>
            <w:sz w:val="24"/>
            <w:szCs w:val="24"/>
            <w:lang w:val="en-GB"/>
          </w:rPr>
          <w:t>11</w:t>
        </w:r>
        <w:r w:rsidRPr="000C0842">
          <w:rPr>
            <w:rFonts w:eastAsia="SimSun" w:hint="eastAsia"/>
            <w:bCs/>
            <w:sz w:val="24"/>
            <w:szCs w:val="24"/>
            <w:lang w:val="zh-CN"/>
          </w:rPr>
          <w:t>月</w:t>
        </w:r>
        <w:r w:rsidRPr="000C0842">
          <w:rPr>
            <w:rFonts w:eastAsia="SimSun"/>
            <w:bCs/>
            <w:sz w:val="24"/>
            <w:szCs w:val="24"/>
            <w:lang w:val="zh-CN"/>
          </w:rPr>
          <w:t>29</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7" w:history="1">
        <w:r w:rsidRPr="000C0842">
          <w:rPr>
            <w:rFonts w:eastAsia="SimSun"/>
            <w:sz w:val="24"/>
            <w:szCs w:val="24"/>
            <w:u w:val="single"/>
          </w:rPr>
          <w:t>14/5</w:t>
        </w:r>
      </w:hyperlink>
      <w:r w:rsidRPr="000C0842">
        <w:rPr>
          <w:rFonts w:eastAsia="SimSun" w:hint="eastAsia"/>
          <w:bCs/>
          <w:sz w:val="24"/>
          <w:szCs w:val="24"/>
          <w:lang w:val="zh-CN"/>
        </w:rPr>
        <w:t>号决定和</w:t>
      </w:r>
      <w:smartTag w:uri="urn:schemas-microsoft-com:office:smarttags" w:element="chsdate">
        <w:smartTagPr>
          <w:attr w:name="Year" w:val="2022"/>
          <w:attr w:name="Month" w:val="12"/>
          <w:attr w:name="Day" w:val="19"/>
          <w:attr w:name="IsLunarDate" w:val="False"/>
          <w:attr w:name="IsROCDate" w:val="False"/>
        </w:smartTagPr>
        <w:r w:rsidRPr="000C0842">
          <w:rPr>
            <w:rFonts w:eastAsia="SimSun"/>
            <w:bCs/>
            <w:sz w:val="24"/>
            <w:szCs w:val="24"/>
            <w:lang w:val="en-GB"/>
          </w:rPr>
          <w:t>2022</w:t>
        </w:r>
        <w:r w:rsidRPr="000C0842">
          <w:rPr>
            <w:rFonts w:eastAsia="SimSun" w:hint="eastAsia"/>
            <w:bCs/>
            <w:sz w:val="24"/>
            <w:szCs w:val="24"/>
            <w:lang w:val="zh-CN"/>
          </w:rPr>
          <w:t>年</w:t>
        </w:r>
        <w:r w:rsidRPr="000C0842">
          <w:rPr>
            <w:rFonts w:eastAsia="SimSun"/>
            <w:bCs/>
            <w:sz w:val="24"/>
            <w:szCs w:val="24"/>
            <w:lang w:val="en-GB"/>
          </w:rPr>
          <w:t>12</w:t>
        </w:r>
        <w:r w:rsidRPr="000C0842">
          <w:rPr>
            <w:rFonts w:eastAsia="SimSun" w:hint="eastAsia"/>
            <w:bCs/>
            <w:sz w:val="24"/>
            <w:szCs w:val="24"/>
            <w:lang w:val="zh-CN"/>
          </w:rPr>
          <w:t>月</w:t>
        </w:r>
        <w:r w:rsidRPr="000C0842">
          <w:rPr>
            <w:rFonts w:eastAsia="SimSun"/>
            <w:bCs/>
            <w:sz w:val="24"/>
            <w:szCs w:val="24"/>
            <w:lang w:val="en-GB"/>
          </w:rPr>
          <w:t>19</w:t>
        </w:r>
        <w:r w:rsidRPr="000C0842">
          <w:rPr>
            <w:rFonts w:eastAsia="SimSun" w:hint="eastAsia"/>
            <w:bCs/>
            <w:sz w:val="24"/>
            <w:szCs w:val="24"/>
            <w:lang w:val="zh-CN"/>
          </w:rPr>
          <w:t>日</w:t>
        </w:r>
      </w:smartTag>
      <w:r w:rsidRPr="000C0842">
        <w:rPr>
          <w:rFonts w:eastAsia="SimSun" w:hint="eastAsia"/>
          <w:bCs/>
          <w:sz w:val="24"/>
          <w:szCs w:val="24"/>
          <w:lang w:val="zh-CN"/>
        </w:rPr>
        <w:t>第</w:t>
      </w:r>
      <w:hyperlink r:id="rId228" w:history="1">
        <w:r w:rsidRPr="000C0842">
          <w:rPr>
            <w:rFonts w:eastAsia="SimSun"/>
            <w:sz w:val="24"/>
            <w:szCs w:val="24"/>
            <w:u w:val="single"/>
          </w:rPr>
          <w:t>15/24</w:t>
        </w:r>
      </w:hyperlink>
      <w:r w:rsidRPr="000C0842">
        <w:rPr>
          <w:rFonts w:eastAsia="SimSun" w:hint="eastAsia"/>
          <w:bCs/>
          <w:sz w:val="24"/>
          <w:szCs w:val="24"/>
          <w:lang w:val="zh-CN"/>
        </w:rPr>
        <w:t>号和第</w:t>
      </w:r>
      <w:hyperlink r:id="rId229" w:history="1">
        <w:r w:rsidRPr="000C0842">
          <w:rPr>
            <w:rFonts w:eastAsia="SimSun"/>
            <w:sz w:val="24"/>
            <w:szCs w:val="24"/>
            <w:u w:val="single"/>
          </w:rPr>
          <w:t>15/30</w:t>
        </w:r>
      </w:hyperlink>
      <w:r w:rsidRPr="000C0842">
        <w:rPr>
          <w:rFonts w:eastAsia="SimSun" w:hint="eastAsia"/>
          <w:bCs/>
          <w:sz w:val="24"/>
          <w:szCs w:val="24"/>
          <w:lang w:val="zh-CN"/>
        </w:rPr>
        <w:t>号决定</w:t>
      </w:r>
      <w:r w:rsidRPr="000C0842">
        <w:rPr>
          <w:rFonts w:eastAsia="SimSun" w:hint="eastAsia"/>
          <w:bCs/>
          <w:sz w:val="24"/>
          <w:szCs w:val="24"/>
          <w:lang w:val="en-GB"/>
        </w:rPr>
        <w:t>，</w:t>
      </w:r>
      <w:r w:rsidRPr="000C0842">
        <w:rPr>
          <w:rFonts w:eastAsia="SimSun" w:hint="eastAsia"/>
          <w:bCs/>
          <w:sz w:val="24"/>
          <w:szCs w:val="24"/>
          <w:lang w:val="zh-CN"/>
        </w:rPr>
        <w:t>尤其是气候变化对生物多样性构成的重大威胁以及生物多样性在适应、减缓和减少灾害风险方面的作用</w:t>
      </w:r>
      <w:r w:rsidRPr="000C0842">
        <w:rPr>
          <w:rFonts w:eastAsia="SimSun" w:hint="eastAsia"/>
          <w:bCs/>
          <w:sz w:val="24"/>
          <w:szCs w:val="24"/>
          <w:lang w:val="en-GB"/>
        </w:rPr>
        <w:t>，</w:t>
      </w:r>
      <w:r w:rsidRPr="000C0842">
        <w:rPr>
          <w:rFonts w:eastAsia="SimSun" w:hint="eastAsia"/>
          <w:bCs/>
          <w:sz w:val="24"/>
          <w:szCs w:val="24"/>
          <w:lang w:val="zh-CN"/>
        </w:rPr>
        <w:t>同时强调执行《昆明</w:t>
      </w:r>
      <w:r w:rsidRPr="000C0842">
        <w:rPr>
          <w:rFonts w:eastAsia="SimSun"/>
          <w:bCs/>
          <w:sz w:val="24"/>
          <w:szCs w:val="24"/>
          <w:lang w:val="en-GB"/>
        </w:rPr>
        <w:t>-</w:t>
      </w:r>
      <w:r w:rsidRPr="000C0842">
        <w:rPr>
          <w:rFonts w:eastAsia="SimSun" w:hint="eastAsia"/>
          <w:bCs/>
          <w:sz w:val="24"/>
          <w:szCs w:val="24"/>
          <w:lang w:val="zh-CN"/>
        </w:rPr>
        <w:t>蒙特利尔全球生物多样性框架》</w:t>
      </w:r>
      <w:r w:rsidRPr="000C0842">
        <w:rPr>
          <w:rFonts w:eastAsia="SimSun"/>
          <w:bCs/>
          <w:sz w:val="24"/>
          <w:szCs w:val="24"/>
          <w:vertAlign w:val="superscript"/>
          <w:lang w:val="zh-CN"/>
        </w:rPr>
        <w:footnoteReference w:id="354"/>
      </w:r>
      <w:r w:rsidRPr="000C0842">
        <w:rPr>
          <w:rFonts w:eastAsia="SimSun"/>
          <w:bCs/>
          <w:sz w:val="24"/>
          <w:szCs w:val="24"/>
          <w:lang w:val="zh-CN"/>
        </w:rPr>
        <w:t xml:space="preserve"> </w:t>
      </w:r>
      <w:r w:rsidRPr="000C0842">
        <w:rPr>
          <w:rFonts w:eastAsia="SimSun" w:hint="eastAsia"/>
          <w:bCs/>
          <w:sz w:val="24"/>
          <w:szCs w:val="24"/>
          <w:lang w:val="zh-CN"/>
        </w:rPr>
        <w:t>时</w:t>
      </w:r>
      <w:r w:rsidRPr="000C0842">
        <w:rPr>
          <w:rFonts w:eastAsia="SimSun" w:hint="eastAsia"/>
          <w:bCs/>
          <w:sz w:val="24"/>
          <w:szCs w:val="24"/>
        </w:rPr>
        <w:t>，考虑采取</w:t>
      </w:r>
      <w:r w:rsidRPr="000C0842">
        <w:rPr>
          <w:rFonts w:eastAsia="SimSun" w:hint="eastAsia"/>
          <w:bCs/>
          <w:sz w:val="24"/>
          <w:szCs w:val="24"/>
          <w:lang w:val="zh-CN"/>
        </w:rPr>
        <w:t>行动目标</w:t>
      </w:r>
      <w:r w:rsidRPr="000C0842">
        <w:rPr>
          <w:rFonts w:eastAsia="SimSun"/>
          <w:bCs/>
          <w:sz w:val="24"/>
          <w:szCs w:val="24"/>
          <w:lang w:val="en-GB"/>
        </w:rPr>
        <w:t>8</w:t>
      </w:r>
      <w:r w:rsidRPr="000C0842">
        <w:rPr>
          <w:rFonts w:eastAsia="SimSun" w:hint="eastAsia"/>
          <w:bCs/>
          <w:sz w:val="24"/>
          <w:szCs w:val="24"/>
          <w:lang w:val="zh-CN"/>
        </w:rPr>
        <w:t>和</w:t>
      </w:r>
      <w:r w:rsidRPr="000C0842">
        <w:rPr>
          <w:rFonts w:eastAsia="SimSun"/>
          <w:bCs/>
          <w:sz w:val="24"/>
          <w:szCs w:val="24"/>
          <w:lang w:val="en-GB"/>
        </w:rPr>
        <w:t>11</w:t>
      </w:r>
      <w:r w:rsidRPr="000C0842">
        <w:rPr>
          <w:rFonts w:eastAsia="SimSun" w:hint="eastAsia"/>
          <w:bCs/>
          <w:sz w:val="24"/>
          <w:szCs w:val="24"/>
          <w:lang w:val="zh-CN"/>
        </w:rPr>
        <w:t>之外的气候变化措施的重要性</w:t>
      </w:r>
      <w:r w:rsidRPr="000C0842">
        <w:rPr>
          <w:rFonts w:eastAsia="SimSun" w:hint="eastAsia"/>
          <w:bCs/>
          <w:sz w:val="24"/>
          <w:szCs w:val="24"/>
          <w:lang w:val="en-GB"/>
        </w:rPr>
        <w:t>，</w:t>
      </w:r>
    </w:p>
    <w:p w14:paraId="18F318AD" w14:textId="41D3DBA6"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lang w:val="en-GB"/>
        </w:rPr>
      </w:pPr>
      <w:r w:rsidRPr="000C0842">
        <w:rPr>
          <w:rFonts w:eastAsia="KaiTi" w:hint="eastAsia"/>
          <w:bCs/>
          <w:kern w:val="22"/>
          <w:sz w:val="24"/>
          <w:szCs w:val="24"/>
          <w:lang w:val="zh-CN"/>
        </w:rPr>
        <w:t>认识到</w:t>
      </w:r>
      <w:r w:rsidRPr="000C0842">
        <w:rPr>
          <w:rFonts w:eastAsia="SimSun" w:hint="eastAsia"/>
          <w:bCs/>
          <w:sz w:val="24"/>
          <w:szCs w:val="24"/>
          <w:lang w:val="zh-CN"/>
        </w:rPr>
        <w:t>生物多样性丧失、气候变化、海洋酸化、荒漠化、土地退化、外来入侵物种和污染等都相互关联</w:t>
      </w:r>
      <w:r w:rsidRPr="000C0842">
        <w:rPr>
          <w:rFonts w:eastAsia="SimSun" w:hint="eastAsia"/>
          <w:bCs/>
          <w:sz w:val="24"/>
          <w:szCs w:val="24"/>
          <w:lang w:val="en-GB"/>
        </w:rPr>
        <w:t>，</w:t>
      </w:r>
      <w:r w:rsidRPr="000C0842">
        <w:rPr>
          <w:rFonts w:eastAsia="SimSun" w:hint="eastAsia"/>
          <w:bCs/>
          <w:sz w:val="24"/>
          <w:szCs w:val="24"/>
          <w:lang w:val="zh-CN"/>
        </w:rPr>
        <w:t>需要紧急和以协调一致和均衡的方式加以解决</w:t>
      </w:r>
      <w:r w:rsidRPr="000C0842">
        <w:rPr>
          <w:rFonts w:eastAsia="SimSun" w:hint="eastAsia"/>
          <w:bCs/>
          <w:sz w:val="24"/>
          <w:szCs w:val="24"/>
          <w:lang w:val="en-GB"/>
        </w:rPr>
        <w:t>，以</w:t>
      </w:r>
      <w:r w:rsidRPr="000C0842">
        <w:rPr>
          <w:rFonts w:eastAsia="SimSun" w:hint="eastAsia"/>
          <w:bCs/>
          <w:sz w:val="24"/>
          <w:szCs w:val="24"/>
          <w:lang w:val="zh-CN"/>
        </w:rPr>
        <w:t>实现《生物多样性公约》的目标和</w:t>
      </w:r>
      <w:r w:rsidR="001A5C0A" w:rsidRPr="000C0842">
        <w:rPr>
          <w:rFonts w:eastAsia="SimSun" w:hint="eastAsia"/>
          <w:bCs/>
          <w:sz w:val="24"/>
          <w:szCs w:val="24"/>
          <w:lang w:val="zh-CN"/>
        </w:rPr>
        <w:t>《昆蒙框架》</w:t>
      </w:r>
      <w:r w:rsidRPr="000C0842">
        <w:rPr>
          <w:rFonts w:eastAsia="SimSun" w:hint="eastAsia"/>
          <w:bCs/>
          <w:sz w:val="24"/>
          <w:szCs w:val="24"/>
          <w:lang w:val="zh-CN"/>
        </w:rPr>
        <w:t>的长期目标和行动目标</w:t>
      </w:r>
      <w:r w:rsidRPr="000C0842">
        <w:rPr>
          <w:rFonts w:eastAsia="SimSun" w:hint="eastAsia"/>
          <w:bCs/>
          <w:sz w:val="24"/>
          <w:szCs w:val="24"/>
          <w:lang w:val="en-GB"/>
        </w:rPr>
        <w:t>，</w:t>
      </w:r>
    </w:p>
    <w:p w14:paraId="41067565"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ascii="KaiTi" w:eastAsia="KaiTi" w:hAnsi="KaiTi" w:hint="eastAsia"/>
          <w:bCs/>
          <w:sz w:val="24"/>
          <w:szCs w:val="24"/>
          <w:lang w:val="zh-CN"/>
        </w:rPr>
        <w:t>确认</w:t>
      </w:r>
      <w:r w:rsidRPr="000C0842">
        <w:rPr>
          <w:rFonts w:eastAsia="SimSun" w:hint="eastAsia"/>
          <w:bCs/>
          <w:sz w:val="24"/>
          <w:szCs w:val="24"/>
          <w:lang w:val="zh-CN"/>
        </w:rPr>
        <w:t>享有清洁、健康和可持续环境的人权</w:t>
      </w:r>
      <w:r w:rsidRPr="000C0842">
        <w:rPr>
          <w:rFonts w:eastAsia="SimSun"/>
          <w:bCs/>
          <w:sz w:val="24"/>
          <w:szCs w:val="24"/>
          <w:vertAlign w:val="superscript"/>
          <w:lang w:val="zh-CN"/>
        </w:rPr>
        <w:footnoteReference w:id="355"/>
      </w:r>
      <w:r w:rsidRPr="000C0842">
        <w:rPr>
          <w:rFonts w:eastAsia="SimSun" w:hint="eastAsia"/>
          <w:bCs/>
          <w:sz w:val="24"/>
          <w:szCs w:val="24"/>
        </w:rPr>
        <w:t>，</w:t>
      </w:r>
    </w:p>
    <w:p w14:paraId="2FD287A6" w14:textId="2C1B6518"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hint="eastAsia"/>
          <w:bCs/>
          <w:kern w:val="22"/>
          <w:sz w:val="24"/>
          <w:szCs w:val="24"/>
          <w:lang w:val="zh-CN"/>
        </w:rPr>
        <w:t>回顾</w:t>
      </w:r>
      <w:smartTag w:uri="urn:schemas-microsoft-com:office:smarttags" w:element="chsdate">
        <w:smartTagPr>
          <w:attr w:name="Year" w:val="2023"/>
          <w:attr w:name="Month" w:val="12"/>
          <w:attr w:name="Day" w:val="19"/>
          <w:attr w:name="IsLunarDate" w:val="False"/>
          <w:attr w:name="IsROCDate" w:val="False"/>
        </w:smartTagPr>
        <w:r w:rsidRPr="000C0842">
          <w:rPr>
            <w:rFonts w:eastAsia="SimSun"/>
            <w:bCs/>
            <w:sz w:val="24"/>
            <w:szCs w:val="24"/>
          </w:rPr>
          <w:t>2023</w:t>
        </w:r>
        <w:r w:rsidRPr="000C0842">
          <w:rPr>
            <w:rFonts w:eastAsia="SimSun" w:hint="eastAsia"/>
            <w:bCs/>
            <w:sz w:val="24"/>
            <w:szCs w:val="24"/>
          </w:rPr>
          <w:t>年</w:t>
        </w:r>
        <w:r w:rsidRPr="000C0842">
          <w:rPr>
            <w:rFonts w:eastAsia="SimSun"/>
            <w:bCs/>
            <w:sz w:val="24"/>
            <w:szCs w:val="24"/>
          </w:rPr>
          <w:t>12</w:t>
        </w:r>
        <w:r w:rsidRPr="000C0842">
          <w:rPr>
            <w:rFonts w:eastAsia="SimSun" w:hint="eastAsia"/>
            <w:bCs/>
            <w:sz w:val="24"/>
            <w:szCs w:val="24"/>
          </w:rPr>
          <w:t>月</w:t>
        </w:r>
        <w:r w:rsidRPr="000C0842">
          <w:rPr>
            <w:rFonts w:eastAsia="SimSun"/>
            <w:bCs/>
            <w:sz w:val="24"/>
            <w:szCs w:val="24"/>
          </w:rPr>
          <w:t>19</w:t>
        </w:r>
        <w:r w:rsidRPr="000C0842">
          <w:rPr>
            <w:rFonts w:eastAsia="SimSun" w:hint="eastAsia"/>
            <w:bCs/>
            <w:sz w:val="24"/>
            <w:szCs w:val="24"/>
          </w:rPr>
          <w:t>日</w:t>
        </w:r>
        <w:r w:rsidR="00AE2D81" w:rsidRPr="000C0842">
          <w:rPr>
            <w:rFonts w:eastAsia="SimSun" w:hint="eastAsia"/>
            <w:bCs/>
            <w:kern w:val="22"/>
            <w:sz w:val="24"/>
            <w:szCs w:val="24"/>
            <w:lang w:val="zh-CN"/>
          </w:rPr>
          <w:t>联合国</w:t>
        </w:r>
        <w:r w:rsidR="00AE2D81" w:rsidRPr="000C0842">
          <w:rPr>
            <w:rFonts w:eastAsia="SimSun" w:hint="eastAsia"/>
            <w:bCs/>
            <w:sz w:val="24"/>
            <w:szCs w:val="24"/>
          </w:rPr>
          <w:t>大会</w:t>
        </w:r>
      </w:smartTag>
      <w:r w:rsidRPr="000C0842">
        <w:rPr>
          <w:rFonts w:eastAsia="SimSun" w:hint="eastAsia"/>
          <w:bCs/>
          <w:sz w:val="24"/>
          <w:szCs w:val="24"/>
        </w:rPr>
        <w:t>第</w:t>
      </w:r>
      <w:r w:rsidRPr="000C0842">
        <w:rPr>
          <w:rFonts w:eastAsia="SimSun"/>
          <w:bCs/>
          <w:sz w:val="24"/>
          <w:szCs w:val="24"/>
        </w:rPr>
        <w:t>78/155</w:t>
      </w:r>
      <w:r w:rsidRPr="000C0842">
        <w:rPr>
          <w:rFonts w:eastAsia="SimSun" w:hint="eastAsia"/>
          <w:bCs/>
          <w:sz w:val="24"/>
          <w:szCs w:val="24"/>
        </w:rPr>
        <w:t>号决议，其中敦促公约缔约方确保</w:t>
      </w:r>
      <w:r w:rsidR="001A5C0A" w:rsidRPr="000C0842">
        <w:rPr>
          <w:rFonts w:eastAsia="SimSun" w:hint="eastAsia"/>
          <w:bCs/>
          <w:sz w:val="24"/>
          <w:szCs w:val="24"/>
        </w:rPr>
        <w:t>《昆蒙框架》</w:t>
      </w:r>
      <w:r w:rsidRPr="000C0842">
        <w:rPr>
          <w:rFonts w:eastAsia="SimSun" w:hint="eastAsia"/>
          <w:bCs/>
          <w:sz w:val="24"/>
          <w:szCs w:val="24"/>
        </w:rPr>
        <w:t>与其他现有或即将启动的国际进程保持一致和互补，特别是与《</w:t>
      </w:r>
      <w:r w:rsidRPr="000C0842">
        <w:rPr>
          <w:rFonts w:eastAsia="SimSun"/>
          <w:bCs/>
          <w:sz w:val="24"/>
          <w:szCs w:val="24"/>
        </w:rPr>
        <w:t>2030</w:t>
      </w:r>
      <w:r w:rsidRPr="000C0842">
        <w:rPr>
          <w:rFonts w:eastAsia="SimSun" w:hint="eastAsia"/>
          <w:bCs/>
          <w:sz w:val="24"/>
          <w:szCs w:val="24"/>
        </w:rPr>
        <w:t>年可持续发展议程》</w:t>
      </w:r>
      <w:r w:rsidRPr="000C0842">
        <w:rPr>
          <w:rFonts w:asciiTheme="majorBidi" w:eastAsia="SimSun" w:hAnsiTheme="majorBidi" w:cstheme="majorBidi"/>
          <w:sz w:val="24"/>
          <w:szCs w:val="24"/>
          <w:vertAlign w:val="superscript"/>
        </w:rPr>
        <w:footnoteReference w:id="356"/>
      </w:r>
      <w:r w:rsidRPr="000C0842">
        <w:rPr>
          <w:rFonts w:eastAsia="SimSun" w:hint="eastAsia"/>
          <w:bCs/>
          <w:sz w:val="24"/>
          <w:szCs w:val="24"/>
        </w:rPr>
        <w:t>、《巴黎协定》</w:t>
      </w:r>
      <w:bookmarkStart w:id="89" w:name="_Ref206313532"/>
      <w:r w:rsidRPr="000C0842">
        <w:rPr>
          <w:rFonts w:asciiTheme="majorBidi" w:eastAsia="SimSun" w:hAnsiTheme="majorBidi" w:cstheme="majorBidi"/>
          <w:sz w:val="24"/>
          <w:szCs w:val="24"/>
          <w:vertAlign w:val="superscript"/>
        </w:rPr>
        <w:footnoteReference w:id="357"/>
      </w:r>
      <w:bookmarkEnd w:id="89"/>
      <w:r w:rsidRPr="000C0842">
        <w:rPr>
          <w:rFonts w:eastAsia="SimSun" w:hint="eastAsia"/>
          <w:bCs/>
          <w:sz w:val="24"/>
          <w:szCs w:val="24"/>
        </w:rPr>
        <w:t>和其他相关进程、框架和战略保持一致和互补，</w:t>
      </w:r>
    </w:p>
    <w:p w14:paraId="3AAAAA9F"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hint="eastAsia"/>
          <w:bCs/>
          <w:kern w:val="22"/>
          <w:sz w:val="24"/>
          <w:szCs w:val="24"/>
          <w:lang w:val="zh-CN"/>
        </w:rPr>
        <w:t>表示注意到</w:t>
      </w:r>
      <w:r w:rsidRPr="000C0842">
        <w:rPr>
          <w:rFonts w:eastAsia="SimSun" w:hint="eastAsia"/>
          <w:bCs/>
          <w:sz w:val="24"/>
          <w:szCs w:val="24"/>
        </w:rPr>
        <w:t>在联合国气候变化框架公约缔约方大会第二十八届会议期间发表的关于气候、自然和人民的联合声明</w:t>
      </w:r>
      <w:r w:rsidRPr="000C0842">
        <w:rPr>
          <w:rFonts w:asciiTheme="majorBidi" w:eastAsia="SimSun" w:hAnsiTheme="majorBidi" w:cstheme="majorBidi"/>
          <w:sz w:val="24"/>
          <w:szCs w:val="24"/>
          <w:vertAlign w:val="superscript"/>
        </w:rPr>
        <w:footnoteReference w:id="358"/>
      </w:r>
      <w:r w:rsidRPr="000C0842">
        <w:rPr>
          <w:rFonts w:eastAsia="SimSun" w:hint="eastAsia"/>
          <w:bCs/>
          <w:sz w:val="24"/>
          <w:szCs w:val="24"/>
        </w:rPr>
        <w:t>，促进了为气候、自然和可持续发展采取加速的综合行动，</w:t>
      </w:r>
    </w:p>
    <w:p w14:paraId="40605BE5" w14:textId="636777F6"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hint="eastAsia"/>
          <w:bCs/>
          <w:kern w:val="22"/>
          <w:sz w:val="24"/>
          <w:szCs w:val="24"/>
          <w:lang w:val="zh-CN"/>
        </w:rPr>
        <w:t>回顾</w:t>
      </w:r>
      <w:smartTag w:uri="urn:schemas-microsoft-com:office:smarttags" w:element="chsdate">
        <w:smartTagPr>
          <w:attr w:name="Year" w:val="2024"/>
          <w:attr w:name="Month" w:val="3"/>
          <w:attr w:name="Day" w:val="1"/>
          <w:attr w:name="IsLunarDate" w:val="False"/>
          <w:attr w:name="IsROCDate" w:val="False"/>
        </w:smartTagPr>
        <w:r w:rsidRPr="000C0842">
          <w:rPr>
            <w:rFonts w:eastAsia="SimSun"/>
            <w:bCs/>
            <w:sz w:val="24"/>
            <w:szCs w:val="24"/>
          </w:rPr>
          <w:t>2024</w:t>
        </w:r>
        <w:r w:rsidRPr="000C0842">
          <w:rPr>
            <w:rFonts w:eastAsia="SimSun" w:hint="eastAsia"/>
            <w:bCs/>
            <w:sz w:val="24"/>
            <w:szCs w:val="24"/>
          </w:rPr>
          <w:t>年</w:t>
        </w:r>
        <w:r w:rsidRPr="000C0842">
          <w:rPr>
            <w:rFonts w:eastAsia="SimSun"/>
            <w:bCs/>
            <w:sz w:val="24"/>
            <w:szCs w:val="24"/>
          </w:rPr>
          <w:t>3</w:t>
        </w:r>
        <w:r w:rsidRPr="000C0842">
          <w:rPr>
            <w:rFonts w:eastAsia="SimSun" w:hint="eastAsia"/>
            <w:bCs/>
            <w:sz w:val="24"/>
            <w:szCs w:val="24"/>
          </w:rPr>
          <w:t>月</w:t>
        </w:r>
        <w:r w:rsidRPr="000C0842">
          <w:rPr>
            <w:rFonts w:eastAsia="SimSun"/>
            <w:bCs/>
            <w:sz w:val="24"/>
            <w:szCs w:val="24"/>
          </w:rPr>
          <w:t>1</w:t>
        </w:r>
        <w:r w:rsidRPr="000C0842">
          <w:rPr>
            <w:rFonts w:eastAsia="SimSun" w:hint="eastAsia"/>
            <w:bCs/>
            <w:sz w:val="24"/>
            <w:szCs w:val="24"/>
          </w:rPr>
          <w:t>日</w:t>
        </w:r>
        <w:r w:rsidR="00AE2D81" w:rsidRPr="000C0842">
          <w:rPr>
            <w:rFonts w:eastAsia="SimSun" w:hint="eastAsia"/>
            <w:bCs/>
            <w:sz w:val="24"/>
            <w:szCs w:val="24"/>
          </w:rPr>
          <w:t>联合国环境大会</w:t>
        </w:r>
      </w:smartTag>
      <w:r w:rsidRPr="000C0842">
        <w:rPr>
          <w:rFonts w:eastAsia="SimSun" w:hint="eastAsia"/>
          <w:bCs/>
          <w:sz w:val="24"/>
          <w:szCs w:val="24"/>
        </w:rPr>
        <w:t>题为“促进国家执行多边环境协定和其他相关环境文书的协同作用、合作或协作”的第</w:t>
      </w:r>
      <w:r w:rsidRPr="000C0842">
        <w:rPr>
          <w:rFonts w:eastAsia="SimSun"/>
          <w:bCs/>
          <w:sz w:val="24"/>
          <w:szCs w:val="24"/>
        </w:rPr>
        <w:t>6/4</w:t>
      </w:r>
      <w:r w:rsidRPr="000C0842">
        <w:rPr>
          <w:rFonts w:eastAsia="SimSun" w:hint="eastAsia"/>
          <w:bCs/>
          <w:sz w:val="24"/>
          <w:szCs w:val="24"/>
        </w:rPr>
        <w:t>号决议，</w:t>
      </w:r>
    </w:p>
    <w:p w14:paraId="4BB23AA1" w14:textId="636AF5C5"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hint="eastAsia"/>
          <w:bCs/>
          <w:kern w:val="22"/>
          <w:sz w:val="24"/>
          <w:szCs w:val="24"/>
          <w:lang w:val="zh-CN"/>
        </w:rPr>
        <w:t>强调</w:t>
      </w:r>
      <w:r w:rsidRPr="000C0842">
        <w:rPr>
          <w:rFonts w:eastAsia="SimSun"/>
          <w:bCs/>
          <w:kern w:val="22"/>
          <w:sz w:val="24"/>
          <w:szCs w:val="24"/>
          <w:lang w:val="zh-CN"/>
        </w:rPr>
        <w:t>实现</w:t>
      </w:r>
      <w:r w:rsidRPr="000C0842">
        <w:rPr>
          <w:rFonts w:eastAsia="SimSun" w:hint="eastAsia"/>
          <w:bCs/>
          <w:kern w:val="22"/>
          <w:sz w:val="24"/>
          <w:szCs w:val="24"/>
          <w:lang w:val="zh-CN"/>
        </w:rPr>
        <w:t>《联合国气候变化框架公约》和</w:t>
      </w:r>
      <w:r w:rsidRPr="000C0842">
        <w:rPr>
          <w:rFonts w:eastAsia="SimSun"/>
          <w:bCs/>
          <w:kern w:val="22"/>
          <w:sz w:val="24"/>
          <w:szCs w:val="24"/>
          <w:lang w:val="zh-CN"/>
        </w:rPr>
        <w:t>《巴黎协定》</w:t>
      </w:r>
      <w:r w:rsidR="001F2649" w:rsidRPr="000C0842">
        <w:rPr>
          <w:rFonts w:eastAsiaTheme="minorEastAsia"/>
          <w:snapToGrid w:val="0"/>
          <w:sz w:val="24"/>
          <w:szCs w:val="24"/>
          <w:vertAlign w:val="superscript"/>
        </w:rPr>
        <w:fldChar w:fldCharType="begin"/>
      </w:r>
      <w:r w:rsidR="001F2649" w:rsidRPr="000C0842">
        <w:rPr>
          <w:rFonts w:eastAsia="SimSun"/>
          <w:bCs/>
          <w:kern w:val="22"/>
          <w:sz w:val="24"/>
          <w:szCs w:val="24"/>
          <w:vertAlign w:val="superscript"/>
          <w:lang w:val="zh-CN"/>
        </w:rPr>
        <w:instrText xml:space="preserve"> NOTEREF _Ref206313532 \h </w:instrText>
      </w:r>
      <w:r w:rsidR="001F2649" w:rsidRPr="000C0842">
        <w:rPr>
          <w:rFonts w:eastAsiaTheme="minorEastAsia"/>
          <w:snapToGrid w:val="0"/>
          <w:sz w:val="24"/>
          <w:szCs w:val="24"/>
          <w:vertAlign w:val="superscript"/>
        </w:rPr>
        <w:instrText xml:space="preserve"> \* MERGEFORMAT </w:instrText>
      </w:r>
      <w:r w:rsidR="001F2649" w:rsidRPr="000C0842">
        <w:rPr>
          <w:rFonts w:eastAsiaTheme="minorEastAsia"/>
          <w:snapToGrid w:val="0"/>
          <w:sz w:val="24"/>
          <w:szCs w:val="24"/>
          <w:vertAlign w:val="superscript"/>
        </w:rPr>
      </w:r>
      <w:r w:rsidR="001F2649" w:rsidRPr="000C0842">
        <w:rPr>
          <w:rFonts w:eastAsiaTheme="minorEastAsia"/>
          <w:snapToGrid w:val="0"/>
          <w:sz w:val="24"/>
          <w:szCs w:val="24"/>
          <w:vertAlign w:val="superscript"/>
        </w:rPr>
        <w:fldChar w:fldCharType="separate"/>
      </w:r>
      <w:r w:rsidR="001A4065">
        <w:rPr>
          <w:rFonts w:eastAsia="SimSun"/>
          <w:bCs/>
          <w:kern w:val="22"/>
          <w:sz w:val="24"/>
          <w:szCs w:val="24"/>
          <w:vertAlign w:val="superscript"/>
          <w:lang w:val="zh-CN"/>
        </w:rPr>
        <w:t>355</w:t>
      </w:r>
      <w:r w:rsidR="001F2649" w:rsidRPr="000C0842">
        <w:rPr>
          <w:rFonts w:eastAsiaTheme="minorEastAsia"/>
          <w:snapToGrid w:val="0"/>
          <w:sz w:val="24"/>
          <w:szCs w:val="24"/>
          <w:vertAlign w:val="superscript"/>
        </w:rPr>
        <w:fldChar w:fldCharType="end"/>
      </w:r>
      <w:r w:rsidRPr="000C0842">
        <w:rPr>
          <w:rFonts w:eastAsia="SimSun" w:hint="eastAsia"/>
          <w:bCs/>
          <w:kern w:val="22"/>
          <w:sz w:val="24"/>
          <w:szCs w:val="24"/>
          <w:lang w:val="zh-CN"/>
        </w:rPr>
        <w:t xml:space="preserve"> </w:t>
      </w:r>
      <w:r w:rsidRPr="000C0842">
        <w:rPr>
          <w:rFonts w:eastAsia="SimSun"/>
          <w:bCs/>
          <w:kern w:val="22"/>
          <w:sz w:val="24"/>
          <w:szCs w:val="24"/>
          <w:lang w:val="zh-CN"/>
        </w:rPr>
        <w:t>的目标</w:t>
      </w:r>
      <w:r w:rsidRPr="000C0842">
        <w:rPr>
          <w:rFonts w:eastAsia="SimSun"/>
          <w:bCs/>
          <w:kern w:val="22"/>
          <w:sz w:val="24"/>
          <w:szCs w:val="24"/>
        </w:rPr>
        <w:t>对</w:t>
      </w:r>
      <w:r w:rsidRPr="000C0842">
        <w:rPr>
          <w:rFonts w:eastAsia="SimSun" w:hint="eastAsia"/>
          <w:bCs/>
          <w:kern w:val="22"/>
          <w:sz w:val="24"/>
          <w:szCs w:val="24"/>
          <w:lang w:val="zh-CN"/>
        </w:rPr>
        <w:t>避免生物多样性进一步丧失以及土地和海洋退化和实现与自然和谐相处的</w:t>
      </w:r>
      <w:r w:rsidRPr="000C0842">
        <w:rPr>
          <w:rFonts w:eastAsia="SimSun"/>
          <w:bCs/>
          <w:kern w:val="22"/>
          <w:sz w:val="24"/>
          <w:szCs w:val="24"/>
          <w:lang w:val="zh-CN"/>
        </w:rPr>
        <w:t>2050</w:t>
      </w:r>
      <w:r w:rsidRPr="000C0842">
        <w:rPr>
          <w:rFonts w:eastAsia="SimSun" w:hint="eastAsia"/>
          <w:bCs/>
          <w:kern w:val="22"/>
          <w:sz w:val="24"/>
          <w:szCs w:val="24"/>
          <w:lang w:val="zh-CN"/>
        </w:rPr>
        <w:t>年愿景至为关键，因此，需要进行转型性变革，</w:t>
      </w:r>
    </w:p>
    <w:p w14:paraId="0F80158C" w14:textId="3F8A745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hint="eastAsia"/>
          <w:bCs/>
          <w:kern w:val="22"/>
          <w:sz w:val="24"/>
          <w:szCs w:val="24"/>
          <w:lang w:val="zh-CN"/>
        </w:rPr>
        <w:t>又强调</w:t>
      </w:r>
      <w:r w:rsidR="001A5C0A" w:rsidRPr="000C0842">
        <w:rPr>
          <w:rFonts w:eastAsia="SimSun" w:hint="eastAsia"/>
          <w:sz w:val="24"/>
          <w:szCs w:val="24"/>
          <w:lang w:val="zh-CN"/>
        </w:rPr>
        <w:t>《昆蒙框架》</w:t>
      </w:r>
      <w:r w:rsidRPr="000C0842">
        <w:rPr>
          <w:rFonts w:eastAsia="SimSun" w:hint="eastAsia"/>
          <w:sz w:val="24"/>
          <w:szCs w:val="24"/>
          <w:lang w:val="zh-CN"/>
        </w:rPr>
        <w:t>的实现与根据《联合国气候变化框架公约》的目标和《巴黎协定》</w:t>
      </w:r>
      <w:r w:rsidR="00AE2D81" w:rsidRPr="000C0842">
        <w:rPr>
          <w:rFonts w:eastAsia="SimSun"/>
          <w:sz w:val="24"/>
          <w:szCs w:val="24"/>
          <w:lang w:val="zh-CN"/>
        </w:rPr>
        <w:fldChar w:fldCharType="begin"/>
      </w:r>
      <w:r w:rsidR="00AE2D81" w:rsidRPr="000C0842">
        <w:rPr>
          <w:rFonts w:eastAsia="SimSun"/>
          <w:sz w:val="24"/>
          <w:szCs w:val="24"/>
          <w:lang w:val="zh-CN"/>
        </w:rPr>
        <w:instrText xml:space="preserve"> </w:instrText>
      </w:r>
      <w:r w:rsidR="00AE2D81" w:rsidRPr="000C0842">
        <w:rPr>
          <w:rFonts w:eastAsia="SimSun" w:hint="eastAsia"/>
          <w:sz w:val="24"/>
          <w:szCs w:val="24"/>
          <w:lang w:val="zh-CN"/>
        </w:rPr>
        <w:instrText>NOTEREF _Ref206313532 \h</w:instrText>
      </w:r>
      <w:r w:rsidR="00AE2D81" w:rsidRPr="000C0842">
        <w:rPr>
          <w:rFonts w:eastAsia="SimSun"/>
          <w:sz w:val="24"/>
          <w:szCs w:val="24"/>
          <w:lang w:val="zh-CN"/>
        </w:rPr>
        <w:instrText xml:space="preserve">  \* MERGEFORMAT </w:instrText>
      </w:r>
      <w:r w:rsidR="00AE2D81" w:rsidRPr="000C0842">
        <w:rPr>
          <w:rFonts w:eastAsia="SimSun"/>
          <w:sz w:val="24"/>
          <w:szCs w:val="24"/>
          <w:lang w:val="zh-CN"/>
        </w:rPr>
      </w:r>
      <w:r w:rsidR="00AE2D81" w:rsidRPr="000C0842">
        <w:rPr>
          <w:rFonts w:eastAsia="SimSun"/>
          <w:sz w:val="24"/>
          <w:szCs w:val="24"/>
          <w:lang w:val="zh-CN"/>
        </w:rPr>
        <w:fldChar w:fldCharType="separate"/>
      </w:r>
      <w:r w:rsidR="001A4065" w:rsidRPr="001A4065">
        <w:rPr>
          <w:rFonts w:eastAsia="SimSun"/>
          <w:sz w:val="24"/>
          <w:szCs w:val="24"/>
          <w:vertAlign w:val="superscript"/>
          <w:lang w:val="zh-CN"/>
        </w:rPr>
        <w:t>355</w:t>
      </w:r>
      <w:r w:rsidR="00AE2D81" w:rsidRPr="000C0842">
        <w:rPr>
          <w:rFonts w:eastAsia="SimSun"/>
          <w:sz w:val="24"/>
          <w:szCs w:val="24"/>
          <w:lang w:val="zh-CN"/>
        </w:rPr>
        <w:fldChar w:fldCharType="end"/>
      </w:r>
      <w:r w:rsidRPr="000C0842">
        <w:rPr>
          <w:rFonts w:eastAsia="SimSun" w:hint="eastAsia"/>
          <w:sz w:val="24"/>
          <w:szCs w:val="24"/>
          <w:lang w:val="zh-CN"/>
        </w:rPr>
        <w:t>的目标采取紧急和有效的行动应对气候变化高度相关，反之亦然，同时认识到通过接近《巴黎协定》</w:t>
      </w:r>
      <w:r w:rsidR="001F2649" w:rsidRPr="000C0842">
        <w:rPr>
          <w:rFonts w:eastAsiaTheme="minorEastAsia"/>
          <w:snapToGrid w:val="0"/>
          <w:sz w:val="24"/>
          <w:szCs w:val="24"/>
          <w:vertAlign w:val="superscript"/>
        </w:rPr>
        <w:fldChar w:fldCharType="begin"/>
      </w:r>
      <w:r w:rsidR="001F2649" w:rsidRPr="000C0842">
        <w:rPr>
          <w:rFonts w:eastAsia="SimSun"/>
          <w:sz w:val="24"/>
          <w:szCs w:val="24"/>
          <w:vertAlign w:val="superscript"/>
          <w:lang w:val="zh-CN"/>
        </w:rPr>
        <w:instrText xml:space="preserve"> </w:instrText>
      </w:r>
      <w:r w:rsidR="001F2649" w:rsidRPr="000C0842">
        <w:rPr>
          <w:rFonts w:eastAsia="SimSun" w:hint="eastAsia"/>
          <w:sz w:val="24"/>
          <w:szCs w:val="24"/>
          <w:vertAlign w:val="superscript"/>
          <w:lang w:val="zh-CN"/>
        </w:rPr>
        <w:instrText>NOTEREF _Ref206313532 \h</w:instrText>
      </w:r>
      <w:r w:rsidR="001F2649" w:rsidRPr="000C0842">
        <w:rPr>
          <w:rFonts w:eastAsia="SimSun"/>
          <w:sz w:val="24"/>
          <w:szCs w:val="24"/>
          <w:vertAlign w:val="superscript"/>
          <w:lang w:val="zh-CN"/>
        </w:rPr>
        <w:instrText xml:space="preserve"> </w:instrText>
      </w:r>
      <w:r w:rsidR="001F2649" w:rsidRPr="000C0842">
        <w:rPr>
          <w:rFonts w:eastAsiaTheme="minorEastAsia"/>
          <w:snapToGrid w:val="0"/>
          <w:sz w:val="24"/>
          <w:szCs w:val="24"/>
          <w:vertAlign w:val="superscript"/>
        </w:rPr>
        <w:instrText xml:space="preserve"> \* MERGEFORMAT </w:instrText>
      </w:r>
      <w:r w:rsidR="001F2649" w:rsidRPr="000C0842">
        <w:rPr>
          <w:rFonts w:eastAsiaTheme="minorEastAsia"/>
          <w:snapToGrid w:val="0"/>
          <w:sz w:val="24"/>
          <w:szCs w:val="24"/>
          <w:vertAlign w:val="superscript"/>
        </w:rPr>
      </w:r>
      <w:r w:rsidR="001F2649" w:rsidRPr="000C0842">
        <w:rPr>
          <w:rFonts w:eastAsiaTheme="minorEastAsia"/>
          <w:snapToGrid w:val="0"/>
          <w:sz w:val="24"/>
          <w:szCs w:val="24"/>
          <w:vertAlign w:val="superscript"/>
        </w:rPr>
        <w:fldChar w:fldCharType="separate"/>
      </w:r>
      <w:r w:rsidR="001A4065">
        <w:rPr>
          <w:rFonts w:eastAsia="SimSun"/>
          <w:sz w:val="24"/>
          <w:szCs w:val="24"/>
          <w:vertAlign w:val="superscript"/>
          <w:lang w:val="zh-CN"/>
        </w:rPr>
        <w:t>355</w:t>
      </w:r>
      <w:r w:rsidR="001F2649" w:rsidRPr="000C0842">
        <w:rPr>
          <w:rFonts w:eastAsiaTheme="minorEastAsia"/>
          <w:snapToGrid w:val="0"/>
          <w:sz w:val="24"/>
          <w:szCs w:val="24"/>
          <w:vertAlign w:val="superscript"/>
        </w:rPr>
        <w:fldChar w:fldCharType="end"/>
      </w:r>
      <w:r w:rsidRPr="000C0842" w:rsidDel="009A5526">
        <w:rPr>
          <w:rFonts w:eastAsia="SimSun" w:hint="eastAsia"/>
          <w:bCs/>
          <w:sz w:val="24"/>
          <w:szCs w:val="24"/>
          <w:vertAlign w:val="superscript"/>
          <w:lang w:val="zh-CN"/>
        </w:rPr>
        <w:t xml:space="preserve"> </w:t>
      </w:r>
      <w:r w:rsidRPr="000C0842">
        <w:rPr>
          <w:rFonts w:eastAsia="SimSun" w:hint="eastAsia"/>
          <w:bCs/>
          <w:sz w:val="24"/>
          <w:szCs w:val="24"/>
          <w:lang w:val="zh-CN"/>
        </w:rPr>
        <w:t>的气温目标</w:t>
      </w:r>
      <w:r w:rsidRPr="000C0842">
        <w:rPr>
          <w:rFonts w:eastAsia="SimSun" w:hint="eastAsia"/>
          <w:sz w:val="24"/>
          <w:szCs w:val="24"/>
          <w:lang w:val="zh-CN"/>
        </w:rPr>
        <w:t>，将减少对生物多样性的风险和影响，而且通过把气温上升幅度保持在</w:t>
      </w:r>
      <w:r w:rsidRPr="000C0842">
        <w:rPr>
          <w:rFonts w:eastAsia="SimSun" w:hint="eastAsia"/>
          <w:sz w:val="24"/>
          <w:szCs w:val="24"/>
          <w:lang w:val="zh-CN"/>
        </w:rPr>
        <w:t>1.5</w:t>
      </w:r>
      <w:r w:rsidRPr="000C0842">
        <w:rPr>
          <w:rFonts w:eastAsia="SimSun"/>
          <w:lang w:val="en-GB"/>
        </w:rPr>
        <w:t xml:space="preserve"> </w:t>
      </w:r>
      <w:r w:rsidRPr="000C0842">
        <w:rPr>
          <w:rFonts w:eastAsia="SimSun"/>
          <w:sz w:val="24"/>
          <w:szCs w:val="24"/>
          <w:lang w:val="en-GB"/>
        </w:rPr>
        <w:t>ºC</w:t>
      </w:r>
      <w:r w:rsidRPr="000C0842">
        <w:rPr>
          <w:rFonts w:eastAsia="SimSun" w:hint="eastAsia"/>
          <w:sz w:val="24"/>
          <w:szCs w:val="24"/>
          <w:lang w:val="en-GB"/>
        </w:rPr>
        <w:t>，而不是</w:t>
      </w:r>
      <w:r w:rsidRPr="000C0842">
        <w:rPr>
          <w:rFonts w:eastAsia="SimSun" w:hint="eastAsia"/>
          <w:sz w:val="24"/>
          <w:szCs w:val="24"/>
          <w:lang w:val="en-GB"/>
        </w:rPr>
        <w:t>2</w:t>
      </w:r>
      <w:r w:rsidRPr="000C0842">
        <w:rPr>
          <w:rFonts w:eastAsia="SimSun"/>
          <w:sz w:val="24"/>
          <w:szCs w:val="24"/>
          <w:lang w:val="en-GB"/>
        </w:rPr>
        <w:t xml:space="preserve"> ºC</w:t>
      </w:r>
      <w:r w:rsidRPr="000C0842">
        <w:rPr>
          <w:rFonts w:eastAsia="SimSun" w:hint="eastAsia"/>
          <w:sz w:val="24"/>
          <w:szCs w:val="24"/>
          <w:lang w:val="en-GB"/>
        </w:rPr>
        <w:t>，将大幅度降低这样的风险和影响，</w:t>
      </w:r>
    </w:p>
    <w:p w14:paraId="3FC75448"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hint="eastAsia"/>
          <w:bCs/>
          <w:kern w:val="22"/>
          <w:sz w:val="24"/>
          <w:szCs w:val="24"/>
          <w:lang w:val="zh-CN"/>
        </w:rPr>
        <w:t>回顾</w:t>
      </w:r>
      <w:smartTag w:uri="urn:schemas-microsoft-com:office:smarttags" w:element="chsdate">
        <w:smartTagPr>
          <w:attr w:name="Year" w:val="2022"/>
          <w:attr w:name="Month" w:val="12"/>
          <w:attr w:name="Day" w:val="19"/>
          <w:attr w:name="IsLunarDate" w:val="False"/>
          <w:attr w:name="IsROCDate" w:val="False"/>
        </w:smartTagPr>
        <w:r w:rsidRPr="000C0842">
          <w:rPr>
            <w:rFonts w:eastAsia="SimSun"/>
            <w:bCs/>
            <w:kern w:val="22"/>
            <w:sz w:val="24"/>
            <w:szCs w:val="24"/>
            <w:lang w:val="zh-CN"/>
          </w:rPr>
          <w:t>2022</w:t>
        </w:r>
        <w:r w:rsidRPr="000C0842">
          <w:rPr>
            <w:rFonts w:eastAsia="SimSun" w:hint="eastAsia"/>
            <w:bCs/>
            <w:kern w:val="22"/>
            <w:sz w:val="24"/>
            <w:szCs w:val="24"/>
            <w:lang w:val="zh-CN"/>
          </w:rPr>
          <w:t>年</w:t>
        </w:r>
        <w:r w:rsidRPr="000C0842">
          <w:rPr>
            <w:rFonts w:eastAsia="SimSun"/>
            <w:bCs/>
            <w:kern w:val="22"/>
            <w:sz w:val="24"/>
            <w:szCs w:val="24"/>
            <w:lang w:val="zh-CN"/>
          </w:rPr>
          <w:t>12</w:t>
        </w:r>
        <w:r w:rsidRPr="000C0842">
          <w:rPr>
            <w:rFonts w:eastAsia="SimSun" w:hint="eastAsia"/>
            <w:bCs/>
            <w:kern w:val="22"/>
            <w:sz w:val="24"/>
            <w:szCs w:val="24"/>
            <w:lang w:val="zh-CN"/>
          </w:rPr>
          <w:t>月</w:t>
        </w:r>
        <w:r w:rsidRPr="000C0842">
          <w:rPr>
            <w:rFonts w:eastAsia="SimSun"/>
            <w:bCs/>
            <w:kern w:val="22"/>
            <w:sz w:val="24"/>
            <w:szCs w:val="24"/>
            <w:lang w:val="zh-CN"/>
          </w:rPr>
          <w:t>19</w:t>
        </w:r>
        <w:r w:rsidRPr="000C0842">
          <w:rPr>
            <w:rFonts w:eastAsia="SimSun" w:hint="eastAsia"/>
            <w:bCs/>
            <w:kern w:val="22"/>
            <w:sz w:val="24"/>
            <w:szCs w:val="24"/>
            <w:lang w:val="zh-CN"/>
          </w:rPr>
          <w:t>日</w:t>
        </w:r>
      </w:smartTag>
      <w:r w:rsidRPr="000C0842">
        <w:rPr>
          <w:rFonts w:eastAsia="SimSun" w:hint="eastAsia"/>
          <w:bCs/>
          <w:kern w:val="22"/>
          <w:sz w:val="24"/>
          <w:szCs w:val="24"/>
          <w:lang w:val="zh-CN"/>
        </w:rPr>
        <w:t>第</w:t>
      </w:r>
      <w:hyperlink r:id="rId230" w:history="1">
        <w:r w:rsidRPr="000C0842">
          <w:rPr>
            <w:rFonts w:eastAsia="SimSun"/>
            <w:bCs/>
            <w:kern w:val="22"/>
            <w:sz w:val="24"/>
            <w:szCs w:val="24"/>
            <w:u w:val="single"/>
            <w:lang w:val="zh-CN"/>
          </w:rPr>
          <w:t>15/13</w:t>
        </w:r>
      </w:hyperlink>
      <w:r w:rsidRPr="000C0842">
        <w:rPr>
          <w:rFonts w:eastAsia="SimSun" w:hint="eastAsia"/>
          <w:bCs/>
          <w:kern w:val="22"/>
          <w:sz w:val="24"/>
          <w:szCs w:val="24"/>
          <w:lang w:val="zh-CN"/>
        </w:rPr>
        <w:t>号决定，其中缔约方大会表示注意到</w:t>
      </w:r>
      <w:smartTag w:uri="urn:schemas-microsoft-com:office:smarttags" w:element="chsdate">
        <w:smartTagPr>
          <w:attr w:name="Year" w:val="2022"/>
          <w:attr w:name="Month" w:val="3"/>
          <w:attr w:name="Day" w:val="2"/>
          <w:attr w:name="IsLunarDate" w:val="False"/>
          <w:attr w:name="IsROCDate" w:val="False"/>
        </w:smartTagPr>
        <w:r w:rsidRPr="000C0842">
          <w:rPr>
            <w:rFonts w:eastAsia="SimSun"/>
            <w:bCs/>
            <w:kern w:val="22"/>
            <w:sz w:val="24"/>
            <w:szCs w:val="24"/>
            <w:lang w:val="zh-CN"/>
          </w:rPr>
          <w:t>2022</w:t>
        </w:r>
        <w:r w:rsidRPr="000C0842">
          <w:rPr>
            <w:rFonts w:eastAsia="SimSun" w:hint="eastAsia"/>
            <w:bCs/>
            <w:kern w:val="22"/>
            <w:sz w:val="24"/>
            <w:szCs w:val="24"/>
            <w:lang w:val="zh-CN"/>
          </w:rPr>
          <w:t>年</w:t>
        </w:r>
        <w:r w:rsidRPr="000C0842">
          <w:rPr>
            <w:rFonts w:eastAsia="SimSun"/>
            <w:bCs/>
            <w:kern w:val="22"/>
            <w:sz w:val="24"/>
            <w:szCs w:val="24"/>
            <w:lang w:val="zh-CN"/>
          </w:rPr>
          <w:t>3</w:t>
        </w:r>
        <w:r w:rsidRPr="000C0842">
          <w:rPr>
            <w:rFonts w:eastAsia="SimSun" w:hint="eastAsia"/>
            <w:bCs/>
            <w:kern w:val="22"/>
            <w:sz w:val="24"/>
            <w:szCs w:val="24"/>
            <w:lang w:val="zh-CN"/>
          </w:rPr>
          <w:t>月</w:t>
        </w:r>
        <w:r w:rsidRPr="000C0842">
          <w:rPr>
            <w:rFonts w:eastAsia="SimSun"/>
            <w:bCs/>
            <w:kern w:val="22"/>
            <w:sz w:val="24"/>
            <w:szCs w:val="24"/>
            <w:lang w:val="zh-CN"/>
          </w:rPr>
          <w:t>2</w:t>
        </w:r>
        <w:r w:rsidRPr="000C0842">
          <w:rPr>
            <w:rFonts w:eastAsia="SimSun" w:hint="eastAsia"/>
            <w:bCs/>
            <w:kern w:val="22"/>
            <w:sz w:val="24"/>
            <w:szCs w:val="24"/>
            <w:lang w:val="zh-CN"/>
          </w:rPr>
          <w:t>日</w:t>
        </w:r>
      </w:smartTag>
      <w:r w:rsidRPr="000C0842">
        <w:rPr>
          <w:rFonts w:eastAsia="SimSun" w:hint="eastAsia"/>
          <w:bCs/>
          <w:kern w:val="22"/>
          <w:sz w:val="24"/>
          <w:szCs w:val="24"/>
          <w:lang w:val="zh-CN"/>
        </w:rPr>
        <w:t>联合国环境大会关于通过基于自然的解决方案支持可持续发展的第</w:t>
      </w:r>
      <w:r w:rsidRPr="000C0842">
        <w:rPr>
          <w:rFonts w:eastAsia="SimSun"/>
          <w:bCs/>
          <w:kern w:val="22"/>
          <w:sz w:val="24"/>
          <w:szCs w:val="24"/>
          <w:lang w:val="zh-CN"/>
        </w:rPr>
        <w:t>5/5</w:t>
      </w:r>
      <w:r w:rsidRPr="000C0842">
        <w:rPr>
          <w:rFonts w:eastAsia="SimSun" w:hint="eastAsia"/>
          <w:bCs/>
          <w:kern w:val="22"/>
          <w:sz w:val="24"/>
          <w:szCs w:val="24"/>
          <w:lang w:val="zh-CN"/>
        </w:rPr>
        <w:t>号决议，环境大会在决议中确认基于自然的解决方案可能极大地促进气候行动，同时认识到需要分析其影响，包括长期影响，并承认这些解决方案并不能取代快速、深入和持续减少温室气体排放的需要，但可以改善适应、抵御和减缓气候变化及其影响的行动，</w:t>
      </w:r>
    </w:p>
    <w:p w14:paraId="5CF91F61"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kern w:val="22"/>
          <w:sz w:val="24"/>
          <w:szCs w:val="24"/>
          <w:lang w:val="en-GB"/>
        </w:rPr>
      </w:pPr>
      <w:r w:rsidRPr="000C0842">
        <w:rPr>
          <w:rFonts w:eastAsia="KaiTi" w:hint="eastAsia"/>
          <w:bCs/>
          <w:kern w:val="22"/>
          <w:sz w:val="24"/>
          <w:szCs w:val="24"/>
          <w:lang w:val="zh-CN"/>
        </w:rPr>
        <w:t>强调</w:t>
      </w:r>
      <w:r w:rsidRPr="000C0842">
        <w:rPr>
          <w:rFonts w:eastAsia="SimSun" w:hint="eastAsia"/>
          <w:sz w:val="24"/>
          <w:szCs w:val="24"/>
          <w:lang w:val="zh-CN"/>
        </w:rPr>
        <w:t>生物多样性和生态系统完整性在应对气候变化及其影响方面发挥着重要作用</w:t>
      </w:r>
      <w:r w:rsidRPr="000C0842">
        <w:rPr>
          <w:rFonts w:eastAsia="SimSun" w:hint="eastAsia"/>
          <w:sz w:val="24"/>
          <w:szCs w:val="24"/>
          <w:lang w:val="en-GB"/>
        </w:rPr>
        <w:t>，</w:t>
      </w:r>
      <w:r w:rsidRPr="000C0842">
        <w:rPr>
          <w:rFonts w:eastAsia="SimSun" w:hint="eastAsia"/>
          <w:sz w:val="24"/>
          <w:szCs w:val="24"/>
          <w:lang w:val="zh-CN"/>
        </w:rPr>
        <w:t>保护和恢复生物多样性和生态系统</w:t>
      </w:r>
      <w:r w:rsidRPr="000C0842">
        <w:rPr>
          <w:rFonts w:eastAsia="SimSun" w:hint="eastAsia"/>
          <w:sz w:val="24"/>
          <w:szCs w:val="24"/>
          <w:lang w:val="en-GB"/>
        </w:rPr>
        <w:t>，</w:t>
      </w:r>
      <w:r w:rsidRPr="000C0842">
        <w:rPr>
          <w:rFonts w:eastAsia="SimSun" w:hint="eastAsia"/>
          <w:sz w:val="24"/>
          <w:szCs w:val="24"/>
          <w:lang w:val="zh-CN"/>
        </w:rPr>
        <w:t>包括动物种群</w:t>
      </w:r>
      <w:r w:rsidRPr="000C0842">
        <w:rPr>
          <w:rFonts w:eastAsia="SimSun" w:hint="eastAsia"/>
          <w:sz w:val="24"/>
          <w:szCs w:val="24"/>
          <w:lang w:val="en-GB"/>
        </w:rPr>
        <w:t>，</w:t>
      </w:r>
      <w:r w:rsidRPr="000C0842">
        <w:rPr>
          <w:rFonts w:eastAsia="SimSun" w:hint="eastAsia"/>
          <w:sz w:val="24"/>
          <w:szCs w:val="24"/>
          <w:lang w:val="zh-CN"/>
        </w:rPr>
        <w:t>是减缓、适应和减少灾害风险的有效选择</w:t>
      </w:r>
      <w:r w:rsidRPr="000C0842">
        <w:rPr>
          <w:rFonts w:eastAsia="SimSun" w:hint="eastAsia"/>
          <w:sz w:val="24"/>
          <w:szCs w:val="24"/>
          <w:lang w:val="en-GB"/>
        </w:rPr>
        <w:t>，</w:t>
      </w:r>
      <w:r w:rsidRPr="000C0842">
        <w:rPr>
          <w:rFonts w:eastAsia="SimSun" w:hint="eastAsia"/>
          <w:sz w:val="24"/>
          <w:szCs w:val="24"/>
          <w:lang w:val="zh-CN"/>
        </w:rPr>
        <w:t>是尽量减少气候变化产生的影响的行动</w:t>
      </w:r>
      <w:r w:rsidRPr="000C0842">
        <w:rPr>
          <w:rFonts w:eastAsia="SimSun" w:hint="eastAsia"/>
          <w:sz w:val="24"/>
          <w:szCs w:val="24"/>
          <w:lang w:val="en-GB"/>
        </w:rPr>
        <w:t>，</w:t>
      </w:r>
      <w:r w:rsidRPr="000C0842">
        <w:rPr>
          <w:rFonts w:eastAsia="SimSun" w:hint="eastAsia"/>
          <w:sz w:val="24"/>
          <w:szCs w:val="24"/>
          <w:lang w:val="zh-CN"/>
        </w:rPr>
        <w:t>特别是土著人民和地方社区的知识、治理和管理实践参与其中时</w:t>
      </w:r>
      <w:r w:rsidRPr="000C0842">
        <w:rPr>
          <w:rFonts w:eastAsia="SimSun" w:hint="eastAsia"/>
          <w:sz w:val="24"/>
          <w:szCs w:val="24"/>
          <w:lang w:val="en-GB"/>
        </w:rPr>
        <w:t>，</w:t>
      </w:r>
    </w:p>
    <w:p w14:paraId="5C35A22E"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bCs/>
          <w:kern w:val="22"/>
          <w:sz w:val="24"/>
          <w:szCs w:val="24"/>
          <w:lang w:val="zh-CN"/>
        </w:rPr>
        <w:t>深切关注</w:t>
      </w:r>
      <w:r w:rsidRPr="000C0842">
        <w:rPr>
          <w:rFonts w:eastAsia="SimSun"/>
          <w:bCs/>
          <w:kern w:val="22"/>
          <w:sz w:val="24"/>
          <w:szCs w:val="24"/>
          <w:lang w:val="zh-CN"/>
        </w:rPr>
        <w:t>气候变化影响</w:t>
      </w:r>
      <w:r w:rsidRPr="000C0842">
        <w:rPr>
          <w:rFonts w:eastAsia="SimSun" w:hint="eastAsia"/>
          <w:bCs/>
          <w:kern w:val="22"/>
          <w:sz w:val="24"/>
          <w:szCs w:val="24"/>
          <w:lang w:val="zh-CN"/>
        </w:rPr>
        <w:t>的</w:t>
      </w:r>
      <w:r w:rsidRPr="000C0842">
        <w:rPr>
          <w:rFonts w:eastAsia="SimSun"/>
          <w:bCs/>
          <w:kern w:val="22"/>
          <w:sz w:val="24"/>
          <w:szCs w:val="24"/>
          <w:lang w:val="zh-CN"/>
        </w:rPr>
        <w:t>迅速增加加剧了生物多样性的丧失，削弱了关键生态系统功能和服务的提供，加大了对物种的现有威胁，并可能</w:t>
      </w:r>
      <w:r w:rsidRPr="000C0842">
        <w:rPr>
          <w:rFonts w:eastAsia="SimSun" w:hint="eastAsia"/>
          <w:bCs/>
          <w:kern w:val="22"/>
          <w:sz w:val="24"/>
          <w:szCs w:val="24"/>
        </w:rPr>
        <w:t>让</w:t>
      </w:r>
      <w:r w:rsidRPr="000C0842">
        <w:rPr>
          <w:rFonts w:eastAsia="SimSun"/>
          <w:bCs/>
          <w:kern w:val="22"/>
          <w:sz w:val="24"/>
          <w:szCs w:val="24"/>
          <w:lang w:val="zh-CN"/>
        </w:rPr>
        <w:t>脆弱种群</w:t>
      </w:r>
      <w:r w:rsidRPr="000C0842">
        <w:rPr>
          <w:rFonts w:eastAsia="SimSun" w:hint="eastAsia"/>
          <w:bCs/>
          <w:kern w:val="22"/>
          <w:sz w:val="24"/>
          <w:szCs w:val="24"/>
          <w:lang w:val="zh-CN"/>
        </w:rPr>
        <w:t>无法生存</w:t>
      </w:r>
      <w:r w:rsidRPr="000C0842">
        <w:rPr>
          <w:rFonts w:eastAsia="SimSun"/>
          <w:bCs/>
          <w:kern w:val="22"/>
          <w:sz w:val="24"/>
          <w:szCs w:val="24"/>
          <w:lang w:val="zh-CN"/>
        </w:rPr>
        <w:t>，增加</w:t>
      </w:r>
      <w:r w:rsidRPr="000C0842">
        <w:rPr>
          <w:rFonts w:eastAsia="SimSun" w:hint="eastAsia"/>
          <w:bCs/>
          <w:kern w:val="22"/>
          <w:sz w:val="24"/>
          <w:szCs w:val="24"/>
          <w:lang w:val="zh-CN"/>
        </w:rPr>
        <w:t>这些种群</w:t>
      </w:r>
      <w:r w:rsidRPr="000C0842">
        <w:rPr>
          <w:rFonts w:eastAsia="SimSun"/>
          <w:bCs/>
          <w:kern w:val="22"/>
          <w:sz w:val="24"/>
          <w:szCs w:val="24"/>
          <w:lang w:val="zh-CN"/>
        </w:rPr>
        <w:t>灭绝的风险，</w:t>
      </w:r>
    </w:p>
    <w:p w14:paraId="109BA5AA"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en-GB"/>
        </w:rPr>
      </w:pPr>
      <w:r w:rsidRPr="000C0842">
        <w:rPr>
          <w:rFonts w:eastAsia="KaiTi" w:hint="eastAsia"/>
          <w:bCs/>
          <w:kern w:val="22"/>
          <w:sz w:val="24"/>
          <w:szCs w:val="24"/>
          <w:lang w:val="zh-CN"/>
        </w:rPr>
        <w:t>认识到</w:t>
      </w:r>
      <w:r w:rsidRPr="000C0842">
        <w:rPr>
          <w:rFonts w:eastAsia="SimSun" w:hint="eastAsia"/>
          <w:bCs/>
          <w:kern w:val="22"/>
          <w:sz w:val="24"/>
          <w:szCs w:val="24"/>
          <w:lang w:val="zh-CN"/>
        </w:rPr>
        <w:t>生物多样性在支持生态系统和生态系统服务完整性方面的重要功能作用</w:t>
      </w:r>
      <w:r w:rsidRPr="000C0842">
        <w:rPr>
          <w:rFonts w:eastAsia="SimSun" w:hint="eastAsia"/>
          <w:bCs/>
          <w:kern w:val="22"/>
          <w:sz w:val="24"/>
          <w:szCs w:val="24"/>
        </w:rPr>
        <w:t>，同时，保护和恢复生态的完整性有助于同时解决气候变化和生物多样性丧失，</w:t>
      </w:r>
    </w:p>
    <w:p w14:paraId="3E2F3443"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bCs/>
          <w:kern w:val="22"/>
          <w:sz w:val="24"/>
          <w:szCs w:val="24"/>
          <w:lang w:val="zh-CN"/>
        </w:rPr>
        <w:t>强调</w:t>
      </w:r>
      <w:r w:rsidRPr="000C0842">
        <w:rPr>
          <w:rFonts w:eastAsia="SimSun"/>
          <w:bCs/>
          <w:kern w:val="22"/>
          <w:sz w:val="24"/>
          <w:szCs w:val="24"/>
          <w:lang w:val="zh-CN"/>
        </w:rPr>
        <w:t>维护生态走廊和促进景观连通性对于</w:t>
      </w:r>
      <w:r w:rsidRPr="000C0842">
        <w:rPr>
          <w:rFonts w:eastAsia="SimSun" w:hint="eastAsia"/>
          <w:bCs/>
          <w:kern w:val="22"/>
          <w:sz w:val="24"/>
          <w:szCs w:val="24"/>
          <w:lang w:val="zh-CN"/>
        </w:rPr>
        <w:t>保障</w:t>
      </w:r>
      <w:r w:rsidRPr="000C0842">
        <w:rPr>
          <w:rFonts w:eastAsia="SimSun"/>
          <w:bCs/>
          <w:kern w:val="22"/>
          <w:sz w:val="24"/>
          <w:szCs w:val="24"/>
          <w:lang w:val="zh-CN"/>
        </w:rPr>
        <w:t>物种迁移</w:t>
      </w:r>
      <w:r w:rsidRPr="000C0842">
        <w:rPr>
          <w:rFonts w:eastAsia="SimSun" w:hint="eastAsia"/>
          <w:bCs/>
          <w:kern w:val="22"/>
          <w:sz w:val="24"/>
          <w:szCs w:val="24"/>
          <w:lang w:val="zh-CN"/>
        </w:rPr>
        <w:t>至气候适合的地方或</w:t>
      </w:r>
      <w:r w:rsidRPr="000C0842">
        <w:rPr>
          <w:rFonts w:eastAsia="SimSun"/>
          <w:bCs/>
          <w:kern w:val="22"/>
          <w:sz w:val="24"/>
          <w:szCs w:val="24"/>
          <w:lang w:val="zh-CN"/>
        </w:rPr>
        <w:t>适应新</w:t>
      </w:r>
      <w:r w:rsidRPr="000C0842">
        <w:rPr>
          <w:rFonts w:eastAsia="SimSun" w:hint="eastAsia"/>
          <w:bCs/>
          <w:kern w:val="22"/>
          <w:sz w:val="24"/>
          <w:szCs w:val="24"/>
          <w:lang w:val="zh-CN"/>
        </w:rPr>
        <w:t>的</w:t>
      </w:r>
      <w:r w:rsidRPr="000C0842">
        <w:rPr>
          <w:rFonts w:eastAsia="SimSun"/>
          <w:bCs/>
          <w:kern w:val="22"/>
          <w:sz w:val="24"/>
          <w:szCs w:val="24"/>
          <w:lang w:val="zh-CN"/>
        </w:rPr>
        <w:t>条件至关重要，在气候变化及其影响生境的背景下，这一点尤为紧迫，</w:t>
      </w:r>
    </w:p>
    <w:p w14:paraId="33F4CF73"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bCs/>
          <w:kern w:val="22"/>
          <w:sz w:val="24"/>
          <w:szCs w:val="24"/>
          <w:lang w:val="zh-CN"/>
        </w:rPr>
        <w:t>深切关注</w:t>
      </w:r>
      <w:r w:rsidRPr="000C0842">
        <w:rPr>
          <w:rFonts w:eastAsia="SimSun"/>
          <w:bCs/>
          <w:kern w:val="22"/>
          <w:sz w:val="24"/>
          <w:szCs w:val="24"/>
          <w:lang w:val="zh-CN"/>
        </w:rPr>
        <w:t>二氧化碳</w:t>
      </w:r>
      <w:r w:rsidRPr="000C0842">
        <w:rPr>
          <w:rFonts w:eastAsia="SimSun" w:hint="eastAsia"/>
          <w:bCs/>
          <w:kern w:val="22"/>
          <w:sz w:val="24"/>
          <w:szCs w:val="24"/>
          <w:lang w:val="zh-CN"/>
        </w:rPr>
        <w:t>人为</w:t>
      </w:r>
      <w:r w:rsidRPr="000C0842">
        <w:rPr>
          <w:rFonts w:eastAsia="SimSun"/>
          <w:bCs/>
          <w:kern w:val="22"/>
          <w:sz w:val="24"/>
          <w:szCs w:val="24"/>
          <w:lang w:val="zh-CN"/>
        </w:rPr>
        <w:t>排放的增加导致</w:t>
      </w:r>
      <w:r w:rsidRPr="000C0842">
        <w:rPr>
          <w:rFonts w:eastAsia="SimSun" w:hint="eastAsia"/>
          <w:bCs/>
          <w:kern w:val="22"/>
          <w:sz w:val="24"/>
          <w:szCs w:val="24"/>
          <w:lang w:val="zh-CN"/>
        </w:rPr>
        <w:t>大气中</w:t>
      </w:r>
      <w:r w:rsidRPr="000C0842">
        <w:rPr>
          <w:rFonts w:eastAsia="SimSun"/>
          <w:bCs/>
          <w:kern w:val="22"/>
          <w:sz w:val="24"/>
          <w:szCs w:val="24"/>
          <w:lang w:val="zh-CN"/>
        </w:rPr>
        <w:t>二氧化碳</w:t>
      </w:r>
      <w:r w:rsidRPr="000C0842">
        <w:rPr>
          <w:rFonts w:eastAsia="SimSun" w:hint="eastAsia"/>
          <w:bCs/>
          <w:kern w:val="22"/>
          <w:sz w:val="24"/>
          <w:szCs w:val="24"/>
          <w:lang w:val="zh-CN"/>
        </w:rPr>
        <w:t>浓度增加</w:t>
      </w:r>
      <w:r w:rsidRPr="000C0842">
        <w:rPr>
          <w:rFonts w:eastAsia="SimSun"/>
          <w:bCs/>
          <w:kern w:val="22"/>
          <w:sz w:val="24"/>
          <w:szCs w:val="24"/>
          <w:lang w:val="zh-CN"/>
        </w:rPr>
        <w:t>，</w:t>
      </w:r>
      <w:r w:rsidRPr="000C0842">
        <w:rPr>
          <w:rFonts w:eastAsia="SimSun" w:hint="eastAsia"/>
          <w:bCs/>
          <w:kern w:val="22"/>
          <w:sz w:val="24"/>
          <w:szCs w:val="24"/>
          <w:lang w:val="zh-CN"/>
        </w:rPr>
        <w:t>导致海洋酸化和</w:t>
      </w:r>
      <w:r w:rsidRPr="000C0842">
        <w:rPr>
          <w:rFonts w:eastAsia="SimSun"/>
          <w:bCs/>
          <w:kern w:val="22"/>
          <w:sz w:val="24"/>
          <w:szCs w:val="24"/>
          <w:lang w:val="zh-CN"/>
        </w:rPr>
        <w:t>温度升高，</w:t>
      </w:r>
      <w:r w:rsidRPr="000C0842">
        <w:rPr>
          <w:rFonts w:eastAsia="SimSun" w:hint="eastAsia"/>
          <w:bCs/>
          <w:kern w:val="22"/>
          <w:sz w:val="24"/>
          <w:szCs w:val="24"/>
          <w:lang w:val="zh-CN"/>
        </w:rPr>
        <w:t>包括</w:t>
      </w:r>
      <w:r w:rsidRPr="000C0842">
        <w:rPr>
          <w:rFonts w:eastAsia="SimSun"/>
          <w:bCs/>
          <w:kern w:val="22"/>
          <w:sz w:val="24"/>
          <w:szCs w:val="24"/>
          <w:lang w:val="zh-CN"/>
        </w:rPr>
        <w:t>海洋</w:t>
      </w:r>
      <w:r w:rsidRPr="000C0842">
        <w:rPr>
          <w:rFonts w:eastAsia="SimSun" w:hint="eastAsia"/>
          <w:bCs/>
          <w:kern w:val="22"/>
          <w:sz w:val="24"/>
          <w:szCs w:val="24"/>
          <w:lang w:val="zh-CN"/>
        </w:rPr>
        <w:t>热浪</w:t>
      </w:r>
      <w:r w:rsidRPr="000C0842">
        <w:rPr>
          <w:rFonts w:eastAsia="SimSun"/>
          <w:bCs/>
          <w:kern w:val="22"/>
          <w:sz w:val="24"/>
          <w:szCs w:val="24"/>
          <w:lang w:val="zh-CN"/>
        </w:rPr>
        <w:t>和脱氧，对海洋生物特别是珊瑚礁</w:t>
      </w:r>
      <w:r w:rsidRPr="000C0842">
        <w:rPr>
          <w:rFonts w:eastAsia="SimSun" w:hint="eastAsia"/>
          <w:bCs/>
          <w:kern w:val="22"/>
          <w:sz w:val="24"/>
          <w:szCs w:val="24"/>
          <w:lang w:val="zh-CN"/>
        </w:rPr>
        <w:t>及其他敏感海洋生态系统、物种和生命史带来</w:t>
      </w:r>
      <w:r w:rsidRPr="000C0842">
        <w:rPr>
          <w:rFonts w:eastAsia="SimSun"/>
          <w:bCs/>
          <w:kern w:val="22"/>
          <w:sz w:val="24"/>
          <w:szCs w:val="24"/>
          <w:lang w:val="zh-CN"/>
        </w:rPr>
        <w:t>严重后果，</w:t>
      </w:r>
    </w:p>
    <w:p w14:paraId="51C731D6" w14:textId="3D15CABF"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bCs/>
          <w:kern w:val="22"/>
          <w:sz w:val="24"/>
          <w:szCs w:val="24"/>
          <w:lang w:val="zh-CN"/>
        </w:rPr>
        <w:t>认识到</w:t>
      </w:r>
      <w:r w:rsidRPr="000C0842">
        <w:rPr>
          <w:rFonts w:eastAsia="SimSun"/>
          <w:bCs/>
          <w:kern w:val="22"/>
          <w:sz w:val="24"/>
          <w:szCs w:val="24"/>
          <w:lang w:val="zh-CN"/>
        </w:rPr>
        <w:t>海洋在调节气候方面的</w:t>
      </w:r>
      <w:r w:rsidRPr="000C0842">
        <w:rPr>
          <w:rFonts w:eastAsia="SimSun" w:hint="eastAsia"/>
          <w:bCs/>
          <w:kern w:val="22"/>
          <w:sz w:val="24"/>
          <w:szCs w:val="24"/>
          <w:lang w:val="zh-CN"/>
        </w:rPr>
        <w:t>重要</w:t>
      </w:r>
      <w:r w:rsidRPr="000C0842">
        <w:rPr>
          <w:rFonts w:eastAsia="SimSun"/>
          <w:bCs/>
          <w:kern w:val="22"/>
          <w:sz w:val="24"/>
          <w:szCs w:val="24"/>
          <w:lang w:val="zh-CN"/>
        </w:rPr>
        <w:t>作用和能力，并注意到</w:t>
      </w:r>
      <w:r w:rsidRPr="000C0842">
        <w:rPr>
          <w:rFonts w:eastAsia="SimSun" w:hint="eastAsia"/>
          <w:bCs/>
          <w:kern w:val="22"/>
          <w:sz w:val="24"/>
          <w:szCs w:val="24"/>
          <w:lang w:val="zh-CN"/>
        </w:rPr>
        <w:t>2</w:t>
      </w:r>
      <w:r w:rsidRPr="000C0842">
        <w:rPr>
          <w:rFonts w:eastAsia="SimSun"/>
          <w:bCs/>
          <w:kern w:val="22"/>
          <w:sz w:val="24"/>
          <w:szCs w:val="24"/>
          <w:lang w:val="zh-CN"/>
        </w:rPr>
        <w:t>023</w:t>
      </w:r>
      <w:r w:rsidRPr="000C0842">
        <w:rPr>
          <w:rFonts w:eastAsia="SimSun" w:hint="eastAsia"/>
          <w:bCs/>
          <w:kern w:val="22"/>
          <w:sz w:val="24"/>
          <w:szCs w:val="24"/>
          <w:lang w:val="zh-CN"/>
        </w:rPr>
        <w:t>年和</w:t>
      </w:r>
      <w:r w:rsidRPr="000C0842">
        <w:rPr>
          <w:rFonts w:eastAsia="SimSun" w:hint="eastAsia"/>
          <w:bCs/>
          <w:kern w:val="22"/>
          <w:sz w:val="24"/>
          <w:szCs w:val="24"/>
          <w:lang w:val="zh-CN"/>
        </w:rPr>
        <w:t>2024</w:t>
      </w:r>
      <w:r w:rsidRPr="000C0842">
        <w:rPr>
          <w:rFonts w:eastAsia="SimSun" w:hint="eastAsia"/>
          <w:bCs/>
          <w:kern w:val="22"/>
          <w:sz w:val="24"/>
          <w:szCs w:val="24"/>
          <w:lang w:val="zh-CN"/>
        </w:rPr>
        <w:t>年《联合国框架公约》下举行的</w:t>
      </w:r>
      <w:r w:rsidRPr="000C0842">
        <w:rPr>
          <w:rFonts w:eastAsia="SimSun"/>
          <w:bCs/>
          <w:kern w:val="22"/>
          <w:sz w:val="24"/>
          <w:szCs w:val="24"/>
          <w:lang w:val="zh-CN"/>
        </w:rPr>
        <w:t>海洋与气候变化</w:t>
      </w:r>
      <w:r w:rsidRPr="000C0842">
        <w:rPr>
          <w:rFonts w:eastAsia="SimSun" w:hint="eastAsia"/>
          <w:bCs/>
          <w:kern w:val="22"/>
          <w:sz w:val="24"/>
          <w:szCs w:val="24"/>
          <w:lang w:val="zh-CN"/>
        </w:rPr>
        <w:t>问题</w:t>
      </w:r>
      <w:r w:rsidRPr="000C0842">
        <w:rPr>
          <w:rFonts w:eastAsia="SimSun"/>
          <w:bCs/>
          <w:kern w:val="22"/>
          <w:sz w:val="24"/>
          <w:szCs w:val="24"/>
          <w:lang w:val="zh-CN"/>
        </w:rPr>
        <w:t>对话，其中提到需要加强</w:t>
      </w:r>
      <w:r w:rsidR="001A5C0A" w:rsidRPr="000C0842">
        <w:rPr>
          <w:rFonts w:eastAsia="SimSun"/>
          <w:bCs/>
          <w:kern w:val="22"/>
          <w:sz w:val="24"/>
          <w:szCs w:val="24"/>
          <w:lang w:val="zh-CN"/>
        </w:rPr>
        <w:t>《昆蒙框架》</w:t>
      </w:r>
      <w:r w:rsidRPr="000C0842">
        <w:rPr>
          <w:rFonts w:eastAsia="SimSun"/>
          <w:bCs/>
          <w:kern w:val="22"/>
          <w:sz w:val="24"/>
          <w:szCs w:val="24"/>
          <w:lang w:val="zh-CN"/>
        </w:rPr>
        <w:t>等</w:t>
      </w:r>
      <w:r w:rsidRPr="000C0842">
        <w:rPr>
          <w:rFonts w:eastAsia="SimSun" w:hint="eastAsia"/>
          <w:bCs/>
          <w:kern w:val="22"/>
          <w:sz w:val="24"/>
          <w:szCs w:val="24"/>
          <w:lang w:val="zh-CN"/>
        </w:rPr>
        <w:t>各项</w:t>
      </w:r>
      <w:r w:rsidRPr="000C0842">
        <w:rPr>
          <w:rFonts w:eastAsia="SimSun"/>
          <w:bCs/>
          <w:kern w:val="22"/>
          <w:sz w:val="24"/>
          <w:szCs w:val="24"/>
          <w:lang w:val="zh-CN"/>
        </w:rPr>
        <w:t>任务规定和进程之间的机构联系，以加强建设具有气候适应能力的海洋的全球雄心和行动，</w:t>
      </w:r>
    </w:p>
    <w:p w14:paraId="61CFCE62"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kern w:val="22"/>
          <w:sz w:val="24"/>
          <w:szCs w:val="24"/>
          <w:lang w:val="zh-CN"/>
        </w:rPr>
      </w:pPr>
      <w:r w:rsidRPr="000C0842">
        <w:rPr>
          <w:rFonts w:eastAsia="KaiTi" w:hint="eastAsia"/>
          <w:bCs/>
          <w:kern w:val="22"/>
          <w:sz w:val="24"/>
          <w:szCs w:val="24"/>
          <w:lang w:val="zh-CN"/>
        </w:rPr>
        <w:t>又</w:t>
      </w:r>
      <w:r w:rsidRPr="000C0842">
        <w:rPr>
          <w:rFonts w:eastAsia="KaiTi"/>
          <w:bCs/>
          <w:kern w:val="22"/>
          <w:sz w:val="24"/>
          <w:szCs w:val="24"/>
          <w:lang w:val="zh-CN"/>
        </w:rPr>
        <w:t>认识到</w:t>
      </w:r>
      <w:r w:rsidRPr="000C0842">
        <w:rPr>
          <w:rFonts w:eastAsia="SimSun"/>
          <w:bCs/>
          <w:kern w:val="22"/>
          <w:sz w:val="24"/>
          <w:szCs w:val="24"/>
          <w:lang w:val="zh-CN"/>
        </w:rPr>
        <w:t>可能</w:t>
      </w:r>
      <w:r w:rsidRPr="000C0842">
        <w:rPr>
          <w:rFonts w:eastAsia="SimSun" w:hint="eastAsia"/>
          <w:bCs/>
          <w:kern w:val="22"/>
          <w:sz w:val="24"/>
          <w:szCs w:val="24"/>
          <w:lang w:val="zh-CN"/>
        </w:rPr>
        <w:t>导致与气候相关的不利后果风险增加的</w:t>
      </w:r>
      <w:r w:rsidRPr="000C0842">
        <w:rPr>
          <w:rFonts w:eastAsia="SimSun"/>
          <w:bCs/>
          <w:kern w:val="22"/>
          <w:sz w:val="24"/>
          <w:szCs w:val="24"/>
          <w:lang w:val="zh-CN"/>
        </w:rPr>
        <w:t>行动</w:t>
      </w:r>
      <w:r w:rsidRPr="000C0842">
        <w:rPr>
          <w:rFonts w:eastAsia="SimSun" w:hint="eastAsia"/>
          <w:bCs/>
          <w:kern w:val="22"/>
          <w:sz w:val="24"/>
          <w:szCs w:val="24"/>
          <w:lang w:val="zh-CN"/>
        </w:rPr>
        <w:t>，会</w:t>
      </w:r>
      <w:r w:rsidRPr="000C0842">
        <w:rPr>
          <w:rFonts w:eastAsia="SimSun"/>
          <w:bCs/>
          <w:kern w:val="22"/>
          <w:sz w:val="24"/>
          <w:szCs w:val="24"/>
          <w:lang w:val="zh-CN"/>
        </w:rPr>
        <w:t>降低生物多样性和生态系统对气候变化的复原力，</w:t>
      </w:r>
      <w:r w:rsidRPr="000C0842">
        <w:rPr>
          <w:rFonts w:eastAsia="SimSun" w:hint="eastAsia"/>
          <w:bCs/>
          <w:kern w:val="22"/>
          <w:sz w:val="24"/>
          <w:szCs w:val="24"/>
          <w:lang w:val="zh-CN"/>
        </w:rPr>
        <w:t>从而又可能</w:t>
      </w:r>
      <w:r w:rsidRPr="000C0842">
        <w:rPr>
          <w:rFonts w:eastAsia="SimSun"/>
          <w:bCs/>
          <w:kern w:val="22"/>
          <w:sz w:val="24"/>
          <w:szCs w:val="24"/>
          <w:lang w:val="zh-CN"/>
        </w:rPr>
        <w:t>对生物多样性、生态系统</w:t>
      </w:r>
      <w:r w:rsidRPr="000C0842">
        <w:rPr>
          <w:rFonts w:eastAsia="SimSun" w:hint="eastAsia"/>
          <w:bCs/>
          <w:kern w:val="22"/>
          <w:sz w:val="24"/>
          <w:szCs w:val="24"/>
          <w:lang w:val="zh-CN"/>
        </w:rPr>
        <w:t>复原力、</w:t>
      </w:r>
      <w:r w:rsidRPr="000C0842">
        <w:rPr>
          <w:rFonts w:eastAsia="SimSun"/>
          <w:bCs/>
          <w:kern w:val="22"/>
          <w:sz w:val="24"/>
          <w:szCs w:val="24"/>
          <w:lang w:val="zh-CN"/>
        </w:rPr>
        <w:t>处于弱势的人和最依赖生物多样性的人</w:t>
      </w:r>
      <w:r w:rsidRPr="000C0842">
        <w:rPr>
          <w:rFonts w:eastAsia="SimSun" w:hint="eastAsia"/>
          <w:bCs/>
          <w:kern w:val="22"/>
          <w:sz w:val="24"/>
          <w:szCs w:val="24"/>
          <w:lang w:val="zh-CN"/>
        </w:rPr>
        <w:t>（包括土著人民和地方社区）产生不利影响，并破坏气候行动，</w:t>
      </w:r>
    </w:p>
    <w:p w14:paraId="7C2D782A" w14:textId="77777777"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napToGrid w:val="0"/>
          <w:kern w:val="22"/>
          <w:sz w:val="24"/>
        </w:rPr>
      </w:pPr>
      <w:r w:rsidRPr="000C0842">
        <w:rPr>
          <w:rFonts w:eastAsia="KaiTi"/>
          <w:bCs/>
          <w:snapToGrid w:val="0"/>
          <w:kern w:val="22"/>
          <w:sz w:val="24"/>
        </w:rPr>
        <w:t>强调</w:t>
      </w:r>
      <w:r w:rsidRPr="000C0842">
        <w:rPr>
          <w:rFonts w:eastAsia="SimSun"/>
          <w:bCs/>
          <w:snapToGrid w:val="0"/>
          <w:kern w:val="22"/>
          <w:sz w:val="24"/>
        </w:rPr>
        <w:t>需要加强国际合作</w:t>
      </w:r>
      <w:r w:rsidRPr="000C0842">
        <w:rPr>
          <w:rFonts w:eastAsia="SimSun" w:hint="eastAsia"/>
          <w:bCs/>
          <w:snapToGrid w:val="0"/>
          <w:kern w:val="22"/>
          <w:sz w:val="24"/>
        </w:rPr>
        <w:t>和缔约方、土著人民和地方社区、现有相关组织、伙伴关系、倡议和联盟之间的</w:t>
      </w:r>
      <w:r w:rsidRPr="000C0842">
        <w:rPr>
          <w:rFonts w:eastAsia="SimSun"/>
          <w:bCs/>
          <w:snapToGrid w:val="0"/>
          <w:kern w:val="22"/>
          <w:sz w:val="24"/>
        </w:rPr>
        <w:t>协同作用，包括通过能力建设</w:t>
      </w:r>
      <w:r w:rsidRPr="000C0842">
        <w:rPr>
          <w:rFonts w:eastAsia="SimSun" w:hint="eastAsia"/>
          <w:bCs/>
          <w:snapToGrid w:val="0"/>
          <w:kern w:val="22"/>
          <w:sz w:val="24"/>
        </w:rPr>
        <w:t>和发展</w:t>
      </w:r>
      <w:r w:rsidRPr="000C0842">
        <w:rPr>
          <w:rFonts w:eastAsia="SimSun"/>
          <w:bCs/>
          <w:snapToGrid w:val="0"/>
          <w:kern w:val="22"/>
          <w:sz w:val="24"/>
        </w:rPr>
        <w:t>、</w:t>
      </w:r>
      <w:r w:rsidRPr="000C0842">
        <w:rPr>
          <w:rFonts w:eastAsia="SimSun" w:hint="eastAsia"/>
          <w:bCs/>
          <w:snapToGrid w:val="0"/>
          <w:kern w:val="22"/>
          <w:sz w:val="24"/>
        </w:rPr>
        <w:t>科学和技术转让、</w:t>
      </w:r>
      <w:r w:rsidRPr="000C0842">
        <w:rPr>
          <w:rFonts w:eastAsia="SimSun"/>
          <w:bCs/>
          <w:snapToGrid w:val="0"/>
          <w:kern w:val="22"/>
          <w:sz w:val="24"/>
        </w:rPr>
        <w:t>合作</w:t>
      </w:r>
      <w:r w:rsidRPr="000C0842">
        <w:rPr>
          <w:rFonts w:eastAsia="SimSun" w:hint="eastAsia"/>
          <w:bCs/>
          <w:snapToGrid w:val="0"/>
          <w:kern w:val="22"/>
          <w:sz w:val="24"/>
        </w:rPr>
        <w:t>和根据共同商定的条件获得和转让技术</w:t>
      </w:r>
      <w:r w:rsidRPr="000C0842">
        <w:rPr>
          <w:rFonts w:eastAsia="SimSun"/>
          <w:bCs/>
          <w:snapToGrid w:val="0"/>
          <w:kern w:val="22"/>
          <w:sz w:val="24"/>
        </w:rPr>
        <w:t>，加强国家预测和监测气候变化对生物多样性</w:t>
      </w:r>
      <w:r w:rsidRPr="000C0842">
        <w:rPr>
          <w:rFonts w:eastAsia="SimSun" w:hint="eastAsia"/>
          <w:bCs/>
          <w:snapToGrid w:val="0"/>
          <w:kern w:val="22"/>
          <w:sz w:val="24"/>
        </w:rPr>
        <w:t>、生态系统</w:t>
      </w:r>
      <w:r w:rsidRPr="000C0842">
        <w:rPr>
          <w:rFonts w:eastAsia="SimSun"/>
          <w:bCs/>
          <w:snapToGrid w:val="0"/>
          <w:kern w:val="22"/>
          <w:sz w:val="24"/>
        </w:rPr>
        <w:t>和依赖生物多样性的社区影响的能力，</w:t>
      </w:r>
    </w:p>
    <w:p w14:paraId="7767D90B" w14:textId="6057B466" w:rsidR="004D5AD7" w:rsidRPr="000C0842" w:rsidRDefault="004D5AD7" w:rsidP="004D5AD7">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napToGrid w:val="0"/>
          <w:kern w:val="22"/>
          <w:sz w:val="24"/>
        </w:rPr>
      </w:pPr>
      <w:r w:rsidRPr="000C0842">
        <w:rPr>
          <w:rFonts w:eastAsia="KaiTi" w:hint="eastAsia"/>
          <w:bCs/>
          <w:snapToGrid w:val="0"/>
          <w:kern w:val="22"/>
          <w:sz w:val="24"/>
        </w:rPr>
        <w:t>回顾</w:t>
      </w:r>
      <w:r w:rsidRPr="000C0842">
        <w:rPr>
          <w:rFonts w:eastAsia="SimSun"/>
          <w:bCs/>
          <w:snapToGrid w:val="0"/>
          <w:kern w:val="22"/>
          <w:sz w:val="24"/>
        </w:rPr>
        <w:t>2022</w:t>
      </w:r>
      <w:r w:rsidRPr="000C0842">
        <w:rPr>
          <w:rFonts w:eastAsia="SimSun" w:hint="eastAsia"/>
          <w:bCs/>
          <w:snapToGrid w:val="0"/>
          <w:kern w:val="22"/>
          <w:sz w:val="24"/>
        </w:rPr>
        <w:t>年</w:t>
      </w:r>
      <w:r w:rsidRPr="000C0842">
        <w:rPr>
          <w:rFonts w:eastAsia="SimSun"/>
          <w:bCs/>
          <w:snapToGrid w:val="0"/>
          <w:kern w:val="22"/>
          <w:sz w:val="24"/>
        </w:rPr>
        <w:t>12</w:t>
      </w:r>
      <w:r w:rsidRPr="000C0842">
        <w:rPr>
          <w:rFonts w:eastAsia="SimSun" w:hint="eastAsia"/>
          <w:bCs/>
          <w:snapToGrid w:val="0"/>
          <w:kern w:val="22"/>
          <w:sz w:val="24"/>
        </w:rPr>
        <w:t>月</w:t>
      </w:r>
      <w:r w:rsidRPr="000C0842">
        <w:rPr>
          <w:rFonts w:eastAsia="SimSun"/>
          <w:bCs/>
          <w:snapToGrid w:val="0"/>
          <w:kern w:val="22"/>
          <w:sz w:val="24"/>
        </w:rPr>
        <w:t>19</w:t>
      </w:r>
      <w:r w:rsidRPr="000C0842">
        <w:rPr>
          <w:rFonts w:eastAsia="SimSun" w:hint="eastAsia"/>
          <w:bCs/>
          <w:snapToGrid w:val="0"/>
          <w:kern w:val="22"/>
          <w:sz w:val="24"/>
        </w:rPr>
        <w:t>日第</w:t>
      </w:r>
      <w:hyperlink r:id="rId231" w:history="1">
        <w:r w:rsidRPr="000C0842">
          <w:rPr>
            <w:rFonts w:eastAsia="SimSun"/>
            <w:bCs/>
            <w:snapToGrid w:val="0"/>
            <w:kern w:val="22"/>
            <w:sz w:val="24"/>
            <w:u w:val="single"/>
          </w:rPr>
          <w:t>15/8</w:t>
        </w:r>
      </w:hyperlink>
      <w:r w:rsidRPr="000C0842">
        <w:rPr>
          <w:rFonts w:eastAsia="SimSun" w:hint="eastAsia"/>
          <w:bCs/>
          <w:snapToGrid w:val="0"/>
          <w:kern w:val="22"/>
          <w:sz w:val="24"/>
        </w:rPr>
        <w:t>号决定，其中缔约方大会认识到，</w:t>
      </w:r>
      <w:r w:rsidRPr="000C0842">
        <w:rPr>
          <w:rFonts w:eastAsia="SimSun"/>
          <w:bCs/>
          <w:snapToGrid w:val="0"/>
          <w:kern w:val="22"/>
          <w:sz w:val="24"/>
        </w:rPr>
        <w:t>很多缔约方，特别是发展中国家缔约方，可能尚不具备</w:t>
      </w:r>
      <w:r w:rsidRPr="000C0842">
        <w:rPr>
          <w:rFonts w:eastAsia="SimSun" w:hint="eastAsia"/>
          <w:bCs/>
          <w:snapToGrid w:val="0"/>
          <w:kern w:val="22"/>
          <w:sz w:val="24"/>
        </w:rPr>
        <w:t>充分</w:t>
      </w:r>
      <w:r w:rsidRPr="000C0842">
        <w:rPr>
          <w:rFonts w:eastAsia="SimSun"/>
          <w:bCs/>
          <w:snapToGrid w:val="0"/>
          <w:kern w:val="22"/>
          <w:sz w:val="24"/>
        </w:rPr>
        <w:t>执行</w:t>
      </w:r>
      <w:r w:rsidR="001A5C0A" w:rsidRPr="000C0842">
        <w:rPr>
          <w:rFonts w:eastAsia="SimSun"/>
          <w:bCs/>
          <w:snapToGrid w:val="0"/>
          <w:kern w:val="22"/>
          <w:sz w:val="24"/>
        </w:rPr>
        <w:t>《昆蒙框架》</w:t>
      </w:r>
      <w:r w:rsidRPr="000C0842">
        <w:rPr>
          <w:rFonts w:eastAsia="SimSun" w:hint="eastAsia"/>
          <w:bCs/>
          <w:snapToGrid w:val="0"/>
          <w:kern w:val="22"/>
          <w:sz w:val="24"/>
        </w:rPr>
        <w:t>所需能力</w:t>
      </w:r>
      <w:r w:rsidRPr="000C0842">
        <w:rPr>
          <w:rFonts w:eastAsia="SimSun"/>
          <w:bCs/>
          <w:snapToGrid w:val="0"/>
          <w:kern w:val="22"/>
          <w:sz w:val="24"/>
        </w:rPr>
        <w:t>，</w:t>
      </w:r>
      <w:r w:rsidRPr="000C0842">
        <w:rPr>
          <w:rFonts w:eastAsia="SimSun" w:hint="eastAsia"/>
          <w:bCs/>
          <w:snapToGrid w:val="0"/>
          <w:kern w:val="22"/>
          <w:sz w:val="24"/>
        </w:rPr>
        <w:t>同时强调必须加强合作和解决这些能力差距，</w:t>
      </w:r>
    </w:p>
    <w:p w14:paraId="65FE6983" w14:textId="77777777" w:rsidR="004D5AD7" w:rsidRPr="000C0842" w:rsidRDefault="004D5AD7">
      <w:pPr>
        <w:numPr>
          <w:ilvl w:val="0"/>
          <w:numId w:val="104"/>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snapToGrid w:val="0"/>
          <w:kern w:val="22"/>
          <w:sz w:val="24"/>
          <w:szCs w:val="24"/>
        </w:rPr>
        <w:t>欢迎</w:t>
      </w:r>
      <w:r w:rsidRPr="000C0842">
        <w:rPr>
          <w:rFonts w:eastAsia="SimSun"/>
          <w:snapToGrid w:val="0"/>
          <w:kern w:val="22"/>
          <w:sz w:val="24"/>
          <w:szCs w:val="24"/>
        </w:rPr>
        <w:t>政府间气候变化专门委员会的第六次评估报告</w:t>
      </w:r>
      <w:r w:rsidRPr="000C0842">
        <w:rPr>
          <w:rFonts w:eastAsia="SimSun"/>
          <w:snapToGrid w:val="0"/>
          <w:kern w:val="22"/>
          <w:sz w:val="24"/>
          <w:szCs w:val="24"/>
          <w:vertAlign w:val="superscript"/>
        </w:rPr>
        <w:footnoteReference w:id="359"/>
      </w:r>
      <w:r w:rsidRPr="000C0842">
        <w:rPr>
          <w:rFonts w:eastAsia="SimSun"/>
          <w:snapToGrid w:val="0"/>
          <w:kern w:val="22"/>
          <w:sz w:val="24"/>
          <w:szCs w:val="24"/>
        </w:rPr>
        <w:t>，并表示注意到报告的结论；</w:t>
      </w:r>
    </w:p>
    <w:p w14:paraId="6C22C3CB" w14:textId="77777777" w:rsidR="004D5AD7" w:rsidRPr="000C0842" w:rsidRDefault="004D5AD7">
      <w:pPr>
        <w:numPr>
          <w:ilvl w:val="0"/>
          <w:numId w:val="104"/>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hint="eastAsia"/>
          <w:snapToGrid w:val="0"/>
          <w:kern w:val="22"/>
          <w:sz w:val="24"/>
          <w:szCs w:val="24"/>
        </w:rPr>
        <w:t>又</w:t>
      </w:r>
      <w:r w:rsidRPr="000C0842">
        <w:rPr>
          <w:rFonts w:eastAsia="KaiTi"/>
          <w:snapToGrid w:val="0"/>
          <w:kern w:val="22"/>
          <w:sz w:val="24"/>
          <w:szCs w:val="24"/>
        </w:rPr>
        <w:t>欢迎</w:t>
      </w:r>
      <w:r w:rsidRPr="000C0842">
        <w:rPr>
          <w:rFonts w:eastAsia="SimSun" w:hint="eastAsia"/>
          <w:snapToGrid w:val="0"/>
          <w:kern w:val="22"/>
          <w:sz w:val="24"/>
          <w:szCs w:val="24"/>
        </w:rPr>
        <w:t>2</w:t>
      </w:r>
      <w:r w:rsidRPr="000C0842">
        <w:rPr>
          <w:rFonts w:eastAsia="SimSun"/>
          <w:snapToGrid w:val="0"/>
          <w:kern w:val="22"/>
          <w:sz w:val="24"/>
          <w:szCs w:val="24"/>
        </w:rPr>
        <w:t>023</w:t>
      </w:r>
      <w:r w:rsidRPr="000C0842">
        <w:rPr>
          <w:rFonts w:eastAsia="SimSun" w:hint="eastAsia"/>
          <w:snapToGrid w:val="0"/>
          <w:kern w:val="22"/>
          <w:sz w:val="24"/>
          <w:szCs w:val="24"/>
        </w:rPr>
        <w:t>年</w:t>
      </w:r>
      <w:r w:rsidRPr="000C0842">
        <w:rPr>
          <w:rFonts w:eastAsia="SimSun" w:hint="eastAsia"/>
          <w:snapToGrid w:val="0"/>
          <w:kern w:val="22"/>
          <w:sz w:val="24"/>
          <w:szCs w:val="24"/>
        </w:rPr>
        <w:t>9</w:t>
      </w:r>
      <w:r w:rsidRPr="000C0842">
        <w:rPr>
          <w:rFonts w:eastAsia="SimSun" w:hint="eastAsia"/>
          <w:snapToGrid w:val="0"/>
          <w:kern w:val="22"/>
          <w:sz w:val="24"/>
          <w:szCs w:val="24"/>
        </w:rPr>
        <w:t>月</w:t>
      </w:r>
      <w:r w:rsidRPr="000C0842">
        <w:rPr>
          <w:rFonts w:eastAsia="SimSun" w:hint="eastAsia"/>
          <w:snapToGrid w:val="0"/>
          <w:kern w:val="22"/>
          <w:sz w:val="24"/>
          <w:szCs w:val="24"/>
        </w:rPr>
        <w:t>2</w:t>
      </w:r>
      <w:r w:rsidRPr="000C0842">
        <w:rPr>
          <w:rFonts w:eastAsia="SimSun" w:hint="eastAsia"/>
          <w:snapToGrid w:val="0"/>
          <w:kern w:val="22"/>
          <w:sz w:val="24"/>
          <w:szCs w:val="24"/>
        </w:rPr>
        <w:t>日</w:t>
      </w:r>
      <w:r w:rsidRPr="000C0842">
        <w:rPr>
          <w:rFonts w:eastAsia="SimSun"/>
          <w:snapToGrid w:val="0"/>
          <w:kern w:val="22"/>
          <w:sz w:val="24"/>
          <w:szCs w:val="24"/>
        </w:rPr>
        <w:t>生物多样性和生态系统服务政府间科学与政策平台</w:t>
      </w:r>
      <w:r w:rsidRPr="000C0842">
        <w:rPr>
          <w:rFonts w:eastAsia="SimSun" w:hint="eastAsia"/>
          <w:snapToGrid w:val="0"/>
          <w:kern w:val="22"/>
          <w:sz w:val="24"/>
          <w:szCs w:val="24"/>
        </w:rPr>
        <w:t>全体会议</w:t>
      </w:r>
      <w:r w:rsidRPr="000C0842">
        <w:rPr>
          <w:rFonts w:eastAsia="SimSun"/>
          <w:snapToGrid w:val="0"/>
          <w:kern w:val="22"/>
          <w:sz w:val="24"/>
          <w:szCs w:val="24"/>
        </w:rPr>
        <w:t>第</w:t>
      </w:r>
      <w:r w:rsidRPr="000C0842">
        <w:rPr>
          <w:rFonts w:eastAsia="SimSun"/>
          <w:snapToGrid w:val="0"/>
          <w:kern w:val="22"/>
          <w:sz w:val="24"/>
          <w:szCs w:val="24"/>
        </w:rPr>
        <w:t>10/1</w:t>
      </w:r>
      <w:r w:rsidRPr="000C0842">
        <w:rPr>
          <w:rFonts w:eastAsia="SimSun"/>
          <w:snapToGrid w:val="0"/>
          <w:kern w:val="22"/>
          <w:sz w:val="24"/>
          <w:szCs w:val="24"/>
        </w:rPr>
        <w:t>号决定</w:t>
      </w:r>
      <w:r w:rsidRPr="000C0842">
        <w:rPr>
          <w:rFonts w:eastAsia="SimSun" w:hint="eastAsia"/>
          <w:snapToGrid w:val="0"/>
          <w:kern w:val="22"/>
          <w:sz w:val="24"/>
          <w:szCs w:val="24"/>
        </w:rPr>
        <w:t>，其中决定</w:t>
      </w:r>
      <w:r w:rsidRPr="000C0842">
        <w:rPr>
          <w:rFonts w:eastAsia="SimSun"/>
          <w:snapToGrid w:val="0"/>
          <w:kern w:val="22"/>
          <w:sz w:val="24"/>
          <w:szCs w:val="24"/>
        </w:rPr>
        <w:t>促进生物多样性平台和政府间气候变化专门委员会</w:t>
      </w:r>
      <w:r w:rsidRPr="000C0842">
        <w:rPr>
          <w:rFonts w:eastAsia="SimSun" w:hint="eastAsia"/>
          <w:snapToGrid w:val="0"/>
          <w:kern w:val="22"/>
          <w:sz w:val="24"/>
          <w:szCs w:val="24"/>
        </w:rPr>
        <w:t>的</w:t>
      </w:r>
      <w:r w:rsidRPr="000C0842">
        <w:rPr>
          <w:rFonts w:eastAsia="SimSun"/>
          <w:snapToGrid w:val="0"/>
          <w:kern w:val="22"/>
          <w:sz w:val="24"/>
          <w:szCs w:val="24"/>
        </w:rPr>
        <w:t>进一步合作；</w:t>
      </w:r>
    </w:p>
    <w:p w14:paraId="0CBE3098" w14:textId="77777777" w:rsidR="004D5AD7" w:rsidRPr="000C0842" w:rsidRDefault="004D5AD7">
      <w:pPr>
        <w:numPr>
          <w:ilvl w:val="0"/>
          <w:numId w:val="104"/>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KaiTi" w:hint="eastAsia"/>
          <w:snapToGrid w:val="0"/>
          <w:kern w:val="22"/>
          <w:sz w:val="24"/>
          <w:szCs w:val="24"/>
        </w:rPr>
        <w:t>敦促</w:t>
      </w:r>
      <w:r w:rsidRPr="000C0842">
        <w:rPr>
          <w:rFonts w:eastAsia="SimSun"/>
          <w:snapToGrid w:val="0"/>
          <w:kern w:val="22"/>
          <w:sz w:val="24"/>
          <w:szCs w:val="24"/>
        </w:rPr>
        <w:t>缔约方</w:t>
      </w:r>
      <w:r w:rsidRPr="000C0842">
        <w:rPr>
          <w:rFonts w:eastAsia="SimSun" w:hint="eastAsia"/>
          <w:snapToGrid w:val="0"/>
          <w:kern w:val="22"/>
          <w:sz w:val="24"/>
          <w:szCs w:val="24"/>
        </w:rPr>
        <w:t>在</w:t>
      </w:r>
      <w:r w:rsidRPr="000C0842">
        <w:rPr>
          <w:rFonts w:eastAsia="SimSun"/>
          <w:snapToGrid w:val="0"/>
          <w:kern w:val="22"/>
          <w:sz w:val="24"/>
          <w:szCs w:val="24"/>
        </w:rPr>
        <w:t>根据</w:t>
      </w:r>
      <w:r w:rsidRPr="000C0842">
        <w:rPr>
          <w:rFonts w:eastAsia="SimSun" w:hint="eastAsia"/>
          <w:snapToGrid w:val="0"/>
          <w:kern w:val="22"/>
          <w:sz w:val="24"/>
          <w:szCs w:val="24"/>
        </w:rPr>
        <w:t>国家情况、</w:t>
      </w:r>
      <w:r w:rsidRPr="000C0842">
        <w:rPr>
          <w:rFonts w:eastAsia="SimSun"/>
          <w:snapToGrid w:val="0"/>
          <w:kern w:val="22"/>
          <w:sz w:val="24"/>
          <w:szCs w:val="24"/>
        </w:rPr>
        <w:t>优先事项</w:t>
      </w:r>
      <w:r w:rsidRPr="000C0842">
        <w:rPr>
          <w:rFonts w:eastAsia="SimSun" w:hint="eastAsia"/>
          <w:snapToGrid w:val="0"/>
          <w:kern w:val="22"/>
          <w:sz w:val="24"/>
          <w:szCs w:val="24"/>
        </w:rPr>
        <w:t>和能力</w:t>
      </w:r>
      <w:r w:rsidRPr="000C0842">
        <w:rPr>
          <w:rFonts w:eastAsia="SimSun"/>
          <w:snapToGrid w:val="0"/>
          <w:kern w:val="22"/>
          <w:sz w:val="24"/>
          <w:szCs w:val="24"/>
        </w:rPr>
        <w:t>及</w:t>
      </w:r>
      <w:r w:rsidRPr="000C0842">
        <w:rPr>
          <w:rFonts w:eastAsia="SimSun" w:hint="eastAsia"/>
          <w:snapToGrid w:val="0"/>
          <w:kern w:val="22"/>
          <w:sz w:val="24"/>
          <w:szCs w:val="24"/>
        </w:rPr>
        <w:t>相关</w:t>
      </w:r>
      <w:r w:rsidRPr="000C0842">
        <w:rPr>
          <w:rFonts w:eastAsia="SimSun"/>
          <w:snapToGrid w:val="0"/>
          <w:kern w:val="22"/>
          <w:sz w:val="24"/>
          <w:szCs w:val="24"/>
        </w:rPr>
        <w:t>多边环境协定</w:t>
      </w:r>
      <w:r w:rsidRPr="000C0842">
        <w:rPr>
          <w:rFonts w:eastAsia="SimSun" w:hint="eastAsia"/>
          <w:snapToGrid w:val="0"/>
          <w:kern w:val="22"/>
          <w:sz w:val="24"/>
          <w:szCs w:val="24"/>
        </w:rPr>
        <w:t>所赋予实施有效的社会和环境保障措施的本国</w:t>
      </w:r>
      <w:r w:rsidRPr="000C0842">
        <w:rPr>
          <w:rFonts w:eastAsia="SimSun"/>
          <w:snapToGrid w:val="0"/>
          <w:kern w:val="22"/>
          <w:sz w:val="24"/>
          <w:szCs w:val="24"/>
        </w:rPr>
        <w:t>义务</w:t>
      </w:r>
      <w:r w:rsidRPr="000C0842">
        <w:rPr>
          <w:rFonts w:eastAsia="SimSun" w:hint="eastAsia"/>
          <w:snapToGrid w:val="0"/>
          <w:kern w:val="22"/>
          <w:sz w:val="24"/>
          <w:szCs w:val="24"/>
        </w:rPr>
        <w:t>，</w:t>
      </w:r>
      <w:r w:rsidRPr="000C0842">
        <w:rPr>
          <w:rFonts w:eastAsia="SimSun"/>
          <w:snapToGrid w:val="0"/>
          <w:kern w:val="22"/>
          <w:sz w:val="24"/>
          <w:szCs w:val="24"/>
        </w:rPr>
        <w:t>采取行动实现《昆明</w:t>
      </w:r>
      <w:r w:rsidRPr="000C0842">
        <w:rPr>
          <w:rFonts w:eastAsia="SimSun"/>
          <w:snapToGrid w:val="0"/>
          <w:kern w:val="22"/>
          <w:sz w:val="24"/>
          <w:szCs w:val="24"/>
        </w:rPr>
        <w:t>-</w:t>
      </w:r>
      <w:r w:rsidRPr="000C0842">
        <w:rPr>
          <w:rFonts w:eastAsia="SimSun"/>
          <w:snapToGrid w:val="0"/>
          <w:kern w:val="22"/>
          <w:sz w:val="24"/>
          <w:szCs w:val="24"/>
        </w:rPr>
        <w:t>蒙特利尔全球生物多样性框架》行动目标</w:t>
      </w:r>
      <w:r w:rsidRPr="000C0842">
        <w:rPr>
          <w:rFonts w:eastAsia="SimSun"/>
          <w:snapToGrid w:val="0"/>
          <w:kern w:val="22"/>
          <w:sz w:val="24"/>
          <w:szCs w:val="24"/>
        </w:rPr>
        <w:t>8</w:t>
      </w:r>
      <w:r w:rsidRPr="000C0842">
        <w:rPr>
          <w:rFonts w:eastAsia="SimSun"/>
          <w:snapToGrid w:val="0"/>
          <w:kern w:val="22"/>
          <w:sz w:val="24"/>
          <w:szCs w:val="24"/>
        </w:rPr>
        <w:t>和</w:t>
      </w:r>
      <w:r w:rsidRPr="000C0842">
        <w:rPr>
          <w:rFonts w:eastAsia="SimSun"/>
          <w:snapToGrid w:val="0"/>
          <w:kern w:val="22"/>
          <w:sz w:val="24"/>
          <w:szCs w:val="24"/>
        </w:rPr>
        <w:t>11</w:t>
      </w:r>
      <w:r w:rsidRPr="000C0842">
        <w:rPr>
          <w:rFonts w:eastAsia="SimSun"/>
          <w:snapToGrid w:val="0"/>
          <w:kern w:val="22"/>
          <w:sz w:val="24"/>
          <w:szCs w:val="24"/>
        </w:rPr>
        <w:t>及相关行动目标</w:t>
      </w:r>
      <w:r w:rsidRPr="000C0842">
        <w:rPr>
          <w:rFonts w:eastAsia="SimSun" w:hint="eastAsia"/>
          <w:snapToGrid w:val="0"/>
          <w:kern w:val="22"/>
          <w:sz w:val="24"/>
          <w:szCs w:val="24"/>
        </w:rPr>
        <w:t>时</w:t>
      </w:r>
      <w:r w:rsidRPr="000C0842">
        <w:rPr>
          <w:rFonts w:eastAsia="SimSun"/>
          <w:snapToGrid w:val="0"/>
          <w:kern w:val="22"/>
          <w:sz w:val="24"/>
          <w:szCs w:val="24"/>
        </w:rPr>
        <w:t>：</w:t>
      </w:r>
    </w:p>
    <w:p w14:paraId="775AF5C8" w14:textId="32B0DC7F" w:rsidR="004D5AD7" w:rsidRPr="000C0842" w:rsidRDefault="004D5AD7">
      <w:pPr>
        <w:numPr>
          <w:ilvl w:val="0"/>
          <w:numId w:val="105"/>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hint="eastAsia"/>
          <w:snapToGrid w:val="0"/>
          <w:kern w:val="22"/>
          <w:sz w:val="24"/>
          <w:szCs w:val="24"/>
        </w:rPr>
        <w:t>与</w:t>
      </w:r>
      <w:r w:rsidRPr="000C0842">
        <w:rPr>
          <w:rFonts w:eastAsia="SimSun"/>
          <w:snapToGrid w:val="0"/>
          <w:kern w:val="22"/>
          <w:sz w:val="24"/>
          <w:szCs w:val="24"/>
        </w:rPr>
        <w:t>《</w:t>
      </w:r>
      <w:r w:rsidR="001F2649" w:rsidRPr="000C0842">
        <w:rPr>
          <w:rFonts w:eastAsia="SimSun" w:hint="eastAsia"/>
          <w:snapToGrid w:val="0"/>
          <w:kern w:val="22"/>
          <w:sz w:val="24"/>
          <w:szCs w:val="24"/>
        </w:rPr>
        <w:t>昆蒙</w:t>
      </w:r>
      <w:r w:rsidRPr="000C0842">
        <w:rPr>
          <w:rFonts w:eastAsia="SimSun"/>
          <w:snapToGrid w:val="0"/>
          <w:kern w:val="22"/>
          <w:sz w:val="24"/>
          <w:szCs w:val="24"/>
        </w:rPr>
        <w:t>框架》</w:t>
      </w:r>
      <w:r w:rsidRPr="000C0842">
        <w:rPr>
          <w:rFonts w:eastAsia="SimSun" w:hint="eastAsia"/>
          <w:snapToGrid w:val="0"/>
          <w:kern w:val="22"/>
          <w:sz w:val="24"/>
          <w:szCs w:val="24"/>
        </w:rPr>
        <w:t>C</w:t>
      </w:r>
      <w:r w:rsidRPr="000C0842">
        <w:rPr>
          <w:rFonts w:eastAsia="SimSun" w:hint="eastAsia"/>
          <w:snapToGrid w:val="0"/>
          <w:kern w:val="22"/>
          <w:sz w:val="24"/>
          <w:szCs w:val="24"/>
        </w:rPr>
        <w:t>部分和行动目标</w:t>
      </w:r>
      <w:r w:rsidRPr="000C0842">
        <w:rPr>
          <w:rFonts w:eastAsia="SimSun" w:hint="eastAsia"/>
          <w:snapToGrid w:val="0"/>
          <w:kern w:val="22"/>
          <w:sz w:val="24"/>
          <w:szCs w:val="24"/>
        </w:rPr>
        <w:t>22</w:t>
      </w:r>
      <w:r w:rsidRPr="000C0842">
        <w:rPr>
          <w:rFonts w:eastAsia="SimSun" w:hint="eastAsia"/>
          <w:snapToGrid w:val="0"/>
          <w:kern w:val="22"/>
          <w:sz w:val="24"/>
          <w:szCs w:val="24"/>
        </w:rPr>
        <w:t>保持一致；</w:t>
      </w:r>
    </w:p>
    <w:p w14:paraId="7793ED31" w14:textId="77777777" w:rsidR="004D5AD7" w:rsidRPr="000C0842" w:rsidRDefault="004D5AD7">
      <w:pPr>
        <w:numPr>
          <w:ilvl w:val="0"/>
          <w:numId w:val="105"/>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查明并最大限度地发挥生物多样性和气候行动之间的潜在协同作用，</w:t>
      </w:r>
      <w:r w:rsidRPr="000C0842">
        <w:rPr>
          <w:rFonts w:eastAsia="SimSun" w:hint="eastAsia"/>
          <w:snapToGrid w:val="0"/>
          <w:kern w:val="22"/>
          <w:sz w:val="24"/>
          <w:szCs w:val="24"/>
        </w:rPr>
        <w:t>包括优先保护、恢复和管理对于全过程碳循环而言非常重要并且有助于适应气候变化的生态系统和物种；</w:t>
      </w:r>
    </w:p>
    <w:p w14:paraId="00FF749B" w14:textId="77777777" w:rsidR="004D5AD7" w:rsidRPr="000C0842" w:rsidRDefault="004D5AD7">
      <w:pPr>
        <w:numPr>
          <w:ilvl w:val="0"/>
          <w:numId w:val="105"/>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促进</w:t>
      </w:r>
      <w:r w:rsidRPr="000C0842">
        <w:rPr>
          <w:rFonts w:eastAsia="SimSun" w:hint="eastAsia"/>
          <w:snapToGrid w:val="0"/>
          <w:kern w:val="22"/>
          <w:sz w:val="24"/>
          <w:szCs w:val="24"/>
        </w:rPr>
        <w:t>气候</w:t>
      </w:r>
      <w:r w:rsidRPr="000C0842">
        <w:rPr>
          <w:rFonts w:eastAsia="SimSun"/>
          <w:snapToGrid w:val="0"/>
          <w:kern w:val="22"/>
          <w:sz w:val="24"/>
          <w:szCs w:val="24"/>
        </w:rPr>
        <w:t>行动</w:t>
      </w:r>
      <w:r w:rsidRPr="000C0842">
        <w:rPr>
          <w:rFonts w:eastAsia="SimSun" w:hint="eastAsia"/>
          <w:snapToGrid w:val="0"/>
          <w:kern w:val="22"/>
          <w:sz w:val="24"/>
          <w:szCs w:val="24"/>
        </w:rPr>
        <w:t>对于</w:t>
      </w:r>
      <w:r w:rsidRPr="000C0842">
        <w:rPr>
          <w:rFonts w:eastAsia="SimSun"/>
          <w:snapToGrid w:val="0"/>
          <w:kern w:val="22"/>
          <w:sz w:val="24"/>
          <w:szCs w:val="24"/>
        </w:rPr>
        <w:t>生物多样性</w:t>
      </w:r>
      <w:r w:rsidRPr="000C0842">
        <w:rPr>
          <w:rFonts w:eastAsia="SimSun" w:hint="eastAsia"/>
          <w:snapToGrid w:val="0"/>
          <w:kern w:val="22"/>
          <w:sz w:val="24"/>
          <w:szCs w:val="24"/>
        </w:rPr>
        <w:t>和生态系统完整性、功能和服务的积极影响，并避免或在</w:t>
      </w:r>
      <w:r w:rsidRPr="000C0842">
        <w:rPr>
          <w:rFonts w:eastAsia="SimSun"/>
          <w:snapToGrid w:val="0"/>
          <w:kern w:val="22"/>
          <w:sz w:val="24"/>
          <w:szCs w:val="24"/>
        </w:rPr>
        <w:t>不可能</w:t>
      </w:r>
      <w:r w:rsidRPr="000C0842">
        <w:rPr>
          <w:rFonts w:eastAsia="SimSun" w:hint="eastAsia"/>
          <w:snapToGrid w:val="0"/>
          <w:kern w:val="22"/>
          <w:sz w:val="24"/>
          <w:szCs w:val="24"/>
        </w:rPr>
        <w:t>的情况下</w:t>
      </w:r>
      <w:r w:rsidRPr="000C0842">
        <w:rPr>
          <w:rFonts w:eastAsia="SimSun"/>
          <w:snapToGrid w:val="0"/>
          <w:kern w:val="22"/>
          <w:sz w:val="24"/>
          <w:szCs w:val="24"/>
        </w:rPr>
        <w:t>，尽量减少</w:t>
      </w:r>
      <w:r w:rsidRPr="000C0842">
        <w:rPr>
          <w:rFonts w:eastAsia="SimSun" w:hint="eastAsia"/>
          <w:snapToGrid w:val="0"/>
          <w:kern w:val="22"/>
          <w:sz w:val="24"/>
          <w:szCs w:val="24"/>
        </w:rPr>
        <w:t>其不利影响，包括对于脆弱物种、对全过程碳循环非常重要或破坏后即不可逆转的生态系统的不利影响，特别是</w:t>
      </w:r>
      <w:r w:rsidRPr="000C0842">
        <w:rPr>
          <w:rFonts w:eastAsia="SimSun"/>
          <w:snapToGrid w:val="0"/>
          <w:kern w:val="22"/>
          <w:sz w:val="24"/>
          <w:szCs w:val="24"/>
        </w:rPr>
        <w:t>对直接依赖生物多样性的土著人民和地方社区及其他</w:t>
      </w:r>
      <w:r w:rsidRPr="000C0842">
        <w:rPr>
          <w:rFonts w:eastAsia="SimSun" w:hint="eastAsia"/>
          <w:snapToGrid w:val="0"/>
          <w:kern w:val="22"/>
          <w:sz w:val="24"/>
          <w:szCs w:val="24"/>
        </w:rPr>
        <w:t>相关</w:t>
      </w:r>
      <w:r w:rsidRPr="000C0842">
        <w:rPr>
          <w:rFonts w:eastAsia="SimSun"/>
          <w:snapToGrid w:val="0"/>
          <w:kern w:val="22"/>
          <w:sz w:val="24"/>
          <w:szCs w:val="24"/>
        </w:rPr>
        <w:t>利益攸关方的</w:t>
      </w:r>
      <w:r w:rsidRPr="000C0842">
        <w:rPr>
          <w:rFonts w:eastAsia="SimSun" w:hint="eastAsia"/>
          <w:snapToGrid w:val="0"/>
          <w:kern w:val="22"/>
          <w:sz w:val="24"/>
          <w:szCs w:val="24"/>
        </w:rPr>
        <w:t>不利</w:t>
      </w:r>
      <w:r w:rsidRPr="000C0842">
        <w:rPr>
          <w:rFonts w:eastAsia="SimSun"/>
          <w:snapToGrid w:val="0"/>
          <w:kern w:val="22"/>
          <w:sz w:val="24"/>
          <w:szCs w:val="24"/>
        </w:rPr>
        <w:t>影响；</w:t>
      </w:r>
    </w:p>
    <w:p w14:paraId="6328FEE7" w14:textId="7495DACE" w:rsidR="004D5AD7" w:rsidRPr="000C0842" w:rsidRDefault="004D5AD7">
      <w:pPr>
        <w:numPr>
          <w:ilvl w:val="0"/>
          <w:numId w:val="105"/>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spacing w:val="10"/>
          <w:kern w:val="22"/>
          <w:sz w:val="24"/>
          <w:szCs w:val="24"/>
        </w:rPr>
      </w:pPr>
      <w:r w:rsidRPr="000C0842">
        <w:rPr>
          <w:rFonts w:eastAsia="SimSun" w:hint="eastAsia"/>
          <w:snapToGrid w:val="0"/>
          <w:spacing w:val="10"/>
          <w:kern w:val="22"/>
          <w:sz w:val="24"/>
          <w:szCs w:val="24"/>
        </w:rPr>
        <w:t>考虑促进和酌情</w:t>
      </w:r>
      <w:r w:rsidRPr="000C0842">
        <w:rPr>
          <w:rFonts w:eastAsia="SimSun"/>
          <w:snapToGrid w:val="0"/>
          <w:spacing w:val="10"/>
          <w:kern w:val="22"/>
          <w:sz w:val="24"/>
          <w:szCs w:val="24"/>
        </w:rPr>
        <w:t>将</w:t>
      </w:r>
      <w:r w:rsidRPr="000C0842">
        <w:rPr>
          <w:rFonts w:eastAsia="SimSun" w:hint="eastAsia"/>
          <w:snapToGrid w:val="0"/>
          <w:spacing w:val="10"/>
          <w:kern w:val="22"/>
          <w:sz w:val="24"/>
          <w:szCs w:val="24"/>
        </w:rPr>
        <w:t>在</w:t>
      </w:r>
      <w:r w:rsidRPr="000C0842">
        <w:rPr>
          <w:rFonts w:eastAsia="SimSun"/>
          <w:snapToGrid w:val="0"/>
          <w:spacing w:val="10"/>
          <w:kern w:val="22"/>
          <w:sz w:val="24"/>
          <w:szCs w:val="24"/>
        </w:rPr>
        <w:t>适应</w:t>
      </w:r>
      <w:r w:rsidRPr="000C0842">
        <w:rPr>
          <w:rFonts w:eastAsia="SimSun" w:hint="eastAsia"/>
          <w:snapToGrid w:val="0"/>
          <w:spacing w:val="10"/>
          <w:kern w:val="22"/>
          <w:sz w:val="24"/>
          <w:szCs w:val="24"/>
        </w:rPr>
        <w:t>和</w:t>
      </w:r>
      <w:r w:rsidRPr="000C0842">
        <w:rPr>
          <w:rFonts w:eastAsia="SimSun"/>
          <w:snapToGrid w:val="0"/>
          <w:spacing w:val="10"/>
          <w:kern w:val="22"/>
          <w:sz w:val="24"/>
          <w:szCs w:val="24"/>
        </w:rPr>
        <w:t>缓解气候变化</w:t>
      </w:r>
      <w:r w:rsidRPr="000C0842">
        <w:rPr>
          <w:rFonts w:eastAsia="SimSun" w:hint="eastAsia"/>
          <w:snapToGrid w:val="0"/>
          <w:spacing w:val="10"/>
          <w:kern w:val="22"/>
          <w:sz w:val="24"/>
          <w:szCs w:val="24"/>
        </w:rPr>
        <w:t>以及</w:t>
      </w:r>
      <w:r w:rsidRPr="000C0842">
        <w:rPr>
          <w:rFonts w:eastAsia="SimSun"/>
          <w:snapToGrid w:val="0"/>
          <w:spacing w:val="10"/>
          <w:kern w:val="22"/>
          <w:sz w:val="24"/>
          <w:szCs w:val="24"/>
        </w:rPr>
        <w:t>减少</w:t>
      </w:r>
      <w:r w:rsidRPr="000C0842">
        <w:rPr>
          <w:rFonts w:eastAsia="SimSun" w:hint="eastAsia"/>
          <w:snapToGrid w:val="0"/>
          <w:spacing w:val="10"/>
          <w:kern w:val="22"/>
          <w:sz w:val="24"/>
          <w:szCs w:val="24"/>
        </w:rPr>
        <w:t>灾害风险方面采取的基于自然的解决办法</w:t>
      </w:r>
      <w:r w:rsidRPr="000C0842">
        <w:rPr>
          <w:rFonts w:eastAsia="SimSun"/>
          <w:snapToGrid w:val="0"/>
          <w:spacing w:val="10"/>
          <w:kern w:val="22"/>
          <w:sz w:val="24"/>
          <w:szCs w:val="24"/>
        </w:rPr>
        <w:t>和</w:t>
      </w:r>
      <w:r w:rsidRPr="000C0842">
        <w:rPr>
          <w:rFonts w:eastAsia="SimSun" w:hint="eastAsia"/>
          <w:snapToGrid w:val="0"/>
          <w:spacing w:val="10"/>
          <w:kern w:val="22"/>
          <w:sz w:val="24"/>
          <w:szCs w:val="24"/>
        </w:rPr>
        <w:t>/</w:t>
      </w:r>
      <w:r w:rsidRPr="000C0842">
        <w:rPr>
          <w:rFonts w:eastAsia="SimSun"/>
          <w:snapToGrid w:val="0"/>
          <w:spacing w:val="10"/>
          <w:kern w:val="22"/>
          <w:sz w:val="24"/>
          <w:szCs w:val="24"/>
        </w:rPr>
        <w:t>或基于生态系统的方法</w:t>
      </w:r>
      <w:r w:rsidRPr="000C0842">
        <w:rPr>
          <w:rFonts w:eastAsia="SimSun" w:hint="eastAsia"/>
          <w:snapToGrid w:val="0"/>
          <w:spacing w:val="10"/>
          <w:kern w:val="22"/>
          <w:sz w:val="24"/>
          <w:szCs w:val="24"/>
        </w:rPr>
        <w:t>、非市场办法和若干国家所承认的以地球母亲为中心的行动，纳入修订的国家生物多样性战略和行动计划以及相关国家目标</w:t>
      </w:r>
      <w:r w:rsidRPr="000C0842">
        <w:rPr>
          <w:rFonts w:eastAsia="SimSun"/>
          <w:snapToGrid w:val="0"/>
          <w:spacing w:val="10"/>
          <w:kern w:val="22"/>
          <w:sz w:val="24"/>
          <w:szCs w:val="24"/>
        </w:rPr>
        <w:t>，</w:t>
      </w:r>
      <w:r w:rsidRPr="000C0842">
        <w:rPr>
          <w:rFonts w:eastAsia="SimSun" w:hint="eastAsia"/>
          <w:snapToGrid w:val="0"/>
          <w:spacing w:val="10"/>
          <w:kern w:val="22"/>
          <w:sz w:val="24"/>
          <w:szCs w:val="24"/>
        </w:rPr>
        <w:t>并酌情与其他多边环境协定的联络点以互补和协同增效的方式进行合作，包括通过国家协调、规划、审查和报告进程，促进与根据生物多样性相关多边环境协定和《联合国气候变化框架公约》及《巴黎协定》</w:t>
      </w:r>
      <w:r w:rsidR="001F2649" w:rsidRPr="000C0842">
        <w:rPr>
          <w:rFonts w:eastAsia="SimSun"/>
          <w:snapToGrid w:val="0"/>
          <w:spacing w:val="10"/>
          <w:kern w:val="22"/>
          <w:sz w:val="24"/>
          <w:szCs w:val="24"/>
          <w:vertAlign w:val="superscript"/>
        </w:rPr>
        <w:fldChar w:fldCharType="begin"/>
      </w:r>
      <w:r w:rsidR="001F2649" w:rsidRPr="000C0842">
        <w:rPr>
          <w:rFonts w:eastAsia="SimSun"/>
          <w:snapToGrid w:val="0"/>
          <w:spacing w:val="10"/>
          <w:kern w:val="22"/>
          <w:sz w:val="24"/>
          <w:szCs w:val="24"/>
          <w:vertAlign w:val="superscript"/>
        </w:rPr>
        <w:instrText xml:space="preserve"> </w:instrText>
      </w:r>
      <w:r w:rsidR="001F2649" w:rsidRPr="000C0842">
        <w:rPr>
          <w:rFonts w:eastAsia="SimSun" w:hint="eastAsia"/>
          <w:snapToGrid w:val="0"/>
          <w:spacing w:val="10"/>
          <w:kern w:val="22"/>
          <w:sz w:val="24"/>
          <w:szCs w:val="24"/>
          <w:vertAlign w:val="superscript"/>
        </w:rPr>
        <w:instrText>NOTEREF _Ref206313532 \h</w:instrText>
      </w:r>
      <w:r w:rsidR="001F2649" w:rsidRPr="000C0842">
        <w:rPr>
          <w:rFonts w:eastAsia="SimSun"/>
          <w:snapToGrid w:val="0"/>
          <w:spacing w:val="10"/>
          <w:kern w:val="22"/>
          <w:sz w:val="24"/>
          <w:szCs w:val="24"/>
          <w:vertAlign w:val="superscript"/>
        </w:rPr>
        <w:instrText xml:space="preserve">  \* MERGEFORMAT </w:instrText>
      </w:r>
      <w:r w:rsidR="001F2649" w:rsidRPr="000C0842">
        <w:rPr>
          <w:rFonts w:eastAsia="SimSun"/>
          <w:snapToGrid w:val="0"/>
          <w:spacing w:val="10"/>
          <w:kern w:val="22"/>
          <w:sz w:val="24"/>
          <w:szCs w:val="24"/>
          <w:vertAlign w:val="superscript"/>
        </w:rPr>
      </w:r>
      <w:r w:rsidR="001F2649" w:rsidRPr="000C0842">
        <w:rPr>
          <w:rFonts w:eastAsia="SimSun"/>
          <w:snapToGrid w:val="0"/>
          <w:spacing w:val="10"/>
          <w:kern w:val="22"/>
          <w:sz w:val="24"/>
          <w:szCs w:val="24"/>
          <w:vertAlign w:val="superscript"/>
        </w:rPr>
        <w:fldChar w:fldCharType="separate"/>
      </w:r>
      <w:r w:rsidR="001A4065">
        <w:rPr>
          <w:rFonts w:eastAsia="SimSun"/>
          <w:snapToGrid w:val="0"/>
          <w:spacing w:val="10"/>
          <w:kern w:val="22"/>
          <w:sz w:val="24"/>
          <w:szCs w:val="24"/>
          <w:vertAlign w:val="superscript"/>
        </w:rPr>
        <w:t>355</w:t>
      </w:r>
      <w:r w:rsidR="001F2649" w:rsidRPr="000C0842">
        <w:rPr>
          <w:rFonts w:eastAsia="SimSun"/>
          <w:snapToGrid w:val="0"/>
          <w:spacing w:val="10"/>
          <w:kern w:val="22"/>
          <w:sz w:val="24"/>
          <w:szCs w:val="24"/>
          <w:vertAlign w:val="superscript"/>
        </w:rPr>
        <w:fldChar w:fldCharType="end"/>
      </w:r>
      <w:r w:rsidRPr="000C0842">
        <w:rPr>
          <w:rFonts w:eastAsia="SimSun" w:hint="eastAsia"/>
          <w:snapToGrid w:val="0"/>
          <w:spacing w:val="10"/>
          <w:kern w:val="22"/>
          <w:sz w:val="24"/>
          <w:szCs w:val="24"/>
        </w:rPr>
        <w:t>设立的其他国家规划进程的协同作用；</w:t>
      </w:r>
    </w:p>
    <w:p w14:paraId="36C7BE49" w14:textId="77777777" w:rsidR="004D5AD7" w:rsidRPr="000C0842" w:rsidRDefault="004D5AD7">
      <w:pPr>
        <w:numPr>
          <w:ilvl w:val="0"/>
          <w:numId w:val="105"/>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考虑到价值观、世界观和知识体系的多样性，包括土著人民和地方社区的传统知识，以及确保尊重、保护、促进和实现人权的相关行动和加强赋权、机构和代际公平以及保护土著人民和地方社区对其土地、</w:t>
      </w:r>
      <w:r w:rsidRPr="000C0842">
        <w:rPr>
          <w:rFonts w:eastAsia="SimSun"/>
          <w:snapToGrid w:val="0"/>
          <w:sz w:val="24"/>
          <w:szCs w:val="24"/>
          <w:lang w:val="en-GB"/>
        </w:rPr>
        <w:t>领</w:t>
      </w:r>
      <w:r w:rsidRPr="000C0842">
        <w:rPr>
          <w:rFonts w:eastAsia="SimSun" w:hint="eastAsia"/>
          <w:snapToGrid w:val="0"/>
          <w:sz w:val="24"/>
          <w:szCs w:val="24"/>
          <w:lang w:val="en-GB"/>
        </w:rPr>
        <w:t>地</w:t>
      </w:r>
      <w:r w:rsidRPr="000C0842">
        <w:rPr>
          <w:rFonts w:eastAsia="SimSun"/>
          <w:snapToGrid w:val="0"/>
          <w:sz w:val="24"/>
          <w:szCs w:val="24"/>
          <w:lang w:val="en-GB"/>
        </w:rPr>
        <w:t>和资源权利的</w:t>
      </w:r>
      <w:r w:rsidRPr="000C0842">
        <w:rPr>
          <w:rFonts w:eastAsia="SimSun" w:hint="eastAsia"/>
          <w:snapToGrid w:val="0"/>
          <w:sz w:val="24"/>
          <w:szCs w:val="24"/>
          <w:lang w:val="en-GB"/>
        </w:rPr>
        <w:t>跨部门</w:t>
      </w:r>
      <w:r w:rsidRPr="000C0842">
        <w:rPr>
          <w:rFonts w:eastAsia="SimSun"/>
          <w:snapToGrid w:val="0"/>
          <w:sz w:val="24"/>
          <w:szCs w:val="24"/>
          <w:lang w:val="en-GB"/>
        </w:rPr>
        <w:t>办法</w:t>
      </w:r>
      <w:r w:rsidRPr="000C0842">
        <w:rPr>
          <w:rFonts w:eastAsia="SimSun"/>
          <w:snapToGrid w:val="0"/>
          <w:kern w:val="22"/>
          <w:sz w:val="24"/>
          <w:szCs w:val="24"/>
        </w:rPr>
        <w:t>，</w:t>
      </w:r>
      <w:r w:rsidRPr="000C0842">
        <w:rPr>
          <w:rFonts w:eastAsia="SimSun"/>
          <w:snapToGrid w:val="0"/>
          <w:kern w:val="22"/>
          <w:sz w:val="24"/>
          <w:szCs w:val="24"/>
        </w:rPr>
        <w:t xml:space="preserve"> </w:t>
      </w:r>
      <w:r w:rsidRPr="000C0842">
        <w:rPr>
          <w:rFonts w:eastAsia="SimSun"/>
          <w:snapToGrid w:val="0"/>
          <w:kern w:val="22"/>
          <w:sz w:val="24"/>
          <w:szCs w:val="24"/>
        </w:rPr>
        <w:t>对土地权或人权以及土著人民和地方社区权利有直接或间接影响的生物多样性和气候行动之间的潜在协同</w:t>
      </w:r>
      <w:r w:rsidRPr="000C0842">
        <w:rPr>
          <w:rFonts w:eastAsia="SimSun" w:hint="eastAsia"/>
          <w:snapToGrid w:val="0"/>
          <w:kern w:val="22"/>
          <w:sz w:val="24"/>
          <w:szCs w:val="24"/>
        </w:rPr>
        <w:t>增效</w:t>
      </w:r>
      <w:r w:rsidRPr="000C0842">
        <w:rPr>
          <w:rFonts w:eastAsia="SimSun"/>
          <w:snapToGrid w:val="0"/>
          <w:kern w:val="22"/>
          <w:sz w:val="24"/>
          <w:szCs w:val="24"/>
        </w:rPr>
        <w:t>作用，只有在得到他们自由、事先和知情同意的情况下才能进行</w:t>
      </w:r>
      <w:r w:rsidRPr="000C0842">
        <w:rPr>
          <w:rFonts w:eastAsia="SimSun"/>
          <w:sz w:val="24"/>
          <w:szCs w:val="24"/>
          <w:vertAlign w:val="superscript"/>
          <w:lang w:val="en-GB"/>
        </w:rPr>
        <w:footnoteReference w:id="360"/>
      </w:r>
      <w:r w:rsidRPr="000C0842">
        <w:rPr>
          <w:rFonts w:eastAsia="SimSun"/>
          <w:snapToGrid w:val="0"/>
          <w:kern w:val="22"/>
          <w:sz w:val="24"/>
          <w:szCs w:val="24"/>
        </w:rPr>
        <w:t>，必须</w:t>
      </w:r>
      <w:r w:rsidRPr="000C0842">
        <w:rPr>
          <w:rFonts w:eastAsia="SimSun" w:hint="eastAsia"/>
          <w:snapToGrid w:val="0"/>
          <w:kern w:val="22"/>
          <w:sz w:val="24"/>
          <w:szCs w:val="24"/>
        </w:rPr>
        <w:t>依照</w:t>
      </w:r>
      <w:r w:rsidRPr="000C0842">
        <w:rPr>
          <w:rFonts w:eastAsia="SimSun"/>
          <w:snapToGrid w:val="0"/>
          <w:kern w:val="22"/>
          <w:sz w:val="24"/>
          <w:szCs w:val="24"/>
        </w:rPr>
        <w:t>国家</w:t>
      </w:r>
      <w:r w:rsidRPr="000C0842">
        <w:rPr>
          <w:rFonts w:eastAsia="SimSun" w:hint="eastAsia"/>
          <w:snapToGrid w:val="0"/>
          <w:kern w:val="22"/>
          <w:sz w:val="24"/>
          <w:szCs w:val="24"/>
        </w:rPr>
        <w:t>法律</w:t>
      </w:r>
      <w:r w:rsidRPr="000C0842">
        <w:rPr>
          <w:rFonts w:eastAsia="SimSun"/>
          <w:snapToGrid w:val="0"/>
          <w:kern w:val="22"/>
          <w:sz w:val="24"/>
          <w:szCs w:val="24"/>
        </w:rPr>
        <w:t>并符合国际文书；</w:t>
      </w:r>
    </w:p>
    <w:p w14:paraId="27DBB7B5"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4.</w:t>
      </w:r>
      <w:r w:rsidRPr="000C0842">
        <w:rPr>
          <w:rFonts w:eastAsia="SimSun"/>
          <w:snapToGrid w:val="0"/>
          <w:kern w:val="22"/>
          <w:sz w:val="24"/>
          <w:szCs w:val="24"/>
        </w:rPr>
        <w:tab/>
      </w:r>
      <w:r w:rsidRPr="000C0842">
        <w:rPr>
          <w:rFonts w:ascii="KaiTi" w:eastAsia="KaiTi" w:hAnsi="KaiTi"/>
          <w:snapToGrid w:val="0"/>
          <w:kern w:val="22"/>
          <w:sz w:val="24"/>
          <w:szCs w:val="24"/>
        </w:rPr>
        <w:t>鼓励</w:t>
      </w:r>
      <w:r w:rsidRPr="000C0842">
        <w:rPr>
          <w:rFonts w:eastAsia="SimSun"/>
          <w:snapToGrid w:val="0"/>
          <w:kern w:val="22"/>
          <w:sz w:val="24"/>
          <w:szCs w:val="24"/>
        </w:rPr>
        <w:t>缔约方利用《生物多样性公约》提供的工具和信息，包括</w:t>
      </w:r>
      <w:r w:rsidRPr="000C0842">
        <w:rPr>
          <w:rFonts w:eastAsia="SimSun"/>
          <w:snapToGrid w:val="0"/>
          <w:sz w:val="24"/>
          <w:szCs w:val="24"/>
          <w:lang w:val="en-GB"/>
        </w:rPr>
        <w:t>《</w:t>
      </w:r>
      <w:r w:rsidRPr="000C0842">
        <w:rPr>
          <w:rFonts w:eastAsia="SimSun"/>
          <w:snapToGrid w:val="0"/>
          <w:kern w:val="22"/>
          <w:sz w:val="24"/>
          <w:szCs w:val="24"/>
        </w:rPr>
        <w:t>设计和有效实施基于生态系统办法适应气候变化和减少灾害风险的自愿准则</w:t>
      </w:r>
      <w:r w:rsidRPr="000C0842">
        <w:rPr>
          <w:rFonts w:eastAsia="SimSun"/>
          <w:snapToGrid w:val="0"/>
          <w:sz w:val="24"/>
          <w:szCs w:val="24"/>
          <w:lang w:val="en-GB"/>
        </w:rPr>
        <w:t>》</w:t>
      </w:r>
      <w:r w:rsidRPr="000C0842">
        <w:rPr>
          <w:rFonts w:eastAsia="SimSun"/>
          <w:snapToGrid w:val="0"/>
          <w:kern w:val="22"/>
          <w:sz w:val="24"/>
          <w:szCs w:val="24"/>
          <w:vertAlign w:val="superscript"/>
        </w:rPr>
        <w:footnoteReference w:id="361"/>
      </w:r>
      <w:r w:rsidRPr="000C0842">
        <w:rPr>
          <w:rFonts w:eastAsia="SimSun"/>
          <w:snapToGrid w:val="0"/>
          <w:kern w:val="22"/>
          <w:sz w:val="24"/>
          <w:szCs w:val="24"/>
        </w:rPr>
        <w:t xml:space="preserve"> </w:t>
      </w:r>
      <w:r w:rsidRPr="000C0842">
        <w:rPr>
          <w:rFonts w:eastAsia="SimSun" w:hint="eastAsia"/>
          <w:snapToGrid w:val="0"/>
          <w:kern w:val="22"/>
          <w:sz w:val="24"/>
          <w:szCs w:val="24"/>
        </w:rPr>
        <w:t>或者经缔约方大会决定的更新版本，</w:t>
      </w:r>
      <w:r w:rsidRPr="000C0842">
        <w:rPr>
          <w:rFonts w:eastAsia="SimSun"/>
          <w:snapToGrid w:val="0"/>
          <w:kern w:val="22"/>
          <w:sz w:val="24"/>
          <w:szCs w:val="24"/>
        </w:rPr>
        <w:t>以及其他与生物多样性有关的公约制定的相关工具和指南</w:t>
      </w:r>
      <w:r w:rsidRPr="000C0842">
        <w:rPr>
          <w:rFonts w:eastAsia="SimSun"/>
          <w:sz w:val="24"/>
          <w:szCs w:val="24"/>
          <w:vertAlign w:val="superscript"/>
          <w:lang w:val="en-CA"/>
        </w:rPr>
        <w:footnoteReference w:id="362"/>
      </w:r>
      <w:r w:rsidRPr="000C0842">
        <w:rPr>
          <w:rFonts w:eastAsia="SimSun"/>
          <w:snapToGrid w:val="0"/>
          <w:kern w:val="22"/>
          <w:sz w:val="24"/>
          <w:szCs w:val="24"/>
        </w:rPr>
        <w:t>；</w:t>
      </w:r>
    </w:p>
    <w:p w14:paraId="332375A5" w14:textId="56ABDD64"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5.</w:t>
      </w:r>
      <w:r w:rsidRPr="000C0842">
        <w:rPr>
          <w:rFonts w:eastAsia="SimSun"/>
          <w:snapToGrid w:val="0"/>
          <w:kern w:val="22"/>
          <w:sz w:val="24"/>
          <w:szCs w:val="24"/>
        </w:rPr>
        <w:tab/>
      </w:r>
      <w:r w:rsidRPr="000C0842">
        <w:rPr>
          <w:rFonts w:ascii="KaiTi" w:eastAsia="KaiTi" w:hAnsi="KaiTi"/>
          <w:snapToGrid w:val="0"/>
          <w:kern w:val="22"/>
          <w:sz w:val="24"/>
          <w:szCs w:val="24"/>
        </w:rPr>
        <w:t>鼓励</w:t>
      </w:r>
      <w:r w:rsidRPr="000C0842">
        <w:rPr>
          <w:rFonts w:eastAsia="SimSun"/>
          <w:snapToGrid w:val="0"/>
          <w:kern w:val="22"/>
          <w:sz w:val="24"/>
          <w:szCs w:val="24"/>
        </w:rPr>
        <w:t>缔约方、其他</w:t>
      </w:r>
      <w:r w:rsidRPr="000C0842">
        <w:rPr>
          <w:rFonts w:eastAsia="SimSun" w:hint="eastAsia"/>
          <w:snapToGrid w:val="0"/>
          <w:kern w:val="22"/>
          <w:sz w:val="24"/>
          <w:szCs w:val="24"/>
        </w:rPr>
        <w:t>国家</w:t>
      </w:r>
      <w:r w:rsidRPr="000C0842">
        <w:rPr>
          <w:rFonts w:eastAsia="SimSun"/>
          <w:snapToGrid w:val="0"/>
          <w:kern w:val="22"/>
          <w:sz w:val="24"/>
          <w:szCs w:val="24"/>
        </w:rPr>
        <w:t>政府以及相关组织，在土著人民和地方社区、妇女和青年的充分和有效参与下，在执行</w:t>
      </w:r>
      <w:r w:rsidR="001A5C0A" w:rsidRPr="000C0842">
        <w:rPr>
          <w:rFonts w:eastAsia="SimSun"/>
          <w:snapToGrid w:val="0"/>
          <w:kern w:val="22"/>
          <w:sz w:val="24"/>
          <w:szCs w:val="24"/>
        </w:rPr>
        <w:t>《昆蒙框架》</w:t>
      </w:r>
      <w:r w:rsidRPr="000C0842">
        <w:rPr>
          <w:rFonts w:eastAsia="SimSun"/>
          <w:snapToGrid w:val="0"/>
          <w:kern w:val="22"/>
          <w:sz w:val="24"/>
          <w:szCs w:val="24"/>
        </w:rPr>
        <w:t>时顾及气候变化和气候相关政策对生物多样性的现有和预期影响；</w:t>
      </w:r>
    </w:p>
    <w:p w14:paraId="7264FB14" w14:textId="612C9548"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6.</w:t>
      </w:r>
      <w:r w:rsidRPr="000C0842">
        <w:rPr>
          <w:rFonts w:eastAsia="SimSun"/>
          <w:kern w:val="22"/>
          <w:sz w:val="24"/>
          <w:szCs w:val="24"/>
        </w:rPr>
        <w:tab/>
      </w:r>
      <w:r w:rsidRPr="000C0842">
        <w:rPr>
          <w:rFonts w:ascii="KaiTi" w:eastAsia="KaiTi" w:hAnsi="KaiTi"/>
          <w:snapToGrid w:val="0"/>
          <w:kern w:val="22"/>
          <w:sz w:val="24"/>
          <w:szCs w:val="24"/>
        </w:rPr>
        <w:t>重申</w:t>
      </w:r>
      <w:r w:rsidRPr="000C0842">
        <w:rPr>
          <w:rFonts w:eastAsia="SimSun"/>
          <w:snapToGrid w:val="0"/>
          <w:kern w:val="22"/>
          <w:sz w:val="24"/>
          <w:szCs w:val="24"/>
        </w:rPr>
        <w:t>关于海洋肥沃化的第</w:t>
      </w:r>
      <w:hyperlink r:id="rId232" w:history="1">
        <w:r w:rsidRPr="000C0842">
          <w:rPr>
            <w:rStyle w:val="Hyperlink"/>
            <w:rFonts w:eastAsia="SimSun"/>
            <w:snapToGrid w:val="0"/>
            <w:color w:val="auto"/>
            <w:kern w:val="22"/>
            <w:sz w:val="24"/>
            <w:szCs w:val="24"/>
          </w:rPr>
          <w:t>IX/16 C</w:t>
        </w:r>
      </w:hyperlink>
      <w:r w:rsidRPr="000C0842">
        <w:rPr>
          <w:rFonts w:eastAsia="SimSun"/>
          <w:snapToGrid w:val="0"/>
          <w:kern w:val="22"/>
          <w:sz w:val="24"/>
          <w:szCs w:val="24"/>
        </w:rPr>
        <w:t>号决定、</w:t>
      </w:r>
      <w:r w:rsidRPr="000C0842">
        <w:rPr>
          <w:rFonts w:eastAsia="SimSun" w:hint="eastAsia"/>
          <w:snapToGrid w:val="0"/>
          <w:kern w:val="22"/>
          <w:sz w:val="24"/>
          <w:szCs w:val="24"/>
        </w:rPr>
        <w:t>关于生物多样性与气候变化的</w:t>
      </w:r>
      <w:r w:rsidRPr="000C0842">
        <w:rPr>
          <w:rFonts w:eastAsia="SimSun"/>
          <w:snapToGrid w:val="0"/>
          <w:kern w:val="22"/>
          <w:sz w:val="24"/>
          <w:szCs w:val="24"/>
        </w:rPr>
        <w:t>第</w:t>
      </w:r>
      <w:hyperlink r:id="rId233" w:history="1">
        <w:r w:rsidRPr="000C0842">
          <w:rPr>
            <w:rStyle w:val="Hyperlink"/>
            <w:rFonts w:eastAsia="SimSun"/>
            <w:snapToGrid w:val="0"/>
            <w:color w:val="auto"/>
            <w:kern w:val="22"/>
            <w:sz w:val="24"/>
            <w:szCs w:val="24"/>
          </w:rPr>
          <w:t>X/33</w:t>
        </w:r>
      </w:hyperlink>
      <w:r w:rsidRPr="000C0842">
        <w:rPr>
          <w:rFonts w:eastAsia="SimSun"/>
          <w:snapToGrid w:val="0"/>
          <w:kern w:val="22"/>
          <w:sz w:val="24"/>
          <w:szCs w:val="24"/>
        </w:rPr>
        <w:t>号决定第</w:t>
      </w:r>
      <w:r w:rsidRPr="000C0842">
        <w:rPr>
          <w:rFonts w:eastAsia="SimSun"/>
          <w:snapToGrid w:val="0"/>
          <w:kern w:val="22"/>
          <w:sz w:val="24"/>
          <w:szCs w:val="24"/>
        </w:rPr>
        <w:t>8 (w)</w:t>
      </w:r>
      <w:r w:rsidRPr="000C0842">
        <w:rPr>
          <w:rFonts w:eastAsia="SimSun"/>
          <w:snapToGrid w:val="0"/>
          <w:kern w:val="22"/>
          <w:sz w:val="24"/>
          <w:szCs w:val="24"/>
        </w:rPr>
        <w:t>段</w:t>
      </w:r>
      <w:r w:rsidR="00AE2D81" w:rsidRPr="000C0842">
        <w:rPr>
          <w:rFonts w:eastAsia="SimSun" w:hint="eastAsia"/>
          <w:snapToGrid w:val="0"/>
          <w:kern w:val="22"/>
          <w:sz w:val="24"/>
          <w:szCs w:val="24"/>
        </w:rPr>
        <w:t>和</w:t>
      </w:r>
      <w:r w:rsidRPr="000C0842">
        <w:rPr>
          <w:rFonts w:eastAsia="SimSun"/>
          <w:snapToGrid w:val="0"/>
          <w:sz w:val="24"/>
          <w:szCs w:val="24"/>
          <w:lang w:val="en-GB"/>
        </w:rPr>
        <w:t>关于与气候相关的地球工程的第</w:t>
      </w:r>
      <w:hyperlink r:id="rId234" w:history="1">
        <w:r w:rsidRPr="000C0842">
          <w:rPr>
            <w:rStyle w:val="Hyperlink"/>
            <w:rFonts w:eastAsia="SimSun"/>
            <w:snapToGrid w:val="0"/>
            <w:color w:val="auto"/>
            <w:kern w:val="22"/>
            <w:sz w:val="24"/>
            <w:szCs w:val="24"/>
          </w:rPr>
          <w:t>XI/20</w:t>
        </w:r>
      </w:hyperlink>
      <w:r w:rsidRPr="000C0842">
        <w:rPr>
          <w:rFonts w:eastAsia="SimSun"/>
          <w:snapToGrid w:val="0"/>
          <w:kern w:val="22"/>
          <w:sz w:val="24"/>
          <w:szCs w:val="24"/>
        </w:rPr>
        <w:t>号和</w:t>
      </w:r>
      <w:r w:rsidRPr="000C0842">
        <w:rPr>
          <w:rFonts w:eastAsia="SimSun"/>
          <w:snapToGrid w:val="0"/>
          <w:kern w:val="22"/>
          <w:sz w:val="24"/>
          <w:szCs w:val="24"/>
        </w:rPr>
        <w:t>2016</w:t>
      </w:r>
      <w:r w:rsidRPr="000C0842">
        <w:rPr>
          <w:rFonts w:eastAsia="SimSun"/>
          <w:snapToGrid w:val="0"/>
          <w:kern w:val="22"/>
          <w:sz w:val="24"/>
          <w:szCs w:val="24"/>
        </w:rPr>
        <w:t>年</w:t>
      </w:r>
      <w:r w:rsidRPr="000C0842">
        <w:rPr>
          <w:rFonts w:eastAsia="SimSun"/>
          <w:snapToGrid w:val="0"/>
          <w:kern w:val="22"/>
          <w:sz w:val="24"/>
          <w:szCs w:val="24"/>
        </w:rPr>
        <w:t>12</w:t>
      </w:r>
      <w:r w:rsidRPr="000C0842">
        <w:rPr>
          <w:rFonts w:eastAsia="SimSun"/>
          <w:snapToGrid w:val="0"/>
          <w:kern w:val="22"/>
          <w:sz w:val="24"/>
          <w:szCs w:val="24"/>
        </w:rPr>
        <w:t>月</w:t>
      </w:r>
      <w:r w:rsidRPr="000C0842">
        <w:rPr>
          <w:rFonts w:eastAsia="SimSun"/>
          <w:snapToGrid w:val="0"/>
          <w:kern w:val="22"/>
          <w:sz w:val="24"/>
          <w:szCs w:val="24"/>
        </w:rPr>
        <w:t>9</w:t>
      </w:r>
      <w:r w:rsidRPr="000C0842">
        <w:rPr>
          <w:rFonts w:eastAsia="SimSun"/>
          <w:snapToGrid w:val="0"/>
          <w:sz w:val="24"/>
          <w:szCs w:val="24"/>
          <w:lang w:val="en-GB"/>
        </w:rPr>
        <w:t>日</w:t>
      </w:r>
      <w:r w:rsidRPr="000C0842">
        <w:rPr>
          <w:rFonts w:eastAsia="SimSun"/>
          <w:snapToGrid w:val="0"/>
          <w:kern w:val="22"/>
          <w:sz w:val="24"/>
          <w:szCs w:val="24"/>
        </w:rPr>
        <w:t>第</w:t>
      </w:r>
      <w:hyperlink r:id="rId235" w:history="1">
        <w:r w:rsidRPr="000C0842">
          <w:rPr>
            <w:rFonts w:eastAsia="SimSun"/>
            <w:snapToGrid w:val="0"/>
            <w:kern w:val="22"/>
            <w:sz w:val="24"/>
            <w:szCs w:val="24"/>
            <w:u w:val="single"/>
          </w:rPr>
          <w:t>XIII/14</w:t>
        </w:r>
      </w:hyperlink>
      <w:r w:rsidRPr="000C0842">
        <w:rPr>
          <w:rFonts w:eastAsia="SimSun"/>
          <w:snapToGrid w:val="0"/>
          <w:kern w:val="22"/>
          <w:sz w:val="24"/>
          <w:szCs w:val="24"/>
        </w:rPr>
        <w:t>号决定，敦促缔约方并鼓励其他政府确保执行这些决定；</w:t>
      </w:r>
      <w:r w:rsidRPr="000C0842">
        <w:rPr>
          <w:rFonts w:eastAsia="SimSun" w:hint="eastAsia"/>
          <w:snapToGrid w:val="0"/>
          <w:kern w:val="22"/>
          <w:sz w:val="24"/>
          <w:szCs w:val="24"/>
        </w:rPr>
        <w:t xml:space="preserve"> </w:t>
      </w:r>
    </w:p>
    <w:p w14:paraId="27011AB0" w14:textId="3A7B07C6"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szCs w:val="24"/>
        </w:rPr>
      </w:pPr>
      <w:r w:rsidRPr="000C0842">
        <w:rPr>
          <w:rFonts w:eastAsia="SimSun"/>
          <w:snapToGrid w:val="0"/>
          <w:kern w:val="22"/>
          <w:sz w:val="24"/>
          <w:szCs w:val="24"/>
        </w:rPr>
        <w:t>7.</w:t>
      </w:r>
      <w:r w:rsidRPr="000C0842">
        <w:rPr>
          <w:rFonts w:eastAsia="SimSun"/>
          <w:kern w:val="22"/>
          <w:sz w:val="24"/>
          <w:szCs w:val="24"/>
        </w:rPr>
        <w:tab/>
      </w:r>
      <w:r w:rsidRPr="000C0842">
        <w:rPr>
          <w:rFonts w:ascii="KaiTi" w:eastAsia="KaiTi" w:hAnsi="KaiTi"/>
          <w:snapToGrid w:val="0"/>
          <w:kern w:val="22"/>
          <w:sz w:val="24"/>
          <w:szCs w:val="24"/>
        </w:rPr>
        <w:t>敦促</w:t>
      </w:r>
      <w:r w:rsidRPr="000C0842">
        <w:rPr>
          <w:rFonts w:eastAsia="SimSun"/>
          <w:snapToGrid w:val="0"/>
          <w:kern w:val="22"/>
          <w:sz w:val="24"/>
          <w:szCs w:val="24"/>
        </w:rPr>
        <w:t>缔约方并邀请其他政府和相关利益攸关方，在采取行动实现</w:t>
      </w:r>
      <w:r w:rsidR="001A5C0A" w:rsidRPr="000C0842">
        <w:rPr>
          <w:rFonts w:eastAsia="SimSun"/>
          <w:snapToGrid w:val="0"/>
          <w:kern w:val="22"/>
          <w:sz w:val="24"/>
          <w:szCs w:val="24"/>
        </w:rPr>
        <w:t>《昆蒙框架》</w:t>
      </w:r>
      <w:r w:rsidRPr="000C0842">
        <w:rPr>
          <w:rFonts w:eastAsia="SimSun"/>
          <w:snapToGrid w:val="0"/>
          <w:kern w:val="22"/>
          <w:sz w:val="24"/>
          <w:szCs w:val="24"/>
        </w:rPr>
        <w:t>的</w:t>
      </w:r>
      <w:r w:rsidRPr="000C0842">
        <w:rPr>
          <w:rFonts w:eastAsia="SimSun" w:hint="eastAsia"/>
          <w:snapToGrid w:val="0"/>
          <w:kern w:val="22"/>
          <w:sz w:val="24"/>
          <w:szCs w:val="24"/>
        </w:rPr>
        <w:t>行动</w:t>
      </w:r>
      <w:r w:rsidRPr="000C0842">
        <w:rPr>
          <w:rFonts w:eastAsia="SimSun"/>
          <w:snapToGrid w:val="0"/>
          <w:kern w:val="22"/>
          <w:sz w:val="24"/>
          <w:szCs w:val="24"/>
        </w:rPr>
        <w:t>目标</w:t>
      </w:r>
      <w:r w:rsidRPr="000C0842">
        <w:rPr>
          <w:rFonts w:eastAsia="SimSun"/>
          <w:snapToGrid w:val="0"/>
          <w:kern w:val="22"/>
          <w:sz w:val="24"/>
          <w:szCs w:val="24"/>
        </w:rPr>
        <w:t>8</w:t>
      </w:r>
      <w:r w:rsidRPr="000C0842">
        <w:rPr>
          <w:rFonts w:eastAsia="SimSun"/>
          <w:snapToGrid w:val="0"/>
          <w:kern w:val="22"/>
          <w:sz w:val="24"/>
          <w:szCs w:val="24"/>
        </w:rPr>
        <w:t>和</w:t>
      </w:r>
      <w:r w:rsidRPr="000C0842">
        <w:rPr>
          <w:rFonts w:eastAsia="SimSun"/>
          <w:snapToGrid w:val="0"/>
          <w:kern w:val="22"/>
          <w:sz w:val="24"/>
          <w:szCs w:val="24"/>
        </w:rPr>
        <w:t>11</w:t>
      </w:r>
      <w:r w:rsidRPr="000C0842">
        <w:rPr>
          <w:rFonts w:eastAsia="SimSun"/>
          <w:snapToGrid w:val="0"/>
          <w:kern w:val="22"/>
          <w:sz w:val="24"/>
          <w:szCs w:val="24"/>
        </w:rPr>
        <w:t>以及相关</w:t>
      </w:r>
      <w:r w:rsidRPr="000C0842">
        <w:rPr>
          <w:rFonts w:eastAsia="SimSun" w:hint="eastAsia"/>
          <w:snapToGrid w:val="0"/>
          <w:kern w:val="22"/>
          <w:sz w:val="24"/>
          <w:szCs w:val="24"/>
        </w:rPr>
        <w:t>行动</w:t>
      </w:r>
      <w:r w:rsidRPr="000C0842">
        <w:rPr>
          <w:rFonts w:eastAsia="SimSun"/>
          <w:snapToGrid w:val="0"/>
          <w:kern w:val="22"/>
          <w:sz w:val="24"/>
          <w:szCs w:val="24"/>
        </w:rPr>
        <w:t>目标时，根据国情、优先事项和能力，按照《公约》第</w:t>
      </w:r>
      <w:r w:rsidRPr="000C0842">
        <w:rPr>
          <w:rFonts w:eastAsia="SimSun"/>
          <w:snapToGrid w:val="0"/>
          <w:kern w:val="22"/>
          <w:sz w:val="24"/>
          <w:szCs w:val="24"/>
        </w:rPr>
        <w:t>20</w:t>
      </w:r>
      <w:r w:rsidRPr="000C0842">
        <w:rPr>
          <w:rFonts w:eastAsia="SimSun"/>
          <w:snapToGrid w:val="0"/>
          <w:kern w:val="22"/>
          <w:sz w:val="24"/>
          <w:szCs w:val="24"/>
        </w:rPr>
        <w:t>条和</w:t>
      </w:r>
      <w:r w:rsidR="001A5C0A" w:rsidRPr="000C0842">
        <w:rPr>
          <w:rFonts w:eastAsia="SimSun"/>
          <w:snapToGrid w:val="0"/>
          <w:kern w:val="22"/>
          <w:sz w:val="24"/>
          <w:szCs w:val="24"/>
        </w:rPr>
        <w:t>《昆蒙框架》</w:t>
      </w:r>
      <w:r w:rsidRPr="000C0842">
        <w:rPr>
          <w:rFonts w:eastAsia="SimSun" w:hint="eastAsia"/>
          <w:snapToGrid w:val="0"/>
          <w:kern w:val="22"/>
          <w:sz w:val="24"/>
          <w:szCs w:val="24"/>
        </w:rPr>
        <w:t>行动</w:t>
      </w:r>
      <w:r w:rsidRPr="000C0842">
        <w:rPr>
          <w:rFonts w:eastAsia="SimSun"/>
          <w:snapToGrid w:val="0"/>
          <w:kern w:val="22"/>
          <w:sz w:val="24"/>
          <w:szCs w:val="24"/>
        </w:rPr>
        <w:t>目标</w:t>
      </w:r>
      <w:r w:rsidRPr="000C0842">
        <w:rPr>
          <w:rFonts w:eastAsia="SimSun"/>
          <w:snapToGrid w:val="0"/>
          <w:kern w:val="22"/>
          <w:sz w:val="24"/>
          <w:szCs w:val="24"/>
        </w:rPr>
        <w:t>19</w:t>
      </w:r>
      <w:r w:rsidRPr="000C0842">
        <w:rPr>
          <w:rFonts w:eastAsia="SimSun"/>
          <w:snapToGrid w:val="0"/>
          <w:kern w:val="22"/>
          <w:sz w:val="24"/>
          <w:szCs w:val="24"/>
        </w:rPr>
        <w:t>行事，并遵守关于资源调动的</w:t>
      </w:r>
      <w:r w:rsidRPr="000C0842">
        <w:rPr>
          <w:rFonts w:eastAsia="SimSun" w:hint="eastAsia"/>
          <w:snapToGrid w:val="0"/>
          <w:kern w:val="22"/>
          <w:sz w:val="24"/>
          <w:szCs w:val="24"/>
        </w:rPr>
        <w:t>2025</w:t>
      </w:r>
      <w:r w:rsidRPr="000C0842">
        <w:rPr>
          <w:rFonts w:eastAsia="SimSun" w:hint="eastAsia"/>
          <w:snapToGrid w:val="0"/>
          <w:kern w:val="22"/>
          <w:sz w:val="24"/>
          <w:szCs w:val="24"/>
        </w:rPr>
        <w:t>年</w:t>
      </w:r>
      <w:r w:rsidRPr="000C0842">
        <w:rPr>
          <w:rFonts w:eastAsia="SimSun" w:hint="eastAsia"/>
          <w:snapToGrid w:val="0"/>
          <w:kern w:val="22"/>
          <w:sz w:val="24"/>
          <w:szCs w:val="24"/>
        </w:rPr>
        <w:t>2</w:t>
      </w:r>
      <w:r w:rsidRPr="000C0842">
        <w:rPr>
          <w:rFonts w:eastAsia="SimSun" w:hint="eastAsia"/>
          <w:snapToGrid w:val="0"/>
          <w:kern w:val="22"/>
          <w:sz w:val="24"/>
          <w:szCs w:val="24"/>
        </w:rPr>
        <w:t>月</w:t>
      </w:r>
      <w:r w:rsidRPr="000C0842">
        <w:rPr>
          <w:rFonts w:eastAsia="SimSun" w:hint="eastAsia"/>
          <w:snapToGrid w:val="0"/>
          <w:kern w:val="22"/>
          <w:sz w:val="24"/>
          <w:szCs w:val="24"/>
        </w:rPr>
        <w:t>27</w:t>
      </w:r>
      <w:r w:rsidRPr="000C0842">
        <w:rPr>
          <w:rFonts w:eastAsia="SimSun" w:hint="eastAsia"/>
          <w:snapToGrid w:val="0"/>
          <w:kern w:val="22"/>
          <w:sz w:val="24"/>
          <w:szCs w:val="24"/>
        </w:rPr>
        <w:t>日</w:t>
      </w:r>
      <w:r w:rsidRPr="000C0842">
        <w:rPr>
          <w:rFonts w:eastAsia="SimSun"/>
          <w:snapToGrid w:val="0"/>
          <w:kern w:val="22"/>
          <w:sz w:val="24"/>
          <w:szCs w:val="24"/>
        </w:rPr>
        <w:t>第</w:t>
      </w:r>
      <w:r w:rsidRPr="000C0842">
        <w:rPr>
          <w:rFonts w:eastAsia="SimSun"/>
          <w:snapToGrid w:val="0"/>
          <w:kern w:val="22"/>
          <w:sz w:val="24"/>
          <w:szCs w:val="24"/>
        </w:rPr>
        <w:t>16/</w:t>
      </w:r>
      <w:r w:rsidRPr="000C0842">
        <w:rPr>
          <w:rFonts w:eastAsia="SimSun" w:hint="eastAsia"/>
          <w:snapToGrid w:val="0"/>
          <w:kern w:val="22"/>
          <w:sz w:val="24"/>
          <w:szCs w:val="24"/>
        </w:rPr>
        <w:t>34</w:t>
      </w:r>
      <w:r w:rsidRPr="000C0842">
        <w:rPr>
          <w:rFonts w:eastAsia="SimSun"/>
          <w:snapToGrid w:val="0"/>
          <w:kern w:val="22"/>
          <w:sz w:val="24"/>
          <w:szCs w:val="24"/>
        </w:rPr>
        <w:t>号决定，</w:t>
      </w:r>
      <w:r w:rsidRPr="000C0842">
        <w:rPr>
          <w:rFonts w:eastAsia="SimSun" w:hint="eastAsia"/>
          <w:snapToGrid w:val="0"/>
          <w:kern w:val="22"/>
          <w:sz w:val="24"/>
          <w:szCs w:val="24"/>
        </w:rPr>
        <w:t>从而加强对各种资金来源的跟踪监测，提高理解和透明度；</w:t>
      </w:r>
    </w:p>
    <w:p w14:paraId="7069A57B"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8.</w:t>
      </w:r>
      <w:r w:rsidRPr="000C0842">
        <w:rPr>
          <w:rFonts w:eastAsia="SimSun"/>
          <w:sz w:val="24"/>
          <w:szCs w:val="24"/>
        </w:rPr>
        <w:tab/>
      </w:r>
      <w:r w:rsidRPr="000C0842">
        <w:rPr>
          <w:rFonts w:ascii="KaiTi" w:eastAsia="KaiTi" w:hAnsi="KaiTi"/>
          <w:spacing w:val="10"/>
          <w:kern w:val="22"/>
          <w:sz w:val="24"/>
          <w:szCs w:val="24"/>
        </w:rPr>
        <w:t>鼓励</w:t>
      </w:r>
      <w:r w:rsidRPr="000C0842">
        <w:rPr>
          <w:rFonts w:eastAsia="SimSun"/>
          <w:spacing w:val="10"/>
          <w:sz w:val="24"/>
          <w:szCs w:val="24"/>
        </w:rPr>
        <w:t>缔约方、其他</w:t>
      </w:r>
      <w:r w:rsidRPr="000C0842">
        <w:rPr>
          <w:rFonts w:eastAsia="SimSun" w:hint="eastAsia"/>
          <w:spacing w:val="10"/>
          <w:sz w:val="24"/>
          <w:szCs w:val="24"/>
        </w:rPr>
        <w:t>国家</w:t>
      </w:r>
      <w:r w:rsidRPr="000C0842">
        <w:rPr>
          <w:rFonts w:eastAsia="SimSun"/>
          <w:spacing w:val="10"/>
          <w:sz w:val="24"/>
          <w:szCs w:val="24"/>
        </w:rPr>
        <w:t>政府和相关组织评估、管理和避免</w:t>
      </w:r>
      <w:r w:rsidRPr="000C0842">
        <w:rPr>
          <w:rFonts w:eastAsia="SimSun" w:hint="eastAsia"/>
          <w:spacing w:val="10"/>
          <w:sz w:val="24"/>
          <w:szCs w:val="24"/>
        </w:rPr>
        <w:t>或尽量减少</w:t>
      </w:r>
      <w:r w:rsidRPr="000C0842">
        <w:rPr>
          <w:rFonts w:eastAsia="SimSun"/>
          <w:spacing w:val="10"/>
          <w:sz w:val="24"/>
          <w:szCs w:val="24"/>
        </w:rPr>
        <w:t>因应对气候变化而进行经济和部门转型可能对生物多样性</w:t>
      </w:r>
      <w:r w:rsidRPr="000C0842">
        <w:rPr>
          <w:rFonts w:eastAsia="SimSun" w:hint="eastAsia"/>
          <w:spacing w:val="10"/>
          <w:sz w:val="24"/>
          <w:szCs w:val="24"/>
        </w:rPr>
        <w:t>和生态系统</w:t>
      </w:r>
      <w:r w:rsidRPr="000C0842">
        <w:rPr>
          <w:rFonts w:eastAsia="SimSun"/>
          <w:spacing w:val="10"/>
          <w:sz w:val="24"/>
          <w:szCs w:val="24"/>
        </w:rPr>
        <w:t>产生的潜在不利影响；</w:t>
      </w:r>
    </w:p>
    <w:p w14:paraId="1FFE4DD5"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9.</w:t>
      </w:r>
      <w:r w:rsidRPr="000C0842">
        <w:rPr>
          <w:rFonts w:eastAsia="SimSun"/>
          <w:sz w:val="24"/>
          <w:szCs w:val="24"/>
        </w:rPr>
        <w:tab/>
      </w:r>
      <w:r w:rsidRPr="000C0842">
        <w:rPr>
          <w:rFonts w:ascii="KaiTi" w:eastAsia="KaiTi" w:hAnsi="KaiTi"/>
          <w:kern w:val="22"/>
          <w:sz w:val="24"/>
          <w:szCs w:val="24"/>
        </w:rPr>
        <w:t>表示注意到</w:t>
      </w:r>
      <w:r w:rsidRPr="000C0842">
        <w:rPr>
          <w:rFonts w:eastAsia="SimSun"/>
          <w:sz w:val="24"/>
          <w:szCs w:val="24"/>
          <w:lang w:val="en-GB"/>
        </w:rPr>
        <w:t>联合国环境规划署根据联合国环境大会第</w:t>
      </w:r>
      <w:r w:rsidRPr="000C0842">
        <w:rPr>
          <w:rFonts w:eastAsia="SimSun"/>
          <w:sz w:val="24"/>
          <w:szCs w:val="24"/>
        </w:rPr>
        <w:t>5/5</w:t>
      </w:r>
      <w:r w:rsidRPr="000C0842">
        <w:rPr>
          <w:rFonts w:eastAsia="SimSun"/>
          <w:sz w:val="24"/>
          <w:szCs w:val="24"/>
        </w:rPr>
        <w:t>号决议，就基于自然的解决方案开展的政府间磋商；</w:t>
      </w:r>
    </w:p>
    <w:p w14:paraId="79FC9873" w14:textId="4CB2D566"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10.</w:t>
      </w:r>
      <w:r w:rsidRPr="000C0842">
        <w:rPr>
          <w:rFonts w:eastAsia="SimSun"/>
          <w:sz w:val="24"/>
          <w:szCs w:val="24"/>
        </w:rPr>
        <w:tab/>
      </w:r>
      <w:r w:rsidRPr="000C0842">
        <w:rPr>
          <w:rFonts w:ascii="KaiTi" w:eastAsia="KaiTi" w:hAnsi="KaiTi"/>
          <w:kern w:val="22"/>
          <w:sz w:val="24"/>
          <w:szCs w:val="24"/>
        </w:rPr>
        <w:t>欢迎</w:t>
      </w:r>
      <w:r w:rsidR="008206FE" w:rsidRPr="000C0842">
        <w:rPr>
          <w:rFonts w:eastAsia="SimSun"/>
          <w:sz w:val="24"/>
          <w:szCs w:val="24"/>
        </w:rPr>
        <w:t>2023</w:t>
      </w:r>
      <w:r w:rsidR="008206FE" w:rsidRPr="000C0842">
        <w:rPr>
          <w:rFonts w:eastAsia="SimSun"/>
          <w:sz w:val="24"/>
          <w:szCs w:val="24"/>
        </w:rPr>
        <w:t>年</w:t>
      </w:r>
      <w:r w:rsidR="008206FE" w:rsidRPr="000C0842">
        <w:rPr>
          <w:rFonts w:eastAsia="SimSun"/>
          <w:sz w:val="24"/>
          <w:szCs w:val="24"/>
        </w:rPr>
        <w:t>12</w:t>
      </w:r>
      <w:r w:rsidR="008206FE" w:rsidRPr="000C0842">
        <w:rPr>
          <w:rFonts w:eastAsia="SimSun"/>
          <w:sz w:val="24"/>
          <w:szCs w:val="24"/>
        </w:rPr>
        <w:t>月</w:t>
      </w:r>
      <w:r w:rsidR="008206FE" w:rsidRPr="000C0842">
        <w:rPr>
          <w:rFonts w:eastAsia="SimSun"/>
          <w:sz w:val="24"/>
          <w:szCs w:val="24"/>
        </w:rPr>
        <w:t>13</w:t>
      </w:r>
      <w:r w:rsidR="008206FE" w:rsidRPr="000C0842">
        <w:rPr>
          <w:rFonts w:eastAsia="SimSun"/>
          <w:sz w:val="24"/>
          <w:szCs w:val="24"/>
        </w:rPr>
        <w:t>日</w:t>
      </w:r>
      <w:r w:rsidRPr="000C0842">
        <w:rPr>
          <w:rFonts w:eastAsia="SimSun"/>
          <w:sz w:val="24"/>
          <w:szCs w:val="24"/>
        </w:rPr>
        <w:t>作为巴黎协定</w:t>
      </w:r>
      <w:r w:rsidR="00AE2D81" w:rsidRPr="000C0842">
        <w:rPr>
          <w:rFonts w:eastAsia="SimSun"/>
          <w:sz w:val="24"/>
          <w:szCs w:val="24"/>
          <w:vertAlign w:val="superscript"/>
        </w:rPr>
        <w:fldChar w:fldCharType="begin"/>
      </w:r>
      <w:r w:rsidR="00AE2D81" w:rsidRPr="000C0842">
        <w:rPr>
          <w:rFonts w:eastAsia="SimSun"/>
          <w:sz w:val="24"/>
          <w:szCs w:val="24"/>
          <w:vertAlign w:val="superscript"/>
        </w:rPr>
        <w:instrText xml:space="preserve"> NOTEREF _Ref206313532 \h  \* MERGEFORMAT </w:instrText>
      </w:r>
      <w:r w:rsidR="00AE2D81" w:rsidRPr="000C0842">
        <w:rPr>
          <w:rFonts w:eastAsia="SimSun"/>
          <w:sz w:val="24"/>
          <w:szCs w:val="24"/>
          <w:vertAlign w:val="superscript"/>
        </w:rPr>
      </w:r>
      <w:r w:rsidR="00AE2D81" w:rsidRPr="000C0842">
        <w:rPr>
          <w:rFonts w:eastAsia="SimSun"/>
          <w:sz w:val="24"/>
          <w:szCs w:val="24"/>
          <w:vertAlign w:val="superscript"/>
        </w:rPr>
        <w:fldChar w:fldCharType="separate"/>
      </w:r>
      <w:r w:rsidR="001A4065">
        <w:rPr>
          <w:rFonts w:eastAsia="SimSun"/>
          <w:sz w:val="24"/>
          <w:szCs w:val="24"/>
          <w:vertAlign w:val="superscript"/>
        </w:rPr>
        <w:t>355</w:t>
      </w:r>
      <w:r w:rsidR="00AE2D81" w:rsidRPr="000C0842">
        <w:rPr>
          <w:rFonts w:eastAsia="SimSun"/>
          <w:sz w:val="24"/>
          <w:szCs w:val="24"/>
          <w:vertAlign w:val="superscript"/>
        </w:rPr>
        <w:fldChar w:fldCharType="end"/>
      </w:r>
      <w:r w:rsidRPr="000C0842">
        <w:rPr>
          <w:rFonts w:eastAsia="SimSun"/>
          <w:sz w:val="24"/>
          <w:szCs w:val="24"/>
        </w:rPr>
        <w:t>缔约方会议的</w:t>
      </w:r>
      <w:r w:rsidRPr="000C0842">
        <w:rPr>
          <w:rFonts w:eastAsia="SimSun"/>
          <w:sz w:val="24"/>
          <w:szCs w:val="24"/>
          <w:lang w:val="en-GB"/>
        </w:rPr>
        <w:t>缔约方大会</w:t>
      </w:r>
      <w:r w:rsidRPr="000C0842">
        <w:rPr>
          <w:rFonts w:eastAsia="SimSun"/>
          <w:sz w:val="24"/>
          <w:szCs w:val="24"/>
        </w:rPr>
        <w:t>第</w:t>
      </w:r>
      <w:r w:rsidRPr="000C0842">
        <w:rPr>
          <w:rFonts w:eastAsia="SimSun"/>
          <w:sz w:val="24"/>
          <w:szCs w:val="24"/>
        </w:rPr>
        <w:t>1/CMA.5</w:t>
      </w:r>
      <w:r w:rsidRPr="000C0842">
        <w:rPr>
          <w:rFonts w:eastAsia="SimSun"/>
          <w:sz w:val="24"/>
          <w:szCs w:val="24"/>
        </w:rPr>
        <w:t>号决定，特别是其中第</w:t>
      </w:r>
      <w:r w:rsidRPr="000C0842">
        <w:rPr>
          <w:rFonts w:eastAsia="SimSun"/>
          <w:sz w:val="24"/>
          <w:szCs w:val="24"/>
        </w:rPr>
        <w:t>33</w:t>
      </w:r>
      <w:r w:rsidRPr="000C0842">
        <w:rPr>
          <w:rFonts w:eastAsia="SimSun"/>
          <w:sz w:val="24"/>
          <w:szCs w:val="24"/>
        </w:rPr>
        <w:t>、</w:t>
      </w:r>
      <w:r w:rsidRPr="000C0842">
        <w:rPr>
          <w:rFonts w:eastAsia="SimSun"/>
          <w:sz w:val="24"/>
          <w:szCs w:val="24"/>
        </w:rPr>
        <w:t>34</w:t>
      </w:r>
      <w:r w:rsidRPr="000C0842">
        <w:rPr>
          <w:rFonts w:eastAsia="SimSun"/>
          <w:sz w:val="24"/>
          <w:szCs w:val="24"/>
        </w:rPr>
        <w:t>、</w:t>
      </w:r>
      <w:r w:rsidRPr="000C0842">
        <w:rPr>
          <w:rFonts w:eastAsia="SimSun"/>
          <w:sz w:val="24"/>
          <w:szCs w:val="24"/>
        </w:rPr>
        <w:t>55</w:t>
      </w:r>
      <w:r w:rsidRPr="000C0842">
        <w:rPr>
          <w:rFonts w:eastAsia="SimSun"/>
          <w:sz w:val="24"/>
          <w:szCs w:val="24"/>
        </w:rPr>
        <w:t>、</w:t>
      </w:r>
      <w:r w:rsidRPr="000C0842">
        <w:rPr>
          <w:rFonts w:eastAsia="SimSun"/>
          <w:sz w:val="24"/>
          <w:szCs w:val="24"/>
        </w:rPr>
        <w:t>63 (d)</w:t>
      </w:r>
      <w:r w:rsidRPr="000C0842">
        <w:rPr>
          <w:rFonts w:eastAsia="SimSun"/>
          <w:sz w:val="24"/>
          <w:szCs w:val="24"/>
        </w:rPr>
        <w:t>和</w:t>
      </w:r>
      <w:r w:rsidRPr="000C0842">
        <w:rPr>
          <w:rFonts w:eastAsia="SimSun"/>
          <w:sz w:val="24"/>
          <w:szCs w:val="24"/>
        </w:rPr>
        <w:t>163</w:t>
      </w:r>
      <w:r w:rsidRPr="000C0842">
        <w:rPr>
          <w:rFonts w:eastAsia="SimSun"/>
          <w:sz w:val="24"/>
          <w:szCs w:val="24"/>
        </w:rPr>
        <w:t>段；</w:t>
      </w:r>
      <w:r w:rsidRPr="000C0842">
        <w:rPr>
          <w:rFonts w:eastAsia="SimSun"/>
          <w:sz w:val="24"/>
          <w:szCs w:val="24"/>
        </w:rPr>
        <w:t xml:space="preserve"> </w:t>
      </w:r>
    </w:p>
    <w:p w14:paraId="6A717D32"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11.</w:t>
      </w:r>
      <w:r w:rsidRPr="000C0842">
        <w:rPr>
          <w:rFonts w:eastAsia="SimSun"/>
          <w:sz w:val="24"/>
          <w:szCs w:val="24"/>
        </w:rPr>
        <w:tab/>
      </w:r>
      <w:r w:rsidRPr="000C0842">
        <w:rPr>
          <w:rFonts w:ascii="KaiTi" w:eastAsia="KaiTi" w:hAnsi="KaiTi"/>
          <w:kern w:val="22"/>
          <w:sz w:val="24"/>
          <w:szCs w:val="24"/>
        </w:rPr>
        <w:t>强调</w:t>
      </w:r>
      <w:r w:rsidRPr="000C0842">
        <w:rPr>
          <w:rFonts w:eastAsia="SimSun"/>
          <w:sz w:val="24"/>
          <w:szCs w:val="24"/>
        </w:rPr>
        <w:t>生物多样性公约国家</w:t>
      </w:r>
      <w:r w:rsidRPr="000C0842">
        <w:rPr>
          <w:rFonts w:eastAsia="SimSun" w:hint="eastAsia"/>
          <w:sz w:val="24"/>
          <w:szCs w:val="24"/>
        </w:rPr>
        <w:t>联络点必须</w:t>
      </w:r>
      <w:r w:rsidRPr="000C0842">
        <w:rPr>
          <w:rFonts w:eastAsia="SimSun"/>
          <w:sz w:val="24"/>
          <w:szCs w:val="24"/>
        </w:rPr>
        <w:t>与《联合国气候变化框架公约》和</w:t>
      </w:r>
      <w:r w:rsidRPr="000C0842">
        <w:rPr>
          <w:rFonts w:eastAsia="SimSun" w:hint="eastAsia"/>
          <w:sz w:val="24"/>
          <w:szCs w:val="24"/>
        </w:rPr>
        <w:t>生物多样性相关</w:t>
      </w:r>
      <w:r w:rsidRPr="000C0842">
        <w:rPr>
          <w:rFonts w:eastAsia="SimSun"/>
          <w:sz w:val="24"/>
          <w:szCs w:val="24"/>
        </w:rPr>
        <w:t>公约的对应方接触，</w:t>
      </w:r>
      <w:r w:rsidRPr="000C0842">
        <w:rPr>
          <w:rFonts w:eastAsia="SimSun"/>
          <w:sz w:val="24"/>
          <w:szCs w:val="24"/>
          <w:lang w:val="en-GB"/>
        </w:rPr>
        <w:t>并加强这些公约缔约方之间的协作</w:t>
      </w:r>
      <w:r w:rsidRPr="000C0842">
        <w:rPr>
          <w:rFonts w:eastAsia="SimSun"/>
          <w:sz w:val="24"/>
          <w:szCs w:val="24"/>
        </w:rPr>
        <w:t>，以提高对生物多样性</w:t>
      </w:r>
      <w:r w:rsidRPr="000C0842">
        <w:rPr>
          <w:rFonts w:eastAsia="SimSun" w:hint="eastAsia"/>
          <w:sz w:val="24"/>
          <w:szCs w:val="24"/>
        </w:rPr>
        <w:t>与</w:t>
      </w:r>
      <w:r w:rsidRPr="000C0842">
        <w:rPr>
          <w:rFonts w:eastAsia="SimSun"/>
          <w:sz w:val="24"/>
          <w:szCs w:val="24"/>
        </w:rPr>
        <w:t>气候变化之间</w:t>
      </w:r>
      <w:r w:rsidRPr="000C0842">
        <w:rPr>
          <w:rFonts w:eastAsia="SimSun" w:hint="eastAsia"/>
          <w:sz w:val="24"/>
          <w:szCs w:val="24"/>
        </w:rPr>
        <w:t>有关</w:t>
      </w:r>
      <w:r w:rsidRPr="000C0842">
        <w:rPr>
          <w:rFonts w:eastAsia="SimSun"/>
          <w:snapToGrid w:val="0"/>
          <w:kern w:val="22"/>
          <w:sz w:val="24"/>
          <w:szCs w:val="24"/>
        </w:rPr>
        <w:t>相互</w:t>
      </w:r>
      <w:r w:rsidRPr="000C0842">
        <w:rPr>
          <w:rFonts w:eastAsia="SimSun"/>
          <w:sz w:val="24"/>
          <w:szCs w:val="24"/>
        </w:rPr>
        <w:t>联系的认识，从而酌情根据国家承诺、国情和优先事项支持相关的国家规划进程；</w:t>
      </w:r>
    </w:p>
    <w:p w14:paraId="1EDCC61A"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12.</w:t>
      </w:r>
      <w:r w:rsidRPr="000C0842">
        <w:rPr>
          <w:rFonts w:eastAsia="SimSun"/>
          <w:sz w:val="24"/>
          <w:szCs w:val="24"/>
        </w:rPr>
        <w:tab/>
      </w:r>
      <w:r w:rsidRPr="000C0842">
        <w:rPr>
          <w:rFonts w:ascii="KaiTi" w:eastAsia="KaiTi" w:hAnsi="KaiTi"/>
          <w:kern w:val="22"/>
          <w:sz w:val="24"/>
          <w:szCs w:val="24"/>
        </w:rPr>
        <w:t>邀请</w:t>
      </w:r>
      <w:r w:rsidRPr="000C0842">
        <w:rPr>
          <w:rFonts w:eastAsia="SimSun"/>
          <w:sz w:val="24"/>
          <w:szCs w:val="24"/>
        </w:rPr>
        <w:t>《联合国气候变化框架公约》各机构和缔约方考虑利用</w:t>
      </w:r>
      <w:r w:rsidRPr="000C0842">
        <w:rPr>
          <w:rFonts w:eastAsia="SimSun"/>
          <w:sz w:val="24"/>
          <w:szCs w:val="24"/>
          <w:lang w:val="en-GB"/>
        </w:rPr>
        <w:t>《关于设计和有效实施基于生态系统的适应气候变化和减少灾害风险办法的自愿准则》</w:t>
      </w:r>
      <w:r w:rsidRPr="000C0842">
        <w:rPr>
          <w:rFonts w:eastAsia="SimSun"/>
          <w:sz w:val="24"/>
          <w:szCs w:val="24"/>
        </w:rPr>
        <w:t>，将生物多样性</w:t>
      </w:r>
      <w:r w:rsidRPr="000C0842">
        <w:rPr>
          <w:rFonts w:eastAsia="SimSun" w:hint="eastAsia"/>
          <w:sz w:val="24"/>
          <w:szCs w:val="24"/>
        </w:rPr>
        <w:t>和社会</w:t>
      </w:r>
      <w:r w:rsidRPr="000C0842">
        <w:rPr>
          <w:rFonts w:eastAsia="SimSun"/>
          <w:sz w:val="24"/>
          <w:szCs w:val="24"/>
        </w:rPr>
        <w:t>保障纳入缓解和适应</w:t>
      </w:r>
      <w:r w:rsidRPr="000C0842">
        <w:rPr>
          <w:rFonts w:eastAsia="SimSun"/>
          <w:snapToGrid w:val="0"/>
          <w:kern w:val="22"/>
          <w:sz w:val="24"/>
          <w:szCs w:val="24"/>
        </w:rPr>
        <w:t>措施</w:t>
      </w:r>
      <w:r w:rsidRPr="000C0842">
        <w:rPr>
          <w:rFonts w:eastAsia="SimSun"/>
          <w:sz w:val="24"/>
          <w:szCs w:val="24"/>
        </w:rPr>
        <w:t>；</w:t>
      </w:r>
    </w:p>
    <w:p w14:paraId="16A88C3E"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13.</w:t>
      </w:r>
      <w:r w:rsidRPr="000C0842">
        <w:rPr>
          <w:rFonts w:eastAsia="SimSun"/>
          <w:sz w:val="24"/>
          <w:szCs w:val="24"/>
        </w:rPr>
        <w:tab/>
      </w:r>
      <w:r w:rsidRPr="000C0842">
        <w:rPr>
          <w:rFonts w:ascii="KaiTi" w:eastAsia="KaiTi" w:hAnsi="KaiTi" w:hint="eastAsia"/>
          <w:kern w:val="22"/>
          <w:sz w:val="24"/>
          <w:szCs w:val="24"/>
        </w:rPr>
        <w:t>敦促</w:t>
      </w:r>
      <w:r w:rsidRPr="000C0842">
        <w:rPr>
          <w:rFonts w:eastAsia="SimSun"/>
          <w:sz w:val="24"/>
          <w:szCs w:val="24"/>
        </w:rPr>
        <w:t>公约</w:t>
      </w:r>
      <w:r w:rsidRPr="000C0842">
        <w:rPr>
          <w:rFonts w:eastAsia="SimSun"/>
          <w:snapToGrid w:val="0"/>
          <w:kern w:val="22"/>
          <w:sz w:val="24"/>
          <w:szCs w:val="24"/>
        </w:rPr>
        <w:t>缔约</w:t>
      </w:r>
      <w:r w:rsidRPr="000C0842">
        <w:rPr>
          <w:rFonts w:eastAsia="SimSun"/>
          <w:sz w:val="24"/>
          <w:szCs w:val="24"/>
        </w:rPr>
        <w:t>方大会第十六</w:t>
      </w:r>
      <w:r w:rsidRPr="000C0842">
        <w:rPr>
          <w:rFonts w:eastAsia="SimSun" w:hint="eastAsia"/>
          <w:sz w:val="24"/>
          <w:szCs w:val="24"/>
        </w:rPr>
        <w:t>届</w:t>
      </w:r>
      <w:r w:rsidRPr="000C0842">
        <w:rPr>
          <w:rFonts w:eastAsia="SimSun"/>
          <w:sz w:val="24"/>
          <w:szCs w:val="24"/>
        </w:rPr>
        <w:t>会议主席分别与联合国框架公约缔约方大会第二十九</w:t>
      </w:r>
      <w:r w:rsidRPr="000C0842">
        <w:rPr>
          <w:rFonts w:eastAsia="SimSun" w:hint="eastAsia"/>
          <w:sz w:val="24"/>
          <w:szCs w:val="24"/>
        </w:rPr>
        <w:t>届</w:t>
      </w:r>
      <w:r w:rsidRPr="000C0842">
        <w:rPr>
          <w:rFonts w:eastAsia="SimSun"/>
          <w:sz w:val="24"/>
          <w:szCs w:val="24"/>
        </w:rPr>
        <w:t>和第三十</w:t>
      </w:r>
      <w:r w:rsidRPr="000C0842">
        <w:rPr>
          <w:rFonts w:eastAsia="SimSun" w:hint="eastAsia"/>
          <w:sz w:val="24"/>
          <w:szCs w:val="24"/>
        </w:rPr>
        <w:t>届</w:t>
      </w:r>
      <w:r w:rsidRPr="000C0842">
        <w:rPr>
          <w:rFonts w:eastAsia="SimSun"/>
          <w:sz w:val="24"/>
          <w:szCs w:val="24"/>
        </w:rPr>
        <w:t>会议主席接触，</w:t>
      </w:r>
      <w:r w:rsidRPr="000C0842">
        <w:rPr>
          <w:rFonts w:eastAsia="SimSun"/>
          <w:sz w:val="24"/>
          <w:szCs w:val="24"/>
          <w:lang w:val="en-GB"/>
        </w:rPr>
        <w:t>探讨</w:t>
      </w:r>
      <w:r w:rsidRPr="000C0842">
        <w:rPr>
          <w:rFonts w:eastAsia="SimSun" w:hint="eastAsia"/>
          <w:sz w:val="24"/>
          <w:szCs w:val="24"/>
          <w:lang w:val="en-GB"/>
        </w:rPr>
        <w:t>在</w:t>
      </w:r>
      <w:r w:rsidRPr="000C0842">
        <w:rPr>
          <w:rFonts w:eastAsia="SimSun"/>
          <w:sz w:val="24"/>
          <w:szCs w:val="24"/>
          <w:lang w:val="en-GB"/>
        </w:rPr>
        <w:t>气候变化和生物多样性丧失方面加强多边协调的机会</w:t>
      </w:r>
      <w:r w:rsidRPr="000C0842">
        <w:rPr>
          <w:rFonts w:eastAsia="SimSun"/>
          <w:sz w:val="24"/>
          <w:szCs w:val="24"/>
        </w:rPr>
        <w:t>；</w:t>
      </w:r>
    </w:p>
    <w:p w14:paraId="5B18F439"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14.</w:t>
      </w:r>
      <w:r w:rsidRPr="000C0842">
        <w:rPr>
          <w:rFonts w:eastAsia="SimSun"/>
          <w:sz w:val="24"/>
          <w:szCs w:val="24"/>
        </w:rPr>
        <w:tab/>
      </w:r>
      <w:r w:rsidRPr="000C0842">
        <w:rPr>
          <w:rFonts w:ascii="KaiTi" w:eastAsia="KaiTi" w:hAnsi="KaiTi"/>
          <w:kern w:val="22"/>
          <w:sz w:val="24"/>
          <w:szCs w:val="24"/>
        </w:rPr>
        <w:t>请</w:t>
      </w:r>
      <w:r w:rsidRPr="000C0842">
        <w:rPr>
          <w:rFonts w:eastAsia="SimSun"/>
          <w:sz w:val="24"/>
          <w:szCs w:val="24"/>
        </w:rPr>
        <w:t>执行秘书，在支持联合国生态系统恢复十年等活动时，促进与生物多样性有关的多边环境协定、组织和进程之间的协同增效和更密切的合作，促进采取统筹办法应对生物多样性丧失、气候变化以及土地和海洋退化；</w:t>
      </w:r>
    </w:p>
    <w:p w14:paraId="675E1668"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15.</w:t>
      </w:r>
      <w:r w:rsidRPr="000C0842">
        <w:rPr>
          <w:rFonts w:eastAsia="SimSun"/>
          <w:sz w:val="24"/>
          <w:szCs w:val="24"/>
        </w:rPr>
        <w:tab/>
      </w:r>
      <w:r w:rsidRPr="000C0842">
        <w:rPr>
          <w:rFonts w:ascii="KaiTi" w:eastAsia="KaiTi" w:hAnsi="KaiTi" w:hint="eastAsia"/>
          <w:kern w:val="22"/>
          <w:sz w:val="24"/>
          <w:szCs w:val="24"/>
        </w:rPr>
        <w:t>又</w:t>
      </w:r>
      <w:r w:rsidRPr="000C0842">
        <w:rPr>
          <w:rFonts w:ascii="KaiTi" w:eastAsia="KaiTi" w:hAnsi="KaiTi"/>
          <w:kern w:val="22"/>
          <w:sz w:val="24"/>
          <w:szCs w:val="24"/>
        </w:rPr>
        <w:t>请</w:t>
      </w:r>
      <w:r w:rsidRPr="000C0842">
        <w:rPr>
          <w:rFonts w:eastAsia="SimSun"/>
          <w:sz w:val="24"/>
          <w:szCs w:val="24"/>
        </w:rPr>
        <w:t>执行秘书在资源</w:t>
      </w:r>
      <w:r w:rsidRPr="000C0842">
        <w:rPr>
          <w:rFonts w:eastAsia="SimSun" w:hint="eastAsia"/>
          <w:sz w:val="24"/>
          <w:szCs w:val="24"/>
        </w:rPr>
        <w:t>允许</w:t>
      </w:r>
      <w:r w:rsidRPr="000C0842">
        <w:rPr>
          <w:rFonts w:eastAsia="SimSun"/>
          <w:sz w:val="24"/>
          <w:szCs w:val="24"/>
        </w:rPr>
        <w:t>的情况下，以能力建设和发展长期战略框架为指导，避免重复努力并酌情加强协同作用</w:t>
      </w:r>
      <w:r w:rsidRPr="000C0842">
        <w:rPr>
          <w:rFonts w:eastAsia="SimSun"/>
          <w:kern w:val="22"/>
          <w:vertAlign w:val="superscript"/>
          <w:lang w:val="en-GB"/>
        </w:rPr>
        <w:footnoteReference w:id="363"/>
      </w:r>
      <w:r w:rsidRPr="000C0842">
        <w:rPr>
          <w:rFonts w:eastAsia="SimSun"/>
          <w:snapToGrid w:val="0"/>
          <w:kern w:val="22"/>
          <w:sz w:val="24"/>
          <w:szCs w:val="24"/>
        </w:rPr>
        <w:t>，</w:t>
      </w:r>
      <w:r w:rsidRPr="000C0842">
        <w:rPr>
          <w:rFonts w:eastAsia="SimSun"/>
          <w:sz w:val="24"/>
          <w:szCs w:val="24"/>
        </w:rPr>
        <w:t>促进缔约方、土著人民和地方社区、相关现有组织、伙伴关系、倡议和联盟之间的</w:t>
      </w:r>
      <w:r w:rsidRPr="000C0842">
        <w:rPr>
          <w:rFonts w:eastAsia="SimSun" w:hint="eastAsia"/>
          <w:sz w:val="24"/>
          <w:szCs w:val="24"/>
        </w:rPr>
        <w:t>协作</w:t>
      </w:r>
      <w:r w:rsidRPr="000C0842">
        <w:rPr>
          <w:rFonts w:eastAsia="SimSun"/>
          <w:sz w:val="24"/>
          <w:szCs w:val="24"/>
        </w:rPr>
        <w:t>，</w:t>
      </w:r>
      <w:r w:rsidRPr="000C0842">
        <w:rPr>
          <w:rFonts w:eastAsia="SimSun"/>
          <w:sz w:val="24"/>
          <w:szCs w:val="24"/>
          <w:lang w:val="en-GB"/>
        </w:rPr>
        <w:t>以开展能力建设</w:t>
      </w:r>
      <w:r w:rsidRPr="000C0842">
        <w:rPr>
          <w:rFonts w:eastAsia="SimSun"/>
          <w:sz w:val="24"/>
          <w:szCs w:val="24"/>
        </w:rPr>
        <w:t>，特别是发展中国家，尤其是最不发达国家和小</w:t>
      </w:r>
      <w:r w:rsidRPr="000C0842">
        <w:rPr>
          <w:rFonts w:eastAsia="SimSun"/>
          <w:snapToGrid w:val="0"/>
          <w:kern w:val="22"/>
          <w:sz w:val="24"/>
          <w:szCs w:val="24"/>
        </w:rPr>
        <w:t>岛屿</w:t>
      </w:r>
      <w:r w:rsidRPr="000C0842">
        <w:rPr>
          <w:rFonts w:eastAsia="SimSun"/>
          <w:sz w:val="24"/>
          <w:szCs w:val="24"/>
        </w:rPr>
        <w:t>发展中国家的能力建设，并提高对生物多样性</w:t>
      </w:r>
      <w:r w:rsidRPr="000C0842">
        <w:rPr>
          <w:rFonts w:eastAsia="SimSun" w:hint="eastAsia"/>
          <w:sz w:val="24"/>
          <w:szCs w:val="24"/>
        </w:rPr>
        <w:t>与</w:t>
      </w:r>
      <w:r w:rsidRPr="000C0842">
        <w:rPr>
          <w:rFonts w:eastAsia="SimSun"/>
          <w:sz w:val="24"/>
          <w:szCs w:val="24"/>
        </w:rPr>
        <w:t>气候变化之间相互联系的认识和理解，</w:t>
      </w:r>
      <w:r w:rsidRPr="000C0842">
        <w:rPr>
          <w:rFonts w:eastAsia="SimSun"/>
          <w:sz w:val="24"/>
          <w:szCs w:val="24"/>
        </w:rPr>
        <w:t xml:space="preserve"> </w:t>
      </w:r>
      <w:r w:rsidRPr="000C0842">
        <w:rPr>
          <w:rFonts w:eastAsia="SimSun"/>
          <w:sz w:val="24"/>
          <w:szCs w:val="24"/>
        </w:rPr>
        <w:t>包括气候变化和气候行动对生物多样性的影响，以及生物多样性和生态系统功能和服务在减缓和适应气候变化中的作用；</w:t>
      </w:r>
    </w:p>
    <w:p w14:paraId="1F8E7C9C" w14:textId="3EEAC096"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16.</w:t>
      </w:r>
      <w:r w:rsidRPr="000C0842">
        <w:rPr>
          <w:rFonts w:eastAsia="SimSun"/>
          <w:sz w:val="24"/>
          <w:szCs w:val="24"/>
        </w:rPr>
        <w:tab/>
      </w:r>
      <w:r w:rsidRPr="000C0842">
        <w:rPr>
          <w:rFonts w:ascii="KaiTi" w:eastAsia="KaiTi" w:hAnsi="KaiTi"/>
          <w:kern w:val="22"/>
          <w:sz w:val="24"/>
          <w:szCs w:val="24"/>
        </w:rPr>
        <w:t>还请</w:t>
      </w:r>
      <w:r w:rsidRPr="000C0842">
        <w:rPr>
          <w:rFonts w:eastAsia="SimSun"/>
          <w:sz w:val="24"/>
          <w:szCs w:val="24"/>
        </w:rPr>
        <w:t>执行秘书与《联合国气候变化框架公约》</w:t>
      </w:r>
      <w:r w:rsidRPr="000C0842">
        <w:rPr>
          <w:rFonts w:eastAsia="SimSun" w:hint="eastAsia"/>
          <w:sz w:val="24"/>
          <w:szCs w:val="24"/>
        </w:rPr>
        <w:t>秘书处、作为</w:t>
      </w:r>
      <w:r w:rsidRPr="000C0842">
        <w:rPr>
          <w:rFonts w:eastAsia="SimSun"/>
          <w:sz w:val="24"/>
          <w:szCs w:val="24"/>
        </w:rPr>
        <w:t>联合国海洋科学促进可持续发展十年</w:t>
      </w:r>
      <w:r w:rsidRPr="000C0842">
        <w:rPr>
          <w:rFonts w:eastAsia="SimSun" w:hint="eastAsia"/>
          <w:sz w:val="24"/>
          <w:szCs w:val="24"/>
        </w:rPr>
        <w:t>协调员的</w:t>
      </w:r>
      <w:r w:rsidRPr="000C0842">
        <w:rPr>
          <w:rFonts w:eastAsia="SimSun"/>
          <w:sz w:val="24"/>
          <w:szCs w:val="24"/>
        </w:rPr>
        <w:t>联合国教育、科学及文化组织政府间海洋学委员会</w:t>
      </w:r>
      <w:r w:rsidRPr="000C0842">
        <w:rPr>
          <w:rFonts w:eastAsia="SimSun" w:hint="eastAsia"/>
          <w:sz w:val="24"/>
          <w:szCs w:val="24"/>
        </w:rPr>
        <w:t>以及</w:t>
      </w:r>
      <w:r w:rsidRPr="000C0842">
        <w:rPr>
          <w:rFonts w:eastAsia="SimSun"/>
          <w:sz w:val="24"/>
          <w:szCs w:val="24"/>
        </w:rPr>
        <w:t>联合国秘书处海洋事务和海洋法司</w:t>
      </w:r>
      <w:r w:rsidRPr="000C0842">
        <w:rPr>
          <w:rFonts w:eastAsia="SimSun" w:hint="eastAsia"/>
          <w:sz w:val="24"/>
          <w:szCs w:val="24"/>
        </w:rPr>
        <w:t>开展协作</w:t>
      </w:r>
      <w:r w:rsidRPr="000C0842">
        <w:rPr>
          <w:rFonts w:eastAsia="SimSun"/>
          <w:sz w:val="24"/>
          <w:szCs w:val="24"/>
        </w:rPr>
        <w:t>，探索以统筹方式处理海洋</w:t>
      </w:r>
      <w:r w:rsidRPr="000C0842">
        <w:rPr>
          <w:rFonts w:eastAsia="SimSun"/>
          <w:sz w:val="24"/>
          <w:szCs w:val="24"/>
        </w:rPr>
        <w:t>-</w:t>
      </w:r>
      <w:r w:rsidRPr="000C0842">
        <w:rPr>
          <w:rFonts w:eastAsia="SimSun"/>
          <w:sz w:val="24"/>
          <w:szCs w:val="24"/>
        </w:rPr>
        <w:t>气候</w:t>
      </w:r>
      <w:r w:rsidRPr="000C0842">
        <w:rPr>
          <w:rFonts w:eastAsia="SimSun"/>
          <w:sz w:val="24"/>
          <w:szCs w:val="24"/>
        </w:rPr>
        <w:t>-</w:t>
      </w:r>
      <w:r w:rsidRPr="000C0842">
        <w:rPr>
          <w:rFonts w:eastAsia="SimSun"/>
          <w:sz w:val="24"/>
          <w:szCs w:val="24"/>
        </w:rPr>
        <w:t>生物多样性关系的机会，以期实现</w:t>
      </w:r>
      <w:r w:rsidR="001A5C0A" w:rsidRPr="000C0842">
        <w:rPr>
          <w:rFonts w:eastAsia="SimSun"/>
          <w:sz w:val="24"/>
          <w:szCs w:val="24"/>
        </w:rPr>
        <w:t>《昆蒙框架》</w:t>
      </w:r>
      <w:r w:rsidRPr="000C0842">
        <w:rPr>
          <w:rFonts w:eastAsia="SimSun"/>
          <w:sz w:val="24"/>
          <w:szCs w:val="24"/>
        </w:rPr>
        <w:t>的长期目标</w:t>
      </w:r>
      <w:r w:rsidRPr="000C0842">
        <w:rPr>
          <w:rFonts w:eastAsia="SimSun" w:hint="eastAsia"/>
          <w:sz w:val="24"/>
          <w:szCs w:val="24"/>
        </w:rPr>
        <w:t>；</w:t>
      </w:r>
    </w:p>
    <w:p w14:paraId="384F2492" w14:textId="2BB70FB5"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sz w:val="24"/>
          <w:szCs w:val="24"/>
        </w:rPr>
        <w:t>17.</w:t>
      </w:r>
      <w:r w:rsidRPr="000C0842">
        <w:rPr>
          <w:rFonts w:eastAsia="SimSun"/>
          <w:sz w:val="24"/>
          <w:szCs w:val="24"/>
        </w:rPr>
        <w:tab/>
      </w:r>
      <w:r w:rsidRPr="000C0842">
        <w:rPr>
          <w:rFonts w:eastAsia="KaiTi"/>
          <w:spacing w:val="10"/>
          <w:sz w:val="24"/>
          <w:szCs w:val="24"/>
        </w:rPr>
        <w:t>请</w:t>
      </w:r>
      <w:r w:rsidRPr="000C0842">
        <w:rPr>
          <w:rFonts w:eastAsia="SimSun"/>
          <w:spacing w:val="10"/>
          <w:sz w:val="24"/>
          <w:szCs w:val="24"/>
        </w:rPr>
        <w:t>执行秘书在资源允许、避免重复工作的前提下，为《关于设计和有效实施基于生态系统的适应气候变化和减少灾害风险办法的自愿准则》制定一份补编，酌情为设计、有效实施和扩大基于自然的解决方案和</w:t>
      </w:r>
      <w:r w:rsidRPr="000C0842">
        <w:rPr>
          <w:rFonts w:eastAsia="SimSun"/>
          <w:spacing w:val="10"/>
          <w:sz w:val="24"/>
          <w:szCs w:val="24"/>
        </w:rPr>
        <w:t>/</w:t>
      </w:r>
      <w:r w:rsidRPr="000C0842">
        <w:rPr>
          <w:rFonts w:eastAsia="SimSun"/>
          <w:spacing w:val="10"/>
          <w:sz w:val="24"/>
          <w:szCs w:val="24"/>
        </w:rPr>
        <w:t>或基于生态系统的办法以减缓和适应气候变化提供基于良好做法的自愿指导意见和工具，包括在现有保障措施的基础上更新适合目的的社会和环境保障措施指南，以在适当情况下，根据联合国环境大会第</w:t>
      </w:r>
      <w:r w:rsidRPr="000C0842">
        <w:rPr>
          <w:rFonts w:eastAsia="SimSun"/>
          <w:spacing w:val="10"/>
          <w:sz w:val="24"/>
          <w:szCs w:val="24"/>
        </w:rPr>
        <w:t xml:space="preserve"> 5/5 </w:t>
      </w:r>
      <w:r w:rsidRPr="000C0842">
        <w:rPr>
          <w:rFonts w:eastAsia="SimSun"/>
          <w:spacing w:val="10"/>
          <w:sz w:val="24"/>
          <w:szCs w:val="24"/>
        </w:rPr>
        <w:t>号决议，顾及一些国家认可的以地球母亲为中心的行动，根据不同国情、优先事项和能力，支持执行</w:t>
      </w:r>
      <w:r w:rsidR="001A5C0A" w:rsidRPr="000C0842">
        <w:rPr>
          <w:rFonts w:eastAsia="SimSun"/>
          <w:spacing w:val="10"/>
          <w:sz w:val="24"/>
          <w:szCs w:val="24"/>
        </w:rPr>
        <w:t>《昆蒙框架》</w:t>
      </w:r>
      <w:r w:rsidRPr="000C0842">
        <w:rPr>
          <w:rFonts w:eastAsia="SimSun"/>
          <w:spacing w:val="10"/>
          <w:sz w:val="24"/>
          <w:szCs w:val="24"/>
        </w:rPr>
        <w:t>行动目标</w:t>
      </w:r>
      <w:r w:rsidRPr="000C0842">
        <w:rPr>
          <w:rFonts w:eastAsia="SimSun"/>
          <w:spacing w:val="10"/>
          <w:sz w:val="24"/>
          <w:szCs w:val="24"/>
        </w:rPr>
        <w:t>8</w:t>
      </w:r>
      <w:r w:rsidRPr="000C0842">
        <w:rPr>
          <w:rFonts w:eastAsia="SimSun"/>
          <w:spacing w:val="10"/>
          <w:sz w:val="24"/>
          <w:szCs w:val="24"/>
        </w:rPr>
        <w:t>和</w:t>
      </w:r>
      <w:r w:rsidRPr="000C0842">
        <w:rPr>
          <w:rFonts w:eastAsia="SimSun"/>
          <w:spacing w:val="10"/>
          <w:sz w:val="24"/>
          <w:szCs w:val="24"/>
        </w:rPr>
        <w:t>11</w:t>
      </w:r>
      <w:r w:rsidRPr="000C0842">
        <w:rPr>
          <w:rFonts w:eastAsia="SimSun"/>
          <w:spacing w:val="10"/>
          <w:sz w:val="24"/>
          <w:szCs w:val="24"/>
        </w:rPr>
        <w:t>以及其他相关行动目标，供</w:t>
      </w:r>
      <w:r w:rsidRPr="000C0842">
        <w:rPr>
          <w:rFonts w:eastAsia="SimSun" w:hint="eastAsia"/>
          <w:spacing w:val="10"/>
          <w:sz w:val="24"/>
          <w:szCs w:val="24"/>
        </w:rPr>
        <w:t>科学、技术和工艺咨询附属机构</w:t>
      </w:r>
      <w:r w:rsidRPr="000C0842">
        <w:rPr>
          <w:rFonts w:eastAsia="SimSun"/>
          <w:spacing w:val="10"/>
          <w:sz w:val="24"/>
          <w:szCs w:val="24"/>
        </w:rPr>
        <w:t>在缔约方大会第十七届会议之前举行的会议上审议；</w:t>
      </w:r>
      <w:r w:rsidRPr="000C0842">
        <w:rPr>
          <w:rFonts w:eastAsia="SimSun"/>
          <w:spacing w:val="10"/>
          <w:sz w:val="24"/>
          <w:szCs w:val="24"/>
        </w:rPr>
        <w:t xml:space="preserve"> </w:t>
      </w:r>
    </w:p>
    <w:p w14:paraId="4F3ABBD8" w14:textId="77777777" w:rsidR="004D5AD7" w:rsidRPr="000C0842" w:rsidRDefault="004D5AD7" w:rsidP="004D5AD7">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iCs/>
          <w:sz w:val="24"/>
          <w:szCs w:val="24"/>
        </w:rPr>
        <w:t>18</w:t>
      </w:r>
      <w:r w:rsidRPr="000C0842">
        <w:rPr>
          <w:rFonts w:eastAsia="SimSun"/>
          <w:i/>
          <w:sz w:val="24"/>
          <w:szCs w:val="24"/>
        </w:rPr>
        <w:t>.</w:t>
      </w:r>
      <w:r w:rsidRPr="000C0842">
        <w:rPr>
          <w:rFonts w:eastAsia="SimSun"/>
          <w:i/>
          <w:sz w:val="24"/>
          <w:szCs w:val="24"/>
        </w:rPr>
        <w:tab/>
      </w:r>
      <w:r w:rsidRPr="000C0842">
        <w:rPr>
          <w:rFonts w:eastAsia="KaiTi"/>
          <w:iCs/>
          <w:sz w:val="24"/>
          <w:szCs w:val="24"/>
        </w:rPr>
        <w:t>又请</w:t>
      </w:r>
      <w:r w:rsidRPr="000C0842">
        <w:rPr>
          <w:rFonts w:eastAsia="SimSun"/>
          <w:sz w:val="24"/>
          <w:szCs w:val="24"/>
        </w:rPr>
        <w:t>执行秘书在资源允许、避免重复工作的前提下，为在不断变化的气候中开展保护和恢复工作制定准则和工具；</w:t>
      </w:r>
    </w:p>
    <w:p w14:paraId="1B454043" w14:textId="4DCA0698" w:rsidR="004D5AD7" w:rsidRPr="000C0842" w:rsidRDefault="004D5AD7" w:rsidP="004D5AD7">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SimSun" w:hint="eastAsia"/>
          <w:sz w:val="24"/>
          <w:szCs w:val="24"/>
        </w:rPr>
        <w:t>19.</w:t>
      </w:r>
      <w:r w:rsidRPr="000C0842">
        <w:rPr>
          <w:rFonts w:eastAsia="SimSun"/>
          <w:sz w:val="24"/>
          <w:szCs w:val="24"/>
        </w:rPr>
        <w:tab/>
      </w:r>
      <w:r w:rsidRPr="000C0842">
        <w:rPr>
          <w:rFonts w:eastAsia="KaiTi" w:hint="eastAsia"/>
          <w:iCs/>
          <w:sz w:val="24"/>
          <w:szCs w:val="24"/>
        </w:rPr>
        <w:t>还请</w:t>
      </w:r>
      <w:r w:rsidRPr="000C0842">
        <w:rPr>
          <w:rFonts w:eastAsia="SimSun" w:hint="eastAsia"/>
          <w:sz w:val="24"/>
          <w:szCs w:val="24"/>
        </w:rPr>
        <w:t>执行秘书邀请缔约方、观察员和其他利益攸关方在</w:t>
      </w:r>
      <w:r w:rsidRPr="000C0842">
        <w:rPr>
          <w:rFonts w:eastAsia="SimSun" w:hint="eastAsia"/>
          <w:sz w:val="24"/>
          <w:szCs w:val="24"/>
        </w:rPr>
        <w:t xml:space="preserve"> 2025 </w:t>
      </w:r>
      <w:r w:rsidRPr="000C0842">
        <w:rPr>
          <w:rFonts w:eastAsia="SimSun" w:hint="eastAsia"/>
          <w:sz w:val="24"/>
          <w:szCs w:val="24"/>
        </w:rPr>
        <w:t>年</w:t>
      </w:r>
      <w:r w:rsidRPr="000C0842">
        <w:rPr>
          <w:rFonts w:eastAsia="SimSun" w:hint="eastAsia"/>
          <w:sz w:val="24"/>
          <w:szCs w:val="24"/>
        </w:rPr>
        <w:t xml:space="preserve"> 5 </w:t>
      </w:r>
      <w:r w:rsidRPr="000C0842">
        <w:rPr>
          <w:rFonts w:eastAsia="SimSun" w:hint="eastAsia"/>
          <w:sz w:val="24"/>
          <w:szCs w:val="24"/>
        </w:rPr>
        <w:t>月底之前提交关于加强政策一致性的备选办法的意见，包括可能制定的里约三公约联合工作方案，由执行秘书汇编，提交里约三公约联合联络组关注，将其汇编提交在缔约方大会第十七届会议之前举行的科学、技术和工艺咨询附属机构会议审议，并邀请其他里约公约的执行秘书于</w:t>
      </w:r>
      <w:r w:rsidRPr="000C0842">
        <w:rPr>
          <w:rFonts w:eastAsia="SimSun" w:hint="eastAsia"/>
          <w:sz w:val="24"/>
          <w:szCs w:val="24"/>
        </w:rPr>
        <w:t xml:space="preserve"> 2025 </w:t>
      </w:r>
      <w:r w:rsidRPr="000C0842">
        <w:rPr>
          <w:rFonts w:eastAsia="SimSun" w:hint="eastAsia"/>
          <w:sz w:val="24"/>
          <w:szCs w:val="24"/>
        </w:rPr>
        <w:t>年合作组织一次技术信息交流会，进一步探讨加强合作和政策一致性的备选办法，以支持执行《生物多样性公约》和《昆明</w:t>
      </w:r>
      <w:r w:rsidRPr="000C0842">
        <w:rPr>
          <w:rFonts w:eastAsia="SimSun" w:hint="eastAsia"/>
          <w:sz w:val="24"/>
          <w:szCs w:val="24"/>
        </w:rPr>
        <w:t>-</w:t>
      </w:r>
      <w:r w:rsidRPr="000C0842">
        <w:rPr>
          <w:rFonts w:eastAsia="SimSun" w:hint="eastAsia"/>
          <w:sz w:val="24"/>
          <w:szCs w:val="24"/>
        </w:rPr>
        <w:t>蒙特利尔全球生物多样性框架》以及《联合国气候变化框架公约》及《巴黎协定》</w:t>
      </w:r>
      <w:r w:rsidR="008206FE" w:rsidRPr="000C0842">
        <w:rPr>
          <w:rFonts w:eastAsia="SimSun"/>
          <w:sz w:val="24"/>
          <w:szCs w:val="24"/>
          <w:vertAlign w:val="superscript"/>
        </w:rPr>
        <w:fldChar w:fldCharType="begin"/>
      </w:r>
      <w:r w:rsidR="008206FE" w:rsidRPr="000C0842">
        <w:rPr>
          <w:rFonts w:eastAsia="SimSun"/>
          <w:sz w:val="24"/>
          <w:szCs w:val="24"/>
          <w:vertAlign w:val="superscript"/>
        </w:rPr>
        <w:instrText xml:space="preserve"> </w:instrText>
      </w:r>
      <w:r w:rsidR="008206FE" w:rsidRPr="000C0842">
        <w:rPr>
          <w:rFonts w:eastAsia="SimSun" w:hint="eastAsia"/>
          <w:sz w:val="24"/>
          <w:szCs w:val="24"/>
          <w:vertAlign w:val="superscript"/>
        </w:rPr>
        <w:instrText>NOTEREF _Ref206313532 \h</w:instrText>
      </w:r>
      <w:r w:rsidR="008206FE" w:rsidRPr="000C0842">
        <w:rPr>
          <w:rFonts w:eastAsia="SimSun"/>
          <w:sz w:val="24"/>
          <w:szCs w:val="24"/>
          <w:vertAlign w:val="superscript"/>
        </w:rPr>
        <w:instrText xml:space="preserve">  \* MERGEFORMAT </w:instrText>
      </w:r>
      <w:r w:rsidR="008206FE" w:rsidRPr="000C0842">
        <w:rPr>
          <w:rFonts w:eastAsia="SimSun"/>
          <w:sz w:val="24"/>
          <w:szCs w:val="24"/>
          <w:vertAlign w:val="superscript"/>
        </w:rPr>
      </w:r>
      <w:r w:rsidR="008206FE" w:rsidRPr="000C0842">
        <w:rPr>
          <w:rFonts w:eastAsia="SimSun"/>
          <w:sz w:val="24"/>
          <w:szCs w:val="24"/>
          <w:vertAlign w:val="superscript"/>
        </w:rPr>
        <w:fldChar w:fldCharType="separate"/>
      </w:r>
      <w:r w:rsidR="001A4065">
        <w:rPr>
          <w:rFonts w:eastAsia="SimSun"/>
          <w:sz w:val="24"/>
          <w:szCs w:val="24"/>
          <w:vertAlign w:val="superscript"/>
        </w:rPr>
        <w:t>355</w:t>
      </w:r>
      <w:r w:rsidR="008206FE" w:rsidRPr="000C0842">
        <w:rPr>
          <w:rFonts w:eastAsia="SimSun"/>
          <w:sz w:val="24"/>
          <w:szCs w:val="24"/>
          <w:vertAlign w:val="superscript"/>
        </w:rPr>
        <w:fldChar w:fldCharType="end"/>
      </w:r>
      <w:r w:rsidRPr="000C0842">
        <w:rPr>
          <w:rFonts w:eastAsia="SimSun" w:hint="eastAsia"/>
          <w:sz w:val="24"/>
          <w:szCs w:val="24"/>
        </w:rPr>
        <w:t>；</w:t>
      </w:r>
    </w:p>
    <w:p w14:paraId="4ABF084E" w14:textId="2500CD8A" w:rsidR="00DB4743" w:rsidRPr="000C0842" w:rsidRDefault="004D5AD7" w:rsidP="004D5AD7">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SimSun"/>
          <w:sz w:val="24"/>
          <w:szCs w:val="24"/>
        </w:rPr>
        <w:t>2</w:t>
      </w:r>
      <w:r w:rsidRPr="000C0842">
        <w:rPr>
          <w:rFonts w:eastAsia="SimSun" w:hint="eastAsia"/>
          <w:sz w:val="24"/>
          <w:szCs w:val="24"/>
        </w:rPr>
        <w:t>0</w:t>
      </w:r>
      <w:r w:rsidRPr="000C0842">
        <w:rPr>
          <w:rFonts w:eastAsia="SimSun"/>
          <w:sz w:val="24"/>
          <w:szCs w:val="24"/>
        </w:rPr>
        <w:t xml:space="preserve">. </w:t>
      </w:r>
      <w:r w:rsidRPr="000C0842">
        <w:rPr>
          <w:rFonts w:eastAsia="SimSun" w:hint="eastAsia"/>
          <w:sz w:val="24"/>
          <w:szCs w:val="24"/>
        </w:rPr>
        <w:t xml:space="preserve">    </w:t>
      </w:r>
      <w:r w:rsidRPr="000C0842">
        <w:rPr>
          <w:rFonts w:eastAsia="KaiTi"/>
          <w:iCs/>
          <w:sz w:val="24"/>
          <w:szCs w:val="24"/>
        </w:rPr>
        <w:t>邀请</w:t>
      </w:r>
      <w:r w:rsidRPr="000C0842">
        <w:rPr>
          <w:rFonts w:eastAsia="SimSun"/>
          <w:sz w:val="24"/>
          <w:szCs w:val="24"/>
        </w:rPr>
        <w:t>缔约方</w:t>
      </w:r>
      <w:r w:rsidRPr="000C0842">
        <w:rPr>
          <w:rFonts w:eastAsia="SimSun" w:hint="eastAsia"/>
          <w:sz w:val="24"/>
          <w:szCs w:val="24"/>
        </w:rPr>
        <w:t>、</w:t>
      </w:r>
      <w:r w:rsidRPr="000C0842">
        <w:rPr>
          <w:rFonts w:eastAsia="SimSun"/>
          <w:sz w:val="24"/>
          <w:szCs w:val="24"/>
        </w:rPr>
        <w:t>其他国家政府、观察员和相关组织根据第</w:t>
      </w:r>
      <w:hyperlink r:id="rId236" w:history="1">
        <w:r w:rsidRPr="000C0842">
          <w:rPr>
            <w:rStyle w:val="Hyperlink"/>
            <w:rFonts w:eastAsia="SimSun"/>
            <w:color w:val="auto"/>
            <w:sz w:val="24"/>
            <w:szCs w:val="24"/>
          </w:rPr>
          <w:t>XI/20</w:t>
        </w:r>
      </w:hyperlink>
      <w:r w:rsidRPr="000C0842">
        <w:rPr>
          <w:rFonts w:eastAsia="SimSun"/>
          <w:sz w:val="24"/>
          <w:szCs w:val="24"/>
        </w:rPr>
        <w:t>号决定第</w:t>
      </w:r>
      <w:r w:rsidRPr="000C0842">
        <w:rPr>
          <w:rFonts w:eastAsia="SimSun"/>
          <w:sz w:val="24"/>
          <w:szCs w:val="24"/>
        </w:rPr>
        <w:t>9</w:t>
      </w:r>
      <w:r w:rsidRPr="000C0842">
        <w:rPr>
          <w:rFonts w:eastAsia="SimSun"/>
          <w:sz w:val="24"/>
          <w:szCs w:val="24"/>
        </w:rPr>
        <w:t>段</w:t>
      </w:r>
      <w:r w:rsidRPr="000C0842">
        <w:rPr>
          <w:rFonts w:eastAsia="SimSun" w:hint="eastAsia"/>
          <w:sz w:val="24"/>
          <w:szCs w:val="24"/>
        </w:rPr>
        <w:t>，</w:t>
      </w:r>
      <w:r w:rsidRPr="000C0842">
        <w:rPr>
          <w:rFonts w:eastAsia="SimSun"/>
          <w:sz w:val="24"/>
          <w:szCs w:val="24"/>
        </w:rPr>
        <w:t>酌情提供关于根据第</w:t>
      </w:r>
      <w:hyperlink r:id="rId237" w:history="1">
        <w:r w:rsidRPr="000C0842">
          <w:rPr>
            <w:rStyle w:val="Hyperlink"/>
            <w:rFonts w:eastAsia="SimSun"/>
            <w:color w:val="auto"/>
            <w:sz w:val="24"/>
            <w:szCs w:val="24"/>
          </w:rPr>
          <w:t>X/33</w:t>
        </w:r>
      </w:hyperlink>
      <w:r w:rsidRPr="000C0842">
        <w:rPr>
          <w:rFonts w:eastAsia="SimSun"/>
          <w:sz w:val="24"/>
          <w:szCs w:val="24"/>
        </w:rPr>
        <w:t>号决定第</w:t>
      </w:r>
      <w:r w:rsidRPr="000C0842">
        <w:rPr>
          <w:rFonts w:eastAsia="SimSun"/>
          <w:sz w:val="24"/>
          <w:szCs w:val="24"/>
        </w:rPr>
        <w:t>8(w)</w:t>
      </w:r>
      <w:r w:rsidRPr="000C0842">
        <w:rPr>
          <w:rFonts w:eastAsia="SimSun"/>
          <w:sz w:val="24"/>
          <w:szCs w:val="24"/>
        </w:rPr>
        <w:t>段或第</w:t>
      </w:r>
      <w:hyperlink r:id="rId238" w:history="1">
        <w:r w:rsidRPr="000C0842">
          <w:rPr>
            <w:rStyle w:val="Hyperlink"/>
            <w:rFonts w:eastAsia="SimSun"/>
            <w:color w:val="auto"/>
            <w:sz w:val="24"/>
            <w:szCs w:val="24"/>
          </w:rPr>
          <w:t>IX/16</w:t>
        </w:r>
        <w:r w:rsidRPr="000C0842">
          <w:rPr>
            <w:rStyle w:val="Hyperlink"/>
            <w:rFonts w:eastAsia="SimSun" w:hint="eastAsia"/>
            <w:color w:val="auto"/>
            <w:sz w:val="24"/>
            <w:szCs w:val="24"/>
          </w:rPr>
          <w:t xml:space="preserve"> </w:t>
        </w:r>
        <w:r w:rsidRPr="000C0842">
          <w:rPr>
            <w:rStyle w:val="Hyperlink"/>
            <w:rFonts w:eastAsia="SimSun"/>
            <w:color w:val="auto"/>
            <w:sz w:val="24"/>
            <w:szCs w:val="24"/>
          </w:rPr>
          <w:t>C</w:t>
        </w:r>
      </w:hyperlink>
      <w:r w:rsidRPr="000C0842">
        <w:rPr>
          <w:rFonts w:eastAsia="SimSun"/>
          <w:sz w:val="24"/>
          <w:szCs w:val="24"/>
        </w:rPr>
        <w:t>号决定</w:t>
      </w:r>
      <w:r w:rsidRPr="000C0842">
        <w:rPr>
          <w:rFonts w:eastAsia="SimSun" w:hint="eastAsia"/>
          <w:sz w:val="24"/>
          <w:szCs w:val="24"/>
        </w:rPr>
        <w:t>在国家和其他层面</w:t>
      </w:r>
      <w:r w:rsidRPr="000C0842">
        <w:rPr>
          <w:rFonts w:eastAsia="SimSun"/>
          <w:sz w:val="24"/>
          <w:szCs w:val="24"/>
        </w:rPr>
        <w:t>所采取措施的信息，请执行秘书汇编所提交的信息，并通过信息交换所机制发布这些信息。</w:t>
      </w:r>
    </w:p>
    <w:p w14:paraId="624811BE" w14:textId="77777777" w:rsidR="00DB4743" w:rsidRPr="000C0842" w:rsidRDefault="00DB4743">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0CB27D84" w14:textId="4620622E" w:rsidR="00DB4743" w:rsidRPr="000C0842" w:rsidRDefault="00DB4743" w:rsidP="002437E6">
      <w:pPr>
        <w:pStyle w:val="a1"/>
        <w:rPr>
          <w:rFonts w:hint="eastAsia"/>
          <w:bCs/>
          <w:lang w:eastAsia="zh-CN"/>
        </w:rPr>
      </w:pPr>
      <w:bookmarkStart w:id="90" w:name="_Toc206358220"/>
      <w:r w:rsidRPr="000C0842">
        <w:rPr>
          <w:rFonts w:hint="eastAsia"/>
          <w:lang w:eastAsia="zh-CN"/>
        </w:rPr>
        <w:t>16/23.</w:t>
      </w:r>
      <w:r w:rsidR="008206FE" w:rsidRPr="000C0842">
        <w:rPr>
          <w:rFonts w:hint="eastAsia"/>
          <w:lang w:eastAsia="zh-CN"/>
        </w:rPr>
        <w:t xml:space="preserve"> </w:t>
      </w:r>
      <w:r w:rsidRPr="000C0842">
        <w:rPr>
          <w:lang w:eastAsia="zh-CN"/>
        </w:rPr>
        <w:t>赔偿责任和补救（第</w:t>
      </w:r>
      <w:r w:rsidRPr="000C0842">
        <w:rPr>
          <w:lang w:eastAsia="zh-CN"/>
        </w:rPr>
        <w:t>14</w:t>
      </w:r>
      <w:r w:rsidRPr="000C0842">
        <w:rPr>
          <w:lang w:eastAsia="zh-CN"/>
        </w:rPr>
        <w:t>条第</w:t>
      </w:r>
      <w:r w:rsidRPr="000C0842">
        <w:rPr>
          <w:lang w:eastAsia="zh-CN"/>
        </w:rPr>
        <w:t>2</w:t>
      </w:r>
      <w:r w:rsidRPr="000C0842">
        <w:rPr>
          <w:lang w:eastAsia="zh-CN"/>
        </w:rPr>
        <w:t>款）</w:t>
      </w:r>
      <w:bookmarkEnd w:id="90"/>
    </w:p>
    <w:p w14:paraId="3685DBBD" w14:textId="77777777" w:rsidR="00DB4743" w:rsidRPr="000C0842" w:rsidRDefault="00DB4743" w:rsidP="00444037">
      <w:pPr>
        <w:tabs>
          <w:tab w:val="clear" w:pos="567"/>
          <w:tab w:val="clear" w:pos="1134"/>
          <w:tab w:val="clear" w:pos="1701"/>
          <w:tab w:val="clear" w:pos="2268"/>
        </w:tabs>
        <w:snapToGrid w:val="0"/>
        <w:spacing w:before="240" w:after="120" w:line="240" w:lineRule="atLeast"/>
        <w:ind w:left="490" w:firstLine="490"/>
        <w:rPr>
          <w:rFonts w:eastAsia="SimSun"/>
          <w:sz w:val="24"/>
          <w:szCs w:val="24"/>
        </w:rPr>
      </w:pPr>
      <w:r w:rsidRPr="000C0842">
        <w:rPr>
          <w:rFonts w:eastAsia="KaiTi"/>
          <w:sz w:val="24"/>
          <w:szCs w:val="24"/>
        </w:rPr>
        <w:t>缔约方</w:t>
      </w:r>
      <w:r w:rsidRPr="000C0842">
        <w:rPr>
          <w:rFonts w:eastAsia="KaiTi" w:hint="eastAsia"/>
          <w:sz w:val="24"/>
          <w:szCs w:val="24"/>
        </w:rPr>
        <w:t>大会</w:t>
      </w:r>
      <w:r w:rsidRPr="000C0842">
        <w:rPr>
          <w:rFonts w:eastAsia="SimSun" w:hint="eastAsia"/>
          <w:sz w:val="24"/>
          <w:szCs w:val="24"/>
        </w:rPr>
        <w:t>，</w:t>
      </w:r>
    </w:p>
    <w:p w14:paraId="484BB0A2" w14:textId="77777777" w:rsidR="00DB4743" w:rsidRPr="000C0842" w:rsidRDefault="00DB4743" w:rsidP="00DB4743">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sz w:val="24"/>
          <w:szCs w:val="24"/>
        </w:rPr>
        <w:t>回顾</w:t>
      </w:r>
      <w:r w:rsidRPr="000C0842">
        <w:rPr>
          <w:rFonts w:eastAsia="SimSun"/>
          <w:sz w:val="24"/>
          <w:szCs w:val="24"/>
        </w:rPr>
        <w:t>其</w:t>
      </w:r>
      <w:r w:rsidRPr="000C0842">
        <w:rPr>
          <w:rFonts w:eastAsia="SimSun"/>
          <w:sz w:val="24"/>
          <w:szCs w:val="24"/>
        </w:rPr>
        <w:t>2018</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29</w:t>
      </w:r>
      <w:r w:rsidRPr="000C0842">
        <w:rPr>
          <w:rFonts w:eastAsia="SimSun"/>
          <w:sz w:val="24"/>
          <w:szCs w:val="24"/>
        </w:rPr>
        <w:t>日第</w:t>
      </w:r>
      <w:hyperlink r:id="rId239" w:history="1">
        <w:r w:rsidRPr="000C0842">
          <w:rPr>
            <w:rFonts w:eastAsia="SimSun"/>
            <w:sz w:val="24"/>
            <w:szCs w:val="24"/>
            <w:u w:val="single"/>
          </w:rPr>
          <w:t>14/21</w:t>
        </w:r>
      </w:hyperlink>
      <w:r w:rsidRPr="000C0842">
        <w:rPr>
          <w:rFonts w:eastAsia="SimSun"/>
          <w:sz w:val="24"/>
          <w:szCs w:val="24"/>
        </w:rPr>
        <w:t>号决定，</w:t>
      </w:r>
    </w:p>
    <w:p w14:paraId="1AC421ED" w14:textId="0F44EDB9" w:rsidR="00DB4743" w:rsidRPr="000C0842" w:rsidRDefault="00DB4743" w:rsidP="00DB4743">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hint="eastAsia"/>
          <w:sz w:val="24"/>
          <w:szCs w:val="24"/>
        </w:rPr>
        <w:t>又</w:t>
      </w:r>
      <w:r w:rsidRPr="000C0842">
        <w:rPr>
          <w:rFonts w:eastAsia="KaiTi"/>
          <w:sz w:val="24"/>
          <w:szCs w:val="24"/>
        </w:rPr>
        <w:t>回顾</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sz w:val="24"/>
          <w:szCs w:val="24"/>
          <w:vertAlign w:val="superscript"/>
        </w:rPr>
        <w:footnoteReference w:id="364"/>
      </w:r>
      <w:r w:rsidRPr="000C0842">
        <w:rPr>
          <w:rFonts w:eastAsia="SimSun" w:hint="eastAsia"/>
          <w:sz w:val="24"/>
          <w:szCs w:val="24"/>
        </w:rPr>
        <w:t>，</w:t>
      </w:r>
      <w:r w:rsidRPr="000C0842">
        <w:rPr>
          <w:rFonts w:eastAsia="SimSun"/>
          <w:sz w:val="24"/>
          <w:szCs w:val="24"/>
        </w:rPr>
        <w:t>其中确定</w:t>
      </w:r>
      <w:r w:rsidR="001A5C0A" w:rsidRPr="000C0842">
        <w:rPr>
          <w:rFonts w:eastAsia="SimSun" w:hint="eastAsia"/>
          <w:sz w:val="24"/>
          <w:szCs w:val="24"/>
        </w:rPr>
        <w:t>《昆蒙框架》</w:t>
      </w:r>
      <w:r w:rsidRPr="000C0842">
        <w:rPr>
          <w:rFonts w:eastAsia="SimSun"/>
          <w:sz w:val="24"/>
          <w:szCs w:val="24"/>
        </w:rPr>
        <w:t>的</w:t>
      </w:r>
      <w:r w:rsidRPr="000C0842">
        <w:rPr>
          <w:rFonts w:eastAsia="SimSun" w:hint="eastAsia"/>
          <w:sz w:val="24"/>
          <w:szCs w:val="24"/>
        </w:rPr>
        <w:t>使命之一</w:t>
      </w:r>
      <w:r w:rsidRPr="000C0842">
        <w:rPr>
          <w:rFonts w:eastAsia="SimSun"/>
          <w:sz w:val="24"/>
          <w:szCs w:val="24"/>
        </w:rPr>
        <w:t>是采取紧急行动，制止和扭转生物多样性的丧失，</w:t>
      </w:r>
    </w:p>
    <w:p w14:paraId="71564A3A" w14:textId="77777777" w:rsidR="00DB4743" w:rsidRPr="000C0842" w:rsidRDefault="00DB4743" w:rsidP="00DB4743">
      <w:pPr>
        <w:tabs>
          <w:tab w:val="clear" w:pos="567"/>
          <w:tab w:val="clear" w:pos="1134"/>
          <w:tab w:val="clear" w:pos="1701"/>
          <w:tab w:val="clear" w:pos="2268"/>
        </w:tabs>
        <w:snapToGrid w:val="0"/>
        <w:spacing w:before="120" w:after="120" w:line="240" w:lineRule="atLeast"/>
        <w:ind w:left="490" w:firstLine="490"/>
        <w:rPr>
          <w:rFonts w:eastAsia="SimSun"/>
          <w:sz w:val="24"/>
          <w:szCs w:val="24"/>
        </w:rPr>
      </w:pPr>
      <w:r w:rsidRPr="000C0842">
        <w:rPr>
          <w:rFonts w:eastAsia="KaiTi"/>
          <w:sz w:val="24"/>
          <w:szCs w:val="24"/>
        </w:rPr>
        <w:t>注意到</w:t>
      </w:r>
      <w:r w:rsidRPr="000C0842">
        <w:rPr>
          <w:rFonts w:eastAsia="SimSun" w:hint="eastAsia"/>
          <w:sz w:val="24"/>
          <w:szCs w:val="24"/>
        </w:rPr>
        <w:t>向</w:t>
      </w:r>
      <w:r w:rsidRPr="000C0842">
        <w:rPr>
          <w:rFonts w:eastAsia="SimSun"/>
          <w:sz w:val="24"/>
          <w:szCs w:val="24"/>
        </w:rPr>
        <w:t>缔约方大会第十六</w:t>
      </w:r>
      <w:r w:rsidRPr="000C0842">
        <w:rPr>
          <w:rFonts w:eastAsia="SimSun" w:hint="eastAsia"/>
          <w:sz w:val="24"/>
          <w:szCs w:val="24"/>
        </w:rPr>
        <w:t>届</w:t>
      </w:r>
      <w:r w:rsidRPr="000C0842">
        <w:rPr>
          <w:rFonts w:eastAsia="SimSun"/>
          <w:sz w:val="24"/>
          <w:szCs w:val="24"/>
        </w:rPr>
        <w:t>会议提交的关于对</w:t>
      </w:r>
      <w:r w:rsidRPr="000C0842">
        <w:rPr>
          <w:rFonts w:eastAsia="SimSun" w:hint="eastAsia"/>
          <w:sz w:val="24"/>
          <w:szCs w:val="24"/>
        </w:rPr>
        <w:t>总的</w:t>
      </w:r>
      <w:r w:rsidRPr="000C0842">
        <w:rPr>
          <w:rFonts w:eastAsia="SimSun"/>
          <w:sz w:val="24"/>
          <w:szCs w:val="24"/>
        </w:rPr>
        <w:t>环境特别是</w:t>
      </w:r>
      <w:r w:rsidRPr="000C0842">
        <w:rPr>
          <w:rFonts w:eastAsia="SimSun" w:hint="eastAsia"/>
          <w:sz w:val="24"/>
          <w:szCs w:val="24"/>
        </w:rPr>
        <w:t>对</w:t>
      </w:r>
      <w:r w:rsidRPr="000C0842">
        <w:rPr>
          <w:rFonts w:eastAsia="SimSun"/>
          <w:sz w:val="24"/>
          <w:szCs w:val="24"/>
        </w:rPr>
        <w:t>生物多样性</w:t>
      </w:r>
      <w:r w:rsidRPr="000C0842">
        <w:rPr>
          <w:rFonts w:eastAsia="SimSun" w:hint="eastAsia"/>
          <w:sz w:val="24"/>
          <w:szCs w:val="24"/>
        </w:rPr>
        <w:t>的</w:t>
      </w:r>
      <w:r w:rsidRPr="000C0842">
        <w:rPr>
          <w:rFonts w:eastAsia="SimSun"/>
          <w:sz w:val="24"/>
          <w:szCs w:val="24"/>
        </w:rPr>
        <w:t>损害的</w:t>
      </w:r>
      <w:r w:rsidRPr="000C0842">
        <w:rPr>
          <w:rFonts w:eastAsia="SimSun" w:hint="eastAsia"/>
          <w:sz w:val="24"/>
          <w:szCs w:val="24"/>
        </w:rPr>
        <w:t>赔偿</w:t>
      </w:r>
      <w:r w:rsidRPr="000C0842">
        <w:rPr>
          <w:rFonts w:eastAsia="SimSun"/>
          <w:sz w:val="24"/>
          <w:szCs w:val="24"/>
        </w:rPr>
        <w:t>责任和补救</w:t>
      </w:r>
      <w:r w:rsidRPr="000C0842">
        <w:rPr>
          <w:rFonts w:eastAsia="SimSun" w:hint="eastAsia"/>
          <w:sz w:val="24"/>
          <w:szCs w:val="24"/>
        </w:rPr>
        <w:t>方面</w:t>
      </w:r>
      <w:r w:rsidRPr="000C0842">
        <w:rPr>
          <w:rFonts w:eastAsia="SimSun"/>
          <w:sz w:val="24"/>
          <w:szCs w:val="24"/>
        </w:rPr>
        <w:t>的</w:t>
      </w:r>
      <w:r w:rsidRPr="000C0842">
        <w:rPr>
          <w:rFonts w:eastAsia="SimSun" w:hint="eastAsia"/>
          <w:sz w:val="24"/>
          <w:szCs w:val="24"/>
        </w:rPr>
        <w:t>呈件</w:t>
      </w:r>
      <w:r w:rsidRPr="000C0842">
        <w:rPr>
          <w:rFonts w:eastAsia="SimSun"/>
          <w:sz w:val="24"/>
          <w:szCs w:val="24"/>
        </w:rPr>
        <w:t>和信息汇编</w:t>
      </w:r>
      <w:r w:rsidRPr="000C0842">
        <w:rPr>
          <w:rFonts w:eastAsia="SimSun"/>
          <w:sz w:val="24"/>
          <w:szCs w:val="24"/>
          <w:vertAlign w:val="superscript"/>
        </w:rPr>
        <w:footnoteReference w:id="365"/>
      </w:r>
      <w:r w:rsidRPr="000C0842">
        <w:rPr>
          <w:rFonts w:eastAsia="SimSun"/>
          <w:sz w:val="24"/>
          <w:szCs w:val="24"/>
        </w:rPr>
        <w:t>显示，缔约方</w:t>
      </w:r>
      <w:r w:rsidRPr="000C0842">
        <w:rPr>
          <w:rFonts w:eastAsia="SimSun" w:hint="eastAsia"/>
          <w:sz w:val="24"/>
          <w:szCs w:val="24"/>
        </w:rPr>
        <w:t>越来越</w:t>
      </w:r>
      <w:r w:rsidRPr="000C0842">
        <w:rPr>
          <w:rFonts w:eastAsia="SimSun"/>
          <w:sz w:val="24"/>
          <w:szCs w:val="24"/>
        </w:rPr>
        <w:t>认识到需要通过和执行适当的政策和法律或行政措施，避免或减轻此类损害，</w:t>
      </w:r>
    </w:p>
    <w:p w14:paraId="166A77B4" w14:textId="77777777" w:rsidR="00DB4743" w:rsidRPr="000C0842" w:rsidRDefault="00DB4743">
      <w:pPr>
        <w:pStyle w:val="ListParagraph"/>
        <w:numPr>
          <w:ilvl w:val="0"/>
          <w:numId w:val="250"/>
        </w:numPr>
        <w:tabs>
          <w:tab w:val="clear" w:pos="567"/>
          <w:tab w:val="clear" w:pos="1134"/>
          <w:tab w:val="clear" w:pos="1701"/>
          <w:tab w:val="clear" w:pos="2268"/>
        </w:tabs>
        <w:spacing w:before="120" w:after="120"/>
        <w:ind w:left="490" w:firstLine="490"/>
        <w:contextualSpacing w:val="0"/>
        <w:rPr>
          <w:rFonts w:eastAsia="Times New Roman"/>
          <w:sz w:val="24"/>
          <w:szCs w:val="24"/>
          <w:lang w:val="en-GB"/>
        </w:rPr>
      </w:pPr>
      <w:r w:rsidRPr="000C0842">
        <w:rPr>
          <w:rFonts w:eastAsia="KaiTi" w:hint="eastAsia"/>
          <w:sz w:val="24"/>
          <w:szCs w:val="24"/>
          <w:lang w:val="en-GB"/>
        </w:rPr>
        <w:t>邀请</w:t>
      </w:r>
      <w:r w:rsidRPr="000C0842">
        <w:rPr>
          <w:rFonts w:ascii="SimSun" w:eastAsia="SimSun" w:hAnsi="SimSun" w:cs="SimSun" w:hint="eastAsia"/>
          <w:sz w:val="24"/>
          <w:szCs w:val="24"/>
          <w:lang w:val="en-GB"/>
        </w:rPr>
        <w:t>缔约方根据相关国际义务继续采取适当措施，包括应对措施，处理对生物多样性的损害；</w:t>
      </w:r>
    </w:p>
    <w:p w14:paraId="0D7EE5C6" w14:textId="0BA922B6" w:rsidR="00DB4743" w:rsidRPr="000C0842" w:rsidRDefault="00DB4743">
      <w:pPr>
        <w:pStyle w:val="ListParagraph"/>
        <w:numPr>
          <w:ilvl w:val="0"/>
          <w:numId w:val="250"/>
        </w:numPr>
        <w:tabs>
          <w:tab w:val="clear" w:pos="567"/>
          <w:tab w:val="clear" w:pos="1134"/>
          <w:tab w:val="clear" w:pos="1701"/>
          <w:tab w:val="clear" w:pos="2268"/>
        </w:tabs>
        <w:spacing w:before="120" w:after="120"/>
        <w:ind w:left="490" w:firstLine="490"/>
        <w:contextualSpacing w:val="0"/>
        <w:rPr>
          <w:rFonts w:ascii="SimSun" w:eastAsia="SimSun" w:hAnsi="SimSun" w:cs="SimSun"/>
          <w:sz w:val="24"/>
          <w:szCs w:val="24"/>
          <w:lang w:val="en-GB"/>
        </w:rPr>
      </w:pPr>
      <w:r w:rsidRPr="000C0842">
        <w:rPr>
          <w:rFonts w:eastAsia="KaiTi"/>
          <w:sz w:val="24"/>
          <w:szCs w:val="24"/>
          <w:lang w:val="en-GB"/>
        </w:rPr>
        <w:t>决定</w:t>
      </w:r>
      <w:r w:rsidRPr="000C0842">
        <w:rPr>
          <w:rFonts w:ascii="SimSun" w:eastAsia="SimSun" w:hAnsi="SimSun" w:cs="SimSun" w:hint="eastAsia"/>
          <w:sz w:val="24"/>
          <w:szCs w:val="24"/>
          <w:lang w:val="en-GB"/>
        </w:rPr>
        <w:t>在第十八届会议上审查《生物多样性公约》</w:t>
      </w:r>
      <w:r w:rsidRPr="000C0842">
        <w:rPr>
          <w:rFonts w:eastAsia="Times New Roman"/>
          <w:sz w:val="24"/>
          <w:szCs w:val="24"/>
          <w:vertAlign w:val="superscript"/>
          <w:lang w:val="en-GB"/>
        </w:rPr>
        <w:footnoteReference w:id="366"/>
      </w:r>
      <w:r w:rsidRPr="000C0842">
        <w:rPr>
          <w:rFonts w:ascii="SimSun" w:eastAsia="SimSun" w:hAnsi="SimSun" w:cs="SimSun" w:hint="eastAsia"/>
          <w:sz w:val="24"/>
          <w:szCs w:val="24"/>
          <w:lang w:val="en-GB"/>
        </w:rPr>
        <w:t>第</w:t>
      </w:r>
      <w:r w:rsidRPr="000C0842">
        <w:rPr>
          <w:rFonts w:eastAsia="Times New Roman"/>
          <w:sz w:val="24"/>
          <w:szCs w:val="24"/>
          <w:lang w:val="en-GB"/>
        </w:rPr>
        <w:t>14</w:t>
      </w:r>
      <w:r w:rsidRPr="000C0842">
        <w:rPr>
          <w:rFonts w:ascii="SimSun" w:eastAsia="SimSun" w:hAnsi="SimSun" w:cs="SimSun" w:hint="eastAsia"/>
          <w:sz w:val="24"/>
          <w:szCs w:val="24"/>
          <w:lang w:val="en-GB"/>
        </w:rPr>
        <w:t>条第</w:t>
      </w:r>
      <w:r w:rsidRPr="000C0842">
        <w:rPr>
          <w:rFonts w:eastAsia="Times New Roman"/>
          <w:sz w:val="24"/>
          <w:szCs w:val="24"/>
          <w:lang w:val="en-GB"/>
        </w:rPr>
        <w:t>2</w:t>
      </w:r>
      <w:r w:rsidRPr="000C0842">
        <w:rPr>
          <w:rFonts w:ascii="SimSun" w:eastAsia="SimSun" w:hAnsi="SimSun" w:cs="SimSun" w:hint="eastAsia"/>
          <w:sz w:val="24"/>
          <w:szCs w:val="24"/>
          <w:lang w:val="en-GB"/>
        </w:rPr>
        <w:t>款范围内的赔偿责任和补救问题，同时考虑到相关事态发展情况，包括《昆明</w:t>
      </w:r>
      <w:r w:rsidRPr="000C0842">
        <w:rPr>
          <w:rFonts w:eastAsia="Times New Roman"/>
          <w:sz w:val="24"/>
          <w:szCs w:val="24"/>
          <w:lang w:val="en-GB"/>
        </w:rPr>
        <w:t>-</w:t>
      </w:r>
      <w:r w:rsidRPr="000C0842">
        <w:rPr>
          <w:rFonts w:ascii="SimSun" w:eastAsia="SimSun" w:hAnsi="SimSun" w:cs="SimSun" w:hint="eastAsia"/>
          <w:sz w:val="24"/>
          <w:szCs w:val="24"/>
          <w:lang w:val="en-GB"/>
        </w:rPr>
        <w:t xml:space="preserve">蒙特利尔全球生物多样性框架》的执行进展情况。 </w:t>
      </w:r>
    </w:p>
    <w:p w14:paraId="72A553D1" w14:textId="77777777" w:rsidR="00DB4743" w:rsidRPr="000C0842" w:rsidRDefault="00DB4743">
      <w:pPr>
        <w:tabs>
          <w:tab w:val="clear" w:pos="567"/>
          <w:tab w:val="clear" w:pos="1134"/>
          <w:tab w:val="clear" w:pos="1701"/>
          <w:tab w:val="clear" w:pos="2268"/>
        </w:tabs>
        <w:jc w:val="left"/>
        <w:rPr>
          <w:rFonts w:ascii="SimSun" w:eastAsia="SimSun" w:hAnsi="SimSun" w:cs="SimSun"/>
          <w:sz w:val="24"/>
          <w:szCs w:val="24"/>
          <w:lang w:val="en-GB"/>
        </w:rPr>
      </w:pPr>
      <w:r w:rsidRPr="000C0842">
        <w:rPr>
          <w:rFonts w:ascii="SimSun" w:eastAsia="SimSun" w:hAnsi="SimSun" w:cs="SimSun"/>
          <w:sz w:val="24"/>
          <w:szCs w:val="24"/>
          <w:lang w:val="en-GB"/>
        </w:rPr>
        <w:br w:type="page"/>
      </w:r>
    </w:p>
    <w:p w14:paraId="5F3836DE" w14:textId="086AB988" w:rsidR="00DB4743" w:rsidRPr="000C0842" w:rsidRDefault="00DB4743" w:rsidP="002437E6">
      <w:pPr>
        <w:pStyle w:val="a1"/>
        <w:rPr>
          <w:rFonts w:hint="eastAsia"/>
          <w:lang w:eastAsia="zh-CN"/>
        </w:rPr>
      </w:pPr>
      <w:bookmarkStart w:id="91" w:name="_Toc206358221"/>
      <w:r w:rsidRPr="000C0842">
        <w:rPr>
          <w:lang w:eastAsia="zh-CN"/>
        </w:rPr>
        <w:t>16/24.</w:t>
      </w:r>
      <w:r w:rsidR="008206FE" w:rsidRPr="000C0842">
        <w:rPr>
          <w:rFonts w:hint="eastAsia"/>
          <w:lang w:eastAsia="zh-CN"/>
        </w:rPr>
        <w:t xml:space="preserve"> </w:t>
      </w:r>
      <w:r w:rsidRPr="000C0842">
        <w:rPr>
          <w:lang w:eastAsia="zh-CN"/>
        </w:rPr>
        <w:t>召开在线和混合会议的程序</w:t>
      </w:r>
      <w:bookmarkEnd w:id="91"/>
    </w:p>
    <w:p w14:paraId="61F5A654" w14:textId="77777777" w:rsidR="00DB4743" w:rsidRPr="000C0842" w:rsidRDefault="00DB4743" w:rsidP="00F1403D">
      <w:pPr>
        <w:tabs>
          <w:tab w:val="clear" w:pos="567"/>
          <w:tab w:val="clear" w:pos="1134"/>
          <w:tab w:val="clear" w:pos="1701"/>
          <w:tab w:val="clear" w:pos="2268"/>
          <w:tab w:val="left" w:pos="426"/>
        </w:tabs>
        <w:adjustRightInd w:val="0"/>
        <w:spacing w:before="240"/>
        <w:ind w:left="490"/>
        <w:jc w:val="left"/>
        <w:rPr>
          <w:rFonts w:eastAsia="KaiTi"/>
          <w:sz w:val="24"/>
          <w:szCs w:val="24"/>
          <w:lang w:val="en-CA"/>
        </w:rPr>
      </w:pPr>
      <w:r w:rsidRPr="000C0842">
        <w:rPr>
          <w:rFonts w:eastAsia="SimSun"/>
          <w:b/>
          <w:bCs/>
          <w:sz w:val="24"/>
          <w:szCs w:val="20"/>
          <w:shd w:val="clear" w:color="auto" w:fill="FFFFFF"/>
          <w:lang w:val="en-CA"/>
        </w:rPr>
        <w:tab/>
      </w:r>
      <w:r w:rsidRPr="000C0842">
        <w:rPr>
          <w:rFonts w:eastAsia="KaiTi" w:hint="eastAsia"/>
          <w:sz w:val="24"/>
          <w:szCs w:val="24"/>
          <w:lang w:val="en-CA"/>
        </w:rPr>
        <w:t>缔约方大会，</w:t>
      </w:r>
    </w:p>
    <w:p w14:paraId="27FACE2B" w14:textId="77777777" w:rsidR="00DB4743" w:rsidRPr="000C0842" w:rsidRDefault="00DB4743" w:rsidP="00DB4743">
      <w:pPr>
        <w:tabs>
          <w:tab w:val="clear" w:pos="567"/>
          <w:tab w:val="clear" w:pos="1134"/>
          <w:tab w:val="clear" w:pos="1701"/>
          <w:tab w:val="clear" w:pos="2268"/>
        </w:tabs>
        <w:spacing w:before="120" w:after="120"/>
        <w:ind w:left="490"/>
        <w:jc w:val="left"/>
        <w:rPr>
          <w:rFonts w:eastAsia="SimSun"/>
          <w:bCs/>
          <w:sz w:val="24"/>
          <w:lang w:val="en-CA"/>
        </w:rPr>
      </w:pPr>
      <w:r w:rsidRPr="000C0842">
        <w:rPr>
          <w:rFonts w:eastAsia="KaiTi"/>
          <w:bCs/>
          <w:sz w:val="24"/>
          <w:szCs w:val="24"/>
          <w:lang w:val="en-CA"/>
        </w:rPr>
        <w:tab/>
      </w:r>
      <w:r w:rsidRPr="000C0842">
        <w:rPr>
          <w:rFonts w:eastAsia="KaiTi" w:hint="eastAsia"/>
          <w:bCs/>
          <w:sz w:val="24"/>
          <w:lang w:val="en-CA"/>
        </w:rPr>
        <w:t>重申</w:t>
      </w:r>
      <w:r w:rsidRPr="000C0842">
        <w:rPr>
          <w:rFonts w:eastAsia="SimSun" w:hint="eastAsia"/>
          <w:bCs/>
          <w:sz w:val="24"/>
          <w:shd w:val="clear" w:color="auto" w:fill="FFFFFF"/>
          <w:lang w:val="en-CA"/>
        </w:rPr>
        <w:t>其所有会议以及《生物多样性公约》</w:t>
      </w:r>
      <w:r w:rsidRPr="000C0842">
        <w:rPr>
          <w:rFonts w:eastAsia="SimSun"/>
          <w:bCs/>
          <w:sz w:val="24"/>
          <w:szCs w:val="24"/>
          <w:shd w:val="clear" w:color="auto" w:fill="FFFFFF"/>
          <w:vertAlign w:val="superscript"/>
          <w:lang w:val="en-CA"/>
        </w:rPr>
        <w:footnoteReference w:id="367"/>
      </w:r>
      <w:r w:rsidRPr="000C0842">
        <w:rPr>
          <w:rFonts w:eastAsia="SimSun" w:hint="eastAsia"/>
          <w:bCs/>
          <w:sz w:val="24"/>
          <w:shd w:val="clear" w:color="auto" w:fill="FFFFFF"/>
          <w:lang w:val="en-CA"/>
        </w:rPr>
        <w:t>政府间附属机构的会议都必须遵循各自的议事规则，</w:t>
      </w:r>
    </w:p>
    <w:p w14:paraId="5BC3FF71" w14:textId="77777777" w:rsidR="00DB4743" w:rsidRPr="000C0842" w:rsidRDefault="00DB4743" w:rsidP="00DB4743">
      <w:pPr>
        <w:tabs>
          <w:tab w:val="clear" w:pos="567"/>
          <w:tab w:val="clear" w:pos="1134"/>
          <w:tab w:val="clear" w:pos="1701"/>
          <w:tab w:val="clear" w:pos="2268"/>
        </w:tabs>
        <w:spacing w:before="120" w:after="120"/>
        <w:ind w:left="490" w:firstLine="490"/>
        <w:jc w:val="left"/>
        <w:rPr>
          <w:rFonts w:eastAsia="SimSun"/>
          <w:sz w:val="24"/>
          <w:szCs w:val="24"/>
          <w:shd w:val="clear" w:color="auto" w:fill="FFFFFF"/>
          <w:lang w:val="en-CA"/>
        </w:rPr>
      </w:pPr>
      <w:r w:rsidRPr="000C0842">
        <w:rPr>
          <w:rFonts w:eastAsia="SimSun"/>
          <w:sz w:val="24"/>
          <w:szCs w:val="24"/>
          <w:lang w:val="en-CA"/>
        </w:rPr>
        <w:t xml:space="preserve"> </w:t>
      </w:r>
      <w:r w:rsidRPr="000C0842">
        <w:rPr>
          <w:rFonts w:eastAsia="SimSun"/>
          <w:sz w:val="24"/>
          <w:szCs w:val="24"/>
          <w:shd w:val="clear" w:color="auto" w:fill="FFFFFF"/>
          <w:lang w:val="en-CA"/>
        </w:rPr>
        <w:t>1.</w:t>
      </w:r>
      <w:r w:rsidRPr="000C0842">
        <w:rPr>
          <w:rFonts w:eastAsia="SimSun"/>
          <w:sz w:val="24"/>
          <w:szCs w:val="24"/>
          <w:shd w:val="clear" w:color="auto" w:fill="FFFFFF"/>
          <w:lang w:val="en-CA"/>
        </w:rPr>
        <w:tab/>
      </w:r>
      <w:r w:rsidRPr="000C0842">
        <w:rPr>
          <w:rFonts w:eastAsia="KaiTi" w:hint="eastAsia"/>
          <w:sz w:val="24"/>
          <w:szCs w:val="24"/>
          <w:lang w:val="en-CA"/>
        </w:rPr>
        <w:t>申明</w:t>
      </w:r>
      <w:r w:rsidRPr="000C0842">
        <w:rPr>
          <w:rFonts w:eastAsia="SimSun" w:hint="eastAsia"/>
          <w:sz w:val="24"/>
          <w:szCs w:val="24"/>
          <w:shd w:val="clear" w:color="auto" w:fill="FFFFFF"/>
          <w:lang w:val="en-CA"/>
        </w:rPr>
        <w:t>其会议以及《生物多样性公约》政府间附属机构的会议应面对面举行，除非发生下文第</w:t>
      </w:r>
      <w:r w:rsidRPr="000C0842">
        <w:rPr>
          <w:rFonts w:eastAsia="SimSun"/>
          <w:sz w:val="24"/>
          <w:szCs w:val="24"/>
          <w:shd w:val="clear" w:color="auto" w:fill="FFFFFF"/>
          <w:lang w:val="en-CA"/>
        </w:rPr>
        <w:t>2</w:t>
      </w:r>
      <w:r w:rsidRPr="000C0842">
        <w:rPr>
          <w:rFonts w:eastAsia="SimSun" w:hint="eastAsia"/>
          <w:sz w:val="24"/>
          <w:szCs w:val="24"/>
          <w:shd w:val="clear" w:color="auto" w:fill="FFFFFF"/>
          <w:lang w:val="en-CA"/>
        </w:rPr>
        <w:t>段所述特殊情况，致使在较长时间内难以举行面对面会议；</w:t>
      </w:r>
      <w:r w:rsidRPr="000C0842">
        <w:rPr>
          <w:rFonts w:eastAsia="SimSun"/>
          <w:sz w:val="24"/>
          <w:szCs w:val="24"/>
          <w:shd w:val="clear" w:color="auto" w:fill="FFFFFF"/>
          <w:lang w:val="en-CA"/>
        </w:rPr>
        <w:t xml:space="preserve"> </w:t>
      </w:r>
      <w:r w:rsidRPr="000C0842">
        <w:rPr>
          <w:rFonts w:eastAsia="SimSun" w:hint="eastAsia"/>
          <w:sz w:val="24"/>
          <w:szCs w:val="24"/>
          <w:shd w:val="clear" w:color="auto" w:fill="FFFFFF"/>
          <w:lang w:val="en-CA"/>
        </w:rPr>
        <w:t xml:space="preserve"> </w:t>
      </w:r>
    </w:p>
    <w:p w14:paraId="092B7842" w14:textId="77777777" w:rsidR="00DB4743" w:rsidRPr="000C0842" w:rsidRDefault="00DB4743" w:rsidP="00DB4743">
      <w:pPr>
        <w:tabs>
          <w:tab w:val="clear" w:pos="567"/>
          <w:tab w:val="clear" w:pos="1134"/>
          <w:tab w:val="clear" w:pos="1701"/>
          <w:tab w:val="clear" w:pos="2268"/>
        </w:tabs>
        <w:spacing w:before="120" w:after="120"/>
        <w:ind w:left="490" w:firstLine="490"/>
        <w:jc w:val="left"/>
        <w:rPr>
          <w:rFonts w:eastAsia="SimSun"/>
          <w:sz w:val="24"/>
          <w:szCs w:val="24"/>
          <w:shd w:val="clear" w:color="auto" w:fill="FFFFFF"/>
          <w:lang w:val="en-CA"/>
        </w:rPr>
      </w:pPr>
      <w:r w:rsidRPr="000C0842">
        <w:rPr>
          <w:rFonts w:eastAsia="SimSun"/>
          <w:sz w:val="24"/>
          <w:szCs w:val="24"/>
          <w:shd w:val="clear" w:color="auto" w:fill="FFFFFF"/>
          <w:lang w:val="en-CA"/>
        </w:rPr>
        <w:t xml:space="preserve"> 2.</w:t>
      </w:r>
      <w:r w:rsidRPr="000C0842">
        <w:rPr>
          <w:rFonts w:eastAsia="SimSun"/>
          <w:sz w:val="24"/>
          <w:szCs w:val="24"/>
          <w:shd w:val="clear" w:color="auto" w:fill="FFFFFF"/>
          <w:lang w:val="en-CA"/>
        </w:rPr>
        <w:tab/>
      </w:r>
      <w:r w:rsidRPr="000C0842">
        <w:rPr>
          <w:rFonts w:eastAsia="KaiTi" w:hint="eastAsia"/>
          <w:sz w:val="24"/>
          <w:szCs w:val="24"/>
          <w:lang w:val="en-CA"/>
        </w:rPr>
        <w:t>重申</w:t>
      </w:r>
      <w:r w:rsidRPr="000C0842">
        <w:rPr>
          <w:rFonts w:eastAsia="SimSun" w:hint="eastAsia"/>
          <w:sz w:val="24"/>
          <w:szCs w:val="24"/>
          <w:shd w:val="clear" w:color="auto" w:fill="FFFFFF"/>
          <w:lang w:val="en-CA"/>
        </w:rPr>
        <w:t>如因特殊情况难以举行面对面会议，经缔约方磋商和作为卡塔赫纳议定书缔约方会议的缔约方大会主席团决定，上文第</w:t>
      </w:r>
      <w:r w:rsidRPr="000C0842">
        <w:rPr>
          <w:rFonts w:eastAsia="SimSun"/>
          <w:sz w:val="24"/>
          <w:szCs w:val="24"/>
          <w:shd w:val="clear" w:color="auto" w:fill="FFFFFF"/>
          <w:lang w:val="en-CA"/>
        </w:rPr>
        <w:t>1</w:t>
      </w:r>
      <w:r w:rsidRPr="000C0842">
        <w:rPr>
          <w:rFonts w:eastAsia="SimSun" w:hint="eastAsia"/>
          <w:sz w:val="24"/>
          <w:szCs w:val="24"/>
          <w:shd w:val="clear" w:color="auto" w:fill="FFFFFF"/>
          <w:lang w:val="en-CA"/>
        </w:rPr>
        <w:t>段所述会议可通过能够在线互动的参与方式虚拟举行，只是不得以在线方式作出实质性决定，但有关预算和程序事项的决定除外，以便生物多样性公约秘书处能够运作；</w:t>
      </w:r>
      <w:r w:rsidRPr="000C0842">
        <w:rPr>
          <w:rFonts w:eastAsia="SimSun"/>
          <w:sz w:val="24"/>
          <w:szCs w:val="24"/>
          <w:shd w:val="clear" w:color="auto" w:fill="FFFFFF"/>
          <w:lang w:val="en-CA"/>
        </w:rPr>
        <w:t xml:space="preserve"> </w:t>
      </w:r>
    </w:p>
    <w:p w14:paraId="63B12629" w14:textId="77777777" w:rsidR="00DB4743" w:rsidRPr="000C0842" w:rsidRDefault="00DB4743" w:rsidP="00DB4743">
      <w:pPr>
        <w:tabs>
          <w:tab w:val="clear" w:pos="567"/>
          <w:tab w:val="clear" w:pos="1134"/>
          <w:tab w:val="clear" w:pos="1701"/>
          <w:tab w:val="clear" w:pos="2268"/>
        </w:tabs>
        <w:spacing w:before="120" w:after="120"/>
        <w:ind w:left="490" w:firstLine="490"/>
        <w:jc w:val="left"/>
        <w:rPr>
          <w:rFonts w:eastAsia="SimSun"/>
          <w:sz w:val="24"/>
          <w:szCs w:val="24"/>
          <w:shd w:val="clear" w:color="auto" w:fill="FFFFFF"/>
          <w:lang w:val="en-CA"/>
        </w:rPr>
      </w:pPr>
      <w:r w:rsidRPr="000C0842">
        <w:rPr>
          <w:rFonts w:eastAsia="SimSun"/>
          <w:sz w:val="24"/>
          <w:szCs w:val="24"/>
          <w:shd w:val="clear" w:color="auto" w:fill="FFFFFF"/>
          <w:lang w:val="en-CA"/>
        </w:rPr>
        <w:t>3.</w:t>
      </w:r>
      <w:r w:rsidRPr="000C0842">
        <w:rPr>
          <w:rFonts w:eastAsia="SimSun"/>
          <w:sz w:val="24"/>
          <w:szCs w:val="24"/>
          <w:shd w:val="clear" w:color="auto" w:fill="FFFFFF"/>
          <w:lang w:val="en-CA"/>
        </w:rPr>
        <w:tab/>
      </w:r>
      <w:r w:rsidRPr="000C0842">
        <w:rPr>
          <w:rFonts w:eastAsia="KaiTi" w:hint="eastAsia"/>
          <w:sz w:val="24"/>
          <w:szCs w:val="24"/>
          <w:lang w:val="en-CA"/>
        </w:rPr>
        <w:t>注意到</w:t>
      </w:r>
      <w:r w:rsidRPr="000C0842">
        <w:rPr>
          <w:rFonts w:eastAsia="SimSun" w:hint="eastAsia"/>
          <w:sz w:val="24"/>
          <w:szCs w:val="24"/>
          <w:shd w:val="clear" w:color="auto" w:fill="FFFFFF"/>
          <w:lang w:val="en-CA"/>
        </w:rPr>
        <w:t>如因特殊情况难以举行面对面会议，</w:t>
      </w:r>
      <w:bookmarkStart w:id="92" w:name="_Hlk185068082"/>
      <w:r w:rsidRPr="000C0842">
        <w:rPr>
          <w:rFonts w:eastAsia="SimSun" w:hint="eastAsia"/>
          <w:sz w:val="24"/>
          <w:szCs w:val="24"/>
          <w:shd w:val="clear" w:color="auto" w:fill="FFFFFF"/>
          <w:lang w:val="en-CA"/>
        </w:rPr>
        <w:t>经主席团成员与各自区域磋商和缔约方大会主席团决定，可采用议事规则中关于召开特别会议的程序，按照联合国惯例以默许程序</w:t>
      </w:r>
      <w:r w:rsidRPr="000C0842">
        <w:rPr>
          <w:rFonts w:eastAsia="SimSun"/>
          <w:sz w:val="24"/>
          <w:szCs w:val="24"/>
          <w:shd w:val="clear" w:color="auto" w:fill="FFFFFF"/>
          <w:vertAlign w:val="superscript"/>
          <w:lang w:val="en-CA"/>
        </w:rPr>
        <w:footnoteReference w:id="368"/>
      </w:r>
      <w:r w:rsidRPr="000C0842">
        <w:rPr>
          <w:rFonts w:eastAsia="SimSun" w:hint="eastAsia"/>
          <w:sz w:val="24"/>
          <w:szCs w:val="24"/>
          <w:shd w:val="clear" w:color="auto" w:fill="FFFFFF"/>
          <w:lang w:val="en-CA"/>
        </w:rPr>
        <w:t>就诸如预算等事项作出紧急决定</w:t>
      </w:r>
      <w:bookmarkEnd w:id="92"/>
      <w:r w:rsidRPr="000C0842">
        <w:rPr>
          <w:rFonts w:eastAsia="SimSun" w:hint="eastAsia"/>
          <w:sz w:val="24"/>
          <w:szCs w:val="24"/>
          <w:shd w:val="clear" w:color="auto" w:fill="FFFFFF"/>
          <w:lang w:val="en-CA"/>
        </w:rPr>
        <w:t>；</w:t>
      </w:r>
      <w:r w:rsidRPr="000C0842">
        <w:rPr>
          <w:rFonts w:eastAsia="SimSun"/>
          <w:sz w:val="24"/>
          <w:szCs w:val="24"/>
          <w:shd w:val="clear" w:color="auto" w:fill="FFFFFF"/>
          <w:lang w:val="en-CA"/>
        </w:rPr>
        <w:t xml:space="preserve"> </w:t>
      </w:r>
    </w:p>
    <w:p w14:paraId="1E11D6DA" w14:textId="77777777" w:rsidR="00DB4743" w:rsidRPr="000C0842" w:rsidRDefault="00DB4743" w:rsidP="00DB4743">
      <w:pPr>
        <w:tabs>
          <w:tab w:val="clear" w:pos="567"/>
          <w:tab w:val="clear" w:pos="1134"/>
          <w:tab w:val="clear" w:pos="1701"/>
          <w:tab w:val="clear" w:pos="2268"/>
        </w:tabs>
        <w:spacing w:before="120" w:after="120"/>
        <w:ind w:left="490" w:firstLine="490"/>
        <w:jc w:val="left"/>
        <w:rPr>
          <w:rFonts w:eastAsia="SimSun"/>
          <w:sz w:val="24"/>
          <w:szCs w:val="24"/>
          <w:shd w:val="clear" w:color="auto" w:fill="FFFFFF"/>
          <w:lang w:val="en-CA"/>
        </w:rPr>
      </w:pPr>
      <w:r w:rsidRPr="000C0842">
        <w:rPr>
          <w:rFonts w:eastAsia="SimSun"/>
          <w:sz w:val="24"/>
          <w:szCs w:val="24"/>
          <w:shd w:val="clear" w:color="auto" w:fill="FFFFFF"/>
          <w:lang w:val="en-CA"/>
        </w:rPr>
        <w:t>4.</w:t>
      </w:r>
      <w:r w:rsidRPr="000C0842">
        <w:rPr>
          <w:rFonts w:eastAsia="SimSun"/>
          <w:sz w:val="24"/>
          <w:szCs w:val="24"/>
          <w:shd w:val="clear" w:color="auto" w:fill="FFFFFF"/>
          <w:lang w:val="en-CA"/>
        </w:rPr>
        <w:tab/>
      </w:r>
      <w:bookmarkStart w:id="93" w:name="_Hlk185069215"/>
      <w:r w:rsidRPr="000C0842">
        <w:rPr>
          <w:rFonts w:eastAsia="KaiTi" w:hint="eastAsia"/>
          <w:sz w:val="24"/>
          <w:szCs w:val="24"/>
          <w:lang w:val="en-CA"/>
        </w:rPr>
        <w:t>请</w:t>
      </w:r>
      <w:bookmarkStart w:id="94" w:name="_Hlk185068177"/>
      <w:r w:rsidRPr="000C0842">
        <w:rPr>
          <w:rFonts w:eastAsia="SimSun" w:hint="eastAsia"/>
          <w:sz w:val="24"/>
          <w:szCs w:val="24"/>
          <w:shd w:val="clear" w:color="auto" w:fill="FFFFFF"/>
          <w:lang w:val="en-CA"/>
        </w:rPr>
        <w:t>执行秘书始终把提供在线播放会议过程列入上文第</w:t>
      </w:r>
      <w:r w:rsidRPr="000C0842">
        <w:rPr>
          <w:rFonts w:eastAsia="SimSun"/>
          <w:sz w:val="24"/>
          <w:szCs w:val="24"/>
          <w:shd w:val="clear" w:color="auto" w:fill="FFFFFF"/>
          <w:lang w:val="en-CA"/>
        </w:rPr>
        <w:t>1</w:t>
      </w:r>
      <w:r w:rsidRPr="000C0842">
        <w:rPr>
          <w:rFonts w:eastAsia="SimSun" w:hint="eastAsia"/>
          <w:sz w:val="24"/>
          <w:szCs w:val="24"/>
          <w:shd w:val="clear" w:color="auto" w:fill="FFFFFF"/>
          <w:lang w:val="en-CA"/>
        </w:rPr>
        <w:t>段所述会议的安排，使所有正式登记的代表都能实时跟踪会议情况</w:t>
      </w:r>
      <w:bookmarkEnd w:id="94"/>
      <w:r w:rsidRPr="000C0842">
        <w:rPr>
          <w:rFonts w:eastAsia="SimSun" w:hint="eastAsia"/>
          <w:sz w:val="24"/>
          <w:szCs w:val="24"/>
          <w:shd w:val="clear" w:color="auto" w:fill="FFFFFF"/>
          <w:lang w:val="en-CA"/>
        </w:rPr>
        <w:t>；</w:t>
      </w:r>
      <w:bookmarkEnd w:id="93"/>
    </w:p>
    <w:p w14:paraId="2D6C2883" w14:textId="77777777" w:rsidR="00DB4743" w:rsidRPr="000C0842" w:rsidRDefault="00DB4743" w:rsidP="00DB4743">
      <w:pPr>
        <w:tabs>
          <w:tab w:val="clear" w:pos="567"/>
          <w:tab w:val="clear" w:pos="1134"/>
          <w:tab w:val="clear" w:pos="1701"/>
          <w:tab w:val="clear" w:pos="2268"/>
        </w:tabs>
        <w:spacing w:before="120" w:after="120"/>
        <w:ind w:left="490" w:firstLine="490"/>
        <w:jc w:val="left"/>
        <w:rPr>
          <w:rFonts w:eastAsia="SimSun"/>
          <w:sz w:val="24"/>
          <w:szCs w:val="24"/>
          <w:lang w:val="en-CA"/>
        </w:rPr>
      </w:pPr>
      <w:r w:rsidRPr="000C0842">
        <w:rPr>
          <w:rFonts w:eastAsia="KaiTi"/>
          <w:sz w:val="24"/>
          <w:szCs w:val="24"/>
          <w:lang w:val="en-CA"/>
        </w:rPr>
        <w:t>5.</w:t>
      </w:r>
      <w:r w:rsidRPr="000C0842">
        <w:rPr>
          <w:rFonts w:eastAsia="KaiTi"/>
          <w:sz w:val="24"/>
          <w:szCs w:val="24"/>
          <w:lang w:val="en-CA"/>
        </w:rPr>
        <w:tab/>
      </w:r>
      <w:r w:rsidRPr="000C0842">
        <w:rPr>
          <w:rFonts w:eastAsia="KaiTi" w:hAnsi="Gungsuh" w:hint="eastAsia"/>
          <w:sz w:val="24"/>
          <w:szCs w:val="24"/>
          <w:lang w:val="en-CA"/>
        </w:rPr>
        <w:t>注意到</w:t>
      </w:r>
      <w:r w:rsidRPr="000C0842">
        <w:rPr>
          <w:rFonts w:eastAsia="SimSun" w:hAnsi="Gungsuh" w:hint="eastAsia"/>
          <w:sz w:val="24"/>
          <w:szCs w:val="24"/>
          <w:lang w:val="en-CA"/>
        </w:rPr>
        <w:t>专家小组、咨询小组和其他成员人数有限的小组可根据各自的任务授权并酌情根据各自的议事规则，</w:t>
      </w:r>
      <w:r w:rsidRPr="000C0842">
        <w:rPr>
          <w:rFonts w:eastAsia="SimSun" w:hint="eastAsia"/>
          <w:sz w:val="24"/>
          <w:szCs w:val="24"/>
          <w:lang w:val="en-CA"/>
        </w:rPr>
        <w:t>以面对面、</w:t>
      </w:r>
      <w:r w:rsidRPr="000C0842">
        <w:rPr>
          <w:rFonts w:eastAsia="SimSun" w:hAnsi="SimSun" w:hint="eastAsia"/>
          <w:sz w:val="24"/>
          <w:szCs w:val="24"/>
          <w:lang w:val="en-CA"/>
        </w:rPr>
        <w:t>在线</w:t>
      </w:r>
      <w:r w:rsidRPr="000C0842">
        <w:rPr>
          <w:rFonts w:eastAsia="SimSun" w:hint="eastAsia"/>
          <w:sz w:val="24"/>
          <w:szCs w:val="24"/>
          <w:lang w:val="en-CA"/>
        </w:rPr>
        <w:t>或混合形式举行会议；</w:t>
      </w:r>
      <w:r w:rsidRPr="000C0842">
        <w:rPr>
          <w:rFonts w:eastAsia="SimSun"/>
          <w:sz w:val="24"/>
          <w:szCs w:val="24"/>
          <w:lang w:val="en-CA"/>
        </w:rPr>
        <w:t xml:space="preserve"> </w:t>
      </w:r>
    </w:p>
    <w:p w14:paraId="295AEFB9" w14:textId="77777777" w:rsidR="00DB4743" w:rsidRPr="000C0842" w:rsidRDefault="00DB4743" w:rsidP="00DB4743">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6.</w:t>
      </w:r>
      <w:r w:rsidRPr="000C0842">
        <w:rPr>
          <w:rFonts w:eastAsia="SimSun"/>
          <w:sz w:val="24"/>
          <w:szCs w:val="24"/>
          <w:lang w:val="en-CA"/>
        </w:rPr>
        <w:tab/>
      </w:r>
      <w:r w:rsidRPr="000C0842">
        <w:rPr>
          <w:rFonts w:eastAsia="KaiTi" w:hint="eastAsia"/>
          <w:sz w:val="24"/>
          <w:szCs w:val="24"/>
          <w:lang w:val="en-CA"/>
        </w:rPr>
        <w:t>又注意到</w:t>
      </w:r>
      <w:r w:rsidRPr="000C0842">
        <w:rPr>
          <w:rFonts w:eastAsia="SimSun" w:hint="eastAsia"/>
          <w:sz w:val="24"/>
          <w:szCs w:val="24"/>
          <w:lang w:val="en-CA"/>
        </w:rPr>
        <w:t>闭会期间主席团可举行</w:t>
      </w:r>
      <w:r w:rsidRPr="000C0842">
        <w:rPr>
          <w:rFonts w:eastAsia="SimSun" w:hAnsi="SimSun" w:hint="eastAsia"/>
          <w:sz w:val="24"/>
          <w:szCs w:val="24"/>
          <w:lang w:val="en-CA"/>
        </w:rPr>
        <w:t>在线</w:t>
      </w:r>
      <w:r w:rsidRPr="000C0842">
        <w:rPr>
          <w:rFonts w:eastAsia="SimSun" w:hint="eastAsia"/>
          <w:sz w:val="24"/>
          <w:szCs w:val="24"/>
          <w:lang w:val="en-CA"/>
        </w:rPr>
        <w:t>会议，就缔约方大会和相关附属机构会议的筹备和举行向秘书处持续提供指导；</w:t>
      </w:r>
      <w:r w:rsidRPr="000C0842">
        <w:rPr>
          <w:rFonts w:eastAsia="SimSun"/>
          <w:sz w:val="24"/>
          <w:szCs w:val="24"/>
          <w:lang w:val="en-CA"/>
        </w:rPr>
        <w:t xml:space="preserve"> </w:t>
      </w:r>
    </w:p>
    <w:p w14:paraId="20AB66A6" w14:textId="77777777" w:rsidR="00DB4743" w:rsidRPr="000C0842" w:rsidRDefault="00DB4743" w:rsidP="00DB4743">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7.</w:t>
      </w:r>
      <w:r w:rsidRPr="000C0842">
        <w:rPr>
          <w:rFonts w:eastAsia="SimSun"/>
          <w:sz w:val="24"/>
          <w:szCs w:val="24"/>
          <w:lang w:val="en-CA"/>
        </w:rPr>
        <w:tab/>
      </w:r>
      <w:r w:rsidRPr="000C0842">
        <w:rPr>
          <w:rFonts w:eastAsia="KaiTi" w:hint="eastAsia"/>
          <w:sz w:val="24"/>
          <w:szCs w:val="24"/>
          <w:lang w:val="en-CA"/>
        </w:rPr>
        <w:t>决定</w:t>
      </w:r>
      <w:r w:rsidRPr="000C0842">
        <w:rPr>
          <w:rFonts w:eastAsia="SimSun" w:hint="eastAsia"/>
          <w:sz w:val="24"/>
          <w:szCs w:val="24"/>
          <w:lang w:val="en-CA"/>
        </w:rPr>
        <w:t>：</w:t>
      </w:r>
    </w:p>
    <w:p w14:paraId="6A8DAAFF" w14:textId="63C33696" w:rsidR="00DB4743" w:rsidRPr="000C0842" w:rsidRDefault="00DB4743">
      <w:pPr>
        <w:pStyle w:val="ListParagraph"/>
        <w:numPr>
          <w:ilvl w:val="0"/>
          <w:numId w:val="239"/>
        </w:numPr>
        <w:tabs>
          <w:tab w:val="clear" w:pos="567"/>
          <w:tab w:val="clear" w:pos="1134"/>
          <w:tab w:val="clear" w:pos="1701"/>
          <w:tab w:val="clear" w:pos="2268"/>
        </w:tabs>
        <w:adjustRightInd w:val="0"/>
        <w:snapToGrid w:val="0"/>
        <w:spacing w:before="120" w:after="120"/>
        <w:ind w:left="490" w:firstLine="490"/>
        <w:contextualSpacing w:val="0"/>
        <w:rPr>
          <w:rFonts w:eastAsia="SimSun"/>
          <w:sz w:val="24"/>
          <w:szCs w:val="24"/>
          <w:lang w:val="en-CA"/>
        </w:rPr>
      </w:pPr>
      <w:bookmarkStart w:id="95" w:name="_Hlk185069464"/>
      <w:r w:rsidRPr="000C0842">
        <w:rPr>
          <w:rFonts w:eastAsia="SimSun" w:hint="eastAsia"/>
          <w:sz w:val="24"/>
          <w:szCs w:val="24"/>
          <w:lang w:val="en-CA"/>
        </w:rPr>
        <w:t>任何</w:t>
      </w:r>
      <w:r w:rsidRPr="000C0842">
        <w:rPr>
          <w:rFonts w:eastAsia="SimSun" w:hAnsi="SimSun" w:hint="eastAsia"/>
          <w:sz w:val="24"/>
          <w:szCs w:val="24"/>
          <w:lang w:val="en-CA"/>
        </w:rPr>
        <w:t>在线</w:t>
      </w:r>
      <w:r w:rsidRPr="000C0842">
        <w:rPr>
          <w:rFonts w:eastAsia="SimSun" w:hint="eastAsia"/>
          <w:sz w:val="24"/>
          <w:szCs w:val="24"/>
          <w:lang w:val="en-CA"/>
        </w:rPr>
        <w:t>会议的运作方式均应清楚列入秘书处与相关主席团磋商后编写的设想说明，并在会议之前提供给所有缔约方；</w:t>
      </w:r>
      <w:r w:rsidRPr="000C0842">
        <w:rPr>
          <w:rFonts w:eastAsia="SimSun"/>
          <w:sz w:val="24"/>
          <w:szCs w:val="24"/>
          <w:lang w:val="en-CA"/>
        </w:rPr>
        <w:t xml:space="preserve"> </w:t>
      </w:r>
    </w:p>
    <w:p w14:paraId="57E5D76B" w14:textId="3E28C795" w:rsidR="00DB4743" w:rsidRPr="000C0842" w:rsidRDefault="00DB4743">
      <w:pPr>
        <w:pStyle w:val="ListParagraph"/>
        <w:numPr>
          <w:ilvl w:val="0"/>
          <w:numId w:val="239"/>
        </w:numPr>
        <w:tabs>
          <w:tab w:val="clear" w:pos="567"/>
          <w:tab w:val="clear" w:pos="1134"/>
          <w:tab w:val="clear" w:pos="1701"/>
          <w:tab w:val="clear" w:pos="2268"/>
        </w:tabs>
        <w:adjustRightInd w:val="0"/>
        <w:snapToGrid w:val="0"/>
        <w:spacing w:before="120" w:after="120"/>
        <w:ind w:left="490" w:firstLine="490"/>
        <w:contextualSpacing w:val="0"/>
        <w:rPr>
          <w:rFonts w:eastAsia="SimSun"/>
          <w:sz w:val="24"/>
          <w:szCs w:val="24"/>
          <w:lang w:val="en-CA"/>
        </w:rPr>
      </w:pPr>
      <w:r w:rsidRPr="000C0842">
        <w:rPr>
          <w:rFonts w:eastAsia="SimSun" w:hint="eastAsia"/>
          <w:sz w:val="24"/>
          <w:szCs w:val="24"/>
          <w:lang w:val="en-CA"/>
        </w:rPr>
        <w:t>安排虚拟会议时，秘书处应考虑到各时区的时差对与会者健康和福祉造成的巨大负担，并力求使所有区域的缔约方都能公平参与，包括通过轮换时区；</w:t>
      </w:r>
    </w:p>
    <w:p w14:paraId="27861B75" w14:textId="61F61059" w:rsidR="00DB4743" w:rsidRPr="000C0842" w:rsidRDefault="00DB4743">
      <w:pPr>
        <w:pStyle w:val="ListParagraph"/>
        <w:numPr>
          <w:ilvl w:val="0"/>
          <w:numId w:val="239"/>
        </w:numPr>
        <w:tabs>
          <w:tab w:val="clear" w:pos="567"/>
          <w:tab w:val="clear" w:pos="1134"/>
          <w:tab w:val="clear" w:pos="1701"/>
          <w:tab w:val="clear" w:pos="2268"/>
        </w:tabs>
        <w:adjustRightInd w:val="0"/>
        <w:snapToGrid w:val="0"/>
        <w:spacing w:before="120" w:after="120"/>
        <w:ind w:left="490" w:firstLine="490"/>
        <w:contextualSpacing w:val="0"/>
        <w:rPr>
          <w:rFonts w:eastAsia="SimSun"/>
          <w:sz w:val="24"/>
          <w:szCs w:val="24"/>
          <w:lang w:val="en-CA"/>
        </w:rPr>
      </w:pPr>
      <w:r w:rsidRPr="000C0842">
        <w:rPr>
          <w:rFonts w:eastAsia="SimSun" w:hAnsi="SimSun" w:hint="eastAsia"/>
          <w:sz w:val="24"/>
          <w:szCs w:val="24"/>
          <w:lang w:val="en-CA"/>
        </w:rPr>
        <w:t>在线</w:t>
      </w:r>
      <w:r w:rsidRPr="000C0842">
        <w:rPr>
          <w:rFonts w:eastAsia="SimSun" w:hint="eastAsia"/>
          <w:sz w:val="24"/>
          <w:szCs w:val="24"/>
          <w:lang w:val="en-CA"/>
        </w:rPr>
        <w:t>会议的时间最好限制在每天连续两个小时；</w:t>
      </w:r>
      <w:r w:rsidRPr="000C0842">
        <w:rPr>
          <w:rFonts w:eastAsia="SimSun"/>
          <w:sz w:val="24"/>
          <w:szCs w:val="24"/>
          <w:lang w:val="en-CA"/>
        </w:rPr>
        <w:t xml:space="preserve"> </w:t>
      </w:r>
    </w:p>
    <w:p w14:paraId="5ED82D72" w14:textId="47A97B25" w:rsidR="00DB4743" w:rsidRPr="000C0842" w:rsidRDefault="00DB4743">
      <w:pPr>
        <w:pStyle w:val="ListParagraph"/>
        <w:numPr>
          <w:ilvl w:val="0"/>
          <w:numId w:val="239"/>
        </w:numPr>
        <w:tabs>
          <w:tab w:val="clear" w:pos="567"/>
          <w:tab w:val="clear" w:pos="1134"/>
          <w:tab w:val="clear" w:pos="1701"/>
          <w:tab w:val="clear" w:pos="2268"/>
        </w:tabs>
        <w:adjustRightInd w:val="0"/>
        <w:snapToGrid w:val="0"/>
        <w:spacing w:before="120" w:after="120"/>
        <w:ind w:left="490" w:firstLine="490"/>
        <w:contextualSpacing w:val="0"/>
        <w:rPr>
          <w:rFonts w:eastAsia="SimSun"/>
          <w:sz w:val="24"/>
          <w:szCs w:val="24"/>
          <w:lang w:val="en-CA"/>
        </w:rPr>
      </w:pPr>
      <w:r w:rsidRPr="000C0842">
        <w:rPr>
          <w:rFonts w:eastAsia="SimSun" w:hint="eastAsia"/>
          <w:sz w:val="24"/>
          <w:szCs w:val="24"/>
          <w:lang w:val="en-CA"/>
        </w:rPr>
        <w:t>秘书处应采取措施，便利所有与会者有效地在线参加</w:t>
      </w:r>
      <w:r w:rsidRPr="000C0842">
        <w:rPr>
          <w:rFonts w:eastAsia="SimSun" w:hAnsi="SimSun" w:hint="eastAsia"/>
          <w:sz w:val="24"/>
          <w:szCs w:val="24"/>
          <w:lang w:val="en-CA"/>
        </w:rPr>
        <w:t>虚拟</w:t>
      </w:r>
      <w:r w:rsidRPr="000C0842">
        <w:rPr>
          <w:rFonts w:eastAsia="SimSun" w:hint="eastAsia"/>
          <w:sz w:val="24"/>
          <w:szCs w:val="24"/>
          <w:lang w:val="en-CA"/>
        </w:rPr>
        <w:t>会议和混合会议，特别是协助缔约方克服网络和连接方面的困难，包括通过为所有时区提供方便的事先培训和测试机会，在可能的情况下，应有关缔约方的请求，经过事先安排，为使用相关联合国国家</w:t>
      </w:r>
      <w:r w:rsidRPr="000C0842">
        <w:rPr>
          <w:rFonts w:eastAsia="SimSun"/>
          <w:sz w:val="24"/>
          <w:szCs w:val="24"/>
          <w:lang w:val="en-CA"/>
        </w:rPr>
        <w:t xml:space="preserve"> </w:t>
      </w:r>
      <w:r w:rsidRPr="000C0842">
        <w:rPr>
          <w:rFonts w:eastAsia="SimSun" w:hint="eastAsia"/>
          <w:sz w:val="24"/>
          <w:szCs w:val="24"/>
          <w:lang w:val="en-CA"/>
        </w:rPr>
        <w:t>办事处的会议设施提供便利，并采取一切适当措施协助在联网和使用互动平台方面遇到困难的缔约方。</w:t>
      </w:r>
    </w:p>
    <w:p w14:paraId="45EDD2A5" w14:textId="77777777" w:rsidR="00DB4743" w:rsidRPr="000C0842" w:rsidRDefault="00DB4743" w:rsidP="008206FE">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br w:type="page"/>
      </w:r>
    </w:p>
    <w:p w14:paraId="0874DF98" w14:textId="506B0D6D" w:rsidR="00DB4743" w:rsidRPr="000C0842" w:rsidRDefault="00DB4743" w:rsidP="002437E6">
      <w:pPr>
        <w:pStyle w:val="a1"/>
        <w:rPr>
          <w:rFonts w:hint="eastAsia"/>
          <w:b w:val="0"/>
          <w:bCs/>
          <w:lang w:eastAsia="zh-CN"/>
        </w:rPr>
      </w:pPr>
      <w:bookmarkStart w:id="96" w:name="_Toc206358222"/>
      <w:r w:rsidRPr="000C0842">
        <w:rPr>
          <w:lang w:eastAsia="zh-CN"/>
        </w:rPr>
        <w:t xml:space="preserve">16/25.  </w:t>
      </w:r>
      <w:r w:rsidRPr="000C0842">
        <w:rPr>
          <w:rFonts w:hint="eastAsia"/>
          <w:lang w:eastAsia="zh-CN"/>
        </w:rPr>
        <w:t>进一步提高《公约》及其议定书下各进程的成效的备选方案</w:t>
      </w:r>
      <w:bookmarkEnd w:id="96"/>
      <w:r w:rsidRPr="000C0842">
        <w:rPr>
          <w:rFonts w:hint="eastAsia"/>
          <w:lang w:eastAsia="zh-CN"/>
        </w:rPr>
        <w:t xml:space="preserve"> </w:t>
      </w:r>
    </w:p>
    <w:p w14:paraId="06B27A1A" w14:textId="77777777" w:rsidR="00DB4743" w:rsidRPr="000C0842" w:rsidRDefault="00DB4743" w:rsidP="00F1403D">
      <w:pPr>
        <w:tabs>
          <w:tab w:val="clear" w:pos="567"/>
          <w:tab w:val="clear" w:pos="1134"/>
          <w:tab w:val="clear" w:pos="1701"/>
          <w:tab w:val="clear" w:pos="2268"/>
        </w:tabs>
        <w:spacing w:before="240" w:after="120"/>
        <w:ind w:left="490" w:firstLine="490"/>
        <w:rPr>
          <w:rFonts w:eastAsia="KaiTi"/>
          <w:sz w:val="24"/>
          <w:szCs w:val="24"/>
        </w:rPr>
      </w:pPr>
      <w:r w:rsidRPr="000C0842">
        <w:rPr>
          <w:rFonts w:eastAsia="KaiTi"/>
          <w:sz w:val="24"/>
          <w:szCs w:val="24"/>
        </w:rPr>
        <w:t>缔约方大会，</w:t>
      </w:r>
    </w:p>
    <w:p w14:paraId="0802ED8C" w14:textId="77777777" w:rsidR="00DB4743" w:rsidRPr="000C0842" w:rsidRDefault="00DB4743" w:rsidP="00DB4743">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回顾</w:t>
      </w:r>
      <w:r w:rsidRPr="000C0842">
        <w:rPr>
          <w:rFonts w:eastAsia="KaiTi" w:hint="eastAsia"/>
          <w:sz w:val="24"/>
          <w:szCs w:val="24"/>
        </w:rPr>
        <w:t>2014</w:t>
      </w:r>
      <w:r w:rsidRPr="000C0842">
        <w:rPr>
          <w:rFonts w:eastAsia="KaiTi" w:hint="eastAsia"/>
          <w:sz w:val="24"/>
          <w:szCs w:val="24"/>
        </w:rPr>
        <w:t>年</w:t>
      </w:r>
      <w:r w:rsidRPr="000C0842">
        <w:rPr>
          <w:rFonts w:eastAsia="SimSun" w:hint="eastAsia"/>
          <w:sz w:val="24"/>
          <w:szCs w:val="24"/>
        </w:rPr>
        <w:t>10</w:t>
      </w:r>
      <w:r w:rsidRPr="000C0842">
        <w:rPr>
          <w:rFonts w:eastAsia="SimSun" w:hint="eastAsia"/>
          <w:sz w:val="24"/>
          <w:szCs w:val="24"/>
        </w:rPr>
        <w:t>月</w:t>
      </w:r>
      <w:r w:rsidRPr="000C0842">
        <w:rPr>
          <w:rFonts w:eastAsia="SimSun" w:hint="eastAsia"/>
          <w:sz w:val="24"/>
          <w:szCs w:val="24"/>
        </w:rPr>
        <w:t>17</w:t>
      </w:r>
      <w:r w:rsidRPr="000C0842">
        <w:rPr>
          <w:rFonts w:eastAsia="SimSun" w:hint="eastAsia"/>
          <w:sz w:val="24"/>
          <w:szCs w:val="24"/>
        </w:rPr>
        <w:t>日第</w:t>
      </w:r>
      <w:hyperlink r:id="rId240" w:history="1">
        <w:r w:rsidRPr="000C0842">
          <w:rPr>
            <w:rFonts w:eastAsia="SimSun" w:hint="eastAsia"/>
            <w:sz w:val="24"/>
            <w:szCs w:val="24"/>
            <w:u w:val="single"/>
          </w:rPr>
          <w:t>XII/29</w:t>
        </w:r>
      </w:hyperlink>
      <w:r w:rsidRPr="000C0842">
        <w:rPr>
          <w:rFonts w:eastAsia="SimSun" w:hint="eastAsia"/>
          <w:sz w:val="24"/>
          <w:szCs w:val="24"/>
        </w:rPr>
        <w:t>号和</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10</w:t>
      </w:r>
      <w:r w:rsidRPr="000C0842">
        <w:rPr>
          <w:rFonts w:eastAsia="SimSun"/>
          <w:sz w:val="24"/>
          <w:szCs w:val="24"/>
        </w:rPr>
        <w:t>日第</w:t>
      </w:r>
      <w:hyperlink r:id="rId241" w:history="1">
        <w:r w:rsidRPr="000C0842">
          <w:rPr>
            <w:rFonts w:eastAsia="SimSun"/>
            <w:sz w:val="24"/>
            <w:szCs w:val="24"/>
            <w:u w:val="single"/>
          </w:rPr>
          <w:t>15/18</w:t>
        </w:r>
      </w:hyperlink>
      <w:r w:rsidRPr="000C0842">
        <w:rPr>
          <w:rFonts w:eastAsia="SimSun"/>
          <w:sz w:val="24"/>
          <w:szCs w:val="24"/>
        </w:rPr>
        <w:t>号决定，</w:t>
      </w:r>
      <w:r w:rsidRPr="000C0842">
        <w:rPr>
          <w:rFonts w:eastAsia="SimSun"/>
          <w:sz w:val="24"/>
          <w:szCs w:val="24"/>
        </w:rPr>
        <w:t xml:space="preserve"> </w:t>
      </w:r>
    </w:p>
    <w:p w14:paraId="735FCCE1" w14:textId="77777777" w:rsidR="00DB4743" w:rsidRPr="000C0842" w:rsidRDefault="00DB4743" w:rsidP="00DB4743">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认识到</w:t>
      </w:r>
      <w:r w:rsidRPr="000C0842">
        <w:rPr>
          <w:rFonts w:eastAsia="SimSun"/>
          <w:sz w:val="24"/>
          <w:szCs w:val="24"/>
        </w:rPr>
        <w:t>需要进一步提高《生物多样性公约》</w:t>
      </w:r>
      <w:r w:rsidRPr="000C0842">
        <w:rPr>
          <w:rFonts w:eastAsia="SimSun"/>
          <w:sz w:val="24"/>
          <w:szCs w:val="24"/>
          <w:vertAlign w:val="superscript"/>
        </w:rPr>
        <w:footnoteReference w:id="369"/>
      </w:r>
      <w:r w:rsidRPr="000C0842">
        <w:rPr>
          <w:rFonts w:eastAsia="SimSun"/>
          <w:sz w:val="24"/>
          <w:szCs w:val="24"/>
        </w:rPr>
        <w:t>及其议定书下的会议的</w:t>
      </w:r>
      <w:r w:rsidRPr="000C0842">
        <w:rPr>
          <w:rFonts w:eastAsia="SimSun" w:hint="eastAsia"/>
          <w:sz w:val="24"/>
          <w:szCs w:val="24"/>
        </w:rPr>
        <w:t>成</w:t>
      </w:r>
      <w:r w:rsidRPr="000C0842">
        <w:rPr>
          <w:rFonts w:eastAsia="SimSun"/>
          <w:sz w:val="24"/>
          <w:szCs w:val="24"/>
        </w:rPr>
        <w:t>效</w:t>
      </w:r>
      <w:r w:rsidRPr="000C0842">
        <w:rPr>
          <w:rFonts w:eastAsia="SimSun" w:hint="eastAsia"/>
          <w:sz w:val="24"/>
          <w:szCs w:val="24"/>
        </w:rPr>
        <w:t>，</w:t>
      </w:r>
    </w:p>
    <w:p w14:paraId="3D43B658"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hint="eastAsia"/>
          <w:sz w:val="24"/>
          <w:szCs w:val="24"/>
        </w:rPr>
        <w:t>表示</w:t>
      </w:r>
      <w:r w:rsidRPr="000C0842">
        <w:rPr>
          <w:rFonts w:eastAsia="KaiTi"/>
          <w:sz w:val="24"/>
          <w:szCs w:val="24"/>
        </w:rPr>
        <w:t>注意到</w:t>
      </w:r>
      <w:hyperlink r:id="rId242" w:history="1">
        <w:r w:rsidRPr="000C0842">
          <w:rPr>
            <w:rFonts w:eastAsia="SimSun"/>
            <w:sz w:val="24"/>
            <w:szCs w:val="24"/>
            <w:u w:val="single"/>
          </w:rPr>
          <w:t>CBD/SBI/4/11</w:t>
        </w:r>
      </w:hyperlink>
      <w:r w:rsidRPr="000C0842">
        <w:rPr>
          <w:rFonts w:eastAsia="SimSun"/>
          <w:sz w:val="24"/>
          <w:szCs w:val="24"/>
        </w:rPr>
        <w:t>号文件概述的</w:t>
      </w:r>
      <w:r w:rsidRPr="000C0842">
        <w:rPr>
          <w:rFonts w:eastAsia="SimSun" w:hint="eastAsia"/>
          <w:sz w:val="24"/>
          <w:szCs w:val="24"/>
        </w:rPr>
        <w:t>近来</w:t>
      </w:r>
      <w:r w:rsidRPr="000C0842">
        <w:rPr>
          <w:rFonts w:eastAsia="SimSun"/>
          <w:sz w:val="24"/>
          <w:szCs w:val="24"/>
        </w:rPr>
        <w:t>经验和关于提高《公约》及其议定书下各进程</w:t>
      </w:r>
      <w:r w:rsidRPr="000C0842">
        <w:rPr>
          <w:rFonts w:eastAsia="SimSun" w:hint="eastAsia"/>
          <w:sz w:val="24"/>
          <w:szCs w:val="24"/>
        </w:rPr>
        <w:t>成</w:t>
      </w:r>
      <w:r w:rsidRPr="000C0842">
        <w:rPr>
          <w:rFonts w:eastAsia="SimSun"/>
          <w:sz w:val="24"/>
          <w:szCs w:val="24"/>
        </w:rPr>
        <w:t>效的进一步建议</w:t>
      </w:r>
      <w:r w:rsidRPr="000C0842">
        <w:rPr>
          <w:rFonts w:eastAsia="SimSun" w:hint="eastAsia"/>
          <w:sz w:val="24"/>
          <w:szCs w:val="24"/>
        </w:rPr>
        <w:t>；</w:t>
      </w:r>
    </w:p>
    <w:p w14:paraId="69B7294E"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rPr>
        <w:t>请</w:t>
      </w:r>
      <w:r w:rsidRPr="000C0842">
        <w:rPr>
          <w:rFonts w:eastAsia="SimSun"/>
          <w:sz w:val="24"/>
          <w:szCs w:val="24"/>
        </w:rPr>
        <w:t>执行秘书和主席团在编写未来会议工作安排和设想说明时借鉴这些经验；并在会议之前将这些说明提供给所有缔约方；</w:t>
      </w:r>
    </w:p>
    <w:p w14:paraId="32B87F49"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rPr>
        <w:t>请</w:t>
      </w:r>
      <w:r w:rsidRPr="000C0842">
        <w:rPr>
          <w:rFonts w:eastAsia="SimSun"/>
          <w:sz w:val="24"/>
          <w:szCs w:val="24"/>
        </w:rPr>
        <w:t>执行秘书与主席团一道，继续探索并酌情利用相关方式方法，如简化议程、事先对文件进行同行评议、提早提交发言稿等方法，促进会议的早期筹备工作；</w:t>
      </w:r>
    </w:p>
    <w:p w14:paraId="6AF7E736"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pPr>
      <w:r w:rsidRPr="000C0842">
        <w:rPr>
          <w:rFonts w:eastAsia="KaiTi"/>
          <w:sz w:val="24"/>
          <w:szCs w:val="24"/>
        </w:rPr>
        <w:t>建议</w:t>
      </w:r>
      <w:r w:rsidRPr="000C0842">
        <w:rPr>
          <w:rFonts w:eastAsia="SimSun"/>
          <w:sz w:val="24"/>
          <w:szCs w:val="24"/>
        </w:rPr>
        <w:t>在不限成员名额的附属机构会议期间，并行举行的联络小组会议和主席之友会议的场次应尽量限制在由秘书处资助与会的每个发展中国家缔约方的代表人数之内；</w:t>
      </w:r>
    </w:p>
    <w:p w14:paraId="436DFEB3"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ascii="KaiTi" w:eastAsia="KaiTi" w:hAnsi="KaiTi"/>
          <w:sz w:val="24"/>
          <w:szCs w:val="24"/>
        </w:rPr>
        <w:t>请</w:t>
      </w:r>
      <w:r w:rsidRPr="000C0842">
        <w:rPr>
          <w:rFonts w:eastAsia="SimSun"/>
          <w:sz w:val="24"/>
          <w:szCs w:val="24"/>
        </w:rPr>
        <w:t>执行秘书</w:t>
      </w:r>
      <w:r w:rsidRPr="000C0842">
        <w:rPr>
          <w:rFonts w:eastAsia="SimSun" w:hint="eastAsia"/>
          <w:sz w:val="24"/>
          <w:szCs w:val="24"/>
        </w:rPr>
        <w:t>帮助寻找更多资助</w:t>
      </w:r>
      <w:r w:rsidRPr="000C0842">
        <w:rPr>
          <w:rFonts w:eastAsia="SimSun"/>
          <w:sz w:val="24"/>
          <w:szCs w:val="24"/>
        </w:rPr>
        <w:t>，</w:t>
      </w:r>
      <w:r w:rsidRPr="000C0842">
        <w:rPr>
          <w:rFonts w:eastAsia="SimSun" w:hint="eastAsia"/>
          <w:sz w:val="24"/>
          <w:szCs w:val="24"/>
        </w:rPr>
        <w:t>提升</w:t>
      </w:r>
      <w:r w:rsidRPr="000C0842">
        <w:rPr>
          <w:rFonts w:eastAsia="SimSun"/>
          <w:sz w:val="24"/>
          <w:szCs w:val="24"/>
        </w:rPr>
        <w:t>发展中国家</w:t>
      </w:r>
      <w:r w:rsidRPr="000C0842">
        <w:rPr>
          <w:rFonts w:eastAsia="SimSun" w:hint="eastAsia"/>
          <w:sz w:val="24"/>
          <w:szCs w:val="24"/>
        </w:rPr>
        <w:t>缔约方</w:t>
      </w:r>
      <w:r w:rsidRPr="000C0842">
        <w:rPr>
          <w:rFonts w:eastAsia="SimSun"/>
          <w:sz w:val="24"/>
          <w:szCs w:val="24"/>
        </w:rPr>
        <w:t>尤其是最不发达国家和小岛屿发展中国家以及经济转型</w:t>
      </w:r>
      <w:r w:rsidRPr="000C0842">
        <w:rPr>
          <w:rFonts w:eastAsia="SimSun" w:hint="eastAsia"/>
          <w:sz w:val="24"/>
          <w:szCs w:val="24"/>
        </w:rPr>
        <w:t>国家缔约方</w:t>
      </w:r>
      <w:r w:rsidRPr="000C0842">
        <w:rPr>
          <w:rFonts w:eastAsia="SimSun"/>
          <w:sz w:val="24"/>
          <w:szCs w:val="24"/>
        </w:rPr>
        <w:t>的参</w:t>
      </w:r>
      <w:r w:rsidRPr="000C0842">
        <w:rPr>
          <w:rFonts w:eastAsia="SimSun" w:hint="eastAsia"/>
          <w:sz w:val="24"/>
          <w:szCs w:val="24"/>
        </w:rPr>
        <w:t>与程度</w:t>
      </w:r>
      <w:r w:rsidRPr="000C0842">
        <w:rPr>
          <w:rFonts w:eastAsia="SimSun"/>
          <w:sz w:val="24"/>
          <w:szCs w:val="24"/>
        </w:rPr>
        <w:t>；</w:t>
      </w:r>
    </w:p>
    <w:p w14:paraId="6DD0EB12"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rPr>
      </w:pPr>
      <w:r w:rsidRPr="000C0842">
        <w:rPr>
          <w:rFonts w:eastAsia="KaiTi"/>
          <w:sz w:val="24"/>
          <w:szCs w:val="24"/>
        </w:rPr>
        <w:t>决定</w:t>
      </w:r>
      <w:r w:rsidRPr="000C0842">
        <w:rPr>
          <w:rFonts w:eastAsia="SimSun"/>
          <w:sz w:val="24"/>
          <w:szCs w:val="24"/>
        </w:rPr>
        <w:t>举行前后衔接政府间会议</w:t>
      </w:r>
      <w:r w:rsidRPr="000C0842">
        <w:rPr>
          <w:rFonts w:eastAsia="SimSun" w:hint="eastAsia"/>
          <w:sz w:val="24"/>
          <w:szCs w:val="24"/>
        </w:rPr>
        <w:t>时</w:t>
      </w:r>
      <w:r w:rsidRPr="000C0842">
        <w:rPr>
          <w:rFonts w:eastAsia="SimSun"/>
          <w:sz w:val="24"/>
          <w:szCs w:val="24"/>
        </w:rPr>
        <w:t>，</w:t>
      </w:r>
      <w:r w:rsidRPr="000C0842">
        <w:rPr>
          <w:rFonts w:eastAsia="SimSun" w:hint="eastAsia"/>
          <w:sz w:val="24"/>
          <w:szCs w:val="24"/>
        </w:rPr>
        <w:t>最好</w:t>
      </w:r>
      <w:r w:rsidRPr="000C0842">
        <w:rPr>
          <w:rFonts w:eastAsia="SimSun"/>
          <w:sz w:val="24"/>
          <w:szCs w:val="24"/>
        </w:rPr>
        <w:t>每</w:t>
      </w:r>
      <w:r w:rsidRPr="000C0842">
        <w:rPr>
          <w:rFonts w:eastAsia="SimSun" w:hint="eastAsia"/>
          <w:sz w:val="24"/>
          <w:szCs w:val="24"/>
        </w:rPr>
        <w:t>周之后</w:t>
      </w:r>
      <w:r w:rsidRPr="000C0842">
        <w:rPr>
          <w:rFonts w:eastAsia="SimSun"/>
          <w:sz w:val="24"/>
          <w:szCs w:val="24"/>
        </w:rPr>
        <w:t>安排</w:t>
      </w:r>
      <w:r w:rsidRPr="000C0842">
        <w:rPr>
          <w:rFonts w:eastAsia="SimSun" w:hint="eastAsia"/>
          <w:sz w:val="24"/>
          <w:szCs w:val="24"/>
        </w:rPr>
        <w:t>一个自由活动</w:t>
      </w:r>
      <w:r w:rsidRPr="000C0842">
        <w:rPr>
          <w:rFonts w:eastAsia="SimSun"/>
          <w:sz w:val="24"/>
          <w:szCs w:val="24"/>
        </w:rPr>
        <w:t>日，但不</w:t>
      </w:r>
      <w:r w:rsidRPr="000C0842">
        <w:rPr>
          <w:rFonts w:eastAsia="SimSun" w:hint="eastAsia"/>
          <w:sz w:val="24"/>
          <w:szCs w:val="24"/>
        </w:rPr>
        <w:t>影响为符合条件的</w:t>
      </w:r>
      <w:r w:rsidRPr="000C0842">
        <w:rPr>
          <w:rFonts w:eastAsia="SimSun"/>
          <w:sz w:val="24"/>
          <w:szCs w:val="24"/>
        </w:rPr>
        <w:t>代表提供的</w:t>
      </w:r>
      <w:r w:rsidRPr="000C0842">
        <w:rPr>
          <w:rFonts w:eastAsia="SimSun" w:hint="eastAsia"/>
          <w:sz w:val="24"/>
          <w:szCs w:val="24"/>
        </w:rPr>
        <w:t>资助</w:t>
      </w:r>
      <w:r w:rsidRPr="000C0842">
        <w:rPr>
          <w:rFonts w:eastAsia="SimSun"/>
          <w:sz w:val="24"/>
          <w:szCs w:val="24"/>
        </w:rPr>
        <w:t>；</w:t>
      </w:r>
    </w:p>
    <w:p w14:paraId="02D70DC6"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hint="eastAsia"/>
          <w:sz w:val="24"/>
          <w:szCs w:val="24"/>
        </w:rPr>
        <w:t>确认</w:t>
      </w:r>
      <w:r w:rsidRPr="000C0842">
        <w:rPr>
          <w:rFonts w:eastAsia="SimSun" w:hint="eastAsia"/>
          <w:sz w:val="24"/>
          <w:szCs w:val="24"/>
        </w:rPr>
        <w:t>有必要将晚间谈判会议限制在合理的时间内以保护出席政府间会议的代表特别是小型代表团代表的健康，并建议除非另有约定，最好不要在当天第一次不限成员名额会议开始</w:t>
      </w:r>
      <w:r w:rsidRPr="000C0842">
        <w:rPr>
          <w:rFonts w:eastAsia="SimSun" w:hint="eastAsia"/>
          <w:sz w:val="24"/>
          <w:szCs w:val="24"/>
        </w:rPr>
        <w:t xml:space="preserve"> 13 </w:t>
      </w:r>
      <w:r w:rsidRPr="000C0842">
        <w:rPr>
          <w:rFonts w:eastAsia="SimSun" w:hint="eastAsia"/>
          <w:sz w:val="24"/>
          <w:szCs w:val="24"/>
        </w:rPr>
        <w:t>小时后安排任何会议</w:t>
      </w:r>
      <w:r w:rsidRPr="000C0842">
        <w:rPr>
          <w:rFonts w:eastAsia="SimSun"/>
          <w:sz w:val="24"/>
          <w:szCs w:val="24"/>
        </w:rPr>
        <w:t>；</w:t>
      </w:r>
    </w:p>
    <w:p w14:paraId="0F381EB4"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rPr>
        <w:t>请</w:t>
      </w:r>
      <w:r w:rsidRPr="000C0842">
        <w:rPr>
          <w:rFonts w:eastAsia="SimSun"/>
          <w:sz w:val="24"/>
          <w:szCs w:val="24"/>
        </w:rPr>
        <w:t>缔约方大会主席团和科学、技术和工艺咨询附属机构主席团在</w:t>
      </w:r>
      <w:r w:rsidRPr="000C0842">
        <w:rPr>
          <w:rFonts w:eastAsia="SimSun" w:hint="eastAsia"/>
          <w:sz w:val="24"/>
          <w:szCs w:val="24"/>
        </w:rPr>
        <w:t>举行</w:t>
      </w:r>
      <w:r w:rsidRPr="000C0842">
        <w:rPr>
          <w:rFonts w:eastAsia="SimSun"/>
          <w:sz w:val="24"/>
          <w:szCs w:val="24"/>
        </w:rPr>
        <w:t>《公约》</w:t>
      </w:r>
      <w:r w:rsidRPr="000C0842">
        <w:rPr>
          <w:rFonts w:eastAsia="SimSun" w:hint="eastAsia"/>
          <w:sz w:val="24"/>
          <w:szCs w:val="24"/>
        </w:rPr>
        <w:t>下</w:t>
      </w:r>
      <w:r w:rsidRPr="000C0842">
        <w:rPr>
          <w:rFonts w:eastAsia="SimSun"/>
          <w:sz w:val="24"/>
          <w:szCs w:val="24"/>
        </w:rPr>
        <w:t>政府间会议之前，</w:t>
      </w:r>
      <w:r w:rsidRPr="000C0842">
        <w:rPr>
          <w:rFonts w:eastAsia="SimSun" w:hint="eastAsia"/>
          <w:sz w:val="24"/>
          <w:szCs w:val="24"/>
        </w:rPr>
        <w:t>尽早</w:t>
      </w:r>
      <w:r w:rsidRPr="000C0842">
        <w:rPr>
          <w:rFonts w:eastAsia="SimSun"/>
          <w:sz w:val="24"/>
          <w:szCs w:val="24"/>
        </w:rPr>
        <w:t>确定一批代表担任各工作组</w:t>
      </w:r>
      <w:r w:rsidRPr="000C0842">
        <w:rPr>
          <w:rFonts w:eastAsia="SimSun" w:hint="eastAsia"/>
          <w:sz w:val="24"/>
          <w:szCs w:val="24"/>
        </w:rPr>
        <w:t>和</w:t>
      </w:r>
      <w:r w:rsidRPr="000C0842">
        <w:rPr>
          <w:rFonts w:eastAsia="SimSun"/>
          <w:sz w:val="24"/>
          <w:szCs w:val="24"/>
        </w:rPr>
        <w:t>联络小组主席或主席之友</w:t>
      </w:r>
      <w:r w:rsidRPr="000C0842">
        <w:rPr>
          <w:rFonts w:eastAsia="SimSun" w:hint="eastAsia"/>
          <w:sz w:val="24"/>
          <w:szCs w:val="24"/>
        </w:rPr>
        <w:t>小组</w:t>
      </w:r>
      <w:r w:rsidRPr="000C0842">
        <w:rPr>
          <w:rFonts w:eastAsia="SimSun"/>
          <w:sz w:val="24"/>
          <w:szCs w:val="24"/>
        </w:rPr>
        <w:t>召集人，这些代表应具备在意见分歧者之间建立信任和达成共识的技能，</w:t>
      </w:r>
      <w:r w:rsidRPr="000C0842">
        <w:rPr>
          <w:rFonts w:eastAsia="SimSun" w:hint="eastAsia"/>
          <w:sz w:val="24"/>
          <w:szCs w:val="24"/>
        </w:rPr>
        <w:t>熟悉</w:t>
      </w:r>
      <w:r w:rsidRPr="000C0842">
        <w:rPr>
          <w:rFonts w:eastAsia="SimSun"/>
          <w:sz w:val="24"/>
          <w:szCs w:val="24"/>
        </w:rPr>
        <w:t>小组要处理的</w:t>
      </w:r>
      <w:r w:rsidRPr="000C0842">
        <w:rPr>
          <w:rFonts w:eastAsia="SimSun" w:hint="eastAsia"/>
          <w:sz w:val="24"/>
          <w:szCs w:val="24"/>
        </w:rPr>
        <w:t>议题</w:t>
      </w:r>
      <w:r w:rsidRPr="000C0842">
        <w:rPr>
          <w:rFonts w:eastAsia="SimSun"/>
          <w:sz w:val="24"/>
          <w:szCs w:val="24"/>
        </w:rPr>
        <w:t>；</w:t>
      </w:r>
    </w:p>
    <w:p w14:paraId="76FE9497"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bookmarkStart w:id="97" w:name="_Hlk193185673"/>
      <w:bookmarkStart w:id="98" w:name="_Hlk193184799"/>
      <w:r w:rsidRPr="000C0842">
        <w:rPr>
          <w:rFonts w:ascii="KaiTi" w:eastAsia="KaiTi" w:hAnsi="KaiTi" w:hint="eastAsia"/>
          <w:sz w:val="24"/>
          <w:szCs w:val="24"/>
        </w:rPr>
        <w:t>请</w:t>
      </w:r>
      <w:r w:rsidRPr="000C0842">
        <w:rPr>
          <w:rFonts w:eastAsia="SimSun" w:hint="eastAsia"/>
          <w:sz w:val="24"/>
          <w:szCs w:val="24"/>
        </w:rPr>
        <w:t>执行秘书在资源允许的情况下提供便利，为上文第</w:t>
      </w:r>
      <w:r w:rsidRPr="000C0842">
        <w:rPr>
          <w:rFonts w:eastAsia="SimSun" w:hint="eastAsia"/>
          <w:sz w:val="24"/>
          <w:szCs w:val="24"/>
        </w:rPr>
        <w:t>8</w:t>
      </w:r>
      <w:r w:rsidRPr="000C0842">
        <w:rPr>
          <w:rFonts w:eastAsia="SimSun" w:hint="eastAsia"/>
          <w:sz w:val="24"/>
          <w:szCs w:val="24"/>
        </w:rPr>
        <w:t>段确定的代表举办会前情况介绍会或培训班，利用联合国培训模块等工具，使其熟悉议事规则以及管理多边谈判和促成共识的既定做法、技巧和技能，以期按照联合国的标准和原则，在处理事务中坚持道德规范，不偏不倚</w:t>
      </w:r>
      <w:bookmarkEnd w:id="97"/>
      <w:r w:rsidRPr="000C0842">
        <w:rPr>
          <w:rFonts w:eastAsia="SimSun" w:hint="eastAsia"/>
          <w:sz w:val="24"/>
          <w:szCs w:val="24"/>
        </w:rPr>
        <w:t>；</w:t>
      </w:r>
      <w:bookmarkEnd w:id="98"/>
    </w:p>
    <w:p w14:paraId="1F97545A"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hint="eastAsia"/>
          <w:sz w:val="24"/>
          <w:szCs w:val="24"/>
        </w:rPr>
        <w:t>又请</w:t>
      </w:r>
      <w:r w:rsidRPr="000C0842">
        <w:rPr>
          <w:rFonts w:eastAsia="SimSun" w:hint="eastAsia"/>
          <w:sz w:val="24"/>
          <w:szCs w:val="24"/>
        </w:rPr>
        <w:t>执行秘书在资源允许的情况下为上文第</w:t>
      </w:r>
      <w:r w:rsidRPr="000C0842">
        <w:rPr>
          <w:rFonts w:eastAsia="SimSun" w:hint="eastAsia"/>
          <w:sz w:val="24"/>
          <w:szCs w:val="24"/>
        </w:rPr>
        <w:t>8</w:t>
      </w:r>
      <w:r w:rsidRPr="000C0842">
        <w:rPr>
          <w:rFonts w:eastAsia="SimSun" w:hint="eastAsia"/>
          <w:sz w:val="24"/>
          <w:szCs w:val="24"/>
        </w:rPr>
        <w:t>段确定的发展中国家缔约方的代表出席《公约》下的政府间会议提供便利，并在可行时不妨碍其国家代表团的与会资助；</w:t>
      </w:r>
      <w:r w:rsidRPr="000C0842">
        <w:rPr>
          <w:rFonts w:eastAsia="SimSun"/>
          <w:sz w:val="24"/>
          <w:szCs w:val="24"/>
        </w:rPr>
        <w:t xml:space="preserve"> </w:t>
      </w:r>
    </w:p>
    <w:p w14:paraId="0B8BBEF7"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bookmarkStart w:id="99" w:name="_Hlk193187392"/>
      <w:r w:rsidRPr="000C0842">
        <w:rPr>
          <w:rFonts w:eastAsia="KaiTi" w:hint="eastAsia"/>
          <w:sz w:val="24"/>
          <w:szCs w:val="24"/>
        </w:rPr>
        <w:t>建议</w:t>
      </w:r>
      <w:r w:rsidRPr="000C0842">
        <w:rPr>
          <w:rFonts w:eastAsia="SimSun" w:hint="eastAsia"/>
          <w:sz w:val="24"/>
          <w:szCs w:val="24"/>
        </w:rPr>
        <w:t>在会议安排中开列避免长时间和徒劳讨论的备选方法，如适当利用战略性暂停，以便进行小组和主席之友小组讨论，寻找可能的解决办法</w:t>
      </w:r>
      <w:bookmarkEnd w:id="99"/>
      <w:r w:rsidRPr="000C0842">
        <w:rPr>
          <w:rFonts w:eastAsia="SimSun" w:hint="eastAsia"/>
          <w:sz w:val="24"/>
          <w:szCs w:val="24"/>
        </w:rPr>
        <w:t>；</w:t>
      </w:r>
    </w:p>
    <w:p w14:paraId="0B29BB09"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bookmarkStart w:id="100" w:name="_Hlk193188949"/>
      <w:r w:rsidRPr="000C0842">
        <w:rPr>
          <w:rFonts w:eastAsia="KaiTi" w:hint="eastAsia"/>
          <w:sz w:val="24"/>
          <w:szCs w:val="24"/>
        </w:rPr>
        <w:t>鼓励</w:t>
      </w:r>
      <w:r w:rsidRPr="000C0842">
        <w:rPr>
          <w:rFonts w:eastAsia="SimSun" w:hint="eastAsia"/>
          <w:sz w:val="24"/>
          <w:szCs w:val="24"/>
        </w:rPr>
        <w:t>缔约方和其他国家政府在国家层面筹备理事机构和附属机构会议时，与土著人民、地方社区、妇女、青年及其他国家观察员组织进行接触，广泛征求各相关部门的意见，在考虑到国情的情况下，酌情确定本国立场</w:t>
      </w:r>
      <w:bookmarkEnd w:id="100"/>
      <w:r w:rsidRPr="000C0842">
        <w:rPr>
          <w:rFonts w:eastAsia="SimSun" w:hint="eastAsia"/>
          <w:sz w:val="24"/>
          <w:szCs w:val="24"/>
        </w:rPr>
        <w:t>；</w:t>
      </w:r>
    </w:p>
    <w:p w14:paraId="5AF90FAD"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hint="eastAsia"/>
          <w:sz w:val="24"/>
          <w:szCs w:val="24"/>
        </w:rPr>
        <w:t>请</w:t>
      </w:r>
      <w:r w:rsidRPr="000C0842">
        <w:rPr>
          <w:rFonts w:eastAsia="SimSun" w:hint="eastAsia"/>
          <w:sz w:val="24"/>
          <w:szCs w:val="24"/>
        </w:rPr>
        <w:t>执行秘书在主席团的指导下：</w:t>
      </w:r>
    </w:p>
    <w:p w14:paraId="1FDB3DA9"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rFonts w:eastAsia="SimSun"/>
          <w:sz w:val="24"/>
          <w:szCs w:val="24"/>
          <w:shd w:val="clear" w:color="auto" w:fill="FFFFFF"/>
          <w:lang w:val="en-GB"/>
        </w:rPr>
      </w:pPr>
      <w:r w:rsidRPr="000C0842">
        <w:rPr>
          <w:rFonts w:eastAsia="SimSun"/>
          <w:sz w:val="24"/>
          <w:szCs w:val="24"/>
          <w:shd w:val="clear" w:color="auto" w:fill="FFFFFF"/>
          <w:lang w:val="en-GB"/>
        </w:rPr>
        <w:t>确保《公约》</w:t>
      </w:r>
      <w:bookmarkStart w:id="101" w:name="_Hlk193189139"/>
      <w:r w:rsidRPr="000C0842">
        <w:rPr>
          <w:rFonts w:eastAsia="SimSun"/>
          <w:sz w:val="24"/>
          <w:szCs w:val="24"/>
          <w:shd w:val="clear" w:color="auto" w:fill="FFFFFF"/>
          <w:lang w:val="en-GB"/>
        </w:rPr>
        <w:t>不限成员名额附属机构</w:t>
      </w:r>
      <w:r w:rsidRPr="000C0842">
        <w:rPr>
          <w:rFonts w:eastAsia="SimSun" w:hint="eastAsia"/>
          <w:sz w:val="24"/>
          <w:szCs w:val="24"/>
          <w:shd w:val="clear" w:color="auto" w:fill="FFFFFF"/>
          <w:lang w:val="en-GB"/>
        </w:rPr>
        <w:t>根据</w:t>
      </w:r>
      <w:r w:rsidRPr="000C0842">
        <w:rPr>
          <w:rFonts w:eastAsia="SimSun"/>
          <w:sz w:val="24"/>
          <w:szCs w:val="24"/>
          <w:shd w:val="clear" w:color="auto" w:fill="FFFFFF"/>
          <w:lang w:val="en-GB"/>
        </w:rPr>
        <w:t>各自</w:t>
      </w:r>
      <w:r w:rsidRPr="000C0842">
        <w:rPr>
          <w:rFonts w:eastAsia="SimSun" w:hint="eastAsia"/>
          <w:sz w:val="24"/>
          <w:szCs w:val="24"/>
          <w:shd w:val="clear" w:color="auto" w:fill="FFFFFF"/>
          <w:lang w:val="en-GB"/>
        </w:rPr>
        <w:t>的</w:t>
      </w:r>
      <w:r w:rsidRPr="000C0842">
        <w:rPr>
          <w:rFonts w:eastAsia="SimSun"/>
          <w:sz w:val="24"/>
          <w:szCs w:val="24"/>
          <w:shd w:val="clear" w:color="auto" w:fill="FFFFFF"/>
          <w:lang w:val="en-GB"/>
        </w:rPr>
        <w:t>议事规则或工作方法，在会议开幕前至少六周以联合国</w:t>
      </w:r>
      <w:r w:rsidRPr="000C0842">
        <w:rPr>
          <w:rFonts w:eastAsia="SimSun" w:hint="eastAsia"/>
          <w:sz w:val="24"/>
          <w:szCs w:val="24"/>
          <w:shd w:val="clear" w:color="auto" w:fill="FFFFFF"/>
          <w:lang w:val="en-GB"/>
        </w:rPr>
        <w:t>所有</w:t>
      </w:r>
      <w:r w:rsidRPr="000C0842">
        <w:rPr>
          <w:rFonts w:eastAsia="SimSun"/>
          <w:sz w:val="24"/>
          <w:szCs w:val="24"/>
          <w:shd w:val="clear" w:color="auto" w:fill="FFFFFF"/>
          <w:lang w:val="en-GB"/>
        </w:rPr>
        <w:t>正式语文为其会议提供工作文件，</w:t>
      </w:r>
      <w:r w:rsidRPr="000C0842">
        <w:rPr>
          <w:rFonts w:eastAsia="SimSun"/>
          <w:sz w:val="24"/>
          <w:szCs w:val="24"/>
          <w:lang w:val="en-GB"/>
        </w:rPr>
        <w:t>并确保在</w:t>
      </w:r>
      <w:r w:rsidRPr="000C0842">
        <w:rPr>
          <w:rFonts w:eastAsia="SimSun" w:hint="eastAsia"/>
          <w:sz w:val="24"/>
          <w:szCs w:val="24"/>
          <w:lang w:val="en-GB"/>
        </w:rPr>
        <w:t>相关</w:t>
      </w:r>
      <w:r w:rsidRPr="000C0842">
        <w:rPr>
          <w:rFonts w:eastAsia="SimSun"/>
          <w:sz w:val="24"/>
          <w:szCs w:val="24"/>
          <w:lang w:val="en-GB"/>
        </w:rPr>
        <w:t>会议</w:t>
      </w:r>
      <w:r w:rsidRPr="000C0842">
        <w:rPr>
          <w:rFonts w:eastAsia="SimSun" w:hint="eastAsia"/>
          <w:sz w:val="24"/>
          <w:szCs w:val="24"/>
          <w:lang w:val="en-GB"/>
        </w:rPr>
        <w:t>的</w:t>
      </w:r>
      <w:r w:rsidRPr="000C0842">
        <w:rPr>
          <w:rFonts w:eastAsia="SimSun"/>
          <w:sz w:val="24"/>
          <w:szCs w:val="24"/>
          <w:lang w:val="en-GB"/>
        </w:rPr>
        <w:t>网</w:t>
      </w:r>
      <w:r w:rsidRPr="000C0842">
        <w:rPr>
          <w:rFonts w:eastAsia="SimSun" w:hint="eastAsia"/>
          <w:sz w:val="24"/>
          <w:szCs w:val="24"/>
          <w:lang w:val="en-GB"/>
        </w:rPr>
        <w:t>页上</w:t>
      </w:r>
      <w:r w:rsidRPr="000C0842">
        <w:rPr>
          <w:rFonts w:eastAsia="SimSun"/>
          <w:sz w:val="24"/>
          <w:szCs w:val="24"/>
          <w:lang w:val="en-GB"/>
        </w:rPr>
        <w:t>明确</w:t>
      </w:r>
      <w:r w:rsidRPr="000C0842">
        <w:rPr>
          <w:rFonts w:eastAsia="SimSun" w:hint="eastAsia"/>
          <w:sz w:val="24"/>
          <w:szCs w:val="24"/>
          <w:lang w:val="en-GB"/>
        </w:rPr>
        <w:t>标明文件的</w:t>
      </w:r>
      <w:r w:rsidRPr="000C0842">
        <w:rPr>
          <w:rFonts w:eastAsia="SimSun"/>
          <w:sz w:val="24"/>
          <w:szCs w:val="24"/>
          <w:lang w:val="en-GB"/>
        </w:rPr>
        <w:t>印发日期</w:t>
      </w:r>
      <w:r w:rsidRPr="000C0842">
        <w:rPr>
          <w:rFonts w:eastAsia="SimSun"/>
          <w:sz w:val="24"/>
          <w:szCs w:val="24"/>
          <w:shd w:val="clear" w:color="auto" w:fill="FFFFFF"/>
          <w:lang w:val="en-GB"/>
        </w:rPr>
        <w:t>，包括任何更新版本的印发日期，如果</w:t>
      </w:r>
      <w:r w:rsidRPr="000C0842">
        <w:rPr>
          <w:rFonts w:eastAsia="SimSun" w:hint="eastAsia"/>
          <w:sz w:val="24"/>
          <w:szCs w:val="24"/>
          <w:shd w:val="clear" w:color="auto" w:fill="FFFFFF"/>
          <w:lang w:val="en-GB"/>
        </w:rPr>
        <w:t>文件未按发布</w:t>
      </w:r>
      <w:r w:rsidRPr="000C0842">
        <w:rPr>
          <w:rFonts w:eastAsia="SimSun"/>
          <w:sz w:val="24"/>
          <w:szCs w:val="24"/>
          <w:shd w:val="clear" w:color="auto" w:fill="FFFFFF"/>
          <w:lang w:val="en-GB"/>
        </w:rPr>
        <w:t>程序</w:t>
      </w:r>
      <w:r w:rsidRPr="000C0842">
        <w:rPr>
          <w:rFonts w:eastAsia="SimSun" w:hint="eastAsia"/>
          <w:sz w:val="24"/>
          <w:szCs w:val="24"/>
          <w:shd w:val="clear" w:color="auto" w:fill="FFFFFF"/>
          <w:lang w:val="en-GB"/>
        </w:rPr>
        <w:t>印发</w:t>
      </w:r>
      <w:r w:rsidRPr="000C0842">
        <w:rPr>
          <w:rFonts w:eastAsia="SimSun"/>
          <w:sz w:val="24"/>
          <w:szCs w:val="24"/>
          <w:shd w:val="clear" w:color="auto" w:fill="FFFFFF"/>
          <w:lang w:val="en-GB"/>
        </w:rPr>
        <w:t>，则协助会议主席要求缔约方在会议开始时重新考虑各自的会议议程</w:t>
      </w:r>
      <w:bookmarkEnd w:id="101"/>
      <w:r w:rsidRPr="000C0842">
        <w:rPr>
          <w:rFonts w:eastAsia="SimSun"/>
          <w:sz w:val="24"/>
          <w:szCs w:val="24"/>
          <w:shd w:val="clear" w:color="auto" w:fill="FFFFFF"/>
          <w:lang w:val="en-GB"/>
        </w:rPr>
        <w:t>；</w:t>
      </w:r>
    </w:p>
    <w:p w14:paraId="38D93FC1"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SimSun"/>
          <w:sz w:val="24"/>
          <w:szCs w:val="24"/>
          <w:lang w:val="en-GB"/>
        </w:rPr>
        <w:t>及时编制每次会议筹备工作的明晰时间表，首先是缔约方大会第十六届会议之后的附属机构会议；</w:t>
      </w:r>
    </w:p>
    <w:p w14:paraId="016FB445"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rFonts w:eastAsia="Times New Roman"/>
          <w:iCs/>
          <w:sz w:val="24"/>
          <w:szCs w:val="24"/>
        </w:rPr>
      </w:pPr>
      <w:r w:rsidRPr="000C0842">
        <w:rPr>
          <w:rFonts w:eastAsia="SimSun"/>
          <w:sz w:val="24"/>
          <w:szCs w:val="24"/>
          <w:lang w:val="en-GB"/>
        </w:rPr>
        <w:t>从</w:t>
      </w:r>
      <w:r w:rsidRPr="000C0842">
        <w:rPr>
          <w:rFonts w:eastAsia="SimSun"/>
          <w:sz w:val="24"/>
          <w:szCs w:val="24"/>
          <w:lang w:val="en-GB"/>
        </w:rPr>
        <w:t>2024</w:t>
      </w:r>
      <w:r w:rsidRPr="000C0842">
        <w:rPr>
          <w:rFonts w:eastAsia="SimSun"/>
          <w:sz w:val="24"/>
          <w:szCs w:val="24"/>
          <w:lang w:val="en-GB"/>
        </w:rPr>
        <w:t>年起，在每年年底为各国家联络点提供下一年期间预期开展的活动和行动日程，以</w:t>
      </w:r>
      <w:r w:rsidRPr="000C0842">
        <w:rPr>
          <w:rFonts w:eastAsia="SimSun" w:hint="eastAsia"/>
          <w:sz w:val="24"/>
          <w:szCs w:val="24"/>
          <w:lang w:val="en-GB"/>
        </w:rPr>
        <w:t>合理安排</w:t>
      </w:r>
      <w:r w:rsidRPr="000C0842">
        <w:rPr>
          <w:rFonts w:eastAsia="SimSun"/>
          <w:sz w:val="24"/>
          <w:szCs w:val="24"/>
          <w:lang w:val="en-GB"/>
        </w:rPr>
        <w:t>闭会期间</w:t>
      </w:r>
      <w:r w:rsidRPr="000C0842">
        <w:rPr>
          <w:rFonts w:eastAsia="SimSun" w:hint="eastAsia"/>
          <w:sz w:val="24"/>
          <w:szCs w:val="24"/>
          <w:lang w:val="en-GB"/>
        </w:rPr>
        <w:t>的</w:t>
      </w:r>
      <w:r w:rsidRPr="000C0842">
        <w:rPr>
          <w:rFonts w:eastAsia="SimSun"/>
          <w:sz w:val="24"/>
          <w:szCs w:val="24"/>
          <w:lang w:val="en-GB"/>
        </w:rPr>
        <w:t>活动</w:t>
      </w:r>
      <w:r w:rsidRPr="000C0842">
        <w:rPr>
          <w:rFonts w:eastAsia="SimSun" w:hint="eastAsia"/>
          <w:sz w:val="24"/>
          <w:szCs w:val="24"/>
          <w:lang w:val="en-GB"/>
        </w:rPr>
        <w:t>，</w:t>
      </w:r>
      <w:r w:rsidRPr="000C0842">
        <w:rPr>
          <w:rFonts w:eastAsia="SimSun"/>
          <w:sz w:val="24"/>
          <w:szCs w:val="24"/>
          <w:lang w:val="en-GB"/>
        </w:rPr>
        <w:t>便利工作流程管理；</w:t>
      </w:r>
    </w:p>
    <w:p w14:paraId="356376C9"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rFonts w:eastAsia="SimSun"/>
          <w:sz w:val="24"/>
          <w:szCs w:val="24"/>
          <w:lang w:val="en-CA"/>
        </w:rPr>
      </w:pPr>
      <w:r w:rsidRPr="000C0842">
        <w:rPr>
          <w:rFonts w:eastAsia="SimSun"/>
          <w:sz w:val="24"/>
          <w:szCs w:val="24"/>
          <w:shd w:val="clear" w:color="auto" w:fill="FFFFFF"/>
          <w:lang w:val="en-GB"/>
        </w:rPr>
        <w:t>努力限制各附属机构所提建议草案或理事机构所提决定草案的篇幅，并避免与现有决定的重复和冗余，同时又不影响缔约方大会重新审议以往决定的能力，以便利嗣后决定的执行；</w:t>
      </w:r>
    </w:p>
    <w:p w14:paraId="43D0CDF1"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rFonts w:eastAsia="SimSun"/>
          <w:sz w:val="24"/>
          <w:szCs w:val="24"/>
        </w:rPr>
      </w:pPr>
      <w:bookmarkStart w:id="102" w:name="_Hlk193189733"/>
      <w:r w:rsidRPr="000C0842">
        <w:rPr>
          <w:rFonts w:eastAsia="SimSun"/>
          <w:sz w:val="24"/>
          <w:szCs w:val="24"/>
          <w:lang w:val="en-CA"/>
        </w:rPr>
        <w:t>协助各政府间会议的主席</w:t>
      </w:r>
      <w:r w:rsidRPr="000C0842">
        <w:rPr>
          <w:rFonts w:eastAsia="SimSun" w:hint="eastAsia"/>
          <w:sz w:val="24"/>
          <w:szCs w:val="24"/>
          <w:lang w:val="en-CA"/>
        </w:rPr>
        <w:t>只</w:t>
      </w:r>
      <w:r w:rsidRPr="000C0842">
        <w:rPr>
          <w:rFonts w:eastAsia="SimSun"/>
          <w:sz w:val="24"/>
          <w:szCs w:val="24"/>
          <w:lang w:val="en-CA"/>
        </w:rPr>
        <w:t>将那些分歧很小的项目直接</w:t>
      </w:r>
      <w:r w:rsidRPr="000C0842">
        <w:rPr>
          <w:rFonts w:eastAsia="SimSun" w:hint="eastAsia"/>
          <w:sz w:val="24"/>
          <w:szCs w:val="24"/>
          <w:lang w:val="en-CA"/>
        </w:rPr>
        <w:t>形成</w:t>
      </w:r>
      <w:r w:rsidRPr="000C0842">
        <w:rPr>
          <w:rFonts w:eastAsia="SimSun"/>
          <w:sz w:val="24"/>
          <w:szCs w:val="24"/>
          <w:lang w:val="en-CA"/>
        </w:rPr>
        <w:t>会议室文件</w:t>
      </w:r>
      <w:r w:rsidRPr="000C0842">
        <w:rPr>
          <w:rFonts w:eastAsia="SimSun" w:hint="eastAsia"/>
          <w:sz w:val="24"/>
          <w:szCs w:val="24"/>
          <w:lang w:val="en-CA"/>
        </w:rPr>
        <w:t>而不</w:t>
      </w:r>
      <w:r w:rsidRPr="000C0842">
        <w:rPr>
          <w:rFonts w:eastAsia="SimSun"/>
          <w:sz w:val="24"/>
          <w:szCs w:val="24"/>
          <w:lang w:val="en-CA"/>
        </w:rPr>
        <w:t>分配给联络小组、主席之友和</w:t>
      </w:r>
      <w:r w:rsidRPr="000C0842">
        <w:rPr>
          <w:rFonts w:eastAsia="SimSun" w:hint="eastAsia"/>
          <w:sz w:val="24"/>
          <w:szCs w:val="24"/>
          <w:lang w:val="en-CA"/>
        </w:rPr>
        <w:t>其他</w:t>
      </w:r>
      <w:r w:rsidRPr="000C0842">
        <w:rPr>
          <w:rFonts w:eastAsia="SimSun"/>
          <w:sz w:val="24"/>
          <w:szCs w:val="24"/>
          <w:lang w:val="en-CA"/>
        </w:rPr>
        <w:t>小组</w:t>
      </w:r>
      <w:r w:rsidRPr="000C0842">
        <w:rPr>
          <w:rFonts w:eastAsia="SimSun" w:hint="eastAsia"/>
          <w:sz w:val="24"/>
          <w:szCs w:val="24"/>
          <w:lang w:val="en-CA"/>
        </w:rPr>
        <w:t>处理</w:t>
      </w:r>
      <w:bookmarkEnd w:id="102"/>
      <w:r w:rsidRPr="000C0842">
        <w:rPr>
          <w:rFonts w:eastAsia="SimSun"/>
          <w:sz w:val="24"/>
          <w:szCs w:val="24"/>
          <w:lang w:val="en-CA"/>
        </w:rPr>
        <w:t>；</w:t>
      </w:r>
    </w:p>
    <w:p w14:paraId="3C798273" w14:textId="77777777" w:rsidR="00DB4743" w:rsidRPr="000C0842" w:rsidRDefault="00DB4743">
      <w:pPr>
        <w:numPr>
          <w:ilvl w:val="0"/>
          <w:numId w:val="106"/>
        </w:numPr>
        <w:tabs>
          <w:tab w:val="clear" w:pos="567"/>
          <w:tab w:val="clear" w:pos="1134"/>
          <w:tab w:val="clear" w:pos="1701"/>
          <w:tab w:val="clear" w:pos="2268"/>
        </w:tabs>
        <w:spacing w:before="120" w:after="120" w:line="240" w:lineRule="atLeast"/>
        <w:ind w:left="490" w:firstLine="490"/>
        <w:rPr>
          <w:sz w:val="24"/>
          <w:szCs w:val="24"/>
          <w:lang w:val="en-CA"/>
        </w:rPr>
      </w:pPr>
      <w:r w:rsidRPr="000C0842">
        <w:rPr>
          <w:rFonts w:ascii="SimSun" w:eastAsia="SimSun" w:hAnsi="SimSun" w:cs="SimSun" w:hint="eastAsia"/>
          <w:sz w:val="24"/>
          <w:szCs w:val="24"/>
          <w:lang w:val="en-CA"/>
        </w:rPr>
        <w:t xml:space="preserve">审查《公约》网站结构，使其更便于使用； </w:t>
      </w:r>
    </w:p>
    <w:p w14:paraId="1C8E3ED6" w14:textId="77777777" w:rsidR="00DB4743"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KaiTi"/>
          <w:sz w:val="24"/>
          <w:szCs w:val="24"/>
        </w:rPr>
        <w:t>请</w:t>
      </w:r>
      <w:r w:rsidRPr="000C0842">
        <w:rPr>
          <w:rFonts w:eastAsia="SimSun"/>
          <w:sz w:val="24"/>
          <w:szCs w:val="24"/>
        </w:rPr>
        <w:t>缔约方大会主席团</w:t>
      </w:r>
      <w:r w:rsidRPr="000C0842">
        <w:rPr>
          <w:rFonts w:eastAsia="SimSun" w:hint="eastAsia"/>
          <w:sz w:val="24"/>
          <w:szCs w:val="24"/>
        </w:rPr>
        <w:t>和</w:t>
      </w:r>
      <w:r w:rsidRPr="000C0842">
        <w:rPr>
          <w:rFonts w:eastAsia="SimSun"/>
          <w:sz w:val="24"/>
          <w:szCs w:val="24"/>
        </w:rPr>
        <w:t>科学、技术和工艺咨询附属机构主席团发布《公约》下每次会议的设想说明并在进程的战略节点上安排主席团会议</w:t>
      </w:r>
      <w:r w:rsidRPr="000C0842">
        <w:rPr>
          <w:rFonts w:eastAsia="SimSun"/>
          <w:sz w:val="24"/>
          <w:szCs w:val="24"/>
        </w:rPr>
        <w:t>;</w:t>
      </w:r>
      <w:r w:rsidRPr="000C0842" w:rsidDel="006E3BA4">
        <w:rPr>
          <w:rFonts w:eastAsia="SimSun"/>
          <w:sz w:val="24"/>
          <w:szCs w:val="24"/>
        </w:rPr>
        <w:t xml:space="preserve"> </w:t>
      </w:r>
    </w:p>
    <w:p w14:paraId="180D4F0B" w14:textId="5FB8D922" w:rsidR="007946F0" w:rsidRPr="000C0842" w:rsidRDefault="00DB4743">
      <w:pPr>
        <w:pStyle w:val="ListParagraph"/>
        <w:numPr>
          <w:ilvl w:val="0"/>
          <w:numId w:val="241"/>
        </w:numPr>
        <w:tabs>
          <w:tab w:val="clear" w:pos="567"/>
          <w:tab w:val="clear" w:pos="1134"/>
          <w:tab w:val="clear" w:pos="1701"/>
          <w:tab w:val="clear" w:pos="2268"/>
        </w:tabs>
        <w:spacing w:before="120" w:after="120"/>
        <w:ind w:left="490" w:firstLine="490"/>
        <w:contextualSpacing w:val="0"/>
        <w:rPr>
          <w:rFonts w:eastAsia="SimSun"/>
          <w:bCs/>
          <w:sz w:val="24"/>
          <w:szCs w:val="24"/>
          <w:lang w:val="en-CA"/>
        </w:rPr>
      </w:pPr>
      <w:bookmarkStart w:id="103" w:name="_Hlk193189845"/>
      <w:r w:rsidRPr="000C0842">
        <w:rPr>
          <w:rFonts w:eastAsia="KaiTi"/>
          <w:sz w:val="24"/>
          <w:szCs w:val="24"/>
        </w:rPr>
        <w:t>请</w:t>
      </w:r>
      <w:r w:rsidRPr="000C0842">
        <w:rPr>
          <w:rFonts w:eastAsia="SimSun"/>
          <w:sz w:val="24"/>
          <w:szCs w:val="24"/>
        </w:rPr>
        <w:t>执行秘书酌情在该领域合格外部专家的协助下，促成与缔约方、主席团成员、合作伙伴和利益攸关方</w:t>
      </w:r>
      <w:r w:rsidRPr="000C0842">
        <w:rPr>
          <w:rFonts w:eastAsia="SimSun" w:hint="eastAsia"/>
          <w:sz w:val="24"/>
          <w:szCs w:val="24"/>
        </w:rPr>
        <w:t>的</w:t>
      </w:r>
      <w:r w:rsidRPr="000C0842">
        <w:rPr>
          <w:rFonts w:eastAsia="SimSun"/>
          <w:sz w:val="24"/>
          <w:szCs w:val="24"/>
        </w:rPr>
        <w:t>磋商，继续拟订进一步提高《公约》下会议</w:t>
      </w:r>
      <w:r w:rsidRPr="000C0842">
        <w:rPr>
          <w:rFonts w:eastAsia="SimSun" w:hint="eastAsia"/>
          <w:sz w:val="24"/>
          <w:szCs w:val="24"/>
        </w:rPr>
        <w:t>成</w:t>
      </w:r>
      <w:r w:rsidRPr="000C0842">
        <w:rPr>
          <w:rFonts w:eastAsia="SimSun"/>
          <w:sz w:val="24"/>
          <w:szCs w:val="24"/>
        </w:rPr>
        <w:t>效的备选方案，并将这些提案提交执行问题附属机构第六次会议审议，以期参考</w:t>
      </w:r>
      <w:r w:rsidRPr="000C0842">
        <w:rPr>
          <w:rFonts w:eastAsia="SimSun" w:hint="eastAsia"/>
          <w:bCs/>
          <w:sz w:val="24"/>
          <w:szCs w:val="24"/>
        </w:rPr>
        <w:t>2024</w:t>
      </w:r>
      <w:r w:rsidRPr="000C0842">
        <w:rPr>
          <w:rFonts w:eastAsia="SimSun" w:hint="eastAsia"/>
          <w:bCs/>
          <w:sz w:val="24"/>
          <w:szCs w:val="24"/>
        </w:rPr>
        <w:t>年</w:t>
      </w:r>
      <w:r w:rsidRPr="000C0842">
        <w:rPr>
          <w:rFonts w:eastAsia="SimSun" w:hint="eastAsia"/>
          <w:bCs/>
          <w:sz w:val="24"/>
          <w:szCs w:val="24"/>
        </w:rPr>
        <w:t>5</w:t>
      </w:r>
      <w:r w:rsidRPr="000C0842">
        <w:rPr>
          <w:rFonts w:eastAsia="SimSun" w:hint="eastAsia"/>
          <w:bCs/>
          <w:sz w:val="24"/>
          <w:szCs w:val="24"/>
        </w:rPr>
        <w:t>月</w:t>
      </w:r>
      <w:r w:rsidRPr="000C0842">
        <w:rPr>
          <w:rFonts w:eastAsia="SimSun" w:hint="eastAsia"/>
          <w:bCs/>
          <w:sz w:val="24"/>
          <w:szCs w:val="24"/>
        </w:rPr>
        <w:t>29</w:t>
      </w:r>
      <w:r w:rsidRPr="000C0842">
        <w:rPr>
          <w:rFonts w:eastAsia="SimSun" w:hint="eastAsia"/>
          <w:bCs/>
          <w:sz w:val="24"/>
          <w:szCs w:val="24"/>
        </w:rPr>
        <w:t>日</w:t>
      </w:r>
      <w:r w:rsidRPr="000C0842">
        <w:rPr>
          <w:rFonts w:eastAsia="SimSun"/>
          <w:bCs/>
          <w:sz w:val="24"/>
          <w:szCs w:val="24"/>
        </w:rPr>
        <w:t>执行问题附属机构第</w:t>
      </w:r>
      <w:hyperlink r:id="rId243" w:history="1">
        <w:r w:rsidRPr="000C0842">
          <w:rPr>
            <w:rFonts w:eastAsia="SimSun"/>
            <w:bCs/>
            <w:sz w:val="24"/>
            <w:szCs w:val="24"/>
            <w:u w:val="single"/>
          </w:rPr>
          <w:t>4/12</w:t>
        </w:r>
      </w:hyperlink>
      <w:r w:rsidRPr="000C0842">
        <w:rPr>
          <w:rFonts w:eastAsia="SimSun"/>
          <w:bCs/>
          <w:sz w:val="24"/>
          <w:szCs w:val="24"/>
        </w:rPr>
        <w:t>号建议包括</w:t>
      </w:r>
      <w:r w:rsidRPr="000C0842">
        <w:rPr>
          <w:rFonts w:eastAsia="SimSun" w:hint="eastAsia"/>
          <w:bCs/>
          <w:sz w:val="24"/>
          <w:szCs w:val="24"/>
        </w:rPr>
        <w:t>建议</w:t>
      </w:r>
      <w:r w:rsidRPr="000C0842">
        <w:rPr>
          <w:rFonts w:eastAsia="SimSun"/>
          <w:bCs/>
          <w:sz w:val="24"/>
          <w:szCs w:val="24"/>
        </w:rPr>
        <w:t>附件二所载材料汇编拟订一项决定草案，供缔约方会议第十七届会议审议</w:t>
      </w:r>
      <w:r w:rsidRPr="000C0842">
        <w:rPr>
          <w:rFonts w:eastAsia="SimSun"/>
          <w:bCs/>
          <w:sz w:val="24"/>
          <w:szCs w:val="24"/>
          <w:lang w:val="en-CA"/>
        </w:rPr>
        <w:t>。</w:t>
      </w:r>
    </w:p>
    <w:p w14:paraId="516EE40A" w14:textId="77777777" w:rsidR="007946F0" w:rsidRPr="000C0842" w:rsidRDefault="007946F0">
      <w:pPr>
        <w:tabs>
          <w:tab w:val="clear" w:pos="567"/>
          <w:tab w:val="clear" w:pos="1134"/>
          <w:tab w:val="clear" w:pos="1701"/>
          <w:tab w:val="clear" w:pos="2268"/>
        </w:tabs>
        <w:jc w:val="left"/>
        <w:rPr>
          <w:rFonts w:eastAsia="SimSun"/>
          <w:bCs/>
          <w:sz w:val="24"/>
          <w:szCs w:val="24"/>
          <w:lang w:val="en-CA"/>
        </w:rPr>
      </w:pPr>
      <w:r w:rsidRPr="000C0842">
        <w:rPr>
          <w:rFonts w:eastAsia="SimSun"/>
          <w:bCs/>
          <w:sz w:val="24"/>
          <w:szCs w:val="24"/>
          <w:lang w:val="en-CA"/>
        </w:rPr>
        <w:br w:type="page"/>
      </w:r>
    </w:p>
    <w:p w14:paraId="5EECAD55" w14:textId="3D8554CE" w:rsidR="007946F0" w:rsidRPr="000C0842" w:rsidRDefault="007946F0" w:rsidP="002437E6">
      <w:pPr>
        <w:pStyle w:val="a1"/>
        <w:rPr>
          <w:rFonts w:hint="eastAsia"/>
          <w:lang w:eastAsia="zh-CN"/>
        </w:rPr>
      </w:pPr>
      <w:bookmarkStart w:id="104" w:name="_Toc206358223"/>
      <w:r w:rsidRPr="000C0842">
        <w:rPr>
          <w:rFonts w:hint="eastAsia"/>
          <w:lang w:eastAsia="zh-CN"/>
        </w:rPr>
        <w:t>16/26.</w:t>
      </w:r>
      <w:r w:rsidR="003D2DCD" w:rsidRPr="000C0842">
        <w:rPr>
          <w:rFonts w:hint="eastAsia"/>
          <w:lang w:eastAsia="zh-CN"/>
        </w:rPr>
        <w:t xml:space="preserve"> </w:t>
      </w:r>
      <w:r w:rsidRPr="000C0842">
        <w:rPr>
          <w:rFonts w:hint="eastAsia"/>
          <w:lang w:eastAsia="zh-CN"/>
        </w:rPr>
        <w:t>规避</w:t>
      </w:r>
      <w:r w:rsidRPr="000C0842">
        <w:rPr>
          <w:lang w:eastAsia="zh-CN"/>
        </w:rPr>
        <w:t>或管理专家组利益冲突的程序</w:t>
      </w:r>
      <w:bookmarkEnd w:id="104"/>
      <w:r w:rsidRPr="000C0842">
        <w:rPr>
          <w:rFonts w:hint="eastAsia"/>
          <w:lang w:eastAsia="zh-CN"/>
        </w:rPr>
        <w:t xml:space="preserve"> </w:t>
      </w:r>
    </w:p>
    <w:p w14:paraId="38C27C4F" w14:textId="77777777" w:rsidR="007946F0" w:rsidRPr="000C0842" w:rsidRDefault="007946F0" w:rsidP="00F1403D">
      <w:pPr>
        <w:tabs>
          <w:tab w:val="clear" w:pos="567"/>
          <w:tab w:val="clear" w:pos="1134"/>
          <w:tab w:val="clear" w:pos="1701"/>
          <w:tab w:val="clear" w:pos="2268"/>
        </w:tabs>
        <w:spacing w:before="240" w:after="120"/>
        <w:ind w:left="490" w:firstLine="490"/>
        <w:rPr>
          <w:rFonts w:eastAsia="SimSun"/>
          <w:bCs/>
          <w:sz w:val="24"/>
          <w:szCs w:val="24"/>
          <w:lang w:val="en-CA"/>
        </w:rPr>
      </w:pPr>
      <w:r w:rsidRPr="000C0842">
        <w:rPr>
          <w:rFonts w:eastAsia="KaiTi"/>
          <w:bCs/>
          <w:sz w:val="24"/>
          <w:szCs w:val="24"/>
          <w:lang w:val="en-CA"/>
        </w:rPr>
        <w:t>缔约方大会</w:t>
      </w:r>
      <w:r w:rsidRPr="000C0842">
        <w:rPr>
          <w:rFonts w:eastAsia="SimSun"/>
          <w:bCs/>
          <w:sz w:val="24"/>
          <w:szCs w:val="24"/>
          <w:lang w:val="en-CA"/>
        </w:rPr>
        <w:t>，</w:t>
      </w:r>
    </w:p>
    <w:p w14:paraId="1827A1CB" w14:textId="77777777" w:rsidR="007946F0" w:rsidRPr="000C0842" w:rsidRDefault="007946F0" w:rsidP="007946F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回顾</w:t>
      </w:r>
      <w:r w:rsidRPr="000C0842">
        <w:rPr>
          <w:rFonts w:eastAsia="SimSun"/>
          <w:sz w:val="24"/>
          <w:szCs w:val="24"/>
          <w:lang w:val="en-CA"/>
        </w:rPr>
        <w:t>2018</w:t>
      </w:r>
      <w:r w:rsidRPr="000C0842">
        <w:rPr>
          <w:rFonts w:eastAsia="SimSun"/>
          <w:sz w:val="24"/>
          <w:szCs w:val="24"/>
          <w:lang w:val="en-CA"/>
        </w:rPr>
        <w:t>年</w:t>
      </w:r>
      <w:r w:rsidRPr="000C0842">
        <w:rPr>
          <w:rFonts w:eastAsia="SimSun"/>
          <w:sz w:val="24"/>
          <w:szCs w:val="24"/>
          <w:lang w:val="en-CA"/>
        </w:rPr>
        <w:t>11</w:t>
      </w:r>
      <w:r w:rsidRPr="000C0842">
        <w:rPr>
          <w:rFonts w:eastAsia="SimSun"/>
          <w:sz w:val="24"/>
          <w:szCs w:val="24"/>
          <w:lang w:val="en-CA"/>
        </w:rPr>
        <w:t>月</w:t>
      </w:r>
      <w:r w:rsidRPr="000C0842">
        <w:rPr>
          <w:rFonts w:eastAsia="SimSun"/>
          <w:sz w:val="24"/>
          <w:szCs w:val="24"/>
          <w:lang w:val="en-CA"/>
        </w:rPr>
        <w:t>29</w:t>
      </w:r>
      <w:r w:rsidRPr="000C0842">
        <w:rPr>
          <w:rFonts w:eastAsia="SimSun"/>
          <w:sz w:val="24"/>
          <w:szCs w:val="24"/>
          <w:lang w:val="en-CA"/>
        </w:rPr>
        <w:t>日第</w:t>
      </w:r>
      <w:hyperlink r:id="rId244" w:history="1">
        <w:r w:rsidRPr="000C0842">
          <w:rPr>
            <w:rFonts w:eastAsia="SimSun"/>
            <w:sz w:val="24"/>
            <w:szCs w:val="24"/>
            <w:u w:val="single"/>
            <w:lang w:val="en-CA"/>
          </w:rPr>
          <w:t>14/33</w:t>
        </w:r>
      </w:hyperlink>
      <w:r w:rsidRPr="000C0842">
        <w:rPr>
          <w:rFonts w:eastAsia="SimSun"/>
          <w:sz w:val="24"/>
          <w:szCs w:val="24"/>
          <w:lang w:val="en-CA"/>
        </w:rPr>
        <w:t>号决定，</w:t>
      </w:r>
      <w:r w:rsidRPr="000C0842">
        <w:rPr>
          <w:rFonts w:eastAsia="SimSun"/>
          <w:sz w:val="24"/>
          <w:szCs w:val="24"/>
          <w:lang w:val="en-CA"/>
        </w:rPr>
        <w:t xml:space="preserve"> </w:t>
      </w:r>
    </w:p>
    <w:p w14:paraId="437699F9" w14:textId="77777777" w:rsidR="007946F0" w:rsidRPr="000C0842" w:rsidRDefault="007946F0" w:rsidP="007946F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审查了</w:t>
      </w:r>
      <w:r w:rsidRPr="000C0842">
        <w:rPr>
          <w:rFonts w:eastAsia="SimSun"/>
          <w:sz w:val="24"/>
          <w:szCs w:val="24"/>
          <w:lang w:val="en-CA"/>
        </w:rPr>
        <w:t>生物多样性公约</w:t>
      </w:r>
      <w:r w:rsidRPr="000C0842">
        <w:rPr>
          <w:rFonts w:eastAsia="SimSun"/>
          <w:sz w:val="24"/>
          <w:szCs w:val="24"/>
          <w:vertAlign w:val="superscript"/>
          <w:lang w:val="en-CA"/>
        </w:rPr>
        <w:footnoteReference w:id="370"/>
      </w:r>
      <w:r w:rsidRPr="000C0842">
        <w:rPr>
          <w:rFonts w:eastAsia="SimSun"/>
          <w:sz w:val="24"/>
          <w:szCs w:val="24"/>
          <w:lang w:val="en-CA"/>
        </w:rPr>
        <w:t>秘书处提交的关于</w:t>
      </w:r>
      <w:r w:rsidRPr="000C0842">
        <w:rPr>
          <w:rFonts w:eastAsia="SimSun" w:hint="eastAsia"/>
          <w:sz w:val="24"/>
          <w:szCs w:val="24"/>
          <w:lang w:val="en-CA"/>
        </w:rPr>
        <w:t>规避</w:t>
      </w:r>
      <w:r w:rsidRPr="000C0842">
        <w:rPr>
          <w:rFonts w:eastAsia="SimSun"/>
          <w:sz w:val="24"/>
          <w:szCs w:val="24"/>
          <w:lang w:val="en-CA"/>
        </w:rPr>
        <w:t>或管理专家组利益冲突</w:t>
      </w:r>
      <w:r w:rsidRPr="000C0842">
        <w:rPr>
          <w:rFonts w:eastAsia="SimSun" w:hint="eastAsia"/>
          <w:sz w:val="24"/>
          <w:szCs w:val="24"/>
          <w:lang w:val="en-CA"/>
        </w:rPr>
        <w:t>的</w:t>
      </w:r>
      <w:r w:rsidRPr="000C0842">
        <w:rPr>
          <w:rFonts w:eastAsia="SimSun"/>
          <w:sz w:val="24"/>
          <w:szCs w:val="24"/>
          <w:lang w:val="en-CA"/>
        </w:rPr>
        <w:t>程序执行情况的报告</w:t>
      </w:r>
      <w:r w:rsidRPr="000C0842">
        <w:rPr>
          <w:rFonts w:eastAsia="SimSun"/>
          <w:sz w:val="24"/>
          <w:szCs w:val="24"/>
          <w:vertAlign w:val="superscript"/>
          <w:lang w:val="en-CA"/>
        </w:rPr>
        <w:footnoteReference w:id="371"/>
      </w:r>
      <w:r w:rsidRPr="000C0842">
        <w:rPr>
          <w:rFonts w:eastAsia="SimSun" w:hint="eastAsia"/>
          <w:sz w:val="24"/>
          <w:szCs w:val="24"/>
          <w:lang w:val="en-CA"/>
        </w:rPr>
        <w:t>，</w:t>
      </w:r>
    </w:p>
    <w:p w14:paraId="37FDCC42" w14:textId="77777777" w:rsidR="007946F0" w:rsidRPr="000C0842" w:rsidRDefault="007946F0" w:rsidP="007946F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考虑到</w:t>
      </w:r>
      <w:r w:rsidRPr="000C0842">
        <w:rPr>
          <w:rFonts w:eastAsia="SimSun"/>
          <w:sz w:val="24"/>
          <w:szCs w:val="24"/>
          <w:lang w:val="en-CA"/>
        </w:rPr>
        <w:t>在《公约》及其议定书下的进程中为召集技术专家组甄选专家时有效使用</w:t>
      </w:r>
      <w:bookmarkStart w:id="105" w:name="_Hlk184831511"/>
      <w:r w:rsidRPr="000C0842">
        <w:rPr>
          <w:rFonts w:eastAsia="SimSun" w:hint="eastAsia"/>
          <w:sz w:val="24"/>
          <w:szCs w:val="24"/>
          <w:lang w:val="en-CA"/>
        </w:rPr>
        <w:t>规避</w:t>
      </w:r>
      <w:r w:rsidRPr="000C0842">
        <w:rPr>
          <w:rFonts w:eastAsia="SimSun"/>
          <w:sz w:val="24"/>
          <w:szCs w:val="24"/>
          <w:lang w:val="en-CA"/>
        </w:rPr>
        <w:t>或管理利益冲突</w:t>
      </w:r>
      <w:r w:rsidRPr="000C0842">
        <w:rPr>
          <w:rFonts w:eastAsia="SimSun" w:hint="eastAsia"/>
          <w:sz w:val="24"/>
          <w:szCs w:val="24"/>
          <w:lang w:val="en-CA"/>
        </w:rPr>
        <w:t>的</w:t>
      </w:r>
      <w:bookmarkEnd w:id="105"/>
      <w:r w:rsidRPr="000C0842">
        <w:rPr>
          <w:rFonts w:eastAsia="SimSun"/>
          <w:sz w:val="24"/>
          <w:szCs w:val="24"/>
          <w:lang w:val="en-CA"/>
        </w:rPr>
        <w:t>程序</w:t>
      </w:r>
      <w:r w:rsidRPr="000C0842">
        <w:rPr>
          <w:rFonts w:eastAsia="SimSun"/>
          <w:sz w:val="24"/>
          <w:szCs w:val="24"/>
          <w:vertAlign w:val="superscript"/>
          <w:lang w:val="en-CA"/>
        </w:rPr>
        <w:footnoteReference w:id="372"/>
      </w:r>
      <w:r w:rsidRPr="000C0842">
        <w:rPr>
          <w:rFonts w:eastAsia="SimSun" w:hint="eastAsia"/>
          <w:sz w:val="24"/>
          <w:szCs w:val="24"/>
          <w:lang w:val="en-CA"/>
        </w:rPr>
        <w:t>，</w:t>
      </w:r>
    </w:p>
    <w:p w14:paraId="1E91E1E9" w14:textId="77777777" w:rsidR="007946F0" w:rsidRPr="000C0842" w:rsidRDefault="007946F0">
      <w:pPr>
        <w:numPr>
          <w:ilvl w:val="0"/>
          <w:numId w:val="108"/>
        </w:num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核准</w:t>
      </w:r>
      <w:r w:rsidRPr="000C0842">
        <w:rPr>
          <w:rFonts w:eastAsia="SimSun"/>
          <w:sz w:val="24"/>
          <w:szCs w:val="24"/>
          <w:lang w:val="en-CA"/>
        </w:rPr>
        <w:t>对程序附录所载利益披露表作如下修正：</w:t>
      </w:r>
    </w:p>
    <w:p w14:paraId="79606B88" w14:textId="77777777" w:rsidR="00F815CC" w:rsidRPr="000C0842" w:rsidRDefault="007946F0">
      <w:pPr>
        <w:pStyle w:val="ListParagraph"/>
        <w:numPr>
          <w:ilvl w:val="0"/>
          <w:numId w:val="251"/>
        </w:numPr>
        <w:tabs>
          <w:tab w:val="clear" w:pos="567"/>
          <w:tab w:val="clear" w:pos="1134"/>
          <w:tab w:val="clear" w:pos="1701"/>
          <w:tab w:val="clear" w:pos="2268"/>
        </w:tabs>
        <w:spacing w:before="120" w:after="120"/>
        <w:ind w:left="490" w:firstLine="490"/>
        <w:contextualSpacing w:val="0"/>
        <w:rPr>
          <w:rFonts w:eastAsia="SimSun"/>
          <w:sz w:val="24"/>
          <w:szCs w:val="24"/>
          <w:lang w:val="en-CA"/>
        </w:rPr>
      </w:pPr>
      <w:r w:rsidRPr="000C0842">
        <w:rPr>
          <w:rFonts w:eastAsia="SimSun"/>
          <w:sz w:val="24"/>
          <w:szCs w:val="24"/>
          <w:lang w:val="en-CA"/>
        </w:rPr>
        <w:t>在</w:t>
      </w:r>
      <w:r w:rsidRPr="000C0842">
        <w:rPr>
          <w:rFonts w:eastAsia="SimSun" w:hint="eastAsia"/>
          <w:sz w:val="24"/>
          <w:szCs w:val="24"/>
          <w:lang w:val="en-CA"/>
        </w:rPr>
        <w:t>利益披露</w:t>
      </w:r>
      <w:r w:rsidRPr="000C0842">
        <w:rPr>
          <w:rFonts w:eastAsia="SimSun"/>
          <w:sz w:val="24"/>
          <w:szCs w:val="24"/>
          <w:lang w:val="en-CA"/>
        </w:rPr>
        <w:t>表末尾的声明部分加入以下案文：</w:t>
      </w:r>
      <w:r w:rsidRPr="000C0842">
        <w:rPr>
          <w:rFonts w:eastAsia="SimSun"/>
          <w:sz w:val="24"/>
          <w:szCs w:val="24"/>
          <w:lang w:val="en-CA"/>
        </w:rPr>
        <w:t>“</w:t>
      </w:r>
      <w:r w:rsidRPr="000C0842">
        <w:rPr>
          <w:rFonts w:eastAsia="SimSun"/>
          <w:sz w:val="24"/>
          <w:szCs w:val="24"/>
          <w:lang w:val="en-CA"/>
        </w:rPr>
        <w:t>如果被选为专家组成员，我承诺完全客观地履行我的职责和责任，如果确定存在利益冲突，我承诺酌情回避相关讨论或决策</w:t>
      </w:r>
      <w:r w:rsidRPr="000C0842">
        <w:rPr>
          <w:rFonts w:eastAsia="SimSun"/>
          <w:sz w:val="24"/>
          <w:szCs w:val="24"/>
          <w:lang w:val="en-CA"/>
        </w:rPr>
        <w:t>”</w:t>
      </w:r>
      <w:r w:rsidRPr="000C0842">
        <w:rPr>
          <w:rFonts w:eastAsia="SimSun"/>
          <w:sz w:val="24"/>
          <w:szCs w:val="24"/>
          <w:lang w:val="en-CA"/>
        </w:rPr>
        <w:t>；</w:t>
      </w:r>
    </w:p>
    <w:p w14:paraId="21CB8B2A" w14:textId="53FBAE74" w:rsidR="007946F0" w:rsidRPr="000C0842" w:rsidRDefault="007946F0">
      <w:pPr>
        <w:pStyle w:val="ListParagraph"/>
        <w:numPr>
          <w:ilvl w:val="0"/>
          <w:numId w:val="251"/>
        </w:numPr>
        <w:tabs>
          <w:tab w:val="clear" w:pos="567"/>
          <w:tab w:val="clear" w:pos="1134"/>
          <w:tab w:val="clear" w:pos="1701"/>
          <w:tab w:val="clear" w:pos="2268"/>
        </w:tabs>
        <w:spacing w:before="120" w:after="120"/>
        <w:ind w:left="490" w:firstLine="490"/>
        <w:contextualSpacing w:val="0"/>
        <w:rPr>
          <w:rFonts w:eastAsia="SimSun"/>
          <w:sz w:val="24"/>
          <w:szCs w:val="24"/>
          <w:lang w:val="en-CA"/>
        </w:rPr>
      </w:pPr>
      <w:r w:rsidRPr="000C0842">
        <w:rPr>
          <w:rFonts w:eastAsia="SimSun"/>
          <w:sz w:val="24"/>
          <w:szCs w:val="24"/>
          <w:lang w:val="en-CA"/>
        </w:rPr>
        <w:t>在利益披露表的开头，在</w:t>
      </w:r>
      <w:r w:rsidRPr="000C0842">
        <w:rPr>
          <w:rFonts w:eastAsia="SimSun"/>
          <w:sz w:val="24"/>
          <w:szCs w:val="24"/>
          <w:lang w:val="en-CA"/>
        </w:rPr>
        <w:t>“</w:t>
      </w:r>
      <w:r w:rsidRPr="000C0842">
        <w:rPr>
          <w:rFonts w:eastAsia="SimSun"/>
          <w:sz w:val="24"/>
          <w:szCs w:val="24"/>
          <w:lang w:val="en-CA"/>
        </w:rPr>
        <w:t>姓名</w:t>
      </w:r>
      <w:r w:rsidRPr="000C0842">
        <w:rPr>
          <w:rFonts w:eastAsia="SimSun"/>
          <w:sz w:val="24"/>
          <w:szCs w:val="24"/>
          <w:lang w:val="en-CA"/>
        </w:rPr>
        <w:t>”</w:t>
      </w:r>
      <w:r w:rsidRPr="000C0842">
        <w:rPr>
          <w:rFonts w:eastAsia="SimSun"/>
          <w:sz w:val="24"/>
          <w:szCs w:val="24"/>
          <w:lang w:val="en-CA"/>
        </w:rPr>
        <w:t>一行的上面增加</w:t>
      </w:r>
      <w:r w:rsidRPr="000C0842">
        <w:rPr>
          <w:rFonts w:eastAsia="SimSun"/>
          <w:sz w:val="24"/>
          <w:szCs w:val="24"/>
          <w:lang w:val="en-CA"/>
        </w:rPr>
        <w:t>“</w:t>
      </w:r>
      <w:r w:rsidRPr="000C0842">
        <w:rPr>
          <w:rFonts w:eastAsia="SimSun"/>
          <w:sz w:val="24"/>
          <w:szCs w:val="24"/>
          <w:lang w:val="en-CA"/>
        </w:rPr>
        <w:t>专家组的名称或描述</w:t>
      </w:r>
      <w:r w:rsidRPr="000C0842">
        <w:rPr>
          <w:rFonts w:eastAsia="SimSun"/>
          <w:sz w:val="24"/>
          <w:szCs w:val="24"/>
          <w:lang w:val="en-CA"/>
        </w:rPr>
        <w:t>”</w:t>
      </w:r>
      <w:r w:rsidRPr="000C0842">
        <w:rPr>
          <w:rFonts w:eastAsia="SimSun"/>
          <w:sz w:val="24"/>
          <w:szCs w:val="24"/>
          <w:lang w:val="en-CA"/>
        </w:rPr>
        <w:t>一行，在</w:t>
      </w:r>
      <w:r w:rsidRPr="000C0842">
        <w:rPr>
          <w:rFonts w:eastAsia="SimSun"/>
          <w:sz w:val="24"/>
          <w:szCs w:val="24"/>
          <w:lang w:val="en-CA"/>
        </w:rPr>
        <w:t>“</w:t>
      </w:r>
      <w:r w:rsidRPr="000C0842">
        <w:rPr>
          <w:rFonts w:eastAsia="SimSun"/>
          <w:sz w:val="24"/>
          <w:szCs w:val="24"/>
          <w:lang w:val="en-CA"/>
        </w:rPr>
        <w:t>当前雇主</w:t>
      </w:r>
      <w:r w:rsidRPr="000C0842">
        <w:rPr>
          <w:rFonts w:eastAsia="SimSun"/>
          <w:sz w:val="24"/>
          <w:szCs w:val="24"/>
          <w:lang w:val="en-CA"/>
        </w:rPr>
        <w:t>”</w:t>
      </w:r>
      <w:r w:rsidRPr="000C0842">
        <w:rPr>
          <w:rFonts w:eastAsia="SimSun"/>
          <w:sz w:val="24"/>
          <w:szCs w:val="24"/>
          <w:lang w:val="en-CA"/>
        </w:rPr>
        <w:t>一行的下面增加</w:t>
      </w:r>
      <w:r w:rsidRPr="000C0842">
        <w:rPr>
          <w:rFonts w:eastAsia="SimSun"/>
          <w:sz w:val="24"/>
          <w:szCs w:val="24"/>
          <w:lang w:val="en-CA"/>
        </w:rPr>
        <w:t>“</w:t>
      </w:r>
      <w:r w:rsidRPr="000C0842">
        <w:rPr>
          <w:rFonts w:eastAsia="SimSun"/>
          <w:sz w:val="24"/>
          <w:szCs w:val="24"/>
          <w:lang w:val="en-CA"/>
        </w:rPr>
        <w:t>职务</w:t>
      </w:r>
      <w:r w:rsidRPr="000C0842">
        <w:rPr>
          <w:rFonts w:eastAsia="SimSun"/>
          <w:sz w:val="24"/>
          <w:szCs w:val="24"/>
          <w:lang w:val="en-CA"/>
        </w:rPr>
        <w:t>”</w:t>
      </w:r>
      <w:r w:rsidRPr="000C0842">
        <w:rPr>
          <w:rFonts w:eastAsia="SimSun"/>
          <w:sz w:val="24"/>
          <w:szCs w:val="24"/>
          <w:lang w:val="en-CA"/>
        </w:rPr>
        <w:t>一行；</w:t>
      </w:r>
    </w:p>
    <w:p w14:paraId="18A69A95" w14:textId="77777777" w:rsidR="007946F0" w:rsidRPr="000C0842" w:rsidRDefault="007946F0">
      <w:pPr>
        <w:numPr>
          <w:ilvl w:val="0"/>
          <w:numId w:val="107"/>
        </w:num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ascii="KaiTi" w:eastAsia="KaiTi" w:hAnsi="KaiTi"/>
          <w:sz w:val="24"/>
          <w:szCs w:val="24"/>
          <w:lang w:val="en-CA"/>
        </w:rPr>
        <w:t>请</w:t>
      </w:r>
      <w:r w:rsidRPr="000C0842">
        <w:rPr>
          <w:rFonts w:eastAsia="SimSun"/>
          <w:sz w:val="24"/>
          <w:szCs w:val="24"/>
          <w:lang w:val="en-CA"/>
        </w:rPr>
        <w:t>执行秘书将上文第</w:t>
      </w:r>
      <w:r w:rsidRPr="000C0842">
        <w:rPr>
          <w:rFonts w:eastAsia="SimSun"/>
          <w:sz w:val="24"/>
          <w:szCs w:val="24"/>
          <w:lang w:val="en-CA"/>
        </w:rPr>
        <w:t>1</w:t>
      </w:r>
      <w:r w:rsidRPr="000C0842">
        <w:rPr>
          <w:rFonts w:eastAsia="SimSun"/>
          <w:sz w:val="24"/>
          <w:szCs w:val="24"/>
          <w:lang w:val="en-CA"/>
        </w:rPr>
        <w:t>段</w:t>
      </w:r>
      <w:r w:rsidRPr="000C0842">
        <w:rPr>
          <w:rFonts w:eastAsia="SimSun" w:hint="eastAsia"/>
          <w:sz w:val="24"/>
          <w:szCs w:val="24"/>
          <w:lang w:val="en-CA"/>
        </w:rPr>
        <w:t>所述</w:t>
      </w:r>
      <w:r w:rsidRPr="000C0842">
        <w:rPr>
          <w:rFonts w:eastAsia="SimSun"/>
          <w:sz w:val="24"/>
          <w:szCs w:val="24"/>
          <w:lang w:val="en-CA"/>
        </w:rPr>
        <w:t>修</w:t>
      </w:r>
      <w:r w:rsidRPr="000C0842">
        <w:rPr>
          <w:rFonts w:eastAsia="SimSun" w:hint="eastAsia"/>
          <w:sz w:val="24"/>
          <w:szCs w:val="24"/>
          <w:lang w:val="en-CA"/>
        </w:rPr>
        <w:t>正</w:t>
      </w:r>
      <w:r w:rsidRPr="000C0842">
        <w:rPr>
          <w:rFonts w:eastAsia="SimSun"/>
          <w:sz w:val="24"/>
          <w:szCs w:val="24"/>
          <w:lang w:val="en-CA"/>
        </w:rPr>
        <w:t>纳入利益</w:t>
      </w:r>
      <w:r w:rsidRPr="000C0842">
        <w:rPr>
          <w:rFonts w:eastAsia="SimSun" w:hint="eastAsia"/>
          <w:sz w:val="24"/>
          <w:szCs w:val="24"/>
          <w:lang w:val="en-CA"/>
        </w:rPr>
        <w:t>披露</w:t>
      </w:r>
      <w:r w:rsidRPr="000C0842">
        <w:rPr>
          <w:rFonts w:eastAsia="SimSun"/>
          <w:sz w:val="24"/>
          <w:szCs w:val="24"/>
          <w:lang w:val="en-CA"/>
        </w:rPr>
        <w:t>表，用修</w:t>
      </w:r>
      <w:r w:rsidRPr="000C0842">
        <w:rPr>
          <w:rFonts w:eastAsia="SimSun" w:hint="eastAsia"/>
          <w:sz w:val="24"/>
          <w:szCs w:val="24"/>
          <w:lang w:val="en-CA"/>
        </w:rPr>
        <w:t>正</w:t>
      </w:r>
      <w:r w:rsidRPr="000C0842">
        <w:rPr>
          <w:rFonts w:eastAsia="SimSun"/>
          <w:sz w:val="24"/>
          <w:szCs w:val="24"/>
          <w:lang w:val="en-CA"/>
        </w:rPr>
        <w:t>后的表格取代原</w:t>
      </w:r>
      <w:r w:rsidRPr="000C0842">
        <w:rPr>
          <w:rFonts w:eastAsia="SimSun" w:hint="eastAsia"/>
          <w:sz w:val="24"/>
          <w:szCs w:val="24"/>
          <w:lang w:val="en-CA"/>
        </w:rPr>
        <w:t>有</w:t>
      </w:r>
      <w:r w:rsidRPr="000C0842">
        <w:rPr>
          <w:rFonts w:eastAsia="SimSun"/>
          <w:sz w:val="24"/>
          <w:szCs w:val="24"/>
          <w:lang w:val="en-CA"/>
        </w:rPr>
        <w:t>表格</w:t>
      </w:r>
      <w:r w:rsidRPr="000C0842">
        <w:rPr>
          <w:rFonts w:eastAsia="SimSun" w:hint="eastAsia"/>
          <w:sz w:val="24"/>
          <w:szCs w:val="24"/>
          <w:lang w:val="en-CA"/>
        </w:rPr>
        <w:t>；</w:t>
      </w:r>
      <w:r w:rsidRPr="000C0842">
        <w:rPr>
          <w:rFonts w:eastAsia="SimSun"/>
          <w:sz w:val="24"/>
          <w:szCs w:val="24"/>
          <w:lang w:val="en-CA"/>
        </w:rPr>
        <w:t xml:space="preserve"> </w:t>
      </w:r>
    </w:p>
    <w:p w14:paraId="4A85152E" w14:textId="77777777" w:rsidR="007946F0" w:rsidRPr="000C0842" w:rsidRDefault="007946F0">
      <w:pPr>
        <w:numPr>
          <w:ilvl w:val="0"/>
          <w:numId w:val="107"/>
        </w:num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ascii="KaiTi" w:eastAsia="KaiTi" w:hAnsi="KaiTi" w:hint="eastAsia"/>
          <w:sz w:val="24"/>
          <w:szCs w:val="24"/>
          <w:lang w:val="en-CA"/>
        </w:rPr>
        <w:t>又请</w:t>
      </w:r>
      <w:r w:rsidRPr="000C0842">
        <w:rPr>
          <w:rFonts w:eastAsia="SimSun" w:hint="eastAsia"/>
          <w:sz w:val="24"/>
          <w:szCs w:val="24"/>
          <w:lang w:val="en-CA"/>
        </w:rPr>
        <w:t>执行</w:t>
      </w:r>
      <w:r w:rsidRPr="000C0842">
        <w:rPr>
          <w:rFonts w:ascii="SimSun" w:eastAsia="SimSun" w:hAnsi="SimSun" w:cs="Microsoft YaHei" w:hint="eastAsia"/>
          <w:sz w:val="24"/>
          <w:szCs w:val="24"/>
          <w:shd w:val="clear" w:color="auto" w:fill="FFFFFF"/>
          <w:lang w:val="en-CA"/>
        </w:rPr>
        <w:t>秘书</w:t>
      </w:r>
      <w:r w:rsidRPr="000C0842">
        <w:rPr>
          <w:rFonts w:eastAsia="SimSun" w:hint="eastAsia"/>
          <w:sz w:val="24"/>
          <w:szCs w:val="24"/>
          <w:lang w:val="en-CA"/>
        </w:rPr>
        <w:t>与科学、技术和工艺咨询附属机构主席团或缔约方大会主席团协商，酌情采取措施加强程序的适用，包括为此：</w:t>
      </w:r>
    </w:p>
    <w:p w14:paraId="6E8A5163" w14:textId="05ABB7AF" w:rsidR="007946F0" w:rsidRPr="000C0842" w:rsidRDefault="007946F0">
      <w:pPr>
        <w:pStyle w:val="ListParagraph"/>
        <w:numPr>
          <w:ilvl w:val="0"/>
          <w:numId w:val="252"/>
        </w:numPr>
        <w:tabs>
          <w:tab w:val="clear" w:pos="567"/>
          <w:tab w:val="clear" w:pos="1134"/>
          <w:tab w:val="clear" w:pos="1701"/>
          <w:tab w:val="clear" w:pos="2268"/>
        </w:tabs>
        <w:spacing w:before="120" w:after="120"/>
        <w:ind w:left="490" w:firstLine="490"/>
        <w:contextualSpacing w:val="0"/>
        <w:rPr>
          <w:rFonts w:eastAsia="SimSun"/>
          <w:sz w:val="24"/>
          <w:szCs w:val="24"/>
          <w:lang w:val="en-CA"/>
        </w:rPr>
      </w:pPr>
      <w:r w:rsidRPr="000C0842">
        <w:rPr>
          <w:rFonts w:eastAsia="SimSun"/>
          <w:sz w:val="24"/>
          <w:szCs w:val="24"/>
          <w:lang w:val="en-CA"/>
        </w:rPr>
        <w:t>在不影响程序第</w:t>
      </w:r>
      <w:r w:rsidRPr="000C0842">
        <w:rPr>
          <w:rFonts w:eastAsia="SimSun"/>
          <w:sz w:val="24"/>
          <w:szCs w:val="24"/>
          <w:lang w:val="en-CA"/>
        </w:rPr>
        <w:t>4.4</w:t>
      </w:r>
      <w:r w:rsidRPr="000C0842">
        <w:rPr>
          <w:rFonts w:eastAsia="SimSun"/>
          <w:sz w:val="24"/>
          <w:szCs w:val="24"/>
          <w:lang w:val="en-CA"/>
        </w:rPr>
        <w:t>段</w:t>
      </w:r>
      <w:r w:rsidRPr="000C0842">
        <w:rPr>
          <w:rFonts w:eastAsia="SimSun" w:hint="eastAsia"/>
          <w:sz w:val="24"/>
          <w:szCs w:val="24"/>
          <w:lang w:val="en-CA"/>
        </w:rPr>
        <w:t>(</w:t>
      </w:r>
      <w:r w:rsidRPr="000C0842">
        <w:rPr>
          <w:rFonts w:eastAsia="SimSun"/>
          <w:sz w:val="24"/>
          <w:szCs w:val="24"/>
          <w:lang w:val="en-CA"/>
        </w:rPr>
        <w:t>b</w:t>
      </w:r>
      <w:r w:rsidRPr="000C0842">
        <w:rPr>
          <w:rFonts w:eastAsia="SimSun" w:hint="eastAsia"/>
          <w:sz w:val="24"/>
          <w:szCs w:val="24"/>
          <w:lang w:val="en-CA"/>
        </w:rPr>
        <w:t>)</w:t>
      </w:r>
      <w:r w:rsidRPr="000C0842">
        <w:rPr>
          <w:rFonts w:eastAsia="SimSun"/>
          <w:sz w:val="24"/>
          <w:szCs w:val="24"/>
          <w:lang w:val="en-CA"/>
        </w:rPr>
        <w:t>的情况下，向专家组其他成员以及在专家组任何会议开始时</w:t>
      </w:r>
      <w:r w:rsidRPr="000C0842">
        <w:rPr>
          <w:rFonts w:eastAsia="SimSun" w:hint="eastAsia"/>
          <w:sz w:val="24"/>
          <w:szCs w:val="24"/>
          <w:lang w:val="en-CA"/>
        </w:rPr>
        <w:t>披露</w:t>
      </w:r>
      <w:r w:rsidRPr="000C0842">
        <w:rPr>
          <w:rFonts w:eastAsia="SimSun"/>
          <w:sz w:val="24"/>
          <w:szCs w:val="24"/>
          <w:lang w:val="en-CA"/>
        </w:rPr>
        <w:t>某一成员已</w:t>
      </w:r>
      <w:r w:rsidRPr="000C0842">
        <w:rPr>
          <w:rFonts w:eastAsia="SimSun" w:hint="eastAsia"/>
          <w:sz w:val="24"/>
          <w:szCs w:val="24"/>
          <w:lang w:val="en-CA"/>
        </w:rPr>
        <w:t>公布</w:t>
      </w:r>
      <w:r w:rsidRPr="000C0842">
        <w:rPr>
          <w:rFonts w:eastAsia="SimSun"/>
          <w:sz w:val="24"/>
          <w:szCs w:val="24"/>
          <w:lang w:val="en-CA"/>
        </w:rPr>
        <w:t>的重大利益</w:t>
      </w:r>
      <w:r w:rsidRPr="000C0842">
        <w:rPr>
          <w:rFonts w:eastAsia="SimSun" w:hint="eastAsia"/>
          <w:sz w:val="24"/>
          <w:szCs w:val="24"/>
          <w:lang w:val="en-CA"/>
        </w:rPr>
        <w:t>；</w:t>
      </w:r>
    </w:p>
    <w:p w14:paraId="4B612E56" w14:textId="71D10740" w:rsidR="007946F0" w:rsidRPr="000C0842" w:rsidRDefault="007946F0">
      <w:pPr>
        <w:pStyle w:val="ListParagraph"/>
        <w:numPr>
          <w:ilvl w:val="0"/>
          <w:numId w:val="252"/>
        </w:numPr>
        <w:tabs>
          <w:tab w:val="clear" w:pos="567"/>
          <w:tab w:val="clear" w:pos="1134"/>
          <w:tab w:val="clear" w:pos="1701"/>
          <w:tab w:val="clear" w:pos="2268"/>
        </w:tabs>
        <w:spacing w:before="120" w:after="120"/>
        <w:ind w:left="490" w:firstLine="490"/>
        <w:contextualSpacing w:val="0"/>
        <w:rPr>
          <w:rFonts w:eastAsia="SimSun"/>
          <w:sz w:val="24"/>
          <w:szCs w:val="24"/>
          <w:lang w:val="en-CA"/>
        </w:rPr>
      </w:pPr>
      <w:r w:rsidRPr="000C0842">
        <w:rPr>
          <w:rFonts w:eastAsia="SimSun"/>
          <w:sz w:val="24"/>
          <w:szCs w:val="24"/>
          <w:lang w:val="en-CA"/>
        </w:rPr>
        <w:t>在专家组会议报告和任何其他工作成果或产品中公布为管理任何实际或潜在利益冲突而作出的所有</w:t>
      </w:r>
      <w:r w:rsidRPr="000C0842">
        <w:rPr>
          <w:rFonts w:eastAsia="SimSun" w:hint="eastAsia"/>
          <w:sz w:val="24"/>
          <w:szCs w:val="24"/>
          <w:lang w:val="en-CA"/>
        </w:rPr>
        <w:t>申报</w:t>
      </w:r>
      <w:r w:rsidRPr="000C0842">
        <w:rPr>
          <w:rFonts w:eastAsia="SimSun"/>
          <w:sz w:val="24"/>
          <w:szCs w:val="24"/>
          <w:lang w:val="en-CA"/>
        </w:rPr>
        <w:t>和采取</w:t>
      </w:r>
      <w:r w:rsidRPr="000C0842">
        <w:rPr>
          <w:rFonts w:eastAsia="SimSun" w:hint="eastAsia"/>
          <w:sz w:val="24"/>
          <w:szCs w:val="24"/>
          <w:lang w:val="en-CA"/>
        </w:rPr>
        <w:t>的所有</w:t>
      </w:r>
      <w:r w:rsidRPr="000C0842">
        <w:rPr>
          <w:rFonts w:eastAsia="SimSun"/>
          <w:sz w:val="24"/>
          <w:szCs w:val="24"/>
          <w:lang w:val="en-CA"/>
        </w:rPr>
        <w:t>行动的摘要；</w:t>
      </w:r>
    </w:p>
    <w:p w14:paraId="6A3B7E51" w14:textId="77777777" w:rsidR="007946F0" w:rsidRPr="000C0842" w:rsidRDefault="007946F0" w:rsidP="007946F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4.</w:t>
      </w:r>
      <w:r w:rsidRPr="000C0842">
        <w:rPr>
          <w:rFonts w:eastAsia="KaiTi"/>
          <w:sz w:val="24"/>
          <w:szCs w:val="24"/>
          <w:lang w:val="en-CA"/>
        </w:rPr>
        <w:tab/>
      </w:r>
      <w:r w:rsidRPr="000C0842">
        <w:rPr>
          <w:rFonts w:ascii="KaiTi" w:eastAsia="KaiTi" w:hAnsi="KaiTi" w:hint="eastAsia"/>
          <w:sz w:val="24"/>
          <w:szCs w:val="24"/>
          <w:lang w:val="en-CA"/>
        </w:rPr>
        <w:t>还</w:t>
      </w:r>
      <w:r w:rsidRPr="000C0842">
        <w:rPr>
          <w:rFonts w:ascii="KaiTi" w:eastAsia="KaiTi" w:hAnsi="KaiTi"/>
          <w:sz w:val="24"/>
          <w:szCs w:val="24"/>
          <w:lang w:val="en-CA"/>
        </w:rPr>
        <w:t>请</w:t>
      </w:r>
      <w:r w:rsidRPr="000C0842">
        <w:rPr>
          <w:rFonts w:eastAsia="SimSun"/>
          <w:sz w:val="24"/>
          <w:szCs w:val="24"/>
          <w:lang w:val="en-CA"/>
        </w:rPr>
        <w:t>执行秘书编写一份关于程序执行情况的报告，如有必要，对程序提出更新和修正建议，供</w:t>
      </w:r>
      <w:r w:rsidRPr="000C0842">
        <w:rPr>
          <w:rFonts w:eastAsia="SimSun" w:hint="eastAsia"/>
          <w:sz w:val="24"/>
          <w:szCs w:val="24"/>
          <w:lang w:val="en-CA"/>
        </w:rPr>
        <w:t>执行问题</w:t>
      </w:r>
      <w:r w:rsidRPr="000C0842">
        <w:rPr>
          <w:rFonts w:eastAsia="SimSun"/>
          <w:sz w:val="24"/>
          <w:szCs w:val="24"/>
          <w:lang w:val="en-CA"/>
        </w:rPr>
        <w:t>附属机构在缔约方</w:t>
      </w:r>
      <w:r w:rsidRPr="000C0842">
        <w:rPr>
          <w:rFonts w:eastAsia="SimSun" w:hint="eastAsia"/>
          <w:sz w:val="24"/>
          <w:szCs w:val="24"/>
          <w:lang w:val="en-CA"/>
        </w:rPr>
        <w:t>大会</w:t>
      </w:r>
      <w:r w:rsidRPr="000C0842">
        <w:rPr>
          <w:rFonts w:eastAsia="SimSun"/>
          <w:sz w:val="24"/>
          <w:szCs w:val="24"/>
          <w:lang w:val="en-CA"/>
        </w:rPr>
        <w:t>第十九届会议之前举行的一次会议上审议</w:t>
      </w:r>
      <w:r w:rsidRPr="000C0842">
        <w:rPr>
          <w:rFonts w:eastAsia="SimSun" w:hint="eastAsia"/>
          <w:sz w:val="24"/>
          <w:szCs w:val="24"/>
          <w:lang w:val="en-CA"/>
        </w:rPr>
        <w:t>；</w:t>
      </w:r>
    </w:p>
    <w:p w14:paraId="0769EAE8" w14:textId="744EAD5D" w:rsidR="007946F0" w:rsidRPr="000C0842" w:rsidRDefault="007946F0" w:rsidP="007946F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hint="eastAsia"/>
          <w:sz w:val="24"/>
          <w:szCs w:val="24"/>
          <w:lang w:val="en-CA"/>
        </w:rPr>
        <w:t>5.</w:t>
      </w:r>
      <w:r w:rsidRPr="000C0842">
        <w:rPr>
          <w:rFonts w:eastAsia="KaiTi"/>
          <w:sz w:val="24"/>
          <w:szCs w:val="24"/>
          <w:lang w:val="en-CA"/>
        </w:rPr>
        <w:tab/>
      </w:r>
      <w:r w:rsidRPr="000C0842">
        <w:rPr>
          <w:rFonts w:eastAsia="KaiTi"/>
          <w:sz w:val="24"/>
          <w:szCs w:val="24"/>
          <w:lang w:val="en-CA"/>
        </w:rPr>
        <w:t>请</w:t>
      </w:r>
      <w:r w:rsidRPr="000C0842">
        <w:rPr>
          <w:rFonts w:eastAsia="SimSun" w:hint="eastAsia"/>
          <w:sz w:val="24"/>
          <w:szCs w:val="24"/>
          <w:lang w:val="en-CA"/>
        </w:rPr>
        <w:t>执行问题</w:t>
      </w:r>
      <w:r w:rsidRPr="000C0842">
        <w:rPr>
          <w:rFonts w:eastAsia="SimSun"/>
          <w:sz w:val="24"/>
          <w:szCs w:val="24"/>
          <w:lang w:val="en-CA"/>
        </w:rPr>
        <w:t>附属机构审议上文第</w:t>
      </w:r>
      <w:r w:rsidRPr="000C0842">
        <w:rPr>
          <w:rFonts w:eastAsia="SimSun" w:hint="eastAsia"/>
          <w:sz w:val="24"/>
          <w:szCs w:val="24"/>
          <w:lang w:val="en-CA"/>
        </w:rPr>
        <w:t>4</w:t>
      </w:r>
      <w:r w:rsidRPr="000C0842">
        <w:rPr>
          <w:rFonts w:eastAsia="SimSun"/>
          <w:sz w:val="24"/>
          <w:szCs w:val="24"/>
          <w:lang w:val="en-CA"/>
        </w:rPr>
        <w:t>段</w:t>
      </w:r>
      <w:r w:rsidRPr="000C0842">
        <w:rPr>
          <w:rFonts w:eastAsia="SimSun" w:hint="eastAsia"/>
          <w:sz w:val="24"/>
          <w:szCs w:val="24"/>
          <w:lang w:val="en-CA"/>
        </w:rPr>
        <w:t>所述报告和</w:t>
      </w:r>
      <w:r w:rsidRPr="000C0842">
        <w:rPr>
          <w:rFonts w:eastAsia="SimSun"/>
          <w:sz w:val="24"/>
          <w:szCs w:val="24"/>
          <w:lang w:val="en-CA"/>
        </w:rPr>
        <w:t>任何拟议修正，提交一项建议供缔约方</w:t>
      </w:r>
      <w:r w:rsidRPr="000C0842">
        <w:rPr>
          <w:rFonts w:eastAsia="SimSun" w:hint="eastAsia"/>
          <w:sz w:val="24"/>
          <w:szCs w:val="24"/>
          <w:lang w:val="en-CA"/>
        </w:rPr>
        <w:t>大会</w:t>
      </w:r>
      <w:r w:rsidRPr="000C0842">
        <w:rPr>
          <w:rFonts w:ascii="SimSun" w:eastAsia="SimSun" w:hAnsi="SimSun" w:cs="Microsoft YaHei"/>
          <w:sz w:val="24"/>
          <w:szCs w:val="24"/>
          <w:shd w:val="clear" w:color="auto" w:fill="FFFFFF"/>
          <w:lang w:val="en-CA"/>
        </w:rPr>
        <w:t>第十九</w:t>
      </w:r>
      <w:r w:rsidRPr="000C0842">
        <w:rPr>
          <w:rFonts w:eastAsia="SimSun"/>
          <w:sz w:val="24"/>
          <w:szCs w:val="24"/>
          <w:lang w:val="en-CA"/>
        </w:rPr>
        <w:t>届会议审议</w:t>
      </w:r>
      <w:r w:rsidRPr="000C0842">
        <w:rPr>
          <w:rFonts w:eastAsia="SimSun" w:hint="eastAsia"/>
          <w:sz w:val="24"/>
          <w:szCs w:val="24"/>
          <w:lang w:val="en-CA"/>
        </w:rPr>
        <w:t>。</w:t>
      </w:r>
    </w:p>
    <w:p w14:paraId="095DBA4E" w14:textId="77777777" w:rsidR="007946F0" w:rsidRPr="000C0842" w:rsidRDefault="007946F0">
      <w:pPr>
        <w:tabs>
          <w:tab w:val="clear" w:pos="567"/>
          <w:tab w:val="clear" w:pos="1134"/>
          <w:tab w:val="clear" w:pos="1701"/>
          <w:tab w:val="clear" w:pos="2268"/>
        </w:tabs>
        <w:jc w:val="left"/>
        <w:rPr>
          <w:rFonts w:eastAsia="SimSun"/>
          <w:sz w:val="24"/>
          <w:szCs w:val="24"/>
          <w:lang w:val="en-CA"/>
        </w:rPr>
      </w:pPr>
      <w:r w:rsidRPr="000C0842">
        <w:rPr>
          <w:rFonts w:eastAsia="SimSun"/>
          <w:sz w:val="24"/>
          <w:szCs w:val="24"/>
          <w:lang w:val="en-CA"/>
        </w:rPr>
        <w:br w:type="page"/>
      </w:r>
    </w:p>
    <w:p w14:paraId="5DE81E73" w14:textId="448B123D" w:rsidR="007946F0" w:rsidRPr="000C0842" w:rsidRDefault="007946F0" w:rsidP="002437E6">
      <w:pPr>
        <w:pStyle w:val="a1"/>
        <w:rPr>
          <w:rFonts w:hint="eastAsia"/>
          <w:lang w:eastAsia="zh-CN"/>
        </w:rPr>
      </w:pPr>
      <w:bookmarkStart w:id="106" w:name="_Toc206358224"/>
      <w:r w:rsidRPr="000C0842">
        <w:rPr>
          <w:lang w:eastAsia="zh-CN"/>
        </w:rPr>
        <w:t>16/27.</w:t>
      </w:r>
      <w:r w:rsidR="00503034" w:rsidRPr="000C0842">
        <w:rPr>
          <w:rFonts w:hint="eastAsia"/>
          <w:lang w:eastAsia="zh-CN"/>
        </w:rPr>
        <w:t xml:space="preserve"> </w:t>
      </w:r>
      <w:r w:rsidRPr="000C0842">
        <w:rPr>
          <w:rFonts w:hint="eastAsia"/>
          <w:lang w:eastAsia="zh-CN"/>
        </w:rPr>
        <w:t>缔约方大会今后会议的日期和地点</w:t>
      </w:r>
      <w:bookmarkEnd w:id="106"/>
    </w:p>
    <w:p w14:paraId="2CE505F5" w14:textId="77777777" w:rsidR="007946F0" w:rsidRPr="000C0842" w:rsidRDefault="007946F0" w:rsidP="00F815CC">
      <w:pPr>
        <w:shd w:val="clear" w:color="auto" w:fill="FFFFFF"/>
        <w:tabs>
          <w:tab w:val="clear" w:pos="567"/>
          <w:tab w:val="clear" w:pos="1134"/>
          <w:tab w:val="clear" w:pos="1701"/>
          <w:tab w:val="clear" w:pos="2268"/>
        </w:tabs>
        <w:spacing w:before="240" w:after="120"/>
        <w:ind w:left="490"/>
        <w:rPr>
          <w:rFonts w:eastAsia="KaiTi"/>
          <w:sz w:val="24"/>
          <w:szCs w:val="24"/>
        </w:rPr>
      </w:pPr>
      <w:r w:rsidRPr="000C0842">
        <w:rPr>
          <w:rFonts w:eastAsia="KaiTi" w:hint="eastAsia"/>
          <w:sz w:val="24"/>
          <w:szCs w:val="24"/>
        </w:rPr>
        <w:tab/>
      </w:r>
      <w:r w:rsidRPr="000C0842">
        <w:rPr>
          <w:rFonts w:eastAsia="KaiTi" w:hint="eastAsia"/>
          <w:sz w:val="24"/>
          <w:szCs w:val="24"/>
        </w:rPr>
        <w:t>缔约方大会，</w:t>
      </w:r>
    </w:p>
    <w:p w14:paraId="69225C39" w14:textId="77777777" w:rsidR="007946F0" w:rsidRPr="000C0842" w:rsidRDefault="007946F0" w:rsidP="007946F0">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回顾</w:t>
      </w:r>
      <w:r w:rsidRPr="000C0842">
        <w:rPr>
          <w:rFonts w:eastAsia="SimSun"/>
          <w:sz w:val="24"/>
          <w:szCs w:val="24"/>
        </w:rPr>
        <w:t>其</w:t>
      </w:r>
      <w:r w:rsidRPr="000C0842">
        <w:rPr>
          <w:rFonts w:eastAsia="SimSun"/>
          <w:sz w:val="24"/>
          <w:szCs w:val="24"/>
        </w:rPr>
        <w:t>2016</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17</w:t>
      </w:r>
      <w:r w:rsidRPr="000C0842">
        <w:rPr>
          <w:rFonts w:eastAsia="SimSun"/>
          <w:sz w:val="24"/>
          <w:szCs w:val="24"/>
        </w:rPr>
        <w:t>日第</w:t>
      </w:r>
      <w:hyperlink r:id="rId245" w:history="1">
        <w:r w:rsidRPr="000C0842">
          <w:rPr>
            <w:rFonts w:eastAsia="SimSun"/>
            <w:sz w:val="24"/>
            <w:szCs w:val="24"/>
            <w:u w:val="single"/>
          </w:rPr>
          <w:t>XIII/33</w:t>
        </w:r>
      </w:hyperlink>
      <w:r w:rsidRPr="000C0842">
        <w:rPr>
          <w:rFonts w:eastAsia="SimSun"/>
          <w:sz w:val="24"/>
          <w:szCs w:val="24"/>
        </w:rPr>
        <w:t>号决定，其中生物多样性公约</w:t>
      </w:r>
      <w:r w:rsidRPr="000C0842">
        <w:rPr>
          <w:rFonts w:eastAsia="SimSun"/>
          <w:sz w:val="24"/>
          <w:szCs w:val="24"/>
          <w:vertAlign w:val="superscript"/>
        </w:rPr>
        <w:footnoteReference w:id="373"/>
      </w:r>
      <w:r w:rsidRPr="000C0842">
        <w:rPr>
          <w:rFonts w:eastAsia="SimSun"/>
          <w:sz w:val="24"/>
          <w:szCs w:val="24"/>
        </w:rPr>
        <w:t>缔约方大会根据会议议事规则</w:t>
      </w:r>
      <w:r w:rsidRPr="000C0842">
        <w:rPr>
          <w:rFonts w:eastAsia="SimSun"/>
          <w:sz w:val="24"/>
          <w:szCs w:val="24"/>
          <w:vertAlign w:val="superscript"/>
        </w:rPr>
        <w:footnoteReference w:id="374"/>
      </w:r>
      <w:r w:rsidRPr="000C0842">
        <w:rPr>
          <w:rFonts w:eastAsia="SimSun"/>
          <w:sz w:val="24"/>
          <w:szCs w:val="24"/>
        </w:rPr>
        <w:t>第</w:t>
      </w:r>
      <w:r w:rsidRPr="000C0842">
        <w:rPr>
          <w:rFonts w:eastAsia="SimSun"/>
          <w:sz w:val="24"/>
          <w:szCs w:val="24"/>
        </w:rPr>
        <w:t>21</w:t>
      </w:r>
      <w:r w:rsidRPr="000C0842">
        <w:rPr>
          <w:rFonts w:eastAsia="SimSun"/>
          <w:sz w:val="24"/>
          <w:szCs w:val="24"/>
        </w:rPr>
        <w:t>条第</w:t>
      </w:r>
      <w:r w:rsidRPr="000C0842">
        <w:rPr>
          <w:rFonts w:eastAsia="SimSun"/>
          <w:sz w:val="24"/>
          <w:szCs w:val="24"/>
        </w:rPr>
        <w:t>1</w:t>
      </w:r>
      <w:r w:rsidRPr="000C0842">
        <w:rPr>
          <w:rFonts w:eastAsia="SimSun"/>
          <w:sz w:val="24"/>
          <w:szCs w:val="24"/>
        </w:rPr>
        <w:t>款，规定自第十七</w:t>
      </w:r>
      <w:r w:rsidRPr="000C0842">
        <w:rPr>
          <w:rFonts w:eastAsia="SimSun" w:hint="eastAsia"/>
          <w:sz w:val="24"/>
          <w:szCs w:val="24"/>
        </w:rPr>
        <w:t>届</w:t>
      </w:r>
      <w:r w:rsidRPr="000C0842">
        <w:rPr>
          <w:rFonts w:eastAsia="SimSun"/>
          <w:sz w:val="24"/>
          <w:szCs w:val="24"/>
        </w:rPr>
        <w:t>会议</w:t>
      </w:r>
      <w:r w:rsidRPr="000C0842">
        <w:rPr>
          <w:rFonts w:eastAsia="SimSun" w:hint="eastAsia"/>
          <w:sz w:val="24"/>
          <w:szCs w:val="24"/>
        </w:rPr>
        <w:t>开始</w:t>
      </w:r>
      <w:r w:rsidRPr="000C0842">
        <w:rPr>
          <w:rFonts w:eastAsia="SimSun"/>
          <w:sz w:val="24"/>
          <w:szCs w:val="24"/>
        </w:rPr>
        <w:t>，主席一职由联合国五个区域</w:t>
      </w:r>
      <w:r w:rsidRPr="000C0842">
        <w:rPr>
          <w:rFonts w:eastAsia="SimSun" w:hint="eastAsia"/>
          <w:sz w:val="24"/>
          <w:szCs w:val="24"/>
        </w:rPr>
        <w:t>组</w:t>
      </w:r>
      <w:r w:rsidRPr="000C0842">
        <w:rPr>
          <w:rFonts w:eastAsia="SimSun"/>
          <w:sz w:val="24"/>
          <w:szCs w:val="24"/>
        </w:rPr>
        <w:t>轮流担任，</w:t>
      </w:r>
    </w:p>
    <w:p w14:paraId="6638D6D7" w14:textId="77777777" w:rsidR="007946F0" w:rsidRPr="000C0842" w:rsidRDefault="007946F0" w:rsidP="007946F0">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rPr>
        <w:t>表示</w:t>
      </w:r>
      <w:r w:rsidRPr="000C0842">
        <w:rPr>
          <w:rFonts w:eastAsia="KaiTi"/>
          <w:sz w:val="24"/>
          <w:szCs w:val="24"/>
        </w:rPr>
        <w:t>赞赏地注意到</w:t>
      </w:r>
      <w:r w:rsidRPr="000C0842">
        <w:rPr>
          <w:rFonts w:eastAsia="SimSun" w:hint="eastAsia"/>
          <w:sz w:val="24"/>
          <w:szCs w:val="24"/>
        </w:rPr>
        <w:t>亚美尼亚</w:t>
      </w:r>
      <w:r w:rsidRPr="000C0842">
        <w:rPr>
          <w:rFonts w:eastAsia="SimSun"/>
          <w:sz w:val="24"/>
          <w:szCs w:val="24"/>
        </w:rPr>
        <w:t>政府</w:t>
      </w:r>
      <w:r w:rsidRPr="000C0842">
        <w:rPr>
          <w:rFonts w:eastAsia="SimSun" w:hint="eastAsia"/>
          <w:sz w:val="24"/>
          <w:szCs w:val="24"/>
        </w:rPr>
        <w:t>和阿塞拜疆政府</w:t>
      </w:r>
      <w:r w:rsidRPr="000C0842">
        <w:rPr>
          <w:rFonts w:eastAsia="SimSun"/>
          <w:sz w:val="24"/>
          <w:szCs w:val="24"/>
        </w:rPr>
        <w:t>提出主办公约缔约方大会第十七</w:t>
      </w:r>
      <w:r w:rsidRPr="000C0842">
        <w:rPr>
          <w:rFonts w:eastAsia="SimSun" w:hint="eastAsia"/>
          <w:sz w:val="24"/>
          <w:szCs w:val="24"/>
        </w:rPr>
        <w:t>届</w:t>
      </w:r>
      <w:r w:rsidRPr="000C0842">
        <w:rPr>
          <w:rFonts w:eastAsia="SimSun"/>
          <w:sz w:val="24"/>
          <w:szCs w:val="24"/>
        </w:rPr>
        <w:t>会议、作为卡塔赫纳生物安全议定书</w:t>
      </w:r>
      <w:r w:rsidRPr="000C0842">
        <w:rPr>
          <w:rFonts w:eastAsia="SimSun"/>
          <w:sz w:val="24"/>
          <w:szCs w:val="24"/>
          <w:vertAlign w:val="superscript"/>
        </w:rPr>
        <w:footnoteReference w:id="375"/>
      </w:r>
      <w:r w:rsidRPr="000C0842">
        <w:rPr>
          <w:rFonts w:eastAsia="SimSun"/>
          <w:sz w:val="24"/>
          <w:szCs w:val="24"/>
        </w:rPr>
        <w:t>缔约方会议的缔约方大会第十二次会议</w:t>
      </w:r>
      <w:r w:rsidRPr="000C0842">
        <w:rPr>
          <w:rFonts w:eastAsia="SimSun" w:hint="eastAsia"/>
          <w:sz w:val="24"/>
          <w:szCs w:val="24"/>
        </w:rPr>
        <w:t>和</w:t>
      </w:r>
      <w:r w:rsidRPr="000C0842">
        <w:rPr>
          <w:rFonts w:eastAsia="SimSun"/>
          <w:sz w:val="24"/>
          <w:szCs w:val="24"/>
        </w:rPr>
        <w:t>作为</w:t>
      </w:r>
      <w:r w:rsidRPr="000C0842">
        <w:rPr>
          <w:rFonts w:eastAsia="SimSun" w:hint="eastAsia"/>
          <w:sz w:val="24"/>
          <w:szCs w:val="24"/>
        </w:rPr>
        <w:t>关于获取遗传资源和公正和公平分享其利用所产生惠益的名古屋议定书</w:t>
      </w:r>
      <w:r w:rsidRPr="000C0842">
        <w:rPr>
          <w:rFonts w:eastAsia="SimSun"/>
          <w:sz w:val="24"/>
          <w:szCs w:val="24"/>
          <w:vertAlign w:val="superscript"/>
        </w:rPr>
        <w:footnoteReference w:id="376"/>
      </w:r>
      <w:r w:rsidRPr="000C0842">
        <w:rPr>
          <w:rFonts w:eastAsia="SimSun"/>
          <w:sz w:val="24"/>
          <w:szCs w:val="24"/>
        </w:rPr>
        <w:t>缔约方会议的缔约方大会第六次会议，</w:t>
      </w:r>
    </w:p>
    <w:p w14:paraId="2D96D1AB" w14:textId="77777777" w:rsidR="007946F0" w:rsidRPr="000C0842" w:rsidRDefault="007946F0">
      <w:pPr>
        <w:numPr>
          <w:ilvl w:val="6"/>
          <w:numId w:val="109"/>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决定</w:t>
      </w:r>
      <w:r w:rsidRPr="000C0842">
        <w:rPr>
          <w:rFonts w:eastAsia="SimSun"/>
          <w:sz w:val="24"/>
          <w:szCs w:val="24"/>
        </w:rPr>
        <w:t>生物多样性公约缔约方大会第十七</w:t>
      </w:r>
      <w:r w:rsidRPr="000C0842">
        <w:rPr>
          <w:rFonts w:eastAsia="SimSun" w:hint="eastAsia"/>
          <w:sz w:val="24"/>
          <w:szCs w:val="24"/>
        </w:rPr>
        <w:t>届</w:t>
      </w:r>
      <w:r w:rsidRPr="000C0842">
        <w:rPr>
          <w:rFonts w:eastAsia="SimSun"/>
          <w:sz w:val="24"/>
          <w:szCs w:val="24"/>
        </w:rPr>
        <w:t>会议、作为卡塔赫纳生物安全议定书缔约方会议的缔约方大会第十二次会议</w:t>
      </w:r>
      <w:r w:rsidRPr="000C0842">
        <w:rPr>
          <w:rFonts w:eastAsia="SimSun" w:hint="eastAsia"/>
          <w:sz w:val="24"/>
          <w:szCs w:val="24"/>
        </w:rPr>
        <w:t>和</w:t>
      </w:r>
      <w:r w:rsidRPr="000C0842">
        <w:rPr>
          <w:rFonts w:eastAsia="SimSun"/>
          <w:sz w:val="24"/>
          <w:szCs w:val="24"/>
        </w:rPr>
        <w:t>作为关于获取遗传资源</w:t>
      </w:r>
      <w:r w:rsidRPr="000C0842">
        <w:rPr>
          <w:rFonts w:eastAsia="SimSun" w:hint="eastAsia"/>
          <w:sz w:val="24"/>
          <w:szCs w:val="24"/>
        </w:rPr>
        <w:t>和</w:t>
      </w:r>
      <w:r w:rsidRPr="000C0842">
        <w:rPr>
          <w:rFonts w:eastAsia="SimSun"/>
          <w:sz w:val="24"/>
          <w:szCs w:val="24"/>
        </w:rPr>
        <w:t>公正</w:t>
      </w:r>
      <w:r w:rsidRPr="000C0842">
        <w:rPr>
          <w:rFonts w:eastAsia="SimSun" w:hint="eastAsia"/>
          <w:sz w:val="24"/>
          <w:szCs w:val="24"/>
        </w:rPr>
        <w:t>和</w:t>
      </w:r>
      <w:r w:rsidRPr="000C0842">
        <w:rPr>
          <w:rFonts w:eastAsia="SimSun"/>
          <w:sz w:val="24"/>
          <w:szCs w:val="24"/>
        </w:rPr>
        <w:t>公平分享</w:t>
      </w:r>
      <w:r w:rsidRPr="000C0842">
        <w:rPr>
          <w:rFonts w:eastAsia="SimSun" w:hint="eastAsia"/>
          <w:sz w:val="24"/>
          <w:szCs w:val="24"/>
        </w:rPr>
        <w:t>其</w:t>
      </w:r>
      <w:r w:rsidRPr="000C0842">
        <w:rPr>
          <w:rFonts w:eastAsia="SimSun"/>
          <w:sz w:val="24"/>
          <w:szCs w:val="24"/>
        </w:rPr>
        <w:t>利用所产生惠益的名古屋议定书缔约方会议的缔约方大会第六次会议将于</w:t>
      </w:r>
      <w:r w:rsidRPr="000C0842">
        <w:rPr>
          <w:rFonts w:eastAsia="SimSun"/>
          <w:sz w:val="24"/>
          <w:szCs w:val="24"/>
        </w:rPr>
        <w:t>2026</w:t>
      </w:r>
      <w:r w:rsidRPr="000C0842">
        <w:rPr>
          <w:rFonts w:eastAsia="SimSun"/>
          <w:sz w:val="24"/>
          <w:szCs w:val="24"/>
        </w:rPr>
        <w:t>年最后一个季度在</w:t>
      </w:r>
      <w:r w:rsidRPr="000C0842">
        <w:rPr>
          <w:rFonts w:eastAsia="SimSun" w:hint="eastAsia"/>
          <w:sz w:val="24"/>
          <w:szCs w:val="24"/>
        </w:rPr>
        <w:t>亚美尼亚</w:t>
      </w:r>
      <w:r w:rsidRPr="000C0842">
        <w:rPr>
          <w:rFonts w:eastAsia="SimSun"/>
          <w:sz w:val="24"/>
          <w:szCs w:val="24"/>
        </w:rPr>
        <w:t>埃里温举行；</w:t>
      </w:r>
    </w:p>
    <w:p w14:paraId="0DF6659D" w14:textId="77777777" w:rsidR="007946F0" w:rsidRPr="000C0842" w:rsidRDefault="007946F0">
      <w:pPr>
        <w:numPr>
          <w:ilvl w:val="6"/>
          <w:numId w:val="109"/>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请</w:t>
      </w:r>
      <w:r w:rsidRPr="000C0842">
        <w:rPr>
          <w:rFonts w:eastAsia="SimSun" w:hint="eastAsia"/>
          <w:sz w:val="24"/>
          <w:szCs w:val="24"/>
          <w:lang w:val="en-GB"/>
        </w:rPr>
        <w:t>执行秘书与亚美尼亚政府磋商，以便根据适用的联合国决议并遵照大会第</w:t>
      </w:r>
      <w:r w:rsidRPr="000C0842">
        <w:rPr>
          <w:rFonts w:eastAsia="SimSun" w:hint="eastAsia"/>
          <w:sz w:val="24"/>
          <w:szCs w:val="24"/>
          <w:lang w:val="en-GB"/>
        </w:rPr>
        <w:t xml:space="preserve"> 40/243</w:t>
      </w:r>
      <w:r w:rsidRPr="000C0842">
        <w:rPr>
          <w:rFonts w:eastAsia="SimSun" w:hint="eastAsia"/>
          <w:sz w:val="24"/>
          <w:szCs w:val="24"/>
          <w:lang w:val="en-GB"/>
        </w:rPr>
        <w:t>号决议</w:t>
      </w:r>
      <w:r w:rsidRPr="000C0842">
        <w:rPr>
          <w:rFonts w:eastAsia="SimSun"/>
          <w:sz w:val="24"/>
          <w:szCs w:val="24"/>
          <w:vertAlign w:val="superscript"/>
          <w:lang w:val="en-GB"/>
        </w:rPr>
        <w:footnoteReference w:id="377"/>
      </w:r>
      <w:r w:rsidRPr="000C0842">
        <w:rPr>
          <w:rFonts w:eastAsia="SimSun" w:hint="eastAsia"/>
          <w:sz w:val="24"/>
          <w:szCs w:val="24"/>
          <w:lang w:val="en-GB"/>
        </w:rPr>
        <w:t>规定的东道国政府协定编写准则，就东道国安排进行谈判，从而在缔约方大会举行会议之日前至少六个月缔结和签署一项东道国协定。</w:t>
      </w:r>
    </w:p>
    <w:p w14:paraId="40A4FF5E" w14:textId="1347E39E" w:rsidR="007946F0" w:rsidRPr="000C0842" w:rsidRDefault="007946F0">
      <w:pPr>
        <w:numPr>
          <w:ilvl w:val="6"/>
          <w:numId w:val="109"/>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感兴趣</w:t>
      </w:r>
      <w:r w:rsidRPr="000C0842">
        <w:rPr>
          <w:rFonts w:eastAsia="SimSun" w:hint="eastAsia"/>
          <w:sz w:val="24"/>
          <w:szCs w:val="24"/>
          <w:lang w:val="en-GB"/>
        </w:rPr>
        <w:t>的</w:t>
      </w:r>
      <w:r w:rsidRPr="000C0842">
        <w:rPr>
          <w:rFonts w:eastAsia="SimSun"/>
          <w:sz w:val="24"/>
          <w:szCs w:val="24"/>
          <w:lang w:val="en-GB"/>
        </w:rPr>
        <w:t>拉丁美洲和加勒比国家缔约方及时通知执行秘书，表示愿意主办公约缔约方大会第十八</w:t>
      </w:r>
      <w:r w:rsidRPr="000C0842">
        <w:rPr>
          <w:rFonts w:eastAsia="SimSun" w:hint="eastAsia"/>
          <w:sz w:val="24"/>
          <w:szCs w:val="24"/>
          <w:lang w:val="en-GB"/>
        </w:rPr>
        <w:t>届</w:t>
      </w:r>
      <w:r w:rsidRPr="000C0842">
        <w:rPr>
          <w:rFonts w:eastAsia="SimSun"/>
          <w:sz w:val="24"/>
          <w:szCs w:val="24"/>
          <w:lang w:val="en-GB"/>
        </w:rPr>
        <w:t>会议、作为卡塔赫纳议定书缔约方会议的缔约方大会第十三次会议</w:t>
      </w:r>
      <w:r w:rsidRPr="000C0842">
        <w:rPr>
          <w:rFonts w:eastAsia="SimSun" w:hint="eastAsia"/>
          <w:sz w:val="24"/>
          <w:szCs w:val="24"/>
          <w:lang w:val="en-GB"/>
        </w:rPr>
        <w:t>和</w:t>
      </w:r>
      <w:r w:rsidRPr="000C0842">
        <w:rPr>
          <w:rFonts w:eastAsia="SimSun"/>
          <w:sz w:val="24"/>
          <w:szCs w:val="24"/>
          <w:lang w:val="en-GB"/>
        </w:rPr>
        <w:t>作为名古屋议定书缔约方会议的缔约方大会第七次会议。</w:t>
      </w:r>
    </w:p>
    <w:p w14:paraId="47F3E2BD" w14:textId="77777777" w:rsidR="007946F0" w:rsidRPr="000C0842" w:rsidRDefault="007946F0">
      <w:pPr>
        <w:tabs>
          <w:tab w:val="clear" w:pos="567"/>
          <w:tab w:val="clear" w:pos="1134"/>
          <w:tab w:val="clear" w:pos="1701"/>
          <w:tab w:val="clear" w:pos="2268"/>
        </w:tabs>
        <w:jc w:val="left"/>
        <w:rPr>
          <w:rFonts w:eastAsia="SimSun"/>
          <w:sz w:val="24"/>
          <w:szCs w:val="24"/>
          <w:lang w:val="en-GB"/>
        </w:rPr>
      </w:pPr>
      <w:r w:rsidRPr="000C0842">
        <w:rPr>
          <w:rFonts w:eastAsia="SimSun"/>
          <w:sz w:val="24"/>
          <w:szCs w:val="24"/>
          <w:lang w:val="en-GB"/>
        </w:rPr>
        <w:br w:type="page"/>
      </w:r>
    </w:p>
    <w:p w14:paraId="6BB3419A" w14:textId="0889C29B" w:rsidR="00A528CF" w:rsidRPr="000C0842" w:rsidRDefault="00A528CF" w:rsidP="002437E6">
      <w:pPr>
        <w:pStyle w:val="a1"/>
        <w:rPr>
          <w:rFonts w:hint="eastAsia"/>
          <w:lang w:eastAsia="zh-CN"/>
        </w:rPr>
      </w:pPr>
      <w:bookmarkStart w:id="107" w:name="_Toc206358225"/>
      <w:r w:rsidRPr="000C0842">
        <w:rPr>
          <w:lang w:eastAsia="zh-CN"/>
        </w:rPr>
        <w:t>16/28.</w:t>
      </w:r>
      <w:r w:rsidRPr="000C0842">
        <w:rPr>
          <w:rFonts w:hint="eastAsia"/>
          <w:lang w:eastAsia="zh-CN"/>
        </w:rPr>
        <w:t>《公约》的行政管理和信托基金的预算</w:t>
      </w:r>
      <w:bookmarkEnd w:id="107"/>
    </w:p>
    <w:p w14:paraId="56E89FD7" w14:textId="77777777" w:rsidR="00A528CF" w:rsidRPr="000C0842" w:rsidRDefault="00A528CF" w:rsidP="00FC7E42">
      <w:pPr>
        <w:tabs>
          <w:tab w:val="clear" w:pos="567"/>
          <w:tab w:val="clear" w:pos="1134"/>
          <w:tab w:val="clear" w:pos="1701"/>
          <w:tab w:val="clear" w:pos="2268"/>
        </w:tabs>
        <w:spacing w:before="240" w:after="120" w:line="240" w:lineRule="atLeast"/>
        <w:ind w:left="490" w:firstLine="490"/>
        <w:rPr>
          <w:rFonts w:eastAsia="KaiTi"/>
          <w:sz w:val="24"/>
          <w:szCs w:val="24"/>
          <w:lang w:val="en-GB"/>
        </w:rPr>
      </w:pPr>
      <w:r w:rsidRPr="000C0842">
        <w:rPr>
          <w:rFonts w:eastAsia="KaiTi"/>
          <w:sz w:val="24"/>
          <w:szCs w:val="24"/>
        </w:rPr>
        <w:t>缔约方大会</w:t>
      </w:r>
      <w:r w:rsidRPr="000C0842">
        <w:rPr>
          <w:rFonts w:eastAsia="KaiTi"/>
          <w:sz w:val="24"/>
          <w:szCs w:val="24"/>
          <w:lang w:val="en-GB"/>
        </w:rPr>
        <w:t>,</w:t>
      </w:r>
    </w:p>
    <w:p w14:paraId="3548CE5A"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hint="eastAsia"/>
          <w:sz w:val="24"/>
          <w:szCs w:val="24"/>
          <w:lang w:val="en-GB"/>
        </w:rPr>
        <w:t>回顾</w:t>
      </w:r>
      <w:r w:rsidRPr="000C0842">
        <w:rPr>
          <w:rFonts w:eastAsia="SimSun" w:hint="eastAsia"/>
          <w:sz w:val="24"/>
          <w:szCs w:val="24"/>
          <w:lang w:val="en-GB"/>
        </w:rPr>
        <w:t>2022</w:t>
      </w:r>
      <w:r w:rsidRPr="000C0842">
        <w:rPr>
          <w:rFonts w:eastAsia="SimSun" w:hint="eastAsia"/>
          <w:sz w:val="24"/>
          <w:szCs w:val="24"/>
          <w:lang w:val="en-GB"/>
        </w:rPr>
        <w:t>年</w:t>
      </w:r>
      <w:r w:rsidRPr="000C0842">
        <w:rPr>
          <w:rFonts w:eastAsia="SimSun" w:hint="eastAsia"/>
          <w:sz w:val="24"/>
          <w:szCs w:val="24"/>
          <w:lang w:val="en-GB"/>
        </w:rPr>
        <w:t>12</w:t>
      </w:r>
      <w:r w:rsidRPr="000C0842">
        <w:rPr>
          <w:rFonts w:eastAsia="SimSun" w:hint="eastAsia"/>
          <w:sz w:val="24"/>
          <w:szCs w:val="24"/>
          <w:lang w:val="en-GB"/>
        </w:rPr>
        <w:t>月</w:t>
      </w:r>
      <w:r w:rsidRPr="000C0842">
        <w:rPr>
          <w:rFonts w:eastAsia="SimSun" w:hint="eastAsia"/>
          <w:sz w:val="24"/>
          <w:szCs w:val="24"/>
          <w:lang w:val="en-GB"/>
        </w:rPr>
        <w:t>19</w:t>
      </w:r>
      <w:r w:rsidRPr="000C0842">
        <w:rPr>
          <w:rFonts w:eastAsia="SimSun" w:hint="eastAsia"/>
          <w:sz w:val="24"/>
          <w:szCs w:val="24"/>
          <w:lang w:val="en-GB"/>
        </w:rPr>
        <w:t>日第</w:t>
      </w:r>
      <w:hyperlink r:id="rId246" w:history="1">
        <w:r w:rsidRPr="000C0842">
          <w:rPr>
            <w:rFonts w:eastAsia="SimSun" w:hint="eastAsia"/>
            <w:sz w:val="24"/>
            <w:szCs w:val="24"/>
            <w:u w:val="single"/>
            <w:lang w:val="en-GB"/>
          </w:rPr>
          <w:t>15/34</w:t>
        </w:r>
      </w:hyperlink>
      <w:r w:rsidRPr="000C0842">
        <w:rPr>
          <w:rFonts w:eastAsia="SimSun" w:hint="eastAsia"/>
          <w:sz w:val="24"/>
          <w:szCs w:val="24"/>
          <w:lang w:val="en-GB"/>
        </w:rPr>
        <w:t>号决定，</w:t>
      </w:r>
    </w:p>
    <w:p w14:paraId="452124F7"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认识到</w:t>
      </w:r>
      <w:r w:rsidRPr="000C0842">
        <w:rPr>
          <w:rFonts w:eastAsia="SimSun"/>
          <w:sz w:val="24"/>
          <w:szCs w:val="24"/>
          <w:lang w:val="en-GB"/>
        </w:rPr>
        <w:t>生物多样性公约</w:t>
      </w:r>
      <w:r w:rsidRPr="000C0842">
        <w:rPr>
          <w:rFonts w:eastAsia="SimSun"/>
          <w:sz w:val="24"/>
          <w:szCs w:val="24"/>
          <w:vertAlign w:val="superscript"/>
          <w:lang w:val="en-GB"/>
        </w:rPr>
        <w:footnoteReference w:id="378"/>
      </w:r>
      <w:r w:rsidRPr="000C0842">
        <w:rPr>
          <w:rFonts w:eastAsia="SimSun"/>
          <w:sz w:val="24"/>
          <w:szCs w:val="24"/>
          <w:lang w:val="en-GB"/>
        </w:rPr>
        <w:t>秘书处工作方案规模在多个两年期里累积增加，并注意到《公约》预算没有跟上这一增加的步伐，</w:t>
      </w:r>
    </w:p>
    <w:p w14:paraId="23940281"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又特别认识到</w:t>
      </w:r>
      <w:r w:rsidRPr="000C0842">
        <w:rPr>
          <w:rFonts w:eastAsia="SimSun"/>
          <w:sz w:val="24"/>
          <w:szCs w:val="24"/>
          <w:lang w:val="en-GB"/>
        </w:rPr>
        <w:t>最近休会期间会议的数量、频率和规模增加，秘书处服务面临的压力增加，包括提供会议设施、登记、旅行和其他行政工作、编辑工作和翻译以及监督和管理职能等服务压力增加，</w:t>
      </w:r>
    </w:p>
    <w:p w14:paraId="0030E27D"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认识到</w:t>
      </w:r>
      <w:r w:rsidRPr="000C0842">
        <w:rPr>
          <w:rFonts w:eastAsia="SimSun"/>
          <w:sz w:val="24"/>
          <w:szCs w:val="24"/>
          <w:lang w:val="en-GB"/>
        </w:rPr>
        <w:t>《昆明</w:t>
      </w:r>
      <w:r w:rsidRPr="000C0842">
        <w:rPr>
          <w:rFonts w:eastAsia="SimSun"/>
          <w:sz w:val="24"/>
          <w:szCs w:val="24"/>
          <w:lang w:val="en-GB"/>
        </w:rPr>
        <w:t>-</w:t>
      </w:r>
      <w:r w:rsidRPr="000C0842">
        <w:rPr>
          <w:rFonts w:eastAsia="SimSun"/>
          <w:sz w:val="24"/>
          <w:szCs w:val="24"/>
          <w:lang w:val="en-GB"/>
        </w:rPr>
        <w:t>蒙特利尔全球生物多样性框架》</w:t>
      </w:r>
      <w:r w:rsidRPr="000C0842">
        <w:rPr>
          <w:rFonts w:eastAsia="SimSun"/>
          <w:sz w:val="24"/>
          <w:szCs w:val="24"/>
          <w:vertAlign w:val="superscript"/>
          <w:lang w:val="en-GB"/>
        </w:rPr>
        <w:footnoteReference w:id="379"/>
      </w:r>
      <w:r w:rsidRPr="000C0842">
        <w:rPr>
          <w:rFonts w:eastAsia="SimSun"/>
          <w:sz w:val="24"/>
          <w:szCs w:val="24"/>
          <w:lang w:val="en-GB"/>
        </w:rPr>
        <w:t>通过后，</w:t>
      </w:r>
      <w:r w:rsidRPr="000C0842">
        <w:rPr>
          <w:rFonts w:eastAsia="SimSun" w:hint="eastAsia"/>
          <w:sz w:val="24"/>
          <w:szCs w:val="24"/>
          <w:lang w:val="en-GB"/>
        </w:rPr>
        <w:t>工作范围发生变化</w:t>
      </w:r>
      <w:r w:rsidRPr="000C0842">
        <w:rPr>
          <w:rFonts w:eastAsia="SimSun"/>
          <w:sz w:val="24"/>
          <w:szCs w:val="24"/>
          <w:lang w:val="en-GB"/>
        </w:rPr>
        <w:t>，增加</w:t>
      </w:r>
      <w:r w:rsidRPr="000C0842">
        <w:rPr>
          <w:rFonts w:eastAsia="SimSun" w:hint="eastAsia"/>
          <w:sz w:val="24"/>
          <w:szCs w:val="24"/>
          <w:lang w:val="en-GB"/>
        </w:rPr>
        <w:t>了缔约方</w:t>
      </w:r>
      <w:r w:rsidRPr="000C0842">
        <w:rPr>
          <w:rFonts w:eastAsia="SimSun"/>
          <w:sz w:val="24"/>
          <w:szCs w:val="24"/>
          <w:lang w:val="en-GB"/>
        </w:rPr>
        <w:t>对秘书处工作的要求</w:t>
      </w:r>
      <w:r w:rsidRPr="000C0842">
        <w:rPr>
          <w:rFonts w:eastAsia="SimSun"/>
          <w:sz w:val="24"/>
          <w:szCs w:val="24"/>
          <w:lang w:val="en-GB"/>
        </w:rPr>
        <w:t>,</w:t>
      </w:r>
    </w:p>
    <w:p w14:paraId="6E6D7DCB"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审议了</w:t>
      </w:r>
      <w:r w:rsidRPr="000C0842">
        <w:rPr>
          <w:rFonts w:eastAsia="SimSun" w:hint="eastAsia"/>
          <w:sz w:val="24"/>
          <w:szCs w:val="24"/>
          <w:lang w:val="en-GB"/>
        </w:rPr>
        <w:t>秘书处就关于《公约》的行政管理和信托基金的预算的议程项目编写的文件</w:t>
      </w:r>
      <w:r w:rsidRPr="000C0842">
        <w:rPr>
          <w:rFonts w:eastAsia="SimSun"/>
          <w:sz w:val="24"/>
          <w:szCs w:val="24"/>
          <w:vertAlign w:val="superscript"/>
          <w:lang w:val="en-GB"/>
        </w:rPr>
        <w:footnoteReference w:id="380"/>
      </w:r>
      <w:r w:rsidRPr="000C0842">
        <w:rPr>
          <w:rFonts w:eastAsia="SimSun" w:hint="eastAsia"/>
          <w:sz w:val="24"/>
          <w:szCs w:val="24"/>
          <w:lang w:val="en-GB"/>
        </w:rPr>
        <w:t>所载信息，</w:t>
      </w:r>
    </w:p>
    <w:p w14:paraId="797FD146" w14:textId="76EDC17E"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关切地注意到</w:t>
      </w:r>
      <w:r w:rsidRPr="000C0842">
        <w:rPr>
          <w:rFonts w:eastAsia="SimSun" w:hint="eastAsia"/>
          <w:sz w:val="24"/>
          <w:szCs w:val="24"/>
          <w:lang w:val="en-GB"/>
        </w:rPr>
        <w:t>根据第</w:t>
      </w:r>
      <w:r w:rsidRPr="000C0842">
        <w:rPr>
          <w:rFonts w:eastAsia="SimSun" w:hint="eastAsia"/>
          <w:sz w:val="24"/>
          <w:szCs w:val="24"/>
          <w:lang w:val="en-GB"/>
        </w:rPr>
        <w:t xml:space="preserve"> </w:t>
      </w:r>
      <w:hyperlink r:id="rId247" w:history="1">
        <w:r w:rsidRPr="000C0842">
          <w:rPr>
            <w:rFonts w:eastAsia="SimSun" w:hint="eastAsia"/>
            <w:sz w:val="24"/>
            <w:szCs w:val="24"/>
            <w:u w:val="single"/>
            <w:lang w:val="en-GB"/>
          </w:rPr>
          <w:t>15/34</w:t>
        </w:r>
      </w:hyperlink>
      <w:r w:rsidRPr="000C0842">
        <w:rPr>
          <w:rFonts w:eastAsia="SimSun" w:hint="eastAsia"/>
          <w:sz w:val="24"/>
          <w:szCs w:val="24"/>
          <w:lang w:val="en-GB"/>
        </w:rPr>
        <w:t xml:space="preserve"> </w:t>
      </w:r>
      <w:r w:rsidRPr="000C0842">
        <w:rPr>
          <w:rFonts w:eastAsia="SimSun" w:hint="eastAsia"/>
          <w:sz w:val="24"/>
          <w:szCs w:val="24"/>
          <w:lang w:val="en-GB"/>
        </w:rPr>
        <w:t>号决定的要求，计划于</w:t>
      </w:r>
      <w:r w:rsidRPr="000C0842">
        <w:rPr>
          <w:rFonts w:eastAsia="SimSun" w:hint="eastAsia"/>
          <w:sz w:val="24"/>
          <w:szCs w:val="24"/>
          <w:lang w:val="en-GB"/>
        </w:rPr>
        <w:t xml:space="preserve"> 2023 </w:t>
      </w:r>
      <w:r w:rsidRPr="000C0842">
        <w:rPr>
          <w:rFonts w:eastAsia="SimSun" w:hint="eastAsia"/>
          <w:sz w:val="24"/>
          <w:szCs w:val="24"/>
          <w:lang w:val="en-GB"/>
        </w:rPr>
        <w:t>年对秘书处的结构进行一次</w:t>
      </w:r>
      <w:r w:rsidRPr="000C0842">
        <w:rPr>
          <w:rFonts w:eastAsia="SimSun" w:hint="eastAsia"/>
          <w:iCs/>
          <w:sz w:val="24"/>
          <w:szCs w:val="24"/>
          <w:lang w:val="en-GB"/>
        </w:rPr>
        <w:t>外部深入职能审查</w:t>
      </w:r>
      <w:r w:rsidRPr="000C0842">
        <w:rPr>
          <w:rFonts w:eastAsia="SimSun" w:hint="eastAsia"/>
          <w:sz w:val="24"/>
          <w:szCs w:val="24"/>
          <w:lang w:val="en-GB"/>
        </w:rPr>
        <w:t>，并将其编入了预算，但这次审查没有进行，</w:t>
      </w:r>
    </w:p>
    <w:p w14:paraId="378C74AC" w14:textId="5267D874"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赞赏地欢迎</w:t>
      </w:r>
      <w:r w:rsidRPr="000C0842">
        <w:rPr>
          <w:rFonts w:eastAsia="SimSun" w:hint="eastAsia"/>
          <w:sz w:val="24"/>
          <w:szCs w:val="24"/>
          <w:lang w:val="en-GB"/>
        </w:rPr>
        <w:t>发达国家缔约方向《公约》及其议定书自愿信托基金提供捐款，用于协助发展中国家缔约方以及土著人民和地方社区参与《公约》及其议定书的进程，</w:t>
      </w:r>
    </w:p>
    <w:p w14:paraId="2264C945" w14:textId="77777777"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认识到</w:t>
      </w:r>
      <w:r w:rsidRPr="000C0842">
        <w:rPr>
          <w:rFonts w:eastAsia="SimSun" w:hint="eastAsia"/>
          <w:sz w:val="24"/>
          <w:szCs w:val="24"/>
          <w:lang w:val="en-GB"/>
        </w:rPr>
        <w:t>缔约方面临财政制约，</w:t>
      </w:r>
    </w:p>
    <w:p w14:paraId="0F8A2D4B" w14:textId="651AE5AE" w:rsidR="00A528CF" w:rsidRPr="000C0842" w:rsidRDefault="00A528CF" w:rsidP="00A528CF">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关切地注意到</w:t>
      </w:r>
      <w:r w:rsidRPr="000C0842">
        <w:rPr>
          <w:rFonts w:eastAsia="SimSun" w:hint="eastAsia"/>
          <w:sz w:val="24"/>
          <w:szCs w:val="24"/>
          <w:lang w:val="en-GB"/>
        </w:rPr>
        <w:t>由于缺乏可预测和可持续的供资，发展中国家缔约方，特别是最不发达国家和小岛屿发展中国家</w:t>
      </w:r>
      <w:r w:rsidR="00274B03" w:rsidRPr="000C0842">
        <w:rPr>
          <w:rFonts w:eastAsia="SimSun" w:hint="eastAsia"/>
          <w:sz w:val="24"/>
          <w:szCs w:val="24"/>
          <w:lang w:val="en-GB"/>
        </w:rPr>
        <w:t>，</w:t>
      </w:r>
      <w:r w:rsidRPr="000C0842">
        <w:rPr>
          <w:rFonts w:eastAsia="SimSun" w:hint="eastAsia"/>
          <w:sz w:val="24"/>
          <w:szCs w:val="24"/>
          <w:lang w:val="en-GB"/>
        </w:rPr>
        <w:t>以及经济转型国家缔约方在参加《公约》及其议定书下举行的会议方面受到不利影响，</w:t>
      </w:r>
    </w:p>
    <w:p w14:paraId="42F845D3" w14:textId="1C174E23"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sz w:val="24"/>
          <w:szCs w:val="24"/>
        </w:rPr>
        <w:t>决定</w:t>
      </w:r>
      <w:r w:rsidRPr="000C0842">
        <w:rPr>
          <w:rFonts w:eastAsia="SimSun"/>
          <w:sz w:val="24"/>
          <w:szCs w:val="24"/>
          <w:lang w:val="en-GB"/>
        </w:rPr>
        <w:t>通过《生物多样性公约》、《卡塔赫纳生物安全议定书》</w:t>
      </w:r>
      <w:r w:rsidRPr="000C0842">
        <w:rPr>
          <w:rFonts w:eastAsia="SimSun"/>
          <w:sz w:val="24"/>
          <w:szCs w:val="24"/>
          <w:vertAlign w:val="superscript"/>
          <w:lang w:val="en-GB"/>
        </w:rPr>
        <w:footnoteReference w:id="381"/>
      </w:r>
      <w:r w:rsidR="00FC7E42" w:rsidRPr="000C0842">
        <w:rPr>
          <w:rFonts w:eastAsia="SimSun" w:hint="eastAsia"/>
          <w:sz w:val="24"/>
          <w:szCs w:val="24"/>
          <w:lang w:val="en-GB"/>
        </w:rPr>
        <w:t>、</w:t>
      </w:r>
      <w:r w:rsidRPr="000C0842">
        <w:rPr>
          <w:rFonts w:eastAsia="SimSun"/>
          <w:sz w:val="24"/>
          <w:szCs w:val="24"/>
          <w:lang w:val="en-GB"/>
        </w:rPr>
        <w:t>《关于获取遗传资源和公正和公平分享其利用所产生惠益的名古屋议定书》</w:t>
      </w:r>
      <w:r w:rsidRPr="000C0842">
        <w:rPr>
          <w:rFonts w:eastAsia="SimSun"/>
          <w:sz w:val="24"/>
          <w:szCs w:val="24"/>
          <w:vertAlign w:val="superscript"/>
          <w:lang w:val="en-GB"/>
        </w:rPr>
        <w:footnoteReference w:id="382"/>
      </w:r>
      <w:r w:rsidRPr="000C0842">
        <w:rPr>
          <w:rFonts w:eastAsia="SimSun"/>
          <w:sz w:val="24"/>
          <w:szCs w:val="24"/>
          <w:lang w:val="en-GB"/>
        </w:rPr>
        <w:t>的综合工作方案和预算</w:t>
      </w:r>
      <w:r w:rsidRPr="000C0842">
        <w:rPr>
          <w:rFonts w:eastAsia="SimSun"/>
          <w:sz w:val="24"/>
          <w:szCs w:val="24"/>
          <w:lang w:val="en-GB"/>
        </w:rPr>
        <w:t>;</w:t>
      </w:r>
    </w:p>
    <w:p w14:paraId="499B969B"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iCs/>
          <w:kern w:val="20"/>
          <w:sz w:val="24"/>
          <w:lang w:val="en-GB"/>
        </w:rPr>
        <w:t>又决定《</w:t>
      </w:r>
      <w:r w:rsidRPr="000C0842">
        <w:rPr>
          <w:rFonts w:eastAsia="SimSun"/>
          <w:iCs/>
          <w:kern w:val="20"/>
          <w:sz w:val="24"/>
          <w:lang w:val="en-GB"/>
        </w:rPr>
        <w:t>公约》、《卡塔赫纳议定书》、《名古屋议定书》</w:t>
      </w:r>
      <w:r w:rsidRPr="000C0842">
        <w:rPr>
          <w:rFonts w:eastAsia="SimSun"/>
          <w:iCs/>
          <w:kern w:val="20"/>
          <w:sz w:val="24"/>
          <w:lang w:val="en-GB"/>
        </w:rPr>
        <w:t>2025-2026</w:t>
      </w:r>
      <w:r w:rsidRPr="000C0842">
        <w:rPr>
          <w:rFonts w:eastAsia="SimSun"/>
          <w:iCs/>
          <w:kern w:val="20"/>
          <w:sz w:val="24"/>
          <w:lang w:val="en-GB"/>
        </w:rPr>
        <w:t>两年期以</w:t>
      </w:r>
      <w:r w:rsidRPr="000C0842">
        <w:rPr>
          <w:rFonts w:eastAsia="SimSun"/>
          <w:iCs/>
          <w:kern w:val="20"/>
          <w:sz w:val="24"/>
          <w:lang w:val="en-GB"/>
        </w:rPr>
        <w:t>72:15:13</w:t>
      </w:r>
      <w:r w:rsidRPr="000C0842">
        <w:rPr>
          <w:rFonts w:eastAsia="SimSun"/>
          <w:iCs/>
          <w:kern w:val="20"/>
          <w:sz w:val="24"/>
          <w:lang w:val="en-GB"/>
        </w:rPr>
        <w:t>的比例分摊秘书处服务的所有费用</w:t>
      </w:r>
    </w:p>
    <w:p w14:paraId="70ED81D0" w14:textId="451D5228"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iCs/>
          <w:kern w:val="20"/>
          <w:sz w:val="24"/>
          <w:lang w:val="en-GB"/>
        </w:rPr>
        <w:t>核准</w:t>
      </w:r>
      <w:r w:rsidRPr="000C0842">
        <w:rPr>
          <w:rFonts w:eastAsia="SimSun"/>
          <w:iCs/>
          <w:kern w:val="20"/>
          <w:sz w:val="24"/>
          <w:lang w:val="en-GB"/>
        </w:rPr>
        <w:t>《公约》</w:t>
      </w:r>
      <w:r w:rsidRPr="000C0842">
        <w:rPr>
          <w:rFonts w:eastAsia="SimSun"/>
          <w:iCs/>
          <w:kern w:val="20"/>
          <w:sz w:val="24"/>
          <w:lang w:val="en-GB"/>
        </w:rPr>
        <w:t>2025</w:t>
      </w:r>
      <w:r w:rsidRPr="000C0842">
        <w:rPr>
          <w:rFonts w:eastAsia="SimSun"/>
          <w:iCs/>
          <w:kern w:val="20"/>
          <w:sz w:val="24"/>
          <w:lang w:val="en-GB"/>
        </w:rPr>
        <w:t>年</w:t>
      </w:r>
      <w:r w:rsidRPr="000C0842">
        <w:rPr>
          <w:rFonts w:eastAsia="SimSun"/>
          <w:iCs/>
          <w:kern w:val="20"/>
          <w:sz w:val="24"/>
          <w:lang w:val="en-GB"/>
        </w:rPr>
        <w:t>15,611,078</w:t>
      </w:r>
      <w:r w:rsidRPr="000C0842">
        <w:rPr>
          <w:rFonts w:eastAsia="SimSun"/>
          <w:iCs/>
          <w:kern w:val="20"/>
          <w:sz w:val="24"/>
          <w:lang w:val="en-GB"/>
        </w:rPr>
        <w:t>美元和</w:t>
      </w:r>
      <w:r w:rsidRPr="000C0842">
        <w:rPr>
          <w:rFonts w:eastAsia="SimSun"/>
          <w:iCs/>
          <w:kern w:val="20"/>
          <w:sz w:val="24"/>
          <w:lang w:val="en-GB"/>
        </w:rPr>
        <w:t>2026</w:t>
      </w:r>
      <w:r w:rsidRPr="000C0842">
        <w:rPr>
          <w:rFonts w:eastAsia="SimSun"/>
          <w:iCs/>
          <w:kern w:val="20"/>
          <w:sz w:val="24"/>
          <w:lang w:val="en-GB"/>
        </w:rPr>
        <w:t>年</w:t>
      </w:r>
      <w:r w:rsidRPr="000C0842">
        <w:rPr>
          <w:rFonts w:eastAsia="SimSun"/>
          <w:iCs/>
          <w:kern w:val="20"/>
          <w:sz w:val="24"/>
          <w:lang w:val="en-GB"/>
        </w:rPr>
        <w:t>16,382,433 </w:t>
      </w:r>
      <w:r w:rsidRPr="000C0842">
        <w:rPr>
          <w:rFonts w:eastAsia="SimSun"/>
          <w:iCs/>
          <w:kern w:val="20"/>
          <w:sz w:val="24"/>
          <w:lang w:val="en-GB"/>
        </w:rPr>
        <w:t>美元的核心</w:t>
      </w:r>
      <w:r w:rsidRPr="000C0842">
        <w:rPr>
          <w:rFonts w:eastAsia="SimSun" w:hint="eastAsia"/>
          <w:iCs/>
          <w:kern w:val="20"/>
          <w:sz w:val="24"/>
          <w:lang w:val="en-GB"/>
        </w:rPr>
        <w:t>（</w:t>
      </w:r>
      <w:r w:rsidRPr="000C0842">
        <w:rPr>
          <w:rFonts w:eastAsia="SimSun"/>
          <w:iCs/>
          <w:kern w:val="20"/>
          <w:sz w:val="24"/>
          <w:lang w:val="en-GB"/>
        </w:rPr>
        <w:t>公约普通信托基金</w:t>
      </w:r>
      <w:r w:rsidRPr="000C0842">
        <w:rPr>
          <w:rFonts w:eastAsia="SimSun" w:hint="eastAsia"/>
          <w:iCs/>
          <w:kern w:val="20"/>
          <w:sz w:val="24"/>
          <w:lang w:val="en-GB"/>
        </w:rPr>
        <w:t>）</w:t>
      </w:r>
      <w:r w:rsidRPr="000C0842">
        <w:rPr>
          <w:rFonts w:eastAsia="SimSun"/>
          <w:iCs/>
          <w:kern w:val="20"/>
          <w:sz w:val="24"/>
          <w:lang w:val="en-GB"/>
        </w:rPr>
        <w:t>方案预算，占《公约》及其议定书</w:t>
      </w:r>
      <w:r w:rsidRPr="000C0842">
        <w:rPr>
          <w:rFonts w:eastAsia="SimSun"/>
          <w:iCs/>
          <w:kern w:val="20"/>
          <w:sz w:val="24"/>
          <w:lang w:val="en-GB"/>
        </w:rPr>
        <w:t>2025</w:t>
      </w:r>
      <w:r w:rsidRPr="000C0842">
        <w:rPr>
          <w:rFonts w:eastAsia="SimSun"/>
          <w:iCs/>
          <w:kern w:val="20"/>
          <w:sz w:val="24"/>
          <w:lang w:val="en-GB"/>
        </w:rPr>
        <w:t>年</w:t>
      </w:r>
      <w:r w:rsidRPr="000C0842">
        <w:rPr>
          <w:rFonts w:eastAsia="SimSun"/>
          <w:iCs/>
          <w:kern w:val="20"/>
          <w:sz w:val="24"/>
          <w:lang w:val="en-GB"/>
        </w:rPr>
        <w:t>21,682,052 </w:t>
      </w:r>
      <w:r w:rsidRPr="000C0842">
        <w:rPr>
          <w:rFonts w:eastAsia="SimSun"/>
          <w:iCs/>
          <w:kern w:val="20"/>
          <w:sz w:val="24"/>
          <w:lang w:val="en-GB"/>
        </w:rPr>
        <w:t>美元和</w:t>
      </w:r>
      <w:r w:rsidRPr="000C0842">
        <w:rPr>
          <w:rFonts w:eastAsia="SimSun"/>
          <w:iCs/>
          <w:kern w:val="20"/>
          <w:sz w:val="24"/>
          <w:lang w:val="en-GB"/>
        </w:rPr>
        <w:t>2026</w:t>
      </w:r>
      <w:r w:rsidRPr="000C0842">
        <w:rPr>
          <w:rFonts w:eastAsia="SimSun"/>
          <w:iCs/>
          <w:kern w:val="20"/>
          <w:sz w:val="24"/>
          <w:lang w:val="en-GB"/>
        </w:rPr>
        <w:t>年</w:t>
      </w:r>
      <w:r w:rsidRPr="000C0842">
        <w:rPr>
          <w:rFonts w:eastAsia="SimSun"/>
          <w:iCs/>
          <w:kern w:val="20"/>
          <w:sz w:val="24"/>
          <w:lang w:val="en-GB"/>
        </w:rPr>
        <w:t>22,753,379</w:t>
      </w:r>
      <w:r w:rsidRPr="000C0842">
        <w:rPr>
          <w:rFonts w:eastAsia="SimSun"/>
          <w:iCs/>
          <w:kern w:val="20"/>
          <w:sz w:val="24"/>
          <w:lang w:val="en-GB"/>
        </w:rPr>
        <w:t>美元综合预算的</w:t>
      </w:r>
      <w:r w:rsidRPr="000C0842">
        <w:rPr>
          <w:rFonts w:eastAsia="SimSun"/>
          <w:iCs/>
          <w:kern w:val="20"/>
          <w:sz w:val="24"/>
          <w:lang w:val="en-GB"/>
        </w:rPr>
        <w:t>72 %,</w:t>
      </w:r>
      <w:r w:rsidRPr="000C0842">
        <w:rPr>
          <w:rFonts w:eastAsia="SimSun"/>
          <w:iCs/>
          <w:kern w:val="20"/>
          <w:sz w:val="24"/>
          <w:lang w:val="en-GB"/>
        </w:rPr>
        <w:t>，用于下文表</w:t>
      </w:r>
      <w:r w:rsidRPr="000C0842">
        <w:rPr>
          <w:rFonts w:eastAsia="SimSun" w:hint="eastAsia"/>
          <w:iCs/>
          <w:kern w:val="20"/>
          <w:sz w:val="24"/>
          <w:lang w:val="en-GB"/>
        </w:rPr>
        <w:t>1</w:t>
      </w:r>
      <w:r w:rsidRPr="000C0842">
        <w:rPr>
          <w:rFonts w:eastAsia="SimSun"/>
          <w:iCs/>
          <w:kern w:val="20"/>
          <w:sz w:val="24"/>
          <w:lang w:val="en-GB"/>
        </w:rPr>
        <w:t>和</w:t>
      </w:r>
      <w:r w:rsidR="00FC7E42" w:rsidRPr="000C0842">
        <w:rPr>
          <w:rFonts w:eastAsia="SimSun" w:hint="eastAsia"/>
          <w:iCs/>
          <w:kern w:val="20"/>
          <w:sz w:val="24"/>
          <w:lang w:val="en-GB"/>
        </w:rPr>
        <w:t>表</w:t>
      </w:r>
      <w:r w:rsidRPr="000C0842">
        <w:rPr>
          <w:rFonts w:eastAsia="SimSun" w:hint="eastAsia"/>
          <w:iCs/>
          <w:kern w:val="20"/>
          <w:sz w:val="24"/>
          <w:lang w:val="en-GB"/>
        </w:rPr>
        <w:t>2</w:t>
      </w:r>
      <w:r w:rsidRPr="000C0842">
        <w:rPr>
          <w:rFonts w:eastAsia="SimSun"/>
          <w:iCs/>
          <w:kern w:val="20"/>
          <w:sz w:val="24"/>
          <w:lang w:val="en-GB"/>
        </w:rPr>
        <w:t>所列目的</w:t>
      </w:r>
      <w:r w:rsidRPr="000C0842">
        <w:rPr>
          <w:rFonts w:eastAsia="SimSun" w:hint="eastAsia"/>
          <w:lang w:val="en-GB"/>
        </w:rPr>
        <w:t>；</w:t>
      </w:r>
    </w:p>
    <w:p w14:paraId="6299E9AB"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eastAsia="KaiTi" w:hint="eastAsia"/>
          <w:iCs/>
          <w:kern w:val="20"/>
          <w:sz w:val="24"/>
          <w:szCs w:val="24"/>
          <w:lang w:val="en-GB"/>
        </w:rPr>
        <w:t>又核准</w:t>
      </w:r>
      <w:r w:rsidRPr="000C0842">
        <w:rPr>
          <w:rFonts w:eastAsia="SimSun" w:hint="eastAsia"/>
          <w:sz w:val="24"/>
          <w:szCs w:val="24"/>
          <w:lang w:val="en-GB"/>
        </w:rPr>
        <w:t>在无法利用国际民用航空组织总部场地，于</w:t>
      </w:r>
      <w:r w:rsidRPr="000C0842">
        <w:rPr>
          <w:rFonts w:eastAsia="SimSun" w:hint="eastAsia"/>
          <w:sz w:val="24"/>
          <w:szCs w:val="24"/>
          <w:lang w:val="en-GB"/>
        </w:rPr>
        <w:t xml:space="preserve"> 2025-2026 </w:t>
      </w:r>
      <w:r w:rsidRPr="000C0842">
        <w:rPr>
          <w:rFonts w:eastAsia="SimSun" w:hint="eastAsia"/>
          <w:sz w:val="24"/>
          <w:szCs w:val="24"/>
          <w:lang w:val="en-GB"/>
        </w:rPr>
        <w:t>两年期举行附属机构会议的情况下，可为</w:t>
      </w:r>
      <w:r w:rsidRPr="000C0842">
        <w:rPr>
          <w:rFonts w:eastAsia="SimSun" w:hint="eastAsia"/>
          <w:sz w:val="24"/>
          <w:szCs w:val="24"/>
          <w:lang w:val="en-GB"/>
        </w:rPr>
        <w:t xml:space="preserve">2025 </w:t>
      </w:r>
      <w:r w:rsidRPr="000C0842">
        <w:rPr>
          <w:rFonts w:eastAsia="SimSun" w:hint="eastAsia"/>
          <w:sz w:val="24"/>
          <w:szCs w:val="24"/>
          <w:lang w:val="en-GB"/>
        </w:rPr>
        <w:t>年追加不超过</w:t>
      </w:r>
      <w:r w:rsidRPr="000C0842">
        <w:rPr>
          <w:rFonts w:eastAsia="SimSun" w:hint="eastAsia"/>
          <w:sz w:val="24"/>
          <w:szCs w:val="24"/>
          <w:lang w:val="en-GB"/>
        </w:rPr>
        <w:t xml:space="preserve"> 139,081 </w:t>
      </w:r>
      <w:r w:rsidRPr="000C0842">
        <w:rPr>
          <w:rFonts w:eastAsia="SimSun" w:hint="eastAsia"/>
          <w:sz w:val="24"/>
          <w:szCs w:val="24"/>
          <w:lang w:val="en-GB"/>
        </w:rPr>
        <w:t>美元和为</w:t>
      </w:r>
      <w:r w:rsidRPr="000C0842">
        <w:rPr>
          <w:rFonts w:eastAsia="SimSun" w:hint="eastAsia"/>
          <w:sz w:val="24"/>
          <w:szCs w:val="24"/>
          <w:lang w:val="en-GB"/>
        </w:rPr>
        <w:t xml:space="preserve"> 2026</w:t>
      </w:r>
      <w:r w:rsidRPr="000C0842">
        <w:rPr>
          <w:rFonts w:eastAsia="SimSun" w:hint="eastAsia"/>
          <w:sz w:val="24"/>
          <w:szCs w:val="24"/>
          <w:lang w:val="en-GB"/>
        </w:rPr>
        <w:t>年追加不超过</w:t>
      </w:r>
      <w:r w:rsidRPr="000C0842">
        <w:rPr>
          <w:rFonts w:eastAsia="SimSun" w:hint="eastAsia"/>
          <w:sz w:val="24"/>
          <w:szCs w:val="24"/>
          <w:lang w:val="en-GB"/>
        </w:rPr>
        <w:t>139,081</w:t>
      </w:r>
      <w:r w:rsidRPr="000C0842">
        <w:rPr>
          <w:rFonts w:eastAsia="SimSun" w:hint="eastAsia"/>
          <w:sz w:val="24"/>
          <w:szCs w:val="24"/>
          <w:lang w:val="en-GB"/>
        </w:rPr>
        <w:t>美元的方案预算，相当于《公约》及其议定书</w:t>
      </w:r>
      <w:r w:rsidRPr="000C0842">
        <w:rPr>
          <w:rFonts w:eastAsia="SimSun" w:hint="eastAsia"/>
          <w:sz w:val="24"/>
          <w:szCs w:val="24"/>
          <w:lang w:val="en-GB"/>
        </w:rPr>
        <w:t xml:space="preserve"> 2025 </w:t>
      </w:r>
      <w:r w:rsidRPr="000C0842">
        <w:rPr>
          <w:rFonts w:eastAsia="SimSun" w:hint="eastAsia"/>
          <w:sz w:val="24"/>
          <w:szCs w:val="24"/>
          <w:lang w:val="en-GB"/>
        </w:rPr>
        <w:t>年</w:t>
      </w:r>
      <w:r w:rsidRPr="000C0842">
        <w:rPr>
          <w:rFonts w:eastAsia="SimSun" w:hint="eastAsia"/>
          <w:sz w:val="24"/>
          <w:szCs w:val="24"/>
          <w:lang w:val="en-GB"/>
        </w:rPr>
        <w:t xml:space="preserve"> 193,168 </w:t>
      </w:r>
      <w:r w:rsidRPr="000C0842">
        <w:rPr>
          <w:rFonts w:eastAsia="SimSun" w:hint="eastAsia"/>
          <w:sz w:val="24"/>
          <w:szCs w:val="24"/>
          <w:lang w:val="en-GB"/>
        </w:rPr>
        <w:t>美元和</w:t>
      </w:r>
      <w:r w:rsidRPr="000C0842">
        <w:rPr>
          <w:rFonts w:eastAsia="SimSun" w:hint="eastAsia"/>
          <w:sz w:val="24"/>
          <w:szCs w:val="24"/>
          <w:lang w:val="en-GB"/>
        </w:rPr>
        <w:t xml:space="preserve"> 2026 </w:t>
      </w:r>
      <w:r w:rsidRPr="000C0842">
        <w:rPr>
          <w:rFonts w:eastAsia="SimSun" w:hint="eastAsia"/>
          <w:sz w:val="24"/>
          <w:szCs w:val="24"/>
          <w:lang w:val="en-GB"/>
        </w:rPr>
        <w:t>年</w:t>
      </w:r>
      <w:r w:rsidRPr="000C0842">
        <w:rPr>
          <w:rFonts w:eastAsia="SimSun" w:hint="eastAsia"/>
          <w:sz w:val="24"/>
          <w:szCs w:val="24"/>
          <w:lang w:val="en-GB"/>
        </w:rPr>
        <w:t xml:space="preserve"> 193,168 </w:t>
      </w:r>
      <w:r w:rsidRPr="000C0842">
        <w:rPr>
          <w:rFonts w:eastAsia="SimSun" w:hint="eastAsia"/>
          <w:sz w:val="24"/>
          <w:szCs w:val="24"/>
          <w:lang w:val="en-GB"/>
        </w:rPr>
        <w:t>美元的追加综合预算的</w:t>
      </w:r>
      <w:r w:rsidRPr="000C0842">
        <w:rPr>
          <w:rFonts w:eastAsia="SimSun" w:hint="eastAsia"/>
          <w:sz w:val="24"/>
          <w:szCs w:val="24"/>
          <w:lang w:val="en-GB"/>
        </w:rPr>
        <w:t xml:space="preserve"> 72%</w:t>
      </w:r>
      <w:r w:rsidRPr="000C0842">
        <w:rPr>
          <w:rFonts w:eastAsia="SimSun" w:hint="eastAsia"/>
          <w:sz w:val="24"/>
          <w:szCs w:val="24"/>
          <w:lang w:val="en-GB"/>
        </w:rPr>
        <w:t>，追加方案预算的资金将来自公约普通信托基金的未用余额；</w:t>
      </w:r>
    </w:p>
    <w:p w14:paraId="45A62E8C" w14:textId="54426BCE"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hint="eastAsia"/>
          <w:iCs/>
          <w:kern w:val="20"/>
          <w:sz w:val="24"/>
          <w:lang w:val="en-GB"/>
        </w:rPr>
        <w:t>还</w:t>
      </w:r>
      <w:r w:rsidRPr="000C0842">
        <w:rPr>
          <w:rFonts w:eastAsia="KaiTi"/>
          <w:iCs/>
          <w:kern w:val="20"/>
          <w:sz w:val="24"/>
          <w:lang w:val="en-GB"/>
        </w:rPr>
        <w:t>核准</w:t>
      </w:r>
      <w:r w:rsidRPr="000C0842">
        <w:rPr>
          <w:rFonts w:eastAsia="SimSun"/>
          <w:iCs/>
          <w:kern w:val="20"/>
          <w:sz w:val="24"/>
          <w:lang w:val="en-GB"/>
        </w:rPr>
        <w:t>使用</w:t>
      </w:r>
      <w:r w:rsidRPr="000C0842">
        <w:rPr>
          <w:rFonts w:eastAsia="SimSun"/>
          <w:iCs/>
          <w:kern w:val="20"/>
          <w:sz w:val="24"/>
        </w:rPr>
        <w:t>公约普通信托基金、卡塔赫纳议定书核心方案预算普通信托基金</w:t>
      </w:r>
      <w:r w:rsidR="00FC7E42" w:rsidRPr="000C0842">
        <w:rPr>
          <w:rFonts w:eastAsia="SimSun" w:hint="eastAsia"/>
          <w:iCs/>
          <w:kern w:val="20"/>
          <w:sz w:val="24"/>
        </w:rPr>
        <w:t>、</w:t>
      </w:r>
      <w:r w:rsidRPr="000C0842">
        <w:rPr>
          <w:rFonts w:eastAsia="SimSun"/>
          <w:iCs/>
          <w:kern w:val="20"/>
          <w:sz w:val="24"/>
        </w:rPr>
        <w:t>名古屋议定书核心方案预算普通信托基金</w:t>
      </w:r>
      <w:r w:rsidRPr="000C0842">
        <w:rPr>
          <w:rFonts w:eastAsia="SimSun" w:hint="eastAsia"/>
          <w:iCs/>
          <w:kern w:val="20"/>
          <w:sz w:val="24"/>
        </w:rPr>
        <w:t>（核心信托基金）</w:t>
      </w:r>
      <w:r w:rsidRPr="000C0842">
        <w:rPr>
          <w:rFonts w:eastAsia="SimSun"/>
          <w:iCs/>
          <w:kern w:val="20"/>
          <w:sz w:val="24"/>
          <w:lang w:val="en-GB"/>
        </w:rPr>
        <w:t>2023-2024</w:t>
      </w:r>
      <w:r w:rsidRPr="000C0842">
        <w:rPr>
          <w:rFonts w:eastAsia="SimSun"/>
          <w:iCs/>
          <w:kern w:val="20"/>
          <w:sz w:val="24"/>
          <w:lang w:val="en-GB"/>
        </w:rPr>
        <w:t>两年期未用余额</w:t>
      </w:r>
      <w:r w:rsidRPr="000C0842">
        <w:rPr>
          <w:rFonts w:eastAsia="SimSun"/>
          <w:iCs/>
          <w:kern w:val="20"/>
          <w:sz w:val="24"/>
          <w:lang w:val="en-GB"/>
        </w:rPr>
        <w:t>668,836</w:t>
      </w:r>
      <w:r w:rsidRPr="000C0842">
        <w:rPr>
          <w:rFonts w:eastAsia="SimSun"/>
          <w:iCs/>
          <w:kern w:val="20"/>
          <w:sz w:val="24"/>
          <w:lang w:val="en-GB"/>
        </w:rPr>
        <w:t>美元，抵充《公约》、《卡塔赫纳议定书》、《名古屋议定书》缔约方</w:t>
      </w:r>
      <w:r w:rsidRPr="000C0842">
        <w:rPr>
          <w:rFonts w:eastAsia="SimSun"/>
          <w:iCs/>
          <w:kern w:val="20"/>
          <w:sz w:val="24"/>
          <w:lang w:val="en-GB"/>
        </w:rPr>
        <w:t>2025-2026</w:t>
      </w:r>
      <w:r w:rsidRPr="000C0842">
        <w:rPr>
          <w:rFonts w:eastAsia="SimSun"/>
          <w:iCs/>
          <w:kern w:val="20"/>
          <w:sz w:val="24"/>
          <w:lang w:val="en-GB"/>
        </w:rPr>
        <w:t>两年期的摊款</w:t>
      </w:r>
      <w:r w:rsidRPr="000C0842">
        <w:rPr>
          <w:rFonts w:eastAsia="SimSun"/>
          <w:lang w:val="en-GB"/>
        </w:rPr>
        <w:t>;</w:t>
      </w:r>
    </w:p>
    <w:p w14:paraId="13547A24"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iCs/>
          <w:kern w:val="20"/>
          <w:sz w:val="24"/>
          <w:lang w:val="en-GB"/>
        </w:rPr>
        <w:t>赞赏</w:t>
      </w:r>
      <w:r w:rsidRPr="000C0842">
        <w:rPr>
          <w:rFonts w:eastAsia="SimSun"/>
          <w:iCs/>
          <w:kern w:val="20"/>
          <w:sz w:val="24"/>
          <w:lang w:val="en-GB"/>
        </w:rPr>
        <w:t>公约秘书处东道国加拿大继续支持秘书处，欢迎东道国和魁北克省为</w:t>
      </w:r>
      <w:r w:rsidRPr="000C0842">
        <w:rPr>
          <w:rFonts w:eastAsia="SimSun"/>
          <w:iCs/>
          <w:kern w:val="20"/>
          <w:sz w:val="24"/>
          <w:lang w:val="en-GB"/>
        </w:rPr>
        <w:t>2025</w:t>
      </w:r>
      <w:r w:rsidRPr="000C0842">
        <w:rPr>
          <w:rFonts w:eastAsia="SimSun"/>
          <w:iCs/>
          <w:kern w:val="20"/>
          <w:sz w:val="24"/>
          <w:lang w:val="en-GB"/>
        </w:rPr>
        <w:t>年捐款</w:t>
      </w:r>
      <w:r w:rsidRPr="000C0842">
        <w:rPr>
          <w:rFonts w:eastAsia="SimSun"/>
          <w:iCs/>
          <w:kern w:val="20"/>
          <w:sz w:val="24"/>
          <w:lang w:val="en-GB"/>
        </w:rPr>
        <w:t>2,234,451 </w:t>
      </w:r>
      <w:r w:rsidRPr="000C0842">
        <w:rPr>
          <w:rFonts w:eastAsia="SimSun"/>
          <w:iCs/>
          <w:kern w:val="20"/>
          <w:sz w:val="24"/>
          <w:lang w:val="en-GB"/>
        </w:rPr>
        <w:t>加元，为</w:t>
      </w:r>
      <w:r w:rsidRPr="000C0842">
        <w:rPr>
          <w:rFonts w:eastAsia="SimSun"/>
          <w:iCs/>
          <w:kern w:val="20"/>
          <w:sz w:val="24"/>
          <w:lang w:val="en-GB"/>
        </w:rPr>
        <w:t>2026</w:t>
      </w:r>
      <w:r w:rsidRPr="000C0842">
        <w:rPr>
          <w:rFonts w:eastAsia="SimSun"/>
          <w:iCs/>
          <w:kern w:val="20"/>
          <w:sz w:val="24"/>
          <w:lang w:val="en-GB"/>
        </w:rPr>
        <w:t>年捐款</w:t>
      </w:r>
      <w:r w:rsidRPr="000C0842">
        <w:rPr>
          <w:rFonts w:eastAsia="SimSun"/>
          <w:iCs/>
          <w:kern w:val="20"/>
          <w:sz w:val="24"/>
          <w:lang w:val="en-GB"/>
        </w:rPr>
        <w:t>2,255,959 </w:t>
      </w:r>
      <w:r w:rsidRPr="000C0842">
        <w:rPr>
          <w:rFonts w:eastAsia="SimSun"/>
          <w:iCs/>
          <w:kern w:val="20"/>
          <w:sz w:val="24"/>
          <w:lang w:val="en-GB"/>
        </w:rPr>
        <w:t>加元，用于支付秘书处的租金和相关费用，按</w:t>
      </w:r>
      <w:r w:rsidRPr="000C0842">
        <w:rPr>
          <w:rFonts w:eastAsia="SimSun"/>
          <w:iCs/>
          <w:kern w:val="20"/>
          <w:sz w:val="24"/>
          <w:lang w:val="en-GB"/>
        </w:rPr>
        <w:t>72:15:13</w:t>
      </w:r>
      <w:r w:rsidRPr="000C0842">
        <w:rPr>
          <w:rFonts w:eastAsia="SimSun"/>
          <w:iCs/>
          <w:kern w:val="20"/>
          <w:sz w:val="24"/>
          <w:lang w:val="en-GB"/>
        </w:rPr>
        <w:t>的比例分配，抵充《公约》、《卡塔赫纳议定书》、《名古屋议定书》缔约方</w:t>
      </w:r>
      <w:r w:rsidRPr="000C0842">
        <w:rPr>
          <w:rFonts w:eastAsia="SimSun"/>
          <w:iCs/>
          <w:kern w:val="20"/>
          <w:sz w:val="24"/>
          <w:lang w:val="en-GB"/>
        </w:rPr>
        <w:t>2025-2026</w:t>
      </w:r>
      <w:r w:rsidRPr="000C0842">
        <w:rPr>
          <w:rFonts w:eastAsia="SimSun"/>
          <w:iCs/>
          <w:kern w:val="20"/>
          <w:sz w:val="24"/>
          <w:lang w:val="en-GB"/>
        </w:rPr>
        <w:t>两年期的摊款；</w:t>
      </w:r>
    </w:p>
    <w:p w14:paraId="2ADE8348"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请</w:t>
      </w:r>
      <w:r w:rsidRPr="000C0842">
        <w:rPr>
          <w:rFonts w:eastAsia="SimSun" w:hint="eastAsia"/>
          <w:sz w:val="24"/>
          <w:szCs w:val="24"/>
          <w:lang w:val="en-GB"/>
        </w:rPr>
        <w:t>执行秘书通过与国际民用航空组织达成的场地使用优惠安排，为</w:t>
      </w:r>
      <w:r w:rsidRPr="000C0842">
        <w:rPr>
          <w:rFonts w:eastAsia="SimSun" w:hint="eastAsia"/>
          <w:sz w:val="24"/>
          <w:szCs w:val="24"/>
          <w:lang w:val="en-GB"/>
        </w:rPr>
        <w:t xml:space="preserve"> 2025-2026 </w:t>
      </w:r>
      <w:r w:rsidRPr="000C0842">
        <w:rPr>
          <w:rFonts w:eastAsia="SimSun" w:hint="eastAsia"/>
          <w:sz w:val="24"/>
          <w:szCs w:val="24"/>
          <w:lang w:val="en-GB"/>
        </w:rPr>
        <w:t>两年期及以后期间在加拿大蒙特利尔举行的所有附属机构会议预订会议设施，或在内罗毕，或根据任何其他可用的联合国设施举行此类会议的能力在这些设施为附属机构会议预订会议设施，同时考虑到预算影响、节省缔约方与会的差旅费和生活津贴以及在适合于缔约方的任何可用日期提供的任何其他服务，从而最大限度地减少会议费用，并授权在上述地点找不到可用场地的特殊情况下，使用未用余额支付最经济的替代会议场地选项的额外会议租金和相关费用，但金额不得超过</w:t>
      </w:r>
      <w:r w:rsidRPr="000C0842">
        <w:rPr>
          <w:rFonts w:eastAsia="SimSun" w:hint="eastAsia"/>
          <w:sz w:val="24"/>
          <w:szCs w:val="24"/>
          <w:lang w:val="en-GB"/>
        </w:rPr>
        <w:t xml:space="preserve"> 386,336 </w:t>
      </w:r>
      <w:r w:rsidRPr="000C0842">
        <w:rPr>
          <w:rFonts w:eastAsia="SimSun" w:hint="eastAsia"/>
          <w:sz w:val="24"/>
          <w:szCs w:val="24"/>
          <w:lang w:val="en-GB"/>
        </w:rPr>
        <w:t>美元；</w:t>
      </w:r>
    </w:p>
    <w:p w14:paraId="355F3095"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通过</w:t>
      </w:r>
      <w:r w:rsidRPr="000C0842">
        <w:rPr>
          <w:rFonts w:eastAsia="SimSun"/>
          <w:iCs/>
          <w:kern w:val="20"/>
          <w:sz w:val="24"/>
          <w:lang w:val="en-GB"/>
        </w:rPr>
        <w:t>本决定附件所载</w:t>
      </w:r>
      <w:r w:rsidRPr="000C0842">
        <w:rPr>
          <w:rFonts w:eastAsia="SimSun"/>
          <w:iCs/>
          <w:kern w:val="20"/>
          <w:sz w:val="24"/>
          <w:lang w:val="en-GB"/>
        </w:rPr>
        <w:t>2025</w:t>
      </w:r>
      <w:r w:rsidRPr="000C0842">
        <w:rPr>
          <w:rFonts w:eastAsia="SimSun"/>
          <w:iCs/>
          <w:kern w:val="20"/>
          <w:sz w:val="24"/>
          <w:lang w:val="en-GB"/>
        </w:rPr>
        <w:t>年和</w:t>
      </w:r>
      <w:r w:rsidRPr="000C0842">
        <w:rPr>
          <w:rFonts w:eastAsia="SimSun"/>
          <w:iCs/>
          <w:kern w:val="20"/>
          <w:sz w:val="24"/>
          <w:lang w:val="en-GB"/>
        </w:rPr>
        <w:t>2026</w:t>
      </w:r>
      <w:r w:rsidRPr="000C0842">
        <w:rPr>
          <w:rFonts w:eastAsia="SimSun"/>
          <w:iCs/>
          <w:kern w:val="20"/>
          <w:sz w:val="24"/>
          <w:lang w:val="en-GB"/>
        </w:rPr>
        <w:t>年费用分摊比额表</w:t>
      </w:r>
      <w:r w:rsidRPr="000C0842">
        <w:rPr>
          <w:rFonts w:eastAsia="SimSun"/>
          <w:sz w:val="24"/>
          <w:szCs w:val="24"/>
          <w:vertAlign w:val="superscript"/>
          <w:lang w:val="en-GB"/>
        </w:rPr>
        <w:footnoteReference w:id="383"/>
      </w:r>
      <w:r w:rsidRPr="000C0842">
        <w:rPr>
          <w:rFonts w:eastAsia="SimSun"/>
          <w:iCs/>
          <w:kern w:val="20"/>
          <w:sz w:val="24"/>
          <w:lang w:val="en-GB"/>
        </w:rPr>
        <w:t>，其依据是联合国费用分摊比额表；</w:t>
      </w:r>
    </w:p>
    <w:p w14:paraId="1FD78C4A"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又通过</w:t>
      </w:r>
      <w:r w:rsidRPr="000C0842">
        <w:rPr>
          <w:rFonts w:eastAsia="SimSun"/>
          <w:iCs/>
          <w:kern w:val="20"/>
          <w:sz w:val="24"/>
        </w:rPr>
        <w:t>下文表</w:t>
      </w:r>
      <w:r w:rsidRPr="000C0842">
        <w:rPr>
          <w:rFonts w:eastAsia="SimSun"/>
          <w:iCs/>
          <w:kern w:val="20"/>
          <w:sz w:val="24"/>
          <w:lang w:val="en-GB"/>
        </w:rPr>
        <w:t>3</w:t>
      </w:r>
      <w:r w:rsidRPr="000C0842">
        <w:rPr>
          <w:rFonts w:eastAsia="SimSun"/>
          <w:iCs/>
          <w:kern w:val="20"/>
          <w:sz w:val="24"/>
          <w:lang w:val="en-GB"/>
        </w:rPr>
        <w:t>所载</w:t>
      </w:r>
      <w:r w:rsidRPr="000C0842">
        <w:rPr>
          <w:rFonts w:eastAsia="SimSun"/>
          <w:iCs/>
          <w:kern w:val="20"/>
          <w:sz w:val="24"/>
          <w:lang w:val="en-GB"/>
        </w:rPr>
        <w:t>2025-2026</w:t>
      </w:r>
      <w:r w:rsidRPr="000C0842">
        <w:rPr>
          <w:rFonts w:eastAsia="SimSun"/>
          <w:iCs/>
          <w:kern w:val="20"/>
          <w:sz w:val="24"/>
          <w:lang w:val="en-GB"/>
        </w:rPr>
        <w:t>两年期秘书处员额配置表，用于计算费用以确定总预算</w:t>
      </w:r>
      <w:r w:rsidRPr="000C0842">
        <w:rPr>
          <w:rFonts w:eastAsia="SimSun"/>
          <w:lang w:val="en-GB"/>
        </w:rPr>
        <w:t>;</w:t>
      </w:r>
    </w:p>
    <w:p w14:paraId="2B2DA34A"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回顾</w:t>
      </w:r>
      <w:r w:rsidRPr="000C0842">
        <w:rPr>
          <w:rFonts w:eastAsia="SimSun"/>
          <w:iCs/>
          <w:kern w:val="20"/>
          <w:sz w:val="24"/>
        </w:rPr>
        <w:t>秘书处员额配置安排应确保</w:t>
      </w:r>
      <w:r w:rsidRPr="000C0842">
        <w:rPr>
          <w:rFonts w:eastAsia="SimSun"/>
          <w:iCs/>
          <w:kern w:val="20"/>
          <w:sz w:val="24"/>
          <w:lang w:val="en-GB"/>
        </w:rPr>
        <w:t>《公约》及其议定书规定的法律义务得到履行</w:t>
      </w:r>
      <w:r w:rsidRPr="000C0842">
        <w:rPr>
          <w:rFonts w:eastAsia="SimSun"/>
          <w:lang w:val="en-GB"/>
        </w:rPr>
        <w:t>;</w:t>
      </w:r>
    </w:p>
    <w:p w14:paraId="10DE0E66" w14:textId="4D5D3DA1"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iCs/>
          <w:kern w:val="20"/>
          <w:sz w:val="24"/>
          <w:lang w:val="en-GB"/>
        </w:rPr>
        <w:t>敦促</w:t>
      </w:r>
      <w:r w:rsidRPr="000C0842">
        <w:rPr>
          <w:rFonts w:eastAsia="SimSun" w:hint="eastAsia"/>
          <w:iCs/>
          <w:kern w:val="20"/>
          <w:sz w:val="24"/>
          <w:szCs w:val="24"/>
          <w:lang w:val="en-GB"/>
        </w:rPr>
        <w:t>执行秘书</w:t>
      </w:r>
      <w:r w:rsidRPr="000C0842">
        <w:rPr>
          <w:rFonts w:eastAsia="SimSun" w:hint="eastAsia"/>
          <w:sz w:val="24"/>
          <w:szCs w:val="24"/>
          <w:lang w:val="en-GB"/>
        </w:rPr>
        <w:t>考虑到</w:t>
      </w:r>
      <w:r w:rsidRPr="000C0842">
        <w:rPr>
          <w:rFonts w:eastAsia="SimSun" w:hint="eastAsia"/>
          <w:sz w:val="24"/>
          <w:szCs w:val="24"/>
          <w:lang w:val="en-GB"/>
        </w:rPr>
        <w:t>CBD/COP/16/4/Add.2-CBD/CP/MOP/11/5/Add.2-CBD/NP/MOP/5/5/Add.2</w:t>
      </w:r>
      <w:r w:rsidRPr="000C0842">
        <w:rPr>
          <w:rFonts w:eastAsia="SimSun" w:hint="eastAsia"/>
          <w:sz w:val="24"/>
          <w:szCs w:val="24"/>
          <w:lang w:val="en-GB"/>
        </w:rPr>
        <w:t>号文件所载范围界定报告，</w:t>
      </w:r>
      <w:r w:rsidRPr="000C0842">
        <w:rPr>
          <w:rFonts w:eastAsia="SimSun" w:hint="eastAsia"/>
          <w:iCs/>
          <w:sz w:val="24"/>
          <w:szCs w:val="24"/>
          <w:lang w:val="en-GB"/>
        </w:rPr>
        <w:t>完成第</w:t>
      </w:r>
      <w:r w:rsidRPr="000C0842">
        <w:rPr>
          <w:rFonts w:eastAsia="SimSun" w:hint="eastAsia"/>
          <w:sz w:val="24"/>
          <w:szCs w:val="24"/>
          <w:lang w:val="en-GB"/>
        </w:rPr>
        <w:t xml:space="preserve"> </w:t>
      </w:r>
      <w:hyperlink r:id="rId248" w:history="1">
        <w:r w:rsidRPr="000C0842">
          <w:rPr>
            <w:rFonts w:eastAsia="SimSun" w:hint="eastAsia"/>
            <w:sz w:val="24"/>
            <w:szCs w:val="24"/>
            <w:u w:val="single"/>
            <w:lang w:val="en-GB"/>
          </w:rPr>
          <w:t>15/34</w:t>
        </w:r>
      </w:hyperlink>
      <w:r w:rsidRPr="000C0842">
        <w:rPr>
          <w:rFonts w:eastAsia="SimSun" w:hint="eastAsia"/>
          <w:sz w:val="24"/>
          <w:szCs w:val="24"/>
          <w:lang w:val="en-GB"/>
        </w:rPr>
        <w:t xml:space="preserve"> </w:t>
      </w:r>
      <w:r w:rsidRPr="000C0842">
        <w:rPr>
          <w:rFonts w:eastAsia="SimSun" w:hint="eastAsia"/>
          <w:sz w:val="24"/>
          <w:szCs w:val="24"/>
          <w:lang w:val="en-GB"/>
        </w:rPr>
        <w:t>号决定要求进行的职能审查，将审查结果提交执行问题附属机构第六次会议审查，并提交公约缔约方大会第十七届会议、作为卡塔赫纳议定书缔约方会议的缔约方大会第十二次会议和作为名古屋议定书缔约方会议的缔约方大会第六次会议审议，同时指出，职能审查应侧重于评估秘书处是否结构合理、资源充足，以有效履行其职能</w:t>
      </w:r>
      <w:r w:rsidRPr="000C0842">
        <w:rPr>
          <w:rFonts w:eastAsia="SimSun"/>
          <w:sz w:val="24"/>
          <w:szCs w:val="24"/>
          <w:vertAlign w:val="superscript"/>
          <w:lang w:val="en-GB"/>
        </w:rPr>
        <w:footnoteReference w:id="384"/>
      </w:r>
      <w:r w:rsidR="005312CC" w:rsidRPr="000C0842">
        <w:rPr>
          <w:rFonts w:eastAsia="SimSun" w:hint="eastAsia"/>
          <w:sz w:val="24"/>
          <w:szCs w:val="24"/>
          <w:lang w:val="en-GB"/>
        </w:rPr>
        <w:t>，</w:t>
      </w:r>
      <w:r w:rsidRPr="000C0842">
        <w:rPr>
          <w:rFonts w:eastAsia="SimSun" w:hint="eastAsia"/>
          <w:sz w:val="24"/>
          <w:szCs w:val="24"/>
          <w:lang w:val="en-GB"/>
        </w:rPr>
        <w:t>特别是为《公约》及其议定书下的会议提供服务，以及为《昆明</w:t>
      </w:r>
      <w:r w:rsidRPr="000C0842">
        <w:rPr>
          <w:rFonts w:eastAsia="SimSun" w:hint="eastAsia"/>
          <w:sz w:val="24"/>
          <w:szCs w:val="24"/>
          <w:lang w:val="en-GB"/>
        </w:rPr>
        <w:t>-</w:t>
      </w:r>
      <w:r w:rsidRPr="000C0842">
        <w:rPr>
          <w:rFonts w:eastAsia="SimSun" w:hint="eastAsia"/>
          <w:sz w:val="24"/>
          <w:szCs w:val="24"/>
          <w:lang w:val="en-GB"/>
        </w:rPr>
        <w:t>蒙特利尔全球生物多样性框架》的执行工作提供支持，如果认为没有做到，则确定需要进行哪些变革以便做到；</w:t>
      </w:r>
    </w:p>
    <w:p w14:paraId="31DB2198" w14:textId="33702199"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授权</w:t>
      </w:r>
      <w:r w:rsidRPr="000C0842">
        <w:rPr>
          <w:rFonts w:eastAsia="SimSun" w:hint="eastAsia"/>
          <w:sz w:val="24"/>
          <w:szCs w:val="24"/>
          <w:lang w:val="en-GB"/>
        </w:rPr>
        <w:t>执行秘书破例动用普通信托基金以前财政期间的可用未动用余额，完成第</w:t>
      </w:r>
      <w:r w:rsidRPr="000C0842">
        <w:rPr>
          <w:rFonts w:eastAsia="SimSun" w:hint="eastAsia"/>
          <w:sz w:val="24"/>
          <w:szCs w:val="24"/>
          <w:lang w:val="en-GB"/>
        </w:rPr>
        <w:t xml:space="preserve"> </w:t>
      </w:r>
      <w:hyperlink r:id="rId249" w:history="1">
        <w:r w:rsidRPr="000C0842">
          <w:rPr>
            <w:rFonts w:eastAsia="SimSun" w:hint="eastAsia"/>
            <w:sz w:val="24"/>
            <w:szCs w:val="24"/>
            <w:u w:val="single"/>
            <w:lang w:val="en-GB"/>
          </w:rPr>
          <w:t>15/34</w:t>
        </w:r>
      </w:hyperlink>
      <w:r w:rsidRPr="000C0842">
        <w:rPr>
          <w:rFonts w:eastAsia="SimSun" w:hint="eastAsia"/>
          <w:sz w:val="24"/>
          <w:szCs w:val="24"/>
          <w:lang w:val="en-GB"/>
        </w:rPr>
        <w:t xml:space="preserve"> </w:t>
      </w:r>
      <w:r w:rsidRPr="000C0842">
        <w:rPr>
          <w:rFonts w:eastAsia="SimSun" w:hint="eastAsia"/>
          <w:sz w:val="24"/>
          <w:szCs w:val="24"/>
          <w:lang w:val="en-GB"/>
        </w:rPr>
        <w:t>号决定要求的职能审查，但动用金额不得超过</w:t>
      </w:r>
      <w:r w:rsidRPr="000C0842">
        <w:rPr>
          <w:rFonts w:eastAsia="SimSun" w:hint="eastAsia"/>
          <w:sz w:val="24"/>
          <w:szCs w:val="24"/>
          <w:lang w:val="en-GB"/>
        </w:rPr>
        <w:t xml:space="preserve"> 250,000 </w:t>
      </w:r>
      <w:r w:rsidRPr="000C0842">
        <w:rPr>
          <w:rFonts w:eastAsia="SimSun" w:hint="eastAsia"/>
          <w:sz w:val="24"/>
          <w:szCs w:val="24"/>
          <w:lang w:val="en-GB"/>
        </w:rPr>
        <w:t>美元；</w:t>
      </w:r>
    </w:p>
    <w:p w14:paraId="3EA48316"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请</w:t>
      </w:r>
      <w:r w:rsidRPr="000C0842">
        <w:rPr>
          <w:rFonts w:eastAsia="SimSun" w:hint="eastAsia"/>
          <w:sz w:val="24"/>
          <w:szCs w:val="24"/>
          <w:lang w:val="en-GB"/>
        </w:rPr>
        <w:t>执行秘书加速完成尚未落实的审计建议的执行工作，并就此向执行问题附属机构第六次会议和公约缔约方大会第十七届会议提交报告；</w:t>
      </w:r>
    </w:p>
    <w:p w14:paraId="4845A5AE" w14:textId="084B3A7A" w:rsidR="00A528CF" w:rsidRPr="000C0842" w:rsidRDefault="00E83153">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再次请</w:t>
      </w:r>
      <w:r w:rsidR="00A528CF" w:rsidRPr="000C0842">
        <w:rPr>
          <w:rFonts w:eastAsia="SimSun" w:hint="eastAsia"/>
          <w:sz w:val="24"/>
          <w:szCs w:val="24"/>
          <w:lang w:val="en-GB"/>
        </w:rPr>
        <w:t>执行秘书</w:t>
      </w:r>
      <w:r w:rsidRPr="000C0842">
        <w:rPr>
          <w:rFonts w:eastAsia="SimSun" w:hint="eastAsia"/>
          <w:sz w:val="24"/>
          <w:szCs w:val="24"/>
          <w:lang w:val="en-GB"/>
        </w:rPr>
        <w:t>，</w:t>
      </w:r>
      <w:r w:rsidR="00A528CF" w:rsidRPr="000C0842">
        <w:rPr>
          <w:rFonts w:eastAsia="SimSun" w:hint="eastAsia"/>
          <w:sz w:val="24"/>
          <w:szCs w:val="24"/>
          <w:lang w:val="en-GB"/>
        </w:rPr>
        <w:t>作为进一步加强透明度和问责制的手段，</w:t>
      </w:r>
      <w:r w:rsidRPr="000C0842">
        <w:rPr>
          <w:rFonts w:eastAsia="SimSun" w:hint="eastAsia"/>
          <w:sz w:val="24"/>
          <w:szCs w:val="24"/>
          <w:lang w:val="en-GB"/>
        </w:rPr>
        <w:t>保留</w:t>
      </w:r>
      <w:r w:rsidR="00A528CF" w:rsidRPr="000C0842">
        <w:rPr>
          <w:rFonts w:eastAsia="SimSun" w:hint="eastAsia"/>
          <w:sz w:val="24"/>
          <w:szCs w:val="24"/>
          <w:lang w:val="en-GB"/>
        </w:rPr>
        <w:t>《公约》网站上提供《公约》治理</w:t>
      </w:r>
      <w:r w:rsidRPr="000C0842">
        <w:rPr>
          <w:rFonts w:eastAsia="SimSun" w:hint="eastAsia"/>
          <w:sz w:val="24"/>
          <w:szCs w:val="24"/>
          <w:lang w:val="en-GB"/>
        </w:rPr>
        <w:t>方面</w:t>
      </w:r>
      <w:r w:rsidR="00A528CF" w:rsidRPr="000C0842">
        <w:rPr>
          <w:rFonts w:eastAsia="SimSun" w:hint="eastAsia"/>
          <w:sz w:val="24"/>
          <w:szCs w:val="24"/>
          <w:lang w:val="en-GB"/>
        </w:rPr>
        <w:t>最新信息的链接，包括已完成和已接受的审计报告、审计建议和审计</w:t>
      </w:r>
      <w:r w:rsidR="00B25AEF" w:rsidRPr="000C0842">
        <w:rPr>
          <w:rFonts w:eastAsia="SimSun" w:hint="eastAsia"/>
          <w:sz w:val="24"/>
          <w:szCs w:val="24"/>
          <w:lang w:val="en-GB"/>
        </w:rPr>
        <w:t>反应</w:t>
      </w:r>
      <w:r w:rsidR="00A528CF" w:rsidRPr="000C0842">
        <w:rPr>
          <w:rFonts w:eastAsia="SimSun" w:hint="eastAsia"/>
          <w:sz w:val="24"/>
          <w:szCs w:val="24"/>
          <w:lang w:val="en-GB"/>
        </w:rPr>
        <w:t>、适用的财务条例和细则以及任何其他相关的预算和财务信息，</w:t>
      </w:r>
      <w:r w:rsidRPr="000C0842">
        <w:rPr>
          <w:rFonts w:eastAsia="SimSun" w:hint="eastAsia"/>
          <w:sz w:val="24"/>
          <w:szCs w:val="24"/>
          <w:lang w:val="en-GB"/>
        </w:rPr>
        <w:t>便利</w:t>
      </w:r>
      <w:r w:rsidR="00A528CF" w:rsidRPr="000C0842">
        <w:rPr>
          <w:rFonts w:eastAsia="SimSun" w:hint="eastAsia"/>
          <w:sz w:val="24"/>
          <w:szCs w:val="24"/>
          <w:lang w:val="en-GB"/>
        </w:rPr>
        <w:t>缔约方和其他潜在捐助方进行尽职调查</w:t>
      </w:r>
      <w:r w:rsidRPr="000C0842">
        <w:rPr>
          <w:rFonts w:eastAsia="SimSun" w:hint="eastAsia"/>
          <w:sz w:val="24"/>
          <w:szCs w:val="24"/>
          <w:lang w:val="en-GB"/>
        </w:rPr>
        <w:t>，</w:t>
      </w:r>
      <w:r w:rsidR="00A528CF" w:rsidRPr="000C0842">
        <w:rPr>
          <w:rFonts w:eastAsia="SimSun" w:hint="eastAsia"/>
          <w:sz w:val="24"/>
          <w:szCs w:val="24"/>
          <w:lang w:val="en-GB"/>
        </w:rPr>
        <w:t>作出</w:t>
      </w:r>
      <w:r w:rsidRPr="000C0842">
        <w:rPr>
          <w:rFonts w:eastAsia="SimSun" w:hint="eastAsia"/>
          <w:sz w:val="24"/>
          <w:szCs w:val="24"/>
          <w:lang w:val="en-GB"/>
        </w:rPr>
        <w:t>资助</w:t>
      </w:r>
      <w:r w:rsidR="00A528CF" w:rsidRPr="000C0842">
        <w:rPr>
          <w:rFonts w:eastAsia="SimSun" w:hint="eastAsia"/>
          <w:sz w:val="24"/>
          <w:szCs w:val="24"/>
          <w:lang w:val="en-GB"/>
        </w:rPr>
        <w:t>决定；</w:t>
      </w:r>
    </w:p>
    <w:p w14:paraId="32F1D103" w14:textId="490F009C"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20"/>
          <w:sz w:val="24"/>
          <w:lang w:val="en-GB"/>
        </w:rPr>
      </w:pPr>
      <w:r w:rsidRPr="000C0842">
        <w:rPr>
          <w:rFonts w:ascii="KaiTi" w:eastAsia="KaiTi" w:hAnsi="KaiTi"/>
          <w:iCs/>
          <w:kern w:val="20"/>
          <w:sz w:val="24"/>
        </w:rPr>
        <w:t>请</w:t>
      </w:r>
      <w:r w:rsidRPr="000C0842">
        <w:rPr>
          <w:rFonts w:eastAsia="SimSun"/>
          <w:iCs/>
          <w:kern w:val="20"/>
          <w:sz w:val="24"/>
        </w:rPr>
        <w:t>执行秘书向主席团报告并向其提供所有必要信息</w:t>
      </w:r>
      <w:r w:rsidRPr="000C0842">
        <w:rPr>
          <w:rFonts w:eastAsia="SimSun"/>
          <w:iCs/>
          <w:kern w:val="20"/>
          <w:sz w:val="24"/>
          <w:lang w:val="en-GB"/>
        </w:rPr>
        <w:t>，包括涉及联合国环境规划署与秘书处之间行政安排实施情况的信息，确保主席团在筹备和举办缔约方大会会议和作为各议定书缔约方会议的缔约方大会会议方面的指导作用；</w:t>
      </w:r>
    </w:p>
    <w:p w14:paraId="01EC40E7" w14:textId="6884513A"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rPr>
        <w:t>授权</w:t>
      </w:r>
      <w:r w:rsidRPr="000C0842">
        <w:rPr>
          <w:rFonts w:eastAsia="SimSun"/>
          <w:iCs/>
          <w:kern w:val="20"/>
          <w:sz w:val="24"/>
        </w:rPr>
        <w:t>执行秘书根据缔约方大会决定和</w:t>
      </w:r>
      <w:r w:rsidRPr="000C0842">
        <w:rPr>
          <w:rFonts w:eastAsia="SimSun"/>
          <w:iCs/>
          <w:kern w:val="20"/>
          <w:sz w:val="24"/>
          <w:lang w:val="en-GB"/>
        </w:rPr>
        <w:t>《联合国财务条例和细则》</w:t>
      </w:r>
      <w:r w:rsidRPr="000C0842">
        <w:rPr>
          <w:rFonts w:eastAsia="SimSun"/>
          <w:iCs/>
          <w:kern w:val="20"/>
          <w:sz w:val="24"/>
          <w:vertAlign w:val="superscript"/>
          <w:lang w:val="en-GB"/>
        </w:rPr>
        <w:footnoteReference w:id="385"/>
      </w:r>
      <w:r w:rsidR="00B25AEF" w:rsidRPr="000C0842">
        <w:rPr>
          <w:rFonts w:eastAsia="SimSun"/>
          <w:iCs/>
          <w:kern w:val="20"/>
          <w:sz w:val="24"/>
          <w:lang w:val="en-GB"/>
        </w:rPr>
        <w:t>，</w:t>
      </w:r>
      <w:r w:rsidRPr="000C0842">
        <w:rPr>
          <w:rFonts w:eastAsia="SimSun"/>
          <w:iCs/>
          <w:kern w:val="20"/>
          <w:sz w:val="24"/>
          <w:lang w:val="en-GB"/>
        </w:rPr>
        <w:t>利用可动用现金，包括</w:t>
      </w:r>
      <w:r w:rsidRPr="000C0842">
        <w:rPr>
          <w:rFonts w:eastAsia="SimSun" w:hint="eastAsia"/>
          <w:iCs/>
          <w:kern w:val="20"/>
          <w:sz w:val="24"/>
          <w:lang w:val="en-GB"/>
        </w:rPr>
        <w:t>在授权或允许的界限内动用作为</w:t>
      </w:r>
      <w:r w:rsidRPr="000C0842">
        <w:rPr>
          <w:rFonts w:eastAsia="SimSun"/>
          <w:iCs/>
          <w:kern w:val="20"/>
          <w:sz w:val="24"/>
          <w:lang w:val="en-GB"/>
        </w:rPr>
        <w:t>以往</w:t>
      </w:r>
      <w:r w:rsidR="00B25AEF" w:rsidRPr="000C0842">
        <w:rPr>
          <w:rFonts w:eastAsia="SimSun" w:hint="eastAsia"/>
          <w:iCs/>
          <w:kern w:val="20"/>
          <w:sz w:val="24"/>
          <w:lang w:val="en-GB"/>
        </w:rPr>
        <w:t>财政</w:t>
      </w:r>
      <w:r w:rsidRPr="000C0842">
        <w:rPr>
          <w:rFonts w:eastAsia="SimSun" w:hint="eastAsia"/>
          <w:iCs/>
          <w:kern w:val="20"/>
          <w:sz w:val="24"/>
          <w:lang w:val="en-GB"/>
        </w:rPr>
        <w:t>期间</w:t>
      </w:r>
      <w:r w:rsidRPr="000C0842">
        <w:rPr>
          <w:rFonts w:eastAsia="SimSun"/>
          <w:iCs/>
          <w:kern w:val="20"/>
          <w:sz w:val="24"/>
          <w:lang w:val="en-GB"/>
        </w:rPr>
        <w:t>的缴款和杂项收入</w:t>
      </w:r>
      <w:r w:rsidRPr="000C0842">
        <w:rPr>
          <w:rFonts w:eastAsia="SimSun" w:hint="eastAsia"/>
          <w:iCs/>
          <w:kern w:val="20"/>
          <w:sz w:val="24"/>
          <w:lang w:val="en-GB"/>
        </w:rPr>
        <w:t>的准备金</w:t>
      </w:r>
      <w:r w:rsidRPr="000C0842">
        <w:rPr>
          <w:rFonts w:eastAsia="SimSun"/>
          <w:iCs/>
          <w:kern w:val="20"/>
          <w:sz w:val="24"/>
          <w:lang w:val="en-GB"/>
        </w:rPr>
        <w:t>，承付不超过核定预算水平的款项，并</w:t>
      </w:r>
      <w:r w:rsidRPr="000C0842">
        <w:rPr>
          <w:rFonts w:ascii="SimSun" w:eastAsia="SimSun" w:hAnsi="SimSun"/>
          <w:iCs/>
          <w:kern w:val="20"/>
          <w:sz w:val="24"/>
          <w:lang w:val="en-GB"/>
        </w:rPr>
        <w:t>请</w:t>
      </w:r>
      <w:r w:rsidRPr="000C0842">
        <w:rPr>
          <w:rFonts w:eastAsia="SimSun"/>
          <w:iCs/>
          <w:kern w:val="20"/>
          <w:sz w:val="24"/>
          <w:lang w:val="en-GB"/>
        </w:rPr>
        <w:t>执行秘书及时披露这些</w:t>
      </w:r>
      <w:r w:rsidRPr="000C0842">
        <w:rPr>
          <w:rFonts w:eastAsia="SimSun" w:hint="eastAsia"/>
          <w:iCs/>
          <w:kern w:val="20"/>
          <w:sz w:val="24"/>
          <w:lang w:val="en-GB"/>
        </w:rPr>
        <w:t>承付款</w:t>
      </w:r>
      <w:r w:rsidRPr="000C0842">
        <w:rPr>
          <w:rFonts w:eastAsia="SimSun"/>
          <w:iCs/>
          <w:kern w:val="20"/>
          <w:sz w:val="24"/>
          <w:lang w:val="en-GB"/>
        </w:rPr>
        <w:t>；</w:t>
      </w:r>
    </w:p>
    <w:p w14:paraId="5F82851B"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rPr>
        <w:t>又授权</w:t>
      </w:r>
      <w:r w:rsidRPr="000C0842">
        <w:rPr>
          <w:rFonts w:eastAsia="SimSun"/>
          <w:iCs/>
          <w:kern w:val="20"/>
          <w:sz w:val="24"/>
        </w:rPr>
        <w:t>执行秘书在下文表</w:t>
      </w:r>
      <w:r w:rsidRPr="000C0842">
        <w:rPr>
          <w:rFonts w:eastAsia="SimSun" w:hint="eastAsia"/>
          <w:iCs/>
          <w:kern w:val="20"/>
          <w:sz w:val="24"/>
          <w:lang w:val="en-GB"/>
        </w:rPr>
        <w:t>2</w:t>
      </w:r>
      <w:r w:rsidRPr="000C0842">
        <w:rPr>
          <w:rFonts w:eastAsia="SimSun"/>
          <w:iCs/>
          <w:kern w:val="20"/>
          <w:sz w:val="24"/>
          <w:lang w:val="en-GB"/>
        </w:rPr>
        <w:t>所列方案每一主要经费门类之间转移资源，总额不超过方案预算总额的</w:t>
      </w:r>
      <w:r w:rsidRPr="000C0842">
        <w:rPr>
          <w:rFonts w:eastAsia="SimSun"/>
          <w:iCs/>
          <w:kern w:val="20"/>
          <w:sz w:val="24"/>
          <w:lang w:val="en-GB"/>
        </w:rPr>
        <w:t>15%</w:t>
      </w:r>
      <w:r w:rsidRPr="000C0842">
        <w:rPr>
          <w:rFonts w:eastAsia="SimSun"/>
          <w:iCs/>
          <w:kern w:val="20"/>
          <w:sz w:val="24"/>
          <w:lang w:val="en-GB"/>
        </w:rPr>
        <w:t>，且每一经费门类的转移数额以</w:t>
      </w:r>
      <w:r w:rsidRPr="000C0842">
        <w:rPr>
          <w:rFonts w:eastAsia="SimSun"/>
          <w:iCs/>
          <w:kern w:val="20"/>
          <w:sz w:val="24"/>
          <w:lang w:val="en-GB"/>
        </w:rPr>
        <w:t>25%</w:t>
      </w:r>
      <w:r w:rsidRPr="000C0842">
        <w:rPr>
          <w:rFonts w:eastAsia="SimSun"/>
          <w:iCs/>
          <w:kern w:val="20"/>
          <w:sz w:val="24"/>
          <w:lang w:val="en-GB"/>
        </w:rPr>
        <w:t>为限；</w:t>
      </w:r>
    </w:p>
    <w:p w14:paraId="2D393694"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rPr>
        <w:t>敦促</w:t>
      </w:r>
      <w:r w:rsidRPr="000C0842">
        <w:rPr>
          <w:rFonts w:eastAsia="SimSun"/>
          <w:iCs/>
          <w:kern w:val="20"/>
          <w:sz w:val="24"/>
        </w:rPr>
        <w:t>执行秘书进一步减少秘书处运作的环境影响</w:t>
      </w:r>
      <w:r w:rsidRPr="000C0842">
        <w:rPr>
          <w:rFonts w:eastAsia="SimSun"/>
          <w:iCs/>
          <w:kern w:val="20"/>
          <w:sz w:val="24"/>
          <w:lang w:val="en-GB"/>
        </w:rPr>
        <w:t>，并向缔约方大会报告所采取的行动</w:t>
      </w:r>
      <w:r w:rsidRPr="000C0842">
        <w:rPr>
          <w:rFonts w:eastAsia="SimSun"/>
          <w:iCs/>
          <w:kern w:val="20"/>
          <w:sz w:val="24"/>
          <w:lang w:val="en-GB"/>
        </w:rPr>
        <w:t>;</w:t>
      </w:r>
    </w:p>
    <w:p w14:paraId="06EF871D"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hint="eastAsia"/>
          <w:iCs/>
          <w:kern w:val="20"/>
          <w:sz w:val="24"/>
          <w:lang w:val="en-GB"/>
        </w:rPr>
        <w:t>提醒</w:t>
      </w:r>
      <w:r w:rsidRPr="000C0842">
        <w:rPr>
          <w:rFonts w:eastAsia="KaiTi"/>
          <w:iCs/>
          <w:kern w:val="20"/>
          <w:sz w:val="24"/>
          <w:lang w:val="en-GB"/>
        </w:rPr>
        <w:t>《</w:t>
      </w:r>
      <w:r w:rsidRPr="000C0842">
        <w:rPr>
          <w:rFonts w:eastAsia="SimSun"/>
          <w:iCs/>
          <w:kern w:val="20"/>
          <w:sz w:val="24"/>
          <w:lang w:val="en-GB"/>
        </w:rPr>
        <w:t>公约》</w:t>
      </w:r>
      <w:r w:rsidRPr="000C0842">
        <w:rPr>
          <w:rFonts w:eastAsia="SimSun" w:hint="eastAsia"/>
          <w:iCs/>
          <w:kern w:val="20"/>
          <w:sz w:val="24"/>
          <w:lang w:val="en-GB"/>
        </w:rPr>
        <w:t>及其议定书的所有</w:t>
      </w:r>
      <w:r w:rsidRPr="000C0842">
        <w:rPr>
          <w:rFonts w:eastAsia="SimSun"/>
          <w:iCs/>
          <w:kern w:val="20"/>
          <w:sz w:val="24"/>
        </w:rPr>
        <w:t>缔约方</w:t>
      </w:r>
      <w:r w:rsidRPr="000C0842">
        <w:rPr>
          <w:rFonts w:eastAsia="SimSun" w:hint="eastAsia"/>
          <w:iCs/>
          <w:kern w:val="20"/>
          <w:sz w:val="24"/>
        </w:rPr>
        <w:t>，</w:t>
      </w:r>
      <w:r w:rsidRPr="000C0842">
        <w:rPr>
          <w:rFonts w:eastAsia="SimSun"/>
          <w:iCs/>
          <w:kern w:val="20"/>
          <w:sz w:val="24"/>
        </w:rPr>
        <w:t>核心</w:t>
      </w:r>
      <w:r w:rsidRPr="000C0842">
        <w:rPr>
          <w:rFonts w:eastAsia="SimSun" w:hint="eastAsia"/>
          <w:iCs/>
          <w:kern w:val="20"/>
          <w:sz w:val="24"/>
        </w:rPr>
        <w:t>信托基金的</w:t>
      </w:r>
      <w:r w:rsidRPr="000C0842">
        <w:rPr>
          <w:rFonts w:eastAsia="SimSun"/>
          <w:iCs/>
          <w:kern w:val="20"/>
          <w:sz w:val="24"/>
          <w:lang w:val="en-GB"/>
        </w:rPr>
        <w:t>摊款</w:t>
      </w:r>
      <w:r w:rsidRPr="000C0842">
        <w:rPr>
          <w:rFonts w:eastAsia="SimSun" w:hint="eastAsia"/>
          <w:iCs/>
          <w:kern w:val="20"/>
          <w:sz w:val="24"/>
          <w:lang w:val="en-GB"/>
        </w:rPr>
        <w:t>最迟应</w:t>
      </w:r>
      <w:r w:rsidRPr="000C0842">
        <w:rPr>
          <w:rFonts w:eastAsia="SimSun"/>
          <w:iCs/>
          <w:kern w:val="20"/>
          <w:sz w:val="24"/>
          <w:lang w:val="en-GB"/>
        </w:rPr>
        <w:t>于这些摊款被编入预算的年度的</w:t>
      </w:r>
      <w:r w:rsidRPr="000C0842">
        <w:rPr>
          <w:rFonts w:eastAsia="SimSun"/>
          <w:iCs/>
          <w:kern w:val="20"/>
          <w:sz w:val="24"/>
          <w:lang w:val="en-GB"/>
        </w:rPr>
        <w:t>1</w:t>
      </w:r>
      <w:r w:rsidRPr="000C0842">
        <w:rPr>
          <w:rFonts w:eastAsia="SimSun"/>
          <w:iCs/>
          <w:kern w:val="20"/>
          <w:sz w:val="24"/>
          <w:lang w:val="en-GB"/>
        </w:rPr>
        <w:t>月</w:t>
      </w:r>
      <w:r w:rsidRPr="000C0842">
        <w:rPr>
          <w:rFonts w:eastAsia="SimSun"/>
          <w:iCs/>
          <w:kern w:val="20"/>
          <w:sz w:val="24"/>
          <w:lang w:val="en-GB"/>
        </w:rPr>
        <w:t>1</w:t>
      </w:r>
      <w:r w:rsidRPr="000C0842">
        <w:rPr>
          <w:rFonts w:eastAsia="SimSun"/>
          <w:iCs/>
          <w:kern w:val="20"/>
          <w:sz w:val="24"/>
          <w:lang w:val="en-GB"/>
        </w:rPr>
        <w:t>日</w:t>
      </w:r>
      <w:r w:rsidRPr="000C0842">
        <w:rPr>
          <w:rFonts w:eastAsia="SimSun" w:hint="eastAsia"/>
          <w:iCs/>
          <w:kern w:val="20"/>
          <w:sz w:val="24"/>
          <w:lang w:val="en-GB"/>
        </w:rPr>
        <w:t>缴纳</w:t>
      </w:r>
      <w:r w:rsidRPr="000C0842">
        <w:rPr>
          <w:rFonts w:eastAsia="SimSun"/>
          <w:iCs/>
          <w:kern w:val="20"/>
          <w:sz w:val="24"/>
          <w:lang w:val="en-GB"/>
        </w:rPr>
        <w:t>，</w:t>
      </w:r>
      <w:r w:rsidRPr="000C0842">
        <w:rPr>
          <w:rFonts w:eastAsia="SimSun" w:hint="eastAsia"/>
          <w:iCs/>
          <w:kern w:val="20"/>
          <w:sz w:val="24"/>
          <w:lang w:val="en-GB"/>
        </w:rPr>
        <w:t>敦促所有缔约方</w:t>
      </w:r>
      <w:r w:rsidRPr="000C0842">
        <w:rPr>
          <w:rFonts w:eastAsia="SimSun"/>
          <w:iCs/>
          <w:kern w:val="20"/>
          <w:sz w:val="24"/>
          <w:lang w:val="en-GB"/>
        </w:rPr>
        <w:t>迅速缴</w:t>
      </w:r>
      <w:r w:rsidRPr="000C0842">
        <w:rPr>
          <w:rFonts w:eastAsia="SimSun" w:hint="eastAsia"/>
          <w:iCs/>
          <w:kern w:val="20"/>
          <w:sz w:val="24"/>
          <w:lang w:val="en-GB"/>
        </w:rPr>
        <w:t>纳</w:t>
      </w:r>
      <w:r w:rsidRPr="000C0842">
        <w:rPr>
          <w:rFonts w:eastAsia="SimSun"/>
          <w:iCs/>
          <w:kern w:val="20"/>
          <w:sz w:val="24"/>
          <w:lang w:val="en-GB"/>
        </w:rPr>
        <w:t>，</w:t>
      </w:r>
      <w:r w:rsidRPr="000C0842">
        <w:rPr>
          <w:rFonts w:eastAsia="SimSun" w:hint="eastAsia"/>
          <w:iCs/>
          <w:kern w:val="20"/>
          <w:sz w:val="24"/>
          <w:lang w:val="en-GB"/>
        </w:rPr>
        <w:t>并</w:t>
      </w:r>
      <w:r w:rsidRPr="000C0842">
        <w:rPr>
          <w:rFonts w:eastAsia="SimSun"/>
          <w:iCs/>
          <w:kern w:val="20"/>
          <w:sz w:val="24"/>
          <w:lang w:val="en-GB"/>
        </w:rPr>
        <w:t>请</w:t>
      </w:r>
      <w:r w:rsidRPr="000C0842">
        <w:rPr>
          <w:rFonts w:eastAsia="SimSun" w:hint="eastAsia"/>
          <w:iCs/>
          <w:kern w:val="20"/>
          <w:sz w:val="24"/>
          <w:lang w:val="en-GB"/>
        </w:rPr>
        <w:t>执行秘书</w:t>
      </w:r>
      <w:r w:rsidRPr="000C0842">
        <w:rPr>
          <w:rFonts w:eastAsia="SimSun"/>
          <w:iCs/>
          <w:kern w:val="20"/>
          <w:sz w:val="24"/>
          <w:lang w:val="en-GB"/>
        </w:rPr>
        <w:t>在</w:t>
      </w:r>
      <w:r w:rsidRPr="000C0842">
        <w:rPr>
          <w:rFonts w:eastAsia="SimSun" w:hint="eastAsia"/>
          <w:iCs/>
          <w:kern w:val="20"/>
          <w:sz w:val="24"/>
          <w:lang w:val="en-GB"/>
        </w:rPr>
        <w:t>应缴纳</w:t>
      </w:r>
      <w:r w:rsidRPr="000C0842">
        <w:rPr>
          <w:rFonts w:eastAsia="SimSun"/>
          <w:iCs/>
          <w:kern w:val="20"/>
          <w:sz w:val="24"/>
          <w:lang w:val="en-GB"/>
        </w:rPr>
        <w:t>摊款的前一年尽早通知缔约方其摊款</w:t>
      </w:r>
      <w:r w:rsidRPr="000C0842">
        <w:rPr>
          <w:rFonts w:eastAsia="SimSun" w:hint="eastAsia"/>
          <w:iCs/>
          <w:kern w:val="20"/>
          <w:sz w:val="24"/>
          <w:lang w:val="en-GB"/>
        </w:rPr>
        <w:t>数额</w:t>
      </w:r>
      <w:r w:rsidRPr="000C0842">
        <w:rPr>
          <w:rFonts w:eastAsia="SimSun"/>
          <w:iCs/>
          <w:kern w:val="20"/>
          <w:sz w:val="24"/>
          <w:lang w:val="en-GB"/>
        </w:rPr>
        <w:t>；</w:t>
      </w:r>
    </w:p>
    <w:p w14:paraId="2E1F119E" w14:textId="54070D9E"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关切地认识到</w:t>
      </w:r>
      <w:r w:rsidRPr="000C0842">
        <w:rPr>
          <w:rFonts w:eastAsia="SimSun" w:hint="eastAsia"/>
          <w:sz w:val="24"/>
          <w:szCs w:val="24"/>
          <w:lang w:val="en-GB"/>
        </w:rPr>
        <w:t>有些缔约方尽管有意缴纳对《公约》及其议定书的摊款，但由于技术困难，包括与提交发票有关的信息技术问题，无法便利地缴纳；请执行秘书与联合国环境规划署磋商，与提出这类技术困难的缔约方合作，探讨缴纳摊款的其他选项；</w:t>
      </w:r>
    </w:p>
    <w:p w14:paraId="78F3A912" w14:textId="7E888B9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20"/>
          <w:sz w:val="24"/>
          <w:lang w:val="en-GB"/>
        </w:rPr>
      </w:pPr>
      <w:r w:rsidRPr="000C0842">
        <w:rPr>
          <w:rFonts w:eastAsia="KaiTi"/>
          <w:iCs/>
          <w:kern w:val="20"/>
          <w:sz w:val="24"/>
          <w:lang w:val="en-GB"/>
        </w:rPr>
        <w:t>关切地注意到</w:t>
      </w:r>
      <w:r w:rsidRPr="000C0842">
        <w:rPr>
          <w:rFonts w:eastAsia="SimSun"/>
          <w:iCs/>
          <w:kern w:val="20"/>
          <w:sz w:val="24"/>
          <w:lang w:val="en-GB"/>
        </w:rPr>
        <w:t>《公约》及其议定书的一些缔约方尚未缴纳</w:t>
      </w:r>
      <w:r w:rsidRPr="000C0842">
        <w:rPr>
          <w:rFonts w:eastAsia="SimSun"/>
          <w:iCs/>
          <w:kern w:val="20"/>
          <w:sz w:val="24"/>
          <w:lang w:val="en-GB"/>
        </w:rPr>
        <w:t>2023</w:t>
      </w:r>
      <w:r w:rsidRPr="000C0842">
        <w:rPr>
          <w:rFonts w:eastAsia="SimSun"/>
          <w:iCs/>
          <w:kern w:val="20"/>
          <w:sz w:val="24"/>
          <w:lang w:val="en-GB"/>
        </w:rPr>
        <w:t>年和以往年度</w:t>
      </w:r>
      <w:r w:rsidR="00B25AEF" w:rsidRPr="000C0842">
        <w:rPr>
          <w:rFonts w:eastAsia="SimSun" w:hint="eastAsia"/>
          <w:iCs/>
          <w:kern w:val="20"/>
          <w:sz w:val="24"/>
          <w:lang w:val="en-GB"/>
        </w:rPr>
        <w:t>的</w:t>
      </w:r>
      <w:r w:rsidRPr="000C0842">
        <w:rPr>
          <w:rFonts w:eastAsia="SimSun"/>
          <w:iCs/>
          <w:kern w:val="20"/>
          <w:sz w:val="24"/>
          <w:lang w:val="en-GB"/>
        </w:rPr>
        <w:t>核心信托基金摊款，有的缔约方从未缴过款，又注意到按照联合国通过的《国际公共部门会计准则》</w:t>
      </w:r>
      <w:r w:rsidRPr="000C0842">
        <w:rPr>
          <w:rFonts w:eastAsia="SimSun"/>
          <w:iCs/>
          <w:kern w:val="20"/>
          <w:sz w:val="24"/>
          <w:vertAlign w:val="superscript"/>
          <w:lang w:val="en-GB"/>
        </w:rPr>
        <w:footnoteReference w:id="386"/>
      </w:r>
      <w:r w:rsidRPr="000C0842">
        <w:rPr>
          <w:rFonts w:eastAsia="SimSun"/>
          <w:iCs/>
          <w:kern w:val="20"/>
          <w:sz w:val="24"/>
          <w:lang w:val="en-GB"/>
        </w:rPr>
        <w:t>，估计到</w:t>
      </w:r>
      <w:r w:rsidRPr="000C0842">
        <w:rPr>
          <w:rFonts w:eastAsia="SimSun"/>
          <w:iCs/>
          <w:kern w:val="20"/>
          <w:sz w:val="24"/>
          <w:lang w:val="en-GB"/>
        </w:rPr>
        <w:t>2023</w:t>
      </w:r>
      <w:r w:rsidRPr="000C0842">
        <w:rPr>
          <w:rFonts w:eastAsia="SimSun"/>
          <w:iCs/>
          <w:kern w:val="20"/>
          <w:sz w:val="24"/>
          <w:lang w:val="en-GB"/>
        </w:rPr>
        <w:t>年年底</w:t>
      </w:r>
      <w:r w:rsidRPr="000C0842">
        <w:rPr>
          <w:rFonts w:eastAsia="SimSun" w:hint="eastAsia"/>
          <w:iCs/>
          <w:kern w:val="20"/>
          <w:sz w:val="24"/>
          <w:lang w:val="en-GB"/>
        </w:rPr>
        <w:t>，</w:t>
      </w:r>
      <w:r w:rsidRPr="000C0842">
        <w:rPr>
          <w:rFonts w:eastAsia="SimSun"/>
          <w:iCs/>
          <w:kern w:val="20"/>
          <w:sz w:val="24"/>
          <w:lang w:val="en-GB"/>
        </w:rPr>
        <w:t>《公约》、《卡塔赫纳议定书》、《名古屋议定书》</w:t>
      </w:r>
      <w:r w:rsidRPr="000C0842">
        <w:rPr>
          <w:rFonts w:eastAsia="SimSun" w:hint="eastAsia"/>
          <w:iCs/>
          <w:kern w:val="20"/>
          <w:sz w:val="24"/>
          <w:lang w:val="en-GB"/>
        </w:rPr>
        <w:t>的贷记损失备抵</w:t>
      </w:r>
      <w:r w:rsidRPr="000C0842">
        <w:rPr>
          <w:rFonts w:eastAsia="SimSun"/>
          <w:iCs/>
          <w:kern w:val="20"/>
          <w:sz w:val="24"/>
          <w:lang w:val="en-GB"/>
        </w:rPr>
        <w:t>分别为</w:t>
      </w:r>
      <w:r w:rsidRPr="000C0842">
        <w:rPr>
          <w:rFonts w:eastAsia="SimSun"/>
          <w:iCs/>
          <w:kern w:val="20"/>
          <w:sz w:val="24"/>
          <w:lang w:val="en-GB"/>
        </w:rPr>
        <w:t>2,741,256</w:t>
      </w:r>
      <w:r w:rsidRPr="000C0842">
        <w:rPr>
          <w:rFonts w:eastAsia="SimSun"/>
          <w:iCs/>
          <w:kern w:val="20"/>
          <w:sz w:val="24"/>
          <w:lang w:val="en-GB"/>
        </w:rPr>
        <w:t>美元、</w:t>
      </w:r>
      <w:r w:rsidRPr="000C0842">
        <w:rPr>
          <w:rFonts w:eastAsia="SimSun"/>
          <w:iCs/>
          <w:kern w:val="20"/>
          <w:sz w:val="24"/>
          <w:lang w:val="en-GB"/>
        </w:rPr>
        <w:t>583,172</w:t>
      </w:r>
      <w:r w:rsidRPr="000C0842">
        <w:rPr>
          <w:rFonts w:eastAsia="SimSun"/>
          <w:iCs/>
          <w:kern w:val="20"/>
          <w:sz w:val="24"/>
          <w:lang w:val="en-GB"/>
        </w:rPr>
        <w:t>美元和</w:t>
      </w:r>
      <w:r w:rsidRPr="000C0842">
        <w:rPr>
          <w:rFonts w:eastAsia="SimSun"/>
          <w:iCs/>
          <w:kern w:val="20"/>
          <w:sz w:val="24"/>
          <w:lang w:val="en-GB"/>
        </w:rPr>
        <w:t>337,966</w:t>
      </w:r>
      <w:r w:rsidRPr="000C0842">
        <w:rPr>
          <w:rFonts w:eastAsia="SimSun"/>
          <w:iCs/>
          <w:kern w:val="20"/>
          <w:sz w:val="24"/>
          <w:lang w:val="en-GB"/>
        </w:rPr>
        <w:t>美元，须从基金余额中扣除，因此不能为各缔约方所用，并请联合国环境规划署及时接受《公约》</w:t>
      </w:r>
      <w:r w:rsidRPr="000C0842">
        <w:rPr>
          <w:rFonts w:eastAsia="SimSun" w:hint="eastAsia"/>
          <w:iCs/>
          <w:kern w:val="20"/>
          <w:sz w:val="24"/>
          <w:lang w:val="en-GB"/>
        </w:rPr>
        <w:t>及其议定书</w:t>
      </w:r>
      <w:r w:rsidRPr="000C0842">
        <w:rPr>
          <w:rFonts w:eastAsia="SimSun"/>
          <w:iCs/>
          <w:kern w:val="20"/>
          <w:sz w:val="24"/>
          <w:lang w:val="en-GB"/>
        </w:rPr>
        <w:t>所有缔约方的缴款；</w:t>
      </w:r>
      <w:r w:rsidRPr="000C0842">
        <w:rPr>
          <w:rFonts w:eastAsia="SimSun"/>
          <w:iCs/>
          <w:kern w:val="20"/>
          <w:sz w:val="24"/>
          <w:lang w:val="en-GB"/>
        </w:rPr>
        <w:t xml:space="preserve"> </w:t>
      </w:r>
    </w:p>
    <w:p w14:paraId="36AA0D1A" w14:textId="1FC5D9A9"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20"/>
          <w:sz w:val="24"/>
          <w:lang w:val="en-GB"/>
        </w:rPr>
      </w:pPr>
      <w:r w:rsidRPr="000C0842">
        <w:rPr>
          <w:rFonts w:eastAsia="KaiTi"/>
          <w:iCs/>
          <w:kern w:val="20"/>
          <w:sz w:val="24"/>
          <w:lang w:val="en-GB"/>
        </w:rPr>
        <w:t>敦促</w:t>
      </w:r>
      <w:r w:rsidRPr="000C0842">
        <w:rPr>
          <w:rFonts w:eastAsia="SimSun"/>
          <w:iCs/>
          <w:kern w:val="20"/>
          <w:sz w:val="24"/>
          <w:lang w:val="en-GB"/>
        </w:rPr>
        <w:t>仍未缴纳</w:t>
      </w:r>
      <w:r w:rsidRPr="000C0842">
        <w:rPr>
          <w:rFonts w:eastAsia="SimSun"/>
          <w:iCs/>
          <w:kern w:val="20"/>
          <w:sz w:val="24"/>
          <w:lang w:val="en-GB"/>
        </w:rPr>
        <w:t xml:space="preserve"> 2023</w:t>
      </w:r>
      <w:r w:rsidRPr="000C0842">
        <w:rPr>
          <w:rFonts w:eastAsia="SimSun"/>
          <w:iCs/>
          <w:kern w:val="20"/>
          <w:sz w:val="24"/>
          <w:lang w:val="en-GB"/>
        </w:rPr>
        <w:t>年和以往年度核心信托基金摊款的</w:t>
      </w:r>
      <w:r w:rsidRPr="000C0842">
        <w:rPr>
          <w:rFonts w:eastAsia="SimSun" w:hint="eastAsia"/>
          <w:iCs/>
          <w:kern w:val="20"/>
          <w:sz w:val="24"/>
          <w:lang w:val="en-GB"/>
        </w:rPr>
        <w:t>《公约》及其议定书</w:t>
      </w:r>
      <w:r w:rsidRPr="000C0842">
        <w:rPr>
          <w:rFonts w:eastAsia="SimSun"/>
          <w:iCs/>
          <w:kern w:val="20"/>
          <w:sz w:val="24"/>
          <w:lang w:val="en-GB"/>
        </w:rPr>
        <w:t>缔约方立即缴款而不再拖延或附加条件，请执行秘书公布并</w:t>
      </w:r>
      <w:r w:rsidRPr="000C0842">
        <w:rPr>
          <w:rFonts w:eastAsia="SimSun" w:hint="eastAsia"/>
          <w:iCs/>
          <w:kern w:val="20"/>
          <w:sz w:val="24"/>
          <w:lang w:val="en-GB"/>
        </w:rPr>
        <w:t>不断提供</w:t>
      </w:r>
      <w:r w:rsidRPr="000C0842">
        <w:rPr>
          <w:rFonts w:eastAsia="SimSun"/>
          <w:iCs/>
          <w:kern w:val="20"/>
          <w:sz w:val="24"/>
          <w:lang w:val="en-GB"/>
        </w:rPr>
        <w:t>《公约》</w:t>
      </w:r>
      <w:r w:rsidRPr="000C0842">
        <w:rPr>
          <w:rFonts w:eastAsia="SimSun" w:hint="eastAsia"/>
          <w:iCs/>
          <w:kern w:val="20"/>
          <w:sz w:val="24"/>
          <w:lang w:val="en-GB"/>
        </w:rPr>
        <w:t>及其议定书的</w:t>
      </w:r>
      <w:r w:rsidRPr="000C0842">
        <w:rPr>
          <w:rFonts w:eastAsia="SimSun"/>
          <w:iCs/>
          <w:kern w:val="20"/>
          <w:sz w:val="24"/>
          <w:lang w:val="en-GB"/>
        </w:rPr>
        <w:t>信托基金</w:t>
      </w:r>
      <w:r w:rsidRPr="000C0842">
        <w:rPr>
          <w:rFonts w:eastAsia="SimSun" w:hint="eastAsia"/>
          <w:iCs/>
          <w:kern w:val="20"/>
          <w:sz w:val="24"/>
          <w:lang w:val="en-GB"/>
        </w:rPr>
        <w:t>（三项核心信托基金：</w:t>
      </w:r>
      <w:r w:rsidRPr="000C0842">
        <w:rPr>
          <w:rFonts w:eastAsia="SimSun" w:hint="eastAsia"/>
          <w:bCs/>
          <w:iCs/>
          <w:kern w:val="20"/>
          <w:sz w:val="24"/>
          <w:lang w:val="en-GB"/>
        </w:rPr>
        <w:t>资助生物多样性公约及其议定书额外核定活动特别自愿信托基金</w:t>
      </w:r>
      <w:r w:rsidRPr="000C0842">
        <w:rPr>
          <w:rFonts w:eastAsia="SimSun"/>
          <w:iCs/>
          <w:kern w:val="20"/>
          <w:sz w:val="24"/>
          <w:lang w:val="en-GB"/>
        </w:rPr>
        <w:t>、</w:t>
      </w:r>
      <w:r w:rsidRPr="000C0842">
        <w:rPr>
          <w:rFonts w:eastAsia="SimSun" w:hint="eastAsia"/>
          <w:bCs/>
          <w:iCs/>
          <w:kern w:val="20"/>
          <w:sz w:val="24"/>
          <w:lang w:val="en-GB"/>
        </w:rPr>
        <w:t>资助</w:t>
      </w:r>
      <w:r w:rsidRPr="000C0842">
        <w:rPr>
          <w:rFonts w:eastAsia="SimSun"/>
          <w:bCs/>
          <w:iCs/>
          <w:kern w:val="20"/>
          <w:sz w:val="24"/>
          <w:lang w:val="en-GB"/>
        </w:rPr>
        <w:t>缔约方参与公约进程特别自愿信托基金</w:t>
      </w:r>
      <w:r w:rsidR="00B25AEF" w:rsidRPr="000C0842">
        <w:rPr>
          <w:rFonts w:eastAsia="SimSun" w:hint="eastAsia"/>
          <w:iCs/>
          <w:kern w:val="20"/>
          <w:sz w:val="24"/>
          <w:lang w:val="en-GB"/>
        </w:rPr>
        <w:t>、</w:t>
      </w:r>
      <w:r w:rsidRPr="000C0842">
        <w:rPr>
          <w:rFonts w:eastAsia="SimSun" w:hint="eastAsia"/>
          <w:iCs/>
          <w:kern w:val="20"/>
          <w:sz w:val="24"/>
          <w:lang w:val="en-GB"/>
        </w:rPr>
        <w:t>资助</w:t>
      </w:r>
      <w:r w:rsidRPr="000C0842">
        <w:rPr>
          <w:rFonts w:eastAsia="SimSun"/>
          <w:iCs/>
          <w:kern w:val="20"/>
          <w:sz w:val="24"/>
          <w:lang w:val="en-GB"/>
        </w:rPr>
        <w:t>土著人民和地方社区参与公约</w:t>
      </w:r>
      <w:r w:rsidRPr="000C0842">
        <w:rPr>
          <w:rFonts w:eastAsia="SimSun" w:hint="eastAsia"/>
          <w:iCs/>
          <w:kern w:val="20"/>
          <w:sz w:val="24"/>
          <w:lang w:val="en-GB"/>
        </w:rPr>
        <w:t>进程</w:t>
      </w:r>
      <w:r w:rsidRPr="000C0842">
        <w:rPr>
          <w:rFonts w:eastAsia="SimSun"/>
          <w:iCs/>
          <w:kern w:val="20"/>
          <w:sz w:val="24"/>
          <w:lang w:val="en-GB"/>
        </w:rPr>
        <w:t>特别</w:t>
      </w:r>
      <w:r w:rsidRPr="000C0842">
        <w:rPr>
          <w:rFonts w:eastAsia="SimSun" w:hint="eastAsia"/>
          <w:iCs/>
          <w:kern w:val="20"/>
          <w:sz w:val="24"/>
          <w:lang w:val="en-GB"/>
        </w:rPr>
        <w:t>自愿</w:t>
      </w:r>
      <w:r w:rsidRPr="000C0842">
        <w:rPr>
          <w:rFonts w:eastAsia="SimSun"/>
          <w:iCs/>
          <w:kern w:val="20"/>
          <w:sz w:val="24"/>
          <w:lang w:val="en-GB"/>
        </w:rPr>
        <w:t>信托基金）</w:t>
      </w:r>
      <w:r w:rsidRPr="000C0842">
        <w:rPr>
          <w:rFonts w:eastAsia="SimSun" w:hint="eastAsia"/>
          <w:iCs/>
          <w:kern w:val="20"/>
          <w:sz w:val="24"/>
          <w:lang w:val="en-GB"/>
        </w:rPr>
        <w:t>的最新</w:t>
      </w:r>
      <w:r w:rsidRPr="000C0842">
        <w:rPr>
          <w:rFonts w:eastAsia="SimSun"/>
          <w:iCs/>
          <w:kern w:val="20"/>
          <w:sz w:val="24"/>
          <w:lang w:val="en-GB"/>
        </w:rPr>
        <w:t>缴款情况，使《公约》及其议定书的主席团成员掌握最新</w:t>
      </w:r>
      <w:r w:rsidRPr="000C0842">
        <w:rPr>
          <w:rFonts w:eastAsia="SimSun" w:hint="eastAsia"/>
          <w:iCs/>
          <w:kern w:val="20"/>
          <w:sz w:val="24"/>
          <w:lang w:val="en-GB"/>
        </w:rPr>
        <w:t>情况</w:t>
      </w:r>
      <w:r w:rsidRPr="000C0842">
        <w:rPr>
          <w:rFonts w:eastAsia="SimSun"/>
          <w:iCs/>
          <w:kern w:val="20"/>
          <w:sz w:val="24"/>
          <w:lang w:val="en-GB"/>
        </w:rPr>
        <w:t>，</w:t>
      </w:r>
      <w:r w:rsidRPr="000C0842">
        <w:rPr>
          <w:rFonts w:eastAsia="SimSun" w:hint="eastAsia"/>
          <w:iCs/>
          <w:kern w:val="20"/>
          <w:sz w:val="24"/>
          <w:lang w:val="en-GB"/>
        </w:rPr>
        <w:t>以便</w:t>
      </w:r>
      <w:r w:rsidRPr="000C0842">
        <w:rPr>
          <w:rFonts w:eastAsia="SimSun"/>
          <w:iCs/>
          <w:kern w:val="20"/>
          <w:sz w:val="24"/>
          <w:lang w:val="en-GB"/>
        </w:rPr>
        <w:t>向</w:t>
      </w:r>
      <w:r w:rsidRPr="000C0842">
        <w:rPr>
          <w:rFonts w:eastAsia="SimSun" w:hint="eastAsia"/>
          <w:iCs/>
          <w:kern w:val="20"/>
          <w:sz w:val="24"/>
          <w:lang w:val="en-GB"/>
        </w:rPr>
        <w:t>各自代表的区域说明</w:t>
      </w:r>
      <w:r w:rsidRPr="000C0842">
        <w:rPr>
          <w:rFonts w:eastAsia="SimSun"/>
          <w:iCs/>
          <w:kern w:val="20"/>
          <w:sz w:val="24"/>
          <w:lang w:val="en-GB"/>
        </w:rPr>
        <w:t>未缴摊款</w:t>
      </w:r>
      <w:r w:rsidRPr="000C0842">
        <w:rPr>
          <w:rFonts w:eastAsia="SimSun" w:hint="eastAsia"/>
          <w:iCs/>
          <w:kern w:val="20"/>
          <w:sz w:val="24"/>
          <w:lang w:val="en-GB"/>
        </w:rPr>
        <w:t>情况和</w:t>
      </w:r>
      <w:r w:rsidRPr="000C0842">
        <w:rPr>
          <w:rFonts w:eastAsia="SimSun"/>
          <w:iCs/>
          <w:kern w:val="20"/>
          <w:sz w:val="24"/>
          <w:lang w:val="en-GB"/>
        </w:rPr>
        <w:t>下文第</w:t>
      </w:r>
      <w:r w:rsidRPr="000C0842">
        <w:rPr>
          <w:rFonts w:eastAsia="SimSun" w:hint="eastAsia"/>
          <w:iCs/>
          <w:kern w:val="20"/>
          <w:sz w:val="24"/>
          <w:lang w:val="en-GB"/>
        </w:rPr>
        <w:t>24</w:t>
      </w:r>
      <w:r w:rsidRPr="000C0842">
        <w:rPr>
          <w:rFonts w:eastAsia="SimSun"/>
          <w:iCs/>
          <w:kern w:val="20"/>
          <w:sz w:val="24"/>
          <w:lang w:val="en-GB"/>
        </w:rPr>
        <w:t>段所述后果；</w:t>
      </w:r>
      <w:r w:rsidRPr="000C0842">
        <w:rPr>
          <w:rFonts w:eastAsia="SimSun"/>
          <w:iCs/>
          <w:kern w:val="20"/>
          <w:sz w:val="24"/>
          <w:lang w:val="en-GB"/>
        </w:rPr>
        <w:t xml:space="preserve"> </w:t>
      </w:r>
    </w:p>
    <w:p w14:paraId="34C57823"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请</w:t>
      </w:r>
      <w:r w:rsidRPr="000C0842">
        <w:rPr>
          <w:rFonts w:eastAsia="SimSun"/>
          <w:iCs/>
          <w:kern w:val="20"/>
          <w:sz w:val="24"/>
          <w:lang w:val="en-GB"/>
        </w:rPr>
        <w:t>联合国环境规划署以受托人身份，利用所有可用外交渠道，向相关缔约方通报</w:t>
      </w:r>
      <w:r w:rsidRPr="000C0842">
        <w:rPr>
          <w:rFonts w:eastAsia="SimSun"/>
          <w:iCs/>
          <w:kern w:val="20"/>
          <w:sz w:val="24"/>
          <w:lang w:val="en-GB"/>
        </w:rPr>
        <w:t>2024</w:t>
      </w:r>
      <w:r w:rsidRPr="000C0842">
        <w:rPr>
          <w:rFonts w:eastAsia="SimSun"/>
          <w:iCs/>
          <w:kern w:val="20"/>
          <w:sz w:val="24"/>
          <w:lang w:val="en-GB"/>
        </w:rPr>
        <w:t>年及以往年度拖欠</w:t>
      </w:r>
      <w:r w:rsidRPr="000C0842">
        <w:rPr>
          <w:rFonts w:eastAsia="SimSun" w:hint="eastAsia"/>
          <w:iCs/>
          <w:kern w:val="20"/>
          <w:sz w:val="24"/>
          <w:lang w:val="en-GB"/>
        </w:rPr>
        <w:t>核心</w:t>
      </w:r>
      <w:r w:rsidRPr="000C0842">
        <w:rPr>
          <w:rFonts w:eastAsia="SimSun"/>
          <w:iCs/>
          <w:kern w:val="20"/>
          <w:sz w:val="24"/>
          <w:lang w:val="en-GB"/>
        </w:rPr>
        <w:t>信托基金摊款的情况，以期为《公约》及其议定书所有缔约方的利益而全额支付此类欠款，并</w:t>
      </w:r>
      <w:r w:rsidRPr="000C0842">
        <w:rPr>
          <w:rFonts w:eastAsiaTheme="minorEastAsia"/>
          <w:iCs/>
          <w:kern w:val="20"/>
          <w:sz w:val="24"/>
          <w:lang w:val="en-GB"/>
        </w:rPr>
        <w:t>请</w:t>
      </w:r>
      <w:r w:rsidRPr="000C0842">
        <w:rPr>
          <w:rFonts w:eastAsia="SimSun"/>
          <w:iCs/>
          <w:kern w:val="20"/>
          <w:sz w:val="24"/>
          <w:lang w:val="en-GB"/>
        </w:rPr>
        <w:t>执行秘书向主席团和缔约方大会第十七届会议报告这些拖欠款项的状况；</w:t>
      </w:r>
      <w:r w:rsidRPr="000C0842">
        <w:rPr>
          <w:rFonts w:eastAsia="SimSun"/>
          <w:iCs/>
          <w:kern w:val="20"/>
          <w:sz w:val="24"/>
          <w:lang w:val="en-GB"/>
        </w:rPr>
        <w:t xml:space="preserve"> </w:t>
      </w:r>
    </w:p>
    <w:p w14:paraId="169E9A74"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iCs/>
          <w:kern w:val="20"/>
          <w:sz w:val="24"/>
          <w:lang w:val="en-GB"/>
        </w:rPr>
        <w:t>确认</w:t>
      </w:r>
      <w:r w:rsidRPr="000C0842">
        <w:rPr>
          <w:rFonts w:eastAsia="SimSun"/>
          <w:iCs/>
          <w:kern w:val="20"/>
          <w:sz w:val="24"/>
          <w:lang w:val="en-GB"/>
        </w:rPr>
        <w:t>关于</w:t>
      </w:r>
      <w:r w:rsidRPr="000C0842">
        <w:rPr>
          <w:rFonts w:eastAsia="SimSun"/>
          <w:iCs/>
          <w:kern w:val="20"/>
          <w:sz w:val="24"/>
          <w:lang w:val="en-GB"/>
        </w:rPr>
        <w:t>2005</w:t>
      </w:r>
      <w:r w:rsidRPr="000C0842">
        <w:rPr>
          <w:rFonts w:eastAsia="SimSun"/>
          <w:iCs/>
          <w:kern w:val="20"/>
          <w:sz w:val="24"/>
          <w:lang w:val="en-GB"/>
        </w:rPr>
        <w:t>年</w:t>
      </w:r>
      <w:r w:rsidRPr="000C0842">
        <w:rPr>
          <w:rFonts w:eastAsia="SimSun"/>
          <w:iCs/>
          <w:kern w:val="20"/>
          <w:sz w:val="24"/>
          <w:lang w:val="en-GB"/>
        </w:rPr>
        <w:t>1</w:t>
      </w:r>
      <w:r w:rsidRPr="000C0842">
        <w:rPr>
          <w:rFonts w:eastAsia="SimSun"/>
          <w:iCs/>
          <w:kern w:val="20"/>
          <w:sz w:val="24"/>
          <w:lang w:val="en-GB"/>
        </w:rPr>
        <w:t>月</w:t>
      </w:r>
      <w:r w:rsidRPr="000C0842">
        <w:rPr>
          <w:rFonts w:eastAsia="SimSun"/>
          <w:iCs/>
          <w:kern w:val="20"/>
          <w:sz w:val="24"/>
          <w:lang w:val="en-GB"/>
        </w:rPr>
        <w:t>1</w:t>
      </w:r>
      <w:r w:rsidRPr="000C0842">
        <w:rPr>
          <w:rFonts w:eastAsia="SimSun"/>
          <w:iCs/>
          <w:kern w:val="20"/>
          <w:sz w:val="24"/>
          <w:lang w:val="en-GB"/>
        </w:rPr>
        <w:t>日以后到期的摊款，拖欠摊款两年或两年以上的缔约方将无资格成为公约缔约方大会、作为议定书缔约方会议的缔约方大会或科学，技术和工艺咨询附属机构主席团的成员，或提名履约委员会成员，并决定这项限制将仅适用于不是最不发达国家或小岛屿发展中国家的缔约方；</w:t>
      </w:r>
    </w:p>
    <w:p w14:paraId="5D980F68"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授权</w:t>
      </w:r>
      <w:r w:rsidRPr="000C0842">
        <w:rPr>
          <w:rFonts w:eastAsia="SimSun"/>
          <w:iCs/>
          <w:kern w:val="20"/>
          <w:sz w:val="24"/>
          <w:lang w:val="en-GB"/>
        </w:rPr>
        <w:t>执行秘书与拖欠摊款达两年或两年以上的任何缔约方达成安排，为此类缔约方共同商定付款时间表，使拖欠款项的缔约方根据其财政状况在</w:t>
      </w:r>
      <w:r w:rsidRPr="000C0842">
        <w:rPr>
          <w:rFonts w:eastAsia="SimSun"/>
          <w:iCs/>
          <w:kern w:val="20"/>
          <w:sz w:val="24"/>
          <w:lang w:val="en-GB"/>
        </w:rPr>
        <w:t>6</w:t>
      </w:r>
      <w:r w:rsidRPr="000C0842">
        <w:rPr>
          <w:rFonts w:eastAsia="SimSun"/>
          <w:iCs/>
          <w:kern w:val="20"/>
          <w:sz w:val="24"/>
          <w:lang w:val="en-GB"/>
        </w:rPr>
        <w:t>年内清偿所有未缴欠款并按时缴纳今后的摊款，并向主席团下次会议和缔约方大会第十七届会议报告这种安排的执行情况；</w:t>
      </w:r>
    </w:p>
    <w:p w14:paraId="2D93FC9F"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eastAsia="KaiTi"/>
          <w:iCs/>
          <w:kern w:val="20"/>
          <w:sz w:val="24"/>
          <w:szCs w:val="24"/>
          <w:lang w:val="en-GB"/>
        </w:rPr>
        <w:t>决定</w:t>
      </w:r>
      <w:r w:rsidRPr="000C0842">
        <w:rPr>
          <w:rFonts w:eastAsia="SimSun"/>
          <w:iCs/>
          <w:kern w:val="20"/>
          <w:sz w:val="24"/>
          <w:szCs w:val="24"/>
          <w:lang w:val="en-GB"/>
        </w:rPr>
        <w:t>具有上文第</w:t>
      </w:r>
      <w:r w:rsidRPr="000C0842">
        <w:rPr>
          <w:rFonts w:eastAsia="SimSun"/>
          <w:iCs/>
          <w:kern w:val="20"/>
          <w:sz w:val="24"/>
          <w:szCs w:val="24"/>
          <w:lang w:val="en-GB"/>
        </w:rPr>
        <w:t>2</w:t>
      </w:r>
      <w:r w:rsidRPr="000C0842">
        <w:rPr>
          <w:rFonts w:eastAsia="SimSun" w:hint="eastAsia"/>
          <w:iCs/>
          <w:kern w:val="20"/>
          <w:sz w:val="24"/>
          <w:szCs w:val="24"/>
          <w:lang w:val="en-GB"/>
        </w:rPr>
        <w:t>5</w:t>
      </w:r>
      <w:r w:rsidRPr="000C0842">
        <w:rPr>
          <w:rFonts w:eastAsia="SimSun"/>
          <w:sz w:val="24"/>
          <w:szCs w:val="24"/>
          <w:lang w:val="en-GB"/>
        </w:rPr>
        <w:t>段商定安排并完全遵守该安排规定的缔约方</w:t>
      </w:r>
      <w:r w:rsidRPr="000C0842">
        <w:rPr>
          <w:rFonts w:eastAsia="SimSun"/>
          <w:iCs/>
          <w:kern w:val="20"/>
          <w:sz w:val="24"/>
          <w:szCs w:val="24"/>
          <w:lang w:val="en-GB"/>
        </w:rPr>
        <w:t>，不受上文第</w:t>
      </w:r>
      <w:r w:rsidRPr="000C0842">
        <w:rPr>
          <w:rFonts w:eastAsia="SimSun" w:hint="eastAsia"/>
          <w:iCs/>
          <w:kern w:val="20"/>
          <w:sz w:val="24"/>
          <w:szCs w:val="24"/>
          <w:lang w:val="en-GB"/>
        </w:rPr>
        <w:t>24</w:t>
      </w:r>
      <w:r w:rsidRPr="000C0842">
        <w:rPr>
          <w:rFonts w:eastAsia="SimSun"/>
          <w:iCs/>
          <w:kern w:val="20"/>
          <w:sz w:val="24"/>
          <w:szCs w:val="24"/>
          <w:lang w:val="en-GB"/>
        </w:rPr>
        <w:t>段规定的约束</w:t>
      </w:r>
      <w:r w:rsidRPr="000C0842">
        <w:rPr>
          <w:rFonts w:eastAsia="SimSun"/>
          <w:sz w:val="24"/>
          <w:szCs w:val="24"/>
          <w:lang w:val="en-GB"/>
        </w:rPr>
        <w:t>;</w:t>
      </w:r>
    </w:p>
    <w:p w14:paraId="214F328F" w14:textId="012C5F3F"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20"/>
          <w:sz w:val="24"/>
          <w:lang w:val="en-GB"/>
        </w:rPr>
        <w:t>请</w:t>
      </w:r>
      <w:r w:rsidRPr="000C0842">
        <w:rPr>
          <w:rFonts w:eastAsia="SimSun"/>
          <w:iCs/>
          <w:kern w:val="20"/>
          <w:sz w:val="24"/>
          <w:lang w:val="en-GB"/>
        </w:rPr>
        <w:t>执行秘书并邀请缔约方大会主席以联合签署信函的形式通知拖欠缴款的缔约方，</w:t>
      </w:r>
      <w:r w:rsidRPr="000C0842">
        <w:rPr>
          <w:rFonts w:eastAsia="SimSun"/>
          <w:iCs/>
          <w:kern w:val="20"/>
          <w:sz w:val="24"/>
        </w:rPr>
        <w:t>他们已拖欠缴款，</w:t>
      </w:r>
      <w:r w:rsidRPr="000C0842">
        <w:rPr>
          <w:rFonts w:eastAsia="SimSun"/>
          <w:iCs/>
          <w:kern w:val="20"/>
          <w:sz w:val="24"/>
          <w:lang w:val="en-GB"/>
        </w:rPr>
        <w:t>请其及时采取补救行动，并对作出积极回应支付欠款的缔约方表示感谢</w:t>
      </w:r>
      <w:r w:rsidRPr="000C0842">
        <w:rPr>
          <w:rFonts w:eastAsia="SimSun"/>
          <w:iCs/>
          <w:kern w:val="20"/>
          <w:sz w:val="24"/>
          <w:lang w:val="en-GB"/>
        </w:rPr>
        <w:t>;</w:t>
      </w:r>
    </w:p>
    <w:p w14:paraId="765366C5"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hint="eastAsia"/>
          <w:iCs/>
          <w:kern w:val="20"/>
          <w:sz w:val="24"/>
          <w:lang w:val="en-GB"/>
        </w:rPr>
        <w:t>注意到</w:t>
      </w:r>
      <w:r w:rsidRPr="000C0842">
        <w:rPr>
          <w:rFonts w:eastAsia="SimSun"/>
          <w:iCs/>
          <w:kern w:val="20"/>
          <w:sz w:val="24"/>
          <w:lang w:val="en-GB"/>
        </w:rPr>
        <w:t>信托基金的延期是行政事项，</w:t>
      </w:r>
      <w:r w:rsidRPr="000C0842">
        <w:rPr>
          <w:rFonts w:eastAsia="SimSun" w:hint="eastAsia"/>
          <w:iCs/>
          <w:kern w:val="20"/>
          <w:sz w:val="24"/>
          <w:lang w:val="en-GB"/>
        </w:rPr>
        <w:t>属于</w:t>
      </w:r>
      <w:r w:rsidRPr="000C0842">
        <w:rPr>
          <w:rFonts w:eastAsia="SimSun"/>
          <w:iCs/>
          <w:kern w:val="20"/>
          <w:sz w:val="24"/>
          <w:lang w:val="en-GB"/>
        </w:rPr>
        <w:t>联合国环境规划署执行主任</w:t>
      </w:r>
      <w:r w:rsidRPr="000C0842">
        <w:rPr>
          <w:rFonts w:eastAsia="SimSun" w:hint="eastAsia"/>
          <w:iCs/>
          <w:kern w:val="20"/>
          <w:sz w:val="24"/>
          <w:lang w:val="en-GB"/>
        </w:rPr>
        <w:t>的</w:t>
      </w:r>
      <w:r w:rsidRPr="000C0842">
        <w:rPr>
          <w:rFonts w:eastAsia="SimSun"/>
          <w:iCs/>
          <w:kern w:val="20"/>
          <w:sz w:val="24"/>
          <w:lang w:val="en-GB"/>
        </w:rPr>
        <w:t>授权</w:t>
      </w:r>
      <w:r w:rsidRPr="000C0842">
        <w:rPr>
          <w:rFonts w:eastAsia="SimSun" w:hint="eastAsia"/>
          <w:iCs/>
          <w:kern w:val="20"/>
          <w:sz w:val="24"/>
          <w:lang w:val="en-GB"/>
        </w:rPr>
        <w:t>范围</w:t>
      </w:r>
      <w:r w:rsidRPr="000C0842">
        <w:rPr>
          <w:rFonts w:eastAsia="SimSun"/>
          <w:iCs/>
          <w:kern w:val="20"/>
          <w:sz w:val="24"/>
          <w:lang w:val="en-GB"/>
        </w:rPr>
        <w:t>，</w:t>
      </w:r>
      <w:r w:rsidRPr="000C0842">
        <w:rPr>
          <w:rFonts w:eastAsia="SimSun" w:hint="eastAsia"/>
          <w:iCs/>
          <w:kern w:val="20"/>
          <w:sz w:val="24"/>
          <w:lang w:val="en-GB"/>
        </w:rPr>
        <w:t>从</w:t>
      </w:r>
      <w:r w:rsidRPr="000C0842">
        <w:rPr>
          <w:rFonts w:eastAsia="SimSun"/>
          <w:iCs/>
          <w:kern w:val="20"/>
          <w:sz w:val="24"/>
          <w:lang w:val="en-GB"/>
        </w:rPr>
        <w:t>联合国环境大会第七届会议</w:t>
      </w:r>
      <w:r w:rsidRPr="000C0842">
        <w:rPr>
          <w:rFonts w:eastAsia="SimSun" w:hint="eastAsia"/>
          <w:iCs/>
          <w:kern w:val="20"/>
          <w:sz w:val="24"/>
          <w:lang w:val="en-GB"/>
        </w:rPr>
        <w:t>开始</w:t>
      </w:r>
      <w:r w:rsidRPr="000C0842">
        <w:rPr>
          <w:rFonts w:eastAsia="SimSun"/>
          <w:iCs/>
          <w:kern w:val="20"/>
          <w:sz w:val="24"/>
          <w:lang w:val="en-GB"/>
        </w:rPr>
        <w:t>，</w:t>
      </w:r>
      <w:r w:rsidRPr="000C0842">
        <w:rPr>
          <w:rFonts w:eastAsia="SimSun" w:hint="eastAsia"/>
          <w:iCs/>
          <w:kern w:val="20"/>
          <w:sz w:val="24"/>
          <w:lang w:val="en-GB"/>
        </w:rPr>
        <w:t>将</w:t>
      </w:r>
      <w:r w:rsidRPr="000C0842">
        <w:rPr>
          <w:rFonts w:eastAsia="SimSun"/>
          <w:iCs/>
          <w:kern w:val="20"/>
          <w:sz w:val="24"/>
          <w:lang w:val="en-GB"/>
        </w:rPr>
        <w:t>不再需要成员国作出决定</w:t>
      </w:r>
      <w:r w:rsidRPr="000C0842">
        <w:rPr>
          <w:rFonts w:eastAsia="SimSun" w:hint="eastAsia"/>
          <w:iCs/>
          <w:kern w:val="20"/>
          <w:sz w:val="24"/>
          <w:lang w:val="en-GB"/>
        </w:rPr>
        <w:t>；为了帮助从</w:t>
      </w:r>
      <w:r w:rsidRPr="000C0842">
        <w:rPr>
          <w:rFonts w:eastAsia="SimSun"/>
          <w:iCs/>
          <w:kern w:val="20"/>
          <w:sz w:val="24"/>
          <w:lang w:val="en-GB"/>
        </w:rPr>
        <w:t>环境大会第六届会议</w:t>
      </w:r>
      <w:r w:rsidRPr="000C0842">
        <w:rPr>
          <w:rFonts w:eastAsia="SimSun" w:hint="eastAsia"/>
          <w:iCs/>
          <w:kern w:val="20"/>
          <w:sz w:val="24"/>
          <w:lang w:val="en-GB"/>
        </w:rPr>
        <w:t>到</w:t>
      </w:r>
      <w:r w:rsidRPr="000C0842">
        <w:rPr>
          <w:rFonts w:eastAsia="SimSun"/>
          <w:iCs/>
          <w:kern w:val="20"/>
          <w:sz w:val="24"/>
          <w:lang w:val="en-GB"/>
        </w:rPr>
        <w:t>第七届会议的过渡，</w:t>
      </w:r>
      <w:r w:rsidRPr="000C0842">
        <w:rPr>
          <w:rFonts w:eastAsia="SimSun" w:hint="eastAsia"/>
          <w:iCs/>
          <w:kern w:val="20"/>
          <w:sz w:val="24"/>
          <w:lang w:val="en-GB"/>
        </w:rPr>
        <w:t>已把</w:t>
      </w:r>
      <w:r w:rsidRPr="000C0842">
        <w:rPr>
          <w:rFonts w:eastAsia="SimSun"/>
          <w:iCs/>
          <w:kern w:val="20"/>
          <w:sz w:val="24"/>
          <w:lang w:val="en-GB"/>
        </w:rPr>
        <w:t>联合国环境规划署下现有</w:t>
      </w:r>
      <w:r w:rsidRPr="000C0842">
        <w:rPr>
          <w:rFonts w:eastAsia="SimSun" w:hint="eastAsia"/>
          <w:iCs/>
          <w:kern w:val="20"/>
          <w:sz w:val="24"/>
          <w:lang w:val="en-GB"/>
        </w:rPr>
        <w:t>的</w:t>
      </w:r>
      <w:r w:rsidRPr="000C0842">
        <w:rPr>
          <w:rFonts w:eastAsia="SimSun"/>
          <w:iCs/>
          <w:kern w:val="20"/>
          <w:sz w:val="24"/>
          <w:lang w:val="en-GB"/>
        </w:rPr>
        <w:t>所有信托基金，包括由《公约》及其议定书</w:t>
      </w:r>
      <w:r w:rsidRPr="000C0842">
        <w:rPr>
          <w:rFonts w:eastAsia="SimSun" w:hint="eastAsia"/>
          <w:iCs/>
          <w:kern w:val="20"/>
          <w:sz w:val="24"/>
          <w:lang w:val="en-GB"/>
        </w:rPr>
        <w:t>的</w:t>
      </w:r>
      <w:r w:rsidRPr="000C0842">
        <w:rPr>
          <w:rFonts w:eastAsia="SimSun"/>
          <w:iCs/>
          <w:kern w:val="20"/>
          <w:sz w:val="24"/>
          <w:lang w:val="en-GB"/>
        </w:rPr>
        <w:t>秘书处管理的信托基金</w:t>
      </w:r>
      <w:r w:rsidRPr="000C0842">
        <w:rPr>
          <w:rFonts w:eastAsia="SimSun" w:hint="eastAsia"/>
          <w:iCs/>
          <w:kern w:val="20"/>
          <w:sz w:val="24"/>
          <w:lang w:val="en-GB"/>
        </w:rPr>
        <w:t>的期限均</w:t>
      </w:r>
      <w:r w:rsidRPr="000C0842">
        <w:rPr>
          <w:rFonts w:eastAsia="SimSun"/>
          <w:iCs/>
          <w:kern w:val="20"/>
          <w:sz w:val="24"/>
          <w:lang w:val="en-GB"/>
        </w:rPr>
        <w:t>延至</w:t>
      </w:r>
      <w:r w:rsidRPr="000C0842">
        <w:rPr>
          <w:rFonts w:eastAsia="SimSun"/>
          <w:iCs/>
          <w:kern w:val="20"/>
          <w:sz w:val="24"/>
          <w:lang w:val="en-GB"/>
        </w:rPr>
        <w:t xml:space="preserve"> 2030 </w:t>
      </w:r>
      <w:r w:rsidRPr="000C0842">
        <w:rPr>
          <w:rFonts w:eastAsia="SimSun"/>
          <w:iCs/>
          <w:kern w:val="20"/>
          <w:sz w:val="24"/>
          <w:lang w:val="en-GB"/>
        </w:rPr>
        <w:t>年</w:t>
      </w:r>
      <w:r w:rsidRPr="000C0842">
        <w:rPr>
          <w:rFonts w:eastAsia="SimSun"/>
          <w:iCs/>
          <w:kern w:val="20"/>
          <w:sz w:val="24"/>
          <w:lang w:val="en-GB"/>
        </w:rPr>
        <w:t xml:space="preserve"> 12 </w:t>
      </w:r>
      <w:r w:rsidRPr="000C0842">
        <w:rPr>
          <w:rFonts w:eastAsia="SimSun"/>
          <w:iCs/>
          <w:kern w:val="20"/>
          <w:sz w:val="24"/>
          <w:lang w:val="en-GB"/>
        </w:rPr>
        <w:t>月</w:t>
      </w:r>
      <w:r w:rsidRPr="000C0842">
        <w:rPr>
          <w:rFonts w:eastAsia="SimSun"/>
          <w:iCs/>
          <w:kern w:val="20"/>
          <w:sz w:val="24"/>
          <w:lang w:val="en-GB"/>
        </w:rPr>
        <w:t xml:space="preserve"> 31 </w:t>
      </w:r>
      <w:r w:rsidRPr="000C0842">
        <w:rPr>
          <w:rFonts w:eastAsia="SimSun"/>
          <w:iCs/>
          <w:kern w:val="20"/>
          <w:sz w:val="24"/>
          <w:lang w:val="en-GB"/>
        </w:rPr>
        <w:t>日，除非缔约方大会另有要求；</w:t>
      </w:r>
    </w:p>
    <w:p w14:paraId="789A9710"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20"/>
          <w:sz w:val="24"/>
          <w:szCs w:val="24"/>
          <w:lang w:val="en-CA"/>
        </w:rPr>
      </w:pPr>
      <w:r w:rsidRPr="000C0842">
        <w:rPr>
          <w:rFonts w:ascii="KaiTi" w:eastAsia="KaiTi" w:hAnsi="KaiTi"/>
          <w:sz w:val="24"/>
          <w:szCs w:val="24"/>
          <w:lang w:val="en-GB"/>
        </w:rPr>
        <w:t>确认</w:t>
      </w:r>
      <w:r w:rsidRPr="000C0842">
        <w:rPr>
          <w:rFonts w:eastAsia="SimSun"/>
          <w:sz w:val="24"/>
          <w:szCs w:val="24"/>
          <w:lang w:val="en-GB"/>
        </w:rPr>
        <w:t>以下</w:t>
      </w:r>
      <w:r w:rsidRPr="000C0842">
        <w:rPr>
          <w:rFonts w:eastAsia="SimSun"/>
          <w:sz w:val="24"/>
          <w:szCs w:val="24"/>
          <w:lang w:val="en-CA"/>
        </w:rPr>
        <w:t>供资估计数</w:t>
      </w:r>
      <w:r w:rsidRPr="000C0842">
        <w:rPr>
          <w:rFonts w:eastAsia="SimSun"/>
          <w:iCs/>
          <w:kern w:val="20"/>
          <w:sz w:val="24"/>
          <w:szCs w:val="24"/>
          <w:lang w:val="en-CA"/>
        </w:rPr>
        <w:t>：</w:t>
      </w:r>
    </w:p>
    <w:p w14:paraId="5DA2389F" w14:textId="77777777" w:rsidR="00A528CF" w:rsidRPr="000C0842" w:rsidRDefault="00A528CF">
      <w:pPr>
        <w:numPr>
          <w:ilvl w:val="0"/>
          <w:numId w:val="216"/>
        </w:numPr>
        <w:tabs>
          <w:tab w:val="clear" w:pos="567"/>
          <w:tab w:val="clear" w:pos="1134"/>
          <w:tab w:val="clear" w:pos="1701"/>
          <w:tab w:val="clear" w:pos="2268"/>
        </w:tabs>
        <w:spacing w:after="160" w:line="259" w:lineRule="auto"/>
        <w:ind w:firstLine="490"/>
        <w:jc w:val="left"/>
        <w:rPr>
          <w:rFonts w:eastAsia="SimSun"/>
          <w:iCs/>
          <w:kern w:val="2"/>
          <w:sz w:val="24"/>
          <w:szCs w:val="24"/>
          <w:lang w:val="en-GB"/>
          <w14:ligatures w14:val="standardContextual"/>
        </w:rPr>
      </w:pPr>
      <w:r w:rsidRPr="000C0842">
        <w:rPr>
          <w:rFonts w:eastAsia="SimSun" w:hint="eastAsia"/>
          <w:iCs/>
          <w:kern w:val="2"/>
          <w:sz w:val="24"/>
          <w:szCs w:val="24"/>
          <w:lang w:val="en-GB"/>
          <w14:ligatures w14:val="standardContextual"/>
        </w:rPr>
        <w:t>2025-2026</w:t>
      </w:r>
      <w:r w:rsidRPr="000C0842">
        <w:rPr>
          <w:rFonts w:eastAsia="SimSun" w:hint="eastAsia"/>
          <w:iCs/>
          <w:kern w:val="2"/>
          <w:sz w:val="24"/>
          <w:szCs w:val="24"/>
          <w:lang w:val="en-GB"/>
          <w14:ligatures w14:val="standardContextual"/>
        </w:rPr>
        <w:t>年</w:t>
      </w:r>
      <w:r w:rsidRPr="000C0842">
        <w:rPr>
          <w:rFonts w:eastAsia="SimSun" w:hint="eastAsia"/>
          <w:bCs/>
          <w:iCs/>
          <w:kern w:val="2"/>
          <w:sz w:val="24"/>
          <w:szCs w:val="24"/>
          <w:lang w:val="en-GB"/>
          <w14:ligatures w14:val="standardContextual"/>
        </w:rPr>
        <w:t>资助生物多样性公约及其议定书额外核定活动特别自愿信托基金</w:t>
      </w:r>
      <w:r w:rsidRPr="000C0842">
        <w:rPr>
          <w:rFonts w:eastAsia="SimSun" w:hint="eastAsia"/>
          <w:iCs/>
          <w:kern w:val="2"/>
          <w:sz w:val="24"/>
          <w:szCs w:val="24"/>
          <w:lang w:val="en-GB"/>
          <w14:ligatures w14:val="standardContextual"/>
        </w:rPr>
        <w:t>供资（见表</w:t>
      </w:r>
      <w:r w:rsidRPr="000C0842">
        <w:rPr>
          <w:rFonts w:eastAsia="SimSun" w:hint="eastAsia"/>
          <w:iCs/>
          <w:kern w:val="2"/>
          <w:sz w:val="24"/>
          <w:szCs w:val="24"/>
          <w:lang w:val="en-GB"/>
          <w14:ligatures w14:val="standardContextual"/>
        </w:rPr>
        <w:t>4</w:t>
      </w:r>
      <w:r w:rsidRPr="000C0842">
        <w:rPr>
          <w:rFonts w:eastAsia="SimSun" w:hint="eastAsia"/>
          <w:iCs/>
          <w:kern w:val="2"/>
          <w:sz w:val="24"/>
          <w:szCs w:val="24"/>
          <w:lang w:val="en-GB"/>
          <w14:ligatures w14:val="standardContextual"/>
        </w:rPr>
        <w:t>和表</w:t>
      </w:r>
      <w:r w:rsidRPr="000C0842">
        <w:rPr>
          <w:rFonts w:eastAsia="SimSun" w:hint="eastAsia"/>
          <w:iCs/>
          <w:kern w:val="2"/>
          <w:sz w:val="24"/>
          <w:szCs w:val="24"/>
          <w:lang w:val="en-GB"/>
          <w14:ligatures w14:val="standardContextual"/>
        </w:rPr>
        <w:t>5</w:t>
      </w:r>
      <w:r w:rsidRPr="000C0842">
        <w:rPr>
          <w:rFonts w:eastAsia="SimSun" w:hint="eastAsia"/>
          <w:iCs/>
          <w:kern w:val="2"/>
          <w:sz w:val="24"/>
          <w:szCs w:val="24"/>
          <w:lang w:val="en-GB"/>
          <w14:ligatures w14:val="standardContextual"/>
        </w:rPr>
        <w:t>）</w:t>
      </w:r>
      <w:r w:rsidRPr="000C0842">
        <w:rPr>
          <w:rFonts w:eastAsia="SimSun"/>
          <w:iCs/>
          <w:kern w:val="2"/>
          <w:sz w:val="24"/>
          <w:szCs w:val="24"/>
          <w:lang w:val="en-GB"/>
          <w14:ligatures w14:val="standardContextual"/>
        </w:rPr>
        <w:t>；</w:t>
      </w:r>
    </w:p>
    <w:p w14:paraId="336316AF" w14:textId="77777777" w:rsidR="00A528CF" w:rsidRPr="000C0842" w:rsidRDefault="00A528CF">
      <w:pPr>
        <w:numPr>
          <w:ilvl w:val="0"/>
          <w:numId w:val="216"/>
        </w:numPr>
        <w:tabs>
          <w:tab w:val="clear" w:pos="567"/>
          <w:tab w:val="clear" w:pos="1134"/>
          <w:tab w:val="clear" w:pos="1701"/>
          <w:tab w:val="clear" w:pos="2268"/>
        </w:tabs>
        <w:spacing w:after="160" w:line="259" w:lineRule="auto"/>
        <w:ind w:firstLine="490"/>
        <w:jc w:val="left"/>
        <w:rPr>
          <w:rFonts w:eastAsia="SimSun"/>
          <w:iCs/>
          <w:kern w:val="2"/>
          <w:sz w:val="24"/>
          <w:szCs w:val="24"/>
          <w:lang w:val="en-GB"/>
          <w14:ligatures w14:val="standardContextual"/>
        </w:rPr>
      </w:pPr>
      <w:r w:rsidRPr="000C0842">
        <w:rPr>
          <w:rFonts w:eastAsia="SimSun"/>
          <w:iCs/>
          <w:kern w:val="2"/>
          <w:sz w:val="24"/>
          <w:szCs w:val="24"/>
          <w:lang w:val="en-GB"/>
          <w14:ligatures w14:val="standardContextual"/>
        </w:rPr>
        <w:t>2025-2026</w:t>
      </w:r>
      <w:r w:rsidRPr="000C0842">
        <w:rPr>
          <w:rFonts w:eastAsia="SimSun"/>
          <w:iCs/>
          <w:kern w:val="2"/>
          <w:sz w:val="24"/>
          <w:szCs w:val="24"/>
          <w:lang w:val="en-GB"/>
          <w14:ligatures w14:val="standardContextual"/>
        </w:rPr>
        <w:t>年</w:t>
      </w:r>
      <w:r w:rsidRPr="000C0842">
        <w:rPr>
          <w:rFonts w:eastAsia="SimSun" w:hint="eastAsia"/>
          <w:bCs/>
          <w:iCs/>
          <w:kern w:val="2"/>
          <w:sz w:val="24"/>
          <w:szCs w:val="24"/>
          <w:lang w:val="en-GB"/>
          <w14:ligatures w14:val="standardContextual"/>
        </w:rPr>
        <w:t>资助</w:t>
      </w:r>
      <w:r w:rsidRPr="000C0842">
        <w:rPr>
          <w:rFonts w:eastAsia="SimSun"/>
          <w:bCs/>
          <w:iCs/>
          <w:kern w:val="2"/>
          <w:sz w:val="24"/>
          <w:szCs w:val="24"/>
          <w:lang w:val="en-GB"/>
          <w14:ligatures w14:val="standardContextual"/>
        </w:rPr>
        <w:t>缔约方参与公约进程特别自愿信托基金</w:t>
      </w:r>
      <w:r w:rsidRPr="000C0842">
        <w:rPr>
          <w:rFonts w:eastAsia="SimSun"/>
          <w:iCs/>
          <w:kern w:val="2"/>
          <w:sz w:val="24"/>
          <w:szCs w:val="24"/>
          <w:lang w:val="en-GB"/>
          <w14:ligatures w14:val="standardContextual"/>
        </w:rPr>
        <w:t>供资（见表</w:t>
      </w:r>
      <w:r w:rsidRPr="000C0842">
        <w:rPr>
          <w:rFonts w:eastAsia="SimSun" w:hint="eastAsia"/>
          <w:iCs/>
          <w:kern w:val="2"/>
          <w:sz w:val="24"/>
          <w:szCs w:val="24"/>
          <w:lang w:val="en-GB"/>
          <w14:ligatures w14:val="standardContextual"/>
        </w:rPr>
        <w:t>6</w:t>
      </w:r>
      <w:r w:rsidRPr="000C0842">
        <w:rPr>
          <w:rFonts w:eastAsia="SimSun"/>
          <w:iCs/>
          <w:kern w:val="2"/>
          <w:sz w:val="24"/>
          <w:szCs w:val="24"/>
          <w:lang w:val="en-GB"/>
          <w14:ligatures w14:val="standardContextual"/>
        </w:rPr>
        <w:t>）；</w:t>
      </w:r>
    </w:p>
    <w:p w14:paraId="7B6A1921" w14:textId="77777777" w:rsidR="00A528CF" w:rsidRPr="000C0842" w:rsidRDefault="00A528CF">
      <w:pPr>
        <w:numPr>
          <w:ilvl w:val="0"/>
          <w:numId w:val="216"/>
        </w:numPr>
        <w:tabs>
          <w:tab w:val="clear" w:pos="567"/>
          <w:tab w:val="clear" w:pos="1134"/>
          <w:tab w:val="clear" w:pos="1701"/>
          <w:tab w:val="clear" w:pos="2268"/>
        </w:tabs>
        <w:spacing w:after="160" w:line="259" w:lineRule="auto"/>
        <w:ind w:firstLine="490"/>
        <w:jc w:val="left"/>
        <w:rPr>
          <w:rFonts w:eastAsia="SimSun"/>
          <w:iCs/>
          <w:kern w:val="18"/>
          <w:sz w:val="24"/>
          <w:szCs w:val="24"/>
          <w:lang w:val="en-GB"/>
        </w:rPr>
      </w:pPr>
      <w:r w:rsidRPr="000C0842">
        <w:rPr>
          <w:rFonts w:eastAsia="SimSun"/>
          <w:iCs/>
          <w:kern w:val="2"/>
          <w:sz w:val="24"/>
          <w:szCs w:val="24"/>
          <w:lang w:val="en-GB"/>
          <w14:ligatures w14:val="standardContextual"/>
        </w:rPr>
        <w:t>2025-2026</w:t>
      </w:r>
      <w:r w:rsidRPr="000C0842">
        <w:rPr>
          <w:rFonts w:eastAsia="SimSun"/>
          <w:iCs/>
          <w:kern w:val="2"/>
          <w:sz w:val="24"/>
          <w:szCs w:val="24"/>
          <w:lang w:val="en-GB"/>
          <w14:ligatures w14:val="standardContextual"/>
        </w:rPr>
        <w:t>年</w:t>
      </w:r>
      <w:r w:rsidRPr="000C0842">
        <w:rPr>
          <w:rFonts w:eastAsia="SimSun" w:hint="eastAsia"/>
          <w:bCs/>
          <w:iCs/>
          <w:kern w:val="2"/>
          <w:sz w:val="24"/>
          <w:szCs w:val="24"/>
          <w:lang w:val="en-GB"/>
          <w14:ligatures w14:val="standardContextual"/>
        </w:rPr>
        <w:t>资助</w:t>
      </w:r>
      <w:r w:rsidRPr="000C0842">
        <w:rPr>
          <w:rFonts w:eastAsia="SimSun"/>
          <w:bCs/>
          <w:iCs/>
          <w:kern w:val="2"/>
          <w:sz w:val="24"/>
          <w:szCs w:val="24"/>
          <w:lang w:val="en-GB"/>
          <w14:ligatures w14:val="standardContextual"/>
        </w:rPr>
        <w:t>土著人民和地方社区参与公约</w:t>
      </w:r>
      <w:r w:rsidRPr="000C0842">
        <w:rPr>
          <w:rFonts w:eastAsia="SimSun" w:hint="eastAsia"/>
          <w:bCs/>
          <w:iCs/>
          <w:kern w:val="2"/>
          <w:sz w:val="24"/>
          <w:szCs w:val="24"/>
          <w:lang w:val="en-GB"/>
          <w14:ligatures w14:val="standardContextual"/>
        </w:rPr>
        <w:t>进程</w:t>
      </w:r>
      <w:r w:rsidRPr="000C0842">
        <w:rPr>
          <w:rFonts w:eastAsia="SimSun"/>
          <w:bCs/>
          <w:iCs/>
          <w:kern w:val="2"/>
          <w:sz w:val="24"/>
          <w:szCs w:val="24"/>
          <w:lang w:val="en-GB"/>
          <w14:ligatures w14:val="standardContextual"/>
        </w:rPr>
        <w:t>特别自愿信托基金</w:t>
      </w:r>
      <w:r w:rsidRPr="000C0842">
        <w:rPr>
          <w:rFonts w:eastAsia="SimSun"/>
          <w:iCs/>
          <w:kern w:val="2"/>
          <w:sz w:val="24"/>
          <w:szCs w:val="24"/>
          <w:lang w:val="en-GB"/>
          <w14:ligatures w14:val="standardContextual"/>
        </w:rPr>
        <w:t>供资（见表</w:t>
      </w:r>
      <w:r w:rsidRPr="000C0842">
        <w:rPr>
          <w:rFonts w:eastAsia="SimSun" w:hint="eastAsia"/>
          <w:iCs/>
          <w:kern w:val="2"/>
          <w:sz w:val="24"/>
          <w:szCs w:val="24"/>
          <w:lang w:val="en-GB"/>
          <w14:ligatures w14:val="standardContextual"/>
        </w:rPr>
        <w:t>7</w:t>
      </w:r>
      <w:r w:rsidRPr="000C0842">
        <w:rPr>
          <w:rFonts w:eastAsia="SimSun"/>
          <w:iCs/>
          <w:kern w:val="2"/>
          <w:sz w:val="24"/>
          <w:szCs w:val="24"/>
          <w:lang w:val="en-GB"/>
          <w14:ligatures w14:val="standardContextual"/>
        </w:rPr>
        <w:t>）；</w:t>
      </w:r>
    </w:p>
    <w:p w14:paraId="3052F3DC"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eastAsia="KaiTi"/>
          <w:iCs/>
          <w:kern w:val="18"/>
          <w:sz w:val="24"/>
          <w:lang w:val="en-GB"/>
        </w:rPr>
        <w:t>回顾</w:t>
      </w:r>
      <w:r w:rsidRPr="000C0842">
        <w:rPr>
          <w:rFonts w:eastAsia="SimSun"/>
          <w:iCs/>
          <w:kern w:val="18"/>
          <w:sz w:val="24"/>
          <w:lang w:val="en-CA"/>
        </w:rPr>
        <w:t>缔约方大会会议议事规则</w:t>
      </w:r>
      <w:r w:rsidRPr="000C0842">
        <w:rPr>
          <w:rFonts w:eastAsia="SimSun"/>
          <w:sz w:val="24"/>
          <w:szCs w:val="24"/>
          <w:vertAlign w:val="superscript"/>
          <w:lang w:val="en-GB"/>
        </w:rPr>
        <w:footnoteReference w:id="387"/>
      </w:r>
      <w:r w:rsidRPr="000C0842">
        <w:rPr>
          <w:rFonts w:eastAsia="SimSun"/>
          <w:iCs/>
          <w:kern w:val="18"/>
          <w:sz w:val="24"/>
          <w:lang w:val="en-CA"/>
        </w:rPr>
        <w:t>第</w:t>
      </w:r>
      <w:r w:rsidRPr="000C0842">
        <w:rPr>
          <w:rFonts w:eastAsia="SimSun"/>
          <w:iCs/>
          <w:kern w:val="18"/>
          <w:sz w:val="24"/>
          <w:lang w:val="en-CA"/>
        </w:rPr>
        <w:t>30</w:t>
      </w:r>
      <w:r w:rsidRPr="000C0842">
        <w:rPr>
          <w:rFonts w:eastAsia="SimSun"/>
          <w:iCs/>
          <w:kern w:val="18"/>
          <w:sz w:val="24"/>
          <w:lang w:val="en-CA"/>
        </w:rPr>
        <w:t>条，</w:t>
      </w:r>
      <w:r w:rsidRPr="000C0842">
        <w:rPr>
          <w:rFonts w:eastAsia="SimSun"/>
          <w:iCs/>
          <w:kern w:val="18"/>
          <w:sz w:val="24"/>
          <w:lang w:val="en-GB"/>
        </w:rPr>
        <w:t>强调</w:t>
      </w:r>
      <w:r w:rsidRPr="000C0842">
        <w:rPr>
          <w:rFonts w:eastAsia="SimSun"/>
          <w:iCs/>
          <w:kern w:val="18"/>
          <w:sz w:val="24"/>
          <w:lang w:val="en-CA"/>
        </w:rPr>
        <w:t>需要缔约方广泛出席公约</w:t>
      </w:r>
      <w:r w:rsidRPr="000C0842">
        <w:rPr>
          <w:rFonts w:eastAsia="SimSun" w:hint="eastAsia"/>
          <w:iCs/>
          <w:kern w:val="18"/>
          <w:sz w:val="24"/>
          <w:lang w:val="en-CA"/>
        </w:rPr>
        <w:t>缔约方大会以及作为</w:t>
      </w:r>
      <w:r w:rsidRPr="000C0842">
        <w:rPr>
          <w:rFonts w:eastAsia="SimSun"/>
          <w:iCs/>
          <w:kern w:val="18"/>
          <w:sz w:val="24"/>
          <w:lang w:val="en-CA"/>
        </w:rPr>
        <w:t>议定书缔约方会议</w:t>
      </w:r>
      <w:r w:rsidRPr="000C0842">
        <w:rPr>
          <w:rFonts w:eastAsia="SimSun" w:hint="eastAsia"/>
          <w:iCs/>
          <w:kern w:val="18"/>
          <w:sz w:val="24"/>
          <w:lang w:val="en-CA"/>
        </w:rPr>
        <w:t>的缔约方大会会议</w:t>
      </w:r>
      <w:r w:rsidRPr="000C0842">
        <w:rPr>
          <w:rFonts w:eastAsia="SimSun"/>
          <w:iCs/>
          <w:kern w:val="18"/>
          <w:sz w:val="24"/>
          <w:lang w:val="en-CA"/>
        </w:rPr>
        <w:t>，这特别是为了使出席会议的缔约方数量达到三分之二的水平，为会议提供法定人数，以便作出决定</w:t>
      </w:r>
      <w:r w:rsidRPr="000C0842">
        <w:rPr>
          <w:rFonts w:eastAsia="SimSun"/>
          <w:lang w:val="en-GB"/>
        </w:rPr>
        <w:t>;</w:t>
      </w:r>
    </w:p>
    <w:p w14:paraId="796215E9"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sz w:val="24"/>
          <w:szCs w:val="24"/>
          <w:lang w:val="en-GB"/>
        </w:rPr>
        <w:t>重申</w:t>
      </w:r>
      <w:r w:rsidRPr="000C0842">
        <w:rPr>
          <w:rFonts w:eastAsia="SimSun"/>
          <w:sz w:val="24"/>
          <w:szCs w:val="24"/>
          <w:lang w:val="en-CA"/>
        </w:rPr>
        <w:t>发展中国家缔约方</w:t>
      </w:r>
      <w:r w:rsidRPr="000C0842">
        <w:rPr>
          <w:rFonts w:eastAsia="SimSun" w:hint="eastAsia"/>
          <w:sz w:val="24"/>
          <w:szCs w:val="24"/>
          <w:lang w:val="en-CA"/>
        </w:rPr>
        <w:t>，</w:t>
      </w:r>
      <w:r w:rsidRPr="000C0842">
        <w:rPr>
          <w:rFonts w:eastAsia="SimSun"/>
          <w:sz w:val="24"/>
          <w:szCs w:val="24"/>
          <w:lang w:val="en-CA"/>
        </w:rPr>
        <w:t>特别是最不发达国家和小岛屿发展中国家</w:t>
      </w:r>
      <w:r w:rsidRPr="000C0842">
        <w:rPr>
          <w:rFonts w:eastAsia="SimSun" w:hint="eastAsia"/>
          <w:sz w:val="24"/>
          <w:szCs w:val="24"/>
          <w:lang w:val="en-CA"/>
        </w:rPr>
        <w:t>，</w:t>
      </w:r>
      <w:r w:rsidRPr="000C0842">
        <w:rPr>
          <w:rFonts w:eastAsia="SimSun"/>
          <w:sz w:val="24"/>
          <w:szCs w:val="24"/>
          <w:lang w:val="en-CA"/>
        </w:rPr>
        <w:t>以及经济转型国家缔约方充分有效</w:t>
      </w:r>
      <w:r w:rsidRPr="000C0842">
        <w:rPr>
          <w:rFonts w:eastAsia="SimSun" w:hint="eastAsia"/>
          <w:sz w:val="24"/>
          <w:szCs w:val="24"/>
          <w:lang w:val="en-CA"/>
        </w:rPr>
        <w:t>参加</w:t>
      </w:r>
      <w:r w:rsidRPr="000C0842">
        <w:rPr>
          <w:rFonts w:eastAsia="SimSun"/>
          <w:sz w:val="24"/>
          <w:szCs w:val="24"/>
          <w:lang w:val="en-CA"/>
        </w:rPr>
        <w:t>公约缔约方大会会议以及作为议定书缔约方会议的缔约方大会会议的重要性</w:t>
      </w:r>
      <w:r w:rsidRPr="000C0842">
        <w:rPr>
          <w:rFonts w:eastAsia="SimSun"/>
          <w:iCs/>
          <w:kern w:val="18"/>
          <w:sz w:val="24"/>
          <w:szCs w:val="24"/>
          <w:lang w:val="en-CA"/>
        </w:rPr>
        <w:t>，为此，请执行秘书考虑到公约缔约方大会以及作为议定书缔约方会议的缔约方大会关于同时举行会议和提高《公约》及其议定书结构和进程效率的有关决定</w:t>
      </w:r>
      <w:r w:rsidRPr="000C0842">
        <w:rPr>
          <w:rFonts w:eastAsia="SimSun" w:hint="eastAsia"/>
          <w:sz w:val="24"/>
          <w:szCs w:val="24"/>
          <w:lang w:val="en-GB"/>
        </w:rPr>
        <w:t>；</w:t>
      </w:r>
    </w:p>
    <w:p w14:paraId="42EF876D" w14:textId="1149A07E"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18"/>
          <w:sz w:val="24"/>
          <w:lang w:val="en-CA"/>
        </w:rPr>
      </w:pPr>
      <w:r w:rsidRPr="000C0842">
        <w:rPr>
          <w:rFonts w:ascii="KaiTi" w:eastAsia="KaiTi" w:hAnsi="KaiTi" w:hint="eastAsia"/>
          <w:iCs/>
          <w:kern w:val="18"/>
          <w:sz w:val="24"/>
          <w:lang w:val="en-CA"/>
        </w:rPr>
        <w:t>授权</w:t>
      </w:r>
      <w:r w:rsidRPr="000C0842">
        <w:rPr>
          <w:rFonts w:eastAsia="SimSun" w:hint="eastAsia"/>
          <w:iCs/>
          <w:kern w:val="18"/>
          <w:sz w:val="24"/>
          <w:lang w:val="en-CA"/>
        </w:rPr>
        <w:t>执行秘书在资金短缺和捐助方拖延缴款的情况下</w:t>
      </w:r>
      <w:r w:rsidR="002359AB" w:rsidRPr="000C0842">
        <w:rPr>
          <w:rFonts w:eastAsia="SimSun" w:hint="eastAsia"/>
          <w:iCs/>
          <w:kern w:val="18"/>
          <w:sz w:val="24"/>
          <w:lang w:val="en-CA"/>
        </w:rPr>
        <w:t>，</w:t>
      </w:r>
      <w:r w:rsidRPr="000C0842">
        <w:rPr>
          <w:rFonts w:eastAsia="SimSun" w:hint="eastAsia"/>
          <w:iCs/>
          <w:kern w:val="18"/>
          <w:sz w:val="24"/>
          <w:lang w:val="en-CA"/>
        </w:rPr>
        <w:t>与联合国环境规划署</w:t>
      </w:r>
      <w:r w:rsidR="00274B03" w:rsidRPr="000C0842">
        <w:rPr>
          <w:rFonts w:eastAsia="SimSun" w:hint="eastAsia"/>
          <w:iCs/>
          <w:kern w:val="18"/>
          <w:sz w:val="24"/>
          <w:lang w:val="en-CA"/>
        </w:rPr>
        <w:t>磋商</w:t>
      </w:r>
      <w:r w:rsidRPr="000C0842">
        <w:rPr>
          <w:rFonts w:eastAsia="SimSun" w:hint="eastAsia"/>
          <w:iCs/>
          <w:kern w:val="18"/>
          <w:sz w:val="24"/>
          <w:lang w:val="en-CA"/>
        </w:rPr>
        <w:t>，根据《联合国财务条例和细则》，动用</w:t>
      </w:r>
      <w:r w:rsidRPr="000C0842">
        <w:rPr>
          <w:rFonts w:eastAsia="SimSun"/>
          <w:iCs/>
          <w:kern w:val="18"/>
          <w:sz w:val="24"/>
          <w:lang w:val="en-GB"/>
        </w:rPr>
        <w:t>资助缔约方参与公约进程特别自愿信托基金</w:t>
      </w:r>
      <w:r w:rsidRPr="000C0842">
        <w:rPr>
          <w:rFonts w:eastAsia="SimSun" w:hint="eastAsia"/>
          <w:iCs/>
          <w:kern w:val="18"/>
          <w:sz w:val="24"/>
          <w:lang w:val="en-CA"/>
        </w:rPr>
        <w:t>和</w:t>
      </w:r>
      <w:r w:rsidRPr="000C0842">
        <w:rPr>
          <w:rFonts w:eastAsia="SimSun"/>
          <w:iCs/>
          <w:kern w:val="18"/>
          <w:sz w:val="24"/>
          <w:lang w:val="en-GB"/>
        </w:rPr>
        <w:t>资助土著人民和地方社区参与</w:t>
      </w:r>
      <w:r w:rsidR="002359AB" w:rsidRPr="000C0842">
        <w:rPr>
          <w:rFonts w:eastAsia="SimSun" w:hint="eastAsia"/>
          <w:iCs/>
          <w:kern w:val="18"/>
          <w:sz w:val="24"/>
          <w:lang w:val="en-GB"/>
        </w:rPr>
        <w:t>公约进程</w:t>
      </w:r>
      <w:r w:rsidRPr="000C0842">
        <w:rPr>
          <w:rFonts w:eastAsia="SimSun"/>
          <w:iCs/>
          <w:kern w:val="18"/>
          <w:sz w:val="24"/>
          <w:lang w:val="en-GB"/>
        </w:rPr>
        <w:t>特别自愿信托基金</w:t>
      </w:r>
      <w:r w:rsidRPr="000C0842">
        <w:rPr>
          <w:rFonts w:eastAsia="SimSun" w:hint="eastAsia"/>
          <w:iCs/>
          <w:kern w:val="18"/>
          <w:sz w:val="24"/>
          <w:lang w:val="en-CA"/>
        </w:rPr>
        <w:t>的利息；</w:t>
      </w:r>
    </w:p>
    <w:p w14:paraId="7A2B3D22" w14:textId="55325F6C"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iCs/>
          <w:kern w:val="18"/>
          <w:sz w:val="24"/>
          <w:lang w:val="en-CA"/>
        </w:rPr>
      </w:pPr>
      <w:r w:rsidRPr="000C0842">
        <w:rPr>
          <w:rFonts w:ascii="KaiTi" w:eastAsia="KaiTi" w:hAnsi="KaiTi" w:hint="eastAsia"/>
          <w:iCs/>
          <w:kern w:val="18"/>
          <w:sz w:val="24"/>
          <w:lang w:val="en-CA"/>
        </w:rPr>
        <w:t>重申</w:t>
      </w:r>
      <w:r w:rsidRPr="000C0842">
        <w:rPr>
          <w:rFonts w:eastAsia="SimSun" w:hint="eastAsia"/>
          <w:iCs/>
          <w:kern w:val="18"/>
          <w:sz w:val="24"/>
          <w:lang w:val="en-CA"/>
        </w:rPr>
        <w:t>发展中国家缔约方，特别是最不发达国家和小岛屿发展中国家</w:t>
      </w:r>
      <w:r w:rsidR="00570330" w:rsidRPr="000C0842">
        <w:rPr>
          <w:rFonts w:eastAsia="SimSun" w:hint="eastAsia"/>
          <w:iCs/>
          <w:kern w:val="18"/>
          <w:sz w:val="24"/>
          <w:lang w:val="en-CA"/>
        </w:rPr>
        <w:t>，</w:t>
      </w:r>
      <w:r w:rsidRPr="000C0842">
        <w:rPr>
          <w:rFonts w:eastAsia="SimSun" w:hint="eastAsia"/>
          <w:iCs/>
          <w:kern w:val="18"/>
          <w:sz w:val="24"/>
          <w:lang w:val="en-CA"/>
        </w:rPr>
        <w:t>以及经济转型国家缔约方，由</w:t>
      </w:r>
      <w:r w:rsidRPr="000C0842">
        <w:rPr>
          <w:rFonts w:eastAsia="SimSun" w:hint="eastAsia"/>
          <w:bCs/>
          <w:iCs/>
          <w:kern w:val="18"/>
          <w:sz w:val="24"/>
          <w:lang w:val="en-GB"/>
        </w:rPr>
        <w:t>资助</w:t>
      </w:r>
      <w:r w:rsidRPr="000C0842">
        <w:rPr>
          <w:rFonts w:eastAsia="SimSun"/>
          <w:bCs/>
          <w:iCs/>
          <w:kern w:val="18"/>
          <w:sz w:val="24"/>
          <w:lang w:val="en-GB"/>
        </w:rPr>
        <w:t>缔约方参与公约进程特别自愿信托基金</w:t>
      </w:r>
      <w:r w:rsidRPr="000C0842">
        <w:rPr>
          <w:rFonts w:eastAsia="SimSun" w:hint="eastAsia"/>
          <w:iCs/>
          <w:kern w:val="18"/>
          <w:sz w:val="24"/>
          <w:lang w:val="en-GB"/>
        </w:rPr>
        <w:t>出资</w:t>
      </w:r>
      <w:r w:rsidRPr="000C0842">
        <w:rPr>
          <w:rFonts w:eastAsia="SimSun" w:hint="eastAsia"/>
          <w:iCs/>
          <w:kern w:val="18"/>
          <w:sz w:val="24"/>
          <w:lang w:val="en-CA"/>
        </w:rPr>
        <w:t>，至少派两名代表充分和有效参加公约缔约方大会、作为议定书缔约方会议的缔约方大会以及附属机构的会议的重要性，邀请发达国家缔约方和其他有能力的缔约方在特殊情况下</w:t>
      </w:r>
      <w:r w:rsidR="00570330" w:rsidRPr="000C0842">
        <w:rPr>
          <w:rFonts w:eastAsia="SimSun" w:hint="eastAsia"/>
          <w:iCs/>
          <w:kern w:val="18"/>
          <w:sz w:val="24"/>
          <w:lang w:val="en-CA"/>
        </w:rPr>
        <w:t>，</w:t>
      </w:r>
      <w:r w:rsidRPr="000C0842">
        <w:rPr>
          <w:rFonts w:eastAsia="SimSun" w:hint="eastAsia"/>
          <w:iCs/>
          <w:kern w:val="18"/>
          <w:sz w:val="24"/>
          <w:lang w:val="en-CA"/>
        </w:rPr>
        <w:t>按照《联合国财务条例和细则》，</w:t>
      </w:r>
      <w:r w:rsidR="00570330" w:rsidRPr="000C0842">
        <w:rPr>
          <w:rFonts w:eastAsia="SimSun" w:hint="eastAsia"/>
          <w:iCs/>
          <w:kern w:val="18"/>
          <w:sz w:val="24"/>
          <w:lang w:val="en-CA"/>
        </w:rPr>
        <w:t>包括在南南合作范围内，</w:t>
      </w:r>
      <w:r w:rsidRPr="000C0842">
        <w:rPr>
          <w:rFonts w:eastAsia="SimSun" w:hint="eastAsia"/>
          <w:iCs/>
          <w:kern w:val="18"/>
          <w:sz w:val="24"/>
          <w:lang w:val="en-CA"/>
        </w:rPr>
        <w:t>及时向该基金缴纳</w:t>
      </w:r>
      <w:r w:rsidR="00570330" w:rsidRPr="000C0842">
        <w:rPr>
          <w:rFonts w:eastAsia="SimSun" w:hint="eastAsia"/>
          <w:iCs/>
          <w:kern w:val="18"/>
          <w:sz w:val="24"/>
          <w:lang w:val="en-CA"/>
        </w:rPr>
        <w:t>足以保证</w:t>
      </w:r>
      <w:r w:rsidRPr="000C0842">
        <w:rPr>
          <w:rFonts w:eastAsia="SimSun" w:hint="eastAsia"/>
          <w:iCs/>
          <w:kern w:val="18"/>
          <w:sz w:val="24"/>
          <w:lang w:val="en-CA"/>
        </w:rPr>
        <w:t>缔约方能够充分和有效参加会议</w:t>
      </w:r>
      <w:r w:rsidR="00570330" w:rsidRPr="000C0842">
        <w:rPr>
          <w:rFonts w:eastAsia="SimSun" w:hint="eastAsia"/>
          <w:iCs/>
          <w:kern w:val="18"/>
          <w:sz w:val="24"/>
          <w:lang w:val="en-CA"/>
        </w:rPr>
        <w:t>的捐款</w:t>
      </w:r>
      <w:r w:rsidRPr="000C0842">
        <w:rPr>
          <w:rFonts w:eastAsia="SimSun" w:hint="eastAsia"/>
          <w:iCs/>
          <w:kern w:val="18"/>
          <w:sz w:val="24"/>
          <w:lang w:val="en-CA"/>
        </w:rPr>
        <w:t>，并授权执行秘书与主席团磋商，在整个两年期从三个核心信托基金的现有准备金中提取总额不超过</w:t>
      </w:r>
      <w:r w:rsidRPr="000C0842">
        <w:rPr>
          <w:rFonts w:eastAsia="SimSun" w:hint="eastAsia"/>
          <w:iCs/>
          <w:kern w:val="18"/>
          <w:sz w:val="24"/>
          <w:lang w:val="en-CA"/>
        </w:rPr>
        <w:t xml:space="preserve"> 500,000 </w:t>
      </w:r>
      <w:r w:rsidRPr="000C0842">
        <w:rPr>
          <w:rFonts w:eastAsia="SimSun" w:hint="eastAsia"/>
          <w:iCs/>
          <w:kern w:val="18"/>
          <w:sz w:val="24"/>
          <w:lang w:val="en-CA"/>
        </w:rPr>
        <w:t>美元的资金，用于弥补虽然已收到书面认捐但尚未收到缴款的</w:t>
      </w:r>
      <w:r w:rsidRPr="000C0842">
        <w:rPr>
          <w:rFonts w:eastAsia="SimSun" w:hint="eastAsia"/>
          <w:bCs/>
          <w:iCs/>
          <w:kern w:val="18"/>
          <w:sz w:val="24"/>
          <w:lang w:val="en-GB"/>
        </w:rPr>
        <w:t>资助</w:t>
      </w:r>
      <w:r w:rsidRPr="000C0842">
        <w:rPr>
          <w:rFonts w:eastAsia="SimSun"/>
          <w:bCs/>
          <w:iCs/>
          <w:kern w:val="18"/>
          <w:sz w:val="24"/>
          <w:lang w:val="en-GB"/>
        </w:rPr>
        <w:t>缔约方参与公约进程特别自愿信托基金</w:t>
      </w:r>
      <w:r w:rsidRPr="000C0842">
        <w:rPr>
          <w:rFonts w:eastAsia="SimSun" w:hint="eastAsia"/>
          <w:iCs/>
          <w:kern w:val="18"/>
          <w:sz w:val="24"/>
          <w:lang w:val="en-CA"/>
        </w:rPr>
        <w:t>的临时资金短缺，资助发展中国家缔约方，特别是最不发达国家和小岛屿发展中国家，以及经济转型国家缔约方的代表参加缔约方大会第十七届会议、作为卡塔赫纳议定书缔约方会议的缔约方大会第十二次会议和作为名古屋议定书缔约方会议的缔约方大会第六次会议，但认捐一经缴纳，须立即偿还三个核心信托基金的资金；</w:t>
      </w:r>
    </w:p>
    <w:p w14:paraId="67D527B4" w14:textId="08714DA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bookmarkStart w:id="108" w:name="_Hlk178776481"/>
      <w:r w:rsidRPr="000C0842">
        <w:rPr>
          <w:rFonts w:eastAsia="KaiTi"/>
          <w:iCs/>
          <w:kern w:val="18"/>
          <w:sz w:val="24"/>
          <w:lang w:val="en-GB"/>
        </w:rPr>
        <w:t>回顾</w:t>
      </w:r>
      <w:r w:rsidRPr="000C0842">
        <w:rPr>
          <w:rFonts w:eastAsia="SimSun"/>
          <w:iCs/>
          <w:kern w:val="18"/>
          <w:sz w:val="24"/>
          <w:lang w:val="en-CA"/>
        </w:rPr>
        <w:t>2008</w:t>
      </w:r>
      <w:r w:rsidRPr="000C0842">
        <w:rPr>
          <w:rFonts w:eastAsia="SimSun"/>
          <w:iCs/>
          <w:kern w:val="18"/>
          <w:sz w:val="24"/>
          <w:lang w:val="en-CA"/>
        </w:rPr>
        <w:t>年</w:t>
      </w:r>
      <w:r w:rsidRPr="000C0842">
        <w:rPr>
          <w:rFonts w:eastAsia="SimSun"/>
          <w:iCs/>
          <w:kern w:val="18"/>
          <w:sz w:val="24"/>
          <w:lang w:val="en-CA"/>
        </w:rPr>
        <w:t>5</w:t>
      </w:r>
      <w:r w:rsidRPr="000C0842">
        <w:rPr>
          <w:rFonts w:eastAsia="SimSun"/>
          <w:iCs/>
          <w:kern w:val="18"/>
          <w:sz w:val="24"/>
          <w:lang w:val="en-CA"/>
        </w:rPr>
        <w:t>月</w:t>
      </w:r>
      <w:r w:rsidRPr="000C0842">
        <w:rPr>
          <w:rFonts w:eastAsia="SimSun"/>
          <w:iCs/>
          <w:kern w:val="18"/>
          <w:sz w:val="24"/>
          <w:lang w:val="en-CA"/>
        </w:rPr>
        <w:t>23</w:t>
      </w:r>
      <w:r w:rsidRPr="000C0842">
        <w:rPr>
          <w:rFonts w:eastAsia="SimSun"/>
          <w:iCs/>
          <w:kern w:val="18"/>
          <w:sz w:val="24"/>
          <w:lang w:val="en-CA"/>
        </w:rPr>
        <w:t>日第</w:t>
      </w:r>
      <w:hyperlink r:id="rId250" w:history="1">
        <w:r w:rsidRPr="000C0842">
          <w:rPr>
            <w:rStyle w:val="Hyperlink"/>
            <w:rFonts w:eastAsia="SimSun"/>
            <w:color w:val="auto"/>
            <w:sz w:val="24"/>
            <w:szCs w:val="24"/>
            <w:lang w:val="en-GB"/>
          </w:rPr>
          <w:t>IX/34</w:t>
        </w:r>
      </w:hyperlink>
      <w:r w:rsidRPr="000C0842">
        <w:rPr>
          <w:rFonts w:eastAsia="SimSun"/>
          <w:iCs/>
          <w:kern w:val="18"/>
          <w:sz w:val="24"/>
          <w:lang w:val="en-CA"/>
        </w:rPr>
        <w:t>号决定第</w:t>
      </w:r>
      <w:r w:rsidRPr="000C0842">
        <w:rPr>
          <w:rFonts w:eastAsia="SimSun"/>
          <w:iCs/>
          <w:kern w:val="18"/>
          <w:sz w:val="24"/>
          <w:lang w:val="en-CA"/>
        </w:rPr>
        <w:t>31</w:t>
      </w:r>
      <w:r w:rsidRPr="000C0842">
        <w:rPr>
          <w:rFonts w:eastAsia="SimSun"/>
          <w:iCs/>
          <w:kern w:val="18"/>
          <w:sz w:val="24"/>
          <w:lang w:val="en-CA"/>
        </w:rPr>
        <w:t>段，请执行秘书在分配</w:t>
      </w:r>
      <w:r w:rsidRPr="000C0842">
        <w:rPr>
          <w:rFonts w:eastAsia="SimSun" w:hint="eastAsia"/>
          <w:bCs/>
          <w:iCs/>
          <w:kern w:val="18"/>
          <w:sz w:val="24"/>
          <w:lang w:val="en-GB"/>
        </w:rPr>
        <w:t>资助</w:t>
      </w:r>
      <w:r w:rsidRPr="000C0842">
        <w:rPr>
          <w:rFonts w:eastAsia="SimSun"/>
          <w:bCs/>
          <w:iCs/>
          <w:kern w:val="18"/>
          <w:sz w:val="24"/>
          <w:lang w:val="en-GB"/>
        </w:rPr>
        <w:t>缔约方参与公约进程特别自愿信托基金</w:t>
      </w:r>
      <w:r w:rsidRPr="000C0842">
        <w:rPr>
          <w:rFonts w:eastAsia="SimSun"/>
          <w:iCs/>
          <w:kern w:val="18"/>
          <w:sz w:val="24"/>
          <w:lang w:val="en-CA"/>
        </w:rPr>
        <w:t>的资金时，继续优先资助最不发达国家和小</w:t>
      </w:r>
      <w:r w:rsidRPr="000C0842">
        <w:rPr>
          <w:rFonts w:eastAsia="SimSun"/>
          <w:iCs/>
          <w:kern w:val="18"/>
          <w:sz w:val="24"/>
          <w:lang w:val="en-GB"/>
        </w:rPr>
        <w:t>岛屿</w:t>
      </w:r>
      <w:r w:rsidRPr="000C0842">
        <w:rPr>
          <w:rFonts w:eastAsia="SimSun"/>
          <w:iCs/>
          <w:kern w:val="18"/>
          <w:sz w:val="24"/>
          <w:lang w:val="en-CA"/>
        </w:rPr>
        <w:t>发展中国家</w:t>
      </w:r>
      <w:bookmarkEnd w:id="108"/>
      <w:r w:rsidRPr="000C0842">
        <w:rPr>
          <w:rFonts w:eastAsia="SimSun"/>
          <w:iCs/>
          <w:kern w:val="18"/>
          <w:sz w:val="24"/>
          <w:lang w:val="en-CA"/>
        </w:rPr>
        <w:t>；</w:t>
      </w:r>
    </w:p>
    <w:p w14:paraId="77610306"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lang w:val="en-GB"/>
        </w:rPr>
      </w:pPr>
      <w:r w:rsidRPr="000C0842">
        <w:rPr>
          <w:rFonts w:ascii="KaiTi" w:eastAsia="KaiTi" w:hAnsi="KaiTi"/>
          <w:iCs/>
          <w:kern w:val="18"/>
          <w:sz w:val="24"/>
          <w:lang w:val="en-CA"/>
        </w:rPr>
        <w:t>鼓励</w:t>
      </w:r>
      <w:r w:rsidRPr="000C0842">
        <w:rPr>
          <w:rFonts w:eastAsia="SimSun"/>
          <w:iCs/>
          <w:kern w:val="18"/>
          <w:sz w:val="24"/>
          <w:lang w:val="en-CA"/>
        </w:rPr>
        <w:t>发达国家缔约方和其他有能力的缔约方便利秘书处与</w:t>
      </w:r>
      <w:r w:rsidRPr="000C0842">
        <w:rPr>
          <w:rFonts w:eastAsia="SimSun" w:hint="eastAsia"/>
          <w:bCs/>
          <w:iCs/>
          <w:kern w:val="18"/>
          <w:sz w:val="24"/>
          <w:lang w:val="en-GB"/>
        </w:rPr>
        <w:t>资助</w:t>
      </w:r>
      <w:r w:rsidRPr="000C0842">
        <w:rPr>
          <w:rFonts w:eastAsia="SimSun"/>
          <w:bCs/>
          <w:iCs/>
          <w:kern w:val="18"/>
          <w:sz w:val="24"/>
          <w:lang w:val="en-GB"/>
        </w:rPr>
        <w:t>缔约方参与公约进程特别自愿信托基金</w:t>
      </w:r>
      <w:r w:rsidRPr="000C0842">
        <w:rPr>
          <w:rFonts w:eastAsia="SimSun"/>
          <w:iCs/>
          <w:kern w:val="18"/>
          <w:sz w:val="24"/>
          <w:lang w:val="en-CA"/>
        </w:rPr>
        <w:t>的其他潜在捐助方接触，包括与私营和慈善机构接触，以协助资助符合条件的国家参加公约缔约方大会会议、作为议定书缔约方会议的缔约方大会会议以及各附属机构会议</w:t>
      </w:r>
      <w:r w:rsidRPr="000C0842">
        <w:rPr>
          <w:rFonts w:eastAsia="SimSun" w:hint="eastAsia"/>
          <w:lang w:val="en-GB"/>
        </w:rPr>
        <w:t>；</w:t>
      </w:r>
    </w:p>
    <w:p w14:paraId="5FBDE6D4"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bookmarkStart w:id="109" w:name="_Toc180233562"/>
      <w:r w:rsidRPr="000C0842">
        <w:rPr>
          <w:rFonts w:eastAsia="KaiTi"/>
          <w:iCs/>
          <w:kern w:val="18"/>
          <w:sz w:val="24"/>
          <w:szCs w:val="24"/>
          <w:lang w:val="en-GB"/>
        </w:rPr>
        <w:t>请</w:t>
      </w:r>
      <w:r w:rsidRPr="000C0842">
        <w:rPr>
          <w:rFonts w:eastAsia="SimSun"/>
          <w:sz w:val="24"/>
          <w:szCs w:val="24"/>
          <w:lang w:val="en-GB"/>
        </w:rPr>
        <w:t>执行秘书在每年</w:t>
      </w:r>
      <w:r w:rsidRPr="000C0842">
        <w:rPr>
          <w:rFonts w:eastAsia="SimSun"/>
          <w:sz w:val="24"/>
          <w:szCs w:val="24"/>
          <w:lang w:val="en-GB"/>
        </w:rPr>
        <w:t>1</w:t>
      </w:r>
      <w:r w:rsidRPr="000C0842">
        <w:rPr>
          <w:rFonts w:eastAsia="SimSun"/>
          <w:sz w:val="24"/>
          <w:szCs w:val="24"/>
          <w:lang w:val="en-GB"/>
        </w:rPr>
        <w:t>月份提醒缔约方须于公约缔约方大会以及作为议定书缔约方会议的缔约方大会常会前至少六个月向</w:t>
      </w:r>
      <w:r w:rsidRPr="000C0842">
        <w:rPr>
          <w:rFonts w:eastAsia="SimSun" w:hint="eastAsia"/>
          <w:bCs/>
          <w:iCs/>
          <w:sz w:val="24"/>
          <w:szCs w:val="24"/>
          <w:lang w:val="en-GB"/>
        </w:rPr>
        <w:t>资助</w:t>
      </w:r>
      <w:r w:rsidRPr="000C0842">
        <w:rPr>
          <w:rFonts w:eastAsia="SimSun"/>
          <w:bCs/>
          <w:iCs/>
          <w:sz w:val="24"/>
          <w:szCs w:val="24"/>
          <w:lang w:val="en-GB"/>
        </w:rPr>
        <w:t>缔约方参与公约进程特别自愿信托基金</w:t>
      </w:r>
      <w:r w:rsidRPr="000C0842">
        <w:rPr>
          <w:rFonts w:eastAsia="SimSun"/>
          <w:sz w:val="24"/>
          <w:szCs w:val="24"/>
          <w:lang w:val="en-GB"/>
        </w:rPr>
        <w:t>捐款，于每年</w:t>
      </w:r>
      <w:r w:rsidRPr="000C0842">
        <w:rPr>
          <w:rFonts w:eastAsia="SimSun"/>
          <w:sz w:val="24"/>
          <w:szCs w:val="24"/>
          <w:lang w:val="en-GB"/>
        </w:rPr>
        <w:t>12</w:t>
      </w:r>
      <w:r w:rsidRPr="000C0842">
        <w:rPr>
          <w:rFonts w:eastAsia="SimSun"/>
          <w:sz w:val="24"/>
          <w:szCs w:val="24"/>
          <w:lang w:val="en-GB"/>
        </w:rPr>
        <w:t>月发出关于嗣后一年所有相关会议需求的要求，并向其他捐助</w:t>
      </w:r>
      <w:r w:rsidRPr="000C0842">
        <w:rPr>
          <w:rFonts w:eastAsia="SimSun" w:hint="eastAsia"/>
          <w:sz w:val="24"/>
          <w:szCs w:val="24"/>
          <w:lang w:val="en-GB"/>
        </w:rPr>
        <w:t>方</w:t>
      </w:r>
      <w:r w:rsidRPr="000C0842">
        <w:rPr>
          <w:rFonts w:eastAsia="SimSun"/>
          <w:sz w:val="24"/>
          <w:szCs w:val="24"/>
          <w:lang w:val="en-GB"/>
        </w:rPr>
        <w:t>及早发出捐款邀请书；</w:t>
      </w:r>
    </w:p>
    <w:p w14:paraId="134D315A"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eastAsia="KaiTi"/>
          <w:iCs/>
          <w:kern w:val="18"/>
          <w:sz w:val="24"/>
          <w:szCs w:val="24"/>
          <w:lang w:val="en-GB"/>
        </w:rPr>
        <w:t>又请</w:t>
      </w:r>
      <w:r w:rsidRPr="000C0842">
        <w:rPr>
          <w:rFonts w:eastAsia="SimSun"/>
          <w:sz w:val="24"/>
          <w:szCs w:val="24"/>
          <w:lang w:val="en-GB"/>
        </w:rPr>
        <w:t>执行秘书与主席团协商，继续监测向</w:t>
      </w:r>
      <w:r w:rsidRPr="000C0842">
        <w:rPr>
          <w:rFonts w:eastAsia="SimSun" w:hint="eastAsia"/>
          <w:bCs/>
          <w:iCs/>
          <w:sz w:val="24"/>
          <w:szCs w:val="24"/>
          <w:lang w:val="en-GB"/>
        </w:rPr>
        <w:t>资助</w:t>
      </w:r>
      <w:r w:rsidRPr="000C0842">
        <w:rPr>
          <w:rFonts w:eastAsia="SimSun"/>
          <w:bCs/>
          <w:iCs/>
          <w:sz w:val="24"/>
          <w:szCs w:val="24"/>
          <w:lang w:val="en-GB"/>
        </w:rPr>
        <w:t>缔约方参与公约进程特别自愿信托基金</w:t>
      </w:r>
      <w:r w:rsidRPr="000C0842">
        <w:rPr>
          <w:rFonts w:eastAsia="SimSun"/>
          <w:sz w:val="24"/>
          <w:szCs w:val="24"/>
          <w:lang w:val="en-GB"/>
        </w:rPr>
        <w:t>提供自愿捐款的情况</w:t>
      </w:r>
      <w:r w:rsidRPr="000C0842">
        <w:rPr>
          <w:rFonts w:eastAsia="SimSun" w:hint="eastAsia"/>
          <w:sz w:val="24"/>
          <w:szCs w:val="24"/>
          <w:lang w:val="en-GB"/>
        </w:rPr>
        <w:t>，以便主席团成员能够提请各自区域的缔约方以及酌情提请潜在捐助方注意捐款的短缺情况</w:t>
      </w:r>
      <w:r w:rsidRPr="000C0842">
        <w:rPr>
          <w:rFonts w:eastAsia="SimSun"/>
          <w:sz w:val="24"/>
          <w:szCs w:val="24"/>
          <w:lang w:val="en-GB"/>
        </w:rPr>
        <w:t>；</w:t>
      </w:r>
      <w:r w:rsidRPr="000C0842">
        <w:rPr>
          <w:rFonts w:eastAsia="SimSun" w:hint="eastAsia"/>
          <w:sz w:val="24"/>
          <w:szCs w:val="24"/>
          <w:lang w:val="en-GB"/>
        </w:rPr>
        <w:t xml:space="preserve"> </w:t>
      </w:r>
    </w:p>
    <w:p w14:paraId="136B1779" w14:textId="43DB652A"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eastAsia="KaiTi" w:hint="eastAsia"/>
          <w:iCs/>
          <w:kern w:val="18"/>
          <w:sz w:val="24"/>
          <w:szCs w:val="24"/>
          <w:lang w:val="en-GB"/>
        </w:rPr>
        <w:t>还请</w:t>
      </w:r>
      <w:r w:rsidRPr="000C0842">
        <w:rPr>
          <w:rFonts w:eastAsia="SimSun" w:hint="eastAsia"/>
          <w:sz w:val="24"/>
          <w:szCs w:val="24"/>
          <w:lang w:val="en-GB"/>
        </w:rPr>
        <w:t>执行秘书在筹备缔约方大会以及</w:t>
      </w:r>
      <w:r w:rsidRPr="000C0842">
        <w:rPr>
          <w:rFonts w:eastAsia="SimSun"/>
          <w:sz w:val="24"/>
          <w:szCs w:val="24"/>
          <w:lang w:val="en-GB"/>
        </w:rPr>
        <w:t>作为议定书缔约方会议的缔约方大会</w:t>
      </w:r>
      <w:r w:rsidRPr="000C0842">
        <w:rPr>
          <w:rFonts w:eastAsia="SimSun" w:hint="eastAsia"/>
          <w:sz w:val="24"/>
          <w:szCs w:val="24"/>
          <w:lang w:val="en-GB"/>
        </w:rPr>
        <w:t>的会议时，</w:t>
      </w:r>
      <w:r w:rsidR="00CD2565" w:rsidRPr="000C0842">
        <w:rPr>
          <w:rFonts w:eastAsia="SimSun" w:hint="eastAsia"/>
          <w:sz w:val="24"/>
          <w:szCs w:val="24"/>
          <w:lang w:val="en-GB"/>
        </w:rPr>
        <w:t>从</w:t>
      </w:r>
      <w:r w:rsidR="007273EF" w:rsidRPr="000C0842">
        <w:rPr>
          <w:rFonts w:eastAsia="SimSun" w:hint="eastAsia"/>
          <w:sz w:val="24"/>
          <w:szCs w:val="24"/>
          <w:lang w:val="en-GB"/>
        </w:rPr>
        <w:t>各</w:t>
      </w:r>
      <w:r w:rsidR="00CD2565" w:rsidRPr="000C0842">
        <w:rPr>
          <w:rFonts w:eastAsia="SimSun" w:hint="eastAsia"/>
          <w:sz w:val="24"/>
          <w:szCs w:val="24"/>
          <w:lang w:val="en-GB"/>
        </w:rPr>
        <w:t>建议草案和决定草案</w:t>
      </w:r>
      <w:r w:rsidRPr="000C0842">
        <w:rPr>
          <w:rFonts w:eastAsia="SimSun" w:hint="eastAsia"/>
          <w:sz w:val="24"/>
          <w:szCs w:val="24"/>
          <w:lang w:val="en-GB"/>
        </w:rPr>
        <w:t>汇</w:t>
      </w:r>
      <w:r w:rsidR="00CD2565" w:rsidRPr="000C0842">
        <w:rPr>
          <w:rFonts w:eastAsia="SimSun" w:hint="eastAsia"/>
          <w:sz w:val="24"/>
          <w:szCs w:val="24"/>
          <w:lang w:val="en-GB"/>
        </w:rPr>
        <w:t>总</w:t>
      </w:r>
      <w:r w:rsidRPr="000C0842">
        <w:rPr>
          <w:rFonts w:eastAsia="SimSun" w:hint="eastAsia"/>
          <w:sz w:val="24"/>
          <w:szCs w:val="24"/>
          <w:lang w:val="en-GB"/>
        </w:rPr>
        <w:t>并向缔约方分发</w:t>
      </w:r>
      <w:r w:rsidR="00CD2565" w:rsidRPr="000C0842">
        <w:rPr>
          <w:rFonts w:eastAsia="SimSun" w:hint="eastAsia"/>
          <w:sz w:val="24"/>
          <w:szCs w:val="24"/>
          <w:lang w:val="en-GB"/>
        </w:rPr>
        <w:t>请</w:t>
      </w:r>
      <w:r w:rsidR="00BE2E1F" w:rsidRPr="000C0842">
        <w:rPr>
          <w:rFonts w:eastAsia="SimSun" w:hint="eastAsia"/>
          <w:sz w:val="24"/>
          <w:szCs w:val="24"/>
          <w:lang w:val="en-GB"/>
        </w:rPr>
        <w:t>执行秘书开展的工作清单，</w:t>
      </w:r>
      <w:r w:rsidRPr="000C0842">
        <w:rPr>
          <w:rFonts w:eastAsia="SimSun" w:hint="eastAsia"/>
          <w:sz w:val="24"/>
          <w:szCs w:val="24"/>
          <w:lang w:val="en-GB"/>
        </w:rPr>
        <w:t>包括每项决定草案</w:t>
      </w:r>
      <w:r w:rsidR="00BE2E1F" w:rsidRPr="000C0842">
        <w:rPr>
          <w:rFonts w:eastAsia="SimSun" w:hint="eastAsia"/>
          <w:sz w:val="24"/>
          <w:szCs w:val="24"/>
          <w:lang w:val="en-GB"/>
        </w:rPr>
        <w:t>所涉</w:t>
      </w:r>
      <w:r w:rsidR="00CD2565" w:rsidRPr="000C0842">
        <w:rPr>
          <w:rFonts w:eastAsia="SimSun" w:hint="eastAsia"/>
          <w:sz w:val="24"/>
          <w:szCs w:val="24"/>
          <w:lang w:val="en-GB"/>
        </w:rPr>
        <w:t>的</w:t>
      </w:r>
      <w:r w:rsidR="007273EF" w:rsidRPr="000C0842">
        <w:rPr>
          <w:rFonts w:eastAsia="SimSun" w:hint="eastAsia"/>
          <w:sz w:val="24"/>
          <w:szCs w:val="24"/>
          <w:lang w:val="en-GB"/>
        </w:rPr>
        <w:t>需要核心预算或自愿预算供资的</w:t>
      </w:r>
      <w:r w:rsidRPr="000C0842">
        <w:rPr>
          <w:rFonts w:eastAsia="SimSun" w:hint="eastAsia"/>
          <w:sz w:val="24"/>
          <w:szCs w:val="24"/>
          <w:lang w:val="en-GB"/>
        </w:rPr>
        <w:t>行政和财务</w:t>
      </w:r>
      <w:r w:rsidR="00BE2E1F" w:rsidRPr="000C0842">
        <w:rPr>
          <w:rFonts w:eastAsia="SimSun" w:hint="eastAsia"/>
          <w:sz w:val="24"/>
          <w:szCs w:val="24"/>
          <w:lang w:val="en-GB"/>
        </w:rPr>
        <w:t>问题</w:t>
      </w:r>
      <w:r w:rsidRPr="000C0842">
        <w:rPr>
          <w:rFonts w:eastAsia="SimSun" w:hint="eastAsia"/>
          <w:sz w:val="24"/>
          <w:szCs w:val="24"/>
          <w:lang w:val="en-GB"/>
        </w:rPr>
        <w:t>，以便向缔约方通报情况，同时不影响缔约方大会以及</w:t>
      </w:r>
      <w:r w:rsidRPr="000C0842">
        <w:rPr>
          <w:rFonts w:eastAsia="SimSun"/>
          <w:sz w:val="24"/>
          <w:szCs w:val="24"/>
          <w:lang w:val="en-GB"/>
        </w:rPr>
        <w:t>作为议定书缔约方会议的缔约方大会</w:t>
      </w:r>
      <w:r w:rsidRPr="000C0842">
        <w:rPr>
          <w:rFonts w:eastAsia="SimSun" w:hint="eastAsia"/>
          <w:sz w:val="24"/>
          <w:szCs w:val="24"/>
          <w:lang w:val="en-GB"/>
        </w:rPr>
        <w:t>的决定，并</w:t>
      </w:r>
      <w:r w:rsidR="007273EF" w:rsidRPr="000C0842">
        <w:rPr>
          <w:rFonts w:eastAsia="SimSun" w:hint="eastAsia"/>
          <w:sz w:val="24"/>
          <w:szCs w:val="24"/>
          <w:lang w:val="en-GB"/>
        </w:rPr>
        <w:t>在相关议程项目下</w:t>
      </w:r>
      <w:r w:rsidRPr="000C0842">
        <w:rPr>
          <w:rFonts w:eastAsia="SimSun" w:hint="eastAsia"/>
          <w:sz w:val="24"/>
          <w:szCs w:val="24"/>
          <w:lang w:val="en-GB"/>
        </w:rPr>
        <w:t>提供信息，酌情说明每项决定草案</w:t>
      </w:r>
      <w:r w:rsidR="00BE2E1F" w:rsidRPr="000C0842">
        <w:rPr>
          <w:rFonts w:eastAsia="SimSun" w:hint="eastAsia"/>
          <w:sz w:val="24"/>
          <w:szCs w:val="24"/>
          <w:lang w:val="en-GB"/>
        </w:rPr>
        <w:t>所涉</w:t>
      </w:r>
      <w:r w:rsidRPr="000C0842">
        <w:rPr>
          <w:rFonts w:eastAsia="SimSun" w:hint="eastAsia"/>
          <w:sz w:val="24"/>
          <w:szCs w:val="24"/>
          <w:lang w:val="en-GB"/>
        </w:rPr>
        <w:t>的行政和财务</w:t>
      </w:r>
      <w:r w:rsidR="00BE2E1F" w:rsidRPr="000C0842">
        <w:rPr>
          <w:rFonts w:eastAsia="SimSun" w:hint="eastAsia"/>
          <w:sz w:val="24"/>
          <w:szCs w:val="24"/>
          <w:lang w:val="en-GB"/>
        </w:rPr>
        <w:t>问题</w:t>
      </w:r>
      <w:r w:rsidRPr="000C0842">
        <w:rPr>
          <w:rFonts w:eastAsia="SimSun" w:hint="eastAsia"/>
          <w:sz w:val="24"/>
          <w:szCs w:val="24"/>
          <w:lang w:val="en-GB"/>
        </w:rPr>
        <w:t>；</w:t>
      </w:r>
      <w:r w:rsidR="00CD2565" w:rsidRPr="000C0842">
        <w:rPr>
          <w:rFonts w:eastAsia="SimSun" w:hint="eastAsia"/>
          <w:sz w:val="24"/>
          <w:szCs w:val="24"/>
          <w:lang w:val="en-GB"/>
        </w:rPr>
        <w:t xml:space="preserve">  </w:t>
      </w:r>
    </w:p>
    <w:p w14:paraId="0E704544" w14:textId="4A8F101E"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sz w:val="24"/>
          <w:szCs w:val="24"/>
          <w:lang w:val="en-GB"/>
        </w:rPr>
        <w:t>请</w:t>
      </w:r>
      <w:r w:rsidRPr="000C0842">
        <w:rPr>
          <w:rFonts w:eastAsia="SimSun"/>
          <w:sz w:val="24"/>
          <w:szCs w:val="24"/>
          <w:lang w:val="en-GB"/>
        </w:rPr>
        <w:t>执行秘书</w:t>
      </w:r>
      <w:r w:rsidRPr="000C0842">
        <w:rPr>
          <w:rFonts w:eastAsia="SimSun" w:hint="eastAsia"/>
          <w:sz w:val="24"/>
          <w:szCs w:val="24"/>
          <w:lang w:val="en-GB"/>
        </w:rPr>
        <w:t>编制</w:t>
      </w:r>
      <w:r w:rsidRPr="000C0842">
        <w:rPr>
          <w:rFonts w:eastAsia="SimSun"/>
          <w:sz w:val="24"/>
          <w:szCs w:val="24"/>
          <w:lang w:val="en-GB"/>
        </w:rPr>
        <w:t>并提交</w:t>
      </w:r>
      <w:r w:rsidRPr="000C0842">
        <w:rPr>
          <w:rFonts w:eastAsia="SimSun" w:hint="eastAsia"/>
          <w:sz w:val="24"/>
          <w:szCs w:val="24"/>
          <w:lang w:val="en-GB"/>
        </w:rPr>
        <w:t>以下文件：一份经过</w:t>
      </w:r>
      <w:r w:rsidRPr="000C0842">
        <w:rPr>
          <w:rFonts w:eastAsia="SimSun"/>
          <w:sz w:val="24"/>
          <w:szCs w:val="24"/>
          <w:lang w:val="en-GB"/>
        </w:rPr>
        <w:t>更新</w:t>
      </w:r>
      <w:r w:rsidRPr="000C0842">
        <w:rPr>
          <w:rFonts w:eastAsia="SimSun" w:hint="eastAsia"/>
          <w:sz w:val="24"/>
          <w:szCs w:val="24"/>
          <w:lang w:val="en-GB"/>
        </w:rPr>
        <w:t>的</w:t>
      </w:r>
      <w:r w:rsidRPr="000C0842">
        <w:rPr>
          <w:rFonts w:eastAsia="SimSun"/>
          <w:sz w:val="24"/>
          <w:szCs w:val="24"/>
          <w:lang w:val="en-GB"/>
        </w:rPr>
        <w:t>详细的</w:t>
      </w:r>
      <w:r w:rsidRPr="000C0842">
        <w:rPr>
          <w:rFonts w:eastAsia="SimSun"/>
          <w:sz w:val="24"/>
          <w:szCs w:val="24"/>
          <w:lang w:val="en-GB"/>
        </w:rPr>
        <w:t>202</w:t>
      </w:r>
      <w:r w:rsidRPr="000C0842">
        <w:rPr>
          <w:rFonts w:eastAsia="SimSun" w:hint="eastAsia"/>
          <w:sz w:val="24"/>
          <w:szCs w:val="24"/>
          <w:lang w:val="en-GB"/>
        </w:rPr>
        <w:t>7</w:t>
      </w:r>
      <w:r w:rsidRPr="000C0842">
        <w:rPr>
          <w:rFonts w:eastAsia="SimSun"/>
          <w:sz w:val="24"/>
          <w:szCs w:val="24"/>
          <w:lang w:val="en-GB"/>
        </w:rPr>
        <w:t>-202</w:t>
      </w:r>
      <w:r w:rsidRPr="000C0842">
        <w:rPr>
          <w:rFonts w:eastAsia="SimSun" w:hint="eastAsia"/>
          <w:sz w:val="24"/>
          <w:szCs w:val="24"/>
          <w:lang w:val="en-GB"/>
        </w:rPr>
        <w:t>8</w:t>
      </w:r>
      <w:r w:rsidRPr="000C0842">
        <w:rPr>
          <w:rFonts w:eastAsia="SimSun"/>
          <w:sz w:val="24"/>
          <w:szCs w:val="24"/>
          <w:lang w:val="en-GB"/>
        </w:rPr>
        <w:t>年</w:t>
      </w:r>
      <w:r w:rsidRPr="000C0842">
        <w:rPr>
          <w:rFonts w:eastAsia="SimSun" w:hint="eastAsia"/>
          <w:sz w:val="24"/>
          <w:szCs w:val="24"/>
          <w:lang w:val="en-GB"/>
        </w:rPr>
        <w:t>综合</w:t>
      </w:r>
      <w:r w:rsidRPr="000C0842">
        <w:rPr>
          <w:rFonts w:eastAsia="SimSun"/>
          <w:sz w:val="24"/>
          <w:szCs w:val="24"/>
          <w:lang w:val="en-GB"/>
        </w:rPr>
        <w:t>工作方案，其中列出秘书处将完成的目标、任务以及</w:t>
      </w:r>
      <w:r w:rsidRPr="000C0842">
        <w:rPr>
          <w:rFonts w:eastAsia="SimSun" w:hint="eastAsia"/>
          <w:sz w:val="24"/>
          <w:szCs w:val="24"/>
          <w:lang w:val="en-GB"/>
        </w:rPr>
        <w:t>《</w:t>
      </w:r>
      <w:r w:rsidRPr="000C0842">
        <w:rPr>
          <w:rFonts w:eastAsia="SimSun"/>
          <w:sz w:val="24"/>
          <w:szCs w:val="24"/>
          <w:lang w:val="en-GB"/>
        </w:rPr>
        <w:t>公约</w:t>
      </w:r>
      <w:r w:rsidRPr="000C0842">
        <w:rPr>
          <w:rFonts w:eastAsia="SimSun" w:hint="eastAsia"/>
          <w:sz w:val="24"/>
          <w:szCs w:val="24"/>
          <w:lang w:val="en-GB"/>
        </w:rPr>
        <w:t>》</w:t>
      </w:r>
      <w:r w:rsidRPr="000C0842">
        <w:rPr>
          <w:rFonts w:eastAsia="SimSun"/>
          <w:sz w:val="24"/>
          <w:szCs w:val="24"/>
          <w:lang w:val="en-GB"/>
        </w:rPr>
        <w:t>及其议定书每个预算项目的预期成果，供</w:t>
      </w:r>
      <w:r w:rsidRPr="000C0842">
        <w:rPr>
          <w:rFonts w:eastAsia="SimSun" w:hint="eastAsia"/>
          <w:sz w:val="24"/>
          <w:szCs w:val="24"/>
          <w:lang w:val="en-GB"/>
        </w:rPr>
        <w:t>执行问题附属机构在公约缔约方大会第十七届会议、</w:t>
      </w:r>
      <w:r w:rsidRPr="000C0842">
        <w:rPr>
          <w:rFonts w:eastAsia="SimSun"/>
          <w:sz w:val="24"/>
          <w:szCs w:val="24"/>
          <w:lang w:val="en-GB"/>
        </w:rPr>
        <w:t>作为</w:t>
      </w:r>
      <w:r w:rsidRPr="000C0842">
        <w:rPr>
          <w:rFonts w:eastAsia="SimSun" w:hint="eastAsia"/>
          <w:sz w:val="24"/>
          <w:szCs w:val="24"/>
          <w:lang w:val="en-GB"/>
        </w:rPr>
        <w:t>卡塔赫纳</w:t>
      </w:r>
      <w:r w:rsidRPr="000C0842">
        <w:rPr>
          <w:rFonts w:eastAsia="SimSun"/>
          <w:sz w:val="24"/>
          <w:szCs w:val="24"/>
          <w:lang w:val="en-GB"/>
        </w:rPr>
        <w:t>议定书缔约方会议的缔约方大会</w:t>
      </w:r>
      <w:r w:rsidRPr="000C0842">
        <w:rPr>
          <w:rFonts w:eastAsia="SimSun" w:hint="eastAsia"/>
          <w:sz w:val="24"/>
          <w:szCs w:val="24"/>
          <w:lang w:val="en-GB"/>
        </w:rPr>
        <w:t>第十二次会议和作为名古屋议定书缔约方会议的缔约方大会第六次会议之前审议；</w:t>
      </w:r>
      <w:r w:rsidRPr="000C0842">
        <w:rPr>
          <w:rFonts w:eastAsia="SimSun"/>
          <w:sz w:val="24"/>
          <w:szCs w:val="24"/>
          <w:lang w:val="en-GB"/>
        </w:rPr>
        <w:t>一份相应的</w:t>
      </w:r>
      <w:r w:rsidRPr="000C0842">
        <w:rPr>
          <w:rFonts w:eastAsia="SimSun" w:hint="eastAsia"/>
          <w:sz w:val="24"/>
          <w:szCs w:val="24"/>
          <w:lang w:val="en-GB"/>
        </w:rPr>
        <w:t>、套用联合国环境规划</w:t>
      </w:r>
      <w:r w:rsidRPr="000C0842">
        <w:rPr>
          <w:rFonts w:eastAsia="SimSun"/>
          <w:sz w:val="24"/>
          <w:szCs w:val="24"/>
          <w:lang w:val="en-GB"/>
        </w:rPr>
        <w:t>署拟议方案预算格式</w:t>
      </w:r>
      <w:r w:rsidRPr="000C0842">
        <w:rPr>
          <w:rFonts w:eastAsia="SimSun" w:hint="eastAsia"/>
          <w:sz w:val="24"/>
          <w:szCs w:val="24"/>
          <w:lang w:val="en-GB"/>
        </w:rPr>
        <w:t>的</w:t>
      </w:r>
      <w:r w:rsidRPr="000C0842">
        <w:rPr>
          <w:rFonts w:eastAsia="SimSun"/>
          <w:sz w:val="24"/>
          <w:szCs w:val="24"/>
          <w:lang w:val="en-GB"/>
        </w:rPr>
        <w:t>方案预算</w:t>
      </w:r>
      <w:r w:rsidRPr="000C0842">
        <w:rPr>
          <w:rFonts w:eastAsia="SimSun" w:hint="eastAsia"/>
          <w:sz w:val="24"/>
          <w:szCs w:val="24"/>
          <w:lang w:val="en-GB"/>
        </w:rPr>
        <w:t>，其中列出两年期补充信息说明和下列三个情景</w:t>
      </w:r>
      <w:r w:rsidR="007273EF" w:rsidRPr="000C0842">
        <w:rPr>
          <w:rFonts w:eastAsia="SimSun" w:hint="eastAsia"/>
          <w:sz w:val="24"/>
          <w:szCs w:val="24"/>
          <w:lang w:val="en-GB"/>
        </w:rPr>
        <w:t>设想</w:t>
      </w:r>
      <w:r w:rsidRPr="000C0842">
        <w:rPr>
          <w:rFonts w:eastAsia="SimSun" w:hint="eastAsia"/>
          <w:sz w:val="24"/>
          <w:szCs w:val="24"/>
          <w:lang w:val="en-GB"/>
        </w:rPr>
        <w:t>，同时顾及上文第</w:t>
      </w:r>
      <w:r w:rsidRPr="000C0842">
        <w:rPr>
          <w:rFonts w:eastAsia="SimSun"/>
          <w:sz w:val="24"/>
          <w:szCs w:val="24"/>
          <w:lang w:val="en-GB"/>
        </w:rPr>
        <w:t>3</w:t>
      </w:r>
      <w:r w:rsidRPr="000C0842">
        <w:rPr>
          <w:rFonts w:eastAsia="SimSun" w:hint="eastAsia"/>
          <w:sz w:val="24"/>
          <w:szCs w:val="24"/>
          <w:lang w:val="en-GB"/>
        </w:rPr>
        <w:t>8</w:t>
      </w:r>
      <w:r w:rsidRPr="000C0842">
        <w:rPr>
          <w:rFonts w:eastAsia="SimSun" w:hint="eastAsia"/>
          <w:sz w:val="24"/>
          <w:szCs w:val="24"/>
          <w:lang w:val="en-GB"/>
        </w:rPr>
        <w:t>段提及的清单：</w:t>
      </w:r>
    </w:p>
    <w:p w14:paraId="041E000C" w14:textId="77777777" w:rsidR="00A528CF" w:rsidRPr="000C0842" w:rsidRDefault="00A528CF">
      <w:pPr>
        <w:numPr>
          <w:ilvl w:val="0"/>
          <w:numId w:val="218"/>
        </w:numPr>
        <w:tabs>
          <w:tab w:val="clear" w:pos="567"/>
          <w:tab w:val="clear" w:pos="1134"/>
          <w:tab w:val="clear" w:pos="1701"/>
          <w:tab w:val="clear" w:pos="2268"/>
        </w:tabs>
        <w:spacing w:after="160" w:line="259" w:lineRule="auto"/>
        <w:ind w:firstLine="490"/>
        <w:jc w:val="left"/>
        <w:rPr>
          <w:rFonts w:eastAsia="SimSun"/>
          <w:iCs/>
          <w:kern w:val="2"/>
          <w:sz w:val="24"/>
          <w:szCs w:val="24"/>
          <w:lang w:val="en-GB"/>
          <w14:ligatures w14:val="standardContextual"/>
        </w:rPr>
      </w:pPr>
      <w:r w:rsidRPr="000C0842">
        <w:rPr>
          <w:rFonts w:eastAsia="SimSun" w:hint="eastAsia"/>
          <w:iCs/>
          <w:kern w:val="2"/>
          <w:sz w:val="24"/>
          <w:szCs w:val="24"/>
          <w:lang w:val="en-GB"/>
          <w14:ligatures w14:val="standardContextual"/>
        </w:rPr>
        <w:t>考虑到</w:t>
      </w:r>
      <w:r w:rsidRPr="000C0842">
        <w:rPr>
          <w:rFonts w:eastAsia="SimSun"/>
          <w:iCs/>
          <w:kern w:val="2"/>
          <w:sz w:val="24"/>
          <w:szCs w:val="24"/>
          <w:lang w:val="en-GB"/>
          <w14:ligatures w14:val="standardContextual"/>
        </w:rPr>
        <w:t>职能审查</w:t>
      </w:r>
      <w:r w:rsidRPr="000C0842">
        <w:rPr>
          <w:rFonts w:eastAsia="SimSun" w:hint="eastAsia"/>
          <w:iCs/>
          <w:kern w:val="2"/>
          <w:sz w:val="24"/>
          <w:szCs w:val="24"/>
          <w:lang w:val="en-GB"/>
          <w14:ligatures w14:val="standardContextual"/>
        </w:rPr>
        <w:t>情况</w:t>
      </w:r>
      <w:r w:rsidRPr="000C0842">
        <w:rPr>
          <w:rFonts w:eastAsia="SimSun"/>
          <w:iCs/>
          <w:kern w:val="2"/>
          <w:sz w:val="24"/>
          <w:szCs w:val="24"/>
          <w:lang w:val="en-GB"/>
          <w14:ligatures w14:val="standardContextual"/>
        </w:rPr>
        <w:t>，交付《公约》及其议定书工作方案所需方案预算（三个核心信托基金）</w:t>
      </w:r>
      <w:r w:rsidRPr="000C0842">
        <w:rPr>
          <w:rFonts w:eastAsia="SimSun" w:hint="eastAsia"/>
          <w:iCs/>
          <w:kern w:val="2"/>
          <w:sz w:val="24"/>
          <w:szCs w:val="24"/>
          <w:lang w:val="en-GB"/>
          <w14:ligatures w14:val="standardContextual"/>
        </w:rPr>
        <w:t>数额</w:t>
      </w:r>
      <w:r w:rsidRPr="000C0842">
        <w:rPr>
          <w:rFonts w:eastAsia="SimSun"/>
          <w:iCs/>
          <w:kern w:val="2"/>
          <w:sz w:val="24"/>
          <w:szCs w:val="24"/>
          <w:lang w:val="en-GB"/>
          <w14:ligatures w14:val="standardContextual"/>
        </w:rPr>
        <w:t>减去</w:t>
      </w:r>
      <w:r w:rsidRPr="000C0842">
        <w:rPr>
          <w:rFonts w:eastAsia="SimSun"/>
          <w:iCs/>
          <w:kern w:val="2"/>
          <w:sz w:val="24"/>
          <w:szCs w:val="24"/>
          <w:lang w:val="en-GB"/>
          <w14:ligatures w14:val="standardContextual"/>
        </w:rPr>
        <w:t>2025-2026</w:t>
      </w:r>
      <w:r w:rsidRPr="000C0842">
        <w:rPr>
          <w:rFonts w:eastAsia="SimSun"/>
          <w:iCs/>
          <w:kern w:val="2"/>
          <w:sz w:val="24"/>
          <w:szCs w:val="24"/>
          <w:lang w:val="en-GB"/>
          <w14:ligatures w14:val="standardContextual"/>
        </w:rPr>
        <w:t>两年期使用的未用余额</w:t>
      </w:r>
      <w:r w:rsidRPr="000C0842">
        <w:rPr>
          <w:rFonts w:eastAsia="SimSun" w:hint="eastAsia"/>
          <w:iCs/>
          <w:kern w:val="2"/>
          <w:sz w:val="24"/>
          <w:szCs w:val="24"/>
          <w:lang w:val="en-GB"/>
          <w14:ligatures w14:val="standardContextual"/>
        </w:rPr>
        <w:t>后的数额；</w:t>
      </w:r>
    </w:p>
    <w:p w14:paraId="0DF484A2" w14:textId="7E821BEE" w:rsidR="00A528CF" w:rsidRPr="000C0842" w:rsidRDefault="00A528CF">
      <w:pPr>
        <w:numPr>
          <w:ilvl w:val="0"/>
          <w:numId w:val="218"/>
        </w:numPr>
        <w:tabs>
          <w:tab w:val="clear" w:pos="567"/>
          <w:tab w:val="clear" w:pos="1134"/>
          <w:tab w:val="clear" w:pos="1701"/>
          <w:tab w:val="clear" w:pos="2268"/>
        </w:tabs>
        <w:spacing w:after="160" w:line="259" w:lineRule="auto"/>
        <w:ind w:firstLine="490"/>
        <w:jc w:val="left"/>
        <w:rPr>
          <w:rFonts w:eastAsia="SimSun"/>
          <w:iCs/>
          <w:kern w:val="2"/>
          <w:sz w:val="24"/>
          <w:szCs w:val="24"/>
          <w:lang w:val="en-GB"/>
          <w14:ligatures w14:val="standardContextual"/>
        </w:rPr>
      </w:pPr>
      <w:r w:rsidRPr="000C0842">
        <w:rPr>
          <w:rFonts w:eastAsia="SimSun" w:hint="eastAsia"/>
          <w:iCs/>
          <w:kern w:val="2"/>
          <w:sz w:val="24"/>
          <w:szCs w:val="24"/>
          <w:lang w:val="en-GB"/>
          <w14:ligatures w14:val="standardContextual"/>
        </w:rPr>
        <w:t>把方案预算</w:t>
      </w:r>
      <w:r w:rsidR="00FF7936" w:rsidRPr="000C0842">
        <w:rPr>
          <w:rFonts w:eastAsia="SimSun" w:hint="eastAsia"/>
          <w:iCs/>
          <w:kern w:val="2"/>
          <w:sz w:val="24"/>
          <w:szCs w:val="24"/>
          <w:lang w:val="en-GB"/>
          <w14:ligatures w14:val="standardContextual"/>
        </w:rPr>
        <w:t>（</w:t>
      </w:r>
      <w:r w:rsidRPr="000C0842">
        <w:rPr>
          <w:rFonts w:eastAsia="SimSun" w:hint="eastAsia"/>
          <w:iCs/>
          <w:kern w:val="2"/>
          <w:sz w:val="24"/>
          <w:szCs w:val="24"/>
          <w:lang w:val="en-GB"/>
          <w14:ligatures w14:val="standardContextual"/>
        </w:rPr>
        <w:t>三个核心信托基金</w:t>
      </w:r>
      <w:r w:rsidR="00FF7936" w:rsidRPr="000C0842">
        <w:rPr>
          <w:rFonts w:eastAsia="SimSun" w:hint="eastAsia"/>
          <w:iCs/>
          <w:kern w:val="2"/>
          <w:sz w:val="24"/>
          <w:szCs w:val="24"/>
          <w:lang w:val="en-GB"/>
          <w14:ligatures w14:val="standardContextual"/>
        </w:rPr>
        <w:t>）</w:t>
      </w:r>
      <w:r w:rsidRPr="000C0842">
        <w:rPr>
          <w:rFonts w:eastAsia="SimSun" w:hint="eastAsia"/>
          <w:iCs/>
          <w:kern w:val="2"/>
          <w:sz w:val="24"/>
          <w:szCs w:val="24"/>
          <w:lang w:val="en-GB"/>
          <w14:ligatures w14:val="standardContextual"/>
        </w:rPr>
        <w:t>的实际总额保持在</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5</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6</w:t>
      </w:r>
      <w:r w:rsidRPr="000C0842">
        <w:rPr>
          <w:rFonts w:eastAsia="SimSun" w:hint="eastAsia"/>
          <w:iCs/>
          <w:kern w:val="2"/>
          <w:sz w:val="24"/>
          <w:szCs w:val="24"/>
          <w:lang w:val="en-GB"/>
          <w14:ligatures w14:val="standardContextual"/>
        </w:rPr>
        <w:t>年总额减去</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5</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6</w:t>
      </w:r>
      <w:r w:rsidRPr="000C0842">
        <w:rPr>
          <w:rFonts w:eastAsia="SimSun" w:hint="eastAsia"/>
          <w:iCs/>
          <w:kern w:val="2"/>
          <w:sz w:val="24"/>
          <w:szCs w:val="24"/>
          <w:lang w:val="en-GB"/>
          <w14:ligatures w14:val="standardContextual"/>
        </w:rPr>
        <w:t>两年期使用的未用余额后的数额；</w:t>
      </w:r>
    </w:p>
    <w:p w14:paraId="7890FE22" w14:textId="55342399" w:rsidR="00A528CF" w:rsidRPr="000C0842" w:rsidRDefault="00A528CF">
      <w:pPr>
        <w:numPr>
          <w:ilvl w:val="0"/>
          <w:numId w:val="218"/>
        </w:numPr>
        <w:tabs>
          <w:tab w:val="clear" w:pos="567"/>
          <w:tab w:val="clear" w:pos="1134"/>
          <w:tab w:val="clear" w:pos="1701"/>
          <w:tab w:val="clear" w:pos="2268"/>
        </w:tabs>
        <w:spacing w:after="160" w:line="259" w:lineRule="auto"/>
        <w:ind w:firstLine="490"/>
        <w:jc w:val="left"/>
        <w:rPr>
          <w:rFonts w:eastAsia="SimSun"/>
          <w:iCs/>
          <w:kern w:val="2"/>
          <w:sz w:val="24"/>
          <w:szCs w:val="24"/>
          <w:lang w:val="en-GB"/>
          <w14:ligatures w14:val="standardContextual"/>
        </w:rPr>
      </w:pPr>
      <w:r w:rsidRPr="000C0842">
        <w:rPr>
          <w:rFonts w:eastAsia="SimSun" w:hint="eastAsia"/>
          <w:iCs/>
          <w:kern w:val="2"/>
          <w:sz w:val="24"/>
          <w:szCs w:val="24"/>
          <w:lang w:val="en-GB"/>
          <w14:ligatures w14:val="standardContextual"/>
        </w:rPr>
        <w:t>把方案预算</w:t>
      </w:r>
      <w:r w:rsidR="00FF7936" w:rsidRPr="000C0842">
        <w:rPr>
          <w:rFonts w:eastAsia="SimSun" w:hint="eastAsia"/>
          <w:iCs/>
          <w:kern w:val="2"/>
          <w:sz w:val="24"/>
          <w:szCs w:val="24"/>
          <w:lang w:val="en-GB"/>
          <w14:ligatures w14:val="standardContextual"/>
        </w:rPr>
        <w:t>（</w:t>
      </w:r>
      <w:r w:rsidRPr="000C0842">
        <w:rPr>
          <w:rFonts w:eastAsia="SimSun" w:hint="eastAsia"/>
          <w:iCs/>
          <w:kern w:val="2"/>
          <w:sz w:val="24"/>
          <w:szCs w:val="24"/>
          <w:lang w:val="en-GB"/>
          <w14:ligatures w14:val="standardContextual"/>
        </w:rPr>
        <w:t>三个核心信托基金</w:t>
      </w:r>
      <w:r w:rsidR="00FF7936" w:rsidRPr="000C0842">
        <w:rPr>
          <w:rFonts w:eastAsia="SimSun" w:hint="eastAsia"/>
          <w:iCs/>
          <w:kern w:val="2"/>
          <w:sz w:val="24"/>
          <w:szCs w:val="24"/>
          <w:lang w:val="en-GB"/>
          <w14:ligatures w14:val="standardContextual"/>
        </w:rPr>
        <w:t>）</w:t>
      </w:r>
      <w:r w:rsidRPr="000C0842">
        <w:rPr>
          <w:rFonts w:eastAsia="SimSun" w:hint="eastAsia"/>
          <w:iCs/>
          <w:kern w:val="2"/>
          <w:sz w:val="24"/>
          <w:szCs w:val="24"/>
          <w:lang w:val="en-GB"/>
          <w14:ligatures w14:val="standardContextual"/>
        </w:rPr>
        <w:t>的名义总额保持在</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5</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6</w:t>
      </w:r>
      <w:r w:rsidRPr="000C0842">
        <w:rPr>
          <w:rFonts w:eastAsia="SimSun" w:hint="eastAsia"/>
          <w:iCs/>
          <w:kern w:val="2"/>
          <w:sz w:val="24"/>
          <w:szCs w:val="24"/>
          <w:lang w:val="en-GB"/>
          <w14:ligatures w14:val="standardContextual"/>
        </w:rPr>
        <w:t>年总额减去</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5</w:t>
      </w:r>
      <w:r w:rsidRPr="000C0842">
        <w:rPr>
          <w:rFonts w:eastAsia="SimSun"/>
          <w:iCs/>
          <w:kern w:val="2"/>
          <w:sz w:val="24"/>
          <w:szCs w:val="24"/>
          <w:lang w:val="en-GB"/>
          <w14:ligatures w14:val="standardContextual"/>
        </w:rPr>
        <w:t>-202</w:t>
      </w:r>
      <w:r w:rsidRPr="000C0842">
        <w:rPr>
          <w:rFonts w:eastAsia="SimSun" w:hint="eastAsia"/>
          <w:iCs/>
          <w:kern w:val="2"/>
          <w:sz w:val="24"/>
          <w:szCs w:val="24"/>
          <w:lang w:val="en-GB"/>
          <w14:ligatures w14:val="standardContextual"/>
        </w:rPr>
        <w:t>6</w:t>
      </w:r>
      <w:r w:rsidRPr="000C0842">
        <w:rPr>
          <w:rFonts w:eastAsia="SimSun" w:hint="eastAsia"/>
          <w:iCs/>
          <w:kern w:val="2"/>
          <w:sz w:val="24"/>
          <w:szCs w:val="24"/>
          <w:lang w:val="en-GB"/>
          <w14:ligatures w14:val="standardContextual"/>
        </w:rPr>
        <w:t>两年期使用的未用余额后的数额；</w:t>
      </w:r>
    </w:p>
    <w:p w14:paraId="6D7262E6" w14:textId="02895912"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又请</w:t>
      </w:r>
      <w:r w:rsidRPr="000C0842">
        <w:rPr>
          <w:rFonts w:eastAsia="SimSun" w:hint="eastAsia"/>
          <w:sz w:val="24"/>
          <w:szCs w:val="24"/>
          <w:lang w:val="en-GB"/>
        </w:rPr>
        <w:t>执行秘书采取一切可能措施提高秘书处的效力和效率，同时考虑到</w:t>
      </w:r>
      <w:r w:rsidRPr="000C0842">
        <w:rPr>
          <w:rFonts w:eastAsia="SimSun" w:hint="eastAsia"/>
          <w:sz w:val="24"/>
          <w:szCs w:val="24"/>
          <w:lang w:val="en-GB"/>
        </w:rPr>
        <w:t>2024</w:t>
      </w:r>
      <w:r w:rsidRPr="000C0842">
        <w:rPr>
          <w:rFonts w:eastAsia="SimSun" w:hint="eastAsia"/>
          <w:sz w:val="24"/>
          <w:szCs w:val="24"/>
          <w:lang w:val="en-GB"/>
        </w:rPr>
        <w:t>年</w:t>
      </w:r>
      <w:r w:rsidRPr="000C0842">
        <w:rPr>
          <w:rFonts w:eastAsia="SimSun" w:hint="eastAsia"/>
          <w:sz w:val="24"/>
          <w:szCs w:val="24"/>
          <w:lang w:val="en-GB"/>
        </w:rPr>
        <w:t>11</w:t>
      </w:r>
      <w:r w:rsidRPr="000C0842">
        <w:rPr>
          <w:rFonts w:eastAsia="SimSun" w:hint="eastAsia"/>
          <w:sz w:val="24"/>
          <w:szCs w:val="24"/>
          <w:lang w:val="en-GB"/>
        </w:rPr>
        <w:t>月</w:t>
      </w:r>
      <w:r w:rsidRPr="000C0842">
        <w:rPr>
          <w:rFonts w:eastAsia="SimSun" w:hint="eastAsia"/>
          <w:sz w:val="24"/>
          <w:szCs w:val="24"/>
          <w:lang w:val="en-GB"/>
        </w:rPr>
        <w:t>1</w:t>
      </w:r>
      <w:r w:rsidRPr="000C0842">
        <w:rPr>
          <w:rFonts w:eastAsia="SimSun" w:hint="eastAsia"/>
          <w:sz w:val="24"/>
          <w:szCs w:val="24"/>
          <w:lang w:val="en-GB"/>
        </w:rPr>
        <w:t>日关于</w:t>
      </w:r>
      <w:r w:rsidRPr="000C0842">
        <w:rPr>
          <w:rFonts w:eastAsia="SimSun"/>
          <w:sz w:val="24"/>
          <w:szCs w:val="24"/>
          <w:lang w:val="en-GB"/>
        </w:rPr>
        <w:t>进一步提高《公约》及其议定书下</w:t>
      </w:r>
      <w:r w:rsidRPr="000C0842">
        <w:rPr>
          <w:rFonts w:eastAsia="SimSun" w:hint="eastAsia"/>
          <w:sz w:val="24"/>
          <w:szCs w:val="24"/>
          <w:lang w:val="en-GB"/>
        </w:rPr>
        <w:t>进程</w:t>
      </w:r>
      <w:r w:rsidR="00930119" w:rsidRPr="000C0842">
        <w:rPr>
          <w:rFonts w:eastAsia="SimSun" w:hint="eastAsia"/>
          <w:sz w:val="24"/>
          <w:szCs w:val="24"/>
          <w:lang w:val="en-GB"/>
        </w:rPr>
        <w:t>的成效</w:t>
      </w:r>
      <w:r w:rsidRPr="000C0842">
        <w:rPr>
          <w:rFonts w:eastAsia="SimSun"/>
          <w:sz w:val="24"/>
          <w:szCs w:val="24"/>
          <w:lang w:val="en-GB"/>
        </w:rPr>
        <w:t>的</w:t>
      </w:r>
      <w:r w:rsidRPr="000C0842">
        <w:rPr>
          <w:rFonts w:eastAsia="SimSun" w:hint="eastAsia"/>
          <w:sz w:val="24"/>
          <w:szCs w:val="24"/>
          <w:lang w:val="en-GB"/>
        </w:rPr>
        <w:t>备选方案的第</w:t>
      </w:r>
      <w:hyperlink r:id="rId251" w:history="1">
        <w:r w:rsidRPr="000C0842">
          <w:rPr>
            <w:rStyle w:val="Hyperlink"/>
            <w:rFonts w:eastAsia="SimSun" w:hint="eastAsia"/>
            <w:color w:val="auto"/>
            <w:sz w:val="24"/>
            <w:szCs w:val="24"/>
            <w:lang w:val="en-GB"/>
          </w:rPr>
          <w:t>16/25</w:t>
        </w:r>
      </w:hyperlink>
      <w:r w:rsidRPr="000C0842">
        <w:rPr>
          <w:rFonts w:eastAsia="SimSun" w:hint="eastAsia"/>
          <w:sz w:val="24"/>
          <w:szCs w:val="24"/>
          <w:lang w:val="en-GB"/>
        </w:rPr>
        <w:t>号决定以及秘书处在缔约方大会第十七届会议之前闭会期间开展的工作，并在上述三种情景</w:t>
      </w:r>
      <w:r w:rsidR="00930119" w:rsidRPr="000C0842">
        <w:rPr>
          <w:rFonts w:eastAsia="SimSun" w:hint="eastAsia"/>
          <w:sz w:val="24"/>
          <w:szCs w:val="24"/>
          <w:lang w:val="en-GB"/>
        </w:rPr>
        <w:t>设想</w:t>
      </w:r>
      <w:r w:rsidRPr="000C0842">
        <w:rPr>
          <w:rFonts w:eastAsia="SimSun" w:hint="eastAsia"/>
          <w:sz w:val="24"/>
          <w:szCs w:val="24"/>
          <w:lang w:val="en-GB"/>
        </w:rPr>
        <w:t>中反映这些措施；</w:t>
      </w:r>
    </w:p>
    <w:p w14:paraId="5848F7D5"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还</w:t>
      </w:r>
      <w:r w:rsidRPr="000C0842">
        <w:rPr>
          <w:rFonts w:ascii="KaiTi" w:eastAsia="KaiTi" w:hAnsi="KaiTi"/>
          <w:sz w:val="24"/>
          <w:szCs w:val="24"/>
          <w:lang w:val="en-GB"/>
        </w:rPr>
        <w:t>请</w:t>
      </w:r>
      <w:r w:rsidRPr="000C0842">
        <w:rPr>
          <w:rFonts w:eastAsia="SimSun"/>
          <w:sz w:val="24"/>
          <w:szCs w:val="24"/>
          <w:lang w:val="en-GB"/>
        </w:rPr>
        <w:t>执行秘书</w:t>
      </w:r>
      <w:r w:rsidRPr="000C0842">
        <w:rPr>
          <w:rFonts w:eastAsia="SimSun" w:hint="eastAsia"/>
          <w:sz w:val="24"/>
          <w:szCs w:val="24"/>
          <w:lang w:val="en-GB"/>
        </w:rPr>
        <w:t>在公约缔约方大会第十七届会议、</w:t>
      </w:r>
      <w:r w:rsidRPr="000C0842">
        <w:rPr>
          <w:rFonts w:eastAsia="SimSun"/>
          <w:sz w:val="24"/>
          <w:szCs w:val="24"/>
          <w:lang w:val="en-GB"/>
        </w:rPr>
        <w:t>作为</w:t>
      </w:r>
      <w:r w:rsidRPr="000C0842">
        <w:rPr>
          <w:rFonts w:eastAsia="SimSun" w:hint="eastAsia"/>
          <w:sz w:val="24"/>
          <w:szCs w:val="24"/>
          <w:lang w:val="en-GB"/>
        </w:rPr>
        <w:t>卡塔赫纳</w:t>
      </w:r>
      <w:r w:rsidRPr="000C0842">
        <w:rPr>
          <w:rFonts w:eastAsia="SimSun"/>
          <w:sz w:val="24"/>
          <w:szCs w:val="24"/>
          <w:lang w:val="en-GB"/>
        </w:rPr>
        <w:t>议定书缔约方会议的缔约方大会</w:t>
      </w:r>
      <w:r w:rsidRPr="000C0842">
        <w:rPr>
          <w:rFonts w:eastAsia="SimSun" w:hint="eastAsia"/>
          <w:sz w:val="24"/>
          <w:szCs w:val="24"/>
          <w:lang w:val="en-GB"/>
        </w:rPr>
        <w:t>第十二次会议和作为名古屋议定书缔约方会议的缔约方大会第六次会议之前</w:t>
      </w:r>
      <w:r w:rsidRPr="000C0842">
        <w:rPr>
          <w:rFonts w:eastAsia="SimSun"/>
          <w:sz w:val="24"/>
          <w:szCs w:val="24"/>
          <w:lang w:val="en-GB"/>
        </w:rPr>
        <w:t>向</w:t>
      </w:r>
      <w:r w:rsidRPr="000C0842">
        <w:rPr>
          <w:rFonts w:eastAsia="SimSun" w:hint="eastAsia"/>
          <w:sz w:val="24"/>
          <w:szCs w:val="24"/>
          <w:lang w:val="en-GB"/>
        </w:rPr>
        <w:t>执行问题附属机构</w:t>
      </w:r>
      <w:r w:rsidRPr="000C0842">
        <w:rPr>
          <w:rFonts w:eastAsia="SimSun"/>
          <w:sz w:val="24"/>
          <w:szCs w:val="24"/>
          <w:lang w:val="en-GB"/>
        </w:rPr>
        <w:t>报告收入和预算执行情况、未用余额、盈余和结转情况以及对</w:t>
      </w:r>
      <w:r w:rsidRPr="000C0842">
        <w:rPr>
          <w:rFonts w:eastAsia="SimSun"/>
          <w:sz w:val="24"/>
          <w:szCs w:val="24"/>
          <w:lang w:val="en-GB"/>
        </w:rPr>
        <w:t>202</w:t>
      </w:r>
      <w:r w:rsidRPr="000C0842">
        <w:rPr>
          <w:rFonts w:eastAsia="SimSun" w:hint="eastAsia"/>
          <w:sz w:val="24"/>
          <w:szCs w:val="24"/>
          <w:lang w:val="en-GB"/>
        </w:rPr>
        <w:t>5</w:t>
      </w:r>
      <w:r w:rsidRPr="000C0842">
        <w:rPr>
          <w:rFonts w:eastAsia="SimSun"/>
          <w:sz w:val="24"/>
          <w:szCs w:val="24"/>
          <w:lang w:val="en-GB"/>
        </w:rPr>
        <w:t>-202</w:t>
      </w:r>
      <w:r w:rsidRPr="000C0842">
        <w:rPr>
          <w:rFonts w:eastAsia="SimSun" w:hint="eastAsia"/>
          <w:sz w:val="24"/>
          <w:szCs w:val="24"/>
          <w:lang w:val="en-GB"/>
        </w:rPr>
        <w:t>6</w:t>
      </w:r>
      <w:r w:rsidRPr="000C0842">
        <w:rPr>
          <w:rFonts w:eastAsia="SimSun"/>
          <w:sz w:val="24"/>
          <w:szCs w:val="24"/>
          <w:lang w:val="en-GB"/>
        </w:rPr>
        <w:t>两年期预算的任何调整</w:t>
      </w:r>
      <w:r w:rsidRPr="000C0842">
        <w:rPr>
          <w:rFonts w:eastAsia="SimSun" w:hint="eastAsia"/>
          <w:sz w:val="24"/>
          <w:szCs w:val="24"/>
          <w:lang w:val="en-GB"/>
        </w:rPr>
        <w:t>；</w:t>
      </w:r>
    </w:p>
    <w:p w14:paraId="02587DF9" w14:textId="1D651AA0"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4"/>
          <w:szCs w:val="24"/>
          <w:lang w:val="en-GB"/>
        </w:rPr>
      </w:pPr>
      <w:r w:rsidRPr="000C0842">
        <w:rPr>
          <w:rFonts w:ascii="KaiTi" w:eastAsia="KaiTi" w:hAnsi="KaiTi" w:hint="eastAsia"/>
          <w:sz w:val="24"/>
          <w:szCs w:val="24"/>
          <w:lang w:val="en-GB"/>
        </w:rPr>
        <w:t>关切地注意到</w:t>
      </w:r>
      <w:r w:rsidRPr="000C0842">
        <w:rPr>
          <w:rFonts w:eastAsia="SimSun" w:hint="eastAsia"/>
          <w:sz w:val="24"/>
          <w:szCs w:val="24"/>
          <w:lang w:val="en-GB"/>
        </w:rPr>
        <w:t>预算文件未能在公约缔约方大会第十六届会议、</w:t>
      </w:r>
      <w:r w:rsidRPr="000C0842">
        <w:rPr>
          <w:rFonts w:eastAsia="SimSun"/>
          <w:sz w:val="24"/>
          <w:szCs w:val="24"/>
          <w:lang w:val="en-GB"/>
        </w:rPr>
        <w:t>作为</w:t>
      </w:r>
      <w:r w:rsidRPr="000C0842">
        <w:rPr>
          <w:rFonts w:eastAsia="SimSun" w:hint="eastAsia"/>
          <w:sz w:val="24"/>
          <w:szCs w:val="24"/>
          <w:lang w:val="en-GB"/>
        </w:rPr>
        <w:t>卡塔赫纳</w:t>
      </w:r>
      <w:r w:rsidRPr="000C0842">
        <w:rPr>
          <w:rFonts w:eastAsia="SimSun"/>
          <w:sz w:val="24"/>
          <w:szCs w:val="24"/>
          <w:lang w:val="en-GB"/>
        </w:rPr>
        <w:t>议定书缔约方会议的缔约方大会</w:t>
      </w:r>
      <w:r w:rsidRPr="000C0842">
        <w:rPr>
          <w:rFonts w:eastAsia="SimSun" w:hint="eastAsia"/>
          <w:sz w:val="24"/>
          <w:szCs w:val="24"/>
          <w:lang w:val="en-GB"/>
        </w:rPr>
        <w:t>第十一次会议和作为名古屋议定书缔约方会议的缔约方大会第五次会议之前及时提交，敦促执行秘书采取必要措施，确保公约缔约方大会第十七届会议、</w:t>
      </w:r>
      <w:r w:rsidRPr="000C0842">
        <w:rPr>
          <w:rFonts w:eastAsia="SimSun"/>
          <w:sz w:val="24"/>
          <w:szCs w:val="24"/>
          <w:lang w:val="en-GB"/>
        </w:rPr>
        <w:t>作为</w:t>
      </w:r>
      <w:r w:rsidRPr="000C0842">
        <w:rPr>
          <w:rFonts w:eastAsia="SimSun" w:hint="eastAsia"/>
          <w:sz w:val="24"/>
          <w:szCs w:val="24"/>
          <w:lang w:val="en-GB"/>
        </w:rPr>
        <w:t>卡塔赫纳</w:t>
      </w:r>
      <w:r w:rsidRPr="000C0842">
        <w:rPr>
          <w:rFonts w:eastAsia="SimSun"/>
          <w:sz w:val="24"/>
          <w:szCs w:val="24"/>
          <w:lang w:val="en-GB"/>
        </w:rPr>
        <w:t>议定书缔约方会议的缔约方大会</w:t>
      </w:r>
      <w:r w:rsidRPr="000C0842">
        <w:rPr>
          <w:rFonts w:eastAsia="SimSun" w:hint="eastAsia"/>
          <w:sz w:val="24"/>
          <w:szCs w:val="24"/>
          <w:lang w:val="en-GB"/>
        </w:rPr>
        <w:t>第十二次会议和作为名古屋议定书缔约方会议的缔约方大会第六次会议的预算文件完全按照</w:t>
      </w:r>
      <w:r w:rsidRPr="000C0842">
        <w:rPr>
          <w:rFonts w:eastAsia="SimSun" w:hint="eastAsia"/>
          <w:sz w:val="24"/>
          <w:szCs w:val="24"/>
          <w:lang w:val="en-GB"/>
        </w:rPr>
        <w:t>1994</w:t>
      </w:r>
      <w:r w:rsidRPr="000C0842">
        <w:rPr>
          <w:rFonts w:eastAsia="SimSun" w:hint="eastAsia"/>
          <w:sz w:val="24"/>
          <w:szCs w:val="24"/>
          <w:lang w:val="en-GB"/>
        </w:rPr>
        <w:t>年</w:t>
      </w:r>
      <w:r w:rsidRPr="000C0842">
        <w:rPr>
          <w:rFonts w:eastAsia="SimSun" w:hint="eastAsia"/>
          <w:sz w:val="24"/>
          <w:szCs w:val="24"/>
          <w:lang w:val="en-GB"/>
        </w:rPr>
        <w:t>12</w:t>
      </w:r>
      <w:r w:rsidRPr="000C0842">
        <w:rPr>
          <w:rFonts w:eastAsia="SimSun" w:hint="eastAsia"/>
          <w:sz w:val="24"/>
          <w:szCs w:val="24"/>
          <w:lang w:val="en-GB"/>
        </w:rPr>
        <w:t>月</w:t>
      </w:r>
      <w:r w:rsidRPr="000C0842">
        <w:rPr>
          <w:rFonts w:eastAsia="SimSun" w:hint="eastAsia"/>
          <w:sz w:val="24"/>
          <w:szCs w:val="24"/>
          <w:lang w:val="en-GB"/>
        </w:rPr>
        <w:t>9</w:t>
      </w:r>
      <w:r w:rsidRPr="000C0842">
        <w:rPr>
          <w:rFonts w:eastAsia="SimSun" w:hint="eastAsia"/>
          <w:sz w:val="24"/>
          <w:szCs w:val="24"/>
          <w:lang w:val="en-GB"/>
        </w:rPr>
        <w:t>日第</w:t>
      </w:r>
      <w:hyperlink r:id="rId252" w:history="1">
        <w:r w:rsidRPr="000C0842">
          <w:rPr>
            <w:rFonts w:eastAsia="SimSun"/>
            <w:sz w:val="24"/>
            <w:szCs w:val="24"/>
            <w:u w:val="single"/>
            <w:lang w:val="en-GB"/>
          </w:rPr>
          <w:t>I/6</w:t>
        </w:r>
      </w:hyperlink>
      <w:r w:rsidRPr="000C0842">
        <w:rPr>
          <w:rFonts w:eastAsia="SimSun" w:hint="eastAsia"/>
          <w:sz w:val="24"/>
          <w:szCs w:val="24"/>
          <w:lang w:val="en-GB"/>
        </w:rPr>
        <w:t>号决定附件一第</w:t>
      </w:r>
      <w:r w:rsidRPr="000C0842">
        <w:rPr>
          <w:rFonts w:eastAsia="SimSun" w:hint="eastAsia"/>
          <w:sz w:val="24"/>
          <w:szCs w:val="24"/>
          <w:lang w:val="en-GB"/>
        </w:rPr>
        <w:t>7(a)</w:t>
      </w:r>
      <w:r w:rsidRPr="000C0842">
        <w:rPr>
          <w:rFonts w:eastAsia="SimSun" w:hint="eastAsia"/>
          <w:sz w:val="24"/>
          <w:szCs w:val="24"/>
          <w:lang w:val="en-GB"/>
        </w:rPr>
        <w:t>段所定</w:t>
      </w:r>
      <w:r w:rsidRPr="000C0842">
        <w:rPr>
          <w:rFonts w:eastAsia="SimSun" w:hint="eastAsia"/>
          <w:sz w:val="24"/>
          <w:szCs w:val="24"/>
          <w:lang w:val="en-GB"/>
        </w:rPr>
        <w:t>90</w:t>
      </w:r>
      <w:r w:rsidRPr="000C0842">
        <w:rPr>
          <w:rFonts w:eastAsia="SimSun" w:hint="eastAsia"/>
          <w:sz w:val="24"/>
          <w:szCs w:val="24"/>
          <w:lang w:val="en-GB"/>
        </w:rPr>
        <w:t>天时限分发，并随时向主席团通报预算</w:t>
      </w:r>
      <w:r w:rsidR="00807144" w:rsidRPr="000C0842">
        <w:rPr>
          <w:rFonts w:eastAsia="SimSun" w:hint="eastAsia"/>
          <w:sz w:val="24"/>
          <w:szCs w:val="24"/>
          <w:lang w:val="en-GB"/>
        </w:rPr>
        <w:t>编制</w:t>
      </w:r>
      <w:r w:rsidRPr="000C0842">
        <w:rPr>
          <w:rFonts w:eastAsia="SimSun" w:hint="eastAsia"/>
          <w:sz w:val="24"/>
          <w:szCs w:val="24"/>
          <w:lang w:val="en-GB"/>
        </w:rPr>
        <w:t>工作的进展情况</w:t>
      </w:r>
      <w:r w:rsidRPr="000C0842">
        <w:rPr>
          <w:rFonts w:eastAsia="SimSun"/>
          <w:sz w:val="24"/>
          <w:szCs w:val="24"/>
          <w:lang w:val="en-GB"/>
        </w:rPr>
        <w:t>;</w:t>
      </w:r>
    </w:p>
    <w:p w14:paraId="17E579E6" w14:textId="77777777" w:rsidR="00A528CF" w:rsidRPr="000C0842" w:rsidRDefault="00A528CF">
      <w:pPr>
        <w:numPr>
          <w:ilvl w:val="0"/>
          <w:numId w:val="217"/>
        </w:numPr>
        <w:tabs>
          <w:tab w:val="clear" w:pos="567"/>
          <w:tab w:val="clear" w:pos="1134"/>
          <w:tab w:val="clear" w:pos="1701"/>
          <w:tab w:val="clear" w:pos="2268"/>
        </w:tabs>
        <w:snapToGrid w:val="0"/>
        <w:spacing w:before="120" w:after="120" w:line="240" w:lineRule="atLeast"/>
        <w:ind w:left="490" w:firstLine="490"/>
        <w:rPr>
          <w:rFonts w:eastAsia="SimSun"/>
          <w:sz w:val="20"/>
          <w:szCs w:val="20"/>
          <w:lang w:val="en-GB"/>
        </w:rPr>
      </w:pPr>
      <w:r w:rsidRPr="000C0842">
        <w:rPr>
          <w:rFonts w:ascii="KaiTi" w:eastAsia="KaiTi" w:hAnsi="KaiTi"/>
          <w:sz w:val="24"/>
          <w:szCs w:val="24"/>
          <w:lang w:val="en-GB"/>
        </w:rPr>
        <w:t>注意到</w:t>
      </w:r>
      <w:r w:rsidRPr="000C0842">
        <w:rPr>
          <w:rFonts w:eastAsia="SimSun"/>
          <w:sz w:val="24"/>
          <w:szCs w:val="24"/>
          <w:lang w:val="en-GB"/>
        </w:rPr>
        <w:t>执行秘书提供的关于</w:t>
      </w:r>
      <w:r w:rsidRPr="000C0842">
        <w:rPr>
          <w:rFonts w:eastAsia="SimSun"/>
          <w:sz w:val="24"/>
          <w:szCs w:val="24"/>
          <w:lang w:val="en-GB"/>
        </w:rPr>
        <w:t>2023-2024</w:t>
      </w:r>
      <w:r w:rsidRPr="000C0842">
        <w:rPr>
          <w:rFonts w:eastAsia="SimSun"/>
          <w:sz w:val="24"/>
          <w:szCs w:val="24"/>
          <w:lang w:val="en-GB"/>
        </w:rPr>
        <w:t>两年期《公约》及其议定书管理的信息</w:t>
      </w:r>
      <w:r w:rsidRPr="000C0842">
        <w:rPr>
          <w:rFonts w:eastAsia="SimSun"/>
          <w:sz w:val="24"/>
          <w:szCs w:val="24"/>
          <w:vertAlign w:val="superscript"/>
          <w:lang w:val="en-GB"/>
        </w:rPr>
        <w:footnoteReference w:id="388"/>
      </w:r>
      <w:r w:rsidRPr="000C0842">
        <w:rPr>
          <w:rFonts w:eastAsia="SimSun"/>
          <w:sz w:val="24"/>
          <w:szCs w:val="24"/>
          <w:lang w:val="en-GB"/>
        </w:rPr>
        <w:t>，特别是</w:t>
      </w:r>
      <w:r w:rsidRPr="000C0842">
        <w:rPr>
          <w:rFonts w:eastAsia="SimSun"/>
          <w:sz w:val="24"/>
          <w:szCs w:val="24"/>
          <w:lang w:val="en-GB"/>
        </w:rPr>
        <w:t>2023-2024</w:t>
      </w:r>
      <w:r w:rsidRPr="000C0842">
        <w:rPr>
          <w:rFonts w:eastAsia="SimSun"/>
          <w:sz w:val="24"/>
          <w:szCs w:val="24"/>
          <w:lang w:val="en-GB"/>
        </w:rPr>
        <w:t>年综合预算执行情况，并请执行秘书在缔约方</w:t>
      </w:r>
      <w:r w:rsidRPr="000C0842">
        <w:rPr>
          <w:rFonts w:eastAsia="SimSun" w:hint="eastAsia"/>
          <w:sz w:val="24"/>
          <w:szCs w:val="24"/>
          <w:lang w:val="en-GB"/>
        </w:rPr>
        <w:t>大会</w:t>
      </w:r>
      <w:r w:rsidRPr="000C0842">
        <w:rPr>
          <w:rFonts w:eastAsia="SimSun"/>
          <w:sz w:val="24"/>
          <w:szCs w:val="24"/>
          <w:lang w:val="en-GB"/>
        </w:rPr>
        <w:t>未来所有会议上提交</w:t>
      </w:r>
      <w:r w:rsidRPr="000C0842">
        <w:rPr>
          <w:rFonts w:eastAsia="SimSun" w:hint="eastAsia"/>
          <w:sz w:val="24"/>
          <w:szCs w:val="24"/>
          <w:lang w:val="en-GB"/>
        </w:rPr>
        <w:t>关于</w:t>
      </w:r>
      <w:r w:rsidRPr="000C0842">
        <w:rPr>
          <w:rFonts w:eastAsia="SimSun"/>
          <w:sz w:val="24"/>
          <w:szCs w:val="24"/>
          <w:lang w:val="en-GB"/>
        </w:rPr>
        <w:t>核心和自愿信托基金预算执行情况的信息，</w:t>
      </w:r>
      <w:r w:rsidRPr="000C0842">
        <w:rPr>
          <w:rFonts w:eastAsia="SimSun" w:hint="eastAsia"/>
          <w:sz w:val="24"/>
          <w:szCs w:val="24"/>
          <w:lang w:val="en-GB"/>
        </w:rPr>
        <w:t>使</w:t>
      </w:r>
      <w:r w:rsidRPr="000C0842">
        <w:rPr>
          <w:rFonts w:eastAsia="SimSun"/>
          <w:sz w:val="24"/>
          <w:szCs w:val="24"/>
          <w:lang w:val="en-GB"/>
        </w:rPr>
        <w:t>缔约方</w:t>
      </w:r>
      <w:r w:rsidRPr="000C0842">
        <w:rPr>
          <w:rFonts w:eastAsia="SimSun" w:hint="eastAsia"/>
          <w:sz w:val="24"/>
          <w:szCs w:val="24"/>
          <w:lang w:val="en-GB"/>
        </w:rPr>
        <w:t>得到一份关于</w:t>
      </w:r>
      <w:r w:rsidRPr="000C0842">
        <w:rPr>
          <w:rFonts w:eastAsia="SimSun"/>
          <w:sz w:val="24"/>
          <w:szCs w:val="24"/>
          <w:lang w:val="en-GB"/>
        </w:rPr>
        <w:t>《公约》下</w:t>
      </w:r>
      <w:r w:rsidRPr="000C0842">
        <w:rPr>
          <w:rFonts w:eastAsia="SimSun" w:hint="eastAsia"/>
          <w:sz w:val="24"/>
          <w:szCs w:val="24"/>
          <w:lang w:val="en-GB"/>
        </w:rPr>
        <w:t>所</w:t>
      </w:r>
      <w:r w:rsidRPr="000C0842">
        <w:rPr>
          <w:rFonts w:eastAsia="SimSun"/>
          <w:sz w:val="24"/>
          <w:szCs w:val="24"/>
          <w:lang w:val="en-GB"/>
        </w:rPr>
        <w:t>发生支出</w:t>
      </w:r>
      <w:r w:rsidRPr="000C0842">
        <w:rPr>
          <w:rFonts w:eastAsia="SimSun" w:hint="eastAsia"/>
          <w:sz w:val="24"/>
          <w:szCs w:val="24"/>
          <w:lang w:val="en-GB"/>
        </w:rPr>
        <w:t>的完整</w:t>
      </w:r>
      <w:r w:rsidRPr="000C0842">
        <w:rPr>
          <w:rFonts w:eastAsia="SimSun"/>
          <w:sz w:val="24"/>
          <w:szCs w:val="24"/>
          <w:lang w:val="en-GB"/>
        </w:rPr>
        <w:t>报告。</w:t>
      </w:r>
      <w:r w:rsidRPr="000C0842">
        <w:rPr>
          <w:rFonts w:eastAsia="SimSun"/>
          <w:sz w:val="20"/>
          <w:szCs w:val="20"/>
          <w:lang w:val="en-GB"/>
        </w:rPr>
        <w:t xml:space="preserve"> </w:t>
      </w:r>
      <w:bookmarkEnd w:id="109"/>
    </w:p>
    <w:p w14:paraId="59822820" w14:textId="77777777" w:rsidR="00A528CF" w:rsidRPr="000C0842" w:rsidRDefault="00A528CF" w:rsidP="00A528CF">
      <w:pPr>
        <w:rPr>
          <w:rFonts w:eastAsia="SimSun"/>
          <w:sz w:val="20"/>
          <w:szCs w:val="20"/>
          <w:lang w:val="en-GB"/>
        </w:rPr>
      </w:pPr>
    </w:p>
    <w:p w14:paraId="714A2D9C" w14:textId="77777777" w:rsidR="00A528CF" w:rsidRPr="000C0842" w:rsidRDefault="00A528CF" w:rsidP="00824847">
      <w:pPr>
        <w:keepNext/>
        <w:ind w:left="490"/>
        <w:rPr>
          <w:rFonts w:eastAsia="SimSun"/>
          <w:sz w:val="24"/>
          <w:szCs w:val="24"/>
          <w:lang w:val="en-GB"/>
        </w:rPr>
      </w:pPr>
      <w:r w:rsidRPr="000C0842">
        <w:rPr>
          <w:rFonts w:eastAsia="SimSun"/>
          <w:sz w:val="24"/>
          <w:szCs w:val="24"/>
          <w:lang w:val="en-GB"/>
        </w:rPr>
        <w:t>表</w:t>
      </w:r>
      <w:r w:rsidRPr="000C0842">
        <w:rPr>
          <w:rFonts w:eastAsia="SimSun"/>
          <w:sz w:val="24"/>
          <w:szCs w:val="24"/>
          <w:lang w:val="en-GB"/>
        </w:rPr>
        <w:t xml:space="preserve"> 1</w:t>
      </w:r>
    </w:p>
    <w:p w14:paraId="45C4BFA5" w14:textId="607FE667" w:rsidR="00A528CF" w:rsidRPr="000C0842" w:rsidRDefault="00A528CF" w:rsidP="00824847">
      <w:pPr>
        <w:keepNext/>
        <w:ind w:left="490"/>
        <w:rPr>
          <w:rFonts w:eastAsia="SimSun"/>
          <w:b/>
          <w:bCs/>
          <w:sz w:val="24"/>
          <w:szCs w:val="24"/>
          <w:lang w:val="en-GB"/>
        </w:rPr>
      </w:pPr>
      <w:r w:rsidRPr="000C0842">
        <w:rPr>
          <w:rFonts w:eastAsia="SimSun"/>
          <w:b/>
          <w:bCs/>
          <w:sz w:val="24"/>
          <w:szCs w:val="24"/>
          <w:lang w:val="en-GB"/>
        </w:rPr>
        <w:t>202</w:t>
      </w:r>
      <w:r w:rsidRPr="000C0842">
        <w:rPr>
          <w:rFonts w:eastAsia="SimSun" w:hint="eastAsia"/>
          <w:b/>
          <w:bCs/>
          <w:sz w:val="24"/>
          <w:szCs w:val="24"/>
          <w:lang w:val="en-GB"/>
        </w:rPr>
        <w:t>5</w:t>
      </w:r>
      <w:r w:rsidRPr="000C0842">
        <w:rPr>
          <w:rFonts w:eastAsia="SimSun"/>
          <w:b/>
          <w:bCs/>
          <w:sz w:val="24"/>
          <w:szCs w:val="24"/>
          <w:lang w:val="en-GB"/>
        </w:rPr>
        <w:t>-202</w:t>
      </w:r>
      <w:r w:rsidRPr="000C0842">
        <w:rPr>
          <w:rFonts w:eastAsia="SimSun" w:hint="eastAsia"/>
          <w:b/>
          <w:bCs/>
          <w:sz w:val="24"/>
          <w:szCs w:val="24"/>
          <w:lang w:val="en-GB"/>
        </w:rPr>
        <w:t>6</w:t>
      </w:r>
      <w:r w:rsidRPr="000C0842">
        <w:rPr>
          <w:rFonts w:eastAsia="SimSun"/>
          <w:b/>
          <w:bCs/>
          <w:sz w:val="24"/>
          <w:szCs w:val="24"/>
          <w:lang w:val="en-GB"/>
        </w:rPr>
        <w:t>年</w:t>
      </w:r>
      <w:r w:rsidRPr="000C0842">
        <w:rPr>
          <w:rFonts w:eastAsia="SimSun" w:hint="eastAsia"/>
          <w:b/>
          <w:bCs/>
          <w:sz w:val="24"/>
          <w:szCs w:val="24"/>
          <w:lang w:val="en-GB"/>
        </w:rPr>
        <w:t>《</w:t>
      </w:r>
      <w:r w:rsidRPr="000C0842">
        <w:rPr>
          <w:rFonts w:eastAsia="SimSun"/>
          <w:b/>
          <w:bCs/>
          <w:sz w:val="24"/>
          <w:szCs w:val="24"/>
          <w:lang w:val="en-GB"/>
        </w:rPr>
        <w:t>公约</w:t>
      </w:r>
      <w:r w:rsidRPr="000C0842">
        <w:rPr>
          <w:rFonts w:eastAsia="SimSun" w:hint="eastAsia"/>
          <w:b/>
          <w:bCs/>
          <w:sz w:val="24"/>
          <w:szCs w:val="24"/>
          <w:lang w:val="en-GB"/>
        </w:rPr>
        <w:t>》及其议定书核心</w:t>
      </w:r>
      <w:r w:rsidRPr="000C0842">
        <w:rPr>
          <w:rFonts w:eastAsia="SimSun"/>
          <w:b/>
          <w:bCs/>
          <w:sz w:val="24"/>
          <w:szCs w:val="24"/>
          <w:lang w:val="en-GB"/>
        </w:rPr>
        <w:t>信托基金</w:t>
      </w:r>
      <w:r w:rsidRPr="000C0842">
        <w:rPr>
          <w:rFonts w:eastAsia="SimSun" w:hint="eastAsia"/>
          <w:b/>
          <w:bCs/>
          <w:sz w:val="24"/>
          <w:szCs w:val="24"/>
          <w:lang w:val="en-GB"/>
        </w:rPr>
        <w:t>综合两年期</w:t>
      </w:r>
      <w:r w:rsidRPr="000C0842">
        <w:rPr>
          <w:rFonts w:eastAsia="SimSun"/>
          <w:b/>
          <w:bCs/>
          <w:sz w:val="24"/>
          <w:szCs w:val="24"/>
          <w:lang w:val="en-GB"/>
        </w:rPr>
        <w:t>预算</w:t>
      </w:r>
      <w:r w:rsidR="00757D54" w:rsidRPr="000C0842">
        <w:rPr>
          <w:rFonts w:eastAsia="SimSun" w:hint="eastAsia"/>
          <w:b/>
          <w:bCs/>
          <w:sz w:val="24"/>
          <w:szCs w:val="24"/>
          <w:lang w:val="en-GB"/>
        </w:rPr>
        <w:t>（</w:t>
      </w:r>
      <w:r w:rsidRPr="000C0842">
        <w:rPr>
          <w:rFonts w:eastAsia="SimSun"/>
          <w:b/>
          <w:bCs/>
          <w:sz w:val="24"/>
          <w:szCs w:val="24"/>
          <w:lang w:val="en-GB"/>
        </w:rPr>
        <w:t>按支出用途分列</w:t>
      </w:r>
      <w:r w:rsidR="00757D54" w:rsidRPr="000C0842">
        <w:rPr>
          <w:rFonts w:eastAsia="SimSun" w:hint="eastAsia"/>
          <w:b/>
          <w:bCs/>
          <w:sz w:val="24"/>
          <w:szCs w:val="24"/>
          <w:lang w:val="en-GB"/>
        </w:rPr>
        <w:t>）</w:t>
      </w:r>
    </w:p>
    <w:p w14:paraId="27F8EE17" w14:textId="77777777" w:rsidR="00A528CF" w:rsidRPr="000C0842" w:rsidRDefault="00A528CF" w:rsidP="00824847">
      <w:pPr>
        <w:keepNext/>
        <w:spacing w:after="120"/>
        <w:ind w:left="490"/>
        <w:rPr>
          <w:rFonts w:eastAsia="SimSun"/>
          <w:sz w:val="20"/>
          <w:szCs w:val="20"/>
          <w:lang w:val="en-GB"/>
        </w:rPr>
      </w:pPr>
      <w:r w:rsidRPr="000C0842">
        <w:rPr>
          <w:rFonts w:eastAsia="SimSun"/>
          <w:sz w:val="20"/>
          <w:szCs w:val="20"/>
          <w:lang w:val="en-GB"/>
        </w:rPr>
        <w:t>(</w:t>
      </w:r>
      <w:r w:rsidRPr="000C0842">
        <w:rPr>
          <w:rFonts w:eastAsia="SimSun" w:hint="eastAsia"/>
          <w:sz w:val="20"/>
          <w:szCs w:val="20"/>
          <w:lang w:val="en-GB"/>
        </w:rPr>
        <w:t>千美元</w:t>
      </w:r>
      <w:r w:rsidRPr="000C0842">
        <w:rPr>
          <w:rFonts w:eastAsia="SimSun"/>
          <w:sz w:val="20"/>
          <w:szCs w:val="20"/>
          <w:lang w:val="en-GB"/>
        </w:rPr>
        <w:t>)</w:t>
      </w:r>
    </w:p>
    <w:tbl>
      <w:tblPr>
        <w:tblW w:w="4439" w:type="pct"/>
        <w:jc w:val="center"/>
        <w:tblLayout w:type="fixed"/>
        <w:tblCellMar>
          <w:left w:w="0" w:type="dxa"/>
          <w:right w:w="0" w:type="dxa"/>
        </w:tblCellMar>
        <w:tblLook w:val="01E0" w:firstRow="1" w:lastRow="1" w:firstColumn="1" w:lastColumn="1" w:noHBand="0" w:noVBand="0"/>
      </w:tblPr>
      <w:tblGrid>
        <w:gridCol w:w="4501"/>
        <w:gridCol w:w="1350"/>
        <w:gridCol w:w="1080"/>
        <w:gridCol w:w="1379"/>
      </w:tblGrid>
      <w:tr w:rsidR="000C0842" w:rsidRPr="000C0842" w14:paraId="69ACFB03" w14:textId="77777777" w:rsidTr="001F32B3">
        <w:trPr>
          <w:trHeight w:val="269"/>
          <w:tblHeader/>
          <w:jc w:val="center"/>
        </w:trPr>
        <w:tc>
          <w:tcPr>
            <w:tcW w:w="2708" w:type="pct"/>
            <w:tcBorders>
              <w:top w:val="single" w:sz="4" w:space="0" w:color="auto"/>
              <w:bottom w:val="single" w:sz="4" w:space="0" w:color="auto"/>
            </w:tcBorders>
            <w:vAlign w:val="bottom"/>
          </w:tcPr>
          <w:p w14:paraId="13D2B755" w14:textId="77777777" w:rsidR="00A528CF" w:rsidRPr="000C0842" w:rsidRDefault="00A528CF" w:rsidP="00824847">
            <w:pPr>
              <w:keepNext/>
              <w:rPr>
                <w:rFonts w:eastAsia="KaiTi"/>
                <w:sz w:val="20"/>
                <w:szCs w:val="20"/>
                <w:lang w:val="en-GB"/>
              </w:rPr>
            </w:pPr>
            <w:bookmarkStart w:id="110" w:name="_Hlk181426995"/>
            <w:r w:rsidRPr="000C0842">
              <w:rPr>
                <w:rFonts w:eastAsia="KaiTi"/>
                <w:sz w:val="20"/>
                <w:szCs w:val="20"/>
                <w:lang w:val="en-GB"/>
              </w:rPr>
              <w:t>支出用途</w:t>
            </w:r>
          </w:p>
        </w:tc>
        <w:tc>
          <w:tcPr>
            <w:tcW w:w="812" w:type="pct"/>
            <w:tcBorders>
              <w:top w:val="single" w:sz="4" w:space="0" w:color="auto"/>
              <w:bottom w:val="single" w:sz="4" w:space="0" w:color="auto"/>
            </w:tcBorders>
            <w:vAlign w:val="bottom"/>
          </w:tcPr>
          <w:p w14:paraId="15CFFC97" w14:textId="77777777" w:rsidR="00A528CF" w:rsidRPr="000C0842" w:rsidRDefault="00A528CF" w:rsidP="00824847">
            <w:pPr>
              <w:keepNext/>
              <w:ind w:right="72"/>
              <w:jc w:val="right"/>
              <w:rPr>
                <w:rFonts w:eastAsia="KaiTi"/>
                <w:sz w:val="20"/>
                <w:szCs w:val="20"/>
                <w:lang w:val="en-GB"/>
              </w:rPr>
            </w:pPr>
            <w:r w:rsidRPr="000C0842">
              <w:rPr>
                <w:rFonts w:eastAsia="KaiTi"/>
                <w:sz w:val="20"/>
                <w:szCs w:val="20"/>
                <w:lang w:val="en-GB"/>
              </w:rPr>
              <w:t>2025</w:t>
            </w:r>
          </w:p>
        </w:tc>
        <w:tc>
          <w:tcPr>
            <w:tcW w:w="650" w:type="pct"/>
            <w:tcBorders>
              <w:top w:val="single" w:sz="4" w:space="0" w:color="auto"/>
              <w:bottom w:val="single" w:sz="4" w:space="0" w:color="auto"/>
            </w:tcBorders>
            <w:vAlign w:val="bottom"/>
          </w:tcPr>
          <w:p w14:paraId="6719F5FC" w14:textId="77777777" w:rsidR="00A528CF" w:rsidRPr="000C0842" w:rsidRDefault="00A528CF" w:rsidP="00824847">
            <w:pPr>
              <w:keepNext/>
              <w:ind w:right="72"/>
              <w:jc w:val="right"/>
              <w:rPr>
                <w:rFonts w:eastAsia="KaiTi"/>
                <w:sz w:val="20"/>
                <w:szCs w:val="20"/>
                <w:lang w:val="en-GB"/>
              </w:rPr>
            </w:pPr>
            <w:r w:rsidRPr="000C0842">
              <w:rPr>
                <w:rFonts w:eastAsia="KaiTi"/>
                <w:sz w:val="20"/>
                <w:szCs w:val="20"/>
                <w:lang w:val="en-GB"/>
              </w:rPr>
              <w:t>2026</w:t>
            </w:r>
          </w:p>
        </w:tc>
        <w:tc>
          <w:tcPr>
            <w:tcW w:w="830" w:type="pct"/>
            <w:tcBorders>
              <w:top w:val="single" w:sz="4" w:space="0" w:color="auto"/>
              <w:bottom w:val="single" w:sz="4" w:space="0" w:color="auto"/>
            </w:tcBorders>
            <w:vAlign w:val="bottom"/>
          </w:tcPr>
          <w:p w14:paraId="69FEA92C" w14:textId="77777777" w:rsidR="00A528CF" w:rsidRPr="000C0842" w:rsidRDefault="00A528CF" w:rsidP="00824847">
            <w:pPr>
              <w:keepNext/>
              <w:ind w:right="72"/>
              <w:jc w:val="right"/>
              <w:rPr>
                <w:rFonts w:eastAsia="KaiTi"/>
                <w:sz w:val="20"/>
                <w:szCs w:val="20"/>
                <w:lang w:val="en-GB"/>
              </w:rPr>
            </w:pPr>
            <w:r w:rsidRPr="000C0842">
              <w:rPr>
                <w:rFonts w:eastAsia="KaiTi"/>
                <w:sz w:val="20"/>
                <w:szCs w:val="20"/>
                <w:lang w:val="en-GB"/>
              </w:rPr>
              <w:t>2025–2026</w:t>
            </w:r>
          </w:p>
        </w:tc>
      </w:tr>
      <w:tr w:rsidR="000C0842" w:rsidRPr="000C0842" w14:paraId="4F7C0628" w14:textId="77777777" w:rsidTr="001F32B3">
        <w:trPr>
          <w:trHeight w:val="258"/>
          <w:jc w:val="center"/>
        </w:trPr>
        <w:tc>
          <w:tcPr>
            <w:tcW w:w="2708" w:type="pct"/>
            <w:tcBorders>
              <w:top w:val="single" w:sz="4" w:space="0" w:color="auto"/>
            </w:tcBorders>
          </w:tcPr>
          <w:p w14:paraId="2C268FDC" w14:textId="77777777" w:rsidR="00A528CF" w:rsidRPr="000C0842" w:rsidRDefault="00A528CF" w:rsidP="00824847">
            <w:pPr>
              <w:keepNext/>
              <w:rPr>
                <w:rFonts w:eastAsia="SimSun"/>
                <w:sz w:val="20"/>
                <w:szCs w:val="20"/>
                <w:lang w:val="en-GB"/>
              </w:rPr>
            </w:pPr>
            <w:r w:rsidRPr="000C0842">
              <w:rPr>
                <w:rFonts w:eastAsia="SimSun" w:hint="eastAsia"/>
                <w:sz w:val="20"/>
                <w:szCs w:val="20"/>
                <w:lang w:val="en-GB"/>
              </w:rPr>
              <w:t>工作人员费用</w:t>
            </w:r>
          </w:p>
        </w:tc>
        <w:tc>
          <w:tcPr>
            <w:tcW w:w="812" w:type="pct"/>
            <w:tcBorders>
              <w:top w:val="single" w:sz="4" w:space="0" w:color="auto"/>
            </w:tcBorders>
          </w:tcPr>
          <w:p w14:paraId="5E69C8BB"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13 301.0</w:t>
            </w:r>
          </w:p>
        </w:tc>
        <w:tc>
          <w:tcPr>
            <w:tcW w:w="650" w:type="pct"/>
            <w:tcBorders>
              <w:top w:val="single" w:sz="4" w:space="0" w:color="auto"/>
            </w:tcBorders>
          </w:tcPr>
          <w:p w14:paraId="1B4697A9"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13 862.7</w:t>
            </w:r>
          </w:p>
        </w:tc>
        <w:tc>
          <w:tcPr>
            <w:tcW w:w="830" w:type="pct"/>
            <w:tcBorders>
              <w:top w:val="single" w:sz="4" w:space="0" w:color="auto"/>
            </w:tcBorders>
          </w:tcPr>
          <w:p w14:paraId="7E34ED2E"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27 163.7</w:t>
            </w:r>
          </w:p>
        </w:tc>
      </w:tr>
      <w:tr w:rsidR="000C0842" w:rsidRPr="000C0842" w14:paraId="233B75B8" w14:textId="77777777" w:rsidTr="001F32B3">
        <w:trPr>
          <w:trHeight w:val="229"/>
          <w:jc w:val="center"/>
        </w:trPr>
        <w:tc>
          <w:tcPr>
            <w:tcW w:w="2708" w:type="pct"/>
          </w:tcPr>
          <w:p w14:paraId="6404FD87" w14:textId="77777777" w:rsidR="00A528CF" w:rsidRPr="000C0842" w:rsidRDefault="00A528CF" w:rsidP="00824847">
            <w:pPr>
              <w:keepNext/>
              <w:rPr>
                <w:rFonts w:eastAsia="SimSun"/>
                <w:sz w:val="20"/>
                <w:szCs w:val="20"/>
                <w:lang w:val="en-GB"/>
              </w:rPr>
            </w:pPr>
            <w:r w:rsidRPr="000C0842">
              <w:rPr>
                <w:rFonts w:eastAsia="SimSun" w:hint="eastAsia"/>
                <w:sz w:val="20"/>
                <w:szCs w:val="20"/>
                <w:lang w:val="en-GB"/>
              </w:rPr>
              <w:t>一般临时助理</w:t>
            </w:r>
          </w:p>
        </w:tc>
        <w:tc>
          <w:tcPr>
            <w:tcW w:w="812" w:type="pct"/>
          </w:tcPr>
          <w:p w14:paraId="2E7F0B72"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100.0</w:t>
            </w:r>
          </w:p>
        </w:tc>
        <w:tc>
          <w:tcPr>
            <w:tcW w:w="650" w:type="pct"/>
          </w:tcPr>
          <w:p w14:paraId="5AE6E15D"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100.0</w:t>
            </w:r>
          </w:p>
        </w:tc>
        <w:tc>
          <w:tcPr>
            <w:tcW w:w="830" w:type="pct"/>
          </w:tcPr>
          <w:p w14:paraId="66609B87"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200.0</w:t>
            </w:r>
          </w:p>
        </w:tc>
      </w:tr>
      <w:tr w:rsidR="000C0842" w:rsidRPr="000C0842" w14:paraId="2D5F98F7" w14:textId="77777777" w:rsidTr="001F32B3">
        <w:trPr>
          <w:trHeight w:val="249"/>
          <w:jc w:val="center"/>
        </w:trPr>
        <w:tc>
          <w:tcPr>
            <w:tcW w:w="2708" w:type="pct"/>
          </w:tcPr>
          <w:p w14:paraId="3B1FC7FF" w14:textId="77777777" w:rsidR="00A528CF" w:rsidRPr="000C0842" w:rsidRDefault="00A528CF" w:rsidP="00824847">
            <w:pPr>
              <w:keepNext/>
              <w:rPr>
                <w:rFonts w:eastAsia="SimSun"/>
                <w:sz w:val="20"/>
                <w:szCs w:val="20"/>
                <w:lang w:val="en-GB"/>
              </w:rPr>
            </w:pPr>
            <w:r w:rsidRPr="000C0842">
              <w:rPr>
                <w:rFonts w:eastAsia="SimSun" w:hint="eastAsia"/>
                <w:sz w:val="20"/>
                <w:szCs w:val="20"/>
                <w:lang w:val="en-GB"/>
              </w:rPr>
              <w:t>主席团会议</w:t>
            </w:r>
          </w:p>
        </w:tc>
        <w:tc>
          <w:tcPr>
            <w:tcW w:w="812" w:type="pct"/>
          </w:tcPr>
          <w:p w14:paraId="4D48454C"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161.5</w:t>
            </w:r>
          </w:p>
        </w:tc>
        <w:tc>
          <w:tcPr>
            <w:tcW w:w="650" w:type="pct"/>
          </w:tcPr>
          <w:p w14:paraId="68974F45"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176.8</w:t>
            </w:r>
          </w:p>
        </w:tc>
        <w:tc>
          <w:tcPr>
            <w:tcW w:w="830" w:type="pct"/>
          </w:tcPr>
          <w:p w14:paraId="0FC90208" w14:textId="77777777" w:rsidR="00A528CF" w:rsidRPr="000C0842" w:rsidRDefault="00A528CF" w:rsidP="00824847">
            <w:pPr>
              <w:keepNext/>
              <w:ind w:right="72"/>
              <w:jc w:val="right"/>
              <w:rPr>
                <w:rFonts w:eastAsia="SimSun"/>
                <w:sz w:val="20"/>
                <w:szCs w:val="20"/>
                <w:lang w:val="en-GB"/>
              </w:rPr>
            </w:pPr>
            <w:r w:rsidRPr="000C0842">
              <w:rPr>
                <w:rFonts w:eastAsia="SimSun"/>
                <w:sz w:val="20"/>
                <w:szCs w:val="20"/>
                <w:lang w:val="en-GB"/>
              </w:rPr>
              <w:t>338.3</w:t>
            </w:r>
          </w:p>
        </w:tc>
      </w:tr>
      <w:tr w:rsidR="000C0842" w:rsidRPr="000C0842" w14:paraId="7DBE67F0" w14:textId="77777777" w:rsidTr="001F32B3">
        <w:trPr>
          <w:trHeight w:val="251"/>
          <w:jc w:val="center"/>
        </w:trPr>
        <w:tc>
          <w:tcPr>
            <w:tcW w:w="2708" w:type="pct"/>
          </w:tcPr>
          <w:p w14:paraId="477C0E14"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专家会议</w:t>
            </w:r>
          </w:p>
        </w:tc>
        <w:tc>
          <w:tcPr>
            <w:tcW w:w="812" w:type="pct"/>
          </w:tcPr>
          <w:p w14:paraId="7D34E0A4"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 xml:space="preserve"> 175.0</w:t>
            </w:r>
          </w:p>
        </w:tc>
        <w:tc>
          <w:tcPr>
            <w:tcW w:w="650" w:type="pct"/>
          </w:tcPr>
          <w:p w14:paraId="709AE970"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205.0</w:t>
            </w:r>
          </w:p>
        </w:tc>
        <w:tc>
          <w:tcPr>
            <w:tcW w:w="830" w:type="pct"/>
          </w:tcPr>
          <w:p w14:paraId="01FA6341"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380.0</w:t>
            </w:r>
          </w:p>
        </w:tc>
      </w:tr>
      <w:tr w:rsidR="000C0842" w:rsidRPr="000C0842" w14:paraId="18B92EF1" w14:textId="77777777" w:rsidTr="001F32B3">
        <w:trPr>
          <w:trHeight w:val="229"/>
          <w:jc w:val="center"/>
        </w:trPr>
        <w:tc>
          <w:tcPr>
            <w:tcW w:w="2708" w:type="pct"/>
          </w:tcPr>
          <w:p w14:paraId="0CA64C4B"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政府间机构会议</w:t>
            </w:r>
            <w:r w:rsidRPr="000C0842">
              <w:rPr>
                <w:rFonts w:eastAsia="SimSun"/>
                <w:i/>
                <w:iCs/>
                <w:sz w:val="20"/>
                <w:szCs w:val="20"/>
                <w:vertAlign w:val="superscript"/>
                <w:lang w:val="en-GB"/>
              </w:rPr>
              <w:t>a</w:t>
            </w:r>
          </w:p>
        </w:tc>
        <w:tc>
          <w:tcPr>
            <w:tcW w:w="812" w:type="pct"/>
          </w:tcPr>
          <w:p w14:paraId="62C9853A"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2 274.6</w:t>
            </w:r>
          </w:p>
        </w:tc>
        <w:tc>
          <w:tcPr>
            <w:tcW w:w="650" w:type="pct"/>
          </w:tcPr>
          <w:p w14:paraId="6808F3CF"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2 700.9</w:t>
            </w:r>
          </w:p>
        </w:tc>
        <w:tc>
          <w:tcPr>
            <w:tcW w:w="830" w:type="pct"/>
          </w:tcPr>
          <w:p w14:paraId="3A7E4210"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4 975.5</w:t>
            </w:r>
          </w:p>
        </w:tc>
      </w:tr>
      <w:tr w:rsidR="000C0842" w:rsidRPr="000C0842" w14:paraId="6C8F98FD" w14:textId="77777777" w:rsidTr="001F32B3">
        <w:trPr>
          <w:trHeight w:val="249"/>
          <w:jc w:val="center"/>
        </w:trPr>
        <w:tc>
          <w:tcPr>
            <w:tcW w:w="2708" w:type="pct"/>
          </w:tcPr>
          <w:p w14:paraId="134A7FD6"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咨询人</w:t>
            </w:r>
          </w:p>
        </w:tc>
        <w:tc>
          <w:tcPr>
            <w:tcW w:w="812" w:type="pct"/>
          </w:tcPr>
          <w:p w14:paraId="2C16F5A2"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75.0</w:t>
            </w:r>
          </w:p>
        </w:tc>
        <w:tc>
          <w:tcPr>
            <w:tcW w:w="650" w:type="pct"/>
          </w:tcPr>
          <w:p w14:paraId="07DA06DF"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75.0</w:t>
            </w:r>
          </w:p>
        </w:tc>
        <w:tc>
          <w:tcPr>
            <w:tcW w:w="830" w:type="pct"/>
          </w:tcPr>
          <w:p w14:paraId="5246434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150.0</w:t>
            </w:r>
          </w:p>
        </w:tc>
      </w:tr>
      <w:tr w:rsidR="000C0842" w:rsidRPr="000C0842" w14:paraId="0F675DF0" w14:textId="77777777" w:rsidTr="001F32B3">
        <w:trPr>
          <w:trHeight w:val="249"/>
          <w:jc w:val="center"/>
        </w:trPr>
        <w:tc>
          <w:tcPr>
            <w:tcW w:w="2708" w:type="pct"/>
          </w:tcPr>
          <w:p w14:paraId="5BED0377"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职能审查</w:t>
            </w:r>
          </w:p>
        </w:tc>
        <w:tc>
          <w:tcPr>
            <w:tcW w:w="812" w:type="pct"/>
          </w:tcPr>
          <w:p w14:paraId="2EAAD941"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250.0</w:t>
            </w:r>
          </w:p>
        </w:tc>
        <w:tc>
          <w:tcPr>
            <w:tcW w:w="650" w:type="pct"/>
          </w:tcPr>
          <w:p w14:paraId="6B5D511A"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w:t>
            </w:r>
          </w:p>
        </w:tc>
        <w:tc>
          <w:tcPr>
            <w:tcW w:w="830" w:type="pct"/>
          </w:tcPr>
          <w:p w14:paraId="75FD3F03"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250.0</w:t>
            </w:r>
          </w:p>
        </w:tc>
      </w:tr>
      <w:tr w:rsidR="000C0842" w:rsidRPr="000C0842" w14:paraId="14BF8345" w14:textId="77777777" w:rsidTr="001F32B3">
        <w:trPr>
          <w:trHeight w:val="249"/>
          <w:jc w:val="center"/>
        </w:trPr>
        <w:tc>
          <w:tcPr>
            <w:tcW w:w="2708" w:type="pct"/>
          </w:tcPr>
          <w:p w14:paraId="0B8B7FCE"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公务差旅</w:t>
            </w:r>
          </w:p>
        </w:tc>
        <w:tc>
          <w:tcPr>
            <w:tcW w:w="812" w:type="pct"/>
          </w:tcPr>
          <w:p w14:paraId="01B2BD7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400.0</w:t>
            </w:r>
          </w:p>
        </w:tc>
        <w:tc>
          <w:tcPr>
            <w:tcW w:w="650" w:type="pct"/>
          </w:tcPr>
          <w:p w14:paraId="411BE1A3"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450.0</w:t>
            </w:r>
          </w:p>
        </w:tc>
        <w:tc>
          <w:tcPr>
            <w:tcW w:w="830" w:type="pct"/>
          </w:tcPr>
          <w:p w14:paraId="65AC0EC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850.0</w:t>
            </w:r>
          </w:p>
        </w:tc>
      </w:tr>
      <w:tr w:rsidR="000C0842" w:rsidRPr="000C0842" w14:paraId="336A5FFA" w14:textId="77777777" w:rsidTr="001F32B3">
        <w:trPr>
          <w:trHeight w:val="249"/>
          <w:jc w:val="center"/>
        </w:trPr>
        <w:tc>
          <w:tcPr>
            <w:tcW w:w="2708" w:type="pct"/>
          </w:tcPr>
          <w:p w14:paraId="121BB088"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租金和相关费用</w:t>
            </w:r>
          </w:p>
        </w:tc>
        <w:tc>
          <w:tcPr>
            <w:tcW w:w="812" w:type="pct"/>
          </w:tcPr>
          <w:p w14:paraId="4B50094D"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1 462.6</w:t>
            </w:r>
          </w:p>
        </w:tc>
        <w:tc>
          <w:tcPr>
            <w:tcW w:w="650" w:type="pct"/>
          </w:tcPr>
          <w:p w14:paraId="5881BC24"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1 476.6</w:t>
            </w:r>
          </w:p>
        </w:tc>
        <w:tc>
          <w:tcPr>
            <w:tcW w:w="830" w:type="pct"/>
          </w:tcPr>
          <w:p w14:paraId="041BA3DF"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2 939.2</w:t>
            </w:r>
          </w:p>
        </w:tc>
      </w:tr>
      <w:tr w:rsidR="000C0842" w:rsidRPr="000C0842" w14:paraId="7D777CA0" w14:textId="77777777" w:rsidTr="001F32B3">
        <w:trPr>
          <w:trHeight w:val="249"/>
          <w:jc w:val="center"/>
        </w:trPr>
        <w:tc>
          <w:tcPr>
            <w:tcW w:w="2708" w:type="pct"/>
          </w:tcPr>
          <w:p w14:paraId="12F0DBFB"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培训</w:t>
            </w:r>
          </w:p>
        </w:tc>
        <w:tc>
          <w:tcPr>
            <w:tcW w:w="812" w:type="pct"/>
          </w:tcPr>
          <w:p w14:paraId="3D33DDB6"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5.0</w:t>
            </w:r>
          </w:p>
        </w:tc>
        <w:tc>
          <w:tcPr>
            <w:tcW w:w="650" w:type="pct"/>
          </w:tcPr>
          <w:p w14:paraId="09CD6B6F"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5.0</w:t>
            </w:r>
          </w:p>
        </w:tc>
        <w:tc>
          <w:tcPr>
            <w:tcW w:w="830" w:type="pct"/>
          </w:tcPr>
          <w:p w14:paraId="289F2C69"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10.0</w:t>
            </w:r>
          </w:p>
        </w:tc>
      </w:tr>
      <w:tr w:rsidR="000C0842" w:rsidRPr="000C0842" w14:paraId="6145690F" w14:textId="77777777" w:rsidTr="001F32B3">
        <w:trPr>
          <w:trHeight w:val="249"/>
          <w:jc w:val="center"/>
        </w:trPr>
        <w:tc>
          <w:tcPr>
            <w:tcW w:w="2708" w:type="pct"/>
          </w:tcPr>
          <w:p w14:paraId="6BF50713"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信息技术</w:t>
            </w:r>
          </w:p>
        </w:tc>
        <w:tc>
          <w:tcPr>
            <w:tcW w:w="812" w:type="pct"/>
          </w:tcPr>
          <w:p w14:paraId="321D54F8"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65.0</w:t>
            </w:r>
          </w:p>
        </w:tc>
        <w:tc>
          <w:tcPr>
            <w:tcW w:w="650" w:type="pct"/>
          </w:tcPr>
          <w:p w14:paraId="2A518BAE"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65.0</w:t>
            </w:r>
          </w:p>
        </w:tc>
        <w:tc>
          <w:tcPr>
            <w:tcW w:w="830" w:type="pct"/>
          </w:tcPr>
          <w:p w14:paraId="15686708"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130.0</w:t>
            </w:r>
          </w:p>
        </w:tc>
      </w:tr>
      <w:tr w:rsidR="000C0842" w:rsidRPr="000C0842" w14:paraId="6322DB2A" w14:textId="77777777" w:rsidTr="001F32B3">
        <w:trPr>
          <w:trHeight w:val="249"/>
          <w:jc w:val="center"/>
        </w:trPr>
        <w:tc>
          <w:tcPr>
            <w:tcW w:w="2708" w:type="pct"/>
          </w:tcPr>
          <w:p w14:paraId="3EDC4568"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一般业务费用</w:t>
            </w:r>
          </w:p>
        </w:tc>
        <w:tc>
          <w:tcPr>
            <w:tcW w:w="812" w:type="pct"/>
          </w:tcPr>
          <w:p w14:paraId="235F824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726.6</w:t>
            </w:r>
          </w:p>
        </w:tc>
        <w:tc>
          <w:tcPr>
            <w:tcW w:w="650" w:type="pct"/>
          </w:tcPr>
          <w:p w14:paraId="2215629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726.6</w:t>
            </w:r>
          </w:p>
        </w:tc>
        <w:tc>
          <w:tcPr>
            <w:tcW w:w="830" w:type="pct"/>
          </w:tcPr>
          <w:p w14:paraId="2974064F"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1 453.2</w:t>
            </w:r>
          </w:p>
        </w:tc>
      </w:tr>
      <w:tr w:rsidR="000C0842" w:rsidRPr="000C0842" w14:paraId="51E38FF9" w14:textId="77777777" w:rsidTr="001F32B3">
        <w:trPr>
          <w:trHeight w:val="251"/>
          <w:jc w:val="center"/>
        </w:trPr>
        <w:tc>
          <w:tcPr>
            <w:tcW w:w="2708" w:type="pct"/>
          </w:tcPr>
          <w:p w14:paraId="4B3ECBA0"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提高公共意识材料</w:t>
            </w:r>
          </w:p>
        </w:tc>
        <w:tc>
          <w:tcPr>
            <w:tcW w:w="812" w:type="pct"/>
          </w:tcPr>
          <w:p w14:paraId="43168C2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100.0</w:t>
            </w:r>
          </w:p>
        </w:tc>
        <w:tc>
          <w:tcPr>
            <w:tcW w:w="650" w:type="pct"/>
          </w:tcPr>
          <w:p w14:paraId="530B4B2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100.0</w:t>
            </w:r>
          </w:p>
        </w:tc>
        <w:tc>
          <w:tcPr>
            <w:tcW w:w="830" w:type="pct"/>
          </w:tcPr>
          <w:p w14:paraId="734FA7C1"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200.0</w:t>
            </w:r>
          </w:p>
        </w:tc>
      </w:tr>
      <w:tr w:rsidR="000C0842" w:rsidRPr="000C0842" w14:paraId="09BAA17B" w14:textId="77777777" w:rsidTr="001F32B3">
        <w:trPr>
          <w:trHeight w:val="60"/>
          <w:jc w:val="center"/>
        </w:trPr>
        <w:tc>
          <w:tcPr>
            <w:tcW w:w="2708" w:type="pct"/>
          </w:tcPr>
          <w:p w14:paraId="22171CD9"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信息交换所网站翻译</w:t>
            </w:r>
          </w:p>
        </w:tc>
        <w:tc>
          <w:tcPr>
            <w:tcW w:w="812" w:type="pct"/>
          </w:tcPr>
          <w:p w14:paraId="6BBA7F0E"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65.0</w:t>
            </w:r>
          </w:p>
        </w:tc>
        <w:tc>
          <w:tcPr>
            <w:tcW w:w="650" w:type="pct"/>
          </w:tcPr>
          <w:p w14:paraId="6CA92E33"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65.0</w:t>
            </w:r>
          </w:p>
        </w:tc>
        <w:tc>
          <w:tcPr>
            <w:tcW w:w="830" w:type="pct"/>
          </w:tcPr>
          <w:p w14:paraId="315E4CF2"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130.0</w:t>
            </w:r>
          </w:p>
        </w:tc>
      </w:tr>
      <w:tr w:rsidR="000C0842" w:rsidRPr="000C0842" w14:paraId="2064FAFF" w14:textId="77777777" w:rsidTr="001F32B3">
        <w:trPr>
          <w:trHeight w:val="211"/>
          <w:jc w:val="center"/>
        </w:trPr>
        <w:tc>
          <w:tcPr>
            <w:tcW w:w="2708" w:type="pct"/>
          </w:tcPr>
          <w:p w14:paraId="57D19CB0" w14:textId="77777777" w:rsidR="00A528CF" w:rsidRPr="000C0842" w:rsidRDefault="00A528CF" w:rsidP="00A528CF">
            <w:pPr>
              <w:tabs>
                <w:tab w:val="clear" w:pos="567"/>
                <w:tab w:val="clear" w:pos="1134"/>
                <w:tab w:val="clear" w:pos="1701"/>
                <w:tab w:val="clear" w:pos="2268"/>
                <w:tab w:val="left" w:pos="180"/>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812" w:type="pct"/>
          </w:tcPr>
          <w:p w14:paraId="1F74DDD6"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19 161.3</w:t>
            </w:r>
          </w:p>
        </w:tc>
        <w:tc>
          <w:tcPr>
            <w:tcW w:w="650" w:type="pct"/>
          </w:tcPr>
          <w:p w14:paraId="616F22AC"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20 008.6</w:t>
            </w:r>
          </w:p>
        </w:tc>
        <w:tc>
          <w:tcPr>
            <w:tcW w:w="830" w:type="pct"/>
          </w:tcPr>
          <w:p w14:paraId="7F9208B5"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39 169.9</w:t>
            </w:r>
          </w:p>
        </w:tc>
      </w:tr>
      <w:tr w:rsidR="000C0842" w:rsidRPr="000C0842" w14:paraId="4A68B6BF" w14:textId="77777777" w:rsidTr="001F32B3">
        <w:trPr>
          <w:trHeight w:val="211"/>
          <w:jc w:val="center"/>
        </w:trPr>
        <w:tc>
          <w:tcPr>
            <w:tcW w:w="2708" w:type="pct"/>
          </w:tcPr>
          <w:p w14:paraId="5CFDCA33"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方案支助费用</w:t>
            </w:r>
            <w:r w:rsidRPr="000C0842">
              <w:rPr>
                <w:rFonts w:eastAsia="SimSun"/>
                <w:sz w:val="20"/>
                <w:szCs w:val="20"/>
                <w:lang w:val="en-GB"/>
              </w:rPr>
              <w:t>(13</w:t>
            </w:r>
            <w:r w:rsidRPr="000C0842">
              <w:rPr>
                <w:rFonts w:eastAsia="SimSun" w:hint="eastAsia"/>
                <w:sz w:val="20"/>
                <w:szCs w:val="20"/>
                <w:lang w:val="en-GB"/>
              </w:rPr>
              <w:t>%</w:t>
            </w:r>
            <w:r w:rsidRPr="000C0842">
              <w:rPr>
                <w:rFonts w:eastAsia="SimSun"/>
                <w:sz w:val="20"/>
                <w:szCs w:val="20"/>
                <w:lang w:val="en-GB"/>
              </w:rPr>
              <w:t>)</w:t>
            </w:r>
          </w:p>
        </w:tc>
        <w:tc>
          <w:tcPr>
            <w:tcW w:w="812" w:type="pct"/>
          </w:tcPr>
          <w:p w14:paraId="0F42DDE6"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2 491.0</w:t>
            </w:r>
          </w:p>
        </w:tc>
        <w:tc>
          <w:tcPr>
            <w:tcW w:w="650" w:type="pct"/>
          </w:tcPr>
          <w:p w14:paraId="13476C1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2 601.1</w:t>
            </w:r>
          </w:p>
        </w:tc>
        <w:tc>
          <w:tcPr>
            <w:tcW w:w="830" w:type="pct"/>
          </w:tcPr>
          <w:p w14:paraId="360A764A"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5 092.1</w:t>
            </w:r>
          </w:p>
        </w:tc>
      </w:tr>
      <w:tr w:rsidR="000C0842" w:rsidRPr="000C0842" w14:paraId="331D9037" w14:textId="77777777" w:rsidTr="001F32B3">
        <w:trPr>
          <w:trHeight w:val="211"/>
          <w:jc w:val="center"/>
        </w:trPr>
        <w:tc>
          <w:tcPr>
            <w:tcW w:w="2708" w:type="pct"/>
          </w:tcPr>
          <w:p w14:paraId="2E378A44" w14:textId="77777777" w:rsidR="00A528CF" w:rsidRPr="000C0842" w:rsidRDefault="00A528CF" w:rsidP="00A528CF">
            <w:pPr>
              <w:tabs>
                <w:tab w:val="clear" w:pos="567"/>
                <w:tab w:val="clear" w:pos="1134"/>
                <w:tab w:val="clear" w:pos="1701"/>
                <w:tab w:val="clear" w:pos="2268"/>
                <w:tab w:val="left" w:pos="180"/>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812" w:type="pct"/>
          </w:tcPr>
          <w:p w14:paraId="23C0141E"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21 652.3</w:t>
            </w:r>
          </w:p>
        </w:tc>
        <w:tc>
          <w:tcPr>
            <w:tcW w:w="650" w:type="pct"/>
          </w:tcPr>
          <w:p w14:paraId="1AD08C55"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22 609.8</w:t>
            </w:r>
          </w:p>
        </w:tc>
        <w:tc>
          <w:tcPr>
            <w:tcW w:w="830" w:type="pct"/>
          </w:tcPr>
          <w:p w14:paraId="4DA44CA7"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44 262.1</w:t>
            </w:r>
          </w:p>
        </w:tc>
      </w:tr>
      <w:tr w:rsidR="000C0842" w:rsidRPr="000C0842" w14:paraId="5A854DB2" w14:textId="77777777" w:rsidTr="001F32B3">
        <w:trPr>
          <w:trHeight w:val="211"/>
          <w:jc w:val="center"/>
        </w:trPr>
        <w:tc>
          <w:tcPr>
            <w:tcW w:w="2708" w:type="pct"/>
          </w:tcPr>
          <w:p w14:paraId="103256E4"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周转资本准备金</w:t>
            </w:r>
          </w:p>
        </w:tc>
        <w:tc>
          <w:tcPr>
            <w:tcW w:w="812" w:type="pct"/>
          </w:tcPr>
          <w:p w14:paraId="763C1230"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29.8</w:t>
            </w:r>
          </w:p>
        </w:tc>
        <w:tc>
          <w:tcPr>
            <w:tcW w:w="650" w:type="pct"/>
          </w:tcPr>
          <w:p w14:paraId="79929F7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143.6</w:t>
            </w:r>
          </w:p>
        </w:tc>
        <w:tc>
          <w:tcPr>
            <w:tcW w:w="830" w:type="pct"/>
          </w:tcPr>
          <w:p w14:paraId="08FC84F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173.4</w:t>
            </w:r>
          </w:p>
        </w:tc>
      </w:tr>
      <w:tr w:rsidR="000C0842" w:rsidRPr="000C0842" w14:paraId="355635D6" w14:textId="77777777" w:rsidTr="001F32B3">
        <w:trPr>
          <w:trHeight w:val="211"/>
          <w:jc w:val="center"/>
        </w:trPr>
        <w:tc>
          <w:tcPr>
            <w:tcW w:w="2708" w:type="pct"/>
          </w:tcPr>
          <w:p w14:paraId="47028353" w14:textId="77777777" w:rsidR="00A528CF" w:rsidRPr="000C0842" w:rsidRDefault="00A528CF" w:rsidP="00A528CF">
            <w:pPr>
              <w:tabs>
                <w:tab w:val="clear" w:pos="567"/>
                <w:tab w:val="clear" w:pos="1134"/>
                <w:tab w:val="clear" w:pos="1701"/>
                <w:tab w:val="clear" w:pos="2268"/>
                <w:tab w:val="left" w:pos="180"/>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共计</w:t>
            </w:r>
          </w:p>
        </w:tc>
        <w:tc>
          <w:tcPr>
            <w:tcW w:w="812" w:type="pct"/>
          </w:tcPr>
          <w:p w14:paraId="4674E2F0"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21 682.1</w:t>
            </w:r>
          </w:p>
        </w:tc>
        <w:tc>
          <w:tcPr>
            <w:tcW w:w="650" w:type="pct"/>
          </w:tcPr>
          <w:p w14:paraId="0D32FE96"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22 753.4</w:t>
            </w:r>
          </w:p>
        </w:tc>
        <w:tc>
          <w:tcPr>
            <w:tcW w:w="830" w:type="pct"/>
          </w:tcPr>
          <w:p w14:paraId="785D7B75"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44 435.5</w:t>
            </w:r>
          </w:p>
        </w:tc>
      </w:tr>
      <w:tr w:rsidR="000C0842" w:rsidRPr="000C0842" w14:paraId="5C6199A6" w14:textId="77777777" w:rsidTr="001F32B3">
        <w:trPr>
          <w:trHeight w:val="211"/>
          <w:jc w:val="center"/>
        </w:trPr>
        <w:tc>
          <w:tcPr>
            <w:tcW w:w="2708" w:type="pct"/>
          </w:tcPr>
          <w:p w14:paraId="475C0FCF"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公约占综合预算份额</w:t>
            </w:r>
            <w:r w:rsidRPr="000C0842">
              <w:rPr>
                <w:rFonts w:eastAsia="SimSun"/>
                <w:sz w:val="20"/>
                <w:szCs w:val="20"/>
                <w:lang w:val="en-GB"/>
              </w:rPr>
              <w:t>(72%)</w:t>
            </w:r>
          </w:p>
        </w:tc>
        <w:tc>
          <w:tcPr>
            <w:tcW w:w="812" w:type="pct"/>
          </w:tcPr>
          <w:p w14:paraId="31D7537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15 611.1</w:t>
            </w:r>
          </w:p>
        </w:tc>
        <w:tc>
          <w:tcPr>
            <w:tcW w:w="650" w:type="pct"/>
          </w:tcPr>
          <w:p w14:paraId="2CA9B8D9"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16 382.4</w:t>
            </w:r>
          </w:p>
        </w:tc>
        <w:tc>
          <w:tcPr>
            <w:tcW w:w="830" w:type="pct"/>
          </w:tcPr>
          <w:p w14:paraId="062534A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31 993.5</w:t>
            </w:r>
          </w:p>
        </w:tc>
      </w:tr>
      <w:tr w:rsidR="000C0842" w:rsidRPr="000C0842" w14:paraId="7E0CDADE" w14:textId="77777777" w:rsidTr="001F32B3">
        <w:trPr>
          <w:trHeight w:val="211"/>
          <w:jc w:val="center"/>
        </w:trPr>
        <w:tc>
          <w:tcPr>
            <w:tcW w:w="2708" w:type="pct"/>
          </w:tcPr>
          <w:p w14:paraId="27504AE0"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扣除东道国的捐助</w:t>
            </w:r>
          </w:p>
        </w:tc>
        <w:tc>
          <w:tcPr>
            <w:tcW w:w="812" w:type="pct"/>
          </w:tcPr>
          <w:p w14:paraId="4E55377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(1 189.9)</w:t>
            </w:r>
          </w:p>
        </w:tc>
        <w:tc>
          <w:tcPr>
            <w:tcW w:w="650" w:type="pct"/>
          </w:tcPr>
          <w:p w14:paraId="363E6E28"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(1 201.4)</w:t>
            </w:r>
          </w:p>
        </w:tc>
        <w:tc>
          <w:tcPr>
            <w:tcW w:w="830" w:type="pct"/>
          </w:tcPr>
          <w:p w14:paraId="1414D3C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(2 391.3)</w:t>
            </w:r>
          </w:p>
        </w:tc>
      </w:tr>
      <w:tr w:rsidR="000C0842" w:rsidRPr="000C0842" w14:paraId="1605BAD9" w14:textId="77777777" w:rsidTr="001F32B3">
        <w:trPr>
          <w:trHeight w:val="211"/>
          <w:jc w:val="center"/>
        </w:trPr>
        <w:tc>
          <w:tcPr>
            <w:tcW w:w="2708" w:type="pct"/>
          </w:tcPr>
          <w:p w14:paraId="4E358097"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扣除动用的准备金</w:t>
            </w:r>
          </w:p>
        </w:tc>
        <w:tc>
          <w:tcPr>
            <w:tcW w:w="812" w:type="pct"/>
          </w:tcPr>
          <w:p w14:paraId="75930A20"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(342.5)</w:t>
            </w:r>
          </w:p>
        </w:tc>
        <w:tc>
          <w:tcPr>
            <w:tcW w:w="650" w:type="pct"/>
          </w:tcPr>
          <w:p w14:paraId="24F875B2"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(139.1)</w:t>
            </w:r>
          </w:p>
        </w:tc>
        <w:tc>
          <w:tcPr>
            <w:tcW w:w="830" w:type="pct"/>
          </w:tcPr>
          <w:p w14:paraId="6AC8021B"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(481.6)</w:t>
            </w:r>
          </w:p>
        </w:tc>
      </w:tr>
      <w:tr w:rsidR="000C0842" w:rsidRPr="000C0842" w14:paraId="1D74EB1D" w14:textId="77777777" w:rsidTr="001F32B3">
        <w:trPr>
          <w:trHeight w:val="211"/>
          <w:jc w:val="center"/>
        </w:trPr>
        <w:tc>
          <w:tcPr>
            <w:tcW w:w="2708" w:type="pct"/>
          </w:tcPr>
          <w:p w14:paraId="74DDE62E" w14:textId="77777777" w:rsidR="00A528CF" w:rsidRPr="000C0842" w:rsidRDefault="00A528CF" w:rsidP="00A528CF">
            <w:pPr>
              <w:tabs>
                <w:tab w:val="clear" w:pos="567"/>
                <w:tab w:val="clear" w:pos="1134"/>
                <w:tab w:val="clear" w:pos="1701"/>
                <w:tab w:val="clear" w:pos="2268"/>
                <w:tab w:val="left" w:pos="180"/>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由缔约方分摊的总额净值</w:t>
            </w:r>
          </w:p>
        </w:tc>
        <w:tc>
          <w:tcPr>
            <w:tcW w:w="812" w:type="pct"/>
          </w:tcPr>
          <w:p w14:paraId="7FD45A42"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14 078.7</w:t>
            </w:r>
          </w:p>
        </w:tc>
        <w:tc>
          <w:tcPr>
            <w:tcW w:w="650" w:type="pct"/>
          </w:tcPr>
          <w:p w14:paraId="10979762"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15 042.0</w:t>
            </w:r>
          </w:p>
        </w:tc>
        <w:tc>
          <w:tcPr>
            <w:tcW w:w="830" w:type="pct"/>
          </w:tcPr>
          <w:p w14:paraId="22973264"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29 120.6</w:t>
            </w:r>
          </w:p>
        </w:tc>
      </w:tr>
    </w:tbl>
    <w:bookmarkEnd w:id="110"/>
    <w:p w14:paraId="296C87A3" w14:textId="77777777" w:rsidR="00A528CF" w:rsidRPr="000C0842" w:rsidRDefault="00A528CF" w:rsidP="00A528CF">
      <w:pPr>
        <w:tabs>
          <w:tab w:val="clear" w:pos="567"/>
          <w:tab w:val="clear" w:pos="1134"/>
          <w:tab w:val="clear" w:pos="1701"/>
          <w:tab w:val="clear" w:pos="2268"/>
          <w:tab w:val="left" w:pos="900"/>
        </w:tabs>
        <w:spacing w:before="120"/>
        <w:ind w:left="490"/>
        <w:rPr>
          <w:rFonts w:eastAsia="SimSun"/>
          <w:sz w:val="18"/>
          <w:szCs w:val="18"/>
          <w:lang w:val="en-GB"/>
        </w:rPr>
      </w:pPr>
      <w:r w:rsidRPr="000C0842">
        <w:rPr>
          <w:rFonts w:eastAsia="SimSun"/>
          <w:i/>
          <w:iCs/>
          <w:sz w:val="18"/>
          <w:szCs w:val="18"/>
          <w:lang w:val="en-GB"/>
        </w:rPr>
        <w:t>a</w:t>
      </w:r>
      <w:r w:rsidRPr="000C0842">
        <w:rPr>
          <w:rFonts w:eastAsia="SimSun"/>
          <w:sz w:val="18"/>
          <w:szCs w:val="18"/>
          <w:lang w:val="en-GB"/>
        </w:rPr>
        <w:tab/>
      </w:r>
      <w:r w:rsidRPr="000C0842">
        <w:rPr>
          <w:rFonts w:eastAsia="SimSun" w:hint="eastAsia"/>
          <w:sz w:val="18"/>
          <w:szCs w:val="18"/>
          <w:lang w:val="en-GB"/>
        </w:rPr>
        <w:t xml:space="preserve"> </w:t>
      </w:r>
      <w:r w:rsidRPr="000C0842">
        <w:rPr>
          <w:rFonts w:eastAsia="SimSun"/>
          <w:sz w:val="18"/>
          <w:szCs w:val="18"/>
          <w:lang w:val="en-GB"/>
        </w:rPr>
        <w:t>生物多样性公约</w:t>
      </w:r>
      <w:r w:rsidRPr="000C0842">
        <w:rPr>
          <w:rFonts w:eastAsia="SimSun" w:hint="eastAsia"/>
          <w:sz w:val="18"/>
          <w:szCs w:val="18"/>
          <w:lang w:val="en-GB"/>
        </w:rPr>
        <w:t>关于</w:t>
      </w:r>
      <w:r w:rsidRPr="000C0842">
        <w:rPr>
          <w:rFonts w:eastAsia="SimSun"/>
          <w:sz w:val="18"/>
          <w:szCs w:val="18"/>
          <w:lang w:val="en-GB"/>
        </w:rPr>
        <w:t>土著人民和地方社区</w:t>
      </w:r>
      <w:r w:rsidRPr="000C0842">
        <w:rPr>
          <w:rFonts w:eastAsia="SimSun" w:hint="eastAsia"/>
          <w:sz w:val="18"/>
          <w:szCs w:val="18"/>
          <w:lang w:val="en-GB"/>
        </w:rPr>
        <w:t>的</w:t>
      </w:r>
      <w:r w:rsidRPr="000C0842">
        <w:rPr>
          <w:rFonts w:eastAsia="SimSun"/>
          <w:sz w:val="18"/>
          <w:szCs w:val="18"/>
          <w:lang w:val="en-GB"/>
        </w:rPr>
        <w:t>第</w:t>
      </w:r>
      <w:r w:rsidRPr="000C0842">
        <w:rPr>
          <w:rFonts w:eastAsia="SimSun"/>
          <w:sz w:val="18"/>
          <w:szCs w:val="18"/>
          <w:lang w:val="en-GB"/>
        </w:rPr>
        <w:t>8(j)</w:t>
      </w:r>
      <w:r w:rsidRPr="000C0842">
        <w:rPr>
          <w:rFonts w:eastAsia="SimSun"/>
          <w:sz w:val="18"/>
          <w:szCs w:val="18"/>
          <w:lang w:val="en-GB"/>
        </w:rPr>
        <w:t>条和其他条款附属机构第一次会议</w:t>
      </w:r>
      <w:r w:rsidRPr="000C0842">
        <w:rPr>
          <w:rFonts w:eastAsia="SimSun" w:hint="eastAsia"/>
          <w:sz w:val="18"/>
          <w:szCs w:val="18"/>
          <w:lang w:val="en-GB"/>
        </w:rPr>
        <w:t>；</w:t>
      </w:r>
      <w:r w:rsidRPr="000C0842">
        <w:rPr>
          <w:rFonts w:eastAsia="SimSun"/>
          <w:sz w:val="18"/>
          <w:szCs w:val="18"/>
          <w:lang w:val="en-GB"/>
        </w:rPr>
        <w:t>科学、技术和工艺咨询附属机构第二十七次和第二十八次会议</w:t>
      </w:r>
      <w:r w:rsidRPr="000C0842">
        <w:rPr>
          <w:rFonts w:eastAsia="SimSun" w:hint="eastAsia"/>
          <w:sz w:val="18"/>
          <w:szCs w:val="18"/>
          <w:lang w:val="en-GB"/>
        </w:rPr>
        <w:t>；执行问题</w:t>
      </w:r>
      <w:r w:rsidRPr="000C0842">
        <w:rPr>
          <w:rFonts w:eastAsia="SimSun"/>
          <w:sz w:val="18"/>
          <w:szCs w:val="18"/>
          <w:lang w:val="en-GB"/>
        </w:rPr>
        <w:t>附属机构第六次会议</w:t>
      </w:r>
      <w:r w:rsidRPr="000C0842">
        <w:rPr>
          <w:rFonts w:eastAsia="SimSun" w:hint="eastAsia"/>
          <w:sz w:val="18"/>
          <w:szCs w:val="18"/>
          <w:lang w:val="en-GB"/>
        </w:rPr>
        <w:t>；</w:t>
      </w:r>
      <w:r w:rsidRPr="000C0842">
        <w:rPr>
          <w:rFonts w:eastAsia="SimSun"/>
          <w:sz w:val="18"/>
          <w:szCs w:val="18"/>
          <w:lang w:val="en-GB"/>
        </w:rPr>
        <w:t>同时举行的公约缔约方</w:t>
      </w:r>
      <w:r w:rsidRPr="000C0842">
        <w:rPr>
          <w:rFonts w:eastAsia="SimSun" w:hint="eastAsia"/>
          <w:sz w:val="18"/>
          <w:szCs w:val="18"/>
          <w:lang w:val="en-GB"/>
        </w:rPr>
        <w:t>大会</w:t>
      </w:r>
      <w:r w:rsidRPr="000C0842">
        <w:rPr>
          <w:rFonts w:eastAsia="SimSun"/>
          <w:sz w:val="18"/>
          <w:szCs w:val="18"/>
          <w:lang w:val="en-GB"/>
        </w:rPr>
        <w:t>第十七</w:t>
      </w:r>
      <w:r w:rsidRPr="000C0842">
        <w:rPr>
          <w:rFonts w:eastAsia="SimSun" w:hint="eastAsia"/>
          <w:sz w:val="18"/>
          <w:szCs w:val="18"/>
          <w:lang w:val="en-GB"/>
        </w:rPr>
        <w:t>届</w:t>
      </w:r>
      <w:r w:rsidRPr="000C0842">
        <w:rPr>
          <w:rFonts w:eastAsia="SimSun"/>
          <w:sz w:val="18"/>
          <w:szCs w:val="18"/>
          <w:lang w:val="en-GB"/>
        </w:rPr>
        <w:t>会议</w:t>
      </w:r>
      <w:r w:rsidRPr="000C0842">
        <w:rPr>
          <w:rFonts w:eastAsia="SimSun" w:hint="eastAsia"/>
          <w:sz w:val="18"/>
          <w:szCs w:val="18"/>
          <w:lang w:val="en-GB"/>
        </w:rPr>
        <w:t>、</w:t>
      </w:r>
      <w:r w:rsidRPr="000C0842">
        <w:rPr>
          <w:rFonts w:eastAsia="SimSun"/>
          <w:sz w:val="18"/>
          <w:szCs w:val="18"/>
          <w:lang w:val="en-GB"/>
        </w:rPr>
        <w:t>作为</w:t>
      </w:r>
      <w:r w:rsidRPr="000C0842">
        <w:rPr>
          <w:rFonts w:eastAsia="SimSun" w:hint="eastAsia"/>
          <w:sz w:val="18"/>
          <w:szCs w:val="18"/>
          <w:lang w:val="en-GB"/>
        </w:rPr>
        <w:t>卡塔赫纳</w:t>
      </w:r>
      <w:r w:rsidRPr="000C0842">
        <w:rPr>
          <w:rFonts w:eastAsia="SimSun"/>
          <w:sz w:val="18"/>
          <w:szCs w:val="18"/>
          <w:lang w:val="en-GB"/>
        </w:rPr>
        <w:t>议定书缔约方会议的</w:t>
      </w:r>
      <w:r w:rsidRPr="000C0842">
        <w:rPr>
          <w:rFonts w:eastAsia="SimSun" w:hint="eastAsia"/>
          <w:sz w:val="18"/>
          <w:szCs w:val="18"/>
          <w:lang w:val="en-GB"/>
        </w:rPr>
        <w:t>缔约方大会</w:t>
      </w:r>
      <w:r w:rsidRPr="000C0842">
        <w:rPr>
          <w:rFonts w:eastAsia="SimSun"/>
          <w:sz w:val="18"/>
          <w:szCs w:val="18"/>
          <w:lang w:val="en-GB"/>
        </w:rPr>
        <w:t>第十二次会议和作为</w:t>
      </w:r>
      <w:r w:rsidRPr="000C0842">
        <w:rPr>
          <w:rFonts w:eastAsia="SimSun" w:hint="eastAsia"/>
          <w:sz w:val="18"/>
          <w:szCs w:val="18"/>
          <w:lang w:val="en-GB"/>
        </w:rPr>
        <w:t>名古屋议定书</w:t>
      </w:r>
      <w:r w:rsidRPr="000C0842">
        <w:rPr>
          <w:rFonts w:eastAsia="SimSun"/>
          <w:sz w:val="18"/>
          <w:szCs w:val="18"/>
          <w:lang w:val="en-GB"/>
        </w:rPr>
        <w:t>缔约方会议的</w:t>
      </w:r>
      <w:r w:rsidRPr="000C0842">
        <w:rPr>
          <w:rFonts w:eastAsia="SimSun" w:hint="eastAsia"/>
          <w:sz w:val="18"/>
          <w:szCs w:val="18"/>
          <w:lang w:val="en-GB"/>
        </w:rPr>
        <w:t>缔约方大会</w:t>
      </w:r>
      <w:r w:rsidRPr="000C0842">
        <w:rPr>
          <w:rFonts w:eastAsia="SimSun"/>
          <w:sz w:val="18"/>
          <w:szCs w:val="18"/>
          <w:lang w:val="en-GB"/>
        </w:rPr>
        <w:t>第六次会议。</w:t>
      </w:r>
    </w:p>
    <w:p w14:paraId="5A44CB76" w14:textId="77777777" w:rsidR="00A528CF" w:rsidRPr="000C0842" w:rsidRDefault="00A528CF" w:rsidP="00824847">
      <w:pPr>
        <w:keepNext/>
        <w:tabs>
          <w:tab w:val="clear" w:pos="567"/>
          <w:tab w:val="clear" w:pos="1134"/>
          <w:tab w:val="clear" w:pos="1701"/>
          <w:tab w:val="clear" w:pos="2268"/>
          <w:tab w:val="left" w:pos="900"/>
        </w:tabs>
        <w:spacing w:before="240"/>
        <w:ind w:left="490"/>
        <w:rPr>
          <w:rFonts w:eastAsia="SimSun"/>
          <w:sz w:val="24"/>
          <w:szCs w:val="24"/>
          <w:lang w:val="en-GB"/>
        </w:rPr>
      </w:pPr>
      <w:r w:rsidRPr="000C0842">
        <w:rPr>
          <w:rFonts w:eastAsia="SimSun" w:hint="eastAsia"/>
          <w:sz w:val="24"/>
          <w:szCs w:val="24"/>
          <w:lang w:val="en-GB"/>
        </w:rPr>
        <w:t>表</w:t>
      </w:r>
      <w:r w:rsidRPr="000C0842">
        <w:rPr>
          <w:rFonts w:eastAsia="SimSun"/>
          <w:sz w:val="24"/>
          <w:szCs w:val="24"/>
          <w:lang w:val="en-GB"/>
        </w:rPr>
        <w:t xml:space="preserve"> 2</w:t>
      </w:r>
    </w:p>
    <w:p w14:paraId="1C3E581E" w14:textId="77777777" w:rsidR="00A528CF" w:rsidRPr="000C0842" w:rsidRDefault="00A528CF" w:rsidP="00A528CF">
      <w:pPr>
        <w:keepNext/>
        <w:tabs>
          <w:tab w:val="clear" w:pos="567"/>
          <w:tab w:val="clear" w:pos="1134"/>
          <w:tab w:val="clear" w:pos="1701"/>
          <w:tab w:val="clear" w:pos="2268"/>
          <w:tab w:val="left" w:pos="900"/>
        </w:tabs>
        <w:ind w:left="490"/>
        <w:rPr>
          <w:rFonts w:eastAsia="SimSun"/>
          <w:b/>
          <w:bCs/>
          <w:sz w:val="24"/>
          <w:szCs w:val="24"/>
          <w:lang w:val="en-GB"/>
        </w:rPr>
      </w:pPr>
      <w:r w:rsidRPr="000C0842">
        <w:rPr>
          <w:rFonts w:eastAsia="SimSun" w:hint="eastAsia"/>
          <w:b/>
          <w:bCs/>
          <w:sz w:val="24"/>
          <w:szCs w:val="24"/>
          <w:lang w:val="en-GB"/>
        </w:rPr>
        <w:t>2025-2026</w:t>
      </w:r>
      <w:r w:rsidRPr="000C0842">
        <w:rPr>
          <w:rFonts w:eastAsia="SimSun" w:hint="eastAsia"/>
          <w:b/>
          <w:bCs/>
          <w:sz w:val="24"/>
          <w:szCs w:val="24"/>
          <w:lang w:val="en-GB"/>
        </w:rPr>
        <w:t>年《公约》及其议定书核心信托基金综合两年期预算（按构成部分分列）</w:t>
      </w:r>
    </w:p>
    <w:p w14:paraId="1EC7401B" w14:textId="77777777" w:rsidR="00A528CF" w:rsidRPr="000C0842" w:rsidRDefault="00A528CF" w:rsidP="00A528CF">
      <w:pPr>
        <w:keepNext/>
        <w:spacing w:after="120"/>
        <w:ind w:left="490"/>
        <w:rPr>
          <w:rFonts w:eastAsia="SimSun"/>
          <w:sz w:val="20"/>
          <w:szCs w:val="20"/>
          <w:lang w:val="en-GB"/>
        </w:rPr>
      </w:pPr>
      <w:r w:rsidRPr="000C0842">
        <w:rPr>
          <w:rFonts w:eastAsia="SimSun" w:hint="eastAsia"/>
          <w:sz w:val="20"/>
          <w:szCs w:val="20"/>
          <w:lang w:val="en-GB"/>
        </w:rPr>
        <w:t>（千美元）</w:t>
      </w:r>
    </w:p>
    <w:tbl>
      <w:tblPr>
        <w:tblW w:w="8132" w:type="dxa"/>
        <w:jc w:val="center"/>
        <w:tblLook w:val="04A0" w:firstRow="1" w:lastRow="0" w:firstColumn="1" w:lastColumn="0" w:noHBand="0" w:noVBand="1"/>
      </w:tblPr>
      <w:tblGrid>
        <w:gridCol w:w="4680"/>
        <w:gridCol w:w="1150"/>
        <w:gridCol w:w="1151"/>
        <w:gridCol w:w="1151"/>
      </w:tblGrid>
      <w:tr w:rsidR="000C0842" w:rsidRPr="000C0842" w14:paraId="4FFA3A7D" w14:textId="77777777" w:rsidTr="001F32B3">
        <w:trPr>
          <w:tblHeader/>
          <w:jc w:val="center"/>
        </w:trPr>
        <w:tc>
          <w:tcPr>
            <w:tcW w:w="4680" w:type="dxa"/>
            <w:tcBorders>
              <w:top w:val="nil"/>
              <w:left w:val="nil"/>
              <w:bottom w:val="nil"/>
              <w:right w:val="nil"/>
            </w:tcBorders>
            <w:vAlign w:val="center"/>
          </w:tcPr>
          <w:p w14:paraId="5CF3110A" w14:textId="77777777" w:rsidR="00A528CF" w:rsidRPr="000C0842" w:rsidRDefault="00A528CF" w:rsidP="00A528CF">
            <w:pPr>
              <w:keepNext/>
              <w:rPr>
                <w:rFonts w:ascii="KaiTi" w:eastAsia="KaiTi" w:hAnsi="KaiTi"/>
                <w:sz w:val="20"/>
                <w:szCs w:val="20"/>
                <w:lang w:val="en-GB"/>
              </w:rPr>
            </w:pPr>
            <w:r w:rsidRPr="000C0842">
              <w:rPr>
                <w:rFonts w:ascii="KaiTi" w:eastAsia="KaiTi" w:hAnsi="KaiTi" w:hint="eastAsia"/>
                <w:sz w:val="20"/>
                <w:szCs w:val="20"/>
                <w:lang w:val="en-GB"/>
              </w:rPr>
              <w:t>构成部分</w:t>
            </w:r>
          </w:p>
        </w:tc>
        <w:tc>
          <w:tcPr>
            <w:tcW w:w="1150" w:type="dxa"/>
            <w:tcBorders>
              <w:top w:val="nil"/>
              <w:left w:val="nil"/>
              <w:bottom w:val="nil"/>
              <w:right w:val="nil"/>
            </w:tcBorders>
            <w:vAlign w:val="center"/>
          </w:tcPr>
          <w:p w14:paraId="73E1A68A" w14:textId="77777777" w:rsidR="00A528CF" w:rsidRPr="000C0842" w:rsidRDefault="00A528CF" w:rsidP="00A528CF">
            <w:pPr>
              <w:keepNext/>
              <w:ind w:right="72"/>
              <w:jc w:val="right"/>
              <w:rPr>
                <w:rFonts w:eastAsia="KaiTi"/>
                <w:sz w:val="20"/>
                <w:szCs w:val="20"/>
                <w:lang w:val="en-GB"/>
              </w:rPr>
            </w:pPr>
            <w:r w:rsidRPr="000C0842">
              <w:rPr>
                <w:rFonts w:eastAsia="KaiTi"/>
                <w:sz w:val="20"/>
                <w:szCs w:val="20"/>
                <w:lang w:val="en-GB"/>
              </w:rPr>
              <w:t>2025</w:t>
            </w:r>
          </w:p>
        </w:tc>
        <w:tc>
          <w:tcPr>
            <w:tcW w:w="1151" w:type="dxa"/>
            <w:tcBorders>
              <w:top w:val="nil"/>
              <w:left w:val="nil"/>
              <w:bottom w:val="nil"/>
              <w:right w:val="nil"/>
            </w:tcBorders>
            <w:vAlign w:val="center"/>
          </w:tcPr>
          <w:p w14:paraId="32BEEA47" w14:textId="77777777" w:rsidR="00A528CF" w:rsidRPr="000C0842" w:rsidRDefault="00A528CF" w:rsidP="00A528CF">
            <w:pPr>
              <w:keepNext/>
              <w:ind w:right="72"/>
              <w:jc w:val="right"/>
              <w:rPr>
                <w:rFonts w:eastAsia="KaiTi"/>
                <w:sz w:val="20"/>
                <w:szCs w:val="20"/>
                <w:lang w:val="en-GB"/>
              </w:rPr>
            </w:pPr>
            <w:r w:rsidRPr="000C0842">
              <w:rPr>
                <w:rFonts w:eastAsia="KaiTi"/>
                <w:sz w:val="20"/>
                <w:szCs w:val="20"/>
                <w:lang w:val="en-GB"/>
              </w:rPr>
              <w:t>2026</w:t>
            </w:r>
          </w:p>
        </w:tc>
        <w:tc>
          <w:tcPr>
            <w:tcW w:w="1151" w:type="dxa"/>
            <w:tcBorders>
              <w:top w:val="nil"/>
              <w:left w:val="nil"/>
              <w:bottom w:val="nil"/>
              <w:right w:val="nil"/>
            </w:tcBorders>
            <w:vAlign w:val="center"/>
          </w:tcPr>
          <w:p w14:paraId="612E803B" w14:textId="77777777" w:rsidR="00A528CF" w:rsidRPr="000C0842" w:rsidRDefault="00A528CF" w:rsidP="00A528CF">
            <w:pPr>
              <w:keepNext/>
              <w:ind w:right="72"/>
              <w:jc w:val="right"/>
              <w:rPr>
                <w:rFonts w:eastAsia="KaiTi"/>
                <w:sz w:val="20"/>
                <w:szCs w:val="20"/>
                <w:lang w:val="en-GB"/>
              </w:rPr>
            </w:pPr>
            <w:r w:rsidRPr="000C0842">
              <w:rPr>
                <w:rFonts w:eastAsia="KaiTi"/>
                <w:sz w:val="20"/>
                <w:szCs w:val="20"/>
                <w:lang w:val="en-GB"/>
              </w:rPr>
              <w:t>2025–2026</w:t>
            </w:r>
          </w:p>
        </w:tc>
      </w:tr>
      <w:tr w:rsidR="000C0842" w:rsidRPr="000C0842" w14:paraId="30E4002C" w14:textId="77777777" w:rsidTr="001F32B3">
        <w:trPr>
          <w:jc w:val="center"/>
        </w:trPr>
        <w:tc>
          <w:tcPr>
            <w:tcW w:w="4680" w:type="dxa"/>
            <w:tcBorders>
              <w:top w:val="single" w:sz="4" w:space="0" w:color="auto"/>
              <w:left w:val="nil"/>
              <w:bottom w:val="nil"/>
              <w:right w:val="nil"/>
            </w:tcBorders>
            <w:vAlign w:val="center"/>
            <w:hideMark/>
          </w:tcPr>
          <w:p w14:paraId="4DA2AC32" w14:textId="77777777" w:rsidR="00A528CF" w:rsidRPr="000C0842" w:rsidRDefault="00A528CF" w:rsidP="00A528CF">
            <w:pPr>
              <w:keepNext/>
              <w:rPr>
                <w:rFonts w:eastAsia="SimSun"/>
                <w:sz w:val="20"/>
                <w:szCs w:val="20"/>
                <w:lang w:val="en-GB"/>
              </w:rPr>
            </w:pPr>
            <w:r w:rsidRPr="000C0842">
              <w:rPr>
                <w:rFonts w:eastAsia="SimSun"/>
                <w:sz w:val="20"/>
                <w:szCs w:val="20"/>
                <w:lang w:val="en-GB"/>
              </w:rPr>
              <w:t xml:space="preserve">A. </w:t>
            </w:r>
            <w:r w:rsidRPr="000C0842">
              <w:rPr>
                <w:rFonts w:eastAsia="SimSun" w:hint="eastAsia"/>
                <w:sz w:val="20"/>
                <w:szCs w:val="20"/>
                <w:lang w:val="en-GB"/>
              </w:rPr>
              <w:t>理事机构和附属机构</w:t>
            </w:r>
          </w:p>
        </w:tc>
        <w:tc>
          <w:tcPr>
            <w:tcW w:w="1150" w:type="dxa"/>
            <w:tcBorders>
              <w:top w:val="single" w:sz="4" w:space="0" w:color="auto"/>
              <w:left w:val="nil"/>
              <w:bottom w:val="nil"/>
              <w:right w:val="nil"/>
            </w:tcBorders>
            <w:vAlign w:val="center"/>
            <w:hideMark/>
          </w:tcPr>
          <w:p w14:paraId="74B4CB62" w14:textId="77777777" w:rsidR="00A528CF" w:rsidRPr="000C0842" w:rsidRDefault="00A528CF" w:rsidP="00A528CF">
            <w:pPr>
              <w:keepNext/>
              <w:ind w:right="72"/>
              <w:jc w:val="right"/>
              <w:rPr>
                <w:rFonts w:eastAsia="SimSun"/>
                <w:sz w:val="20"/>
                <w:szCs w:val="20"/>
                <w:lang w:val="en-GB"/>
              </w:rPr>
            </w:pPr>
            <w:r w:rsidRPr="000C0842">
              <w:rPr>
                <w:rFonts w:eastAsia="SimSun"/>
                <w:sz w:val="20"/>
                <w:szCs w:val="20"/>
                <w:lang w:val="en-GB"/>
              </w:rPr>
              <w:t>2 611.2</w:t>
            </w:r>
          </w:p>
        </w:tc>
        <w:tc>
          <w:tcPr>
            <w:tcW w:w="1151" w:type="dxa"/>
            <w:tcBorders>
              <w:top w:val="single" w:sz="4" w:space="0" w:color="auto"/>
              <w:left w:val="nil"/>
              <w:bottom w:val="nil"/>
              <w:right w:val="nil"/>
            </w:tcBorders>
            <w:vAlign w:val="center"/>
            <w:hideMark/>
          </w:tcPr>
          <w:p w14:paraId="56EB6AE8" w14:textId="77777777" w:rsidR="00A528CF" w:rsidRPr="000C0842" w:rsidRDefault="00A528CF" w:rsidP="00A528CF">
            <w:pPr>
              <w:keepNext/>
              <w:ind w:right="72"/>
              <w:jc w:val="right"/>
              <w:rPr>
                <w:rFonts w:eastAsia="SimSun"/>
                <w:sz w:val="20"/>
                <w:szCs w:val="20"/>
                <w:lang w:val="en-GB"/>
              </w:rPr>
            </w:pPr>
            <w:r w:rsidRPr="000C0842">
              <w:rPr>
                <w:rFonts w:eastAsia="SimSun"/>
                <w:sz w:val="20"/>
                <w:szCs w:val="20"/>
                <w:lang w:val="en-GB"/>
              </w:rPr>
              <w:t>3 082.7</w:t>
            </w:r>
          </w:p>
        </w:tc>
        <w:tc>
          <w:tcPr>
            <w:tcW w:w="1151" w:type="dxa"/>
            <w:tcBorders>
              <w:top w:val="single" w:sz="4" w:space="0" w:color="auto"/>
              <w:left w:val="nil"/>
              <w:bottom w:val="nil"/>
              <w:right w:val="nil"/>
            </w:tcBorders>
            <w:vAlign w:val="center"/>
            <w:hideMark/>
          </w:tcPr>
          <w:p w14:paraId="20712D4F" w14:textId="77777777" w:rsidR="00A528CF" w:rsidRPr="000C0842" w:rsidRDefault="00A528CF" w:rsidP="00A528CF">
            <w:pPr>
              <w:keepNext/>
              <w:ind w:right="72"/>
              <w:jc w:val="right"/>
              <w:rPr>
                <w:rFonts w:eastAsia="SimSun"/>
                <w:sz w:val="20"/>
                <w:szCs w:val="20"/>
                <w:lang w:val="en-GB"/>
              </w:rPr>
            </w:pPr>
            <w:r w:rsidRPr="000C0842">
              <w:rPr>
                <w:rFonts w:eastAsia="SimSun"/>
                <w:sz w:val="20"/>
                <w:szCs w:val="20"/>
                <w:lang w:val="en-GB"/>
              </w:rPr>
              <w:t>5 693.9</w:t>
            </w:r>
          </w:p>
        </w:tc>
      </w:tr>
      <w:tr w:rsidR="000C0842" w:rsidRPr="000C0842" w14:paraId="43577675" w14:textId="77777777" w:rsidTr="001F32B3">
        <w:trPr>
          <w:jc w:val="center"/>
        </w:trPr>
        <w:tc>
          <w:tcPr>
            <w:tcW w:w="4680" w:type="dxa"/>
            <w:tcBorders>
              <w:top w:val="nil"/>
              <w:left w:val="nil"/>
              <w:bottom w:val="nil"/>
              <w:right w:val="nil"/>
            </w:tcBorders>
            <w:vAlign w:val="center"/>
            <w:hideMark/>
          </w:tcPr>
          <w:p w14:paraId="35E774F9" w14:textId="77777777" w:rsidR="00A528CF" w:rsidRPr="000C0842" w:rsidRDefault="00A528CF" w:rsidP="00A528CF">
            <w:pPr>
              <w:rPr>
                <w:rFonts w:eastAsia="SimSun"/>
                <w:sz w:val="20"/>
                <w:szCs w:val="20"/>
                <w:lang w:val="en-GB"/>
              </w:rPr>
            </w:pPr>
            <w:r w:rsidRPr="000C0842">
              <w:rPr>
                <w:rFonts w:eastAsia="SimSun"/>
                <w:sz w:val="20"/>
                <w:szCs w:val="20"/>
                <w:lang w:val="en-GB"/>
              </w:rPr>
              <w:t xml:space="preserve">B. </w:t>
            </w:r>
            <w:r w:rsidRPr="000C0842">
              <w:rPr>
                <w:rFonts w:eastAsia="SimSun" w:hint="eastAsia"/>
                <w:sz w:val="20"/>
                <w:szCs w:val="20"/>
                <w:lang w:val="en-GB"/>
              </w:rPr>
              <w:t>行政领导和管理</w:t>
            </w:r>
          </w:p>
        </w:tc>
        <w:tc>
          <w:tcPr>
            <w:tcW w:w="1150" w:type="dxa"/>
            <w:tcBorders>
              <w:top w:val="nil"/>
              <w:left w:val="nil"/>
              <w:bottom w:val="nil"/>
              <w:right w:val="nil"/>
            </w:tcBorders>
            <w:vAlign w:val="center"/>
            <w:hideMark/>
          </w:tcPr>
          <w:p w14:paraId="0B7F37E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2 946.8</w:t>
            </w:r>
          </w:p>
        </w:tc>
        <w:tc>
          <w:tcPr>
            <w:tcW w:w="1151" w:type="dxa"/>
            <w:tcBorders>
              <w:top w:val="nil"/>
              <w:left w:val="nil"/>
              <w:bottom w:val="nil"/>
              <w:right w:val="nil"/>
            </w:tcBorders>
            <w:vAlign w:val="center"/>
            <w:hideMark/>
          </w:tcPr>
          <w:p w14:paraId="2A9011F4"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3 098.4</w:t>
            </w:r>
          </w:p>
        </w:tc>
        <w:tc>
          <w:tcPr>
            <w:tcW w:w="1151" w:type="dxa"/>
            <w:tcBorders>
              <w:top w:val="nil"/>
              <w:left w:val="nil"/>
              <w:bottom w:val="nil"/>
              <w:right w:val="nil"/>
            </w:tcBorders>
            <w:vAlign w:val="center"/>
            <w:hideMark/>
          </w:tcPr>
          <w:p w14:paraId="740D753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6 045.1</w:t>
            </w:r>
          </w:p>
        </w:tc>
      </w:tr>
      <w:tr w:rsidR="000C0842" w:rsidRPr="000C0842" w14:paraId="11BA73EA" w14:textId="77777777" w:rsidTr="001F32B3">
        <w:trPr>
          <w:jc w:val="center"/>
        </w:trPr>
        <w:tc>
          <w:tcPr>
            <w:tcW w:w="4680" w:type="dxa"/>
            <w:tcBorders>
              <w:top w:val="nil"/>
              <w:left w:val="nil"/>
              <w:bottom w:val="nil"/>
              <w:right w:val="nil"/>
            </w:tcBorders>
            <w:vAlign w:val="center"/>
            <w:hideMark/>
          </w:tcPr>
          <w:p w14:paraId="0D68437E" w14:textId="77777777" w:rsidR="00A528CF" w:rsidRPr="000C0842" w:rsidRDefault="00A528CF" w:rsidP="00A528CF">
            <w:pPr>
              <w:rPr>
                <w:rFonts w:eastAsia="SimSun"/>
                <w:sz w:val="20"/>
                <w:szCs w:val="20"/>
                <w:lang w:val="en-GB"/>
              </w:rPr>
            </w:pPr>
            <w:r w:rsidRPr="000C0842">
              <w:rPr>
                <w:rFonts w:eastAsia="SimSun"/>
                <w:sz w:val="20"/>
                <w:szCs w:val="20"/>
                <w:lang w:val="en-GB"/>
              </w:rPr>
              <w:t xml:space="preserve">C. </w:t>
            </w:r>
            <w:r w:rsidRPr="000C0842">
              <w:rPr>
                <w:rFonts w:eastAsia="SimSun" w:hint="eastAsia"/>
                <w:sz w:val="20"/>
                <w:szCs w:val="20"/>
                <w:lang w:val="en-GB"/>
              </w:rPr>
              <w:t>工作方案</w:t>
            </w:r>
          </w:p>
        </w:tc>
        <w:tc>
          <w:tcPr>
            <w:tcW w:w="1150" w:type="dxa"/>
            <w:tcBorders>
              <w:top w:val="nil"/>
              <w:left w:val="nil"/>
              <w:bottom w:val="nil"/>
              <w:right w:val="nil"/>
            </w:tcBorders>
            <w:vAlign w:val="center"/>
            <w:hideMark/>
          </w:tcPr>
          <w:p w14:paraId="73F1FC3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10 013.3</w:t>
            </w:r>
          </w:p>
        </w:tc>
        <w:tc>
          <w:tcPr>
            <w:tcW w:w="1151" w:type="dxa"/>
            <w:tcBorders>
              <w:top w:val="nil"/>
              <w:left w:val="nil"/>
              <w:bottom w:val="nil"/>
              <w:right w:val="nil"/>
            </w:tcBorders>
            <w:vAlign w:val="center"/>
            <w:hideMark/>
          </w:tcPr>
          <w:p w14:paraId="25656961"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10 384.3</w:t>
            </w:r>
          </w:p>
        </w:tc>
        <w:tc>
          <w:tcPr>
            <w:tcW w:w="1151" w:type="dxa"/>
            <w:tcBorders>
              <w:top w:val="nil"/>
              <w:left w:val="nil"/>
              <w:bottom w:val="nil"/>
              <w:right w:val="nil"/>
            </w:tcBorders>
            <w:vAlign w:val="center"/>
            <w:hideMark/>
          </w:tcPr>
          <w:p w14:paraId="3E8865E9"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20 397.6</w:t>
            </w:r>
          </w:p>
        </w:tc>
      </w:tr>
      <w:tr w:rsidR="000C0842" w:rsidRPr="000C0842" w14:paraId="1B292BA4" w14:textId="77777777" w:rsidTr="001F32B3">
        <w:trPr>
          <w:jc w:val="center"/>
        </w:trPr>
        <w:tc>
          <w:tcPr>
            <w:tcW w:w="4680" w:type="dxa"/>
            <w:tcBorders>
              <w:top w:val="nil"/>
              <w:left w:val="nil"/>
              <w:bottom w:val="single" w:sz="4" w:space="0" w:color="auto"/>
              <w:right w:val="nil"/>
            </w:tcBorders>
            <w:vAlign w:val="center"/>
            <w:hideMark/>
          </w:tcPr>
          <w:p w14:paraId="38FD8A6F" w14:textId="77777777" w:rsidR="00A528CF" w:rsidRPr="000C0842" w:rsidRDefault="00A528CF" w:rsidP="00A528CF">
            <w:pPr>
              <w:rPr>
                <w:rFonts w:eastAsia="SimSun"/>
                <w:sz w:val="20"/>
                <w:szCs w:val="20"/>
                <w:lang w:val="en-GB"/>
              </w:rPr>
            </w:pPr>
            <w:r w:rsidRPr="000C0842">
              <w:rPr>
                <w:rFonts w:eastAsia="SimSun"/>
                <w:sz w:val="20"/>
                <w:szCs w:val="20"/>
                <w:lang w:val="en-GB"/>
              </w:rPr>
              <w:t xml:space="preserve">D. </w:t>
            </w:r>
            <w:r w:rsidRPr="000C0842">
              <w:rPr>
                <w:rFonts w:eastAsia="SimSun" w:hint="eastAsia"/>
                <w:sz w:val="20"/>
                <w:szCs w:val="20"/>
                <w:lang w:val="en-GB"/>
              </w:rPr>
              <w:t>行政支助</w:t>
            </w:r>
          </w:p>
        </w:tc>
        <w:tc>
          <w:tcPr>
            <w:tcW w:w="1150" w:type="dxa"/>
            <w:tcBorders>
              <w:top w:val="nil"/>
              <w:left w:val="nil"/>
              <w:bottom w:val="single" w:sz="4" w:space="0" w:color="auto"/>
              <w:right w:val="nil"/>
            </w:tcBorders>
            <w:vAlign w:val="center"/>
            <w:hideMark/>
          </w:tcPr>
          <w:p w14:paraId="71B4A78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3 590.2</w:t>
            </w:r>
          </w:p>
        </w:tc>
        <w:tc>
          <w:tcPr>
            <w:tcW w:w="1151" w:type="dxa"/>
            <w:tcBorders>
              <w:top w:val="nil"/>
              <w:left w:val="nil"/>
              <w:bottom w:val="single" w:sz="4" w:space="0" w:color="auto"/>
              <w:right w:val="nil"/>
            </w:tcBorders>
            <w:vAlign w:val="center"/>
            <w:hideMark/>
          </w:tcPr>
          <w:p w14:paraId="3A8BD2C4"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3 443.2</w:t>
            </w:r>
          </w:p>
        </w:tc>
        <w:tc>
          <w:tcPr>
            <w:tcW w:w="1151" w:type="dxa"/>
            <w:tcBorders>
              <w:top w:val="nil"/>
              <w:left w:val="nil"/>
              <w:bottom w:val="single" w:sz="4" w:space="0" w:color="auto"/>
              <w:right w:val="nil"/>
            </w:tcBorders>
            <w:vAlign w:val="center"/>
            <w:hideMark/>
          </w:tcPr>
          <w:p w14:paraId="21217243"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7 033.4</w:t>
            </w:r>
          </w:p>
        </w:tc>
      </w:tr>
      <w:tr w:rsidR="000C0842" w:rsidRPr="000C0842" w14:paraId="4920A1B9" w14:textId="77777777" w:rsidTr="001F32B3">
        <w:trPr>
          <w:jc w:val="center"/>
        </w:trPr>
        <w:tc>
          <w:tcPr>
            <w:tcW w:w="4680" w:type="dxa"/>
            <w:tcBorders>
              <w:top w:val="single" w:sz="4" w:space="0" w:color="auto"/>
              <w:left w:val="nil"/>
              <w:bottom w:val="single" w:sz="4" w:space="0" w:color="auto"/>
              <w:right w:val="nil"/>
            </w:tcBorders>
            <w:vAlign w:val="center"/>
            <w:hideMark/>
          </w:tcPr>
          <w:p w14:paraId="157BE801"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1150" w:type="dxa"/>
            <w:tcBorders>
              <w:top w:val="single" w:sz="4" w:space="0" w:color="auto"/>
              <w:left w:val="nil"/>
              <w:bottom w:val="single" w:sz="4" w:space="0" w:color="auto"/>
              <w:right w:val="nil"/>
            </w:tcBorders>
            <w:vAlign w:val="center"/>
            <w:hideMark/>
          </w:tcPr>
          <w:p w14:paraId="4D803565"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19 161.3</w:t>
            </w:r>
          </w:p>
        </w:tc>
        <w:tc>
          <w:tcPr>
            <w:tcW w:w="1151" w:type="dxa"/>
            <w:tcBorders>
              <w:top w:val="single" w:sz="4" w:space="0" w:color="auto"/>
              <w:left w:val="nil"/>
              <w:bottom w:val="single" w:sz="4" w:space="0" w:color="auto"/>
              <w:right w:val="nil"/>
            </w:tcBorders>
            <w:vAlign w:val="center"/>
            <w:hideMark/>
          </w:tcPr>
          <w:p w14:paraId="4A8D4506"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20 008.6</w:t>
            </w:r>
          </w:p>
        </w:tc>
        <w:tc>
          <w:tcPr>
            <w:tcW w:w="1151" w:type="dxa"/>
            <w:tcBorders>
              <w:top w:val="single" w:sz="4" w:space="0" w:color="auto"/>
              <w:left w:val="nil"/>
              <w:bottom w:val="single" w:sz="4" w:space="0" w:color="auto"/>
              <w:right w:val="nil"/>
            </w:tcBorders>
            <w:vAlign w:val="center"/>
            <w:hideMark/>
          </w:tcPr>
          <w:p w14:paraId="289DCF26"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39 170.0</w:t>
            </w:r>
          </w:p>
        </w:tc>
      </w:tr>
      <w:tr w:rsidR="000C0842" w:rsidRPr="000C0842" w14:paraId="6BA2BDDF" w14:textId="77777777" w:rsidTr="001F32B3">
        <w:trPr>
          <w:jc w:val="center"/>
        </w:trPr>
        <w:tc>
          <w:tcPr>
            <w:tcW w:w="4680" w:type="dxa"/>
            <w:tcBorders>
              <w:top w:val="single" w:sz="4" w:space="0" w:color="auto"/>
              <w:left w:val="nil"/>
              <w:bottom w:val="nil"/>
              <w:right w:val="nil"/>
            </w:tcBorders>
            <w:vAlign w:val="center"/>
            <w:hideMark/>
          </w:tcPr>
          <w:p w14:paraId="03E90389"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方案支助费用</w:t>
            </w:r>
            <w:r w:rsidRPr="000C0842">
              <w:rPr>
                <w:rFonts w:eastAsia="SimSun"/>
                <w:sz w:val="20"/>
                <w:szCs w:val="20"/>
                <w:lang w:val="en-GB"/>
              </w:rPr>
              <w:t xml:space="preserve"> (13%)</w:t>
            </w:r>
          </w:p>
        </w:tc>
        <w:tc>
          <w:tcPr>
            <w:tcW w:w="1150" w:type="dxa"/>
            <w:tcBorders>
              <w:top w:val="single" w:sz="4" w:space="0" w:color="auto"/>
              <w:left w:val="nil"/>
              <w:bottom w:val="nil"/>
              <w:right w:val="nil"/>
            </w:tcBorders>
            <w:vAlign w:val="center"/>
            <w:hideMark/>
          </w:tcPr>
          <w:p w14:paraId="1D3963A2"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2 491.0</w:t>
            </w:r>
          </w:p>
        </w:tc>
        <w:tc>
          <w:tcPr>
            <w:tcW w:w="1151" w:type="dxa"/>
            <w:tcBorders>
              <w:top w:val="single" w:sz="4" w:space="0" w:color="auto"/>
              <w:left w:val="nil"/>
              <w:bottom w:val="nil"/>
              <w:right w:val="nil"/>
            </w:tcBorders>
            <w:vAlign w:val="center"/>
            <w:hideMark/>
          </w:tcPr>
          <w:p w14:paraId="3DAFEE8E"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2 601.1</w:t>
            </w:r>
          </w:p>
        </w:tc>
        <w:tc>
          <w:tcPr>
            <w:tcW w:w="1151" w:type="dxa"/>
            <w:tcBorders>
              <w:top w:val="single" w:sz="4" w:space="0" w:color="auto"/>
              <w:left w:val="nil"/>
              <w:bottom w:val="nil"/>
              <w:right w:val="nil"/>
            </w:tcBorders>
            <w:vAlign w:val="center"/>
            <w:hideMark/>
          </w:tcPr>
          <w:p w14:paraId="215F99FA"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5 092.1</w:t>
            </w:r>
          </w:p>
        </w:tc>
      </w:tr>
      <w:tr w:rsidR="000C0842" w:rsidRPr="000C0842" w14:paraId="7CE03757" w14:textId="77777777" w:rsidTr="001F32B3">
        <w:trPr>
          <w:jc w:val="center"/>
        </w:trPr>
        <w:tc>
          <w:tcPr>
            <w:tcW w:w="4680" w:type="dxa"/>
            <w:tcBorders>
              <w:top w:val="nil"/>
              <w:left w:val="nil"/>
              <w:bottom w:val="single" w:sz="4" w:space="0" w:color="auto"/>
              <w:right w:val="nil"/>
            </w:tcBorders>
            <w:vAlign w:val="center"/>
            <w:hideMark/>
          </w:tcPr>
          <w:p w14:paraId="5D5AFABD"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周转资本准备金</w:t>
            </w:r>
          </w:p>
        </w:tc>
        <w:tc>
          <w:tcPr>
            <w:tcW w:w="1150" w:type="dxa"/>
            <w:tcBorders>
              <w:top w:val="nil"/>
              <w:left w:val="nil"/>
              <w:bottom w:val="single" w:sz="4" w:space="0" w:color="auto"/>
              <w:right w:val="nil"/>
            </w:tcBorders>
            <w:vAlign w:val="center"/>
            <w:hideMark/>
          </w:tcPr>
          <w:p w14:paraId="0651FFB4"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29.8</w:t>
            </w:r>
          </w:p>
        </w:tc>
        <w:tc>
          <w:tcPr>
            <w:tcW w:w="1151" w:type="dxa"/>
            <w:tcBorders>
              <w:top w:val="nil"/>
              <w:left w:val="nil"/>
              <w:bottom w:val="single" w:sz="4" w:space="0" w:color="auto"/>
              <w:right w:val="nil"/>
            </w:tcBorders>
            <w:vAlign w:val="center"/>
            <w:hideMark/>
          </w:tcPr>
          <w:p w14:paraId="12CB441B"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143.6</w:t>
            </w:r>
          </w:p>
        </w:tc>
        <w:tc>
          <w:tcPr>
            <w:tcW w:w="1151" w:type="dxa"/>
            <w:tcBorders>
              <w:top w:val="nil"/>
              <w:left w:val="nil"/>
              <w:bottom w:val="single" w:sz="4" w:space="0" w:color="auto"/>
              <w:right w:val="nil"/>
            </w:tcBorders>
            <w:noWrap/>
            <w:vAlign w:val="center"/>
            <w:hideMark/>
          </w:tcPr>
          <w:p w14:paraId="1B007DA1"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173.4</w:t>
            </w:r>
          </w:p>
        </w:tc>
      </w:tr>
      <w:tr w:rsidR="000C0842" w:rsidRPr="000C0842" w14:paraId="19F83FA3" w14:textId="77777777" w:rsidTr="001F32B3">
        <w:trPr>
          <w:jc w:val="center"/>
        </w:trPr>
        <w:tc>
          <w:tcPr>
            <w:tcW w:w="4680" w:type="dxa"/>
            <w:tcBorders>
              <w:top w:val="single" w:sz="4" w:space="0" w:color="auto"/>
              <w:left w:val="nil"/>
              <w:bottom w:val="single" w:sz="4" w:space="0" w:color="auto"/>
              <w:right w:val="nil"/>
            </w:tcBorders>
            <w:vAlign w:val="center"/>
            <w:hideMark/>
          </w:tcPr>
          <w:p w14:paraId="40B80B1A"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所需资源共计</w:t>
            </w:r>
          </w:p>
        </w:tc>
        <w:tc>
          <w:tcPr>
            <w:tcW w:w="1150" w:type="dxa"/>
            <w:tcBorders>
              <w:top w:val="single" w:sz="4" w:space="0" w:color="auto"/>
              <w:left w:val="nil"/>
              <w:bottom w:val="single" w:sz="4" w:space="0" w:color="auto"/>
              <w:right w:val="nil"/>
            </w:tcBorders>
            <w:vAlign w:val="center"/>
            <w:hideMark/>
          </w:tcPr>
          <w:p w14:paraId="6F8EC014"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21 682.1</w:t>
            </w:r>
          </w:p>
        </w:tc>
        <w:tc>
          <w:tcPr>
            <w:tcW w:w="1151" w:type="dxa"/>
            <w:tcBorders>
              <w:top w:val="single" w:sz="4" w:space="0" w:color="auto"/>
              <w:left w:val="nil"/>
              <w:bottom w:val="single" w:sz="4" w:space="0" w:color="auto"/>
              <w:right w:val="nil"/>
            </w:tcBorders>
            <w:vAlign w:val="center"/>
            <w:hideMark/>
          </w:tcPr>
          <w:p w14:paraId="526BC516"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22 753.4</w:t>
            </w:r>
          </w:p>
        </w:tc>
        <w:tc>
          <w:tcPr>
            <w:tcW w:w="1151" w:type="dxa"/>
            <w:tcBorders>
              <w:top w:val="single" w:sz="4" w:space="0" w:color="auto"/>
              <w:left w:val="nil"/>
              <w:bottom w:val="single" w:sz="4" w:space="0" w:color="auto"/>
              <w:right w:val="nil"/>
            </w:tcBorders>
            <w:vAlign w:val="center"/>
            <w:hideMark/>
          </w:tcPr>
          <w:p w14:paraId="0B74C6B8"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44 435.5</w:t>
            </w:r>
          </w:p>
        </w:tc>
      </w:tr>
      <w:tr w:rsidR="000C0842" w:rsidRPr="000C0842" w14:paraId="449E13CB" w14:textId="77777777" w:rsidTr="001F32B3">
        <w:trPr>
          <w:jc w:val="center"/>
        </w:trPr>
        <w:tc>
          <w:tcPr>
            <w:tcW w:w="4680" w:type="dxa"/>
            <w:tcBorders>
              <w:top w:val="single" w:sz="4" w:space="0" w:color="auto"/>
              <w:left w:val="nil"/>
              <w:right w:val="nil"/>
            </w:tcBorders>
            <w:vAlign w:val="center"/>
            <w:hideMark/>
          </w:tcPr>
          <w:p w14:paraId="63AE0BEE"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公约占综合预算份额</w:t>
            </w:r>
            <w:r w:rsidRPr="000C0842">
              <w:rPr>
                <w:rFonts w:eastAsia="SimSun"/>
                <w:sz w:val="20"/>
                <w:szCs w:val="20"/>
                <w:lang w:val="en-GB"/>
              </w:rPr>
              <w:t xml:space="preserve"> (72%)</w:t>
            </w:r>
          </w:p>
        </w:tc>
        <w:tc>
          <w:tcPr>
            <w:tcW w:w="1150" w:type="dxa"/>
            <w:tcBorders>
              <w:top w:val="single" w:sz="4" w:space="0" w:color="auto"/>
              <w:left w:val="nil"/>
              <w:right w:val="nil"/>
            </w:tcBorders>
            <w:vAlign w:val="center"/>
            <w:hideMark/>
          </w:tcPr>
          <w:p w14:paraId="270CA0C0"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15 611.1</w:t>
            </w:r>
          </w:p>
        </w:tc>
        <w:tc>
          <w:tcPr>
            <w:tcW w:w="1151" w:type="dxa"/>
            <w:tcBorders>
              <w:top w:val="single" w:sz="4" w:space="0" w:color="auto"/>
              <w:left w:val="nil"/>
              <w:right w:val="nil"/>
            </w:tcBorders>
            <w:vAlign w:val="center"/>
            <w:hideMark/>
          </w:tcPr>
          <w:p w14:paraId="2A7F9FD2"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16 382.4</w:t>
            </w:r>
          </w:p>
        </w:tc>
        <w:tc>
          <w:tcPr>
            <w:tcW w:w="1151" w:type="dxa"/>
            <w:tcBorders>
              <w:top w:val="single" w:sz="4" w:space="0" w:color="auto"/>
              <w:left w:val="nil"/>
              <w:right w:val="nil"/>
            </w:tcBorders>
            <w:vAlign w:val="center"/>
            <w:hideMark/>
          </w:tcPr>
          <w:p w14:paraId="7D230C5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31 993.5</w:t>
            </w:r>
          </w:p>
        </w:tc>
      </w:tr>
      <w:tr w:rsidR="000C0842" w:rsidRPr="000C0842" w14:paraId="71B4EDC3" w14:textId="77777777" w:rsidTr="001F32B3">
        <w:trPr>
          <w:jc w:val="center"/>
        </w:trPr>
        <w:tc>
          <w:tcPr>
            <w:tcW w:w="4680" w:type="dxa"/>
            <w:tcBorders>
              <w:left w:val="nil"/>
              <w:bottom w:val="nil"/>
              <w:right w:val="nil"/>
            </w:tcBorders>
            <w:vAlign w:val="center"/>
            <w:hideMark/>
          </w:tcPr>
          <w:p w14:paraId="7F6A1BA6"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扣除东道国的捐助</w:t>
            </w:r>
          </w:p>
        </w:tc>
        <w:tc>
          <w:tcPr>
            <w:tcW w:w="1150" w:type="dxa"/>
            <w:tcBorders>
              <w:left w:val="nil"/>
              <w:bottom w:val="nil"/>
              <w:right w:val="nil"/>
            </w:tcBorders>
            <w:vAlign w:val="center"/>
            <w:hideMark/>
          </w:tcPr>
          <w:p w14:paraId="24B3A56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(1 189.9)</w:t>
            </w:r>
          </w:p>
        </w:tc>
        <w:tc>
          <w:tcPr>
            <w:tcW w:w="1151" w:type="dxa"/>
            <w:tcBorders>
              <w:left w:val="nil"/>
              <w:bottom w:val="nil"/>
              <w:right w:val="nil"/>
            </w:tcBorders>
            <w:vAlign w:val="center"/>
            <w:hideMark/>
          </w:tcPr>
          <w:p w14:paraId="1ADCD15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(1 201.4)</w:t>
            </w:r>
          </w:p>
        </w:tc>
        <w:tc>
          <w:tcPr>
            <w:tcW w:w="1151" w:type="dxa"/>
            <w:tcBorders>
              <w:left w:val="nil"/>
              <w:bottom w:val="nil"/>
              <w:right w:val="nil"/>
            </w:tcBorders>
            <w:vAlign w:val="center"/>
            <w:hideMark/>
          </w:tcPr>
          <w:p w14:paraId="24587CB5"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(2 391.3)</w:t>
            </w:r>
          </w:p>
        </w:tc>
      </w:tr>
      <w:tr w:rsidR="000C0842" w:rsidRPr="000C0842" w14:paraId="085C6638" w14:textId="77777777" w:rsidTr="001F32B3">
        <w:trPr>
          <w:jc w:val="center"/>
        </w:trPr>
        <w:tc>
          <w:tcPr>
            <w:tcW w:w="4680" w:type="dxa"/>
            <w:tcBorders>
              <w:top w:val="nil"/>
              <w:left w:val="nil"/>
              <w:bottom w:val="single" w:sz="8" w:space="0" w:color="auto"/>
              <w:right w:val="nil"/>
            </w:tcBorders>
            <w:vAlign w:val="center"/>
            <w:hideMark/>
          </w:tcPr>
          <w:p w14:paraId="45125304"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扣除准备金</w:t>
            </w:r>
          </w:p>
        </w:tc>
        <w:tc>
          <w:tcPr>
            <w:tcW w:w="1150" w:type="dxa"/>
            <w:tcBorders>
              <w:top w:val="nil"/>
              <w:left w:val="nil"/>
              <w:bottom w:val="single" w:sz="8" w:space="0" w:color="auto"/>
              <w:right w:val="nil"/>
            </w:tcBorders>
            <w:vAlign w:val="center"/>
            <w:hideMark/>
          </w:tcPr>
          <w:p w14:paraId="6B079FFC"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(342.5)</w:t>
            </w:r>
          </w:p>
        </w:tc>
        <w:tc>
          <w:tcPr>
            <w:tcW w:w="1151" w:type="dxa"/>
            <w:tcBorders>
              <w:top w:val="nil"/>
              <w:left w:val="nil"/>
              <w:bottom w:val="single" w:sz="8" w:space="0" w:color="auto"/>
              <w:right w:val="nil"/>
            </w:tcBorders>
            <w:vAlign w:val="center"/>
            <w:hideMark/>
          </w:tcPr>
          <w:p w14:paraId="1E917717"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(139.1)</w:t>
            </w:r>
          </w:p>
        </w:tc>
        <w:tc>
          <w:tcPr>
            <w:tcW w:w="1151" w:type="dxa"/>
            <w:tcBorders>
              <w:top w:val="nil"/>
              <w:left w:val="nil"/>
              <w:bottom w:val="nil"/>
              <w:right w:val="nil"/>
            </w:tcBorders>
            <w:vAlign w:val="center"/>
            <w:hideMark/>
          </w:tcPr>
          <w:p w14:paraId="4D92809A" w14:textId="77777777" w:rsidR="00A528CF" w:rsidRPr="000C0842" w:rsidRDefault="00A528CF" w:rsidP="00A528CF">
            <w:pPr>
              <w:ind w:right="72"/>
              <w:jc w:val="right"/>
              <w:rPr>
                <w:rFonts w:eastAsia="SimSun"/>
                <w:sz w:val="20"/>
                <w:szCs w:val="20"/>
                <w:lang w:val="en-GB"/>
              </w:rPr>
            </w:pPr>
            <w:r w:rsidRPr="000C0842">
              <w:rPr>
                <w:rFonts w:eastAsia="SimSun"/>
                <w:sz w:val="20"/>
                <w:szCs w:val="20"/>
                <w:lang w:val="en-GB"/>
              </w:rPr>
              <w:t>(481.6)</w:t>
            </w:r>
          </w:p>
        </w:tc>
      </w:tr>
      <w:tr w:rsidR="00A528CF" w:rsidRPr="000C0842" w14:paraId="12D5AE69" w14:textId="77777777" w:rsidTr="001F32B3">
        <w:trPr>
          <w:jc w:val="center"/>
        </w:trPr>
        <w:tc>
          <w:tcPr>
            <w:tcW w:w="4680" w:type="dxa"/>
            <w:tcBorders>
              <w:top w:val="nil"/>
              <w:left w:val="nil"/>
              <w:bottom w:val="single" w:sz="8" w:space="0" w:color="auto"/>
              <w:right w:val="nil"/>
            </w:tcBorders>
            <w:vAlign w:val="center"/>
            <w:hideMark/>
          </w:tcPr>
          <w:p w14:paraId="5BCA36C0"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总额净值</w:t>
            </w:r>
            <w:r w:rsidRPr="000C0842">
              <w:rPr>
                <w:rFonts w:eastAsia="SimSun"/>
                <w:b/>
                <w:bCs/>
                <w:sz w:val="20"/>
                <w:szCs w:val="20"/>
                <w:lang w:val="en-GB"/>
              </w:rPr>
              <w:t xml:space="preserve"> </w:t>
            </w:r>
            <w:r w:rsidRPr="000C0842">
              <w:rPr>
                <w:rFonts w:eastAsia="SimSun" w:hint="eastAsia"/>
                <w:b/>
                <w:bCs/>
                <w:sz w:val="20"/>
                <w:szCs w:val="20"/>
                <w:lang w:val="en-GB"/>
              </w:rPr>
              <w:t>（由缔约方分摊的数额）</w:t>
            </w:r>
          </w:p>
        </w:tc>
        <w:tc>
          <w:tcPr>
            <w:tcW w:w="1150" w:type="dxa"/>
            <w:tcBorders>
              <w:top w:val="nil"/>
              <w:left w:val="nil"/>
              <w:bottom w:val="single" w:sz="8" w:space="0" w:color="auto"/>
              <w:right w:val="nil"/>
            </w:tcBorders>
            <w:vAlign w:val="center"/>
            <w:hideMark/>
          </w:tcPr>
          <w:p w14:paraId="77A35DBB"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14 078.7</w:t>
            </w:r>
          </w:p>
        </w:tc>
        <w:tc>
          <w:tcPr>
            <w:tcW w:w="1151" w:type="dxa"/>
            <w:tcBorders>
              <w:top w:val="nil"/>
              <w:left w:val="nil"/>
              <w:bottom w:val="single" w:sz="8" w:space="0" w:color="auto"/>
              <w:right w:val="nil"/>
            </w:tcBorders>
            <w:vAlign w:val="center"/>
            <w:hideMark/>
          </w:tcPr>
          <w:p w14:paraId="514FC40C"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15 042.0</w:t>
            </w:r>
          </w:p>
        </w:tc>
        <w:tc>
          <w:tcPr>
            <w:tcW w:w="1151" w:type="dxa"/>
            <w:tcBorders>
              <w:top w:val="single" w:sz="8" w:space="0" w:color="auto"/>
              <w:left w:val="nil"/>
              <w:bottom w:val="single" w:sz="8" w:space="0" w:color="auto"/>
              <w:right w:val="nil"/>
            </w:tcBorders>
            <w:vAlign w:val="center"/>
            <w:hideMark/>
          </w:tcPr>
          <w:p w14:paraId="7C20D699" w14:textId="77777777" w:rsidR="00A528CF" w:rsidRPr="000C0842" w:rsidRDefault="00A528CF" w:rsidP="00A528CF">
            <w:pPr>
              <w:ind w:right="72"/>
              <w:jc w:val="right"/>
              <w:rPr>
                <w:rFonts w:eastAsia="SimSun"/>
                <w:b/>
                <w:bCs/>
                <w:sz w:val="20"/>
                <w:szCs w:val="20"/>
                <w:lang w:val="en-GB"/>
              </w:rPr>
            </w:pPr>
            <w:r w:rsidRPr="000C0842">
              <w:rPr>
                <w:rFonts w:eastAsia="SimSun"/>
                <w:b/>
                <w:bCs/>
                <w:sz w:val="20"/>
                <w:szCs w:val="20"/>
                <w:lang w:val="en-GB"/>
              </w:rPr>
              <w:t>29 120.6</w:t>
            </w:r>
          </w:p>
        </w:tc>
      </w:tr>
    </w:tbl>
    <w:p w14:paraId="2A90AB51" w14:textId="77777777" w:rsidR="00A528CF" w:rsidRPr="000C0842" w:rsidRDefault="00A528CF" w:rsidP="00A528CF">
      <w:pPr>
        <w:rPr>
          <w:rFonts w:eastAsia="SimSun"/>
          <w:lang w:val="en-GB"/>
        </w:rPr>
      </w:pPr>
    </w:p>
    <w:p w14:paraId="0B090C9C" w14:textId="77777777" w:rsidR="00A528CF" w:rsidRPr="000C0842" w:rsidRDefault="00A528CF" w:rsidP="00A528CF">
      <w:pPr>
        <w:ind w:left="490"/>
        <w:rPr>
          <w:rFonts w:eastAsia="SimSun"/>
          <w:sz w:val="24"/>
          <w:szCs w:val="24"/>
          <w:lang w:val="en-GB"/>
        </w:rPr>
      </w:pPr>
      <w:r w:rsidRPr="000C0842">
        <w:rPr>
          <w:rFonts w:eastAsia="SimSun" w:hint="eastAsia"/>
          <w:sz w:val="24"/>
          <w:szCs w:val="24"/>
          <w:lang w:val="en-GB"/>
        </w:rPr>
        <w:t>表</w:t>
      </w:r>
      <w:r w:rsidRPr="000C0842">
        <w:rPr>
          <w:rFonts w:eastAsia="SimSun"/>
          <w:sz w:val="24"/>
          <w:szCs w:val="24"/>
          <w:lang w:val="en-GB"/>
        </w:rPr>
        <w:t>3</w:t>
      </w:r>
    </w:p>
    <w:p w14:paraId="75356967" w14:textId="77777777" w:rsidR="00A528CF" w:rsidRPr="000C0842" w:rsidRDefault="00A528CF" w:rsidP="00A528CF">
      <w:pPr>
        <w:ind w:left="490"/>
        <w:rPr>
          <w:rFonts w:eastAsia="SimSun"/>
          <w:b/>
          <w:bCs/>
          <w:sz w:val="24"/>
          <w:szCs w:val="24"/>
          <w:lang w:val="en-GB"/>
        </w:rPr>
      </w:pPr>
      <w:r w:rsidRPr="000C0842">
        <w:rPr>
          <w:rFonts w:eastAsia="SimSun"/>
          <w:b/>
          <w:bCs/>
          <w:sz w:val="24"/>
          <w:szCs w:val="24"/>
          <w:lang w:val="en-GB"/>
        </w:rPr>
        <w:t>2025–2026</w:t>
      </w:r>
      <w:r w:rsidRPr="000C0842">
        <w:rPr>
          <w:rFonts w:eastAsia="SimSun" w:hint="eastAsia"/>
          <w:b/>
          <w:bCs/>
          <w:sz w:val="24"/>
          <w:szCs w:val="24"/>
          <w:lang w:val="en-GB"/>
        </w:rPr>
        <w:t>年《公约》及其议定书核心预算供资的秘书处所需员额配置</w:t>
      </w:r>
    </w:p>
    <w:p w14:paraId="1D197F1E" w14:textId="77777777" w:rsidR="00A528CF" w:rsidRPr="000C0842" w:rsidRDefault="00A528CF" w:rsidP="00A528CF">
      <w:pPr>
        <w:rPr>
          <w:rFonts w:eastAsia="SimSun"/>
          <w:lang w:val="en-GB"/>
        </w:rPr>
      </w:pPr>
    </w:p>
    <w:tbl>
      <w:tblPr>
        <w:tblW w:w="8124" w:type="dxa"/>
        <w:jc w:val="center"/>
        <w:tblLook w:val="04A0" w:firstRow="1" w:lastRow="0" w:firstColumn="1" w:lastColumn="0" w:noHBand="0" w:noVBand="1"/>
      </w:tblPr>
      <w:tblGrid>
        <w:gridCol w:w="3870"/>
        <w:gridCol w:w="2070"/>
        <w:gridCol w:w="2184"/>
      </w:tblGrid>
      <w:tr w:rsidR="000C0842" w:rsidRPr="000C0842" w14:paraId="0A16EA6D" w14:textId="77777777" w:rsidTr="001F32B3">
        <w:trPr>
          <w:cantSplit/>
          <w:tblHeader/>
          <w:jc w:val="center"/>
        </w:trPr>
        <w:tc>
          <w:tcPr>
            <w:tcW w:w="387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62E6E8C" w14:textId="77777777" w:rsidR="00A528CF" w:rsidRPr="000C0842" w:rsidRDefault="00A528CF" w:rsidP="00A528CF">
            <w:pPr>
              <w:tabs>
                <w:tab w:val="clear" w:pos="567"/>
                <w:tab w:val="clear" w:pos="1134"/>
                <w:tab w:val="clear" w:pos="1701"/>
                <w:tab w:val="clear" w:pos="2268"/>
              </w:tabs>
              <w:rPr>
                <w:rFonts w:eastAsia="KaiTi"/>
                <w:sz w:val="20"/>
                <w:szCs w:val="20"/>
                <w:lang w:val="en-GB"/>
              </w:rPr>
            </w:pPr>
            <w:r w:rsidRPr="000C0842">
              <w:rPr>
                <w:rFonts w:eastAsia="KaiTi"/>
                <w:sz w:val="20"/>
                <w:szCs w:val="20"/>
                <w:lang w:val="en-GB"/>
              </w:rPr>
              <w:t>职类和职等</w:t>
            </w:r>
          </w:p>
        </w:tc>
        <w:tc>
          <w:tcPr>
            <w:tcW w:w="2070" w:type="dxa"/>
            <w:tcBorders>
              <w:top w:val="single" w:sz="4" w:space="0" w:color="auto"/>
              <w:left w:val="nil"/>
              <w:bottom w:val="single" w:sz="8" w:space="0" w:color="auto"/>
              <w:right w:val="nil"/>
            </w:tcBorders>
          </w:tcPr>
          <w:p w14:paraId="6E53EA17" w14:textId="77777777" w:rsidR="00A528CF" w:rsidRPr="000C0842" w:rsidRDefault="00A528CF" w:rsidP="00A528CF">
            <w:pPr>
              <w:jc w:val="right"/>
              <w:rPr>
                <w:rFonts w:eastAsia="KaiTi"/>
                <w:sz w:val="20"/>
                <w:szCs w:val="20"/>
                <w:lang w:val="en-GB"/>
              </w:rPr>
            </w:pPr>
            <w:r w:rsidRPr="000C0842">
              <w:rPr>
                <w:rFonts w:eastAsia="KaiTi"/>
                <w:sz w:val="20"/>
                <w:szCs w:val="20"/>
                <w:lang w:val="en-GB"/>
              </w:rPr>
              <w:t>2023–2024</w:t>
            </w:r>
            <w:r w:rsidRPr="000C0842">
              <w:rPr>
                <w:rFonts w:eastAsia="KaiTi"/>
                <w:sz w:val="20"/>
                <w:szCs w:val="20"/>
                <w:lang w:val="en-GB"/>
              </w:rPr>
              <w:t>年核定</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44870AA" w14:textId="77777777" w:rsidR="00A528CF" w:rsidRPr="000C0842" w:rsidRDefault="00A528CF" w:rsidP="00A528CF">
            <w:pPr>
              <w:jc w:val="right"/>
              <w:rPr>
                <w:rFonts w:eastAsia="KaiTi"/>
                <w:sz w:val="20"/>
                <w:szCs w:val="20"/>
                <w:lang w:val="en-GB"/>
              </w:rPr>
            </w:pPr>
            <w:r w:rsidRPr="000C0842">
              <w:rPr>
                <w:rFonts w:eastAsia="KaiTi"/>
                <w:sz w:val="20"/>
                <w:szCs w:val="20"/>
                <w:lang w:val="en-GB"/>
              </w:rPr>
              <w:t>2025–2026</w:t>
            </w:r>
            <w:r w:rsidRPr="000C0842">
              <w:rPr>
                <w:rFonts w:eastAsia="KaiTi"/>
                <w:sz w:val="20"/>
                <w:szCs w:val="20"/>
                <w:lang w:val="en-GB"/>
              </w:rPr>
              <w:t>年核定</w:t>
            </w:r>
            <w:r w:rsidRPr="000C0842">
              <w:rPr>
                <w:rFonts w:eastAsia="KaiTi"/>
                <w:i/>
                <w:iCs/>
                <w:sz w:val="20"/>
                <w:szCs w:val="20"/>
                <w:vertAlign w:val="superscript"/>
                <w:lang w:val="en-GB"/>
              </w:rPr>
              <w:t>a</w:t>
            </w:r>
          </w:p>
        </w:tc>
      </w:tr>
      <w:tr w:rsidR="000C0842" w:rsidRPr="000C0842" w14:paraId="041621A1" w14:textId="77777777" w:rsidTr="001F32B3">
        <w:trPr>
          <w:cantSplit/>
          <w:jc w:val="center"/>
        </w:trPr>
        <w:tc>
          <w:tcPr>
            <w:tcW w:w="3870" w:type="dxa"/>
            <w:tcBorders>
              <w:top w:val="nil"/>
              <w:left w:val="nil"/>
              <w:bottom w:val="nil"/>
              <w:right w:val="nil"/>
            </w:tcBorders>
            <w:noWrap/>
            <w:tcMar>
              <w:top w:w="14" w:type="dxa"/>
              <w:left w:w="115" w:type="dxa"/>
              <w:bottom w:w="14" w:type="dxa"/>
              <w:right w:w="115" w:type="dxa"/>
            </w:tcMar>
            <w:vAlign w:val="center"/>
            <w:hideMark/>
          </w:tcPr>
          <w:p w14:paraId="2C2C01B5"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hint="eastAsia"/>
                <w:sz w:val="20"/>
                <w:szCs w:val="20"/>
                <w:lang w:val="en-GB"/>
              </w:rPr>
              <w:t>专业及以上职类</w:t>
            </w:r>
          </w:p>
        </w:tc>
        <w:tc>
          <w:tcPr>
            <w:tcW w:w="2070" w:type="dxa"/>
            <w:tcBorders>
              <w:top w:val="nil"/>
              <w:left w:val="nil"/>
              <w:bottom w:val="nil"/>
              <w:right w:val="nil"/>
            </w:tcBorders>
          </w:tcPr>
          <w:p w14:paraId="2F4A59BE" w14:textId="77777777" w:rsidR="00A528CF" w:rsidRPr="000C0842" w:rsidRDefault="00A528CF" w:rsidP="00A528CF">
            <w:pPr>
              <w:jc w:val="right"/>
              <w:rPr>
                <w:rFonts w:eastAsia="SimSun"/>
                <w:sz w:val="20"/>
                <w:szCs w:val="20"/>
                <w:lang w:val="en-GB"/>
              </w:rPr>
            </w:pPr>
          </w:p>
        </w:tc>
        <w:tc>
          <w:tcPr>
            <w:tcW w:w="2184" w:type="dxa"/>
            <w:tcBorders>
              <w:top w:val="nil"/>
              <w:left w:val="nil"/>
              <w:bottom w:val="nil"/>
              <w:right w:val="nil"/>
            </w:tcBorders>
            <w:tcMar>
              <w:top w:w="14" w:type="dxa"/>
              <w:left w:w="115" w:type="dxa"/>
              <w:bottom w:w="14" w:type="dxa"/>
              <w:right w:w="115" w:type="dxa"/>
            </w:tcMar>
            <w:vAlign w:val="center"/>
            <w:hideMark/>
          </w:tcPr>
          <w:p w14:paraId="52619175" w14:textId="77777777" w:rsidR="00A528CF" w:rsidRPr="000C0842" w:rsidRDefault="00A528CF" w:rsidP="00A528CF">
            <w:pPr>
              <w:jc w:val="right"/>
              <w:rPr>
                <w:rFonts w:eastAsia="SimSun"/>
                <w:sz w:val="20"/>
                <w:szCs w:val="20"/>
                <w:lang w:val="en-GB"/>
              </w:rPr>
            </w:pPr>
          </w:p>
        </w:tc>
      </w:tr>
      <w:tr w:rsidR="000C0842" w:rsidRPr="000C0842" w14:paraId="7ED08393"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6014D515"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ASG</w:t>
            </w:r>
          </w:p>
        </w:tc>
        <w:tc>
          <w:tcPr>
            <w:tcW w:w="2070" w:type="dxa"/>
            <w:tcBorders>
              <w:top w:val="nil"/>
              <w:left w:val="nil"/>
              <w:bottom w:val="nil"/>
              <w:right w:val="nil"/>
            </w:tcBorders>
          </w:tcPr>
          <w:p w14:paraId="1A3F7E4B"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w:t>
            </w:r>
          </w:p>
        </w:tc>
        <w:tc>
          <w:tcPr>
            <w:tcW w:w="2184" w:type="dxa"/>
            <w:tcBorders>
              <w:top w:val="nil"/>
              <w:left w:val="nil"/>
              <w:bottom w:val="nil"/>
              <w:right w:val="nil"/>
            </w:tcBorders>
            <w:tcMar>
              <w:top w:w="14" w:type="dxa"/>
              <w:left w:w="115" w:type="dxa"/>
              <w:bottom w:w="14" w:type="dxa"/>
              <w:right w:w="115" w:type="dxa"/>
            </w:tcMar>
            <w:vAlign w:val="center"/>
            <w:hideMark/>
          </w:tcPr>
          <w:p w14:paraId="10DCB9CC"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w:t>
            </w:r>
          </w:p>
        </w:tc>
      </w:tr>
      <w:tr w:rsidR="000C0842" w:rsidRPr="000C0842" w14:paraId="2F8C8539"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20548EA6"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D-1</w:t>
            </w:r>
          </w:p>
        </w:tc>
        <w:tc>
          <w:tcPr>
            <w:tcW w:w="2070" w:type="dxa"/>
            <w:tcBorders>
              <w:top w:val="nil"/>
              <w:left w:val="nil"/>
              <w:bottom w:val="nil"/>
              <w:right w:val="nil"/>
            </w:tcBorders>
          </w:tcPr>
          <w:p w14:paraId="66F12DAD"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3</w:t>
            </w:r>
          </w:p>
        </w:tc>
        <w:tc>
          <w:tcPr>
            <w:tcW w:w="2184" w:type="dxa"/>
            <w:tcBorders>
              <w:top w:val="nil"/>
              <w:left w:val="nil"/>
              <w:bottom w:val="nil"/>
              <w:right w:val="nil"/>
            </w:tcBorders>
            <w:tcMar>
              <w:top w:w="14" w:type="dxa"/>
              <w:left w:w="115" w:type="dxa"/>
              <w:bottom w:w="14" w:type="dxa"/>
              <w:right w:w="115" w:type="dxa"/>
            </w:tcMar>
            <w:vAlign w:val="center"/>
            <w:hideMark/>
          </w:tcPr>
          <w:p w14:paraId="4D72289A"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3</w:t>
            </w:r>
          </w:p>
        </w:tc>
      </w:tr>
      <w:tr w:rsidR="000C0842" w:rsidRPr="000C0842" w14:paraId="4071A4CF"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3CDF970D"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P-5</w:t>
            </w:r>
          </w:p>
        </w:tc>
        <w:tc>
          <w:tcPr>
            <w:tcW w:w="2070" w:type="dxa"/>
            <w:tcBorders>
              <w:top w:val="nil"/>
              <w:left w:val="nil"/>
              <w:bottom w:val="nil"/>
              <w:right w:val="nil"/>
            </w:tcBorders>
          </w:tcPr>
          <w:p w14:paraId="68B2A22A"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10</w:t>
            </w:r>
          </w:p>
        </w:tc>
        <w:tc>
          <w:tcPr>
            <w:tcW w:w="2184" w:type="dxa"/>
            <w:tcBorders>
              <w:top w:val="nil"/>
              <w:left w:val="nil"/>
              <w:bottom w:val="nil"/>
              <w:right w:val="nil"/>
            </w:tcBorders>
            <w:tcMar>
              <w:top w:w="14" w:type="dxa"/>
              <w:left w:w="115" w:type="dxa"/>
              <w:bottom w:w="14" w:type="dxa"/>
              <w:right w:w="115" w:type="dxa"/>
            </w:tcMar>
            <w:vAlign w:val="center"/>
            <w:hideMark/>
          </w:tcPr>
          <w:p w14:paraId="28041A4C"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10</w:t>
            </w:r>
          </w:p>
        </w:tc>
      </w:tr>
      <w:tr w:rsidR="000C0842" w:rsidRPr="000C0842" w14:paraId="3D645A30"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62CC72D0"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P-4</w:t>
            </w:r>
          </w:p>
        </w:tc>
        <w:tc>
          <w:tcPr>
            <w:tcW w:w="2070" w:type="dxa"/>
            <w:tcBorders>
              <w:top w:val="nil"/>
              <w:left w:val="nil"/>
              <w:bottom w:val="nil"/>
              <w:right w:val="nil"/>
            </w:tcBorders>
          </w:tcPr>
          <w:p w14:paraId="585D78B1"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14</w:t>
            </w:r>
          </w:p>
        </w:tc>
        <w:tc>
          <w:tcPr>
            <w:tcW w:w="2184" w:type="dxa"/>
            <w:tcBorders>
              <w:top w:val="nil"/>
              <w:left w:val="nil"/>
              <w:bottom w:val="nil"/>
              <w:right w:val="nil"/>
            </w:tcBorders>
            <w:tcMar>
              <w:top w:w="14" w:type="dxa"/>
              <w:left w:w="115" w:type="dxa"/>
              <w:bottom w:w="14" w:type="dxa"/>
              <w:right w:w="115" w:type="dxa"/>
            </w:tcMar>
            <w:vAlign w:val="center"/>
            <w:hideMark/>
          </w:tcPr>
          <w:p w14:paraId="14EC040E"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16</w:t>
            </w:r>
          </w:p>
        </w:tc>
      </w:tr>
      <w:tr w:rsidR="000C0842" w:rsidRPr="000C0842" w14:paraId="4A06AC75"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4DE4B9C1"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P-3</w:t>
            </w:r>
          </w:p>
        </w:tc>
        <w:tc>
          <w:tcPr>
            <w:tcW w:w="2070" w:type="dxa"/>
            <w:tcBorders>
              <w:top w:val="nil"/>
              <w:left w:val="nil"/>
              <w:bottom w:val="nil"/>
              <w:right w:val="nil"/>
            </w:tcBorders>
          </w:tcPr>
          <w:p w14:paraId="5AB7048B"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15</w:t>
            </w:r>
          </w:p>
        </w:tc>
        <w:tc>
          <w:tcPr>
            <w:tcW w:w="2184" w:type="dxa"/>
            <w:tcBorders>
              <w:top w:val="nil"/>
              <w:left w:val="nil"/>
              <w:bottom w:val="nil"/>
              <w:right w:val="nil"/>
            </w:tcBorders>
            <w:tcMar>
              <w:top w:w="14" w:type="dxa"/>
              <w:left w:w="115" w:type="dxa"/>
              <w:bottom w:w="14" w:type="dxa"/>
              <w:right w:w="115" w:type="dxa"/>
            </w:tcMar>
            <w:vAlign w:val="center"/>
            <w:hideMark/>
          </w:tcPr>
          <w:p w14:paraId="3A3623C2"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16</w:t>
            </w:r>
          </w:p>
        </w:tc>
      </w:tr>
      <w:tr w:rsidR="000C0842" w:rsidRPr="000C0842" w14:paraId="0EBEBDB8" w14:textId="77777777" w:rsidTr="001F32B3">
        <w:trPr>
          <w:cantSplit/>
          <w:jc w:val="center"/>
        </w:trPr>
        <w:tc>
          <w:tcPr>
            <w:tcW w:w="3870" w:type="dxa"/>
            <w:tcBorders>
              <w:top w:val="nil"/>
              <w:left w:val="nil"/>
              <w:bottom w:val="nil"/>
              <w:right w:val="nil"/>
            </w:tcBorders>
            <w:tcMar>
              <w:top w:w="14" w:type="dxa"/>
              <w:left w:w="115" w:type="dxa"/>
              <w:bottom w:w="14" w:type="dxa"/>
              <w:right w:w="115" w:type="dxa"/>
            </w:tcMar>
            <w:vAlign w:val="center"/>
            <w:hideMark/>
          </w:tcPr>
          <w:p w14:paraId="7D12DC51"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sz w:val="20"/>
                <w:szCs w:val="20"/>
                <w:lang w:val="en-GB"/>
              </w:rPr>
              <w:t>P-2/1</w:t>
            </w:r>
          </w:p>
        </w:tc>
        <w:tc>
          <w:tcPr>
            <w:tcW w:w="2070" w:type="dxa"/>
            <w:tcBorders>
              <w:top w:val="nil"/>
              <w:left w:val="nil"/>
              <w:bottom w:val="nil"/>
              <w:right w:val="nil"/>
            </w:tcBorders>
          </w:tcPr>
          <w:p w14:paraId="579B0B22"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10</w:t>
            </w:r>
          </w:p>
        </w:tc>
        <w:tc>
          <w:tcPr>
            <w:tcW w:w="2184" w:type="dxa"/>
            <w:tcBorders>
              <w:top w:val="nil"/>
              <w:left w:val="nil"/>
              <w:bottom w:val="nil"/>
              <w:right w:val="nil"/>
            </w:tcBorders>
            <w:tcMar>
              <w:top w:w="14" w:type="dxa"/>
              <w:left w:w="115" w:type="dxa"/>
              <w:bottom w:w="14" w:type="dxa"/>
              <w:right w:w="115" w:type="dxa"/>
            </w:tcMar>
            <w:vAlign w:val="center"/>
            <w:hideMark/>
          </w:tcPr>
          <w:p w14:paraId="7206ECFE"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10</w:t>
            </w:r>
          </w:p>
        </w:tc>
      </w:tr>
      <w:tr w:rsidR="000C0842" w:rsidRPr="000C0842" w14:paraId="17713904" w14:textId="77777777" w:rsidTr="001F32B3">
        <w:trPr>
          <w:cantSplit/>
          <w:jc w:val="center"/>
        </w:trPr>
        <w:tc>
          <w:tcPr>
            <w:tcW w:w="387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4680EF9E"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2070" w:type="dxa"/>
            <w:tcBorders>
              <w:top w:val="single" w:sz="8" w:space="0" w:color="auto"/>
              <w:left w:val="nil"/>
              <w:bottom w:val="single" w:sz="8" w:space="0" w:color="auto"/>
              <w:right w:val="nil"/>
            </w:tcBorders>
          </w:tcPr>
          <w:p w14:paraId="5B756DF1" w14:textId="77777777" w:rsidR="00A528CF" w:rsidRPr="000C0842" w:rsidRDefault="00A528CF" w:rsidP="00A528CF">
            <w:pPr>
              <w:jc w:val="right"/>
              <w:rPr>
                <w:rFonts w:eastAsia="SimSun"/>
                <w:b/>
                <w:bCs/>
                <w:sz w:val="20"/>
                <w:szCs w:val="20"/>
                <w:lang w:val="en-GB"/>
              </w:rPr>
            </w:pPr>
            <w:r w:rsidRPr="000C0842">
              <w:rPr>
                <w:rFonts w:eastAsia="SimSun"/>
                <w:b/>
                <w:bCs/>
                <w:sz w:val="20"/>
                <w:szCs w:val="20"/>
                <w:lang w:val="en-GB"/>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4307A5D2" w14:textId="77777777" w:rsidR="00A528CF" w:rsidRPr="000C0842" w:rsidRDefault="00A528CF" w:rsidP="00A528CF">
            <w:pPr>
              <w:jc w:val="right"/>
              <w:rPr>
                <w:rFonts w:eastAsia="SimSun"/>
                <w:b/>
                <w:bCs/>
                <w:sz w:val="20"/>
                <w:szCs w:val="20"/>
                <w:lang w:val="en-GB"/>
              </w:rPr>
            </w:pPr>
            <w:r w:rsidRPr="000C0842">
              <w:rPr>
                <w:rFonts w:eastAsia="SimSun"/>
                <w:b/>
                <w:bCs/>
                <w:sz w:val="20"/>
                <w:szCs w:val="20"/>
                <w:lang w:val="en-GB"/>
              </w:rPr>
              <w:t>56</w:t>
            </w:r>
          </w:p>
        </w:tc>
      </w:tr>
      <w:tr w:rsidR="000C0842" w:rsidRPr="000C0842" w14:paraId="63A290A4" w14:textId="77777777" w:rsidTr="001F32B3">
        <w:trPr>
          <w:cantSplit/>
          <w:jc w:val="center"/>
        </w:trPr>
        <w:tc>
          <w:tcPr>
            <w:tcW w:w="3870" w:type="dxa"/>
            <w:tcBorders>
              <w:top w:val="nil"/>
              <w:left w:val="nil"/>
              <w:bottom w:val="single" w:sz="8" w:space="0" w:color="auto"/>
              <w:right w:val="nil"/>
            </w:tcBorders>
            <w:tcMar>
              <w:top w:w="14" w:type="dxa"/>
              <w:left w:w="115" w:type="dxa"/>
              <w:bottom w:w="14" w:type="dxa"/>
              <w:right w:w="115" w:type="dxa"/>
            </w:tcMar>
            <w:vAlign w:val="center"/>
            <w:hideMark/>
          </w:tcPr>
          <w:p w14:paraId="6DA50C1E" w14:textId="77777777" w:rsidR="00A528CF" w:rsidRPr="000C0842" w:rsidRDefault="00A528CF" w:rsidP="00A528CF">
            <w:pPr>
              <w:tabs>
                <w:tab w:val="clear" w:pos="567"/>
                <w:tab w:val="clear" w:pos="1134"/>
                <w:tab w:val="clear" w:pos="1701"/>
                <w:tab w:val="clear" w:pos="2268"/>
              </w:tabs>
              <w:rPr>
                <w:rFonts w:eastAsia="SimSun"/>
                <w:sz w:val="20"/>
                <w:szCs w:val="20"/>
                <w:lang w:val="en-GB"/>
              </w:rPr>
            </w:pPr>
            <w:r w:rsidRPr="000C0842">
              <w:rPr>
                <w:rFonts w:eastAsia="SimSun" w:hint="eastAsia"/>
                <w:sz w:val="20"/>
                <w:szCs w:val="20"/>
                <w:lang w:val="en-GB"/>
              </w:rPr>
              <w:t>一般事务</w:t>
            </w:r>
          </w:p>
        </w:tc>
        <w:tc>
          <w:tcPr>
            <w:tcW w:w="2070" w:type="dxa"/>
            <w:tcBorders>
              <w:top w:val="nil"/>
              <w:left w:val="nil"/>
              <w:bottom w:val="single" w:sz="8" w:space="0" w:color="auto"/>
              <w:right w:val="nil"/>
            </w:tcBorders>
          </w:tcPr>
          <w:p w14:paraId="6FCEC78B"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6ACA0805" w14:textId="77777777" w:rsidR="00A528CF" w:rsidRPr="000C0842" w:rsidRDefault="00A528CF" w:rsidP="00A528CF">
            <w:pPr>
              <w:jc w:val="right"/>
              <w:rPr>
                <w:rFonts w:eastAsia="SimSun"/>
                <w:sz w:val="20"/>
                <w:szCs w:val="20"/>
                <w:lang w:val="en-GB"/>
              </w:rPr>
            </w:pPr>
            <w:r w:rsidRPr="000C0842">
              <w:rPr>
                <w:rFonts w:eastAsia="SimSun"/>
                <w:sz w:val="20"/>
                <w:szCs w:val="20"/>
                <w:lang w:val="en-GB"/>
              </w:rPr>
              <w:t>31</w:t>
            </w:r>
          </w:p>
        </w:tc>
      </w:tr>
      <w:tr w:rsidR="000C0842" w:rsidRPr="000C0842" w14:paraId="54251299" w14:textId="77777777" w:rsidTr="001F32B3">
        <w:trPr>
          <w:cantSplit/>
          <w:jc w:val="center"/>
        </w:trPr>
        <w:tc>
          <w:tcPr>
            <w:tcW w:w="387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E93C1E9"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共计</w:t>
            </w:r>
          </w:p>
        </w:tc>
        <w:tc>
          <w:tcPr>
            <w:tcW w:w="2070" w:type="dxa"/>
            <w:tcBorders>
              <w:top w:val="single" w:sz="8" w:space="0" w:color="auto"/>
              <w:left w:val="nil"/>
              <w:bottom w:val="single" w:sz="4" w:space="0" w:color="auto"/>
              <w:right w:val="nil"/>
            </w:tcBorders>
          </w:tcPr>
          <w:p w14:paraId="3582FBC9" w14:textId="77777777" w:rsidR="00A528CF" w:rsidRPr="000C0842" w:rsidRDefault="00A528CF" w:rsidP="00A528CF">
            <w:pPr>
              <w:jc w:val="right"/>
              <w:rPr>
                <w:rFonts w:eastAsia="SimSun"/>
                <w:b/>
                <w:bCs/>
                <w:sz w:val="20"/>
                <w:szCs w:val="20"/>
                <w:lang w:val="en-GB"/>
              </w:rPr>
            </w:pPr>
            <w:r w:rsidRPr="000C0842">
              <w:rPr>
                <w:rFonts w:eastAsia="SimSun"/>
                <w:b/>
                <w:bCs/>
                <w:sz w:val="20"/>
                <w:szCs w:val="20"/>
                <w:lang w:val="en-GB"/>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7D021679" w14:textId="77777777" w:rsidR="00A528CF" w:rsidRPr="000C0842" w:rsidRDefault="00A528CF" w:rsidP="00A528CF">
            <w:pPr>
              <w:jc w:val="right"/>
              <w:rPr>
                <w:rFonts w:eastAsia="SimSun"/>
                <w:b/>
                <w:bCs/>
                <w:sz w:val="20"/>
                <w:szCs w:val="20"/>
                <w:lang w:val="en-GB"/>
              </w:rPr>
            </w:pPr>
            <w:r w:rsidRPr="000C0842">
              <w:rPr>
                <w:rFonts w:eastAsia="SimSun"/>
                <w:b/>
                <w:bCs/>
                <w:sz w:val="20"/>
                <w:szCs w:val="20"/>
                <w:lang w:val="en-GB"/>
              </w:rPr>
              <w:t>87</w:t>
            </w:r>
          </w:p>
        </w:tc>
      </w:tr>
    </w:tbl>
    <w:p w14:paraId="2D474E20" w14:textId="020F28C5" w:rsidR="00A528CF" w:rsidRPr="000C0842" w:rsidRDefault="00A528CF" w:rsidP="00A528CF">
      <w:pPr>
        <w:tabs>
          <w:tab w:val="clear" w:pos="567"/>
          <w:tab w:val="clear" w:pos="1134"/>
          <w:tab w:val="clear" w:pos="1701"/>
          <w:tab w:val="clear" w:pos="2268"/>
          <w:tab w:val="left" w:pos="490"/>
        </w:tabs>
        <w:spacing w:before="60"/>
        <w:rPr>
          <w:rFonts w:eastAsia="SimSun"/>
          <w:sz w:val="18"/>
          <w:szCs w:val="18"/>
          <w:lang w:val="en-GB"/>
        </w:rPr>
      </w:pPr>
      <w:r w:rsidRPr="000C0842">
        <w:rPr>
          <w:rFonts w:eastAsia="SimSun"/>
          <w:sz w:val="18"/>
          <w:szCs w:val="18"/>
          <w:lang w:val="en-GB"/>
        </w:rPr>
        <w:tab/>
      </w:r>
      <w:r w:rsidRPr="000C0842">
        <w:rPr>
          <w:rFonts w:eastAsia="SimSun"/>
          <w:sz w:val="18"/>
          <w:szCs w:val="18"/>
          <w:lang w:val="en-GB"/>
        </w:rPr>
        <w:tab/>
      </w:r>
      <w:r w:rsidRPr="000C0842">
        <w:rPr>
          <w:rFonts w:ascii="KaiTi" w:eastAsia="KaiTi" w:hAnsi="KaiTi" w:hint="eastAsia"/>
          <w:sz w:val="18"/>
          <w:szCs w:val="18"/>
          <w:lang w:val="en-GB"/>
        </w:rPr>
        <w:t>缩写</w:t>
      </w:r>
      <w:r w:rsidRPr="000C0842">
        <w:rPr>
          <w:rFonts w:eastAsia="SimSun"/>
          <w:sz w:val="18"/>
          <w:szCs w:val="18"/>
          <w:lang w:val="en-GB"/>
        </w:rPr>
        <w:t>: ASG</w:t>
      </w:r>
      <w:r w:rsidR="00824847" w:rsidRPr="000C0842">
        <w:rPr>
          <w:rFonts w:eastAsia="SimSun" w:hint="eastAsia"/>
          <w:sz w:val="18"/>
          <w:szCs w:val="18"/>
          <w:lang w:val="en-GB"/>
        </w:rPr>
        <w:t xml:space="preserve">: </w:t>
      </w:r>
      <w:r w:rsidRPr="000C0842">
        <w:rPr>
          <w:rFonts w:eastAsia="SimSun" w:hint="eastAsia"/>
          <w:sz w:val="18"/>
          <w:szCs w:val="18"/>
          <w:lang w:val="en-GB"/>
        </w:rPr>
        <w:t>助理秘书长</w:t>
      </w:r>
      <w:r w:rsidRPr="000C0842">
        <w:rPr>
          <w:rFonts w:eastAsia="SimSun"/>
          <w:sz w:val="18"/>
          <w:szCs w:val="18"/>
          <w:lang w:val="en-GB"/>
        </w:rPr>
        <w:t xml:space="preserve">; </w:t>
      </w:r>
      <w:r w:rsidR="00824847" w:rsidRPr="000C0842">
        <w:rPr>
          <w:rFonts w:eastAsia="SimSun" w:hint="eastAsia"/>
          <w:sz w:val="18"/>
          <w:szCs w:val="18"/>
          <w:lang w:val="en-GB"/>
        </w:rPr>
        <w:t xml:space="preserve"> </w:t>
      </w:r>
      <w:r w:rsidRPr="000C0842">
        <w:rPr>
          <w:rFonts w:eastAsia="SimSun"/>
          <w:sz w:val="18"/>
          <w:szCs w:val="18"/>
          <w:lang w:val="en-GB"/>
        </w:rPr>
        <w:t>D</w:t>
      </w:r>
      <w:r w:rsidR="00824847" w:rsidRPr="000C0842">
        <w:rPr>
          <w:rFonts w:eastAsia="SimSun" w:hint="eastAsia"/>
          <w:sz w:val="18"/>
          <w:szCs w:val="18"/>
          <w:lang w:val="en-GB"/>
        </w:rPr>
        <w:t xml:space="preserve">: </w:t>
      </w:r>
      <w:r w:rsidRPr="000C0842">
        <w:rPr>
          <w:rFonts w:eastAsia="SimSun" w:hint="eastAsia"/>
          <w:sz w:val="18"/>
          <w:szCs w:val="18"/>
          <w:lang w:val="en-GB"/>
        </w:rPr>
        <w:t>主任</w:t>
      </w:r>
      <w:r w:rsidRPr="000C0842">
        <w:rPr>
          <w:rFonts w:eastAsia="SimSun"/>
          <w:sz w:val="18"/>
          <w:szCs w:val="18"/>
          <w:lang w:val="en-GB"/>
        </w:rPr>
        <w:t xml:space="preserve">; </w:t>
      </w:r>
      <w:r w:rsidR="00824847" w:rsidRPr="000C0842">
        <w:rPr>
          <w:rFonts w:eastAsia="SimSun" w:hint="eastAsia"/>
          <w:sz w:val="18"/>
          <w:szCs w:val="18"/>
          <w:lang w:val="en-GB"/>
        </w:rPr>
        <w:t xml:space="preserve"> </w:t>
      </w:r>
      <w:r w:rsidRPr="000C0842">
        <w:rPr>
          <w:rFonts w:eastAsia="SimSun"/>
          <w:sz w:val="18"/>
          <w:szCs w:val="18"/>
          <w:lang w:val="en-GB"/>
        </w:rPr>
        <w:t>P</w:t>
      </w:r>
      <w:r w:rsidR="00824847" w:rsidRPr="000C0842">
        <w:rPr>
          <w:rFonts w:eastAsia="SimSun" w:hint="eastAsia"/>
          <w:sz w:val="18"/>
          <w:szCs w:val="18"/>
          <w:lang w:val="en-GB"/>
        </w:rPr>
        <w:t xml:space="preserve">: </w:t>
      </w:r>
      <w:r w:rsidRPr="000C0842">
        <w:rPr>
          <w:rFonts w:eastAsia="SimSun" w:hint="eastAsia"/>
          <w:sz w:val="18"/>
          <w:szCs w:val="18"/>
          <w:lang w:val="en-GB"/>
        </w:rPr>
        <w:t>专业工作人员。</w:t>
      </w:r>
    </w:p>
    <w:p w14:paraId="238CF399" w14:textId="5528C8B5" w:rsidR="00A528CF" w:rsidRPr="000C0842" w:rsidRDefault="00A528CF" w:rsidP="00A528CF">
      <w:pPr>
        <w:tabs>
          <w:tab w:val="clear" w:pos="567"/>
          <w:tab w:val="clear" w:pos="1134"/>
          <w:tab w:val="clear" w:pos="1701"/>
          <w:tab w:val="clear" w:pos="2268"/>
          <w:tab w:val="left" w:pos="490"/>
        </w:tabs>
        <w:spacing w:before="60"/>
        <w:ind w:left="490"/>
        <w:rPr>
          <w:rFonts w:eastAsia="SimSun"/>
          <w:sz w:val="18"/>
          <w:szCs w:val="18"/>
          <w:lang w:val="en-GB"/>
        </w:rPr>
      </w:pPr>
      <w:r w:rsidRPr="000C0842">
        <w:rPr>
          <w:rFonts w:eastAsia="SimSun"/>
          <w:i/>
          <w:iCs/>
          <w:sz w:val="18"/>
          <w:szCs w:val="18"/>
          <w:lang w:val="en-GB"/>
        </w:rPr>
        <w:tab/>
        <w:t>a</w:t>
      </w:r>
      <w:r w:rsidRPr="000C0842">
        <w:rPr>
          <w:rFonts w:eastAsia="SimSun"/>
          <w:sz w:val="18"/>
          <w:szCs w:val="18"/>
          <w:lang w:val="en-GB"/>
        </w:rPr>
        <w:t xml:space="preserve"> </w:t>
      </w:r>
      <w:r w:rsidRPr="000C0842">
        <w:rPr>
          <w:rFonts w:eastAsia="SimSun" w:hint="eastAsia"/>
          <w:sz w:val="18"/>
          <w:szCs w:val="18"/>
          <w:lang w:val="en-GB"/>
        </w:rPr>
        <w:t>缔约方大会第十六届会议核准的新员额：</w:t>
      </w:r>
      <w:r w:rsidRPr="000C0842">
        <w:rPr>
          <w:rFonts w:eastAsia="SimSun" w:hint="eastAsia"/>
          <w:sz w:val="18"/>
          <w:szCs w:val="18"/>
          <w:lang w:val="en-GB"/>
        </w:rPr>
        <w:t>1</w:t>
      </w:r>
      <w:r w:rsidRPr="000C0842">
        <w:rPr>
          <w:rFonts w:eastAsia="SimSun" w:hint="eastAsia"/>
          <w:sz w:val="18"/>
          <w:szCs w:val="18"/>
          <w:lang w:val="en-GB"/>
        </w:rPr>
        <w:t>个方案管理干事</w:t>
      </w:r>
      <w:r w:rsidRPr="000C0842">
        <w:rPr>
          <w:rFonts w:eastAsia="SimSun"/>
          <w:sz w:val="18"/>
          <w:szCs w:val="18"/>
          <w:lang w:val="en-GB"/>
        </w:rPr>
        <w:t xml:space="preserve"> – </w:t>
      </w:r>
      <w:r w:rsidRPr="000C0842">
        <w:rPr>
          <w:rFonts w:eastAsia="SimSun"/>
          <w:sz w:val="18"/>
          <w:szCs w:val="18"/>
          <w:lang w:val="en-GB"/>
        </w:rPr>
        <w:t>数字序列信息</w:t>
      </w:r>
      <w:r w:rsidR="00997EE8" w:rsidRPr="000C0842">
        <w:rPr>
          <w:rFonts w:eastAsia="SimSun" w:hint="eastAsia"/>
          <w:sz w:val="18"/>
          <w:szCs w:val="18"/>
          <w:lang w:val="en-GB"/>
        </w:rPr>
        <w:t xml:space="preserve"> </w:t>
      </w:r>
      <w:r w:rsidRPr="000C0842">
        <w:rPr>
          <w:rFonts w:eastAsia="SimSun"/>
          <w:sz w:val="18"/>
          <w:szCs w:val="18"/>
          <w:lang w:val="en-GB"/>
        </w:rPr>
        <w:t>(P</w:t>
      </w:r>
      <w:r w:rsidRPr="000C0842">
        <w:rPr>
          <w:rFonts w:eastAsia="SimSun" w:hint="eastAsia"/>
          <w:sz w:val="18"/>
          <w:szCs w:val="18"/>
          <w:lang w:val="en-GB"/>
        </w:rPr>
        <w:t>-</w:t>
      </w:r>
      <w:r w:rsidRPr="000C0842">
        <w:rPr>
          <w:rFonts w:eastAsia="SimSun"/>
          <w:sz w:val="18"/>
          <w:szCs w:val="18"/>
          <w:lang w:val="en-GB"/>
        </w:rPr>
        <w:t>4)</w:t>
      </w:r>
      <w:r w:rsidRPr="000C0842">
        <w:rPr>
          <w:rFonts w:eastAsia="SimSun" w:hint="eastAsia"/>
          <w:sz w:val="18"/>
          <w:szCs w:val="18"/>
          <w:lang w:val="en-GB"/>
        </w:rPr>
        <w:t>；</w:t>
      </w:r>
      <w:r w:rsidRPr="000C0842">
        <w:rPr>
          <w:rFonts w:eastAsia="SimSun"/>
          <w:sz w:val="18"/>
          <w:szCs w:val="18"/>
          <w:lang w:val="en-GB"/>
        </w:rPr>
        <w:t xml:space="preserve"> </w:t>
      </w:r>
      <w:r w:rsidRPr="000C0842">
        <w:rPr>
          <w:rFonts w:eastAsia="SimSun" w:hint="eastAsia"/>
          <w:sz w:val="18"/>
          <w:szCs w:val="18"/>
          <w:lang w:val="en-GB"/>
        </w:rPr>
        <w:t>1</w:t>
      </w:r>
      <w:r w:rsidRPr="000C0842">
        <w:rPr>
          <w:rFonts w:eastAsia="SimSun" w:hint="eastAsia"/>
          <w:sz w:val="18"/>
          <w:szCs w:val="18"/>
          <w:lang w:val="en-GB"/>
        </w:rPr>
        <w:t>个方案管理干事</w:t>
      </w:r>
      <w:r w:rsidRPr="000C0842">
        <w:rPr>
          <w:rFonts w:eastAsia="SimSun"/>
          <w:sz w:val="18"/>
          <w:szCs w:val="18"/>
          <w:lang w:val="en-GB"/>
        </w:rPr>
        <w:t xml:space="preserve"> – </w:t>
      </w:r>
      <w:r w:rsidRPr="000C0842">
        <w:rPr>
          <w:rFonts w:eastAsia="SimSun" w:hint="eastAsia"/>
          <w:sz w:val="18"/>
          <w:szCs w:val="18"/>
          <w:lang w:val="en-GB"/>
        </w:rPr>
        <w:t>土著人民和地方社区以及传统知识</w:t>
      </w:r>
      <w:r w:rsidRPr="000C0842">
        <w:rPr>
          <w:rFonts w:eastAsia="SimSun"/>
          <w:sz w:val="18"/>
          <w:szCs w:val="18"/>
          <w:lang w:val="en-GB"/>
        </w:rPr>
        <w:t xml:space="preserve"> (P-4)</w:t>
      </w:r>
      <w:r w:rsidRPr="000C0842">
        <w:rPr>
          <w:rFonts w:eastAsia="SimSun" w:hint="eastAsia"/>
          <w:sz w:val="18"/>
          <w:szCs w:val="18"/>
          <w:lang w:val="en-GB"/>
        </w:rPr>
        <w:t>；</w:t>
      </w:r>
      <w:r w:rsidRPr="000C0842">
        <w:rPr>
          <w:rFonts w:eastAsia="SimSun" w:hint="eastAsia"/>
          <w:sz w:val="18"/>
          <w:szCs w:val="18"/>
          <w:lang w:val="en-GB"/>
        </w:rPr>
        <w:t>1</w:t>
      </w:r>
      <w:r w:rsidRPr="000C0842">
        <w:rPr>
          <w:rFonts w:eastAsia="SimSun" w:hint="eastAsia"/>
          <w:sz w:val="18"/>
          <w:szCs w:val="18"/>
          <w:lang w:val="en-GB"/>
        </w:rPr>
        <w:t>个编辑</w:t>
      </w:r>
      <w:r w:rsidRPr="000C0842">
        <w:rPr>
          <w:rFonts w:eastAsia="SimSun"/>
          <w:sz w:val="18"/>
          <w:szCs w:val="18"/>
          <w:lang w:val="en-GB"/>
        </w:rPr>
        <w:t xml:space="preserve"> (P-3)</w:t>
      </w:r>
      <w:r w:rsidRPr="000C0842">
        <w:rPr>
          <w:rFonts w:eastAsia="SimSun" w:hint="eastAsia"/>
          <w:sz w:val="18"/>
          <w:szCs w:val="18"/>
          <w:lang w:val="en-GB"/>
        </w:rPr>
        <w:t>；</w:t>
      </w:r>
      <w:r w:rsidRPr="000C0842">
        <w:rPr>
          <w:rFonts w:eastAsia="SimSun" w:hint="eastAsia"/>
          <w:sz w:val="18"/>
          <w:szCs w:val="18"/>
          <w:lang w:val="en-GB"/>
        </w:rPr>
        <w:t>2</w:t>
      </w:r>
      <w:r w:rsidRPr="000C0842">
        <w:rPr>
          <w:rFonts w:eastAsia="SimSun" w:hint="eastAsia"/>
          <w:sz w:val="18"/>
          <w:szCs w:val="18"/>
          <w:lang w:val="en-GB"/>
        </w:rPr>
        <w:t>个会议助理</w:t>
      </w:r>
      <w:r w:rsidRPr="000C0842">
        <w:rPr>
          <w:rFonts w:eastAsia="SimSun"/>
          <w:sz w:val="18"/>
          <w:szCs w:val="18"/>
          <w:lang w:val="en-GB"/>
        </w:rPr>
        <w:t xml:space="preserve"> (G-6)</w:t>
      </w:r>
      <w:r w:rsidRPr="000C0842">
        <w:rPr>
          <w:rFonts w:eastAsia="SimSun" w:hint="eastAsia"/>
          <w:sz w:val="18"/>
          <w:szCs w:val="18"/>
          <w:lang w:val="en-GB"/>
        </w:rPr>
        <w:t>。</w:t>
      </w:r>
    </w:p>
    <w:p w14:paraId="716A037B" w14:textId="77777777" w:rsidR="00A528CF" w:rsidRPr="000C0842" w:rsidRDefault="00A528CF" w:rsidP="00A528CF">
      <w:pPr>
        <w:rPr>
          <w:rFonts w:eastAsia="SimSun"/>
          <w:lang w:val="en-GB"/>
        </w:rPr>
      </w:pPr>
    </w:p>
    <w:p w14:paraId="0B1469CB" w14:textId="39E33DCA" w:rsidR="00A528CF" w:rsidRPr="000C0842" w:rsidRDefault="00621DE8" w:rsidP="00621DE8">
      <w:pPr>
        <w:tabs>
          <w:tab w:val="clear" w:pos="567"/>
          <w:tab w:val="clear" w:pos="1134"/>
          <w:tab w:val="clear" w:pos="1701"/>
          <w:tab w:val="clear" w:pos="2268"/>
        </w:tabs>
        <w:rPr>
          <w:rFonts w:eastAsia="SimSun"/>
          <w:sz w:val="24"/>
          <w:szCs w:val="24"/>
          <w:lang w:val="en-GB"/>
        </w:rPr>
      </w:pPr>
      <w:r w:rsidRPr="000C0842">
        <w:rPr>
          <w:rFonts w:eastAsia="SimSun"/>
          <w:sz w:val="24"/>
          <w:szCs w:val="24"/>
          <w:lang w:val="en-GB"/>
        </w:rPr>
        <w:tab/>
      </w:r>
      <w:r w:rsidR="00A528CF" w:rsidRPr="000C0842">
        <w:rPr>
          <w:rFonts w:eastAsia="SimSun" w:hint="eastAsia"/>
          <w:sz w:val="24"/>
          <w:szCs w:val="24"/>
          <w:lang w:val="en-GB"/>
        </w:rPr>
        <w:t>表</w:t>
      </w:r>
      <w:r w:rsidR="00A528CF" w:rsidRPr="000C0842">
        <w:rPr>
          <w:rFonts w:eastAsia="SimSun"/>
          <w:sz w:val="24"/>
          <w:szCs w:val="24"/>
          <w:lang w:val="en-GB"/>
        </w:rPr>
        <w:t>4</w:t>
      </w:r>
    </w:p>
    <w:p w14:paraId="292B37A3" w14:textId="77777777" w:rsidR="00A528CF" w:rsidRPr="000C0842" w:rsidRDefault="00A528CF" w:rsidP="00166AE3">
      <w:pPr>
        <w:ind w:left="490"/>
        <w:rPr>
          <w:rFonts w:eastAsia="SimSun"/>
          <w:b/>
          <w:bCs/>
          <w:sz w:val="24"/>
          <w:szCs w:val="24"/>
          <w:lang w:val="en-GB"/>
        </w:rPr>
      </w:pPr>
      <w:r w:rsidRPr="000C0842">
        <w:rPr>
          <w:rFonts w:eastAsia="SimSun"/>
          <w:b/>
          <w:bCs/>
          <w:sz w:val="24"/>
          <w:szCs w:val="24"/>
          <w:lang w:val="en-GB"/>
        </w:rPr>
        <w:t>2025–2026</w:t>
      </w:r>
      <w:r w:rsidRPr="000C0842">
        <w:rPr>
          <w:rFonts w:eastAsia="SimSun" w:hint="eastAsia"/>
          <w:b/>
          <w:bCs/>
          <w:sz w:val="24"/>
          <w:szCs w:val="24"/>
          <w:lang w:val="en-GB"/>
        </w:rPr>
        <w:t>年</w:t>
      </w:r>
      <w:r w:rsidRPr="000C0842">
        <w:rPr>
          <w:rFonts w:eastAsia="SimSun"/>
          <w:b/>
          <w:bCs/>
          <w:sz w:val="24"/>
          <w:szCs w:val="24"/>
          <w:lang w:val="en-GB"/>
        </w:rPr>
        <w:t>资助生物多样性公约及其议定书额外核定活动特别自愿信托基金</w:t>
      </w:r>
      <w:r w:rsidRPr="000C0842">
        <w:rPr>
          <w:rFonts w:eastAsia="SimSun" w:hint="eastAsia"/>
          <w:b/>
          <w:bCs/>
          <w:sz w:val="24"/>
          <w:szCs w:val="24"/>
          <w:lang w:val="en-GB"/>
        </w:rPr>
        <w:t>所需资源：专题领域和支出构成部分所需资源</w:t>
      </w:r>
    </w:p>
    <w:p w14:paraId="7A02261A" w14:textId="735354F3" w:rsidR="00A528CF" w:rsidRPr="000C0842" w:rsidRDefault="00621DE8" w:rsidP="00621DE8">
      <w:pPr>
        <w:ind w:left="490"/>
        <w:rPr>
          <w:rFonts w:eastAsia="SimSun"/>
          <w:lang w:val="en-GB"/>
        </w:rPr>
      </w:pPr>
      <w:r w:rsidRPr="000C0842">
        <w:rPr>
          <w:rFonts w:eastAsia="KaiTi" w:hint="eastAsia"/>
          <w:sz w:val="24"/>
          <w:szCs w:val="24"/>
          <w:lang w:val="en-GB"/>
        </w:rPr>
        <w:t>（美元）</w:t>
      </w:r>
    </w:p>
    <w:tbl>
      <w:tblPr>
        <w:tblStyle w:val="TableGrid44"/>
        <w:tblW w:w="962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216"/>
        <w:gridCol w:w="1216"/>
        <w:gridCol w:w="1116"/>
      </w:tblGrid>
      <w:tr w:rsidR="000C0842" w:rsidRPr="000C0842" w14:paraId="3E113938" w14:textId="77777777" w:rsidTr="001F32B3">
        <w:trPr>
          <w:tblHeader/>
        </w:trPr>
        <w:tc>
          <w:tcPr>
            <w:tcW w:w="4756" w:type="dxa"/>
            <w:tcBorders>
              <w:top w:val="single" w:sz="4" w:space="0" w:color="auto"/>
              <w:bottom w:val="single" w:sz="4" w:space="0" w:color="auto"/>
            </w:tcBorders>
            <w:noWrap/>
            <w:vAlign w:val="bottom"/>
            <w:hideMark/>
          </w:tcPr>
          <w:p w14:paraId="3F7CB4FF" w14:textId="77777777" w:rsidR="00A528CF" w:rsidRPr="000C0842" w:rsidRDefault="00A528CF" w:rsidP="00A528CF">
            <w:pPr>
              <w:jc w:val="lef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专题领域</w:t>
            </w:r>
          </w:p>
        </w:tc>
        <w:tc>
          <w:tcPr>
            <w:tcW w:w="1316" w:type="dxa"/>
            <w:tcBorders>
              <w:top w:val="single" w:sz="4" w:space="0" w:color="auto"/>
              <w:bottom w:val="single" w:sz="4" w:space="0" w:color="auto"/>
            </w:tcBorders>
            <w:noWrap/>
            <w:vAlign w:val="bottom"/>
            <w:hideMark/>
          </w:tcPr>
          <w:p w14:paraId="2E3876BA" w14:textId="77777777" w:rsidR="00A528CF" w:rsidRPr="000C0842" w:rsidRDefault="00A528CF" w:rsidP="00A528CF">
            <w:pPr>
              <w:jc w:val="righ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会议费用</w:t>
            </w:r>
          </w:p>
        </w:tc>
        <w:tc>
          <w:tcPr>
            <w:tcW w:w="1216" w:type="dxa"/>
            <w:tcBorders>
              <w:top w:val="single" w:sz="4" w:space="0" w:color="auto"/>
              <w:bottom w:val="single" w:sz="4" w:space="0" w:color="auto"/>
            </w:tcBorders>
            <w:noWrap/>
            <w:vAlign w:val="bottom"/>
            <w:hideMark/>
          </w:tcPr>
          <w:p w14:paraId="472F7A1D" w14:textId="77777777" w:rsidR="00A528CF" w:rsidRPr="000C0842" w:rsidRDefault="00A528CF" w:rsidP="00A528CF">
            <w:pPr>
              <w:jc w:val="righ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工作人员</w:t>
            </w:r>
          </w:p>
          <w:p w14:paraId="036C7B63" w14:textId="00BB2C1E" w:rsidR="00A528CF" w:rsidRPr="000C0842" w:rsidRDefault="00A528CF" w:rsidP="00A528CF">
            <w:pPr>
              <w:jc w:val="righ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差旅</w:t>
            </w:r>
          </w:p>
        </w:tc>
        <w:tc>
          <w:tcPr>
            <w:tcW w:w="1216" w:type="dxa"/>
            <w:tcBorders>
              <w:top w:val="single" w:sz="4" w:space="0" w:color="auto"/>
              <w:bottom w:val="single" w:sz="4" w:space="0" w:color="auto"/>
            </w:tcBorders>
            <w:noWrap/>
            <w:vAlign w:val="bottom"/>
            <w:hideMark/>
          </w:tcPr>
          <w:p w14:paraId="73C63810" w14:textId="0D262E8B" w:rsidR="00A528CF" w:rsidRPr="000C0842" w:rsidRDefault="00A528CF" w:rsidP="00A528CF">
            <w:pPr>
              <w:jc w:val="righ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咨询</w:t>
            </w:r>
            <w:r w:rsidR="00621DE8" w:rsidRPr="000C0842">
              <w:rPr>
                <w:rFonts w:ascii="KaiTi" w:eastAsia="KaiTi" w:hAnsi="KaiTi" w:cs="Times New Roman" w:hint="eastAsia"/>
                <w:sz w:val="20"/>
                <w:szCs w:val="20"/>
                <w:lang w:val="en-GB" w:eastAsia="zh-CN"/>
              </w:rPr>
              <w:t>人</w:t>
            </w:r>
            <w:r w:rsidRPr="000C0842">
              <w:rPr>
                <w:rFonts w:ascii="KaiTi" w:eastAsia="KaiTi" w:hAnsi="KaiTi" w:cs="Times New Roman" w:hint="eastAsia"/>
                <w:sz w:val="20"/>
                <w:szCs w:val="20"/>
                <w:lang w:val="en-GB" w:eastAsia="zh-CN"/>
              </w:rPr>
              <w:t>费用</w:t>
            </w:r>
          </w:p>
        </w:tc>
        <w:tc>
          <w:tcPr>
            <w:tcW w:w="1116" w:type="dxa"/>
            <w:tcBorders>
              <w:top w:val="single" w:sz="4" w:space="0" w:color="auto"/>
              <w:bottom w:val="single" w:sz="4" w:space="0" w:color="auto"/>
            </w:tcBorders>
            <w:noWrap/>
            <w:vAlign w:val="bottom"/>
            <w:hideMark/>
          </w:tcPr>
          <w:p w14:paraId="1661B95F" w14:textId="77777777" w:rsidR="00A528CF" w:rsidRPr="000C0842" w:rsidRDefault="00A528CF" w:rsidP="00A528CF">
            <w:pPr>
              <w:jc w:val="right"/>
              <w:rPr>
                <w:rFonts w:ascii="KaiTi" w:eastAsia="KaiTi" w:hAnsi="KaiTi" w:cs="Times New Roman"/>
                <w:sz w:val="20"/>
                <w:szCs w:val="20"/>
                <w:lang w:val="en-GB" w:eastAsia="zh-CN"/>
              </w:rPr>
            </w:pPr>
            <w:r w:rsidRPr="000C0842">
              <w:rPr>
                <w:rFonts w:ascii="KaiTi" w:eastAsia="KaiTi" w:hAnsi="KaiTi" w:cs="Times New Roman" w:hint="eastAsia"/>
                <w:sz w:val="20"/>
                <w:szCs w:val="20"/>
                <w:lang w:val="en-GB" w:eastAsia="zh-CN"/>
              </w:rPr>
              <w:t>共计</w:t>
            </w:r>
          </w:p>
        </w:tc>
      </w:tr>
      <w:tr w:rsidR="000C0842" w:rsidRPr="000C0842" w14:paraId="11A00F00" w14:textId="77777777" w:rsidTr="001F32B3">
        <w:tc>
          <w:tcPr>
            <w:tcW w:w="9620" w:type="dxa"/>
            <w:gridSpan w:val="5"/>
            <w:tcBorders>
              <w:top w:val="single" w:sz="4" w:space="0" w:color="auto"/>
              <w:bottom w:val="single" w:sz="4" w:space="0" w:color="auto"/>
            </w:tcBorders>
            <w:noWrap/>
            <w:vAlign w:val="bottom"/>
            <w:hideMark/>
          </w:tcPr>
          <w:p w14:paraId="35CCECAA"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b/>
                <w:bCs/>
                <w:sz w:val="20"/>
                <w:szCs w:val="20"/>
                <w:lang w:val="en-GB" w:eastAsia="zh-CN"/>
              </w:rPr>
              <w:t>A.</w:t>
            </w:r>
            <w:r w:rsidRPr="000C0842">
              <w:rPr>
                <w:rFonts w:eastAsia="SimSun" w:cs="Times New Roman"/>
                <w:b/>
                <w:bCs/>
                <w:sz w:val="20"/>
                <w:szCs w:val="20"/>
                <w:lang w:val="en-GB" w:eastAsia="zh-CN"/>
              </w:rPr>
              <w:tab/>
            </w:r>
            <w:r w:rsidRPr="000C0842">
              <w:rPr>
                <w:rFonts w:eastAsia="SimSun" w:cs="Times New Roman" w:hint="eastAsia"/>
                <w:b/>
                <w:bCs/>
                <w:sz w:val="20"/>
                <w:szCs w:val="20"/>
                <w:lang w:val="en-GB" w:eastAsia="zh-CN"/>
              </w:rPr>
              <w:t>《</w:t>
            </w:r>
            <w:r w:rsidRPr="000C0842">
              <w:rPr>
                <w:rFonts w:eastAsia="SimSun" w:cs="Times New Roman" w:hint="eastAsia"/>
                <w:b/>
                <w:bCs/>
                <w:sz w:val="20"/>
                <w:szCs w:val="20"/>
                <w:lang w:val="en-US" w:eastAsia="zh-CN"/>
              </w:rPr>
              <w:t>生物多样性公约》</w:t>
            </w:r>
          </w:p>
        </w:tc>
      </w:tr>
      <w:tr w:rsidR="000C0842" w:rsidRPr="000C0842" w14:paraId="1EF7DCF4" w14:textId="77777777" w:rsidTr="001F32B3">
        <w:tc>
          <w:tcPr>
            <w:tcW w:w="4756" w:type="dxa"/>
            <w:noWrap/>
            <w:hideMark/>
          </w:tcPr>
          <w:p w14:paraId="446C334A"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遗传资源数字序列信息</w:t>
            </w:r>
          </w:p>
        </w:tc>
        <w:tc>
          <w:tcPr>
            <w:tcW w:w="1316" w:type="dxa"/>
            <w:tcBorders>
              <w:top w:val="single" w:sz="4" w:space="0" w:color="auto"/>
            </w:tcBorders>
            <w:noWrap/>
            <w:vAlign w:val="center"/>
            <w:hideMark/>
          </w:tcPr>
          <w:p w14:paraId="05F871E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317 600</w:t>
            </w:r>
          </w:p>
        </w:tc>
        <w:tc>
          <w:tcPr>
            <w:tcW w:w="1216" w:type="dxa"/>
            <w:tcBorders>
              <w:top w:val="single" w:sz="4" w:space="0" w:color="auto"/>
            </w:tcBorders>
            <w:noWrap/>
            <w:vAlign w:val="center"/>
            <w:hideMark/>
          </w:tcPr>
          <w:p w14:paraId="27358FF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66 500</w:t>
            </w:r>
          </w:p>
        </w:tc>
        <w:tc>
          <w:tcPr>
            <w:tcW w:w="1216" w:type="dxa"/>
            <w:tcBorders>
              <w:top w:val="single" w:sz="4" w:space="0" w:color="auto"/>
            </w:tcBorders>
            <w:noWrap/>
            <w:vAlign w:val="center"/>
            <w:hideMark/>
          </w:tcPr>
          <w:p w14:paraId="4CE0DEA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450 000</w:t>
            </w:r>
          </w:p>
        </w:tc>
        <w:tc>
          <w:tcPr>
            <w:tcW w:w="1116" w:type="dxa"/>
            <w:tcBorders>
              <w:top w:val="single" w:sz="4" w:space="0" w:color="auto"/>
            </w:tcBorders>
            <w:noWrap/>
            <w:vAlign w:val="center"/>
            <w:hideMark/>
          </w:tcPr>
          <w:p w14:paraId="69CAAA6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834 100</w:t>
            </w:r>
          </w:p>
        </w:tc>
      </w:tr>
      <w:tr w:rsidR="000C0842" w:rsidRPr="000C0842" w14:paraId="0C63E23D" w14:textId="77777777" w:rsidTr="001F32B3">
        <w:tc>
          <w:tcPr>
            <w:tcW w:w="4756" w:type="dxa"/>
            <w:hideMark/>
          </w:tcPr>
          <w:p w14:paraId="25E44493"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能力建设与发展、科技合作和技术转让</w:t>
            </w:r>
          </w:p>
        </w:tc>
        <w:tc>
          <w:tcPr>
            <w:tcW w:w="1316" w:type="dxa"/>
            <w:noWrap/>
            <w:vAlign w:val="center"/>
            <w:hideMark/>
          </w:tcPr>
          <w:p w14:paraId="41277D4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608 050</w:t>
            </w:r>
          </w:p>
        </w:tc>
        <w:tc>
          <w:tcPr>
            <w:tcW w:w="1216" w:type="dxa"/>
            <w:noWrap/>
            <w:vAlign w:val="center"/>
            <w:hideMark/>
          </w:tcPr>
          <w:p w14:paraId="22FD669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185 750</w:t>
            </w:r>
          </w:p>
        </w:tc>
        <w:tc>
          <w:tcPr>
            <w:tcW w:w="1216" w:type="dxa"/>
            <w:noWrap/>
            <w:vAlign w:val="center"/>
            <w:hideMark/>
          </w:tcPr>
          <w:p w14:paraId="6E55238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486 000</w:t>
            </w:r>
          </w:p>
        </w:tc>
        <w:tc>
          <w:tcPr>
            <w:tcW w:w="1116" w:type="dxa"/>
            <w:noWrap/>
            <w:vAlign w:val="center"/>
            <w:hideMark/>
          </w:tcPr>
          <w:p w14:paraId="534154E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1 279 800</w:t>
            </w:r>
          </w:p>
        </w:tc>
      </w:tr>
      <w:tr w:rsidR="000C0842" w:rsidRPr="000C0842" w14:paraId="1A766982" w14:textId="77777777" w:rsidTr="001F32B3">
        <w:tc>
          <w:tcPr>
            <w:tcW w:w="4756" w:type="dxa"/>
            <w:hideMark/>
          </w:tcPr>
          <w:p w14:paraId="6EEB0557"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trike/>
                <w:sz w:val="20"/>
                <w:szCs w:val="20"/>
                <w:lang w:val="en-GB" w:eastAsia="zh-CN"/>
              </w:rPr>
            </w:pPr>
            <w:r w:rsidRPr="000C0842">
              <w:rPr>
                <w:rFonts w:eastAsia="SimSun" w:cs="Times New Roman" w:hint="eastAsia"/>
                <w:sz w:val="20"/>
                <w:szCs w:val="20"/>
                <w:lang w:val="en-GB" w:eastAsia="zh-CN"/>
              </w:rPr>
              <w:t>至</w:t>
            </w:r>
            <w:r w:rsidRPr="000C0842">
              <w:rPr>
                <w:rFonts w:eastAsia="SimSun" w:cs="Times New Roman" w:hint="eastAsia"/>
                <w:sz w:val="20"/>
                <w:szCs w:val="20"/>
                <w:lang w:val="en-GB" w:eastAsia="zh-CN"/>
              </w:rPr>
              <w:t>2030</w:t>
            </w:r>
            <w:r w:rsidRPr="000C0842">
              <w:rPr>
                <w:rFonts w:eastAsia="SimSun" w:cs="Times New Roman" w:hint="eastAsia"/>
                <w:sz w:val="20"/>
                <w:szCs w:val="20"/>
                <w:lang w:val="en-GB" w:eastAsia="zh-CN"/>
              </w:rPr>
              <w:t>年《生物多样性公约》第</w:t>
            </w:r>
            <w:r w:rsidRPr="000C0842">
              <w:rPr>
                <w:rFonts w:eastAsia="SimSun" w:cs="Times New Roman" w:hint="eastAsia"/>
                <w:sz w:val="20"/>
                <w:szCs w:val="20"/>
                <w:lang w:val="en-GB" w:eastAsia="zh-CN"/>
              </w:rPr>
              <w:t>8(j)</w:t>
            </w:r>
            <w:r w:rsidRPr="000C0842">
              <w:rPr>
                <w:rFonts w:eastAsia="SimSun" w:cs="Times New Roman" w:hint="eastAsia"/>
                <w:sz w:val="20"/>
                <w:szCs w:val="20"/>
                <w:lang w:val="en-GB" w:eastAsia="zh-CN"/>
              </w:rPr>
              <w:t>条及其他与土著人民和地方社区有关的条款工作方案</w:t>
            </w:r>
          </w:p>
        </w:tc>
        <w:tc>
          <w:tcPr>
            <w:tcW w:w="1316" w:type="dxa"/>
            <w:noWrap/>
            <w:vAlign w:val="center"/>
            <w:hideMark/>
          </w:tcPr>
          <w:p w14:paraId="4938C9E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431 950</w:t>
            </w:r>
          </w:p>
        </w:tc>
        <w:tc>
          <w:tcPr>
            <w:tcW w:w="1216" w:type="dxa"/>
            <w:noWrap/>
            <w:vAlign w:val="center"/>
            <w:hideMark/>
          </w:tcPr>
          <w:p w14:paraId="22A5662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149 000</w:t>
            </w:r>
          </w:p>
        </w:tc>
        <w:tc>
          <w:tcPr>
            <w:tcW w:w="1216" w:type="dxa"/>
            <w:noWrap/>
            <w:vAlign w:val="center"/>
            <w:hideMark/>
          </w:tcPr>
          <w:p w14:paraId="3E4D90F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216 000</w:t>
            </w:r>
          </w:p>
        </w:tc>
        <w:tc>
          <w:tcPr>
            <w:tcW w:w="1116" w:type="dxa"/>
            <w:noWrap/>
            <w:vAlign w:val="center"/>
            <w:hideMark/>
          </w:tcPr>
          <w:p w14:paraId="40BFD5B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796 950</w:t>
            </w:r>
          </w:p>
        </w:tc>
      </w:tr>
      <w:tr w:rsidR="000C0842" w:rsidRPr="000C0842" w14:paraId="4916BFD3" w14:textId="77777777" w:rsidTr="001F32B3">
        <w:tc>
          <w:tcPr>
            <w:tcW w:w="4756" w:type="dxa"/>
            <w:noWrap/>
            <w:hideMark/>
          </w:tcPr>
          <w:p w14:paraId="4BBA5128"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信息交换所机制和知识管理</w:t>
            </w:r>
          </w:p>
        </w:tc>
        <w:tc>
          <w:tcPr>
            <w:tcW w:w="1316" w:type="dxa"/>
            <w:noWrap/>
            <w:vAlign w:val="center"/>
            <w:hideMark/>
          </w:tcPr>
          <w:p w14:paraId="45C83676"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1 778 950</w:t>
            </w:r>
          </w:p>
        </w:tc>
        <w:tc>
          <w:tcPr>
            <w:tcW w:w="1216" w:type="dxa"/>
            <w:noWrap/>
            <w:vAlign w:val="center"/>
            <w:hideMark/>
          </w:tcPr>
          <w:p w14:paraId="2CDE18E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210 500</w:t>
            </w:r>
          </w:p>
        </w:tc>
        <w:tc>
          <w:tcPr>
            <w:tcW w:w="1216" w:type="dxa"/>
            <w:noWrap/>
            <w:vAlign w:val="center"/>
            <w:hideMark/>
          </w:tcPr>
          <w:p w14:paraId="5F6ED73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1 296 000</w:t>
            </w:r>
          </w:p>
        </w:tc>
        <w:tc>
          <w:tcPr>
            <w:tcW w:w="1116" w:type="dxa"/>
            <w:noWrap/>
            <w:vAlign w:val="center"/>
            <w:hideMark/>
          </w:tcPr>
          <w:p w14:paraId="3A43761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3 285 450</w:t>
            </w:r>
          </w:p>
        </w:tc>
      </w:tr>
      <w:tr w:rsidR="000C0842" w:rsidRPr="000C0842" w14:paraId="361EBBA8" w14:textId="77777777" w:rsidTr="001F32B3">
        <w:tc>
          <w:tcPr>
            <w:tcW w:w="4756" w:type="dxa"/>
            <w:noWrap/>
            <w:hideMark/>
          </w:tcPr>
          <w:p w14:paraId="08C9EF93"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传播、教育和公众意识</w:t>
            </w:r>
          </w:p>
        </w:tc>
        <w:tc>
          <w:tcPr>
            <w:tcW w:w="1316" w:type="dxa"/>
            <w:noWrap/>
            <w:vAlign w:val="center"/>
            <w:hideMark/>
          </w:tcPr>
          <w:p w14:paraId="45F89FC9"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311 300</w:t>
            </w:r>
          </w:p>
        </w:tc>
        <w:tc>
          <w:tcPr>
            <w:tcW w:w="1216" w:type="dxa"/>
            <w:noWrap/>
            <w:vAlign w:val="center"/>
            <w:hideMark/>
          </w:tcPr>
          <w:p w14:paraId="6E16C38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59 750</w:t>
            </w:r>
          </w:p>
        </w:tc>
        <w:tc>
          <w:tcPr>
            <w:tcW w:w="1216" w:type="dxa"/>
            <w:noWrap/>
            <w:vAlign w:val="center"/>
            <w:hideMark/>
          </w:tcPr>
          <w:p w14:paraId="7A56EB66"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522 500</w:t>
            </w:r>
          </w:p>
        </w:tc>
        <w:tc>
          <w:tcPr>
            <w:tcW w:w="1116" w:type="dxa"/>
            <w:noWrap/>
            <w:vAlign w:val="center"/>
            <w:hideMark/>
          </w:tcPr>
          <w:p w14:paraId="7391A97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893 550</w:t>
            </w:r>
          </w:p>
        </w:tc>
      </w:tr>
      <w:tr w:rsidR="000C0842" w:rsidRPr="000C0842" w14:paraId="6F452AA6" w14:textId="77777777" w:rsidTr="001F32B3">
        <w:tc>
          <w:tcPr>
            <w:tcW w:w="4756" w:type="dxa"/>
            <w:hideMark/>
          </w:tcPr>
          <w:p w14:paraId="5411E0E4"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与</w:t>
            </w:r>
            <w:r w:rsidRPr="000C0842">
              <w:rPr>
                <w:rFonts w:eastAsia="SimSun" w:cs="Times New Roman" w:hint="eastAsia"/>
                <w:sz w:val="20"/>
                <w:szCs w:val="20"/>
                <w:lang w:val="en-US" w:eastAsia="zh-CN"/>
              </w:rPr>
              <w:t>生物多样性和生态系统服务政府间科学与政策平台</w:t>
            </w:r>
            <w:r w:rsidRPr="000C0842">
              <w:rPr>
                <w:rFonts w:eastAsia="SimSun" w:cs="Times New Roman" w:hint="eastAsia"/>
                <w:sz w:val="20"/>
                <w:szCs w:val="20"/>
                <w:lang w:val="en-GB" w:eastAsia="zh-CN"/>
              </w:rPr>
              <w:t>工作方案有关的事项</w:t>
            </w:r>
          </w:p>
        </w:tc>
        <w:tc>
          <w:tcPr>
            <w:tcW w:w="1316" w:type="dxa"/>
            <w:noWrap/>
            <w:vAlign w:val="center"/>
            <w:hideMark/>
          </w:tcPr>
          <w:p w14:paraId="4CED61E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23 300</w:t>
            </w:r>
          </w:p>
        </w:tc>
        <w:tc>
          <w:tcPr>
            <w:tcW w:w="1216" w:type="dxa"/>
            <w:noWrap/>
            <w:vAlign w:val="center"/>
            <w:hideMark/>
          </w:tcPr>
          <w:p w14:paraId="49D16A9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27 250</w:t>
            </w:r>
          </w:p>
        </w:tc>
        <w:tc>
          <w:tcPr>
            <w:tcW w:w="1216" w:type="dxa"/>
            <w:noWrap/>
            <w:vAlign w:val="center"/>
            <w:hideMark/>
          </w:tcPr>
          <w:p w14:paraId="01F2882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116" w:type="dxa"/>
            <w:noWrap/>
            <w:vAlign w:val="center"/>
            <w:hideMark/>
          </w:tcPr>
          <w:p w14:paraId="505F337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50 550</w:t>
            </w:r>
          </w:p>
        </w:tc>
      </w:tr>
      <w:tr w:rsidR="000C0842" w:rsidRPr="000C0842" w14:paraId="6B4E4505" w14:textId="77777777" w:rsidTr="001F32B3">
        <w:tc>
          <w:tcPr>
            <w:tcW w:w="4756" w:type="dxa"/>
            <w:hideMark/>
          </w:tcPr>
          <w:p w14:paraId="4B8226C7"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支持执行《昆明</w:t>
            </w:r>
            <w:r w:rsidRPr="000C0842">
              <w:rPr>
                <w:rFonts w:eastAsia="SimSun" w:cs="Times New Roman" w:hint="eastAsia"/>
                <w:sz w:val="20"/>
                <w:szCs w:val="20"/>
                <w:lang w:val="en-GB" w:eastAsia="zh-CN"/>
              </w:rPr>
              <w:t>-</w:t>
            </w:r>
            <w:r w:rsidRPr="000C0842">
              <w:rPr>
                <w:rFonts w:eastAsia="SimSun" w:cs="Times New Roman" w:hint="eastAsia"/>
                <w:sz w:val="20"/>
                <w:szCs w:val="20"/>
                <w:lang w:val="en-GB" w:eastAsia="zh-CN"/>
              </w:rPr>
              <w:t>蒙特利尔全球生物多样性框架》的科学和技术需求</w:t>
            </w:r>
          </w:p>
        </w:tc>
        <w:tc>
          <w:tcPr>
            <w:tcW w:w="1316" w:type="dxa"/>
            <w:noWrap/>
            <w:vAlign w:val="center"/>
            <w:hideMark/>
          </w:tcPr>
          <w:p w14:paraId="5B167F87"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449 400</w:t>
            </w:r>
          </w:p>
        </w:tc>
        <w:tc>
          <w:tcPr>
            <w:tcW w:w="1216" w:type="dxa"/>
            <w:noWrap/>
            <w:vAlign w:val="center"/>
            <w:hideMark/>
          </w:tcPr>
          <w:p w14:paraId="092732B7"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49 000</w:t>
            </w:r>
          </w:p>
        </w:tc>
        <w:tc>
          <w:tcPr>
            <w:tcW w:w="1216" w:type="dxa"/>
            <w:noWrap/>
            <w:vAlign w:val="center"/>
            <w:hideMark/>
          </w:tcPr>
          <w:p w14:paraId="3FD153B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234 000</w:t>
            </w:r>
          </w:p>
        </w:tc>
        <w:tc>
          <w:tcPr>
            <w:tcW w:w="1116" w:type="dxa"/>
            <w:noWrap/>
            <w:vAlign w:val="center"/>
            <w:hideMark/>
          </w:tcPr>
          <w:p w14:paraId="5C84BCD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732 400</w:t>
            </w:r>
          </w:p>
        </w:tc>
      </w:tr>
      <w:tr w:rsidR="000C0842" w:rsidRPr="000C0842" w14:paraId="513933E4" w14:textId="77777777" w:rsidTr="001F32B3">
        <w:tc>
          <w:tcPr>
            <w:tcW w:w="4756" w:type="dxa"/>
            <w:hideMark/>
          </w:tcPr>
          <w:p w14:paraId="34BACFBF"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将生物多样性纳入部门内和跨部门主流</w:t>
            </w:r>
          </w:p>
        </w:tc>
        <w:tc>
          <w:tcPr>
            <w:tcW w:w="1316" w:type="dxa"/>
            <w:noWrap/>
            <w:vAlign w:val="center"/>
            <w:hideMark/>
          </w:tcPr>
          <w:p w14:paraId="7DC0A0D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w:t>
            </w:r>
          </w:p>
        </w:tc>
        <w:tc>
          <w:tcPr>
            <w:tcW w:w="1216" w:type="dxa"/>
            <w:noWrap/>
            <w:vAlign w:val="center"/>
            <w:hideMark/>
          </w:tcPr>
          <w:p w14:paraId="61E71266"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28 500</w:t>
            </w:r>
          </w:p>
        </w:tc>
        <w:tc>
          <w:tcPr>
            <w:tcW w:w="1216" w:type="dxa"/>
            <w:noWrap/>
            <w:vAlign w:val="center"/>
            <w:hideMark/>
          </w:tcPr>
          <w:p w14:paraId="78B9B92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c>
          <w:tcPr>
            <w:tcW w:w="1116" w:type="dxa"/>
            <w:noWrap/>
            <w:vAlign w:val="center"/>
            <w:hideMark/>
          </w:tcPr>
          <w:p w14:paraId="080209A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60 000</w:t>
            </w:r>
          </w:p>
        </w:tc>
      </w:tr>
      <w:tr w:rsidR="000C0842" w:rsidRPr="000C0842" w14:paraId="6CFB6F98" w14:textId="77777777" w:rsidTr="001F32B3">
        <w:tc>
          <w:tcPr>
            <w:tcW w:w="4756" w:type="dxa"/>
            <w:noWrap/>
            <w:hideMark/>
          </w:tcPr>
          <w:p w14:paraId="1A88A512"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可持续野生生物管理</w:t>
            </w:r>
          </w:p>
        </w:tc>
        <w:tc>
          <w:tcPr>
            <w:tcW w:w="1316" w:type="dxa"/>
            <w:noWrap/>
            <w:vAlign w:val="center"/>
            <w:hideMark/>
          </w:tcPr>
          <w:p w14:paraId="073164F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616 250</w:t>
            </w:r>
          </w:p>
        </w:tc>
        <w:tc>
          <w:tcPr>
            <w:tcW w:w="1216" w:type="dxa"/>
            <w:noWrap/>
            <w:vAlign w:val="center"/>
            <w:hideMark/>
          </w:tcPr>
          <w:p w14:paraId="0CFAAE1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98 500</w:t>
            </w:r>
          </w:p>
        </w:tc>
        <w:tc>
          <w:tcPr>
            <w:tcW w:w="1216" w:type="dxa"/>
            <w:noWrap/>
            <w:vAlign w:val="center"/>
            <w:hideMark/>
          </w:tcPr>
          <w:p w14:paraId="07F4C2A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220 500</w:t>
            </w:r>
          </w:p>
        </w:tc>
        <w:tc>
          <w:tcPr>
            <w:tcW w:w="1116" w:type="dxa"/>
            <w:noWrap/>
            <w:vAlign w:val="center"/>
            <w:hideMark/>
          </w:tcPr>
          <w:p w14:paraId="53DD546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935 250</w:t>
            </w:r>
          </w:p>
        </w:tc>
      </w:tr>
      <w:tr w:rsidR="000C0842" w:rsidRPr="000C0842" w14:paraId="2727729F" w14:textId="77777777" w:rsidTr="001F32B3">
        <w:tc>
          <w:tcPr>
            <w:tcW w:w="4756" w:type="dxa"/>
            <w:hideMark/>
          </w:tcPr>
          <w:p w14:paraId="04F5104F"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在具有重要生态或生物意义的海洋区域的进一步工作</w:t>
            </w:r>
          </w:p>
        </w:tc>
        <w:tc>
          <w:tcPr>
            <w:tcW w:w="1316" w:type="dxa"/>
            <w:noWrap/>
            <w:vAlign w:val="center"/>
            <w:hideMark/>
          </w:tcPr>
          <w:p w14:paraId="487F645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536 000</w:t>
            </w:r>
          </w:p>
        </w:tc>
        <w:tc>
          <w:tcPr>
            <w:tcW w:w="1216" w:type="dxa"/>
            <w:noWrap/>
            <w:vAlign w:val="center"/>
            <w:hideMark/>
          </w:tcPr>
          <w:p w14:paraId="5A3A306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63 000</w:t>
            </w:r>
          </w:p>
        </w:tc>
        <w:tc>
          <w:tcPr>
            <w:tcW w:w="1216" w:type="dxa"/>
            <w:noWrap/>
            <w:vAlign w:val="center"/>
            <w:hideMark/>
          </w:tcPr>
          <w:p w14:paraId="0560D457"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270 000</w:t>
            </w:r>
          </w:p>
        </w:tc>
        <w:tc>
          <w:tcPr>
            <w:tcW w:w="1116" w:type="dxa"/>
            <w:noWrap/>
            <w:vAlign w:val="center"/>
            <w:hideMark/>
          </w:tcPr>
          <w:p w14:paraId="6EBEC20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869 000</w:t>
            </w:r>
          </w:p>
        </w:tc>
      </w:tr>
      <w:tr w:rsidR="000C0842" w:rsidRPr="000C0842" w14:paraId="4CDD8A09" w14:textId="77777777" w:rsidTr="001F32B3">
        <w:tc>
          <w:tcPr>
            <w:tcW w:w="4756" w:type="dxa"/>
            <w:hideMark/>
          </w:tcPr>
          <w:p w14:paraId="2F650804"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保护和可持续利用海洋和沿海生物多样性以及岛屿生物多样性</w:t>
            </w:r>
          </w:p>
        </w:tc>
        <w:tc>
          <w:tcPr>
            <w:tcW w:w="1316" w:type="dxa"/>
            <w:noWrap/>
            <w:vAlign w:val="center"/>
            <w:hideMark/>
          </w:tcPr>
          <w:p w14:paraId="51F15B8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674 000</w:t>
            </w:r>
          </w:p>
        </w:tc>
        <w:tc>
          <w:tcPr>
            <w:tcW w:w="1216" w:type="dxa"/>
            <w:noWrap/>
            <w:vAlign w:val="center"/>
            <w:hideMark/>
          </w:tcPr>
          <w:p w14:paraId="3350BD8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150 250</w:t>
            </w:r>
          </w:p>
        </w:tc>
        <w:tc>
          <w:tcPr>
            <w:tcW w:w="1216" w:type="dxa"/>
            <w:noWrap/>
            <w:vAlign w:val="center"/>
            <w:hideMark/>
          </w:tcPr>
          <w:p w14:paraId="3B83D76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306 000</w:t>
            </w:r>
          </w:p>
        </w:tc>
        <w:tc>
          <w:tcPr>
            <w:tcW w:w="1116" w:type="dxa"/>
            <w:noWrap/>
            <w:vAlign w:val="center"/>
            <w:hideMark/>
          </w:tcPr>
          <w:p w14:paraId="4BEC8CA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1 130 250</w:t>
            </w:r>
          </w:p>
        </w:tc>
      </w:tr>
      <w:tr w:rsidR="000C0842" w:rsidRPr="000C0842" w14:paraId="596BF89E" w14:textId="77777777" w:rsidTr="001F32B3">
        <w:tc>
          <w:tcPr>
            <w:tcW w:w="4756" w:type="dxa"/>
            <w:noWrap/>
            <w:hideMark/>
          </w:tcPr>
          <w:p w14:paraId="6A055628"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外来入侵物种</w:t>
            </w:r>
          </w:p>
        </w:tc>
        <w:tc>
          <w:tcPr>
            <w:tcW w:w="1316" w:type="dxa"/>
            <w:noWrap/>
            <w:vAlign w:val="center"/>
            <w:hideMark/>
          </w:tcPr>
          <w:p w14:paraId="69C7230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131 200</w:t>
            </w:r>
          </w:p>
        </w:tc>
        <w:tc>
          <w:tcPr>
            <w:tcW w:w="1216" w:type="dxa"/>
            <w:noWrap/>
            <w:vAlign w:val="center"/>
            <w:hideMark/>
          </w:tcPr>
          <w:p w14:paraId="1797D65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55 000</w:t>
            </w:r>
          </w:p>
        </w:tc>
        <w:tc>
          <w:tcPr>
            <w:tcW w:w="1216" w:type="dxa"/>
            <w:noWrap/>
            <w:vAlign w:val="center"/>
            <w:hideMark/>
          </w:tcPr>
          <w:p w14:paraId="370627F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315 000</w:t>
            </w:r>
          </w:p>
        </w:tc>
        <w:tc>
          <w:tcPr>
            <w:tcW w:w="1116" w:type="dxa"/>
            <w:noWrap/>
            <w:vAlign w:val="center"/>
            <w:hideMark/>
          </w:tcPr>
          <w:p w14:paraId="0238D5B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501 200</w:t>
            </w:r>
          </w:p>
        </w:tc>
      </w:tr>
      <w:tr w:rsidR="000C0842" w:rsidRPr="000C0842" w14:paraId="3EBA8CFE" w14:textId="77777777" w:rsidTr="001F32B3">
        <w:tc>
          <w:tcPr>
            <w:tcW w:w="4756" w:type="dxa"/>
            <w:noWrap/>
            <w:hideMark/>
          </w:tcPr>
          <w:p w14:paraId="1E2D9A26"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生物多样性与健康</w:t>
            </w:r>
          </w:p>
        </w:tc>
        <w:tc>
          <w:tcPr>
            <w:tcW w:w="1316" w:type="dxa"/>
            <w:noWrap/>
            <w:vAlign w:val="center"/>
            <w:hideMark/>
          </w:tcPr>
          <w:p w14:paraId="567F58A1"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316 800</w:t>
            </w:r>
          </w:p>
        </w:tc>
        <w:tc>
          <w:tcPr>
            <w:tcW w:w="1216" w:type="dxa"/>
            <w:noWrap/>
            <w:vAlign w:val="center"/>
            <w:hideMark/>
          </w:tcPr>
          <w:p w14:paraId="6E77F47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103 000</w:t>
            </w:r>
          </w:p>
        </w:tc>
        <w:tc>
          <w:tcPr>
            <w:tcW w:w="1216" w:type="dxa"/>
            <w:noWrap/>
            <w:vAlign w:val="center"/>
            <w:hideMark/>
          </w:tcPr>
          <w:p w14:paraId="0AEBAE71"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162 000</w:t>
            </w:r>
          </w:p>
        </w:tc>
        <w:tc>
          <w:tcPr>
            <w:tcW w:w="1116" w:type="dxa"/>
            <w:noWrap/>
            <w:vAlign w:val="center"/>
            <w:hideMark/>
          </w:tcPr>
          <w:p w14:paraId="0E8FD3B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581 800</w:t>
            </w:r>
          </w:p>
        </w:tc>
      </w:tr>
      <w:tr w:rsidR="000C0842" w:rsidRPr="000C0842" w14:paraId="7C69C84A" w14:textId="77777777" w:rsidTr="001F32B3">
        <w:tc>
          <w:tcPr>
            <w:tcW w:w="4756" w:type="dxa"/>
            <w:noWrap/>
            <w:hideMark/>
          </w:tcPr>
          <w:p w14:paraId="15BFC0DF"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合成生物学</w:t>
            </w:r>
          </w:p>
        </w:tc>
        <w:tc>
          <w:tcPr>
            <w:tcW w:w="1316" w:type="dxa"/>
            <w:noWrap/>
            <w:vAlign w:val="center"/>
            <w:hideMark/>
          </w:tcPr>
          <w:p w14:paraId="7856E14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267 000</w:t>
            </w:r>
          </w:p>
        </w:tc>
        <w:tc>
          <w:tcPr>
            <w:tcW w:w="1216" w:type="dxa"/>
            <w:noWrap/>
            <w:vAlign w:val="center"/>
            <w:hideMark/>
          </w:tcPr>
          <w:p w14:paraId="380C8E4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30 500</w:t>
            </w:r>
          </w:p>
        </w:tc>
        <w:tc>
          <w:tcPr>
            <w:tcW w:w="1216" w:type="dxa"/>
            <w:noWrap/>
            <w:vAlign w:val="center"/>
            <w:hideMark/>
          </w:tcPr>
          <w:p w14:paraId="54BBD40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108 000</w:t>
            </w:r>
          </w:p>
        </w:tc>
        <w:tc>
          <w:tcPr>
            <w:tcW w:w="1116" w:type="dxa"/>
            <w:noWrap/>
            <w:vAlign w:val="center"/>
            <w:hideMark/>
          </w:tcPr>
          <w:p w14:paraId="44C2B36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405 500</w:t>
            </w:r>
          </w:p>
        </w:tc>
      </w:tr>
      <w:tr w:rsidR="000C0842" w:rsidRPr="000C0842" w14:paraId="7DCDD38E" w14:textId="77777777" w:rsidTr="001F32B3">
        <w:tc>
          <w:tcPr>
            <w:tcW w:w="4756" w:type="dxa"/>
            <w:noWrap/>
            <w:hideMark/>
          </w:tcPr>
          <w:p w14:paraId="0135B679"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生物多样性与气候变化</w:t>
            </w:r>
          </w:p>
        </w:tc>
        <w:tc>
          <w:tcPr>
            <w:tcW w:w="1316" w:type="dxa"/>
            <w:noWrap/>
            <w:vAlign w:val="center"/>
            <w:hideMark/>
          </w:tcPr>
          <w:p w14:paraId="04A5EF8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1 399 000</w:t>
            </w:r>
          </w:p>
        </w:tc>
        <w:tc>
          <w:tcPr>
            <w:tcW w:w="1216" w:type="dxa"/>
            <w:noWrap/>
            <w:vAlign w:val="center"/>
            <w:hideMark/>
          </w:tcPr>
          <w:p w14:paraId="6CE341B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118 750</w:t>
            </w:r>
          </w:p>
        </w:tc>
        <w:tc>
          <w:tcPr>
            <w:tcW w:w="1216" w:type="dxa"/>
            <w:noWrap/>
            <w:vAlign w:val="center"/>
            <w:hideMark/>
          </w:tcPr>
          <w:p w14:paraId="655D2B3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18 000</w:t>
            </w:r>
          </w:p>
        </w:tc>
        <w:tc>
          <w:tcPr>
            <w:tcW w:w="1116" w:type="dxa"/>
            <w:noWrap/>
            <w:vAlign w:val="center"/>
            <w:hideMark/>
          </w:tcPr>
          <w:p w14:paraId="424F787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1 535 750</w:t>
            </w:r>
          </w:p>
        </w:tc>
      </w:tr>
      <w:tr w:rsidR="000C0842" w:rsidRPr="000C0842" w14:paraId="0293D1FC" w14:textId="77777777" w:rsidTr="001F32B3">
        <w:tc>
          <w:tcPr>
            <w:tcW w:w="4756" w:type="dxa"/>
            <w:hideMark/>
          </w:tcPr>
          <w:p w14:paraId="5C39FCB9"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进一步提高《公约》及其议定书下进程的有效性的备选办法</w:t>
            </w:r>
          </w:p>
        </w:tc>
        <w:tc>
          <w:tcPr>
            <w:tcW w:w="1316" w:type="dxa"/>
            <w:noWrap/>
            <w:vAlign w:val="center"/>
            <w:hideMark/>
          </w:tcPr>
          <w:p w14:paraId="37A1351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159 100</w:t>
            </w:r>
          </w:p>
        </w:tc>
        <w:tc>
          <w:tcPr>
            <w:tcW w:w="1216" w:type="dxa"/>
            <w:noWrap/>
            <w:vAlign w:val="center"/>
            <w:hideMark/>
          </w:tcPr>
          <w:p w14:paraId="3E7DFB0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42 500</w:t>
            </w:r>
          </w:p>
        </w:tc>
        <w:tc>
          <w:tcPr>
            <w:tcW w:w="1216" w:type="dxa"/>
            <w:noWrap/>
            <w:vAlign w:val="center"/>
            <w:hideMark/>
          </w:tcPr>
          <w:p w14:paraId="0213652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36 000</w:t>
            </w:r>
          </w:p>
        </w:tc>
        <w:tc>
          <w:tcPr>
            <w:tcW w:w="1116" w:type="dxa"/>
            <w:noWrap/>
            <w:vAlign w:val="center"/>
            <w:hideMark/>
          </w:tcPr>
          <w:p w14:paraId="3D1C527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237 600</w:t>
            </w:r>
          </w:p>
        </w:tc>
      </w:tr>
      <w:tr w:rsidR="000C0842" w:rsidRPr="000C0842" w14:paraId="70BC5D4A" w14:textId="77777777" w:rsidTr="001F32B3">
        <w:tc>
          <w:tcPr>
            <w:tcW w:w="4756" w:type="dxa"/>
            <w:hideMark/>
          </w:tcPr>
          <w:p w14:paraId="7BEB709B"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避免或管理专家组内利益冲突的程序</w:t>
            </w:r>
          </w:p>
        </w:tc>
        <w:tc>
          <w:tcPr>
            <w:tcW w:w="1316" w:type="dxa"/>
            <w:noWrap/>
            <w:vAlign w:val="center"/>
            <w:hideMark/>
          </w:tcPr>
          <w:p w14:paraId="124BF621"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226 600</w:t>
            </w:r>
          </w:p>
        </w:tc>
        <w:tc>
          <w:tcPr>
            <w:tcW w:w="1216" w:type="dxa"/>
            <w:noWrap/>
            <w:vAlign w:val="center"/>
            <w:hideMark/>
          </w:tcPr>
          <w:p w14:paraId="072E184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25 500</w:t>
            </w:r>
          </w:p>
        </w:tc>
        <w:tc>
          <w:tcPr>
            <w:tcW w:w="1216" w:type="dxa"/>
            <w:noWrap/>
            <w:vAlign w:val="center"/>
            <w:hideMark/>
          </w:tcPr>
          <w:p w14:paraId="0E66D9F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9 000</w:t>
            </w:r>
          </w:p>
        </w:tc>
        <w:tc>
          <w:tcPr>
            <w:tcW w:w="1116" w:type="dxa"/>
            <w:noWrap/>
            <w:vAlign w:val="center"/>
            <w:hideMark/>
          </w:tcPr>
          <w:p w14:paraId="1AC41DE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261 100</w:t>
            </w:r>
          </w:p>
        </w:tc>
      </w:tr>
      <w:tr w:rsidR="000C0842" w:rsidRPr="000C0842" w14:paraId="37529151" w14:textId="77777777" w:rsidTr="001F32B3">
        <w:tc>
          <w:tcPr>
            <w:tcW w:w="4756" w:type="dxa"/>
            <w:hideMark/>
          </w:tcPr>
          <w:p w14:paraId="0553E46F"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《昆明</w:t>
            </w:r>
            <w:r w:rsidRPr="000C0842">
              <w:rPr>
                <w:rFonts w:eastAsia="SimSun" w:cs="Times New Roman" w:hint="eastAsia"/>
                <w:sz w:val="20"/>
                <w:szCs w:val="20"/>
                <w:lang w:val="en-GB" w:eastAsia="zh-CN"/>
              </w:rPr>
              <w:t>-</w:t>
            </w:r>
            <w:r w:rsidRPr="000C0842">
              <w:rPr>
                <w:rFonts w:eastAsia="SimSun" w:cs="Times New Roman" w:hint="eastAsia"/>
                <w:sz w:val="20"/>
                <w:szCs w:val="20"/>
                <w:lang w:val="en-GB" w:eastAsia="zh-CN"/>
              </w:rPr>
              <w:t>蒙特利尔全球生物多样性框架》监测框架</w:t>
            </w:r>
          </w:p>
        </w:tc>
        <w:tc>
          <w:tcPr>
            <w:tcW w:w="1316" w:type="dxa"/>
            <w:noWrap/>
            <w:vAlign w:val="center"/>
            <w:hideMark/>
          </w:tcPr>
          <w:p w14:paraId="7E6F363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699 500</w:t>
            </w:r>
          </w:p>
        </w:tc>
        <w:tc>
          <w:tcPr>
            <w:tcW w:w="1216" w:type="dxa"/>
            <w:noWrap/>
            <w:vAlign w:val="center"/>
            <w:hideMark/>
          </w:tcPr>
          <w:p w14:paraId="0B8099A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68 500</w:t>
            </w:r>
          </w:p>
        </w:tc>
        <w:tc>
          <w:tcPr>
            <w:tcW w:w="1216" w:type="dxa"/>
            <w:noWrap/>
            <w:vAlign w:val="center"/>
            <w:hideMark/>
          </w:tcPr>
          <w:p w14:paraId="5F9461A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198 000</w:t>
            </w:r>
          </w:p>
        </w:tc>
        <w:tc>
          <w:tcPr>
            <w:tcW w:w="1116" w:type="dxa"/>
            <w:noWrap/>
            <w:vAlign w:val="center"/>
            <w:hideMark/>
          </w:tcPr>
          <w:p w14:paraId="5A74364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966 000</w:t>
            </w:r>
          </w:p>
        </w:tc>
      </w:tr>
      <w:tr w:rsidR="000C0842" w:rsidRPr="000C0842" w14:paraId="083ECDE3" w14:textId="77777777" w:rsidTr="001F32B3">
        <w:tc>
          <w:tcPr>
            <w:tcW w:w="4756" w:type="dxa"/>
            <w:hideMark/>
          </w:tcPr>
          <w:p w14:paraId="759D9642"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规划、监测、报告和审查机制，包括将于缔约方大会第十七届和第十九届会议上对《昆明</w:t>
            </w:r>
            <w:r w:rsidRPr="000C0842">
              <w:rPr>
                <w:rFonts w:eastAsia="SimSun" w:cs="Times New Roman"/>
                <w:sz w:val="20"/>
                <w:szCs w:val="20"/>
                <w:lang w:val="en-GB" w:eastAsia="zh-CN"/>
              </w:rPr>
              <w:t>-</w:t>
            </w:r>
            <w:r w:rsidRPr="000C0842">
              <w:rPr>
                <w:rFonts w:eastAsia="SimSun" w:cs="Times New Roman" w:hint="eastAsia"/>
                <w:sz w:val="20"/>
                <w:szCs w:val="20"/>
                <w:lang w:val="en-GB" w:eastAsia="zh-CN"/>
              </w:rPr>
              <w:t>蒙特利尔全球生物多样性框架》集体执行进度进行的全球审查</w:t>
            </w:r>
            <w:r w:rsidRPr="000C0842">
              <w:rPr>
                <w:rFonts w:eastAsia="SimSun" w:cs="Times New Roman"/>
                <w:sz w:val="20"/>
                <w:szCs w:val="20"/>
                <w:lang w:val="en-GB" w:eastAsia="zh-CN"/>
              </w:rPr>
              <w:t>​​</w:t>
            </w:r>
          </w:p>
        </w:tc>
        <w:tc>
          <w:tcPr>
            <w:tcW w:w="1316" w:type="dxa"/>
            <w:noWrap/>
            <w:vAlign w:val="center"/>
            <w:hideMark/>
          </w:tcPr>
          <w:p w14:paraId="399A46E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1 101 800</w:t>
            </w:r>
          </w:p>
        </w:tc>
        <w:tc>
          <w:tcPr>
            <w:tcW w:w="1216" w:type="dxa"/>
            <w:noWrap/>
            <w:vAlign w:val="center"/>
            <w:hideMark/>
          </w:tcPr>
          <w:p w14:paraId="6E9EFF8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269 750</w:t>
            </w:r>
          </w:p>
        </w:tc>
        <w:tc>
          <w:tcPr>
            <w:tcW w:w="1216" w:type="dxa"/>
            <w:noWrap/>
            <w:vAlign w:val="center"/>
            <w:hideMark/>
          </w:tcPr>
          <w:p w14:paraId="64BDE8A9"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129 000</w:t>
            </w:r>
          </w:p>
        </w:tc>
        <w:tc>
          <w:tcPr>
            <w:tcW w:w="1116" w:type="dxa"/>
            <w:noWrap/>
            <w:vAlign w:val="center"/>
            <w:hideMark/>
          </w:tcPr>
          <w:p w14:paraId="649376B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1 500 550</w:t>
            </w:r>
          </w:p>
        </w:tc>
      </w:tr>
      <w:tr w:rsidR="000C0842" w:rsidRPr="000C0842" w14:paraId="32759188" w14:textId="77777777" w:rsidTr="001F32B3">
        <w:tc>
          <w:tcPr>
            <w:tcW w:w="4756" w:type="dxa"/>
            <w:noWrap/>
            <w:hideMark/>
          </w:tcPr>
          <w:p w14:paraId="6C6D2ACB"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财务机制</w:t>
            </w:r>
          </w:p>
        </w:tc>
        <w:tc>
          <w:tcPr>
            <w:tcW w:w="1316" w:type="dxa"/>
            <w:noWrap/>
            <w:vAlign w:val="center"/>
            <w:hideMark/>
          </w:tcPr>
          <w:p w14:paraId="330FA9D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240 000</w:t>
            </w:r>
          </w:p>
        </w:tc>
        <w:tc>
          <w:tcPr>
            <w:tcW w:w="1216" w:type="dxa"/>
            <w:noWrap/>
            <w:vAlign w:val="center"/>
            <w:hideMark/>
          </w:tcPr>
          <w:p w14:paraId="7AF2FC0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86 000</w:t>
            </w:r>
          </w:p>
        </w:tc>
        <w:tc>
          <w:tcPr>
            <w:tcW w:w="1216" w:type="dxa"/>
            <w:noWrap/>
            <w:vAlign w:val="center"/>
            <w:hideMark/>
          </w:tcPr>
          <w:p w14:paraId="56BCC7A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54 000</w:t>
            </w:r>
          </w:p>
        </w:tc>
        <w:tc>
          <w:tcPr>
            <w:tcW w:w="1116" w:type="dxa"/>
            <w:noWrap/>
            <w:vAlign w:val="center"/>
            <w:hideMark/>
          </w:tcPr>
          <w:p w14:paraId="23453E59"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380 000</w:t>
            </w:r>
          </w:p>
        </w:tc>
      </w:tr>
      <w:tr w:rsidR="000C0842" w:rsidRPr="000C0842" w14:paraId="45D4F0E8" w14:textId="77777777" w:rsidTr="001F32B3">
        <w:tc>
          <w:tcPr>
            <w:tcW w:w="4756" w:type="dxa"/>
            <w:noWrap/>
            <w:hideMark/>
          </w:tcPr>
          <w:p w14:paraId="635CE6E5"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资源调动</w:t>
            </w:r>
          </w:p>
        </w:tc>
        <w:tc>
          <w:tcPr>
            <w:tcW w:w="1316" w:type="dxa"/>
            <w:noWrap/>
            <w:vAlign w:val="center"/>
            <w:hideMark/>
          </w:tcPr>
          <w:p w14:paraId="7E12CCE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68 300</w:t>
            </w:r>
          </w:p>
        </w:tc>
        <w:tc>
          <w:tcPr>
            <w:tcW w:w="1216" w:type="dxa"/>
            <w:noWrap/>
            <w:vAlign w:val="center"/>
            <w:hideMark/>
          </w:tcPr>
          <w:p w14:paraId="324AF74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36 000</w:t>
            </w:r>
          </w:p>
        </w:tc>
        <w:tc>
          <w:tcPr>
            <w:tcW w:w="1216" w:type="dxa"/>
            <w:noWrap/>
            <w:vAlign w:val="center"/>
            <w:hideMark/>
          </w:tcPr>
          <w:p w14:paraId="00FE594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181 500</w:t>
            </w:r>
          </w:p>
        </w:tc>
        <w:tc>
          <w:tcPr>
            <w:tcW w:w="1116" w:type="dxa"/>
            <w:noWrap/>
            <w:vAlign w:val="center"/>
            <w:hideMark/>
          </w:tcPr>
          <w:p w14:paraId="38B2FE5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285 800</w:t>
            </w:r>
          </w:p>
        </w:tc>
      </w:tr>
      <w:tr w:rsidR="000C0842" w:rsidRPr="000C0842" w14:paraId="5E55CC4D" w14:textId="77777777" w:rsidTr="001F32B3">
        <w:tc>
          <w:tcPr>
            <w:tcW w:w="4756" w:type="dxa"/>
            <w:hideMark/>
          </w:tcPr>
          <w:p w14:paraId="152ABF4A"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与其他公约和国际组织的合作</w:t>
            </w:r>
          </w:p>
        </w:tc>
        <w:tc>
          <w:tcPr>
            <w:tcW w:w="1316" w:type="dxa"/>
            <w:tcBorders>
              <w:bottom w:val="single" w:sz="4" w:space="0" w:color="auto"/>
            </w:tcBorders>
            <w:noWrap/>
            <w:vAlign w:val="center"/>
            <w:hideMark/>
          </w:tcPr>
          <w:p w14:paraId="23F9268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20 000</w:t>
            </w:r>
          </w:p>
        </w:tc>
        <w:tc>
          <w:tcPr>
            <w:tcW w:w="1216" w:type="dxa"/>
            <w:tcBorders>
              <w:bottom w:val="single" w:sz="4" w:space="0" w:color="auto"/>
            </w:tcBorders>
            <w:noWrap/>
            <w:vAlign w:val="center"/>
            <w:hideMark/>
          </w:tcPr>
          <w:p w14:paraId="28485FD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80 000</w:t>
            </w:r>
          </w:p>
        </w:tc>
        <w:tc>
          <w:tcPr>
            <w:tcW w:w="1216" w:type="dxa"/>
            <w:tcBorders>
              <w:bottom w:val="single" w:sz="4" w:space="0" w:color="auto"/>
            </w:tcBorders>
            <w:noWrap/>
            <w:vAlign w:val="center"/>
            <w:hideMark/>
          </w:tcPr>
          <w:p w14:paraId="7B92720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w:t>
            </w:r>
          </w:p>
        </w:tc>
        <w:tc>
          <w:tcPr>
            <w:tcW w:w="1116" w:type="dxa"/>
            <w:tcBorders>
              <w:bottom w:val="single" w:sz="4" w:space="0" w:color="auto"/>
            </w:tcBorders>
            <w:noWrap/>
            <w:vAlign w:val="center"/>
            <w:hideMark/>
          </w:tcPr>
          <w:p w14:paraId="3C2E7BF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100 000</w:t>
            </w:r>
          </w:p>
        </w:tc>
      </w:tr>
      <w:tr w:rsidR="000C0842" w:rsidRPr="000C0842" w14:paraId="625C3609" w14:textId="77777777" w:rsidTr="001F32B3">
        <w:trPr>
          <w:trHeight w:val="227"/>
        </w:trPr>
        <w:tc>
          <w:tcPr>
            <w:tcW w:w="4756" w:type="dxa"/>
            <w:hideMark/>
          </w:tcPr>
          <w:p w14:paraId="1C8B9A90"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小计</w:t>
            </w:r>
          </w:p>
        </w:tc>
        <w:tc>
          <w:tcPr>
            <w:tcW w:w="1316" w:type="dxa"/>
            <w:tcBorders>
              <w:top w:val="single" w:sz="4" w:space="0" w:color="auto"/>
              <w:bottom w:val="single" w:sz="4" w:space="0" w:color="auto"/>
            </w:tcBorders>
            <w:noWrap/>
            <w:vAlign w:val="center"/>
            <w:hideMark/>
          </w:tcPr>
          <w:p w14:paraId="32B55211"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10 376 100</w:t>
            </w:r>
          </w:p>
        </w:tc>
        <w:tc>
          <w:tcPr>
            <w:tcW w:w="1216" w:type="dxa"/>
            <w:tcBorders>
              <w:top w:val="single" w:sz="4" w:space="0" w:color="auto"/>
              <w:bottom w:val="single" w:sz="4" w:space="0" w:color="auto"/>
            </w:tcBorders>
            <w:noWrap/>
            <w:vAlign w:val="center"/>
            <w:hideMark/>
          </w:tcPr>
          <w:p w14:paraId="711A2227"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2 003 500</w:t>
            </w:r>
          </w:p>
        </w:tc>
        <w:tc>
          <w:tcPr>
            <w:tcW w:w="1216" w:type="dxa"/>
            <w:tcBorders>
              <w:top w:val="single" w:sz="4" w:space="0" w:color="auto"/>
              <w:bottom w:val="single" w:sz="4" w:space="0" w:color="auto"/>
            </w:tcBorders>
            <w:noWrap/>
            <w:vAlign w:val="center"/>
            <w:hideMark/>
          </w:tcPr>
          <w:p w14:paraId="129D130E"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5 243 000</w:t>
            </w:r>
          </w:p>
        </w:tc>
        <w:tc>
          <w:tcPr>
            <w:tcW w:w="1116" w:type="dxa"/>
            <w:tcBorders>
              <w:top w:val="single" w:sz="4" w:space="0" w:color="auto"/>
              <w:bottom w:val="single" w:sz="4" w:space="0" w:color="auto"/>
            </w:tcBorders>
            <w:noWrap/>
            <w:vAlign w:val="center"/>
            <w:hideMark/>
          </w:tcPr>
          <w:p w14:paraId="2EF0AE51"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17 622 600</w:t>
            </w:r>
          </w:p>
        </w:tc>
      </w:tr>
      <w:tr w:rsidR="000C0842" w:rsidRPr="000C0842" w14:paraId="4CCF0F9A" w14:textId="77777777" w:rsidTr="001F32B3">
        <w:tc>
          <w:tcPr>
            <w:tcW w:w="4756" w:type="dxa"/>
            <w:hideMark/>
          </w:tcPr>
          <w:p w14:paraId="0691E498"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方案支助费用</w:t>
            </w:r>
            <w:r w:rsidRPr="000C0842">
              <w:rPr>
                <w:rFonts w:eastAsia="SimSun" w:cs="Times New Roman" w:hint="eastAsia"/>
                <w:sz w:val="20"/>
                <w:szCs w:val="20"/>
                <w:lang w:val="en-GB" w:eastAsia="zh-CN"/>
              </w:rPr>
              <w:t xml:space="preserve"> (13%)</w:t>
            </w:r>
          </w:p>
        </w:tc>
        <w:tc>
          <w:tcPr>
            <w:tcW w:w="1316" w:type="dxa"/>
            <w:tcBorders>
              <w:top w:val="single" w:sz="4" w:space="0" w:color="auto"/>
              <w:bottom w:val="single" w:sz="4" w:space="0" w:color="auto"/>
            </w:tcBorders>
            <w:noWrap/>
            <w:vAlign w:val="center"/>
            <w:hideMark/>
          </w:tcPr>
          <w:p w14:paraId="25FB4F39" w14:textId="77777777" w:rsidR="00A528CF" w:rsidRPr="000C0842" w:rsidRDefault="00A528CF" w:rsidP="00A528CF">
            <w:pPr>
              <w:keepNext/>
              <w:jc w:val="right"/>
              <w:rPr>
                <w:rFonts w:eastAsia="SimSun" w:cs="Times New Roman"/>
                <w:sz w:val="20"/>
                <w:szCs w:val="20"/>
                <w:lang w:val="en-GB" w:eastAsia="zh-CN"/>
              </w:rPr>
            </w:pPr>
            <w:r w:rsidRPr="000C0842">
              <w:rPr>
                <w:rFonts w:eastAsia="SimSun" w:cs="Times New Roman"/>
                <w:sz w:val="20"/>
                <w:szCs w:val="20"/>
                <w:lang w:val="en-GB" w:eastAsia="zh-CN"/>
              </w:rPr>
              <w:t>1 348 893</w:t>
            </w:r>
          </w:p>
        </w:tc>
        <w:tc>
          <w:tcPr>
            <w:tcW w:w="1216" w:type="dxa"/>
            <w:tcBorders>
              <w:top w:val="single" w:sz="4" w:space="0" w:color="auto"/>
              <w:bottom w:val="single" w:sz="4" w:space="0" w:color="auto"/>
            </w:tcBorders>
            <w:noWrap/>
            <w:vAlign w:val="center"/>
            <w:hideMark/>
          </w:tcPr>
          <w:p w14:paraId="351AF36E" w14:textId="77777777" w:rsidR="00A528CF" w:rsidRPr="000C0842" w:rsidRDefault="00A528CF" w:rsidP="00A528CF">
            <w:pPr>
              <w:keepNext/>
              <w:jc w:val="right"/>
              <w:rPr>
                <w:rFonts w:eastAsia="SimSun" w:cs="Times New Roman"/>
                <w:sz w:val="20"/>
                <w:szCs w:val="20"/>
                <w:lang w:val="en-GB" w:eastAsia="zh-CN"/>
              </w:rPr>
            </w:pPr>
            <w:r w:rsidRPr="000C0842">
              <w:rPr>
                <w:rFonts w:eastAsia="SimSun" w:cs="Times New Roman"/>
                <w:sz w:val="20"/>
                <w:szCs w:val="20"/>
                <w:lang w:val="en-GB" w:eastAsia="zh-CN"/>
              </w:rPr>
              <w:t>260 455</w:t>
            </w:r>
          </w:p>
        </w:tc>
        <w:tc>
          <w:tcPr>
            <w:tcW w:w="1216" w:type="dxa"/>
            <w:tcBorders>
              <w:top w:val="single" w:sz="4" w:space="0" w:color="auto"/>
              <w:bottom w:val="single" w:sz="4" w:space="0" w:color="auto"/>
            </w:tcBorders>
            <w:noWrap/>
            <w:vAlign w:val="center"/>
            <w:hideMark/>
          </w:tcPr>
          <w:p w14:paraId="65F9A5DD" w14:textId="77777777" w:rsidR="00A528CF" w:rsidRPr="000C0842" w:rsidRDefault="00A528CF" w:rsidP="00A528CF">
            <w:pPr>
              <w:keepNext/>
              <w:jc w:val="right"/>
              <w:rPr>
                <w:rFonts w:eastAsia="SimSun" w:cs="Times New Roman"/>
                <w:sz w:val="20"/>
                <w:szCs w:val="20"/>
                <w:lang w:val="en-GB" w:eastAsia="zh-CN"/>
              </w:rPr>
            </w:pPr>
            <w:r w:rsidRPr="000C0842">
              <w:rPr>
                <w:rFonts w:eastAsia="SimSun" w:cs="Times New Roman"/>
                <w:sz w:val="20"/>
                <w:szCs w:val="20"/>
                <w:lang w:val="en-GB" w:eastAsia="zh-CN"/>
              </w:rPr>
              <w:t>681 590</w:t>
            </w:r>
          </w:p>
        </w:tc>
        <w:tc>
          <w:tcPr>
            <w:tcW w:w="1116" w:type="dxa"/>
            <w:tcBorders>
              <w:top w:val="single" w:sz="4" w:space="0" w:color="auto"/>
              <w:bottom w:val="single" w:sz="4" w:space="0" w:color="auto"/>
            </w:tcBorders>
            <w:noWrap/>
            <w:vAlign w:val="center"/>
            <w:hideMark/>
          </w:tcPr>
          <w:p w14:paraId="355D067F" w14:textId="77777777" w:rsidR="00A528CF" w:rsidRPr="000C0842" w:rsidRDefault="00A528CF" w:rsidP="00A528CF">
            <w:pPr>
              <w:keepNext/>
              <w:jc w:val="right"/>
              <w:rPr>
                <w:rFonts w:eastAsia="SimSun" w:cs="Times New Roman"/>
                <w:sz w:val="20"/>
                <w:szCs w:val="20"/>
                <w:lang w:val="en-GB" w:eastAsia="zh-CN"/>
              </w:rPr>
            </w:pPr>
            <w:r w:rsidRPr="000C0842">
              <w:rPr>
                <w:rFonts w:eastAsia="SimSun" w:cs="Times New Roman"/>
                <w:sz w:val="20"/>
                <w:szCs w:val="20"/>
                <w:lang w:val="en-GB" w:eastAsia="zh-CN"/>
              </w:rPr>
              <w:t>2 290 938</w:t>
            </w:r>
          </w:p>
        </w:tc>
      </w:tr>
      <w:tr w:rsidR="000C0842" w:rsidRPr="000C0842" w14:paraId="0686B6B5" w14:textId="77777777" w:rsidTr="001F32B3">
        <w:trPr>
          <w:trHeight w:val="227"/>
        </w:trPr>
        <w:tc>
          <w:tcPr>
            <w:tcW w:w="4756" w:type="dxa"/>
            <w:hideMark/>
          </w:tcPr>
          <w:p w14:paraId="3E965C24"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共计</w:t>
            </w:r>
          </w:p>
        </w:tc>
        <w:tc>
          <w:tcPr>
            <w:tcW w:w="1316" w:type="dxa"/>
            <w:tcBorders>
              <w:top w:val="single" w:sz="4" w:space="0" w:color="auto"/>
              <w:bottom w:val="single" w:sz="4" w:space="0" w:color="auto"/>
            </w:tcBorders>
            <w:noWrap/>
            <w:vAlign w:val="center"/>
            <w:hideMark/>
          </w:tcPr>
          <w:p w14:paraId="295998B6"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11 724 993</w:t>
            </w:r>
          </w:p>
        </w:tc>
        <w:tc>
          <w:tcPr>
            <w:tcW w:w="1216" w:type="dxa"/>
            <w:tcBorders>
              <w:top w:val="single" w:sz="4" w:space="0" w:color="auto"/>
              <w:bottom w:val="single" w:sz="4" w:space="0" w:color="auto"/>
            </w:tcBorders>
            <w:noWrap/>
            <w:vAlign w:val="center"/>
            <w:hideMark/>
          </w:tcPr>
          <w:p w14:paraId="6D444A77"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2 263 955</w:t>
            </w:r>
          </w:p>
        </w:tc>
        <w:tc>
          <w:tcPr>
            <w:tcW w:w="1216" w:type="dxa"/>
            <w:tcBorders>
              <w:top w:val="single" w:sz="4" w:space="0" w:color="auto"/>
              <w:bottom w:val="single" w:sz="4" w:space="0" w:color="auto"/>
            </w:tcBorders>
            <w:noWrap/>
            <w:vAlign w:val="center"/>
            <w:hideMark/>
          </w:tcPr>
          <w:p w14:paraId="6FE9BAF4"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5 924 590</w:t>
            </w:r>
          </w:p>
        </w:tc>
        <w:tc>
          <w:tcPr>
            <w:tcW w:w="1116" w:type="dxa"/>
            <w:tcBorders>
              <w:top w:val="single" w:sz="4" w:space="0" w:color="auto"/>
              <w:bottom w:val="single" w:sz="4" w:space="0" w:color="auto"/>
            </w:tcBorders>
            <w:noWrap/>
            <w:vAlign w:val="center"/>
            <w:hideMark/>
          </w:tcPr>
          <w:p w14:paraId="74B60911"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19 913 538</w:t>
            </w:r>
          </w:p>
        </w:tc>
      </w:tr>
      <w:tr w:rsidR="000C0842" w:rsidRPr="000C0842" w14:paraId="40BA2DD4" w14:textId="77777777" w:rsidTr="001F32B3">
        <w:tc>
          <w:tcPr>
            <w:tcW w:w="9620" w:type="dxa"/>
            <w:gridSpan w:val="5"/>
            <w:tcBorders>
              <w:top w:val="single" w:sz="4" w:space="0" w:color="auto"/>
              <w:bottom w:val="single" w:sz="4" w:space="0" w:color="auto"/>
            </w:tcBorders>
            <w:noWrap/>
            <w:vAlign w:val="bottom"/>
            <w:hideMark/>
          </w:tcPr>
          <w:p w14:paraId="791BF606" w14:textId="77777777" w:rsidR="00A528CF" w:rsidRPr="000C0842" w:rsidRDefault="00A528CF" w:rsidP="00A528CF">
            <w:pPr>
              <w:keepNext/>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b/>
                <w:bCs/>
                <w:sz w:val="20"/>
                <w:szCs w:val="20"/>
                <w:lang w:val="en-US" w:eastAsia="zh-CN"/>
              </w:rPr>
              <w:t xml:space="preserve">B. </w:t>
            </w:r>
            <w:r w:rsidRPr="000C0842">
              <w:rPr>
                <w:rFonts w:eastAsia="SimSun" w:cs="Times New Roman" w:hint="eastAsia"/>
                <w:b/>
                <w:bCs/>
                <w:sz w:val="20"/>
                <w:szCs w:val="20"/>
                <w:lang w:val="en-US" w:eastAsia="zh-CN"/>
              </w:rPr>
              <w:t>《卡塔赫纳生物安全议定书》</w:t>
            </w:r>
          </w:p>
        </w:tc>
      </w:tr>
      <w:tr w:rsidR="000C0842" w:rsidRPr="000C0842" w14:paraId="3C2A5707" w14:textId="77777777" w:rsidTr="001F32B3">
        <w:tc>
          <w:tcPr>
            <w:tcW w:w="4756" w:type="dxa"/>
            <w:hideMark/>
          </w:tcPr>
          <w:p w14:paraId="417CFC5A"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与财务机制和资源有关的事项</w:t>
            </w:r>
          </w:p>
        </w:tc>
        <w:tc>
          <w:tcPr>
            <w:tcW w:w="1316" w:type="dxa"/>
            <w:tcBorders>
              <w:top w:val="single" w:sz="4" w:space="0" w:color="auto"/>
            </w:tcBorders>
            <w:noWrap/>
            <w:vAlign w:val="center"/>
            <w:hideMark/>
          </w:tcPr>
          <w:p w14:paraId="72E9D67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top w:val="single" w:sz="4" w:space="0" w:color="auto"/>
            </w:tcBorders>
            <w:noWrap/>
            <w:vAlign w:val="center"/>
            <w:hideMark/>
          </w:tcPr>
          <w:p w14:paraId="0FD5A84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top w:val="single" w:sz="4" w:space="0" w:color="auto"/>
            </w:tcBorders>
            <w:noWrap/>
            <w:vAlign w:val="center"/>
            <w:hideMark/>
          </w:tcPr>
          <w:p w14:paraId="12A4F71F"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c>
          <w:tcPr>
            <w:tcW w:w="1116" w:type="dxa"/>
            <w:tcBorders>
              <w:top w:val="single" w:sz="4" w:space="0" w:color="auto"/>
            </w:tcBorders>
            <w:noWrap/>
            <w:vAlign w:val="center"/>
            <w:hideMark/>
          </w:tcPr>
          <w:p w14:paraId="5DA91F8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r>
      <w:tr w:rsidR="000C0842" w:rsidRPr="000C0842" w14:paraId="62032BD6" w14:textId="77777777" w:rsidTr="001F32B3">
        <w:tc>
          <w:tcPr>
            <w:tcW w:w="4756" w:type="dxa"/>
            <w:noWrap/>
            <w:hideMark/>
          </w:tcPr>
          <w:p w14:paraId="3F59861A"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生物安全信息交换所的运作和活动</w:t>
            </w:r>
          </w:p>
        </w:tc>
        <w:tc>
          <w:tcPr>
            <w:tcW w:w="1316" w:type="dxa"/>
            <w:noWrap/>
            <w:vAlign w:val="center"/>
            <w:hideMark/>
          </w:tcPr>
          <w:p w14:paraId="687A762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186 400</w:t>
            </w:r>
          </w:p>
        </w:tc>
        <w:tc>
          <w:tcPr>
            <w:tcW w:w="1216" w:type="dxa"/>
            <w:noWrap/>
            <w:vAlign w:val="center"/>
            <w:hideMark/>
          </w:tcPr>
          <w:p w14:paraId="3D128BE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20 000</w:t>
            </w:r>
          </w:p>
        </w:tc>
        <w:tc>
          <w:tcPr>
            <w:tcW w:w="1216" w:type="dxa"/>
            <w:noWrap/>
            <w:vAlign w:val="center"/>
            <w:hideMark/>
          </w:tcPr>
          <w:p w14:paraId="0B8F0F4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432 000</w:t>
            </w:r>
          </w:p>
        </w:tc>
        <w:tc>
          <w:tcPr>
            <w:tcW w:w="1116" w:type="dxa"/>
            <w:noWrap/>
            <w:vAlign w:val="center"/>
            <w:hideMark/>
          </w:tcPr>
          <w:p w14:paraId="0A4A5DF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638 400</w:t>
            </w:r>
          </w:p>
        </w:tc>
      </w:tr>
      <w:tr w:rsidR="000C0842" w:rsidRPr="000C0842" w14:paraId="10996F82" w14:textId="77777777" w:rsidTr="001F32B3">
        <w:tc>
          <w:tcPr>
            <w:tcW w:w="4756" w:type="dxa"/>
            <w:noWrap/>
            <w:hideMark/>
          </w:tcPr>
          <w:p w14:paraId="2EB5948C"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风险评估和风险管理</w:t>
            </w:r>
          </w:p>
        </w:tc>
        <w:tc>
          <w:tcPr>
            <w:tcW w:w="1316" w:type="dxa"/>
            <w:noWrap/>
            <w:vAlign w:val="center"/>
            <w:hideMark/>
          </w:tcPr>
          <w:p w14:paraId="0710969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200 450</w:t>
            </w:r>
          </w:p>
        </w:tc>
        <w:tc>
          <w:tcPr>
            <w:tcW w:w="1216" w:type="dxa"/>
            <w:noWrap/>
            <w:vAlign w:val="center"/>
            <w:hideMark/>
          </w:tcPr>
          <w:p w14:paraId="226E605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c>
          <w:tcPr>
            <w:tcW w:w="1216" w:type="dxa"/>
            <w:noWrap/>
            <w:vAlign w:val="center"/>
            <w:hideMark/>
          </w:tcPr>
          <w:p w14:paraId="7F72037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54 000</w:t>
            </w:r>
          </w:p>
        </w:tc>
        <w:tc>
          <w:tcPr>
            <w:tcW w:w="1116" w:type="dxa"/>
            <w:noWrap/>
            <w:vAlign w:val="center"/>
            <w:hideMark/>
          </w:tcPr>
          <w:p w14:paraId="53FC496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285 950</w:t>
            </w:r>
          </w:p>
        </w:tc>
      </w:tr>
      <w:tr w:rsidR="000C0842" w:rsidRPr="000C0842" w14:paraId="590E193B" w14:textId="77777777" w:rsidTr="001F32B3">
        <w:tc>
          <w:tcPr>
            <w:tcW w:w="4756" w:type="dxa"/>
            <w:noWrap/>
            <w:hideMark/>
          </w:tcPr>
          <w:p w14:paraId="69577556"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改性活生物体的检测和识别</w:t>
            </w:r>
          </w:p>
        </w:tc>
        <w:tc>
          <w:tcPr>
            <w:tcW w:w="1316" w:type="dxa"/>
            <w:noWrap/>
            <w:vAlign w:val="center"/>
            <w:hideMark/>
          </w:tcPr>
          <w:p w14:paraId="5B3D5D66"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69 000</w:t>
            </w:r>
          </w:p>
        </w:tc>
        <w:tc>
          <w:tcPr>
            <w:tcW w:w="1216" w:type="dxa"/>
            <w:noWrap/>
            <w:vAlign w:val="center"/>
            <w:hideMark/>
          </w:tcPr>
          <w:p w14:paraId="5C35073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10 500</w:t>
            </w:r>
          </w:p>
        </w:tc>
        <w:tc>
          <w:tcPr>
            <w:tcW w:w="1216" w:type="dxa"/>
            <w:noWrap/>
            <w:vAlign w:val="center"/>
            <w:hideMark/>
          </w:tcPr>
          <w:p w14:paraId="7963B2A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116" w:type="dxa"/>
            <w:noWrap/>
            <w:vAlign w:val="center"/>
            <w:hideMark/>
          </w:tcPr>
          <w:p w14:paraId="00C9CEC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79 500</w:t>
            </w:r>
          </w:p>
        </w:tc>
      </w:tr>
      <w:tr w:rsidR="000C0842" w:rsidRPr="000C0842" w14:paraId="38493CC8" w14:textId="77777777" w:rsidTr="001F32B3">
        <w:tc>
          <w:tcPr>
            <w:tcW w:w="4756" w:type="dxa"/>
            <w:noWrap/>
            <w:hideMark/>
          </w:tcPr>
          <w:p w14:paraId="0CEAD916"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社会经济因素</w:t>
            </w:r>
          </w:p>
        </w:tc>
        <w:tc>
          <w:tcPr>
            <w:tcW w:w="1316" w:type="dxa"/>
            <w:noWrap/>
            <w:vAlign w:val="center"/>
            <w:hideMark/>
          </w:tcPr>
          <w:p w14:paraId="2896C81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noWrap/>
            <w:vAlign w:val="center"/>
            <w:hideMark/>
          </w:tcPr>
          <w:p w14:paraId="3B87869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noWrap/>
            <w:vAlign w:val="center"/>
            <w:hideMark/>
          </w:tcPr>
          <w:p w14:paraId="5943B72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c>
          <w:tcPr>
            <w:tcW w:w="1116" w:type="dxa"/>
            <w:noWrap/>
            <w:vAlign w:val="center"/>
            <w:hideMark/>
          </w:tcPr>
          <w:p w14:paraId="15D5707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r>
      <w:tr w:rsidR="000C0842" w:rsidRPr="000C0842" w14:paraId="5955FA0A" w14:textId="77777777" w:rsidTr="001F32B3">
        <w:tc>
          <w:tcPr>
            <w:tcW w:w="4756" w:type="dxa"/>
            <w:hideMark/>
          </w:tcPr>
          <w:p w14:paraId="6CADA889"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w:t>
            </w:r>
            <w:r w:rsidRPr="000C0842">
              <w:rPr>
                <w:rFonts w:eastAsia="SimSun" w:cs="Times New Roman" w:hint="eastAsia"/>
                <w:sz w:val="20"/>
                <w:szCs w:val="20"/>
                <w:lang w:val="en-US" w:eastAsia="zh-CN"/>
              </w:rPr>
              <w:t>关于赔偿责任和补救的名古屋－吉隆坡补充议定书</w:t>
            </w:r>
            <w:r w:rsidRPr="000C0842">
              <w:rPr>
                <w:rFonts w:eastAsia="SimSun" w:cs="Times New Roman" w:hint="eastAsia"/>
                <w:sz w:val="20"/>
                <w:szCs w:val="20"/>
                <w:lang w:val="en-GB" w:eastAsia="zh-CN"/>
              </w:rPr>
              <w:t>》</w:t>
            </w:r>
          </w:p>
        </w:tc>
        <w:tc>
          <w:tcPr>
            <w:tcW w:w="1316" w:type="dxa"/>
            <w:tcBorders>
              <w:bottom w:val="single" w:sz="4" w:space="0" w:color="auto"/>
            </w:tcBorders>
            <w:noWrap/>
            <w:vAlign w:val="center"/>
            <w:hideMark/>
          </w:tcPr>
          <w:p w14:paraId="5D276E7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bottom w:val="single" w:sz="4" w:space="0" w:color="auto"/>
            </w:tcBorders>
            <w:noWrap/>
            <w:vAlign w:val="center"/>
            <w:hideMark/>
          </w:tcPr>
          <w:p w14:paraId="4CC62EF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bottom w:val="single" w:sz="4" w:space="0" w:color="auto"/>
            </w:tcBorders>
            <w:noWrap/>
            <w:vAlign w:val="center"/>
            <w:hideMark/>
          </w:tcPr>
          <w:p w14:paraId="6A03874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c>
          <w:tcPr>
            <w:tcW w:w="1116" w:type="dxa"/>
            <w:tcBorders>
              <w:bottom w:val="single" w:sz="4" w:space="0" w:color="auto"/>
            </w:tcBorders>
            <w:noWrap/>
            <w:vAlign w:val="center"/>
            <w:hideMark/>
          </w:tcPr>
          <w:p w14:paraId="246888D4"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31 500</w:t>
            </w:r>
          </w:p>
        </w:tc>
      </w:tr>
      <w:tr w:rsidR="000C0842" w:rsidRPr="000C0842" w14:paraId="27B654B9" w14:textId="77777777" w:rsidTr="001F32B3">
        <w:tc>
          <w:tcPr>
            <w:tcW w:w="4756" w:type="dxa"/>
            <w:hideMark/>
          </w:tcPr>
          <w:p w14:paraId="52664758"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小计</w:t>
            </w:r>
          </w:p>
        </w:tc>
        <w:tc>
          <w:tcPr>
            <w:tcW w:w="1316" w:type="dxa"/>
            <w:tcBorders>
              <w:top w:val="single" w:sz="4" w:space="0" w:color="auto"/>
              <w:bottom w:val="single" w:sz="4" w:space="0" w:color="auto"/>
            </w:tcBorders>
            <w:noWrap/>
            <w:vAlign w:val="center"/>
            <w:hideMark/>
          </w:tcPr>
          <w:p w14:paraId="38CBE285"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455 850</w:t>
            </w:r>
          </w:p>
        </w:tc>
        <w:tc>
          <w:tcPr>
            <w:tcW w:w="1216" w:type="dxa"/>
            <w:tcBorders>
              <w:top w:val="single" w:sz="4" w:space="0" w:color="auto"/>
              <w:bottom w:val="single" w:sz="4" w:space="0" w:color="auto"/>
            </w:tcBorders>
            <w:noWrap/>
            <w:vAlign w:val="center"/>
            <w:hideMark/>
          </w:tcPr>
          <w:p w14:paraId="00BDE335"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62 000</w:t>
            </w:r>
          </w:p>
        </w:tc>
        <w:tc>
          <w:tcPr>
            <w:tcW w:w="1216" w:type="dxa"/>
            <w:tcBorders>
              <w:top w:val="single" w:sz="4" w:space="0" w:color="auto"/>
              <w:bottom w:val="single" w:sz="4" w:space="0" w:color="auto"/>
            </w:tcBorders>
            <w:noWrap/>
            <w:vAlign w:val="center"/>
            <w:hideMark/>
          </w:tcPr>
          <w:p w14:paraId="0FC22865"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580 500</w:t>
            </w:r>
          </w:p>
        </w:tc>
        <w:tc>
          <w:tcPr>
            <w:tcW w:w="1116" w:type="dxa"/>
            <w:tcBorders>
              <w:top w:val="single" w:sz="4" w:space="0" w:color="auto"/>
              <w:bottom w:val="single" w:sz="4" w:space="0" w:color="auto"/>
            </w:tcBorders>
            <w:noWrap/>
            <w:vAlign w:val="center"/>
            <w:hideMark/>
          </w:tcPr>
          <w:p w14:paraId="269470C1"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1 098 350</w:t>
            </w:r>
          </w:p>
        </w:tc>
      </w:tr>
      <w:tr w:rsidR="000C0842" w:rsidRPr="000C0842" w14:paraId="6F358768" w14:textId="77777777" w:rsidTr="001F32B3">
        <w:tc>
          <w:tcPr>
            <w:tcW w:w="4756" w:type="dxa"/>
            <w:hideMark/>
          </w:tcPr>
          <w:p w14:paraId="18DD0CAC"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方案支助费用</w:t>
            </w:r>
            <w:r w:rsidRPr="000C0842">
              <w:rPr>
                <w:rFonts w:eastAsia="SimSun" w:cs="Times New Roman" w:hint="eastAsia"/>
                <w:sz w:val="20"/>
                <w:szCs w:val="20"/>
                <w:lang w:val="en-GB" w:eastAsia="zh-CN"/>
              </w:rPr>
              <w:t xml:space="preserve"> (13%)</w:t>
            </w:r>
          </w:p>
        </w:tc>
        <w:tc>
          <w:tcPr>
            <w:tcW w:w="1316" w:type="dxa"/>
            <w:tcBorders>
              <w:top w:val="single" w:sz="4" w:space="0" w:color="auto"/>
              <w:bottom w:val="single" w:sz="4" w:space="0" w:color="auto"/>
            </w:tcBorders>
            <w:noWrap/>
            <w:vAlign w:val="center"/>
            <w:hideMark/>
          </w:tcPr>
          <w:p w14:paraId="733BDAF1"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59 261</w:t>
            </w:r>
          </w:p>
        </w:tc>
        <w:tc>
          <w:tcPr>
            <w:tcW w:w="1216" w:type="dxa"/>
            <w:tcBorders>
              <w:top w:val="single" w:sz="4" w:space="0" w:color="auto"/>
              <w:bottom w:val="single" w:sz="4" w:space="0" w:color="auto"/>
            </w:tcBorders>
            <w:noWrap/>
            <w:vAlign w:val="center"/>
            <w:hideMark/>
          </w:tcPr>
          <w:p w14:paraId="5A4B377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8 060</w:t>
            </w:r>
          </w:p>
        </w:tc>
        <w:tc>
          <w:tcPr>
            <w:tcW w:w="1216" w:type="dxa"/>
            <w:tcBorders>
              <w:top w:val="single" w:sz="4" w:space="0" w:color="auto"/>
              <w:bottom w:val="single" w:sz="4" w:space="0" w:color="auto"/>
            </w:tcBorders>
            <w:noWrap/>
            <w:vAlign w:val="center"/>
            <w:hideMark/>
          </w:tcPr>
          <w:p w14:paraId="129AAAD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75 465</w:t>
            </w:r>
          </w:p>
        </w:tc>
        <w:tc>
          <w:tcPr>
            <w:tcW w:w="1116" w:type="dxa"/>
            <w:tcBorders>
              <w:top w:val="single" w:sz="4" w:space="0" w:color="auto"/>
              <w:bottom w:val="single" w:sz="4" w:space="0" w:color="auto"/>
            </w:tcBorders>
            <w:noWrap/>
            <w:vAlign w:val="center"/>
            <w:hideMark/>
          </w:tcPr>
          <w:p w14:paraId="5299BEB2"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142 786</w:t>
            </w:r>
          </w:p>
        </w:tc>
      </w:tr>
      <w:tr w:rsidR="000C0842" w:rsidRPr="000C0842" w14:paraId="3446855B" w14:textId="77777777" w:rsidTr="001F32B3">
        <w:tc>
          <w:tcPr>
            <w:tcW w:w="4756" w:type="dxa"/>
            <w:hideMark/>
          </w:tcPr>
          <w:p w14:paraId="73988B54"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共计</w:t>
            </w:r>
          </w:p>
        </w:tc>
        <w:tc>
          <w:tcPr>
            <w:tcW w:w="1316" w:type="dxa"/>
            <w:tcBorders>
              <w:top w:val="single" w:sz="4" w:space="0" w:color="auto"/>
              <w:bottom w:val="single" w:sz="4" w:space="0" w:color="auto"/>
            </w:tcBorders>
            <w:noWrap/>
            <w:vAlign w:val="center"/>
            <w:hideMark/>
          </w:tcPr>
          <w:p w14:paraId="3E25FABF"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515 111</w:t>
            </w:r>
          </w:p>
        </w:tc>
        <w:tc>
          <w:tcPr>
            <w:tcW w:w="1216" w:type="dxa"/>
            <w:tcBorders>
              <w:top w:val="single" w:sz="4" w:space="0" w:color="auto"/>
              <w:bottom w:val="single" w:sz="4" w:space="0" w:color="auto"/>
            </w:tcBorders>
            <w:noWrap/>
            <w:vAlign w:val="center"/>
            <w:hideMark/>
          </w:tcPr>
          <w:p w14:paraId="52113426"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70 060</w:t>
            </w:r>
          </w:p>
        </w:tc>
        <w:tc>
          <w:tcPr>
            <w:tcW w:w="1216" w:type="dxa"/>
            <w:tcBorders>
              <w:top w:val="single" w:sz="4" w:space="0" w:color="auto"/>
              <w:bottom w:val="single" w:sz="4" w:space="0" w:color="auto"/>
            </w:tcBorders>
            <w:noWrap/>
            <w:vAlign w:val="center"/>
            <w:hideMark/>
          </w:tcPr>
          <w:p w14:paraId="790A6992"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655 965</w:t>
            </w:r>
          </w:p>
        </w:tc>
        <w:tc>
          <w:tcPr>
            <w:tcW w:w="1116" w:type="dxa"/>
            <w:tcBorders>
              <w:top w:val="single" w:sz="4" w:space="0" w:color="auto"/>
              <w:bottom w:val="single" w:sz="4" w:space="0" w:color="auto"/>
            </w:tcBorders>
            <w:noWrap/>
            <w:vAlign w:val="center"/>
            <w:hideMark/>
          </w:tcPr>
          <w:p w14:paraId="1F810917"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1 241 136</w:t>
            </w:r>
          </w:p>
        </w:tc>
      </w:tr>
      <w:tr w:rsidR="000C0842" w:rsidRPr="000C0842" w14:paraId="39471C68" w14:textId="77777777" w:rsidTr="001F32B3">
        <w:tc>
          <w:tcPr>
            <w:tcW w:w="9620" w:type="dxa"/>
            <w:gridSpan w:val="5"/>
            <w:tcBorders>
              <w:top w:val="single" w:sz="4" w:space="0" w:color="auto"/>
              <w:bottom w:val="single" w:sz="4" w:space="0" w:color="auto"/>
            </w:tcBorders>
            <w:noWrap/>
            <w:vAlign w:val="bottom"/>
            <w:hideMark/>
          </w:tcPr>
          <w:p w14:paraId="1076D146"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b/>
                <w:bCs/>
                <w:sz w:val="20"/>
                <w:szCs w:val="20"/>
                <w:lang w:val="en-GB" w:eastAsia="zh-CN"/>
              </w:rPr>
              <w:t xml:space="preserve">C. </w:t>
            </w:r>
            <w:r w:rsidRPr="000C0842">
              <w:rPr>
                <w:rFonts w:eastAsia="SimSun" w:cs="Times New Roman" w:hint="eastAsia"/>
                <w:b/>
                <w:bCs/>
                <w:sz w:val="20"/>
                <w:szCs w:val="20"/>
                <w:lang w:val="en-US" w:eastAsia="zh-CN"/>
              </w:rPr>
              <w:t>《关于获取和惠益分享的名古屋议定书》</w:t>
            </w:r>
          </w:p>
        </w:tc>
      </w:tr>
      <w:tr w:rsidR="000C0842" w:rsidRPr="000C0842" w14:paraId="5B46C117" w14:textId="77777777" w:rsidTr="001F32B3">
        <w:tc>
          <w:tcPr>
            <w:tcW w:w="4756" w:type="dxa"/>
            <w:noWrap/>
            <w:hideMark/>
          </w:tcPr>
          <w:p w14:paraId="7819A189"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能力建设与发展和提高认识</w:t>
            </w:r>
          </w:p>
        </w:tc>
        <w:tc>
          <w:tcPr>
            <w:tcW w:w="1316" w:type="dxa"/>
            <w:tcBorders>
              <w:top w:val="single" w:sz="4" w:space="0" w:color="auto"/>
            </w:tcBorders>
            <w:noWrap/>
            <w:vAlign w:val="center"/>
            <w:hideMark/>
          </w:tcPr>
          <w:p w14:paraId="0A570A3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270 400</w:t>
            </w:r>
          </w:p>
        </w:tc>
        <w:tc>
          <w:tcPr>
            <w:tcW w:w="1216" w:type="dxa"/>
            <w:tcBorders>
              <w:top w:val="single" w:sz="4" w:space="0" w:color="auto"/>
            </w:tcBorders>
            <w:noWrap/>
            <w:vAlign w:val="center"/>
            <w:hideMark/>
          </w:tcPr>
          <w:p w14:paraId="482FCD27"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15 000</w:t>
            </w:r>
          </w:p>
        </w:tc>
        <w:tc>
          <w:tcPr>
            <w:tcW w:w="1216" w:type="dxa"/>
            <w:tcBorders>
              <w:top w:val="single" w:sz="4" w:space="0" w:color="auto"/>
            </w:tcBorders>
            <w:noWrap/>
            <w:vAlign w:val="center"/>
            <w:hideMark/>
          </w:tcPr>
          <w:p w14:paraId="6CDE1D98"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27 000</w:t>
            </w:r>
          </w:p>
        </w:tc>
        <w:tc>
          <w:tcPr>
            <w:tcW w:w="1116" w:type="dxa"/>
            <w:tcBorders>
              <w:top w:val="single" w:sz="4" w:space="0" w:color="auto"/>
            </w:tcBorders>
            <w:noWrap/>
            <w:vAlign w:val="center"/>
            <w:hideMark/>
          </w:tcPr>
          <w:p w14:paraId="2022348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312 400</w:t>
            </w:r>
          </w:p>
        </w:tc>
      </w:tr>
      <w:tr w:rsidR="000C0842" w:rsidRPr="000C0842" w14:paraId="7DE272E4" w14:textId="77777777" w:rsidTr="001F32B3">
        <w:tc>
          <w:tcPr>
            <w:tcW w:w="4756" w:type="dxa"/>
            <w:noWrap/>
            <w:hideMark/>
          </w:tcPr>
          <w:p w14:paraId="446A6E37"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获取和惠益分享信息交换所以及信息共享</w:t>
            </w:r>
          </w:p>
        </w:tc>
        <w:tc>
          <w:tcPr>
            <w:tcW w:w="1316" w:type="dxa"/>
            <w:noWrap/>
            <w:vAlign w:val="center"/>
            <w:hideMark/>
          </w:tcPr>
          <w:p w14:paraId="42130C2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45 150</w:t>
            </w:r>
          </w:p>
        </w:tc>
        <w:tc>
          <w:tcPr>
            <w:tcW w:w="1216" w:type="dxa"/>
            <w:noWrap/>
            <w:vAlign w:val="center"/>
            <w:hideMark/>
          </w:tcPr>
          <w:p w14:paraId="6FC6C5CE"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77 750</w:t>
            </w:r>
          </w:p>
        </w:tc>
        <w:tc>
          <w:tcPr>
            <w:tcW w:w="1216" w:type="dxa"/>
            <w:noWrap/>
            <w:vAlign w:val="center"/>
            <w:hideMark/>
          </w:tcPr>
          <w:p w14:paraId="379F572A"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216 000</w:t>
            </w:r>
          </w:p>
        </w:tc>
        <w:tc>
          <w:tcPr>
            <w:tcW w:w="1116" w:type="dxa"/>
            <w:noWrap/>
            <w:vAlign w:val="center"/>
            <w:hideMark/>
          </w:tcPr>
          <w:p w14:paraId="76DFAC5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338 900</w:t>
            </w:r>
          </w:p>
        </w:tc>
      </w:tr>
      <w:tr w:rsidR="000C0842" w:rsidRPr="000C0842" w14:paraId="66A20037" w14:textId="77777777" w:rsidTr="001F32B3">
        <w:tc>
          <w:tcPr>
            <w:tcW w:w="4756" w:type="dxa"/>
            <w:hideMark/>
          </w:tcPr>
          <w:p w14:paraId="735EA284"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对《名古屋议定书》的成效进行第二次评估和审查的方法</w:t>
            </w:r>
          </w:p>
        </w:tc>
        <w:tc>
          <w:tcPr>
            <w:tcW w:w="1316" w:type="dxa"/>
            <w:tcBorders>
              <w:bottom w:val="single" w:sz="4" w:space="0" w:color="auto"/>
            </w:tcBorders>
            <w:noWrap/>
            <w:vAlign w:val="center"/>
            <w:hideMark/>
          </w:tcPr>
          <w:p w14:paraId="108D8E61"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bottom w:val="single" w:sz="4" w:space="0" w:color="auto"/>
            </w:tcBorders>
            <w:noWrap/>
            <w:vAlign w:val="center"/>
            <w:hideMark/>
          </w:tcPr>
          <w:p w14:paraId="219BCC6C"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bidi="ar-SY"/>
              </w:rPr>
              <w:t>–</w:t>
            </w:r>
          </w:p>
        </w:tc>
        <w:tc>
          <w:tcPr>
            <w:tcW w:w="1216" w:type="dxa"/>
            <w:tcBorders>
              <w:bottom w:val="single" w:sz="4" w:space="0" w:color="auto"/>
            </w:tcBorders>
            <w:noWrap/>
            <w:vAlign w:val="center"/>
            <w:hideMark/>
          </w:tcPr>
          <w:p w14:paraId="70FE130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45 000</w:t>
            </w:r>
          </w:p>
        </w:tc>
        <w:tc>
          <w:tcPr>
            <w:tcW w:w="1116" w:type="dxa"/>
            <w:tcBorders>
              <w:bottom w:val="single" w:sz="4" w:space="0" w:color="auto"/>
            </w:tcBorders>
            <w:noWrap/>
            <w:vAlign w:val="center"/>
            <w:hideMark/>
          </w:tcPr>
          <w:p w14:paraId="5E2C5ABD"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45 000</w:t>
            </w:r>
          </w:p>
        </w:tc>
      </w:tr>
      <w:tr w:rsidR="000C0842" w:rsidRPr="000C0842" w14:paraId="2CB59832" w14:textId="77777777" w:rsidTr="001F32B3">
        <w:tc>
          <w:tcPr>
            <w:tcW w:w="4756" w:type="dxa"/>
            <w:hideMark/>
          </w:tcPr>
          <w:p w14:paraId="6FEF2BF9"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小计</w:t>
            </w:r>
          </w:p>
        </w:tc>
        <w:tc>
          <w:tcPr>
            <w:tcW w:w="1316" w:type="dxa"/>
            <w:tcBorders>
              <w:top w:val="single" w:sz="4" w:space="0" w:color="auto"/>
              <w:bottom w:val="single" w:sz="4" w:space="0" w:color="auto"/>
            </w:tcBorders>
            <w:noWrap/>
            <w:vAlign w:val="center"/>
            <w:hideMark/>
          </w:tcPr>
          <w:p w14:paraId="4576E22C"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315 550</w:t>
            </w:r>
          </w:p>
        </w:tc>
        <w:tc>
          <w:tcPr>
            <w:tcW w:w="1216" w:type="dxa"/>
            <w:tcBorders>
              <w:top w:val="single" w:sz="4" w:space="0" w:color="auto"/>
              <w:bottom w:val="single" w:sz="4" w:space="0" w:color="auto"/>
            </w:tcBorders>
            <w:noWrap/>
            <w:vAlign w:val="center"/>
            <w:hideMark/>
          </w:tcPr>
          <w:p w14:paraId="7CCF8F6B"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92 750</w:t>
            </w:r>
          </w:p>
        </w:tc>
        <w:tc>
          <w:tcPr>
            <w:tcW w:w="1216" w:type="dxa"/>
            <w:tcBorders>
              <w:top w:val="single" w:sz="4" w:space="0" w:color="auto"/>
              <w:bottom w:val="single" w:sz="4" w:space="0" w:color="auto"/>
            </w:tcBorders>
            <w:noWrap/>
            <w:vAlign w:val="center"/>
            <w:hideMark/>
          </w:tcPr>
          <w:p w14:paraId="41BDE91E"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288 000</w:t>
            </w:r>
          </w:p>
        </w:tc>
        <w:tc>
          <w:tcPr>
            <w:tcW w:w="1116" w:type="dxa"/>
            <w:tcBorders>
              <w:top w:val="single" w:sz="4" w:space="0" w:color="auto"/>
              <w:bottom w:val="single" w:sz="4" w:space="0" w:color="auto"/>
            </w:tcBorders>
            <w:noWrap/>
            <w:vAlign w:val="center"/>
            <w:hideMark/>
          </w:tcPr>
          <w:p w14:paraId="2DA4F772"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696 300</w:t>
            </w:r>
          </w:p>
        </w:tc>
      </w:tr>
      <w:tr w:rsidR="000C0842" w:rsidRPr="000C0842" w14:paraId="05219373" w14:textId="77777777" w:rsidTr="001F32B3">
        <w:tc>
          <w:tcPr>
            <w:tcW w:w="4756" w:type="dxa"/>
            <w:hideMark/>
          </w:tcPr>
          <w:p w14:paraId="4D9C9074" w14:textId="77777777" w:rsidR="00A528CF" w:rsidRPr="000C0842" w:rsidRDefault="00A528CF" w:rsidP="00A528CF">
            <w:pPr>
              <w:tabs>
                <w:tab w:val="clear" w:pos="567"/>
                <w:tab w:val="clear" w:pos="1134"/>
                <w:tab w:val="clear" w:pos="1701"/>
                <w:tab w:val="clear" w:pos="2268"/>
                <w:tab w:val="left" w:pos="403"/>
              </w:tabs>
              <w:jc w:val="left"/>
              <w:rPr>
                <w:rFonts w:eastAsia="SimSun" w:cs="Times New Roman"/>
                <w:sz w:val="20"/>
                <w:szCs w:val="20"/>
                <w:lang w:val="en-GB" w:eastAsia="zh-CN"/>
              </w:rPr>
            </w:pPr>
            <w:r w:rsidRPr="000C0842">
              <w:rPr>
                <w:rFonts w:eastAsia="SimSun" w:cs="Times New Roman" w:hint="eastAsia"/>
                <w:sz w:val="20"/>
                <w:szCs w:val="20"/>
                <w:lang w:val="en-GB" w:eastAsia="zh-CN"/>
              </w:rPr>
              <w:t>方案支助费用</w:t>
            </w:r>
            <w:r w:rsidRPr="000C0842">
              <w:rPr>
                <w:rFonts w:eastAsia="SimSun" w:cs="Times New Roman" w:hint="eastAsia"/>
                <w:sz w:val="20"/>
                <w:szCs w:val="20"/>
                <w:lang w:val="en-GB" w:eastAsia="zh-CN"/>
              </w:rPr>
              <w:t xml:space="preserve"> (13%)</w:t>
            </w:r>
          </w:p>
        </w:tc>
        <w:tc>
          <w:tcPr>
            <w:tcW w:w="1316" w:type="dxa"/>
            <w:tcBorders>
              <w:top w:val="single" w:sz="4" w:space="0" w:color="auto"/>
              <w:bottom w:val="single" w:sz="4" w:space="0" w:color="auto"/>
            </w:tcBorders>
            <w:noWrap/>
            <w:vAlign w:val="center"/>
            <w:hideMark/>
          </w:tcPr>
          <w:p w14:paraId="0A5E8743"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41 022</w:t>
            </w:r>
          </w:p>
        </w:tc>
        <w:tc>
          <w:tcPr>
            <w:tcW w:w="1216" w:type="dxa"/>
            <w:tcBorders>
              <w:top w:val="single" w:sz="4" w:space="0" w:color="auto"/>
              <w:bottom w:val="single" w:sz="4" w:space="0" w:color="auto"/>
            </w:tcBorders>
            <w:noWrap/>
            <w:vAlign w:val="center"/>
            <w:hideMark/>
          </w:tcPr>
          <w:p w14:paraId="6777D600"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12 058</w:t>
            </w:r>
          </w:p>
        </w:tc>
        <w:tc>
          <w:tcPr>
            <w:tcW w:w="1216" w:type="dxa"/>
            <w:tcBorders>
              <w:top w:val="single" w:sz="4" w:space="0" w:color="auto"/>
              <w:bottom w:val="single" w:sz="4" w:space="0" w:color="auto"/>
            </w:tcBorders>
            <w:noWrap/>
            <w:vAlign w:val="center"/>
            <w:hideMark/>
          </w:tcPr>
          <w:p w14:paraId="7B59B4D5"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37 440</w:t>
            </w:r>
          </w:p>
        </w:tc>
        <w:tc>
          <w:tcPr>
            <w:tcW w:w="1116" w:type="dxa"/>
            <w:tcBorders>
              <w:top w:val="single" w:sz="4" w:space="0" w:color="auto"/>
              <w:bottom w:val="single" w:sz="4" w:space="0" w:color="auto"/>
            </w:tcBorders>
            <w:noWrap/>
            <w:vAlign w:val="center"/>
            <w:hideMark/>
          </w:tcPr>
          <w:p w14:paraId="3B7B52BB" w14:textId="77777777" w:rsidR="00A528CF" w:rsidRPr="000C0842" w:rsidRDefault="00A528CF" w:rsidP="00A528CF">
            <w:pPr>
              <w:jc w:val="right"/>
              <w:rPr>
                <w:rFonts w:eastAsia="SimSun" w:cs="Times New Roman"/>
                <w:sz w:val="20"/>
                <w:szCs w:val="20"/>
                <w:lang w:val="en-GB" w:eastAsia="zh-CN"/>
              </w:rPr>
            </w:pPr>
            <w:r w:rsidRPr="000C0842">
              <w:rPr>
                <w:rFonts w:eastAsia="SimSun" w:cs="Times New Roman"/>
                <w:sz w:val="20"/>
                <w:szCs w:val="20"/>
                <w:lang w:val="en-GB" w:eastAsia="zh-CN"/>
              </w:rPr>
              <w:t>90 519</w:t>
            </w:r>
          </w:p>
        </w:tc>
      </w:tr>
      <w:tr w:rsidR="000C0842" w:rsidRPr="000C0842" w14:paraId="3F101EC2" w14:textId="77777777" w:rsidTr="001F32B3">
        <w:tc>
          <w:tcPr>
            <w:tcW w:w="4756" w:type="dxa"/>
            <w:hideMark/>
          </w:tcPr>
          <w:p w14:paraId="74224923" w14:textId="77777777" w:rsidR="00A528CF" w:rsidRPr="000C0842" w:rsidRDefault="00A528CF" w:rsidP="00A528CF">
            <w:pPr>
              <w:tabs>
                <w:tab w:val="clear" w:pos="567"/>
                <w:tab w:val="clear" w:pos="1134"/>
                <w:tab w:val="clear" w:pos="1701"/>
                <w:tab w:val="clear" w:pos="2268"/>
                <w:tab w:val="left" w:pos="403"/>
              </w:tabs>
              <w:ind w:left="316"/>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总计</w:t>
            </w:r>
          </w:p>
        </w:tc>
        <w:tc>
          <w:tcPr>
            <w:tcW w:w="1316" w:type="dxa"/>
            <w:tcBorders>
              <w:top w:val="single" w:sz="4" w:space="0" w:color="auto"/>
              <w:bottom w:val="single" w:sz="4" w:space="0" w:color="auto"/>
            </w:tcBorders>
            <w:noWrap/>
            <w:vAlign w:val="center"/>
            <w:hideMark/>
          </w:tcPr>
          <w:p w14:paraId="625CC3EA"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356 572</w:t>
            </w:r>
          </w:p>
        </w:tc>
        <w:tc>
          <w:tcPr>
            <w:tcW w:w="1216" w:type="dxa"/>
            <w:tcBorders>
              <w:top w:val="single" w:sz="4" w:space="0" w:color="auto"/>
              <w:bottom w:val="single" w:sz="4" w:space="0" w:color="auto"/>
            </w:tcBorders>
            <w:noWrap/>
            <w:vAlign w:val="center"/>
            <w:hideMark/>
          </w:tcPr>
          <w:p w14:paraId="1BD4E01F"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104 808</w:t>
            </w:r>
          </w:p>
        </w:tc>
        <w:tc>
          <w:tcPr>
            <w:tcW w:w="1216" w:type="dxa"/>
            <w:tcBorders>
              <w:top w:val="single" w:sz="4" w:space="0" w:color="auto"/>
              <w:bottom w:val="single" w:sz="4" w:space="0" w:color="auto"/>
            </w:tcBorders>
            <w:noWrap/>
            <w:vAlign w:val="center"/>
            <w:hideMark/>
          </w:tcPr>
          <w:p w14:paraId="50A6BF41"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325 440</w:t>
            </w:r>
          </w:p>
        </w:tc>
        <w:tc>
          <w:tcPr>
            <w:tcW w:w="1116" w:type="dxa"/>
            <w:tcBorders>
              <w:top w:val="single" w:sz="4" w:space="0" w:color="auto"/>
              <w:bottom w:val="single" w:sz="4" w:space="0" w:color="auto"/>
            </w:tcBorders>
            <w:noWrap/>
            <w:vAlign w:val="center"/>
            <w:hideMark/>
          </w:tcPr>
          <w:p w14:paraId="28041115"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786 819</w:t>
            </w:r>
          </w:p>
        </w:tc>
      </w:tr>
      <w:tr w:rsidR="00A528CF" w:rsidRPr="000C0842" w14:paraId="2551ED97" w14:textId="77777777" w:rsidTr="001F32B3">
        <w:tc>
          <w:tcPr>
            <w:tcW w:w="4756" w:type="dxa"/>
            <w:noWrap/>
            <w:hideMark/>
          </w:tcPr>
          <w:p w14:paraId="6878C0EE" w14:textId="77777777" w:rsidR="00A528CF" w:rsidRPr="000C0842" w:rsidRDefault="00A528CF" w:rsidP="00A528CF">
            <w:pPr>
              <w:tabs>
                <w:tab w:val="clear" w:pos="567"/>
                <w:tab w:val="clear" w:pos="1134"/>
                <w:tab w:val="clear" w:pos="1701"/>
                <w:tab w:val="clear" w:pos="2268"/>
                <w:tab w:val="left" w:pos="403"/>
              </w:tabs>
              <w:ind w:left="318"/>
              <w:jc w:val="left"/>
              <w:rPr>
                <w:rFonts w:eastAsia="SimSun" w:cs="Times New Roman"/>
                <w:b/>
                <w:bCs/>
                <w:sz w:val="20"/>
                <w:szCs w:val="20"/>
                <w:lang w:val="en-GB" w:eastAsia="zh-CN"/>
              </w:rPr>
            </w:pPr>
            <w:r w:rsidRPr="000C0842">
              <w:rPr>
                <w:rFonts w:eastAsia="SimSun" w:cs="Times New Roman" w:hint="eastAsia"/>
                <w:b/>
                <w:bCs/>
                <w:sz w:val="20"/>
                <w:szCs w:val="20"/>
                <w:lang w:val="en-GB" w:eastAsia="zh-CN"/>
              </w:rPr>
              <w:t>《公约》及其各项议定书总计</w:t>
            </w:r>
            <w:r w:rsidRPr="000C0842">
              <w:rPr>
                <w:rFonts w:eastAsia="SimSun" w:cs="Times New Roman" w:hint="eastAsia"/>
                <w:sz w:val="20"/>
                <w:szCs w:val="20"/>
                <w:lang w:val="en-GB" w:eastAsia="zh-CN"/>
              </w:rPr>
              <w:t>（包括方案支助费用）</w:t>
            </w:r>
          </w:p>
        </w:tc>
        <w:tc>
          <w:tcPr>
            <w:tcW w:w="1316" w:type="dxa"/>
            <w:tcBorders>
              <w:top w:val="single" w:sz="4" w:space="0" w:color="auto"/>
              <w:bottom w:val="single" w:sz="4" w:space="0" w:color="auto"/>
            </w:tcBorders>
            <w:noWrap/>
            <w:vAlign w:val="center"/>
            <w:hideMark/>
          </w:tcPr>
          <w:p w14:paraId="7B8E5D19"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12 596 675</w:t>
            </w:r>
          </w:p>
        </w:tc>
        <w:tc>
          <w:tcPr>
            <w:tcW w:w="1216" w:type="dxa"/>
            <w:tcBorders>
              <w:top w:val="single" w:sz="4" w:space="0" w:color="auto"/>
              <w:bottom w:val="single" w:sz="4" w:space="0" w:color="auto"/>
            </w:tcBorders>
            <w:noWrap/>
            <w:vAlign w:val="center"/>
            <w:hideMark/>
          </w:tcPr>
          <w:p w14:paraId="1F9684D7"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2 438 823</w:t>
            </w:r>
          </w:p>
        </w:tc>
        <w:tc>
          <w:tcPr>
            <w:tcW w:w="1216" w:type="dxa"/>
            <w:tcBorders>
              <w:top w:val="single" w:sz="4" w:space="0" w:color="auto"/>
              <w:bottom w:val="single" w:sz="4" w:space="0" w:color="auto"/>
            </w:tcBorders>
            <w:noWrap/>
            <w:vAlign w:val="center"/>
            <w:hideMark/>
          </w:tcPr>
          <w:p w14:paraId="6C72F037"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6 905 995</w:t>
            </w:r>
          </w:p>
        </w:tc>
        <w:tc>
          <w:tcPr>
            <w:tcW w:w="1116" w:type="dxa"/>
            <w:tcBorders>
              <w:top w:val="single" w:sz="4" w:space="0" w:color="auto"/>
              <w:bottom w:val="single" w:sz="4" w:space="0" w:color="auto"/>
            </w:tcBorders>
            <w:noWrap/>
            <w:vAlign w:val="center"/>
            <w:hideMark/>
          </w:tcPr>
          <w:p w14:paraId="10764C18" w14:textId="77777777" w:rsidR="00A528CF" w:rsidRPr="000C0842" w:rsidRDefault="00A528CF" w:rsidP="00A528CF">
            <w:pPr>
              <w:jc w:val="right"/>
              <w:rPr>
                <w:rFonts w:eastAsia="SimSun" w:cs="Times New Roman"/>
                <w:b/>
                <w:bCs/>
                <w:sz w:val="20"/>
                <w:szCs w:val="20"/>
                <w:lang w:val="en-GB" w:eastAsia="zh-CN"/>
              </w:rPr>
            </w:pPr>
            <w:r w:rsidRPr="000C0842">
              <w:rPr>
                <w:rFonts w:eastAsia="SimSun" w:cs="Times New Roman"/>
                <w:b/>
                <w:bCs/>
                <w:sz w:val="20"/>
                <w:szCs w:val="20"/>
                <w:lang w:val="en-GB" w:eastAsia="zh-CN"/>
              </w:rPr>
              <w:t>21 941 493</w:t>
            </w:r>
          </w:p>
        </w:tc>
      </w:tr>
    </w:tbl>
    <w:p w14:paraId="53148E86" w14:textId="77777777" w:rsidR="00A528CF" w:rsidRPr="000C0842" w:rsidRDefault="00A528CF" w:rsidP="00A528CF">
      <w:pPr>
        <w:rPr>
          <w:rFonts w:eastAsia="SimSun"/>
          <w:lang w:val="en-GB"/>
        </w:rPr>
      </w:pPr>
    </w:p>
    <w:p w14:paraId="56AC8E42" w14:textId="77777777" w:rsidR="00A528CF" w:rsidRPr="000C0842" w:rsidRDefault="00A528CF" w:rsidP="00A528CF">
      <w:pPr>
        <w:keepNext/>
        <w:ind w:left="490"/>
        <w:rPr>
          <w:rFonts w:eastAsia="SimSun"/>
          <w:sz w:val="24"/>
          <w:szCs w:val="24"/>
          <w:lang w:val="en-GB"/>
        </w:rPr>
      </w:pPr>
      <w:r w:rsidRPr="000C0842">
        <w:rPr>
          <w:rFonts w:eastAsia="SimSun" w:hint="eastAsia"/>
          <w:sz w:val="24"/>
          <w:szCs w:val="24"/>
          <w:lang w:val="en-GB"/>
        </w:rPr>
        <w:t>表</w:t>
      </w:r>
      <w:r w:rsidRPr="000C0842">
        <w:rPr>
          <w:rFonts w:eastAsia="SimSun" w:hint="eastAsia"/>
          <w:sz w:val="24"/>
          <w:szCs w:val="24"/>
          <w:lang w:val="en-GB"/>
        </w:rPr>
        <w:t>5</w:t>
      </w:r>
    </w:p>
    <w:p w14:paraId="34DA632D" w14:textId="77777777" w:rsidR="00A528CF" w:rsidRPr="000C0842" w:rsidRDefault="00A528CF" w:rsidP="00A528CF">
      <w:pPr>
        <w:keepNext/>
        <w:ind w:left="490"/>
        <w:rPr>
          <w:rFonts w:eastAsia="SimSun"/>
          <w:b/>
          <w:bCs/>
          <w:sz w:val="24"/>
          <w:szCs w:val="24"/>
          <w:lang w:val="en-GB"/>
        </w:rPr>
      </w:pPr>
      <w:r w:rsidRPr="000C0842">
        <w:rPr>
          <w:rFonts w:eastAsia="SimSun"/>
          <w:b/>
          <w:bCs/>
          <w:sz w:val="24"/>
          <w:szCs w:val="24"/>
          <w:lang w:val="en-GB"/>
        </w:rPr>
        <w:t>2025–2026</w:t>
      </w:r>
      <w:r w:rsidRPr="000C0842">
        <w:rPr>
          <w:rFonts w:eastAsia="SimSun" w:hint="eastAsia"/>
          <w:b/>
          <w:bCs/>
          <w:sz w:val="24"/>
          <w:szCs w:val="24"/>
          <w:lang w:val="en-GB"/>
        </w:rPr>
        <w:t>年</w:t>
      </w:r>
      <w:r w:rsidRPr="000C0842">
        <w:rPr>
          <w:rFonts w:eastAsia="SimSun"/>
          <w:b/>
          <w:bCs/>
          <w:sz w:val="24"/>
          <w:szCs w:val="24"/>
          <w:lang w:val="en-GB"/>
        </w:rPr>
        <w:t>资助生物多样性公约及其议定书额外核定活动特别自愿信托基金</w:t>
      </w:r>
      <w:r w:rsidRPr="000C0842">
        <w:rPr>
          <w:rFonts w:eastAsia="SimSun" w:hint="eastAsia"/>
          <w:b/>
          <w:bCs/>
          <w:sz w:val="24"/>
          <w:szCs w:val="24"/>
          <w:lang w:val="en-GB"/>
        </w:rPr>
        <w:t>所需资源：所需工作人员资源</w:t>
      </w:r>
    </w:p>
    <w:p w14:paraId="391B9016" w14:textId="77777777" w:rsidR="00A528CF" w:rsidRPr="000C0842" w:rsidRDefault="00A528CF" w:rsidP="00A528CF">
      <w:pPr>
        <w:keepNext/>
        <w:ind w:left="490"/>
        <w:rPr>
          <w:rFonts w:eastAsia="SimSun"/>
          <w:b/>
          <w:bCs/>
          <w:sz w:val="24"/>
          <w:szCs w:val="24"/>
          <w:lang w:val="en-GB"/>
        </w:rPr>
      </w:pPr>
    </w:p>
    <w:tbl>
      <w:tblPr>
        <w:tblW w:w="9356" w:type="dxa"/>
        <w:tblInd w:w="567" w:type="dxa"/>
        <w:tblLayout w:type="fixed"/>
        <w:tblLook w:val="04A0" w:firstRow="1" w:lastRow="0" w:firstColumn="1" w:lastColumn="0" w:noHBand="0" w:noVBand="1"/>
      </w:tblPr>
      <w:tblGrid>
        <w:gridCol w:w="6993"/>
        <w:gridCol w:w="945"/>
        <w:gridCol w:w="1418"/>
      </w:tblGrid>
      <w:tr w:rsidR="000C0842" w:rsidRPr="000C0842" w14:paraId="23FD7D43" w14:textId="77777777" w:rsidTr="001F32B3">
        <w:trPr>
          <w:trHeight w:val="227"/>
          <w:tblHeader/>
        </w:trPr>
        <w:tc>
          <w:tcPr>
            <w:tcW w:w="6993" w:type="dxa"/>
            <w:tcBorders>
              <w:top w:val="single" w:sz="4" w:space="0" w:color="auto"/>
              <w:bottom w:val="single" w:sz="4" w:space="0" w:color="auto"/>
            </w:tcBorders>
            <w:noWrap/>
            <w:vAlign w:val="center"/>
            <w:hideMark/>
          </w:tcPr>
          <w:p w14:paraId="7173748E" w14:textId="77777777" w:rsidR="00A528CF" w:rsidRPr="000C0842" w:rsidRDefault="00A528CF" w:rsidP="00A528CF">
            <w:pPr>
              <w:jc w:val="left"/>
              <w:rPr>
                <w:rFonts w:ascii="KaiTi" w:eastAsia="KaiTi" w:hAnsi="KaiTi"/>
                <w:sz w:val="20"/>
                <w:szCs w:val="20"/>
                <w:lang w:val="en-GB"/>
              </w:rPr>
            </w:pPr>
            <w:r w:rsidRPr="000C0842">
              <w:rPr>
                <w:rFonts w:ascii="KaiTi" w:eastAsia="KaiTi" w:hAnsi="KaiTi" w:cs="SimSun" w:hint="eastAsia"/>
                <w:sz w:val="20"/>
                <w:szCs w:val="20"/>
                <w:lang w:val="en-GB"/>
              </w:rPr>
              <w:t>专题领域</w:t>
            </w:r>
          </w:p>
        </w:tc>
        <w:tc>
          <w:tcPr>
            <w:tcW w:w="945" w:type="dxa"/>
            <w:tcBorders>
              <w:top w:val="single" w:sz="4" w:space="0" w:color="auto"/>
              <w:bottom w:val="single" w:sz="4" w:space="0" w:color="auto"/>
            </w:tcBorders>
            <w:noWrap/>
            <w:vAlign w:val="center"/>
            <w:hideMark/>
          </w:tcPr>
          <w:p w14:paraId="754B603F" w14:textId="77777777" w:rsidR="00A528CF" w:rsidRPr="000C0842" w:rsidRDefault="00A528CF" w:rsidP="00A528CF">
            <w:pPr>
              <w:jc w:val="center"/>
              <w:rPr>
                <w:rFonts w:ascii="KaiTi" w:eastAsia="KaiTi" w:hAnsi="KaiTi"/>
                <w:sz w:val="20"/>
                <w:szCs w:val="20"/>
                <w:lang w:val="en-GB"/>
              </w:rPr>
            </w:pPr>
            <w:r w:rsidRPr="000C0842">
              <w:rPr>
                <w:rFonts w:ascii="KaiTi" w:eastAsia="KaiTi" w:hAnsi="KaiTi" w:cs="SimSun" w:hint="eastAsia"/>
                <w:sz w:val="20"/>
                <w:szCs w:val="20"/>
                <w:lang w:val="en-GB"/>
              </w:rPr>
              <w:t>职等</w:t>
            </w:r>
          </w:p>
        </w:tc>
        <w:tc>
          <w:tcPr>
            <w:tcW w:w="1418" w:type="dxa"/>
            <w:tcBorders>
              <w:top w:val="single" w:sz="4" w:space="0" w:color="auto"/>
              <w:bottom w:val="single" w:sz="4" w:space="0" w:color="auto"/>
            </w:tcBorders>
            <w:noWrap/>
            <w:vAlign w:val="center"/>
            <w:hideMark/>
          </w:tcPr>
          <w:p w14:paraId="67B84A0B" w14:textId="77777777" w:rsidR="00A528CF" w:rsidRPr="000C0842" w:rsidRDefault="00A528CF" w:rsidP="00A528CF">
            <w:pPr>
              <w:jc w:val="center"/>
              <w:rPr>
                <w:rFonts w:ascii="KaiTi" w:eastAsia="KaiTi" w:hAnsi="KaiTi"/>
                <w:sz w:val="20"/>
                <w:szCs w:val="20"/>
                <w:lang w:val="en-GB"/>
              </w:rPr>
            </w:pPr>
            <w:r w:rsidRPr="000C0842">
              <w:rPr>
                <w:rFonts w:ascii="KaiTi" w:eastAsia="KaiTi" w:hAnsi="KaiTi" w:cs="SimSun" w:hint="eastAsia"/>
                <w:sz w:val="20"/>
                <w:szCs w:val="20"/>
                <w:lang w:val="en-GB"/>
              </w:rPr>
              <w:t>费用</w:t>
            </w:r>
            <w:r w:rsidRPr="000C0842">
              <w:rPr>
                <w:rFonts w:ascii="KaiTi" w:eastAsia="KaiTi" w:hAnsi="KaiTi"/>
                <w:sz w:val="20"/>
                <w:szCs w:val="20"/>
                <w:lang w:val="en-GB"/>
              </w:rPr>
              <w:br/>
              <w:t>(</w:t>
            </w:r>
            <w:r w:rsidRPr="000C0842">
              <w:rPr>
                <w:rFonts w:ascii="KaiTi" w:eastAsia="KaiTi" w:hAnsi="KaiTi" w:cs="SimSun" w:hint="eastAsia"/>
                <w:sz w:val="20"/>
                <w:szCs w:val="20"/>
                <w:lang w:val="en-GB"/>
              </w:rPr>
              <w:t>美元</w:t>
            </w:r>
            <w:r w:rsidRPr="000C0842">
              <w:rPr>
                <w:rFonts w:ascii="KaiTi" w:eastAsia="KaiTi" w:hAnsi="KaiTi"/>
                <w:sz w:val="20"/>
                <w:szCs w:val="20"/>
                <w:lang w:val="en-GB"/>
              </w:rPr>
              <w:t>)</w:t>
            </w:r>
          </w:p>
        </w:tc>
      </w:tr>
      <w:tr w:rsidR="000C0842" w:rsidRPr="000C0842" w14:paraId="7E56BFE0" w14:textId="77777777" w:rsidTr="001F32B3">
        <w:trPr>
          <w:trHeight w:val="227"/>
        </w:trPr>
        <w:tc>
          <w:tcPr>
            <w:tcW w:w="9356" w:type="dxa"/>
            <w:gridSpan w:val="3"/>
            <w:tcBorders>
              <w:top w:val="single" w:sz="4" w:space="0" w:color="auto"/>
              <w:bottom w:val="single" w:sz="4" w:space="0" w:color="auto"/>
            </w:tcBorders>
            <w:noWrap/>
            <w:vAlign w:val="center"/>
            <w:hideMark/>
          </w:tcPr>
          <w:p w14:paraId="4EBB3115"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遗传资源数字序列信息</w:t>
            </w:r>
          </w:p>
        </w:tc>
      </w:tr>
      <w:tr w:rsidR="000C0842" w:rsidRPr="000C0842" w14:paraId="3F750275" w14:textId="77777777" w:rsidTr="001F32B3">
        <w:trPr>
          <w:trHeight w:val="227"/>
        </w:trPr>
        <w:tc>
          <w:tcPr>
            <w:tcW w:w="6993" w:type="dxa"/>
            <w:tcBorders>
              <w:top w:val="single" w:sz="4" w:space="0" w:color="auto"/>
            </w:tcBorders>
            <w:noWrap/>
            <w:vAlign w:val="center"/>
            <w:hideMark/>
          </w:tcPr>
          <w:p w14:paraId="610BFEFE"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2442319D"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tcBorders>
              <w:top w:val="single" w:sz="4" w:space="0" w:color="auto"/>
            </w:tcBorders>
            <w:noWrap/>
            <w:vAlign w:val="center"/>
            <w:hideMark/>
          </w:tcPr>
          <w:p w14:paraId="1A7617A0"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36114E2B" w14:textId="77777777" w:rsidTr="001F32B3">
        <w:trPr>
          <w:trHeight w:val="227"/>
        </w:trPr>
        <w:tc>
          <w:tcPr>
            <w:tcW w:w="6993" w:type="dxa"/>
            <w:noWrap/>
            <w:vAlign w:val="center"/>
            <w:hideMark/>
          </w:tcPr>
          <w:p w14:paraId="06EC183A"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协理方案干事</w:t>
            </w:r>
          </w:p>
        </w:tc>
        <w:tc>
          <w:tcPr>
            <w:tcW w:w="945" w:type="dxa"/>
            <w:noWrap/>
            <w:vAlign w:val="center"/>
            <w:hideMark/>
          </w:tcPr>
          <w:p w14:paraId="2A6A14C1"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P-2</w:t>
            </w:r>
          </w:p>
        </w:tc>
        <w:tc>
          <w:tcPr>
            <w:tcW w:w="1418" w:type="dxa"/>
            <w:noWrap/>
            <w:vAlign w:val="center"/>
            <w:hideMark/>
          </w:tcPr>
          <w:p w14:paraId="42AB05FB"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261 000</w:t>
            </w:r>
          </w:p>
        </w:tc>
      </w:tr>
      <w:tr w:rsidR="000C0842" w:rsidRPr="000C0842" w14:paraId="6BAF81DA" w14:textId="77777777" w:rsidTr="001F32B3">
        <w:trPr>
          <w:trHeight w:val="227"/>
        </w:trPr>
        <w:tc>
          <w:tcPr>
            <w:tcW w:w="6993" w:type="dxa"/>
            <w:noWrap/>
            <w:vAlign w:val="center"/>
            <w:hideMark/>
          </w:tcPr>
          <w:p w14:paraId="50F0953F"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方案助理</w:t>
            </w:r>
            <w:r w:rsidRPr="000C0842">
              <w:rPr>
                <w:rFonts w:eastAsia="Times New Roman"/>
                <w:sz w:val="20"/>
                <w:szCs w:val="20"/>
                <w:lang w:val="en-GB"/>
              </w:rPr>
              <w:t xml:space="preserve"> (2</w:t>
            </w:r>
            <w:r w:rsidRPr="000C0842">
              <w:rPr>
                <w:rFonts w:ascii="SimSun" w:eastAsia="SimSun" w:hAnsi="SimSun" w:cs="SimSun" w:hint="eastAsia"/>
                <w:sz w:val="20"/>
                <w:szCs w:val="20"/>
                <w:lang w:val="en-GB"/>
              </w:rPr>
              <w:t>个员额</w:t>
            </w:r>
            <w:r w:rsidRPr="000C0842">
              <w:rPr>
                <w:rFonts w:eastAsia="Times New Roman"/>
                <w:sz w:val="20"/>
                <w:szCs w:val="20"/>
                <w:lang w:val="en-GB"/>
              </w:rPr>
              <w:t>)</w:t>
            </w:r>
          </w:p>
        </w:tc>
        <w:tc>
          <w:tcPr>
            <w:tcW w:w="945" w:type="dxa"/>
            <w:noWrap/>
            <w:vAlign w:val="center"/>
            <w:hideMark/>
          </w:tcPr>
          <w:p w14:paraId="389A729F"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GS</w:t>
            </w:r>
          </w:p>
        </w:tc>
        <w:tc>
          <w:tcPr>
            <w:tcW w:w="1418" w:type="dxa"/>
            <w:noWrap/>
            <w:vAlign w:val="center"/>
            <w:hideMark/>
          </w:tcPr>
          <w:p w14:paraId="182C0459"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231 000</w:t>
            </w:r>
          </w:p>
        </w:tc>
      </w:tr>
      <w:tr w:rsidR="000C0842" w:rsidRPr="000C0842" w14:paraId="1DCB7D80" w14:textId="77777777" w:rsidTr="001F32B3">
        <w:trPr>
          <w:trHeight w:val="227"/>
        </w:trPr>
        <w:tc>
          <w:tcPr>
            <w:tcW w:w="9356" w:type="dxa"/>
            <w:gridSpan w:val="3"/>
            <w:tcBorders>
              <w:top w:val="single" w:sz="4" w:space="0" w:color="auto"/>
              <w:bottom w:val="single" w:sz="4" w:space="0" w:color="auto"/>
            </w:tcBorders>
            <w:vAlign w:val="center"/>
            <w:hideMark/>
          </w:tcPr>
          <w:p w14:paraId="471578E3"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能力建设与发展、科技合作、信息交换所机制和知识管理</w:t>
            </w:r>
          </w:p>
        </w:tc>
      </w:tr>
      <w:tr w:rsidR="000C0842" w:rsidRPr="000C0842" w14:paraId="0D1A09CE" w14:textId="77777777" w:rsidTr="001F32B3">
        <w:trPr>
          <w:trHeight w:val="227"/>
        </w:trPr>
        <w:tc>
          <w:tcPr>
            <w:tcW w:w="6993" w:type="dxa"/>
            <w:tcBorders>
              <w:top w:val="single" w:sz="4" w:space="0" w:color="auto"/>
            </w:tcBorders>
            <w:noWrap/>
            <w:vAlign w:val="center"/>
            <w:hideMark/>
          </w:tcPr>
          <w:p w14:paraId="229A5398"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1585BB9F"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P-5</w:t>
            </w:r>
          </w:p>
        </w:tc>
        <w:tc>
          <w:tcPr>
            <w:tcW w:w="1418" w:type="dxa"/>
            <w:tcBorders>
              <w:top w:val="single" w:sz="4" w:space="0" w:color="auto"/>
            </w:tcBorders>
            <w:noWrap/>
            <w:vAlign w:val="center"/>
            <w:hideMark/>
          </w:tcPr>
          <w:p w14:paraId="467B8E97"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421 500</w:t>
            </w:r>
          </w:p>
        </w:tc>
      </w:tr>
      <w:tr w:rsidR="000C0842" w:rsidRPr="000C0842" w14:paraId="0CC62813" w14:textId="77777777" w:rsidTr="001F32B3">
        <w:trPr>
          <w:trHeight w:val="227"/>
        </w:trPr>
        <w:tc>
          <w:tcPr>
            <w:tcW w:w="6993" w:type="dxa"/>
            <w:noWrap/>
            <w:vAlign w:val="center"/>
            <w:hideMark/>
          </w:tcPr>
          <w:p w14:paraId="3AF6DA3C"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noWrap/>
            <w:vAlign w:val="center"/>
            <w:hideMark/>
          </w:tcPr>
          <w:p w14:paraId="2B1F04B1"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noWrap/>
            <w:vAlign w:val="center"/>
            <w:hideMark/>
          </w:tcPr>
          <w:p w14:paraId="6003CC6C"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4404DEF8" w14:textId="77777777" w:rsidTr="001F32B3">
        <w:trPr>
          <w:trHeight w:val="227"/>
        </w:trPr>
        <w:tc>
          <w:tcPr>
            <w:tcW w:w="6993" w:type="dxa"/>
            <w:noWrap/>
            <w:vAlign w:val="center"/>
            <w:hideMark/>
          </w:tcPr>
          <w:p w14:paraId="28FC1667"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方案助理</w:t>
            </w:r>
          </w:p>
        </w:tc>
        <w:tc>
          <w:tcPr>
            <w:tcW w:w="945" w:type="dxa"/>
            <w:noWrap/>
            <w:vAlign w:val="center"/>
            <w:hideMark/>
          </w:tcPr>
          <w:p w14:paraId="69F43B6B"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GS</w:t>
            </w:r>
          </w:p>
        </w:tc>
        <w:tc>
          <w:tcPr>
            <w:tcW w:w="1418" w:type="dxa"/>
            <w:noWrap/>
            <w:vAlign w:val="center"/>
            <w:hideMark/>
          </w:tcPr>
          <w:p w14:paraId="59985515"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115 500</w:t>
            </w:r>
          </w:p>
        </w:tc>
      </w:tr>
      <w:tr w:rsidR="000C0842" w:rsidRPr="000C0842" w14:paraId="0B691D48" w14:textId="77777777" w:rsidTr="001F32B3">
        <w:trPr>
          <w:trHeight w:val="227"/>
        </w:trPr>
        <w:tc>
          <w:tcPr>
            <w:tcW w:w="9356" w:type="dxa"/>
            <w:gridSpan w:val="3"/>
            <w:tcBorders>
              <w:top w:val="single" w:sz="4" w:space="0" w:color="auto"/>
              <w:bottom w:val="single" w:sz="4" w:space="0" w:color="auto"/>
            </w:tcBorders>
            <w:noWrap/>
            <w:vAlign w:val="center"/>
            <w:hideMark/>
          </w:tcPr>
          <w:p w14:paraId="09EAAFDB"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传播、教育和公众意识</w:t>
            </w:r>
          </w:p>
        </w:tc>
      </w:tr>
      <w:tr w:rsidR="000C0842" w:rsidRPr="000C0842" w14:paraId="676770E0" w14:textId="77777777" w:rsidTr="001F32B3">
        <w:trPr>
          <w:trHeight w:val="227"/>
        </w:trPr>
        <w:tc>
          <w:tcPr>
            <w:tcW w:w="6993" w:type="dxa"/>
            <w:tcBorders>
              <w:top w:val="single" w:sz="4" w:space="0" w:color="auto"/>
            </w:tcBorders>
            <w:noWrap/>
            <w:vAlign w:val="center"/>
            <w:hideMark/>
          </w:tcPr>
          <w:p w14:paraId="5A9519E3"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250F054A"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P-2</w:t>
            </w:r>
          </w:p>
        </w:tc>
        <w:tc>
          <w:tcPr>
            <w:tcW w:w="1418" w:type="dxa"/>
            <w:tcBorders>
              <w:top w:val="single" w:sz="4" w:space="0" w:color="auto"/>
            </w:tcBorders>
            <w:noWrap/>
            <w:vAlign w:val="center"/>
            <w:hideMark/>
          </w:tcPr>
          <w:p w14:paraId="4C4AA9F8"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261 000</w:t>
            </w:r>
          </w:p>
        </w:tc>
      </w:tr>
      <w:tr w:rsidR="000C0842" w:rsidRPr="000C0842" w14:paraId="7CF73BEF" w14:textId="77777777" w:rsidTr="001F32B3">
        <w:trPr>
          <w:trHeight w:val="227"/>
        </w:trPr>
        <w:tc>
          <w:tcPr>
            <w:tcW w:w="9356" w:type="dxa"/>
            <w:gridSpan w:val="3"/>
            <w:tcBorders>
              <w:top w:val="single" w:sz="4" w:space="0" w:color="auto"/>
              <w:bottom w:val="single" w:sz="4" w:space="0" w:color="auto"/>
            </w:tcBorders>
            <w:noWrap/>
            <w:vAlign w:val="center"/>
            <w:hideMark/>
          </w:tcPr>
          <w:p w14:paraId="06621CCB"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lang w:val="en-GB"/>
              </w:rPr>
              <w:t>将生物多样性纳入部门内和跨部门主流</w:t>
            </w:r>
          </w:p>
        </w:tc>
      </w:tr>
      <w:tr w:rsidR="000C0842" w:rsidRPr="000C0842" w14:paraId="157DDBBE" w14:textId="77777777" w:rsidTr="001F32B3">
        <w:trPr>
          <w:trHeight w:val="227"/>
        </w:trPr>
        <w:tc>
          <w:tcPr>
            <w:tcW w:w="6993" w:type="dxa"/>
            <w:tcBorders>
              <w:top w:val="single" w:sz="4" w:space="0" w:color="auto"/>
            </w:tcBorders>
            <w:noWrap/>
            <w:vAlign w:val="center"/>
            <w:hideMark/>
          </w:tcPr>
          <w:p w14:paraId="33C335C3"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62F25015"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P-4</w:t>
            </w:r>
          </w:p>
        </w:tc>
        <w:tc>
          <w:tcPr>
            <w:tcW w:w="1418" w:type="dxa"/>
            <w:tcBorders>
              <w:top w:val="single" w:sz="4" w:space="0" w:color="auto"/>
            </w:tcBorders>
            <w:noWrap/>
            <w:vAlign w:val="center"/>
            <w:hideMark/>
          </w:tcPr>
          <w:p w14:paraId="04F71218"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 xml:space="preserve">375 000 </w:t>
            </w:r>
          </w:p>
        </w:tc>
      </w:tr>
      <w:tr w:rsidR="000C0842" w:rsidRPr="000C0842" w14:paraId="466D400A" w14:textId="77777777" w:rsidTr="001F32B3">
        <w:trPr>
          <w:trHeight w:val="227"/>
        </w:trPr>
        <w:tc>
          <w:tcPr>
            <w:tcW w:w="9356" w:type="dxa"/>
            <w:gridSpan w:val="3"/>
            <w:tcBorders>
              <w:top w:val="single" w:sz="4" w:space="0" w:color="auto"/>
              <w:bottom w:val="single" w:sz="4" w:space="0" w:color="auto"/>
            </w:tcBorders>
            <w:noWrap/>
            <w:vAlign w:val="center"/>
            <w:hideMark/>
          </w:tcPr>
          <w:p w14:paraId="1863C445" w14:textId="77777777" w:rsidR="00A528CF" w:rsidRPr="000C0842" w:rsidRDefault="00A528CF" w:rsidP="00A528CF">
            <w:pPr>
              <w:keepNext/>
              <w:jc w:val="left"/>
              <w:rPr>
                <w:rFonts w:eastAsia="Times New Roman"/>
                <w:sz w:val="20"/>
                <w:szCs w:val="20"/>
                <w:lang w:val="en-GB"/>
              </w:rPr>
            </w:pPr>
            <w:r w:rsidRPr="000C0842">
              <w:rPr>
                <w:rFonts w:ascii="SimSun" w:eastAsia="SimSun" w:hAnsi="SimSun" w:cs="SimSun" w:hint="eastAsia"/>
                <w:b/>
                <w:bCs/>
                <w:sz w:val="20"/>
                <w:szCs w:val="20"/>
              </w:rPr>
              <w:t>可持续野生生物管理</w:t>
            </w:r>
          </w:p>
        </w:tc>
      </w:tr>
      <w:tr w:rsidR="000C0842" w:rsidRPr="000C0842" w14:paraId="371F1E8F" w14:textId="77777777" w:rsidTr="001F32B3">
        <w:trPr>
          <w:trHeight w:val="227"/>
        </w:trPr>
        <w:tc>
          <w:tcPr>
            <w:tcW w:w="6993" w:type="dxa"/>
            <w:tcBorders>
              <w:top w:val="single" w:sz="4" w:space="0" w:color="auto"/>
            </w:tcBorders>
            <w:noWrap/>
            <w:vAlign w:val="center"/>
            <w:hideMark/>
          </w:tcPr>
          <w:p w14:paraId="683EA994"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46FC8CD3"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tcBorders>
              <w:top w:val="single" w:sz="4" w:space="0" w:color="auto"/>
            </w:tcBorders>
            <w:noWrap/>
            <w:vAlign w:val="center"/>
            <w:hideMark/>
          </w:tcPr>
          <w:p w14:paraId="61B3505E"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2F2516E9" w14:textId="77777777" w:rsidTr="001F32B3">
        <w:trPr>
          <w:trHeight w:val="227"/>
        </w:trPr>
        <w:tc>
          <w:tcPr>
            <w:tcW w:w="9356" w:type="dxa"/>
            <w:gridSpan w:val="3"/>
            <w:tcBorders>
              <w:top w:val="single" w:sz="4" w:space="0" w:color="auto"/>
              <w:bottom w:val="single" w:sz="4" w:space="0" w:color="auto"/>
            </w:tcBorders>
            <w:noWrap/>
            <w:vAlign w:val="center"/>
            <w:hideMark/>
          </w:tcPr>
          <w:p w14:paraId="3FE429D1" w14:textId="77777777" w:rsidR="00A528CF" w:rsidRPr="000C0842" w:rsidRDefault="00A528CF" w:rsidP="00A528CF">
            <w:pPr>
              <w:keepNext/>
              <w:jc w:val="left"/>
              <w:rPr>
                <w:rFonts w:eastAsia="Times New Roman"/>
                <w:sz w:val="20"/>
                <w:szCs w:val="20"/>
                <w:lang w:val="en-GB"/>
              </w:rPr>
            </w:pPr>
            <w:r w:rsidRPr="000C0842">
              <w:rPr>
                <w:rFonts w:ascii="SimSun" w:eastAsia="SimSun" w:hAnsi="SimSun" w:cs="SimSun" w:hint="eastAsia"/>
                <w:b/>
                <w:bCs/>
                <w:sz w:val="20"/>
                <w:szCs w:val="20"/>
              </w:rPr>
              <w:t>外来入侵物种</w:t>
            </w:r>
          </w:p>
        </w:tc>
      </w:tr>
      <w:tr w:rsidR="000C0842" w:rsidRPr="000C0842" w14:paraId="015AD6FA" w14:textId="77777777" w:rsidTr="001F32B3">
        <w:trPr>
          <w:trHeight w:val="227"/>
        </w:trPr>
        <w:tc>
          <w:tcPr>
            <w:tcW w:w="6993" w:type="dxa"/>
            <w:tcBorders>
              <w:top w:val="single" w:sz="4" w:space="0" w:color="auto"/>
            </w:tcBorders>
            <w:noWrap/>
            <w:vAlign w:val="center"/>
            <w:hideMark/>
          </w:tcPr>
          <w:p w14:paraId="3CECB645"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方案助理</w:t>
            </w:r>
          </w:p>
        </w:tc>
        <w:tc>
          <w:tcPr>
            <w:tcW w:w="945" w:type="dxa"/>
            <w:tcBorders>
              <w:top w:val="single" w:sz="4" w:space="0" w:color="auto"/>
            </w:tcBorders>
            <w:noWrap/>
            <w:vAlign w:val="center"/>
            <w:hideMark/>
          </w:tcPr>
          <w:p w14:paraId="601955CC"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GS</w:t>
            </w:r>
          </w:p>
        </w:tc>
        <w:tc>
          <w:tcPr>
            <w:tcW w:w="1418" w:type="dxa"/>
            <w:tcBorders>
              <w:top w:val="single" w:sz="4" w:space="0" w:color="auto"/>
            </w:tcBorders>
            <w:noWrap/>
            <w:vAlign w:val="center"/>
            <w:hideMark/>
          </w:tcPr>
          <w:p w14:paraId="46FD600E"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115 500</w:t>
            </w:r>
          </w:p>
        </w:tc>
      </w:tr>
      <w:tr w:rsidR="000C0842" w:rsidRPr="000C0842" w14:paraId="368A780E" w14:textId="77777777" w:rsidTr="001F32B3">
        <w:trPr>
          <w:trHeight w:val="227"/>
        </w:trPr>
        <w:tc>
          <w:tcPr>
            <w:tcW w:w="9356" w:type="dxa"/>
            <w:gridSpan w:val="3"/>
            <w:tcBorders>
              <w:top w:val="single" w:sz="4" w:space="0" w:color="auto"/>
              <w:bottom w:val="single" w:sz="4" w:space="0" w:color="auto"/>
            </w:tcBorders>
            <w:noWrap/>
            <w:vAlign w:val="center"/>
            <w:hideMark/>
          </w:tcPr>
          <w:p w14:paraId="14F5D8CA"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生物多样性与健康</w:t>
            </w:r>
          </w:p>
        </w:tc>
      </w:tr>
      <w:tr w:rsidR="000C0842" w:rsidRPr="000C0842" w14:paraId="03B29BEA" w14:textId="77777777" w:rsidTr="001F32B3">
        <w:trPr>
          <w:trHeight w:val="227"/>
        </w:trPr>
        <w:tc>
          <w:tcPr>
            <w:tcW w:w="6993" w:type="dxa"/>
            <w:tcBorders>
              <w:top w:val="single" w:sz="4" w:space="0" w:color="auto"/>
            </w:tcBorders>
            <w:noWrap/>
            <w:vAlign w:val="center"/>
            <w:hideMark/>
          </w:tcPr>
          <w:p w14:paraId="792C78AD"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3A1E8739"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tcBorders>
              <w:top w:val="single" w:sz="4" w:space="0" w:color="auto"/>
            </w:tcBorders>
            <w:noWrap/>
            <w:vAlign w:val="center"/>
            <w:hideMark/>
          </w:tcPr>
          <w:p w14:paraId="403671A5"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7B1F8F02" w14:textId="77777777" w:rsidTr="001F32B3">
        <w:trPr>
          <w:trHeight w:val="227"/>
        </w:trPr>
        <w:tc>
          <w:tcPr>
            <w:tcW w:w="9356" w:type="dxa"/>
            <w:gridSpan w:val="3"/>
            <w:tcBorders>
              <w:top w:val="single" w:sz="4" w:space="0" w:color="auto"/>
              <w:bottom w:val="single" w:sz="4" w:space="0" w:color="auto"/>
            </w:tcBorders>
            <w:noWrap/>
            <w:vAlign w:val="center"/>
            <w:hideMark/>
          </w:tcPr>
          <w:p w14:paraId="761412BB"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合成生物学</w:t>
            </w:r>
          </w:p>
        </w:tc>
      </w:tr>
      <w:tr w:rsidR="000C0842" w:rsidRPr="000C0842" w14:paraId="40D0DBA1" w14:textId="77777777" w:rsidTr="001F32B3">
        <w:trPr>
          <w:trHeight w:val="227"/>
        </w:trPr>
        <w:tc>
          <w:tcPr>
            <w:tcW w:w="6993" w:type="dxa"/>
            <w:tcBorders>
              <w:top w:val="single" w:sz="4" w:space="0" w:color="auto"/>
            </w:tcBorders>
            <w:noWrap/>
            <w:vAlign w:val="center"/>
            <w:hideMark/>
          </w:tcPr>
          <w:p w14:paraId="04BE4255"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12035B13"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P-2</w:t>
            </w:r>
          </w:p>
        </w:tc>
        <w:tc>
          <w:tcPr>
            <w:tcW w:w="1418" w:type="dxa"/>
            <w:tcBorders>
              <w:top w:val="single" w:sz="4" w:space="0" w:color="auto"/>
            </w:tcBorders>
            <w:noWrap/>
            <w:vAlign w:val="center"/>
            <w:hideMark/>
          </w:tcPr>
          <w:p w14:paraId="25C9911D"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261 000</w:t>
            </w:r>
          </w:p>
        </w:tc>
      </w:tr>
      <w:tr w:rsidR="000C0842" w:rsidRPr="000C0842" w14:paraId="6D9D20B7" w14:textId="77777777" w:rsidTr="001F32B3">
        <w:trPr>
          <w:trHeight w:val="227"/>
        </w:trPr>
        <w:tc>
          <w:tcPr>
            <w:tcW w:w="9356" w:type="dxa"/>
            <w:gridSpan w:val="3"/>
            <w:tcBorders>
              <w:top w:val="single" w:sz="4" w:space="0" w:color="auto"/>
              <w:bottom w:val="single" w:sz="4" w:space="0" w:color="auto"/>
            </w:tcBorders>
            <w:vAlign w:val="center"/>
            <w:hideMark/>
          </w:tcPr>
          <w:p w14:paraId="27867E04"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规划、监测、报告和审查机制，包括将于缔约方大会第十七届和第十九届会议上对《昆明</w:t>
            </w:r>
            <w:r w:rsidRPr="000C0842">
              <w:rPr>
                <w:rFonts w:eastAsia="Times New Roman"/>
                <w:b/>
                <w:bCs/>
                <w:sz w:val="20"/>
                <w:szCs w:val="20"/>
              </w:rPr>
              <w:t>-</w:t>
            </w:r>
            <w:r w:rsidRPr="000C0842">
              <w:rPr>
                <w:rFonts w:ascii="SimSun" w:eastAsia="SimSun" w:hAnsi="SimSun" w:cs="SimSun" w:hint="eastAsia"/>
                <w:b/>
                <w:bCs/>
                <w:sz w:val="20"/>
                <w:szCs w:val="20"/>
              </w:rPr>
              <w:t>蒙特利尔全球生物多样性框架》集体执行进度进行的全球审查</w:t>
            </w:r>
          </w:p>
        </w:tc>
      </w:tr>
      <w:tr w:rsidR="000C0842" w:rsidRPr="000C0842" w14:paraId="151624AF" w14:textId="77777777" w:rsidTr="001F32B3">
        <w:trPr>
          <w:trHeight w:val="227"/>
        </w:trPr>
        <w:tc>
          <w:tcPr>
            <w:tcW w:w="6993" w:type="dxa"/>
            <w:tcBorders>
              <w:top w:val="single" w:sz="4" w:space="0" w:color="auto"/>
            </w:tcBorders>
            <w:noWrap/>
            <w:vAlign w:val="center"/>
            <w:hideMark/>
          </w:tcPr>
          <w:p w14:paraId="3FFCEE56"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65503BC5"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P-4</w:t>
            </w:r>
          </w:p>
        </w:tc>
        <w:tc>
          <w:tcPr>
            <w:tcW w:w="1418" w:type="dxa"/>
            <w:tcBorders>
              <w:top w:val="single" w:sz="4" w:space="0" w:color="auto"/>
            </w:tcBorders>
            <w:noWrap/>
            <w:vAlign w:val="center"/>
            <w:hideMark/>
          </w:tcPr>
          <w:p w14:paraId="5211EF4C"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375 000</w:t>
            </w:r>
          </w:p>
        </w:tc>
      </w:tr>
      <w:tr w:rsidR="000C0842" w:rsidRPr="000C0842" w14:paraId="45792737" w14:textId="77777777" w:rsidTr="001F32B3">
        <w:trPr>
          <w:trHeight w:val="227"/>
        </w:trPr>
        <w:tc>
          <w:tcPr>
            <w:tcW w:w="6993" w:type="dxa"/>
            <w:noWrap/>
            <w:vAlign w:val="center"/>
            <w:hideMark/>
          </w:tcPr>
          <w:p w14:paraId="0D89FA89"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noWrap/>
            <w:vAlign w:val="center"/>
            <w:hideMark/>
          </w:tcPr>
          <w:p w14:paraId="015D0CA6"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noWrap/>
            <w:vAlign w:val="center"/>
            <w:hideMark/>
          </w:tcPr>
          <w:p w14:paraId="69BAFC97"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1E5D7130" w14:textId="77777777" w:rsidTr="001F32B3">
        <w:trPr>
          <w:trHeight w:val="227"/>
        </w:trPr>
        <w:tc>
          <w:tcPr>
            <w:tcW w:w="6993" w:type="dxa"/>
            <w:noWrap/>
            <w:vAlign w:val="center"/>
            <w:hideMark/>
          </w:tcPr>
          <w:p w14:paraId="53E23FAC"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协理方案干事</w:t>
            </w:r>
          </w:p>
        </w:tc>
        <w:tc>
          <w:tcPr>
            <w:tcW w:w="945" w:type="dxa"/>
            <w:noWrap/>
            <w:vAlign w:val="center"/>
            <w:hideMark/>
          </w:tcPr>
          <w:p w14:paraId="29B18965"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P-2</w:t>
            </w:r>
          </w:p>
        </w:tc>
        <w:tc>
          <w:tcPr>
            <w:tcW w:w="1418" w:type="dxa"/>
            <w:noWrap/>
            <w:vAlign w:val="center"/>
            <w:hideMark/>
          </w:tcPr>
          <w:p w14:paraId="1AF0AE5A"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261 000</w:t>
            </w:r>
          </w:p>
        </w:tc>
      </w:tr>
      <w:tr w:rsidR="000C0842" w:rsidRPr="000C0842" w14:paraId="488C2EDB" w14:textId="77777777" w:rsidTr="001F32B3">
        <w:trPr>
          <w:trHeight w:val="227"/>
        </w:trPr>
        <w:tc>
          <w:tcPr>
            <w:tcW w:w="6993" w:type="dxa"/>
            <w:noWrap/>
            <w:vAlign w:val="center"/>
            <w:hideMark/>
          </w:tcPr>
          <w:p w14:paraId="01CC04A6"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方案助理</w:t>
            </w:r>
          </w:p>
        </w:tc>
        <w:tc>
          <w:tcPr>
            <w:tcW w:w="945" w:type="dxa"/>
            <w:noWrap/>
            <w:vAlign w:val="center"/>
            <w:hideMark/>
          </w:tcPr>
          <w:p w14:paraId="0ADB0F5A"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GS</w:t>
            </w:r>
          </w:p>
        </w:tc>
        <w:tc>
          <w:tcPr>
            <w:tcW w:w="1418" w:type="dxa"/>
            <w:noWrap/>
            <w:vAlign w:val="center"/>
            <w:hideMark/>
          </w:tcPr>
          <w:p w14:paraId="10E8A846"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115 500</w:t>
            </w:r>
          </w:p>
        </w:tc>
      </w:tr>
      <w:tr w:rsidR="000C0842" w:rsidRPr="000C0842" w14:paraId="0864A478" w14:textId="77777777" w:rsidTr="001F32B3">
        <w:trPr>
          <w:trHeight w:val="227"/>
        </w:trPr>
        <w:tc>
          <w:tcPr>
            <w:tcW w:w="9356" w:type="dxa"/>
            <w:gridSpan w:val="3"/>
            <w:tcBorders>
              <w:top w:val="single" w:sz="4" w:space="0" w:color="auto"/>
              <w:bottom w:val="single" w:sz="4" w:space="0" w:color="auto"/>
            </w:tcBorders>
            <w:vAlign w:val="center"/>
            <w:hideMark/>
          </w:tcPr>
          <w:p w14:paraId="44EE634F"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rPr>
              <w:t>与其他公约和国际组织的合作</w:t>
            </w:r>
          </w:p>
        </w:tc>
      </w:tr>
      <w:tr w:rsidR="000C0842" w:rsidRPr="000C0842" w14:paraId="10671E3C" w14:textId="77777777" w:rsidTr="001F32B3">
        <w:trPr>
          <w:trHeight w:val="270"/>
        </w:trPr>
        <w:tc>
          <w:tcPr>
            <w:tcW w:w="6993" w:type="dxa"/>
            <w:tcBorders>
              <w:top w:val="single" w:sz="4" w:space="0" w:color="auto"/>
            </w:tcBorders>
            <w:noWrap/>
            <w:vAlign w:val="center"/>
            <w:hideMark/>
          </w:tcPr>
          <w:p w14:paraId="1806501C"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p>
        </w:tc>
        <w:tc>
          <w:tcPr>
            <w:tcW w:w="945" w:type="dxa"/>
            <w:tcBorders>
              <w:top w:val="single" w:sz="4" w:space="0" w:color="auto"/>
            </w:tcBorders>
            <w:noWrap/>
            <w:vAlign w:val="center"/>
            <w:hideMark/>
          </w:tcPr>
          <w:p w14:paraId="453C04B5"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tcBorders>
              <w:top w:val="single" w:sz="4" w:space="0" w:color="auto"/>
            </w:tcBorders>
            <w:noWrap/>
            <w:vAlign w:val="center"/>
            <w:hideMark/>
          </w:tcPr>
          <w:p w14:paraId="2A8D78FC"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318 000</w:t>
            </w:r>
          </w:p>
        </w:tc>
      </w:tr>
      <w:tr w:rsidR="000C0842" w:rsidRPr="000C0842" w14:paraId="1226BE64" w14:textId="77777777" w:rsidTr="001F32B3">
        <w:trPr>
          <w:trHeight w:val="227"/>
        </w:trPr>
        <w:tc>
          <w:tcPr>
            <w:tcW w:w="9356" w:type="dxa"/>
            <w:gridSpan w:val="3"/>
            <w:tcBorders>
              <w:top w:val="single" w:sz="4" w:space="0" w:color="auto"/>
              <w:bottom w:val="single" w:sz="4" w:space="0" w:color="auto"/>
            </w:tcBorders>
            <w:vAlign w:val="center"/>
            <w:hideMark/>
          </w:tcPr>
          <w:p w14:paraId="5EFFB099"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b/>
                <w:bCs/>
                <w:sz w:val="20"/>
                <w:szCs w:val="20"/>
                <w:lang w:val="en-GB"/>
              </w:rPr>
              <w:t>缔约方大会多年期工作方案</w:t>
            </w:r>
          </w:p>
        </w:tc>
      </w:tr>
      <w:tr w:rsidR="000C0842" w:rsidRPr="000C0842" w14:paraId="31B07EEE" w14:textId="77777777" w:rsidTr="001F32B3">
        <w:trPr>
          <w:trHeight w:val="270"/>
        </w:trPr>
        <w:tc>
          <w:tcPr>
            <w:tcW w:w="6993" w:type="dxa"/>
            <w:tcBorders>
              <w:top w:val="single" w:sz="4" w:space="0" w:color="auto"/>
            </w:tcBorders>
            <w:noWrap/>
            <w:vAlign w:val="center"/>
            <w:hideMark/>
          </w:tcPr>
          <w:p w14:paraId="7362CFE0" w14:textId="77777777" w:rsidR="00A528CF" w:rsidRPr="000C0842" w:rsidRDefault="00A528CF" w:rsidP="00A528CF">
            <w:pPr>
              <w:jc w:val="left"/>
              <w:rPr>
                <w:rFonts w:eastAsia="Times New Roman"/>
                <w:sz w:val="20"/>
                <w:szCs w:val="20"/>
                <w:lang w:val="en-GB"/>
              </w:rPr>
            </w:pPr>
            <w:r w:rsidRPr="000C0842">
              <w:rPr>
                <w:rFonts w:ascii="SimSun" w:eastAsia="SimSun" w:hAnsi="SimSun" w:cs="SimSun" w:hint="eastAsia"/>
                <w:sz w:val="20"/>
                <w:szCs w:val="20"/>
                <w:lang w:val="en-GB"/>
              </w:rPr>
              <w:t>方案干事</w:t>
            </w:r>
            <w:r w:rsidRPr="000C0842">
              <w:rPr>
                <w:rFonts w:eastAsia="Times New Roman"/>
                <w:sz w:val="20"/>
                <w:szCs w:val="20"/>
                <w:lang w:val="en-GB"/>
              </w:rPr>
              <w:t xml:space="preserve"> (4</w:t>
            </w:r>
            <w:r w:rsidRPr="000C0842">
              <w:rPr>
                <w:rFonts w:ascii="SimSun" w:eastAsia="SimSun" w:hAnsi="SimSun" w:cs="SimSun" w:hint="eastAsia"/>
                <w:sz w:val="20"/>
                <w:szCs w:val="20"/>
                <w:lang w:val="en-GB"/>
              </w:rPr>
              <w:t>个员额</w:t>
            </w:r>
            <w:r w:rsidRPr="000C0842">
              <w:rPr>
                <w:rFonts w:eastAsia="Times New Roman"/>
                <w:sz w:val="20"/>
                <w:szCs w:val="20"/>
                <w:lang w:val="en-GB"/>
              </w:rPr>
              <w:t>)</w:t>
            </w:r>
          </w:p>
        </w:tc>
        <w:tc>
          <w:tcPr>
            <w:tcW w:w="945" w:type="dxa"/>
            <w:tcBorders>
              <w:top w:val="single" w:sz="4" w:space="0" w:color="auto"/>
            </w:tcBorders>
            <w:noWrap/>
            <w:vAlign w:val="center"/>
            <w:hideMark/>
          </w:tcPr>
          <w:p w14:paraId="30CDC481" w14:textId="77777777" w:rsidR="00A528CF" w:rsidRPr="000C0842" w:rsidRDefault="00A528CF" w:rsidP="00A528CF">
            <w:pPr>
              <w:jc w:val="left"/>
              <w:rPr>
                <w:rFonts w:eastAsia="Times New Roman"/>
                <w:sz w:val="20"/>
                <w:szCs w:val="20"/>
                <w:lang w:val="en-GB"/>
              </w:rPr>
            </w:pPr>
            <w:r w:rsidRPr="000C0842">
              <w:rPr>
                <w:rFonts w:eastAsia="Times New Roman"/>
                <w:sz w:val="20"/>
                <w:szCs w:val="20"/>
                <w:lang w:val="en-GB"/>
              </w:rPr>
              <w:t>P-3</w:t>
            </w:r>
          </w:p>
        </w:tc>
        <w:tc>
          <w:tcPr>
            <w:tcW w:w="1418" w:type="dxa"/>
            <w:tcBorders>
              <w:top w:val="single" w:sz="4" w:space="0" w:color="auto"/>
            </w:tcBorders>
            <w:noWrap/>
            <w:vAlign w:val="center"/>
            <w:hideMark/>
          </w:tcPr>
          <w:p w14:paraId="60F853B7" w14:textId="77777777" w:rsidR="00A528CF" w:rsidRPr="000C0842" w:rsidRDefault="00A528CF" w:rsidP="00A528CF">
            <w:pPr>
              <w:jc w:val="right"/>
              <w:rPr>
                <w:rFonts w:eastAsia="Times New Roman"/>
                <w:sz w:val="20"/>
                <w:szCs w:val="20"/>
                <w:lang w:val="en-GB"/>
              </w:rPr>
            </w:pPr>
            <w:r w:rsidRPr="000C0842">
              <w:rPr>
                <w:rFonts w:eastAsia="Times New Roman"/>
                <w:sz w:val="20"/>
                <w:szCs w:val="20"/>
                <w:lang w:val="en-GB"/>
              </w:rPr>
              <w:t>1 272 000</w:t>
            </w:r>
          </w:p>
        </w:tc>
      </w:tr>
      <w:tr w:rsidR="000C0842" w:rsidRPr="000C0842" w14:paraId="1DAB0DDB" w14:textId="77777777" w:rsidTr="001F32B3">
        <w:trPr>
          <w:trHeight w:val="227"/>
        </w:trPr>
        <w:tc>
          <w:tcPr>
            <w:tcW w:w="7938" w:type="dxa"/>
            <w:gridSpan w:val="2"/>
            <w:tcBorders>
              <w:top w:val="single" w:sz="4" w:space="0" w:color="auto"/>
              <w:bottom w:val="single" w:sz="4" w:space="0" w:color="auto"/>
            </w:tcBorders>
            <w:noWrap/>
            <w:vAlign w:val="bottom"/>
            <w:hideMark/>
          </w:tcPr>
          <w:p w14:paraId="5B023611" w14:textId="77777777" w:rsidR="00A528CF" w:rsidRPr="000C0842" w:rsidRDefault="00A528CF" w:rsidP="00A528CF">
            <w:pPr>
              <w:tabs>
                <w:tab w:val="clear" w:pos="567"/>
              </w:tabs>
              <w:ind w:left="318"/>
              <w:jc w:val="left"/>
              <w:rPr>
                <w:rFonts w:eastAsia="Times New Roman"/>
                <w:b/>
                <w:bCs/>
                <w:sz w:val="20"/>
                <w:szCs w:val="20"/>
                <w:lang w:val="en-GB"/>
              </w:rPr>
            </w:pPr>
            <w:r w:rsidRPr="000C0842">
              <w:rPr>
                <w:rFonts w:ascii="SimSun" w:eastAsia="SimSun" w:hAnsi="SimSun" w:cs="SimSun" w:hint="eastAsia"/>
                <w:b/>
                <w:bCs/>
                <w:sz w:val="20"/>
                <w:szCs w:val="20"/>
                <w:lang w:val="en-GB"/>
              </w:rPr>
              <w:t>小计</w:t>
            </w:r>
          </w:p>
        </w:tc>
        <w:tc>
          <w:tcPr>
            <w:tcW w:w="1418" w:type="dxa"/>
            <w:tcBorders>
              <w:top w:val="single" w:sz="4" w:space="0" w:color="auto"/>
              <w:bottom w:val="single" w:sz="4" w:space="0" w:color="auto"/>
            </w:tcBorders>
            <w:noWrap/>
            <w:vAlign w:val="center"/>
            <w:hideMark/>
          </w:tcPr>
          <w:p w14:paraId="7EE1208F" w14:textId="77777777" w:rsidR="00A528CF" w:rsidRPr="000C0842" w:rsidRDefault="00A528CF" w:rsidP="00A528CF">
            <w:pPr>
              <w:jc w:val="right"/>
              <w:rPr>
                <w:rFonts w:eastAsia="Times New Roman"/>
                <w:b/>
                <w:bCs/>
                <w:sz w:val="20"/>
                <w:szCs w:val="20"/>
                <w:lang w:val="en-GB"/>
              </w:rPr>
            </w:pPr>
            <w:r w:rsidRPr="000C0842">
              <w:rPr>
                <w:rFonts w:eastAsia="Times New Roman"/>
                <w:b/>
                <w:bCs/>
                <w:sz w:val="20"/>
                <w:szCs w:val="20"/>
                <w:lang w:val="en-GB"/>
              </w:rPr>
              <w:t>5 973 000</w:t>
            </w:r>
          </w:p>
        </w:tc>
      </w:tr>
      <w:tr w:rsidR="000C0842" w:rsidRPr="000C0842" w14:paraId="6CCD2370" w14:textId="77777777" w:rsidTr="001F32B3">
        <w:trPr>
          <w:trHeight w:val="227"/>
        </w:trPr>
        <w:tc>
          <w:tcPr>
            <w:tcW w:w="7938" w:type="dxa"/>
            <w:gridSpan w:val="2"/>
            <w:tcBorders>
              <w:top w:val="single" w:sz="4" w:space="0" w:color="auto"/>
              <w:bottom w:val="single" w:sz="4" w:space="0" w:color="auto"/>
            </w:tcBorders>
            <w:noWrap/>
            <w:vAlign w:val="bottom"/>
          </w:tcPr>
          <w:p w14:paraId="463F406F" w14:textId="77777777" w:rsidR="00A528CF" w:rsidRPr="000C0842" w:rsidRDefault="00A528CF" w:rsidP="00A528CF">
            <w:pPr>
              <w:jc w:val="left"/>
              <w:rPr>
                <w:rFonts w:eastAsia="SimSun"/>
                <w:sz w:val="20"/>
                <w:szCs w:val="20"/>
                <w:lang w:val="en-GB"/>
              </w:rPr>
            </w:pPr>
            <w:r w:rsidRPr="000C0842">
              <w:rPr>
                <w:rFonts w:eastAsia="SimSun"/>
                <w:sz w:val="20"/>
                <w:szCs w:val="20"/>
                <w:lang w:val="en-GB"/>
              </w:rPr>
              <w:t>方案支助费用</w:t>
            </w:r>
            <w:r w:rsidRPr="000C0842">
              <w:rPr>
                <w:rFonts w:eastAsia="SimSun"/>
                <w:sz w:val="20"/>
                <w:szCs w:val="20"/>
                <w:lang w:val="en-GB"/>
              </w:rPr>
              <w:t xml:space="preserve"> (13%)</w:t>
            </w:r>
          </w:p>
        </w:tc>
        <w:tc>
          <w:tcPr>
            <w:tcW w:w="1418" w:type="dxa"/>
            <w:tcBorders>
              <w:top w:val="single" w:sz="4" w:space="0" w:color="auto"/>
              <w:bottom w:val="single" w:sz="4" w:space="0" w:color="auto"/>
            </w:tcBorders>
            <w:noWrap/>
          </w:tcPr>
          <w:p w14:paraId="0397ACCF" w14:textId="77777777" w:rsidR="00A528CF" w:rsidRPr="000C0842" w:rsidRDefault="00A528CF" w:rsidP="00A528CF">
            <w:pPr>
              <w:jc w:val="right"/>
              <w:rPr>
                <w:rFonts w:eastAsia="Times New Roman"/>
                <w:b/>
                <w:bCs/>
                <w:sz w:val="20"/>
                <w:szCs w:val="20"/>
                <w:lang w:val="en-GB"/>
              </w:rPr>
            </w:pPr>
            <w:r w:rsidRPr="000C0842">
              <w:rPr>
                <w:rFonts w:eastAsia="SimSun"/>
                <w:sz w:val="20"/>
                <w:szCs w:val="20"/>
                <w:lang w:val="en-GB"/>
              </w:rPr>
              <w:t>776 490</w:t>
            </w:r>
          </w:p>
        </w:tc>
      </w:tr>
      <w:tr w:rsidR="000C0842" w:rsidRPr="000C0842" w14:paraId="575D5C57" w14:textId="77777777" w:rsidTr="001F32B3">
        <w:trPr>
          <w:trHeight w:val="227"/>
        </w:trPr>
        <w:tc>
          <w:tcPr>
            <w:tcW w:w="7938" w:type="dxa"/>
            <w:gridSpan w:val="2"/>
            <w:tcBorders>
              <w:top w:val="single" w:sz="4" w:space="0" w:color="auto"/>
              <w:bottom w:val="single" w:sz="4" w:space="0" w:color="auto"/>
            </w:tcBorders>
            <w:noWrap/>
            <w:vAlign w:val="bottom"/>
          </w:tcPr>
          <w:p w14:paraId="14D58044" w14:textId="77777777" w:rsidR="00A528CF" w:rsidRPr="000C0842" w:rsidRDefault="00A528CF" w:rsidP="00A528CF">
            <w:pPr>
              <w:tabs>
                <w:tab w:val="clear" w:pos="567"/>
              </w:tabs>
              <w:ind w:left="318"/>
              <w:jc w:val="left"/>
              <w:rPr>
                <w:rFonts w:ascii="SimSun" w:eastAsia="SimSun" w:hAnsi="SimSun" w:cs="SimSun"/>
                <w:b/>
                <w:bCs/>
                <w:sz w:val="20"/>
                <w:szCs w:val="20"/>
                <w:lang w:val="en-GB"/>
              </w:rPr>
            </w:pPr>
            <w:r w:rsidRPr="000C0842">
              <w:rPr>
                <w:rFonts w:ascii="SimSun" w:eastAsia="SimSun" w:hAnsi="SimSun" w:cs="SimSun" w:hint="eastAsia"/>
                <w:b/>
                <w:bCs/>
                <w:sz w:val="20"/>
                <w:szCs w:val="20"/>
                <w:lang w:val="en-GB"/>
              </w:rPr>
              <w:t>共计</w:t>
            </w:r>
          </w:p>
        </w:tc>
        <w:tc>
          <w:tcPr>
            <w:tcW w:w="1418" w:type="dxa"/>
            <w:tcBorders>
              <w:top w:val="single" w:sz="4" w:space="0" w:color="auto"/>
              <w:bottom w:val="single" w:sz="4" w:space="0" w:color="auto"/>
            </w:tcBorders>
            <w:noWrap/>
          </w:tcPr>
          <w:p w14:paraId="5DA67EDA" w14:textId="77777777" w:rsidR="00A528CF" w:rsidRPr="000C0842" w:rsidRDefault="00A528CF" w:rsidP="00A528CF">
            <w:pPr>
              <w:jc w:val="right"/>
              <w:rPr>
                <w:rFonts w:eastAsia="Times New Roman"/>
                <w:b/>
                <w:bCs/>
                <w:sz w:val="20"/>
                <w:szCs w:val="20"/>
                <w:lang w:val="en-GB"/>
              </w:rPr>
            </w:pPr>
            <w:r w:rsidRPr="000C0842">
              <w:rPr>
                <w:rFonts w:eastAsia="SimSun"/>
                <w:b/>
                <w:bCs/>
                <w:sz w:val="20"/>
                <w:szCs w:val="20"/>
                <w:lang w:val="en-GB"/>
              </w:rPr>
              <w:t>6 749 490</w:t>
            </w:r>
          </w:p>
        </w:tc>
      </w:tr>
    </w:tbl>
    <w:p w14:paraId="33AC6C11" w14:textId="77777777" w:rsidR="00A528CF" w:rsidRPr="000C0842" w:rsidRDefault="00A528CF" w:rsidP="00A528CF">
      <w:pPr>
        <w:tabs>
          <w:tab w:val="clear" w:pos="1134"/>
          <w:tab w:val="left" w:pos="990"/>
          <w:tab w:val="left" w:pos="2835"/>
          <w:tab w:val="left" w:pos="3402"/>
        </w:tabs>
        <w:spacing w:before="120"/>
        <w:ind w:left="567"/>
        <w:jc w:val="left"/>
        <w:rPr>
          <w:rFonts w:eastAsia="SimSun"/>
          <w:sz w:val="18"/>
          <w:szCs w:val="18"/>
          <w:lang w:val="en-GB"/>
        </w:rPr>
      </w:pPr>
      <w:r w:rsidRPr="000C0842">
        <w:rPr>
          <w:rFonts w:eastAsia="SimSun"/>
          <w:i/>
          <w:iCs/>
          <w:sz w:val="18"/>
          <w:szCs w:val="18"/>
          <w:lang w:val="en-GB"/>
        </w:rPr>
        <w:tab/>
      </w:r>
      <w:r w:rsidRPr="000C0842">
        <w:rPr>
          <w:rFonts w:ascii="KaiTi" w:eastAsia="KaiTi" w:hAnsi="KaiTi" w:hint="eastAsia"/>
          <w:sz w:val="18"/>
          <w:szCs w:val="18"/>
          <w:lang w:val="en-GB"/>
        </w:rPr>
        <w:t>英文缩写：</w:t>
      </w:r>
      <w:r w:rsidRPr="000C0842">
        <w:rPr>
          <w:rFonts w:eastAsia="SimSun"/>
          <w:sz w:val="18"/>
          <w:szCs w:val="18"/>
          <w:lang w:val="en-GB"/>
        </w:rPr>
        <w:t xml:space="preserve"> GS</w:t>
      </w:r>
      <w:r w:rsidRPr="000C0842">
        <w:rPr>
          <w:rFonts w:eastAsia="SimSun" w:hint="eastAsia"/>
          <w:sz w:val="18"/>
          <w:szCs w:val="18"/>
          <w:lang w:val="en-GB"/>
        </w:rPr>
        <w:t>：一般事务人员；</w:t>
      </w:r>
      <w:r w:rsidRPr="000C0842">
        <w:rPr>
          <w:rFonts w:eastAsia="SimSun"/>
          <w:sz w:val="18"/>
          <w:szCs w:val="18"/>
          <w:lang w:val="en-GB"/>
        </w:rPr>
        <w:t>P</w:t>
      </w:r>
      <w:r w:rsidRPr="000C0842">
        <w:rPr>
          <w:rFonts w:eastAsia="SimSun" w:hint="eastAsia"/>
          <w:sz w:val="18"/>
          <w:szCs w:val="18"/>
          <w:lang w:val="en-GB"/>
        </w:rPr>
        <w:t>：专业人员。</w:t>
      </w:r>
    </w:p>
    <w:p w14:paraId="78BAA8AE" w14:textId="77777777" w:rsidR="00A528CF" w:rsidRPr="000C0842" w:rsidRDefault="00A528CF" w:rsidP="00A528CF">
      <w:pPr>
        <w:ind w:left="490"/>
        <w:rPr>
          <w:rFonts w:eastAsia="SimSun"/>
          <w:b/>
          <w:bCs/>
          <w:sz w:val="24"/>
          <w:szCs w:val="24"/>
          <w:lang w:val="en-GB"/>
        </w:rPr>
      </w:pPr>
    </w:p>
    <w:p w14:paraId="2BE6199E" w14:textId="77777777" w:rsidR="00A528CF" w:rsidRPr="000C0842" w:rsidRDefault="00A528CF" w:rsidP="00A528CF">
      <w:pPr>
        <w:keepNext/>
        <w:ind w:left="490"/>
        <w:rPr>
          <w:rFonts w:eastAsia="SimSun"/>
          <w:sz w:val="24"/>
          <w:szCs w:val="24"/>
          <w:lang w:val="en-GB"/>
        </w:rPr>
      </w:pPr>
      <w:r w:rsidRPr="000C0842">
        <w:rPr>
          <w:rFonts w:eastAsia="SimSun" w:hint="eastAsia"/>
          <w:sz w:val="24"/>
          <w:szCs w:val="24"/>
          <w:lang w:val="en-GB"/>
        </w:rPr>
        <w:t>表</w:t>
      </w:r>
      <w:r w:rsidRPr="000C0842">
        <w:rPr>
          <w:rFonts w:eastAsia="SimSun"/>
          <w:sz w:val="24"/>
          <w:szCs w:val="24"/>
          <w:lang w:val="en-GB"/>
        </w:rPr>
        <w:t xml:space="preserve"> </w:t>
      </w:r>
      <w:r w:rsidRPr="000C0842">
        <w:rPr>
          <w:rFonts w:eastAsia="SimSun" w:hint="eastAsia"/>
          <w:sz w:val="24"/>
          <w:szCs w:val="24"/>
          <w:lang w:val="en-GB"/>
        </w:rPr>
        <w:t>6</w:t>
      </w:r>
    </w:p>
    <w:p w14:paraId="3571865C" w14:textId="77777777" w:rsidR="00A528CF" w:rsidRPr="000C0842" w:rsidRDefault="00A528CF" w:rsidP="00A528CF">
      <w:pPr>
        <w:keepNext/>
        <w:ind w:left="490"/>
        <w:rPr>
          <w:rFonts w:eastAsia="SimSun"/>
          <w:b/>
          <w:bCs/>
          <w:sz w:val="24"/>
          <w:szCs w:val="24"/>
          <w:lang w:val="en-GB"/>
        </w:rPr>
      </w:pPr>
      <w:r w:rsidRPr="000C0842">
        <w:rPr>
          <w:rFonts w:eastAsia="SimSun"/>
          <w:b/>
          <w:bCs/>
          <w:sz w:val="24"/>
          <w:szCs w:val="24"/>
          <w:lang w:val="en-GB"/>
        </w:rPr>
        <w:t>2025–2026</w:t>
      </w:r>
      <w:r w:rsidRPr="000C0842">
        <w:rPr>
          <w:rFonts w:eastAsia="SimSun"/>
          <w:b/>
          <w:bCs/>
          <w:sz w:val="24"/>
          <w:szCs w:val="24"/>
          <w:lang w:val="en-GB"/>
        </w:rPr>
        <w:t>年资助缔约方参与公约进程特别自愿信托基金</w:t>
      </w:r>
      <w:r w:rsidRPr="000C0842">
        <w:rPr>
          <w:rFonts w:eastAsia="SimSun" w:hint="eastAsia"/>
          <w:b/>
          <w:bCs/>
          <w:sz w:val="24"/>
          <w:szCs w:val="24"/>
          <w:lang w:val="en-GB"/>
        </w:rPr>
        <w:t>所需资源</w:t>
      </w:r>
    </w:p>
    <w:p w14:paraId="5F3C4798" w14:textId="77777777" w:rsidR="00A528CF" w:rsidRPr="000C0842" w:rsidRDefault="00A528CF" w:rsidP="00A528CF">
      <w:pPr>
        <w:keepNext/>
        <w:spacing w:after="120"/>
        <w:ind w:left="490"/>
        <w:rPr>
          <w:rFonts w:eastAsia="SimSun"/>
          <w:sz w:val="20"/>
          <w:szCs w:val="20"/>
          <w:lang w:val="en-GB"/>
        </w:rPr>
      </w:pPr>
      <w:r w:rsidRPr="000C0842">
        <w:rPr>
          <w:rFonts w:eastAsia="SimSun"/>
          <w:sz w:val="20"/>
          <w:szCs w:val="20"/>
          <w:lang w:val="en-GB"/>
        </w:rPr>
        <w:t>（千美元）</w:t>
      </w:r>
    </w:p>
    <w:tbl>
      <w:tblPr>
        <w:tblW w:w="8356" w:type="dxa"/>
        <w:jc w:val="center"/>
        <w:tblLook w:val="04A0" w:firstRow="1" w:lastRow="0" w:firstColumn="1" w:lastColumn="0" w:noHBand="0" w:noVBand="1"/>
      </w:tblPr>
      <w:tblGrid>
        <w:gridCol w:w="6840"/>
        <w:gridCol w:w="1516"/>
      </w:tblGrid>
      <w:tr w:rsidR="000C0842" w:rsidRPr="000C0842" w14:paraId="469BBFC0" w14:textId="77777777" w:rsidTr="001F32B3">
        <w:trPr>
          <w:trHeight w:val="339"/>
          <w:tblHeader/>
          <w:jc w:val="center"/>
        </w:trPr>
        <w:tc>
          <w:tcPr>
            <w:tcW w:w="6840" w:type="dxa"/>
            <w:tcBorders>
              <w:top w:val="single" w:sz="4" w:space="0" w:color="auto"/>
              <w:left w:val="nil"/>
              <w:bottom w:val="single" w:sz="4" w:space="0" w:color="auto"/>
              <w:right w:val="nil"/>
            </w:tcBorders>
            <w:vAlign w:val="center"/>
            <w:hideMark/>
          </w:tcPr>
          <w:p w14:paraId="269379B2" w14:textId="77777777" w:rsidR="00A528CF" w:rsidRPr="000C0842" w:rsidRDefault="00A528CF" w:rsidP="00A528CF">
            <w:pPr>
              <w:keepNext/>
              <w:rPr>
                <w:rFonts w:eastAsia="KaiTi"/>
                <w:sz w:val="20"/>
                <w:szCs w:val="20"/>
                <w:lang w:val="en-GB"/>
              </w:rPr>
            </w:pPr>
            <w:r w:rsidRPr="000C0842">
              <w:rPr>
                <w:rFonts w:eastAsia="KaiTi"/>
                <w:sz w:val="20"/>
                <w:szCs w:val="20"/>
                <w:lang w:val="en-GB"/>
              </w:rPr>
              <w:t>会议</w:t>
            </w:r>
          </w:p>
        </w:tc>
        <w:tc>
          <w:tcPr>
            <w:tcW w:w="1516" w:type="dxa"/>
            <w:tcBorders>
              <w:top w:val="single" w:sz="4" w:space="0" w:color="auto"/>
              <w:left w:val="nil"/>
              <w:bottom w:val="single" w:sz="4" w:space="0" w:color="auto"/>
              <w:right w:val="nil"/>
            </w:tcBorders>
            <w:vAlign w:val="center"/>
            <w:hideMark/>
          </w:tcPr>
          <w:p w14:paraId="02B07596" w14:textId="77777777" w:rsidR="00A528CF" w:rsidRPr="000C0842" w:rsidRDefault="00A528CF" w:rsidP="00A528CF">
            <w:pPr>
              <w:keepNext/>
              <w:ind w:right="72"/>
              <w:jc w:val="right"/>
              <w:rPr>
                <w:rFonts w:eastAsia="KaiTi"/>
                <w:sz w:val="20"/>
                <w:szCs w:val="20"/>
                <w:lang w:val="en-GB"/>
              </w:rPr>
            </w:pPr>
            <w:r w:rsidRPr="000C0842">
              <w:rPr>
                <w:rFonts w:eastAsia="KaiTi"/>
                <w:sz w:val="20"/>
                <w:szCs w:val="20"/>
                <w:lang w:val="en-GB"/>
              </w:rPr>
              <w:t>2025–2026</w:t>
            </w:r>
          </w:p>
        </w:tc>
      </w:tr>
      <w:tr w:rsidR="000C0842" w:rsidRPr="000C0842" w14:paraId="148A0C2A" w14:textId="77777777" w:rsidTr="001F32B3">
        <w:trPr>
          <w:trHeight w:val="288"/>
          <w:jc w:val="center"/>
        </w:trPr>
        <w:tc>
          <w:tcPr>
            <w:tcW w:w="6840" w:type="dxa"/>
            <w:tcBorders>
              <w:top w:val="nil"/>
              <w:left w:val="nil"/>
              <w:bottom w:val="nil"/>
              <w:right w:val="nil"/>
            </w:tcBorders>
            <w:noWrap/>
            <w:vAlign w:val="center"/>
            <w:hideMark/>
          </w:tcPr>
          <w:p w14:paraId="601814CC" w14:textId="77777777" w:rsidR="00A528CF" w:rsidRPr="000C0842" w:rsidRDefault="00A528CF" w:rsidP="00A528CF">
            <w:pPr>
              <w:keepNext/>
              <w:rPr>
                <w:rFonts w:eastAsia="SimSun"/>
                <w:sz w:val="20"/>
                <w:szCs w:val="20"/>
                <w:lang w:val="en-GB"/>
              </w:rPr>
            </w:pPr>
            <w:r w:rsidRPr="000C0842">
              <w:rPr>
                <w:rFonts w:eastAsia="SimSun" w:hint="eastAsia"/>
                <w:sz w:val="20"/>
                <w:szCs w:val="20"/>
                <w:lang w:val="en-GB"/>
              </w:rPr>
              <w:t>公约缔约方大会第十七届会议、</w:t>
            </w:r>
            <w:r w:rsidRPr="000C0842">
              <w:rPr>
                <w:rFonts w:eastAsia="SimSun"/>
                <w:sz w:val="20"/>
                <w:szCs w:val="20"/>
                <w:lang w:val="en-GB"/>
              </w:rPr>
              <w:t>作为</w:t>
            </w:r>
            <w:r w:rsidRPr="000C0842">
              <w:rPr>
                <w:rFonts w:eastAsia="SimSun" w:hint="eastAsia"/>
                <w:sz w:val="20"/>
                <w:szCs w:val="20"/>
                <w:lang w:val="en-GB"/>
              </w:rPr>
              <w:t>卡塔赫纳</w:t>
            </w:r>
            <w:r w:rsidRPr="000C0842">
              <w:rPr>
                <w:rFonts w:eastAsia="SimSun"/>
                <w:sz w:val="20"/>
                <w:szCs w:val="20"/>
                <w:lang w:val="en-GB"/>
              </w:rPr>
              <w:t>议定书缔约方会议的缔约方大会</w:t>
            </w:r>
            <w:r w:rsidRPr="000C0842">
              <w:rPr>
                <w:rFonts w:eastAsia="SimSun" w:hint="eastAsia"/>
                <w:sz w:val="20"/>
                <w:szCs w:val="20"/>
                <w:lang w:val="en-GB"/>
              </w:rPr>
              <w:t>第十二次会议和作为名古屋议定书缔约方会议的缔约方大会第六次会议</w:t>
            </w:r>
            <w:r w:rsidRPr="000C0842">
              <w:rPr>
                <w:rFonts w:eastAsia="SimSun"/>
                <w:i/>
                <w:iCs/>
                <w:sz w:val="20"/>
                <w:szCs w:val="20"/>
                <w:vertAlign w:val="superscript"/>
                <w:lang w:val="en-GB"/>
              </w:rPr>
              <w:t>a</w:t>
            </w:r>
          </w:p>
        </w:tc>
        <w:tc>
          <w:tcPr>
            <w:tcW w:w="1516" w:type="dxa"/>
            <w:tcBorders>
              <w:top w:val="nil"/>
              <w:left w:val="nil"/>
              <w:bottom w:val="nil"/>
              <w:right w:val="nil"/>
            </w:tcBorders>
            <w:vAlign w:val="center"/>
            <w:hideMark/>
          </w:tcPr>
          <w:p w14:paraId="16E2C41B" w14:textId="77777777" w:rsidR="00A528CF" w:rsidRPr="000C0842" w:rsidRDefault="00A528CF" w:rsidP="00A528CF">
            <w:pPr>
              <w:keepNext/>
              <w:ind w:right="72"/>
              <w:jc w:val="right"/>
              <w:rPr>
                <w:rFonts w:eastAsia="SimSun"/>
                <w:lang w:val="en-GB"/>
              </w:rPr>
            </w:pPr>
            <w:r w:rsidRPr="000C0842">
              <w:rPr>
                <w:rFonts w:eastAsia="SimSun"/>
                <w:lang w:val="en-GB"/>
              </w:rPr>
              <w:t>2 925.9</w:t>
            </w:r>
          </w:p>
        </w:tc>
      </w:tr>
      <w:tr w:rsidR="000C0842" w:rsidRPr="000C0842" w14:paraId="3B130758" w14:textId="77777777" w:rsidTr="001F32B3">
        <w:trPr>
          <w:trHeight w:val="288"/>
          <w:jc w:val="center"/>
        </w:trPr>
        <w:tc>
          <w:tcPr>
            <w:tcW w:w="6840" w:type="dxa"/>
            <w:tcBorders>
              <w:top w:val="nil"/>
              <w:left w:val="nil"/>
              <w:bottom w:val="nil"/>
              <w:right w:val="nil"/>
            </w:tcBorders>
            <w:noWrap/>
            <w:vAlign w:val="center"/>
            <w:hideMark/>
          </w:tcPr>
          <w:p w14:paraId="0F015E42" w14:textId="77777777" w:rsidR="00A528CF" w:rsidRPr="000C0842" w:rsidRDefault="00A528CF" w:rsidP="00A528CF">
            <w:pPr>
              <w:keepNext/>
              <w:rPr>
                <w:rFonts w:eastAsia="SimSun"/>
                <w:sz w:val="20"/>
                <w:szCs w:val="20"/>
                <w:lang w:val="en-GB"/>
              </w:rPr>
            </w:pPr>
            <w:r w:rsidRPr="000C0842">
              <w:rPr>
                <w:rFonts w:eastAsia="SimSun"/>
                <w:sz w:val="20"/>
                <w:szCs w:val="20"/>
                <w:lang w:val="en-GB"/>
              </w:rPr>
              <w:t>科学、技术和工艺咨询附属机构第二十七次</w:t>
            </w:r>
            <w:r w:rsidRPr="000C0842">
              <w:rPr>
                <w:rFonts w:eastAsia="SimSun" w:hint="eastAsia"/>
                <w:sz w:val="20"/>
                <w:szCs w:val="20"/>
                <w:lang w:val="en-GB"/>
              </w:rPr>
              <w:t>会议和</w:t>
            </w:r>
            <w:r w:rsidRPr="000C0842">
              <w:rPr>
                <w:rFonts w:eastAsia="SimSun"/>
                <w:sz w:val="20"/>
                <w:szCs w:val="20"/>
                <w:lang w:val="en-GB"/>
              </w:rPr>
              <w:t>公约</w:t>
            </w:r>
            <w:r w:rsidRPr="000C0842">
              <w:rPr>
                <w:rFonts w:eastAsia="SimSun" w:hint="eastAsia"/>
                <w:sz w:val="20"/>
                <w:szCs w:val="20"/>
                <w:lang w:val="en-GB"/>
              </w:rPr>
              <w:t>关于</w:t>
            </w:r>
            <w:r w:rsidRPr="000C0842">
              <w:rPr>
                <w:rFonts w:eastAsia="SimSun"/>
                <w:sz w:val="20"/>
                <w:szCs w:val="20"/>
                <w:lang w:val="en-GB"/>
              </w:rPr>
              <w:t>土著人民和地方社区</w:t>
            </w:r>
            <w:r w:rsidRPr="000C0842">
              <w:rPr>
                <w:rFonts w:eastAsia="SimSun" w:hint="eastAsia"/>
                <w:sz w:val="20"/>
                <w:szCs w:val="20"/>
                <w:lang w:val="en-GB"/>
              </w:rPr>
              <w:t>的</w:t>
            </w:r>
            <w:r w:rsidRPr="000C0842">
              <w:rPr>
                <w:rFonts w:eastAsia="SimSun"/>
                <w:sz w:val="20"/>
                <w:szCs w:val="20"/>
                <w:lang w:val="en-GB"/>
              </w:rPr>
              <w:t>第</w:t>
            </w:r>
            <w:r w:rsidRPr="000C0842">
              <w:rPr>
                <w:rFonts w:eastAsia="SimSun"/>
                <w:sz w:val="20"/>
                <w:szCs w:val="20"/>
                <w:lang w:val="en-GB"/>
              </w:rPr>
              <w:t>8(j)</w:t>
            </w:r>
            <w:r w:rsidRPr="000C0842">
              <w:rPr>
                <w:rFonts w:eastAsia="SimSun"/>
                <w:sz w:val="20"/>
                <w:szCs w:val="20"/>
                <w:lang w:val="en-GB"/>
              </w:rPr>
              <w:t>条和其他条款附属机构第一次会议</w:t>
            </w:r>
            <w:r w:rsidRPr="000C0842">
              <w:rPr>
                <w:rFonts w:eastAsia="SimSun"/>
                <w:i/>
                <w:iCs/>
                <w:sz w:val="20"/>
                <w:szCs w:val="20"/>
                <w:vertAlign w:val="superscript"/>
                <w:lang w:val="en-GB"/>
              </w:rPr>
              <w:t>b</w:t>
            </w:r>
          </w:p>
        </w:tc>
        <w:tc>
          <w:tcPr>
            <w:tcW w:w="1516" w:type="dxa"/>
            <w:tcBorders>
              <w:top w:val="nil"/>
              <w:left w:val="nil"/>
              <w:bottom w:val="nil"/>
              <w:right w:val="nil"/>
            </w:tcBorders>
            <w:vAlign w:val="center"/>
            <w:hideMark/>
          </w:tcPr>
          <w:p w14:paraId="4289C9E4" w14:textId="77777777" w:rsidR="00A528CF" w:rsidRPr="000C0842" w:rsidRDefault="00A528CF" w:rsidP="00A528CF">
            <w:pPr>
              <w:keepNext/>
              <w:ind w:right="72"/>
              <w:jc w:val="right"/>
              <w:rPr>
                <w:rFonts w:eastAsia="SimSun"/>
                <w:lang w:val="en-GB"/>
              </w:rPr>
            </w:pPr>
            <w:r w:rsidRPr="000C0842">
              <w:rPr>
                <w:rFonts w:eastAsia="SimSun"/>
                <w:lang w:val="en-GB"/>
              </w:rPr>
              <w:t>1 811.1</w:t>
            </w:r>
          </w:p>
        </w:tc>
      </w:tr>
      <w:tr w:rsidR="000C0842" w:rsidRPr="000C0842" w14:paraId="72CD4DA7" w14:textId="77777777" w:rsidTr="001F32B3">
        <w:trPr>
          <w:trHeight w:val="288"/>
          <w:jc w:val="center"/>
        </w:trPr>
        <w:tc>
          <w:tcPr>
            <w:tcW w:w="6840" w:type="dxa"/>
            <w:tcBorders>
              <w:top w:val="nil"/>
              <w:left w:val="nil"/>
              <w:bottom w:val="nil"/>
              <w:right w:val="nil"/>
            </w:tcBorders>
            <w:noWrap/>
            <w:vAlign w:val="center"/>
            <w:hideMark/>
          </w:tcPr>
          <w:p w14:paraId="640D9ACD" w14:textId="77777777" w:rsidR="00A528CF" w:rsidRPr="000C0842" w:rsidRDefault="00A528CF" w:rsidP="00A528CF">
            <w:pPr>
              <w:rPr>
                <w:rFonts w:eastAsia="SimSun"/>
                <w:sz w:val="20"/>
                <w:szCs w:val="20"/>
                <w:lang w:val="en-GB"/>
              </w:rPr>
            </w:pPr>
            <w:r w:rsidRPr="000C0842">
              <w:rPr>
                <w:rFonts w:eastAsia="SimSun"/>
                <w:sz w:val="20"/>
                <w:szCs w:val="20"/>
                <w:lang w:val="en-GB"/>
              </w:rPr>
              <w:t>科学、技术和工艺咨询附属机构第二十</w:t>
            </w:r>
            <w:r w:rsidRPr="000C0842">
              <w:rPr>
                <w:rFonts w:eastAsia="SimSun" w:hint="eastAsia"/>
                <w:sz w:val="20"/>
                <w:szCs w:val="20"/>
                <w:lang w:val="en-GB"/>
              </w:rPr>
              <w:t>八</w:t>
            </w:r>
            <w:r w:rsidRPr="000C0842">
              <w:rPr>
                <w:rFonts w:eastAsia="SimSun"/>
                <w:sz w:val="20"/>
                <w:szCs w:val="20"/>
                <w:lang w:val="en-GB"/>
              </w:rPr>
              <w:t>次</w:t>
            </w:r>
            <w:r w:rsidRPr="000C0842">
              <w:rPr>
                <w:rFonts w:eastAsia="SimSun" w:hint="eastAsia"/>
                <w:sz w:val="20"/>
                <w:szCs w:val="20"/>
                <w:lang w:val="en-GB"/>
              </w:rPr>
              <w:t>会议和执行问题附属机构第六次会议</w:t>
            </w:r>
            <w:r w:rsidRPr="000C0842">
              <w:rPr>
                <w:rFonts w:eastAsia="SimSun"/>
                <w:sz w:val="20"/>
                <w:szCs w:val="20"/>
                <w:vertAlign w:val="superscript"/>
                <w:lang w:val="en-GB"/>
              </w:rPr>
              <w:t>b</w:t>
            </w:r>
          </w:p>
        </w:tc>
        <w:tc>
          <w:tcPr>
            <w:tcW w:w="1516" w:type="dxa"/>
            <w:tcBorders>
              <w:top w:val="nil"/>
              <w:left w:val="nil"/>
              <w:bottom w:val="nil"/>
              <w:right w:val="nil"/>
            </w:tcBorders>
            <w:vAlign w:val="center"/>
            <w:hideMark/>
          </w:tcPr>
          <w:p w14:paraId="78F89086" w14:textId="77777777" w:rsidR="00A528CF" w:rsidRPr="000C0842" w:rsidRDefault="00A528CF" w:rsidP="00A528CF">
            <w:pPr>
              <w:ind w:right="72"/>
              <w:jc w:val="right"/>
              <w:rPr>
                <w:rFonts w:eastAsia="SimSun"/>
                <w:lang w:val="en-GB"/>
              </w:rPr>
            </w:pPr>
            <w:r w:rsidRPr="000C0842">
              <w:rPr>
                <w:rFonts w:eastAsia="SimSun"/>
                <w:lang w:val="en-GB"/>
              </w:rPr>
              <w:t>2 249.1</w:t>
            </w:r>
          </w:p>
        </w:tc>
      </w:tr>
      <w:tr w:rsidR="000C0842" w:rsidRPr="000C0842" w14:paraId="3926EEEB" w14:textId="77777777" w:rsidTr="001F32B3">
        <w:trPr>
          <w:trHeight w:val="300"/>
          <w:jc w:val="center"/>
        </w:trPr>
        <w:tc>
          <w:tcPr>
            <w:tcW w:w="6840" w:type="dxa"/>
            <w:tcBorders>
              <w:top w:val="nil"/>
              <w:left w:val="nil"/>
              <w:bottom w:val="single" w:sz="8" w:space="0" w:color="000000"/>
              <w:right w:val="nil"/>
            </w:tcBorders>
            <w:vAlign w:val="center"/>
            <w:hideMark/>
          </w:tcPr>
          <w:p w14:paraId="4928EBF0"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1516" w:type="dxa"/>
            <w:tcBorders>
              <w:top w:val="nil"/>
              <w:left w:val="nil"/>
              <w:bottom w:val="single" w:sz="8" w:space="0" w:color="000000"/>
              <w:right w:val="nil"/>
            </w:tcBorders>
            <w:vAlign w:val="center"/>
            <w:hideMark/>
          </w:tcPr>
          <w:p w14:paraId="41F04229" w14:textId="77777777" w:rsidR="00A528CF" w:rsidRPr="000C0842" w:rsidRDefault="00A528CF" w:rsidP="00A528CF">
            <w:pPr>
              <w:ind w:right="72"/>
              <w:jc w:val="right"/>
              <w:rPr>
                <w:rFonts w:eastAsia="SimSun"/>
                <w:b/>
                <w:bCs/>
                <w:lang w:val="en-GB"/>
              </w:rPr>
            </w:pPr>
            <w:r w:rsidRPr="000C0842">
              <w:rPr>
                <w:rFonts w:eastAsia="SimSun"/>
                <w:b/>
                <w:bCs/>
                <w:lang w:val="en-GB"/>
              </w:rPr>
              <w:t>6 986.1</w:t>
            </w:r>
          </w:p>
        </w:tc>
      </w:tr>
      <w:tr w:rsidR="000C0842" w:rsidRPr="000C0842" w14:paraId="0929ECB7" w14:textId="77777777" w:rsidTr="001F32B3">
        <w:trPr>
          <w:trHeight w:val="300"/>
          <w:jc w:val="center"/>
        </w:trPr>
        <w:tc>
          <w:tcPr>
            <w:tcW w:w="6840" w:type="dxa"/>
            <w:tcBorders>
              <w:top w:val="nil"/>
              <w:left w:val="nil"/>
              <w:bottom w:val="single" w:sz="8" w:space="0" w:color="000000"/>
              <w:right w:val="nil"/>
            </w:tcBorders>
            <w:vAlign w:val="center"/>
            <w:hideMark/>
          </w:tcPr>
          <w:p w14:paraId="25A886EA" w14:textId="77777777" w:rsidR="00A528CF" w:rsidRPr="000C0842" w:rsidRDefault="00A528CF" w:rsidP="00A528CF">
            <w:pPr>
              <w:rPr>
                <w:rFonts w:eastAsia="SimSun"/>
                <w:sz w:val="20"/>
                <w:szCs w:val="20"/>
                <w:lang w:val="en-GB"/>
              </w:rPr>
            </w:pPr>
            <w:r w:rsidRPr="000C0842">
              <w:rPr>
                <w:rFonts w:eastAsia="SimSun" w:hint="eastAsia"/>
                <w:sz w:val="20"/>
                <w:szCs w:val="20"/>
                <w:lang w:val="en-GB"/>
              </w:rPr>
              <w:t>方案支助费用</w:t>
            </w:r>
            <w:r w:rsidRPr="000C0842">
              <w:rPr>
                <w:rFonts w:eastAsia="SimSun" w:hint="eastAsia"/>
                <w:sz w:val="20"/>
                <w:szCs w:val="20"/>
                <w:lang w:val="en-GB"/>
              </w:rPr>
              <w:t xml:space="preserve"> (13%)</w:t>
            </w:r>
          </w:p>
        </w:tc>
        <w:tc>
          <w:tcPr>
            <w:tcW w:w="1516" w:type="dxa"/>
            <w:tcBorders>
              <w:top w:val="nil"/>
              <w:left w:val="nil"/>
              <w:bottom w:val="single" w:sz="8" w:space="0" w:color="000000"/>
              <w:right w:val="nil"/>
            </w:tcBorders>
            <w:vAlign w:val="center"/>
            <w:hideMark/>
          </w:tcPr>
          <w:p w14:paraId="4D4C74CE" w14:textId="77777777" w:rsidR="00A528CF" w:rsidRPr="000C0842" w:rsidRDefault="00A528CF" w:rsidP="00A528CF">
            <w:pPr>
              <w:ind w:right="72"/>
              <w:jc w:val="right"/>
              <w:rPr>
                <w:rFonts w:eastAsia="SimSun"/>
                <w:lang w:val="en-GB"/>
              </w:rPr>
            </w:pPr>
            <w:r w:rsidRPr="000C0842">
              <w:rPr>
                <w:rFonts w:eastAsia="SimSun"/>
                <w:lang w:val="en-GB"/>
              </w:rPr>
              <w:t>908.2</w:t>
            </w:r>
          </w:p>
        </w:tc>
      </w:tr>
      <w:tr w:rsidR="000C0842" w:rsidRPr="000C0842" w14:paraId="78C7BE5E" w14:textId="77777777" w:rsidTr="001F32B3">
        <w:trPr>
          <w:trHeight w:val="300"/>
          <w:jc w:val="center"/>
        </w:trPr>
        <w:tc>
          <w:tcPr>
            <w:tcW w:w="6840" w:type="dxa"/>
            <w:tcBorders>
              <w:top w:val="nil"/>
              <w:left w:val="nil"/>
              <w:bottom w:val="single" w:sz="8" w:space="0" w:color="000000"/>
              <w:right w:val="nil"/>
            </w:tcBorders>
            <w:vAlign w:val="center"/>
            <w:hideMark/>
          </w:tcPr>
          <w:p w14:paraId="286ACED8"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共计</w:t>
            </w:r>
          </w:p>
        </w:tc>
        <w:tc>
          <w:tcPr>
            <w:tcW w:w="1516" w:type="dxa"/>
            <w:tcBorders>
              <w:top w:val="nil"/>
              <w:left w:val="nil"/>
              <w:bottom w:val="single" w:sz="8" w:space="0" w:color="000000"/>
              <w:right w:val="nil"/>
            </w:tcBorders>
            <w:vAlign w:val="center"/>
            <w:hideMark/>
          </w:tcPr>
          <w:p w14:paraId="248E0E4F" w14:textId="77777777" w:rsidR="00A528CF" w:rsidRPr="000C0842" w:rsidRDefault="00A528CF" w:rsidP="00A528CF">
            <w:pPr>
              <w:ind w:right="72"/>
              <w:jc w:val="right"/>
              <w:rPr>
                <w:rFonts w:eastAsia="SimSun"/>
                <w:b/>
                <w:bCs/>
                <w:lang w:val="en-GB"/>
              </w:rPr>
            </w:pPr>
            <w:r w:rsidRPr="000C0842">
              <w:rPr>
                <w:rFonts w:eastAsia="SimSun"/>
                <w:b/>
                <w:bCs/>
                <w:lang w:val="en-GB"/>
              </w:rPr>
              <w:t>7 894.3</w:t>
            </w:r>
          </w:p>
        </w:tc>
      </w:tr>
    </w:tbl>
    <w:p w14:paraId="21DF1BE7" w14:textId="513C28D9" w:rsidR="00A528CF" w:rsidRPr="000C0842" w:rsidRDefault="00A528CF" w:rsidP="00A528CF">
      <w:pPr>
        <w:rPr>
          <w:rFonts w:eastAsia="SimSun"/>
          <w:sz w:val="18"/>
          <w:szCs w:val="18"/>
          <w:lang w:val="en-GB"/>
        </w:rPr>
      </w:pPr>
      <w:r w:rsidRPr="000C0842">
        <w:rPr>
          <w:rFonts w:eastAsia="SimSun"/>
          <w:i/>
          <w:iCs/>
          <w:sz w:val="18"/>
          <w:szCs w:val="18"/>
          <w:lang w:val="en-GB"/>
        </w:rPr>
        <w:tab/>
        <w:t>a</w:t>
      </w:r>
      <w:r w:rsidR="00621DE8" w:rsidRPr="000C0842">
        <w:rPr>
          <w:rFonts w:eastAsia="SimSun" w:hint="eastAsia"/>
          <w:sz w:val="18"/>
          <w:szCs w:val="18"/>
          <w:lang w:val="en-GB"/>
        </w:rPr>
        <w:t xml:space="preserve">  </w:t>
      </w:r>
      <w:r w:rsidRPr="000C0842">
        <w:rPr>
          <w:rFonts w:eastAsia="SimSun"/>
          <w:sz w:val="18"/>
          <w:szCs w:val="18"/>
          <w:lang w:val="en-GB"/>
        </w:rPr>
        <w:t>每个符合条件的缔约方</w:t>
      </w:r>
      <w:r w:rsidRPr="000C0842">
        <w:rPr>
          <w:rFonts w:eastAsia="SimSun"/>
          <w:sz w:val="18"/>
          <w:szCs w:val="18"/>
          <w:lang w:val="en-GB"/>
        </w:rPr>
        <w:t>3</w:t>
      </w:r>
      <w:r w:rsidRPr="000C0842">
        <w:rPr>
          <w:rFonts w:eastAsia="SimSun"/>
          <w:sz w:val="18"/>
          <w:szCs w:val="18"/>
          <w:lang w:val="en-GB"/>
        </w:rPr>
        <w:t>个资助名额</w:t>
      </w:r>
      <w:r w:rsidRPr="000C0842">
        <w:rPr>
          <w:rFonts w:eastAsia="SimSun" w:hint="eastAsia"/>
          <w:sz w:val="18"/>
          <w:szCs w:val="18"/>
          <w:lang w:val="en-GB"/>
        </w:rPr>
        <w:t>。</w:t>
      </w:r>
    </w:p>
    <w:p w14:paraId="073E3B39" w14:textId="2C7A9024" w:rsidR="00A528CF" w:rsidRPr="000C0842" w:rsidRDefault="00A528CF" w:rsidP="00A528CF">
      <w:pPr>
        <w:rPr>
          <w:rFonts w:eastAsia="SimSun"/>
          <w:sz w:val="18"/>
          <w:szCs w:val="18"/>
          <w:lang w:val="en-GB"/>
        </w:rPr>
      </w:pPr>
      <w:r w:rsidRPr="000C0842">
        <w:rPr>
          <w:rFonts w:eastAsia="SimSun"/>
          <w:i/>
          <w:iCs/>
          <w:sz w:val="18"/>
          <w:szCs w:val="18"/>
          <w:lang w:val="en-GB"/>
        </w:rPr>
        <w:tab/>
        <w:t>b</w:t>
      </w:r>
      <w:r w:rsidR="00621DE8" w:rsidRPr="000C0842">
        <w:rPr>
          <w:rFonts w:eastAsia="SimSun" w:hint="eastAsia"/>
          <w:i/>
          <w:iCs/>
          <w:sz w:val="18"/>
          <w:szCs w:val="18"/>
          <w:lang w:val="en-GB"/>
        </w:rPr>
        <w:t xml:space="preserve">  </w:t>
      </w:r>
      <w:r w:rsidRPr="000C0842">
        <w:rPr>
          <w:rFonts w:eastAsia="SimSun"/>
          <w:sz w:val="18"/>
          <w:szCs w:val="18"/>
          <w:lang w:val="en-GB"/>
        </w:rPr>
        <w:t>每个符合条件的缔约方</w:t>
      </w:r>
      <w:r w:rsidRPr="000C0842">
        <w:rPr>
          <w:rFonts w:eastAsia="SimSun"/>
          <w:sz w:val="18"/>
          <w:szCs w:val="18"/>
          <w:lang w:val="en-GB"/>
        </w:rPr>
        <w:t>2</w:t>
      </w:r>
      <w:r w:rsidRPr="000C0842">
        <w:rPr>
          <w:rFonts w:eastAsia="SimSun"/>
          <w:sz w:val="18"/>
          <w:szCs w:val="18"/>
          <w:lang w:val="en-GB"/>
        </w:rPr>
        <w:t>个资助名额</w:t>
      </w:r>
      <w:r w:rsidR="00997EE8" w:rsidRPr="000C0842">
        <w:rPr>
          <w:rFonts w:eastAsia="SimSun" w:hint="eastAsia"/>
          <w:sz w:val="18"/>
          <w:szCs w:val="18"/>
          <w:lang w:val="en-GB"/>
        </w:rPr>
        <w:t>（</w:t>
      </w:r>
      <w:r w:rsidRPr="000C0842">
        <w:rPr>
          <w:rFonts w:eastAsia="SimSun" w:hint="eastAsia"/>
          <w:sz w:val="18"/>
          <w:szCs w:val="18"/>
          <w:lang w:val="en-GB"/>
        </w:rPr>
        <w:t>会议</w:t>
      </w:r>
      <w:r w:rsidRPr="000C0842">
        <w:rPr>
          <w:rFonts w:eastAsia="SimSun"/>
          <w:sz w:val="18"/>
          <w:szCs w:val="18"/>
          <w:lang w:val="en-GB"/>
        </w:rPr>
        <w:t>衔接举行</w:t>
      </w:r>
      <w:r w:rsidR="00997EE8" w:rsidRPr="000C0842">
        <w:rPr>
          <w:rFonts w:eastAsia="SimSun" w:hint="eastAsia"/>
          <w:sz w:val="18"/>
          <w:szCs w:val="18"/>
          <w:lang w:val="en-GB"/>
        </w:rPr>
        <w:t>）</w:t>
      </w:r>
      <w:r w:rsidRPr="000C0842">
        <w:rPr>
          <w:rFonts w:eastAsia="SimSun" w:hint="eastAsia"/>
          <w:sz w:val="18"/>
          <w:szCs w:val="18"/>
          <w:lang w:val="en-GB"/>
        </w:rPr>
        <w:t>。</w:t>
      </w:r>
    </w:p>
    <w:p w14:paraId="751191A5" w14:textId="77777777" w:rsidR="00166AE3" w:rsidRPr="000C0842" w:rsidRDefault="00166AE3">
      <w:pPr>
        <w:tabs>
          <w:tab w:val="clear" w:pos="567"/>
          <w:tab w:val="clear" w:pos="1134"/>
          <w:tab w:val="clear" w:pos="1701"/>
          <w:tab w:val="clear" w:pos="2268"/>
        </w:tabs>
        <w:jc w:val="left"/>
        <w:rPr>
          <w:rFonts w:eastAsia="SimSun"/>
          <w:b/>
          <w:sz w:val="24"/>
          <w:szCs w:val="24"/>
          <w:lang w:val="en-GB"/>
        </w:rPr>
      </w:pPr>
      <w:r w:rsidRPr="000C0842">
        <w:rPr>
          <w:rFonts w:eastAsia="SimSun"/>
          <w:b/>
          <w:sz w:val="24"/>
          <w:szCs w:val="24"/>
          <w:lang w:val="en-GB"/>
        </w:rPr>
        <w:br w:type="page"/>
      </w:r>
    </w:p>
    <w:p w14:paraId="7972A610" w14:textId="7DF9D948" w:rsidR="00A528CF" w:rsidRPr="000C0842" w:rsidRDefault="00A528CF" w:rsidP="00166AE3">
      <w:pPr>
        <w:keepNext/>
        <w:tabs>
          <w:tab w:val="left" w:pos="2835"/>
          <w:tab w:val="left" w:pos="3402"/>
        </w:tabs>
        <w:spacing w:before="240" w:after="60"/>
        <w:ind w:left="562" w:right="360"/>
        <w:jc w:val="left"/>
        <w:rPr>
          <w:rFonts w:eastAsia="SimSun"/>
          <w:b/>
          <w:sz w:val="24"/>
          <w:szCs w:val="24"/>
          <w:lang w:val="en-GB"/>
        </w:rPr>
      </w:pPr>
      <w:r w:rsidRPr="000C0842">
        <w:rPr>
          <w:rFonts w:eastAsia="SimSun" w:hint="eastAsia"/>
          <w:bCs/>
          <w:sz w:val="24"/>
          <w:szCs w:val="24"/>
          <w:lang w:val="en-GB"/>
        </w:rPr>
        <w:t>表</w:t>
      </w:r>
      <w:r w:rsidRPr="000C0842">
        <w:rPr>
          <w:rFonts w:eastAsia="SimSun" w:hint="eastAsia"/>
          <w:bCs/>
          <w:sz w:val="24"/>
          <w:szCs w:val="24"/>
          <w:lang w:val="en-GB"/>
        </w:rPr>
        <w:t>7</w:t>
      </w:r>
      <w:r w:rsidRPr="000C0842">
        <w:rPr>
          <w:rFonts w:eastAsia="SimSun"/>
          <w:b/>
          <w:lang w:val="en-GB"/>
        </w:rPr>
        <w:br/>
      </w:r>
      <w:r w:rsidRPr="000C0842">
        <w:rPr>
          <w:rFonts w:eastAsia="SimSun"/>
          <w:b/>
          <w:sz w:val="24"/>
          <w:szCs w:val="24"/>
          <w:lang w:val="en-GB"/>
        </w:rPr>
        <w:t>2025–2026</w:t>
      </w:r>
      <w:r w:rsidRPr="000C0842">
        <w:rPr>
          <w:rFonts w:eastAsia="SimSun"/>
          <w:b/>
          <w:kern w:val="20"/>
          <w:sz w:val="24"/>
          <w:szCs w:val="24"/>
          <w:lang w:val="en-GB"/>
        </w:rPr>
        <w:t>年</w:t>
      </w:r>
      <w:r w:rsidRPr="000C0842">
        <w:rPr>
          <w:rFonts w:eastAsia="SimSun" w:hint="eastAsia"/>
          <w:b/>
          <w:kern w:val="20"/>
          <w:sz w:val="24"/>
          <w:szCs w:val="24"/>
          <w:lang w:val="en-GB"/>
        </w:rPr>
        <w:t>资助</w:t>
      </w:r>
      <w:r w:rsidRPr="000C0842">
        <w:rPr>
          <w:rFonts w:eastAsia="SimSun"/>
          <w:b/>
          <w:kern w:val="20"/>
          <w:sz w:val="24"/>
          <w:szCs w:val="24"/>
          <w:lang w:val="en-GB"/>
        </w:rPr>
        <w:t>土著人民和地方社区参与公约进程特别自愿信托基金</w:t>
      </w:r>
      <w:r w:rsidRPr="000C0842">
        <w:rPr>
          <w:rFonts w:eastAsia="SimSun" w:hint="eastAsia"/>
          <w:b/>
          <w:kern w:val="20"/>
          <w:sz w:val="24"/>
          <w:szCs w:val="24"/>
          <w:lang w:val="en-GB"/>
        </w:rPr>
        <w:t>所需资源</w:t>
      </w:r>
    </w:p>
    <w:p w14:paraId="3E59A208" w14:textId="77777777" w:rsidR="00A528CF" w:rsidRPr="000C0842" w:rsidRDefault="00A528CF" w:rsidP="00166AE3">
      <w:pPr>
        <w:keepNext/>
        <w:tabs>
          <w:tab w:val="left" w:pos="2835"/>
          <w:tab w:val="left" w:pos="3402"/>
        </w:tabs>
        <w:spacing w:after="60"/>
        <w:ind w:left="567"/>
        <w:rPr>
          <w:rFonts w:eastAsia="SimSun"/>
          <w:sz w:val="18"/>
          <w:szCs w:val="18"/>
          <w:lang w:val="en-GB"/>
        </w:rPr>
      </w:pPr>
      <w:r w:rsidRPr="000C0842">
        <w:rPr>
          <w:rFonts w:eastAsia="SimSun"/>
          <w:sz w:val="18"/>
          <w:szCs w:val="18"/>
          <w:lang w:val="en-GB"/>
        </w:rPr>
        <w:t>（千美元）</w:t>
      </w:r>
    </w:p>
    <w:tbl>
      <w:tblPr>
        <w:tblW w:w="8478" w:type="dxa"/>
        <w:jc w:val="center"/>
        <w:tblBorders>
          <w:top w:val="nil"/>
          <w:left w:val="nil"/>
          <w:bottom w:val="nil"/>
          <w:right w:val="nil"/>
        </w:tblBorders>
        <w:tblLayout w:type="fixed"/>
        <w:tblLook w:val="0000" w:firstRow="0" w:lastRow="0" w:firstColumn="0" w:lastColumn="0" w:noHBand="0" w:noVBand="0"/>
      </w:tblPr>
      <w:tblGrid>
        <w:gridCol w:w="7290"/>
        <w:gridCol w:w="1188"/>
      </w:tblGrid>
      <w:tr w:rsidR="000C0842" w:rsidRPr="000C0842" w14:paraId="089818E9" w14:textId="77777777" w:rsidTr="001F32B3">
        <w:trPr>
          <w:trHeight w:val="252"/>
          <w:jc w:val="center"/>
        </w:trPr>
        <w:tc>
          <w:tcPr>
            <w:tcW w:w="7290" w:type="dxa"/>
            <w:tcBorders>
              <w:top w:val="single" w:sz="8" w:space="0" w:color="000000"/>
              <w:left w:val="nil"/>
              <w:right w:val="nil"/>
            </w:tcBorders>
          </w:tcPr>
          <w:p w14:paraId="0FA9EE3E" w14:textId="77777777" w:rsidR="00A528CF" w:rsidRPr="000C0842" w:rsidRDefault="00A528CF" w:rsidP="00166AE3">
            <w:pPr>
              <w:keepNext/>
              <w:tabs>
                <w:tab w:val="clear" w:pos="567"/>
                <w:tab w:val="clear" w:pos="1134"/>
                <w:tab w:val="clear" w:pos="1701"/>
                <w:tab w:val="clear" w:pos="2268"/>
              </w:tabs>
              <w:autoSpaceDE w:val="0"/>
              <w:autoSpaceDN w:val="0"/>
              <w:adjustRightInd w:val="0"/>
              <w:spacing w:before="60" w:after="60"/>
              <w:jc w:val="left"/>
              <w:rPr>
                <w:rFonts w:eastAsia="KaiTi"/>
                <w:kern w:val="20"/>
                <w:sz w:val="20"/>
                <w:szCs w:val="20"/>
                <w:lang w:val="en-GB"/>
              </w:rPr>
            </w:pPr>
            <w:r w:rsidRPr="000C0842">
              <w:rPr>
                <w:rFonts w:eastAsia="KaiTi"/>
                <w:kern w:val="20"/>
                <w:sz w:val="20"/>
                <w:szCs w:val="20"/>
                <w:lang w:val="en-GB"/>
              </w:rPr>
              <w:t>说明</w:t>
            </w:r>
          </w:p>
        </w:tc>
        <w:tc>
          <w:tcPr>
            <w:tcW w:w="1188" w:type="dxa"/>
            <w:tcBorders>
              <w:top w:val="single" w:sz="8" w:space="0" w:color="000000"/>
              <w:left w:val="nil"/>
              <w:right w:val="nil"/>
            </w:tcBorders>
          </w:tcPr>
          <w:p w14:paraId="05257221" w14:textId="3EAAAE30" w:rsidR="00A528CF" w:rsidRPr="000C0842" w:rsidRDefault="00A528CF" w:rsidP="00166AE3">
            <w:pPr>
              <w:keepNext/>
              <w:tabs>
                <w:tab w:val="clear" w:pos="567"/>
                <w:tab w:val="clear" w:pos="1134"/>
                <w:tab w:val="clear" w:pos="1701"/>
                <w:tab w:val="clear" w:pos="2268"/>
              </w:tabs>
              <w:autoSpaceDE w:val="0"/>
              <w:autoSpaceDN w:val="0"/>
              <w:spacing w:before="60" w:after="60"/>
              <w:ind w:right="101"/>
              <w:jc w:val="right"/>
              <w:rPr>
                <w:rFonts w:eastAsia="KaiTi"/>
                <w:kern w:val="20"/>
                <w:sz w:val="18"/>
                <w:szCs w:val="18"/>
                <w:lang w:val="en-GB"/>
              </w:rPr>
            </w:pPr>
            <w:r w:rsidRPr="000C0842">
              <w:rPr>
                <w:rFonts w:eastAsia="KaiTi"/>
                <w:kern w:val="20"/>
                <w:sz w:val="18"/>
                <w:szCs w:val="18"/>
                <w:lang w:val="en-GB"/>
              </w:rPr>
              <w:t>2025–202</w:t>
            </w:r>
            <w:r w:rsidR="00166AE3" w:rsidRPr="000C0842">
              <w:rPr>
                <w:rFonts w:eastAsia="KaiTi" w:hint="eastAsia"/>
                <w:kern w:val="20"/>
                <w:sz w:val="18"/>
                <w:szCs w:val="18"/>
                <w:lang w:val="en-GB"/>
              </w:rPr>
              <w:t>6</w:t>
            </w:r>
          </w:p>
        </w:tc>
      </w:tr>
      <w:tr w:rsidR="000C0842" w:rsidRPr="000C0842" w14:paraId="3FDEFA79" w14:textId="77777777" w:rsidTr="001F32B3">
        <w:trPr>
          <w:trHeight w:val="163"/>
          <w:jc w:val="center"/>
        </w:trPr>
        <w:tc>
          <w:tcPr>
            <w:tcW w:w="7290" w:type="dxa"/>
            <w:tcBorders>
              <w:top w:val="single" w:sz="4" w:space="0" w:color="auto"/>
              <w:bottom w:val="nil"/>
            </w:tcBorders>
          </w:tcPr>
          <w:p w14:paraId="4E00499B" w14:textId="77777777" w:rsidR="00A528CF" w:rsidRPr="000C0842" w:rsidRDefault="00A528CF" w:rsidP="00166AE3">
            <w:pPr>
              <w:keepLines/>
              <w:tabs>
                <w:tab w:val="clear" w:pos="567"/>
                <w:tab w:val="clear" w:pos="1134"/>
                <w:tab w:val="clear" w:pos="1701"/>
                <w:tab w:val="clear" w:pos="2268"/>
              </w:tabs>
              <w:autoSpaceDE w:val="0"/>
              <w:autoSpaceDN w:val="0"/>
              <w:adjustRightInd w:val="0"/>
              <w:spacing w:before="60" w:after="60"/>
              <w:jc w:val="left"/>
              <w:rPr>
                <w:rFonts w:ascii="SimSun" w:eastAsia="SimSun" w:hAnsi="SimSun"/>
                <w:b/>
                <w:bCs/>
                <w:kern w:val="20"/>
                <w:sz w:val="20"/>
                <w:szCs w:val="20"/>
                <w:lang w:val="en-GB"/>
              </w:rPr>
            </w:pPr>
            <w:r w:rsidRPr="000C0842">
              <w:rPr>
                <w:rFonts w:ascii="SimSun" w:eastAsia="SimSun" w:hAnsi="SimSun" w:hint="eastAsia"/>
                <w:b/>
                <w:bCs/>
                <w:kern w:val="20"/>
                <w:sz w:val="20"/>
                <w:szCs w:val="20"/>
                <w:lang w:val="en-GB"/>
              </w:rPr>
              <w:t>会议</w:t>
            </w:r>
          </w:p>
        </w:tc>
        <w:tc>
          <w:tcPr>
            <w:tcW w:w="1188" w:type="dxa"/>
            <w:tcBorders>
              <w:top w:val="single" w:sz="4" w:space="0" w:color="auto"/>
              <w:bottom w:val="nil"/>
            </w:tcBorders>
          </w:tcPr>
          <w:p w14:paraId="7C14AA87" w14:textId="77777777" w:rsidR="00A528CF" w:rsidRPr="000C0842" w:rsidRDefault="00A528CF" w:rsidP="00166AE3">
            <w:pPr>
              <w:keepLines/>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p>
        </w:tc>
      </w:tr>
      <w:tr w:rsidR="000C0842" w:rsidRPr="000C0842" w14:paraId="5CD3A21C" w14:textId="77777777" w:rsidTr="001F32B3">
        <w:trPr>
          <w:trHeight w:val="163"/>
          <w:jc w:val="center"/>
        </w:trPr>
        <w:tc>
          <w:tcPr>
            <w:tcW w:w="7290" w:type="dxa"/>
            <w:tcBorders>
              <w:top w:val="nil"/>
              <w:left w:val="nil"/>
              <w:bottom w:val="nil"/>
              <w:right w:val="nil"/>
            </w:tcBorders>
          </w:tcPr>
          <w:p w14:paraId="683BD07E" w14:textId="77777777" w:rsidR="00A528CF" w:rsidRPr="000C0842" w:rsidRDefault="00A528CF" w:rsidP="00166AE3">
            <w:pPr>
              <w:tabs>
                <w:tab w:val="clear" w:pos="567"/>
                <w:tab w:val="clear" w:pos="1134"/>
                <w:tab w:val="clear" w:pos="1701"/>
                <w:tab w:val="clear" w:pos="2268"/>
              </w:tabs>
              <w:autoSpaceDE w:val="0"/>
              <w:autoSpaceDN w:val="0"/>
              <w:adjustRightInd w:val="0"/>
              <w:spacing w:before="40" w:after="40"/>
              <w:jc w:val="left"/>
              <w:rPr>
                <w:b/>
                <w:bCs/>
                <w:kern w:val="20"/>
                <w:sz w:val="20"/>
                <w:szCs w:val="20"/>
                <w:lang w:val="en-GB"/>
              </w:rPr>
            </w:pPr>
            <w:r w:rsidRPr="000C0842">
              <w:rPr>
                <w:rFonts w:eastAsia="SimSun" w:hint="eastAsia"/>
                <w:sz w:val="20"/>
                <w:szCs w:val="20"/>
                <w:lang w:val="en-GB" w:bidi="ar-SY"/>
              </w:rPr>
              <w:t>公约缔约方大会第十七届会议、</w:t>
            </w:r>
            <w:r w:rsidRPr="000C0842">
              <w:rPr>
                <w:rFonts w:eastAsia="SimSun"/>
                <w:sz w:val="20"/>
                <w:szCs w:val="20"/>
                <w:lang w:val="en-GB" w:bidi="ar-SY"/>
              </w:rPr>
              <w:t>作为</w:t>
            </w:r>
            <w:r w:rsidRPr="000C0842">
              <w:rPr>
                <w:rFonts w:eastAsia="SimSun" w:hint="eastAsia"/>
                <w:sz w:val="20"/>
                <w:szCs w:val="20"/>
                <w:lang w:val="en-GB" w:bidi="ar-SY"/>
              </w:rPr>
              <w:t>卡塔赫纳</w:t>
            </w:r>
            <w:r w:rsidRPr="000C0842">
              <w:rPr>
                <w:rFonts w:eastAsia="SimSun"/>
                <w:sz w:val="20"/>
                <w:szCs w:val="20"/>
                <w:lang w:val="en-GB" w:bidi="ar-SY"/>
              </w:rPr>
              <w:t>议定书缔约方会议的缔约方大会</w:t>
            </w:r>
            <w:r w:rsidRPr="000C0842">
              <w:rPr>
                <w:rFonts w:eastAsia="SimSun" w:hint="eastAsia"/>
                <w:sz w:val="20"/>
                <w:szCs w:val="20"/>
                <w:lang w:val="en-GB" w:bidi="ar-SY"/>
              </w:rPr>
              <w:t>第十二次会议和作为名古屋议定书缔约方会议的缔约方大会第六次会议</w:t>
            </w:r>
            <w:r w:rsidRPr="000C0842">
              <w:rPr>
                <w:i/>
                <w:iCs/>
                <w:kern w:val="20"/>
                <w:sz w:val="20"/>
                <w:szCs w:val="20"/>
                <w:vertAlign w:val="superscript"/>
                <w:lang w:val="en-GB"/>
              </w:rPr>
              <w:t>a</w:t>
            </w:r>
          </w:p>
        </w:tc>
        <w:tc>
          <w:tcPr>
            <w:tcW w:w="1188" w:type="dxa"/>
            <w:tcBorders>
              <w:top w:val="nil"/>
              <w:left w:val="nil"/>
              <w:bottom w:val="nil"/>
              <w:right w:val="nil"/>
            </w:tcBorders>
          </w:tcPr>
          <w:p w14:paraId="59BA5820"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r w:rsidRPr="000C0842">
              <w:rPr>
                <w:kern w:val="20"/>
                <w:sz w:val="20"/>
                <w:szCs w:val="20"/>
                <w:lang w:val="en-GB"/>
              </w:rPr>
              <w:t>91.0</w:t>
            </w:r>
          </w:p>
        </w:tc>
      </w:tr>
      <w:tr w:rsidR="000C0842" w:rsidRPr="000C0842" w14:paraId="22E4B37F" w14:textId="77777777" w:rsidTr="001F32B3">
        <w:trPr>
          <w:trHeight w:val="163"/>
          <w:jc w:val="center"/>
        </w:trPr>
        <w:tc>
          <w:tcPr>
            <w:tcW w:w="7290" w:type="dxa"/>
            <w:tcBorders>
              <w:top w:val="nil"/>
              <w:left w:val="nil"/>
              <w:bottom w:val="nil"/>
              <w:right w:val="nil"/>
            </w:tcBorders>
          </w:tcPr>
          <w:p w14:paraId="3DFEE7E2" w14:textId="77777777" w:rsidR="00A528CF" w:rsidRPr="000C0842" w:rsidRDefault="00A528CF" w:rsidP="00166AE3">
            <w:pPr>
              <w:tabs>
                <w:tab w:val="clear" w:pos="567"/>
                <w:tab w:val="clear" w:pos="1134"/>
                <w:tab w:val="clear" w:pos="1701"/>
                <w:tab w:val="clear" w:pos="2268"/>
              </w:tabs>
              <w:autoSpaceDE w:val="0"/>
              <w:autoSpaceDN w:val="0"/>
              <w:adjustRightInd w:val="0"/>
              <w:spacing w:before="40" w:after="40"/>
              <w:jc w:val="left"/>
              <w:rPr>
                <w:b/>
                <w:bCs/>
                <w:kern w:val="20"/>
                <w:sz w:val="20"/>
                <w:szCs w:val="20"/>
                <w:lang w:val="en-GB"/>
              </w:rPr>
            </w:pPr>
            <w:r w:rsidRPr="000C0842">
              <w:rPr>
                <w:rFonts w:eastAsia="SimSun"/>
                <w:sz w:val="20"/>
                <w:szCs w:val="20"/>
                <w:lang w:val="en-GB" w:bidi="ar-SY"/>
              </w:rPr>
              <w:t>科学、技术和工艺咨询附属机构第二十七次</w:t>
            </w:r>
            <w:r w:rsidRPr="000C0842">
              <w:rPr>
                <w:rFonts w:eastAsia="SimSun" w:hint="eastAsia"/>
                <w:sz w:val="20"/>
                <w:szCs w:val="20"/>
                <w:lang w:val="en-GB" w:bidi="ar-SY"/>
              </w:rPr>
              <w:t>会议和</w:t>
            </w:r>
            <w:r w:rsidRPr="000C0842">
              <w:rPr>
                <w:rFonts w:eastAsia="SimSun"/>
                <w:sz w:val="20"/>
                <w:szCs w:val="20"/>
                <w:lang w:val="en-GB" w:bidi="ar-SY"/>
              </w:rPr>
              <w:t>公约</w:t>
            </w:r>
            <w:r w:rsidRPr="000C0842">
              <w:rPr>
                <w:rFonts w:eastAsia="SimSun" w:hint="eastAsia"/>
                <w:sz w:val="20"/>
                <w:szCs w:val="20"/>
                <w:lang w:val="en-GB" w:bidi="ar-SY"/>
              </w:rPr>
              <w:t>关于</w:t>
            </w:r>
            <w:r w:rsidRPr="000C0842">
              <w:rPr>
                <w:rFonts w:eastAsia="SimSun"/>
                <w:sz w:val="20"/>
                <w:szCs w:val="20"/>
                <w:lang w:val="en-GB" w:bidi="ar-SY"/>
              </w:rPr>
              <w:t>土著人民和地方社区</w:t>
            </w:r>
            <w:r w:rsidRPr="000C0842">
              <w:rPr>
                <w:rFonts w:eastAsia="SimSun" w:hint="eastAsia"/>
                <w:sz w:val="20"/>
                <w:szCs w:val="20"/>
                <w:lang w:val="en-GB" w:bidi="ar-SY"/>
              </w:rPr>
              <w:t>的</w:t>
            </w:r>
            <w:r w:rsidRPr="000C0842">
              <w:rPr>
                <w:rFonts w:eastAsia="SimSun"/>
                <w:sz w:val="20"/>
                <w:szCs w:val="20"/>
                <w:lang w:val="en-GB" w:bidi="ar-SY"/>
              </w:rPr>
              <w:t>第</w:t>
            </w:r>
            <w:r w:rsidRPr="000C0842">
              <w:rPr>
                <w:rFonts w:eastAsia="SimSun"/>
                <w:sz w:val="20"/>
                <w:szCs w:val="20"/>
                <w:lang w:val="en-GB" w:bidi="ar-SY"/>
              </w:rPr>
              <w:t>8(j)</w:t>
            </w:r>
            <w:r w:rsidRPr="000C0842">
              <w:rPr>
                <w:rFonts w:eastAsia="SimSun"/>
                <w:sz w:val="20"/>
                <w:szCs w:val="20"/>
                <w:lang w:val="en-GB" w:bidi="ar-SY"/>
              </w:rPr>
              <w:t>条和其他条款附属机构第一次会议</w:t>
            </w:r>
            <w:r w:rsidRPr="000C0842">
              <w:rPr>
                <w:i/>
                <w:iCs/>
                <w:kern w:val="20"/>
                <w:sz w:val="20"/>
                <w:szCs w:val="20"/>
                <w:vertAlign w:val="superscript"/>
                <w:lang w:val="en-GB"/>
              </w:rPr>
              <w:t>a</w:t>
            </w:r>
          </w:p>
        </w:tc>
        <w:tc>
          <w:tcPr>
            <w:tcW w:w="1188" w:type="dxa"/>
            <w:tcBorders>
              <w:top w:val="nil"/>
              <w:left w:val="nil"/>
              <w:bottom w:val="nil"/>
              <w:right w:val="nil"/>
            </w:tcBorders>
          </w:tcPr>
          <w:p w14:paraId="7712AF87"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r w:rsidRPr="000C0842">
              <w:rPr>
                <w:kern w:val="20"/>
                <w:sz w:val="20"/>
                <w:szCs w:val="20"/>
                <w:lang w:val="en-GB"/>
              </w:rPr>
              <w:t>84.5</w:t>
            </w:r>
          </w:p>
        </w:tc>
      </w:tr>
      <w:tr w:rsidR="000C0842" w:rsidRPr="000C0842" w14:paraId="7AD47639" w14:textId="77777777" w:rsidTr="001F32B3">
        <w:trPr>
          <w:trHeight w:val="132"/>
          <w:jc w:val="center"/>
        </w:trPr>
        <w:tc>
          <w:tcPr>
            <w:tcW w:w="7290" w:type="dxa"/>
            <w:tcBorders>
              <w:top w:val="nil"/>
              <w:bottom w:val="single" w:sz="8" w:space="0" w:color="000000"/>
            </w:tcBorders>
            <w:vAlign w:val="center"/>
          </w:tcPr>
          <w:p w14:paraId="3AC6E6E1" w14:textId="77777777" w:rsidR="00A528CF" w:rsidRPr="000C0842" w:rsidRDefault="00A528CF" w:rsidP="00166AE3">
            <w:pPr>
              <w:tabs>
                <w:tab w:val="clear" w:pos="567"/>
                <w:tab w:val="clear" w:pos="1134"/>
                <w:tab w:val="clear" w:pos="1701"/>
                <w:tab w:val="clear" w:pos="2268"/>
              </w:tabs>
              <w:autoSpaceDE w:val="0"/>
              <w:autoSpaceDN w:val="0"/>
              <w:adjustRightInd w:val="0"/>
              <w:spacing w:before="40" w:after="40"/>
              <w:jc w:val="left"/>
              <w:rPr>
                <w:kern w:val="20"/>
                <w:sz w:val="20"/>
                <w:szCs w:val="20"/>
                <w:lang w:val="en-GB"/>
              </w:rPr>
            </w:pPr>
            <w:r w:rsidRPr="000C0842">
              <w:rPr>
                <w:rFonts w:eastAsia="SimSun"/>
                <w:sz w:val="20"/>
                <w:szCs w:val="20"/>
                <w:lang w:val="en-GB" w:bidi="ar-SY"/>
              </w:rPr>
              <w:t>科学、技术和工艺咨询附属机构第二十</w:t>
            </w:r>
            <w:r w:rsidRPr="000C0842">
              <w:rPr>
                <w:rFonts w:eastAsia="SimSun" w:hint="eastAsia"/>
                <w:sz w:val="20"/>
                <w:szCs w:val="20"/>
                <w:lang w:val="en-GB" w:bidi="ar-SY"/>
              </w:rPr>
              <w:t>八</w:t>
            </w:r>
            <w:r w:rsidRPr="000C0842">
              <w:rPr>
                <w:rFonts w:eastAsia="SimSun"/>
                <w:sz w:val="20"/>
                <w:szCs w:val="20"/>
                <w:lang w:val="en-GB" w:bidi="ar-SY"/>
              </w:rPr>
              <w:t>次</w:t>
            </w:r>
            <w:r w:rsidRPr="000C0842">
              <w:rPr>
                <w:rFonts w:eastAsia="SimSun" w:hint="eastAsia"/>
                <w:sz w:val="20"/>
                <w:szCs w:val="20"/>
                <w:lang w:val="en-GB" w:bidi="ar-SY"/>
              </w:rPr>
              <w:t>会议和执行问题附属机构第六次会议</w:t>
            </w:r>
            <w:r w:rsidRPr="000C0842">
              <w:rPr>
                <w:i/>
                <w:iCs/>
                <w:kern w:val="20"/>
                <w:sz w:val="20"/>
                <w:szCs w:val="20"/>
                <w:vertAlign w:val="superscript"/>
                <w:lang w:val="en-GB"/>
              </w:rPr>
              <w:t>a</w:t>
            </w:r>
          </w:p>
        </w:tc>
        <w:tc>
          <w:tcPr>
            <w:tcW w:w="1188" w:type="dxa"/>
            <w:tcBorders>
              <w:top w:val="nil"/>
              <w:bottom w:val="single" w:sz="8" w:space="0" w:color="000000"/>
            </w:tcBorders>
            <w:vAlign w:val="center"/>
          </w:tcPr>
          <w:p w14:paraId="7B94141C"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r w:rsidRPr="000C0842">
              <w:rPr>
                <w:kern w:val="20"/>
                <w:sz w:val="20"/>
                <w:szCs w:val="20"/>
                <w:lang w:val="en-GB"/>
              </w:rPr>
              <w:t>105.0</w:t>
            </w:r>
          </w:p>
        </w:tc>
      </w:tr>
      <w:tr w:rsidR="000C0842" w:rsidRPr="000C0842" w14:paraId="319F34D5" w14:textId="77777777" w:rsidTr="001F32B3">
        <w:trPr>
          <w:trHeight w:val="132"/>
          <w:jc w:val="center"/>
        </w:trPr>
        <w:tc>
          <w:tcPr>
            <w:tcW w:w="7290" w:type="dxa"/>
            <w:tcBorders>
              <w:top w:val="single" w:sz="8" w:space="0" w:color="000000"/>
              <w:bottom w:val="single" w:sz="8" w:space="0" w:color="000000"/>
            </w:tcBorders>
            <w:vAlign w:val="center"/>
          </w:tcPr>
          <w:p w14:paraId="43C852E1" w14:textId="77777777" w:rsidR="00A528CF" w:rsidRPr="000C0842" w:rsidRDefault="00A528CF" w:rsidP="00A528CF">
            <w:pPr>
              <w:tabs>
                <w:tab w:val="clear" w:pos="567"/>
                <w:tab w:val="clear" w:pos="1134"/>
                <w:tab w:val="clear" w:pos="1701"/>
                <w:tab w:val="clear" w:pos="2268"/>
                <w:tab w:val="left" w:pos="253"/>
              </w:tabs>
              <w:rPr>
                <w:rFonts w:eastAsia="SimSun"/>
                <w:kern w:val="20"/>
                <w:sz w:val="20"/>
                <w:szCs w:val="20"/>
                <w:lang w:val="en-GB"/>
              </w:rPr>
            </w:pPr>
            <w:r w:rsidRPr="000C0842">
              <w:rPr>
                <w:rFonts w:eastAsia="SimSun"/>
                <w:b/>
                <w:bCs/>
                <w:sz w:val="20"/>
                <w:szCs w:val="20"/>
                <w:lang w:val="en-GB"/>
              </w:rPr>
              <w:tab/>
            </w:r>
            <w:r w:rsidRPr="000C0842">
              <w:rPr>
                <w:rFonts w:eastAsia="SimSun" w:hint="eastAsia"/>
                <w:b/>
                <w:bCs/>
                <w:sz w:val="20"/>
                <w:szCs w:val="20"/>
                <w:lang w:val="en-GB"/>
              </w:rPr>
              <w:t>小计</w:t>
            </w:r>
          </w:p>
        </w:tc>
        <w:tc>
          <w:tcPr>
            <w:tcW w:w="1188" w:type="dxa"/>
            <w:tcBorders>
              <w:top w:val="single" w:sz="8" w:space="0" w:color="000000"/>
              <w:bottom w:val="single" w:sz="8" w:space="0" w:color="000000"/>
            </w:tcBorders>
            <w:vAlign w:val="center"/>
          </w:tcPr>
          <w:p w14:paraId="77206A69"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r w:rsidRPr="000C0842">
              <w:rPr>
                <w:b/>
                <w:bCs/>
                <w:kern w:val="20"/>
                <w:sz w:val="20"/>
                <w:szCs w:val="20"/>
                <w:lang w:val="en-GB"/>
              </w:rPr>
              <w:t>280.5</w:t>
            </w:r>
          </w:p>
        </w:tc>
      </w:tr>
      <w:tr w:rsidR="000C0842" w:rsidRPr="000C0842" w14:paraId="237E3197" w14:textId="77777777" w:rsidTr="001F32B3">
        <w:trPr>
          <w:trHeight w:val="132"/>
          <w:jc w:val="center"/>
        </w:trPr>
        <w:tc>
          <w:tcPr>
            <w:tcW w:w="7290" w:type="dxa"/>
            <w:tcBorders>
              <w:top w:val="single" w:sz="8" w:space="0" w:color="000000"/>
              <w:bottom w:val="single" w:sz="8" w:space="0" w:color="000000"/>
            </w:tcBorders>
            <w:vAlign w:val="center"/>
          </w:tcPr>
          <w:p w14:paraId="43BA9E6E"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jc w:val="left"/>
              <w:rPr>
                <w:kern w:val="20"/>
                <w:sz w:val="20"/>
                <w:szCs w:val="20"/>
                <w:lang w:val="en-GB"/>
              </w:rPr>
            </w:pPr>
            <w:r w:rsidRPr="000C0842">
              <w:rPr>
                <w:rFonts w:ascii="SimSun" w:eastAsia="SimSun" w:hAnsi="SimSun" w:hint="eastAsia"/>
                <w:kern w:val="20"/>
                <w:sz w:val="20"/>
                <w:szCs w:val="20"/>
                <w:lang w:val="en-GB"/>
              </w:rPr>
              <w:t xml:space="preserve">方案支助费用 </w:t>
            </w:r>
            <w:r w:rsidRPr="000C0842">
              <w:rPr>
                <w:rFonts w:eastAsia="SimSun"/>
                <w:kern w:val="20"/>
                <w:sz w:val="20"/>
                <w:szCs w:val="20"/>
                <w:lang w:val="en-GB"/>
              </w:rPr>
              <w:t>(13%)</w:t>
            </w:r>
          </w:p>
        </w:tc>
        <w:tc>
          <w:tcPr>
            <w:tcW w:w="1188" w:type="dxa"/>
            <w:tcBorders>
              <w:top w:val="single" w:sz="8" w:space="0" w:color="000000"/>
              <w:bottom w:val="single" w:sz="8" w:space="0" w:color="000000"/>
            </w:tcBorders>
            <w:vAlign w:val="center"/>
          </w:tcPr>
          <w:p w14:paraId="695CADA3"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kern w:val="20"/>
                <w:sz w:val="20"/>
                <w:szCs w:val="20"/>
                <w:lang w:val="en-GB"/>
              </w:rPr>
            </w:pPr>
            <w:r w:rsidRPr="000C0842">
              <w:rPr>
                <w:kern w:val="20"/>
                <w:sz w:val="20"/>
                <w:szCs w:val="20"/>
                <w:lang w:val="en-GB"/>
              </w:rPr>
              <w:t>36.5</w:t>
            </w:r>
          </w:p>
        </w:tc>
      </w:tr>
      <w:tr w:rsidR="000C0842" w:rsidRPr="000C0842" w14:paraId="27FA1B53" w14:textId="77777777" w:rsidTr="001F32B3">
        <w:trPr>
          <w:trHeight w:val="132"/>
          <w:jc w:val="center"/>
        </w:trPr>
        <w:tc>
          <w:tcPr>
            <w:tcW w:w="7290" w:type="dxa"/>
            <w:tcBorders>
              <w:top w:val="single" w:sz="8" w:space="0" w:color="000000"/>
              <w:bottom w:val="single" w:sz="8" w:space="0" w:color="000000"/>
            </w:tcBorders>
            <w:vAlign w:val="center"/>
          </w:tcPr>
          <w:p w14:paraId="3B412C7F" w14:textId="77777777" w:rsidR="00A528CF" w:rsidRPr="000C0842" w:rsidRDefault="00A528CF" w:rsidP="00A528CF">
            <w:pPr>
              <w:tabs>
                <w:tab w:val="clear" w:pos="567"/>
                <w:tab w:val="clear" w:pos="1134"/>
                <w:tab w:val="clear" w:pos="1701"/>
                <w:tab w:val="clear" w:pos="2268"/>
                <w:tab w:val="left" w:pos="253"/>
              </w:tabs>
              <w:rPr>
                <w:rFonts w:eastAsia="SimSun"/>
                <w:b/>
                <w:bCs/>
                <w:sz w:val="20"/>
                <w:szCs w:val="20"/>
                <w:lang w:val="en-GB"/>
              </w:rPr>
            </w:pPr>
            <w:r w:rsidRPr="000C0842">
              <w:rPr>
                <w:rFonts w:eastAsia="SimSun"/>
                <w:b/>
                <w:bCs/>
                <w:sz w:val="20"/>
                <w:szCs w:val="20"/>
                <w:lang w:val="en-GB"/>
              </w:rPr>
              <w:tab/>
            </w:r>
            <w:r w:rsidRPr="000C0842">
              <w:rPr>
                <w:rFonts w:eastAsia="SimSun" w:hint="eastAsia"/>
                <w:b/>
                <w:bCs/>
                <w:sz w:val="20"/>
                <w:szCs w:val="20"/>
                <w:lang w:val="en-GB"/>
              </w:rPr>
              <w:t>费用共计</w:t>
            </w:r>
          </w:p>
        </w:tc>
        <w:tc>
          <w:tcPr>
            <w:tcW w:w="1188" w:type="dxa"/>
            <w:tcBorders>
              <w:top w:val="single" w:sz="8" w:space="0" w:color="000000"/>
              <w:bottom w:val="single" w:sz="8" w:space="0" w:color="000000"/>
            </w:tcBorders>
            <w:vAlign w:val="center"/>
          </w:tcPr>
          <w:p w14:paraId="4E54D848" w14:textId="77777777" w:rsidR="00A528CF" w:rsidRPr="000C0842" w:rsidRDefault="00A528CF" w:rsidP="00166AE3">
            <w:pPr>
              <w:tabs>
                <w:tab w:val="clear" w:pos="567"/>
                <w:tab w:val="clear" w:pos="1134"/>
                <w:tab w:val="clear" w:pos="1701"/>
                <w:tab w:val="clear" w:pos="2268"/>
              </w:tabs>
              <w:autoSpaceDE w:val="0"/>
              <w:autoSpaceDN w:val="0"/>
              <w:adjustRightInd w:val="0"/>
              <w:spacing w:before="60" w:after="60"/>
              <w:ind w:right="100"/>
              <w:jc w:val="right"/>
              <w:rPr>
                <w:b/>
                <w:bCs/>
                <w:i/>
                <w:iCs/>
                <w:kern w:val="20"/>
                <w:sz w:val="20"/>
                <w:szCs w:val="20"/>
                <w:lang w:val="en-GB"/>
              </w:rPr>
            </w:pPr>
            <w:r w:rsidRPr="000C0842">
              <w:rPr>
                <w:b/>
                <w:bCs/>
                <w:kern w:val="20"/>
                <w:sz w:val="20"/>
                <w:szCs w:val="20"/>
                <w:lang w:val="en-GB"/>
              </w:rPr>
              <w:t>317.0</w:t>
            </w:r>
          </w:p>
        </w:tc>
      </w:tr>
    </w:tbl>
    <w:p w14:paraId="40F6F879" w14:textId="192A25E5" w:rsidR="00A528CF" w:rsidRPr="000C0842" w:rsidRDefault="00A528CF" w:rsidP="00A528CF">
      <w:pPr>
        <w:tabs>
          <w:tab w:val="left" w:pos="900"/>
        </w:tabs>
        <w:spacing w:before="120" w:after="120" w:line="480" w:lineRule="auto"/>
        <w:ind w:left="567"/>
        <w:rPr>
          <w:rFonts w:eastAsia="SimSun"/>
          <w:sz w:val="18"/>
          <w:szCs w:val="18"/>
          <w:lang w:val="en-GB"/>
        </w:rPr>
      </w:pPr>
      <w:r w:rsidRPr="000C0842">
        <w:rPr>
          <w:rFonts w:eastAsia="SimSun"/>
          <w:i/>
          <w:iCs/>
          <w:kern w:val="20"/>
          <w:sz w:val="18"/>
          <w:szCs w:val="18"/>
          <w:vertAlign w:val="superscript"/>
          <w:lang w:val="en-GB"/>
        </w:rPr>
        <w:t>a</w:t>
      </w:r>
      <w:r w:rsidR="00621DE8" w:rsidRPr="000C0842">
        <w:rPr>
          <w:rFonts w:eastAsia="SimSun" w:hint="eastAsia"/>
          <w:i/>
          <w:iCs/>
          <w:kern w:val="20"/>
          <w:sz w:val="18"/>
          <w:szCs w:val="18"/>
          <w:vertAlign w:val="superscript"/>
          <w:lang w:val="en-GB"/>
        </w:rPr>
        <w:t xml:space="preserve"> </w:t>
      </w:r>
      <w:r w:rsidR="00621DE8" w:rsidRPr="000C0842">
        <w:rPr>
          <w:rFonts w:eastAsia="SimSun" w:hint="eastAsia"/>
          <w:sz w:val="18"/>
          <w:szCs w:val="18"/>
        </w:rPr>
        <w:t xml:space="preserve"> </w:t>
      </w:r>
      <w:r w:rsidRPr="000C0842">
        <w:rPr>
          <w:rFonts w:eastAsia="SimSun"/>
          <w:sz w:val="18"/>
          <w:szCs w:val="18"/>
        </w:rPr>
        <w:t>每个区域</w:t>
      </w:r>
      <w:r w:rsidRPr="000C0842">
        <w:rPr>
          <w:rFonts w:eastAsia="SimSun"/>
          <w:sz w:val="18"/>
          <w:szCs w:val="18"/>
        </w:rPr>
        <w:t>2</w:t>
      </w:r>
      <w:r w:rsidRPr="000C0842">
        <w:rPr>
          <w:rFonts w:eastAsia="SimSun"/>
          <w:sz w:val="18"/>
          <w:szCs w:val="18"/>
        </w:rPr>
        <w:t>个资助名额。</w:t>
      </w:r>
    </w:p>
    <w:p w14:paraId="5DA71212" w14:textId="77777777" w:rsidR="00A528CF" w:rsidRPr="000C0842" w:rsidRDefault="00A528CF" w:rsidP="00A528CF">
      <w:pPr>
        <w:spacing w:before="120" w:after="120" w:line="480" w:lineRule="auto"/>
        <w:rPr>
          <w:rFonts w:eastAsia="SimSun"/>
          <w:sz w:val="18"/>
          <w:szCs w:val="18"/>
          <w:lang w:val="en-GB"/>
        </w:rPr>
      </w:pPr>
      <w:r w:rsidRPr="000C0842">
        <w:rPr>
          <w:rFonts w:eastAsia="SimSun"/>
          <w:sz w:val="18"/>
          <w:szCs w:val="18"/>
          <w:lang w:val="en-GB"/>
        </w:rPr>
        <w:br w:type="page"/>
      </w:r>
    </w:p>
    <w:p w14:paraId="6D6D2DC1" w14:textId="77777777" w:rsidR="00A528CF" w:rsidRPr="000C0842" w:rsidRDefault="00A528CF" w:rsidP="00621DE8">
      <w:pPr>
        <w:keepNext/>
        <w:keepLines/>
        <w:tabs>
          <w:tab w:val="clear" w:pos="567"/>
          <w:tab w:val="clear" w:pos="1134"/>
          <w:tab w:val="clear" w:pos="1701"/>
          <w:tab w:val="clear" w:pos="2268"/>
          <w:tab w:val="left" w:pos="2835"/>
          <w:tab w:val="left" w:pos="3402"/>
        </w:tabs>
        <w:spacing w:before="240"/>
        <w:ind w:left="562"/>
        <w:jc w:val="left"/>
        <w:rPr>
          <w:rFonts w:eastAsia="SimSun"/>
          <w:b/>
          <w:sz w:val="24"/>
          <w:lang w:val="en-GB"/>
        </w:rPr>
      </w:pPr>
      <w:r w:rsidRPr="000C0842">
        <w:rPr>
          <w:rFonts w:eastAsia="SimSun"/>
          <w:b/>
          <w:sz w:val="24"/>
          <w:lang w:val="en-GB"/>
        </w:rPr>
        <w:t>附件</w:t>
      </w:r>
    </w:p>
    <w:p w14:paraId="10813090" w14:textId="77777777" w:rsidR="00A528CF" w:rsidRPr="000C0842" w:rsidRDefault="00A528CF" w:rsidP="00621DE8">
      <w:pPr>
        <w:keepNext/>
        <w:keepLines/>
        <w:tabs>
          <w:tab w:val="clear" w:pos="567"/>
          <w:tab w:val="clear" w:pos="1134"/>
          <w:tab w:val="clear" w:pos="1701"/>
          <w:tab w:val="clear" w:pos="2268"/>
          <w:tab w:val="left" w:pos="2835"/>
          <w:tab w:val="left" w:pos="3402"/>
        </w:tabs>
        <w:spacing w:after="120"/>
        <w:ind w:left="562"/>
        <w:jc w:val="left"/>
        <w:rPr>
          <w:rFonts w:eastAsia="SimSun"/>
          <w:b/>
          <w:sz w:val="24"/>
          <w:lang w:val="en-GB"/>
        </w:rPr>
      </w:pPr>
      <w:r w:rsidRPr="000C0842">
        <w:rPr>
          <w:rFonts w:eastAsia="SimSun"/>
          <w:b/>
          <w:sz w:val="24"/>
          <w:lang w:val="en-GB"/>
        </w:rPr>
        <w:t>2025–2026</w:t>
      </w:r>
      <w:r w:rsidRPr="000C0842">
        <w:rPr>
          <w:rFonts w:eastAsia="SimSun"/>
          <w:b/>
          <w:sz w:val="24"/>
          <w:lang w:val="en-GB"/>
        </w:rPr>
        <w:t>年公约普通信托基金摊款表</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0C0842" w:rsidRPr="000C0842" w14:paraId="4332382F" w14:textId="77777777" w:rsidTr="001F32B3">
        <w:trPr>
          <w:tblHeader/>
        </w:trPr>
        <w:tc>
          <w:tcPr>
            <w:tcW w:w="1880" w:type="dxa"/>
            <w:vMerge w:val="restart"/>
            <w:tcBorders>
              <w:top w:val="single" w:sz="4" w:space="0" w:color="auto"/>
              <w:left w:val="single" w:sz="4" w:space="0" w:color="auto"/>
              <w:right w:val="single" w:sz="4" w:space="0" w:color="auto"/>
            </w:tcBorders>
            <w:noWrap/>
            <w:vAlign w:val="bottom"/>
          </w:tcPr>
          <w:p w14:paraId="4730CA12" w14:textId="77777777" w:rsidR="00A528CF" w:rsidRPr="000C0842" w:rsidDel="000458B5" w:rsidRDefault="00A528CF" w:rsidP="00A528CF">
            <w:pPr>
              <w:tabs>
                <w:tab w:val="left" w:pos="2835"/>
                <w:tab w:val="left" w:pos="3402"/>
              </w:tabs>
              <w:jc w:val="left"/>
              <w:rPr>
                <w:rFonts w:eastAsia="KaiTi"/>
                <w:sz w:val="18"/>
                <w:szCs w:val="18"/>
                <w:lang w:val="en-GB"/>
              </w:rPr>
            </w:pPr>
            <w:r w:rsidRPr="000C0842">
              <w:rPr>
                <w:rFonts w:eastAsia="KaiTi"/>
                <w:sz w:val="18"/>
                <w:szCs w:val="18"/>
                <w:lang w:val="en-GB"/>
              </w:rPr>
              <w:t>缔约方</w:t>
            </w:r>
          </w:p>
        </w:tc>
        <w:tc>
          <w:tcPr>
            <w:tcW w:w="3826" w:type="dxa"/>
            <w:gridSpan w:val="2"/>
            <w:tcBorders>
              <w:top w:val="single" w:sz="4" w:space="0" w:color="auto"/>
              <w:left w:val="nil"/>
              <w:bottom w:val="single" w:sz="4" w:space="0" w:color="auto"/>
              <w:right w:val="single" w:sz="4" w:space="0" w:color="auto"/>
            </w:tcBorders>
            <w:vAlign w:val="bottom"/>
          </w:tcPr>
          <w:p w14:paraId="35C4F280" w14:textId="77777777" w:rsidR="00A528CF" w:rsidRPr="000C0842" w:rsidRDefault="00A528CF" w:rsidP="00A528CF">
            <w:pPr>
              <w:tabs>
                <w:tab w:val="left" w:pos="2835"/>
                <w:tab w:val="left" w:pos="3402"/>
              </w:tabs>
              <w:jc w:val="center"/>
              <w:rPr>
                <w:rFonts w:eastAsia="KaiTi"/>
                <w:sz w:val="18"/>
                <w:szCs w:val="18"/>
                <w:lang w:val="en-GB"/>
              </w:rPr>
            </w:pPr>
            <w:r w:rsidRPr="000C0842">
              <w:rPr>
                <w:rFonts w:eastAsia="KaiTi"/>
                <w:sz w:val="18"/>
                <w:szCs w:val="18"/>
                <w:lang w:val="en-GB"/>
              </w:rPr>
              <w:t>分摊比额表</w:t>
            </w:r>
          </w:p>
          <w:p w14:paraId="5F97E9CC" w14:textId="77777777" w:rsidR="00A528CF" w:rsidRPr="000C0842" w:rsidRDefault="00A528CF" w:rsidP="00A528CF">
            <w:pPr>
              <w:tabs>
                <w:tab w:val="left" w:pos="2835"/>
                <w:tab w:val="left" w:pos="3402"/>
              </w:tabs>
              <w:jc w:val="center"/>
              <w:rPr>
                <w:rFonts w:eastAsia="KaiTi"/>
                <w:sz w:val="18"/>
                <w:szCs w:val="18"/>
                <w:lang w:val="en-GB"/>
              </w:rPr>
            </w:pPr>
            <w:r w:rsidRPr="000C0842">
              <w:rPr>
                <w:rFonts w:eastAsia="KaiTi"/>
                <w:sz w:val="18"/>
                <w:szCs w:val="18"/>
                <w:lang w:val="en-GB"/>
              </w:rPr>
              <w:t>(</w:t>
            </w:r>
            <w:r w:rsidRPr="000C0842">
              <w:rPr>
                <w:rFonts w:eastAsia="KaiTi"/>
                <w:sz w:val="18"/>
                <w:szCs w:val="18"/>
                <w:lang w:val="en-GB"/>
              </w:rPr>
              <w:t>百分比</w:t>
            </w:r>
            <w:r w:rsidRPr="000C0842">
              <w:rPr>
                <w:rFonts w:eastAsia="KaiTi"/>
                <w:sz w:val="18"/>
                <w:szCs w:val="18"/>
                <w:lang w:val="en-GB"/>
              </w:rPr>
              <w:t>)</w:t>
            </w:r>
          </w:p>
        </w:tc>
        <w:tc>
          <w:tcPr>
            <w:tcW w:w="3717" w:type="dxa"/>
            <w:gridSpan w:val="3"/>
            <w:tcBorders>
              <w:top w:val="single" w:sz="4" w:space="0" w:color="auto"/>
              <w:left w:val="nil"/>
              <w:bottom w:val="single" w:sz="4" w:space="0" w:color="auto"/>
              <w:right w:val="single" w:sz="4" w:space="0" w:color="auto"/>
            </w:tcBorders>
            <w:vAlign w:val="bottom"/>
          </w:tcPr>
          <w:p w14:paraId="61F11405" w14:textId="77777777" w:rsidR="00A528CF" w:rsidRPr="000C0842" w:rsidRDefault="00A528CF" w:rsidP="00A528CF">
            <w:pPr>
              <w:tabs>
                <w:tab w:val="left" w:pos="2835"/>
                <w:tab w:val="left" w:pos="3402"/>
              </w:tabs>
              <w:jc w:val="center"/>
              <w:rPr>
                <w:rFonts w:eastAsia="KaiTi"/>
                <w:sz w:val="18"/>
                <w:szCs w:val="18"/>
                <w:lang w:val="en-GB"/>
              </w:rPr>
            </w:pPr>
            <w:r w:rsidRPr="000C0842">
              <w:rPr>
                <w:rFonts w:eastAsia="KaiTi"/>
                <w:sz w:val="18"/>
                <w:szCs w:val="18"/>
                <w:lang w:val="en-GB"/>
              </w:rPr>
              <w:t>摊款</w:t>
            </w:r>
          </w:p>
          <w:p w14:paraId="7899E6A5" w14:textId="77777777" w:rsidR="00A528CF" w:rsidRPr="000C0842" w:rsidRDefault="00A528CF" w:rsidP="00A528CF">
            <w:pPr>
              <w:tabs>
                <w:tab w:val="left" w:pos="2835"/>
                <w:tab w:val="left" w:pos="3402"/>
              </w:tabs>
              <w:jc w:val="center"/>
              <w:rPr>
                <w:rFonts w:eastAsia="KaiTi"/>
                <w:sz w:val="18"/>
                <w:szCs w:val="18"/>
                <w:lang w:val="en-GB"/>
              </w:rPr>
            </w:pPr>
            <w:r w:rsidRPr="000C0842">
              <w:rPr>
                <w:rFonts w:eastAsia="KaiTi"/>
                <w:sz w:val="18"/>
                <w:szCs w:val="18"/>
                <w:lang w:val="en-GB"/>
              </w:rPr>
              <w:t>(</w:t>
            </w:r>
            <w:r w:rsidRPr="000C0842">
              <w:rPr>
                <w:rFonts w:eastAsia="KaiTi"/>
                <w:sz w:val="18"/>
                <w:szCs w:val="18"/>
                <w:lang w:val="en-GB"/>
              </w:rPr>
              <w:t>美元</w:t>
            </w:r>
            <w:r w:rsidRPr="000C0842">
              <w:rPr>
                <w:rFonts w:eastAsia="KaiTi"/>
                <w:sz w:val="18"/>
                <w:szCs w:val="18"/>
                <w:lang w:val="en-GB"/>
              </w:rPr>
              <w:t>)</w:t>
            </w:r>
          </w:p>
        </w:tc>
      </w:tr>
      <w:tr w:rsidR="000C0842" w:rsidRPr="000C0842" w14:paraId="7033D1DD" w14:textId="77777777" w:rsidTr="001F32B3">
        <w:trPr>
          <w:tblHeader/>
        </w:trPr>
        <w:tc>
          <w:tcPr>
            <w:tcW w:w="1880" w:type="dxa"/>
            <w:vMerge/>
            <w:tcBorders>
              <w:left w:val="single" w:sz="4" w:space="0" w:color="auto"/>
              <w:bottom w:val="single" w:sz="4" w:space="0" w:color="auto"/>
              <w:right w:val="single" w:sz="4" w:space="0" w:color="auto"/>
            </w:tcBorders>
            <w:noWrap/>
            <w:vAlign w:val="bottom"/>
            <w:hideMark/>
          </w:tcPr>
          <w:p w14:paraId="78A240CE" w14:textId="77777777" w:rsidR="00A528CF" w:rsidRPr="000C0842" w:rsidRDefault="00A528CF" w:rsidP="00A528CF">
            <w:pPr>
              <w:tabs>
                <w:tab w:val="left" w:pos="2835"/>
                <w:tab w:val="left" w:pos="3402"/>
              </w:tabs>
              <w:jc w:val="left"/>
              <w:rPr>
                <w:rFonts w:eastAsia="KaiTi"/>
                <w:sz w:val="18"/>
                <w:szCs w:val="18"/>
                <w:lang w:val="en-GB"/>
              </w:rPr>
            </w:pPr>
          </w:p>
        </w:tc>
        <w:tc>
          <w:tcPr>
            <w:tcW w:w="1628" w:type="dxa"/>
            <w:tcBorders>
              <w:top w:val="single" w:sz="4" w:space="0" w:color="auto"/>
              <w:left w:val="nil"/>
              <w:bottom w:val="single" w:sz="4" w:space="0" w:color="auto"/>
              <w:right w:val="single" w:sz="4" w:space="0" w:color="auto"/>
            </w:tcBorders>
            <w:vAlign w:val="bottom"/>
            <w:hideMark/>
          </w:tcPr>
          <w:p w14:paraId="039D27F5" w14:textId="77777777" w:rsidR="00A528CF" w:rsidRPr="000C0842" w:rsidRDefault="00A528CF" w:rsidP="00A528CF">
            <w:pPr>
              <w:tabs>
                <w:tab w:val="left" w:pos="2835"/>
                <w:tab w:val="left" w:pos="3402"/>
              </w:tabs>
              <w:jc w:val="right"/>
              <w:rPr>
                <w:rFonts w:eastAsia="KaiTi"/>
                <w:sz w:val="18"/>
                <w:szCs w:val="18"/>
                <w:lang w:val="en-GB"/>
              </w:rPr>
            </w:pPr>
            <w:r w:rsidRPr="000C0842">
              <w:rPr>
                <w:rFonts w:eastAsia="KaiTi"/>
                <w:sz w:val="18"/>
                <w:szCs w:val="18"/>
                <w:lang w:val="en-GB"/>
              </w:rPr>
              <w:t>2022</w:t>
            </w:r>
            <w:r w:rsidRPr="000C0842">
              <w:rPr>
                <w:rFonts w:eastAsia="KaiTi"/>
                <w:sz w:val="20"/>
                <w:lang w:val="en-GB"/>
              </w:rPr>
              <w:t>–</w:t>
            </w:r>
            <w:r w:rsidRPr="000C0842">
              <w:rPr>
                <w:rFonts w:eastAsia="KaiTi"/>
                <w:sz w:val="18"/>
                <w:szCs w:val="18"/>
                <w:lang w:val="en-GB"/>
              </w:rPr>
              <w:t>2024</w:t>
            </w:r>
          </w:p>
        </w:tc>
        <w:tc>
          <w:tcPr>
            <w:tcW w:w="2198" w:type="dxa"/>
            <w:tcBorders>
              <w:top w:val="single" w:sz="4" w:space="0" w:color="auto"/>
              <w:left w:val="nil"/>
              <w:bottom w:val="single" w:sz="4" w:space="0" w:color="auto"/>
              <w:right w:val="single" w:sz="4" w:space="0" w:color="auto"/>
            </w:tcBorders>
            <w:vAlign w:val="bottom"/>
            <w:hideMark/>
          </w:tcPr>
          <w:p w14:paraId="3F12A511" w14:textId="77777777" w:rsidR="00A528CF" w:rsidRPr="000C0842" w:rsidRDefault="00A528CF" w:rsidP="00A528CF">
            <w:pPr>
              <w:tabs>
                <w:tab w:val="left" w:pos="2835"/>
                <w:tab w:val="left" w:pos="3402"/>
              </w:tabs>
              <w:jc w:val="right"/>
              <w:rPr>
                <w:rFonts w:eastAsia="KaiTi"/>
                <w:sz w:val="18"/>
                <w:szCs w:val="18"/>
                <w:lang w:val="en-GB"/>
              </w:rPr>
            </w:pPr>
            <w:r w:rsidRPr="000C0842">
              <w:rPr>
                <w:rFonts w:eastAsia="KaiTi"/>
                <w:sz w:val="18"/>
                <w:szCs w:val="18"/>
              </w:rPr>
              <w:t>实行</w:t>
            </w:r>
            <w:r w:rsidRPr="000C0842">
              <w:rPr>
                <w:rFonts w:eastAsia="KaiTi"/>
                <w:sz w:val="18"/>
                <w:szCs w:val="18"/>
              </w:rPr>
              <w:t>22%</w:t>
            </w:r>
            <w:r w:rsidRPr="000C0842">
              <w:rPr>
                <w:rFonts w:eastAsia="KaiTi"/>
                <w:sz w:val="18"/>
                <w:szCs w:val="18"/>
              </w:rPr>
              <w:t>上限，且任何最不发达国家的摊款不得超过</w:t>
            </w:r>
            <w:r w:rsidRPr="000C0842">
              <w:rPr>
                <w:rFonts w:eastAsia="KaiTi"/>
                <w:sz w:val="18"/>
                <w:szCs w:val="18"/>
              </w:rPr>
              <w:t>0.01%</w:t>
            </w:r>
            <w:r w:rsidRPr="000C0842">
              <w:rPr>
                <w:rFonts w:eastAsia="KaiTi"/>
                <w:sz w:val="18"/>
                <w:szCs w:val="18"/>
              </w:rPr>
              <w:t>的比额</w:t>
            </w:r>
          </w:p>
        </w:tc>
        <w:tc>
          <w:tcPr>
            <w:tcW w:w="1176" w:type="dxa"/>
            <w:tcBorders>
              <w:top w:val="single" w:sz="4" w:space="0" w:color="auto"/>
              <w:left w:val="nil"/>
              <w:bottom w:val="single" w:sz="4" w:space="0" w:color="auto"/>
              <w:right w:val="single" w:sz="4" w:space="0" w:color="auto"/>
            </w:tcBorders>
            <w:vAlign w:val="bottom"/>
            <w:hideMark/>
          </w:tcPr>
          <w:p w14:paraId="49534675" w14:textId="77777777" w:rsidR="00A528CF" w:rsidRPr="000C0842" w:rsidRDefault="00A528CF" w:rsidP="00A528CF">
            <w:pPr>
              <w:tabs>
                <w:tab w:val="left" w:pos="2835"/>
                <w:tab w:val="left" w:pos="3402"/>
              </w:tabs>
              <w:jc w:val="right"/>
              <w:rPr>
                <w:rFonts w:eastAsia="KaiTi"/>
                <w:sz w:val="18"/>
                <w:szCs w:val="18"/>
                <w:lang w:val="en-GB"/>
              </w:rPr>
            </w:pPr>
            <w:r w:rsidRPr="000C0842">
              <w:rPr>
                <w:rFonts w:eastAsia="KaiTi"/>
                <w:sz w:val="18"/>
                <w:szCs w:val="18"/>
                <w:lang w:val="en-GB"/>
              </w:rPr>
              <w:t>2025</w:t>
            </w:r>
          </w:p>
        </w:tc>
        <w:tc>
          <w:tcPr>
            <w:tcW w:w="1461" w:type="dxa"/>
            <w:tcBorders>
              <w:top w:val="single" w:sz="4" w:space="0" w:color="auto"/>
              <w:left w:val="nil"/>
              <w:bottom w:val="single" w:sz="4" w:space="0" w:color="auto"/>
              <w:right w:val="single" w:sz="4" w:space="0" w:color="auto"/>
            </w:tcBorders>
            <w:vAlign w:val="bottom"/>
            <w:hideMark/>
          </w:tcPr>
          <w:p w14:paraId="1AC2C2B5" w14:textId="77777777" w:rsidR="00A528CF" w:rsidRPr="000C0842" w:rsidRDefault="00A528CF" w:rsidP="00A528CF">
            <w:pPr>
              <w:tabs>
                <w:tab w:val="left" w:pos="2835"/>
                <w:tab w:val="left" w:pos="3402"/>
              </w:tabs>
              <w:jc w:val="right"/>
              <w:rPr>
                <w:rFonts w:eastAsia="KaiTi"/>
                <w:sz w:val="18"/>
                <w:szCs w:val="18"/>
                <w:lang w:val="en-GB"/>
              </w:rPr>
            </w:pPr>
            <w:r w:rsidRPr="000C0842">
              <w:rPr>
                <w:rFonts w:eastAsia="KaiTi"/>
                <w:sz w:val="18"/>
                <w:szCs w:val="18"/>
                <w:lang w:val="en-GB"/>
              </w:rPr>
              <w:t>2026</w:t>
            </w:r>
          </w:p>
        </w:tc>
        <w:tc>
          <w:tcPr>
            <w:tcW w:w="1080" w:type="dxa"/>
            <w:tcBorders>
              <w:left w:val="nil"/>
              <w:bottom w:val="single" w:sz="4" w:space="0" w:color="auto"/>
              <w:right w:val="single" w:sz="4" w:space="0" w:color="auto"/>
            </w:tcBorders>
            <w:vAlign w:val="bottom"/>
            <w:hideMark/>
          </w:tcPr>
          <w:p w14:paraId="3CB4692E" w14:textId="77777777" w:rsidR="00A528CF" w:rsidRPr="000C0842" w:rsidRDefault="00A528CF" w:rsidP="00A528CF">
            <w:pPr>
              <w:tabs>
                <w:tab w:val="left" w:pos="2835"/>
                <w:tab w:val="left" w:pos="3402"/>
              </w:tabs>
              <w:jc w:val="right"/>
              <w:rPr>
                <w:rFonts w:eastAsia="KaiTi"/>
                <w:sz w:val="18"/>
                <w:szCs w:val="18"/>
                <w:lang w:val="en-GB"/>
              </w:rPr>
            </w:pPr>
            <w:r w:rsidRPr="000C0842">
              <w:rPr>
                <w:rFonts w:eastAsia="KaiTi"/>
                <w:sz w:val="18"/>
                <w:szCs w:val="18"/>
                <w:lang w:val="en-GB"/>
              </w:rPr>
              <w:t>2025</w:t>
            </w:r>
            <w:r w:rsidRPr="000C0842">
              <w:rPr>
                <w:rFonts w:eastAsia="KaiTi"/>
                <w:sz w:val="20"/>
                <w:lang w:val="en-GB"/>
              </w:rPr>
              <w:t>–</w:t>
            </w:r>
            <w:r w:rsidRPr="000C0842">
              <w:rPr>
                <w:rFonts w:eastAsia="KaiTi"/>
                <w:sz w:val="18"/>
                <w:szCs w:val="18"/>
                <w:lang w:val="en-GB"/>
              </w:rPr>
              <w:t>2026</w:t>
            </w:r>
          </w:p>
        </w:tc>
      </w:tr>
      <w:tr w:rsidR="000C0842" w:rsidRPr="000C0842" w14:paraId="4B4376EF" w14:textId="77777777" w:rsidTr="001F32B3">
        <w:tc>
          <w:tcPr>
            <w:tcW w:w="1880" w:type="dxa"/>
            <w:tcBorders>
              <w:top w:val="nil"/>
              <w:left w:val="single" w:sz="4" w:space="0" w:color="auto"/>
              <w:bottom w:val="single" w:sz="4" w:space="0" w:color="auto"/>
              <w:right w:val="single" w:sz="4" w:space="0" w:color="auto"/>
            </w:tcBorders>
            <w:hideMark/>
          </w:tcPr>
          <w:p w14:paraId="0F07086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阿富汗</w:t>
            </w:r>
          </w:p>
        </w:tc>
        <w:tc>
          <w:tcPr>
            <w:tcW w:w="1628" w:type="dxa"/>
            <w:tcBorders>
              <w:top w:val="nil"/>
              <w:left w:val="nil"/>
              <w:bottom w:val="single" w:sz="4" w:space="0" w:color="auto"/>
              <w:right w:val="single" w:sz="4" w:space="0" w:color="auto"/>
            </w:tcBorders>
            <w:vAlign w:val="bottom"/>
            <w:hideMark/>
          </w:tcPr>
          <w:p w14:paraId="1BDAB18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2198" w:type="dxa"/>
            <w:tcBorders>
              <w:top w:val="nil"/>
              <w:left w:val="nil"/>
              <w:bottom w:val="single" w:sz="4" w:space="0" w:color="auto"/>
              <w:right w:val="single" w:sz="4" w:space="0" w:color="auto"/>
            </w:tcBorders>
            <w:noWrap/>
            <w:vAlign w:val="bottom"/>
            <w:hideMark/>
          </w:tcPr>
          <w:p w14:paraId="2FD9A53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1176" w:type="dxa"/>
            <w:tcBorders>
              <w:top w:val="nil"/>
              <w:left w:val="nil"/>
              <w:bottom w:val="single" w:sz="4" w:space="0" w:color="auto"/>
              <w:right w:val="single" w:sz="4" w:space="0" w:color="auto"/>
            </w:tcBorders>
            <w:noWrap/>
            <w:vAlign w:val="bottom"/>
            <w:hideMark/>
          </w:tcPr>
          <w:p w14:paraId="4BA518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1 056</w:t>
            </w:r>
          </w:p>
        </w:tc>
        <w:tc>
          <w:tcPr>
            <w:tcW w:w="1461" w:type="dxa"/>
            <w:tcBorders>
              <w:top w:val="nil"/>
              <w:left w:val="nil"/>
              <w:bottom w:val="single" w:sz="4" w:space="0" w:color="auto"/>
              <w:right w:val="single" w:sz="4" w:space="0" w:color="auto"/>
            </w:tcBorders>
            <w:noWrap/>
            <w:vAlign w:val="bottom"/>
            <w:hideMark/>
          </w:tcPr>
          <w:p w14:paraId="17AA1D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1 128</w:t>
            </w:r>
          </w:p>
        </w:tc>
        <w:tc>
          <w:tcPr>
            <w:tcW w:w="1080" w:type="dxa"/>
            <w:tcBorders>
              <w:top w:val="nil"/>
              <w:left w:val="nil"/>
              <w:bottom w:val="single" w:sz="4" w:space="0" w:color="auto"/>
              <w:right w:val="single" w:sz="4" w:space="0" w:color="auto"/>
            </w:tcBorders>
            <w:noWrap/>
            <w:vAlign w:val="bottom"/>
            <w:hideMark/>
          </w:tcPr>
          <w:p w14:paraId="74285B4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2 184 </w:t>
            </w:r>
          </w:p>
        </w:tc>
      </w:tr>
      <w:tr w:rsidR="000C0842" w:rsidRPr="000C0842" w14:paraId="0F3CF212" w14:textId="77777777" w:rsidTr="001F32B3">
        <w:tc>
          <w:tcPr>
            <w:tcW w:w="1880" w:type="dxa"/>
            <w:tcBorders>
              <w:top w:val="nil"/>
              <w:left w:val="single" w:sz="4" w:space="0" w:color="auto"/>
              <w:bottom w:val="single" w:sz="4" w:space="0" w:color="auto"/>
              <w:right w:val="single" w:sz="4" w:space="0" w:color="auto"/>
            </w:tcBorders>
            <w:hideMark/>
          </w:tcPr>
          <w:p w14:paraId="7636804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阿尔巴尼亚</w:t>
            </w:r>
          </w:p>
        </w:tc>
        <w:tc>
          <w:tcPr>
            <w:tcW w:w="1628" w:type="dxa"/>
            <w:tcBorders>
              <w:top w:val="nil"/>
              <w:left w:val="nil"/>
              <w:bottom w:val="single" w:sz="4" w:space="0" w:color="auto"/>
              <w:right w:val="single" w:sz="4" w:space="0" w:color="auto"/>
            </w:tcBorders>
            <w:vAlign w:val="bottom"/>
            <w:hideMark/>
          </w:tcPr>
          <w:p w14:paraId="23E3C1E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739308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6AC35F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6444E21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1 504 </w:t>
            </w:r>
          </w:p>
        </w:tc>
        <w:tc>
          <w:tcPr>
            <w:tcW w:w="1080" w:type="dxa"/>
            <w:tcBorders>
              <w:top w:val="nil"/>
              <w:left w:val="nil"/>
              <w:bottom w:val="single" w:sz="4" w:space="0" w:color="auto"/>
              <w:right w:val="single" w:sz="4" w:space="0" w:color="auto"/>
            </w:tcBorders>
            <w:noWrap/>
            <w:vAlign w:val="bottom"/>
            <w:hideMark/>
          </w:tcPr>
          <w:p w14:paraId="41A26D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2 912 </w:t>
            </w:r>
          </w:p>
        </w:tc>
      </w:tr>
      <w:tr w:rsidR="000C0842" w:rsidRPr="000C0842" w14:paraId="6815535C" w14:textId="77777777" w:rsidTr="001F32B3">
        <w:tc>
          <w:tcPr>
            <w:tcW w:w="1880" w:type="dxa"/>
            <w:tcBorders>
              <w:top w:val="nil"/>
              <w:left w:val="single" w:sz="4" w:space="0" w:color="auto"/>
              <w:bottom w:val="single" w:sz="4" w:space="0" w:color="auto"/>
              <w:right w:val="single" w:sz="4" w:space="0" w:color="auto"/>
            </w:tcBorders>
            <w:hideMark/>
          </w:tcPr>
          <w:p w14:paraId="301F582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阿尔及利亚</w:t>
            </w:r>
          </w:p>
        </w:tc>
        <w:tc>
          <w:tcPr>
            <w:tcW w:w="1628" w:type="dxa"/>
            <w:tcBorders>
              <w:top w:val="nil"/>
              <w:left w:val="nil"/>
              <w:bottom w:val="single" w:sz="4" w:space="0" w:color="auto"/>
              <w:right w:val="single" w:sz="4" w:space="0" w:color="auto"/>
            </w:tcBorders>
            <w:vAlign w:val="bottom"/>
            <w:hideMark/>
          </w:tcPr>
          <w:p w14:paraId="3D86CD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0.109</w:t>
            </w:r>
          </w:p>
        </w:tc>
        <w:tc>
          <w:tcPr>
            <w:tcW w:w="2198" w:type="dxa"/>
            <w:tcBorders>
              <w:top w:val="nil"/>
              <w:left w:val="nil"/>
              <w:bottom w:val="single" w:sz="4" w:space="0" w:color="auto"/>
              <w:right w:val="single" w:sz="4" w:space="0" w:color="auto"/>
            </w:tcBorders>
            <w:noWrap/>
            <w:vAlign w:val="bottom"/>
            <w:hideMark/>
          </w:tcPr>
          <w:p w14:paraId="77746A1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0.136</w:t>
            </w:r>
          </w:p>
        </w:tc>
        <w:tc>
          <w:tcPr>
            <w:tcW w:w="1176" w:type="dxa"/>
            <w:tcBorders>
              <w:top w:val="nil"/>
              <w:left w:val="nil"/>
              <w:bottom w:val="single" w:sz="4" w:space="0" w:color="auto"/>
              <w:right w:val="single" w:sz="4" w:space="0" w:color="auto"/>
            </w:tcBorders>
            <w:noWrap/>
            <w:vAlign w:val="bottom"/>
            <w:hideMark/>
          </w:tcPr>
          <w:p w14:paraId="481711C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19 183</w:t>
            </w:r>
          </w:p>
        </w:tc>
        <w:tc>
          <w:tcPr>
            <w:tcW w:w="1461" w:type="dxa"/>
            <w:tcBorders>
              <w:top w:val="nil"/>
              <w:left w:val="nil"/>
              <w:bottom w:val="single" w:sz="4" w:space="0" w:color="auto"/>
              <w:right w:val="single" w:sz="4" w:space="0" w:color="auto"/>
            </w:tcBorders>
            <w:noWrap/>
            <w:vAlign w:val="bottom"/>
            <w:hideMark/>
          </w:tcPr>
          <w:p w14:paraId="3811F1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20 496 </w:t>
            </w:r>
          </w:p>
        </w:tc>
        <w:tc>
          <w:tcPr>
            <w:tcW w:w="1080" w:type="dxa"/>
            <w:tcBorders>
              <w:top w:val="nil"/>
              <w:left w:val="nil"/>
              <w:bottom w:val="single" w:sz="4" w:space="0" w:color="auto"/>
              <w:right w:val="single" w:sz="4" w:space="0" w:color="auto"/>
            </w:tcBorders>
            <w:noWrap/>
            <w:vAlign w:val="bottom"/>
            <w:hideMark/>
          </w:tcPr>
          <w:p w14:paraId="2361556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39 679 </w:t>
            </w:r>
          </w:p>
        </w:tc>
      </w:tr>
      <w:tr w:rsidR="000C0842" w:rsidRPr="000C0842" w14:paraId="022EBB5D" w14:textId="77777777" w:rsidTr="001F32B3">
        <w:tc>
          <w:tcPr>
            <w:tcW w:w="1880" w:type="dxa"/>
            <w:tcBorders>
              <w:top w:val="nil"/>
              <w:left w:val="single" w:sz="4" w:space="0" w:color="auto"/>
              <w:bottom w:val="single" w:sz="4" w:space="0" w:color="auto"/>
              <w:right w:val="single" w:sz="4" w:space="0" w:color="auto"/>
            </w:tcBorders>
            <w:hideMark/>
          </w:tcPr>
          <w:p w14:paraId="152BEA8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安道尔</w:t>
            </w:r>
          </w:p>
        </w:tc>
        <w:tc>
          <w:tcPr>
            <w:tcW w:w="1628" w:type="dxa"/>
            <w:tcBorders>
              <w:top w:val="nil"/>
              <w:left w:val="nil"/>
              <w:bottom w:val="single" w:sz="4" w:space="0" w:color="auto"/>
              <w:right w:val="single" w:sz="4" w:space="0" w:color="auto"/>
            </w:tcBorders>
            <w:vAlign w:val="bottom"/>
            <w:hideMark/>
          </w:tcPr>
          <w:p w14:paraId="50D2264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2913195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5CC08E4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621FFC6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940 </w:t>
            </w:r>
          </w:p>
        </w:tc>
        <w:tc>
          <w:tcPr>
            <w:tcW w:w="1080" w:type="dxa"/>
            <w:tcBorders>
              <w:top w:val="nil"/>
              <w:left w:val="nil"/>
              <w:bottom w:val="single" w:sz="4" w:space="0" w:color="auto"/>
              <w:right w:val="single" w:sz="4" w:space="0" w:color="auto"/>
            </w:tcBorders>
            <w:noWrap/>
            <w:vAlign w:val="bottom"/>
            <w:hideMark/>
          </w:tcPr>
          <w:p w14:paraId="00240DB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1 820 </w:t>
            </w:r>
          </w:p>
        </w:tc>
      </w:tr>
      <w:tr w:rsidR="000C0842" w:rsidRPr="000C0842" w14:paraId="71529281" w14:textId="77777777" w:rsidTr="001F32B3">
        <w:tc>
          <w:tcPr>
            <w:tcW w:w="1880" w:type="dxa"/>
            <w:tcBorders>
              <w:top w:val="nil"/>
              <w:left w:val="single" w:sz="4" w:space="0" w:color="auto"/>
              <w:bottom w:val="single" w:sz="4" w:space="0" w:color="auto"/>
              <w:right w:val="single" w:sz="4" w:space="0" w:color="auto"/>
            </w:tcBorders>
            <w:hideMark/>
          </w:tcPr>
          <w:p w14:paraId="55D693C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安哥拉</w:t>
            </w:r>
          </w:p>
        </w:tc>
        <w:tc>
          <w:tcPr>
            <w:tcW w:w="1628" w:type="dxa"/>
            <w:tcBorders>
              <w:top w:val="nil"/>
              <w:left w:val="nil"/>
              <w:bottom w:val="single" w:sz="4" w:space="0" w:color="auto"/>
              <w:right w:val="single" w:sz="4" w:space="0" w:color="auto"/>
            </w:tcBorders>
            <w:vAlign w:val="bottom"/>
            <w:hideMark/>
          </w:tcPr>
          <w:p w14:paraId="23EF71C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33ED94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3C64C47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00D2B8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1 504 </w:t>
            </w:r>
          </w:p>
        </w:tc>
        <w:tc>
          <w:tcPr>
            <w:tcW w:w="1080" w:type="dxa"/>
            <w:tcBorders>
              <w:top w:val="nil"/>
              <w:left w:val="nil"/>
              <w:bottom w:val="single" w:sz="4" w:space="0" w:color="auto"/>
              <w:right w:val="single" w:sz="4" w:space="0" w:color="auto"/>
            </w:tcBorders>
            <w:noWrap/>
            <w:vAlign w:val="bottom"/>
            <w:hideMark/>
          </w:tcPr>
          <w:p w14:paraId="2EFE6A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2 912 </w:t>
            </w:r>
          </w:p>
        </w:tc>
      </w:tr>
      <w:tr w:rsidR="000C0842" w:rsidRPr="000C0842" w14:paraId="0F5C16FB" w14:textId="77777777" w:rsidTr="001F32B3">
        <w:tc>
          <w:tcPr>
            <w:tcW w:w="1880" w:type="dxa"/>
            <w:tcBorders>
              <w:top w:val="nil"/>
              <w:left w:val="single" w:sz="4" w:space="0" w:color="auto"/>
              <w:bottom w:val="single" w:sz="4" w:space="0" w:color="auto"/>
              <w:right w:val="single" w:sz="4" w:space="0" w:color="auto"/>
            </w:tcBorders>
            <w:hideMark/>
          </w:tcPr>
          <w:p w14:paraId="07CB582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安提瓜和巴布达</w:t>
            </w:r>
          </w:p>
        </w:tc>
        <w:tc>
          <w:tcPr>
            <w:tcW w:w="1628" w:type="dxa"/>
            <w:tcBorders>
              <w:top w:val="nil"/>
              <w:left w:val="nil"/>
              <w:bottom w:val="single" w:sz="4" w:space="0" w:color="auto"/>
              <w:right w:val="single" w:sz="4" w:space="0" w:color="auto"/>
            </w:tcBorders>
            <w:vAlign w:val="bottom"/>
            <w:hideMark/>
          </w:tcPr>
          <w:p w14:paraId="1F00FC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03F3CB2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3AC503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3311694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376 </w:t>
            </w:r>
          </w:p>
        </w:tc>
        <w:tc>
          <w:tcPr>
            <w:tcW w:w="1080" w:type="dxa"/>
            <w:tcBorders>
              <w:top w:val="nil"/>
              <w:left w:val="nil"/>
              <w:bottom w:val="single" w:sz="4" w:space="0" w:color="auto"/>
              <w:right w:val="single" w:sz="4" w:space="0" w:color="auto"/>
            </w:tcBorders>
            <w:noWrap/>
            <w:vAlign w:val="bottom"/>
            <w:hideMark/>
          </w:tcPr>
          <w:p w14:paraId="3DFF89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728 </w:t>
            </w:r>
          </w:p>
        </w:tc>
      </w:tr>
      <w:tr w:rsidR="000C0842" w:rsidRPr="000C0842" w14:paraId="21ED75D9" w14:textId="77777777" w:rsidTr="001F32B3">
        <w:tc>
          <w:tcPr>
            <w:tcW w:w="1880" w:type="dxa"/>
            <w:tcBorders>
              <w:top w:val="nil"/>
              <w:left w:val="single" w:sz="4" w:space="0" w:color="auto"/>
              <w:bottom w:val="single" w:sz="4" w:space="0" w:color="auto"/>
              <w:right w:val="single" w:sz="4" w:space="0" w:color="auto"/>
            </w:tcBorders>
            <w:hideMark/>
          </w:tcPr>
          <w:p w14:paraId="5AEA5DA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阿根廷</w:t>
            </w:r>
          </w:p>
        </w:tc>
        <w:tc>
          <w:tcPr>
            <w:tcW w:w="1628" w:type="dxa"/>
            <w:tcBorders>
              <w:top w:val="nil"/>
              <w:left w:val="nil"/>
              <w:bottom w:val="single" w:sz="4" w:space="0" w:color="auto"/>
              <w:right w:val="single" w:sz="4" w:space="0" w:color="auto"/>
            </w:tcBorders>
            <w:vAlign w:val="bottom"/>
            <w:hideMark/>
          </w:tcPr>
          <w:p w14:paraId="6C1761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0.719</w:t>
            </w:r>
          </w:p>
        </w:tc>
        <w:tc>
          <w:tcPr>
            <w:tcW w:w="2198" w:type="dxa"/>
            <w:tcBorders>
              <w:top w:val="nil"/>
              <w:left w:val="nil"/>
              <w:bottom w:val="single" w:sz="4" w:space="0" w:color="auto"/>
              <w:right w:val="single" w:sz="4" w:space="0" w:color="auto"/>
            </w:tcBorders>
            <w:noWrap/>
            <w:vAlign w:val="bottom"/>
            <w:hideMark/>
          </w:tcPr>
          <w:p w14:paraId="57F8CEB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0.899</w:t>
            </w:r>
          </w:p>
        </w:tc>
        <w:tc>
          <w:tcPr>
            <w:tcW w:w="1176" w:type="dxa"/>
            <w:tcBorders>
              <w:top w:val="nil"/>
              <w:left w:val="nil"/>
              <w:bottom w:val="single" w:sz="4" w:space="0" w:color="auto"/>
              <w:right w:val="single" w:sz="4" w:space="0" w:color="auto"/>
            </w:tcBorders>
            <w:noWrap/>
            <w:vAlign w:val="bottom"/>
            <w:hideMark/>
          </w:tcPr>
          <w:p w14:paraId="7F1E75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126 540</w:t>
            </w:r>
          </w:p>
        </w:tc>
        <w:tc>
          <w:tcPr>
            <w:tcW w:w="1461" w:type="dxa"/>
            <w:tcBorders>
              <w:top w:val="nil"/>
              <w:left w:val="nil"/>
              <w:bottom w:val="single" w:sz="4" w:space="0" w:color="auto"/>
              <w:right w:val="single" w:sz="4" w:space="0" w:color="auto"/>
            </w:tcBorders>
            <w:noWrap/>
            <w:vAlign w:val="bottom"/>
            <w:hideMark/>
          </w:tcPr>
          <w:p w14:paraId="4E8FA75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135 198 </w:t>
            </w:r>
          </w:p>
        </w:tc>
        <w:tc>
          <w:tcPr>
            <w:tcW w:w="1080" w:type="dxa"/>
            <w:tcBorders>
              <w:top w:val="nil"/>
              <w:left w:val="nil"/>
              <w:bottom w:val="single" w:sz="4" w:space="0" w:color="auto"/>
              <w:right w:val="single" w:sz="4" w:space="0" w:color="auto"/>
            </w:tcBorders>
            <w:noWrap/>
            <w:vAlign w:val="bottom"/>
            <w:hideMark/>
          </w:tcPr>
          <w:p w14:paraId="781392A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 xml:space="preserve">261 738 </w:t>
            </w:r>
          </w:p>
        </w:tc>
      </w:tr>
      <w:tr w:rsidR="000C0842" w:rsidRPr="000C0842" w14:paraId="13F19F50" w14:textId="77777777" w:rsidTr="001F32B3">
        <w:tc>
          <w:tcPr>
            <w:tcW w:w="1880" w:type="dxa"/>
            <w:tcBorders>
              <w:top w:val="nil"/>
              <w:left w:val="single" w:sz="4" w:space="0" w:color="auto"/>
              <w:bottom w:val="single" w:sz="4" w:space="0" w:color="auto"/>
              <w:right w:val="single" w:sz="4" w:space="0" w:color="auto"/>
            </w:tcBorders>
            <w:hideMark/>
          </w:tcPr>
          <w:p w14:paraId="2DCEB86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亚美尼亚</w:t>
            </w:r>
          </w:p>
        </w:tc>
        <w:tc>
          <w:tcPr>
            <w:tcW w:w="1628" w:type="dxa"/>
            <w:tcBorders>
              <w:top w:val="nil"/>
              <w:left w:val="nil"/>
              <w:bottom w:val="single" w:sz="4" w:space="0" w:color="auto"/>
              <w:right w:val="single" w:sz="4" w:space="0" w:color="auto"/>
            </w:tcBorders>
            <w:vAlign w:val="bottom"/>
            <w:hideMark/>
          </w:tcPr>
          <w:p w14:paraId="6E855EE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0D9768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0485CFC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1C8128A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2200CE2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08C406A9" w14:textId="77777777" w:rsidTr="001F32B3">
        <w:tc>
          <w:tcPr>
            <w:tcW w:w="1880" w:type="dxa"/>
            <w:tcBorders>
              <w:top w:val="nil"/>
              <w:left w:val="single" w:sz="4" w:space="0" w:color="auto"/>
              <w:bottom w:val="single" w:sz="4" w:space="0" w:color="auto"/>
              <w:right w:val="single" w:sz="4" w:space="0" w:color="auto"/>
            </w:tcBorders>
            <w:hideMark/>
          </w:tcPr>
          <w:p w14:paraId="37797E2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澳大利亚</w:t>
            </w:r>
          </w:p>
        </w:tc>
        <w:tc>
          <w:tcPr>
            <w:tcW w:w="1628" w:type="dxa"/>
            <w:tcBorders>
              <w:top w:val="nil"/>
              <w:left w:val="nil"/>
              <w:bottom w:val="single" w:sz="4" w:space="0" w:color="auto"/>
              <w:right w:val="single" w:sz="4" w:space="0" w:color="auto"/>
            </w:tcBorders>
            <w:vAlign w:val="bottom"/>
            <w:hideMark/>
          </w:tcPr>
          <w:p w14:paraId="4AEA747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2.111</w:t>
            </w:r>
          </w:p>
        </w:tc>
        <w:tc>
          <w:tcPr>
            <w:tcW w:w="2198" w:type="dxa"/>
            <w:tcBorders>
              <w:top w:val="nil"/>
              <w:left w:val="nil"/>
              <w:bottom w:val="single" w:sz="4" w:space="0" w:color="auto"/>
              <w:right w:val="single" w:sz="4" w:space="0" w:color="auto"/>
            </w:tcBorders>
            <w:noWrap/>
            <w:vAlign w:val="bottom"/>
            <w:hideMark/>
          </w:tcPr>
          <w:p w14:paraId="1F81E2B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2.639</w:t>
            </w:r>
          </w:p>
        </w:tc>
        <w:tc>
          <w:tcPr>
            <w:tcW w:w="1176" w:type="dxa"/>
            <w:tcBorders>
              <w:top w:val="nil"/>
              <w:left w:val="nil"/>
              <w:bottom w:val="single" w:sz="4" w:space="0" w:color="auto"/>
              <w:right w:val="single" w:sz="4" w:space="0" w:color="auto"/>
            </w:tcBorders>
            <w:noWrap/>
            <w:vAlign w:val="bottom"/>
            <w:hideMark/>
          </w:tcPr>
          <w:p w14:paraId="54E2CA1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371 524</w:t>
            </w:r>
          </w:p>
        </w:tc>
        <w:tc>
          <w:tcPr>
            <w:tcW w:w="1461" w:type="dxa"/>
            <w:tcBorders>
              <w:top w:val="nil"/>
              <w:left w:val="nil"/>
              <w:bottom w:val="single" w:sz="4" w:space="0" w:color="auto"/>
              <w:right w:val="single" w:sz="4" w:space="0" w:color="auto"/>
            </w:tcBorders>
            <w:noWrap/>
            <w:vAlign w:val="bottom"/>
            <w:hideMark/>
          </w:tcPr>
          <w:p w14:paraId="1B6F9E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396 945</w:t>
            </w:r>
          </w:p>
        </w:tc>
        <w:tc>
          <w:tcPr>
            <w:tcW w:w="1080" w:type="dxa"/>
            <w:tcBorders>
              <w:top w:val="nil"/>
              <w:left w:val="nil"/>
              <w:bottom w:val="single" w:sz="4" w:space="0" w:color="auto"/>
              <w:right w:val="single" w:sz="4" w:space="0" w:color="auto"/>
            </w:tcBorders>
            <w:noWrap/>
            <w:vAlign w:val="bottom"/>
            <w:hideMark/>
          </w:tcPr>
          <w:p w14:paraId="242A60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768 469</w:t>
            </w:r>
          </w:p>
        </w:tc>
      </w:tr>
      <w:tr w:rsidR="000C0842" w:rsidRPr="000C0842" w14:paraId="4BDB8928" w14:textId="77777777" w:rsidTr="001F32B3">
        <w:tc>
          <w:tcPr>
            <w:tcW w:w="1880" w:type="dxa"/>
            <w:tcBorders>
              <w:top w:val="nil"/>
              <w:left w:val="single" w:sz="4" w:space="0" w:color="auto"/>
              <w:bottom w:val="single" w:sz="4" w:space="0" w:color="auto"/>
              <w:right w:val="single" w:sz="4" w:space="0" w:color="auto"/>
            </w:tcBorders>
            <w:hideMark/>
          </w:tcPr>
          <w:p w14:paraId="634028C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奥地利</w:t>
            </w:r>
          </w:p>
        </w:tc>
        <w:tc>
          <w:tcPr>
            <w:tcW w:w="1628" w:type="dxa"/>
            <w:tcBorders>
              <w:top w:val="nil"/>
              <w:left w:val="nil"/>
              <w:bottom w:val="single" w:sz="4" w:space="0" w:color="auto"/>
              <w:right w:val="single" w:sz="4" w:space="0" w:color="auto"/>
            </w:tcBorders>
            <w:vAlign w:val="bottom"/>
            <w:hideMark/>
          </w:tcPr>
          <w:p w14:paraId="2F6A55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0.679</w:t>
            </w:r>
          </w:p>
        </w:tc>
        <w:tc>
          <w:tcPr>
            <w:tcW w:w="2198" w:type="dxa"/>
            <w:tcBorders>
              <w:top w:val="nil"/>
              <w:left w:val="nil"/>
              <w:bottom w:val="single" w:sz="4" w:space="0" w:color="auto"/>
              <w:right w:val="single" w:sz="4" w:space="0" w:color="auto"/>
            </w:tcBorders>
            <w:noWrap/>
            <w:vAlign w:val="bottom"/>
            <w:hideMark/>
          </w:tcPr>
          <w:p w14:paraId="1D5F1A9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0.849</w:t>
            </w:r>
          </w:p>
        </w:tc>
        <w:tc>
          <w:tcPr>
            <w:tcW w:w="1176" w:type="dxa"/>
            <w:tcBorders>
              <w:top w:val="nil"/>
              <w:left w:val="nil"/>
              <w:bottom w:val="single" w:sz="4" w:space="0" w:color="auto"/>
              <w:right w:val="single" w:sz="4" w:space="0" w:color="auto"/>
            </w:tcBorders>
            <w:noWrap/>
            <w:vAlign w:val="bottom"/>
            <w:hideMark/>
          </w:tcPr>
          <w:p w14:paraId="648B0B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119 500</w:t>
            </w:r>
          </w:p>
        </w:tc>
        <w:tc>
          <w:tcPr>
            <w:tcW w:w="1461" w:type="dxa"/>
            <w:tcBorders>
              <w:top w:val="nil"/>
              <w:left w:val="nil"/>
              <w:bottom w:val="single" w:sz="4" w:space="0" w:color="auto"/>
              <w:right w:val="single" w:sz="4" w:space="0" w:color="auto"/>
            </w:tcBorders>
            <w:noWrap/>
            <w:vAlign w:val="bottom"/>
            <w:hideMark/>
          </w:tcPr>
          <w:p w14:paraId="453DBF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127 677</w:t>
            </w:r>
          </w:p>
        </w:tc>
        <w:tc>
          <w:tcPr>
            <w:tcW w:w="1080" w:type="dxa"/>
            <w:tcBorders>
              <w:top w:val="nil"/>
              <w:left w:val="nil"/>
              <w:bottom w:val="single" w:sz="4" w:space="0" w:color="auto"/>
              <w:right w:val="single" w:sz="4" w:space="0" w:color="auto"/>
            </w:tcBorders>
            <w:noWrap/>
            <w:vAlign w:val="bottom"/>
            <w:hideMark/>
          </w:tcPr>
          <w:p w14:paraId="6CE297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247 177</w:t>
            </w:r>
          </w:p>
        </w:tc>
      </w:tr>
      <w:tr w:rsidR="000C0842" w:rsidRPr="000C0842" w14:paraId="180E835F" w14:textId="77777777" w:rsidTr="001F32B3">
        <w:tc>
          <w:tcPr>
            <w:tcW w:w="1880" w:type="dxa"/>
            <w:tcBorders>
              <w:top w:val="nil"/>
              <w:left w:val="single" w:sz="4" w:space="0" w:color="auto"/>
              <w:bottom w:val="single" w:sz="4" w:space="0" w:color="auto"/>
              <w:right w:val="single" w:sz="4" w:space="0" w:color="auto"/>
            </w:tcBorders>
            <w:hideMark/>
          </w:tcPr>
          <w:p w14:paraId="4029941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阿塞拜疆</w:t>
            </w:r>
          </w:p>
        </w:tc>
        <w:tc>
          <w:tcPr>
            <w:tcW w:w="1628" w:type="dxa"/>
            <w:tcBorders>
              <w:top w:val="nil"/>
              <w:left w:val="nil"/>
              <w:bottom w:val="single" w:sz="4" w:space="0" w:color="auto"/>
              <w:right w:val="single" w:sz="4" w:space="0" w:color="auto"/>
            </w:tcBorders>
            <w:vAlign w:val="bottom"/>
            <w:hideMark/>
          </w:tcPr>
          <w:p w14:paraId="1622A73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0.030</w:t>
            </w:r>
          </w:p>
        </w:tc>
        <w:tc>
          <w:tcPr>
            <w:tcW w:w="2198" w:type="dxa"/>
            <w:tcBorders>
              <w:top w:val="nil"/>
              <w:left w:val="nil"/>
              <w:bottom w:val="single" w:sz="4" w:space="0" w:color="auto"/>
              <w:right w:val="single" w:sz="4" w:space="0" w:color="auto"/>
            </w:tcBorders>
            <w:noWrap/>
            <w:vAlign w:val="bottom"/>
            <w:hideMark/>
          </w:tcPr>
          <w:p w14:paraId="4A75F50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0.038</w:t>
            </w:r>
          </w:p>
        </w:tc>
        <w:tc>
          <w:tcPr>
            <w:tcW w:w="1176" w:type="dxa"/>
            <w:tcBorders>
              <w:top w:val="nil"/>
              <w:left w:val="nil"/>
              <w:bottom w:val="single" w:sz="4" w:space="0" w:color="auto"/>
              <w:right w:val="single" w:sz="4" w:space="0" w:color="auto"/>
            </w:tcBorders>
            <w:noWrap/>
            <w:vAlign w:val="bottom"/>
            <w:hideMark/>
          </w:tcPr>
          <w:p w14:paraId="2A45AD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5 280</w:t>
            </w:r>
          </w:p>
        </w:tc>
        <w:tc>
          <w:tcPr>
            <w:tcW w:w="1461" w:type="dxa"/>
            <w:tcBorders>
              <w:top w:val="nil"/>
              <w:left w:val="nil"/>
              <w:bottom w:val="single" w:sz="4" w:space="0" w:color="auto"/>
              <w:right w:val="single" w:sz="4" w:space="0" w:color="auto"/>
            </w:tcBorders>
            <w:noWrap/>
            <w:vAlign w:val="bottom"/>
            <w:hideMark/>
          </w:tcPr>
          <w:p w14:paraId="4E16B0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5 641</w:t>
            </w:r>
          </w:p>
        </w:tc>
        <w:tc>
          <w:tcPr>
            <w:tcW w:w="1080" w:type="dxa"/>
            <w:tcBorders>
              <w:top w:val="nil"/>
              <w:left w:val="nil"/>
              <w:bottom w:val="single" w:sz="4" w:space="0" w:color="auto"/>
              <w:right w:val="single" w:sz="4" w:space="0" w:color="auto"/>
            </w:tcBorders>
            <w:noWrap/>
            <w:vAlign w:val="bottom"/>
            <w:hideMark/>
          </w:tcPr>
          <w:p w14:paraId="577E018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10 921</w:t>
            </w:r>
          </w:p>
        </w:tc>
      </w:tr>
      <w:tr w:rsidR="000C0842" w:rsidRPr="000C0842" w14:paraId="584F9BA4" w14:textId="77777777" w:rsidTr="001F32B3">
        <w:tc>
          <w:tcPr>
            <w:tcW w:w="1880" w:type="dxa"/>
            <w:tcBorders>
              <w:top w:val="nil"/>
              <w:left w:val="single" w:sz="4" w:space="0" w:color="auto"/>
              <w:bottom w:val="single" w:sz="4" w:space="0" w:color="auto"/>
              <w:right w:val="single" w:sz="4" w:space="0" w:color="auto"/>
            </w:tcBorders>
            <w:hideMark/>
          </w:tcPr>
          <w:p w14:paraId="7FD2A4B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巴哈马</w:t>
            </w:r>
          </w:p>
        </w:tc>
        <w:tc>
          <w:tcPr>
            <w:tcW w:w="1628" w:type="dxa"/>
            <w:tcBorders>
              <w:top w:val="nil"/>
              <w:left w:val="nil"/>
              <w:bottom w:val="single" w:sz="4" w:space="0" w:color="auto"/>
              <w:right w:val="single" w:sz="4" w:space="0" w:color="auto"/>
            </w:tcBorders>
            <w:vAlign w:val="bottom"/>
            <w:hideMark/>
          </w:tcPr>
          <w:p w14:paraId="4F0696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2198" w:type="dxa"/>
            <w:tcBorders>
              <w:top w:val="nil"/>
              <w:left w:val="nil"/>
              <w:bottom w:val="single" w:sz="4" w:space="0" w:color="auto"/>
              <w:right w:val="single" w:sz="4" w:space="0" w:color="auto"/>
            </w:tcBorders>
            <w:noWrap/>
            <w:vAlign w:val="bottom"/>
            <w:hideMark/>
          </w:tcPr>
          <w:p w14:paraId="4ABE893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1176" w:type="dxa"/>
            <w:tcBorders>
              <w:top w:val="nil"/>
              <w:left w:val="nil"/>
              <w:bottom w:val="single" w:sz="4" w:space="0" w:color="auto"/>
              <w:right w:val="single" w:sz="4" w:space="0" w:color="auto"/>
            </w:tcBorders>
            <w:noWrap/>
            <w:vAlign w:val="bottom"/>
            <w:hideMark/>
          </w:tcPr>
          <w:p w14:paraId="0AA1C6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3 344</w:t>
            </w:r>
          </w:p>
        </w:tc>
        <w:tc>
          <w:tcPr>
            <w:tcW w:w="1461" w:type="dxa"/>
            <w:tcBorders>
              <w:top w:val="nil"/>
              <w:left w:val="nil"/>
              <w:bottom w:val="single" w:sz="4" w:space="0" w:color="auto"/>
              <w:right w:val="single" w:sz="4" w:space="0" w:color="auto"/>
            </w:tcBorders>
            <w:noWrap/>
            <w:vAlign w:val="bottom"/>
            <w:hideMark/>
          </w:tcPr>
          <w:p w14:paraId="7B58B5A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3 573</w:t>
            </w:r>
          </w:p>
        </w:tc>
        <w:tc>
          <w:tcPr>
            <w:tcW w:w="1080" w:type="dxa"/>
            <w:tcBorders>
              <w:top w:val="nil"/>
              <w:left w:val="nil"/>
              <w:bottom w:val="single" w:sz="4" w:space="0" w:color="auto"/>
              <w:right w:val="single" w:sz="4" w:space="0" w:color="auto"/>
            </w:tcBorders>
            <w:noWrap/>
            <w:vAlign w:val="bottom"/>
            <w:hideMark/>
          </w:tcPr>
          <w:p w14:paraId="153CCB4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6 917</w:t>
            </w:r>
          </w:p>
        </w:tc>
      </w:tr>
      <w:tr w:rsidR="000C0842" w:rsidRPr="000C0842" w14:paraId="11669637" w14:textId="77777777" w:rsidTr="001F32B3">
        <w:tc>
          <w:tcPr>
            <w:tcW w:w="1880" w:type="dxa"/>
            <w:tcBorders>
              <w:top w:val="nil"/>
              <w:left w:val="single" w:sz="4" w:space="0" w:color="auto"/>
              <w:bottom w:val="single" w:sz="4" w:space="0" w:color="auto"/>
              <w:right w:val="single" w:sz="4" w:space="0" w:color="auto"/>
            </w:tcBorders>
            <w:hideMark/>
          </w:tcPr>
          <w:p w14:paraId="0112C08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巴林</w:t>
            </w:r>
          </w:p>
        </w:tc>
        <w:tc>
          <w:tcPr>
            <w:tcW w:w="1628" w:type="dxa"/>
            <w:tcBorders>
              <w:top w:val="nil"/>
              <w:left w:val="nil"/>
              <w:bottom w:val="single" w:sz="4" w:space="0" w:color="auto"/>
              <w:right w:val="single" w:sz="4" w:space="0" w:color="auto"/>
            </w:tcBorders>
            <w:vAlign w:val="bottom"/>
            <w:hideMark/>
          </w:tcPr>
          <w:p w14:paraId="47713F6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0.054</w:t>
            </w:r>
          </w:p>
        </w:tc>
        <w:tc>
          <w:tcPr>
            <w:tcW w:w="2198" w:type="dxa"/>
            <w:tcBorders>
              <w:top w:val="nil"/>
              <w:left w:val="nil"/>
              <w:bottom w:val="single" w:sz="4" w:space="0" w:color="auto"/>
              <w:right w:val="single" w:sz="4" w:space="0" w:color="auto"/>
            </w:tcBorders>
            <w:noWrap/>
            <w:vAlign w:val="bottom"/>
            <w:hideMark/>
          </w:tcPr>
          <w:p w14:paraId="5E9B3BD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0.068</w:t>
            </w:r>
          </w:p>
        </w:tc>
        <w:tc>
          <w:tcPr>
            <w:tcW w:w="1176" w:type="dxa"/>
            <w:tcBorders>
              <w:top w:val="nil"/>
              <w:left w:val="nil"/>
              <w:bottom w:val="single" w:sz="4" w:space="0" w:color="auto"/>
              <w:right w:val="single" w:sz="4" w:space="0" w:color="auto"/>
            </w:tcBorders>
            <w:noWrap/>
            <w:vAlign w:val="bottom"/>
            <w:hideMark/>
          </w:tcPr>
          <w:p w14:paraId="0454C8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9 504</w:t>
            </w:r>
          </w:p>
        </w:tc>
        <w:tc>
          <w:tcPr>
            <w:tcW w:w="1461" w:type="dxa"/>
            <w:tcBorders>
              <w:top w:val="nil"/>
              <w:left w:val="nil"/>
              <w:bottom w:val="single" w:sz="4" w:space="0" w:color="auto"/>
              <w:right w:val="single" w:sz="4" w:space="0" w:color="auto"/>
            </w:tcBorders>
            <w:noWrap/>
            <w:vAlign w:val="bottom"/>
            <w:hideMark/>
          </w:tcPr>
          <w:p w14:paraId="4395409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10 154</w:t>
            </w:r>
          </w:p>
        </w:tc>
        <w:tc>
          <w:tcPr>
            <w:tcW w:w="1080" w:type="dxa"/>
            <w:tcBorders>
              <w:top w:val="nil"/>
              <w:left w:val="nil"/>
              <w:bottom w:val="single" w:sz="4" w:space="0" w:color="auto"/>
              <w:right w:val="single" w:sz="4" w:space="0" w:color="auto"/>
            </w:tcBorders>
            <w:noWrap/>
            <w:vAlign w:val="bottom"/>
            <w:hideMark/>
          </w:tcPr>
          <w:p w14:paraId="4FDAA13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19 658</w:t>
            </w:r>
          </w:p>
        </w:tc>
      </w:tr>
      <w:tr w:rsidR="000C0842" w:rsidRPr="000C0842" w14:paraId="774AE7ED" w14:textId="77777777" w:rsidTr="001F32B3">
        <w:tc>
          <w:tcPr>
            <w:tcW w:w="1880" w:type="dxa"/>
            <w:tcBorders>
              <w:top w:val="nil"/>
              <w:left w:val="single" w:sz="4" w:space="0" w:color="auto"/>
              <w:bottom w:val="single" w:sz="4" w:space="0" w:color="auto"/>
              <w:right w:val="single" w:sz="4" w:space="0" w:color="auto"/>
            </w:tcBorders>
            <w:hideMark/>
          </w:tcPr>
          <w:p w14:paraId="279D856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孟加拉国</w:t>
            </w:r>
          </w:p>
        </w:tc>
        <w:tc>
          <w:tcPr>
            <w:tcW w:w="1628" w:type="dxa"/>
            <w:tcBorders>
              <w:top w:val="nil"/>
              <w:left w:val="nil"/>
              <w:bottom w:val="single" w:sz="4" w:space="0" w:color="auto"/>
              <w:right w:val="single" w:sz="4" w:space="0" w:color="auto"/>
            </w:tcBorders>
            <w:vAlign w:val="bottom"/>
            <w:hideMark/>
          </w:tcPr>
          <w:p w14:paraId="6113E74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539CA2B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3B1A9C4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06EADF5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7B86A3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1EDF2945" w14:textId="77777777" w:rsidTr="001F32B3">
        <w:tc>
          <w:tcPr>
            <w:tcW w:w="1880" w:type="dxa"/>
            <w:tcBorders>
              <w:top w:val="nil"/>
              <w:left w:val="single" w:sz="4" w:space="0" w:color="auto"/>
              <w:bottom w:val="single" w:sz="4" w:space="0" w:color="auto"/>
              <w:right w:val="single" w:sz="4" w:space="0" w:color="auto"/>
            </w:tcBorders>
            <w:hideMark/>
          </w:tcPr>
          <w:p w14:paraId="0FB057A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巴巴多斯</w:t>
            </w:r>
          </w:p>
        </w:tc>
        <w:tc>
          <w:tcPr>
            <w:tcW w:w="1628" w:type="dxa"/>
            <w:tcBorders>
              <w:top w:val="nil"/>
              <w:left w:val="nil"/>
              <w:bottom w:val="single" w:sz="4" w:space="0" w:color="auto"/>
              <w:right w:val="single" w:sz="4" w:space="0" w:color="auto"/>
            </w:tcBorders>
            <w:vAlign w:val="bottom"/>
            <w:hideMark/>
          </w:tcPr>
          <w:p w14:paraId="7B1E579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5612F3C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301DFA1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090F5E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2DB8A0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36249862" w14:textId="77777777" w:rsidTr="001F32B3">
        <w:tc>
          <w:tcPr>
            <w:tcW w:w="1880" w:type="dxa"/>
            <w:tcBorders>
              <w:top w:val="nil"/>
              <w:left w:val="single" w:sz="4" w:space="0" w:color="auto"/>
              <w:bottom w:val="single" w:sz="4" w:space="0" w:color="auto"/>
              <w:right w:val="single" w:sz="4" w:space="0" w:color="auto"/>
            </w:tcBorders>
            <w:hideMark/>
          </w:tcPr>
          <w:p w14:paraId="723F0CE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白俄罗斯</w:t>
            </w:r>
          </w:p>
        </w:tc>
        <w:tc>
          <w:tcPr>
            <w:tcW w:w="1628" w:type="dxa"/>
            <w:tcBorders>
              <w:top w:val="nil"/>
              <w:left w:val="nil"/>
              <w:bottom w:val="single" w:sz="4" w:space="0" w:color="auto"/>
              <w:right w:val="single" w:sz="4" w:space="0" w:color="auto"/>
            </w:tcBorders>
            <w:vAlign w:val="bottom"/>
            <w:hideMark/>
          </w:tcPr>
          <w:p w14:paraId="77DF467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0.041</w:t>
            </w:r>
          </w:p>
        </w:tc>
        <w:tc>
          <w:tcPr>
            <w:tcW w:w="2198" w:type="dxa"/>
            <w:tcBorders>
              <w:top w:val="nil"/>
              <w:left w:val="nil"/>
              <w:bottom w:val="single" w:sz="4" w:space="0" w:color="auto"/>
              <w:right w:val="single" w:sz="4" w:space="0" w:color="auto"/>
            </w:tcBorders>
            <w:noWrap/>
            <w:vAlign w:val="bottom"/>
            <w:hideMark/>
          </w:tcPr>
          <w:p w14:paraId="4B9F654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0.051</w:t>
            </w:r>
          </w:p>
        </w:tc>
        <w:tc>
          <w:tcPr>
            <w:tcW w:w="1176" w:type="dxa"/>
            <w:tcBorders>
              <w:top w:val="nil"/>
              <w:left w:val="nil"/>
              <w:bottom w:val="single" w:sz="4" w:space="0" w:color="auto"/>
              <w:right w:val="single" w:sz="4" w:space="0" w:color="auto"/>
            </w:tcBorders>
            <w:noWrap/>
            <w:vAlign w:val="bottom"/>
            <w:hideMark/>
          </w:tcPr>
          <w:p w14:paraId="3CFE109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7 216</w:t>
            </w:r>
          </w:p>
        </w:tc>
        <w:tc>
          <w:tcPr>
            <w:tcW w:w="1461" w:type="dxa"/>
            <w:tcBorders>
              <w:top w:val="nil"/>
              <w:left w:val="nil"/>
              <w:bottom w:val="single" w:sz="4" w:space="0" w:color="auto"/>
              <w:right w:val="single" w:sz="4" w:space="0" w:color="auto"/>
            </w:tcBorders>
            <w:noWrap/>
            <w:vAlign w:val="bottom"/>
            <w:hideMark/>
          </w:tcPr>
          <w:p w14:paraId="79D0487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7 709</w:t>
            </w:r>
          </w:p>
        </w:tc>
        <w:tc>
          <w:tcPr>
            <w:tcW w:w="1080" w:type="dxa"/>
            <w:tcBorders>
              <w:top w:val="nil"/>
              <w:left w:val="nil"/>
              <w:bottom w:val="single" w:sz="4" w:space="0" w:color="auto"/>
              <w:right w:val="single" w:sz="4" w:space="0" w:color="auto"/>
            </w:tcBorders>
            <w:noWrap/>
            <w:vAlign w:val="bottom"/>
            <w:hideMark/>
          </w:tcPr>
          <w:p w14:paraId="46794A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14 925</w:t>
            </w:r>
          </w:p>
        </w:tc>
      </w:tr>
      <w:tr w:rsidR="000C0842" w:rsidRPr="000C0842" w14:paraId="58881922" w14:textId="77777777" w:rsidTr="001F32B3">
        <w:tc>
          <w:tcPr>
            <w:tcW w:w="1880" w:type="dxa"/>
            <w:tcBorders>
              <w:top w:val="nil"/>
              <w:left w:val="single" w:sz="4" w:space="0" w:color="auto"/>
              <w:bottom w:val="single" w:sz="4" w:space="0" w:color="auto"/>
              <w:right w:val="single" w:sz="4" w:space="0" w:color="auto"/>
            </w:tcBorders>
            <w:hideMark/>
          </w:tcPr>
          <w:p w14:paraId="34F6BFB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比利时</w:t>
            </w:r>
          </w:p>
        </w:tc>
        <w:tc>
          <w:tcPr>
            <w:tcW w:w="1628" w:type="dxa"/>
            <w:tcBorders>
              <w:top w:val="nil"/>
              <w:left w:val="nil"/>
              <w:bottom w:val="single" w:sz="4" w:space="0" w:color="auto"/>
              <w:right w:val="single" w:sz="4" w:space="0" w:color="auto"/>
            </w:tcBorders>
            <w:vAlign w:val="bottom"/>
            <w:hideMark/>
          </w:tcPr>
          <w:p w14:paraId="7925C0B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0.828</w:t>
            </w:r>
          </w:p>
        </w:tc>
        <w:tc>
          <w:tcPr>
            <w:tcW w:w="2198" w:type="dxa"/>
            <w:tcBorders>
              <w:top w:val="nil"/>
              <w:left w:val="nil"/>
              <w:bottom w:val="single" w:sz="4" w:space="0" w:color="auto"/>
              <w:right w:val="single" w:sz="4" w:space="0" w:color="auto"/>
            </w:tcBorders>
            <w:noWrap/>
            <w:vAlign w:val="bottom"/>
            <w:hideMark/>
          </w:tcPr>
          <w:p w14:paraId="385E581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1.035</w:t>
            </w:r>
          </w:p>
        </w:tc>
        <w:tc>
          <w:tcPr>
            <w:tcW w:w="1176" w:type="dxa"/>
            <w:tcBorders>
              <w:top w:val="nil"/>
              <w:left w:val="nil"/>
              <w:bottom w:val="single" w:sz="4" w:space="0" w:color="auto"/>
              <w:right w:val="single" w:sz="4" w:space="0" w:color="auto"/>
            </w:tcBorders>
            <w:noWrap/>
            <w:vAlign w:val="bottom"/>
            <w:hideMark/>
          </w:tcPr>
          <w:p w14:paraId="1667164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145 723</w:t>
            </w:r>
          </w:p>
        </w:tc>
        <w:tc>
          <w:tcPr>
            <w:tcW w:w="1461" w:type="dxa"/>
            <w:tcBorders>
              <w:top w:val="nil"/>
              <w:left w:val="nil"/>
              <w:bottom w:val="single" w:sz="4" w:space="0" w:color="auto"/>
              <w:right w:val="single" w:sz="4" w:space="0" w:color="auto"/>
            </w:tcBorders>
            <w:noWrap/>
            <w:vAlign w:val="bottom"/>
            <w:hideMark/>
          </w:tcPr>
          <w:p w14:paraId="0BCF193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155 694</w:t>
            </w:r>
          </w:p>
        </w:tc>
        <w:tc>
          <w:tcPr>
            <w:tcW w:w="1080" w:type="dxa"/>
            <w:tcBorders>
              <w:top w:val="nil"/>
              <w:left w:val="nil"/>
              <w:bottom w:val="single" w:sz="4" w:space="0" w:color="auto"/>
              <w:right w:val="single" w:sz="4" w:space="0" w:color="auto"/>
            </w:tcBorders>
            <w:noWrap/>
            <w:vAlign w:val="bottom"/>
            <w:hideMark/>
          </w:tcPr>
          <w:p w14:paraId="2306D78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301 418</w:t>
            </w:r>
          </w:p>
        </w:tc>
      </w:tr>
      <w:tr w:rsidR="000C0842" w:rsidRPr="000C0842" w14:paraId="46AD644E" w14:textId="77777777" w:rsidTr="001F32B3">
        <w:tc>
          <w:tcPr>
            <w:tcW w:w="1880" w:type="dxa"/>
            <w:tcBorders>
              <w:top w:val="nil"/>
              <w:left w:val="single" w:sz="4" w:space="0" w:color="auto"/>
              <w:bottom w:val="single" w:sz="4" w:space="0" w:color="auto"/>
              <w:right w:val="single" w:sz="4" w:space="0" w:color="auto"/>
            </w:tcBorders>
            <w:hideMark/>
          </w:tcPr>
          <w:p w14:paraId="7839102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伯利兹</w:t>
            </w:r>
          </w:p>
        </w:tc>
        <w:tc>
          <w:tcPr>
            <w:tcW w:w="1628" w:type="dxa"/>
            <w:tcBorders>
              <w:top w:val="nil"/>
              <w:left w:val="nil"/>
              <w:bottom w:val="single" w:sz="4" w:space="0" w:color="auto"/>
              <w:right w:val="single" w:sz="4" w:space="0" w:color="auto"/>
            </w:tcBorders>
            <w:vAlign w:val="bottom"/>
            <w:hideMark/>
          </w:tcPr>
          <w:p w14:paraId="402EA4F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87B026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0216FF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4759AC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645968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0E90F006" w14:textId="77777777" w:rsidTr="001F32B3">
        <w:tc>
          <w:tcPr>
            <w:tcW w:w="1880" w:type="dxa"/>
            <w:tcBorders>
              <w:top w:val="nil"/>
              <w:left w:val="single" w:sz="4" w:space="0" w:color="auto"/>
              <w:bottom w:val="single" w:sz="4" w:space="0" w:color="auto"/>
              <w:right w:val="single" w:sz="4" w:space="0" w:color="auto"/>
            </w:tcBorders>
            <w:hideMark/>
          </w:tcPr>
          <w:p w14:paraId="04EDF05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贝宁</w:t>
            </w:r>
          </w:p>
        </w:tc>
        <w:tc>
          <w:tcPr>
            <w:tcW w:w="1628" w:type="dxa"/>
            <w:tcBorders>
              <w:top w:val="nil"/>
              <w:left w:val="nil"/>
              <w:bottom w:val="single" w:sz="4" w:space="0" w:color="auto"/>
              <w:right w:val="single" w:sz="4" w:space="0" w:color="auto"/>
            </w:tcBorders>
            <w:vAlign w:val="bottom"/>
            <w:hideMark/>
          </w:tcPr>
          <w:p w14:paraId="3728D6B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34C250B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1DA08B8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331663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7CFCF00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13C6792D" w14:textId="77777777" w:rsidTr="001F32B3">
        <w:tc>
          <w:tcPr>
            <w:tcW w:w="1880" w:type="dxa"/>
            <w:tcBorders>
              <w:top w:val="nil"/>
              <w:left w:val="single" w:sz="4" w:space="0" w:color="auto"/>
              <w:bottom w:val="single" w:sz="4" w:space="0" w:color="auto"/>
              <w:right w:val="single" w:sz="4" w:space="0" w:color="auto"/>
            </w:tcBorders>
            <w:hideMark/>
          </w:tcPr>
          <w:p w14:paraId="6954C19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不丹</w:t>
            </w:r>
          </w:p>
        </w:tc>
        <w:tc>
          <w:tcPr>
            <w:tcW w:w="1628" w:type="dxa"/>
            <w:tcBorders>
              <w:top w:val="nil"/>
              <w:left w:val="nil"/>
              <w:bottom w:val="single" w:sz="4" w:space="0" w:color="auto"/>
              <w:right w:val="single" w:sz="4" w:space="0" w:color="auto"/>
            </w:tcBorders>
            <w:vAlign w:val="bottom"/>
            <w:hideMark/>
          </w:tcPr>
          <w:p w14:paraId="739291A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8EB3D9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53A6960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38D78C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4044358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6A8D1DB9" w14:textId="77777777" w:rsidTr="001F32B3">
        <w:tc>
          <w:tcPr>
            <w:tcW w:w="1880" w:type="dxa"/>
            <w:tcBorders>
              <w:top w:val="nil"/>
              <w:left w:val="single" w:sz="4" w:space="0" w:color="auto"/>
              <w:bottom w:val="single" w:sz="4" w:space="0" w:color="auto"/>
              <w:right w:val="single" w:sz="4" w:space="0" w:color="auto"/>
            </w:tcBorders>
            <w:hideMark/>
          </w:tcPr>
          <w:p w14:paraId="402373DC"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多民族玻利维亚国</w:t>
            </w:r>
          </w:p>
        </w:tc>
        <w:tc>
          <w:tcPr>
            <w:tcW w:w="1628" w:type="dxa"/>
            <w:tcBorders>
              <w:top w:val="nil"/>
              <w:left w:val="nil"/>
              <w:bottom w:val="single" w:sz="4" w:space="0" w:color="auto"/>
              <w:right w:val="single" w:sz="4" w:space="0" w:color="auto"/>
            </w:tcBorders>
            <w:vAlign w:val="bottom"/>
            <w:hideMark/>
          </w:tcPr>
          <w:p w14:paraId="2B20A7D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2198" w:type="dxa"/>
            <w:tcBorders>
              <w:top w:val="nil"/>
              <w:left w:val="nil"/>
              <w:bottom w:val="single" w:sz="4" w:space="0" w:color="auto"/>
              <w:right w:val="single" w:sz="4" w:space="0" w:color="auto"/>
            </w:tcBorders>
            <w:noWrap/>
            <w:vAlign w:val="bottom"/>
            <w:hideMark/>
          </w:tcPr>
          <w:p w14:paraId="1ED3088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1176" w:type="dxa"/>
            <w:tcBorders>
              <w:top w:val="nil"/>
              <w:left w:val="nil"/>
              <w:bottom w:val="single" w:sz="4" w:space="0" w:color="auto"/>
              <w:right w:val="single" w:sz="4" w:space="0" w:color="auto"/>
            </w:tcBorders>
            <w:noWrap/>
            <w:vAlign w:val="bottom"/>
            <w:hideMark/>
          </w:tcPr>
          <w:p w14:paraId="20FA990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3 344</w:t>
            </w:r>
          </w:p>
        </w:tc>
        <w:tc>
          <w:tcPr>
            <w:tcW w:w="1461" w:type="dxa"/>
            <w:tcBorders>
              <w:top w:val="nil"/>
              <w:left w:val="nil"/>
              <w:bottom w:val="single" w:sz="4" w:space="0" w:color="auto"/>
              <w:right w:val="single" w:sz="4" w:space="0" w:color="auto"/>
            </w:tcBorders>
            <w:noWrap/>
            <w:vAlign w:val="bottom"/>
            <w:hideMark/>
          </w:tcPr>
          <w:p w14:paraId="48CC882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3 573</w:t>
            </w:r>
          </w:p>
        </w:tc>
        <w:tc>
          <w:tcPr>
            <w:tcW w:w="1080" w:type="dxa"/>
            <w:tcBorders>
              <w:top w:val="nil"/>
              <w:left w:val="nil"/>
              <w:bottom w:val="single" w:sz="4" w:space="0" w:color="auto"/>
              <w:right w:val="single" w:sz="4" w:space="0" w:color="auto"/>
            </w:tcBorders>
            <w:noWrap/>
            <w:vAlign w:val="bottom"/>
            <w:hideMark/>
          </w:tcPr>
          <w:p w14:paraId="6990941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6 917</w:t>
            </w:r>
          </w:p>
        </w:tc>
      </w:tr>
      <w:tr w:rsidR="000C0842" w:rsidRPr="000C0842" w14:paraId="37711459" w14:textId="77777777" w:rsidTr="001F32B3">
        <w:tc>
          <w:tcPr>
            <w:tcW w:w="1880" w:type="dxa"/>
            <w:tcBorders>
              <w:top w:val="nil"/>
              <w:left w:val="single" w:sz="4" w:space="0" w:color="auto"/>
              <w:bottom w:val="single" w:sz="4" w:space="0" w:color="auto"/>
              <w:right w:val="single" w:sz="4" w:space="0" w:color="auto"/>
            </w:tcBorders>
            <w:hideMark/>
          </w:tcPr>
          <w:p w14:paraId="42BA425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波斯尼亚和黑塞哥维那</w:t>
            </w:r>
          </w:p>
        </w:tc>
        <w:tc>
          <w:tcPr>
            <w:tcW w:w="1628" w:type="dxa"/>
            <w:tcBorders>
              <w:top w:val="nil"/>
              <w:left w:val="nil"/>
              <w:bottom w:val="single" w:sz="4" w:space="0" w:color="auto"/>
              <w:right w:val="single" w:sz="4" w:space="0" w:color="auto"/>
            </w:tcBorders>
            <w:vAlign w:val="bottom"/>
            <w:hideMark/>
          </w:tcPr>
          <w:p w14:paraId="7E8FA7F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0.012</w:t>
            </w:r>
          </w:p>
        </w:tc>
        <w:tc>
          <w:tcPr>
            <w:tcW w:w="2198" w:type="dxa"/>
            <w:tcBorders>
              <w:top w:val="nil"/>
              <w:left w:val="nil"/>
              <w:bottom w:val="single" w:sz="4" w:space="0" w:color="auto"/>
              <w:right w:val="single" w:sz="4" w:space="0" w:color="auto"/>
            </w:tcBorders>
            <w:noWrap/>
            <w:vAlign w:val="bottom"/>
            <w:hideMark/>
          </w:tcPr>
          <w:p w14:paraId="682ACC6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0.015</w:t>
            </w:r>
          </w:p>
        </w:tc>
        <w:tc>
          <w:tcPr>
            <w:tcW w:w="1176" w:type="dxa"/>
            <w:tcBorders>
              <w:top w:val="nil"/>
              <w:left w:val="nil"/>
              <w:bottom w:val="single" w:sz="4" w:space="0" w:color="auto"/>
              <w:right w:val="single" w:sz="4" w:space="0" w:color="auto"/>
            </w:tcBorders>
            <w:noWrap/>
            <w:vAlign w:val="bottom"/>
            <w:hideMark/>
          </w:tcPr>
          <w:p w14:paraId="4CF13F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2 112</w:t>
            </w:r>
          </w:p>
        </w:tc>
        <w:tc>
          <w:tcPr>
            <w:tcW w:w="1461" w:type="dxa"/>
            <w:tcBorders>
              <w:top w:val="nil"/>
              <w:left w:val="nil"/>
              <w:bottom w:val="single" w:sz="4" w:space="0" w:color="auto"/>
              <w:right w:val="single" w:sz="4" w:space="0" w:color="auto"/>
            </w:tcBorders>
            <w:noWrap/>
            <w:vAlign w:val="bottom"/>
            <w:hideMark/>
          </w:tcPr>
          <w:p w14:paraId="5E1BEE0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2 256</w:t>
            </w:r>
          </w:p>
        </w:tc>
        <w:tc>
          <w:tcPr>
            <w:tcW w:w="1080" w:type="dxa"/>
            <w:tcBorders>
              <w:top w:val="nil"/>
              <w:left w:val="nil"/>
              <w:bottom w:val="single" w:sz="4" w:space="0" w:color="auto"/>
              <w:right w:val="single" w:sz="4" w:space="0" w:color="auto"/>
            </w:tcBorders>
            <w:noWrap/>
            <w:vAlign w:val="bottom"/>
            <w:hideMark/>
          </w:tcPr>
          <w:p w14:paraId="7088494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4 368</w:t>
            </w:r>
          </w:p>
        </w:tc>
      </w:tr>
      <w:tr w:rsidR="000C0842" w:rsidRPr="000C0842" w14:paraId="509EEAF1" w14:textId="77777777" w:rsidTr="001F32B3">
        <w:tc>
          <w:tcPr>
            <w:tcW w:w="1880" w:type="dxa"/>
            <w:tcBorders>
              <w:top w:val="nil"/>
              <w:left w:val="single" w:sz="4" w:space="0" w:color="auto"/>
              <w:bottom w:val="single" w:sz="4" w:space="0" w:color="auto"/>
              <w:right w:val="single" w:sz="4" w:space="0" w:color="auto"/>
            </w:tcBorders>
            <w:hideMark/>
          </w:tcPr>
          <w:p w14:paraId="08265A1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博茨瓦纳</w:t>
            </w:r>
          </w:p>
        </w:tc>
        <w:tc>
          <w:tcPr>
            <w:tcW w:w="1628" w:type="dxa"/>
            <w:tcBorders>
              <w:top w:val="nil"/>
              <w:left w:val="nil"/>
              <w:bottom w:val="single" w:sz="4" w:space="0" w:color="auto"/>
              <w:right w:val="single" w:sz="4" w:space="0" w:color="auto"/>
            </w:tcBorders>
            <w:vAlign w:val="bottom"/>
            <w:hideMark/>
          </w:tcPr>
          <w:p w14:paraId="425B3AA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0.015</w:t>
            </w:r>
          </w:p>
        </w:tc>
        <w:tc>
          <w:tcPr>
            <w:tcW w:w="2198" w:type="dxa"/>
            <w:tcBorders>
              <w:top w:val="nil"/>
              <w:left w:val="nil"/>
              <w:bottom w:val="single" w:sz="4" w:space="0" w:color="auto"/>
              <w:right w:val="single" w:sz="4" w:space="0" w:color="auto"/>
            </w:tcBorders>
            <w:noWrap/>
            <w:vAlign w:val="bottom"/>
            <w:hideMark/>
          </w:tcPr>
          <w:p w14:paraId="40E64D7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1176" w:type="dxa"/>
            <w:tcBorders>
              <w:top w:val="nil"/>
              <w:left w:val="nil"/>
              <w:bottom w:val="single" w:sz="4" w:space="0" w:color="auto"/>
              <w:right w:val="single" w:sz="4" w:space="0" w:color="auto"/>
            </w:tcBorders>
            <w:noWrap/>
            <w:vAlign w:val="bottom"/>
            <w:hideMark/>
          </w:tcPr>
          <w:p w14:paraId="5E36D9E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2 640</w:t>
            </w:r>
          </w:p>
        </w:tc>
        <w:tc>
          <w:tcPr>
            <w:tcW w:w="1461" w:type="dxa"/>
            <w:tcBorders>
              <w:top w:val="nil"/>
              <w:left w:val="nil"/>
              <w:bottom w:val="single" w:sz="4" w:space="0" w:color="auto"/>
              <w:right w:val="single" w:sz="4" w:space="0" w:color="auto"/>
            </w:tcBorders>
            <w:noWrap/>
            <w:vAlign w:val="bottom"/>
            <w:hideMark/>
          </w:tcPr>
          <w:p w14:paraId="7952163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2 821</w:t>
            </w:r>
          </w:p>
        </w:tc>
        <w:tc>
          <w:tcPr>
            <w:tcW w:w="1080" w:type="dxa"/>
            <w:tcBorders>
              <w:top w:val="nil"/>
              <w:left w:val="nil"/>
              <w:bottom w:val="single" w:sz="4" w:space="0" w:color="auto"/>
              <w:right w:val="single" w:sz="4" w:space="0" w:color="auto"/>
            </w:tcBorders>
            <w:noWrap/>
            <w:vAlign w:val="bottom"/>
            <w:hideMark/>
          </w:tcPr>
          <w:p w14:paraId="5D2ADE4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5 460</w:t>
            </w:r>
          </w:p>
        </w:tc>
      </w:tr>
      <w:tr w:rsidR="000C0842" w:rsidRPr="000C0842" w14:paraId="7FB606B8" w14:textId="77777777" w:rsidTr="001F32B3">
        <w:tc>
          <w:tcPr>
            <w:tcW w:w="1880" w:type="dxa"/>
            <w:tcBorders>
              <w:top w:val="nil"/>
              <w:left w:val="single" w:sz="4" w:space="0" w:color="auto"/>
              <w:bottom w:val="single" w:sz="4" w:space="0" w:color="auto"/>
              <w:right w:val="single" w:sz="4" w:space="0" w:color="auto"/>
            </w:tcBorders>
            <w:hideMark/>
          </w:tcPr>
          <w:p w14:paraId="7BA7F78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巴西</w:t>
            </w:r>
          </w:p>
        </w:tc>
        <w:tc>
          <w:tcPr>
            <w:tcW w:w="1628" w:type="dxa"/>
            <w:tcBorders>
              <w:top w:val="nil"/>
              <w:left w:val="nil"/>
              <w:bottom w:val="single" w:sz="4" w:space="0" w:color="auto"/>
              <w:right w:val="single" w:sz="4" w:space="0" w:color="auto"/>
            </w:tcBorders>
            <w:vAlign w:val="bottom"/>
            <w:hideMark/>
          </w:tcPr>
          <w:p w14:paraId="75CF663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2.013</w:t>
            </w:r>
          </w:p>
        </w:tc>
        <w:tc>
          <w:tcPr>
            <w:tcW w:w="2198" w:type="dxa"/>
            <w:tcBorders>
              <w:top w:val="nil"/>
              <w:left w:val="nil"/>
              <w:bottom w:val="single" w:sz="4" w:space="0" w:color="auto"/>
              <w:right w:val="single" w:sz="4" w:space="0" w:color="auto"/>
            </w:tcBorders>
            <w:noWrap/>
            <w:vAlign w:val="bottom"/>
            <w:hideMark/>
          </w:tcPr>
          <w:p w14:paraId="3091D9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2.516</w:t>
            </w:r>
          </w:p>
        </w:tc>
        <w:tc>
          <w:tcPr>
            <w:tcW w:w="1176" w:type="dxa"/>
            <w:tcBorders>
              <w:top w:val="nil"/>
              <w:left w:val="nil"/>
              <w:bottom w:val="single" w:sz="4" w:space="0" w:color="auto"/>
              <w:right w:val="single" w:sz="4" w:space="0" w:color="auto"/>
            </w:tcBorders>
            <w:noWrap/>
            <w:vAlign w:val="bottom"/>
            <w:hideMark/>
          </w:tcPr>
          <w:p w14:paraId="664645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354 277</w:t>
            </w:r>
          </w:p>
        </w:tc>
        <w:tc>
          <w:tcPr>
            <w:tcW w:w="1461" w:type="dxa"/>
            <w:tcBorders>
              <w:top w:val="nil"/>
              <w:left w:val="nil"/>
              <w:bottom w:val="single" w:sz="4" w:space="0" w:color="auto"/>
              <w:right w:val="single" w:sz="4" w:space="0" w:color="auto"/>
            </w:tcBorders>
            <w:noWrap/>
            <w:vAlign w:val="bottom"/>
            <w:hideMark/>
          </w:tcPr>
          <w:p w14:paraId="30E266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378 517</w:t>
            </w:r>
          </w:p>
        </w:tc>
        <w:tc>
          <w:tcPr>
            <w:tcW w:w="1080" w:type="dxa"/>
            <w:tcBorders>
              <w:top w:val="nil"/>
              <w:left w:val="nil"/>
              <w:bottom w:val="single" w:sz="4" w:space="0" w:color="auto"/>
              <w:right w:val="single" w:sz="4" w:space="0" w:color="auto"/>
            </w:tcBorders>
            <w:noWrap/>
            <w:vAlign w:val="bottom"/>
            <w:hideMark/>
          </w:tcPr>
          <w:p w14:paraId="789178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732 794</w:t>
            </w:r>
          </w:p>
        </w:tc>
      </w:tr>
      <w:tr w:rsidR="000C0842" w:rsidRPr="000C0842" w14:paraId="73F5385A" w14:textId="77777777" w:rsidTr="001F32B3">
        <w:tc>
          <w:tcPr>
            <w:tcW w:w="1880" w:type="dxa"/>
            <w:tcBorders>
              <w:top w:val="nil"/>
              <w:left w:val="single" w:sz="4" w:space="0" w:color="auto"/>
              <w:bottom w:val="single" w:sz="4" w:space="0" w:color="auto"/>
              <w:right w:val="single" w:sz="4" w:space="0" w:color="auto"/>
            </w:tcBorders>
            <w:hideMark/>
          </w:tcPr>
          <w:p w14:paraId="052CB5F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文莱达鲁萨兰国</w:t>
            </w:r>
          </w:p>
        </w:tc>
        <w:tc>
          <w:tcPr>
            <w:tcW w:w="1628" w:type="dxa"/>
            <w:tcBorders>
              <w:top w:val="nil"/>
              <w:left w:val="nil"/>
              <w:bottom w:val="single" w:sz="4" w:space="0" w:color="auto"/>
              <w:right w:val="single" w:sz="4" w:space="0" w:color="auto"/>
            </w:tcBorders>
            <w:vAlign w:val="bottom"/>
            <w:hideMark/>
          </w:tcPr>
          <w:p w14:paraId="1F4D4E4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0.021</w:t>
            </w:r>
          </w:p>
        </w:tc>
        <w:tc>
          <w:tcPr>
            <w:tcW w:w="2198" w:type="dxa"/>
            <w:tcBorders>
              <w:top w:val="nil"/>
              <w:left w:val="nil"/>
              <w:bottom w:val="single" w:sz="4" w:space="0" w:color="auto"/>
              <w:right w:val="single" w:sz="4" w:space="0" w:color="auto"/>
            </w:tcBorders>
            <w:noWrap/>
            <w:vAlign w:val="bottom"/>
            <w:hideMark/>
          </w:tcPr>
          <w:p w14:paraId="73BFA35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0.026</w:t>
            </w:r>
          </w:p>
        </w:tc>
        <w:tc>
          <w:tcPr>
            <w:tcW w:w="1176" w:type="dxa"/>
            <w:tcBorders>
              <w:top w:val="nil"/>
              <w:left w:val="nil"/>
              <w:bottom w:val="single" w:sz="4" w:space="0" w:color="auto"/>
              <w:right w:val="single" w:sz="4" w:space="0" w:color="auto"/>
            </w:tcBorders>
            <w:noWrap/>
            <w:vAlign w:val="bottom"/>
            <w:hideMark/>
          </w:tcPr>
          <w:p w14:paraId="19EA6CB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3 696</w:t>
            </w:r>
          </w:p>
        </w:tc>
        <w:tc>
          <w:tcPr>
            <w:tcW w:w="1461" w:type="dxa"/>
            <w:tcBorders>
              <w:top w:val="nil"/>
              <w:left w:val="nil"/>
              <w:bottom w:val="single" w:sz="4" w:space="0" w:color="auto"/>
              <w:right w:val="single" w:sz="4" w:space="0" w:color="auto"/>
            </w:tcBorders>
            <w:noWrap/>
            <w:vAlign w:val="bottom"/>
            <w:hideMark/>
          </w:tcPr>
          <w:p w14:paraId="51598B2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3 949</w:t>
            </w:r>
          </w:p>
        </w:tc>
        <w:tc>
          <w:tcPr>
            <w:tcW w:w="1080" w:type="dxa"/>
            <w:tcBorders>
              <w:top w:val="nil"/>
              <w:left w:val="nil"/>
              <w:bottom w:val="single" w:sz="4" w:space="0" w:color="auto"/>
              <w:right w:val="single" w:sz="4" w:space="0" w:color="auto"/>
            </w:tcBorders>
            <w:noWrap/>
            <w:vAlign w:val="bottom"/>
            <w:hideMark/>
          </w:tcPr>
          <w:p w14:paraId="733C86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7 645</w:t>
            </w:r>
          </w:p>
        </w:tc>
      </w:tr>
      <w:tr w:rsidR="000C0842" w:rsidRPr="000C0842" w14:paraId="7004E9DF" w14:textId="77777777" w:rsidTr="001F32B3">
        <w:tc>
          <w:tcPr>
            <w:tcW w:w="1880" w:type="dxa"/>
            <w:tcBorders>
              <w:top w:val="nil"/>
              <w:left w:val="single" w:sz="4" w:space="0" w:color="auto"/>
              <w:bottom w:val="single" w:sz="4" w:space="0" w:color="auto"/>
              <w:right w:val="single" w:sz="4" w:space="0" w:color="auto"/>
            </w:tcBorders>
            <w:hideMark/>
          </w:tcPr>
          <w:p w14:paraId="217FCF3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保加利亚</w:t>
            </w:r>
          </w:p>
        </w:tc>
        <w:tc>
          <w:tcPr>
            <w:tcW w:w="1628" w:type="dxa"/>
            <w:tcBorders>
              <w:top w:val="nil"/>
              <w:left w:val="nil"/>
              <w:bottom w:val="single" w:sz="4" w:space="0" w:color="auto"/>
              <w:right w:val="single" w:sz="4" w:space="0" w:color="auto"/>
            </w:tcBorders>
            <w:vAlign w:val="bottom"/>
            <w:hideMark/>
          </w:tcPr>
          <w:p w14:paraId="3F3CD72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0.056</w:t>
            </w:r>
          </w:p>
        </w:tc>
        <w:tc>
          <w:tcPr>
            <w:tcW w:w="2198" w:type="dxa"/>
            <w:tcBorders>
              <w:top w:val="nil"/>
              <w:left w:val="nil"/>
              <w:bottom w:val="single" w:sz="4" w:space="0" w:color="auto"/>
              <w:right w:val="single" w:sz="4" w:space="0" w:color="auto"/>
            </w:tcBorders>
            <w:noWrap/>
            <w:vAlign w:val="bottom"/>
            <w:hideMark/>
          </w:tcPr>
          <w:p w14:paraId="1C15F3A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0.070</w:t>
            </w:r>
          </w:p>
        </w:tc>
        <w:tc>
          <w:tcPr>
            <w:tcW w:w="1176" w:type="dxa"/>
            <w:tcBorders>
              <w:top w:val="nil"/>
              <w:left w:val="nil"/>
              <w:bottom w:val="single" w:sz="4" w:space="0" w:color="auto"/>
              <w:right w:val="single" w:sz="4" w:space="0" w:color="auto"/>
            </w:tcBorders>
            <w:noWrap/>
            <w:vAlign w:val="bottom"/>
            <w:hideMark/>
          </w:tcPr>
          <w:p w14:paraId="1130AE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9 856</w:t>
            </w:r>
          </w:p>
        </w:tc>
        <w:tc>
          <w:tcPr>
            <w:tcW w:w="1461" w:type="dxa"/>
            <w:tcBorders>
              <w:top w:val="nil"/>
              <w:left w:val="nil"/>
              <w:bottom w:val="single" w:sz="4" w:space="0" w:color="auto"/>
              <w:right w:val="single" w:sz="4" w:space="0" w:color="auto"/>
            </w:tcBorders>
            <w:noWrap/>
            <w:vAlign w:val="bottom"/>
            <w:hideMark/>
          </w:tcPr>
          <w:p w14:paraId="13A608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10 530</w:t>
            </w:r>
          </w:p>
        </w:tc>
        <w:tc>
          <w:tcPr>
            <w:tcW w:w="1080" w:type="dxa"/>
            <w:tcBorders>
              <w:top w:val="nil"/>
              <w:left w:val="nil"/>
              <w:bottom w:val="single" w:sz="4" w:space="0" w:color="auto"/>
              <w:right w:val="single" w:sz="4" w:space="0" w:color="auto"/>
            </w:tcBorders>
            <w:noWrap/>
            <w:vAlign w:val="bottom"/>
            <w:hideMark/>
          </w:tcPr>
          <w:p w14:paraId="63A5F06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20 386</w:t>
            </w:r>
          </w:p>
        </w:tc>
      </w:tr>
      <w:tr w:rsidR="000C0842" w:rsidRPr="000C0842" w14:paraId="066E6A0C" w14:textId="77777777" w:rsidTr="001F32B3">
        <w:tc>
          <w:tcPr>
            <w:tcW w:w="1880" w:type="dxa"/>
            <w:tcBorders>
              <w:top w:val="nil"/>
              <w:left w:val="single" w:sz="4" w:space="0" w:color="auto"/>
              <w:bottom w:val="single" w:sz="4" w:space="0" w:color="auto"/>
              <w:right w:val="single" w:sz="4" w:space="0" w:color="auto"/>
            </w:tcBorders>
            <w:hideMark/>
          </w:tcPr>
          <w:p w14:paraId="078D084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布基纳法索</w:t>
            </w:r>
          </w:p>
        </w:tc>
        <w:tc>
          <w:tcPr>
            <w:tcW w:w="1628" w:type="dxa"/>
            <w:tcBorders>
              <w:top w:val="nil"/>
              <w:left w:val="nil"/>
              <w:bottom w:val="single" w:sz="4" w:space="0" w:color="auto"/>
              <w:right w:val="single" w:sz="4" w:space="0" w:color="auto"/>
            </w:tcBorders>
            <w:vAlign w:val="bottom"/>
            <w:hideMark/>
          </w:tcPr>
          <w:p w14:paraId="48832D7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6B72EA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329BB91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1B17CFC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7B8A5F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54627479" w14:textId="77777777" w:rsidTr="001F32B3">
        <w:tc>
          <w:tcPr>
            <w:tcW w:w="1880" w:type="dxa"/>
            <w:tcBorders>
              <w:top w:val="nil"/>
              <w:left w:val="single" w:sz="4" w:space="0" w:color="auto"/>
              <w:bottom w:val="single" w:sz="4" w:space="0" w:color="auto"/>
              <w:right w:val="single" w:sz="4" w:space="0" w:color="auto"/>
            </w:tcBorders>
            <w:hideMark/>
          </w:tcPr>
          <w:p w14:paraId="54E6F18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布隆迪</w:t>
            </w:r>
          </w:p>
        </w:tc>
        <w:tc>
          <w:tcPr>
            <w:tcW w:w="1628" w:type="dxa"/>
            <w:tcBorders>
              <w:top w:val="nil"/>
              <w:left w:val="nil"/>
              <w:bottom w:val="single" w:sz="4" w:space="0" w:color="auto"/>
              <w:right w:val="single" w:sz="4" w:space="0" w:color="auto"/>
            </w:tcBorders>
            <w:vAlign w:val="bottom"/>
            <w:hideMark/>
          </w:tcPr>
          <w:p w14:paraId="3ACB9C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043CF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485289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737281F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0AF0D68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76F81CE8" w14:textId="77777777" w:rsidTr="001F32B3">
        <w:tc>
          <w:tcPr>
            <w:tcW w:w="1880" w:type="dxa"/>
            <w:tcBorders>
              <w:top w:val="nil"/>
              <w:left w:val="single" w:sz="4" w:space="0" w:color="auto"/>
              <w:bottom w:val="single" w:sz="4" w:space="0" w:color="auto"/>
              <w:right w:val="single" w:sz="4" w:space="0" w:color="auto"/>
            </w:tcBorders>
            <w:hideMark/>
          </w:tcPr>
          <w:p w14:paraId="601B1CB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佛得角</w:t>
            </w:r>
          </w:p>
        </w:tc>
        <w:tc>
          <w:tcPr>
            <w:tcW w:w="1628" w:type="dxa"/>
            <w:tcBorders>
              <w:top w:val="nil"/>
              <w:left w:val="nil"/>
              <w:bottom w:val="single" w:sz="4" w:space="0" w:color="auto"/>
              <w:right w:val="single" w:sz="4" w:space="0" w:color="auto"/>
            </w:tcBorders>
            <w:vAlign w:val="bottom"/>
            <w:hideMark/>
          </w:tcPr>
          <w:p w14:paraId="0B29CC1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D872A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2577624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7001DA1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2197DB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37CAF964" w14:textId="77777777" w:rsidTr="001F32B3">
        <w:tc>
          <w:tcPr>
            <w:tcW w:w="1880" w:type="dxa"/>
            <w:tcBorders>
              <w:top w:val="nil"/>
              <w:left w:val="single" w:sz="4" w:space="0" w:color="auto"/>
              <w:bottom w:val="single" w:sz="4" w:space="0" w:color="auto"/>
              <w:right w:val="single" w:sz="4" w:space="0" w:color="auto"/>
            </w:tcBorders>
            <w:hideMark/>
          </w:tcPr>
          <w:p w14:paraId="2779EB2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柬埔寨</w:t>
            </w:r>
          </w:p>
        </w:tc>
        <w:tc>
          <w:tcPr>
            <w:tcW w:w="1628" w:type="dxa"/>
            <w:tcBorders>
              <w:top w:val="nil"/>
              <w:left w:val="nil"/>
              <w:bottom w:val="single" w:sz="4" w:space="0" w:color="auto"/>
              <w:right w:val="single" w:sz="4" w:space="0" w:color="auto"/>
            </w:tcBorders>
            <w:vAlign w:val="bottom"/>
            <w:hideMark/>
          </w:tcPr>
          <w:p w14:paraId="0B3F7F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1E1A8C0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7B798F9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0187CCB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51C619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664C29D7" w14:textId="77777777" w:rsidTr="001F32B3">
        <w:tc>
          <w:tcPr>
            <w:tcW w:w="1880" w:type="dxa"/>
            <w:tcBorders>
              <w:top w:val="nil"/>
              <w:left w:val="single" w:sz="4" w:space="0" w:color="auto"/>
              <w:bottom w:val="single" w:sz="4" w:space="0" w:color="auto"/>
              <w:right w:val="single" w:sz="4" w:space="0" w:color="auto"/>
            </w:tcBorders>
            <w:hideMark/>
          </w:tcPr>
          <w:p w14:paraId="00CE418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喀麦隆</w:t>
            </w:r>
          </w:p>
        </w:tc>
        <w:tc>
          <w:tcPr>
            <w:tcW w:w="1628" w:type="dxa"/>
            <w:tcBorders>
              <w:top w:val="nil"/>
              <w:left w:val="nil"/>
              <w:bottom w:val="single" w:sz="4" w:space="0" w:color="auto"/>
              <w:right w:val="single" w:sz="4" w:space="0" w:color="auto"/>
            </w:tcBorders>
            <w:vAlign w:val="bottom"/>
            <w:hideMark/>
          </w:tcPr>
          <w:p w14:paraId="03B3B2F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0.013</w:t>
            </w:r>
          </w:p>
        </w:tc>
        <w:tc>
          <w:tcPr>
            <w:tcW w:w="2198" w:type="dxa"/>
            <w:tcBorders>
              <w:top w:val="nil"/>
              <w:left w:val="nil"/>
              <w:bottom w:val="single" w:sz="4" w:space="0" w:color="auto"/>
              <w:right w:val="single" w:sz="4" w:space="0" w:color="auto"/>
            </w:tcBorders>
            <w:noWrap/>
            <w:vAlign w:val="bottom"/>
            <w:hideMark/>
          </w:tcPr>
          <w:p w14:paraId="1FE5F4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0.016</w:t>
            </w:r>
          </w:p>
        </w:tc>
        <w:tc>
          <w:tcPr>
            <w:tcW w:w="1176" w:type="dxa"/>
            <w:tcBorders>
              <w:top w:val="nil"/>
              <w:left w:val="nil"/>
              <w:bottom w:val="single" w:sz="4" w:space="0" w:color="auto"/>
              <w:right w:val="single" w:sz="4" w:space="0" w:color="auto"/>
            </w:tcBorders>
            <w:noWrap/>
            <w:vAlign w:val="bottom"/>
            <w:hideMark/>
          </w:tcPr>
          <w:p w14:paraId="53EAECC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2 288</w:t>
            </w:r>
          </w:p>
        </w:tc>
        <w:tc>
          <w:tcPr>
            <w:tcW w:w="1461" w:type="dxa"/>
            <w:tcBorders>
              <w:top w:val="nil"/>
              <w:left w:val="nil"/>
              <w:bottom w:val="single" w:sz="4" w:space="0" w:color="auto"/>
              <w:right w:val="single" w:sz="4" w:space="0" w:color="auto"/>
            </w:tcBorders>
            <w:noWrap/>
            <w:vAlign w:val="bottom"/>
            <w:hideMark/>
          </w:tcPr>
          <w:p w14:paraId="768A815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2 444</w:t>
            </w:r>
          </w:p>
        </w:tc>
        <w:tc>
          <w:tcPr>
            <w:tcW w:w="1080" w:type="dxa"/>
            <w:tcBorders>
              <w:top w:val="nil"/>
              <w:left w:val="nil"/>
              <w:bottom w:val="single" w:sz="4" w:space="0" w:color="auto"/>
              <w:right w:val="single" w:sz="4" w:space="0" w:color="auto"/>
            </w:tcBorders>
            <w:noWrap/>
            <w:vAlign w:val="bottom"/>
            <w:hideMark/>
          </w:tcPr>
          <w:p w14:paraId="3A90F67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4 732</w:t>
            </w:r>
          </w:p>
        </w:tc>
      </w:tr>
      <w:tr w:rsidR="000C0842" w:rsidRPr="000C0842" w14:paraId="38B9306E" w14:textId="77777777" w:rsidTr="001F32B3">
        <w:tc>
          <w:tcPr>
            <w:tcW w:w="1880" w:type="dxa"/>
            <w:tcBorders>
              <w:top w:val="nil"/>
              <w:left w:val="single" w:sz="4" w:space="0" w:color="auto"/>
              <w:bottom w:val="single" w:sz="4" w:space="0" w:color="auto"/>
              <w:right w:val="single" w:sz="4" w:space="0" w:color="auto"/>
            </w:tcBorders>
            <w:hideMark/>
          </w:tcPr>
          <w:p w14:paraId="12EE0B8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加拿大</w:t>
            </w:r>
          </w:p>
        </w:tc>
        <w:tc>
          <w:tcPr>
            <w:tcW w:w="1628" w:type="dxa"/>
            <w:tcBorders>
              <w:top w:val="nil"/>
              <w:left w:val="nil"/>
              <w:bottom w:val="single" w:sz="4" w:space="0" w:color="auto"/>
              <w:right w:val="single" w:sz="4" w:space="0" w:color="auto"/>
            </w:tcBorders>
            <w:vAlign w:val="bottom"/>
            <w:hideMark/>
          </w:tcPr>
          <w:p w14:paraId="513DF00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2.628</w:t>
            </w:r>
          </w:p>
        </w:tc>
        <w:tc>
          <w:tcPr>
            <w:tcW w:w="2198" w:type="dxa"/>
            <w:tcBorders>
              <w:top w:val="nil"/>
              <w:left w:val="nil"/>
              <w:bottom w:val="single" w:sz="4" w:space="0" w:color="auto"/>
              <w:right w:val="single" w:sz="4" w:space="0" w:color="auto"/>
            </w:tcBorders>
            <w:noWrap/>
            <w:vAlign w:val="bottom"/>
            <w:hideMark/>
          </w:tcPr>
          <w:p w14:paraId="502DDAD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3.285</w:t>
            </w:r>
          </w:p>
        </w:tc>
        <w:tc>
          <w:tcPr>
            <w:tcW w:w="1176" w:type="dxa"/>
            <w:tcBorders>
              <w:top w:val="nil"/>
              <w:left w:val="nil"/>
              <w:bottom w:val="single" w:sz="4" w:space="0" w:color="auto"/>
              <w:right w:val="single" w:sz="4" w:space="0" w:color="auto"/>
            </w:tcBorders>
            <w:noWrap/>
            <w:vAlign w:val="bottom"/>
            <w:hideMark/>
          </w:tcPr>
          <w:p w14:paraId="0A30461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462 513</w:t>
            </w:r>
          </w:p>
        </w:tc>
        <w:tc>
          <w:tcPr>
            <w:tcW w:w="1461" w:type="dxa"/>
            <w:tcBorders>
              <w:top w:val="nil"/>
              <w:left w:val="nil"/>
              <w:bottom w:val="single" w:sz="4" w:space="0" w:color="auto"/>
              <w:right w:val="single" w:sz="4" w:space="0" w:color="auto"/>
            </w:tcBorders>
            <w:noWrap/>
            <w:vAlign w:val="bottom"/>
            <w:hideMark/>
          </w:tcPr>
          <w:p w14:paraId="78FDA2B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494 160</w:t>
            </w:r>
          </w:p>
        </w:tc>
        <w:tc>
          <w:tcPr>
            <w:tcW w:w="1080" w:type="dxa"/>
            <w:tcBorders>
              <w:top w:val="nil"/>
              <w:left w:val="nil"/>
              <w:bottom w:val="single" w:sz="4" w:space="0" w:color="auto"/>
              <w:right w:val="single" w:sz="4" w:space="0" w:color="auto"/>
            </w:tcBorders>
            <w:noWrap/>
            <w:vAlign w:val="bottom"/>
            <w:hideMark/>
          </w:tcPr>
          <w:p w14:paraId="35592A5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956 673</w:t>
            </w:r>
          </w:p>
        </w:tc>
      </w:tr>
      <w:tr w:rsidR="000C0842" w:rsidRPr="000C0842" w14:paraId="11CF051A" w14:textId="77777777" w:rsidTr="001F32B3">
        <w:tc>
          <w:tcPr>
            <w:tcW w:w="1880" w:type="dxa"/>
            <w:tcBorders>
              <w:top w:val="nil"/>
              <w:left w:val="single" w:sz="4" w:space="0" w:color="auto"/>
              <w:bottom w:val="single" w:sz="4" w:space="0" w:color="auto"/>
              <w:right w:val="single" w:sz="4" w:space="0" w:color="auto"/>
            </w:tcBorders>
            <w:hideMark/>
          </w:tcPr>
          <w:p w14:paraId="3383BEFC"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中非共和国</w:t>
            </w:r>
          </w:p>
        </w:tc>
        <w:tc>
          <w:tcPr>
            <w:tcW w:w="1628" w:type="dxa"/>
            <w:tcBorders>
              <w:top w:val="nil"/>
              <w:left w:val="nil"/>
              <w:bottom w:val="single" w:sz="4" w:space="0" w:color="auto"/>
              <w:right w:val="single" w:sz="4" w:space="0" w:color="auto"/>
            </w:tcBorders>
            <w:vAlign w:val="bottom"/>
            <w:hideMark/>
          </w:tcPr>
          <w:p w14:paraId="604286E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733E8FC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421EBE2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3071B7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59BB72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F5592E0" w14:textId="77777777" w:rsidTr="001F32B3">
        <w:tc>
          <w:tcPr>
            <w:tcW w:w="1880" w:type="dxa"/>
            <w:tcBorders>
              <w:top w:val="nil"/>
              <w:left w:val="single" w:sz="4" w:space="0" w:color="auto"/>
              <w:bottom w:val="single" w:sz="4" w:space="0" w:color="auto"/>
              <w:right w:val="single" w:sz="4" w:space="0" w:color="auto"/>
            </w:tcBorders>
            <w:hideMark/>
          </w:tcPr>
          <w:p w14:paraId="4E03826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乍得</w:t>
            </w:r>
          </w:p>
        </w:tc>
        <w:tc>
          <w:tcPr>
            <w:tcW w:w="1628" w:type="dxa"/>
            <w:tcBorders>
              <w:top w:val="nil"/>
              <w:left w:val="nil"/>
              <w:bottom w:val="single" w:sz="4" w:space="0" w:color="auto"/>
              <w:right w:val="single" w:sz="4" w:space="0" w:color="auto"/>
            </w:tcBorders>
            <w:vAlign w:val="bottom"/>
            <w:hideMark/>
          </w:tcPr>
          <w:p w14:paraId="77AF4A1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1ABB356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1AFD1F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7BAED6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7D55CA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3855A738" w14:textId="77777777" w:rsidTr="001F32B3">
        <w:tc>
          <w:tcPr>
            <w:tcW w:w="1880" w:type="dxa"/>
            <w:tcBorders>
              <w:top w:val="nil"/>
              <w:left w:val="single" w:sz="4" w:space="0" w:color="auto"/>
              <w:bottom w:val="single" w:sz="4" w:space="0" w:color="auto"/>
              <w:right w:val="single" w:sz="4" w:space="0" w:color="auto"/>
            </w:tcBorders>
            <w:hideMark/>
          </w:tcPr>
          <w:p w14:paraId="70F0739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Calibri" w:eastAsia="SimSun" w:hAnsi="Calibri" w:cs="Calibri" w:hint="eastAsia"/>
                <w:sz w:val="18"/>
                <w:szCs w:val="18"/>
                <w:lang w:val="en-GB"/>
              </w:rPr>
              <w:t>智利</w:t>
            </w:r>
          </w:p>
        </w:tc>
        <w:tc>
          <w:tcPr>
            <w:tcW w:w="1628" w:type="dxa"/>
            <w:tcBorders>
              <w:top w:val="nil"/>
              <w:left w:val="nil"/>
              <w:bottom w:val="single" w:sz="4" w:space="0" w:color="auto"/>
              <w:right w:val="single" w:sz="4" w:space="0" w:color="auto"/>
            </w:tcBorders>
            <w:vAlign w:val="bottom"/>
            <w:hideMark/>
          </w:tcPr>
          <w:p w14:paraId="538E53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0.420</w:t>
            </w:r>
          </w:p>
        </w:tc>
        <w:tc>
          <w:tcPr>
            <w:tcW w:w="2198" w:type="dxa"/>
            <w:tcBorders>
              <w:top w:val="nil"/>
              <w:left w:val="nil"/>
              <w:bottom w:val="single" w:sz="4" w:space="0" w:color="auto"/>
              <w:right w:val="single" w:sz="4" w:space="0" w:color="auto"/>
            </w:tcBorders>
            <w:noWrap/>
            <w:vAlign w:val="bottom"/>
            <w:hideMark/>
          </w:tcPr>
          <w:p w14:paraId="1626167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0.525</w:t>
            </w:r>
          </w:p>
        </w:tc>
        <w:tc>
          <w:tcPr>
            <w:tcW w:w="1176" w:type="dxa"/>
            <w:tcBorders>
              <w:top w:val="nil"/>
              <w:left w:val="nil"/>
              <w:bottom w:val="single" w:sz="4" w:space="0" w:color="auto"/>
              <w:right w:val="single" w:sz="4" w:space="0" w:color="auto"/>
            </w:tcBorders>
            <w:noWrap/>
            <w:vAlign w:val="bottom"/>
            <w:hideMark/>
          </w:tcPr>
          <w:p w14:paraId="4E3899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73 918</w:t>
            </w:r>
          </w:p>
        </w:tc>
        <w:tc>
          <w:tcPr>
            <w:tcW w:w="1461" w:type="dxa"/>
            <w:tcBorders>
              <w:top w:val="nil"/>
              <w:left w:val="nil"/>
              <w:bottom w:val="single" w:sz="4" w:space="0" w:color="auto"/>
              <w:right w:val="single" w:sz="4" w:space="0" w:color="auto"/>
            </w:tcBorders>
            <w:noWrap/>
            <w:vAlign w:val="bottom"/>
            <w:hideMark/>
          </w:tcPr>
          <w:p w14:paraId="6C5A9F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78 975</w:t>
            </w:r>
          </w:p>
        </w:tc>
        <w:tc>
          <w:tcPr>
            <w:tcW w:w="1080" w:type="dxa"/>
            <w:tcBorders>
              <w:top w:val="nil"/>
              <w:left w:val="nil"/>
              <w:bottom w:val="single" w:sz="4" w:space="0" w:color="auto"/>
              <w:right w:val="single" w:sz="4" w:space="0" w:color="auto"/>
            </w:tcBorders>
            <w:noWrap/>
            <w:vAlign w:val="bottom"/>
            <w:hideMark/>
          </w:tcPr>
          <w:p w14:paraId="6BA51CF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152 893</w:t>
            </w:r>
          </w:p>
        </w:tc>
      </w:tr>
      <w:tr w:rsidR="000C0842" w:rsidRPr="000C0842" w14:paraId="45CADA9E" w14:textId="77777777" w:rsidTr="001F32B3">
        <w:tc>
          <w:tcPr>
            <w:tcW w:w="1880" w:type="dxa"/>
            <w:tcBorders>
              <w:top w:val="nil"/>
              <w:left w:val="single" w:sz="4" w:space="0" w:color="auto"/>
              <w:bottom w:val="single" w:sz="4" w:space="0" w:color="auto"/>
              <w:right w:val="single" w:sz="4" w:space="0" w:color="auto"/>
            </w:tcBorders>
            <w:hideMark/>
          </w:tcPr>
          <w:p w14:paraId="48FCE7A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中国</w:t>
            </w:r>
          </w:p>
        </w:tc>
        <w:tc>
          <w:tcPr>
            <w:tcW w:w="1628" w:type="dxa"/>
            <w:tcBorders>
              <w:top w:val="nil"/>
              <w:left w:val="nil"/>
              <w:bottom w:val="single" w:sz="4" w:space="0" w:color="auto"/>
              <w:right w:val="single" w:sz="4" w:space="0" w:color="auto"/>
            </w:tcBorders>
            <w:vAlign w:val="bottom"/>
            <w:hideMark/>
          </w:tcPr>
          <w:p w14:paraId="2951045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15.254</w:t>
            </w:r>
          </w:p>
        </w:tc>
        <w:tc>
          <w:tcPr>
            <w:tcW w:w="2198" w:type="dxa"/>
            <w:tcBorders>
              <w:top w:val="nil"/>
              <w:left w:val="nil"/>
              <w:bottom w:val="single" w:sz="4" w:space="0" w:color="auto"/>
              <w:right w:val="single" w:sz="4" w:space="0" w:color="auto"/>
            </w:tcBorders>
            <w:noWrap/>
            <w:vAlign w:val="bottom"/>
            <w:hideMark/>
          </w:tcPr>
          <w:p w14:paraId="24200FF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19.069</w:t>
            </w:r>
          </w:p>
        </w:tc>
        <w:tc>
          <w:tcPr>
            <w:tcW w:w="1176" w:type="dxa"/>
            <w:tcBorders>
              <w:top w:val="nil"/>
              <w:left w:val="nil"/>
              <w:bottom w:val="single" w:sz="4" w:space="0" w:color="auto"/>
              <w:right w:val="single" w:sz="4" w:space="0" w:color="auto"/>
            </w:tcBorders>
            <w:noWrap/>
            <w:vAlign w:val="bottom"/>
            <w:hideMark/>
          </w:tcPr>
          <w:p w14:paraId="7D113D7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2 684 619</w:t>
            </w:r>
          </w:p>
        </w:tc>
        <w:tc>
          <w:tcPr>
            <w:tcW w:w="1461" w:type="dxa"/>
            <w:tcBorders>
              <w:top w:val="nil"/>
              <w:left w:val="nil"/>
              <w:bottom w:val="single" w:sz="4" w:space="0" w:color="auto"/>
              <w:right w:val="single" w:sz="4" w:space="0" w:color="auto"/>
            </w:tcBorders>
            <w:noWrap/>
            <w:vAlign w:val="bottom"/>
            <w:hideMark/>
          </w:tcPr>
          <w:p w14:paraId="196FC3B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2 868 309</w:t>
            </w:r>
          </w:p>
        </w:tc>
        <w:tc>
          <w:tcPr>
            <w:tcW w:w="1080" w:type="dxa"/>
            <w:tcBorders>
              <w:top w:val="nil"/>
              <w:left w:val="nil"/>
              <w:bottom w:val="single" w:sz="4" w:space="0" w:color="auto"/>
              <w:right w:val="single" w:sz="4" w:space="0" w:color="auto"/>
            </w:tcBorders>
            <w:noWrap/>
            <w:vAlign w:val="bottom"/>
            <w:hideMark/>
          </w:tcPr>
          <w:p w14:paraId="6FB31F7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5 552 928</w:t>
            </w:r>
          </w:p>
        </w:tc>
      </w:tr>
      <w:tr w:rsidR="000C0842" w:rsidRPr="000C0842" w14:paraId="4F48AA42" w14:textId="77777777" w:rsidTr="001F32B3">
        <w:tc>
          <w:tcPr>
            <w:tcW w:w="1880" w:type="dxa"/>
            <w:tcBorders>
              <w:top w:val="nil"/>
              <w:left w:val="single" w:sz="4" w:space="0" w:color="auto"/>
              <w:bottom w:val="single" w:sz="4" w:space="0" w:color="auto"/>
              <w:right w:val="single" w:sz="4" w:space="0" w:color="auto"/>
            </w:tcBorders>
            <w:hideMark/>
          </w:tcPr>
          <w:p w14:paraId="1231B6D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哥伦比亚</w:t>
            </w:r>
          </w:p>
        </w:tc>
        <w:tc>
          <w:tcPr>
            <w:tcW w:w="1628" w:type="dxa"/>
            <w:tcBorders>
              <w:top w:val="nil"/>
              <w:left w:val="nil"/>
              <w:bottom w:val="single" w:sz="4" w:space="0" w:color="auto"/>
              <w:right w:val="single" w:sz="4" w:space="0" w:color="auto"/>
            </w:tcBorders>
            <w:vAlign w:val="bottom"/>
            <w:hideMark/>
          </w:tcPr>
          <w:p w14:paraId="18402EF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0.246</w:t>
            </w:r>
          </w:p>
        </w:tc>
        <w:tc>
          <w:tcPr>
            <w:tcW w:w="2198" w:type="dxa"/>
            <w:tcBorders>
              <w:top w:val="nil"/>
              <w:left w:val="nil"/>
              <w:bottom w:val="single" w:sz="4" w:space="0" w:color="auto"/>
              <w:right w:val="single" w:sz="4" w:space="0" w:color="auto"/>
            </w:tcBorders>
            <w:noWrap/>
            <w:vAlign w:val="bottom"/>
            <w:hideMark/>
          </w:tcPr>
          <w:p w14:paraId="7156CA4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0.308</w:t>
            </w:r>
          </w:p>
        </w:tc>
        <w:tc>
          <w:tcPr>
            <w:tcW w:w="1176" w:type="dxa"/>
            <w:tcBorders>
              <w:top w:val="nil"/>
              <w:left w:val="nil"/>
              <w:bottom w:val="single" w:sz="4" w:space="0" w:color="auto"/>
              <w:right w:val="single" w:sz="4" w:space="0" w:color="auto"/>
            </w:tcBorders>
            <w:noWrap/>
            <w:vAlign w:val="bottom"/>
            <w:hideMark/>
          </w:tcPr>
          <w:p w14:paraId="299A7B4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43 295</w:t>
            </w:r>
          </w:p>
        </w:tc>
        <w:tc>
          <w:tcPr>
            <w:tcW w:w="1461" w:type="dxa"/>
            <w:tcBorders>
              <w:top w:val="nil"/>
              <w:left w:val="nil"/>
              <w:bottom w:val="single" w:sz="4" w:space="0" w:color="auto"/>
              <w:right w:val="single" w:sz="4" w:space="0" w:color="auto"/>
            </w:tcBorders>
            <w:noWrap/>
            <w:vAlign w:val="bottom"/>
            <w:hideMark/>
          </w:tcPr>
          <w:p w14:paraId="267928B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46 257</w:t>
            </w:r>
          </w:p>
        </w:tc>
        <w:tc>
          <w:tcPr>
            <w:tcW w:w="1080" w:type="dxa"/>
            <w:tcBorders>
              <w:top w:val="nil"/>
              <w:left w:val="nil"/>
              <w:bottom w:val="single" w:sz="4" w:space="0" w:color="auto"/>
              <w:right w:val="single" w:sz="4" w:space="0" w:color="auto"/>
            </w:tcBorders>
            <w:noWrap/>
            <w:vAlign w:val="bottom"/>
            <w:hideMark/>
          </w:tcPr>
          <w:p w14:paraId="111AE17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89 552</w:t>
            </w:r>
          </w:p>
        </w:tc>
      </w:tr>
      <w:tr w:rsidR="000C0842" w:rsidRPr="000C0842" w14:paraId="7C0D3F0E" w14:textId="77777777" w:rsidTr="001F32B3">
        <w:tc>
          <w:tcPr>
            <w:tcW w:w="1880" w:type="dxa"/>
            <w:tcBorders>
              <w:top w:val="nil"/>
              <w:left w:val="single" w:sz="4" w:space="0" w:color="auto"/>
              <w:bottom w:val="single" w:sz="4" w:space="0" w:color="auto"/>
              <w:right w:val="single" w:sz="4" w:space="0" w:color="auto"/>
            </w:tcBorders>
            <w:hideMark/>
          </w:tcPr>
          <w:p w14:paraId="31B894D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科摩罗</w:t>
            </w:r>
          </w:p>
        </w:tc>
        <w:tc>
          <w:tcPr>
            <w:tcW w:w="1628" w:type="dxa"/>
            <w:tcBorders>
              <w:top w:val="nil"/>
              <w:left w:val="nil"/>
              <w:bottom w:val="single" w:sz="4" w:space="0" w:color="auto"/>
              <w:right w:val="single" w:sz="4" w:space="0" w:color="auto"/>
            </w:tcBorders>
            <w:vAlign w:val="bottom"/>
            <w:hideMark/>
          </w:tcPr>
          <w:p w14:paraId="1134024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347704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6AA0BA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348E260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4C5536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984857E" w14:textId="77777777" w:rsidTr="001F32B3">
        <w:tc>
          <w:tcPr>
            <w:tcW w:w="1880" w:type="dxa"/>
            <w:tcBorders>
              <w:top w:val="nil"/>
              <w:left w:val="single" w:sz="4" w:space="0" w:color="auto"/>
              <w:bottom w:val="single" w:sz="4" w:space="0" w:color="auto"/>
              <w:right w:val="single" w:sz="4" w:space="0" w:color="auto"/>
            </w:tcBorders>
            <w:hideMark/>
          </w:tcPr>
          <w:p w14:paraId="2338F7F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刚果</w:t>
            </w:r>
          </w:p>
        </w:tc>
        <w:tc>
          <w:tcPr>
            <w:tcW w:w="1628" w:type="dxa"/>
            <w:tcBorders>
              <w:top w:val="nil"/>
              <w:left w:val="nil"/>
              <w:bottom w:val="single" w:sz="4" w:space="0" w:color="auto"/>
              <w:right w:val="single" w:sz="4" w:space="0" w:color="auto"/>
            </w:tcBorders>
            <w:vAlign w:val="bottom"/>
            <w:hideMark/>
          </w:tcPr>
          <w:p w14:paraId="5B8CBC2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411A273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235E37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707791E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36258C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686CCBF4" w14:textId="77777777" w:rsidTr="001F32B3">
        <w:tc>
          <w:tcPr>
            <w:tcW w:w="1880" w:type="dxa"/>
            <w:tcBorders>
              <w:top w:val="nil"/>
              <w:left w:val="single" w:sz="4" w:space="0" w:color="auto"/>
              <w:bottom w:val="single" w:sz="4" w:space="0" w:color="auto"/>
              <w:right w:val="single" w:sz="4" w:space="0" w:color="auto"/>
            </w:tcBorders>
            <w:hideMark/>
          </w:tcPr>
          <w:p w14:paraId="4C0227F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库克群岛</w:t>
            </w:r>
          </w:p>
        </w:tc>
        <w:tc>
          <w:tcPr>
            <w:tcW w:w="1628" w:type="dxa"/>
            <w:tcBorders>
              <w:top w:val="nil"/>
              <w:left w:val="nil"/>
              <w:bottom w:val="single" w:sz="4" w:space="0" w:color="auto"/>
              <w:right w:val="single" w:sz="4" w:space="0" w:color="auto"/>
            </w:tcBorders>
            <w:vAlign w:val="bottom"/>
            <w:hideMark/>
          </w:tcPr>
          <w:p w14:paraId="09C3E5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B48573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61477CA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0E86D7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60853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2F6A9F84" w14:textId="77777777" w:rsidTr="001F32B3">
        <w:tc>
          <w:tcPr>
            <w:tcW w:w="1880" w:type="dxa"/>
            <w:tcBorders>
              <w:top w:val="nil"/>
              <w:left w:val="single" w:sz="4" w:space="0" w:color="auto"/>
              <w:bottom w:val="single" w:sz="4" w:space="0" w:color="auto"/>
              <w:right w:val="single" w:sz="4" w:space="0" w:color="auto"/>
            </w:tcBorders>
            <w:hideMark/>
          </w:tcPr>
          <w:p w14:paraId="30D9363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哥斯达黎加</w:t>
            </w:r>
          </w:p>
        </w:tc>
        <w:tc>
          <w:tcPr>
            <w:tcW w:w="1628" w:type="dxa"/>
            <w:tcBorders>
              <w:top w:val="nil"/>
              <w:left w:val="nil"/>
              <w:bottom w:val="single" w:sz="4" w:space="0" w:color="auto"/>
              <w:right w:val="single" w:sz="4" w:space="0" w:color="auto"/>
            </w:tcBorders>
            <w:vAlign w:val="bottom"/>
            <w:hideMark/>
          </w:tcPr>
          <w:p w14:paraId="1801CF5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0.069</w:t>
            </w:r>
          </w:p>
        </w:tc>
        <w:tc>
          <w:tcPr>
            <w:tcW w:w="2198" w:type="dxa"/>
            <w:tcBorders>
              <w:top w:val="nil"/>
              <w:left w:val="nil"/>
              <w:bottom w:val="single" w:sz="4" w:space="0" w:color="auto"/>
              <w:right w:val="single" w:sz="4" w:space="0" w:color="auto"/>
            </w:tcBorders>
            <w:noWrap/>
            <w:vAlign w:val="bottom"/>
            <w:hideMark/>
          </w:tcPr>
          <w:p w14:paraId="187D3ED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0.086</w:t>
            </w:r>
          </w:p>
        </w:tc>
        <w:tc>
          <w:tcPr>
            <w:tcW w:w="1176" w:type="dxa"/>
            <w:tcBorders>
              <w:top w:val="nil"/>
              <w:left w:val="nil"/>
              <w:bottom w:val="single" w:sz="4" w:space="0" w:color="auto"/>
              <w:right w:val="single" w:sz="4" w:space="0" w:color="auto"/>
            </w:tcBorders>
            <w:noWrap/>
            <w:vAlign w:val="bottom"/>
            <w:hideMark/>
          </w:tcPr>
          <w:p w14:paraId="17E1657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12 144</w:t>
            </w:r>
          </w:p>
        </w:tc>
        <w:tc>
          <w:tcPr>
            <w:tcW w:w="1461" w:type="dxa"/>
            <w:tcBorders>
              <w:top w:val="nil"/>
              <w:left w:val="nil"/>
              <w:bottom w:val="single" w:sz="4" w:space="0" w:color="auto"/>
              <w:right w:val="single" w:sz="4" w:space="0" w:color="auto"/>
            </w:tcBorders>
            <w:noWrap/>
            <w:vAlign w:val="bottom"/>
            <w:hideMark/>
          </w:tcPr>
          <w:p w14:paraId="3CFEADD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12 975</w:t>
            </w:r>
          </w:p>
        </w:tc>
        <w:tc>
          <w:tcPr>
            <w:tcW w:w="1080" w:type="dxa"/>
            <w:tcBorders>
              <w:top w:val="nil"/>
              <w:left w:val="nil"/>
              <w:bottom w:val="single" w:sz="4" w:space="0" w:color="auto"/>
              <w:right w:val="single" w:sz="4" w:space="0" w:color="auto"/>
            </w:tcBorders>
            <w:noWrap/>
            <w:vAlign w:val="bottom"/>
            <w:hideMark/>
          </w:tcPr>
          <w:p w14:paraId="11601DF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25 118</w:t>
            </w:r>
          </w:p>
        </w:tc>
      </w:tr>
      <w:tr w:rsidR="000C0842" w:rsidRPr="000C0842" w14:paraId="14DB02F2" w14:textId="77777777" w:rsidTr="001F32B3">
        <w:tc>
          <w:tcPr>
            <w:tcW w:w="1880" w:type="dxa"/>
            <w:tcBorders>
              <w:top w:val="nil"/>
              <w:left w:val="single" w:sz="4" w:space="0" w:color="auto"/>
              <w:bottom w:val="single" w:sz="4" w:space="0" w:color="auto"/>
              <w:right w:val="single" w:sz="4" w:space="0" w:color="auto"/>
            </w:tcBorders>
            <w:hideMark/>
          </w:tcPr>
          <w:p w14:paraId="28765E6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科特迪瓦</w:t>
            </w:r>
          </w:p>
        </w:tc>
        <w:tc>
          <w:tcPr>
            <w:tcW w:w="1628" w:type="dxa"/>
            <w:tcBorders>
              <w:top w:val="nil"/>
              <w:left w:val="nil"/>
              <w:bottom w:val="single" w:sz="4" w:space="0" w:color="auto"/>
              <w:right w:val="single" w:sz="4" w:space="0" w:color="auto"/>
            </w:tcBorders>
            <w:vAlign w:val="bottom"/>
            <w:hideMark/>
          </w:tcPr>
          <w:p w14:paraId="60113C6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0.022</w:t>
            </w:r>
          </w:p>
        </w:tc>
        <w:tc>
          <w:tcPr>
            <w:tcW w:w="2198" w:type="dxa"/>
            <w:tcBorders>
              <w:top w:val="nil"/>
              <w:left w:val="nil"/>
              <w:bottom w:val="single" w:sz="4" w:space="0" w:color="auto"/>
              <w:right w:val="single" w:sz="4" w:space="0" w:color="auto"/>
            </w:tcBorders>
            <w:noWrap/>
            <w:vAlign w:val="bottom"/>
            <w:hideMark/>
          </w:tcPr>
          <w:p w14:paraId="104766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0.028</w:t>
            </w:r>
          </w:p>
        </w:tc>
        <w:tc>
          <w:tcPr>
            <w:tcW w:w="1176" w:type="dxa"/>
            <w:tcBorders>
              <w:top w:val="nil"/>
              <w:left w:val="nil"/>
              <w:bottom w:val="single" w:sz="4" w:space="0" w:color="auto"/>
              <w:right w:val="single" w:sz="4" w:space="0" w:color="auto"/>
            </w:tcBorders>
            <w:noWrap/>
            <w:vAlign w:val="bottom"/>
            <w:hideMark/>
          </w:tcPr>
          <w:p w14:paraId="1E362A5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3 872</w:t>
            </w:r>
          </w:p>
        </w:tc>
        <w:tc>
          <w:tcPr>
            <w:tcW w:w="1461" w:type="dxa"/>
            <w:tcBorders>
              <w:top w:val="nil"/>
              <w:left w:val="nil"/>
              <w:bottom w:val="single" w:sz="4" w:space="0" w:color="auto"/>
              <w:right w:val="single" w:sz="4" w:space="0" w:color="auto"/>
            </w:tcBorders>
            <w:noWrap/>
            <w:vAlign w:val="bottom"/>
            <w:hideMark/>
          </w:tcPr>
          <w:p w14:paraId="1F02C31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4 137</w:t>
            </w:r>
          </w:p>
        </w:tc>
        <w:tc>
          <w:tcPr>
            <w:tcW w:w="1080" w:type="dxa"/>
            <w:tcBorders>
              <w:top w:val="nil"/>
              <w:left w:val="nil"/>
              <w:bottom w:val="single" w:sz="4" w:space="0" w:color="auto"/>
              <w:right w:val="single" w:sz="4" w:space="0" w:color="auto"/>
            </w:tcBorders>
            <w:noWrap/>
            <w:vAlign w:val="bottom"/>
            <w:hideMark/>
          </w:tcPr>
          <w:p w14:paraId="480221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8 009</w:t>
            </w:r>
          </w:p>
        </w:tc>
      </w:tr>
      <w:tr w:rsidR="000C0842" w:rsidRPr="000C0842" w14:paraId="59F59120" w14:textId="77777777" w:rsidTr="001F32B3">
        <w:tc>
          <w:tcPr>
            <w:tcW w:w="1880" w:type="dxa"/>
            <w:tcBorders>
              <w:top w:val="nil"/>
              <w:left w:val="single" w:sz="4" w:space="0" w:color="auto"/>
              <w:bottom w:val="single" w:sz="4" w:space="0" w:color="auto"/>
              <w:right w:val="single" w:sz="4" w:space="0" w:color="auto"/>
            </w:tcBorders>
            <w:hideMark/>
          </w:tcPr>
          <w:p w14:paraId="310CAC9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克罗地亚</w:t>
            </w:r>
          </w:p>
        </w:tc>
        <w:tc>
          <w:tcPr>
            <w:tcW w:w="1628" w:type="dxa"/>
            <w:tcBorders>
              <w:top w:val="nil"/>
              <w:left w:val="nil"/>
              <w:bottom w:val="single" w:sz="4" w:space="0" w:color="auto"/>
              <w:right w:val="single" w:sz="4" w:space="0" w:color="auto"/>
            </w:tcBorders>
            <w:vAlign w:val="bottom"/>
            <w:hideMark/>
          </w:tcPr>
          <w:p w14:paraId="4E46234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0.091</w:t>
            </w:r>
          </w:p>
        </w:tc>
        <w:tc>
          <w:tcPr>
            <w:tcW w:w="2198" w:type="dxa"/>
            <w:tcBorders>
              <w:top w:val="nil"/>
              <w:left w:val="nil"/>
              <w:bottom w:val="single" w:sz="4" w:space="0" w:color="auto"/>
              <w:right w:val="single" w:sz="4" w:space="0" w:color="auto"/>
            </w:tcBorders>
            <w:noWrap/>
            <w:vAlign w:val="bottom"/>
            <w:hideMark/>
          </w:tcPr>
          <w:p w14:paraId="73C42F6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0.114</w:t>
            </w:r>
          </w:p>
        </w:tc>
        <w:tc>
          <w:tcPr>
            <w:tcW w:w="1176" w:type="dxa"/>
            <w:tcBorders>
              <w:top w:val="nil"/>
              <w:left w:val="nil"/>
              <w:bottom w:val="single" w:sz="4" w:space="0" w:color="auto"/>
              <w:right w:val="single" w:sz="4" w:space="0" w:color="auto"/>
            </w:tcBorders>
            <w:noWrap/>
            <w:vAlign w:val="bottom"/>
            <w:hideMark/>
          </w:tcPr>
          <w:p w14:paraId="485AC5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16 015</w:t>
            </w:r>
          </w:p>
        </w:tc>
        <w:tc>
          <w:tcPr>
            <w:tcW w:w="1461" w:type="dxa"/>
            <w:tcBorders>
              <w:top w:val="nil"/>
              <w:left w:val="nil"/>
              <w:bottom w:val="single" w:sz="4" w:space="0" w:color="auto"/>
              <w:right w:val="single" w:sz="4" w:space="0" w:color="auto"/>
            </w:tcBorders>
            <w:noWrap/>
            <w:vAlign w:val="bottom"/>
            <w:hideMark/>
          </w:tcPr>
          <w:p w14:paraId="5D5A85B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17 111</w:t>
            </w:r>
          </w:p>
        </w:tc>
        <w:tc>
          <w:tcPr>
            <w:tcW w:w="1080" w:type="dxa"/>
            <w:tcBorders>
              <w:top w:val="nil"/>
              <w:left w:val="nil"/>
              <w:bottom w:val="single" w:sz="4" w:space="0" w:color="auto"/>
              <w:right w:val="single" w:sz="4" w:space="0" w:color="auto"/>
            </w:tcBorders>
            <w:noWrap/>
            <w:vAlign w:val="bottom"/>
            <w:hideMark/>
          </w:tcPr>
          <w:p w14:paraId="74C8E49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33 127</w:t>
            </w:r>
          </w:p>
        </w:tc>
      </w:tr>
      <w:tr w:rsidR="000C0842" w:rsidRPr="000C0842" w14:paraId="429758B6" w14:textId="77777777" w:rsidTr="001F32B3">
        <w:tc>
          <w:tcPr>
            <w:tcW w:w="1880" w:type="dxa"/>
            <w:tcBorders>
              <w:top w:val="nil"/>
              <w:left w:val="single" w:sz="4" w:space="0" w:color="auto"/>
              <w:bottom w:val="single" w:sz="4" w:space="0" w:color="auto"/>
              <w:right w:val="single" w:sz="4" w:space="0" w:color="auto"/>
            </w:tcBorders>
            <w:hideMark/>
          </w:tcPr>
          <w:p w14:paraId="3CCD5B9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古巴</w:t>
            </w:r>
          </w:p>
        </w:tc>
        <w:tc>
          <w:tcPr>
            <w:tcW w:w="1628" w:type="dxa"/>
            <w:tcBorders>
              <w:top w:val="nil"/>
              <w:left w:val="nil"/>
              <w:bottom w:val="single" w:sz="4" w:space="0" w:color="auto"/>
              <w:right w:val="single" w:sz="4" w:space="0" w:color="auto"/>
            </w:tcBorders>
            <w:vAlign w:val="bottom"/>
            <w:hideMark/>
          </w:tcPr>
          <w:p w14:paraId="2D40212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0.095</w:t>
            </w:r>
          </w:p>
        </w:tc>
        <w:tc>
          <w:tcPr>
            <w:tcW w:w="2198" w:type="dxa"/>
            <w:tcBorders>
              <w:top w:val="nil"/>
              <w:left w:val="nil"/>
              <w:bottom w:val="single" w:sz="4" w:space="0" w:color="auto"/>
              <w:right w:val="single" w:sz="4" w:space="0" w:color="auto"/>
            </w:tcBorders>
            <w:noWrap/>
            <w:vAlign w:val="bottom"/>
            <w:hideMark/>
          </w:tcPr>
          <w:p w14:paraId="10439DF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0.119</w:t>
            </w:r>
          </w:p>
        </w:tc>
        <w:tc>
          <w:tcPr>
            <w:tcW w:w="1176" w:type="dxa"/>
            <w:tcBorders>
              <w:top w:val="nil"/>
              <w:left w:val="nil"/>
              <w:bottom w:val="single" w:sz="4" w:space="0" w:color="auto"/>
              <w:right w:val="single" w:sz="4" w:space="0" w:color="auto"/>
            </w:tcBorders>
            <w:noWrap/>
            <w:vAlign w:val="bottom"/>
            <w:hideMark/>
          </w:tcPr>
          <w:p w14:paraId="0D1008A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16 719</w:t>
            </w:r>
          </w:p>
        </w:tc>
        <w:tc>
          <w:tcPr>
            <w:tcW w:w="1461" w:type="dxa"/>
            <w:tcBorders>
              <w:top w:val="nil"/>
              <w:left w:val="nil"/>
              <w:bottom w:val="single" w:sz="4" w:space="0" w:color="auto"/>
              <w:right w:val="single" w:sz="4" w:space="0" w:color="auto"/>
            </w:tcBorders>
            <w:noWrap/>
            <w:vAlign w:val="bottom"/>
            <w:hideMark/>
          </w:tcPr>
          <w:p w14:paraId="3B2925D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17 863</w:t>
            </w:r>
          </w:p>
        </w:tc>
        <w:tc>
          <w:tcPr>
            <w:tcW w:w="1080" w:type="dxa"/>
            <w:tcBorders>
              <w:top w:val="nil"/>
              <w:left w:val="nil"/>
              <w:bottom w:val="single" w:sz="4" w:space="0" w:color="auto"/>
              <w:right w:val="single" w:sz="4" w:space="0" w:color="auto"/>
            </w:tcBorders>
            <w:noWrap/>
            <w:vAlign w:val="bottom"/>
            <w:hideMark/>
          </w:tcPr>
          <w:p w14:paraId="349E93C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34 583</w:t>
            </w:r>
          </w:p>
        </w:tc>
      </w:tr>
      <w:tr w:rsidR="000C0842" w:rsidRPr="000C0842" w14:paraId="40F8A484" w14:textId="77777777" w:rsidTr="001F32B3">
        <w:tc>
          <w:tcPr>
            <w:tcW w:w="1880" w:type="dxa"/>
            <w:tcBorders>
              <w:top w:val="nil"/>
              <w:left w:val="single" w:sz="4" w:space="0" w:color="auto"/>
              <w:bottom w:val="single" w:sz="4" w:space="0" w:color="auto"/>
              <w:right w:val="single" w:sz="4" w:space="0" w:color="auto"/>
            </w:tcBorders>
            <w:hideMark/>
          </w:tcPr>
          <w:p w14:paraId="433312C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塞浦路斯</w:t>
            </w:r>
          </w:p>
        </w:tc>
        <w:tc>
          <w:tcPr>
            <w:tcW w:w="1628" w:type="dxa"/>
            <w:tcBorders>
              <w:top w:val="nil"/>
              <w:left w:val="nil"/>
              <w:bottom w:val="single" w:sz="4" w:space="0" w:color="auto"/>
              <w:right w:val="single" w:sz="4" w:space="0" w:color="auto"/>
            </w:tcBorders>
            <w:vAlign w:val="bottom"/>
            <w:hideMark/>
          </w:tcPr>
          <w:p w14:paraId="19648C9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0.036</w:t>
            </w:r>
          </w:p>
        </w:tc>
        <w:tc>
          <w:tcPr>
            <w:tcW w:w="2198" w:type="dxa"/>
            <w:tcBorders>
              <w:top w:val="nil"/>
              <w:left w:val="nil"/>
              <w:bottom w:val="single" w:sz="4" w:space="0" w:color="auto"/>
              <w:right w:val="single" w:sz="4" w:space="0" w:color="auto"/>
            </w:tcBorders>
            <w:noWrap/>
            <w:vAlign w:val="bottom"/>
            <w:hideMark/>
          </w:tcPr>
          <w:p w14:paraId="4172B2C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0.045</w:t>
            </w:r>
          </w:p>
        </w:tc>
        <w:tc>
          <w:tcPr>
            <w:tcW w:w="1176" w:type="dxa"/>
            <w:tcBorders>
              <w:top w:val="nil"/>
              <w:left w:val="nil"/>
              <w:bottom w:val="single" w:sz="4" w:space="0" w:color="auto"/>
              <w:right w:val="single" w:sz="4" w:space="0" w:color="auto"/>
            </w:tcBorders>
            <w:noWrap/>
            <w:vAlign w:val="bottom"/>
            <w:hideMark/>
          </w:tcPr>
          <w:p w14:paraId="68417D6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6 336</w:t>
            </w:r>
          </w:p>
        </w:tc>
        <w:tc>
          <w:tcPr>
            <w:tcW w:w="1461" w:type="dxa"/>
            <w:tcBorders>
              <w:top w:val="nil"/>
              <w:left w:val="nil"/>
              <w:bottom w:val="single" w:sz="4" w:space="0" w:color="auto"/>
              <w:right w:val="single" w:sz="4" w:space="0" w:color="auto"/>
            </w:tcBorders>
            <w:noWrap/>
            <w:vAlign w:val="bottom"/>
            <w:hideMark/>
          </w:tcPr>
          <w:p w14:paraId="337464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6 769</w:t>
            </w:r>
          </w:p>
        </w:tc>
        <w:tc>
          <w:tcPr>
            <w:tcW w:w="1080" w:type="dxa"/>
            <w:tcBorders>
              <w:top w:val="nil"/>
              <w:left w:val="nil"/>
              <w:bottom w:val="single" w:sz="4" w:space="0" w:color="auto"/>
              <w:right w:val="single" w:sz="4" w:space="0" w:color="auto"/>
            </w:tcBorders>
            <w:noWrap/>
            <w:vAlign w:val="bottom"/>
            <w:hideMark/>
          </w:tcPr>
          <w:p w14:paraId="1337064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13 105</w:t>
            </w:r>
          </w:p>
        </w:tc>
      </w:tr>
      <w:tr w:rsidR="000C0842" w:rsidRPr="000C0842" w14:paraId="537C1400" w14:textId="77777777" w:rsidTr="001F32B3">
        <w:tc>
          <w:tcPr>
            <w:tcW w:w="1880" w:type="dxa"/>
            <w:tcBorders>
              <w:top w:val="nil"/>
              <w:left w:val="single" w:sz="4" w:space="0" w:color="auto"/>
              <w:bottom w:val="single" w:sz="4" w:space="0" w:color="auto"/>
              <w:right w:val="single" w:sz="4" w:space="0" w:color="auto"/>
            </w:tcBorders>
            <w:hideMark/>
          </w:tcPr>
          <w:p w14:paraId="1DCC23D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捷克</w:t>
            </w:r>
          </w:p>
        </w:tc>
        <w:tc>
          <w:tcPr>
            <w:tcW w:w="1628" w:type="dxa"/>
            <w:tcBorders>
              <w:top w:val="nil"/>
              <w:left w:val="nil"/>
              <w:bottom w:val="single" w:sz="4" w:space="0" w:color="auto"/>
              <w:right w:val="single" w:sz="4" w:space="0" w:color="auto"/>
            </w:tcBorders>
            <w:vAlign w:val="bottom"/>
            <w:hideMark/>
          </w:tcPr>
          <w:p w14:paraId="3B869D7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0.340</w:t>
            </w:r>
          </w:p>
        </w:tc>
        <w:tc>
          <w:tcPr>
            <w:tcW w:w="2198" w:type="dxa"/>
            <w:tcBorders>
              <w:top w:val="nil"/>
              <w:left w:val="nil"/>
              <w:bottom w:val="single" w:sz="4" w:space="0" w:color="auto"/>
              <w:right w:val="single" w:sz="4" w:space="0" w:color="auto"/>
            </w:tcBorders>
            <w:noWrap/>
            <w:vAlign w:val="bottom"/>
            <w:hideMark/>
          </w:tcPr>
          <w:p w14:paraId="3653628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0.425</w:t>
            </w:r>
          </w:p>
        </w:tc>
        <w:tc>
          <w:tcPr>
            <w:tcW w:w="1176" w:type="dxa"/>
            <w:tcBorders>
              <w:top w:val="nil"/>
              <w:left w:val="nil"/>
              <w:bottom w:val="single" w:sz="4" w:space="0" w:color="auto"/>
              <w:right w:val="single" w:sz="4" w:space="0" w:color="auto"/>
            </w:tcBorders>
            <w:noWrap/>
            <w:vAlign w:val="bottom"/>
            <w:hideMark/>
          </w:tcPr>
          <w:p w14:paraId="37F6AFE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59 838</w:t>
            </w:r>
          </w:p>
        </w:tc>
        <w:tc>
          <w:tcPr>
            <w:tcW w:w="1461" w:type="dxa"/>
            <w:tcBorders>
              <w:top w:val="nil"/>
              <w:left w:val="nil"/>
              <w:bottom w:val="single" w:sz="4" w:space="0" w:color="auto"/>
              <w:right w:val="single" w:sz="4" w:space="0" w:color="auto"/>
            </w:tcBorders>
            <w:noWrap/>
            <w:vAlign w:val="bottom"/>
            <w:hideMark/>
          </w:tcPr>
          <w:p w14:paraId="0DC6FDD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63 932</w:t>
            </w:r>
          </w:p>
        </w:tc>
        <w:tc>
          <w:tcPr>
            <w:tcW w:w="1080" w:type="dxa"/>
            <w:tcBorders>
              <w:top w:val="nil"/>
              <w:left w:val="nil"/>
              <w:bottom w:val="single" w:sz="4" w:space="0" w:color="auto"/>
              <w:right w:val="single" w:sz="4" w:space="0" w:color="auto"/>
            </w:tcBorders>
            <w:noWrap/>
            <w:vAlign w:val="bottom"/>
            <w:hideMark/>
          </w:tcPr>
          <w:p w14:paraId="26061C6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123 771</w:t>
            </w:r>
          </w:p>
        </w:tc>
      </w:tr>
      <w:tr w:rsidR="000C0842" w:rsidRPr="000C0842" w14:paraId="38DA63B5" w14:textId="77777777" w:rsidTr="001F32B3">
        <w:tc>
          <w:tcPr>
            <w:tcW w:w="1880" w:type="dxa"/>
            <w:tcBorders>
              <w:top w:val="nil"/>
              <w:left w:val="single" w:sz="4" w:space="0" w:color="auto"/>
              <w:bottom w:val="single" w:sz="4" w:space="0" w:color="auto"/>
              <w:right w:val="single" w:sz="4" w:space="0" w:color="auto"/>
            </w:tcBorders>
            <w:hideMark/>
          </w:tcPr>
          <w:p w14:paraId="5A181E83"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朝鲜民主主义人民共和国</w:t>
            </w:r>
          </w:p>
        </w:tc>
        <w:tc>
          <w:tcPr>
            <w:tcW w:w="1628" w:type="dxa"/>
            <w:tcBorders>
              <w:top w:val="nil"/>
              <w:left w:val="nil"/>
              <w:bottom w:val="single" w:sz="4" w:space="0" w:color="auto"/>
              <w:right w:val="single" w:sz="4" w:space="0" w:color="auto"/>
            </w:tcBorders>
            <w:vAlign w:val="bottom"/>
            <w:hideMark/>
          </w:tcPr>
          <w:p w14:paraId="6A5771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37AE6EB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39D99AA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6C0DBE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6653D3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054F4025" w14:textId="77777777" w:rsidTr="001F32B3">
        <w:tc>
          <w:tcPr>
            <w:tcW w:w="1880" w:type="dxa"/>
            <w:tcBorders>
              <w:top w:val="nil"/>
              <w:left w:val="single" w:sz="4" w:space="0" w:color="auto"/>
              <w:bottom w:val="single" w:sz="4" w:space="0" w:color="auto"/>
              <w:right w:val="single" w:sz="4" w:space="0" w:color="auto"/>
            </w:tcBorders>
            <w:hideMark/>
          </w:tcPr>
          <w:p w14:paraId="2D2FED39"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刚果民主共和国</w:t>
            </w:r>
          </w:p>
        </w:tc>
        <w:tc>
          <w:tcPr>
            <w:tcW w:w="1628" w:type="dxa"/>
            <w:tcBorders>
              <w:top w:val="nil"/>
              <w:left w:val="nil"/>
              <w:bottom w:val="single" w:sz="4" w:space="0" w:color="auto"/>
              <w:right w:val="single" w:sz="4" w:space="0" w:color="auto"/>
            </w:tcBorders>
            <w:vAlign w:val="bottom"/>
            <w:hideMark/>
          </w:tcPr>
          <w:p w14:paraId="22AC6EB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4C200F2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04F195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42FF073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4CC38EE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3FF736E4" w14:textId="77777777" w:rsidTr="001F32B3">
        <w:tc>
          <w:tcPr>
            <w:tcW w:w="1880" w:type="dxa"/>
            <w:tcBorders>
              <w:top w:val="nil"/>
              <w:left w:val="single" w:sz="4" w:space="0" w:color="auto"/>
              <w:bottom w:val="single" w:sz="4" w:space="0" w:color="auto"/>
              <w:right w:val="single" w:sz="4" w:space="0" w:color="auto"/>
            </w:tcBorders>
            <w:hideMark/>
          </w:tcPr>
          <w:p w14:paraId="4C5C6C5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丹麦</w:t>
            </w:r>
          </w:p>
        </w:tc>
        <w:tc>
          <w:tcPr>
            <w:tcW w:w="1628" w:type="dxa"/>
            <w:tcBorders>
              <w:top w:val="nil"/>
              <w:left w:val="nil"/>
              <w:bottom w:val="single" w:sz="4" w:space="0" w:color="auto"/>
              <w:right w:val="single" w:sz="4" w:space="0" w:color="auto"/>
            </w:tcBorders>
            <w:vAlign w:val="bottom"/>
            <w:hideMark/>
          </w:tcPr>
          <w:p w14:paraId="10B4EF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0.553</w:t>
            </w:r>
          </w:p>
        </w:tc>
        <w:tc>
          <w:tcPr>
            <w:tcW w:w="2198" w:type="dxa"/>
            <w:tcBorders>
              <w:top w:val="nil"/>
              <w:left w:val="nil"/>
              <w:bottom w:val="single" w:sz="4" w:space="0" w:color="auto"/>
              <w:right w:val="single" w:sz="4" w:space="0" w:color="auto"/>
            </w:tcBorders>
            <w:noWrap/>
            <w:vAlign w:val="bottom"/>
            <w:hideMark/>
          </w:tcPr>
          <w:p w14:paraId="08461D8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0.691</w:t>
            </w:r>
          </w:p>
        </w:tc>
        <w:tc>
          <w:tcPr>
            <w:tcW w:w="1176" w:type="dxa"/>
            <w:tcBorders>
              <w:top w:val="nil"/>
              <w:left w:val="nil"/>
              <w:bottom w:val="single" w:sz="4" w:space="0" w:color="auto"/>
              <w:right w:val="single" w:sz="4" w:space="0" w:color="auto"/>
            </w:tcBorders>
            <w:noWrap/>
            <w:vAlign w:val="bottom"/>
            <w:hideMark/>
          </w:tcPr>
          <w:p w14:paraId="04E69B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97 325</w:t>
            </w:r>
          </w:p>
        </w:tc>
        <w:tc>
          <w:tcPr>
            <w:tcW w:w="1461" w:type="dxa"/>
            <w:tcBorders>
              <w:top w:val="nil"/>
              <w:left w:val="nil"/>
              <w:bottom w:val="single" w:sz="4" w:space="0" w:color="auto"/>
              <w:right w:val="single" w:sz="4" w:space="0" w:color="auto"/>
            </w:tcBorders>
            <w:noWrap/>
            <w:vAlign w:val="bottom"/>
            <w:hideMark/>
          </w:tcPr>
          <w:p w14:paraId="1DF7D60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103 984</w:t>
            </w:r>
          </w:p>
        </w:tc>
        <w:tc>
          <w:tcPr>
            <w:tcW w:w="1080" w:type="dxa"/>
            <w:tcBorders>
              <w:top w:val="nil"/>
              <w:left w:val="nil"/>
              <w:bottom w:val="single" w:sz="4" w:space="0" w:color="auto"/>
              <w:right w:val="single" w:sz="4" w:space="0" w:color="auto"/>
            </w:tcBorders>
            <w:noWrap/>
            <w:vAlign w:val="bottom"/>
            <w:hideMark/>
          </w:tcPr>
          <w:p w14:paraId="47DB37C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201 309</w:t>
            </w:r>
          </w:p>
        </w:tc>
      </w:tr>
      <w:tr w:rsidR="000C0842" w:rsidRPr="000C0842" w14:paraId="55B322CA" w14:textId="77777777" w:rsidTr="001F32B3">
        <w:tc>
          <w:tcPr>
            <w:tcW w:w="1880" w:type="dxa"/>
            <w:tcBorders>
              <w:top w:val="nil"/>
              <w:left w:val="single" w:sz="4" w:space="0" w:color="auto"/>
              <w:bottom w:val="single" w:sz="4" w:space="0" w:color="auto"/>
              <w:right w:val="single" w:sz="4" w:space="0" w:color="auto"/>
            </w:tcBorders>
            <w:hideMark/>
          </w:tcPr>
          <w:p w14:paraId="0A0196C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吉布提</w:t>
            </w:r>
          </w:p>
        </w:tc>
        <w:tc>
          <w:tcPr>
            <w:tcW w:w="1628" w:type="dxa"/>
            <w:tcBorders>
              <w:top w:val="nil"/>
              <w:left w:val="nil"/>
              <w:bottom w:val="single" w:sz="4" w:space="0" w:color="auto"/>
              <w:right w:val="single" w:sz="4" w:space="0" w:color="auto"/>
            </w:tcBorders>
            <w:vAlign w:val="bottom"/>
            <w:hideMark/>
          </w:tcPr>
          <w:p w14:paraId="7A01405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D0EBF8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59D630D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091CE56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349866F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B7062B5" w14:textId="77777777" w:rsidTr="001F32B3">
        <w:tc>
          <w:tcPr>
            <w:tcW w:w="1880" w:type="dxa"/>
            <w:tcBorders>
              <w:top w:val="nil"/>
              <w:left w:val="single" w:sz="4" w:space="0" w:color="auto"/>
              <w:bottom w:val="single" w:sz="4" w:space="0" w:color="auto"/>
              <w:right w:val="single" w:sz="4" w:space="0" w:color="auto"/>
            </w:tcBorders>
            <w:hideMark/>
          </w:tcPr>
          <w:p w14:paraId="544A926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多米尼克</w:t>
            </w:r>
          </w:p>
        </w:tc>
        <w:tc>
          <w:tcPr>
            <w:tcW w:w="1628" w:type="dxa"/>
            <w:tcBorders>
              <w:top w:val="nil"/>
              <w:left w:val="nil"/>
              <w:bottom w:val="single" w:sz="4" w:space="0" w:color="auto"/>
              <w:right w:val="single" w:sz="4" w:space="0" w:color="auto"/>
            </w:tcBorders>
            <w:vAlign w:val="bottom"/>
            <w:hideMark/>
          </w:tcPr>
          <w:p w14:paraId="4BDF25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4ABECA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147A65D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36A1E1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7B49DB5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694F9428" w14:textId="77777777" w:rsidTr="001F32B3">
        <w:tc>
          <w:tcPr>
            <w:tcW w:w="1880" w:type="dxa"/>
            <w:tcBorders>
              <w:top w:val="nil"/>
              <w:left w:val="single" w:sz="4" w:space="0" w:color="auto"/>
              <w:bottom w:val="single" w:sz="4" w:space="0" w:color="auto"/>
              <w:right w:val="single" w:sz="4" w:space="0" w:color="auto"/>
            </w:tcBorders>
            <w:hideMark/>
          </w:tcPr>
          <w:p w14:paraId="0187AC5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多米尼加共和国</w:t>
            </w:r>
          </w:p>
        </w:tc>
        <w:tc>
          <w:tcPr>
            <w:tcW w:w="1628" w:type="dxa"/>
            <w:tcBorders>
              <w:top w:val="nil"/>
              <w:left w:val="nil"/>
              <w:bottom w:val="single" w:sz="4" w:space="0" w:color="auto"/>
              <w:right w:val="single" w:sz="4" w:space="0" w:color="auto"/>
            </w:tcBorders>
            <w:vAlign w:val="bottom"/>
            <w:hideMark/>
          </w:tcPr>
          <w:p w14:paraId="4CEA953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0.067</w:t>
            </w:r>
          </w:p>
        </w:tc>
        <w:tc>
          <w:tcPr>
            <w:tcW w:w="2198" w:type="dxa"/>
            <w:tcBorders>
              <w:top w:val="nil"/>
              <w:left w:val="nil"/>
              <w:bottom w:val="single" w:sz="4" w:space="0" w:color="auto"/>
              <w:right w:val="single" w:sz="4" w:space="0" w:color="auto"/>
            </w:tcBorders>
            <w:noWrap/>
            <w:vAlign w:val="bottom"/>
            <w:hideMark/>
          </w:tcPr>
          <w:p w14:paraId="5E6B272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0.084</w:t>
            </w:r>
          </w:p>
        </w:tc>
        <w:tc>
          <w:tcPr>
            <w:tcW w:w="1176" w:type="dxa"/>
            <w:tcBorders>
              <w:top w:val="nil"/>
              <w:left w:val="nil"/>
              <w:bottom w:val="single" w:sz="4" w:space="0" w:color="auto"/>
              <w:right w:val="single" w:sz="4" w:space="0" w:color="auto"/>
            </w:tcBorders>
            <w:noWrap/>
            <w:vAlign w:val="bottom"/>
            <w:hideMark/>
          </w:tcPr>
          <w:p w14:paraId="4FC94BF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11 792</w:t>
            </w:r>
          </w:p>
        </w:tc>
        <w:tc>
          <w:tcPr>
            <w:tcW w:w="1461" w:type="dxa"/>
            <w:tcBorders>
              <w:top w:val="nil"/>
              <w:left w:val="nil"/>
              <w:bottom w:val="single" w:sz="4" w:space="0" w:color="auto"/>
              <w:right w:val="single" w:sz="4" w:space="0" w:color="auto"/>
            </w:tcBorders>
            <w:noWrap/>
            <w:vAlign w:val="bottom"/>
            <w:hideMark/>
          </w:tcPr>
          <w:p w14:paraId="787361C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12 598</w:t>
            </w:r>
          </w:p>
        </w:tc>
        <w:tc>
          <w:tcPr>
            <w:tcW w:w="1080" w:type="dxa"/>
            <w:tcBorders>
              <w:top w:val="nil"/>
              <w:left w:val="nil"/>
              <w:bottom w:val="single" w:sz="4" w:space="0" w:color="auto"/>
              <w:right w:val="single" w:sz="4" w:space="0" w:color="auto"/>
            </w:tcBorders>
            <w:noWrap/>
            <w:vAlign w:val="bottom"/>
            <w:hideMark/>
          </w:tcPr>
          <w:p w14:paraId="7D7AC1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24 390</w:t>
            </w:r>
          </w:p>
        </w:tc>
      </w:tr>
      <w:tr w:rsidR="000C0842" w:rsidRPr="000C0842" w14:paraId="2C3B27D8" w14:textId="77777777" w:rsidTr="001F32B3">
        <w:tc>
          <w:tcPr>
            <w:tcW w:w="1880" w:type="dxa"/>
            <w:tcBorders>
              <w:top w:val="nil"/>
              <w:left w:val="single" w:sz="4" w:space="0" w:color="auto"/>
              <w:bottom w:val="single" w:sz="4" w:space="0" w:color="auto"/>
              <w:right w:val="single" w:sz="4" w:space="0" w:color="auto"/>
            </w:tcBorders>
            <w:hideMark/>
          </w:tcPr>
          <w:p w14:paraId="2CF3B0E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厄瓜多尔</w:t>
            </w:r>
          </w:p>
        </w:tc>
        <w:tc>
          <w:tcPr>
            <w:tcW w:w="1628" w:type="dxa"/>
            <w:tcBorders>
              <w:top w:val="nil"/>
              <w:left w:val="nil"/>
              <w:bottom w:val="single" w:sz="4" w:space="0" w:color="auto"/>
              <w:right w:val="single" w:sz="4" w:space="0" w:color="auto"/>
            </w:tcBorders>
            <w:vAlign w:val="bottom"/>
            <w:hideMark/>
          </w:tcPr>
          <w:p w14:paraId="1BD656C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0.077</w:t>
            </w:r>
          </w:p>
        </w:tc>
        <w:tc>
          <w:tcPr>
            <w:tcW w:w="2198" w:type="dxa"/>
            <w:tcBorders>
              <w:top w:val="nil"/>
              <w:left w:val="nil"/>
              <w:bottom w:val="single" w:sz="4" w:space="0" w:color="auto"/>
              <w:right w:val="single" w:sz="4" w:space="0" w:color="auto"/>
            </w:tcBorders>
            <w:noWrap/>
            <w:vAlign w:val="bottom"/>
            <w:hideMark/>
          </w:tcPr>
          <w:p w14:paraId="08CACC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0.096</w:t>
            </w:r>
          </w:p>
        </w:tc>
        <w:tc>
          <w:tcPr>
            <w:tcW w:w="1176" w:type="dxa"/>
            <w:tcBorders>
              <w:top w:val="nil"/>
              <w:left w:val="nil"/>
              <w:bottom w:val="single" w:sz="4" w:space="0" w:color="auto"/>
              <w:right w:val="single" w:sz="4" w:space="0" w:color="auto"/>
            </w:tcBorders>
            <w:noWrap/>
            <w:vAlign w:val="bottom"/>
            <w:hideMark/>
          </w:tcPr>
          <w:p w14:paraId="671459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13 552</w:t>
            </w:r>
          </w:p>
        </w:tc>
        <w:tc>
          <w:tcPr>
            <w:tcW w:w="1461" w:type="dxa"/>
            <w:tcBorders>
              <w:top w:val="nil"/>
              <w:left w:val="nil"/>
              <w:bottom w:val="single" w:sz="4" w:space="0" w:color="auto"/>
              <w:right w:val="single" w:sz="4" w:space="0" w:color="auto"/>
            </w:tcBorders>
            <w:noWrap/>
            <w:vAlign w:val="bottom"/>
            <w:hideMark/>
          </w:tcPr>
          <w:p w14:paraId="12A7B4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14 479</w:t>
            </w:r>
          </w:p>
        </w:tc>
        <w:tc>
          <w:tcPr>
            <w:tcW w:w="1080" w:type="dxa"/>
            <w:tcBorders>
              <w:top w:val="nil"/>
              <w:left w:val="nil"/>
              <w:bottom w:val="single" w:sz="4" w:space="0" w:color="auto"/>
              <w:right w:val="single" w:sz="4" w:space="0" w:color="auto"/>
            </w:tcBorders>
            <w:noWrap/>
            <w:vAlign w:val="bottom"/>
            <w:hideMark/>
          </w:tcPr>
          <w:p w14:paraId="46BF195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28 030</w:t>
            </w:r>
          </w:p>
        </w:tc>
      </w:tr>
      <w:tr w:rsidR="000C0842" w:rsidRPr="000C0842" w14:paraId="33AF0A35" w14:textId="77777777" w:rsidTr="001F32B3">
        <w:tc>
          <w:tcPr>
            <w:tcW w:w="1880" w:type="dxa"/>
            <w:tcBorders>
              <w:top w:val="nil"/>
              <w:left w:val="single" w:sz="4" w:space="0" w:color="auto"/>
              <w:bottom w:val="single" w:sz="4" w:space="0" w:color="auto"/>
              <w:right w:val="single" w:sz="4" w:space="0" w:color="auto"/>
            </w:tcBorders>
            <w:hideMark/>
          </w:tcPr>
          <w:p w14:paraId="7474672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埃及</w:t>
            </w:r>
          </w:p>
        </w:tc>
        <w:tc>
          <w:tcPr>
            <w:tcW w:w="1628" w:type="dxa"/>
            <w:tcBorders>
              <w:top w:val="nil"/>
              <w:left w:val="nil"/>
              <w:bottom w:val="single" w:sz="4" w:space="0" w:color="auto"/>
              <w:right w:val="single" w:sz="4" w:space="0" w:color="auto"/>
            </w:tcBorders>
            <w:vAlign w:val="bottom"/>
            <w:hideMark/>
          </w:tcPr>
          <w:p w14:paraId="30A538C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0.139</w:t>
            </w:r>
          </w:p>
        </w:tc>
        <w:tc>
          <w:tcPr>
            <w:tcW w:w="2198" w:type="dxa"/>
            <w:tcBorders>
              <w:top w:val="nil"/>
              <w:left w:val="nil"/>
              <w:bottom w:val="single" w:sz="4" w:space="0" w:color="auto"/>
              <w:right w:val="single" w:sz="4" w:space="0" w:color="auto"/>
            </w:tcBorders>
            <w:noWrap/>
            <w:vAlign w:val="bottom"/>
            <w:hideMark/>
          </w:tcPr>
          <w:p w14:paraId="4D7FF16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0.174</w:t>
            </w:r>
          </w:p>
        </w:tc>
        <w:tc>
          <w:tcPr>
            <w:tcW w:w="1176" w:type="dxa"/>
            <w:tcBorders>
              <w:top w:val="nil"/>
              <w:left w:val="nil"/>
              <w:bottom w:val="single" w:sz="4" w:space="0" w:color="auto"/>
              <w:right w:val="single" w:sz="4" w:space="0" w:color="auto"/>
            </w:tcBorders>
            <w:noWrap/>
            <w:vAlign w:val="bottom"/>
            <w:hideMark/>
          </w:tcPr>
          <w:p w14:paraId="405CBE5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24 463</w:t>
            </w:r>
          </w:p>
        </w:tc>
        <w:tc>
          <w:tcPr>
            <w:tcW w:w="1461" w:type="dxa"/>
            <w:tcBorders>
              <w:top w:val="nil"/>
              <w:left w:val="nil"/>
              <w:bottom w:val="single" w:sz="4" w:space="0" w:color="auto"/>
              <w:right w:val="single" w:sz="4" w:space="0" w:color="auto"/>
            </w:tcBorders>
            <w:noWrap/>
            <w:vAlign w:val="bottom"/>
            <w:hideMark/>
          </w:tcPr>
          <w:p w14:paraId="40FF7CE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26 137</w:t>
            </w:r>
          </w:p>
        </w:tc>
        <w:tc>
          <w:tcPr>
            <w:tcW w:w="1080" w:type="dxa"/>
            <w:tcBorders>
              <w:top w:val="nil"/>
              <w:left w:val="nil"/>
              <w:bottom w:val="single" w:sz="4" w:space="0" w:color="auto"/>
              <w:right w:val="single" w:sz="4" w:space="0" w:color="auto"/>
            </w:tcBorders>
            <w:noWrap/>
            <w:vAlign w:val="bottom"/>
            <w:hideMark/>
          </w:tcPr>
          <w:p w14:paraId="24678D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50 600</w:t>
            </w:r>
          </w:p>
        </w:tc>
      </w:tr>
      <w:tr w:rsidR="000C0842" w:rsidRPr="000C0842" w14:paraId="5C9532B5" w14:textId="77777777" w:rsidTr="001F32B3">
        <w:tc>
          <w:tcPr>
            <w:tcW w:w="1880" w:type="dxa"/>
            <w:tcBorders>
              <w:top w:val="nil"/>
              <w:left w:val="single" w:sz="4" w:space="0" w:color="auto"/>
              <w:bottom w:val="single" w:sz="4" w:space="0" w:color="auto"/>
              <w:right w:val="single" w:sz="4" w:space="0" w:color="auto"/>
            </w:tcBorders>
            <w:hideMark/>
          </w:tcPr>
          <w:p w14:paraId="5D2769D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萨尔瓦多</w:t>
            </w:r>
          </w:p>
        </w:tc>
        <w:tc>
          <w:tcPr>
            <w:tcW w:w="1628" w:type="dxa"/>
            <w:tcBorders>
              <w:top w:val="nil"/>
              <w:left w:val="nil"/>
              <w:bottom w:val="single" w:sz="4" w:space="0" w:color="auto"/>
              <w:right w:val="single" w:sz="4" w:space="0" w:color="auto"/>
            </w:tcBorders>
            <w:vAlign w:val="bottom"/>
            <w:hideMark/>
          </w:tcPr>
          <w:p w14:paraId="4C1568F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0.013</w:t>
            </w:r>
          </w:p>
        </w:tc>
        <w:tc>
          <w:tcPr>
            <w:tcW w:w="2198" w:type="dxa"/>
            <w:tcBorders>
              <w:top w:val="nil"/>
              <w:left w:val="nil"/>
              <w:bottom w:val="single" w:sz="4" w:space="0" w:color="auto"/>
              <w:right w:val="single" w:sz="4" w:space="0" w:color="auto"/>
            </w:tcBorders>
            <w:noWrap/>
            <w:vAlign w:val="bottom"/>
            <w:hideMark/>
          </w:tcPr>
          <w:p w14:paraId="6C68236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0.016</w:t>
            </w:r>
          </w:p>
        </w:tc>
        <w:tc>
          <w:tcPr>
            <w:tcW w:w="1176" w:type="dxa"/>
            <w:tcBorders>
              <w:top w:val="nil"/>
              <w:left w:val="nil"/>
              <w:bottom w:val="single" w:sz="4" w:space="0" w:color="auto"/>
              <w:right w:val="single" w:sz="4" w:space="0" w:color="auto"/>
            </w:tcBorders>
            <w:noWrap/>
            <w:vAlign w:val="bottom"/>
            <w:hideMark/>
          </w:tcPr>
          <w:p w14:paraId="7223A4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2 288</w:t>
            </w:r>
          </w:p>
        </w:tc>
        <w:tc>
          <w:tcPr>
            <w:tcW w:w="1461" w:type="dxa"/>
            <w:tcBorders>
              <w:top w:val="nil"/>
              <w:left w:val="nil"/>
              <w:bottom w:val="single" w:sz="4" w:space="0" w:color="auto"/>
              <w:right w:val="single" w:sz="4" w:space="0" w:color="auto"/>
            </w:tcBorders>
            <w:noWrap/>
            <w:vAlign w:val="bottom"/>
            <w:hideMark/>
          </w:tcPr>
          <w:p w14:paraId="5C64DA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2 444</w:t>
            </w:r>
          </w:p>
        </w:tc>
        <w:tc>
          <w:tcPr>
            <w:tcW w:w="1080" w:type="dxa"/>
            <w:tcBorders>
              <w:top w:val="nil"/>
              <w:left w:val="nil"/>
              <w:bottom w:val="single" w:sz="4" w:space="0" w:color="auto"/>
              <w:right w:val="single" w:sz="4" w:space="0" w:color="auto"/>
            </w:tcBorders>
            <w:noWrap/>
            <w:vAlign w:val="bottom"/>
            <w:hideMark/>
          </w:tcPr>
          <w:p w14:paraId="241F373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4 732</w:t>
            </w:r>
          </w:p>
        </w:tc>
      </w:tr>
      <w:tr w:rsidR="000C0842" w:rsidRPr="000C0842" w14:paraId="50E929A1" w14:textId="77777777" w:rsidTr="001F32B3">
        <w:tc>
          <w:tcPr>
            <w:tcW w:w="1880" w:type="dxa"/>
            <w:tcBorders>
              <w:top w:val="nil"/>
              <w:left w:val="single" w:sz="4" w:space="0" w:color="auto"/>
              <w:bottom w:val="single" w:sz="4" w:space="0" w:color="auto"/>
              <w:right w:val="single" w:sz="4" w:space="0" w:color="auto"/>
            </w:tcBorders>
            <w:hideMark/>
          </w:tcPr>
          <w:p w14:paraId="62C736C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赤道几内亚</w:t>
            </w:r>
          </w:p>
        </w:tc>
        <w:tc>
          <w:tcPr>
            <w:tcW w:w="1628" w:type="dxa"/>
            <w:tcBorders>
              <w:top w:val="nil"/>
              <w:left w:val="nil"/>
              <w:bottom w:val="single" w:sz="4" w:space="0" w:color="auto"/>
              <w:right w:val="single" w:sz="4" w:space="0" w:color="auto"/>
            </w:tcBorders>
            <w:vAlign w:val="bottom"/>
            <w:hideMark/>
          </w:tcPr>
          <w:p w14:paraId="0F8D2EC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0.012</w:t>
            </w:r>
          </w:p>
        </w:tc>
        <w:tc>
          <w:tcPr>
            <w:tcW w:w="2198" w:type="dxa"/>
            <w:tcBorders>
              <w:top w:val="nil"/>
              <w:left w:val="nil"/>
              <w:bottom w:val="single" w:sz="4" w:space="0" w:color="auto"/>
              <w:right w:val="single" w:sz="4" w:space="0" w:color="auto"/>
            </w:tcBorders>
            <w:noWrap/>
            <w:vAlign w:val="bottom"/>
            <w:hideMark/>
          </w:tcPr>
          <w:p w14:paraId="36489B3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0.015</w:t>
            </w:r>
          </w:p>
        </w:tc>
        <w:tc>
          <w:tcPr>
            <w:tcW w:w="1176" w:type="dxa"/>
            <w:tcBorders>
              <w:top w:val="nil"/>
              <w:left w:val="nil"/>
              <w:bottom w:val="single" w:sz="4" w:space="0" w:color="auto"/>
              <w:right w:val="single" w:sz="4" w:space="0" w:color="auto"/>
            </w:tcBorders>
            <w:noWrap/>
            <w:vAlign w:val="bottom"/>
            <w:hideMark/>
          </w:tcPr>
          <w:p w14:paraId="1A77E1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2 112</w:t>
            </w:r>
          </w:p>
        </w:tc>
        <w:tc>
          <w:tcPr>
            <w:tcW w:w="1461" w:type="dxa"/>
            <w:tcBorders>
              <w:top w:val="nil"/>
              <w:left w:val="nil"/>
              <w:bottom w:val="single" w:sz="4" w:space="0" w:color="auto"/>
              <w:right w:val="single" w:sz="4" w:space="0" w:color="auto"/>
            </w:tcBorders>
            <w:noWrap/>
            <w:vAlign w:val="bottom"/>
            <w:hideMark/>
          </w:tcPr>
          <w:p w14:paraId="0411E4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2 256</w:t>
            </w:r>
          </w:p>
        </w:tc>
        <w:tc>
          <w:tcPr>
            <w:tcW w:w="1080" w:type="dxa"/>
            <w:tcBorders>
              <w:top w:val="nil"/>
              <w:left w:val="nil"/>
              <w:bottom w:val="single" w:sz="4" w:space="0" w:color="auto"/>
              <w:right w:val="single" w:sz="4" w:space="0" w:color="auto"/>
            </w:tcBorders>
            <w:noWrap/>
            <w:vAlign w:val="bottom"/>
            <w:hideMark/>
          </w:tcPr>
          <w:p w14:paraId="3D6E70C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4 368</w:t>
            </w:r>
          </w:p>
        </w:tc>
      </w:tr>
      <w:tr w:rsidR="000C0842" w:rsidRPr="000C0842" w14:paraId="643DF405" w14:textId="77777777" w:rsidTr="001F32B3">
        <w:tc>
          <w:tcPr>
            <w:tcW w:w="1880" w:type="dxa"/>
            <w:tcBorders>
              <w:top w:val="nil"/>
              <w:left w:val="single" w:sz="4" w:space="0" w:color="auto"/>
              <w:bottom w:val="single" w:sz="4" w:space="0" w:color="auto"/>
              <w:right w:val="single" w:sz="4" w:space="0" w:color="auto"/>
            </w:tcBorders>
            <w:hideMark/>
          </w:tcPr>
          <w:p w14:paraId="1BEEED3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厄立特里亚</w:t>
            </w:r>
          </w:p>
        </w:tc>
        <w:tc>
          <w:tcPr>
            <w:tcW w:w="1628" w:type="dxa"/>
            <w:tcBorders>
              <w:top w:val="nil"/>
              <w:left w:val="nil"/>
              <w:bottom w:val="single" w:sz="4" w:space="0" w:color="auto"/>
              <w:right w:val="single" w:sz="4" w:space="0" w:color="auto"/>
            </w:tcBorders>
            <w:vAlign w:val="bottom"/>
            <w:hideMark/>
          </w:tcPr>
          <w:p w14:paraId="380E334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3D16F9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64B32DC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48EF118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680BF7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1559A8EC" w14:textId="77777777" w:rsidTr="001F32B3">
        <w:tc>
          <w:tcPr>
            <w:tcW w:w="1880" w:type="dxa"/>
            <w:tcBorders>
              <w:top w:val="nil"/>
              <w:left w:val="single" w:sz="4" w:space="0" w:color="auto"/>
              <w:bottom w:val="single" w:sz="4" w:space="0" w:color="auto"/>
              <w:right w:val="single" w:sz="4" w:space="0" w:color="auto"/>
            </w:tcBorders>
            <w:hideMark/>
          </w:tcPr>
          <w:p w14:paraId="37C7621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爱沙尼亚</w:t>
            </w:r>
          </w:p>
        </w:tc>
        <w:tc>
          <w:tcPr>
            <w:tcW w:w="1628" w:type="dxa"/>
            <w:tcBorders>
              <w:top w:val="nil"/>
              <w:left w:val="nil"/>
              <w:bottom w:val="single" w:sz="4" w:space="0" w:color="auto"/>
              <w:right w:val="single" w:sz="4" w:space="0" w:color="auto"/>
            </w:tcBorders>
            <w:vAlign w:val="bottom"/>
            <w:hideMark/>
          </w:tcPr>
          <w:p w14:paraId="770A28D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0.044</w:t>
            </w:r>
          </w:p>
        </w:tc>
        <w:tc>
          <w:tcPr>
            <w:tcW w:w="2198" w:type="dxa"/>
            <w:tcBorders>
              <w:top w:val="nil"/>
              <w:left w:val="nil"/>
              <w:bottom w:val="single" w:sz="4" w:space="0" w:color="auto"/>
              <w:right w:val="single" w:sz="4" w:space="0" w:color="auto"/>
            </w:tcBorders>
            <w:noWrap/>
            <w:vAlign w:val="bottom"/>
            <w:hideMark/>
          </w:tcPr>
          <w:p w14:paraId="5BCE04A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0.055</w:t>
            </w:r>
          </w:p>
        </w:tc>
        <w:tc>
          <w:tcPr>
            <w:tcW w:w="1176" w:type="dxa"/>
            <w:tcBorders>
              <w:top w:val="nil"/>
              <w:left w:val="nil"/>
              <w:bottom w:val="single" w:sz="4" w:space="0" w:color="auto"/>
              <w:right w:val="single" w:sz="4" w:space="0" w:color="auto"/>
            </w:tcBorders>
            <w:noWrap/>
            <w:vAlign w:val="bottom"/>
            <w:hideMark/>
          </w:tcPr>
          <w:p w14:paraId="0994F28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7 744</w:t>
            </w:r>
          </w:p>
        </w:tc>
        <w:tc>
          <w:tcPr>
            <w:tcW w:w="1461" w:type="dxa"/>
            <w:tcBorders>
              <w:top w:val="nil"/>
              <w:left w:val="nil"/>
              <w:bottom w:val="single" w:sz="4" w:space="0" w:color="auto"/>
              <w:right w:val="single" w:sz="4" w:space="0" w:color="auto"/>
            </w:tcBorders>
            <w:noWrap/>
            <w:vAlign w:val="bottom"/>
            <w:hideMark/>
          </w:tcPr>
          <w:p w14:paraId="3227FA0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8 274</w:t>
            </w:r>
          </w:p>
        </w:tc>
        <w:tc>
          <w:tcPr>
            <w:tcW w:w="1080" w:type="dxa"/>
            <w:tcBorders>
              <w:top w:val="nil"/>
              <w:left w:val="nil"/>
              <w:bottom w:val="single" w:sz="4" w:space="0" w:color="auto"/>
              <w:right w:val="single" w:sz="4" w:space="0" w:color="auto"/>
            </w:tcBorders>
            <w:noWrap/>
            <w:vAlign w:val="bottom"/>
            <w:hideMark/>
          </w:tcPr>
          <w:p w14:paraId="42B0D7F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16 017</w:t>
            </w:r>
          </w:p>
        </w:tc>
      </w:tr>
      <w:tr w:rsidR="000C0842" w:rsidRPr="000C0842" w14:paraId="5E3BE653" w14:textId="77777777" w:rsidTr="001F32B3">
        <w:tc>
          <w:tcPr>
            <w:tcW w:w="1880" w:type="dxa"/>
            <w:tcBorders>
              <w:top w:val="nil"/>
              <w:left w:val="single" w:sz="4" w:space="0" w:color="auto"/>
              <w:bottom w:val="single" w:sz="4" w:space="0" w:color="auto"/>
              <w:right w:val="single" w:sz="4" w:space="0" w:color="auto"/>
            </w:tcBorders>
            <w:hideMark/>
          </w:tcPr>
          <w:p w14:paraId="2BB2343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斯威士兰</w:t>
            </w:r>
          </w:p>
        </w:tc>
        <w:tc>
          <w:tcPr>
            <w:tcW w:w="1628" w:type="dxa"/>
            <w:tcBorders>
              <w:top w:val="nil"/>
              <w:left w:val="nil"/>
              <w:bottom w:val="single" w:sz="4" w:space="0" w:color="auto"/>
              <w:right w:val="single" w:sz="4" w:space="0" w:color="auto"/>
            </w:tcBorders>
            <w:vAlign w:val="bottom"/>
            <w:hideMark/>
          </w:tcPr>
          <w:p w14:paraId="6E88CFB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11961E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472CB2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18D15A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3289743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29792A60" w14:textId="77777777" w:rsidTr="001F32B3">
        <w:tc>
          <w:tcPr>
            <w:tcW w:w="1880" w:type="dxa"/>
            <w:tcBorders>
              <w:top w:val="nil"/>
              <w:left w:val="single" w:sz="4" w:space="0" w:color="auto"/>
              <w:bottom w:val="single" w:sz="4" w:space="0" w:color="auto"/>
              <w:right w:val="single" w:sz="4" w:space="0" w:color="auto"/>
            </w:tcBorders>
            <w:hideMark/>
          </w:tcPr>
          <w:p w14:paraId="3AFFEC8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埃塞俄比亚</w:t>
            </w:r>
          </w:p>
        </w:tc>
        <w:tc>
          <w:tcPr>
            <w:tcW w:w="1628" w:type="dxa"/>
            <w:tcBorders>
              <w:top w:val="nil"/>
              <w:left w:val="nil"/>
              <w:bottom w:val="single" w:sz="4" w:space="0" w:color="auto"/>
              <w:right w:val="single" w:sz="4" w:space="0" w:color="auto"/>
            </w:tcBorders>
            <w:vAlign w:val="bottom"/>
            <w:hideMark/>
          </w:tcPr>
          <w:p w14:paraId="072199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2F0AFF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53F2BB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22015A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28ED0F8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786C10E9" w14:textId="77777777" w:rsidTr="001F32B3">
        <w:tc>
          <w:tcPr>
            <w:tcW w:w="1880" w:type="dxa"/>
            <w:tcBorders>
              <w:top w:val="nil"/>
              <w:left w:val="single" w:sz="4" w:space="0" w:color="auto"/>
              <w:bottom w:val="single" w:sz="4" w:space="0" w:color="auto"/>
              <w:right w:val="single" w:sz="4" w:space="0" w:color="auto"/>
            </w:tcBorders>
            <w:hideMark/>
          </w:tcPr>
          <w:p w14:paraId="285B5C2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欧洲联盟</w:t>
            </w:r>
          </w:p>
        </w:tc>
        <w:tc>
          <w:tcPr>
            <w:tcW w:w="1628" w:type="dxa"/>
            <w:tcBorders>
              <w:top w:val="nil"/>
              <w:left w:val="nil"/>
              <w:bottom w:val="single" w:sz="4" w:space="0" w:color="auto"/>
              <w:right w:val="single" w:sz="4" w:space="0" w:color="auto"/>
            </w:tcBorders>
            <w:vAlign w:val="bottom"/>
            <w:hideMark/>
          </w:tcPr>
          <w:p w14:paraId="53EBDFC5" w14:textId="77777777" w:rsidR="00A528CF" w:rsidRPr="000C0842" w:rsidRDefault="00A528CF" w:rsidP="00A528CF">
            <w:pPr>
              <w:tabs>
                <w:tab w:val="left" w:pos="2835"/>
                <w:tab w:val="left" w:pos="3402"/>
              </w:tabs>
              <w:jc w:val="right"/>
              <w:rPr>
                <w:rFonts w:eastAsia="SimSun"/>
                <w:sz w:val="18"/>
                <w:szCs w:val="18"/>
                <w:lang w:val="en-GB"/>
              </w:rPr>
            </w:pPr>
          </w:p>
        </w:tc>
        <w:tc>
          <w:tcPr>
            <w:tcW w:w="2198" w:type="dxa"/>
            <w:tcBorders>
              <w:top w:val="nil"/>
              <w:left w:val="nil"/>
              <w:bottom w:val="single" w:sz="4" w:space="0" w:color="auto"/>
              <w:right w:val="single" w:sz="4" w:space="0" w:color="auto"/>
            </w:tcBorders>
            <w:noWrap/>
            <w:vAlign w:val="bottom"/>
            <w:hideMark/>
          </w:tcPr>
          <w:p w14:paraId="1AF475F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2.500</w:t>
            </w:r>
          </w:p>
        </w:tc>
        <w:tc>
          <w:tcPr>
            <w:tcW w:w="1176" w:type="dxa"/>
            <w:tcBorders>
              <w:top w:val="nil"/>
              <w:left w:val="nil"/>
              <w:bottom w:val="single" w:sz="4" w:space="0" w:color="auto"/>
              <w:right w:val="single" w:sz="4" w:space="0" w:color="auto"/>
            </w:tcBorders>
            <w:noWrap/>
            <w:vAlign w:val="bottom"/>
            <w:hideMark/>
          </w:tcPr>
          <w:p w14:paraId="2F5E3FB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351 966</w:t>
            </w:r>
          </w:p>
        </w:tc>
        <w:tc>
          <w:tcPr>
            <w:tcW w:w="1461" w:type="dxa"/>
            <w:tcBorders>
              <w:top w:val="nil"/>
              <w:left w:val="nil"/>
              <w:bottom w:val="single" w:sz="4" w:space="0" w:color="auto"/>
              <w:right w:val="single" w:sz="4" w:space="0" w:color="auto"/>
            </w:tcBorders>
            <w:noWrap/>
            <w:vAlign w:val="bottom"/>
            <w:hideMark/>
          </w:tcPr>
          <w:p w14:paraId="4DBE8DF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376 049</w:t>
            </w:r>
          </w:p>
        </w:tc>
        <w:tc>
          <w:tcPr>
            <w:tcW w:w="1080" w:type="dxa"/>
            <w:tcBorders>
              <w:top w:val="nil"/>
              <w:left w:val="nil"/>
              <w:bottom w:val="single" w:sz="4" w:space="0" w:color="auto"/>
              <w:right w:val="single" w:sz="4" w:space="0" w:color="auto"/>
            </w:tcBorders>
            <w:noWrap/>
            <w:vAlign w:val="bottom"/>
            <w:hideMark/>
          </w:tcPr>
          <w:p w14:paraId="225A2C8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728 015</w:t>
            </w:r>
          </w:p>
        </w:tc>
      </w:tr>
      <w:tr w:rsidR="000C0842" w:rsidRPr="000C0842" w14:paraId="148FAF19" w14:textId="77777777" w:rsidTr="001F32B3">
        <w:tc>
          <w:tcPr>
            <w:tcW w:w="1880" w:type="dxa"/>
            <w:tcBorders>
              <w:top w:val="nil"/>
              <w:left w:val="single" w:sz="4" w:space="0" w:color="auto"/>
              <w:bottom w:val="single" w:sz="4" w:space="0" w:color="auto"/>
              <w:right w:val="single" w:sz="4" w:space="0" w:color="auto"/>
            </w:tcBorders>
            <w:hideMark/>
          </w:tcPr>
          <w:p w14:paraId="64D1A5D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斐济</w:t>
            </w:r>
          </w:p>
        </w:tc>
        <w:tc>
          <w:tcPr>
            <w:tcW w:w="1628" w:type="dxa"/>
            <w:tcBorders>
              <w:top w:val="nil"/>
              <w:left w:val="nil"/>
              <w:bottom w:val="single" w:sz="4" w:space="0" w:color="auto"/>
              <w:right w:val="single" w:sz="4" w:space="0" w:color="auto"/>
            </w:tcBorders>
            <w:vAlign w:val="bottom"/>
            <w:hideMark/>
          </w:tcPr>
          <w:p w14:paraId="59D50CC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5D5884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27E91AF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34BBE9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2802F57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7C4364E1" w14:textId="77777777" w:rsidTr="001F32B3">
        <w:tc>
          <w:tcPr>
            <w:tcW w:w="1880" w:type="dxa"/>
            <w:tcBorders>
              <w:top w:val="nil"/>
              <w:left w:val="single" w:sz="4" w:space="0" w:color="auto"/>
              <w:bottom w:val="single" w:sz="4" w:space="0" w:color="auto"/>
              <w:right w:val="single" w:sz="4" w:space="0" w:color="auto"/>
            </w:tcBorders>
            <w:hideMark/>
          </w:tcPr>
          <w:p w14:paraId="673D15E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芬兰</w:t>
            </w:r>
          </w:p>
        </w:tc>
        <w:tc>
          <w:tcPr>
            <w:tcW w:w="1628" w:type="dxa"/>
            <w:tcBorders>
              <w:top w:val="nil"/>
              <w:left w:val="nil"/>
              <w:bottom w:val="single" w:sz="4" w:space="0" w:color="auto"/>
              <w:right w:val="single" w:sz="4" w:space="0" w:color="auto"/>
            </w:tcBorders>
            <w:vAlign w:val="bottom"/>
            <w:hideMark/>
          </w:tcPr>
          <w:p w14:paraId="2D7DB46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0.417</w:t>
            </w:r>
          </w:p>
        </w:tc>
        <w:tc>
          <w:tcPr>
            <w:tcW w:w="2198" w:type="dxa"/>
            <w:tcBorders>
              <w:top w:val="nil"/>
              <w:left w:val="nil"/>
              <w:bottom w:val="single" w:sz="4" w:space="0" w:color="auto"/>
              <w:right w:val="single" w:sz="4" w:space="0" w:color="auto"/>
            </w:tcBorders>
            <w:noWrap/>
            <w:vAlign w:val="bottom"/>
            <w:hideMark/>
          </w:tcPr>
          <w:p w14:paraId="4A7FA95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0.521</w:t>
            </w:r>
          </w:p>
        </w:tc>
        <w:tc>
          <w:tcPr>
            <w:tcW w:w="1176" w:type="dxa"/>
            <w:tcBorders>
              <w:top w:val="nil"/>
              <w:left w:val="nil"/>
              <w:bottom w:val="single" w:sz="4" w:space="0" w:color="auto"/>
              <w:right w:val="single" w:sz="4" w:space="0" w:color="auto"/>
            </w:tcBorders>
            <w:noWrap/>
            <w:vAlign w:val="bottom"/>
            <w:hideMark/>
          </w:tcPr>
          <w:p w14:paraId="1E8F5B9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73 390</w:t>
            </w:r>
          </w:p>
        </w:tc>
        <w:tc>
          <w:tcPr>
            <w:tcW w:w="1461" w:type="dxa"/>
            <w:tcBorders>
              <w:top w:val="nil"/>
              <w:left w:val="nil"/>
              <w:bottom w:val="single" w:sz="4" w:space="0" w:color="auto"/>
              <w:right w:val="single" w:sz="4" w:space="0" w:color="auto"/>
            </w:tcBorders>
            <w:noWrap/>
            <w:vAlign w:val="bottom"/>
            <w:hideMark/>
          </w:tcPr>
          <w:p w14:paraId="7CB9C7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78 411</w:t>
            </w:r>
          </w:p>
        </w:tc>
        <w:tc>
          <w:tcPr>
            <w:tcW w:w="1080" w:type="dxa"/>
            <w:tcBorders>
              <w:top w:val="nil"/>
              <w:left w:val="nil"/>
              <w:bottom w:val="single" w:sz="4" w:space="0" w:color="auto"/>
              <w:right w:val="single" w:sz="4" w:space="0" w:color="auto"/>
            </w:tcBorders>
            <w:noWrap/>
            <w:vAlign w:val="bottom"/>
            <w:hideMark/>
          </w:tcPr>
          <w:p w14:paraId="7E3617F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151 801</w:t>
            </w:r>
          </w:p>
        </w:tc>
      </w:tr>
      <w:tr w:rsidR="000C0842" w:rsidRPr="000C0842" w14:paraId="16BA363F" w14:textId="77777777" w:rsidTr="001F32B3">
        <w:tc>
          <w:tcPr>
            <w:tcW w:w="1880" w:type="dxa"/>
            <w:tcBorders>
              <w:top w:val="nil"/>
              <w:left w:val="single" w:sz="4" w:space="0" w:color="auto"/>
              <w:bottom w:val="single" w:sz="4" w:space="0" w:color="auto"/>
              <w:right w:val="single" w:sz="4" w:space="0" w:color="auto"/>
            </w:tcBorders>
            <w:hideMark/>
          </w:tcPr>
          <w:p w14:paraId="4082047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法国</w:t>
            </w:r>
          </w:p>
        </w:tc>
        <w:tc>
          <w:tcPr>
            <w:tcW w:w="1628" w:type="dxa"/>
            <w:tcBorders>
              <w:top w:val="nil"/>
              <w:left w:val="nil"/>
              <w:bottom w:val="single" w:sz="4" w:space="0" w:color="auto"/>
              <w:right w:val="single" w:sz="4" w:space="0" w:color="auto"/>
            </w:tcBorders>
            <w:vAlign w:val="bottom"/>
            <w:hideMark/>
          </w:tcPr>
          <w:p w14:paraId="56F17B3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4.318</w:t>
            </w:r>
          </w:p>
        </w:tc>
        <w:tc>
          <w:tcPr>
            <w:tcW w:w="2198" w:type="dxa"/>
            <w:tcBorders>
              <w:top w:val="nil"/>
              <w:left w:val="nil"/>
              <w:bottom w:val="single" w:sz="4" w:space="0" w:color="auto"/>
              <w:right w:val="single" w:sz="4" w:space="0" w:color="auto"/>
            </w:tcBorders>
            <w:noWrap/>
            <w:vAlign w:val="bottom"/>
            <w:hideMark/>
          </w:tcPr>
          <w:p w14:paraId="09115C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5.398</w:t>
            </w:r>
          </w:p>
        </w:tc>
        <w:tc>
          <w:tcPr>
            <w:tcW w:w="1176" w:type="dxa"/>
            <w:tcBorders>
              <w:top w:val="nil"/>
              <w:left w:val="nil"/>
              <w:bottom w:val="single" w:sz="4" w:space="0" w:color="auto"/>
              <w:right w:val="single" w:sz="4" w:space="0" w:color="auto"/>
            </w:tcBorders>
            <w:noWrap/>
            <w:vAlign w:val="bottom"/>
            <w:hideMark/>
          </w:tcPr>
          <w:p w14:paraId="7A25D4E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759 944</w:t>
            </w:r>
          </w:p>
        </w:tc>
        <w:tc>
          <w:tcPr>
            <w:tcW w:w="1461" w:type="dxa"/>
            <w:tcBorders>
              <w:top w:val="nil"/>
              <w:left w:val="nil"/>
              <w:bottom w:val="single" w:sz="4" w:space="0" w:color="auto"/>
              <w:right w:val="single" w:sz="4" w:space="0" w:color="auto"/>
            </w:tcBorders>
            <w:noWrap/>
            <w:vAlign w:val="bottom"/>
            <w:hideMark/>
          </w:tcPr>
          <w:p w14:paraId="186634C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811 942</w:t>
            </w:r>
          </w:p>
        </w:tc>
        <w:tc>
          <w:tcPr>
            <w:tcW w:w="1080" w:type="dxa"/>
            <w:tcBorders>
              <w:top w:val="nil"/>
              <w:left w:val="nil"/>
              <w:bottom w:val="single" w:sz="4" w:space="0" w:color="auto"/>
              <w:right w:val="single" w:sz="4" w:space="0" w:color="auto"/>
            </w:tcBorders>
            <w:noWrap/>
            <w:vAlign w:val="bottom"/>
            <w:hideMark/>
          </w:tcPr>
          <w:p w14:paraId="2402B3D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1 571 886</w:t>
            </w:r>
          </w:p>
        </w:tc>
      </w:tr>
      <w:tr w:rsidR="000C0842" w:rsidRPr="000C0842" w14:paraId="7D79B2F4" w14:textId="77777777" w:rsidTr="001F32B3">
        <w:tc>
          <w:tcPr>
            <w:tcW w:w="1880" w:type="dxa"/>
            <w:tcBorders>
              <w:top w:val="nil"/>
              <w:left w:val="single" w:sz="4" w:space="0" w:color="auto"/>
              <w:bottom w:val="single" w:sz="4" w:space="0" w:color="auto"/>
              <w:right w:val="single" w:sz="4" w:space="0" w:color="auto"/>
            </w:tcBorders>
            <w:hideMark/>
          </w:tcPr>
          <w:p w14:paraId="00BFBB0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加蓬</w:t>
            </w:r>
          </w:p>
        </w:tc>
        <w:tc>
          <w:tcPr>
            <w:tcW w:w="1628" w:type="dxa"/>
            <w:tcBorders>
              <w:top w:val="nil"/>
              <w:left w:val="nil"/>
              <w:bottom w:val="single" w:sz="4" w:space="0" w:color="auto"/>
              <w:right w:val="single" w:sz="4" w:space="0" w:color="auto"/>
            </w:tcBorders>
            <w:vAlign w:val="bottom"/>
            <w:hideMark/>
          </w:tcPr>
          <w:p w14:paraId="5676882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0.013</w:t>
            </w:r>
          </w:p>
        </w:tc>
        <w:tc>
          <w:tcPr>
            <w:tcW w:w="2198" w:type="dxa"/>
            <w:tcBorders>
              <w:top w:val="nil"/>
              <w:left w:val="nil"/>
              <w:bottom w:val="single" w:sz="4" w:space="0" w:color="auto"/>
              <w:right w:val="single" w:sz="4" w:space="0" w:color="auto"/>
            </w:tcBorders>
            <w:noWrap/>
            <w:vAlign w:val="bottom"/>
            <w:hideMark/>
          </w:tcPr>
          <w:p w14:paraId="1C51479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0.016</w:t>
            </w:r>
          </w:p>
        </w:tc>
        <w:tc>
          <w:tcPr>
            <w:tcW w:w="1176" w:type="dxa"/>
            <w:tcBorders>
              <w:top w:val="nil"/>
              <w:left w:val="nil"/>
              <w:bottom w:val="single" w:sz="4" w:space="0" w:color="auto"/>
              <w:right w:val="single" w:sz="4" w:space="0" w:color="auto"/>
            </w:tcBorders>
            <w:noWrap/>
            <w:vAlign w:val="bottom"/>
            <w:hideMark/>
          </w:tcPr>
          <w:p w14:paraId="753507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2 288</w:t>
            </w:r>
          </w:p>
        </w:tc>
        <w:tc>
          <w:tcPr>
            <w:tcW w:w="1461" w:type="dxa"/>
            <w:tcBorders>
              <w:top w:val="nil"/>
              <w:left w:val="nil"/>
              <w:bottom w:val="single" w:sz="4" w:space="0" w:color="auto"/>
              <w:right w:val="single" w:sz="4" w:space="0" w:color="auto"/>
            </w:tcBorders>
            <w:noWrap/>
            <w:vAlign w:val="bottom"/>
            <w:hideMark/>
          </w:tcPr>
          <w:p w14:paraId="0E5AC1A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2 444</w:t>
            </w:r>
          </w:p>
        </w:tc>
        <w:tc>
          <w:tcPr>
            <w:tcW w:w="1080" w:type="dxa"/>
            <w:tcBorders>
              <w:top w:val="nil"/>
              <w:left w:val="nil"/>
              <w:bottom w:val="single" w:sz="4" w:space="0" w:color="auto"/>
              <w:right w:val="single" w:sz="4" w:space="0" w:color="auto"/>
            </w:tcBorders>
            <w:noWrap/>
            <w:vAlign w:val="bottom"/>
            <w:hideMark/>
          </w:tcPr>
          <w:p w14:paraId="4AC4DDB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4 732</w:t>
            </w:r>
          </w:p>
        </w:tc>
      </w:tr>
      <w:tr w:rsidR="000C0842" w:rsidRPr="000C0842" w14:paraId="6C5E13F0" w14:textId="77777777" w:rsidTr="001F32B3">
        <w:tc>
          <w:tcPr>
            <w:tcW w:w="1880" w:type="dxa"/>
            <w:tcBorders>
              <w:top w:val="nil"/>
              <w:left w:val="single" w:sz="4" w:space="0" w:color="auto"/>
              <w:bottom w:val="single" w:sz="4" w:space="0" w:color="auto"/>
              <w:right w:val="single" w:sz="4" w:space="0" w:color="auto"/>
            </w:tcBorders>
            <w:hideMark/>
          </w:tcPr>
          <w:p w14:paraId="40D32AC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冈比亚</w:t>
            </w:r>
          </w:p>
        </w:tc>
        <w:tc>
          <w:tcPr>
            <w:tcW w:w="1628" w:type="dxa"/>
            <w:tcBorders>
              <w:top w:val="nil"/>
              <w:left w:val="nil"/>
              <w:bottom w:val="single" w:sz="4" w:space="0" w:color="auto"/>
              <w:right w:val="single" w:sz="4" w:space="0" w:color="auto"/>
            </w:tcBorders>
            <w:vAlign w:val="bottom"/>
            <w:hideMark/>
          </w:tcPr>
          <w:p w14:paraId="001E1DE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E6D93B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6CC9805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094C96A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A3CDFA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092A23E2" w14:textId="77777777" w:rsidTr="001F32B3">
        <w:tc>
          <w:tcPr>
            <w:tcW w:w="1880" w:type="dxa"/>
            <w:tcBorders>
              <w:top w:val="nil"/>
              <w:left w:val="single" w:sz="4" w:space="0" w:color="auto"/>
              <w:bottom w:val="single" w:sz="4" w:space="0" w:color="auto"/>
              <w:right w:val="single" w:sz="4" w:space="0" w:color="auto"/>
            </w:tcBorders>
            <w:hideMark/>
          </w:tcPr>
          <w:p w14:paraId="702FD67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格鲁吉亚</w:t>
            </w:r>
          </w:p>
        </w:tc>
        <w:tc>
          <w:tcPr>
            <w:tcW w:w="1628" w:type="dxa"/>
            <w:tcBorders>
              <w:top w:val="nil"/>
              <w:left w:val="nil"/>
              <w:bottom w:val="single" w:sz="4" w:space="0" w:color="auto"/>
              <w:right w:val="single" w:sz="4" w:space="0" w:color="auto"/>
            </w:tcBorders>
            <w:vAlign w:val="bottom"/>
            <w:hideMark/>
          </w:tcPr>
          <w:p w14:paraId="7642C1C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7A1104E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79F6C7E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0B5F874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6AD504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19FE51E0" w14:textId="77777777" w:rsidTr="001F32B3">
        <w:tc>
          <w:tcPr>
            <w:tcW w:w="1880" w:type="dxa"/>
            <w:tcBorders>
              <w:top w:val="nil"/>
              <w:left w:val="single" w:sz="4" w:space="0" w:color="auto"/>
              <w:bottom w:val="single" w:sz="4" w:space="0" w:color="auto"/>
              <w:right w:val="single" w:sz="4" w:space="0" w:color="auto"/>
            </w:tcBorders>
            <w:hideMark/>
          </w:tcPr>
          <w:p w14:paraId="30AF424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德国</w:t>
            </w:r>
          </w:p>
        </w:tc>
        <w:tc>
          <w:tcPr>
            <w:tcW w:w="1628" w:type="dxa"/>
            <w:tcBorders>
              <w:top w:val="nil"/>
              <w:left w:val="nil"/>
              <w:bottom w:val="single" w:sz="4" w:space="0" w:color="auto"/>
              <w:right w:val="single" w:sz="4" w:space="0" w:color="auto"/>
            </w:tcBorders>
            <w:vAlign w:val="bottom"/>
            <w:hideMark/>
          </w:tcPr>
          <w:p w14:paraId="4E8EB24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6.111</w:t>
            </w:r>
          </w:p>
        </w:tc>
        <w:tc>
          <w:tcPr>
            <w:tcW w:w="2198" w:type="dxa"/>
            <w:tcBorders>
              <w:top w:val="nil"/>
              <w:left w:val="nil"/>
              <w:bottom w:val="single" w:sz="4" w:space="0" w:color="auto"/>
              <w:right w:val="single" w:sz="4" w:space="0" w:color="auto"/>
            </w:tcBorders>
            <w:noWrap/>
            <w:vAlign w:val="bottom"/>
            <w:hideMark/>
          </w:tcPr>
          <w:p w14:paraId="535B0E4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7.639</w:t>
            </w:r>
          </w:p>
        </w:tc>
        <w:tc>
          <w:tcPr>
            <w:tcW w:w="1176" w:type="dxa"/>
            <w:tcBorders>
              <w:top w:val="nil"/>
              <w:left w:val="nil"/>
              <w:bottom w:val="single" w:sz="4" w:space="0" w:color="auto"/>
              <w:right w:val="single" w:sz="4" w:space="0" w:color="auto"/>
            </w:tcBorders>
            <w:noWrap/>
            <w:vAlign w:val="bottom"/>
            <w:hideMark/>
          </w:tcPr>
          <w:p w14:paraId="673EF57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1 075 502</w:t>
            </w:r>
          </w:p>
        </w:tc>
        <w:tc>
          <w:tcPr>
            <w:tcW w:w="1461" w:type="dxa"/>
            <w:tcBorders>
              <w:top w:val="nil"/>
              <w:left w:val="nil"/>
              <w:bottom w:val="single" w:sz="4" w:space="0" w:color="auto"/>
              <w:right w:val="single" w:sz="4" w:space="0" w:color="auto"/>
            </w:tcBorders>
            <w:noWrap/>
            <w:vAlign w:val="bottom"/>
            <w:hideMark/>
          </w:tcPr>
          <w:p w14:paraId="755B70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1 149 091</w:t>
            </w:r>
          </w:p>
        </w:tc>
        <w:tc>
          <w:tcPr>
            <w:tcW w:w="1080" w:type="dxa"/>
            <w:tcBorders>
              <w:top w:val="nil"/>
              <w:left w:val="nil"/>
              <w:bottom w:val="single" w:sz="4" w:space="0" w:color="auto"/>
              <w:right w:val="single" w:sz="4" w:space="0" w:color="auto"/>
            </w:tcBorders>
            <w:noWrap/>
            <w:vAlign w:val="bottom"/>
            <w:hideMark/>
          </w:tcPr>
          <w:p w14:paraId="4FF8E1E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2 224 593</w:t>
            </w:r>
          </w:p>
        </w:tc>
      </w:tr>
      <w:tr w:rsidR="000C0842" w:rsidRPr="000C0842" w14:paraId="5ABE0429" w14:textId="77777777" w:rsidTr="001F32B3">
        <w:tc>
          <w:tcPr>
            <w:tcW w:w="1880" w:type="dxa"/>
            <w:tcBorders>
              <w:top w:val="nil"/>
              <w:left w:val="single" w:sz="4" w:space="0" w:color="auto"/>
              <w:bottom w:val="single" w:sz="4" w:space="0" w:color="auto"/>
              <w:right w:val="single" w:sz="4" w:space="0" w:color="auto"/>
            </w:tcBorders>
            <w:hideMark/>
          </w:tcPr>
          <w:p w14:paraId="4C97CFB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加纳</w:t>
            </w:r>
          </w:p>
        </w:tc>
        <w:tc>
          <w:tcPr>
            <w:tcW w:w="1628" w:type="dxa"/>
            <w:tcBorders>
              <w:top w:val="nil"/>
              <w:left w:val="nil"/>
              <w:bottom w:val="single" w:sz="4" w:space="0" w:color="auto"/>
              <w:right w:val="single" w:sz="4" w:space="0" w:color="auto"/>
            </w:tcBorders>
            <w:vAlign w:val="bottom"/>
            <w:hideMark/>
          </w:tcPr>
          <w:p w14:paraId="7709B64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2198" w:type="dxa"/>
            <w:tcBorders>
              <w:top w:val="nil"/>
              <w:left w:val="nil"/>
              <w:bottom w:val="single" w:sz="4" w:space="0" w:color="auto"/>
              <w:right w:val="single" w:sz="4" w:space="0" w:color="auto"/>
            </w:tcBorders>
            <w:noWrap/>
            <w:vAlign w:val="bottom"/>
            <w:hideMark/>
          </w:tcPr>
          <w:p w14:paraId="4AA22D6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0.030</w:t>
            </w:r>
          </w:p>
        </w:tc>
        <w:tc>
          <w:tcPr>
            <w:tcW w:w="1176" w:type="dxa"/>
            <w:tcBorders>
              <w:top w:val="nil"/>
              <w:left w:val="nil"/>
              <w:bottom w:val="single" w:sz="4" w:space="0" w:color="auto"/>
              <w:right w:val="single" w:sz="4" w:space="0" w:color="auto"/>
            </w:tcBorders>
            <w:noWrap/>
            <w:vAlign w:val="bottom"/>
            <w:hideMark/>
          </w:tcPr>
          <w:p w14:paraId="4AB505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4 224</w:t>
            </w:r>
          </w:p>
        </w:tc>
        <w:tc>
          <w:tcPr>
            <w:tcW w:w="1461" w:type="dxa"/>
            <w:tcBorders>
              <w:top w:val="nil"/>
              <w:left w:val="nil"/>
              <w:bottom w:val="single" w:sz="4" w:space="0" w:color="auto"/>
              <w:right w:val="single" w:sz="4" w:space="0" w:color="auto"/>
            </w:tcBorders>
            <w:noWrap/>
            <w:vAlign w:val="bottom"/>
            <w:hideMark/>
          </w:tcPr>
          <w:p w14:paraId="1DAAE3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4 513</w:t>
            </w:r>
          </w:p>
        </w:tc>
        <w:tc>
          <w:tcPr>
            <w:tcW w:w="1080" w:type="dxa"/>
            <w:tcBorders>
              <w:top w:val="nil"/>
              <w:left w:val="nil"/>
              <w:bottom w:val="single" w:sz="4" w:space="0" w:color="auto"/>
              <w:right w:val="single" w:sz="4" w:space="0" w:color="auto"/>
            </w:tcBorders>
            <w:noWrap/>
            <w:vAlign w:val="bottom"/>
            <w:hideMark/>
          </w:tcPr>
          <w:p w14:paraId="3FF5FB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8 737</w:t>
            </w:r>
          </w:p>
        </w:tc>
      </w:tr>
      <w:tr w:rsidR="000C0842" w:rsidRPr="000C0842" w14:paraId="564C3610" w14:textId="77777777" w:rsidTr="001F32B3">
        <w:tc>
          <w:tcPr>
            <w:tcW w:w="1880" w:type="dxa"/>
            <w:tcBorders>
              <w:top w:val="nil"/>
              <w:left w:val="single" w:sz="4" w:space="0" w:color="auto"/>
              <w:bottom w:val="single" w:sz="4" w:space="0" w:color="auto"/>
              <w:right w:val="single" w:sz="4" w:space="0" w:color="auto"/>
            </w:tcBorders>
            <w:hideMark/>
          </w:tcPr>
          <w:p w14:paraId="46B28E9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希腊</w:t>
            </w:r>
          </w:p>
        </w:tc>
        <w:tc>
          <w:tcPr>
            <w:tcW w:w="1628" w:type="dxa"/>
            <w:tcBorders>
              <w:top w:val="nil"/>
              <w:left w:val="nil"/>
              <w:bottom w:val="single" w:sz="4" w:space="0" w:color="auto"/>
              <w:right w:val="single" w:sz="4" w:space="0" w:color="auto"/>
            </w:tcBorders>
            <w:vAlign w:val="bottom"/>
            <w:hideMark/>
          </w:tcPr>
          <w:p w14:paraId="4B15B7D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0.325</w:t>
            </w:r>
          </w:p>
        </w:tc>
        <w:tc>
          <w:tcPr>
            <w:tcW w:w="2198" w:type="dxa"/>
            <w:tcBorders>
              <w:top w:val="nil"/>
              <w:left w:val="nil"/>
              <w:bottom w:val="single" w:sz="4" w:space="0" w:color="auto"/>
              <w:right w:val="single" w:sz="4" w:space="0" w:color="auto"/>
            </w:tcBorders>
            <w:noWrap/>
            <w:vAlign w:val="bottom"/>
            <w:hideMark/>
          </w:tcPr>
          <w:p w14:paraId="1B3B4DD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0.406</w:t>
            </w:r>
          </w:p>
        </w:tc>
        <w:tc>
          <w:tcPr>
            <w:tcW w:w="1176" w:type="dxa"/>
            <w:tcBorders>
              <w:top w:val="nil"/>
              <w:left w:val="nil"/>
              <w:bottom w:val="single" w:sz="4" w:space="0" w:color="auto"/>
              <w:right w:val="single" w:sz="4" w:space="0" w:color="auto"/>
            </w:tcBorders>
            <w:noWrap/>
            <w:vAlign w:val="bottom"/>
            <w:hideMark/>
          </w:tcPr>
          <w:p w14:paraId="4D24E4B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57 198</w:t>
            </w:r>
          </w:p>
        </w:tc>
        <w:tc>
          <w:tcPr>
            <w:tcW w:w="1461" w:type="dxa"/>
            <w:tcBorders>
              <w:top w:val="nil"/>
              <w:left w:val="nil"/>
              <w:bottom w:val="single" w:sz="4" w:space="0" w:color="auto"/>
              <w:right w:val="single" w:sz="4" w:space="0" w:color="auto"/>
            </w:tcBorders>
            <w:noWrap/>
            <w:vAlign w:val="bottom"/>
            <w:hideMark/>
          </w:tcPr>
          <w:p w14:paraId="1B6693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61 112</w:t>
            </w:r>
          </w:p>
        </w:tc>
        <w:tc>
          <w:tcPr>
            <w:tcW w:w="1080" w:type="dxa"/>
            <w:tcBorders>
              <w:top w:val="nil"/>
              <w:left w:val="nil"/>
              <w:bottom w:val="single" w:sz="4" w:space="0" w:color="auto"/>
              <w:right w:val="single" w:sz="4" w:space="0" w:color="auto"/>
            </w:tcBorders>
            <w:noWrap/>
            <w:vAlign w:val="bottom"/>
            <w:hideMark/>
          </w:tcPr>
          <w:p w14:paraId="4933763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118 310</w:t>
            </w:r>
          </w:p>
        </w:tc>
      </w:tr>
      <w:tr w:rsidR="000C0842" w:rsidRPr="000C0842" w14:paraId="46A7270D" w14:textId="77777777" w:rsidTr="001F32B3">
        <w:tc>
          <w:tcPr>
            <w:tcW w:w="1880" w:type="dxa"/>
            <w:tcBorders>
              <w:top w:val="nil"/>
              <w:left w:val="single" w:sz="4" w:space="0" w:color="auto"/>
              <w:bottom w:val="single" w:sz="4" w:space="0" w:color="auto"/>
              <w:right w:val="single" w:sz="4" w:space="0" w:color="auto"/>
            </w:tcBorders>
            <w:hideMark/>
          </w:tcPr>
          <w:p w14:paraId="44C2E23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格林纳达</w:t>
            </w:r>
          </w:p>
        </w:tc>
        <w:tc>
          <w:tcPr>
            <w:tcW w:w="1628" w:type="dxa"/>
            <w:tcBorders>
              <w:top w:val="nil"/>
              <w:left w:val="nil"/>
              <w:bottom w:val="single" w:sz="4" w:space="0" w:color="auto"/>
              <w:right w:val="single" w:sz="4" w:space="0" w:color="auto"/>
            </w:tcBorders>
            <w:vAlign w:val="bottom"/>
            <w:hideMark/>
          </w:tcPr>
          <w:p w14:paraId="036D797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9D91B5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8FA243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6F4CC6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F69BDE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47FB3904" w14:textId="77777777" w:rsidTr="001F32B3">
        <w:tc>
          <w:tcPr>
            <w:tcW w:w="1880" w:type="dxa"/>
            <w:tcBorders>
              <w:top w:val="nil"/>
              <w:left w:val="single" w:sz="4" w:space="0" w:color="auto"/>
              <w:bottom w:val="single" w:sz="4" w:space="0" w:color="auto"/>
              <w:right w:val="single" w:sz="4" w:space="0" w:color="auto"/>
            </w:tcBorders>
            <w:hideMark/>
          </w:tcPr>
          <w:p w14:paraId="1591F95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危地马拉</w:t>
            </w:r>
          </w:p>
        </w:tc>
        <w:tc>
          <w:tcPr>
            <w:tcW w:w="1628" w:type="dxa"/>
            <w:tcBorders>
              <w:top w:val="nil"/>
              <w:left w:val="nil"/>
              <w:bottom w:val="single" w:sz="4" w:space="0" w:color="auto"/>
              <w:right w:val="single" w:sz="4" w:space="0" w:color="auto"/>
            </w:tcBorders>
            <w:vAlign w:val="bottom"/>
            <w:hideMark/>
          </w:tcPr>
          <w:p w14:paraId="1C181D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0.041</w:t>
            </w:r>
          </w:p>
        </w:tc>
        <w:tc>
          <w:tcPr>
            <w:tcW w:w="2198" w:type="dxa"/>
            <w:tcBorders>
              <w:top w:val="nil"/>
              <w:left w:val="nil"/>
              <w:bottom w:val="single" w:sz="4" w:space="0" w:color="auto"/>
              <w:right w:val="single" w:sz="4" w:space="0" w:color="auto"/>
            </w:tcBorders>
            <w:noWrap/>
            <w:vAlign w:val="bottom"/>
            <w:hideMark/>
          </w:tcPr>
          <w:p w14:paraId="643F2A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0.051</w:t>
            </w:r>
          </w:p>
        </w:tc>
        <w:tc>
          <w:tcPr>
            <w:tcW w:w="1176" w:type="dxa"/>
            <w:tcBorders>
              <w:top w:val="nil"/>
              <w:left w:val="nil"/>
              <w:bottom w:val="single" w:sz="4" w:space="0" w:color="auto"/>
              <w:right w:val="single" w:sz="4" w:space="0" w:color="auto"/>
            </w:tcBorders>
            <w:noWrap/>
            <w:vAlign w:val="bottom"/>
            <w:hideMark/>
          </w:tcPr>
          <w:p w14:paraId="6647164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7 216</w:t>
            </w:r>
          </w:p>
        </w:tc>
        <w:tc>
          <w:tcPr>
            <w:tcW w:w="1461" w:type="dxa"/>
            <w:tcBorders>
              <w:top w:val="nil"/>
              <w:left w:val="nil"/>
              <w:bottom w:val="single" w:sz="4" w:space="0" w:color="auto"/>
              <w:right w:val="single" w:sz="4" w:space="0" w:color="auto"/>
            </w:tcBorders>
            <w:noWrap/>
            <w:vAlign w:val="bottom"/>
            <w:hideMark/>
          </w:tcPr>
          <w:p w14:paraId="502E8C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7 709</w:t>
            </w:r>
          </w:p>
        </w:tc>
        <w:tc>
          <w:tcPr>
            <w:tcW w:w="1080" w:type="dxa"/>
            <w:tcBorders>
              <w:top w:val="nil"/>
              <w:left w:val="nil"/>
              <w:bottom w:val="single" w:sz="4" w:space="0" w:color="auto"/>
              <w:right w:val="single" w:sz="4" w:space="0" w:color="auto"/>
            </w:tcBorders>
            <w:noWrap/>
            <w:vAlign w:val="bottom"/>
            <w:hideMark/>
          </w:tcPr>
          <w:p w14:paraId="24C22B1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14 925</w:t>
            </w:r>
          </w:p>
        </w:tc>
      </w:tr>
      <w:tr w:rsidR="000C0842" w:rsidRPr="000C0842" w14:paraId="612B3BC6" w14:textId="77777777" w:rsidTr="001F32B3">
        <w:tc>
          <w:tcPr>
            <w:tcW w:w="1880" w:type="dxa"/>
            <w:tcBorders>
              <w:top w:val="nil"/>
              <w:left w:val="single" w:sz="4" w:space="0" w:color="auto"/>
              <w:bottom w:val="single" w:sz="4" w:space="0" w:color="auto"/>
              <w:right w:val="single" w:sz="4" w:space="0" w:color="auto"/>
            </w:tcBorders>
            <w:hideMark/>
          </w:tcPr>
          <w:p w14:paraId="0BC7226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几内亚</w:t>
            </w:r>
          </w:p>
        </w:tc>
        <w:tc>
          <w:tcPr>
            <w:tcW w:w="1628" w:type="dxa"/>
            <w:tcBorders>
              <w:top w:val="nil"/>
              <w:left w:val="nil"/>
              <w:bottom w:val="single" w:sz="4" w:space="0" w:color="auto"/>
              <w:right w:val="single" w:sz="4" w:space="0" w:color="auto"/>
            </w:tcBorders>
            <w:vAlign w:val="bottom"/>
            <w:hideMark/>
          </w:tcPr>
          <w:p w14:paraId="717E812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1D2CE16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5DCFDD3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0A65AA8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794B84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482BFAB1" w14:textId="77777777" w:rsidTr="001F32B3">
        <w:tc>
          <w:tcPr>
            <w:tcW w:w="1880" w:type="dxa"/>
            <w:tcBorders>
              <w:top w:val="nil"/>
              <w:left w:val="single" w:sz="4" w:space="0" w:color="auto"/>
              <w:bottom w:val="single" w:sz="4" w:space="0" w:color="auto"/>
              <w:right w:val="single" w:sz="4" w:space="0" w:color="auto"/>
            </w:tcBorders>
            <w:hideMark/>
          </w:tcPr>
          <w:p w14:paraId="52A0F25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几内亚比绍</w:t>
            </w:r>
          </w:p>
        </w:tc>
        <w:tc>
          <w:tcPr>
            <w:tcW w:w="1628" w:type="dxa"/>
            <w:tcBorders>
              <w:top w:val="nil"/>
              <w:left w:val="nil"/>
              <w:bottom w:val="single" w:sz="4" w:space="0" w:color="auto"/>
              <w:right w:val="single" w:sz="4" w:space="0" w:color="auto"/>
            </w:tcBorders>
            <w:vAlign w:val="bottom"/>
            <w:hideMark/>
          </w:tcPr>
          <w:p w14:paraId="037EFF6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A17F00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4360E4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773C7AB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63CDE6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4E9866E3" w14:textId="77777777" w:rsidTr="001F32B3">
        <w:tc>
          <w:tcPr>
            <w:tcW w:w="1880" w:type="dxa"/>
            <w:tcBorders>
              <w:top w:val="nil"/>
              <w:left w:val="single" w:sz="4" w:space="0" w:color="auto"/>
              <w:bottom w:val="single" w:sz="4" w:space="0" w:color="auto"/>
              <w:right w:val="single" w:sz="4" w:space="0" w:color="auto"/>
            </w:tcBorders>
            <w:hideMark/>
          </w:tcPr>
          <w:p w14:paraId="5A3D2EC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圭亚那</w:t>
            </w:r>
          </w:p>
        </w:tc>
        <w:tc>
          <w:tcPr>
            <w:tcW w:w="1628" w:type="dxa"/>
            <w:tcBorders>
              <w:top w:val="nil"/>
              <w:left w:val="nil"/>
              <w:bottom w:val="single" w:sz="4" w:space="0" w:color="auto"/>
              <w:right w:val="single" w:sz="4" w:space="0" w:color="auto"/>
            </w:tcBorders>
            <w:vAlign w:val="bottom"/>
            <w:hideMark/>
          </w:tcPr>
          <w:p w14:paraId="7838069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1860E21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57CD3D2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77B0DE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57540D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02F62400" w14:textId="77777777" w:rsidTr="001F32B3">
        <w:tc>
          <w:tcPr>
            <w:tcW w:w="1880" w:type="dxa"/>
            <w:tcBorders>
              <w:top w:val="nil"/>
              <w:left w:val="single" w:sz="4" w:space="0" w:color="auto"/>
              <w:bottom w:val="single" w:sz="4" w:space="0" w:color="auto"/>
              <w:right w:val="single" w:sz="4" w:space="0" w:color="auto"/>
            </w:tcBorders>
            <w:hideMark/>
          </w:tcPr>
          <w:p w14:paraId="47AFE0B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海地</w:t>
            </w:r>
          </w:p>
        </w:tc>
        <w:tc>
          <w:tcPr>
            <w:tcW w:w="1628" w:type="dxa"/>
            <w:tcBorders>
              <w:top w:val="nil"/>
              <w:left w:val="nil"/>
              <w:bottom w:val="single" w:sz="4" w:space="0" w:color="auto"/>
              <w:right w:val="single" w:sz="4" w:space="0" w:color="auto"/>
            </w:tcBorders>
            <w:vAlign w:val="bottom"/>
            <w:hideMark/>
          </w:tcPr>
          <w:p w14:paraId="414BB20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2198" w:type="dxa"/>
            <w:tcBorders>
              <w:top w:val="nil"/>
              <w:left w:val="nil"/>
              <w:bottom w:val="single" w:sz="4" w:space="0" w:color="auto"/>
              <w:right w:val="single" w:sz="4" w:space="0" w:color="auto"/>
            </w:tcBorders>
            <w:noWrap/>
            <w:vAlign w:val="bottom"/>
            <w:hideMark/>
          </w:tcPr>
          <w:p w14:paraId="0FFA8F1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1176" w:type="dxa"/>
            <w:tcBorders>
              <w:top w:val="nil"/>
              <w:left w:val="nil"/>
              <w:bottom w:val="single" w:sz="4" w:space="0" w:color="auto"/>
              <w:right w:val="single" w:sz="4" w:space="0" w:color="auto"/>
            </w:tcBorders>
            <w:noWrap/>
            <w:vAlign w:val="bottom"/>
            <w:hideMark/>
          </w:tcPr>
          <w:p w14:paraId="1A4F39B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1 056</w:t>
            </w:r>
          </w:p>
        </w:tc>
        <w:tc>
          <w:tcPr>
            <w:tcW w:w="1461" w:type="dxa"/>
            <w:tcBorders>
              <w:top w:val="nil"/>
              <w:left w:val="nil"/>
              <w:bottom w:val="single" w:sz="4" w:space="0" w:color="auto"/>
              <w:right w:val="single" w:sz="4" w:space="0" w:color="auto"/>
            </w:tcBorders>
            <w:noWrap/>
            <w:vAlign w:val="bottom"/>
            <w:hideMark/>
          </w:tcPr>
          <w:p w14:paraId="6C6536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1 128</w:t>
            </w:r>
          </w:p>
        </w:tc>
        <w:tc>
          <w:tcPr>
            <w:tcW w:w="1080" w:type="dxa"/>
            <w:tcBorders>
              <w:top w:val="nil"/>
              <w:left w:val="nil"/>
              <w:bottom w:val="single" w:sz="4" w:space="0" w:color="auto"/>
              <w:right w:val="single" w:sz="4" w:space="0" w:color="auto"/>
            </w:tcBorders>
            <w:noWrap/>
            <w:vAlign w:val="bottom"/>
            <w:hideMark/>
          </w:tcPr>
          <w:p w14:paraId="01DC7EB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2 184</w:t>
            </w:r>
          </w:p>
        </w:tc>
      </w:tr>
      <w:tr w:rsidR="000C0842" w:rsidRPr="000C0842" w14:paraId="6523A18C" w14:textId="77777777" w:rsidTr="001F32B3">
        <w:tc>
          <w:tcPr>
            <w:tcW w:w="1880" w:type="dxa"/>
            <w:tcBorders>
              <w:top w:val="nil"/>
              <w:left w:val="single" w:sz="4" w:space="0" w:color="auto"/>
              <w:bottom w:val="single" w:sz="4" w:space="0" w:color="auto"/>
              <w:right w:val="single" w:sz="4" w:space="0" w:color="auto"/>
            </w:tcBorders>
            <w:hideMark/>
          </w:tcPr>
          <w:p w14:paraId="37CFCE9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洪都拉斯</w:t>
            </w:r>
          </w:p>
        </w:tc>
        <w:tc>
          <w:tcPr>
            <w:tcW w:w="1628" w:type="dxa"/>
            <w:tcBorders>
              <w:top w:val="nil"/>
              <w:left w:val="nil"/>
              <w:bottom w:val="single" w:sz="4" w:space="0" w:color="auto"/>
              <w:right w:val="single" w:sz="4" w:space="0" w:color="auto"/>
            </w:tcBorders>
            <w:vAlign w:val="bottom"/>
            <w:hideMark/>
          </w:tcPr>
          <w:p w14:paraId="3A358FB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2198" w:type="dxa"/>
            <w:tcBorders>
              <w:top w:val="nil"/>
              <w:left w:val="nil"/>
              <w:bottom w:val="single" w:sz="4" w:space="0" w:color="auto"/>
              <w:right w:val="single" w:sz="4" w:space="0" w:color="auto"/>
            </w:tcBorders>
            <w:noWrap/>
            <w:vAlign w:val="bottom"/>
            <w:hideMark/>
          </w:tcPr>
          <w:p w14:paraId="33D6D39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0.011</w:t>
            </w:r>
          </w:p>
        </w:tc>
        <w:tc>
          <w:tcPr>
            <w:tcW w:w="1176" w:type="dxa"/>
            <w:tcBorders>
              <w:top w:val="nil"/>
              <w:left w:val="nil"/>
              <w:bottom w:val="single" w:sz="4" w:space="0" w:color="auto"/>
              <w:right w:val="single" w:sz="4" w:space="0" w:color="auto"/>
            </w:tcBorders>
            <w:noWrap/>
            <w:vAlign w:val="bottom"/>
            <w:hideMark/>
          </w:tcPr>
          <w:p w14:paraId="537F401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1 584</w:t>
            </w:r>
          </w:p>
        </w:tc>
        <w:tc>
          <w:tcPr>
            <w:tcW w:w="1461" w:type="dxa"/>
            <w:tcBorders>
              <w:top w:val="nil"/>
              <w:left w:val="nil"/>
              <w:bottom w:val="single" w:sz="4" w:space="0" w:color="auto"/>
              <w:right w:val="single" w:sz="4" w:space="0" w:color="auto"/>
            </w:tcBorders>
            <w:noWrap/>
            <w:vAlign w:val="bottom"/>
            <w:hideMark/>
          </w:tcPr>
          <w:p w14:paraId="53CA60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1 692</w:t>
            </w:r>
          </w:p>
        </w:tc>
        <w:tc>
          <w:tcPr>
            <w:tcW w:w="1080" w:type="dxa"/>
            <w:tcBorders>
              <w:top w:val="nil"/>
              <w:left w:val="nil"/>
              <w:bottom w:val="single" w:sz="4" w:space="0" w:color="auto"/>
              <w:right w:val="single" w:sz="4" w:space="0" w:color="auto"/>
            </w:tcBorders>
            <w:noWrap/>
            <w:vAlign w:val="bottom"/>
            <w:hideMark/>
          </w:tcPr>
          <w:p w14:paraId="15EDF6D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3 276</w:t>
            </w:r>
          </w:p>
        </w:tc>
      </w:tr>
      <w:tr w:rsidR="000C0842" w:rsidRPr="000C0842" w14:paraId="6AED3559" w14:textId="77777777" w:rsidTr="001F32B3">
        <w:tc>
          <w:tcPr>
            <w:tcW w:w="1880" w:type="dxa"/>
            <w:tcBorders>
              <w:top w:val="nil"/>
              <w:left w:val="single" w:sz="4" w:space="0" w:color="auto"/>
              <w:bottom w:val="single" w:sz="4" w:space="0" w:color="auto"/>
              <w:right w:val="single" w:sz="4" w:space="0" w:color="auto"/>
            </w:tcBorders>
            <w:hideMark/>
          </w:tcPr>
          <w:p w14:paraId="22F952F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匈牙利</w:t>
            </w:r>
          </w:p>
        </w:tc>
        <w:tc>
          <w:tcPr>
            <w:tcW w:w="1628" w:type="dxa"/>
            <w:tcBorders>
              <w:top w:val="nil"/>
              <w:left w:val="nil"/>
              <w:bottom w:val="single" w:sz="4" w:space="0" w:color="auto"/>
              <w:right w:val="single" w:sz="4" w:space="0" w:color="auto"/>
            </w:tcBorders>
            <w:vAlign w:val="bottom"/>
            <w:hideMark/>
          </w:tcPr>
          <w:p w14:paraId="51F0EF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0.228</w:t>
            </w:r>
          </w:p>
        </w:tc>
        <w:tc>
          <w:tcPr>
            <w:tcW w:w="2198" w:type="dxa"/>
            <w:tcBorders>
              <w:top w:val="nil"/>
              <w:left w:val="nil"/>
              <w:bottom w:val="single" w:sz="4" w:space="0" w:color="auto"/>
              <w:right w:val="single" w:sz="4" w:space="0" w:color="auto"/>
            </w:tcBorders>
            <w:noWrap/>
            <w:vAlign w:val="bottom"/>
            <w:hideMark/>
          </w:tcPr>
          <w:p w14:paraId="2320E1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0.285</w:t>
            </w:r>
          </w:p>
        </w:tc>
        <w:tc>
          <w:tcPr>
            <w:tcW w:w="1176" w:type="dxa"/>
            <w:tcBorders>
              <w:top w:val="nil"/>
              <w:left w:val="nil"/>
              <w:bottom w:val="single" w:sz="4" w:space="0" w:color="auto"/>
              <w:right w:val="single" w:sz="4" w:space="0" w:color="auto"/>
            </w:tcBorders>
            <w:noWrap/>
            <w:vAlign w:val="bottom"/>
            <w:hideMark/>
          </w:tcPr>
          <w:p w14:paraId="3F79FF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40 127</w:t>
            </w:r>
          </w:p>
        </w:tc>
        <w:tc>
          <w:tcPr>
            <w:tcW w:w="1461" w:type="dxa"/>
            <w:tcBorders>
              <w:top w:val="nil"/>
              <w:left w:val="nil"/>
              <w:bottom w:val="single" w:sz="4" w:space="0" w:color="auto"/>
              <w:right w:val="single" w:sz="4" w:space="0" w:color="auto"/>
            </w:tcBorders>
            <w:noWrap/>
            <w:vAlign w:val="bottom"/>
            <w:hideMark/>
          </w:tcPr>
          <w:p w14:paraId="464D54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42 872</w:t>
            </w:r>
          </w:p>
        </w:tc>
        <w:tc>
          <w:tcPr>
            <w:tcW w:w="1080" w:type="dxa"/>
            <w:tcBorders>
              <w:top w:val="nil"/>
              <w:left w:val="nil"/>
              <w:bottom w:val="single" w:sz="4" w:space="0" w:color="auto"/>
              <w:right w:val="single" w:sz="4" w:space="0" w:color="auto"/>
            </w:tcBorders>
            <w:noWrap/>
            <w:vAlign w:val="bottom"/>
            <w:hideMark/>
          </w:tcPr>
          <w:p w14:paraId="1FA07D2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82 999</w:t>
            </w:r>
          </w:p>
        </w:tc>
      </w:tr>
      <w:tr w:rsidR="000C0842" w:rsidRPr="000C0842" w14:paraId="0686EC2B" w14:textId="77777777" w:rsidTr="001F32B3">
        <w:tc>
          <w:tcPr>
            <w:tcW w:w="1880" w:type="dxa"/>
            <w:tcBorders>
              <w:top w:val="nil"/>
              <w:left w:val="single" w:sz="4" w:space="0" w:color="auto"/>
              <w:bottom w:val="single" w:sz="4" w:space="0" w:color="auto"/>
              <w:right w:val="single" w:sz="4" w:space="0" w:color="auto"/>
            </w:tcBorders>
            <w:hideMark/>
          </w:tcPr>
          <w:p w14:paraId="292499C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冰岛</w:t>
            </w:r>
          </w:p>
        </w:tc>
        <w:tc>
          <w:tcPr>
            <w:tcW w:w="1628" w:type="dxa"/>
            <w:tcBorders>
              <w:top w:val="nil"/>
              <w:left w:val="nil"/>
              <w:bottom w:val="single" w:sz="4" w:space="0" w:color="auto"/>
              <w:right w:val="single" w:sz="4" w:space="0" w:color="auto"/>
            </w:tcBorders>
            <w:vAlign w:val="bottom"/>
            <w:hideMark/>
          </w:tcPr>
          <w:p w14:paraId="7C2C70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0.036</w:t>
            </w:r>
          </w:p>
        </w:tc>
        <w:tc>
          <w:tcPr>
            <w:tcW w:w="2198" w:type="dxa"/>
            <w:tcBorders>
              <w:top w:val="nil"/>
              <w:left w:val="nil"/>
              <w:bottom w:val="single" w:sz="4" w:space="0" w:color="auto"/>
              <w:right w:val="single" w:sz="4" w:space="0" w:color="auto"/>
            </w:tcBorders>
            <w:noWrap/>
            <w:vAlign w:val="bottom"/>
            <w:hideMark/>
          </w:tcPr>
          <w:p w14:paraId="4FE9F50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0.045</w:t>
            </w:r>
          </w:p>
        </w:tc>
        <w:tc>
          <w:tcPr>
            <w:tcW w:w="1176" w:type="dxa"/>
            <w:tcBorders>
              <w:top w:val="nil"/>
              <w:left w:val="nil"/>
              <w:bottom w:val="single" w:sz="4" w:space="0" w:color="auto"/>
              <w:right w:val="single" w:sz="4" w:space="0" w:color="auto"/>
            </w:tcBorders>
            <w:noWrap/>
            <w:vAlign w:val="bottom"/>
            <w:hideMark/>
          </w:tcPr>
          <w:p w14:paraId="5D6A094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6 336</w:t>
            </w:r>
          </w:p>
        </w:tc>
        <w:tc>
          <w:tcPr>
            <w:tcW w:w="1461" w:type="dxa"/>
            <w:tcBorders>
              <w:top w:val="nil"/>
              <w:left w:val="nil"/>
              <w:bottom w:val="single" w:sz="4" w:space="0" w:color="auto"/>
              <w:right w:val="single" w:sz="4" w:space="0" w:color="auto"/>
            </w:tcBorders>
            <w:noWrap/>
            <w:vAlign w:val="bottom"/>
            <w:hideMark/>
          </w:tcPr>
          <w:p w14:paraId="47F1B1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6 769</w:t>
            </w:r>
          </w:p>
        </w:tc>
        <w:tc>
          <w:tcPr>
            <w:tcW w:w="1080" w:type="dxa"/>
            <w:tcBorders>
              <w:top w:val="nil"/>
              <w:left w:val="nil"/>
              <w:bottom w:val="single" w:sz="4" w:space="0" w:color="auto"/>
              <w:right w:val="single" w:sz="4" w:space="0" w:color="auto"/>
            </w:tcBorders>
            <w:noWrap/>
            <w:vAlign w:val="bottom"/>
            <w:hideMark/>
          </w:tcPr>
          <w:p w14:paraId="1E3F896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13 105</w:t>
            </w:r>
          </w:p>
        </w:tc>
      </w:tr>
      <w:tr w:rsidR="000C0842" w:rsidRPr="000C0842" w14:paraId="4BF3AAE1" w14:textId="77777777" w:rsidTr="001F32B3">
        <w:tc>
          <w:tcPr>
            <w:tcW w:w="1880" w:type="dxa"/>
            <w:tcBorders>
              <w:top w:val="nil"/>
              <w:left w:val="single" w:sz="4" w:space="0" w:color="auto"/>
              <w:bottom w:val="single" w:sz="4" w:space="0" w:color="auto"/>
              <w:right w:val="single" w:sz="4" w:space="0" w:color="auto"/>
            </w:tcBorders>
            <w:hideMark/>
          </w:tcPr>
          <w:p w14:paraId="011EE67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印度</w:t>
            </w:r>
          </w:p>
        </w:tc>
        <w:tc>
          <w:tcPr>
            <w:tcW w:w="1628" w:type="dxa"/>
            <w:tcBorders>
              <w:top w:val="nil"/>
              <w:left w:val="nil"/>
              <w:bottom w:val="single" w:sz="4" w:space="0" w:color="auto"/>
              <w:right w:val="single" w:sz="4" w:space="0" w:color="auto"/>
            </w:tcBorders>
            <w:vAlign w:val="bottom"/>
            <w:hideMark/>
          </w:tcPr>
          <w:p w14:paraId="197D44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1.044</w:t>
            </w:r>
          </w:p>
        </w:tc>
        <w:tc>
          <w:tcPr>
            <w:tcW w:w="2198" w:type="dxa"/>
            <w:tcBorders>
              <w:top w:val="nil"/>
              <w:left w:val="nil"/>
              <w:bottom w:val="single" w:sz="4" w:space="0" w:color="auto"/>
              <w:right w:val="single" w:sz="4" w:space="0" w:color="auto"/>
            </w:tcBorders>
            <w:noWrap/>
            <w:vAlign w:val="bottom"/>
            <w:hideMark/>
          </w:tcPr>
          <w:p w14:paraId="75B786A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1.305</w:t>
            </w:r>
          </w:p>
        </w:tc>
        <w:tc>
          <w:tcPr>
            <w:tcW w:w="1176" w:type="dxa"/>
            <w:tcBorders>
              <w:top w:val="nil"/>
              <w:left w:val="nil"/>
              <w:bottom w:val="single" w:sz="4" w:space="0" w:color="auto"/>
              <w:right w:val="single" w:sz="4" w:space="0" w:color="auto"/>
            </w:tcBorders>
            <w:noWrap/>
            <w:vAlign w:val="bottom"/>
            <w:hideMark/>
          </w:tcPr>
          <w:p w14:paraId="1CB4C33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183 738</w:t>
            </w:r>
          </w:p>
        </w:tc>
        <w:tc>
          <w:tcPr>
            <w:tcW w:w="1461" w:type="dxa"/>
            <w:tcBorders>
              <w:top w:val="nil"/>
              <w:left w:val="nil"/>
              <w:bottom w:val="single" w:sz="4" w:space="0" w:color="auto"/>
              <w:right w:val="single" w:sz="4" w:space="0" w:color="auto"/>
            </w:tcBorders>
            <w:noWrap/>
            <w:vAlign w:val="bottom"/>
            <w:hideMark/>
          </w:tcPr>
          <w:p w14:paraId="5DB0F1D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196 310</w:t>
            </w:r>
          </w:p>
        </w:tc>
        <w:tc>
          <w:tcPr>
            <w:tcW w:w="1080" w:type="dxa"/>
            <w:tcBorders>
              <w:top w:val="nil"/>
              <w:left w:val="nil"/>
              <w:bottom w:val="single" w:sz="4" w:space="0" w:color="auto"/>
              <w:right w:val="single" w:sz="4" w:space="0" w:color="auto"/>
            </w:tcBorders>
            <w:noWrap/>
            <w:vAlign w:val="bottom"/>
            <w:hideMark/>
          </w:tcPr>
          <w:p w14:paraId="683B749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380 048</w:t>
            </w:r>
          </w:p>
        </w:tc>
      </w:tr>
      <w:tr w:rsidR="000C0842" w:rsidRPr="000C0842" w14:paraId="53BA1C3A" w14:textId="77777777" w:rsidTr="001F32B3">
        <w:tc>
          <w:tcPr>
            <w:tcW w:w="1880" w:type="dxa"/>
            <w:tcBorders>
              <w:top w:val="nil"/>
              <w:left w:val="single" w:sz="4" w:space="0" w:color="auto"/>
              <w:bottom w:val="single" w:sz="4" w:space="0" w:color="auto"/>
              <w:right w:val="single" w:sz="4" w:space="0" w:color="auto"/>
            </w:tcBorders>
            <w:hideMark/>
          </w:tcPr>
          <w:p w14:paraId="5DEF492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印度尼西亚</w:t>
            </w:r>
          </w:p>
        </w:tc>
        <w:tc>
          <w:tcPr>
            <w:tcW w:w="1628" w:type="dxa"/>
            <w:tcBorders>
              <w:top w:val="nil"/>
              <w:left w:val="nil"/>
              <w:bottom w:val="single" w:sz="4" w:space="0" w:color="auto"/>
              <w:right w:val="single" w:sz="4" w:space="0" w:color="auto"/>
            </w:tcBorders>
            <w:vAlign w:val="bottom"/>
            <w:hideMark/>
          </w:tcPr>
          <w:p w14:paraId="3FD6986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0.549</w:t>
            </w:r>
          </w:p>
        </w:tc>
        <w:tc>
          <w:tcPr>
            <w:tcW w:w="2198" w:type="dxa"/>
            <w:tcBorders>
              <w:top w:val="nil"/>
              <w:left w:val="nil"/>
              <w:bottom w:val="single" w:sz="4" w:space="0" w:color="auto"/>
              <w:right w:val="single" w:sz="4" w:space="0" w:color="auto"/>
            </w:tcBorders>
            <w:noWrap/>
            <w:vAlign w:val="bottom"/>
            <w:hideMark/>
          </w:tcPr>
          <w:p w14:paraId="26A1F14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0.686</w:t>
            </w:r>
          </w:p>
        </w:tc>
        <w:tc>
          <w:tcPr>
            <w:tcW w:w="1176" w:type="dxa"/>
            <w:tcBorders>
              <w:top w:val="nil"/>
              <w:left w:val="nil"/>
              <w:bottom w:val="single" w:sz="4" w:space="0" w:color="auto"/>
              <w:right w:val="single" w:sz="4" w:space="0" w:color="auto"/>
            </w:tcBorders>
            <w:noWrap/>
            <w:vAlign w:val="bottom"/>
            <w:hideMark/>
          </w:tcPr>
          <w:p w14:paraId="2DB1F1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96 621</w:t>
            </w:r>
          </w:p>
        </w:tc>
        <w:tc>
          <w:tcPr>
            <w:tcW w:w="1461" w:type="dxa"/>
            <w:tcBorders>
              <w:top w:val="nil"/>
              <w:left w:val="nil"/>
              <w:bottom w:val="single" w:sz="4" w:space="0" w:color="auto"/>
              <w:right w:val="single" w:sz="4" w:space="0" w:color="auto"/>
            </w:tcBorders>
            <w:noWrap/>
            <w:vAlign w:val="bottom"/>
            <w:hideMark/>
          </w:tcPr>
          <w:p w14:paraId="1E8326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103 232</w:t>
            </w:r>
          </w:p>
        </w:tc>
        <w:tc>
          <w:tcPr>
            <w:tcW w:w="1080" w:type="dxa"/>
            <w:tcBorders>
              <w:top w:val="nil"/>
              <w:left w:val="nil"/>
              <w:bottom w:val="single" w:sz="4" w:space="0" w:color="auto"/>
              <w:right w:val="single" w:sz="4" w:space="0" w:color="auto"/>
            </w:tcBorders>
            <w:noWrap/>
            <w:vAlign w:val="bottom"/>
            <w:hideMark/>
          </w:tcPr>
          <w:p w14:paraId="285EB1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199 853</w:t>
            </w:r>
          </w:p>
        </w:tc>
      </w:tr>
      <w:tr w:rsidR="000C0842" w:rsidRPr="000C0842" w14:paraId="7725E934" w14:textId="77777777" w:rsidTr="001F32B3">
        <w:tc>
          <w:tcPr>
            <w:tcW w:w="1880" w:type="dxa"/>
            <w:tcBorders>
              <w:top w:val="nil"/>
              <w:left w:val="single" w:sz="4" w:space="0" w:color="auto"/>
              <w:bottom w:val="single" w:sz="4" w:space="0" w:color="auto"/>
              <w:right w:val="single" w:sz="4" w:space="0" w:color="auto"/>
            </w:tcBorders>
            <w:hideMark/>
          </w:tcPr>
          <w:p w14:paraId="25D9D03D"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伊朗伊斯兰共和国</w:t>
            </w:r>
          </w:p>
        </w:tc>
        <w:tc>
          <w:tcPr>
            <w:tcW w:w="1628" w:type="dxa"/>
            <w:tcBorders>
              <w:top w:val="nil"/>
              <w:left w:val="nil"/>
              <w:bottom w:val="single" w:sz="4" w:space="0" w:color="auto"/>
              <w:right w:val="single" w:sz="4" w:space="0" w:color="auto"/>
            </w:tcBorders>
            <w:vAlign w:val="bottom"/>
            <w:hideMark/>
          </w:tcPr>
          <w:p w14:paraId="30166E9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0.371</w:t>
            </w:r>
          </w:p>
        </w:tc>
        <w:tc>
          <w:tcPr>
            <w:tcW w:w="2198" w:type="dxa"/>
            <w:tcBorders>
              <w:top w:val="nil"/>
              <w:left w:val="nil"/>
              <w:bottom w:val="single" w:sz="4" w:space="0" w:color="auto"/>
              <w:right w:val="single" w:sz="4" w:space="0" w:color="auto"/>
            </w:tcBorders>
            <w:noWrap/>
            <w:vAlign w:val="bottom"/>
            <w:hideMark/>
          </w:tcPr>
          <w:p w14:paraId="679DFDD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0.464</w:t>
            </w:r>
          </w:p>
        </w:tc>
        <w:tc>
          <w:tcPr>
            <w:tcW w:w="1176" w:type="dxa"/>
            <w:tcBorders>
              <w:top w:val="nil"/>
              <w:left w:val="nil"/>
              <w:bottom w:val="single" w:sz="4" w:space="0" w:color="auto"/>
              <w:right w:val="single" w:sz="4" w:space="0" w:color="auto"/>
            </w:tcBorders>
            <w:noWrap/>
            <w:vAlign w:val="bottom"/>
            <w:hideMark/>
          </w:tcPr>
          <w:p w14:paraId="3320BAB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65 294</w:t>
            </w:r>
          </w:p>
        </w:tc>
        <w:tc>
          <w:tcPr>
            <w:tcW w:w="1461" w:type="dxa"/>
            <w:tcBorders>
              <w:top w:val="nil"/>
              <w:left w:val="nil"/>
              <w:bottom w:val="single" w:sz="4" w:space="0" w:color="auto"/>
              <w:right w:val="single" w:sz="4" w:space="0" w:color="auto"/>
            </w:tcBorders>
            <w:noWrap/>
            <w:vAlign w:val="bottom"/>
            <w:hideMark/>
          </w:tcPr>
          <w:p w14:paraId="09A6BCA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69 762</w:t>
            </w:r>
          </w:p>
        </w:tc>
        <w:tc>
          <w:tcPr>
            <w:tcW w:w="1080" w:type="dxa"/>
            <w:tcBorders>
              <w:top w:val="nil"/>
              <w:left w:val="nil"/>
              <w:bottom w:val="single" w:sz="4" w:space="0" w:color="auto"/>
              <w:right w:val="single" w:sz="4" w:space="0" w:color="auto"/>
            </w:tcBorders>
            <w:noWrap/>
            <w:vAlign w:val="bottom"/>
            <w:hideMark/>
          </w:tcPr>
          <w:p w14:paraId="5C9FBD1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135 055</w:t>
            </w:r>
          </w:p>
        </w:tc>
      </w:tr>
      <w:tr w:rsidR="000C0842" w:rsidRPr="000C0842" w14:paraId="18B82AA0" w14:textId="77777777" w:rsidTr="001F32B3">
        <w:tc>
          <w:tcPr>
            <w:tcW w:w="1880" w:type="dxa"/>
            <w:tcBorders>
              <w:top w:val="nil"/>
              <w:left w:val="single" w:sz="4" w:space="0" w:color="auto"/>
              <w:bottom w:val="single" w:sz="4" w:space="0" w:color="auto"/>
              <w:right w:val="single" w:sz="4" w:space="0" w:color="auto"/>
            </w:tcBorders>
            <w:hideMark/>
          </w:tcPr>
          <w:p w14:paraId="0470658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伊拉克</w:t>
            </w:r>
          </w:p>
        </w:tc>
        <w:tc>
          <w:tcPr>
            <w:tcW w:w="1628" w:type="dxa"/>
            <w:tcBorders>
              <w:top w:val="nil"/>
              <w:left w:val="nil"/>
              <w:bottom w:val="single" w:sz="4" w:space="0" w:color="auto"/>
              <w:right w:val="single" w:sz="4" w:space="0" w:color="auto"/>
            </w:tcBorders>
            <w:vAlign w:val="bottom"/>
            <w:hideMark/>
          </w:tcPr>
          <w:p w14:paraId="66F3CCC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0.128</w:t>
            </w:r>
          </w:p>
        </w:tc>
        <w:tc>
          <w:tcPr>
            <w:tcW w:w="2198" w:type="dxa"/>
            <w:tcBorders>
              <w:top w:val="nil"/>
              <w:left w:val="nil"/>
              <w:bottom w:val="single" w:sz="4" w:space="0" w:color="auto"/>
              <w:right w:val="single" w:sz="4" w:space="0" w:color="auto"/>
            </w:tcBorders>
            <w:noWrap/>
            <w:vAlign w:val="bottom"/>
            <w:hideMark/>
          </w:tcPr>
          <w:p w14:paraId="3203B4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0.160</w:t>
            </w:r>
          </w:p>
        </w:tc>
        <w:tc>
          <w:tcPr>
            <w:tcW w:w="1176" w:type="dxa"/>
            <w:tcBorders>
              <w:top w:val="nil"/>
              <w:left w:val="nil"/>
              <w:bottom w:val="single" w:sz="4" w:space="0" w:color="auto"/>
              <w:right w:val="single" w:sz="4" w:space="0" w:color="auto"/>
            </w:tcBorders>
            <w:noWrap/>
            <w:vAlign w:val="bottom"/>
            <w:hideMark/>
          </w:tcPr>
          <w:p w14:paraId="533ED3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22 527</w:t>
            </w:r>
          </w:p>
        </w:tc>
        <w:tc>
          <w:tcPr>
            <w:tcW w:w="1461" w:type="dxa"/>
            <w:tcBorders>
              <w:top w:val="nil"/>
              <w:left w:val="nil"/>
              <w:bottom w:val="single" w:sz="4" w:space="0" w:color="auto"/>
              <w:right w:val="single" w:sz="4" w:space="0" w:color="auto"/>
            </w:tcBorders>
            <w:noWrap/>
            <w:vAlign w:val="bottom"/>
            <w:hideMark/>
          </w:tcPr>
          <w:p w14:paraId="2C3B7BA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24 069</w:t>
            </w:r>
          </w:p>
        </w:tc>
        <w:tc>
          <w:tcPr>
            <w:tcW w:w="1080" w:type="dxa"/>
            <w:tcBorders>
              <w:top w:val="nil"/>
              <w:left w:val="nil"/>
              <w:bottom w:val="single" w:sz="4" w:space="0" w:color="auto"/>
              <w:right w:val="single" w:sz="4" w:space="0" w:color="auto"/>
            </w:tcBorders>
            <w:noWrap/>
            <w:vAlign w:val="bottom"/>
            <w:hideMark/>
          </w:tcPr>
          <w:p w14:paraId="0104302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46 596</w:t>
            </w:r>
          </w:p>
        </w:tc>
      </w:tr>
      <w:tr w:rsidR="000C0842" w:rsidRPr="000C0842" w14:paraId="2B38AD6C" w14:textId="77777777" w:rsidTr="001F32B3">
        <w:tc>
          <w:tcPr>
            <w:tcW w:w="1880" w:type="dxa"/>
            <w:tcBorders>
              <w:top w:val="nil"/>
              <w:left w:val="single" w:sz="4" w:space="0" w:color="auto"/>
              <w:bottom w:val="single" w:sz="4" w:space="0" w:color="auto"/>
              <w:right w:val="single" w:sz="4" w:space="0" w:color="auto"/>
            </w:tcBorders>
            <w:hideMark/>
          </w:tcPr>
          <w:p w14:paraId="6C48098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爱尔兰</w:t>
            </w:r>
          </w:p>
        </w:tc>
        <w:tc>
          <w:tcPr>
            <w:tcW w:w="1628" w:type="dxa"/>
            <w:tcBorders>
              <w:top w:val="nil"/>
              <w:left w:val="nil"/>
              <w:bottom w:val="single" w:sz="4" w:space="0" w:color="auto"/>
              <w:right w:val="single" w:sz="4" w:space="0" w:color="auto"/>
            </w:tcBorders>
            <w:vAlign w:val="bottom"/>
            <w:hideMark/>
          </w:tcPr>
          <w:p w14:paraId="22A2576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0.439</w:t>
            </w:r>
          </w:p>
        </w:tc>
        <w:tc>
          <w:tcPr>
            <w:tcW w:w="2198" w:type="dxa"/>
            <w:tcBorders>
              <w:top w:val="nil"/>
              <w:left w:val="nil"/>
              <w:bottom w:val="single" w:sz="4" w:space="0" w:color="auto"/>
              <w:right w:val="single" w:sz="4" w:space="0" w:color="auto"/>
            </w:tcBorders>
            <w:noWrap/>
            <w:vAlign w:val="bottom"/>
            <w:hideMark/>
          </w:tcPr>
          <w:p w14:paraId="48FEB92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0.549</w:t>
            </w:r>
          </w:p>
        </w:tc>
        <w:tc>
          <w:tcPr>
            <w:tcW w:w="1176" w:type="dxa"/>
            <w:tcBorders>
              <w:top w:val="nil"/>
              <w:left w:val="nil"/>
              <w:bottom w:val="single" w:sz="4" w:space="0" w:color="auto"/>
              <w:right w:val="single" w:sz="4" w:space="0" w:color="auto"/>
            </w:tcBorders>
            <w:noWrap/>
            <w:vAlign w:val="bottom"/>
            <w:hideMark/>
          </w:tcPr>
          <w:p w14:paraId="6F118D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77 262</w:t>
            </w:r>
          </w:p>
        </w:tc>
        <w:tc>
          <w:tcPr>
            <w:tcW w:w="1461" w:type="dxa"/>
            <w:tcBorders>
              <w:top w:val="nil"/>
              <w:left w:val="nil"/>
              <w:bottom w:val="single" w:sz="4" w:space="0" w:color="auto"/>
              <w:right w:val="single" w:sz="4" w:space="0" w:color="auto"/>
            </w:tcBorders>
            <w:noWrap/>
            <w:vAlign w:val="bottom"/>
            <w:hideMark/>
          </w:tcPr>
          <w:p w14:paraId="0F7E43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82 548</w:t>
            </w:r>
          </w:p>
        </w:tc>
        <w:tc>
          <w:tcPr>
            <w:tcW w:w="1080" w:type="dxa"/>
            <w:tcBorders>
              <w:top w:val="nil"/>
              <w:left w:val="nil"/>
              <w:bottom w:val="single" w:sz="4" w:space="0" w:color="auto"/>
              <w:right w:val="single" w:sz="4" w:space="0" w:color="auto"/>
            </w:tcBorders>
            <w:noWrap/>
            <w:vAlign w:val="bottom"/>
            <w:hideMark/>
          </w:tcPr>
          <w:p w14:paraId="79E397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159 810</w:t>
            </w:r>
          </w:p>
        </w:tc>
      </w:tr>
      <w:tr w:rsidR="000C0842" w:rsidRPr="000C0842" w14:paraId="07555207" w14:textId="77777777" w:rsidTr="001F32B3">
        <w:tc>
          <w:tcPr>
            <w:tcW w:w="1880" w:type="dxa"/>
            <w:tcBorders>
              <w:top w:val="nil"/>
              <w:left w:val="single" w:sz="4" w:space="0" w:color="auto"/>
              <w:bottom w:val="single" w:sz="4" w:space="0" w:color="auto"/>
              <w:right w:val="single" w:sz="4" w:space="0" w:color="auto"/>
            </w:tcBorders>
            <w:hideMark/>
          </w:tcPr>
          <w:p w14:paraId="3861D57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以色列</w:t>
            </w:r>
          </w:p>
        </w:tc>
        <w:tc>
          <w:tcPr>
            <w:tcW w:w="1628" w:type="dxa"/>
            <w:tcBorders>
              <w:top w:val="nil"/>
              <w:left w:val="nil"/>
              <w:bottom w:val="single" w:sz="4" w:space="0" w:color="auto"/>
              <w:right w:val="single" w:sz="4" w:space="0" w:color="auto"/>
            </w:tcBorders>
            <w:vAlign w:val="bottom"/>
            <w:hideMark/>
          </w:tcPr>
          <w:p w14:paraId="1C47DA4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0.561</w:t>
            </w:r>
          </w:p>
        </w:tc>
        <w:tc>
          <w:tcPr>
            <w:tcW w:w="2198" w:type="dxa"/>
            <w:tcBorders>
              <w:top w:val="nil"/>
              <w:left w:val="nil"/>
              <w:bottom w:val="single" w:sz="4" w:space="0" w:color="auto"/>
              <w:right w:val="single" w:sz="4" w:space="0" w:color="auto"/>
            </w:tcBorders>
            <w:noWrap/>
            <w:vAlign w:val="bottom"/>
            <w:hideMark/>
          </w:tcPr>
          <w:p w14:paraId="0B8E972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0.701</w:t>
            </w:r>
          </w:p>
        </w:tc>
        <w:tc>
          <w:tcPr>
            <w:tcW w:w="1176" w:type="dxa"/>
            <w:tcBorders>
              <w:top w:val="nil"/>
              <w:left w:val="nil"/>
              <w:bottom w:val="single" w:sz="4" w:space="0" w:color="auto"/>
              <w:right w:val="single" w:sz="4" w:space="0" w:color="auto"/>
            </w:tcBorders>
            <w:noWrap/>
            <w:vAlign w:val="bottom"/>
            <w:hideMark/>
          </w:tcPr>
          <w:p w14:paraId="7849DBE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98 733</w:t>
            </w:r>
          </w:p>
        </w:tc>
        <w:tc>
          <w:tcPr>
            <w:tcW w:w="1461" w:type="dxa"/>
            <w:tcBorders>
              <w:top w:val="nil"/>
              <w:left w:val="nil"/>
              <w:bottom w:val="single" w:sz="4" w:space="0" w:color="auto"/>
              <w:right w:val="single" w:sz="4" w:space="0" w:color="auto"/>
            </w:tcBorders>
            <w:noWrap/>
            <w:vAlign w:val="bottom"/>
            <w:hideMark/>
          </w:tcPr>
          <w:p w14:paraId="44862F3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105 488</w:t>
            </w:r>
          </w:p>
        </w:tc>
        <w:tc>
          <w:tcPr>
            <w:tcW w:w="1080" w:type="dxa"/>
            <w:tcBorders>
              <w:top w:val="nil"/>
              <w:left w:val="nil"/>
              <w:bottom w:val="single" w:sz="4" w:space="0" w:color="auto"/>
              <w:right w:val="single" w:sz="4" w:space="0" w:color="auto"/>
            </w:tcBorders>
            <w:noWrap/>
            <w:vAlign w:val="bottom"/>
            <w:hideMark/>
          </w:tcPr>
          <w:p w14:paraId="6ACE4C6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204 221</w:t>
            </w:r>
          </w:p>
        </w:tc>
      </w:tr>
      <w:tr w:rsidR="000C0842" w:rsidRPr="000C0842" w14:paraId="04D436FA" w14:textId="77777777" w:rsidTr="001F32B3">
        <w:tc>
          <w:tcPr>
            <w:tcW w:w="1880" w:type="dxa"/>
            <w:tcBorders>
              <w:top w:val="nil"/>
              <w:left w:val="single" w:sz="4" w:space="0" w:color="auto"/>
              <w:bottom w:val="single" w:sz="4" w:space="0" w:color="auto"/>
              <w:right w:val="single" w:sz="4" w:space="0" w:color="auto"/>
            </w:tcBorders>
            <w:hideMark/>
          </w:tcPr>
          <w:p w14:paraId="6F3884E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意大利</w:t>
            </w:r>
          </w:p>
        </w:tc>
        <w:tc>
          <w:tcPr>
            <w:tcW w:w="1628" w:type="dxa"/>
            <w:tcBorders>
              <w:top w:val="nil"/>
              <w:left w:val="nil"/>
              <w:bottom w:val="single" w:sz="4" w:space="0" w:color="auto"/>
              <w:right w:val="single" w:sz="4" w:space="0" w:color="auto"/>
            </w:tcBorders>
            <w:vAlign w:val="bottom"/>
            <w:hideMark/>
          </w:tcPr>
          <w:p w14:paraId="66503C4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3.189</w:t>
            </w:r>
          </w:p>
        </w:tc>
        <w:tc>
          <w:tcPr>
            <w:tcW w:w="2198" w:type="dxa"/>
            <w:tcBorders>
              <w:top w:val="nil"/>
              <w:left w:val="nil"/>
              <w:bottom w:val="single" w:sz="4" w:space="0" w:color="auto"/>
              <w:right w:val="single" w:sz="4" w:space="0" w:color="auto"/>
            </w:tcBorders>
            <w:noWrap/>
            <w:vAlign w:val="bottom"/>
            <w:hideMark/>
          </w:tcPr>
          <w:p w14:paraId="2F257B6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3.987</w:t>
            </w:r>
          </w:p>
        </w:tc>
        <w:tc>
          <w:tcPr>
            <w:tcW w:w="1176" w:type="dxa"/>
            <w:tcBorders>
              <w:top w:val="nil"/>
              <w:left w:val="nil"/>
              <w:bottom w:val="single" w:sz="4" w:space="0" w:color="auto"/>
              <w:right w:val="single" w:sz="4" w:space="0" w:color="auto"/>
            </w:tcBorders>
            <w:noWrap/>
            <w:vAlign w:val="bottom"/>
            <w:hideMark/>
          </w:tcPr>
          <w:p w14:paraId="4BFB47A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561 246</w:t>
            </w:r>
          </w:p>
        </w:tc>
        <w:tc>
          <w:tcPr>
            <w:tcW w:w="1461" w:type="dxa"/>
            <w:tcBorders>
              <w:top w:val="nil"/>
              <w:left w:val="nil"/>
              <w:bottom w:val="single" w:sz="4" w:space="0" w:color="auto"/>
              <w:right w:val="single" w:sz="4" w:space="0" w:color="auto"/>
            </w:tcBorders>
            <w:noWrap/>
            <w:vAlign w:val="bottom"/>
            <w:hideMark/>
          </w:tcPr>
          <w:p w14:paraId="01F89E7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599 648</w:t>
            </w:r>
          </w:p>
        </w:tc>
        <w:tc>
          <w:tcPr>
            <w:tcW w:w="1080" w:type="dxa"/>
            <w:tcBorders>
              <w:top w:val="nil"/>
              <w:left w:val="nil"/>
              <w:bottom w:val="single" w:sz="4" w:space="0" w:color="auto"/>
              <w:right w:val="single" w:sz="4" w:space="0" w:color="auto"/>
            </w:tcBorders>
            <w:noWrap/>
            <w:vAlign w:val="bottom"/>
            <w:hideMark/>
          </w:tcPr>
          <w:p w14:paraId="39E4426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1 160 895</w:t>
            </w:r>
          </w:p>
        </w:tc>
      </w:tr>
      <w:tr w:rsidR="000C0842" w:rsidRPr="000C0842" w14:paraId="537F8BA1" w14:textId="77777777" w:rsidTr="001F32B3">
        <w:tc>
          <w:tcPr>
            <w:tcW w:w="1880" w:type="dxa"/>
            <w:tcBorders>
              <w:top w:val="nil"/>
              <w:left w:val="single" w:sz="4" w:space="0" w:color="auto"/>
              <w:bottom w:val="single" w:sz="4" w:space="0" w:color="auto"/>
              <w:right w:val="single" w:sz="4" w:space="0" w:color="auto"/>
            </w:tcBorders>
            <w:hideMark/>
          </w:tcPr>
          <w:p w14:paraId="5C4DB8D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牙买加</w:t>
            </w:r>
          </w:p>
        </w:tc>
        <w:tc>
          <w:tcPr>
            <w:tcW w:w="1628" w:type="dxa"/>
            <w:tcBorders>
              <w:top w:val="nil"/>
              <w:left w:val="nil"/>
              <w:bottom w:val="single" w:sz="4" w:space="0" w:color="auto"/>
              <w:right w:val="single" w:sz="4" w:space="0" w:color="auto"/>
            </w:tcBorders>
            <w:vAlign w:val="bottom"/>
            <w:hideMark/>
          </w:tcPr>
          <w:p w14:paraId="2CB9B7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6BD1B71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6768FB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417E1A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1DDA1C6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51BD0395" w14:textId="77777777" w:rsidTr="001F32B3">
        <w:tc>
          <w:tcPr>
            <w:tcW w:w="1880" w:type="dxa"/>
            <w:tcBorders>
              <w:top w:val="nil"/>
              <w:left w:val="single" w:sz="4" w:space="0" w:color="auto"/>
              <w:bottom w:val="single" w:sz="4" w:space="0" w:color="auto"/>
              <w:right w:val="single" w:sz="4" w:space="0" w:color="auto"/>
            </w:tcBorders>
            <w:hideMark/>
          </w:tcPr>
          <w:p w14:paraId="5F1C89E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日本</w:t>
            </w:r>
          </w:p>
        </w:tc>
        <w:tc>
          <w:tcPr>
            <w:tcW w:w="1628" w:type="dxa"/>
            <w:tcBorders>
              <w:top w:val="nil"/>
              <w:left w:val="nil"/>
              <w:bottom w:val="single" w:sz="4" w:space="0" w:color="auto"/>
              <w:right w:val="single" w:sz="4" w:space="0" w:color="auto"/>
            </w:tcBorders>
            <w:noWrap/>
            <w:vAlign w:val="bottom"/>
            <w:hideMark/>
          </w:tcPr>
          <w:p w14:paraId="64E2A09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8.033</w:t>
            </w:r>
          </w:p>
        </w:tc>
        <w:tc>
          <w:tcPr>
            <w:tcW w:w="2198" w:type="dxa"/>
            <w:tcBorders>
              <w:top w:val="nil"/>
              <w:left w:val="nil"/>
              <w:bottom w:val="single" w:sz="4" w:space="0" w:color="auto"/>
              <w:right w:val="single" w:sz="4" w:space="0" w:color="auto"/>
            </w:tcBorders>
            <w:noWrap/>
            <w:vAlign w:val="bottom"/>
            <w:hideMark/>
          </w:tcPr>
          <w:p w14:paraId="65383DA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10.042</w:t>
            </w:r>
          </w:p>
        </w:tc>
        <w:tc>
          <w:tcPr>
            <w:tcW w:w="1176" w:type="dxa"/>
            <w:tcBorders>
              <w:top w:val="nil"/>
              <w:left w:val="nil"/>
              <w:bottom w:val="single" w:sz="4" w:space="0" w:color="auto"/>
              <w:right w:val="single" w:sz="4" w:space="0" w:color="auto"/>
            </w:tcBorders>
            <w:noWrap/>
            <w:vAlign w:val="bottom"/>
            <w:hideMark/>
          </w:tcPr>
          <w:p w14:paraId="39A2770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1 413 763</w:t>
            </w:r>
          </w:p>
        </w:tc>
        <w:tc>
          <w:tcPr>
            <w:tcW w:w="1461" w:type="dxa"/>
            <w:tcBorders>
              <w:top w:val="nil"/>
              <w:left w:val="nil"/>
              <w:bottom w:val="single" w:sz="4" w:space="0" w:color="auto"/>
              <w:right w:val="single" w:sz="4" w:space="0" w:color="auto"/>
            </w:tcBorders>
            <w:noWrap/>
            <w:vAlign w:val="bottom"/>
            <w:hideMark/>
          </w:tcPr>
          <w:p w14:paraId="28BE14D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1 510 497</w:t>
            </w:r>
          </w:p>
        </w:tc>
        <w:tc>
          <w:tcPr>
            <w:tcW w:w="1080" w:type="dxa"/>
            <w:tcBorders>
              <w:top w:val="nil"/>
              <w:left w:val="nil"/>
              <w:bottom w:val="single" w:sz="4" w:space="0" w:color="auto"/>
              <w:right w:val="single" w:sz="4" w:space="0" w:color="auto"/>
            </w:tcBorders>
            <w:noWrap/>
            <w:vAlign w:val="bottom"/>
            <w:hideMark/>
          </w:tcPr>
          <w:p w14:paraId="1F31BA1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2 924 260</w:t>
            </w:r>
          </w:p>
        </w:tc>
      </w:tr>
      <w:tr w:rsidR="000C0842" w:rsidRPr="000C0842" w14:paraId="418DE623" w14:textId="77777777" w:rsidTr="001F32B3">
        <w:tc>
          <w:tcPr>
            <w:tcW w:w="1880" w:type="dxa"/>
            <w:tcBorders>
              <w:top w:val="nil"/>
              <w:left w:val="single" w:sz="4" w:space="0" w:color="auto"/>
              <w:bottom w:val="single" w:sz="4" w:space="0" w:color="auto"/>
              <w:right w:val="single" w:sz="4" w:space="0" w:color="auto"/>
            </w:tcBorders>
            <w:hideMark/>
          </w:tcPr>
          <w:p w14:paraId="5B3F554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约旦</w:t>
            </w:r>
          </w:p>
        </w:tc>
        <w:tc>
          <w:tcPr>
            <w:tcW w:w="1628" w:type="dxa"/>
            <w:tcBorders>
              <w:top w:val="nil"/>
              <w:left w:val="nil"/>
              <w:bottom w:val="single" w:sz="4" w:space="0" w:color="auto"/>
              <w:right w:val="single" w:sz="4" w:space="0" w:color="auto"/>
            </w:tcBorders>
            <w:vAlign w:val="bottom"/>
            <w:hideMark/>
          </w:tcPr>
          <w:p w14:paraId="27B853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0.022</w:t>
            </w:r>
          </w:p>
        </w:tc>
        <w:tc>
          <w:tcPr>
            <w:tcW w:w="2198" w:type="dxa"/>
            <w:tcBorders>
              <w:top w:val="nil"/>
              <w:left w:val="nil"/>
              <w:bottom w:val="single" w:sz="4" w:space="0" w:color="auto"/>
              <w:right w:val="single" w:sz="4" w:space="0" w:color="auto"/>
            </w:tcBorders>
            <w:noWrap/>
            <w:vAlign w:val="bottom"/>
            <w:hideMark/>
          </w:tcPr>
          <w:p w14:paraId="656AF7C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0.028</w:t>
            </w:r>
          </w:p>
        </w:tc>
        <w:tc>
          <w:tcPr>
            <w:tcW w:w="1176" w:type="dxa"/>
            <w:tcBorders>
              <w:top w:val="nil"/>
              <w:left w:val="nil"/>
              <w:bottom w:val="single" w:sz="4" w:space="0" w:color="auto"/>
              <w:right w:val="single" w:sz="4" w:space="0" w:color="auto"/>
            </w:tcBorders>
            <w:noWrap/>
            <w:vAlign w:val="bottom"/>
            <w:hideMark/>
          </w:tcPr>
          <w:p w14:paraId="53AFA0A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3 872</w:t>
            </w:r>
          </w:p>
        </w:tc>
        <w:tc>
          <w:tcPr>
            <w:tcW w:w="1461" w:type="dxa"/>
            <w:tcBorders>
              <w:top w:val="nil"/>
              <w:left w:val="nil"/>
              <w:bottom w:val="single" w:sz="4" w:space="0" w:color="auto"/>
              <w:right w:val="single" w:sz="4" w:space="0" w:color="auto"/>
            </w:tcBorders>
            <w:noWrap/>
            <w:vAlign w:val="bottom"/>
            <w:hideMark/>
          </w:tcPr>
          <w:p w14:paraId="13B2CB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4 137</w:t>
            </w:r>
          </w:p>
        </w:tc>
        <w:tc>
          <w:tcPr>
            <w:tcW w:w="1080" w:type="dxa"/>
            <w:tcBorders>
              <w:top w:val="nil"/>
              <w:left w:val="nil"/>
              <w:bottom w:val="single" w:sz="4" w:space="0" w:color="auto"/>
              <w:right w:val="single" w:sz="4" w:space="0" w:color="auto"/>
            </w:tcBorders>
            <w:noWrap/>
            <w:vAlign w:val="bottom"/>
            <w:hideMark/>
          </w:tcPr>
          <w:p w14:paraId="4D39E8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8 009</w:t>
            </w:r>
          </w:p>
        </w:tc>
      </w:tr>
      <w:tr w:rsidR="000C0842" w:rsidRPr="000C0842" w14:paraId="13AC0416" w14:textId="77777777" w:rsidTr="001F32B3">
        <w:tc>
          <w:tcPr>
            <w:tcW w:w="1880" w:type="dxa"/>
            <w:tcBorders>
              <w:top w:val="nil"/>
              <w:left w:val="single" w:sz="4" w:space="0" w:color="auto"/>
              <w:bottom w:val="single" w:sz="4" w:space="0" w:color="auto"/>
              <w:right w:val="single" w:sz="4" w:space="0" w:color="auto"/>
            </w:tcBorders>
            <w:hideMark/>
          </w:tcPr>
          <w:p w14:paraId="7BC29EF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哈萨克斯坦共和国</w:t>
            </w:r>
          </w:p>
        </w:tc>
        <w:tc>
          <w:tcPr>
            <w:tcW w:w="1628" w:type="dxa"/>
            <w:tcBorders>
              <w:top w:val="nil"/>
              <w:left w:val="nil"/>
              <w:bottom w:val="single" w:sz="4" w:space="0" w:color="auto"/>
              <w:right w:val="single" w:sz="4" w:space="0" w:color="auto"/>
            </w:tcBorders>
            <w:vAlign w:val="bottom"/>
            <w:hideMark/>
          </w:tcPr>
          <w:p w14:paraId="745A145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0.133</w:t>
            </w:r>
          </w:p>
        </w:tc>
        <w:tc>
          <w:tcPr>
            <w:tcW w:w="2198" w:type="dxa"/>
            <w:tcBorders>
              <w:top w:val="nil"/>
              <w:left w:val="nil"/>
              <w:bottom w:val="single" w:sz="4" w:space="0" w:color="auto"/>
              <w:right w:val="single" w:sz="4" w:space="0" w:color="auto"/>
            </w:tcBorders>
            <w:noWrap/>
            <w:vAlign w:val="bottom"/>
            <w:hideMark/>
          </w:tcPr>
          <w:p w14:paraId="3ECA617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0.166</w:t>
            </w:r>
          </w:p>
        </w:tc>
        <w:tc>
          <w:tcPr>
            <w:tcW w:w="1176" w:type="dxa"/>
            <w:tcBorders>
              <w:top w:val="nil"/>
              <w:left w:val="nil"/>
              <w:bottom w:val="single" w:sz="4" w:space="0" w:color="auto"/>
              <w:right w:val="single" w:sz="4" w:space="0" w:color="auto"/>
            </w:tcBorders>
            <w:noWrap/>
            <w:vAlign w:val="bottom"/>
            <w:hideMark/>
          </w:tcPr>
          <w:p w14:paraId="750AA7D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23 407</w:t>
            </w:r>
          </w:p>
        </w:tc>
        <w:tc>
          <w:tcPr>
            <w:tcW w:w="1461" w:type="dxa"/>
            <w:tcBorders>
              <w:top w:val="nil"/>
              <w:left w:val="nil"/>
              <w:bottom w:val="single" w:sz="4" w:space="0" w:color="auto"/>
              <w:right w:val="single" w:sz="4" w:space="0" w:color="auto"/>
            </w:tcBorders>
            <w:noWrap/>
            <w:vAlign w:val="bottom"/>
            <w:hideMark/>
          </w:tcPr>
          <w:p w14:paraId="34D5BC1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25 009</w:t>
            </w:r>
          </w:p>
        </w:tc>
        <w:tc>
          <w:tcPr>
            <w:tcW w:w="1080" w:type="dxa"/>
            <w:tcBorders>
              <w:top w:val="nil"/>
              <w:left w:val="nil"/>
              <w:bottom w:val="single" w:sz="4" w:space="0" w:color="auto"/>
              <w:right w:val="single" w:sz="4" w:space="0" w:color="auto"/>
            </w:tcBorders>
            <w:noWrap/>
            <w:vAlign w:val="bottom"/>
            <w:hideMark/>
          </w:tcPr>
          <w:p w14:paraId="069EC3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48 416</w:t>
            </w:r>
          </w:p>
        </w:tc>
      </w:tr>
      <w:tr w:rsidR="000C0842" w:rsidRPr="000C0842" w14:paraId="102AA614" w14:textId="77777777" w:rsidTr="001F32B3">
        <w:tc>
          <w:tcPr>
            <w:tcW w:w="1880" w:type="dxa"/>
            <w:tcBorders>
              <w:top w:val="nil"/>
              <w:left w:val="single" w:sz="4" w:space="0" w:color="auto"/>
              <w:bottom w:val="single" w:sz="4" w:space="0" w:color="auto"/>
              <w:right w:val="single" w:sz="4" w:space="0" w:color="auto"/>
            </w:tcBorders>
            <w:hideMark/>
          </w:tcPr>
          <w:p w14:paraId="49258A1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肯尼亚</w:t>
            </w:r>
          </w:p>
        </w:tc>
        <w:tc>
          <w:tcPr>
            <w:tcW w:w="1628" w:type="dxa"/>
            <w:tcBorders>
              <w:top w:val="nil"/>
              <w:left w:val="nil"/>
              <w:bottom w:val="single" w:sz="4" w:space="0" w:color="auto"/>
              <w:right w:val="single" w:sz="4" w:space="0" w:color="auto"/>
            </w:tcBorders>
            <w:vAlign w:val="bottom"/>
            <w:hideMark/>
          </w:tcPr>
          <w:p w14:paraId="402FAD3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0.030</w:t>
            </w:r>
          </w:p>
        </w:tc>
        <w:tc>
          <w:tcPr>
            <w:tcW w:w="2198" w:type="dxa"/>
            <w:tcBorders>
              <w:top w:val="nil"/>
              <w:left w:val="nil"/>
              <w:bottom w:val="single" w:sz="4" w:space="0" w:color="auto"/>
              <w:right w:val="single" w:sz="4" w:space="0" w:color="auto"/>
            </w:tcBorders>
            <w:noWrap/>
            <w:vAlign w:val="bottom"/>
            <w:hideMark/>
          </w:tcPr>
          <w:p w14:paraId="0014B9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0.038</w:t>
            </w:r>
          </w:p>
        </w:tc>
        <w:tc>
          <w:tcPr>
            <w:tcW w:w="1176" w:type="dxa"/>
            <w:tcBorders>
              <w:top w:val="nil"/>
              <w:left w:val="nil"/>
              <w:bottom w:val="single" w:sz="4" w:space="0" w:color="auto"/>
              <w:right w:val="single" w:sz="4" w:space="0" w:color="auto"/>
            </w:tcBorders>
            <w:noWrap/>
            <w:vAlign w:val="bottom"/>
            <w:hideMark/>
          </w:tcPr>
          <w:p w14:paraId="360CDA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5 280</w:t>
            </w:r>
          </w:p>
        </w:tc>
        <w:tc>
          <w:tcPr>
            <w:tcW w:w="1461" w:type="dxa"/>
            <w:tcBorders>
              <w:top w:val="nil"/>
              <w:left w:val="nil"/>
              <w:bottom w:val="single" w:sz="4" w:space="0" w:color="auto"/>
              <w:right w:val="single" w:sz="4" w:space="0" w:color="auto"/>
            </w:tcBorders>
            <w:noWrap/>
            <w:vAlign w:val="bottom"/>
            <w:hideMark/>
          </w:tcPr>
          <w:p w14:paraId="261AED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5 641</w:t>
            </w:r>
          </w:p>
        </w:tc>
        <w:tc>
          <w:tcPr>
            <w:tcW w:w="1080" w:type="dxa"/>
            <w:tcBorders>
              <w:top w:val="nil"/>
              <w:left w:val="nil"/>
              <w:bottom w:val="single" w:sz="4" w:space="0" w:color="auto"/>
              <w:right w:val="single" w:sz="4" w:space="0" w:color="auto"/>
            </w:tcBorders>
            <w:noWrap/>
            <w:vAlign w:val="bottom"/>
            <w:hideMark/>
          </w:tcPr>
          <w:p w14:paraId="7206F67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10 921</w:t>
            </w:r>
          </w:p>
        </w:tc>
      </w:tr>
      <w:tr w:rsidR="000C0842" w:rsidRPr="000C0842" w14:paraId="488CC2E2" w14:textId="77777777" w:rsidTr="001F32B3">
        <w:tc>
          <w:tcPr>
            <w:tcW w:w="1880" w:type="dxa"/>
            <w:tcBorders>
              <w:top w:val="nil"/>
              <w:left w:val="single" w:sz="4" w:space="0" w:color="auto"/>
              <w:bottom w:val="single" w:sz="4" w:space="0" w:color="auto"/>
              <w:right w:val="single" w:sz="4" w:space="0" w:color="auto"/>
            </w:tcBorders>
            <w:hideMark/>
          </w:tcPr>
          <w:p w14:paraId="4F31F53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基里巴斯</w:t>
            </w:r>
          </w:p>
        </w:tc>
        <w:tc>
          <w:tcPr>
            <w:tcW w:w="1628" w:type="dxa"/>
            <w:tcBorders>
              <w:top w:val="nil"/>
              <w:left w:val="nil"/>
              <w:bottom w:val="single" w:sz="4" w:space="0" w:color="auto"/>
              <w:right w:val="single" w:sz="4" w:space="0" w:color="auto"/>
            </w:tcBorders>
            <w:vAlign w:val="bottom"/>
            <w:hideMark/>
          </w:tcPr>
          <w:p w14:paraId="4A989E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C09B4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7B6D701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3071CCF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8D1ED6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7A9DDB60" w14:textId="77777777" w:rsidTr="001F32B3">
        <w:tc>
          <w:tcPr>
            <w:tcW w:w="1880" w:type="dxa"/>
            <w:tcBorders>
              <w:top w:val="nil"/>
              <w:left w:val="single" w:sz="4" w:space="0" w:color="auto"/>
              <w:bottom w:val="single" w:sz="4" w:space="0" w:color="auto"/>
              <w:right w:val="single" w:sz="4" w:space="0" w:color="auto"/>
            </w:tcBorders>
            <w:hideMark/>
          </w:tcPr>
          <w:p w14:paraId="5B1D42B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科威特</w:t>
            </w:r>
          </w:p>
        </w:tc>
        <w:tc>
          <w:tcPr>
            <w:tcW w:w="1628" w:type="dxa"/>
            <w:tcBorders>
              <w:top w:val="nil"/>
              <w:left w:val="nil"/>
              <w:bottom w:val="single" w:sz="4" w:space="0" w:color="auto"/>
              <w:right w:val="single" w:sz="4" w:space="0" w:color="auto"/>
            </w:tcBorders>
            <w:vAlign w:val="bottom"/>
            <w:hideMark/>
          </w:tcPr>
          <w:p w14:paraId="0C959F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0.234</w:t>
            </w:r>
          </w:p>
        </w:tc>
        <w:tc>
          <w:tcPr>
            <w:tcW w:w="2198" w:type="dxa"/>
            <w:tcBorders>
              <w:top w:val="nil"/>
              <w:left w:val="nil"/>
              <w:bottom w:val="single" w:sz="4" w:space="0" w:color="auto"/>
              <w:right w:val="single" w:sz="4" w:space="0" w:color="auto"/>
            </w:tcBorders>
            <w:noWrap/>
            <w:vAlign w:val="bottom"/>
            <w:hideMark/>
          </w:tcPr>
          <w:p w14:paraId="630B579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0.293</w:t>
            </w:r>
          </w:p>
        </w:tc>
        <w:tc>
          <w:tcPr>
            <w:tcW w:w="1176" w:type="dxa"/>
            <w:tcBorders>
              <w:top w:val="nil"/>
              <w:left w:val="nil"/>
              <w:bottom w:val="single" w:sz="4" w:space="0" w:color="auto"/>
              <w:right w:val="single" w:sz="4" w:space="0" w:color="auto"/>
            </w:tcBorders>
            <w:noWrap/>
            <w:vAlign w:val="bottom"/>
            <w:hideMark/>
          </w:tcPr>
          <w:p w14:paraId="452CAA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41 183</w:t>
            </w:r>
          </w:p>
        </w:tc>
        <w:tc>
          <w:tcPr>
            <w:tcW w:w="1461" w:type="dxa"/>
            <w:tcBorders>
              <w:top w:val="nil"/>
              <w:left w:val="nil"/>
              <w:bottom w:val="single" w:sz="4" w:space="0" w:color="auto"/>
              <w:right w:val="single" w:sz="4" w:space="0" w:color="auto"/>
            </w:tcBorders>
            <w:noWrap/>
            <w:vAlign w:val="bottom"/>
            <w:hideMark/>
          </w:tcPr>
          <w:p w14:paraId="5D9E7E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44 001</w:t>
            </w:r>
          </w:p>
        </w:tc>
        <w:tc>
          <w:tcPr>
            <w:tcW w:w="1080" w:type="dxa"/>
            <w:tcBorders>
              <w:top w:val="nil"/>
              <w:left w:val="nil"/>
              <w:bottom w:val="single" w:sz="4" w:space="0" w:color="auto"/>
              <w:right w:val="single" w:sz="4" w:space="0" w:color="auto"/>
            </w:tcBorders>
            <w:noWrap/>
            <w:vAlign w:val="bottom"/>
            <w:hideMark/>
          </w:tcPr>
          <w:p w14:paraId="2458B82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85 183</w:t>
            </w:r>
          </w:p>
        </w:tc>
      </w:tr>
      <w:tr w:rsidR="000C0842" w:rsidRPr="000C0842" w14:paraId="45F2B00F" w14:textId="77777777" w:rsidTr="001F32B3">
        <w:tc>
          <w:tcPr>
            <w:tcW w:w="1880" w:type="dxa"/>
            <w:tcBorders>
              <w:top w:val="nil"/>
              <w:left w:val="single" w:sz="4" w:space="0" w:color="auto"/>
              <w:bottom w:val="single" w:sz="4" w:space="0" w:color="auto"/>
              <w:right w:val="single" w:sz="4" w:space="0" w:color="auto"/>
            </w:tcBorders>
            <w:hideMark/>
          </w:tcPr>
          <w:p w14:paraId="14F5F3F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吉尔吉斯斯坦</w:t>
            </w:r>
          </w:p>
        </w:tc>
        <w:tc>
          <w:tcPr>
            <w:tcW w:w="1628" w:type="dxa"/>
            <w:tcBorders>
              <w:top w:val="nil"/>
              <w:left w:val="nil"/>
              <w:bottom w:val="single" w:sz="4" w:space="0" w:color="auto"/>
              <w:right w:val="single" w:sz="4" w:space="0" w:color="auto"/>
            </w:tcBorders>
            <w:vAlign w:val="bottom"/>
            <w:hideMark/>
          </w:tcPr>
          <w:p w14:paraId="3A9C97B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2474B9D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2D0A6B1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03BA054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12684A2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038FAF0F" w14:textId="77777777" w:rsidTr="001F32B3">
        <w:tc>
          <w:tcPr>
            <w:tcW w:w="1880" w:type="dxa"/>
            <w:tcBorders>
              <w:top w:val="nil"/>
              <w:left w:val="single" w:sz="4" w:space="0" w:color="auto"/>
              <w:bottom w:val="single" w:sz="4" w:space="0" w:color="auto"/>
              <w:right w:val="single" w:sz="4" w:space="0" w:color="auto"/>
            </w:tcBorders>
            <w:hideMark/>
          </w:tcPr>
          <w:p w14:paraId="0A591821"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老挝人民民主共和国</w:t>
            </w:r>
          </w:p>
        </w:tc>
        <w:tc>
          <w:tcPr>
            <w:tcW w:w="1628" w:type="dxa"/>
            <w:tcBorders>
              <w:top w:val="nil"/>
              <w:left w:val="nil"/>
              <w:bottom w:val="single" w:sz="4" w:space="0" w:color="auto"/>
              <w:right w:val="single" w:sz="4" w:space="0" w:color="auto"/>
            </w:tcBorders>
            <w:vAlign w:val="bottom"/>
            <w:hideMark/>
          </w:tcPr>
          <w:p w14:paraId="16FF53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5C44605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4630423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44683D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6DFFA5F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4FEEAB27" w14:textId="77777777" w:rsidTr="001F32B3">
        <w:tc>
          <w:tcPr>
            <w:tcW w:w="1880" w:type="dxa"/>
            <w:tcBorders>
              <w:top w:val="nil"/>
              <w:left w:val="single" w:sz="4" w:space="0" w:color="auto"/>
              <w:bottom w:val="single" w:sz="4" w:space="0" w:color="auto"/>
              <w:right w:val="single" w:sz="4" w:space="0" w:color="auto"/>
            </w:tcBorders>
            <w:hideMark/>
          </w:tcPr>
          <w:p w14:paraId="3A3B855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拉脱维亚</w:t>
            </w:r>
          </w:p>
        </w:tc>
        <w:tc>
          <w:tcPr>
            <w:tcW w:w="1628" w:type="dxa"/>
            <w:tcBorders>
              <w:top w:val="nil"/>
              <w:left w:val="nil"/>
              <w:bottom w:val="single" w:sz="4" w:space="0" w:color="auto"/>
              <w:right w:val="single" w:sz="4" w:space="0" w:color="auto"/>
            </w:tcBorders>
            <w:vAlign w:val="bottom"/>
            <w:hideMark/>
          </w:tcPr>
          <w:p w14:paraId="1876A7C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0.050</w:t>
            </w:r>
          </w:p>
        </w:tc>
        <w:tc>
          <w:tcPr>
            <w:tcW w:w="2198" w:type="dxa"/>
            <w:tcBorders>
              <w:top w:val="nil"/>
              <w:left w:val="nil"/>
              <w:bottom w:val="single" w:sz="4" w:space="0" w:color="auto"/>
              <w:right w:val="single" w:sz="4" w:space="0" w:color="auto"/>
            </w:tcBorders>
            <w:noWrap/>
            <w:vAlign w:val="bottom"/>
            <w:hideMark/>
          </w:tcPr>
          <w:p w14:paraId="1B105DD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0.063</w:t>
            </w:r>
          </w:p>
        </w:tc>
        <w:tc>
          <w:tcPr>
            <w:tcW w:w="1176" w:type="dxa"/>
            <w:tcBorders>
              <w:top w:val="nil"/>
              <w:left w:val="nil"/>
              <w:bottom w:val="single" w:sz="4" w:space="0" w:color="auto"/>
              <w:right w:val="single" w:sz="4" w:space="0" w:color="auto"/>
            </w:tcBorders>
            <w:noWrap/>
            <w:vAlign w:val="bottom"/>
            <w:hideMark/>
          </w:tcPr>
          <w:p w14:paraId="5DEC7F9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8 800</w:t>
            </w:r>
          </w:p>
        </w:tc>
        <w:tc>
          <w:tcPr>
            <w:tcW w:w="1461" w:type="dxa"/>
            <w:tcBorders>
              <w:top w:val="nil"/>
              <w:left w:val="nil"/>
              <w:bottom w:val="single" w:sz="4" w:space="0" w:color="auto"/>
              <w:right w:val="single" w:sz="4" w:space="0" w:color="auto"/>
            </w:tcBorders>
            <w:noWrap/>
            <w:vAlign w:val="bottom"/>
            <w:hideMark/>
          </w:tcPr>
          <w:p w14:paraId="54E8453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9 402</w:t>
            </w:r>
          </w:p>
        </w:tc>
        <w:tc>
          <w:tcPr>
            <w:tcW w:w="1080" w:type="dxa"/>
            <w:tcBorders>
              <w:top w:val="nil"/>
              <w:left w:val="nil"/>
              <w:bottom w:val="single" w:sz="4" w:space="0" w:color="auto"/>
              <w:right w:val="single" w:sz="4" w:space="0" w:color="auto"/>
            </w:tcBorders>
            <w:noWrap/>
            <w:vAlign w:val="bottom"/>
            <w:hideMark/>
          </w:tcPr>
          <w:p w14:paraId="6DB4E62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18 202</w:t>
            </w:r>
          </w:p>
        </w:tc>
      </w:tr>
      <w:tr w:rsidR="000C0842" w:rsidRPr="000C0842" w14:paraId="05E39BA3" w14:textId="77777777" w:rsidTr="001F32B3">
        <w:tc>
          <w:tcPr>
            <w:tcW w:w="1880" w:type="dxa"/>
            <w:tcBorders>
              <w:top w:val="nil"/>
              <w:left w:val="single" w:sz="4" w:space="0" w:color="auto"/>
              <w:bottom w:val="single" w:sz="4" w:space="0" w:color="auto"/>
              <w:right w:val="single" w:sz="4" w:space="0" w:color="auto"/>
            </w:tcBorders>
            <w:hideMark/>
          </w:tcPr>
          <w:p w14:paraId="1228E58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黎巴嫩</w:t>
            </w:r>
          </w:p>
        </w:tc>
        <w:tc>
          <w:tcPr>
            <w:tcW w:w="1628" w:type="dxa"/>
            <w:tcBorders>
              <w:top w:val="nil"/>
              <w:left w:val="nil"/>
              <w:bottom w:val="single" w:sz="4" w:space="0" w:color="auto"/>
              <w:right w:val="single" w:sz="4" w:space="0" w:color="auto"/>
            </w:tcBorders>
            <w:vAlign w:val="bottom"/>
            <w:hideMark/>
          </w:tcPr>
          <w:p w14:paraId="45FAA7F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0.036</w:t>
            </w:r>
          </w:p>
        </w:tc>
        <w:tc>
          <w:tcPr>
            <w:tcW w:w="2198" w:type="dxa"/>
            <w:tcBorders>
              <w:top w:val="nil"/>
              <w:left w:val="nil"/>
              <w:bottom w:val="single" w:sz="4" w:space="0" w:color="auto"/>
              <w:right w:val="single" w:sz="4" w:space="0" w:color="auto"/>
            </w:tcBorders>
            <w:noWrap/>
            <w:vAlign w:val="bottom"/>
            <w:hideMark/>
          </w:tcPr>
          <w:p w14:paraId="3C0A777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0.045</w:t>
            </w:r>
          </w:p>
        </w:tc>
        <w:tc>
          <w:tcPr>
            <w:tcW w:w="1176" w:type="dxa"/>
            <w:tcBorders>
              <w:top w:val="nil"/>
              <w:left w:val="nil"/>
              <w:bottom w:val="single" w:sz="4" w:space="0" w:color="auto"/>
              <w:right w:val="single" w:sz="4" w:space="0" w:color="auto"/>
            </w:tcBorders>
            <w:noWrap/>
            <w:vAlign w:val="bottom"/>
            <w:hideMark/>
          </w:tcPr>
          <w:p w14:paraId="7896B83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6 336</w:t>
            </w:r>
          </w:p>
        </w:tc>
        <w:tc>
          <w:tcPr>
            <w:tcW w:w="1461" w:type="dxa"/>
            <w:tcBorders>
              <w:top w:val="nil"/>
              <w:left w:val="nil"/>
              <w:bottom w:val="single" w:sz="4" w:space="0" w:color="auto"/>
              <w:right w:val="single" w:sz="4" w:space="0" w:color="auto"/>
            </w:tcBorders>
            <w:noWrap/>
            <w:vAlign w:val="bottom"/>
            <w:hideMark/>
          </w:tcPr>
          <w:p w14:paraId="4925426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6 769</w:t>
            </w:r>
          </w:p>
        </w:tc>
        <w:tc>
          <w:tcPr>
            <w:tcW w:w="1080" w:type="dxa"/>
            <w:tcBorders>
              <w:top w:val="nil"/>
              <w:left w:val="nil"/>
              <w:bottom w:val="single" w:sz="4" w:space="0" w:color="auto"/>
              <w:right w:val="single" w:sz="4" w:space="0" w:color="auto"/>
            </w:tcBorders>
            <w:noWrap/>
            <w:vAlign w:val="bottom"/>
            <w:hideMark/>
          </w:tcPr>
          <w:p w14:paraId="3572884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13 105</w:t>
            </w:r>
          </w:p>
        </w:tc>
      </w:tr>
      <w:tr w:rsidR="000C0842" w:rsidRPr="000C0842" w14:paraId="5125BFEA" w14:textId="77777777" w:rsidTr="001F32B3">
        <w:tc>
          <w:tcPr>
            <w:tcW w:w="1880" w:type="dxa"/>
            <w:tcBorders>
              <w:top w:val="nil"/>
              <w:left w:val="single" w:sz="4" w:space="0" w:color="auto"/>
              <w:bottom w:val="single" w:sz="4" w:space="0" w:color="auto"/>
              <w:right w:val="single" w:sz="4" w:space="0" w:color="auto"/>
            </w:tcBorders>
            <w:hideMark/>
          </w:tcPr>
          <w:p w14:paraId="07D66F6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莱索托</w:t>
            </w:r>
          </w:p>
        </w:tc>
        <w:tc>
          <w:tcPr>
            <w:tcW w:w="1628" w:type="dxa"/>
            <w:tcBorders>
              <w:top w:val="nil"/>
              <w:left w:val="nil"/>
              <w:bottom w:val="single" w:sz="4" w:space="0" w:color="auto"/>
              <w:right w:val="single" w:sz="4" w:space="0" w:color="auto"/>
            </w:tcBorders>
            <w:vAlign w:val="bottom"/>
            <w:hideMark/>
          </w:tcPr>
          <w:p w14:paraId="487C2B7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E9D444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5251713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197257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29C4C3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79879A7E" w14:textId="77777777" w:rsidTr="001F32B3">
        <w:tc>
          <w:tcPr>
            <w:tcW w:w="1880" w:type="dxa"/>
            <w:tcBorders>
              <w:top w:val="nil"/>
              <w:left w:val="single" w:sz="4" w:space="0" w:color="auto"/>
              <w:bottom w:val="single" w:sz="4" w:space="0" w:color="auto"/>
              <w:right w:val="single" w:sz="4" w:space="0" w:color="auto"/>
            </w:tcBorders>
            <w:hideMark/>
          </w:tcPr>
          <w:p w14:paraId="3040423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利比里亚</w:t>
            </w:r>
          </w:p>
        </w:tc>
        <w:tc>
          <w:tcPr>
            <w:tcW w:w="1628" w:type="dxa"/>
            <w:tcBorders>
              <w:top w:val="nil"/>
              <w:left w:val="nil"/>
              <w:bottom w:val="single" w:sz="4" w:space="0" w:color="auto"/>
              <w:right w:val="single" w:sz="4" w:space="0" w:color="auto"/>
            </w:tcBorders>
            <w:vAlign w:val="bottom"/>
            <w:hideMark/>
          </w:tcPr>
          <w:p w14:paraId="2C39C38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F0FC4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5AE6B96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6063C5A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EA2E06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DCC1F2F" w14:textId="77777777" w:rsidTr="001F32B3">
        <w:tc>
          <w:tcPr>
            <w:tcW w:w="1880" w:type="dxa"/>
            <w:tcBorders>
              <w:top w:val="nil"/>
              <w:left w:val="single" w:sz="4" w:space="0" w:color="auto"/>
              <w:bottom w:val="single" w:sz="4" w:space="0" w:color="auto"/>
              <w:right w:val="single" w:sz="4" w:space="0" w:color="auto"/>
            </w:tcBorders>
            <w:hideMark/>
          </w:tcPr>
          <w:p w14:paraId="623ED44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利比亚</w:t>
            </w:r>
          </w:p>
        </w:tc>
        <w:tc>
          <w:tcPr>
            <w:tcW w:w="1628" w:type="dxa"/>
            <w:tcBorders>
              <w:top w:val="nil"/>
              <w:left w:val="nil"/>
              <w:bottom w:val="single" w:sz="4" w:space="0" w:color="auto"/>
              <w:right w:val="single" w:sz="4" w:space="0" w:color="auto"/>
            </w:tcBorders>
            <w:vAlign w:val="bottom"/>
            <w:hideMark/>
          </w:tcPr>
          <w:p w14:paraId="1F626F0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0.018</w:t>
            </w:r>
          </w:p>
        </w:tc>
        <w:tc>
          <w:tcPr>
            <w:tcW w:w="2198" w:type="dxa"/>
            <w:tcBorders>
              <w:top w:val="nil"/>
              <w:left w:val="nil"/>
              <w:bottom w:val="single" w:sz="4" w:space="0" w:color="auto"/>
              <w:right w:val="single" w:sz="4" w:space="0" w:color="auto"/>
            </w:tcBorders>
            <w:noWrap/>
            <w:vAlign w:val="bottom"/>
            <w:hideMark/>
          </w:tcPr>
          <w:p w14:paraId="1E4B159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0.023</w:t>
            </w:r>
          </w:p>
        </w:tc>
        <w:tc>
          <w:tcPr>
            <w:tcW w:w="1176" w:type="dxa"/>
            <w:tcBorders>
              <w:top w:val="nil"/>
              <w:left w:val="nil"/>
              <w:bottom w:val="single" w:sz="4" w:space="0" w:color="auto"/>
              <w:right w:val="single" w:sz="4" w:space="0" w:color="auto"/>
            </w:tcBorders>
            <w:noWrap/>
            <w:vAlign w:val="bottom"/>
            <w:hideMark/>
          </w:tcPr>
          <w:p w14:paraId="41885A2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3 168</w:t>
            </w:r>
          </w:p>
        </w:tc>
        <w:tc>
          <w:tcPr>
            <w:tcW w:w="1461" w:type="dxa"/>
            <w:tcBorders>
              <w:top w:val="nil"/>
              <w:left w:val="nil"/>
              <w:bottom w:val="single" w:sz="4" w:space="0" w:color="auto"/>
              <w:right w:val="single" w:sz="4" w:space="0" w:color="auto"/>
            </w:tcBorders>
            <w:noWrap/>
            <w:vAlign w:val="bottom"/>
            <w:hideMark/>
          </w:tcPr>
          <w:p w14:paraId="26F8A1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3 385</w:t>
            </w:r>
          </w:p>
        </w:tc>
        <w:tc>
          <w:tcPr>
            <w:tcW w:w="1080" w:type="dxa"/>
            <w:tcBorders>
              <w:top w:val="nil"/>
              <w:left w:val="nil"/>
              <w:bottom w:val="single" w:sz="4" w:space="0" w:color="auto"/>
              <w:right w:val="single" w:sz="4" w:space="0" w:color="auto"/>
            </w:tcBorders>
            <w:noWrap/>
            <w:vAlign w:val="bottom"/>
            <w:hideMark/>
          </w:tcPr>
          <w:p w14:paraId="2B57AE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6 553</w:t>
            </w:r>
          </w:p>
        </w:tc>
      </w:tr>
      <w:tr w:rsidR="000C0842" w:rsidRPr="000C0842" w14:paraId="54B893F7" w14:textId="77777777" w:rsidTr="001F32B3">
        <w:tc>
          <w:tcPr>
            <w:tcW w:w="1880" w:type="dxa"/>
            <w:tcBorders>
              <w:top w:val="nil"/>
              <w:left w:val="single" w:sz="4" w:space="0" w:color="auto"/>
              <w:bottom w:val="single" w:sz="4" w:space="0" w:color="auto"/>
              <w:right w:val="single" w:sz="4" w:space="0" w:color="auto"/>
            </w:tcBorders>
            <w:hideMark/>
          </w:tcPr>
          <w:p w14:paraId="7AD52AC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列支敦士登</w:t>
            </w:r>
          </w:p>
        </w:tc>
        <w:tc>
          <w:tcPr>
            <w:tcW w:w="1628" w:type="dxa"/>
            <w:tcBorders>
              <w:top w:val="nil"/>
              <w:left w:val="nil"/>
              <w:bottom w:val="single" w:sz="4" w:space="0" w:color="auto"/>
              <w:right w:val="single" w:sz="4" w:space="0" w:color="auto"/>
            </w:tcBorders>
            <w:vAlign w:val="bottom"/>
            <w:hideMark/>
          </w:tcPr>
          <w:p w14:paraId="5ED648C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5DB25D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0.013</w:t>
            </w:r>
          </w:p>
        </w:tc>
        <w:tc>
          <w:tcPr>
            <w:tcW w:w="1176" w:type="dxa"/>
            <w:tcBorders>
              <w:top w:val="nil"/>
              <w:left w:val="nil"/>
              <w:bottom w:val="single" w:sz="4" w:space="0" w:color="auto"/>
              <w:right w:val="single" w:sz="4" w:space="0" w:color="auto"/>
            </w:tcBorders>
            <w:noWrap/>
            <w:vAlign w:val="bottom"/>
            <w:hideMark/>
          </w:tcPr>
          <w:p w14:paraId="1EB7BAE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1 760</w:t>
            </w:r>
          </w:p>
        </w:tc>
        <w:tc>
          <w:tcPr>
            <w:tcW w:w="1461" w:type="dxa"/>
            <w:tcBorders>
              <w:top w:val="nil"/>
              <w:left w:val="nil"/>
              <w:bottom w:val="single" w:sz="4" w:space="0" w:color="auto"/>
              <w:right w:val="single" w:sz="4" w:space="0" w:color="auto"/>
            </w:tcBorders>
            <w:noWrap/>
            <w:vAlign w:val="bottom"/>
            <w:hideMark/>
          </w:tcPr>
          <w:p w14:paraId="098902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1 880</w:t>
            </w:r>
          </w:p>
        </w:tc>
        <w:tc>
          <w:tcPr>
            <w:tcW w:w="1080" w:type="dxa"/>
            <w:tcBorders>
              <w:top w:val="nil"/>
              <w:left w:val="nil"/>
              <w:bottom w:val="single" w:sz="4" w:space="0" w:color="auto"/>
              <w:right w:val="single" w:sz="4" w:space="0" w:color="auto"/>
            </w:tcBorders>
            <w:noWrap/>
            <w:vAlign w:val="bottom"/>
            <w:hideMark/>
          </w:tcPr>
          <w:p w14:paraId="683BAF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3 640</w:t>
            </w:r>
          </w:p>
        </w:tc>
      </w:tr>
      <w:tr w:rsidR="000C0842" w:rsidRPr="000C0842" w14:paraId="1380BBB7" w14:textId="77777777" w:rsidTr="001F32B3">
        <w:tc>
          <w:tcPr>
            <w:tcW w:w="1880" w:type="dxa"/>
            <w:tcBorders>
              <w:top w:val="nil"/>
              <w:left w:val="single" w:sz="4" w:space="0" w:color="auto"/>
              <w:bottom w:val="single" w:sz="4" w:space="0" w:color="auto"/>
              <w:right w:val="single" w:sz="4" w:space="0" w:color="auto"/>
            </w:tcBorders>
            <w:hideMark/>
          </w:tcPr>
          <w:p w14:paraId="481154A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立陶宛</w:t>
            </w:r>
          </w:p>
        </w:tc>
        <w:tc>
          <w:tcPr>
            <w:tcW w:w="1628" w:type="dxa"/>
            <w:tcBorders>
              <w:top w:val="nil"/>
              <w:left w:val="nil"/>
              <w:bottom w:val="single" w:sz="4" w:space="0" w:color="auto"/>
              <w:right w:val="single" w:sz="4" w:space="0" w:color="auto"/>
            </w:tcBorders>
            <w:vAlign w:val="bottom"/>
            <w:hideMark/>
          </w:tcPr>
          <w:p w14:paraId="5BEA6A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0.077</w:t>
            </w:r>
          </w:p>
        </w:tc>
        <w:tc>
          <w:tcPr>
            <w:tcW w:w="2198" w:type="dxa"/>
            <w:tcBorders>
              <w:top w:val="nil"/>
              <w:left w:val="nil"/>
              <w:bottom w:val="single" w:sz="4" w:space="0" w:color="auto"/>
              <w:right w:val="single" w:sz="4" w:space="0" w:color="auto"/>
            </w:tcBorders>
            <w:noWrap/>
            <w:vAlign w:val="bottom"/>
            <w:hideMark/>
          </w:tcPr>
          <w:p w14:paraId="4B141C0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0.096</w:t>
            </w:r>
          </w:p>
        </w:tc>
        <w:tc>
          <w:tcPr>
            <w:tcW w:w="1176" w:type="dxa"/>
            <w:tcBorders>
              <w:top w:val="nil"/>
              <w:left w:val="nil"/>
              <w:bottom w:val="single" w:sz="4" w:space="0" w:color="auto"/>
              <w:right w:val="single" w:sz="4" w:space="0" w:color="auto"/>
            </w:tcBorders>
            <w:noWrap/>
            <w:vAlign w:val="bottom"/>
            <w:hideMark/>
          </w:tcPr>
          <w:p w14:paraId="5D82FE0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13 552</w:t>
            </w:r>
          </w:p>
        </w:tc>
        <w:tc>
          <w:tcPr>
            <w:tcW w:w="1461" w:type="dxa"/>
            <w:tcBorders>
              <w:top w:val="nil"/>
              <w:left w:val="nil"/>
              <w:bottom w:val="single" w:sz="4" w:space="0" w:color="auto"/>
              <w:right w:val="single" w:sz="4" w:space="0" w:color="auto"/>
            </w:tcBorders>
            <w:noWrap/>
            <w:vAlign w:val="bottom"/>
            <w:hideMark/>
          </w:tcPr>
          <w:p w14:paraId="0558E83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14 479</w:t>
            </w:r>
          </w:p>
        </w:tc>
        <w:tc>
          <w:tcPr>
            <w:tcW w:w="1080" w:type="dxa"/>
            <w:tcBorders>
              <w:top w:val="nil"/>
              <w:left w:val="nil"/>
              <w:bottom w:val="single" w:sz="4" w:space="0" w:color="auto"/>
              <w:right w:val="single" w:sz="4" w:space="0" w:color="auto"/>
            </w:tcBorders>
            <w:noWrap/>
            <w:vAlign w:val="bottom"/>
            <w:hideMark/>
          </w:tcPr>
          <w:p w14:paraId="3ED1D90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28 030</w:t>
            </w:r>
          </w:p>
        </w:tc>
      </w:tr>
      <w:tr w:rsidR="000C0842" w:rsidRPr="000C0842" w14:paraId="51B79C88" w14:textId="77777777" w:rsidTr="001F32B3">
        <w:tc>
          <w:tcPr>
            <w:tcW w:w="1880" w:type="dxa"/>
            <w:tcBorders>
              <w:top w:val="nil"/>
              <w:left w:val="single" w:sz="4" w:space="0" w:color="auto"/>
              <w:bottom w:val="single" w:sz="4" w:space="0" w:color="auto"/>
              <w:right w:val="single" w:sz="4" w:space="0" w:color="auto"/>
            </w:tcBorders>
            <w:hideMark/>
          </w:tcPr>
          <w:p w14:paraId="4CAE15D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卢森堡</w:t>
            </w:r>
          </w:p>
        </w:tc>
        <w:tc>
          <w:tcPr>
            <w:tcW w:w="1628" w:type="dxa"/>
            <w:tcBorders>
              <w:top w:val="nil"/>
              <w:left w:val="nil"/>
              <w:bottom w:val="single" w:sz="4" w:space="0" w:color="auto"/>
              <w:right w:val="single" w:sz="4" w:space="0" w:color="auto"/>
            </w:tcBorders>
            <w:vAlign w:val="bottom"/>
            <w:hideMark/>
          </w:tcPr>
          <w:p w14:paraId="4D8912C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0.068</w:t>
            </w:r>
          </w:p>
        </w:tc>
        <w:tc>
          <w:tcPr>
            <w:tcW w:w="2198" w:type="dxa"/>
            <w:tcBorders>
              <w:top w:val="nil"/>
              <w:left w:val="nil"/>
              <w:bottom w:val="single" w:sz="4" w:space="0" w:color="auto"/>
              <w:right w:val="single" w:sz="4" w:space="0" w:color="auto"/>
            </w:tcBorders>
            <w:noWrap/>
            <w:vAlign w:val="bottom"/>
            <w:hideMark/>
          </w:tcPr>
          <w:p w14:paraId="1EA23A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0.085</w:t>
            </w:r>
          </w:p>
        </w:tc>
        <w:tc>
          <w:tcPr>
            <w:tcW w:w="1176" w:type="dxa"/>
            <w:tcBorders>
              <w:top w:val="nil"/>
              <w:left w:val="nil"/>
              <w:bottom w:val="single" w:sz="4" w:space="0" w:color="auto"/>
              <w:right w:val="single" w:sz="4" w:space="0" w:color="auto"/>
            </w:tcBorders>
            <w:noWrap/>
            <w:vAlign w:val="bottom"/>
            <w:hideMark/>
          </w:tcPr>
          <w:p w14:paraId="509EC10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11 968</w:t>
            </w:r>
          </w:p>
        </w:tc>
        <w:tc>
          <w:tcPr>
            <w:tcW w:w="1461" w:type="dxa"/>
            <w:tcBorders>
              <w:top w:val="nil"/>
              <w:left w:val="nil"/>
              <w:bottom w:val="single" w:sz="4" w:space="0" w:color="auto"/>
              <w:right w:val="single" w:sz="4" w:space="0" w:color="auto"/>
            </w:tcBorders>
            <w:noWrap/>
            <w:vAlign w:val="bottom"/>
            <w:hideMark/>
          </w:tcPr>
          <w:p w14:paraId="75607DA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12 786</w:t>
            </w:r>
          </w:p>
        </w:tc>
        <w:tc>
          <w:tcPr>
            <w:tcW w:w="1080" w:type="dxa"/>
            <w:tcBorders>
              <w:top w:val="nil"/>
              <w:left w:val="nil"/>
              <w:bottom w:val="single" w:sz="4" w:space="0" w:color="auto"/>
              <w:right w:val="single" w:sz="4" w:space="0" w:color="auto"/>
            </w:tcBorders>
            <w:noWrap/>
            <w:vAlign w:val="bottom"/>
            <w:hideMark/>
          </w:tcPr>
          <w:p w14:paraId="11C1C5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24 754</w:t>
            </w:r>
          </w:p>
        </w:tc>
      </w:tr>
      <w:tr w:rsidR="000C0842" w:rsidRPr="000C0842" w14:paraId="64DE7840" w14:textId="77777777" w:rsidTr="001F32B3">
        <w:tc>
          <w:tcPr>
            <w:tcW w:w="1880" w:type="dxa"/>
            <w:tcBorders>
              <w:top w:val="nil"/>
              <w:left w:val="single" w:sz="4" w:space="0" w:color="auto"/>
              <w:bottom w:val="single" w:sz="4" w:space="0" w:color="auto"/>
              <w:right w:val="single" w:sz="4" w:space="0" w:color="auto"/>
            </w:tcBorders>
            <w:hideMark/>
          </w:tcPr>
          <w:p w14:paraId="0BFCE72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马达加斯加</w:t>
            </w:r>
          </w:p>
        </w:tc>
        <w:tc>
          <w:tcPr>
            <w:tcW w:w="1628" w:type="dxa"/>
            <w:tcBorders>
              <w:top w:val="nil"/>
              <w:left w:val="nil"/>
              <w:bottom w:val="single" w:sz="4" w:space="0" w:color="auto"/>
              <w:right w:val="single" w:sz="4" w:space="0" w:color="auto"/>
            </w:tcBorders>
            <w:vAlign w:val="bottom"/>
            <w:hideMark/>
          </w:tcPr>
          <w:p w14:paraId="003D4DB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4ADA36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3067A7A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1396A92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15E3F29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233CAAF0" w14:textId="77777777" w:rsidTr="001F32B3">
        <w:tc>
          <w:tcPr>
            <w:tcW w:w="1880" w:type="dxa"/>
            <w:tcBorders>
              <w:top w:val="nil"/>
              <w:left w:val="single" w:sz="4" w:space="0" w:color="auto"/>
              <w:bottom w:val="single" w:sz="4" w:space="0" w:color="auto"/>
              <w:right w:val="single" w:sz="4" w:space="0" w:color="auto"/>
            </w:tcBorders>
            <w:hideMark/>
          </w:tcPr>
          <w:p w14:paraId="45B8109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马拉维</w:t>
            </w:r>
          </w:p>
        </w:tc>
        <w:tc>
          <w:tcPr>
            <w:tcW w:w="1628" w:type="dxa"/>
            <w:tcBorders>
              <w:top w:val="nil"/>
              <w:left w:val="nil"/>
              <w:bottom w:val="single" w:sz="4" w:space="0" w:color="auto"/>
              <w:right w:val="single" w:sz="4" w:space="0" w:color="auto"/>
            </w:tcBorders>
            <w:vAlign w:val="bottom"/>
            <w:hideMark/>
          </w:tcPr>
          <w:p w14:paraId="4160FC1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40B4080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55A3B55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04701C6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5BFD65F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23F5D112" w14:textId="77777777" w:rsidTr="001F32B3">
        <w:tc>
          <w:tcPr>
            <w:tcW w:w="1880" w:type="dxa"/>
            <w:tcBorders>
              <w:top w:val="nil"/>
              <w:left w:val="single" w:sz="4" w:space="0" w:color="auto"/>
              <w:bottom w:val="single" w:sz="4" w:space="0" w:color="auto"/>
              <w:right w:val="single" w:sz="4" w:space="0" w:color="auto"/>
            </w:tcBorders>
            <w:hideMark/>
          </w:tcPr>
          <w:p w14:paraId="6976919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马来西亚</w:t>
            </w:r>
          </w:p>
        </w:tc>
        <w:tc>
          <w:tcPr>
            <w:tcW w:w="1628" w:type="dxa"/>
            <w:tcBorders>
              <w:top w:val="nil"/>
              <w:left w:val="nil"/>
              <w:bottom w:val="single" w:sz="4" w:space="0" w:color="auto"/>
              <w:right w:val="single" w:sz="4" w:space="0" w:color="auto"/>
            </w:tcBorders>
            <w:vAlign w:val="bottom"/>
            <w:hideMark/>
          </w:tcPr>
          <w:p w14:paraId="04BCA7A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0.348</w:t>
            </w:r>
          </w:p>
        </w:tc>
        <w:tc>
          <w:tcPr>
            <w:tcW w:w="2198" w:type="dxa"/>
            <w:tcBorders>
              <w:top w:val="nil"/>
              <w:left w:val="nil"/>
              <w:bottom w:val="single" w:sz="4" w:space="0" w:color="auto"/>
              <w:right w:val="single" w:sz="4" w:space="0" w:color="auto"/>
            </w:tcBorders>
            <w:noWrap/>
            <w:vAlign w:val="bottom"/>
            <w:hideMark/>
          </w:tcPr>
          <w:p w14:paraId="54794C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0.435</w:t>
            </w:r>
          </w:p>
        </w:tc>
        <w:tc>
          <w:tcPr>
            <w:tcW w:w="1176" w:type="dxa"/>
            <w:tcBorders>
              <w:top w:val="nil"/>
              <w:left w:val="nil"/>
              <w:bottom w:val="single" w:sz="4" w:space="0" w:color="auto"/>
              <w:right w:val="single" w:sz="4" w:space="0" w:color="auto"/>
            </w:tcBorders>
            <w:noWrap/>
            <w:vAlign w:val="bottom"/>
            <w:hideMark/>
          </w:tcPr>
          <w:p w14:paraId="4C769E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61 246</w:t>
            </w:r>
          </w:p>
        </w:tc>
        <w:tc>
          <w:tcPr>
            <w:tcW w:w="1461" w:type="dxa"/>
            <w:tcBorders>
              <w:top w:val="nil"/>
              <w:left w:val="nil"/>
              <w:bottom w:val="single" w:sz="4" w:space="0" w:color="auto"/>
              <w:right w:val="single" w:sz="4" w:space="0" w:color="auto"/>
            </w:tcBorders>
            <w:noWrap/>
            <w:vAlign w:val="bottom"/>
            <w:hideMark/>
          </w:tcPr>
          <w:p w14:paraId="7DBA2C6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65 437</w:t>
            </w:r>
          </w:p>
        </w:tc>
        <w:tc>
          <w:tcPr>
            <w:tcW w:w="1080" w:type="dxa"/>
            <w:tcBorders>
              <w:top w:val="nil"/>
              <w:left w:val="nil"/>
              <w:bottom w:val="single" w:sz="4" w:space="0" w:color="auto"/>
              <w:right w:val="single" w:sz="4" w:space="0" w:color="auto"/>
            </w:tcBorders>
            <w:noWrap/>
            <w:vAlign w:val="bottom"/>
            <w:hideMark/>
          </w:tcPr>
          <w:p w14:paraId="6A463F4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126 683</w:t>
            </w:r>
          </w:p>
        </w:tc>
      </w:tr>
      <w:tr w:rsidR="000C0842" w:rsidRPr="000C0842" w14:paraId="4EA5E007" w14:textId="77777777" w:rsidTr="001F32B3">
        <w:tc>
          <w:tcPr>
            <w:tcW w:w="1880" w:type="dxa"/>
            <w:tcBorders>
              <w:top w:val="nil"/>
              <w:left w:val="single" w:sz="4" w:space="0" w:color="auto"/>
              <w:bottom w:val="single" w:sz="4" w:space="0" w:color="auto"/>
              <w:right w:val="single" w:sz="4" w:space="0" w:color="auto"/>
            </w:tcBorders>
            <w:hideMark/>
          </w:tcPr>
          <w:p w14:paraId="2862705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马尔代夫</w:t>
            </w:r>
          </w:p>
        </w:tc>
        <w:tc>
          <w:tcPr>
            <w:tcW w:w="1628" w:type="dxa"/>
            <w:tcBorders>
              <w:top w:val="nil"/>
              <w:left w:val="nil"/>
              <w:bottom w:val="single" w:sz="4" w:space="0" w:color="auto"/>
              <w:right w:val="single" w:sz="4" w:space="0" w:color="auto"/>
            </w:tcBorders>
            <w:vAlign w:val="bottom"/>
            <w:hideMark/>
          </w:tcPr>
          <w:p w14:paraId="637B7F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13D96A4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16CE79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0A29A23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7A41F01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1C8CA754" w14:textId="77777777" w:rsidTr="001F32B3">
        <w:tc>
          <w:tcPr>
            <w:tcW w:w="1880" w:type="dxa"/>
            <w:tcBorders>
              <w:top w:val="nil"/>
              <w:left w:val="single" w:sz="4" w:space="0" w:color="auto"/>
              <w:bottom w:val="single" w:sz="4" w:space="0" w:color="auto"/>
              <w:right w:val="single" w:sz="4" w:space="0" w:color="auto"/>
            </w:tcBorders>
            <w:hideMark/>
          </w:tcPr>
          <w:p w14:paraId="4C9055A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Calibri" w:eastAsia="SimSun" w:hAnsi="Calibri" w:cs="Calibri" w:hint="eastAsia"/>
                <w:sz w:val="18"/>
                <w:szCs w:val="18"/>
                <w:lang w:val="en-GB"/>
              </w:rPr>
              <w:t>马里</w:t>
            </w:r>
          </w:p>
        </w:tc>
        <w:tc>
          <w:tcPr>
            <w:tcW w:w="1628" w:type="dxa"/>
            <w:tcBorders>
              <w:top w:val="nil"/>
              <w:left w:val="nil"/>
              <w:bottom w:val="single" w:sz="4" w:space="0" w:color="auto"/>
              <w:right w:val="single" w:sz="4" w:space="0" w:color="auto"/>
            </w:tcBorders>
            <w:vAlign w:val="bottom"/>
            <w:hideMark/>
          </w:tcPr>
          <w:p w14:paraId="583354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444C8B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479114E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23DAD1F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1CB666A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24349104" w14:textId="77777777" w:rsidTr="001F32B3">
        <w:tc>
          <w:tcPr>
            <w:tcW w:w="1880" w:type="dxa"/>
            <w:tcBorders>
              <w:top w:val="nil"/>
              <w:left w:val="single" w:sz="4" w:space="0" w:color="auto"/>
              <w:bottom w:val="single" w:sz="4" w:space="0" w:color="auto"/>
              <w:right w:val="single" w:sz="4" w:space="0" w:color="auto"/>
            </w:tcBorders>
            <w:hideMark/>
          </w:tcPr>
          <w:p w14:paraId="5AFBFDC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马耳他</w:t>
            </w:r>
          </w:p>
        </w:tc>
        <w:tc>
          <w:tcPr>
            <w:tcW w:w="1628" w:type="dxa"/>
            <w:tcBorders>
              <w:top w:val="nil"/>
              <w:left w:val="nil"/>
              <w:bottom w:val="single" w:sz="4" w:space="0" w:color="auto"/>
              <w:right w:val="single" w:sz="4" w:space="0" w:color="auto"/>
            </w:tcBorders>
            <w:vAlign w:val="bottom"/>
            <w:hideMark/>
          </w:tcPr>
          <w:p w14:paraId="1042D6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2198" w:type="dxa"/>
            <w:tcBorders>
              <w:top w:val="nil"/>
              <w:left w:val="nil"/>
              <w:bottom w:val="single" w:sz="4" w:space="0" w:color="auto"/>
              <w:right w:val="single" w:sz="4" w:space="0" w:color="auto"/>
            </w:tcBorders>
            <w:noWrap/>
            <w:vAlign w:val="bottom"/>
            <w:hideMark/>
          </w:tcPr>
          <w:p w14:paraId="6F37D3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1176" w:type="dxa"/>
            <w:tcBorders>
              <w:top w:val="nil"/>
              <w:left w:val="nil"/>
              <w:bottom w:val="single" w:sz="4" w:space="0" w:color="auto"/>
              <w:right w:val="single" w:sz="4" w:space="0" w:color="auto"/>
            </w:tcBorders>
            <w:noWrap/>
            <w:vAlign w:val="bottom"/>
            <w:hideMark/>
          </w:tcPr>
          <w:p w14:paraId="4BBA1C4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3 344</w:t>
            </w:r>
          </w:p>
        </w:tc>
        <w:tc>
          <w:tcPr>
            <w:tcW w:w="1461" w:type="dxa"/>
            <w:tcBorders>
              <w:top w:val="nil"/>
              <w:left w:val="nil"/>
              <w:bottom w:val="single" w:sz="4" w:space="0" w:color="auto"/>
              <w:right w:val="single" w:sz="4" w:space="0" w:color="auto"/>
            </w:tcBorders>
            <w:noWrap/>
            <w:vAlign w:val="bottom"/>
            <w:hideMark/>
          </w:tcPr>
          <w:p w14:paraId="3DDBF2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3 573</w:t>
            </w:r>
          </w:p>
        </w:tc>
        <w:tc>
          <w:tcPr>
            <w:tcW w:w="1080" w:type="dxa"/>
            <w:tcBorders>
              <w:top w:val="nil"/>
              <w:left w:val="nil"/>
              <w:bottom w:val="single" w:sz="4" w:space="0" w:color="auto"/>
              <w:right w:val="single" w:sz="4" w:space="0" w:color="auto"/>
            </w:tcBorders>
            <w:noWrap/>
            <w:vAlign w:val="bottom"/>
            <w:hideMark/>
          </w:tcPr>
          <w:p w14:paraId="39EBC0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6 917</w:t>
            </w:r>
          </w:p>
        </w:tc>
      </w:tr>
      <w:tr w:rsidR="000C0842" w:rsidRPr="000C0842" w14:paraId="43631DED" w14:textId="77777777" w:rsidTr="001F32B3">
        <w:tc>
          <w:tcPr>
            <w:tcW w:w="1880" w:type="dxa"/>
            <w:tcBorders>
              <w:top w:val="nil"/>
              <w:left w:val="single" w:sz="4" w:space="0" w:color="auto"/>
              <w:bottom w:val="single" w:sz="4" w:space="0" w:color="auto"/>
              <w:right w:val="single" w:sz="4" w:space="0" w:color="auto"/>
            </w:tcBorders>
            <w:hideMark/>
          </w:tcPr>
          <w:p w14:paraId="0FAC007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马绍尔群岛</w:t>
            </w:r>
          </w:p>
        </w:tc>
        <w:tc>
          <w:tcPr>
            <w:tcW w:w="1628" w:type="dxa"/>
            <w:tcBorders>
              <w:top w:val="nil"/>
              <w:left w:val="nil"/>
              <w:bottom w:val="single" w:sz="4" w:space="0" w:color="auto"/>
              <w:right w:val="single" w:sz="4" w:space="0" w:color="auto"/>
            </w:tcBorders>
            <w:vAlign w:val="bottom"/>
            <w:hideMark/>
          </w:tcPr>
          <w:p w14:paraId="549A05E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3E07B3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45E44E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62B34D1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3A1DB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7BB89045" w14:textId="77777777" w:rsidTr="001F32B3">
        <w:tc>
          <w:tcPr>
            <w:tcW w:w="1880" w:type="dxa"/>
            <w:tcBorders>
              <w:top w:val="nil"/>
              <w:left w:val="single" w:sz="4" w:space="0" w:color="auto"/>
              <w:bottom w:val="single" w:sz="4" w:space="0" w:color="auto"/>
              <w:right w:val="single" w:sz="4" w:space="0" w:color="auto"/>
            </w:tcBorders>
            <w:hideMark/>
          </w:tcPr>
          <w:p w14:paraId="4C7FE43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毛里塔尼亚</w:t>
            </w:r>
          </w:p>
        </w:tc>
        <w:tc>
          <w:tcPr>
            <w:tcW w:w="1628" w:type="dxa"/>
            <w:tcBorders>
              <w:top w:val="nil"/>
              <w:left w:val="nil"/>
              <w:bottom w:val="single" w:sz="4" w:space="0" w:color="auto"/>
              <w:right w:val="single" w:sz="4" w:space="0" w:color="auto"/>
            </w:tcBorders>
            <w:vAlign w:val="bottom"/>
            <w:hideMark/>
          </w:tcPr>
          <w:p w14:paraId="6163DB8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4EE92B3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622CF6F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720C1F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561B98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4767F73E" w14:textId="77777777" w:rsidTr="001F32B3">
        <w:tc>
          <w:tcPr>
            <w:tcW w:w="1880" w:type="dxa"/>
            <w:tcBorders>
              <w:top w:val="nil"/>
              <w:left w:val="single" w:sz="4" w:space="0" w:color="auto"/>
              <w:bottom w:val="single" w:sz="4" w:space="0" w:color="auto"/>
              <w:right w:val="single" w:sz="4" w:space="0" w:color="auto"/>
            </w:tcBorders>
            <w:hideMark/>
          </w:tcPr>
          <w:p w14:paraId="72839D9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毛里求斯</w:t>
            </w:r>
          </w:p>
        </w:tc>
        <w:tc>
          <w:tcPr>
            <w:tcW w:w="1628" w:type="dxa"/>
            <w:tcBorders>
              <w:top w:val="nil"/>
              <w:left w:val="nil"/>
              <w:bottom w:val="single" w:sz="4" w:space="0" w:color="auto"/>
              <w:right w:val="single" w:sz="4" w:space="0" w:color="auto"/>
            </w:tcBorders>
            <w:vAlign w:val="bottom"/>
            <w:hideMark/>
          </w:tcPr>
          <w:p w14:paraId="3E42049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2198" w:type="dxa"/>
            <w:tcBorders>
              <w:top w:val="nil"/>
              <w:left w:val="nil"/>
              <w:bottom w:val="single" w:sz="4" w:space="0" w:color="auto"/>
              <w:right w:val="single" w:sz="4" w:space="0" w:color="auto"/>
            </w:tcBorders>
            <w:noWrap/>
            <w:vAlign w:val="bottom"/>
            <w:hideMark/>
          </w:tcPr>
          <w:p w14:paraId="05B636F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1176" w:type="dxa"/>
            <w:tcBorders>
              <w:top w:val="nil"/>
              <w:left w:val="nil"/>
              <w:bottom w:val="single" w:sz="4" w:space="0" w:color="auto"/>
              <w:right w:val="single" w:sz="4" w:space="0" w:color="auto"/>
            </w:tcBorders>
            <w:noWrap/>
            <w:vAlign w:val="bottom"/>
            <w:hideMark/>
          </w:tcPr>
          <w:p w14:paraId="3A67B1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3 344</w:t>
            </w:r>
          </w:p>
        </w:tc>
        <w:tc>
          <w:tcPr>
            <w:tcW w:w="1461" w:type="dxa"/>
            <w:tcBorders>
              <w:top w:val="nil"/>
              <w:left w:val="nil"/>
              <w:bottom w:val="single" w:sz="4" w:space="0" w:color="auto"/>
              <w:right w:val="single" w:sz="4" w:space="0" w:color="auto"/>
            </w:tcBorders>
            <w:noWrap/>
            <w:vAlign w:val="bottom"/>
            <w:hideMark/>
          </w:tcPr>
          <w:p w14:paraId="370F24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3 573</w:t>
            </w:r>
          </w:p>
        </w:tc>
        <w:tc>
          <w:tcPr>
            <w:tcW w:w="1080" w:type="dxa"/>
            <w:tcBorders>
              <w:top w:val="nil"/>
              <w:left w:val="nil"/>
              <w:bottom w:val="single" w:sz="4" w:space="0" w:color="auto"/>
              <w:right w:val="single" w:sz="4" w:space="0" w:color="auto"/>
            </w:tcBorders>
            <w:noWrap/>
            <w:vAlign w:val="bottom"/>
            <w:hideMark/>
          </w:tcPr>
          <w:p w14:paraId="5B00C3E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6 917</w:t>
            </w:r>
          </w:p>
        </w:tc>
      </w:tr>
      <w:tr w:rsidR="000C0842" w:rsidRPr="000C0842" w14:paraId="67E862A7" w14:textId="77777777" w:rsidTr="001F32B3">
        <w:tc>
          <w:tcPr>
            <w:tcW w:w="1880" w:type="dxa"/>
            <w:tcBorders>
              <w:top w:val="nil"/>
              <w:left w:val="single" w:sz="4" w:space="0" w:color="auto"/>
              <w:bottom w:val="single" w:sz="4" w:space="0" w:color="auto"/>
              <w:right w:val="single" w:sz="4" w:space="0" w:color="auto"/>
            </w:tcBorders>
            <w:hideMark/>
          </w:tcPr>
          <w:p w14:paraId="7A84D13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墨西哥</w:t>
            </w:r>
          </w:p>
        </w:tc>
        <w:tc>
          <w:tcPr>
            <w:tcW w:w="1628" w:type="dxa"/>
            <w:tcBorders>
              <w:top w:val="nil"/>
              <w:left w:val="nil"/>
              <w:bottom w:val="single" w:sz="4" w:space="0" w:color="auto"/>
              <w:right w:val="single" w:sz="4" w:space="0" w:color="auto"/>
            </w:tcBorders>
            <w:vAlign w:val="bottom"/>
            <w:hideMark/>
          </w:tcPr>
          <w:p w14:paraId="545A7CE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1.221</w:t>
            </w:r>
          </w:p>
        </w:tc>
        <w:tc>
          <w:tcPr>
            <w:tcW w:w="2198" w:type="dxa"/>
            <w:tcBorders>
              <w:top w:val="nil"/>
              <w:left w:val="nil"/>
              <w:bottom w:val="single" w:sz="4" w:space="0" w:color="auto"/>
              <w:right w:val="single" w:sz="4" w:space="0" w:color="auto"/>
            </w:tcBorders>
            <w:noWrap/>
            <w:vAlign w:val="bottom"/>
            <w:hideMark/>
          </w:tcPr>
          <w:p w14:paraId="2E7668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1.526</w:t>
            </w:r>
          </w:p>
        </w:tc>
        <w:tc>
          <w:tcPr>
            <w:tcW w:w="1176" w:type="dxa"/>
            <w:tcBorders>
              <w:top w:val="nil"/>
              <w:left w:val="nil"/>
              <w:bottom w:val="single" w:sz="4" w:space="0" w:color="auto"/>
              <w:right w:val="single" w:sz="4" w:space="0" w:color="auto"/>
            </w:tcBorders>
            <w:noWrap/>
            <w:vAlign w:val="bottom"/>
            <w:hideMark/>
          </w:tcPr>
          <w:p w14:paraId="0F98E9F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214 889</w:t>
            </w:r>
          </w:p>
        </w:tc>
        <w:tc>
          <w:tcPr>
            <w:tcW w:w="1461" w:type="dxa"/>
            <w:tcBorders>
              <w:top w:val="nil"/>
              <w:left w:val="nil"/>
              <w:bottom w:val="single" w:sz="4" w:space="0" w:color="auto"/>
              <w:right w:val="single" w:sz="4" w:space="0" w:color="auto"/>
            </w:tcBorders>
            <w:noWrap/>
            <w:vAlign w:val="bottom"/>
            <w:hideMark/>
          </w:tcPr>
          <w:p w14:paraId="78547DC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229 593</w:t>
            </w:r>
          </w:p>
        </w:tc>
        <w:tc>
          <w:tcPr>
            <w:tcW w:w="1080" w:type="dxa"/>
            <w:tcBorders>
              <w:top w:val="nil"/>
              <w:left w:val="nil"/>
              <w:bottom w:val="single" w:sz="4" w:space="0" w:color="auto"/>
              <w:right w:val="single" w:sz="4" w:space="0" w:color="auto"/>
            </w:tcBorders>
            <w:noWrap/>
            <w:vAlign w:val="bottom"/>
            <w:hideMark/>
          </w:tcPr>
          <w:p w14:paraId="5C69F4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444 482</w:t>
            </w:r>
          </w:p>
        </w:tc>
      </w:tr>
      <w:tr w:rsidR="000C0842" w:rsidRPr="000C0842" w14:paraId="47DB0162" w14:textId="77777777" w:rsidTr="001F32B3">
        <w:tc>
          <w:tcPr>
            <w:tcW w:w="1880" w:type="dxa"/>
            <w:tcBorders>
              <w:top w:val="nil"/>
              <w:left w:val="single" w:sz="4" w:space="0" w:color="auto"/>
              <w:bottom w:val="single" w:sz="4" w:space="0" w:color="auto"/>
              <w:right w:val="single" w:sz="4" w:space="0" w:color="auto"/>
            </w:tcBorders>
            <w:hideMark/>
          </w:tcPr>
          <w:p w14:paraId="591D8B37"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密克罗尼西亚联邦</w:t>
            </w:r>
          </w:p>
        </w:tc>
        <w:tc>
          <w:tcPr>
            <w:tcW w:w="1628" w:type="dxa"/>
            <w:tcBorders>
              <w:top w:val="nil"/>
              <w:left w:val="nil"/>
              <w:bottom w:val="single" w:sz="4" w:space="0" w:color="auto"/>
              <w:right w:val="single" w:sz="4" w:space="0" w:color="auto"/>
            </w:tcBorders>
            <w:vAlign w:val="bottom"/>
            <w:hideMark/>
          </w:tcPr>
          <w:p w14:paraId="5D72A20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1BFF49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0C160D5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450B3C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B0E1F7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203D8171" w14:textId="77777777" w:rsidTr="001F32B3">
        <w:tc>
          <w:tcPr>
            <w:tcW w:w="1880" w:type="dxa"/>
            <w:tcBorders>
              <w:top w:val="nil"/>
              <w:left w:val="single" w:sz="4" w:space="0" w:color="auto"/>
              <w:bottom w:val="single" w:sz="4" w:space="0" w:color="auto"/>
              <w:right w:val="single" w:sz="4" w:space="0" w:color="auto"/>
            </w:tcBorders>
            <w:hideMark/>
          </w:tcPr>
          <w:p w14:paraId="37D0F9E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摩纳哥</w:t>
            </w:r>
          </w:p>
        </w:tc>
        <w:tc>
          <w:tcPr>
            <w:tcW w:w="1628" w:type="dxa"/>
            <w:tcBorders>
              <w:top w:val="nil"/>
              <w:left w:val="nil"/>
              <w:bottom w:val="single" w:sz="4" w:space="0" w:color="auto"/>
              <w:right w:val="single" w:sz="4" w:space="0" w:color="auto"/>
            </w:tcBorders>
            <w:vAlign w:val="bottom"/>
            <w:hideMark/>
          </w:tcPr>
          <w:p w14:paraId="6710AD1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0.011</w:t>
            </w:r>
          </w:p>
        </w:tc>
        <w:tc>
          <w:tcPr>
            <w:tcW w:w="2198" w:type="dxa"/>
            <w:tcBorders>
              <w:top w:val="nil"/>
              <w:left w:val="nil"/>
              <w:bottom w:val="single" w:sz="4" w:space="0" w:color="auto"/>
              <w:right w:val="single" w:sz="4" w:space="0" w:color="auto"/>
            </w:tcBorders>
            <w:noWrap/>
            <w:vAlign w:val="bottom"/>
            <w:hideMark/>
          </w:tcPr>
          <w:p w14:paraId="05CD74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0.014</w:t>
            </w:r>
          </w:p>
        </w:tc>
        <w:tc>
          <w:tcPr>
            <w:tcW w:w="1176" w:type="dxa"/>
            <w:tcBorders>
              <w:top w:val="nil"/>
              <w:left w:val="nil"/>
              <w:bottom w:val="single" w:sz="4" w:space="0" w:color="auto"/>
              <w:right w:val="single" w:sz="4" w:space="0" w:color="auto"/>
            </w:tcBorders>
            <w:noWrap/>
            <w:vAlign w:val="bottom"/>
            <w:hideMark/>
          </w:tcPr>
          <w:p w14:paraId="35EE78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1 936</w:t>
            </w:r>
          </w:p>
        </w:tc>
        <w:tc>
          <w:tcPr>
            <w:tcW w:w="1461" w:type="dxa"/>
            <w:tcBorders>
              <w:top w:val="nil"/>
              <w:left w:val="nil"/>
              <w:bottom w:val="single" w:sz="4" w:space="0" w:color="auto"/>
              <w:right w:val="single" w:sz="4" w:space="0" w:color="auto"/>
            </w:tcBorders>
            <w:noWrap/>
            <w:vAlign w:val="bottom"/>
            <w:hideMark/>
          </w:tcPr>
          <w:p w14:paraId="1892A3E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2 068</w:t>
            </w:r>
          </w:p>
        </w:tc>
        <w:tc>
          <w:tcPr>
            <w:tcW w:w="1080" w:type="dxa"/>
            <w:tcBorders>
              <w:top w:val="nil"/>
              <w:left w:val="nil"/>
              <w:bottom w:val="single" w:sz="4" w:space="0" w:color="auto"/>
              <w:right w:val="single" w:sz="4" w:space="0" w:color="auto"/>
            </w:tcBorders>
            <w:noWrap/>
            <w:vAlign w:val="bottom"/>
            <w:hideMark/>
          </w:tcPr>
          <w:p w14:paraId="4CA63B4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4 004</w:t>
            </w:r>
          </w:p>
        </w:tc>
      </w:tr>
      <w:tr w:rsidR="000C0842" w:rsidRPr="000C0842" w14:paraId="6534CD38" w14:textId="77777777" w:rsidTr="001F32B3">
        <w:tc>
          <w:tcPr>
            <w:tcW w:w="1880" w:type="dxa"/>
            <w:tcBorders>
              <w:top w:val="nil"/>
              <w:left w:val="single" w:sz="4" w:space="0" w:color="auto"/>
              <w:bottom w:val="single" w:sz="4" w:space="0" w:color="auto"/>
              <w:right w:val="single" w:sz="4" w:space="0" w:color="auto"/>
            </w:tcBorders>
            <w:hideMark/>
          </w:tcPr>
          <w:p w14:paraId="729B93A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蒙古</w:t>
            </w:r>
          </w:p>
        </w:tc>
        <w:tc>
          <w:tcPr>
            <w:tcW w:w="1628" w:type="dxa"/>
            <w:tcBorders>
              <w:top w:val="nil"/>
              <w:left w:val="nil"/>
              <w:bottom w:val="single" w:sz="4" w:space="0" w:color="auto"/>
              <w:right w:val="single" w:sz="4" w:space="0" w:color="auto"/>
            </w:tcBorders>
            <w:vAlign w:val="bottom"/>
            <w:hideMark/>
          </w:tcPr>
          <w:p w14:paraId="557D6C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47C89D8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765057A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033F751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347AC71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7DF1778E" w14:textId="77777777" w:rsidTr="001F32B3">
        <w:tc>
          <w:tcPr>
            <w:tcW w:w="1880" w:type="dxa"/>
            <w:tcBorders>
              <w:top w:val="nil"/>
              <w:left w:val="single" w:sz="4" w:space="0" w:color="auto"/>
              <w:bottom w:val="single" w:sz="4" w:space="0" w:color="auto"/>
              <w:right w:val="single" w:sz="4" w:space="0" w:color="auto"/>
            </w:tcBorders>
            <w:hideMark/>
          </w:tcPr>
          <w:p w14:paraId="35B1C49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黑山</w:t>
            </w:r>
          </w:p>
        </w:tc>
        <w:tc>
          <w:tcPr>
            <w:tcW w:w="1628" w:type="dxa"/>
            <w:tcBorders>
              <w:top w:val="nil"/>
              <w:left w:val="nil"/>
              <w:bottom w:val="single" w:sz="4" w:space="0" w:color="auto"/>
              <w:right w:val="single" w:sz="4" w:space="0" w:color="auto"/>
            </w:tcBorders>
            <w:vAlign w:val="bottom"/>
            <w:hideMark/>
          </w:tcPr>
          <w:p w14:paraId="7FCFE09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64E81E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37DB9BD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7EF55C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25DBD7C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71CA4543" w14:textId="77777777" w:rsidTr="001F32B3">
        <w:tc>
          <w:tcPr>
            <w:tcW w:w="1880" w:type="dxa"/>
            <w:tcBorders>
              <w:top w:val="nil"/>
              <w:left w:val="single" w:sz="4" w:space="0" w:color="auto"/>
              <w:bottom w:val="single" w:sz="4" w:space="0" w:color="auto"/>
              <w:right w:val="single" w:sz="4" w:space="0" w:color="auto"/>
            </w:tcBorders>
            <w:hideMark/>
          </w:tcPr>
          <w:p w14:paraId="33847E5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摩洛哥</w:t>
            </w:r>
          </w:p>
        </w:tc>
        <w:tc>
          <w:tcPr>
            <w:tcW w:w="1628" w:type="dxa"/>
            <w:tcBorders>
              <w:top w:val="nil"/>
              <w:left w:val="nil"/>
              <w:bottom w:val="single" w:sz="4" w:space="0" w:color="auto"/>
              <w:right w:val="single" w:sz="4" w:space="0" w:color="auto"/>
            </w:tcBorders>
            <w:vAlign w:val="bottom"/>
            <w:hideMark/>
          </w:tcPr>
          <w:p w14:paraId="7CF0B8A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0.055</w:t>
            </w:r>
          </w:p>
        </w:tc>
        <w:tc>
          <w:tcPr>
            <w:tcW w:w="2198" w:type="dxa"/>
            <w:tcBorders>
              <w:top w:val="nil"/>
              <w:left w:val="nil"/>
              <w:bottom w:val="single" w:sz="4" w:space="0" w:color="auto"/>
              <w:right w:val="single" w:sz="4" w:space="0" w:color="auto"/>
            </w:tcBorders>
            <w:noWrap/>
            <w:vAlign w:val="bottom"/>
            <w:hideMark/>
          </w:tcPr>
          <w:p w14:paraId="39E9F7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0.069</w:t>
            </w:r>
          </w:p>
        </w:tc>
        <w:tc>
          <w:tcPr>
            <w:tcW w:w="1176" w:type="dxa"/>
            <w:tcBorders>
              <w:top w:val="nil"/>
              <w:left w:val="nil"/>
              <w:bottom w:val="single" w:sz="4" w:space="0" w:color="auto"/>
              <w:right w:val="single" w:sz="4" w:space="0" w:color="auto"/>
            </w:tcBorders>
            <w:noWrap/>
            <w:vAlign w:val="bottom"/>
            <w:hideMark/>
          </w:tcPr>
          <w:p w14:paraId="5FD91DB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9 680</w:t>
            </w:r>
          </w:p>
        </w:tc>
        <w:tc>
          <w:tcPr>
            <w:tcW w:w="1461" w:type="dxa"/>
            <w:tcBorders>
              <w:top w:val="nil"/>
              <w:left w:val="nil"/>
              <w:bottom w:val="single" w:sz="4" w:space="0" w:color="auto"/>
              <w:right w:val="single" w:sz="4" w:space="0" w:color="auto"/>
            </w:tcBorders>
            <w:noWrap/>
            <w:vAlign w:val="bottom"/>
            <w:hideMark/>
          </w:tcPr>
          <w:p w14:paraId="2756789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10 342</w:t>
            </w:r>
          </w:p>
        </w:tc>
        <w:tc>
          <w:tcPr>
            <w:tcW w:w="1080" w:type="dxa"/>
            <w:tcBorders>
              <w:top w:val="nil"/>
              <w:left w:val="nil"/>
              <w:bottom w:val="single" w:sz="4" w:space="0" w:color="auto"/>
              <w:right w:val="single" w:sz="4" w:space="0" w:color="auto"/>
            </w:tcBorders>
            <w:noWrap/>
            <w:vAlign w:val="bottom"/>
            <w:hideMark/>
          </w:tcPr>
          <w:p w14:paraId="3B5CCA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20 022</w:t>
            </w:r>
          </w:p>
        </w:tc>
      </w:tr>
      <w:tr w:rsidR="000C0842" w:rsidRPr="000C0842" w14:paraId="39B7AFF1" w14:textId="77777777" w:rsidTr="001F32B3">
        <w:tc>
          <w:tcPr>
            <w:tcW w:w="1880" w:type="dxa"/>
            <w:tcBorders>
              <w:top w:val="nil"/>
              <w:left w:val="single" w:sz="4" w:space="0" w:color="auto"/>
              <w:bottom w:val="single" w:sz="4" w:space="0" w:color="auto"/>
              <w:right w:val="single" w:sz="4" w:space="0" w:color="auto"/>
            </w:tcBorders>
            <w:hideMark/>
          </w:tcPr>
          <w:p w14:paraId="77D0123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莫桑比克</w:t>
            </w:r>
          </w:p>
        </w:tc>
        <w:tc>
          <w:tcPr>
            <w:tcW w:w="1628" w:type="dxa"/>
            <w:tcBorders>
              <w:top w:val="nil"/>
              <w:left w:val="nil"/>
              <w:bottom w:val="single" w:sz="4" w:space="0" w:color="auto"/>
              <w:right w:val="single" w:sz="4" w:space="0" w:color="auto"/>
            </w:tcBorders>
            <w:vAlign w:val="bottom"/>
            <w:hideMark/>
          </w:tcPr>
          <w:p w14:paraId="0459054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2198" w:type="dxa"/>
            <w:tcBorders>
              <w:top w:val="nil"/>
              <w:left w:val="nil"/>
              <w:bottom w:val="single" w:sz="4" w:space="0" w:color="auto"/>
              <w:right w:val="single" w:sz="4" w:space="0" w:color="auto"/>
            </w:tcBorders>
            <w:noWrap/>
            <w:vAlign w:val="bottom"/>
            <w:hideMark/>
          </w:tcPr>
          <w:p w14:paraId="662C618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1176" w:type="dxa"/>
            <w:tcBorders>
              <w:top w:val="nil"/>
              <w:left w:val="nil"/>
              <w:bottom w:val="single" w:sz="4" w:space="0" w:color="auto"/>
              <w:right w:val="single" w:sz="4" w:space="0" w:color="auto"/>
            </w:tcBorders>
            <w:noWrap/>
            <w:vAlign w:val="bottom"/>
            <w:hideMark/>
          </w:tcPr>
          <w:p w14:paraId="4FA5CDE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704</w:t>
            </w:r>
          </w:p>
        </w:tc>
        <w:tc>
          <w:tcPr>
            <w:tcW w:w="1461" w:type="dxa"/>
            <w:tcBorders>
              <w:top w:val="nil"/>
              <w:left w:val="nil"/>
              <w:bottom w:val="single" w:sz="4" w:space="0" w:color="auto"/>
              <w:right w:val="single" w:sz="4" w:space="0" w:color="auto"/>
            </w:tcBorders>
            <w:noWrap/>
            <w:vAlign w:val="bottom"/>
            <w:hideMark/>
          </w:tcPr>
          <w:p w14:paraId="26DA208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752</w:t>
            </w:r>
          </w:p>
        </w:tc>
        <w:tc>
          <w:tcPr>
            <w:tcW w:w="1080" w:type="dxa"/>
            <w:tcBorders>
              <w:top w:val="nil"/>
              <w:left w:val="nil"/>
              <w:bottom w:val="single" w:sz="4" w:space="0" w:color="auto"/>
              <w:right w:val="single" w:sz="4" w:space="0" w:color="auto"/>
            </w:tcBorders>
            <w:noWrap/>
            <w:vAlign w:val="bottom"/>
            <w:hideMark/>
          </w:tcPr>
          <w:p w14:paraId="191E47D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1 456</w:t>
            </w:r>
          </w:p>
        </w:tc>
      </w:tr>
      <w:tr w:rsidR="000C0842" w:rsidRPr="000C0842" w14:paraId="6B8D39B8" w14:textId="77777777" w:rsidTr="001F32B3">
        <w:tc>
          <w:tcPr>
            <w:tcW w:w="1880" w:type="dxa"/>
            <w:tcBorders>
              <w:top w:val="nil"/>
              <w:left w:val="single" w:sz="4" w:space="0" w:color="auto"/>
              <w:bottom w:val="single" w:sz="4" w:space="0" w:color="auto"/>
              <w:right w:val="single" w:sz="4" w:space="0" w:color="auto"/>
            </w:tcBorders>
            <w:hideMark/>
          </w:tcPr>
          <w:p w14:paraId="56E5956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缅甸</w:t>
            </w:r>
            <w:r w:rsidRPr="000C0842">
              <w:rPr>
                <w:rFonts w:eastAsia="SimSun"/>
                <w:sz w:val="18"/>
                <w:szCs w:val="18"/>
                <w:lang w:val="en-GB"/>
              </w:rPr>
              <w:t xml:space="preserve"> </w:t>
            </w:r>
          </w:p>
        </w:tc>
        <w:tc>
          <w:tcPr>
            <w:tcW w:w="1628" w:type="dxa"/>
            <w:tcBorders>
              <w:top w:val="nil"/>
              <w:left w:val="nil"/>
              <w:bottom w:val="single" w:sz="4" w:space="0" w:color="auto"/>
              <w:right w:val="single" w:sz="4" w:space="0" w:color="auto"/>
            </w:tcBorders>
            <w:vAlign w:val="bottom"/>
            <w:hideMark/>
          </w:tcPr>
          <w:p w14:paraId="40A17C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0E44D75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02051D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1944319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682EEED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77A5BE3D" w14:textId="77777777" w:rsidTr="001F32B3">
        <w:tc>
          <w:tcPr>
            <w:tcW w:w="1880" w:type="dxa"/>
            <w:tcBorders>
              <w:top w:val="nil"/>
              <w:left w:val="single" w:sz="4" w:space="0" w:color="auto"/>
              <w:bottom w:val="single" w:sz="4" w:space="0" w:color="auto"/>
              <w:right w:val="single" w:sz="4" w:space="0" w:color="auto"/>
            </w:tcBorders>
            <w:hideMark/>
          </w:tcPr>
          <w:p w14:paraId="23EC279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纳米比亚</w:t>
            </w:r>
          </w:p>
        </w:tc>
        <w:tc>
          <w:tcPr>
            <w:tcW w:w="1628" w:type="dxa"/>
            <w:tcBorders>
              <w:top w:val="nil"/>
              <w:left w:val="nil"/>
              <w:bottom w:val="single" w:sz="4" w:space="0" w:color="auto"/>
              <w:right w:val="single" w:sz="4" w:space="0" w:color="auto"/>
            </w:tcBorders>
            <w:vAlign w:val="bottom"/>
            <w:hideMark/>
          </w:tcPr>
          <w:p w14:paraId="35B81E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2198" w:type="dxa"/>
            <w:tcBorders>
              <w:top w:val="nil"/>
              <w:left w:val="nil"/>
              <w:bottom w:val="single" w:sz="4" w:space="0" w:color="auto"/>
              <w:right w:val="single" w:sz="4" w:space="0" w:color="auto"/>
            </w:tcBorders>
            <w:noWrap/>
            <w:vAlign w:val="bottom"/>
            <w:hideMark/>
          </w:tcPr>
          <w:p w14:paraId="736A9F6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0.011</w:t>
            </w:r>
          </w:p>
        </w:tc>
        <w:tc>
          <w:tcPr>
            <w:tcW w:w="1176" w:type="dxa"/>
            <w:tcBorders>
              <w:top w:val="nil"/>
              <w:left w:val="nil"/>
              <w:bottom w:val="single" w:sz="4" w:space="0" w:color="auto"/>
              <w:right w:val="single" w:sz="4" w:space="0" w:color="auto"/>
            </w:tcBorders>
            <w:noWrap/>
            <w:vAlign w:val="bottom"/>
            <w:hideMark/>
          </w:tcPr>
          <w:p w14:paraId="5C712F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1 584</w:t>
            </w:r>
          </w:p>
        </w:tc>
        <w:tc>
          <w:tcPr>
            <w:tcW w:w="1461" w:type="dxa"/>
            <w:tcBorders>
              <w:top w:val="nil"/>
              <w:left w:val="nil"/>
              <w:bottom w:val="single" w:sz="4" w:space="0" w:color="auto"/>
              <w:right w:val="single" w:sz="4" w:space="0" w:color="auto"/>
            </w:tcBorders>
            <w:noWrap/>
            <w:vAlign w:val="bottom"/>
            <w:hideMark/>
          </w:tcPr>
          <w:p w14:paraId="7D444E3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1 692</w:t>
            </w:r>
          </w:p>
        </w:tc>
        <w:tc>
          <w:tcPr>
            <w:tcW w:w="1080" w:type="dxa"/>
            <w:tcBorders>
              <w:top w:val="nil"/>
              <w:left w:val="nil"/>
              <w:bottom w:val="single" w:sz="4" w:space="0" w:color="auto"/>
              <w:right w:val="single" w:sz="4" w:space="0" w:color="auto"/>
            </w:tcBorders>
            <w:noWrap/>
            <w:vAlign w:val="bottom"/>
            <w:hideMark/>
          </w:tcPr>
          <w:p w14:paraId="4078DC3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3 276</w:t>
            </w:r>
          </w:p>
        </w:tc>
      </w:tr>
      <w:tr w:rsidR="000C0842" w:rsidRPr="000C0842" w14:paraId="32CC6A21" w14:textId="77777777" w:rsidTr="001F32B3">
        <w:tc>
          <w:tcPr>
            <w:tcW w:w="1880" w:type="dxa"/>
            <w:tcBorders>
              <w:top w:val="nil"/>
              <w:left w:val="single" w:sz="4" w:space="0" w:color="auto"/>
              <w:bottom w:val="single" w:sz="4" w:space="0" w:color="auto"/>
              <w:right w:val="single" w:sz="4" w:space="0" w:color="auto"/>
            </w:tcBorders>
            <w:hideMark/>
          </w:tcPr>
          <w:p w14:paraId="2C801F3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瑙鲁</w:t>
            </w:r>
          </w:p>
        </w:tc>
        <w:tc>
          <w:tcPr>
            <w:tcW w:w="1628" w:type="dxa"/>
            <w:tcBorders>
              <w:top w:val="nil"/>
              <w:left w:val="nil"/>
              <w:bottom w:val="single" w:sz="4" w:space="0" w:color="auto"/>
              <w:right w:val="single" w:sz="4" w:space="0" w:color="auto"/>
            </w:tcBorders>
            <w:vAlign w:val="bottom"/>
            <w:hideMark/>
          </w:tcPr>
          <w:p w14:paraId="4A39B6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232996E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0D8FDC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631D960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011236C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325740F6" w14:textId="77777777" w:rsidTr="001F32B3">
        <w:tc>
          <w:tcPr>
            <w:tcW w:w="1880" w:type="dxa"/>
            <w:tcBorders>
              <w:top w:val="nil"/>
              <w:left w:val="single" w:sz="4" w:space="0" w:color="auto"/>
              <w:bottom w:val="single" w:sz="4" w:space="0" w:color="auto"/>
              <w:right w:val="single" w:sz="4" w:space="0" w:color="auto"/>
            </w:tcBorders>
            <w:hideMark/>
          </w:tcPr>
          <w:p w14:paraId="671034C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尼泊尔</w:t>
            </w:r>
          </w:p>
        </w:tc>
        <w:tc>
          <w:tcPr>
            <w:tcW w:w="1628" w:type="dxa"/>
            <w:tcBorders>
              <w:top w:val="nil"/>
              <w:left w:val="nil"/>
              <w:bottom w:val="single" w:sz="4" w:space="0" w:color="auto"/>
              <w:right w:val="single" w:sz="4" w:space="0" w:color="auto"/>
            </w:tcBorders>
            <w:vAlign w:val="bottom"/>
            <w:hideMark/>
          </w:tcPr>
          <w:p w14:paraId="73C6866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221E40F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7DAECB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35BFC97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19A0367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6C1CBE95" w14:textId="77777777" w:rsidTr="001F32B3">
        <w:tc>
          <w:tcPr>
            <w:tcW w:w="1880" w:type="dxa"/>
            <w:tcBorders>
              <w:top w:val="nil"/>
              <w:left w:val="single" w:sz="4" w:space="0" w:color="auto"/>
              <w:bottom w:val="single" w:sz="4" w:space="0" w:color="auto"/>
              <w:right w:val="single" w:sz="4" w:space="0" w:color="auto"/>
            </w:tcBorders>
            <w:hideMark/>
          </w:tcPr>
          <w:p w14:paraId="5863F841"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荷兰王国</w:t>
            </w:r>
          </w:p>
        </w:tc>
        <w:tc>
          <w:tcPr>
            <w:tcW w:w="1628" w:type="dxa"/>
            <w:tcBorders>
              <w:top w:val="nil"/>
              <w:left w:val="nil"/>
              <w:bottom w:val="single" w:sz="4" w:space="0" w:color="auto"/>
              <w:right w:val="single" w:sz="4" w:space="0" w:color="auto"/>
            </w:tcBorders>
            <w:vAlign w:val="bottom"/>
            <w:hideMark/>
          </w:tcPr>
          <w:p w14:paraId="0E37BC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1.377</w:t>
            </w:r>
          </w:p>
        </w:tc>
        <w:tc>
          <w:tcPr>
            <w:tcW w:w="2198" w:type="dxa"/>
            <w:tcBorders>
              <w:top w:val="nil"/>
              <w:left w:val="nil"/>
              <w:bottom w:val="single" w:sz="4" w:space="0" w:color="auto"/>
              <w:right w:val="single" w:sz="4" w:space="0" w:color="auto"/>
            </w:tcBorders>
            <w:noWrap/>
            <w:vAlign w:val="bottom"/>
            <w:hideMark/>
          </w:tcPr>
          <w:p w14:paraId="0B3890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1.721</w:t>
            </w:r>
          </w:p>
        </w:tc>
        <w:tc>
          <w:tcPr>
            <w:tcW w:w="1176" w:type="dxa"/>
            <w:tcBorders>
              <w:top w:val="nil"/>
              <w:left w:val="nil"/>
              <w:bottom w:val="single" w:sz="4" w:space="0" w:color="auto"/>
              <w:right w:val="single" w:sz="4" w:space="0" w:color="auto"/>
            </w:tcBorders>
            <w:noWrap/>
            <w:vAlign w:val="bottom"/>
            <w:hideMark/>
          </w:tcPr>
          <w:p w14:paraId="141DDA7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242 344</w:t>
            </w:r>
          </w:p>
        </w:tc>
        <w:tc>
          <w:tcPr>
            <w:tcW w:w="1461" w:type="dxa"/>
            <w:tcBorders>
              <w:top w:val="nil"/>
              <w:left w:val="nil"/>
              <w:bottom w:val="single" w:sz="4" w:space="0" w:color="auto"/>
              <w:right w:val="single" w:sz="4" w:space="0" w:color="auto"/>
            </w:tcBorders>
            <w:noWrap/>
            <w:vAlign w:val="bottom"/>
            <w:hideMark/>
          </w:tcPr>
          <w:p w14:paraId="58533B2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258 926</w:t>
            </w:r>
          </w:p>
        </w:tc>
        <w:tc>
          <w:tcPr>
            <w:tcW w:w="1080" w:type="dxa"/>
            <w:tcBorders>
              <w:top w:val="nil"/>
              <w:left w:val="nil"/>
              <w:bottom w:val="single" w:sz="4" w:space="0" w:color="auto"/>
              <w:right w:val="single" w:sz="4" w:space="0" w:color="auto"/>
            </w:tcBorders>
            <w:noWrap/>
            <w:vAlign w:val="bottom"/>
            <w:hideMark/>
          </w:tcPr>
          <w:p w14:paraId="0C1065C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501 271</w:t>
            </w:r>
          </w:p>
        </w:tc>
      </w:tr>
      <w:tr w:rsidR="000C0842" w:rsidRPr="000C0842" w14:paraId="5C97ED9C" w14:textId="77777777" w:rsidTr="001F32B3">
        <w:tc>
          <w:tcPr>
            <w:tcW w:w="1880" w:type="dxa"/>
            <w:tcBorders>
              <w:top w:val="nil"/>
              <w:left w:val="single" w:sz="4" w:space="0" w:color="auto"/>
              <w:bottom w:val="single" w:sz="4" w:space="0" w:color="auto"/>
              <w:right w:val="single" w:sz="4" w:space="0" w:color="auto"/>
            </w:tcBorders>
            <w:hideMark/>
          </w:tcPr>
          <w:p w14:paraId="25C844A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新西兰</w:t>
            </w:r>
          </w:p>
        </w:tc>
        <w:tc>
          <w:tcPr>
            <w:tcW w:w="1628" w:type="dxa"/>
            <w:tcBorders>
              <w:top w:val="nil"/>
              <w:left w:val="nil"/>
              <w:bottom w:val="single" w:sz="4" w:space="0" w:color="auto"/>
              <w:right w:val="single" w:sz="4" w:space="0" w:color="auto"/>
            </w:tcBorders>
            <w:vAlign w:val="bottom"/>
            <w:hideMark/>
          </w:tcPr>
          <w:p w14:paraId="0EFF86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0.309</w:t>
            </w:r>
          </w:p>
        </w:tc>
        <w:tc>
          <w:tcPr>
            <w:tcW w:w="2198" w:type="dxa"/>
            <w:tcBorders>
              <w:top w:val="nil"/>
              <w:left w:val="nil"/>
              <w:bottom w:val="single" w:sz="4" w:space="0" w:color="auto"/>
              <w:right w:val="single" w:sz="4" w:space="0" w:color="auto"/>
            </w:tcBorders>
            <w:noWrap/>
            <w:vAlign w:val="bottom"/>
            <w:hideMark/>
          </w:tcPr>
          <w:p w14:paraId="7BC76F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0.386</w:t>
            </w:r>
          </w:p>
        </w:tc>
        <w:tc>
          <w:tcPr>
            <w:tcW w:w="1176" w:type="dxa"/>
            <w:tcBorders>
              <w:top w:val="nil"/>
              <w:left w:val="nil"/>
              <w:bottom w:val="single" w:sz="4" w:space="0" w:color="auto"/>
              <w:right w:val="single" w:sz="4" w:space="0" w:color="auto"/>
            </w:tcBorders>
            <w:noWrap/>
            <w:vAlign w:val="bottom"/>
            <w:hideMark/>
          </w:tcPr>
          <w:p w14:paraId="2D1EB07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54 382</w:t>
            </w:r>
          </w:p>
        </w:tc>
        <w:tc>
          <w:tcPr>
            <w:tcW w:w="1461" w:type="dxa"/>
            <w:tcBorders>
              <w:top w:val="nil"/>
              <w:left w:val="nil"/>
              <w:bottom w:val="single" w:sz="4" w:space="0" w:color="auto"/>
              <w:right w:val="single" w:sz="4" w:space="0" w:color="auto"/>
            </w:tcBorders>
            <w:noWrap/>
            <w:vAlign w:val="bottom"/>
            <w:hideMark/>
          </w:tcPr>
          <w:p w14:paraId="0D63BFF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58 103</w:t>
            </w:r>
          </w:p>
        </w:tc>
        <w:tc>
          <w:tcPr>
            <w:tcW w:w="1080" w:type="dxa"/>
            <w:tcBorders>
              <w:top w:val="nil"/>
              <w:left w:val="nil"/>
              <w:bottom w:val="single" w:sz="4" w:space="0" w:color="auto"/>
              <w:right w:val="single" w:sz="4" w:space="0" w:color="auto"/>
            </w:tcBorders>
            <w:noWrap/>
            <w:vAlign w:val="bottom"/>
            <w:hideMark/>
          </w:tcPr>
          <w:p w14:paraId="46C7085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112 486</w:t>
            </w:r>
          </w:p>
        </w:tc>
      </w:tr>
      <w:tr w:rsidR="000C0842" w:rsidRPr="000C0842" w14:paraId="791DD06E" w14:textId="77777777" w:rsidTr="001F32B3">
        <w:tc>
          <w:tcPr>
            <w:tcW w:w="1880" w:type="dxa"/>
            <w:tcBorders>
              <w:top w:val="nil"/>
              <w:left w:val="single" w:sz="4" w:space="0" w:color="auto"/>
              <w:bottom w:val="single" w:sz="4" w:space="0" w:color="auto"/>
              <w:right w:val="single" w:sz="4" w:space="0" w:color="auto"/>
            </w:tcBorders>
            <w:hideMark/>
          </w:tcPr>
          <w:p w14:paraId="4B836B1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尼加拉瓜</w:t>
            </w:r>
          </w:p>
        </w:tc>
        <w:tc>
          <w:tcPr>
            <w:tcW w:w="1628" w:type="dxa"/>
            <w:tcBorders>
              <w:top w:val="nil"/>
              <w:left w:val="nil"/>
              <w:bottom w:val="single" w:sz="4" w:space="0" w:color="auto"/>
              <w:right w:val="single" w:sz="4" w:space="0" w:color="auto"/>
            </w:tcBorders>
            <w:vAlign w:val="bottom"/>
            <w:hideMark/>
          </w:tcPr>
          <w:p w14:paraId="0BB111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22FA214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70DBE5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3EEE32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5322CC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0437E053" w14:textId="77777777" w:rsidTr="001F32B3">
        <w:tc>
          <w:tcPr>
            <w:tcW w:w="1880" w:type="dxa"/>
            <w:tcBorders>
              <w:top w:val="nil"/>
              <w:left w:val="single" w:sz="4" w:space="0" w:color="auto"/>
              <w:bottom w:val="single" w:sz="4" w:space="0" w:color="auto"/>
              <w:right w:val="single" w:sz="4" w:space="0" w:color="auto"/>
            </w:tcBorders>
            <w:hideMark/>
          </w:tcPr>
          <w:p w14:paraId="07D20EB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尼日尔</w:t>
            </w:r>
          </w:p>
        </w:tc>
        <w:tc>
          <w:tcPr>
            <w:tcW w:w="1628" w:type="dxa"/>
            <w:tcBorders>
              <w:top w:val="nil"/>
              <w:left w:val="nil"/>
              <w:bottom w:val="single" w:sz="4" w:space="0" w:color="auto"/>
              <w:right w:val="single" w:sz="4" w:space="0" w:color="auto"/>
            </w:tcBorders>
            <w:vAlign w:val="bottom"/>
            <w:hideMark/>
          </w:tcPr>
          <w:p w14:paraId="208B349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176E0C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73CF593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749E0D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6E81CA3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002F7756" w14:textId="77777777" w:rsidTr="001F32B3">
        <w:tc>
          <w:tcPr>
            <w:tcW w:w="1880" w:type="dxa"/>
            <w:tcBorders>
              <w:top w:val="nil"/>
              <w:left w:val="single" w:sz="4" w:space="0" w:color="auto"/>
              <w:bottom w:val="single" w:sz="4" w:space="0" w:color="auto"/>
              <w:right w:val="single" w:sz="4" w:space="0" w:color="auto"/>
            </w:tcBorders>
            <w:hideMark/>
          </w:tcPr>
          <w:p w14:paraId="6EA58E1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尼日利亚</w:t>
            </w:r>
          </w:p>
        </w:tc>
        <w:tc>
          <w:tcPr>
            <w:tcW w:w="1628" w:type="dxa"/>
            <w:tcBorders>
              <w:top w:val="nil"/>
              <w:left w:val="nil"/>
              <w:bottom w:val="single" w:sz="4" w:space="0" w:color="auto"/>
              <w:right w:val="single" w:sz="4" w:space="0" w:color="auto"/>
            </w:tcBorders>
            <w:vAlign w:val="bottom"/>
            <w:hideMark/>
          </w:tcPr>
          <w:p w14:paraId="6049F70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0.182</w:t>
            </w:r>
          </w:p>
        </w:tc>
        <w:tc>
          <w:tcPr>
            <w:tcW w:w="2198" w:type="dxa"/>
            <w:tcBorders>
              <w:top w:val="nil"/>
              <w:left w:val="nil"/>
              <w:bottom w:val="single" w:sz="4" w:space="0" w:color="auto"/>
              <w:right w:val="single" w:sz="4" w:space="0" w:color="auto"/>
            </w:tcBorders>
            <w:noWrap/>
            <w:vAlign w:val="bottom"/>
            <w:hideMark/>
          </w:tcPr>
          <w:p w14:paraId="1097AC2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0.228</w:t>
            </w:r>
          </w:p>
        </w:tc>
        <w:tc>
          <w:tcPr>
            <w:tcW w:w="1176" w:type="dxa"/>
            <w:tcBorders>
              <w:top w:val="nil"/>
              <w:left w:val="nil"/>
              <w:bottom w:val="single" w:sz="4" w:space="0" w:color="auto"/>
              <w:right w:val="single" w:sz="4" w:space="0" w:color="auto"/>
            </w:tcBorders>
            <w:noWrap/>
            <w:vAlign w:val="bottom"/>
            <w:hideMark/>
          </w:tcPr>
          <w:p w14:paraId="25B331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32 031</w:t>
            </w:r>
          </w:p>
        </w:tc>
        <w:tc>
          <w:tcPr>
            <w:tcW w:w="1461" w:type="dxa"/>
            <w:tcBorders>
              <w:top w:val="nil"/>
              <w:left w:val="nil"/>
              <w:bottom w:val="single" w:sz="4" w:space="0" w:color="auto"/>
              <w:right w:val="single" w:sz="4" w:space="0" w:color="auto"/>
            </w:tcBorders>
            <w:noWrap/>
            <w:vAlign w:val="bottom"/>
            <w:hideMark/>
          </w:tcPr>
          <w:p w14:paraId="668D279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34 223</w:t>
            </w:r>
          </w:p>
        </w:tc>
        <w:tc>
          <w:tcPr>
            <w:tcW w:w="1080" w:type="dxa"/>
            <w:tcBorders>
              <w:top w:val="nil"/>
              <w:left w:val="nil"/>
              <w:bottom w:val="single" w:sz="4" w:space="0" w:color="auto"/>
              <w:right w:val="single" w:sz="4" w:space="0" w:color="auto"/>
            </w:tcBorders>
            <w:noWrap/>
            <w:vAlign w:val="bottom"/>
            <w:hideMark/>
          </w:tcPr>
          <w:p w14:paraId="503444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66 254</w:t>
            </w:r>
          </w:p>
        </w:tc>
      </w:tr>
      <w:tr w:rsidR="000C0842" w:rsidRPr="000C0842" w14:paraId="4D16A4D6" w14:textId="77777777" w:rsidTr="001F32B3">
        <w:tc>
          <w:tcPr>
            <w:tcW w:w="1880" w:type="dxa"/>
            <w:tcBorders>
              <w:top w:val="nil"/>
              <w:left w:val="single" w:sz="4" w:space="0" w:color="auto"/>
              <w:bottom w:val="single" w:sz="4" w:space="0" w:color="auto"/>
              <w:right w:val="single" w:sz="4" w:space="0" w:color="auto"/>
            </w:tcBorders>
            <w:hideMark/>
          </w:tcPr>
          <w:p w14:paraId="3801BFA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纽埃</w:t>
            </w:r>
          </w:p>
        </w:tc>
        <w:tc>
          <w:tcPr>
            <w:tcW w:w="1628" w:type="dxa"/>
            <w:tcBorders>
              <w:top w:val="nil"/>
              <w:left w:val="nil"/>
              <w:bottom w:val="single" w:sz="4" w:space="0" w:color="auto"/>
              <w:right w:val="single" w:sz="4" w:space="0" w:color="auto"/>
            </w:tcBorders>
            <w:vAlign w:val="bottom"/>
            <w:hideMark/>
          </w:tcPr>
          <w:p w14:paraId="362290A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67156D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C067A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F9638F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211566D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A5B3835" w14:textId="77777777" w:rsidTr="001F32B3">
        <w:tc>
          <w:tcPr>
            <w:tcW w:w="1880" w:type="dxa"/>
            <w:tcBorders>
              <w:top w:val="nil"/>
              <w:left w:val="single" w:sz="4" w:space="0" w:color="auto"/>
              <w:bottom w:val="single" w:sz="4" w:space="0" w:color="auto"/>
              <w:right w:val="single" w:sz="4" w:space="0" w:color="auto"/>
            </w:tcBorders>
            <w:hideMark/>
          </w:tcPr>
          <w:p w14:paraId="78BE8D1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北马其顿</w:t>
            </w:r>
          </w:p>
        </w:tc>
        <w:tc>
          <w:tcPr>
            <w:tcW w:w="1628" w:type="dxa"/>
            <w:tcBorders>
              <w:top w:val="nil"/>
              <w:left w:val="nil"/>
              <w:bottom w:val="single" w:sz="4" w:space="0" w:color="auto"/>
              <w:right w:val="single" w:sz="4" w:space="0" w:color="auto"/>
            </w:tcBorders>
            <w:vAlign w:val="bottom"/>
            <w:hideMark/>
          </w:tcPr>
          <w:p w14:paraId="4136B18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6A452E5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7B0F45B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13F3AC8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062F299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58F3C046" w14:textId="77777777" w:rsidTr="001F32B3">
        <w:tc>
          <w:tcPr>
            <w:tcW w:w="1880" w:type="dxa"/>
            <w:tcBorders>
              <w:top w:val="nil"/>
              <w:left w:val="single" w:sz="4" w:space="0" w:color="auto"/>
              <w:bottom w:val="single" w:sz="4" w:space="0" w:color="auto"/>
              <w:right w:val="single" w:sz="4" w:space="0" w:color="auto"/>
            </w:tcBorders>
            <w:hideMark/>
          </w:tcPr>
          <w:p w14:paraId="7888257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挪威</w:t>
            </w:r>
          </w:p>
        </w:tc>
        <w:tc>
          <w:tcPr>
            <w:tcW w:w="1628" w:type="dxa"/>
            <w:tcBorders>
              <w:top w:val="nil"/>
              <w:left w:val="nil"/>
              <w:bottom w:val="single" w:sz="4" w:space="0" w:color="auto"/>
              <w:right w:val="single" w:sz="4" w:space="0" w:color="auto"/>
            </w:tcBorders>
            <w:vAlign w:val="bottom"/>
            <w:hideMark/>
          </w:tcPr>
          <w:p w14:paraId="1A131D4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0.679</w:t>
            </w:r>
          </w:p>
        </w:tc>
        <w:tc>
          <w:tcPr>
            <w:tcW w:w="2198" w:type="dxa"/>
            <w:tcBorders>
              <w:top w:val="nil"/>
              <w:left w:val="nil"/>
              <w:bottom w:val="single" w:sz="4" w:space="0" w:color="auto"/>
              <w:right w:val="single" w:sz="4" w:space="0" w:color="auto"/>
            </w:tcBorders>
            <w:noWrap/>
            <w:vAlign w:val="bottom"/>
            <w:hideMark/>
          </w:tcPr>
          <w:p w14:paraId="6A560F5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0.849</w:t>
            </w:r>
          </w:p>
        </w:tc>
        <w:tc>
          <w:tcPr>
            <w:tcW w:w="1176" w:type="dxa"/>
            <w:tcBorders>
              <w:top w:val="nil"/>
              <w:left w:val="nil"/>
              <w:bottom w:val="single" w:sz="4" w:space="0" w:color="auto"/>
              <w:right w:val="single" w:sz="4" w:space="0" w:color="auto"/>
            </w:tcBorders>
            <w:noWrap/>
            <w:vAlign w:val="bottom"/>
            <w:hideMark/>
          </w:tcPr>
          <w:p w14:paraId="0298714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119 500</w:t>
            </w:r>
          </w:p>
        </w:tc>
        <w:tc>
          <w:tcPr>
            <w:tcW w:w="1461" w:type="dxa"/>
            <w:tcBorders>
              <w:top w:val="nil"/>
              <w:left w:val="nil"/>
              <w:bottom w:val="single" w:sz="4" w:space="0" w:color="auto"/>
              <w:right w:val="single" w:sz="4" w:space="0" w:color="auto"/>
            </w:tcBorders>
            <w:noWrap/>
            <w:vAlign w:val="bottom"/>
            <w:hideMark/>
          </w:tcPr>
          <w:p w14:paraId="2D3F5C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127 677</w:t>
            </w:r>
          </w:p>
        </w:tc>
        <w:tc>
          <w:tcPr>
            <w:tcW w:w="1080" w:type="dxa"/>
            <w:tcBorders>
              <w:top w:val="nil"/>
              <w:left w:val="nil"/>
              <w:bottom w:val="single" w:sz="4" w:space="0" w:color="auto"/>
              <w:right w:val="single" w:sz="4" w:space="0" w:color="auto"/>
            </w:tcBorders>
            <w:noWrap/>
            <w:vAlign w:val="bottom"/>
            <w:hideMark/>
          </w:tcPr>
          <w:p w14:paraId="72DB0F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247 177</w:t>
            </w:r>
          </w:p>
        </w:tc>
      </w:tr>
      <w:tr w:rsidR="000C0842" w:rsidRPr="000C0842" w14:paraId="5F2A0D93" w14:textId="77777777" w:rsidTr="001F32B3">
        <w:tc>
          <w:tcPr>
            <w:tcW w:w="1880" w:type="dxa"/>
            <w:tcBorders>
              <w:top w:val="nil"/>
              <w:left w:val="single" w:sz="4" w:space="0" w:color="auto"/>
              <w:bottom w:val="single" w:sz="4" w:space="0" w:color="auto"/>
              <w:right w:val="single" w:sz="4" w:space="0" w:color="auto"/>
            </w:tcBorders>
            <w:hideMark/>
          </w:tcPr>
          <w:p w14:paraId="1A24122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阿曼</w:t>
            </w:r>
          </w:p>
        </w:tc>
        <w:tc>
          <w:tcPr>
            <w:tcW w:w="1628" w:type="dxa"/>
            <w:tcBorders>
              <w:top w:val="nil"/>
              <w:left w:val="nil"/>
              <w:bottom w:val="single" w:sz="4" w:space="0" w:color="auto"/>
              <w:right w:val="single" w:sz="4" w:space="0" w:color="auto"/>
            </w:tcBorders>
            <w:vAlign w:val="bottom"/>
            <w:hideMark/>
          </w:tcPr>
          <w:p w14:paraId="74DA0C8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0.111</w:t>
            </w:r>
          </w:p>
        </w:tc>
        <w:tc>
          <w:tcPr>
            <w:tcW w:w="2198" w:type="dxa"/>
            <w:tcBorders>
              <w:top w:val="nil"/>
              <w:left w:val="nil"/>
              <w:bottom w:val="single" w:sz="4" w:space="0" w:color="auto"/>
              <w:right w:val="single" w:sz="4" w:space="0" w:color="auto"/>
            </w:tcBorders>
            <w:noWrap/>
            <w:vAlign w:val="bottom"/>
            <w:hideMark/>
          </w:tcPr>
          <w:p w14:paraId="6C1FA2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0.139</w:t>
            </w:r>
          </w:p>
        </w:tc>
        <w:tc>
          <w:tcPr>
            <w:tcW w:w="1176" w:type="dxa"/>
            <w:tcBorders>
              <w:top w:val="nil"/>
              <w:left w:val="nil"/>
              <w:bottom w:val="single" w:sz="4" w:space="0" w:color="auto"/>
              <w:right w:val="single" w:sz="4" w:space="0" w:color="auto"/>
            </w:tcBorders>
            <w:noWrap/>
            <w:vAlign w:val="bottom"/>
            <w:hideMark/>
          </w:tcPr>
          <w:p w14:paraId="14A94A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19 535</w:t>
            </w:r>
          </w:p>
        </w:tc>
        <w:tc>
          <w:tcPr>
            <w:tcW w:w="1461" w:type="dxa"/>
            <w:tcBorders>
              <w:top w:val="nil"/>
              <w:left w:val="nil"/>
              <w:bottom w:val="single" w:sz="4" w:space="0" w:color="auto"/>
              <w:right w:val="single" w:sz="4" w:space="0" w:color="auto"/>
            </w:tcBorders>
            <w:noWrap/>
            <w:vAlign w:val="bottom"/>
            <w:hideMark/>
          </w:tcPr>
          <w:p w14:paraId="3D91BBE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20 872</w:t>
            </w:r>
          </w:p>
        </w:tc>
        <w:tc>
          <w:tcPr>
            <w:tcW w:w="1080" w:type="dxa"/>
            <w:tcBorders>
              <w:top w:val="nil"/>
              <w:left w:val="nil"/>
              <w:bottom w:val="single" w:sz="4" w:space="0" w:color="auto"/>
              <w:right w:val="single" w:sz="4" w:space="0" w:color="auto"/>
            </w:tcBorders>
            <w:noWrap/>
            <w:vAlign w:val="bottom"/>
            <w:hideMark/>
          </w:tcPr>
          <w:p w14:paraId="1AE1B0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40 407</w:t>
            </w:r>
          </w:p>
        </w:tc>
      </w:tr>
      <w:tr w:rsidR="000C0842" w:rsidRPr="000C0842" w14:paraId="7E228EE5" w14:textId="77777777" w:rsidTr="001F32B3">
        <w:tc>
          <w:tcPr>
            <w:tcW w:w="1880" w:type="dxa"/>
            <w:tcBorders>
              <w:top w:val="nil"/>
              <w:left w:val="single" w:sz="4" w:space="0" w:color="auto"/>
              <w:bottom w:val="single" w:sz="4" w:space="0" w:color="auto"/>
              <w:right w:val="single" w:sz="4" w:space="0" w:color="auto"/>
            </w:tcBorders>
            <w:hideMark/>
          </w:tcPr>
          <w:p w14:paraId="6B5799D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巴基斯坦</w:t>
            </w:r>
          </w:p>
        </w:tc>
        <w:tc>
          <w:tcPr>
            <w:tcW w:w="1628" w:type="dxa"/>
            <w:tcBorders>
              <w:top w:val="nil"/>
              <w:left w:val="nil"/>
              <w:bottom w:val="single" w:sz="4" w:space="0" w:color="auto"/>
              <w:right w:val="single" w:sz="4" w:space="0" w:color="auto"/>
            </w:tcBorders>
            <w:vAlign w:val="bottom"/>
            <w:hideMark/>
          </w:tcPr>
          <w:p w14:paraId="1AB6AED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0.114</w:t>
            </w:r>
          </w:p>
        </w:tc>
        <w:tc>
          <w:tcPr>
            <w:tcW w:w="2198" w:type="dxa"/>
            <w:tcBorders>
              <w:top w:val="nil"/>
              <w:left w:val="nil"/>
              <w:bottom w:val="single" w:sz="4" w:space="0" w:color="auto"/>
              <w:right w:val="single" w:sz="4" w:space="0" w:color="auto"/>
            </w:tcBorders>
            <w:noWrap/>
            <w:vAlign w:val="bottom"/>
            <w:hideMark/>
          </w:tcPr>
          <w:p w14:paraId="6D5E5C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0.143</w:t>
            </w:r>
          </w:p>
        </w:tc>
        <w:tc>
          <w:tcPr>
            <w:tcW w:w="1176" w:type="dxa"/>
            <w:tcBorders>
              <w:top w:val="nil"/>
              <w:left w:val="nil"/>
              <w:bottom w:val="single" w:sz="4" w:space="0" w:color="auto"/>
              <w:right w:val="single" w:sz="4" w:space="0" w:color="auto"/>
            </w:tcBorders>
            <w:noWrap/>
            <w:vAlign w:val="bottom"/>
            <w:hideMark/>
          </w:tcPr>
          <w:p w14:paraId="5802FDA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20 063</w:t>
            </w:r>
          </w:p>
        </w:tc>
        <w:tc>
          <w:tcPr>
            <w:tcW w:w="1461" w:type="dxa"/>
            <w:tcBorders>
              <w:top w:val="nil"/>
              <w:left w:val="nil"/>
              <w:bottom w:val="single" w:sz="4" w:space="0" w:color="auto"/>
              <w:right w:val="single" w:sz="4" w:space="0" w:color="auto"/>
            </w:tcBorders>
            <w:noWrap/>
            <w:vAlign w:val="bottom"/>
            <w:hideMark/>
          </w:tcPr>
          <w:p w14:paraId="05CA62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21 436</w:t>
            </w:r>
          </w:p>
        </w:tc>
        <w:tc>
          <w:tcPr>
            <w:tcW w:w="1080" w:type="dxa"/>
            <w:tcBorders>
              <w:top w:val="nil"/>
              <w:left w:val="nil"/>
              <w:bottom w:val="single" w:sz="4" w:space="0" w:color="auto"/>
              <w:right w:val="single" w:sz="4" w:space="0" w:color="auto"/>
            </w:tcBorders>
            <w:noWrap/>
            <w:vAlign w:val="bottom"/>
            <w:hideMark/>
          </w:tcPr>
          <w:p w14:paraId="402C4A1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41 500</w:t>
            </w:r>
          </w:p>
        </w:tc>
      </w:tr>
      <w:tr w:rsidR="000C0842" w:rsidRPr="000C0842" w14:paraId="537EF365" w14:textId="77777777" w:rsidTr="001F32B3">
        <w:tc>
          <w:tcPr>
            <w:tcW w:w="1880" w:type="dxa"/>
            <w:tcBorders>
              <w:top w:val="nil"/>
              <w:left w:val="single" w:sz="4" w:space="0" w:color="auto"/>
              <w:bottom w:val="single" w:sz="4" w:space="0" w:color="auto"/>
              <w:right w:val="single" w:sz="4" w:space="0" w:color="auto"/>
            </w:tcBorders>
            <w:hideMark/>
          </w:tcPr>
          <w:p w14:paraId="0ED0D8C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帕劳</w:t>
            </w:r>
          </w:p>
        </w:tc>
        <w:tc>
          <w:tcPr>
            <w:tcW w:w="1628" w:type="dxa"/>
            <w:tcBorders>
              <w:top w:val="nil"/>
              <w:left w:val="nil"/>
              <w:bottom w:val="single" w:sz="4" w:space="0" w:color="auto"/>
              <w:right w:val="single" w:sz="4" w:space="0" w:color="auto"/>
            </w:tcBorders>
            <w:vAlign w:val="bottom"/>
            <w:hideMark/>
          </w:tcPr>
          <w:p w14:paraId="7D19589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06823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4626912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09C8DF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20FE368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63412EBC" w14:textId="77777777" w:rsidTr="001F32B3">
        <w:tc>
          <w:tcPr>
            <w:tcW w:w="1880" w:type="dxa"/>
            <w:tcBorders>
              <w:top w:val="nil"/>
              <w:left w:val="single" w:sz="4" w:space="0" w:color="auto"/>
              <w:bottom w:val="single" w:sz="4" w:space="0" w:color="auto"/>
              <w:right w:val="single" w:sz="4" w:space="0" w:color="auto"/>
            </w:tcBorders>
            <w:hideMark/>
          </w:tcPr>
          <w:p w14:paraId="484C4A6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巴拿马</w:t>
            </w:r>
          </w:p>
        </w:tc>
        <w:tc>
          <w:tcPr>
            <w:tcW w:w="1628" w:type="dxa"/>
            <w:tcBorders>
              <w:top w:val="nil"/>
              <w:left w:val="nil"/>
              <w:bottom w:val="single" w:sz="4" w:space="0" w:color="auto"/>
              <w:right w:val="single" w:sz="4" w:space="0" w:color="auto"/>
            </w:tcBorders>
            <w:vAlign w:val="bottom"/>
            <w:hideMark/>
          </w:tcPr>
          <w:p w14:paraId="31CFFE2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0.090</w:t>
            </w:r>
          </w:p>
        </w:tc>
        <w:tc>
          <w:tcPr>
            <w:tcW w:w="2198" w:type="dxa"/>
            <w:tcBorders>
              <w:top w:val="nil"/>
              <w:left w:val="nil"/>
              <w:bottom w:val="single" w:sz="4" w:space="0" w:color="auto"/>
              <w:right w:val="single" w:sz="4" w:space="0" w:color="auto"/>
            </w:tcBorders>
            <w:noWrap/>
            <w:vAlign w:val="bottom"/>
            <w:hideMark/>
          </w:tcPr>
          <w:p w14:paraId="1357089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0.113</w:t>
            </w:r>
          </w:p>
        </w:tc>
        <w:tc>
          <w:tcPr>
            <w:tcW w:w="1176" w:type="dxa"/>
            <w:tcBorders>
              <w:top w:val="nil"/>
              <w:left w:val="nil"/>
              <w:bottom w:val="single" w:sz="4" w:space="0" w:color="auto"/>
              <w:right w:val="single" w:sz="4" w:space="0" w:color="auto"/>
            </w:tcBorders>
            <w:noWrap/>
            <w:vAlign w:val="bottom"/>
            <w:hideMark/>
          </w:tcPr>
          <w:p w14:paraId="0CF19F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15 839</w:t>
            </w:r>
          </w:p>
        </w:tc>
        <w:tc>
          <w:tcPr>
            <w:tcW w:w="1461" w:type="dxa"/>
            <w:tcBorders>
              <w:top w:val="nil"/>
              <w:left w:val="nil"/>
              <w:bottom w:val="single" w:sz="4" w:space="0" w:color="auto"/>
              <w:right w:val="single" w:sz="4" w:space="0" w:color="auto"/>
            </w:tcBorders>
            <w:noWrap/>
            <w:vAlign w:val="bottom"/>
            <w:hideMark/>
          </w:tcPr>
          <w:p w14:paraId="2C908EA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16 923</w:t>
            </w:r>
          </w:p>
        </w:tc>
        <w:tc>
          <w:tcPr>
            <w:tcW w:w="1080" w:type="dxa"/>
            <w:tcBorders>
              <w:top w:val="nil"/>
              <w:left w:val="nil"/>
              <w:bottom w:val="single" w:sz="4" w:space="0" w:color="auto"/>
              <w:right w:val="single" w:sz="4" w:space="0" w:color="auto"/>
            </w:tcBorders>
            <w:noWrap/>
            <w:vAlign w:val="bottom"/>
            <w:hideMark/>
          </w:tcPr>
          <w:p w14:paraId="40BE654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32 763</w:t>
            </w:r>
          </w:p>
        </w:tc>
      </w:tr>
      <w:tr w:rsidR="000C0842" w:rsidRPr="000C0842" w14:paraId="33C1D429" w14:textId="77777777" w:rsidTr="001F32B3">
        <w:tc>
          <w:tcPr>
            <w:tcW w:w="1880" w:type="dxa"/>
            <w:tcBorders>
              <w:top w:val="nil"/>
              <w:left w:val="single" w:sz="4" w:space="0" w:color="auto"/>
              <w:bottom w:val="single" w:sz="4" w:space="0" w:color="auto"/>
              <w:right w:val="single" w:sz="4" w:space="0" w:color="auto"/>
            </w:tcBorders>
            <w:hideMark/>
          </w:tcPr>
          <w:p w14:paraId="56AAD47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巴布亚新几内亚</w:t>
            </w:r>
          </w:p>
        </w:tc>
        <w:tc>
          <w:tcPr>
            <w:tcW w:w="1628" w:type="dxa"/>
            <w:tcBorders>
              <w:top w:val="nil"/>
              <w:left w:val="nil"/>
              <w:bottom w:val="single" w:sz="4" w:space="0" w:color="auto"/>
              <w:right w:val="single" w:sz="4" w:space="0" w:color="auto"/>
            </w:tcBorders>
            <w:vAlign w:val="bottom"/>
            <w:hideMark/>
          </w:tcPr>
          <w:p w14:paraId="72A6925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7B4989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0.013</w:t>
            </w:r>
          </w:p>
        </w:tc>
        <w:tc>
          <w:tcPr>
            <w:tcW w:w="1176" w:type="dxa"/>
            <w:tcBorders>
              <w:top w:val="nil"/>
              <w:left w:val="nil"/>
              <w:bottom w:val="single" w:sz="4" w:space="0" w:color="auto"/>
              <w:right w:val="single" w:sz="4" w:space="0" w:color="auto"/>
            </w:tcBorders>
            <w:noWrap/>
            <w:vAlign w:val="bottom"/>
            <w:hideMark/>
          </w:tcPr>
          <w:p w14:paraId="4F39125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1 760</w:t>
            </w:r>
          </w:p>
        </w:tc>
        <w:tc>
          <w:tcPr>
            <w:tcW w:w="1461" w:type="dxa"/>
            <w:tcBorders>
              <w:top w:val="nil"/>
              <w:left w:val="nil"/>
              <w:bottom w:val="single" w:sz="4" w:space="0" w:color="auto"/>
              <w:right w:val="single" w:sz="4" w:space="0" w:color="auto"/>
            </w:tcBorders>
            <w:noWrap/>
            <w:vAlign w:val="bottom"/>
            <w:hideMark/>
          </w:tcPr>
          <w:p w14:paraId="5B8127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1 880</w:t>
            </w:r>
          </w:p>
        </w:tc>
        <w:tc>
          <w:tcPr>
            <w:tcW w:w="1080" w:type="dxa"/>
            <w:tcBorders>
              <w:top w:val="nil"/>
              <w:left w:val="nil"/>
              <w:bottom w:val="single" w:sz="4" w:space="0" w:color="auto"/>
              <w:right w:val="single" w:sz="4" w:space="0" w:color="auto"/>
            </w:tcBorders>
            <w:noWrap/>
            <w:vAlign w:val="bottom"/>
            <w:hideMark/>
          </w:tcPr>
          <w:p w14:paraId="04C279A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3 640</w:t>
            </w:r>
          </w:p>
        </w:tc>
      </w:tr>
      <w:tr w:rsidR="000C0842" w:rsidRPr="000C0842" w14:paraId="359FA674" w14:textId="77777777" w:rsidTr="001F32B3">
        <w:tc>
          <w:tcPr>
            <w:tcW w:w="1880" w:type="dxa"/>
            <w:tcBorders>
              <w:top w:val="nil"/>
              <w:left w:val="single" w:sz="4" w:space="0" w:color="auto"/>
              <w:bottom w:val="single" w:sz="4" w:space="0" w:color="auto"/>
              <w:right w:val="single" w:sz="4" w:space="0" w:color="auto"/>
            </w:tcBorders>
            <w:hideMark/>
          </w:tcPr>
          <w:p w14:paraId="2DF4F03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巴拉圭</w:t>
            </w:r>
          </w:p>
        </w:tc>
        <w:tc>
          <w:tcPr>
            <w:tcW w:w="1628" w:type="dxa"/>
            <w:tcBorders>
              <w:top w:val="nil"/>
              <w:left w:val="nil"/>
              <w:bottom w:val="single" w:sz="4" w:space="0" w:color="auto"/>
              <w:right w:val="single" w:sz="4" w:space="0" w:color="auto"/>
            </w:tcBorders>
            <w:vAlign w:val="bottom"/>
            <w:hideMark/>
          </w:tcPr>
          <w:p w14:paraId="28B0B7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0.026</w:t>
            </w:r>
          </w:p>
        </w:tc>
        <w:tc>
          <w:tcPr>
            <w:tcW w:w="2198" w:type="dxa"/>
            <w:tcBorders>
              <w:top w:val="nil"/>
              <w:left w:val="nil"/>
              <w:bottom w:val="single" w:sz="4" w:space="0" w:color="auto"/>
              <w:right w:val="single" w:sz="4" w:space="0" w:color="auto"/>
            </w:tcBorders>
            <w:noWrap/>
            <w:vAlign w:val="bottom"/>
            <w:hideMark/>
          </w:tcPr>
          <w:p w14:paraId="1E8C537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0.033</w:t>
            </w:r>
          </w:p>
        </w:tc>
        <w:tc>
          <w:tcPr>
            <w:tcW w:w="1176" w:type="dxa"/>
            <w:tcBorders>
              <w:top w:val="nil"/>
              <w:left w:val="nil"/>
              <w:bottom w:val="single" w:sz="4" w:space="0" w:color="auto"/>
              <w:right w:val="single" w:sz="4" w:space="0" w:color="auto"/>
            </w:tcBorders>
            <w:noWrap/>
            <w:vAlign w:val="bottom"/>
            <w:hideMark/>
          </w:tcPr>
          <w:p w14:paraId="086BC73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4 576</w:t>
            </w:r>
          </w:p>
        </w:tc>
        <w:tc>
          <w:tcPr>
            <w:tcW w:w="1461" w:type="dxa"/>
            <w:tcBorders>
              <w:top w:val="nil"/>
              <w:left w:val="nil"/>
              <w:bottom w:val="single" w:sz="4" w:space="0" w:color="auto"/>
              <w:right w:val="single" w:sz="4" w:space="0" w:color="auto"/>
            </w:tcBorders>
            <w:noWrap/>
            <w:vAlign w:val="bottom"/>
            <w:hideMark/>
          </w:tcPr>
          <w:p w14:paraId="29C5620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4 889</w:t>
            </w:r>
          </w:p>
        </w:tc>
        <w:tc>
          <w:tcPr>
            <w:tcW w:w="1080" w:type="dxa"/>
            <w:tcBorders>
              <w:top w:val="nil"/>
              <w:left w:val="nil"/>
              <w:bottom w:val="single" w:sz="4" w:space="0" w:color="auto"/>
              <w:right w:val="single" w:sz="4" w:space="0" w:color="auto"/>
            </w:tcBorders>
            <w:noWrap/>
            <w:vAlign w:val="bottom"/>
            <w:hideMark/>
          </w:tcPr>
          <w:p w14:paraId="144EFF2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9 465</w:t>
            </w:r>
          </w:p>
        </w:tc>
      </w:tr>
      <w:tr w:rsidR="000C0842" w:rsidRPr="000C0842" w14:paraId="75CFE3DA" w14:textId="77777777" w:rsidTr="001F32B3">
        <w:tc>
          <w:tcPr>
            <w:tcW w:w="1880" w:type="dxa"/>
            <w:tcBorders>
              <w:top w:val="nil"/>
              <w:left w:val="single" w:sz="4" w:space="0" w:color="auto"/>
              <w:bottom w:val="single" w:sz="4" w:space="0" w:color="auto"/>
              <w:right w:val="single" w:sz="4" w:space="0" w:color="auto"/>
            </w:tcBorders>
            <w:hideMark/>
          </w:tcPr>
          <w:p w14:paraId="48C192D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秘鲁</w:t>
            </w:r>
          </w:p>
        </w:tc>
        <w:tc>
          <w:tcPr>
            <w:tcW w:w="1628" w:type="dxa"/>
            <w:tcBorders>
              <w:top w:val="nil"/>
              <w:left w:val="nil"/>
              <w:bottom w:val="single" w:sz="4" w:space="0" w:color="auto"/>
              <w:right w:val="single" w:sz="4" w:space="0" w:color="auto"/>
            </w:tcBorders>
            <w:vAlign w:val="bottom"/>
            <w:hideMark/>
          </w:tcPr>
          <w:p w14:paraId="452A649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0.163</w:t>
            </w:r>
          </w:p>
        </w:tc>
        <w:tc>
          <w:tcPr>
            <w:tcW w:w="2198" w:type="dxa"/>
            <w:tcBorders>
              <w:top w:val="nil"/>
              <w:left w:val="nil"/>
              <w:bottom w:val="single" w:sz="4" w:space="0" w:color="auto"/>
              <w:right w:val="single" w:sz="4" w:space="0" w:color="auto"/>
            </w:tcBorders>
            <w:noWrap/>
            <w:vAlign w:val="bottom"/>
            <w:hideMark/>
          </w:tcPr>
          <w:p w14:paraId="0662010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0.204</w:t>
            </w:r>
          </w:p>
        </w:tc>
        <w:tc>
          <w:tcPr>
            <w:tcW w:w="1176" w:type="dxa"/>
            <w:tcBorders>
              <w:top w:val="nil"/>
              <w:left w:val="nil"/>
              <w:bottom w:val="single" w:sz="4" w:space="0" w:color="auto"/>
              <w:right w:val="single" w:sz="4" w:space="0" w:color="auto"/>
            </w:tcBorders>
            <w:noWrap/>
            <w:vAlign w:val="bottom"/>
            <w:hideMark/>
          </w:tcPr>
          <w:p w14:paraId="78CEFD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28 687</w:t>
            </w:r>
          </w:p>
        </w:tc>
        <w:tc>
          <w:tcPr>
            <w:tcW w:w="1461" w:type="dxa"/>
            <w:tcBorders>
              <w:top w:val="nil"/>
              <w:left w:val="nil"/>
              <w:bottom w:val="single" w:sz="4" w:space="0" w:color="auto"/>
              <w:right w:val="single" w:sz="4" w:space="0" w:color="auto"/>
            </w:tcBorders>
            <w:noWrap/>
            <w:vAlign w:val="bottom"/>
            <w:hideMark/>
          </w:tcPr>
          <w:p w14:paraId="37DD372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30 650</w:t>
            </w:r>
          </w:p>
        </w:tc>
        <w:tc>
          <w:tcPr>
            <w:tcW w:w="1080" w:type="dxa"/>
            <w:tcBorders>
              <w:top w:val="nil"/>
              <w:left w:val="nil"/>
              <w:bottom w:val="single" w:sz="4" w:space="0" w:color="auto"/>
              <w:right w:val="single" w:sz="4" w:space="0" w:color="auto"/>
            </w:tcBorders>
            <w:noWrap/>
            <w:vAlign w:val="bottom"/>
            <w:hideMark/>
          </w:tcPr>
          <w:p w14:paraId="3C99DD6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59 337</w:t>
            </w:r>
          </w:p>
        </w:tc>
      </w:tr>
      <w:tr w:rsidR="000C0842" w:rsidRPr="000C0842" w14:paraId="4974D0E0" w14:textId="77777777" w:rsidTr="001F32B3">
        <w:tc>
          <w:tcPr>
            <w:tcW w:w="1880" w:type="dxa"/>
            <w:tcBorders>
              <w:top w:val="nil"/>
              <w:left w:val="single" w:sz="4" w:space="0" w:color="auto"/>
              <w:bottom w:val="single" w:sz="4" w:space="0" w:color="auto"/>
              <w:right w:val="single" w:sz="4" w:space="0" w:color="auto"/>
            </w:tcBorders>
            <w:hideMark/>
          </w:tcPr>
          <w:p w14:paraId="436512D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菲律宾</w:t>
            </w:r>
          </w:p>
        </w:tc>
        <w:tc>
          <w:tcPr>
            <w:tcW w:w="1628" w:type="dxa"/>
            <w:tcBorders>
              <w:top w:val="nil"/>
              <w:left w:val="nil"/>
              <w:bottom w:val="single" w:sz="4" w:space="0" w:color="auto"/>
              <w:right w:val="single" w:sz="4" w:space="0" w:color="auto"/>
            </w:tcBorders>
            <w:vAlign w:val="bottom"/>
            <w:hideMark/>
          </w:tcPr>
          <w:p w14:paraId="178F8FB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0.212</w:t>
            </w:r>
          </w:p>
        </w:tc>
        <w:tc>
          <w:tcPr>
            <w:tcW w:w="2198" w:type="dxa"/>
            <w:tcBorders>
              <w:top w:val="nil"/>
              <w:left w:val="nil"/>
              <w:bottom w:val="single" w:sz="4" w:space="0" w:color="auto"/>
              <w:right w:val="single" w:sz="4" w:space="0" w:color="auto"/>
            </w:tcBorders>
            <w:noWrap/>
            <w:vAlign w:val="bottom"/>
            <w:hideMark/>
          </w:tcPr>
          <w:p w14:paraId="7988B39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0.265</w:t>
            </w:r>
          </w:p>
        </w:tc>
        <w:tc>
          <w:tcPr>
            <w:tcW w:w="1176" w:type="dxa"/>
            <w:tcBorders>
              <w:top w:val="nil"/>
              <w:left w:val="nil"/>
              <w:bottom w:val="single" w:sz="4" w:space="0" w:color="auto"/>
              <w:right w:val="single" w:sz="4" w:space="0" w:color="auto"/>
            </w:tcBorders>
            <w:noWrap/>
            <w:vAlign w:val="bottom"/>
            <w:hideMark/>
          </w:tcPr>
          <w:p w14:paraId="0C5DD7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37 311</w:t>
            </w:r>
          </w:p>
        </w:tc>
        <w:tc>
          <w:tcPr>
            <w:tcW w:w="1461" w:type="dxa"/>
            <w:tcBorders>
              <w:top w:val="nil"/>
              <w:left w:val="nil"/>
              <w:bottom w:val="single" w:sz="4" w:space="0" w:color="auto"/>
              <w:right w:val="single" w:sz="4" w:space="0" w:color="auto"/>
            </w:tcBorders>
            <w:noWrap/>
            <w:vAlign w:val="bottom"/>
            <w:hideMark/>
          </w:tcPr>
          <w:p w14:paraId="0719C1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39 864</w:t>
            </w:r>
          </w:p>
        </w:tc>
        <w:tc>
          <w:tcPr>
            <w:tcW w:w="1080" w:type="dxa"/>
            <w:tcBorders>
              <w:top w:val="nil"/>
              <w:left w:val="nil"/>
              <w:bottom w:val="single" w:sz="4" w:space="0" w:color="auto"/>
              <w:right w:val="single" w:sz="4" w:space="0" w:color="auto"/>
            </w:tcBorders>
            <w:noWrap/>
            <w:vAlign w:val="bottom"/>
            <w:hideMark/>
          </w:tcPr>
          <w:p w14:paraId="0221102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77 175</w:t>
            </w:r>
          </w:p>
        </w:tc>
      </w:tr>
      <w:tr w:rsidR="000C0842" w:rsidRPr="000C0842" w14:paraId="27E02BE9" w14:textId="77777777" w:rsidTr="001F32B3">
        <w:tc>
          <w:tcPr>
            <w:tcW w:w="1880" w:type="dxa"/>
            <w:tcBorders>
              <w:top w:val="nil"/>
              <w:left w:val="single" w:sz="4" w:space="0" w:color="auto"/>
              <w:bottom w:val="single" w:sz="4" w:space="0" w:color="auto"/>
              <w:right w:val="single" w:sz="4" w:space="0" w:color="auto"/>
            </w:tcBorders>
            <w:hideMark/>
          </w:tcPr>
          <w:p w14:paraId="217E0A2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波兰</w:t>
            </w:r>
          </w:p>
        </w:tc>
        <w:tc>
          <w:tcPr>
            <w:tcW w:w="1628" w:type="dxa"/>
            <w:tcBorders>
              <w:top w:val="nil"/>
              <w:left w:val="nil"/>
              <w:bottom w:val="single" w:sz="4" w:space="0" w:color="auto"/>
              <w:right w:val="single" w:sz="4" w:space="0" w:color="auto"/>
            </w:tcBorders>
            <w:vAlign w:val="bottom"/>
            <w:hideMark/>
          </w:tcPr>
          <w:p w14:paraId="7B575BE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0.837</w:t>
            </w:r>
          </w:p>
        </w:tc>
        <w:tc>
          <w:tcPr>
            <w:tcW w:w="2198" w:type="dxa"/>
            <w:tcBorders>
              <w:top w:val="nil"/>
              <w:left w:val="nil"/>
              <w:bottom w:val="single" w:sz="4" w:space="0" w:color="auto"/>
              <w:right w:val="single" w:sz="4" w:space="0" w:color="auto"/>
            </w:tcBorders>
            <w:noWrap/>
            <w:vAlign w:val="bottom"/>
            <w:hideMark/>
          </w:tcPr>
          <w:p w14:paraId="616E2E9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1.046</w:t>
            </w:r>
          </w:p>
        </w:tc>
        <w:tc>
          <w:tcPr>
            <w:tcW w:w="1176" w:type="dxa"/>
            <w:tcBorders>
              <w:top w:val="nil"/>
              <w:left w:val="nil"/>
              <w:bottom w:val="single" w:sz="4" w:space="0" w:color="auto"/>
              <w:right w:val="single" w:sz="4" w:space="0" w:color="auto"/>
            </w:tcBorders>
            <w:noWrap/>
            <w:vAlign w:val="bottom"/>
            <w:hideMark/>
          </w:tcPr>
          <w:p w14:paraId="5AFE708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147 307</w:t>
            </w:r>
          </w:p>
        </w:tc>
        <w:tc>
          <w:tcPr>
            <w:tcW w:w="1461" w:type="dxa"/>
            <w:tcBorders>
              <w:top w:val="nil"/>
              <w:left w:val="nil"/>
              <w:bottom w:val="single" w:sz="4" w:space="0" w:color="auto"/>
              <w:right w:val="single" w:sz="4" w:space="0" w:color="auto"/>
            </w:tcBorders>
            <w:noWrap/>
            <w:vAlign w:val="bottom"/>
            <w:hideMark/>
          </w:tcPr>
          <w:p w14:paraId="6E30002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157 387</w:t>
            </w:r>
          </w:p>
        </w:tc>
        <w:tc>
          <w:tcPr>
            <w:tcW w:w="1080" w:type="dxa"/>
            <w:tcBorders>
              <w:top w:val="nil"/>
              <w:left w:val="nil"/>
              <w:bottom w:val="single" w:sz="4" w:space="0" w:color="auto"/>
              <w:right w:val="single" w:sz="4" w:space="0" w:color="auto"/>
            </w:tcBorders>
            <w:noWrap/>
            <w:vAlign w:val="bottom"/>
            <w:hideMark/>
          </w:tcPr>
          <w:p w14:paraId="42829D7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304 694</w:t>
            </w:r>
          </w:p>
        </w:tc>
      </w:tr>
      <w:tr w:rsidR="000C0842" w:rsidRPr="000C0842" w14:paraId="67608038" w14:textId="77777777" w:rsidTr="001F32B3">
        <w:tc>
          <w:tcPr>
            <w:tcW w:w="1880" w:type="dxa"/>
            <w:tcBorders>
              <w:top w:val="nil"/>
              <w:left w:val="single" w:sz="4" w:space="0" w:color="auto"/>
              <w:bottom w:val="single" w:sz="4" w:space="0" w:color="auto"/>
              <w:right w:val="single" w:sz="4" w:space="0" w:color="auto"/>
            </w:tcBorders>
            <w:hideMark/>
          </w:tcPr>
          <w:p w14:paraId="5E01544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葡萄牙</w:t>
            </w:r>
          </w:p>
        </w:tc>
        <w:tc>
          <w:tcPr>
            <w:tcW w:w="1628" w:type="dxa"/>
            <w:tcBorders>
              <w:top w:val="nil"/>
              <w:left w:val="nil"/>
              <w:bottom w:val="single" w:sz="4" w:space="0" w:color="auto"/>
              <w:right w:val="single" w:sz="4" w:space="0" w:color="auto"/>
            </w:tcBorders>
            <w:vAlign w:val="bottom"/>
            <w:hideMark/>
          </w:tcPr>
          <w:p w14:paraId="740AD7F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0.353</w:t>
            </w:r>
          </w:p>
        </w:tc>
        <w:tc>
          <w:tcPr>
            <w:tcW w:w="2198" w:type="dxa"/>
            <w:tcBorders>
              <w:top w:val="nil"/>
              <w:left w:val="nil"/>
              <w:bottom w:val="single" w:sz="4" w:space="0" w:color="auto"/>
              <w:right w:val="single" w:sz="4" w:space="0" w:color="auto"/>
            </w:tcBorders>
            <w:noWrap/>
            <w:vAlign w:val="bottom"/>
            <w:hideMark/>
          </w:tcPr>
          <w:p w14:paraId="5F0C3D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0.441</w:t>
            </w:r>
          </w:p>
        </w:tc>
        <w:tc>
          <w:tcPr>
            <w:tcW w:w="1176" w:type="dxa"/>
            <w:tcBorders>
              <w:top w:val="nil"/>
              <w:left w:val="nil"/>
              <w:bottom w:val="single" w:sz="4" w:space="0" w:color="auto"/>
              <w:right w:val="single" w:sz="4" w:space="0" w:color="auto"/>
            </w:tcBorders>
            <w:noWrap/>
            <w:vAlign w:val="bottom"/>
            <w:hideMark/>
          </w:tcPr>
          <w:p w14:paraId="739D74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62 126</w:t>
            </w:r>
          </w:p>
        </w:tc>
        <w:tc>
          <w:tcPr>
            <w:tcW w:w="1461" w:type="dxa"/>
            <w:tcBorders>
              <w:top w:val="nil"/>
              <w:left w:val="nil"/>
              <w:bottom w:val="single" w:sz="4" w:space="0" w:color="auto"/>
              <w:right w:val="single" w:sz="4" w:space="0" w:color="auto"/>
            </w:tcBorders>
            <w:noWrap/>
            <w:vAlign w:val="bottom"/>
            <w:hideMark/>
          </w:tcPr>
          <w:p w14:paraId="7A7862C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66 377</w:t>
            </w:r>
          </w:p>
        </w:tc>
        <w:tc>
          <w:tcPr>
            <w:tcW w:w="1080" w:type="dxa"/>
            <w:tcBorders>
              <w:top w:val="nil"/>
              <w:left w:val="nil"/>
              <w:bottom w:val="single" w:sz="4" w:space="0" w:color="auto"/>
              <w:right w:val="single" w:sz="4" w:space="0" w:color="auto"/>
            </w:tcBorders>
            <w:noWrap/>
            <w:vAlign w:val="bottom"/>
            <w:hideMark/>
          </w:tcPr>
          <w:p w14:paraId="7771E4B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128 503</w:t>
            </w:r>
          </w:p>
        </w:tc>
      </w:tr>
      <w:tr w:rsidR="000C0842" w:rsidRPr="000C0842" w14:paraId="701B8E39" w14:textId="77777777" w:rsidTr="001F32B3">
        <w:tc>
          <w:tcPr>
            <w:tcW w:w="1880" w:type="dxa"/>
            <w:tcBorders>
              <w:top w:val="nil"/>
              <w:left w:val="single" w:sz="4" w:space="0" w:color="auto"/>
              <w:bottom w:val="single" w:sz="4" w:space="0" w:color="auto"/>
              <w:right w:val="single" w:sz="4" w:space="0" w:color="auto"/>
            </w:tcBorders>
            <w:hideMark/>
          </w:tcPr>
          <w:p w14:paraId="7C23DDA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卡塔尔</w:t>
            </w:r>
          </w:p>
        </w:tc>
        <w:tc>
          <w:tcPr>
            <w:tcW w:w="1628" w:type="dxa"/>
            <w:tcBorders>
              <w:top w:val="nil"/>
              <w:left w:val="nil"/>
              <w:bottom w:val="single" w:sz="4" w:space="0" w:color="auto"/>
              <w:right w:val="single" w:sz="4" w:space="0" w:color="auto"/>
            </w:tcBorders>
            <w:vAlign w:val="bottom"/>
            <w:hideMark/>
          </w:tcPr>
          <w:p w14:paraId="06FB2C6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0.269</w:t>
            </w:r>
          </w:p>
        </w:tc>
        <w:tc>
          <w:tcPr>
            <w:tcW w:w="2198" w:type="dxa"/>
            <w:tcBorders>
              <w:top w:val="nil"/>
              <w:left w:val="nil"/>
              <w:bottom w:val="single" w:sz="4" w:space="0" w:color="auto"/>
              <w:right w:val="single" w:sz="4" w:space="0" w:color="auto"/>
            </w:tcBorders>
            <w:noWrap/>
            <w:vAlign w:val="bottom"/>
            <w:hideMark/>
          </w:tcPr>
          <w:p w14:paraId="6CE44D0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0.336</w:t>
            </w:r>
          </w:p>
        </w:tc>
        <w:tc>
          <w:tcPr>
            <w:tcW w:w="1176" w:type="dxa"/>
            <w:tcBorders>
              <w:top w:val="nil"/>
              <w:left w:val="nil"/>
              <w:bottom w:val="single" w:sz="4" w:space="0" w:color="auto"/>
              <w:right w:val="single" w:sz="4" w:space="0" w:color="auto"/>
            </w:tcBorders>
            <w:noWrap/>
            <w:vAlign w:val="bottom"/>
            <w:hideMark/>
          </w:tcPr>
          <w:p w14:paraId="0D6AFF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47 343</w:t>
            </w:r>
          </w:p>
        </w:tc>
        <w:tc>
          <w:tcPr>
            <w:tcW w:w="1461" w:type="dxa"/>
            <w:tcBorders>
              <w:top w:val="nil"/>
              <w:left w:val="nil"/>
              <w:bottom w:val="single" w:sz="4" w:space="0" w:color="auto"/>
              <w:right w:val="single" w:sz="4" w:space="0" w:color="auto"/>
            </w:tcBorders>
            <w:noWrap/>
            <w:vAlign w:val="bottom"/>
            <w:hideMark/>
          </w:tcPr>
          <w:p w14:paraId="5CD5A6F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50 582</w:t>
            </w:r>
          </w:p>
        </w:tc>
        <w:tc>
          <w:tcPr>
            <w:tcW w:w="1080" w:type="dxa"/>
            <w:tcBorders>
              <w:top w:val="nil"/>
              <w:left w:val="nil"/>
              <w:bottom w:val="single" w:sz="4" w:space="0" w:color="auto"/>
              <w:right w:val="single" w:sz="4" w:space="0" w:color="auto"/>
            </w:tcBorders>
            <w:noWrap/>
            <w:vAlign w:val="bottom"/>
            <w:hideMark/>
          </w:tcPr>
          <w:p w14:paraId="0B73AF5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97 924</w:t>
            </w:r>
          </w:p>
        </w:tc>
      </w:tr>
      <w:tr w:rsidR="000C0842" w:rsidRPr="000C0842" w14:paraId="123A7946" w14:textId="77777777" w:rsidTr="001F32B3">
        <w:tc>
          <w:tcPr>
            <w:tcW w:w="1880" w:type="dxa"/>
            <w:tcBorders>
              <w:top w:val="nil"/>
              <w:left w:val="single" w:sz="4" w:space="0" w:color="auto"/>
              <w:bottom w:val="single" w:sz="4" w:space="0" w:color="auto"/>
              <w:right w:val="single" w:sz="4" w:space="0" w:color="auto"/>
            </w:tcBorders>
            <w:hideMark/>
          </w:tcPr>
          <w:p w14:paraId="6C2C222E"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大韩民国</w:t>
            </w:r>
          </w:p>
        </w:tc>
        <w:tc>
          <w:tcPr>
            <w:tcW w:w="1628" w:type="dxa"/>
            <w:tcBorders>
              <w:top w:val="nil"/>
              <w:left w:val="nil"/>
              <w:bottom w:val="single" w:sz="4" w:space="0" w:color="auto"/>
              <w:right w:val="single" w:sz="4" w:space="0" w:color="auto"/>
            </w:tcBorders>
            <w:vAlign w:val="bottom"/>
            <w:hideMark/>
          </w:tcPr>
          <w:p w14:paraId="74283A1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2.574</w:t>
            </w:r>
          </w:p>
        </w:tc>
        <w:tc>
          <w:tcPr>
            <w:tcW w:w="2198" w:type="dxa"/>
            <w:tcBorders>
              <w:top w:val="nil"/>
              <w:left w:val="nil"/>
              <w:bottom w:val="single" w:sz="4" w:space="0" w:color="auto"/>
              <w:right w:val="single" w:sz="4" w:space="0" w:color="auto"/>
            </w:tcBorders>
            <w:noWrap/>
            <w:vAlign w:val="bottom"/>
            <w:hideMark/>
          </w:tcPr>
          <w:p w14:paraId="464A710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3.218</w:t>
            </w:r>
          </w:p>
        </w:tc>
        <w:tc>
          <w:tcPr>
            <w:tcW w:w="1176" w:type="dxa"/>
            <w:tcBorders>
              <w:top w:val="nil"/>
              <w:left w:val="nil"/>
              <w:bottom w:val="single" w:sz="4" w:space="0" w:color="auto"/>
              <w:right w:val="single" w:sz="4" w:space="0" w:color="auto"/>
            </w:tcBorders>
            <w:noWrap/>
            <w:vAlign w:val="bottom"/>
            <w:hideMark/>
          </w:tcPr>
          <w:p w14:paraId="30DF1B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453 010</w:t>
            </w:r>
          </w:p>
        </w:tc>
        <w:tc>
          <w:tcPr>
            <w:tcW w:w="1461" w:type="dxa"/>
            <w:tcBorders>
              <w:top w:val="nil"/>
              <w:left w:val="nil"/>
              <w:bottom w:val="single" w:sz="4" w:space="0" w:color="auto"/>
              <w:right w:val="single" w:sz="4" w:space="0" w:color="auto"/>
            </w:tcBorders>
            <w:noWrap/>
            <w:vAlign w:val="bottom"/>
            <w:hideMark/>
          </w:tcPr>
          <w:p w14:paraId="7A3082F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484 006</w:t>
            </w:r>
          </w:p>
        </w:tc>
        <w:tc>
          <w:tcPr>
            <w:tcW w:w="1080" w:type="dxa"/>
            <w:tcBorders>
              <w:top w:val="nil"/>
              <w:left w:val="nil"/>
              <w:bottom w:val="single" w:sz="4" w:space="0" w:color="auto"/>
              <w:right w:val="single" w:sz="4" w:space="0" w:color="auto"/>
            </w:tcBorders>
            <w:noWrap/>
            <w:vAlign w:val="bottom"/>
            <w:hideMark/>
          </w:tcPr>
          <w:p w14:paraId="321CB4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937 016</w:t>
            </w:r>
          </w:p>
        </w:tc>
      </w:tr>
      <w:tr w:rsidR="000C0842" w:rsidRPr="000C0842" w14:paraId="77DD2C3E" w14:textId="77777777" w:rsidTr="001F32B3">
        <w:tc>
          <w:tcPr>
            <w:tcW w:w="1880" w:type="dxa"/>
            <w:tcBorders>
              <w:top w:val="nil"/>
              <w:left w:val="single" w:sz="4" w:space="0" w:color="auto"/>
              <w:bottom w:val="single" w:sz="4" w:space="0" w:color="auto"/>
              <w:right w:val="single" w:sz="4" w:space="0" w:color="auto"/>
            </w:tcBorders>
            <w:hideMark/>
          </w:tcPr>
          <w:p w14:paraId="684B3D5B"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摩尔多瓦共和国</w:t>
            </w:r>
          </w:p>
        </w:tc>
        <w:tc>
          <w:tcPr>
            <w:tcW w:w="1628" w:type="dxa"/>
            <w:tcBorders>
              <w:top w:val="nil"/>
              <w:left w:val="nil"/>
              <w:bottom w:val="single" w:sz="4" w:space="0" w:color="auto"/>
              <w:right w:val="single" w:sz="4" w:space="0" w:color="auto"/>
            </w:tcBorders>
            <w:vAlign w:val="bottom"/>
            <w:hideMark/>
          </w:tcPr>
          <w:p w14:paraId="297DBE7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0.005</w:t>
            </w:r>
          </w:p>
        </w:tc>
        <w:tc>
          <w:tcPr>
            <w:tcW w:w="2198" w:type="dxa"/>
            <w:tcBorders>
              <w:top w:val="nil"/>
              <w:left w:val="nil"/>
              <w:bottom w:val="single" w:sz="4" w:space="0" w:color="auto"/>
              <w:right w:val="single" w:sz="4" w:space="0" w:color="auto"/>
            </w:tcBorders>
            <w:noWrap/>
            <w:vAlign w:val="bottom"/>
            <w:hideMark/>
          </w:tcPr>
          <w:p w14:paraId="58010FC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0.006</w:t>
            </w:r>
          </w:p>
        </w:tc>
        <w:tc>
          <w:tcPr>
            <w:tcW w:w="1176" w:type="dxa"/>
            <w:tcBorders>
              <w:top w:val="nil"/>
              <w:left w:val="nil"/>
              <w:bottom w:val="single" w:sz="4" w:space="0" w:color="auto"/>
              <w:right w:val="single" w:sz="4" w:space="0" w:color="auto"/>
            </w:tcBorders>
            <w:noWrap/>
            <w:vAlign w:val="bottom"/>
            <w:hideMark/>
          </w:tcPr>
          <w:p w14:paraId="3BC8489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880</w:t>
            </w:r>
          </w:p>
        </w:tc>
        <w:tc>
          <w:tcPr>
            <w:tcW w:w="1461" w:type="dxa"/>
            <w:tcBorders>
              <w:top w:val="nil"/>
              <w:left w:val="nil"/>
              <w:bottom w:val="single" w:sz="4" w:space="0" w:color="auto"/>
              <w:right w:val="single" w:sz="4" w:space="0" w:color="auto"/>
            </w:tcBorders>
            <w:noWrap/>
            <w:vAlign w:val="bottom"/>
            <w:hideMark/>
          </w:tcPr>
          <w:p w14:paraId="0D95EB9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940</w:t>
            </w:r>
          </w:p>
        </w:tc>
        <w:tc>
          <w:tcPr>
            <w:tcW w:w="1080" w:type="dxa"/>
            <w:tcBorders>
              <w:top w:val="nil"/>
              <w:left w:val="nil"/>
              <w:bottom w:val="single" w:sz="4" w:space="0" w:color="auto"/>
              <w:right w:val="single" w:sz="4" w:space="0" w:color="auto"/>
            </w:tcBorders>
            <w:noWrap/>
            <w:vAlign w:val="bottom"/>
            <w:hideMark/>
          </w:tcPr>
          <w:p w14:paraId="4B7C3A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1 820</w:t>
            </w:r>
          </w:p>
        </w:tc>
      </w:tr>
      <w:tr w:rsidR="000C0842" w:rsidRPr="000C0842" w14:paraId="6AAA0AA4" w14:textId="77777777" w:rsidTr="001F32B3">
        <w:tc>
          <w:tcPr>
            <w:tcW w:w="1880" w:type="dxa"/>
            <w:tcBorders>
              <w:top w:val="nil"/>
              <w:left w:val="single" w:sz="4" w:space="0" w:color="auto"/>
              <w:bottom w:val="single" w:sz="4" w:space="0" w:color="auto"/>
              <w:right w:val="single" w:sz="4" w:space="0" w:color="auto"/>
            </w:tcBorders>
            <w:hideMark/>
          </w:tcPr>
          <w:p w14:paraId="7AF74E5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罗马尼亚</w:t>
            </w:r>
          </w:p>
        </w:tc>
        <w:tc>
          <w:tcPr>
            <w:tcW w:w="1628" w:type="dxa"/>
            <w:tcBorders>
              <w:top w:val="nil"/>
              <w:left w:val="nil"/>
              <w:bottom w:val="single" w:sz="4" w:space="0" w:color="auto"/>
              <w:right w:val="single" w:sz="4" w:space="0" w:color="auto"/>
            </w:tcBorders>
            <w:vAlign w:val="bottom"/>
            <w:hideMark/>
          </w:tcPr>
          <w:p w14:paraId="7C86521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0.312</w:t>
            </w:r>
          </w:p>
        </w:tc>
        <w:tc>
          <w:tcPr>
            <w:tcW w:w="2198" w:type="dxa"/>
            <w:tcBorders>
              <w:top w:val="nil"/>
              <w:left w:val="nil"/>
              <w:bottom w:val="single" w:sz="4" w:space="0" w:color="auto"/>
              <w:right w:val="single" w:sz="4" w:space="0" w:color="auto"/>
            </w:tcBorders>
            <w:noWrap/>
            <w:vAlign w:val="bottom"/>
            <w:hideMark/>
          </w:tcPr>
          <w:p w14:paraId="480977B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0.390</w:t>
            </w:r>
          </w:p>
        </w:tc>
        <w:tc>
          <w:tcPr>
            <w:tcW w:w="1176" w:type="dxa"/>
            <w:tcBorders>
              <w:top w:val="nil"/>
              <w:left w:val="nil"/>
              <w:bottom w:val="single" w:sz="4" w:space="0" w:color="auto"/>
              <w:right w:val="single" w:sz="4" w:space="0" w:color="auto"/>
            </w:tcBorders>
            <w:noWrap/>
            <w:vAlign w:val="bottom"/>
            <w:hideMark/>
          </w:tcPr>
          <w:p w14:paraId="2E422BC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54 910</w:t>
            </w:r>
          </w:p>
        </w:tc>
        <w:tc>
          <w:tcPr>
            <w:tcW w:w="1461" w:type="dxa"/>
            <w:tcBorders>
              <w:top w:val="nil"/>
              <w:left w:val="nil"/>
              <w:bottom w:val="single" w:sz="4" w:space="0" w:color="auto"/>
              <w:right w:val="single" w:sz="4" w:space="0" w:color="auto"/>
            </w:tcBorders>
            <w:noWrap/>
            <w:vAlign w:val="bottom"/>
            <w:hideMark/>
          </w:tcPr>
          <w:p w14:paraId="3B954C2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58 667</w:t>
            </w:r>
          </w:p>
        </w:tc>
        <w:tc>
          <w:tcPr>
            <w:tcW w:w="1080" w:type="dxa"/>
            <w:tcBorders>
              <w:top w:val="nil"/>
              <w:left w:val="nil"/>
              <w:bottom w:val="single" w:sz="4" w:space="0" w:color="auto"/>
              <w:right w:val="single" w:sz="4" w:space="0" w:color="auto"/>
            </w:tcBorders>
            <w:noWrap/>
            <w:vAlign w:val="bottom"/>
            <w:hideMark/>
          </w:tcPr>
          <w:p w14:paraId="6997411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113 578</w:t>
            </w:r>
          </w:p>
        </w:tc>
      </w:tr>
      <w:tr w:rsidR="000C0842" w:rsidRPr="000C0842" w14:paraId="7E4C1E74" w14:textId="77777777" w:rsidTr="001F32B3">
        <w:tc>
          <w:tcPr>
            <w:tcW w:w="1880" w:type="dxa"/>
            <w:tcBorders>
              <w:top w:val="nil"/>
              <w:left w:val="single" w:sz="4" w:space="0" w:color="auto"/>
              <w:bottom w:val="single" w:sz="4" w:space="0" w:color="auto"/>
              <w:right w:val="single" w:sz="4" w:space="0" w:color="auto"/>
            </w:tcBorders>
            <w:hideMark/>
          </w:tcPr>
          <w:p w14:paraId="1867214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俄罗斯联邦</w:t>
            </w:r>
          </w:p>
        </w:tc>
        <w:tc>
          <w:tcPr>
            <w:tcW w:w="1628" w:type="dxa"/>
            <w:tcBorders>
              <w:top w:val="nil"/>
              <w:left w:val="nil"/>
              <w:bottom w:val="single" w:sz="4" w:space="0" w:color="auto"/>
              <w:right w:val="single" w:sz="4" w:space="0" w:color="auto"/>
            </w:tcBorders>
            <w:vAlign w:val="bottom"/>
            <w:hideMark/>
          </w:tcPr>
          <w:p w14:paraId="47736E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1.866</w:t>
            </w:r>
          </w:p>
        </w:tc>
        <w:tc>
          <w:tcPr>
            <w:tcW w:w="2198" w:type="dxa"/>
            <w:tcBorders>
              <w:top w:val="nil"/>
              <w:left w:val="nil"/>
              <w:bottom w:val="single" w:sz="4" w:space="0" w:color="auto"/>
              <w:right w:val="single" w:sz="4" w:space="0" w:color="auto"/>
            </w:tcBorders>
            <w:noWrap/>
            <w:vAlign w:val="bottom"/>
            <w:hideMark/>
          </w:tcPr>
          <w:p w14:paraId="326D18D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2.333</w:t>
            </w:r>
          </w:p>
        </w:tc>
        <w:tc>
          <w:tcPr>
            <w:tcW w:w="1176" w:type="dxa"/>
            <w:tcBorders>
              <w:top w:val="nil"/>
              <w:left w:val="nil"/>
              <w:bottom w:val="single" w:sz="4" w:space="0" w:color="auto"/>
              <w:right w:val="single" w:sz="4" w:space="0" w:color="auto"/>
            </w:tcBorders>
            <w:noWrap/>
            <w:vAlign w:val="bottom"/>
            <w:hideMark/>
          </w:tcPr>
          <w:p w14:paraId="1E5FB0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328 406</w:t>
            </w:r>
          </w:p>
        </w:tc>
        <w:tc>
          <w:tcPr>
            <w:tcW w:w="1461" w:type="dxa"/>
            <w:tcBorders>
              <w:top w:val="nil"/>
              <w:left w:val="nil"/>
              <w:bottom w:val="single" w:sz="4" w:space="0" w:color="auto"/>
              <w:right w:val="single" w:sz="4" w:space="0" w:color="auto"/>
            </w:tcBorders>
            <w:noWrap/>
            <w:vAlign w:val="bottom"/>
            <w:hideMark/>
          </w:tcPr>
          <w:p w14:paraId="58142B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350 876</w:t>
            </w:r>
          </w:p>
        </w:tc>
        <w:tc>
          <w:tcPr>
            <w:tcW w:w="1080" w:type="dxa"/>
            <w:tcBorders>
              <w:top w:val="nil"/>
              <w:left w:val="nil"/>
              <w:bottom w:val="single" w:sz="4" w:space="0" w:color="auto"/>
              <w:right w:val="single" w:sz="4" w:space="0" w:color="auto"/>
            </w:tcBorders>
            <w:noWrap/>
            <w:vAlign w:val="bottom"/>
            <w:hideMark/>
          </w:tcPr>
          <w:p w14:paraId="18E402C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679 282</w:t>
            </w:r>
          </w:p>
        </w:tc>
      </w:tr>
      <w:tr w:rsidR="000C0842" w:rsidRPr="000C0842" w14:paraId="591240EA" w14:textId="77777777" w:rsidTr="001F32B3">
        <w:tc>
          <w:tcPr>
            <w:tcW w:w="1880" w:type="dxa"/>
            <w:tcBorders>
              <w:top w:val="nil"/>
              <w:left w:val="single" w:sz="4" w:space="0" w:color="auto"/>
              <w:bottom w:val="single" w:sz="4" w:space="0" w:color="auto"/>
              <w:right w:val="single" w:sz="4" w:space="0" w:color="auto"/>
            </w:tcBorders>
            <w:hideMark/>
          </w:tcPr>
          <w:p w14:paraId="493939E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卢旺达</w:t>
            </w:r>
          </w:p>
        </w:tc>
        <w:tc>
          <w:tcPr>
            <w:tcW w:w="1628" w:type="dxa"/>
            <w:tcBorders>
              <w:top w:val="nil"/>
              <w:left w:val="nil"/>
              <w:bottom w:val="single" w:sz="4" w:space="0" w:color="auto"/>
              <w:right w:val="single" w:sz="4" w:space="0" w:color="auto"/>
            </w:tcBorders>
            <w:vAlign w:val="bottom"/>
            <w:hideMark/>
          </w:tcPr>
          <w:p w14:paraId="336E62C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2CCF3CD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255CC1F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728A08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347DCC4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006000BF" w14:textId="77777777" w:rsidTr="001F32B3">
        <w:tc>
          <w:tcPr>
            <w:tcW w:w="1880" w:type="dxa"/>
            <w:tcBorders>
              <w:top w:val="nil"/>
              <w:left w:val="single" w:sz="4" w:space="0" w:color="auto"/>
              <w:bottom w:val="single" w:sz="4" w:space="0" w:color="auto"/>
              <w:right w:val="single" w:sz="4" w:space="0" w:color="auto"/>
            </w:tcBorders>
            <w:hideMark/>
          </w:tcPr>
          <w:p w14:paraId="2C5146A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圣基茨和尼维斯</w:t>
            </w:r>
          </w:p>
        </w:tc>
        <w:tc>
          <w:tcPr>
            <w:tcW w:w="1628" w:type="dxa"/>
            <w:tcBorders>
              <w:top w:val="nil"/>
              <w:left w:val="nil"/>
              <w:bottom w:val="single" w:sz="4" w:space="0" w:color="auto"/>
              <w:right w:val="single" w:sz="4" w:space="0" w:color="auto"/>
            </w:tcBorders>
            <w:vAlign w:val="bottom"/>
            <w:hideMark/>
          </w:tcPr>
          <w:p w14:paraId="4510088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1323DBB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61AFD51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318DB6C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24A8F23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5602F52F" w14:textId="77777777" w:rsidTr="001F32B3">
        <w:tc>
          <w:tcPr>
            <w:tcW w:w="1880" w:type="dxa"/>
            <w:tcBorders>
              <w:top w:val="nil"/>
              <w:left w:val="single" w:sz="4" w:space="0" w:color="auto"/>
              <w:bottom w:val="single" w:sz="4" w:space="0" w:color="auto"/>
              <w:right w:val="single" w:sz="4" w:space="0" w:color="auto"/>
            </w:tcBorders>
            <w:hideMark/>
          </w:tcPr>
          <w:p w14:paraId="7E0942A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圣卢西亚</w:t>
            </w:r>
          </w:p>
        </w:tc>
        <w:tc>
          <w:tcPr>
            <w:tcW w:w="1628" w:type="dxa"/>
            <w:tcBorders>
              <w:top w:val="nil"/>
              <w:left w:val="nil"/>
              <w:bottom w:val="single" w:sz="4" w:space="0" w:color="auto"/>
              <w:right w:val="single" w:sz="4" w:space="0" w:color="auto"/>
            </w:tcBorders>
            <w:vAlign w:val="bottom"/>
            <w:hideMark/>
          </w:tcPr>
          <w:p w14:paraId="444FD5E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45CD7B6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7703BD4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658193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3701AA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1C9D09E0" w14:textId="77777777" w:rsidTr="001F32B3">
        <w:tc>
          <w:tcPr>
            <w:tcW w:w="1880" w:type="dxa"/>
            <w:tcBorders>
              <w:top w:val="nil"/>
              <w:left w:val="single" w:sz="4" w:space="0" w:color="auto"/>
              <w:bottom w:val="single" w:sz="4" w:space="0" w:color="auto"/>
              <w:right w:val="single" w:sz="4" w:space="0" w:color="auto"/>
            </w:tcBorders>
            <w:hideMark/>
          </w:tcPr>
          <w:p w14:paraId="4A84DD12"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圣文森特和格林纳丁斯</w:t>
            </w:r>
          </w:p>
        </w:tc>
        <w:tc>
          <w:tcPr>
            <w:tcW w:w="1628" w:type="dxa"/>
            <w:tcBorders>
              <w:top w:val="nil"/>
              <w:left w:val="nil"/>
              <w:bottom w:val="single" w:sz="4" w:space="0" w:color="auto"/>
              <w:right w:val="single" w:sz="4" w:space="0" w:color="auto"/>
            </w:tcBorders>
            <w:vAlign w:val="bottom"/>
            <w:hideMark/>
          </w:tcPr>
          <w:p w14:paraId="6621E2F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3D0C048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1115913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0371E33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4325CFA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0117E03D" w14:textId="77777777" w:rsidTr="001F32B3">
        <w:tc>
          <w:tcPr>
            <w:tcW w:w="1880" w:type="dxa"/>
            <w:tcBorders>
              <w:top w:val="nil"/>
              <w:left w:val="single" w:sz="4" w:space="0" w:color="auto"/>
              <w:bottom w:val="single" w:sz="4" w:space="0" w:color="auto"/>
              <w:right w:val="single" w:sz="4" w:space="0" w:color="auto"/>
            </w:tcBorders>
            <w:hideMark/>
          </w:tcPr>
          <w:p w14:paraId="4F908AA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萨摩亚</w:t>
            </w:r>
          </w:p>
        </w:tc>
        <w:tc>
          <w:tcPr>
            <w:tcW w:w="1628" w:type="dxa"/>
            <w:tcBorders>
              <w:top w:val="nil"/>
              <w:left w:val="nil"/>
              <w:bottom w:val="single" w:sz="4" w:space="0" w:color="auto"/>
              <w:right w:val="single" w:sz="4" w:space="0" w:color="auto"/>
            </w:tcBorders>
            <w:vAlign w:val="bottom"/>
            <w:hideMark/>
          </w:tcPr>
          <w:p w14:paraId="7724E07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CC347D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4AA7AF1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1DF4D0B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3F88BC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043D2396" w14:textId="77777777" w:rsidTr="001F32B3">
        <w:tc>
          <w:tcPr>
            <w:tcW w:w="1880" w:type="dxa"/>
            <w:tcBorders>
              <w:top w:val="nil"/>
              <w:left w:val="single" w:sz="4" w:space="0" w:color="auto"/>
              <w:bottom w:val="single" w:sz="4" w:space="0" w:color="auto"/>
              <w:right w:val="single" w:sz="4" w:space="0" w:color="auto"/>
            </w:tcBorders>
            <w:hideMark/>
          </w:tcPr>
          <w:p w14:paraId="0C02307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圣马力诺</w:t>
            </w:r>
          </w:p>
        </w:tc>
        <w:tc>
          <w:tcPr>
            <w:tcW w:w="1628" w:type="dxa"/>
            <w:tcBorders>
              <w:top w:val="nil"/>
              <w:left w:val="nil"/>
              <w:bottom w:val="single" w:sz="4" w:space="0" w:color="auto"/>
              <w:right w:val="single" w:sz="4" w:space="0" w:color="auto"/>
            </w:tcBorders>
            <w:vAlign w:val="bottom"/>
            <w:hideMark/>
          </w:tcPr>
          <w:p w14:paraId="4B09464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3DDAE8D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1223D28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034F7A8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1B1B5F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3CD0BF65" w14:textId="77777777" w:rsidTr="001F32B3">
        <w:tc>
          <w:tcPr>
            <w:tcW w:w="1880" w:type="dxa"/>
            <w:tcBorders>
              <w:top w:val="nil"/>
              <w:left w:val="single" w:sz="4" w:space="0" w:color="auto"/>
              <w:bottom w:val="single" w:sz="4" w:space="0" w:color="auto"/>
              <w:right w:val="single" w:sz="4" w:space="0" w:color="auto"/>
            </w:tcBorders>
            <w:hideMark/>
          </w:tcPr>
          <w:p w14:paraId="388AD2F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圣多美和普林西比</w:t>
            </w:r>
          </w:p>
        </w:tc>
        <w:tc>
          <w:tcPr>
            <w:tcW w:w="1628" w:type="dxa"/>
            <w:tcBorders>
              <w:top w:val="nil"/>
              <w:left w:val="nil"/>
              <w:bottom w:val="single" w:sz="4" w:space="0" w:color="auto"/>
              <w:right w:val="single" w:sz="4" w:space="0" w:color="auto"/>
            </w:tcBorders>
            <w:vAlign w:val="bottom"/>
            <w:hideMark/>
          </w:tcPr>
          <w:p w14:paraId="40CCEEC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10F225D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4A243C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00F1C9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EC9550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B91AE46" w14:textId="77777777" w:rsidTr="001F32B3">
        <w:tc>
          <w:tcPr>
            <w:tcW w:w="1880" w:type="dxa"/>
            <w:tcBorders>
              <w:top w:val="nil"/>
              <w:left w:val="single" w:sz="4" w:space="0" w:color="auto"/>
              <w:bottom w:val="single" w:sz="4" w:space="0" w:color="auto"/>
              <w:right w:val="single" w:sz="4" w:space="0" w:color="auto"/>
            </w:tcBorders>
            <w:hideMark/>
          </w:tcPr>
          <w:p w14:paraId="2F4B604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沙特阿拉伯</w:t>
            </w:r>
          </w:p>
        </w:tc>
        <w:tc>
          <w:tcPr>
            <w:tcW w:w="1628" w:type="dxa"/>
            <w:tcBorders>
              <w:top w:val="nil"/>
              <w:left w:val="nil"/>
              <w:bottom w:val="single" w:sz="4" w:space="0" w:color="auto"/>
              <w:right w:val="single" w:sz="4" w:space="0" w:color="auto"/>
            </w:tcBorders>
            <w:vAlign w:val="bottom"/>
            <w:hideMark/>
          </w:tcPr>
          <w:p w14:paraId="79B974C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1.184</w:t>
            </w:r>
          </w:p>
        </w:tc>
        <w:tc>
          <w:tcPr>
            <w:tcW w:w="2198" w:type="dxa"/>
            <w:tcBorders>
              <w:top w:val="nil"/>
              <w:left w:val="nil"/>
              <w:bottom w:val="single" w:sz="4" w:space="0" w:color="auto"/>
              <w:right w:val="single" w:sz="4" w:space="0" w:color="auto"/>
            </w:tcBorders>
            <w:noWrap/>
            <w:vAlign w:val="bottom"/>
            <w:hideMark/>
          </w:tcPr>
          <w:p w14:paraId="5AC2198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1.480</w:t>
            </w:r>
          </w:p>
        </w:tc>
        <w:tc>
          <w:tcPr>
            <w:tcW w:w="1176" w:type="dxa"/>
            <w:tcBorders>
              <w:top w:val="nil"/>
              <w:left w:val="nil"/>
              <w:bottom w:val="single" w:sz="4" w:space="0" w:color="auto"/>
              <w:right w:val="single" w:sz="4" w:space="0" w:color="auto"/>
            </w:tcBorders>
            <w:noWrap/>
            <w:vAlign w:val="bottom"/>
            <w:hideMark/>
          </w:tcPr>
          <w:p w14:paraId="635B7B5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208 377</w:t>
            </w:r>
          </w:p>
        </w:tc>
        <w:tc>
          <w:tcPr>
            <w:tcW w:w="1461" w:type="dxa"/>
            <w:tcBorders>
              <w:top w:val="nil"/>
              <w:left w:val="nil"/>
              <w:bottom w:val="single" w:sz="4" w:space="0" w:color="auto"/>
              <w:right w:val="single" w:sz="4" w:space="0" w:color="auto"/>
            </w:tcBorders>
            <w:noWrap/>
            <w:vAlign w:val="bottom"/>
            <w:hideMark/>
          </w:tcPr>
          <w:p w14:paraId="47984E4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222 635</w:t>
            </w:r>
          </w:p>
        </w:tc>
        <w:tc>
          <w:tcPr>
            <w:tcW w:w="1080" w:type="dxa"/>
            <w:tcBorders>
              <w:top w:val="nil"/>
              <w:left w:val="nil"/>
              <w:bottom w:val="single" w:sz="4" w:space="0" w:color="auto"/>
              <w:right w:val="single" w:sz="4" w:space="0" w:color="auto"/>
            </w:tcBorders>
            <w:noWrap/>
            <w:vAlign w:val="bottom"/>
            <w:hideMark/>
          </w:tcPr>
          <w:p w14:paraId="39004CD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431 013</w:t>
            </w:r>
          </w:p>
        </w:tc>
      </w:tr>
      <w:tr w:rsidR="000C0842" w:rsidRPr="000C0842" w14:paraId="37C474B7" w14:textId="77777777" w:rsidTr="001F32B3">
        <w:tc>
          <w:tcPr>
            <w:tcW w:w="1880" w:type="dxa"/>
            <w:tcBorders>
              <w:top w:val="nil"/>
              <w:left w:val="single" w:sz="4" w:space="0" w:color="auto"/>
              <w:bottom w:val="single" w:sz="4" w:space="0" w:color="auto"/>
              <w:right w:val="single" w:sz="4" w:space="0" w:color="auto"/>
            </w:tcBorders>
            <w:hideMark/>
          </w:tcPr>
          <w:p w14:paraId="7ED7942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塞内加尔</w:t>
            </w:r>
          </w:p>
        </w:tc>
        <w:tc>
          <w:tcPr>
            <w:tcW w:w="1628" w:type="dxa"/>
            <w:tcBorders>
              <w:top w:val="nil"/>
              <w:left w:val="nil"/>
              <w:bottom w:val="single" w:sz="4" w:space="0" w:color="auto"/>
              <w:right w:val="single" w:sz="4" w:space="0" w:color="auto"/>
            </w:tcBorders>
            <w:vAlign w:val="bottom"/>
            <w:hideMark/>
          </w:tcPr>
          <w:p w14:paraId="2F5BD5D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7127772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121278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699FA0E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2BECD5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40FAA90C" w14:textId="77777777" w:rsidTr="001F32B3">
        <w:tc>
          <w:tcPr>
            <w:tcW w:w="1880" w:type="dxa"/>
            <w:tcBorders>
              <w:top w:val="nil"/>
              <w:left w:val="single" w:sz="4" w:space="0" w:color="auto"/>
              <w:bottom w:val="single" w:sz="4" w:space="0" w:color="auto"/>
              <w:right w:val="single" w:sz="4" w:space="0" w:color="auto"/>
            </w:tcBorders>
            <w:hideMark/>
          </w:tcPr>
          <w:p w14:paraId="06BE5A3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塞尔维亚</w:t>
            </w:r>
          </w:p>
        </w:tc>
        <w:tc>
          <w:tcPr>
            <w:tcW w:w="1628" w:type="dxa"/>
            <w:tcBorders>
              <w:top w:val="nil"/>
              <w:left w:val="nil"/>
              <w:bottom w:val="single" w:sz="4" w:space="0" w:color="auto"/>
              <w:right w:val="single" w:sz="4" w:space="0" w:color="auto"/>
            </w:tcBorders>
            <w:vAlign w:val="bottom"/>
            <w:hideMark/>
          </w:tcPr>
          <w:p w14:paraId="4F97994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0.032</w:t>
            </w:r>
          </w:p>
        </w:tc>
        <w:tc>
          <w:tcPr>
            <w:tcW w:w="2198" w:type="dxa"/>
            <w:tcBorders>
              <w:top w:val="nil"/>
              <w:left w:val="nil"/>
              <w:bottom w:val="single" w:sz="4" w:space="0" w:color="auto"/>
              <w:right w:val="single" w:sz="4" w:space="0" w:color="auto"/>
            </w:tcBorders>
            <w:noWrap/>
            <w:vAlign w:val="bottom"/>
            <w:hideMark/>
          </w:tcPr>
          <w:p w14:paraId="05DFA2C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0.040</w:t>
            </w:r>
          </w:p>
        </w:tc>
        <w:tc>
          <w:tcPr>
            <w:tcW w:w="1176" w:type="dxa"/>
            <w:tcBorders>
              <w:top w:val="nil"/>
              <w:left w:val="nil"/>
              <w:bottom w:val="single" w:sz="4" w:space="0" w:color="auto"/>
              <w:right w:val="single" w:sz="4" w:space="0" w:color="auto"/>
            </w:tcBorders>
            <w:noWrap/>
            <w:vAlign w:val="bottom"/>
            <w:hideMark/>
          </w:tcPr>
          <w:p w14:paraId="6F74039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5 632</w:t>
            </w:r>
          </w:p>
        </w:tc>
        <w:tc>
          <w:tcPr>
            <w:tcW w:w="1461" w:type="dxa"/>
            <w:tcBorders>
              <w:top w:val="nil"/>
              <w:left w:val="nil"/>
              <w:bottom w:val="single" w:sz="4" w:space="0" w:color="auto"/>
              <w:right w:val="single" w:sz="4" w:space="0" w:color="auto"/>
            </w:tcBorders>
            <w:noWrap/>
            <w:vAlign w:val="bottom"/>
            <w:hideMark/>
          </w:tcPr>
          <w:p w14:paraId="50BB39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6 017</w:t>
            </w:r>
          </w:p>
        </w:tc>
        <w:tc>
          <w:tcPr>
            <w:tcW w:w="1080" w:type="dxa"/>
            <w:tcBorders>
              <w:top w:val="nil"/>
              <w:left w:val="nil"/>
              <w:bottom w:val="single" w:sz="4" w:space="0" w:color="auto"/>
              <w:right w:val="single" w:sz="4" w:space="0" w:color="auto"/>
            </w:tcBorders>
            <w:noWrap/>
            <w:vAlign w:val="bottom"/>
            <w:hideMark/>
          </w:tcPr>
          <w:p w14:paraId="39926A0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11 649</w:t>
            </w:r>
          </w:p>
        </w:tc>
      </w:tr>
      <w:tr w:rsidR="000C0842" w:rsidRPr="000C0842" w14:paraId="3E15BFDD" w14:textId="77777777" w:rsidTr="001F32B3">
        <w:tc>
          <w:tcPr>
            <w:tcW w:w="1880" w:type="dxa"/>
            <w:tcBorders>
              <w:top w:val="nil"/>
              <w:left w:val="single" w:sz="4" w:space="0" w:color="auto"/>
              <w:bottom w:val="single" w:sz="4" w:space="0" w:color="auto"/>
              <w:right w:val="single" w:sz="4" w:space="0" w:color="auto"/>
            </w:tcBorders>
            <w:hideMark/>
          </w:tcPr>
          <w:p w14:paraId="6B33F9A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塞舌尔</w:t>
            </w:r>
          </w:p>
        </w:tc>
        <w:tc>
          <w:tcPr>
            <w:tcW w:w="1628" w:type="dxa"/>
            <w:tcBorders>
              <w:top w:val="nil"/>
              <w:left w:val="nil"/>
              <w:bottom w:val="single" w:sz="4" w:space="0" w:color="auto"/>
              <w:right w:val="single" w:sz="4" w:space="0" w:color="auto"/>
            </w:tcBorders>
            <w:vAlign w:val="bottom"/>
            <w:hideMark/>
          </w:tcPr>
          <w:p w14:paraId="43FDD37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7BA634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3238FC2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4F2E1C2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36FA5ED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084E0E88" w14:textId="77777777" w:rsidTr="001F32B3">
        <w:tc>
          <w:tcPr>
            <w:tcW w:w="1880" w:type="dxa"/>
            <w:tcBorders>
              <w:top w:val="nil"/>
              <w:left w:val="single" w:sz="4" w:space="0" w:color="auto"/>
              <w:bottom w:val="single" w:sz="4" w:space="0" w:color="auto"/>
              <w:right w:val="single" w:sz="4" w:space="0" w:color="auto"/>
            </w:tcBorders>
            <w:hideMark/>
          </w:tcPr>
          <w:p w14:paraId="636E65F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塞拉利昂</w:t>
            </w:r>
          </w:p>
        </w:tc>
        <w:tc>
          <w:tcPr>
            <w:tcW w:w="1628" w:type="dxa"/>
            <w:tcBorders>
              <w:top w:val="nil"/>
              <w:left w:val="nil"/>
              <w:bottom w:val="single" w:sz="4" w:space="0" w:color="auto"/>
              <w:right w:val="single" w:sz="4" w:space="0" w:color="auto"/>
            </w:tcBorders>
            <w:vAlign w:val="bottom"/>
            <w:hideMark/>
          </w:tcPr>
          <w:p w14:paraId="1D4B798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7382B32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781F70A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6930906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0720970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9363933" w14:textId="77777777" w:rsidTr="001F32B3">
        <w:tc>
          <w:tcPr>
            <w:tcW w:w="1880" w:type="dxa"/>
            <w:tcBorders>
              <w:top w:val="nil"/>
              <w:left w:val="single" w:sz="4" w:space="0" w:color="auto"/>
              <w:bottom w:val="single" w:sz="4" w:space="0" w:color="auto"/>
              <w:right w:val="single" w:sz="4" w:space="0" w:color="auto"/>
            </w:tcBorders>
            <w:hideMark/>
          </w:tcPr>
          <w:p w14:paraId="359032FA"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新加坡</w:t>
            </w:r>
          </w:p>
        </w:tc>
        <w:tc>
          <w:tcPr>
            <w:tcW w:w="1628" w:type="dxa"/>
            <w:tcBorders>
              <w:top w:val="nil"/>
              <w:left w:val="nil"/>
              <w:bottom w:val="single" w:sz="4" w:space="0" w:color="auto"/>
              <w:right w:val="single" w:sz="4" w:space="0" w:color="auto"/>
            </w:tcBorders>
            <w:vAlign w:val="bottom"/>
            <w:hideMark/>
          </w:tcPr>
          <w:p w14:paraId="780063C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0.504</w:t>
            </w:r>
          </w:p>
        </w:tc>
        <w:tc>
          <w:tcPr>
            <w:tcW w:w="2198" w:type="dxa"/>
            <w:tcBorders>
              <w:top w:val="nil"/>
              <w:left w:val="nil"/>
              <w:bottom w:val="single" w:sz="4" w:space="0" w:color="auto"/>
              <w:right w:val="single" w:sz="4" w:space="0" w:color="auto"/>
            </w:tcBorders>
            <w:noWrap/>
            <w:vAlign w:val="bottom"/>
            <w:hideMark/>
          </w:tcPr>
          <w:p w14:paraId="4201BE8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0.630</w:t>
            </w:r>
          </w:p>
        </w:tc>
        <w:tc>
          <w:tcPr>
            <w:tcW w:w="1176" w:type="dxa"/>
            <w:tcBorders>
              <w:top w:val="nil"/>
              <w:left w:val="nil"/>
              <w:bottom w:val="single" w:sz="4" w:space="0" w:color="auto"/>
              <w:right w:val="single" w:sz="4" w:space="0" w:color="auto"/>
            </w:tcBorders>
            <w:noWrap/>
            <w:vAlign w:val="bottom"/>
            <w:hideMark/>
          </w:tcPr>
          <w:p w14:paraId="57F677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88 701</w:t>
            </w:r>
          </w:p>
        </w:tc>
        <w:tc>
          <w:tcPr>
            <w:tcW w:w="1461" w:type="dxa"/>
            <w:tcBorders>
              <w:top w:val="nil"/>
              <w:left w:val="nil"/>
              <w:bottom w:val="single" w:sz="4" w:space="0" w:color="auto"/>
              <w:right w:val="single" w:sz="4" w:space="0" w:color="auto"/>
            </w:tcBorders>
            <w:noWrap/>
            <w:vAlign w:val="bottom"/>
            <w:hideMark/>
          </w:tcPr>
          <w:p w14:paraId="2565FAE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94 770</w:t>
            </w:r>
          </w:p>
        </w:tc>
        <w:tc>
          <w:tcPr>
            <w:tcW w:w="1080" w:type="dxa"/>
            <w:tcBorders>
              <w:top w:val="nil"/>
              <w:left w:val="nil"/>
              <w:bottom w:val="single" w:sz="4" w:space="0" w:color="auto"/>
              <w:right w:val="single" w:sz="4" w:space="0" w:color="auto"/>
            </w:tcBorders>
            <w:noWrap/>
            <w:vAlign w:val="bottom"/>
            <w:hideMark/>
          </w:tcPr>
          <w:p w14:paraId="5458440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183 472</w:t>
            </w:r>
          </w:p>
        </w:tc>
      </w:tr>
      <w:tr w:rsidR="000C0842" w:rsidRPr="000C0842" w14:paraId="1DA3FC2F" w14:textId="77777777" w:rsidTr="001F32B3">
        <w:tc>
          <w:tcPr>
            <w:tcW w:w="1880" w:type="dxa"/>
            <w:tcBorders>
              <w:top w:val="nil"/>
              <w:left w:val="single" w:sz="4" w:space="0" w:color="auto"/>
              <w:bottom w:val="single" w:sz="4" w:space="0" w:color="auto"/>
              <w:right w:val="single" w:sz="4" w:space="0" w:color="auto"/>
            </w:tcBorders>
            <w:hideMark/>
          </w:tcPr>
          <w:p w14:paraId="103D3B0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斯洛伐克</w:t>
            </w:r>
          </w:p>
        </w:tc>
        <w:tc>
          <w:tcPr>
            <w:tcW w:w="1628" w:type="dxa"/>
            <w:tcBorders>
              <w:top w:val="nil"/>
              <w:left w:val="nil"/>
              <w:bottom w:val="single" w:sz="4" w:space="0" w:color="auto"/>
              <w:right w:val="single" w:sz="4" w:space="0" w:color="auto"/>
            </w:tcBorders>
            <w:vAlign w:val="bottom"/>
            <w:hideMark/>
          </w:tcPr>
          <w:p w14:paraId="180DA1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0.155</w:t>
            </w:r>
          </w:p>
        </w:tc>
        <w:tc>
          <w:tcPr>
            <w:tcW w:w="2198" w:type="dxa"/>
            <w:tcBorders>
              <w:top w:val="nil"/>
              <w:left w:val="nil"/>
              <w:bottom w:val="single" w:sz="4" w:space="0" w:color="auto"/>
              <w:right w:val="single" w:sz="4" w:space="0" w:color="auto"/>
            </w:tcBorders>
            <w:noWrap/>
            <w:vAlign w:val="bottom"/>
            <w:hideMark/>
          </w:tcPr>
          <w:p w14:paraId="5DFE788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0.194</w:t>
            </w:r>
          </w:p>
        </w:tc>
        <w:tc>
          <w:tcPr>
            <w:tcW w:w="1176" w:type="dxa"/>
            <w:tcBorders>
              <w:top w:val="nil"/>
              <w:left w:val="nil"/>
              <w:bottom w:val="single" w:sz="4" w:space="0" w:color="auto"/>
              <w:right w:val="single" w:sz="4" w:space="0" w:color="auto"/>
            </w:tcBorders>
            <w:noWrap/>
            <w:vAlign w:val="bottom"/>
            <w:hideMark/>
          </w:tcPr>
          <w:p w14:paraId="0662A11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27 279</w:t>
            </w:r>
          </w:p>
        </w:tc>
        <w:tc>
          <w:tcPr>
            <w:tcW w:w="1461" w:type="dxa"/>
            <w:tcBorders>
              <w:top w:val="nil"/>
              <w:left w:val="nil"/>
              <w:bottom w:val="single" w:sz="4" w:space="0" w:color="auto"/>
              <w:right w:val="single" w:sz="4" w:space="0" w:color="auto"/>
            </w:tcBorders>
            <w:noWrap/>
            <w:vAlign w:val="bottom"/>
            <w:hideMark/>
          </w:tcPr>
          <w:p w14:paraId="10CBE01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29 146</w:t>
            </w:r>
          </w:p>
        </w:tc>
        <w:tc>
          <w:tcPr>
            <w:tcW w:w="1080" w:type="dxa"/>
            <w:tcBorders>
              <w:top w:val="nil"/>
              <w:left w:val="nil"/>
              <w:bottom w:val="single" w:sz="4" w:space="0" w:color="auto"/>
              <w:right w:val="single" w:sz="4" w:space="0" w:color="auto"/>
            </w:tcBorders>
            <w:noWrap/>
            <w:vAlign w:val="bottom"/>
            <w:hideMark/>
          </w:tcPr>
          <w:p w14:paraId="7860337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56 425</w:t>
            </w:r>
          </w:p>
        </w:tc>
      </w:tr>
      <w:tr w:rsidR="000C0842" w:rsidRPr="000C0842" w14:paraId="4A00C398" w14:textId="77777777" w:rsidTr="001F32B3">
        <w:tc>
          <w:tcPr>
            <w:tcW w:w="1880" w:type="dxa"/>
            <w:tcBorders>
              <w:top w:val="nil"/>
              <w:left w:val="single" w:sz="4" w:space="0" w:color="auto"/>
              <w:bottom w:val="single" w:sz="4" w:space="0" w:color="auto"/>
              <w:right w:val="single" w:sz="4" w:space="0" w:color="auto"/>
            </w:tcBorders>
            <w:hideMark/>
          </w:tcPr>
          <w:p w14:paraId="370E4C5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斯洛文尼亚</w:t>
            </w:r>
          </w:p>
        </w:tc>
        <w:tc>
          <w:tcPr>
            <w:tcW w:w="1628" w:type="dxa"/>
            <w:tcBorders>
              <w:top w:val="nil"/>
              <w:left w:val="nil"/>
              <w:bottom w:val="single" w:sz="4" w:space="0" w:color="auto"/>
              <w:right w:val="single" w:sz="4" w:space="0" w:color="auto"/>
            </w:tcBorders>
            <w:vAlign w:val="bottom"/>
            <w:hideMark/>
          </w:tcPr>
          <w:p w14:paraId="3A93D1C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0.079</w:t>
            </w:r>
          </w:p>
        </w:tc>
        <w:tc>
          <w:tcPr>
            <w:tcW w:w="2198" w:type="dxa"/>
            <w:tcBorders>
              <w:top w:val="nil"/>
              <w:left w:val="nil"/>
              <w:bottom w:val="single" w:sz="4" w:space="0" w:color="auto"/>
              <w:right w:val="single" w:sz="4" w:space="0" w:color="auto"/>
            </w:tcBorders>
            <w:noWrap/>
            <w:vAlign w:val="bottom"/>
            <w:hideMark/>
          </w:tcPr>
          <w:p w14:paraId="53E41BF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0.099</w:t>
            </w:r>
          </w:p>
        </w:tc>
        <w:tc>
          <w:tcPr>
            <w:tcW w:w="1176" w:type="dxa"/>
            <w:tcBorders>
              <w:top w:val="nil"/>
              <w:left w:val="nil"/>
              <w:bottom w:val="single" w:sz="4" w:space="0" w:color="auto"/>
              <w:right w:val="single" w:sz="4" w:space="0" w:color="auto"/>
            </w:tcBorders>
            <w:noWrap/>
            <w:vAlign w:val="bottom"/>
            <w:hideMark/>
          </w:tcPr>
          <w:p w14:paraId="71115D3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13 904</w:t>
            </w:r>
          </w:p>
        </w:tc>
        <w:tc>
          <w:tcPr>
            <w:tcW w:w="1461" w:type="dxa"/>
            <w:tcBorders>
              <w:top w:val="nil"/>
              <w:left w:val="nil"/>
              <w:bottom w:val="single" w:sz="4" w:space="0" w:color="auto"/>
              <w:right w:val="single" w:sz="4" w:space="0" w:color="auto"/>
            </w:tcBorders>
            <w:noWrap/>
            <w:vAlign w:val="bottom"/>
            <w:hideMark/>
          </w:tcPr>
          <w:p w14:paraId="423217A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14 855</w:t>
            </w:r>
          </w:p>
        </w:tc>
        <w:tc>
          <w:tcPr>
            <w:tcW w:w="1080" w:type="dxa"/>
            <w:tcBorders>
              <w:top w:val="nil"/>
              <w:left w:val="nil"/>
              <w:bottom w:val="single" w:sz="4" w:space="0" w:color="auto"/>
              <w:right w:val="single" w:sz="4" w:space="0" w:color="auto"/>
            </w:tcBorders>
            <w:noWrap/>
            <w:vAlign w:val="bottom"/>
            <w:hideMark/>
          </w:tcPr>
          <w:p w14:paraId="16C2CB5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28 758</w:t>
            </w:r>
          </w:p>
        </w:tc>
      </w:tr>
      <w:tr w:rsidR="000C0842" w:rsidRPr="000C0842" w14:paraId="23E230CC" w14:textId="77777777" w:rsidTr="001F32B3">
        <w:tc>
          <w:tcPr>
            <w:tcW w:w="1880" w:type="dxa"/>
            <w:tcBorders>
              <w:top w:val="nil"/>
              <w:left w:val="single" w:sz="4" w:space="0" w:color="auto"/>
              <w:bottom w:val="single" w:sz="4" w:space="0" w:color="auto"/>
              <w:right w:val="single" w:sz="4" w:space="0" w:color="auto"/>
            </w:tcBorders>
            <w:hideMark/>
          </w:tcPr>
          <w:p w14:paraId="1A5C6E0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所罗门群岛</w:t>
            </w:r>
          </w:p>
        </w:tc>
        <w:tc>
          <w:tcPr>
            <w:tcW w:w="1628" w:type="dxa"/>
            <w:tcBorders>
              <w:top w:val="nil"/>
              <w:left w:val="nil"/>
              <w:bottom w:val="single" w:sz="4" w:space="0" w:color="auto"/>
              <w:right w:val="single" w:sz="4" w:space="0" w:color="auto"/>
            </w:tcBorders>
            <w:vAlign w:val="bottom"/>
            <w:hideMark/>
          </w:tcPr>
          <w:p w14:paraId="66F57A7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7267764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063250B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34FA0A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30D2D9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1FDA8253" w14:textId="77777777" w:rsidTr="001F32B3">
        <w:tc>
          <w:tcPr>
            <w:tcW w:w="1880" w:type="dxa"/>
            <w:tcBorders>
              <w:top w:val="nil"/>
              <w:left w:val="single" w:sz="4" w:space="0" w:color="auto"/>
              <w:bottom w:val="single" w:sz="4" w:space="0" w:color="auto"/>
              <w:right w:val="single" w:sz="4" w:space="0" w:color="auto"/>
            </w:tcBorders>
            <w:hideMark/>
          </w:tcPr>
          <w:p w14:paraId="3776C45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索马里</w:t>
            </w:r>
          </w:p>
        </w:tc>
        <w:tc>
          <w:tcPr>
            <w:tcW w:w="1628" w:type="dxa"/>
            <w:tcBorders>
              <w:top w:val="nil"/>
              <w:left w:val="nil"/>
              <w:bottom w:val="single" w:sz="4" w:space="0" w:color="auto"/>
              <w:right w:val="single" w:sz="4" w:space="0" w:color="auto"/>
            </w:tcBorders>
            <w:vAlign w:val="bottom"/>
            <w:hideMark/>
          </w:tcPr>
          <w:p w14:paraId="625753A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4B325A1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65B7AF7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2D3A3D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1C41B57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403BAE43" w14:textId="77777777" w:rsidTr="001F32B3">
        <w:tc>
          <w:tcPr>
            <w:tcW w:w="1880" w:type="dxa"/>
            <w:tcBorders>
              <w:top w:val="nil"/>
              <w:left w:val="single" w:sz="4" w:space="0" w:color="auto"/>
              <w:bottom w:val="single" w:sz="4" w:space="0" w:color="auto"/>
              <w:right w:val="single" w:sz="4" w:space="0" w:color="auto"/>
            </w:tcBorders>
            <w:hideMark/>
          </w:tcPr>
          <w:p w14:paraId="1CC66E9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南非</w:t>
            </w:r>
          </w:p>
        </w:tc>
        <w:tc>
          <w:tcPr>
            <w:tcW w:w="1628" w:type="dxa"/>
            <w:tcBorders>
              <w:top w:val="nil"/>
              <w:left w:val="nil"/>
              <w:bottom w:val="single" w:sz="4" w:space="0" w:color="auto"/>
              <w:right w:val="single" w:sz="4" w:space="0" w:color="auto"/>
            </w:tcBorders>
            <w:vAlign w:val="bottom"/>
            <w:hideMark/>
          </w:tcPr>
          <w:p w14:paraId="038C5DF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0.244</w:t>
            </w:r>
          </w:p>
        </w:tc>
        <w:tc>
          <w:tcPr>
            <w:tcW w:w="2198" w:type="dxa"/>
            <w:tcBorders>
              <w:top w:val="nil"/>
              <w:left w:val="nil"/>
              <w:bottom w:val="single" w:sz="4" w:space="0" w:color="auto"/>
              <w:right w:val="single" w:sz="4" w:space="0" w:color="auto"/>
            </w:tcBorders>
            <w:noWrap/>
            <w:vAlign w:val="bottom"/>
            <w:hideMark/>
          </w:tcPr>
          <w:p w14:paraId="3AFC68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0.305</w:t>
            </w:r>
          </w:p>
        </w:tc>
        <w:tc>
          <w:tcPr>
            <w:tcW w:w="1176" w:type="dxa"/>
            <w:tcBorders>
              <w:top w:val="nil"/>
              <w:left w:val="nil"/>
              <w:bottom w:val="single" w:sz="4" w:space="0" w:color="auto"/>
              <w:right w:val="single" w:sz="4" w:space="0" w:color="auto"/>
            </w:tcBorders>
            <w:noWrap/>
            <w:vAlign w:val="bottom"/>
            <w:hideMark/>
          </w:tcPr>
          <w:p w14:paraId="0044A59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42 943</w:t>
            </w:r>
          </w:p>
        </w:tc>
        <w:tc>
          <w:tcPr>
            <w:tcW w:w="1461" w:type="dxa"/>
            <w:tcBorders>
              <w:top w:val="nil"/>
              <w:left w:val="nil"/>
              <w:bottom w:val="single" w:sz="4" w:space="0" w:color="auto"/>
              <w:right w:val="single" w:sz="4" w:space="0" w:color="auto"/>
            </w:tcBorders>
            <w:noWrap/>
            <w:vAlign w:val="bottom"/>
            <w:hideMark/>
          </w:tcPr>
          <w:p w14:paraId="6490A78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45 881</w:t>
            </w:r>
          </w:p>
        </w:tc>
        <w:tc>
          <w:tcPr>
            <w:tcW w:w="1080" w:type="dxa"/>
            <w:tcBorders>
              <w:top w:val="nil"/>
              <w:left w:val="nil"/>
              <w:bottom w:val="single" w:sz="4" w:space="0" w:color="auto"/>
              <w:right w:val="single" w:sz="4" w:space="0" w:color="auto"/>
            </w:tcBorders>
            <w:noWrap/>
            <w:vAlign w:val="bottom"/>
            <w:hideMark/>
          </w:tcPr>
          <w:p w14:paraId="1C77EFE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88 824</w:t>
            </w:r>
          </w:p>
        </w:tc>
      </w:tr>
      <w:tr w:rsidR="000C0842" w:rsidRPr="000C0842" w14:paraId="3F303734" w14:textId="77777777" w:rsidTr="001F32B3">
        <w:tc>
          <w:tcPr>
            <w:tcW w:w="1880" w:type="dxa"/>
            <w:tcBorders>
              <w:top w:val="nil"/>
              <w:left w:val="single" w:sz="4" w:space="0" w:color="auto"/>
              <w:bottom w:val="single" w:sz="4" w:space="0" w:color="auto"/>
              <w:right w:val="single" w:sz="4" w:space="0" w:color="auto"/>
            </w:tcBorders>
            <w:hideMark/>
          </w:tcPr>
          <w:p w14:paraId="4C991A6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南苏丹</w:t>
            </w:r>
          </w:p>
        </w:tc>
        <w:tc>
          <w:tcPr>
            <w:tcW w:w="1628" w:type="dxa"/>
            <w:tcBorders>
              <w:top w:val="nil"/>
              <w:left w:val="nil"/>
              <w:bottom w:val="single" w:sz="4" w:space="0" w:color="auto"/>
              <w:right w:val="single" w:sz="4" w:space="0" w:color="auto"/>
            </w:tcBorders>
            <w:vAlign w:val="bottom"/>
            <w:hideMark/>
          </w:tcPr>
          <w:p w14:paraId="2896C7F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3B834EA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376D9F1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037DB6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08C9C2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526048AD" w14:textId="77777777" w:rsidTr="001F32B3">
        <w:tc>
          <w:tcPr>
            <w:tcW w:w="1880" w:type="dxa"/>
            <w:tcBorders>
              <w:top w:val="nil"/>
              <w:left w:val="single" w:sz="4" w:space="0" w:color="auto"/>
              <w:bottom w:val="single" w:sz="4" w:space="0" w:color="auto"/>
              <w:right w:val="single" w:sz="4" w:space="0" w:color="auto"/>
            </w:tcBorders>
            <w:hideMark/>
          </w:tcPr>
          <w:p w14:paraId="37C28BF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西班牙</w:t>
            </w:r>
          </w:p>
        </w:tc>
        <w:tc>
          <w:tcPr>
            <w:tcW w:w="1628" w:type="dxa"/>
            <w:tcBorders>
              <w:top w:val="nil"/>
              <w:left w:val="nil"/>
              <w:bottom w:val="single" w:sz="4" w:space="0" w:color="auto"/>
              <w:right w:val="single" w:sz="4" w:space="0" w:color="auto"/>
            </w:tcBorders>
            <w:vAlign w:val="bottom"/>
            <w:hideMark/>
          </w:tcPr>
          <w:p w14:paraId="3D7FBCB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2.134</w:t>
            </w:r>
          </w:p>
        </w:tc>
        <w:tc>
          <w:tcPr>
            <w:tcW w:w="2198" w:type="dxa"/>
            <w:tcBorders>
              <w:top w:val="nil"/>
              <w:left w:val="nil"/>
              <w:bottom w:val="single" w:sz="4" w:space="0" w:color="auto"/>
              <w:right w:val="single" w:sz="4" w:space="0" w:color="auto"/>
            </w:tcBorders>
            <w:noWrap/>
            <w:vAlign w:val="bottom"/>
            <w:hideMark/>
          </w:tcPr>
          <w:p w14:paraId="6878D29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2.668</w:t>
            </w:r>
          </w:p>
        </w:tc>
        <w:tc>
          <w:tcPr>
            <w:tcW w:w="1176" w:type="dxa"/>
            <w:tcBorders>
              <w:top w:val="nil"/>
              <w:left w:val="nil"/>
              <w:bottom w:val="single" w:sz="4" w:space="0" w:color="auto"/>
              <w:right w:val="single" w:sz="4" w:space="0" w:color="auto"/>
            </w:tcBorders>
            <w:noWrap/>
            <w:vAlign w:val="bottom"/>
            <w:hideMark/>
          </w:tcPr>
          <w:p w14:paraId="7E32BCB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375 572</w:t>
            </w:r>
          </w:p>
        </w:tc>
        <w:tc>
          <w:tcPr>
            <w:tcW w:w="1461" w:type="dxa"/>
            <w:tcBorders>
              <w:top w:val="nil"/>
              <w:left w:val="nil"/>
              <w:bottom w:val="single" w:sz="4" w:space="0" w:color="auto"/>
              <w:right w:val="single" w:sz="4" w:space="0" w:color="auto"/>
            </w:tcBorders>
            <w:noWrap/>
            <w:vAlign w:val="bottom"/>
            <w:hideMark/>
          </w:tcPr>
          <w:p w14:paraId="7B7ED9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401 270</w:t>
            </w:r>
          </w:p>
        </w:tc>
        <w:tc>
          <w:tcPr>
            <w:tcW w:w="1080" w:type="dxa"/>
            <w:tcBorders>
              <w:top w:val="nil"/>
              <w:left w:val="nil"/>
              <w:bottom w:val="single" w:sz="4" w:space="0" w:color="auto"/>
              <w:right w:val="single" w:sz="4" w:space="0" w:color="auto"/>
            </w:tcBorders>
            <w:noWrap/>
            <w:vAlign w:val="bottom"/>
            <w:hideMark/>
          </w:tcPr>
          <w:p w14:paraId="4C7C29E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776 842</w:t>
            </w:r>
          </w:p>
        </w:tc>
      </w:tr>
      <w:tr w:rsidR="000C0842" w:rsidRPr="000C0842" w14:paraId="370E9FEE" w14:textId="77777777" w:rsidTr="001F32B3">
        <w:tc>
          <w:tcPr>
            <w:tcW w:w="1880" w:type="dxa"/>
            <w:tcBorders>
              <w:top w:val="nil"/>
              <w:left w:val="single" w:sz="4" w:space="0" w:color="auto"/>
              <w:bottom w:val="single" w:sz="4" w:space="0" w:color="auto"/>
              <w:right w:val="single" w:sz="4" w:space="0" w:color="auto"/>
            </w:tcBorders>
            <w:hideMark/>
          </w:tcPr>
          <w:p w14:paraId="52D0F2C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斯里兰卡</w:t>
            </w:r>
          </w:p>
        </w:tc>
        <w:tc>
          <w:tcPr>
            <w:tcW w:w="1628" w:type="dxa"/>
            <w:tcBorders>
              <w:top w:val="nil"/>
              <w:left w:val="nil"/>
              <w:bottom w:val="single" w:sz="4" w:space="0" w:color="auto"/>
              <w:right w:val="single" w:sz="4" w:space="0" w:color="auto"/>
            </w:tcBorders>
            <w:vAlign w:val="bottom"/>
            <w:hideMark/>
          </w:tcPr>
          <w:p w14:paraId="34FFC0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0.045</w:t>
            </w:r>
          </w:p>
        </w:tc>
        <w:tc>
          <w:tcPr>
            <w:tcW w:w="2198" w:type="dxa"/>
            <w:tcBorders>
              <w:top w:val="nil"/>
              <w:left w:val="nil"/>
              <w:bottom w:val="single" w:sz="4" w:space="0" w:color="auto"/>
              <w:right w:val="single" w:sz="4" w:space="0" w:color="auto"/>
            </w:tcBorders>
            <w:noWrap/>
            <w:vAlign w:val="bottom"/>
            <w:hideMark/>
          </w:tcPr>
          <w:p w14:paraId="5288A50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0.056</w:t>
            </w:r>
          </w:p>
        </w:tc>
        <w:tc>
          <w:tcPr>
            <w:tcW w:w="1176" w:type="dxa"/>
            <w:tcBorders>
              <w:top w:val="nil"/>
              <w:left w:val="nil"/>
              <w:bottom w:val="single" w:sz="4" w:space="0" w:color="auto"/>
              <w:right w:val="single" w:sz="4" w:space="0" w:color="auto"/>
            </w:tcBorders>
            <w:noWrap/>
            <w:vAlign w:val="bottom"/>
            <w:hideMark/>
          </w:tcPr>
          <w:p w14:paraId="5F30A03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7 920</w:t>
            </w:r>
          </w:p>
        </w:tc>
        <w:tc>
          <w:tcPr>
            <w:tcW w:w="1461" w:type="dxa"/>
            <w:tcBorders>
              <w:top w:val="nil"/>
              <w:left w:val="nil"/>
              <w:bottom w:val="single" w:sz="4" w:space="0" w:color="auto"/>
              <w:right w:val="single" w:sz="4" w:space="0" w:color="auto"/>
            </w:tcBorders>
            <w:noWrap/>
            <w:vAlign w:val="bottom"/>
            <w:hideMark/>
          </w:tcPr>
          <w:p w14:paraId="677E41A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8 462</w:t>
            </w:r>
          </w:p>
        </w:tc>
        <w:tc>
          <w:tcPr>
            <w:tcW w:w="1080" w:type="dxa"/>
            <w:tcBorders>
              <w:top w:val="nil"/>
              <w:left w:val="nil"/>
              <w:bottom w:val="single" w:sz="4" w:space="0" w:color="auto"/>
              <w:right w:val="single" w:sz="4" w:space="0" w:color="auto"/>
            </w:tcBorders>
            <w:noWrap/>
            <w:vAlign w:val="bottom"/>
            <w:hideMark/>
          </w:tcPr>
          <w:p w14:paraId="71AA8DC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16 381</w:t>
            </w:r>
          </w:p>
        </w:tc>
      </w:tr>
      <w:tr w:rsidR="000C0842" w:rsidRPr="000C0842" w14:paraId="227070A5" w14:textId="77777777" w:rsidTr="001F32B3">
        <w:tc>
          <w:tcPr>
            <w:tcW w:w="1880" w:type="dxa"/>
            <w:tcBorders>
              <w:top w:val="nil"/>
              <w:left w:val="single" w:sz="4" w:space="0" w:color="auto"/>
              <w:bottom w:val="single" w:sz="4" w:space="0" w:color="auto"/>
              <w:right w:val="single" w:sz="4" w:space="0" w:color="auto"/>
            </w:tcBorders>
            <w:hideMark/>
          </w:tcPr>
          <w:p w14:paraId="471A389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巴勒斯坦国</w:t>
            </w:r>
          </w:p>
        </w:tc>
        <w:tc>
          <w:tcPr>
            <w:tcW w:w="1628" w:type="dxa"/>
            <w:tcBorders>
              <w:top w:val="nil"/>
              <w:left w:val="nil"/>
              <w:bottom w:val="single" w:sz="4" w:space="0" w:color="auto"/>
              <w:right w:val="single" w:sz="4" w:space="0" w:color="auto"/>
            </w:tcBorders>
            <w:vAlign w:val="bottom"/>
            <w:hideMark/>
          </w:tcPr>
          <w:p w14:paraId="53FABFF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0.011</w:t>
            </w:r>
          </w:p>
        </w:tc>
        <w:tc>
          <w:tcPr>
            <w:tcW w:w="2198" w:type="dxa"/>
            <w:tcBorders>
              <w:top w:val="nil"/>
              <w:left w:val="nil"/>
              <w:bottom w:val="single" w:sz="4" w:space="0" w:color="auto"/>
              <w:right w:val="single" w:sz="4" w:space="0" w:color="auto"/>
            </w:tcBorders>
            <w:noWrap/>
            <w:vAlign w:val="bottom"/>
            <w:hideMark/>
          </w:tcPr>
          <w:p w14:paraId="55A44E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0.014</w:t>
            </w:r>
          </w:p>
        </w:tc>
        <w:tc>
          <w:tcPr>
            <w:tcW w:w="1176" w:type="dxa"/>
            <w:tcBorders>
              <w:top w:val="nil"/>
              <w:left w:val="nil"/>
              <w:bottom w:val="single" w:sz="4" w:space="0" w:color="auto"/>
              <w:right w:val="single" w:sz="4" w:space="0" w:color="auto"/>
            </w:tcBorders>
            <w:noWrap/>
            <w:vAlign w:val="bottom"/>
            <w:hideMark/>
          </w:tcPr>
          <w:p w14:paraId="1B6E60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1 936</w:t>
            </w:r>
          </w:p>
        </w:tc>
        <w:tc>
          <w:tcPr>
            <w:tcW w:w="1461" w:type="dxa"/>
            <w:tcBorders>
              <w:top w:val="nil"/>
              <w:left w:val="nil"/>
              <w:bottom w:val="single" w:sz="4" w:space="0" w:color="auto"/>
              <w:right w:val="single" w:sz="4" w:space="0" w:color="auto"/>
            </w:tcBorders>
            <w:noWrap/>
            <w:vAlign w:val="bottom"/>
            <w:hideMark/>
          </w:tcPr>
          <w:p w14:paraId="74739B3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2 068</w:t>
            </w:r>
          </w:p>
        </w:tc>
        <w:tc>
          <w:tcPr>
            <w:tcW w:w="1080" w:type="dxa"/>
            <w:tcBorders>
              <w:top w:val="nil"/>
              <w:left w:val="nil"/>
              <w:bottom w:val="single" w:sz="4" w:space="0" w:color="auto"/>
              <w:right w:val="single" w:sz="4" w:space="0" w:color="auto"/>
            </w:tcBorders>
            <w:noWrap/>
            <w:vAlign w:val="bottom"/>
            <w:hideMark/>
          </w:tcPr>
          <w:p w14:paraId="121749A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4 004</w:t>
            </w:r>
          </w:p>
        </w:tc>
      </w:tr>
      <w:tr w:rsidR="000C0842" w:rsidRPr="000C0842" w14:paraId="0A75265F" w14:textId="77777777" w:rsidTr="001F32B3">
        <w:tc>
          <w:tcPr>
            <w:tcW w:w="1880" w:type="dxa"/>
            <w:tcBorders>
              <w:top w:val="nil"/>
              <w:left w:val="single" w:sz="4" w:space="0" w:color="auto"/>
              <w:bottom w:val="single" w:sz="4" w:space="0" w:color="auto"/>
              <w:right w:val="single" w:sz="4" w:space="0" w:color="auto"/>
            </w:tcBorders>
            <w:hideMark/>
          </w:tcPr>
          <w:p w14:paraId="4E9E248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苏丹</w:t>
            </w:r>
          </w:p>
        </w:tc>
        <w:tc>
          <w:tcPr>
            <w:tcW w:w="1628" w:type="dxa"/>
            <w:tcBorders>
              <w:top w:val="nil"/>
              <w:left w:val="nil"/>
              <w:bottom w:val="single" w:sz="4" w:space="0" w:color="auto"/>
              <w:right w:val="single" w:sz="4" w:space="0" w:color="auto"/>
            </w:tcBorders>
            <w:vAlign w:val="bottom"/>
            <w:hideMark/>
          </w:tcPr>
          <w:p w14:paraId="23EC77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41A7F0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62C229F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4DD04C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4B04992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365D36C7" w14:textId="77777777" w:rsidTr="001F32B3">
        <w:tc>
          <w:tcPr>
            <w:tcW w:w="1880" w:type="dxa"/>
            <w:tcBorders>
              <w:top w:val="nil"/>
              <w:left w:val="single" w:sz="4" w:space="0" w:color="auto"/>
              <w:bottom w:val="single" w:sz="4" w:space="0" w:color="auto"/>
              <w:right w:val="single" w:sz="4" w:space="0" w:color="auto"/>
            </w:tcBorders>
            <w:hideMark/>
          </w:tcPr>
          <w:p w14:paraId="4B4DC7E1"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苏里南</w:t>
            </w:r>
          </w:p>
        </w:tc>
        <w:tc>
          <w:tcPr>
            <w:tcW w:w="1628" w:type="dxa"/>
            <w:tcBorders>
              <w:top w:val="nil"/>
              <w:left w:val="nil"/>
              <w:bottom w:val="single" w:sz="4" w:space="0" w:color="auto"/>
              <w:right w:val="single" w:sz="4" w:space="0" w:color="auto"/>
            </w:tcBorders>
            <w:vAlign w:val="bottom"/>
            <w:hideMark/>
          </w:tcPr>
          <w:p w14:paraId="01F9D38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68341B1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31FFF4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434C58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62FD9C2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63ABAC1B" w14:textId="77777777" w:rsidTr="001F32B3">
        <w:tc>
          <w:tcPr>
            <w:tcW w:w="1880" w:type="dxa"/>
            <w:tcBorders>
              <w:top w:val="nil"/>
              <w:left w:val="single" w:sz="4" w:space="0" w:color="auto"/>
              <w:bottom w:val="single" w:sz="4" w:space="0" w:color="auto"/>
              <w:right w:val="single" w:sz="4" w:space="0" w:color="auto"/>
            </w:tcBorders>
            <w:hideMark/>
          </w:tcPr>
          <w:p w14:paraId="310B2E4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瑞典</w:t>
            </w:r>
          </w:p>
        </w:tc>
        <w:tc>
          <w:tcPr>
            <w:tcW w:w="1628" w:type="dxa"/>
            <w:tcBorders>
              <w:top w:val="nil"/>
              <w:left w:val="nil"/>
              <w:bottom w:val="single" w:sz="4" w:space="0" w:color="auto"/>
              <w:right w:val="single" w:sz="4" w:space="0" w:color="auto"/>
            </w:tcBorders>
            <w:vAlign w:val="bottom"/>
            <w:hideMark/>
          </w:tcPr>
          <w:p w14:paraId="14FA7C2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0.871</w:t>
            </w:r>
          </w:p>
        </w:tc>
        <w:tc>
          <w:tcPr>
            <w:tcW w:w="2198" w:type="dxa"/>
            <w:tcBorders>
              <w:top w:val="nil"/>
              <w:left w:val="nil"/>
              <w:bottom w:val="single" w:sz="4" w:space="0" w:color="auto"/>
              <w:right w:val="single" w:sz="4" w:space="0" w:color="auto"/>
            </w:tcBorders>
            <w:noWrap/>
            <w:vAlign w:val="bottom"/>
            <w:hideMark/>
          </w:tcPr>
          <w:p w14:paraId="6878FC3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1.089</w:t>
            </w:r>
          </w:p>
        </w:tc>
        <w:tc>
          <w:tcPr>
            <w:tcW w:w="1176" w:type="dxa"/>
            <w:tcBorders>
              <w:top w:val="nil"/>
              <w:left w:val="nil"/>
              <w:bottom w:val="single" w:sz="4" w:space="0" w:color="auto"/>
              <w:right w:val="single" w:sz="4" w:space="0" w:color="auto"/>
            </w:tcBorders>
            <w:noWrap/>
            <w:vAlign w:val="bottom"/>
            <w:hideMark/>
          </w:tcPr>
          <w:p w14:paraId="0471B2D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153 291</w:t>
            </w:r>
          </w:p>
        </w:tc>
        <w:tc>
          <w:tcPr>
            <w:tcW w:w="1461" w:type="dxa"/>
            <w:tcBorders>
              <w:top w:val="nil"/>
              <w:left w:val="nil"/>
              <w:bottom w:val="single" w:sz="4" w:space="0" w:color="auto"/>
              <w:right w:val="single" w:sz="4" w:space="0" w:color="auto"/>
            </w:tcBorders>
            <w:noWrap/>
            <w:vAlign w:val="bottom"/>
            <w:hideMark/>
          </w:tcPr>
          <w:p w14:paraId="18E68D3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163 780</w:t>
            </w:r>
          </w:p>
        </w:tc>
        <w:tc>
          <w:tcPr>
            <w:tcW w:w="1080" w:type="dxa"/>
            <w:tcBorders>
              <w:top w:val="nil"/>
              <w:left w:val="nil"/>
              <w:bottom w:val="single" w:sz="4" w:space="0" w:color="auto"/>
              <w:right w:val="single" w:sz="4" w:space="0" w:color="auto"/>
            </w:tcBorders>
            <w:noWrap/>
            <w:vAlign w:val="bottom"/>
            <w:hideMark/>
          </w:tcPr>
          <w:p w14:paraId="5FC3554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317 071</w:t>
            </w:r>
          </w:p>
        </w:tc>
      </w:tr>
      <w:tr w:rsidR="000C0842" w:rsidRPr="000C0842" w14:paraId="5983612F" w14:textId="77777777" w:rsidTr="001F32B3">
        <w:tc>
          <w:tcPr>
            <w:tcW w:w="1880" w:type="dxa"/>
            <w:tcBorders>
              <w:top w:val="nil"/>
              <w:left w:val="single" w:sz="4" w:space="0" w:color="auto"/>
              <w:bottom w:val="single" w:sz="4" w:space="0" w:color="auto"/>
              <w:right w:val="single" w:sz="4" w:space="0" w:color="auto"/>
            </w:tcBorders>
            <w:hideMark/>
          </w:tcPr>
          <w:p w14:paraId="4BF678C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瑞士</w:t>
            </w:r>
          </w:p>
        </w:tc>
        <w:tc>
          <w:tcPr>
            <w:tcW w:w="1628" w:type="dxa"/>
            <w:tcBorders>
              <w:top w:val="nil"/>
              <w:left w:val="nil"/>
              <w:bottom w:val="single" w:sz="4" w:space="0" w:color="auto"/>
              <w:right w:val="single" w:sz="4" w:space="0" w:color="auto"/>
            </w:tcBorders>
            <w:vAlign w:val="bottom"/>
            <w:hideMark/>
          </w:tcPr>
          <w:p w14:paraId="4985270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1.134</w:t>
            </w:r>
          </w:p>
        </w:tc>
        <w:tc>
          <w:tcPr>
            <w:tcW w:w="2198" w:type="dxa"/>
            <w:tcBorders>
              <w:top w:val="nil"/>
              <w:left w:val="nil"/>
              <w:bottom w:val="single" w:sz="4" w:space="0" w:color="auto"/>
              <w:right w:val="single" w:sz="4" w:space="0" w:color="auto"/>
            </w:tcBorders>
            <w:noWrap/>
            <w:vAlign w:val="bottom"/>
            <w:hideMark/>
          </w:tcPr>
          <w:p w14:paraId="1436966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1.418</w:t>
            </w:r>
          </w:p>
        </w:tc>
        <w:tc>
          <w:tcPr>
            <w:tcW w:w="1176" w:type="dxa"/>
            <w:tcBorders>
              <w:top w:val="nil"/>
              <w:left w:val="nil"/>
              <w:bottom w:val="single" w:sz="4" w:space="0" w:color="auto"/>
              <w:right w:val="single" w:sz="4" w:space="0" w:color="auto"/>
            </w:tcBorders>
            <w:noWrap/>
            <w:vAlign w:val="bottom"/>
            <w:hideMark/>
          </w:tcPr>
          <w:p w14:paraId="0D35A2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199 578</w:t>
            </w:r>
          </w:p>
        </w:tc>
        <w:tc>
          <w:tcPr>
            <w:tcW w:w="1461" w:type="dxa"/>
            <w:tcBorders>
              <w:top w:val="nil"/>
              <w:left w:val="nil"/>
              <w:bottom w:val="single" w:sz="4" w:space="0" w:color="auto"/>
              <w:right w:val="single" w:sz="4" w:space="0" w:color="auto"/>
            </w:tcBorders>
            <w:noWrap/>
            <w:vAlign w:val="bottom"/>
            <w:hideMark/>
          </w:tcPr>
          <w:p w14:paraId="5DA7C6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213 233</w:t>
            </w:r>
          </w:p>
        </w:tc>
        <w:tc>
          <w:tcPr>
            <w:tcW w:w="1080" w:type="dxa"/>
            <w:tcBorders>
              <w:top w:val="nil"/>
              <w:left w:val="nil"/>
              <w:bottom w:val="single" w:sz="4" w:space="0" w:color="auto"/>
              <w:right w:val="single" w:sz="4" w:space="0" w:color="auto"/>
            </w:tcBorders>
            <w:noWrap/>
            <w:vAlign w:val="bottom"/>
            <w:hideMark/>
          </w:tcPr>
          <w:p w14:paraId="086D05C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412 811</w:t>
            </w:r>
          </w:p>
        </w:tc>
      </w:tr>
      <w:tr w:rsidR="000C0842" w:rsidRPr="000C0842" w14:paraId="6A7FFAE0" w14:textId="77777777" w:rsidTr="001F32B3">
        <w:tc>
          <w:tcPr>
            <w:tcW w:w="1880" w:type="dxa"/>
            <w:tcBorders>
              <w:top w:val="nil"/>
              <w:left w:val="single" w:sz="4" w:space="0" w:color="auto"/>
              <w:bottom w:val="single" w:sz="4" w:space="0" w:color="auto"/>
              <w:right w:val="single" w:sz="4" w:space="0" w:color="auto"/>
            </w:tcBorders>
            <w:hideMark/>
          </w:tcPr>
          <w:p w14:paraId="2034234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阿拉伯叙利亚共和国</w:t>
            </w:r>
          </w:p>
        </w:tc>
        <w:tc>
          <w:tcPr>
            <w:tcW w:w="1628" w:type="dxa"/>
            <w:tcBorders>
              <w:top w:val="nil"/>
              <w:left w:val="nil"/>
              <w:bottom w:val="single" w:sz="4" w:space="0" w:color="auto"/>
              <w:right w:val="single" w:sz="4" w:space="0" w:color="auto"/>
            </w:tcBorders>
            <w:vAlign w:val="bottom"/>
            <w:hideMark/>
          </w:tcPr>
          <w:p w14:paraId="0B399D5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2198" w:type="dxa"/>
            <w:tcBorders>
              <w:top w:val="nil"/>
              <w:left w:val="nil"/>
              <w:bottom w:val="single" w:sz="4" w:space="0" w:color="auto"/>
              <w:right w:val="single" w:sz="4" w:space="0" w:color="auto"/>
            </w:tcBorders>
            <w:noWrap/>
            <w:vAlign w:val="bottom"/>
            <w:hideMark/>
          </w:tcPr>
          <w:p w14:paraId="3C5661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0.011</w:t>
            </w:r>
          </w:p>
        </w:tc>
        <w:tc>
          <w:tcPr>
            <w:tcW w:w="1176" w:type="dxa"/>
            <w:tcBorders>
              <w:top w:val="nil"/>
              <w:left w:val="nil"/>
              <w:bottom w:val="single" w:sz="4" w:space="0" w:color="auto"/>
              <w:right w:val="single" w:sz="4" w:space="0" w:color="auto"/>
            </w:tcBorders>
            <w:noWrap/>
            <w:vAlign w:val="bottom"/>
            <w:hideMark/>
          </w:tcPr>
          <w:p w14:paraId="58EC58D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1 584</w:t>
            </w:r>
          </w:p>
        </w:tc>
        <w:tc>
          <w:tcPr>
            <w:tcW w:w="1461" w:type="dxa"/>
            <w:tcBorders>
              <w:top w:val="nil"/>
              <w:left w:val="nil"/>
              <w:bottom w:val="single" w:sz="4" w:space="0" w:color="auto"/>
              <w:right w:val="single" w:sz="4" w:space="0" w:color="auto"/>
            </w:tcBorders>
            <w:noWrap/>
            <w:vAlign w:val="bottom"/>
            <w:hideMark/>
          </w:tcPr>
          <w:p w14:paraId="7E18496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1 692</w:t>
            </w:r>
          </w:p>
        </w:tc>
        <w:tc>
          <w:tcPr>
            <w:tcW w:w="1080" w:type="dxa"/>
            <w:tcBorders>
              <w:top w:val="nil"/>
              <w:left w:val="nil"/>
              <w:bottom w:val="single" w:sz="4" w:space="0" w:color="auto"/>
              <w:right w:val="single" w:sz="4" w:space="0" w:color="auto"/>
            </w:tcBorders>
            <w:noWrap/>
            <w:vAlign w:val="bottom"/>
            <w:hideMark/>
          </w:tcPr>
          <w:p w14:paraId="04C3E6F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3 276</w:t>
            </w:r>
          </w:p>
        </w:tc>
      </w:tr>
      <w:tr w:rsidR="000C0842" w:rsidRPr="000C0842" w14:paraId="25041E78" w14:textId="77777777" w:rsidTr="001F32B3">
        <w:tc>
          <w:tcPr>
            <w:tcW w:w="1880" w:type="dxa"/>
            <w:tcBorders>
              <w:top w:val="nil"/>
              <w:left w:val="single" w:sz="4" w:space="0" w:color="auto"/>
              <w:bottom w:val="single" w:sz="4" w:space="0" w:color="auto"/>
              <w:right w:val="single" w:sz="4" w:space="0" w:color="auto"/>
            </w:tcBorders>
            <w:hideMark/>
          </w:tcPr>
          <w:p w14:paraId="4AC85437"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塔吉克斯坦</w:t>
            </w:r>
          </w:p>
        </w:tc>
        <w:tc>
          <w:tcPr>
            <w:tcW w:w="1628" w:type="dxa"/>
            <w:tcBorders>
              <w:top w:val="nil"/>
              <w:left w:val="nil"/>
              <w:bottom w:val="single" w:sz="4" w:space="0" w:color="auto"/>
              <w:right w:val="single" w:sz="4" w:space="0" w:color="auto"/>
            </w:tcBorders>
            <w:vAlign w:val="bottom"/>
            <w:hideMark/>
          </w:tcPr>
          <w:p w14:paraId="0253B0F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2198" w:type="dxa"/>
            <w:tcBorders>
              <w:top w:val="nil"/>
              <w:left w:val="nil"/>
              <w:bottom w:val="single" w:sz="4" w:space="0" w:color="auto"/>
              <w:right w:val="single" w:sz="4" w:space="0" w:color="auto"/>
            </w:tcBorders>
            <w:noWrap/>
            <w:vAlign w:val="bottom"/>
            <w:hideMark/>
          </w:tcPr>
          <w:p w14:paraId="5FB8347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0.004</w:t>
            </w:r>
          </w:p>
        </w:tc>
        <w:tc>
          <w:tcPr>
            <w:tcW w:w="1176" w:type="dxa"/>
            <w:tcBorders>
              <w:top w:val="nil"/>
              <w:left w:val="nil"/>
              <w:bottom w:val="single" w:sz="4" w:space="0" w:color="auto"/>
              <w:right w:val="single" w:sz="4" w:space="0" w:color="auto"/>
            </w:tcBorders>
            <w:noWrap/>
            <w:vAlign w:val="bottom"/>
            <w:hideMark/>
          </w:tcPr>
          <w:p w14:paraId="38C293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528</w:t>
            </w:r>
          </w:p>
        </w:tc>
        <w:tc>
          <w:tcPr>
            <w:tcW w:w="1461" w:type="dxa"/>
            <w:tcBorders>
              <w:top w:val="nil"/>
              <w:left w:val="nil"/>
              <w:bottom w:val="single" w:sz="4" w:space="0" w:color="auto"/>
              <w:right w:val="single" w:sz="4" w:space="0" w:color="auto"/>
            </w:tcBorders>
            <w:noWrap/>
            <w:vAlign w:val="bottom"/>
            <w:hideMark/>
          </w:tcPr>
          <w:p w14:paraId="1BB1C6E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564</w:t>
            </w:r>
          </w:p>
        </w:tc>
        <w:tc>
          <w:tcPr>
            <w:tcW w:w="1080" w:type="dxa"/>
            <w:tcBorders>
              <w:top w:val="nil"/>
              <w:left w:val="nil"/>
              <w:bottom w:val="single" w:sz="4" w:space="0" w:color="auto"/>
              <w:right w:val="single" w:sz="4" w:space="0" w:color="auto"/>
            </w:tcBorders>
            <w:noWrap/>
            <w:vAlign w:val="bottom"/>
            <w:hideMark/>
          </w:tcPr>
          <w:p w14:paraId="0E27B98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1 092</w:t>
            </w:r>
          </w:p>
        </w:tc>
      </w:tr>
      <w:tr w:rsidR="000C0842" w:rsidRPr="000C0842" w14:paraId="7F7CC239" w14:textId="77777777" w:rsidTr="001F32B3">
        <w:tc>
          <w:tcPr>
            <w:tcW w:w="1880" w:type="dxa"/>
            <w:tcBorders>
              <w:top w:val="nil"/>
              <w:left w:val="single" w:sz="4" w:space="0" w:color="auto"/>
              <w:bottom w:val="single" w:sz="4" w:space="0" w:color="auto"/>
              <w:right w:val="single" w:sz="4" w:space="0" w:color="auto"/>
            </w:tcBorders>
            <w:hideMark/>
          </w:tcPr>
          <w:p w14:paraId="2A11B99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泰国</w:t>
            </w:r>
          </w:p>
        </w:tc>
        <w:tc>
          <w:tcPr>
            <w:tcW w:w="1628" w:type="dxa"/>
            <w:tcBorders>
              <w:top w:val="nil"/>
              <w:left w:val="nil"/>
              <w:bottom w:val="single" w:sz="4" w:space="0" w:color="auto"/>
              <w:right w:val="single" w:sz="4" w:space="0" w:color="auto"/>
            </w:tcBorders>
            <w:vAlign w:val="bottom"/>
            <w:hideMark/>
          </w:tcPr>
          <w:p w14:paraId="0508863C"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0.368</w:t>
            </w:r>
          </w:p>
        </w:tc>
        <w:tc>
          <w:tcPr>
            <w:tcW w:w="2198" w:type="dxa"/>
            <w:tcBorders>
              <w:top w:val="nil"/>
              <w:left w:val="nil"/>
              <w:bottom w:val="single" w:sz="4" w:space="0" w:color="auto"/>
              <w:right w:val="single" w:sz="4" w:space="0" w:color="auto"/>
            </w:tcBorders>
            <w:noWrap/>
            <w:vAlign w:val="bottom"/>
            <w:hideMark/>
          </w:tcPr>
          <w:p w14:paraId="331252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0.460</w:t>
            </w:r>
          </w:p>
        </w:tc>
        <w:tc>
          <w:tcPr>
            <w:tcW w:w="1176" w:type="dxa"/>
            <w:tcBorders>
              <w:top w:val="nil"/>
              <w:left w:val="nil"/>
              <w:bottom w:val="single" w:sz="4" w:space="0" w:color="auto"/>
              <w:right w:val="single" w:sz="4" w:space="0" w:color="auto"/>
            </w:tcBorders>
            <w:noWrap/>
            <w:vAlign w:val="bottom"/>
            <w:hideMark/>
          </w:tcPr>
          <w:p w14:paraId="60FDC7B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64 766</w:t>
            </w:r>
          </w:p>
        </w:tc>
        <w:tc>
          <w:tcPr>
            <w:tcW w:w="1461" w:type="dxa"/>
            <w:tcBorders>
              <w:top w:val="nil"/>
              <w:left w:val="nil"/>
              <w:bottom w:val="single" w:sz="4" w:space="0" w:color="auto"/>
              <w:right w:val="single" w:sz="4" w:space="0" w:color="auto"/>
            </w:tcBorders>
            <w:noWrap/>
            <w:vAlign w:val="bottom"/>
            <w:hideMark/>
          </w:tcPr>
          <w:p w14:paraId="02E2F51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69 197</w:t>
            </w:r>
          </w:p>
        </w:tc>
        <w:tc>
          <w:tcPr>
            <w:tcW w:w="1080" w:type="dxa"/>
            <w:tcBorders>
              <w:top w:val="nil"/>
              <w:left w:val="nil"/>
              <w:bottom w:val="single" w:sz="4" w:space="0" w:color="auto"/>
              <w:right w:val="single" w:sz="4" w:space="0" w:color="auto"/>
            </w:tcBorders>
            <w:noWrap/>
            <w:vAlign w:val="bottom"/>
            <w:hideMark/>
          </w:tcPr>
          <w:p w14:paraId="57E176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133 963</w:t>
            </w:r>
          </w:p>
        </w:tc>
      </w:tr>
      <w:tr w:rsidR="000C0842" w:rsidRPr="000C0842" w14:paraId="57B26B15" w14:textId="77777777" w:rsidTr="001F32B3">
        <w:tc>
          <w:tcPr>
            <w:tcW w:w="1880" w:type="dxa"/>
            <w:tcBorders>
              <w:top w:val="nil"/>
              <w:left w:val="single" w:sz="4" w:space="0" w:color="auto"/>
              <w:bottom w:val="single" w:sz="4" w:space="0" w:color="auto"/>
              <w:right w:val="single" w:sz="4" w:space="0" w:color="auto"/>
            </w:tcBorders>
            <w:hideMark/>
          </w:tcPr>
          <w:p w14:paraId="7034026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东帝汶</w:t>
            </w:r>
          </w:p>
        </w:tc>
        <w:tc>
          <w:tcPr>
            <w:tcW w:w="1628" w:type="dxa"/>
            <w:tcBorders>
              <w:top w:val="nil"/>
              <w:left w:val="nil"/>
              <w:bottom w:val="single" w:sz="4" w:space="0" w:color="auto"/>
              <w:right w:val="single" w:sz="4" w:space="0" w:color="auto"/>
            </w:tcBorders>
            <w:vAlign w:val="bottom"/>
            <w:hideMark/>
          </w:tcPr>
          <w:p w14:paraId="164E54B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61586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12CBB91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2C89570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2BDCFB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592B866E" w14:textId="77777777" w:rsidTr="001F32B3">
        <w:tc>
          <w:tcPr>
            <w:tcW w:w="1880" w:type="dxa"/>
            <w:tcBorders>
              <w:top w:val="nil"/>
              <w:left w:val="single" w:sz="4" w:space="0" w:color="auto"/>
              <w:bottom w:val="single" w:sz="4" w:space="0" w:color="auto"/>
              <w:right w:val="single" w:sz="4" w:space="0" w:color="auto"/>
            </w:tcBorders>
            <w:hideMark/>
          </w:tcPr>
          <w:p w14:paraId="72C2F44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多哥</w:t>
            </w:r>
          </w:p>
        </w:tc>
        <w:tc>
          <w:tcPr>
            <w:tcW w:w="1628" w:type="dxa"/>
            <w:tcBorders>
              <w:top w:val="nil"/>
              <w:left w:val="nil"/>
              <w:bottom w:val="single" w:sz="4" w:space="0" w:color="auto"/>
              <w:right w:val="single" w:sz="4" w:space="0" w:color="auto"/>
            </w:tcBorders>
            <w:vAlign w:val="bottom"/>
            <w:hideMark/>
          </w:tcPr>
          <w:p w14:paraId="3C21EDA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0.002</w:t>
            </w:r>
          </w:p>
        </w:tc>
        <w:tc>
          <w:tcPr>
            <w:tcW w:w="2198" w:type="dxa"/>
            <w:tcBorders>
              <w:top w:val="nil"/>
              <w:left w:val="nil"/>
              <w:bottom w:val="single" w:sz="4" w:space="0" w:color="auto"/>
              <w:right w:val="single" w:sz="4" w:space="0" w:color="auto"/>
            </w:tcBorders>
            <w:noWrap/>
            <w:vAlign w:val="bottom"/>
            <w:hideMark/>
          </w:tcPr>
          <w:p w14:paraId="7CA62F5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0.003</w:t>
            </w:r>
          </w:p>
        </w:tc>
        <w:tc>
          <w:tcPr>
            <w:tcW w:w="1176" w:type="dxa"/>
            <w:tcBorders>
              <w:top w:val="nil"/>
              <w:left w:val="nil"/>
              <w:bottom w:val="single" w:sz="4" w:space="0" w:color="auto"/>
              <w:right w:val="single" w:sz="4" w:space="0" w:color="auto"/>
            </w:tcBorders>
            <w:noWrap/>
            <w:vAlign w:val="bottom"/>
            <w:hideMark/>
          </w:tcPr>
          <w:p w14:paraId="0E735ED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352</w:t>
            </w:r>
          </w:p>
        </w:tc>
        <w:tc>
          <w:tcPr>
            <w:tcW w:w="1461" w:type="dxa"/>
            <w:tcBorders>
              <w:top w:val="nil"/>
              <w:left w:val="nil"/>
              <w:bottom w:val="single" w:sz="4" w:space="0" w:color="auto"/>
              <w:right w:val="single" w:sz="4" w:space="0" w:color="auto"/>
            </w:tcBorders>
            <w:noWrap/>
            <w:vAlign w:val="bottom"/>
            <w:hideMark/>
          </w:tcPr>
          <w:p w14:paraId="7B0970E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376</w:t>
            </w:r>
          </w:p>
        </w:tc>
        <w:tc>
          <w:tcPr>
            <w:tcW w:w="1080" w:type="dxa"/>
            <w:tcBorders>
              <w:top w:val="nil"/>
              <w:left w:val="nil"/>
              <w:bottom w:val="single" w:sz="4" w:space="0" w:color="auto"/>
              <w:right w:val="single" w:sz="4" w:space="0" w:color="auto"/>
            </w:tcBorders>
            <w:noWrap/>
            <w:vAlign w:val="bottom"/>
            <w:hideMark/>
          </w:tcPr>
          <w:p w14:paraId="343E681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728</w:t>
            </w:r>
          </w:p>
        </w:tc>
      </w:tr>
      <w:tr w:rsidR="000C0842" w:rsidRPr="000C0842" w14:paraId="29DC6892" w14:textId="77777777" w:rsidTr="001F32B3">
        <w:tc>
          <w:tcPr>
            <w:tcW w:w="1880" w:type="dxa"/>
            <w:tcBorders>
              <w:top w:val="nil"/>
              <w:left w:val="single" w:sz="4" w:space="0" w:color="auto"/>
              <w:bottom w:val="single" w:sz="4" w:space="0" w:color="auto"/>
              <w:right w:val="single" w:sz="4" w:space="0" w:color="auto"/>
            </w:tcBorders>
            <w:hideMark/>
          </w:tcPr>
          <w:p w14:paraId="75D1088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汤加</w:t>
            </w:r>
          </w:p>
        </w:tc>
        <w:tc>
          <w:tcPr>
            <w:tcW w:w="1628" w:type="dxa"/>
            <w:tcBorders>
              <w:top w:val="nil"/>
              <w:left w:val="nil"/>
              <w:bottom w:val="single" w:sz="4" w:space="0" w:color="auto"/>
              <w:right w:val="single" w:sz="4" w:space="0" w:color="auto"/>
            </w:tcBorders>
            <w:vAlign w:val="bottom"/>
            <w:hideMark/>
          </w:tcPr>
          <w:p w14:paraId="6F40B8F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2105F10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7BFC135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107E2E1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53BA36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19C3CA08" w14:textId="77777777" w:rsidTr="001F32B3">
        <w:tc>
          <w:tcPr>
            <w:tcW w:w="1880" w:type="dxa"/>
            <w:tcBorders>
              <w:top w:val="nil"/>
              <w:left w:val="single" w:sz="4" w:space="0" w:color="auto"/>
              <w:bottom w:val="single" w:sz="4" w:space="0" w:color="auto"/>
              <w:right w:val="single" w:sz="4" w:space="0" w:color="auto"/>
            </w:tcBorders>
            <w:hideMark/>
          </w:tcPr>
          <w:p w14:paraId="07A468A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特立尼达和多巴哥</w:t>
            </w:r>
          </w:p>
        </w:tc>
        <w:tc>
          <w:tcPr>
            <w:tcW w:w="1628" w:type="dxa"/>
            <w:tcBorders>
              <w:top w:val="nil"/>
              <w:left w:val="nil"/>
              <w:bottom w:val="single" w:sz="4" w:space="0" w:color="auto"/>
              <w:right w:val="single" w:sz="4" w:space="0" w:color="auto"/>
            </w:tcBorders>
            <w:vAlign w:val="bottom"/>
            <w:hideMark/>
          </w:tcPr>
          <w:p w14:paraId="494FB0A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0.037</w:t>
            </w:r>
          </w:p>
        </w:tc>
        <w:tc>
          <w:tcPr>
            <w:tcW w:w="2198" w:type="dxa"/>
            <w:tcBorders>
              <w:top w:val="nil"/>
              <w:left w:val="nil"/>
              <w:bottom w:val="single" w:sz="4" w:space="0" w:color="auto"/>
              <w:right w:val="single" w:sz="4" w:space="0" w:color="auto"/>
            </w:tcBorders>
            <w:noWrap/>
            <w:vAlign w:val="bottom"/>
            <w:hideMark/>
          </w:tcPr>
          <w:p w14:paraId="1139A6C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0.046</w:t>
            </w:r>
          </w:p>
        </w:tc>
        <w:tc>
          <w:tcPr>
            <w:tcW w:w="1176" w:type="dxa"/>
            <w:tcBorders>
              <w:top w:val="nil"/>
              <w:left w:val="nil"/>
              <w:bottom w:val="single" w:sz="4" w:space="0" w:color="auto"/>
              <w:right w:val="single" w:sz="4" w:space="0" w:color="auto"/>
            </w:tcBorders>
            <w:noWrap/>
            <w:vAlign w:val="bottom"/>
            <w:hideMark/>
          </w:tcPr>
          <w:p w14:paraId="6BC0EB0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6 512</w:t>
            </w:r>
          </w:p>
        </w:tc>
        <w:tc>
          <w:tcPr>
            <w:tcW w:w="1461" w:type="dxa"/>
            <w:tcBorders>
              <w:top w:val="nil"/>
              <w:left w:val="nil"/>
              <w:bottom w:val="single" w:sz="4" w:space="0" w:color="auto"/>
              <w:right w:val="single" w:sz="4" w:space="0" w:color="auto"/>
            </w:tcBorders>
            <w:noWrap/>
            <w:vAlign w:val="bottom"/>
            <w:hideMark/>
          </w:tcPr>
          <w:p w14:paraId="63053C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6 957</w:t>
            </w:r>
          </w:p>
        </w:tc>
        <w:tc>
          <w:tcPr>
            <w:tcW w:w="1080" w:type="dxa"/>
            <w:tcBorders>
              <w:top w:val="nil"/>
              <w:left w:val="nil"/>
              <w:bottom w:val="single" w:sz="4" w:space="0" w:color="auto"/>
              <w:right w:val="single" w:sz="4" w:space="0" w:color="auto"/>
            </w:tcBorders>
            <w:noWrap/>
            <w:vAlign w:val="bottom"/>
            <w:hideMark/>
          </w:tcPr>
          <w:p w14:paraId="5AE4E22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13 469</w:t>
            </w:r>
          </w:p>
        </w:tc>
      </w:tr>
      <w:tr w:rsidR="000C0842" w:rsidRPr="000C0842" w14:paraId="72C9936A" w14:textId="77777777" w:rsidTr="001F32B3">
        <w:tc>
          <w:tcPr>
            <w:tcW w:w="1880" w:type="dxa"/>
            <w:tcBorders>
              <w:top w:val="nil"/>
              <w:left w:val="single" w:sz="4" w:space="0" w:color="auto"/>
              <w:bottom w:val="single" w:sz="4" w:space="0" w:color="auto"/>
              <w:right w:val="single" w:sz="4" w:space="0" w:color="auto"/>
            </w:tcBorders>
            <w:hideMark/>
          </w:tcPr>
          <w:p w14:paraId="072A57AC"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突尼斯</w:t>
            </w:r>
          </w:p>
        </w:tc>
        <w:tc>
          <w:tcPr>
            <w:tcW w:w="1628" w:type="dxa"/>
            <w:tcBorders>
              <w:top w:val="nil"/>
              <w:left w:val="nil"/>
              <w:bottom w:val="single" w:sz="4" w:space="0" w:color="auto"/>
              <w:right w:val="single" w:sz="4" w:space="0" w:color="auto"/>
            </w:tcBorders>
            <w:vAlign w:val="bottom"/>
            <w:hideMark/>
          </w:tcPr>
          <w:p w14:paraId="7E720EE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0.019</w:t>
            </w:r>
          </w:p>
        </w:tc>
        <w:tc>
          <w:tcPr>
            <w:tcW w:w="2198" w:type="dxa"/>
            <w:tcBorders>
              <w:top w:val="nil"/>
              <w:left w:val="nil"/>
              <w:bottom w:val="single" w:sz="4" w:space="0" w:color="auto"/>
              <w:right w:val="single" w:sz="4" w:space="0" w:color="auto"/>
            </w:tcBorders>
            <w:noWrap/>
            <w:vAlign w:val="bottom"/>
            <w:hideMark/>
          </w:tcPr>
          <w:p w14:paraId="78B21D8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0.024</w:t>
            </w:r>
          </w:p>
        </w:tc>
        <w:tc>
          <w:tcPr>
            <w:tcW w:w="1176" w:type="dxa"/>
            <w:tcBorders>
              <w:top w:val="nil"/>
              <w:left w:val="nil"/>
              <w:bottom w:val="single" w:sz="4" w:space="0" w:color="auto"/>
              <w:right w:val="single" w:sz="4" w:space="0" w:color="auto"/>
            </w:tcBorders>
            <w:noWrap/>
            <w:vAlign w:val="bottom"/>
            <w:hideMark/>
          </w:tcPr>
          <w:p w14:paraId="64231EF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3 344</w:t>
            </w:r>
          </w:p>
        </w:tc>
        <w:tc>
          <w:tcPr>
            <w:tcW w:w="1461" w:type="dxa"/>
            <w:tcBorders>
              <w:top w:val="nil"/>
              <w:left w:val="nil"/>
              <w:bottom w:val="single" w:sz="4" w:space="0" w:color="auto"/>
              <w:right w:val="single" w:sz="4" w:space="0" w:color="auto"/>
            </w:tcBorders>
            <w:noWrap/>
            <w:vAlign w:val="bottom"/>
            <w:hideMark/>
          </w:tcPr>
          <w:p w14:paraId="326753E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3 573</w:t>
            </w:r>
          </w:p>
        </w:tc>
        <w:tc>
          <w:tcPr>
            <w:tcW w:w="1080" w:type="dxa"/>
            <w:tcBorders>
              <w:top w:val="nil"/>
              <w:left w:val="nil"/>
              <w:bottom w:val="single" w:sz="4" w:space="0" w:color="auto"/>
              <w:right w:val="single" w:sz="4" w:space="0" w:color="auto"/>
            </w:tcBorders>
            <w:noWrap/>
            <w:vAlign w:val="bottom"/>
            <w:hideMark/>
          </w:tcPr>
          <w:p w14:paraId="410B8A6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6 917</w:t>
            </w:r>
          </w:p>
        </w:tc>
      </w:tr>
      <w:tr w:rsidR="000C0842" w:rsidRPr="000C0842" w14:paraId="592DEC6A" w14:textId="77777777" w:rsidTr="001F32B3">
        <w:tc>
          <w:tcPr>
            <w:tcW w:w="1880" w:type="dxa"/>
            <w:tcBorders>
              <w:top w:val="nil"/>
              <w:left w:val="single" w:sz="4" w:space="0" w:color="auto"/>
              <w:bottom w:val="single" w:sz="4" w:space="0" w:color="auto"/>
              <w:right w:val="single" w:sz="4" w:space="0" w:color="auto"/>
            </w:tcBorders>
            <w:hideMark/>
          </w:tcPr>
          <w:p w14:paraId="3A294F55"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土耳其</w:t>
            </w:r>
          </w:p>
        </w:tc>
        <w:tc>
          <w:tcPr>
            <w:tcW w:w="1628" w:type="dxa"/>
            <w:tcBorders>
              <w:top w:val="nil"/>
              <w:left w:val="nil"/>
              <w:bottom w:val="single" w:sz="4" w:space="0" w:color="auto"/>
              <w:right w:val="single" w:sz="4" w:space="0" w:color="auto"/>
            </w:tcBorders>
            <w:vAlign w:val="bottom"/>
            <w:hideMark/>
          </w:tcPr>
          <w:p w14:paraId="5DD5333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0.845</w:t>
            </w:r>
          </w:p>
        </w:tc>
        <w:tc>
          <w:tcPr>
            <w:tcW w:w="2198" w:type="dxa"/>
            <w:tcBorders>
              <w:top w:val="nil"/>
              <w:left w:val="nil"/>
              <w:bottom w:val="single" w:sz="4" w:space="0" w:color="auto"/>
              <w:right w:val="single" w:sz="4" w:space="0" w:color="auto"/>
            </w:tcBorders>
            <w:noWrap/>
            <w:vAlign w:val="bottom"/>
            <w:hideMark/>
          </w:tcPr>
          <w:p w14:paraId="571B905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1.056</w:t>
            </w:r>
          </w:p>
        </w:tc>
        <w:tc>
          <w:tcPr>
            <w:tcW w:w="1176" w:type="dxa"/>
            <w:tcBorders>
              <w:top w:val="nil"/>
              <w:left w:val="nil"/>
              <w:bottom w:val="single" w:sz="4" w:space="0" w:color="auto"/>
              <w:right w:val="single" w:sz="4" w:space="0" w:color="auto"/>
            </w:tcBorders>
            <w:noWrap/>
            <w:vAlign w:val="bottom"/>
            <w:hideMark/>
          </w:tcPr>
          <w:p w14:paraId="577C2F2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148 715</w:t>
            </w:r>
          </w:p>
        </w:tc>
        <w:tc>
          <w:tcPr>
            <w:tcW w:w="1461" w:type="dxa"/>
            <w:tcBorders>
              <w:top w:val="nil"/>
              <w:left w:val="nil"/>
              <w:bottom w:val="single" w:sz="4" w:space="0" w:color="auto"/>
              <w:right w:val="single" w:sz="4" w:space="0" w:color="auto"/>
            </w:tcBorders>
            <w:noWrap/>
            <w:vAlign w:val="bottom"/>
            <w:hideMark/>
          </w:tcPr>
          <w:p w14:paraId="52296F5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158 891</w:t>
            </w:r>
          </w:p>
        </w:tc>
        <w:tc>
          <w:tcPr>
            <w:tcW w:w="1080" w:type="dxa"/>
            <w:tcBorders>
              <w:top w:val="nil"/>
              <w:left w:val="nil"/>
              <w:bottom w:val="single" w:sz="4" w:space="0" w:color="auto"/>
              <w:right w:val="single" w:sz="4" w:space="0" w:color="auto"/>
            </w:tcBorders>
            <w:noWrap/>
            <w:vAlign w:val="bottom"/>
            <w:hideMark/>
          </w:tcPr>
          <w:p w14:paraId="1AA2233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307 606</w:t>
            </w:r>
          </w:p>
        </w:tc>
      </w:tr>
      <w:tr w:rsidR="000C0842" w:rsidRPr="000C0842" w14:paraId="29B4C343" w14:textId="77777777" w:rsidTr="001F32B3">
        <w:tc>
          <w:tcPr>
            <w:tcW w:w="1880" w:type="dxa"/>
            <w:tcBorders>
              <w:top w:val="nil"/>
              <w:left w:val="single" w:sz="4" w:space="0" w:color="auto"/>
              <w:bottom w:val="single" w:sz="4" w:space="0" w:color="auto"/>
              <w:right w:val="single" w:sz="4" w:space="0" w:color="auto"/>
            </w:tcBorders>
            <w:hideMark/>
          </w:tcPr>
          <w:p w14:paraId="51D38CE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土库曼斯坦</w:t>
            </w:r>
          </w:p>
        </w:tc>
        <w:tc>
          <w:tcPr>
            <w:tcW w:w="1628" w:type="dxa"/>
            <w:tcBorders>
              <w:top w:val="nil"/>
              <w:left w:val="nil"/>
              <w:bottom w:val="single" w:sz="4" w:space="0" w:color="auto"/>
              <w:right w:val="single" w:sz="4" w:space="0" w:color="auto"/>
            </w:tcBorders>
            <w:vAlign w:val="bottom"/>
            <w:hideMark/>
          </w:tcPr>
          <w:p w14:paraId="3BD05C9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0.034</w:t>
            </w:r>
          </w:p>
        </w:tc>
        <w:tc>
          <w:tcPr>
            <w:tcW w:w="2198" w:type="dxa"/>
            <w:tcBorders>
              <w:top w:val="nil"/>
              <w:left w:val="nil"/>
              <w:bottom w:val="single" w:sz="4" w:space="0" w:color="auto"/>
              <w:right w:val="single" w:sz="4" w:space="0" w:color="auto"/>
            </w:tcBorders>
            <w:noWrap/>
            <w:vAlign w:val="bottom"/>
            <w:hideMark/>
          </w:tcPr>
          <w:p w14:paraId="437C15C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0.043</w:t>
            </w:r>
          </w:p>
        </w:tc>
        <w:tc>
          <w:tcPr>
            <w:tcW w:w="1176" w:type="dxa"/>
            <w:tcBorders>
              <w:top w:val="nil"/>
              <w:left w:val="nil"/>
              <w:bottom w:val="single" w:sz="4" w:space="0" w:color="auto"/>
              <w:right w:val="single" w:sz="4" w:space="0" w:color="auto"/>
            </w:tcBorders>
            <w:noWrap/>
            <w:vAlign w:val="bottom"/>
            <w:hideMark/>
          </w:tcPr>
          <w:p w14:paraId="0A5CF4E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5 984</w:t>
            </w:r>
          </w:p>
        </w:tc>
        <w:tc>
          <w:tcPr>
            <w:tcW w:w="1461" w:type="dxa"/>
            <w:tcBorders>
              <w:top w:val="nil"/>
              <w:left w:val="nil"/>
              <w:bottom w:val="single" w:sz="4" w:space="0" w:color="auto"/>
              <w:right w:val="single" w:sz="4" w:space="0" w:color="auto"/>
            </w:tcBorders>
            <w:noWrap/>
            <w:vAlign w:val="bottom"/>
            <w:hideMark/>
          </w:tcPr>
          <w:p w14:paraId="2B2BE17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6 393</w:t>
            </w:r>
          </w:p>
        </w:tc>
        <w:tc>
          <w:tcPr>
            <w:tcW w:w="1080" w:type="dxa"/>
            <w:tcBorders>
              <w:top w:val="nil"/>
              <w:left w:val="nil"/>
              <w:bottom w:val="single" w:sz="4" w:space="0" w:color="auto"/>
              <w:right w:val="single" w:sz="4" w:space="0" w:color="auto"/>
            </w:tcBorders>
            <w:noWrap/>
            <w:vAlign w:val="bottom"/>
            <w:hideMark/>
          </w:tcPr>
          <w:p w14:paraId="4D7557C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12 377</w:t>
            </w:r>
          </w:p>
        </w:tc>
      </w:tr>
      <w:tr w:rsidR="000C0842" w:rsidRPr="000C0842" w14:paraId="6C6EA4F7" w14:textId="77777777" w:rsidTr="001F32B3">
        <w:tc>
          <w:tcPr>
            <w:tcW w:w="1880" w:type="dxa"/>
            <w:tcBorders>
              <w:top w:val="nil"/>
              <w:left w:val="single" w:sz="4" w:space="0" w:color="auto"/>
              <w:bottom w:val="single" w:sz="4" w:space="0" w:color="auto"/>
              <w:right w:val="single" w:sz="4" w:space="0" w:color="auto"/>
            </w:tcBorders>
            <w:hideMark/>
          </w:tcPr>
          <w:p w14:paraId="16B398A4"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图瓦卢</w:t>
            </w:r>
          </w:p>
        </w:tc>
        <w:tc>
          <w:tcPr>
            <w:tcW w:w="1628" w:type="dxa"/>
            <w:tcBorders>
              <w:top w:val="nil"/>
              <w:left w:val="nil"/>
              <w:bottom w:val="single" w:sz="4" w:space="0" w:color="auto"/>
              <w:right w:val="single" w:sz="4" w:space="0" w:color="auto"/>
            </w:tcBorders>
            <w:vAlign w:val="bottom"/>
            <w:hideMark/>
          </w:tcPr>
          <w:p w14:paraId="02F3810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52A8CA6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3069660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567BE32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9C6030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7D68805D" w14:textId="77777777" w:rsidTr="001F32B3">
        <w:tc>
          <w:tcPr>
            <w:tcW w:w="1880" w:type="dxa"/>
            <w:tcBorders>
              <w:top w:val="nil"/>
              <w:left w:val="single" w:sz="4" w:space="0" w:color="auto"/>
              <w:bottom w:val="single" w:sz="4" w:space="0" w:color="auto"/>
              <w:right w:val="single" w:sz="4" w:space="0" w:color="auto"/>
            </w:tcBorders>
            <w:hideMark/>
          </w:tcPr>
          <w:p w14:paraId="6BBB82E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乌干达</w:t>
            </w:r>
          </w:p>
        </w:tc>
        <w:tc>
          <w:tcPr>
            <w:tcW w:w="1628" w:type="dxa"/>
            <w:tcBorders>
              <w:top w:val="nil"/>
              <w:left w:val="nil"/>
              <w:bottom w:val="single" w:sz="4" w:space="0" w:color="auto"/>
              <w:right w:val="single" w:sz="4" w:space="0" w:color="auto"/>
            </w:tcBorders>
            <w:vAlign w:val="bottom"/>
            <w:hideMark/>
          </w:tcPr>
          <w:p w14:paraId="1398C1F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6656CF1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2B5295F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1A4F256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695BAF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76FC87ED" w14:textId="77777777" w:rsidTr="001F32B3">
        <w:tc>
          <w:tcPr>
            <w:tcW w:w="1880" w:type="dxa"/>
            <w:tcBorders>
              <w:top w:val="nil"/>
              <w:left w:val="single" w:sz="4" w:space="0" w:color="auto"/>
              <w:bottom w:val="single" w:sz="4" w:space="0" w:color="auto"/>
              <w:right w:val="single" w:sz="4" w:space="0" w:color="auto"/>
            </w:tcBorders>
            <w:hideMark/>
          </w:tcPr>
          <w:p w14:paraId="2D1158D6"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乌克兰</w:t>
            </w:r>
          </w:p>
        </w:tc>
        <w:tc>
          <w:tcPr>
            <w:tcW w:w="1628" w:type="dxa"/>
            <w:tcBorders>
              <w:top w:val="nil"/>
              <w:left w:val="nil"/>
              <w:bottom w:val="single" w:sz="4" w:space="0" w:color="auto"/>
              <w:right w:val="single" w:sz="4" w:space="0" w:color="auto"/>
            </w:tcBorders>
            <w:vAlign w:val="bottom"/>
            <w:hideMark/>
          </w:tcPr>
          <w:p w14:paraId="0D89D6B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0.056</w:t>
            </w:r>
          </w:p>
        </w:tc>
        <w:tc>
          <w:tcPr>
            <w:tcW w:w="2198" w:type="dxa"/>
            <w:tcBorders>
              <w:top w:val="nil"/>
              <w:left w:val="nil"/>
              <w:bottom w:val="single" w:sz="4" w:space="0" w:color="auto"/>
              <w:right w:val="single" w:sz="4" w:space="0" w:color="auto"/>
            </w:tcBorders>
            <w:noWrap/>
            <w:vAlign w:val="bottom"/>
            <w:hideMark/>
          </w:tcPr>
          <w:p w14:paraId="7BFE330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0.070</w:t>
            </w:r>
          </w:p>
        </w:tc>
        <w:tc>
          <w:tcPr>
            <w:tcW w:w="1176" w:type="dxa"/>
            <w:tcBorders>
              <w:top w:val="nil"/>
              <w:left w:val="nil"/>
              <w:bottom w:val="single" w:sz="4" w:space="0" w:color="auto"/>
              <w:right w:val="single" w:sz="4" w:space="0" w:color="auto"/>
            </w:tcBorders>
            <w:noWrap/>
            <w:vAlign w:val="bottom"/>
            <w:hideMark/>
          </w:tcPr>
          <w:p w14:paraId="61F918A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9 856</w:t>
            </w:r>
          </w:p>
        </w:tc>
        <w:tc>
          <w:tcPr>
            <w:tcW w:w="1461" w:type="dxa"/>
            <w:tcBorders>
              <w:top w:val="nil"/>
              <w:left w:val="nil"/>
              <w:bottom w:val="single" w:sz="4" w:space="0" w:color="auto"/>
              <w:right w:val="single" w:sz="4" w:space="0" w:color="auto"/>
            </w:tcBorders>
            <w:noWrap/>
            <w:vAlign w:val="bottom"/>
            <w:hideMark/>
          </w:tcPr>
          <w:p w14:paraId="2C3432B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10 530</w:t>
            </w:r>
          </w:p>
        </w:tc>
        <w:tc>
          <w:tcPr>
            <w:tcW w:w="1080" w:type="dxa"/>
            <w:tcBorders>
              <w:top w:val="nil"/>
              <w:left w:val="nil"/>
              <w:bottom w:val="single" w:sz="4" w:space="0" w:color="auto"/>
              <w:right w:val="single" w:sz="4" w:space="0" w:color="auto"/>
            </w:tcBorders>
            <w:noWrap/>
            <w:vAlign w:val="bottom"/>
            <w:hideMark/>
          </w:tcPr>
          <w:p w14:paraId="698A3A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20 386</w:t>
            </w:r>
          </w:p>
        </w:tc>
      </w:tr>
      <w:tr w:rsidR="000C0842" w:rsidRPr="000C0842" w14:paraId="1CB94C70" w14:textId="77777777" w:rsidTr="001F32B3">
        <w:tc>
          <w:tcPr>
            <w:tcW w:w="1880" w:type="dxa"/>
            <w:tcBorders>
              <w:top w:val="nil"/>
              <w:left w:val="single" w:sz="4" w:space="0" w:color="auto"/>
              <w:bottom w:val="single" w:sz="4" w:space="0" w:color="auto"/>
              <w:right w:val="single" w:sz="4" w:space="0" w:color="auto"/>
            </w:tcBorders>
            <w:hideMark/>
          </w:tcPr>
          <w:p w14:paraId="50F7876F"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阿拉伯联合酋长国</w:t>
            </w:r>
          </w:p>
        </w:tc>
        <w:tc>
          <w:tcPr>
            <w:tcW w:w="1628" w:type="dxa"/>
            <w:tcBorders>
              <w:top w:val="nil"/>
              <w:left w:val="nil"/>
              <w:bottom w:val="single" w:sz="4" w:space="0" w:color="auto"/>
              <w:right w:val="single" w:sz="4" w:space="0" w:color="auto"/>
            </w:tcBorders>
            <w:vAlign w:val="bottom"/>
            <w:hideMark/>
          </w:tcPr>
          <w:p w14:paraId="43137C6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0.635</w:t>
            </w:r>
          </w:p>
        </w:tc>
        <w:tc>
          <w:tcPr>
            <w:tcW w:w="2198" w:type="dxa"/>
            <w:tcBorders>
              <w:top w:val="nil"/>
              <w:left w:val="nil"/>
              <w:bottom w:val="single" w:sz="4" w:space="0" w:color="auto"/>
              <w:right w:val="single" w:sz="4" w:space="0" w:color="auto"/>
            </w:tcBorders>
            <w:noWrap/>
            <w:vAlign w:val="bottom"/>
            <w:hideMark/>
          </w:tcPr>
          <w:p w14:paraId="5D973A8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0.794</w:t>
            </w:r>
          </w:p>
        </w:tc>
        <w:tc>
          <w:tcPr>
            <w:tcW w:w="1176" w:type="dxa"/>
            <w:tcBorders>
              <w:top w:val="nil"/>
              <w:left w:val="nil"/>
              <w:bottom w:val="single" w:sz="4" w:space="0" w:color="auto"/>
              <w:right w:val="single" w:sz="4" w:space="0" w:color="auto"/>
            </w:tcBorders>
            <w:noWrap/>
            <w:vAlign w:val="bottom"/>
            <w:hideMark/>
          </w:tcPr>
          <w:p w14:paraId="0DAE1E9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111 756</w:t>
            </w:r>
          </w:p>
        </w:tc>
        <w:tc>
          <w:tcPr>
            <w:tcW w:w="1461" w:type="dxa"/>
            <w:tcBorders>
              <w:top w:val="nil"/>
              <w:left w:val="nil"/>
              <w:bottom w:val="single" w:sz="4" w:space="0" w:color="auto"/>
              <w:right w:val="single" w:sz="4" w:space="0" w:color="auto"/>
            </w:tcBorders>
            <w:noWrap/>
            <w:vAlign w:val="bottom"/>
            <w:hideMark/>
          </w:tcPr>
          <w:p w14:paraId="6BD8923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119 403</w:t>
            </w:r>
          </w:p>
        </w:tc>
        <w:tc>
          <w:tcPr>
            <w:tcW w:w="1080" w:type="dxa"/>
            <w:tcBorders>
              <w:top w:val="nil"/>
              <w:left w:val="nil"/>
              <w:bottom w:val="single" w:sz="4" w:space="0" w:color="auto"/>
              <w:right w:val="single" w:sz="4" w:space="0" w:color="auto"/>
            </w:tcBorders>
            <w:noWrap/>
            <w:vAlign w:val="bottom"/>
            <w:hideMark/>
          </w:tcPr>
          <w:p w14:paraId="6E6E68D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231 160</w:t>
            </w:r>
          </w:p>
        </w:tc>
      </w:tr>
      <w:tr w:rsidR="000C0842" w:rsidRPr="000C0842" w14:paraId="7C037EDB" w14:textId="77777777" w:rsidTr="001F32B3">
        <w:tc>
          <w:tcPr>
            <w:tcW w:w="1880" w:type="dxa"/>
            <w:tcBorders>
              <w:top w:val="nil"/>
              <w:left w:val="single" w:sz="4" w:space="0" w:color="auto"/>
              <w:bottom w:val="single" w:sz="4" w:space="0" w:color="auto"/>
              <w:right w:val="single" w:sz="4" w:space="0" w:color="auto"/>
            </w:tcBorders>
            <w:hideMark/>
          </w:tcPr>
          <w:p w14:paraId="0BB6250E"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大不列颠及北爱尔兰联合王国</w:t>
            </w:r>
          </w:p>
        </w:tc>
        <w:tc>
          <w:tcPr>
            <w:tcW w:w="1628" w:type="dxa"/>
            <w:tcBorders>
              <w:top w:val="nil"/>
              <w:left w:val="nil"/>
              <w:bottom w:val="single" w:sz="4" w:space="0" w:color="auto"/>
              <w:right w:val="single" w:sz="4" w:space="0" w:color="auto"/>
            </w:tcBorders>
            <w:vAlign w:val="bottom"/>
            <w:hideMark/>
          </w:tcPr>
          <w:p w14:paraId="65B83EA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4.375</w:t>
            </w:r>
          </w:p>
        </w:tc>
        <w:tc>
          <w:tcPr>
            <w:tcW w:w="2198" w:type="dxa"/>
            <w:tcBorders>
              <w:top w:val="nil"/>
              <w:left w:val="nil"/>
              <w:bottom w:val="single" w:sz="4" w:space="0" w:color="auto"/>
              <w:right w:val="single" w:sz="4" w:space="0" w:color="auto"/>
            </w:tcBorders>
            <w:noWrap/>
            <w:vAlign w:val="bottom"/>
            <w:hideMark/>
          </w:tcPr>
          <w:p w14:paraId="6849AD0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5.469</w:t>
            </w:r>
          </w:p>
        </w:tc>
        <w:tc>
          <w:tcPr>
            <w:tcW w:w="1176" w:type="dxa"/>
            <w:tcBorders>
              <w:top w:val="nil"/>
              <w:left w:val="nil"/>
              <w:bottom w:val="single" w:sz="4" w:space="0" w:color="auto"/>
              <w:right w:val="single" w:sz="4" w:space="0" w:color="auto"/>
            </w:tcBorders>
            <w:noWrap/>
            <w:vAlign w:val="bottom"/>
            <w:hideMark/>
          </w:tcPr>
          <w:p w14:paraId="6D80674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769 976</w:t>
            </w:r>
          </w:p>
        </w:tc>
        <w:tc>
          <w:tcPr>
            <w:tcW w:w="1461" w:type="dxa"/>
            <w:tcBorders>
              <w:top w:val="nil"/>
              <w:left w:val="nil"/>
              <w:bottom w:val="single" w:sz="4" w:space="0" w:color="auto"/>
              <w:right w:val="single" w:sz="4" w:space="0" w:color="auto"/>
            </w:tcBorders>
            <w:noWrap/>
            <w:vAlign w:val="bottom"/>
            <w:hideMark/>
          </w:tcPr>
          <w:p w14:paraId="7207A27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822 660</w:t>
            </w:r>
          </w:p>
        </w:tc>
        <w:tc>
          <w:tcPr>
            <w:tcW w:w="1080" w:type="dxa"/>
            <w:tcBorders>
              <w:top w:val="nil"/>
              <w:left w:val="nil"/>
              <w:bottom w:val="single" w:sz="4" w:space="0" w:color="auto"/>
              <w:right w:val="single" w:sz="4" w:space="0" w:color="auto"/>
            </w:tcBorders>
            <w:noWrap/>
            <w:vAlign w:val="bottom"/>
            <w:hideMark/>
          </w:tcPr>
          <w:p w14:paraId="29F01FD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1 592 635</w:t>
            </w:r>
          </w:p>
        </w:tc>
      </w:tr>
      <w:tr w:rsidR="000C0842" w:rsidRPr="000C0842" w14:paraId="559A0F54" w14:textId="77777777" w:rsidTr="001F32B3">
        <w:tc>
          <w:tcPr>
            <w:tcW w:w="1880" w:type="dxa"/>
            <w:tcBorders>
              <w:top w:val="nil"/>
              <w:left w:val="single" w:sz="4" w:space="0" w:color="auto"/>
              <w:bottom w:val="single" w:sz="4" w:space="0" w:color="auto"/>
              <w:right w:val="single" w:sz="4" w:space="0" w:color="auto"/>
            </w:tcBorders>
            <w:hideMark/>
          </w:tcPr>
          <w:p w14:paraId="2D26976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坦桑尼亚联合共和国</w:t>
            </w:r>
          </w:p>
        </w:tc>
        <w:tc>
          <w:tcPr>
            <w:tcW w:w="1628" w:type="dxa"/>
            <w:tcBorders>
              <w:top w:val="nil"/>
              <w:left w:val="nil"/>
              <w:bottom w:val="single" w:sz="4" w:space="0" w:color="auto"/>
              <w:right w:val="single" w:sz="4" w:space="0" w:color="auto"/>
            </w:tcBorders>
            <w:vAlign w:val="bottom"/>
            <w:hideMark/>
          </w:tcPr>
          <w:p w14:paraId="3C8A864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2198" w:type="dxa"/>
            <w:tcBorders>
              <w:top w:val="nil"/>
              <w:left w:val="nil"/>
              <w:bottom w:val="single" w:sz="4" w:space="0" w:color="auto"/>
              <w:right w:val="single" w:sz="4" w:space="0" w:color="auto"/>
            </w:tcBorders>
            <w:noWrap/>
            <w:vAlign w:val="bottom"/>
            <w:hideMark/>
          </w:tcPr>
          <w:p w14:paraId="294F5A4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6446CD2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0B3A157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4E5608B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70ADC036" w14:textId="77777777" w:rsidTr="001F32B3">
        <w:tc>
          <w:tcPr>
            <w:tcW w:w="1880" w:type="dxa"/>
            <w:tcBorders>
              <w:top w:val="nil"/>
              <w:left w:val="single" w:sz="4" w:space="0" w:color="auto"/>
              <w:bottom w:val="single" w:sz="4" w:space="0" w:color="auto"/>
              <w:right w:val="single" w:sz="4" w:space="0" w:color="auto"/>
            </w:tcBorders>
            <w:hideMark/>
          </w:tcPr>
          <w:p w14:paraId="124AED19"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乌拉圭</w:t>
            </w:r>
          </w:p>
        </w:tc>
        <w:tc>
          <w:tcPr>
            <w:tcW w:w="1628" w:type="dxa"/>
            <w:tcBorders>
              <w:top w:val="nil"/>
              <w:left w:val="nil"/>
              <w:bottom w:val="single" w:sz="4" w:space="0" w:color="auto"/>
              <w:right w:val="single" w:sz="4" w:space="0" w:color="auto"/>
            </w:tcBorders>
            <w:vAlign w:val="bottom"/>
            <w:hideMark/>
          </w:tcPr>
          <w:p w14:paraId="5F769AE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0.092</w:t>
            </w:r>
          </w:p>
        </w:tc>
        <w:tc>
          <w:tcPr>
            <w:tcW w:w="2198" w:type="dxa"/>
            <w:tcBorders>
              <w:top w:val="nil"/>
              <w:left w:val="nil"/>
              <w:bottom w:val="single" w:sz="4" w:space="0" w:color="auto"/>
              <w:right w:val="single" w:sz="4" w:space="0" w:color="auto"/>
            </w:tcBorders>
            <w:noWrap/>
            <w:vAlign w:val="bottom"/>
            <w:hideMark/>
          </w:tcPr>
          <w:p w14:paraId="6422041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0.115</w:t>
            </w:r>
          </w:p>
        </w:tc>
        <w:tc>
          <w:tcPr>
            <w:tcW w:w="1176" w:type="dxa"/>
            <w:tcBorders>
              <w:top w:val="nil"/>
              <w:left w:val="nil"/>
              <w:bottom w:val="single" w:sz="4" w:space="0" w:color="auto"/>
              <w:right w:val="single" w:sz="4" w:space="0" w:color="auto"/>
            </w:tcBorders>
            <w:noWrap/>
            <w:vAlign w:val="bottom"/>
            <w:hideMark/>
          </w:tcPr>
          <w:p w14:paraId="08047E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16 191</w:t>
            </w:r>
          </w:p>
        </w:tc>
        <w:tc>
          <w:tcPr>
            <w:tcW w:w="1461" w:type="dxa"/>
            <w:tcBorders>
              <w:top w:val="nil"/>
              <w:left w:val="nil"/>
              <w:bottom w:val="single" w:sz="4" w:space="0" w:color="auto"/>
              <w:right w:val="single" w:sz="4" w:space="0" w:color="auto"/>
            </w:tcBorders>
            <w:noWrap/>
            <w:vAlign w:val="bottom"/>
            <w:hideMark/>
          </w:tcPr>
          <w:p w14:paraId="2F7EE6F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17 299</w:t>
            </w:r>
          </w:p>
        </w:tc>
        <w:tc>
          <w:tcPr>
            <w:tcW w:w="1080" w:type="dxa"/>
            <w:tcBorders>
              <w:top w:val="nil"/>
              <w:left w:val="nil"/>
              <w:bottom w:val="single" w:sz="4" w:space="0" w:color="auto"/>
              <w:right w:val="single" w:sz="4" w:space="0" w:color="auto"/>
            </w:tcBorders>
            <w:noWrap/>
            <w:vAlign w:val="bottom"/>
            <w:hideMark/>
          </w:tcPr>
          <w:p w14:paraId="326F3E1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33 491</w:t>
            </w:r>
          </w:p>
        </w:tc>
      </w:tr>
      <w:tr w:rsidR="000C0842" w:rsidRPr="000C0842" w14:paraId="092A41C7" w14:textId="77777777" w:rsidTr="001F32B3">
        <w:tc>
          <w:tcPr>
            <w:tcW w:w="1880" w:type="dxa"/>
            <w:tcBorders>
              <w:top w:val="nil"/>
              <w:left w:val="single" w:sz="4" w:space="0" w:color="auto"/>
              <w:bottom w:val="single" w:sz="4" w:space="0" w:color="auto"/>
              <w:right w:val="single" w:sz="4" w:space="0" w:color="auto"/>
            </w:tcBorders>
            <w:hideMark/>
          </w:tcPr>
          <w:p w14:paraId="54B3B8E0"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乌兹别克斯坦</w:t>
            </w:r>
          </w:p>
        </w:tc>
        <w:tc>
          <w:tcPr>
            <w:tcW w:w="1628" w:type="dxa"/>
            <w:tcBorders>
              <w:top w:val="nil"/>
              <w:left w:val="nil"/>
              <w:bottom w:val="single" w:sz="4" w:space="0" w:color="auto"/>
              <w:right w:val="single" w:sz="4" w:space="0" w:color="auto"/>
            </w:tcBorders>
            <w:vAlign w:val="bottom"/>
            <w:hideMark/>
          </w:tcPr>
          <w:p w14:paraId="0DC83A8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0.027</w:t>
            </w:r>
          </w:p>
        </w:tc>
        <w:tc>
          <w:tcPr>
            <w:tcW w:w="2198" w:type="dxa"/>
            <w:tcBorders>
              <w:top w:val="nil"/>
              <w:left w:val="nil"/>
              <w:bottom w:val="single" w:sz="4" w:space="0" w:color="auto"/>
              <w:right w:val="single" w:sz="4" w:space="0" w:color="auto"/>
            </w:tcBorders>
            <w:noWrap/>
            <w:vAlign w:val="bottom"/>
            <w:hideMark/>
          </w:tcPr>
          <w:p w14:paraId="5579F5A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0.034</w:t>
            </w:r>
          </w:p>
        </w:tc>
        <w:tc>
          <w:tcPr>
            <w:tcW w:w="1176" w:type="dxa"/>
            <w:tcBorders>
              <w:top w:val="nil"/>
              <w:left w:val="nil"/>
              <w:bottom w:val="single" w:sz="4" w:space="0" w:color="auto"/>
              <w:right w:val="single" w:sz="4" w:space="0" w:color="auto"/>
            </w:tcBorders>
            <w:noWrap/>
            <w:vAlign w:val="bottom"/>
            <w:hideMark/>
          </w:tcPr>
          <w:p w14:paraId="42D1F2BE"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4 752</w:t>
            </w:r>
          </w:p>
        </w:tc>
        <w:tc>
          <w:tcPr>
            <w:tcW w:w="1461" w:type="dxa"/>
            <w:tcBorders>
              <w:top w:val="nil"/>
              <w:left w:val="nil"/>
              <w:bottom w:val="single" w:sz="4" w:space="0" w:color="auto"/>
              <w:right w:val="single" w:sz="4" w:space="0" w:color="auto"/>
            </w:tcBorders>
            <w:noWrap/>
            <w:vAlign w:val="bottom"/>
            <w:hideMark/>
          </w:tcPr>
          <w:p w14:paraId="0B5A2C2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5 077</w:t>
            </w:r>
          </w:p>
        </w:tc>
        <w:tc>
          <w:tcPr>
            <w:tcW w:w="1080" w:type="dxa"/>
            <w:tcBorders>
              <w:top w:val="nil"/>
              <w:left w:val="nil"/>
              <w:bottom w:val="single" w:sz="4" w:space="0" w:color="auto"/>
              <w:right w:val="single" w:sz="4" w:space="0" w:color="auto"/>
            </w:tcBorders>
            <w:noWrap/>
            <w:vAlign w:val="bottom"/>
            <w:hideMark/>
          </w:tcPr>
          <w:p w14:paraId="1D5CB8CD"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9 829</w:t>
            </w:r>
          </w:p>
        </w:tc>
      </w:tr>
      <w:tr w:rsidR="000C0842" w:rsidRPr="000C0842" w14:paraId="09192693" w14:textId="77777777" w:rsidTr="001F32B3">
        <w:tc>
          <w:tcPr>
            <w:tcW w:w="1880" w:type="dxa"/>
            <w:tcBorders>
              <w:top w:val="nil"/>
              <w:left w:val="single" w:sz="4" w:space="0" w:color="auto"/>
              <w:bottom w:val="single" w:sz="4" w:space="0" w:color="auto"/>
              <w:right w:val="single" w:sz="4" w:space="0" w:color="auto"/>
            </w:tcBorders>
            <w:hideMark/>
          </w:tcPr>
          <w:p w14:paraId="352A36B3"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瓦努阿图</w:t>
            </w:r>
          </w:p>
        </w:tc>
        <w:tc>
          <w:tcPr>
            <w:tcW w:w="1628" w:type="dxa"/>
            <w:tcBorders>
              <w:top w:val="nil"/>
              <w:left w:val="nil"/>
              <w:bottom w:val="single" w:sz="4" w:space="0" w:color="auto"/>
              <w:right w:val="single" w:sz="4" w:space="0" w:color="auto"/>
            </w:tcBorders>
            <w:vAlign w:val="bottom"/>
            <w:hideMark/>
          </w:tcPr>
          <w:p w14:paraId="2F814ED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2198" w:type="dxa"/>
            <w:tcBorders>
              <w:top w:val="nil"/>
              <w:left w:val="nil"/>
              <w:bottom w:val="single" w:sz="4" w:space="0" w:color="auto"/>
              <w:right w:val="single" w:sz="4" w:space="0" w:color="auto"/>
            </w:tcBorders>
            <w:noWrap/>
            <w:vAlign w:val="bottom"/>
            <w:hideMark/>
          </w:tcPr>
          <w:p w14:paraId="0EBA517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0.001</w:t>
            </w:r>
          </w:p>
        </w:tc>
        <w:tc>
          <w:tcPr>
            <w:tcW w:w="1176" w:type="dxa"/>
            <w:tcBorders>
              <w:top w:val="nil"/>
              <w:left w:val="nil"/>
              <w:bottom w:val="single" w:sz="4" w:space="0" w:color="auto"/>
              <w:right w:val="single" w:sz="4" w:space="0" w:color="auto"/>
            </w:tcBorders>
            <w:noWrap/>
            <w:vAlign w:val="bottom"/>
            <w:hideMark/>
          </w:tcPr>
          <w:p w14:paraId="1CD4276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176</w:t>
            </w:r>
          </w:p>
        </w:tc>
        <w:tc>
          <w:tcPr>
            <w:tcW w:w="1461" w:type="dxa"/>
            <w:tcBorders>
              <w:top w:val="nil"/>
              <w:left w:val="nil"/>
              <w:bottom w:val="single" w:sz="4" w:space="0" w:color="auto"/>
              <w:right w:val="single" w:sz="4" w:space="0" w:color="auto"/>
            </w:tcBorders>
            <w:noWrap/>
            <w:vAlign w:val="bottom"/>
            <w:hideMark/>
          </w:tcPr>
          <w:p w14:paraId="11F7BCB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188</w:t>
            </w:r>
          </w:p>
        </w:tc>
        <w:tc>
          <w:tcPr>
            <w:tcW w:w="1080" w:type="dxa"/>
            <w:tcBorders>
              <w:top w:val="nil"/>
              <w:left w:val="nil"/>
              <w:bottom w:val="single" w:sz="4" w:space="0" w:color="auto"/>
              <w:right w:val="single" w:sz="4" w:space="0" w:color="auto"/>
            </w:tcBorders>
            <w:noWrap/>
            <w:vAlign w:val="bottom"/>
            <w:hideMark/>
          </w:tcPr>
          <w:p w14:paraId="680E567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364</w:t>
            </w:r>
          </w:p>
        </w:tc>
      </w:tr>
      <w:tr w:rsidR="000C0842" w:rsidRPr="000C0842" w14:paraId="2E416426" w14:textId="77777777" w:rsidTr="001F32B3">
        <w:tc>
          <w:tcPr>
            <w:tcW w:w="1880" w:type="dxa"/>
            <w:tcBorders>
              <w:top w:val="nil"/>
              <w:left w:val="single" w:sz="4" w:space="0" w:color="auto"/>
              <w:bottom w:val="single" w:sz="4" w:space="0" w:color="auto"/>
              <w:right w:val="single" w:sz="4" w:space="0" w:color="auto"/>
            </w:tcBorders>
            <w:hideMark/>
          </w:tcPr>
          <w:p w14:paraId="24E9801D" w14:textId="77777777" w:rsidR="00A528CF" w:rsidRPr="000C0842" w:rsidRDefault="00A528CF" w:rsidP="00A528CF">
            <w:pPr>
              <w:tabs>
                <w:tab w:val="clear" w:pos="567"/>
                <w:tab w:val="left" w:pos="178"/>
                <w:tab w:val="left" w:pos="2835"/>
                <w:tab w:val="left" w:pos="3402"/>
              </w:tabs>
              <w:ind w:left="144" w:hanging="144"/>
              <w:jc w:val="left"/>
              <w:rPr>
                <w:rFonts w:eastAsia="SimSun"/>
                <w:sz w:val="18"/>
                <w:szCs w:val="18"/>
                <w:lang w:val="en-GB"/>
              </w:rPr>
            </w:pPr>
            <w:r w:rsidRPr="000C0842">
              <w:rPr>
                <w:rFonts w:ascii="SimSun" w:eastAsia="SimSun" w:hAnsi="SimSun" w:cs="SimSun" w:hint="eastAsia"/>
                <w:sz w:val="18"/>
                <w:szCs w:val="18"/>
                <w:lang w:val="en-GB"/>
              </w:rPr>
              <w:t>委内瑞拉玻利瓦尔共和国</w:t>
            </w:r>
          </w:p>
        </w:tc>
        <w:tc>
          <w:tcPr>
            <w:tcW w:w="1628" w:type="dxa"/>
            <w:tcBorders>
              <w:top w:val="nil"/>
              <w:left w:val="nil"/>
              <w:bottom w:val="single" w:sz="4" w:space="0" w:color="auto"/>
              <w:right w:val="single" w:sz="4" w:space="0" w:color="auto"/>
            </w:tcBorders>
            <w:vAlign w:val="bottom"/>
            <w:hideMark/>
          </w:tcPr>
          <w:p w14:paraId="2CE4A08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0.175</w:t>
            </w:r>
          </w:p>
        </w:tc>
        <w:tc>
          <w:tcPr>
            <w:tcW w:w="2198" w:type="dxa"/>
            <w:tcBorders>
              <w:top w:val="nil"/>
              <w:left w:val="nil"/>
              <w:bottom w:val="single" w:sz="4" w:space="0" w:color="auto"/>
              <w:right w:val="single" w:sz="4" w:space="0" w:color="auto"/>
            </w:tcBorders>
            <w:noWrap/>
            <w:vAlign w:val="bottom"/>
            <w:hideMark/>
          </w:tcPr>
          <w:p w14:paraId="59EFBD53"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0.219</w:t>
            </w:r>
          </w:p>
        </w:tc>
        <w:tc>
          <w:tcPr>
            <w:tcW w:w="1176" w:type="dxa"/>
            <w:tcBorders>
              <w:top w:val="nil"/>
              <w:left w:val="nil"/>
              <w:bottom w:val="single" w:sz="4" w:space="0" w:color="auto"/>
              <w:right w:val="single" w:sz="4" w:space="0" w:color="auto"/>
            </w:tcBorders>
            <w:noWrap/>
            <w:vAlign w:val="bottom"/>
            <w:hideMark/>
          </w:tcPr>
          <w:p w14:paraId="5D3F084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30 799</w:t>
            </w:r>
          </w:p>
        </w:tc>
        <w:tc>
          <w:tcPr>
            <w:tcW w:w="1461" w:type="dxa"/>
            <w:tcBorders>
              <w:top w:val="nil"/>
              <w:left w:val="nil"/>
              <w:bottom w:val="single" w:sz="4" w:space="0" w:color="auto"/>
              <w:right w:val="single" w:sz="4" w:space="0" w:color="auto"/>
            </w:tcBorders>
            <w:noWrap/>
            <w:vAlign w:val="bottom"/>
            <w:hideMark/>
          </w:tcPr>
          <w:p w14:paraId="562D273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32 906</w:t>
            </w:r>
          </w:p>
        </w:tc>
        <w:tc>
          <w:tcPr>
            <w:tcW w:w="1080" w:type="dxa"/>
            <w:tcBorders>
              <w:top w:val="nil"/>
              <w:left w:val="nil"/>
              <w:bottom w:val="single" w:sz="4" w:space="0" w:color="auto"/>
              <w:right w:val="single" w:sz="4" w:space="0" w:color="auto"/>
            </w:tcBorders>
            <w:noWrap/>
            <w:vAlign w:val="bottom"/>
            <w:hideMark/>
          </w:tcPr>
          <w:p w14:paraId="1D46554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63 705</w:t>
            </w:r>
          </w:p>
        </w:tc>
      </w:tr>
      <w:tr w:rsidR="000C0842" w:rsidRPr="000C0842" w14:paraId="31E2CCE9" w14:textId="77777777" w:rsidTr="001F32B3">
        <w:tc>
          <w:tcPr>
            <w:tcW w:w="1880" w:type="dxa"/>
            <w:tcBorders>
              <w:top w:val="nil"/>
              <w:left w:val="single" w:sz="4" w:space="0" w:color="auto"/>
              <w:bottom w:val="single" w:sz="4" w:space="0" w:color="auto"/>
              <w:right w:val="single" w:sz="4" w:space="0" w:color="auto"/>
            </w:tcBorders>
            <w:hideMark/>
          </w:tcPr>
          <w:p w14:paraId="1DABCED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越南</w:t>
            </w:r>
          </w:p>
        </w:tc>
        <w:tc>
          <w:tcPr>
            <w:tcW w:w="1628" w:type="dxa"/>
            <w:tcBorders>
              <w:top w:val="nil"/>
              <w:left w:val="nil"/>
              <w:bottom w:val="single" w:sz="4" w:space="0" w:color="auto"/>
              <w:right w:val="single" w:sz="4" w:space="0" w:color="auto"/>
            </w:tcBorders>
            <w:vAlign w:val="bottom"/>
            <w:hideMark/>
          </w:tcPr>
          <w:p w14:paraId="632BAB9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0.093</w:t>
            </w:r>
          </w:p>
        </w:tc>
        <w:tc>
          <w:tcPr>
            <w:tcW w:w="2198" w:type="dxa"/>
            <w:tcBorders>
              <w:top w:val="nil"/>
              <w:left w:val="nil"/>
              <w:bottom w:val="single" w:sz="4" w:space="0" w:color="auto"/>
              <w:right w:val="single" w:sz="4" w:space="0" w:color="auto"/>
            </w:tcBorders>
            <w:noWrap/>
            <w:vAlign w:val="bottom"/>
            <w:hideMark/>
          </w:tcPr>
          <w:p w14:paraId="1D624EEB"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0.116</w:t>
            </w:r>
          </w:p>
        </w:tc>
        <w:tc>
          <w:tcPr>
            <w:tcW w:w="1176" w:type="dxa"/>
            <w:tcBorders>
              <w:top w:val="nil"/>
              <w:left w:val="nil"/>
              <w:bottom w:val="single" w:sz="4" w:space="0" w:color="auto"/>
              <w:right w:val="single" w:sz="4" w:space="0" w:color="auto"/>
            </w:tcBorders>
            <w:noWrap/>
            <w:vAlign w:val="bottom"/>
            <w:hideMark/>
          </w:tcPr>
          <w:p w14:paraId="5F7A546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16 367</w:t>
            </w:r>
          </w:p>
        </w:tc>
        <w:tc>
          <w:tcPr>
            <w:tcW w:w="1461" w:type="dxa"/>
            <w:tcBorders>
              <w:top w:val="nil"/>
              <w:left w:val="nil"/>
              <w:bottom w:val="single" w:sz="4" w:space="0" w:color="auto"/>
              <w:right w:val="single" w:sz="4" w:space="0" w:color="auto"/>
            </w:tcBorders>
            <w:noWrap/>
            <w:vAlign w:val="bottom"/>
            <w:hideMark/>
          </w:tcPr>
          <w:p w14:paraId="7304D4BF"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17 487</w:t>
            </w:r>
          </w:p>
        </w:tc>
        <w:tc>
          <w:tcPr>
            <w:tcW w:w="1080" w:type="dxa"/>
            <w:tcBorders>
              <w:top w:val="nil"/>
              <w:left w:val="nil"/>
              <w:bottom w:val="single" w:sz="4" w:space="0" w:color="auto"/>
              <w:right w:val="single" w:sz="4" w:space="0" w:color="auto"/>
            </w:tcBorders>
            <w:noWrap/>
            <w:vAlign w:val="bottom"/>
            <w:hideMark/>
          </w:tcPr>
          <w:p w14:paraId="1B62A1B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33 855</w:t>
            </w:r>
          </w:p>
        </w:tc>
      </w:tr>
      <w:tr w:rsidR="000C0842" w:rsidRPr="000C0842" w14:paraId="2CED612F" w14:textId="77777777" w:rsidTr="001F32B3">
        <w:tc>
          <w:tcPr>
            <w:tcW w:w="1880" w:type="dxa"/>
            <w:tcBorders>
              <w:top w:val="nil"/>
              <w:left w:val="single" w:sz="4" w:space="0" w:color="auto"/>
              <w:bottom w:val="single" w:sz="4" w:space="0" w:color="auto"/>
              <w:right w:val="single" w:sz="4" w:space="0" w:color="auto"/>
            </w:tcBorders>
            <w:hideMark/>
          </w:tcPr>
          <w:p w14:paraId="64DBE1E8"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也门</w:t>
            </w:r>
          </w:p>
        </w:tc>
        <w:tc>
          <w:tcPr>
            <w:tcW w:w="1628" w:type="dxa"/>
            <w:tcBorders>
              <w:top w:val="nil"/>
              <w:left w:val="nil"/>
              <w:bottom w:val="single" w:sz="4" w:space="0" w:color="auto"/>
              <w:right w:val="single" w:sz="4" w:space="0" w:color="auto"/>
            </w:tcBorders>
            <w:vAlign w:val="bottom"/>
            <w:hideMark/>
          </w:tcPr>
          <w:p w14:paraId="62766442"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72F13627"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2AB771E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5A987404"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25A7AEE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2C79F4E9" w14:textId="77777777" w:rsidTr="001F32B3">
        <w:tc>
          <w:tcPr>
            <w:tcW w:w="1880" w:type="dxa"/>
            <w:tcBorders>
              <w:top w:val="nil"/>
              <w:left w:val="single" w:sz="4" w:space="0" w:color="auto"/>
              <w:bottom w:val="single" w:sz="4" w:space="0" w:color="auto"/>
              <w:right w:val="single" w:sz="4" w:space="0" w:color="auto"/>
            </w:tcBorders>
            <w:hideMark/>
          </w:tcPr>
          <w:p w14:paraId="29B60152"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赞比亚</w:t>
            </w:r>
          </w:p>
        </w:tc>
        <w:tc>
          <w:tcPr>
            <w:tcW w:w="1628" w:type="dxa"/>
            <w:tcBorders>
              <w:top w:val="nil"/>
              <w:left w:val="nil"/>
              <w:bottom w:val="single" w:sz="4" w:space="0" w:color="auto"/>
              <w:right w:val="single" w:sz="4" w:space="0" w:color="auto"/>
            </w:tcBorders>
            <w:vAlign w:val="bottom"/>
            <w:hideMark/>
          </w:tcPr>
          <w:p w14:paraId="465D77F0"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0.008</w:t>
            </w:r>
          </w:p>
        </w:tc>
        <w:tc>
          <w:tcPr>
            <w:tcW w:w="2198" w:type="dxa"/>
            <w:tcBorders>
              <w:top w:val="nil"/>
              <w:left w:val="nil"/>
              <w:bottom w:val="single" w:sz="4" w:space="0" w:color="auto"/>
              <w:right w:val="single" w:sz="4" w:space="0" w:color="auto"/>
            </w:tcBorders>
            <w:noWrap/>
            <w:vAlign w:val="bottom"/>
            <w:hideMark/>
          </w:tcPr>
          <w:p w14:paraId="0ACF012A"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0.010</w:t>
            </w:r>
          </w:p>
        </w:tc>
        <w:tc>
          <w:tcPr>
            <w:tcW w:w="1176" w:type="dxa"/>
            <w:tcBorders>
              <w:top w:val="nil"/>
              <w:left w:val="nil"/>
              <w:bottom w:val="single" w:sz="4" w:space="0" w:color="auto"/>
              <w:right w:val="single" w:sz="4" w:space="0" w:color="auto"/>
            </w:tcBorders>
            <w:noWrap/>
            <w:vAlign w:val="bottom"/>
            <w:hideMark/>
          </w:tcPr>
          <w:p w14:paraId="426C6CF8"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1 408</w:t>
            </w:r>
          </w:p>
        </w:tc>
        <w:tc>
          <w:tcPr>
            <w:tcW w:w="1461" w:type="dxa"/>
            <w:tcBorders>
              <w:top w:val="nil"/>
              <w:left w:val="nil"/>
              <w:bottom w:val="single" w:sz="4" w:space="0" w:color="auto"/>
              <w:right w:val="single" w:sz="4" w:space="0" w:color="auto"/>
            </w:tcBorders>
            <w:noWrap/>
            <w:vAlign w:val="bottom"/>
            <w:hideMark/>
          </w:tcPr>
          <w:p w14:paraId="549D2F3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1 504</w:t>
            </w:r>
          </w:p>
        </w:tc>
        <w:tc>
          <w:tcPr>
            <w:tcW w:w="1080" w:type="dxa"/>
            <w:tcBorders>
              <w:top w:val="nil"/>
              <w:left w:val="nil"/>
              <w:bottom w:val="single" w:sz="4" w:space="0" w:color="auto"/>
              <w:right w:val="single" w:sz="4" w:space="0" w:color="auto"/>
            </w:tcBorders>
            <w:noWrap/>
            <w:vAlign w:val="bottom"/>
            <w:hideMark/>
          </w:tcPr>
          <w:p w14:paraId="2D298256"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2 912</w:t>
            </w:r>
          </w:p>
        </w:tc>
      </w:tr>
      <w:tr w:rsidR="000C0842" w:rsidRPr="000C0842" w14:paraId="09EA565D" w14:textId="77777777" w:rsidTr="001F32B3">
        <w:tc>
          <w:tcPr>
            <w:tcW w:w="1880" w:type="dxa"/>
            <w:tcBorders>
              <w:top w:val="nil"/>
              <w:left w:val="single" w:sz="4" w:space="0" w:color="auto"/>
              <w:bottom w:val="single" w:sz="4" w:space="0" w:color="auto"/>
              <w:right w:val="single" w:sz="4" w:space="0" w:color="auto"/>
            </w:tcBorders>
            <w:hideMark/>
          </w:tcPr>
          <w:p w14:paraId="5DB5560D" w14:textId="77777777" w:rsidR="00A528CF" w:rsidRPr="000C0842" w:rsidRDefault="00A528CF" w:rsidP="00A528CF">
            <w:pPr>
              <w:tabs>
                <w:tab w:val="left" w:pos="2835"/>
                <w:tab w:val="left" w:pos="3402"/>
              </w:tabs>
              <w:jc w:val="left"/>
              <w:rPr>
                <w:rFonts w:eastAsia="SimSun"/>
                <w:sz w:val="18"/>
                <w:szCs w:val="18"/>
                <w:lang w:val="en-GB"/>
              </w:rPr>
            </w:pPr>
            <w:r w:rsidRPr="000C0842">
              <w:rPr>
                <w:rFonts w:ascii="SimSun" w:eastAsia="SimSun" w:hAnsi="SimSun" w:cs="SimSun" w:hint="eastAsia"/>
                <w:sz w:val="18"/>
                <w:szCs w:val="18"/>
                <w:lang w:val="en-GB"/>
              </w:rPr>
              <w:t>津巴布韦</w:t>
            </w:r>
          </w:p>
        </w:tc>
        <w:tc>
          <w:tcPr>
            <w:tcW w:w="1628" w:type="dxa"/>
            <w:tcBorders>
              <w:top w:val="nil"/>
              <w:left w:val="nil"/>
              <w:bottom w:val="single" w:sz="4" w:space="0" w:color="auto"/>
              <w:right w:val="single" w:sz="4" w:space="0" w:color="auto"/>
            </w:tcBorders>
            <w:vAlign w:val="bottom"/>
            <w:hideMark/>
          </w:tcPr>
          <w:p w14:paraId="10B30E8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0.007</w:t>
            </w:r>
          </w:p>
        </w:tc>
        <w:tc>
          <w:tcPr>
            <w:tcW w:w="2198" w:type="dxa"/>
            <w:tcBorders>
              <w:top w:val="nil"/>
              <w:left w:val="nil"/>
              <w:bottom w:val="single" w:sz="4" w:space="0" w:color="auto"/>
              <w:right w:val="single" w:sz="4" w:space="0" w:color="auto"/>
            </w:tcBorders>
            <w:noWrap/>
            <w:vAlign w:val="bottom"/>
            <w:hideMark/>
          </w:tcPr>
          <w:p w14:paraId="4041612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0.009</w:t>
            </w:r>
          </w:p>
        </w:tc>
        <w:tc>
          <w:tcPr>
            <w:tcW w:w="1176" w:type="dxa"/>
            <w:tcBorders>
              <w:top w:val="nil"/>
              <w:left w:val="nil"/>
              <w:bottom w:val="single" w:sz="4" w:space="0" w:color="auto"/>
              <w:right w:val="single" w:sz="4" w:space="0" w:color="auto"/>
            </w:tcBorders>
            <w:noWrap/>
            <w:vAlign w:val="bottom"/>
            <w:hideMark/>
          </w:tcPr>
          <w:p w14:paraId="27381425"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1 232</w:t>
            </w:r>
          </w:p>
        </w:tc>
        <w:tc>
          <w:tcPr>
            <w:tcW w:w="1461" w:type="dxa"/>
            <w:tcBorders>
              <w:top w:val="nil"/>
              <w:left w:val="nil"/>
              <w:bottom w:val="single" w:sz="4" w:space="0" w:color="auto"/>
              <w:right w:val="single" w:sz="4" w:space="0" w:color="auto"/>
            </w:tcBorders>
            <w:noWrap/>
            <w:vAlign w:val="bottom"/>
            <w:hideMark/>
          </w:tcPr>
          <w:p w14:paraId="2D698B29"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1 316</w:t>
            </w:r>
          </w:p>
        </w:tc>
        <w:tc>
          <w:tcPr>
            <w:tcW w:w="1080" w:type="dxa"/>
            <w:tcBorders>
              <w:top w:val="nil"/>
              <w:left w:val="nil"/>
              <w:bottom w:val="single" w:sz="4" w:space="0" w:color="auto"/>
              <w:right w:val="single" w:sz="4" w:space="0" w:color="auto"/>
            </w:tcBorders>
            <w:noWrap/>
            <w:vAlign w:val="bottom"/>
            <w:hideMark/>
          </w:tcPr>
          <w:p w14:paraId="450C74D1" w14:textId="77777777" w:rsidR="00A528CF" w:rsidRPr="000C0842" w:rsidRDefault="00A528CF" w:rsidP="00A528CF">
            <w:pPr>
              <w:tabs>
                <w:tab w:val="left" w:pos="2835"/>
                <w:tab w:val="left" w:pos="3402"/>
              </w:tabs>
              <w:jc w:val="right"/>
              <w:rPr>
                <w:rFonts w:eastAsia="SimSun"/>
                <w:sz w:val="18"/>
                <w:szCs w:val="18"/>
                <w:lang w:val="en-GB"/>
              </w:rPr>
            </w:pPr>
            <w:r w:rsidRPr="000C0842">
              <w:rPr>
                <w:rFonts w:eastAsia="SimSun"/>
                <w:sz w:val="18"/>
                <w:szCs w:val="18"/>
                <w:lang w:val="en-GB"/>
              </w:rPr>
              <w:t>2 548</w:t>
            </w:r>
          </w:p>
        </w:tc>
      </w:tr>
      <w:tr w:rsidR="000C0842" w:rsidRPr="000C0842" w14:paraId="12CA888E" w14:textId="77777777" w:rsidTr="001F32B3">
        <w:tc>
          <w:tcPr>
            <w:tcW w:w="1880" w:type="dxa"/>
            <w:tcBorders>
              <w:top w:val="nil"/>
              <w:left w:val="single" w:sz="4" w:space="0" w:color="auto"/>
              <w:bottom w:val="single" w:sz="4" w:space="0" w:color="auto"/>
              <w:right w:val="single" w:sz="4" w:space="0" w:color="auto"/>
            </w:tcBorders>
            <w:noWrap/>
            <w:hideMark/>
          </w:tcPr>
          <w:p w14:paraId="7DFFD87E" w14:textId="77777777" w:rsidR="00A528CF" w:rsidRPr="000C0842" w:rsidRDefault="00A528CF" w:rsidP="00A528CF">
            <w:pPr>
              <w:tabs>
                <w:tab w:val="left" w:pos="2835"/>
                <w:tab w:val="left" w:pos="3402"/>
              </w:tabs>
              <w:ind w:left="322"/>
              <w:jc w:val="left"/>
              <w:rPr>
                <w:rFonts w:eastAsia="SimSun"/>
                <w:b/>
                <w:bCs/>
                <w:sz w:val="18"/>
                <w:szCs w:val="18"/>
                <w:lang w:val="en-GB"/>
              </w:rPr>
            </w:pPr>
            <w:r w:rsidRPr="000C0842">
              <w:rPr>
                <w:rFonts w:ascii="Calibri" w:eastAsia="SimSun" w:hAnsi="Calibri" w:cs="Calibri" w:hint="eastAsia"/>
                <w:b/>
                <w:bCs/>
                <w:sz w:val="18"/>
                <w:szCs w:val="18"/>
                <w:lang w:val="en-GB"/>
              </w:rPr>
              <w:t>共计</w:t>
            </w:r>
          </w:p>
        </w:tc>
        <w:tc>
          <w:tcPr>
            <w:tcW w:w="1628" w:type="dxa"/>
            <w:tcBorders>
              <w:top w:val="nil"/>
              <w:left w:val="nil"/>
              <w:bottom w:val="single" w:sz="4" w:space="0" w:color="auto"/>
              <w:right w:val="single" w:sz="4" w:space="0" w:color="auto"/>
            </w:tcBorders>
            <w:noWrap/>
            <w:vAlign w:val="bottom"/>
            <w:hideMark/>
          </w:tcPr>
          <w:p w14:paraId="5B214824" w14:textId="77777777" w:rsidR="00A528CF" w:rsidRPr="000C0842" w:rsidRDefault="00A528CF" w:rsidP="00A528CF">
            <w:pPr>
              <w:tabs>
                <w:tab w:val="left" w:pos="2835"/>
                <w:tab w:val="left" w:pos="3402"/>
              </w:tabs>
              <w:jc w:val="right"/>
              <w:rPr>
                <w:rFonts w:eastAsia="SimSun"/>
                <w:b/>
                <w:bCs/>
                <w:sz w:val="18"/>
                <w:szCs w:val="18"/>
                <w:lang w:val="en-GB"/>
              </w:rPr>
            </w:pPr>
            <w:r w:rsidRPr="000C0842">
              <w:rPr>
                <w:rFonts w:eastAsia="SimSun"/>
                <w:b/>
                <w:bCs/>
                <w:sz w:val="18"/>
                <w:szCs w:val="18"/>
                <w:lang w:val="en-GB"/>
              </w:rPr>
              <w:t>78.013</w:t>
            </w:r>
          </w:p>
        </w:tc>
        <w:tc>
          <w:tcPr>
            <w:tcW w:w="2198" w:type="dxa"/>
            <w:tcBorders>
              <w:top w:val="nil"/>
              <w:left w:val="nil"/>
              <w:bottom w:val="single" w:sz="4" w:space="0" w:color="auto"/>
              <w:right w:val="single" w:sz="4" w:space="0" w:color="auto"/>
            </w:tcBorders>
            <w:noWrap/>
            <w:vAlign w:val="bottom"/>
            <w:hideMark/>
          </w:tcPr>
          <w:p w14:paraId="26D97C59" w14:textId="77777777" w:rsidR="00A528CF" w:rsidRPr="000C0842" w:rsidRDefault="00A528CF" w:rsidP="00A528CF">
            <w:pPr>
              <w:tabs>
                <w:tab w:val="left" w:pos="2835"/>
                <w:tab w:val="left" w:pos="3402"/>
              </w:tabs>
              <w:jc w:val="right"/>
              <w:rPr>
                <w:rFonts w:eastAsia="SimSun"/>
                <w:b/>
                <w:bCs/>
                <w:sz w:val="18"/>
                <w:szCs w:val="18"/>
                <w:lang w:val="en-GB"/>
              </w:rPr>
            </w:pPr>
            <w:r w:rsidRPr="000C0842">
              <w:rPr>
                <w:rFonts w:eastAsia="SimSun"/>
                <w:b/>
                <w:bCs/>
                <w:sz w:val="18"/>
                <w:szCs w:val="18"/>
                <w:lang w:val="en-GB"/>
              </w:rPr>
              <w:t>100</w:t>
            </w:r>
          </w:p>
        </w:tc>
        <w:tc>
          <w:tcPr>
            <w:tcW w:w="1176" w:type="dxa"/>
            <w:tcBorders>
              <w:top w:val="nil"/>
              <w:left w:val="nil"/>
              <w:bottom w:val="single" w:sz="4" w:space="0" w:color="auto"/>
              <w:right w:val="single" w:sz="4" w:space="0" w:color="auto"/>
            </w:tcBorders>
            <w:noWrap/>
            <w:vAlign w:val="bottom"/>
            <w:hideMark/>
          </w:tcPr>
          <w:p w14:paraId="0084320F" w14:textId="77777777" w:rsidR="00A528CF" w:rsidRPr="000C0842" w:rsidRDefault="00A528CF" w:rsidP="00A528CF">
            <w:pPr>
              <w:tabs>
                <w:tab w:val="left" w:pos="2835"/>
                <w:tab w:val="left" w:pos="3402"/>
              </w:tabs>
              <w:jc w:val="right"/>
              <w:rPr>
                <w:rFonts w:eastAsia="SimSun"/>
                <w:b/>
                <w:bCs/>
                <w:sz w:val="18"/>
                <w:szCs w:val="18"/>
                <w:lang w:val="en-GB"/>
              </w:rPr>
            </w:pPr>
            <w:r w:rsidRPr="000C0842">
              <w:rPr>
                <w:rFonts w:eastAsia="SimSun"/>
                <w:b/>
                <w:bCs/>
                <w:sz w:val="18"/>
                <w:szCs w:val="18"/>
                <w:lang w:val="en-GB"/>
              </w:rPr>
              <w:t>14 078 652</w:t>
            </w:r>
          </w:p>
        </w:tc>
        <w:tc>
          <w:tcPr>
            <w:tcW w:w="1461" w:type="dxa"/>
            <w:tcBorders>
              <w:top w:val="nil"/>
              <w:left w:val="nil"/>
              <w:bottom w:val="single" w:sz="4" w:space="0" w:color="auto"/>
              <w:right w:val="single" w:sz="4" w:space="0" w:color="auto"/>
            </w:tcBorders>
            <w:noWrap/>
            <w:vAlign w:val="bottom"/>
            <w:hideMark/>
          </w:tcPr>
          <w:p w14:paraId="6A81271D" w14:textId="77777777" w:rsidR="00A528CF" w:rsidRPr="000C0842" w:rsidRDefault="00A528CF" w:rsidP="00A528CF">
            <w:pPr>
              <w:tabs>
                <w:tab w:val="left" w:pos="2835"/>
                <w:tab w:val="left" w:pos="3402"/>
              </w:tabs>
              <w:jc w:val="right"/>
              <w:rPr>
                <w:rFonts w:eastAsia="SimSun"/>
                <w:b/>
                <w:bCs/>
                <w:sz w:val="18"/>
                <w:szCs w:val="18"/>
                <w:lang w:val="en-GB"/>
              </w:rPr>
            </w:pPr>
            <w:r w:rsidRPr="000C0842">
              <w:rPr>
                <w:rFonts w:eastAsia="SimSun"/>
                <w:b/>
                <w:bCs/>
                <w:sz w:val="18"/>
                <w:szCs w:val="18"/>
                <w:lang w:val="en-GB"/>
              </w:rPr>
              <w:t>15 041 954</w:t>
            </w:r>
          </w:p>
        </w:tc>
        <w:tc>
          <w:tcPr>
            <w:tcW w:w="1080" w:type="dxa"/>
            <w:tcBorders>
              <w:top w:val="nil"/>
              <w:left w:val="nil"/>
              <w:bottom w:val="single" w:sz="4" w:space="0" w:color="auto"/>
              <w:right w:val="single" w:sz="4" w:space="0" w:color="auto"/>
            </w:tcBorders>
            <w:noWrap/>
            <w:vAlign w:val="bottom"/>
            <w:hideMark/>
          </w:tcPr>
          <w:p w14:paraId="77C6702E" w14:textId="77777777" w:rsidR="00A528CF" w:rsidRPr="000C0842" w:rsidRDefault="00A528CF" w:rsidP="00A528CF">
            <w:pPr>
              <w:tabs>
                <w:tab w:val="left" w:pos="2835"/>
                <w:tab w:val="left" w:pos="3402"/>
              </w:tabs>
              <w:jc w:val="right"/>
              <w:rPr>
                <w:rFonts w:eastAsia="SimSun"/>
                <w:b/>
                <w:bCs/>
                <w:sz w:val="18"/>
                <w:szCs w:val="18"/>
                <w:lang w:val="en-GB"/>
              </w:rPr>
            </w:pPr>
            <w:r w:rsidRPr="000C0842">
              <w:rPr>
                <w:rFonts w:eastAsia="SimSun"/>
                <w:b/>
                <w:bCs/>
                <w:sz w:val="18"/>
                <w:szCs w:val="18"/>
                <w:lang w:val="en-GB"/>
              </w:rPr>
              <w:t>29 120 606</w:t>
            </w:r>
          </w:p>
        </w:tc>
      </w:tr>
    </w:tbl>
    <w:p w14:paraId="45D1CAC1" w14:textId="24936D0B" w:rsidR="004C57B0" w:rsidRPr="000C0842" w:rsidRDefault="004C57B0" w:rsidP="007946F0">
      <w:pPr>
        <w:spacing w:before="300" w:after="300"/>
        <w:jc w:val="center"/>
        <w:rPr>
          <w:rFonts w:eastAsia="SimSun"/>
          <w:sz w:val="24"/>
          <w:szCs w:val="24"/>
        </w:rPr>
      </w:pPr>
    </w:p>
    <w:p w14:paraId="46CAFB63" w14:textId="77777777" w:rsidR="004C57B0" w:rsidRPr="000C0842" w:rsidRDefault="004C57B0">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724E7C29" w14:textId="2C2D2DE0" w:rsidR="004C57B0" w:rsidRPr="000C0842" w:rsidRDefault="004C57B0" w:rsidP="002437E6">
      <w:pPr>
        <w:pStyle w:val="a1"/>
        <w:rPr>
          <w:rFonts w:hint="eastAsia"/>
          <w:lang w:eastAsia="zh-CN"/>
        </w:rPr>
      </w:pPr>
      <w:bookmarkStart w:id="111" w:name="_Toc206358226"/>
      <w:r w:rsidRPr="000C0842">
        <w:rPr>
          <w:rFonts w:hint="eastAsia"/>
          <w:lang w:eastAsia="zh-CN"/>
        </w:rPr>
        <w:t>16/29.</w:t>
      </w:r>
      <w:r w:rsidR="00166AE3" w:rsidRPr="000C0842">
        <w:rPr>
          <w:rFonts w:hint="eastAsia"/>
          <w:lang w:eastAsia="zh-CN"/>
        </w:rPr>
        <w:t xml:space="preserve"> </w:t>
      </w:r>
      <w:r w:rsidRPr="000C0842">
        <w:rPr>
          <w:rFonts w:hint="eastAsia"/>
          <w:lang w:eastAsia="zh-CN"/>
        </w:rPr>
        <w:t>举行</w:t>
      </w:r>
      <w:r w:rsidRPr="000C0842">
        <w:rPr>
          <w:lang w:eastAsia="zh-CN"/>
        </w:rPr>
        <w:t>生物多样性公约缔约方大会第十六</w:t>
      </w:r>
      <w:r w:rsidRPr="000C0842">
        <w:rPr>
          <w:rFonts w:hint="eastAsia"/>
          <w:lang w:eastAsia="zh-CN"/>
        </w:rPr>
        <w:t>届</w:t>
      </w:r>
      <w:r w:rsidRPr="000C0842">
        <w:rPr>
          <w:lang w:eastAsia="zh-CN"/>
        </w:rPr>
        <w:t>会议</w:t>
      </w:r>
      <w:r w:rsidRPr="000C0842">
        <w:rPr>
          <w:rFonts w:hint="eastAsia"/>
          <w:lang w:eastAsia="zh-CN"/>
        </w:rPr>
        <w:t>面对面</w:t>
      </w:r>
      <w:r w:rsidRPr="000C0842">
        <w:rPr>
          <w:lang w:eastAsia="zh-CN"/>
        </w:rPr>
        <w:t>续会的费用</w:t>
      </w:r>
      <w:bookmarkEnd w:id="111"/>
    </w:p>
    <w:p w14:paraId="47FE27CE" w14:textId="77777777" w:rsidR="004C57B0" w:rsidRPr="000C0842" w:rsidRDefault="004C57B0" w:rsidP="00EE1BA6">
      <w:pPr>
        <w:tabs>
          <w:tab w:val="clear" w:pos="567"/>
          <w:tab w:val="clear" w:pos="1134"/>
          <w:tab w:val="clear" w:pos="1701"/>
          <w:tab w:val="clear" w:pos="2268"/>
        </w:tabs>
        <w:topLinePunct/>
        <w:adjustRightInd w:val="0"/>
        <w:snapToGrid w:val="0"/>
        <w:spacing w:before="240" w:after="120" w:line="240" w:lineRule="atLeast"/>
        <w:ind w:left="490" w:firstLine="490"/>
        <w:jc w:val="left"/>
        <w:rPr>
          <w:rFonts w:eastAsia="SimSun"/>
          <w:i/>
          <w:snapToGrid w:val="0"/>
          <w:kern w:val="22"/>
          <w:sz w:val="24"/>
          <w:szCs w:val="24"/>
          <w:lang w:val="en-CA"/>
        </w:rPr>
      </w:pPr>
      <w:r w:rsidRPr="000C0842">
        <w:rPr>
          <w:rFonts w:eastAsia="KaiTi" w:hint="eastAsia"/>
          <w:snapToGrid w:val="0"/>
          <w:kern w:val="22"/>
          <w:sz w:val="24"/>
          <w:szCs w:val="24"/>
          <w:lang w:val="zh-CN"/>
        </w:rPr>
        <w:t>缔约方大会</w:t>
      </w:r>
      <w:r w:rsidRPr="000C0842">
        <w:rPr>
          <w:rFonts w:eastAsia="SimSun" w:hint="eastAsia"/>
          <w:snapToGrid w:val="0"/>
          <w:kern w:val="22"/>
          <w:sz w:val="24"/>
          <w:szCs w:val="24"/>
          <w:lang w:val="en-CA"/>
        </w:rPr>
        <w:t>，</w:t>
      </w:r>
    </w:p>
    <w:p w14:paraId="7C49EDDD" w14:textId="106D211E"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hint="eastAsia"/>
          <w:bCs/>
          <w:kern w:val="22"/>
          <w:sz w:val="24"/>
          <w:szCs w:val="24"/>
          <w:lang w:val="zh-CN"/>
        </w:rPr>
        <w:t>回顾</w:t>
      </w:r>
      <w:r w:rsidRPr="000C0842">
        <w:rPr>
          <w:rFonts w:eastAsia="SimSun"/>
          <w:bCs/>
          <w:sz w:val="24"/>
          <w:szCs w:val="24"/>
        </w:rPr>
        <w:t>其</w:t>
      </w:r>
      <w:r w:rsidRPr="000C0842">
        <w:rPr>
          <w:rFonts w:eastAsia="SimSun"/>
          <w:bCs/>
          <w:sz w:val="24"/>
          <w:szCs w:val="24"/>
        </w:rPr>
        <w:t>2024</w:t>
      </w:r>
      <w:r w:rsidRPr="000C0842">
        <w:rPr>
          <w:rFonts w:eastAsia="SimSun"/>
          <w:bCs/>
          <w:sz w:val="24"/>
          <w:szCs w:val="24"/>
        </w:rPr>
        <w:t>年</w:t>
      </w:r>
      <w:r w:rsidRPr="000C0842">
        <w:rPr>
          <w:rFonts w:eastAsia="SimSun"/>
          <w:bCs/>
          <w:sz w:val="24"/>
          <w:szCs w:val="24"/>
        </w:rPr>
        <w:t>11</w:t>
      </w:r>
      <w:r w:rsidRPr="000C0842">
        <w:rPr>
          <w:rFonts w:eastAsia="SimSun"/>
          <w:bCs/>
          <w:sz w:val="24"/>
          <w:szCs w:val="24"/>
        </w:rPr>
        <w:t>月</w:t>
      </w:r>
      <w:r w:rsidRPr="000C0842">
        <w:rPr>
          <w:rFonts w:eastAsia="SimSun"/>
          <w:bCs/>
          <w:sz w:val="24"/>
          <w:szCs w:val="24"/>
        </w:rPr>
        <w:t>1</w:t>
      </w:r>
      <w:r w:rsidRPr="000C0842">
        <w:rPr>
          <w:rFonts w:eastAsia="SimSun"/>
          <w:bCs/>
          <w:sz w:val="24"/>
          <w:szCs w:val="24"/>
        </w:rPr>
        <w:t>日第</w:t>
      </w:r>
      <w:hyperlink r:id="rId253" w:history="1">
        <w:r w:rsidRPr="000C0842">
          <w:rPr>
            <w:rStyle w:val="Hyperlink"/>
            <w:rFonts w:eastAsia="SimSun"/>
            <w:bCs/>
            <w:color w:val="auto"/>
            <w:sz w:val="24"/>
            <w:szCs w:val="24"/>
          </w:rPr>
          <w:t>16/24</w:t>
        </w:r>
      </w:hyperlink>
      <w:r w:rsidRPr="000C0842">
        <w:rPr>
          <w:rFonts w:eastAsia="SimSun"/>
          <w:bCs/>
          <w:sz w:val="24"/>
          <w:szCs w:val="24"/>
        </w:rPr>
        <w:t>号决定，其中</w:t>
      </w:r>
      <w:r w:rsidRPr="000C0842">
        <w:rPr>
          <w:rFonts w:eastAsia="SimSun" w:hint="eastAsia"/>
          <w:bCs/>
          <w:sz w:val="24"/>
          <w:szCs w:val="24"/>
        </w:rPr>
        <w:t>缔约方大会</w:t>
      </w:r>
      <w:r w:rsidRPr="000C0842">
        <w:rPr>
          <w:rFonts w:eastAsia="SimSun"/>
          <w:bCs/>
          <w:sz w:val="24"/>
          <w:szCs w:val="24"/>
        </w:rPr>
        <w:t>注意到，如果出现特殊情况，</w:t>
      </w:r>
      <w:r w:rsidRPr="000C0842">
        <w:rPr>
          <w:rFonts w:eastAsia="SimSun" w:hint="eastAsia"/>
          <w:bCs/>
          <w:sz w:val="24"/>
          <w:szCs w:val="24"/>
        </w:rPr>
        <w:t>因而</w:t>
      </w:r>
      <w:r w:rsidRPr="000C0842">
        <w:rPr>
          <w:rFonts w:eastAsia="SimSun"/>
          <w:bCs/>
          <w:sz w:val="24"/>
          <w:szCs w:val="24"/>
        </w:rPr>
        <w:t>举行面对面会议不切实际，</w:t>
      </w:r>
      <w:r w:rsidRPr="000C0842">
        <w:rPr>
          <w:rFonts w:eastAsia="SimSun" w:hint="eastAsia"/>
          <w:bCs/>
          <w:sz w:val="24"/>
          <w:szCs w:val="24"/>
        </w:rPr>
        <w:t>对于</w:t>
      </w:r>
      <w:r w:rsidRPr="000C0842">
        <w:rPr>
          <w:rFonts w:eastAsia="SimSun"/>
          <w:bCs/>
          <w:sz w:val="24"/>
          <w:szCs w:val="24"/>
        </w:rPr>
        <w:t>紧急决定，如关于预算事项的决定，可</w:t>
      </w:r>
      <w:r w:rsidRPr="000C0842">
        <w:rPr>
          <w:rFonts w:eastAsia="SimSun" w:hint="eastAsia"/>
          <w:bCs/>
          <w:sz w:val="24"/>
          <w:szCs w:val="24"/>
        </w:rPr>
        <w:t>以默许</w:t>
      </w:r>
      <w:r w:rsidRPr="000C0842">
        <w:rPr>
          <w:rFonts w:eastAsia="SimSun"/>
          <w:bCs/>
          <w:sz w:val="24"/>
          <w:szCs w:val="24"/>
        </w:rPr>
        <w:t>程序做出</w:t>
      </w:r>
      <w:r w:rsidRPr="000C0842">
        <w:rPr>
          <w:rFonts w:eastAsia="SimSun" w:hint="eastAsia"/>
          <w:bCs/>
          <w:sz w:val="24"/>
          <w:szCs w:val="24"/>
        </w:rPr>
        <w:t>，</w:t>
      </w:r>
    </w:p>
    <w:p w14:paraId="3B3723EF" w14:textId="77777777"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bCs/>
          <w:kern w:val="22"/>
          <w:sz w:val="24"/>
          <w:szCs w:val="24"/>
          <w:lang w:val="zh-CN"/>
        </w:rPr>
        <w:t>又回顾</w:t>
      </w:r>
      <w:r w:rsidRPr="000C0842">
        <w:rPr>
          <w:rFonts w:eastAsia="SimSun"/>
          <w:bCs/>
          <w:sz w:val="24"/>
          <w:szCs w:val="24"/>
        </w:rPr>
        <w:t>在哥伦比亚卡利举行的第十六届会议闭幕全体会议于</w:t>
      </w:r>
      <w:r w:rsidRPr="000C0842">
        <w:rPr>
          <w:rFonts w:eastAsia="SimSun"/>
          <w:bCs/>
          <w:sz w:val="24"/>
          <w:szCs w:val="24"/>
        </w:rPr>
        <w:t>2024</w:t>
      </w:r>
      <w:r w:rsidRPr="000C0842">
        <w:rPr>
          <w:rFonts w:eastAsia="SimSun"/>
          <w:bCs/>
          <w:sz w:val="24"/>
          <w:szCs w:val="24"/>
        </w:rPr>
        <w:t>年</w:t>
      </w:r>
      <w:r w:rsidRPr="000C0842">
        <w:rPr>
          <w:rFonts w:eastAsia="SimSun"/>
          <w:bCs/>
          <w:sz w:val="24"/>
          <w:szCs w:val="24"/>
        </w:rPr>
        <w:t>11</w:t>
      </w:r>
      <w:r w:rsidRPr="000C0842">
        <w:rPr>
          <w:rFonts w:eastAsia="SimSun"/>
          <w:bCs/>
          <w:sz w:val="24"/>
          <w:szCs w:val="24"/>
        </w:rPr>
        <w:t>月</w:t>
      </w:r>
      <w:r w:rsidRPr="000C0842">
        <w:rPr>
          <w:rFonts w:eastAsia="SimSun"/>
          <w:bCs/>
          <w:sz w:val="24"/>
          <w:szCs w:val="24"/>
        </w:rPr>
        <w:t>2</w:t>
      </w:r>
      <w:r w:rsidRPr="000C0842">
        <w:rPr>
          <w:rFonts w:eastAsia="SimSun"/>
          <w:bCs/>
          <w:sz w:val="24"/>
          <w:szCs w:val="24"/>
        </w:rPr>
        <w:t>日暂停，未完成对若干议程项目的审议，</w:t>
      </w:r>
      <w:r w:rsidRPr="000C0842">
        <w:rPr>
          <w:rFonts w:eastAsia="SimSun"/>
          <w:bCs/>
          <w:sz w:val="24"/>
          <w:szCs w:val="24"/>
        </w:rPr>
        <w:t xml:space="preserve"> </w:t>
      </w:r>
    </w:p>
    <w:p w14:paraId="4D6A49FC" w14:textId="77777777"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bCs/>
          <w:kern w:val="22"/>
          <w:sz w:val="24"/>
          <w:szCs w:val="24"/>
          <w:lang w:val="zh-CN"/>
        </w:rPr>
        <w:t>认识到</w:t>
      </w:r>
      <w:r w:rsidRPr="000C0842">
        <w:rPr>
          <w:rFonts w:eastAsia="SimSun"/>
          <w:bCs/>
          <w:sz w:val="24"/>
          <w:szCs w:val="24"/>
        </w:rPr>
        <w:t>有必要在</w:t>
      </w:r>
      <w:r w:rsidRPr="000C0842">
        <w:rPr>
          <w:rFonts w:eastAsia="SimSun"/>
          <w:bCs/>
          <w:sz w:val="24"/>
          <w:szCs w:val="24"/>
        </w:rPr>
        <w:t>2025</w:t>
      </w:r>
      <w:r w:rsidRPr="000C0842">
        <w:rPr>
          <w:rFonts w:eastAsia="SimSun"/>
          <w:bCs/>
          <w:sz w:val="24"/>
          <w:szCs w:val="24"/>
        </w:rPr>
        <w:t>年第一季度举行第十六届会议面对面续会，以完成对未决议程项目的讨论并结束会议，</w:t>
      </w:r>
      <w:r w:rsidRPr="000C0842">
        <w:rPr>
          <w:rFonts w:eastAsia="SimSun"/>
          <w:bCs/>
          <w:sz w:val="24"/>
          <w:szCs w:val="24"/>
        </w:rPr>
        <w:t xml:space="preserve"> </w:t>
      </w:r>
    </w:p>
    <w:p w14:paraId="01A5314D" w14:textId="77777777"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bCs/>
          <w:sz w:val="24"/>
          <w:szCs w:val="24"/>
        </w:rPr>
      </w:pPr>
      <w:r w:rsidRPr="000C0842">
        <w:rPr>
          <w:rFonts w:eastAsia="KaiTi" w:hint="eastAsia"/>
          <w:bCs/>
          <w:kern w:val="22"/>
          <w:sz w:val="24"/>
          <w:szCs w:val="24"/>
          <w:lang w:val="zh-CN"/>
        </w:rPr>
        <w:t>又</w:t>
      </w:r>
      <w:r w:rsidRPr="000C0842">
        <w:rPr>
          <w:rFonts w:eastAsia="KaiTi"/>
          <w:bCs/>
          <w:kern w:val="22"/>
          <w:sz w:val="24"/>
          <w:szCs w:val="24"/>
          <w:lang w:val="zh-CN"/>
        </w:rPr>
        <w:t>认识到</w:t>
      </w:r>
      <w:r w:rsidRPr="000C0842">
        <w:rPr>
          <w:rFonts w:eastAsia="SimSun"/>
          <w:bCs/>
          <w:sz w:val="24"/>
          <w:szCs w:val="24"/>
        </w:rPr>
        <w:t>举行上述面对面续会将产生开支，以支付会场费用，以及秘书处工作人员和符合条件的缔约方代表的差旅费和生活津贴，</w:t>
      </w:r>
    </w:p>
    <w:p w14:paraId="396107E7" w14:textId="77777777"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sz w:val="24"/>
          <w:szCs w:val="24"/>
        </w:rPr>
      </w:pPr>
      <w:r w:rsidRPr="000C0842">
        <w:rPr>
          <w:rFonts w:eastAsia="KaiTi"/>
          <w:bCs/>
          <w:kern w:val="22"/>
          <w:sz w:val="24"/>
          <w:szCs w:val="24"/>
          <w:lang w:val="zh-CN"/>
        </w:rPr>
        <w:t>重申</w:t>
      </w:r>
      <w:r w:rsidRPr="000C0842">
        <w:rPr>
          <w:rFonts w:eastAsia="SimSun"/>
          <w:sz w:val="24"/>
          <w:szCs w:val="24"/>
        </w:rPr>
        <w:t>发展中国家缔约方，特别是最不发达国家和小岛屿发展中国家以及经济转型</w:t>
      </w:r>
      <w:r w:rsidRPr="000C0842">
        <w:rPr>
          <w:rFonts w:eastAsia="SimSun" w:hint="eastAsia"/>
          <w:sz w:val="24"/>
          <w:szCs w:val="24"/>
        </w:rPr>
        <w:t>国家</w:t>
      </w:r>
      <w:r w:rsidRPr="000C0842">
        <w:rPr>
          <w:rFonts w:eastAsia="SimSun"/>
          <w:sz w:val="24"/>
          <w:szCs w:val="24"/>
        </w:rPr>
        <w:t>缔约方的代表充分有效参与生物多样性公约</w:t>
      </w:r>
      <w:r w:rsidRPr="000C0842">
        <w:rPr>
          <w:rFonts w:eastAsia="SimSun"/>
          <w:sz w:val="24"/>
          <w:szCs w:val="24"/>
          <w:vertAlign w:val="superscript"/>
          <w:lang w:val="en-GB"/>
        </w:rPr>
        <w:footnoteReference w:id="389"/>
      </w:r>
      <w:r w:rsidRPr="000C0842">
        <w:rPr>
          <w:rFonts w:eastAsia="SimSun" w:hint="eastAsia"/>
          <w:sz w:val="24"/>
          <w:szCs w:val="24"/>
        </w:rPr>
        <w:t>缔约方大会、</w:t>
      </w:r>
      <w:r w:rsidRPr="000C0842">
        <w:rPr>
          <w:rFonts w:eastAsia="SimSun"/>
          <w:sz w:val="24"/>
          <w:szCs w:val="24"/>
        </w:rPr>
        <w:t>作为卡塔赫纳生物安全议定书</w:t>
      </w:r>
      <w:r w:rsidRPr="000C0842">
        <w:rPr>
          <w:rFonts w:eastAsia="SimSun"/>
          <w:sz w:val="24"/>
          <w:szCs w:val="24"/>
          <w:vertAlign w:val="superscript"/>
          <w:lang w:val="en-GB"/>
        </w:rPr>
        <w:footnoteReference w:id="390"/>
      </w:r>
      <w:r w:rsidRPr="000C0842">
        <w:rPr>
          <w:rFonts w:eastAsia="SimSun"/>
          <w:sz w:val="24"/>
          <w:szCs w:val="24"/>
        </w:rPr>
        <w:t>缔约方会议的缔约方大会和作为</w:t>
      </w:r>
      <w:r w:rsidRPr="000C0842">
        <w:rPr>
          <w:rFonts w:eastAsia="SimSun" w:hint="eastAsia"/>
          <w:sz w:val="24"/>
          <w:szCs w:val="24"/>
        </w:rPr>
        <w:t>关于</w:t>
      </w:r>
      <w:r w:rsidRPr="000C0842">
        <w:rPr>
          <w:rFonts w:eastAsia="SimSun"/>
          <w:sz w:val="24"/>
          <w:szCs w:val="24"/>
        </w:rPr>
        <w:t>获取遗传资源</w:t>
      </w:r>
      <w:r w:rsidRPr="000C0842">
        <w:rPr>
          <w:rFonts w:eastAsia="SimSun" w:hint="eastAsia"/>
          <w:sz w:val="24"/>
          <w:szCs w:val="24"/>
        </w:rPr>
        <w:t>和公正和公平分享其</w:t>
      </w:r>
      <w:r w:rsidRPr="000C0842">
        <w:rPr>
          <w:rFonts w:eastAsia="SimSun"/>
          <w:sz w:val="24"/>
          <w:szCs w:val="24"/>
        </w:rPr>
        <w:t>利用所产生惠益</w:t>
      </w:r>
      <w:r w:rsidRPr="000C0842">
        <w:rPr>
          <w:rFonts w:eastAsia="SimSun" w:hint="eastAsia"/>
          <w:sz w:val="24"/>
          <w:szCs w:val="24"/>
        </w:rPr>
        <w:t>的</w:t>
      </w:r>
      <w:r w:rsidRPr="000C0842">
        <w:rPr>
          <w:rFonts w:eastAsia="SimSun"/>
          <w:sz w:val="24"/>
          <w:szCs w:val="24"/>
        </w:rPr>
        <w:t>名古屋议定书</w:t>
      </w:r>
      <w:r w:rsidRPr="000C0842">
        <w:rPr>
          <w:rFonts w:eastAsia="SimSun"/>
          <w:sz w:val="24"/>
          <w:szCs w:val="24"/>
          <w:vertAlign w:val="superscript"/>
          <w:lang w:val="en-GB"/>
        </w:rPr>
        <w:footnoteReference w:id="391"/>
      </w:r>
      <w:r w:rsidRPr="000C0842">
        <w:rPr>
          <w:rFonts w:eastAsia="SimSun"/>
          <w:sz w:val="24"/>
          <w:szCs w:val="24"/>
        </w:rPr>
        <w:t>缔约方会议的生物多样性公约缔约方大会</w:t>
      </w:r>
      <w:r w:rsidRPr="000C0842">
        <w:rPr>
          <w:rFonts w:eastAsia="SimSun" w:hint="eastAsia"/>
          <w:sz w:val="24"/>
          <w:szCs w:val="24"/>
        </w:rPr>
        <w:t>会议</w:t>
      </w:r>
      <w:r w:rsidRPr="000C0842">
        <w:rPr>
          <w:rFonts w:eastAsia="SimSun"/>
          <w:sz w:val="24"/>
          <w:szCs w:val="24"/>
        </w:rPr>
        <w:t>的重要性</w:t>
      </w:r>
      <w:r w:rsidRPr="000C0842">
        <w:rPr>
          <w:rFonts w:eastAsia="SimSun" w:hint="eastAsia"/>
          <w:sz w:val="24"/>
          <w:szCs w:val="24"/>
        </w:rPr>
        <w:t>，</w:t>
      </w:r>
    </w:p>
    <w:p w14:paraId="5A78F3D9" w14:textId="77777777" w:rsidR="004C57B0" w:rsidRPr="000C0842" w:rsidRDefault="004C57B0" w:rsidP="004C57B0">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eastAsia="SimSun"/>
          <w:sz w:val="24"/>
          <w:szCs w:val="24"/>
        </w:rPr>
      </w:pPr>
      <w:r w:rsidRPr="000C0842">
        <w:rPr>
          <w:rFonts w:eastAsia="KaiTi"/>
          <w:bCs/>
          <w:kern w:val="22"/>
          <w:sz w:val="24"/>
          <w:szCs w:val="24"/>
          <w:lang w:val="zh-CN"/>
        </w:rPr>
        <w:t>注意到</w:t>
      </w:r>
      <w:r w:rsidRPr="000C0842">
        <w:rPr>
          <w:rFonts w:eastAsia="SimSun"/>
          <w:sz w:val="24"/>
          <w:szCs w:val="24"/>
        </w:rPr>
        <w:t>第十六届会议续会将于</w:t>
      </w:r>
      <w:r w:rsidRPr="000C0842">
        <w:rPr>
          <w:rFonts w:eastAsia="SimSun"/>
          <w:sz w:val="24"/>
          <w:szCs w:val="24"/>
        </w:rPr>
        <w:t>2025</w:t>
      </w:r>
      <w:r w:rsidRPr="000C0842">
        <w:rPr>
          <w:rFonts w:eastAsia="SimSun"/>
          <w:sz w:val="24"/>
          <w:szCs w:val="24"/>
        </w:rPr>
        <w:t>年</w:t>
      </w:r>
      <w:r w:rsidRPr="000C0842">
        <w:rPr>
          <w:rFonts w:eastAsia="SimSun"/>
          <w:sz w:val="24"/>
          <w:szCs w:val="24"/>
        </w:rPr>
        <w:t>2</w:t>
      </w:r>
      <w:r w:rsidRPr="000C0842">
        <w:rPr>
          <w:rFonts w:eastAsia="SimSun"/>
          <w:sz w:val="24"/>
          <w:szCs w:val="24"/>
        </w:rPr>
        <w:t>月</w:t>
      </w:r>
      <w:r w:rsidRPr="000C0842">
        <w:rPr>
          <w:rFonts w:eastAsia="SimSun"/>
          <w:sz w:val="24"/>
          <w:szCs w:val="24"/>
        </w:rPr>
        <w:t>25</w:t>
      </w:r>
      <w:r w:rsidRPr="000C0842">
        <w:rPr>
          <w:rFonts w:eastAsia="SimSun"/>
          <w:sz w:val="24"/>
          <w:szCs w:val="24"/>
        </w:rPr>
        <w:t>日至</w:t>
      </w:r>
      <w:r w:rsidRPr="000C0842">
        <w:rPr>
          <w:rFonts w:eastAsia="SimSun"/>
          <w:sz w:val="24"/>
          <w:szCs w:val="24"/>
        </w:rPr>
        <w:t>27</w:t>
      </w:r>
      <w:r w:rsidRPr="000C0842">
        <w:rPr>
          <w:rFonts w:eastAsia="SimSun"/>
          <w:sz w:val="24"/>
          <w:szCs w:val="24"/>
        </w:rPr>
        <w:t>日在罗马举行，</w:t>
      </w:r>
    </w:p>
    <w:p w14:paraId="6D2FA359" w14:textId="77777777" w:rsidR="004C57B0" w:rsidRPr="000C0842" w:rsidRDefault="004C57B0" w:rsidP="004C57B0">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KaiTi"/>
          <w:iCs/>
          <w:sz w:val="24"/>
          <w:szCs w:val="24"/>
        </w:rPr>
      </w:pPr>
      <w:r w:rsidRPr="000C0842">
        <w:rPr>
          <w:rFonts w:eastAsia="SimSun"/>
          <w:iCs/>
          <w:sz w:val="24"/>
          <w:szCs w:val="24"/>
        </w:rPr>
        <w:t>1</w:t>
      </w:r>
      <w:r w:rsidRPr="000C0842">
        <w:rPr>
          <w:rFonts w:eastAsia="SimSun"/>
          <w:i/>
          <w:sz w:val="24"/>
          <w:szCs w:val="24"/>
        </w:rPr>
        <w:t>.</w:t>
      </w:r>
      <w:r w:rsidRPr="000C0842">
        <w:rPr>
          <w:rFonts w:eastAsia="SimSun"/>
          <w:i/>
          <w:sz w:val="24"/>
          <w:szCs w:val="24"/>
        </w:rPr>
        <w:tab/>
      </w:r>
      <w:r w:rsidRPr="000C0842">
        <w:rPr>
          <w:rFonts w:eastAsia="KaiTi"/>
          <w:iCs/>
          <w:sz w:val="24"/>
          <w:szCs w:val="24"/>
        </w:rPr>
        <w:t>授权</w:t>
      </w:r>
      <w:r w:rsidRPr="000C0842">
        <w:rPr>
          <w:rFonts w:eastAsia="SimSun"/>
          <w:iCs/>
          <w:sz w:val="24"/>
          <w:szCs w:val="24"/>
        </w:rPr>
        <w:t>执行秘书从生物多样性公约普通信托基金的未用余额中提取不超过</w:t>
      </w:r>
      <w:r w:rsidRPr="000C0842">
        <w:rPr>
          <w:rFonts w:eastAsia="SimSun"/>
          <w:iCs/>
          <w:sz w:val="24"/>
          <w:szCs w:val="24"/>
        </w:rPr>
        <w:t>288</w:t>
      </w:r>
      <w:r w:rsidRPr="000C0842">
        <w:rPr>
          <w:rFonts w:eastAsia="SimSun" w:hint="eastAsia"/>
          <w:iCs/>
          <w:sz w:val="24"/>
          <w:szCs w:val="24"/>
        </w:rPr>
        <w:t>,</w:t>
      </w:r>
      <w:r w:rsidRPr="000C0842">
        <w:rPr>
          <w:rFonts w:eastAsia="SimSun"/>
          <w:iCs/>
          <w:sz w:val="24"/>
          <w:szCs w:val="24"/>
        </w:rPr>
        <w:t>000</w:t>
      </w:r>
      <w:r w:rsidRPr="000C0842">
        <w:rPr>
          <w:rFonts w:eastAsia="SimSun"/>
          <w:iCs/>
          <w:sz w:val="24"/>
          <w:szCs w:val="24"/>
        </w:rPr>
        <w:t>美元的款项，相当于举行公约缔约方大会第十六届会议</w:t>
      </w:r>
      <w:r w:rsidRPr="000C0842">
        <w:rPr>
          <w:rFonts w:eastAsia="SimSun" w:hint="eastAsia"/>
          <w:iCs/>
          <w:sz w:val="24"/>
          <w:szCs w:val="24"/>
        </w:rPr>
        <w:t>、</w:t>
      </w:r>
      <w:r w:rsidRPr="000C0842">
        <w:rPr>
          <w:rFonts w:eastAsia="SimSun"/>
          <w:iCs/>
          <w:sz w:val="24"/>
          <w:szCs w:val="24"/>
        </w:rPr>
        <w:t>作为卡塔赫纳生物安全议定书缔约方会议的缔约方大会第十一次会议和作为关于获取遗传资源和公正和公平分享其利用所产生惠益的名古屋议定书缔约方会议的生物多样性公约缔约方大会第五次会议面对面续会</w:t>
      </w:r>
      <w:r w:rsidRPr="000C0842">
        <w:rPr>
          <w:rFonts w:eastAsia="SimSun" w:hint="eastAsia"/>
          <w:iCs/>
          <w:sz w:val="24"/>
          <w:szCs w:val="24"/>
        </w:rPr>
        <w:t>所需总额</w:t>
      </w:r>
      <w:r w:rsidRPr="000C0842">
        <w:rPr>
          <w:rFonts w:eastAsia="SimSun"/>
          <w:iCs/>
          <w:sz w:val="24"/>
          <w:szCs w:val="24"/>
          <w:lang w:val="en-GB"/>
        </w:rPr>
        <w:t>400,000</w:t>
      </w:r>
      <w:r w:rsidRPr="000C0842">
        <w:rPr>
          <w:rFonts w:eastAsia="SimSun" w:hint="eastAsia"/>
          <w:iCs/>
          <w:sz w:val="24"/>
          <w:szCs w:val="24"/>
          <w:lang w:val="en-GB"/>
        </w:rPr>
        <w:t>美元的</w:t>
      </w:r>
      <w:r w:rsidRPr="000C0842">
        <w:rPr>
          <w:rFonts w:eastAsia="SimSun" w:hint="eastAsia"/>
          <w:iCs/>
          <w:sz w:val="24"/>
          <w:szCs w:val="24"/>
          <w:lang w:val="en-GB"/>
        </w:rPr>
        <w:t>72%</w:t>
      </w:r>
      <w:r w:rsidRPr="000C0842">
        <w:rPr>
          <w:rFonts w:eastAsia="KaiTi"/>
          <w:iCs/>
          <w:sz w:val="24"/>
          <w:szCs w:val="24"/>
        </w:rPr>
        <w:t>；</w:t>
      </w:r>
    </w:p>
    <w:p w14:paraId="579A6D2A" w14:textId="5D6B8C19" w:rsidR="004C57B0" w:rsidRPr="000C0842" w:rsidRDefault="004C57B0" w:rsidP="004C57B0">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rFonts w:eastAsia="SimSun"/>
          <w:sz w:val="24"/>
          <w:szCs w:val="24"/>
        </w:rPr>
      </w:pPr>
      <w:r w:rsidRPr="000C0842">
        <w:rPr>
          <w:rFonts w:eastAsia="SimSun" w:hint="eastAsia"/>
          <w:sz w:val="24"/>
          <w:szCs w:val="24"/>
        </w:rPr>
        <w:t>2.</w:t>
      </w:r>
      <w:r w:rsidRPr="000C0842">
        <w:rPr>
          <w:rFonts w:eastAsia="SimSun"/>
          <w:sz w:val="24"/>
          <w:szCs w:val="24"/>
        </w:rPr>
        <w:tab/>
      </w:r>
      <w:r w:rsidR="00233C52" w:rsidRPr="000C0842">
        <w:rPr>
          <w:rFonts w:eastAsia="KaiTi" w:hint="eastAsia"/>
          <w:bCs/>
          <w:kern w:val="22"/>
          <w:sz w:val="24"/>
          <w:szCs w:val="24"/>
        </w:rPr>
        <w:t>强烈</w:t>
      </w:r>
      <w:r w:rsidRPr="000C0842">
        <w:rPr>
          <w:rFonts w:eastAsia="KaiTi"/>
          <w:bCs/>
          <w:kern w:val="22"/>
          <w:sz w:val="24"/>
          <w:szCs w:val="24"/>
          <w:lang w:val="zh-CN"/>
        </w:rPr>
        <w:t>鼓励</w:t>
      </w:r>
      <w:r w:rsidRPr="000C0842">
        <w:rPr>
          <w:rFonts w:eastAsia="SimSun"/>
          <w:sz w:val="24"/>
          <w:szCs w:val="24"/>
        </w:rPr>
        <w:t>发达国家缔约方和其他有能力这样做的缔约方，包括在南南合作范围内</w:t>
      </w:r>
      <w:r w:rsidRPr="000C0842">
        <w:rPr>
          <w:rFonts w:ascii="Segoe UI" w:eastAsia="SimSun" w:hAnsi="Segoe UI" w:cs="Segoe UI"/>
          <w:sz w:val="24"/>
          <w:szCs w:val="24"/>
        </w:rPr>
        <w:t>，</w:t>
      </w:r>
      <w:r w:rsidRPr="000C0842">
        <w:rPr>
          <w:rFonts w:ascii="Segoe UI" w:eastAsia="SimSun" w:hAnsi="Segoe UI" w:cs="Segoe UI" w:hint="eastAsia"/>
          <w:sz w:val="24"/>
          <w:szCs w:val="24"/>
        </w:rPr>
        <w:t>向</w:t>
      </w:r>
      <w:r w:rsidRPr="000C0842">
        <w:rPr>
          <w:rFonts w:ascii="Segoe UI" w:eastAsia="SimSun" w:hAnsi="Segoe UI" w:cs="Segoe UI"/>
          <w:sz w:val="24"/>
          <w:szCs w:val="24"/>
        </w:rPr>
        <w:t>资助缔约方参与公约进程特别自愿信托基金</w:t>
      </w:r>
      <w:r w:rsidRPr="000C0842">
        <w:rPr>
          <w:rFonts w:eastAsia="SimSun"/>
          <w:sz w:val="24"/>
          <w:szCs w:val="24"/>
        </w:rPr>
        <w:t>提供必要的</w:t>
      </w:r>
      <w:r w:rsidRPr="000C0842">
        <w:rPr>
          <w:rFonts w:eastAsia="SimSun" w:hint="eastAsia"/>
          <w:sz w:val="24"/>
          <w:szCs w:val="24"/>
        </w:rPr>
        <w:t>财务资源，</w:t>
      </w:r>
      <w:r w:rsidRPr="000C0842">
        <w:rPr>
          <w:rFonts w:eastAsia="SimSun"/>
          <w:sz w:val="24"/>
          <w:szCs w:val="24"/>
        </w:rPr>
        <w:t>以</w:t>
      </w:r>
      <w:r w:rsidRPr="000C0842">
        <w:rPr>
          <w:rFonts w:eastAsia="SimSun" w:hint="eastAsia"/>
          <w:sz w:val="24"/>
          <w:szCs w:val="24"/>
        </w:rPr>
        <w:t>使</w:t>
      </w:r>
      <w:r w:rsidRPr="000C0842">
        <w:rPr>
          <w:rFonts w:eastAsia="SimSun"/>
          <w:sz w:val="24"/>
          <w:szCs w:val="24"/>
        </w:rPr>
        <w:t>发展中国家缔约方，特别是最不发达国家和小岛屿发展中国家以及经济转型</w:t>
      </w:r>
      <w:r w:rsidRPr="000C0842">
        <w:rPr>
          <w:rFonts w:eastAsia="SimSun" w:hint="eastAsia"/>
          <w:sz w:val="24"/>
          <w:szCs w:val="24"/>
        </w:rPr>
        <w:t>国家</w:t>
      </w:r>
      <w:r w:rsidRPr="000C0842">
        <w:rPr>
          <w:rFonts w:eastAsia="SimSun"/>
          <w:sz w:val="24"/>
          <w:szCs w:val="24"/>
        </w:rPr>
        <w:t>缔约方的代表能够充分有效地参加续会；</w:t>
      </w:r>
    </w:p>
    <w:p w14:paraId="5A5ACA62" w14:textId="3AEE54EF" w:rsidR="004C57B0" w:rsidRPr="000C0842" w:rsidRDefault="004C57B0" w:rsidP="004C57B0">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SimSun" w:hint="eastAsia"/>
          <w:sz w:val="24"/>
          <w:szCs w:val="24"/>
        </w:rPr>
        <w:t>3.</w:t>
      </w:r>
      <w:r w:rsidRPr="000C0842">
        <w:rPr>
          <w:rFonts w:eastAsia="SimSun"/>
          <w:sz w:val="24"/>
          <w:szCs w:val="24"/>
        </w:rPr>
        <w:tab/>
      </w:r>
      <w:r w:rsidRPr="000C0842">
        <w:rPr>
          <w:rFonts w:eastAsia="KaiTi"/>
          <w:iCs/>
          <w:sz w:val="24"/>
          <w:szCs w:val="24"/>
        </w:rPr>
        <w:t>授权</w:t>
      </w:r>
      <w:r w:rsidRPr="000C0842">
        <w:rPr>
          <w:rFonts w:eastAsia="SimSun"/>
          <w:sz w:val="24"/>
          <w:szCs w:val="24"/>
        </w:rPr>
        <w:t>执行秘书作为例外</w:t>
      </w:r>
      <w:r w:rsidRPr="000C0842">
        <w:rPr>
          <w:rFonts w:eastAsia="SimSun" w:hint="eastAsia"/>
          <w:sz w:val="24"/>
          <w:szCs w:val="24"/>
        </w:rPr>
        <w:t>，</w:t>
      </w:r>
      <w:r w:rsidRPr="000C0842">
        <w:rPr>
          <w:rFonts w:eastAsia="SimSun"/>
          <w:sz w:val="24"/>
          <w:szCs w:val="24"/>
        </w:rPr>
        <w:t>且</w:t>
      </w:r>
      <w:r w:rsidRPr="000C0842">
        <w:rPr>
          <w:rFonts w:eastAsia="SimSun" w:hint="eastAsia"/>
          <w:sz w:val="24"/>
          <w:szCs w:val="24"/>
        </w:rPr>
        <w:t>在</w:t>
      </w:r>
      <w:r w:rsidRPr="000C0842">
        <w:rPr>
          <w:rFonts w:eastAsia="SimSun"/>
          <w:sz w:val="24"/>
          <w:szCs w:val="24"/>
        </w:rPr>
        <w:t>不</w:t>
      </w:r>
      <w:r w:rsidRPr="000C0842">
        <w:rPr>
          <w:rFonts w:eastAsia="SimSun" w:hint="eastAsia"/>
          <w:sz w:val="24"/>
          <w:szCs w:val="24"/>
        </w:rPr>
        <w:t>构成</w:t>
      </w:r>
      <w:r w:rsidRPr="000C0842">
        <w:rPr>
          <w:rFonts w:eastAsia="SimSun"/>
          <w:sz w:val="24"/>
          <w:szCs w:val="24"/>
        </w:rPr>
        <w:t>先例</w:t>
      </w:r>
      <w:r w:rsidRPr="000C0842">
        <w:rPr>
          <w:rFonts w:eastAsia="SimSun" w:hint="eastAsia"/>
          <w:sz w:val="24"/>
          <w:szCs w:val="24"/>
        </w:rPr>
        <w:t>的前提下</w:t>
      </w:r>
      <w:r w:rsidRPr="000C0842">
        <w:rPr>
          <w:rFonts w:eastAsia="SimSun"/>
          <w:sz w:val="24"/>
          <w:szCs w:val="24"/>
        </w:rPr>
        <w:t>，</w:t>
      </w:r>
      <w:r w:rsidRPr="000C0842">
        <w:rPr>
          <w:rFonts w:eastAsia="SimSun" w:hint="eastAsia"/>
          <w:sz w:val="24"/>
          <w:szCs w:val="24"/>
        </w:rPr>
        <w:t>经</w:t>
      </w:r>
      <w:r w:rsidRPr="000C0842">
        <w:rPr>
          <w:rFonts w:eastAsia="SimSun"/>
          <w:sz w:val="24"/>
          <w:szCs w:val="24"/>
        </w:rPr>
        <w:t>与主席团</w:t>
      </w:r>
      <w:r w:rsidR="00233C52" w:rsidRPr="000C0842">
        <w:rPr>
          <w:rFonts w:eastAsia="SimSun" w:hint="eastAsia"/>
          <w:sz w:val="24"/>
          <w:szCs w:val="24"/>
        </w:rPr>
        <w:t>磋商</w:t>
      </w:r>
      <w:r w:rsidRPr="000C0842">
        <w:rPr>
          <w:rFonts w:eastAsia="SimSun"/>
          <w:sz w:val="24"/>
          <w:szCs w:val="24"/>
        </w:rPr>
        <w:t>，从公约普通信托基金、卡塔赫纳议定书核心方案预算普通信托基金和名古屋议定书核心方案预算普通信托基金的未用余额中提取总额不超过</w:t>
      </w:r>
      <w:r w:rsidRPr="000C0842">
        <w:rPr>
          <w:rFonts w:eastAsia="SimSun"/>
          <w:sz w:val="24"/>
          <w:szCs w:val="24"/>
        </w:rPr>
        <w:t>500</w:t>
      </w:r>
      <w:r w:rsidRPr="000C0842">
        <w:rPr>
          <w:rFonts w:eastAsia="SimSun" w:hint="eastAsia"/>
          <w:sz w:val="24"/>
          <w:szCs w:val="24"/>
        </w:rPr>
        <w:t>,</w:t>
      </w:r>
      <w:r w:rsidRPr="000C0842">
        <w:rPr>
          <w:rFonts w:eastAsia="SimSun"/>
          <w:sz w:val="24"/>
          <w:szCs w:val="24"/>
        </w:rPr>
        <w:t>000</w:t>
      </w:r>
      <w:r w:rsidRPr="000C0842">
        <w:rPr>
          <w:rFonts w:eastAsia="SimSun"/>
          <w:sz w:val="24"/>
          <w:szCs w:val="24"/>
        </w:rPr>
        <w:t>美元的款项，用于弥补</w:t>
      </w:r>
      <w:r w:rsidRPr="000C0842">
        <w:rPr>
          <w:rFonts w:ascii="Segoe UI" w:eastAsia="SimSun" w:hAnsi="Segoe UI" w:cs="Segoe UI"/>
          <w:sz w:val="24"/>
          <w:szCs w:val="24"/>
        </w:rPr>
        <w:t>资助缔约方参与公约进程特别自愿信托基金</w:t>
      </w:r>
      <w:r w:rsidRPr="000C0842">
        <w:rPr>
          <w:rFonts w:eastAsia="SimSun"/>
          <w:sz w:val="24"/>
          <w:szCs w:val="24"/>
        </w:rPr>
        <w:t>的资金缺</w:t>
      </w:r>
      <w:r w:rsidRPr="000C0842">
        <w:rPr>
          <w:rFonts w:eastAsia="SimSun" w:hint="eastAsia"/>
          <w:sz w:val="24"/>
          <w:szCs w:val="24"/>
        </w:rPr>
        <w:t>口</w:t>
      </w:r>
      <w:r w:rsidRPr="000C0842">
        <w:rPr>
          <w:rFonts w:eastAsia="SimSun"/>
          <w:sz w:val="24"/>
          <w:szCs w:val="24"/>
        </w:rPr>
        <w:t>，支持发展中国家缔约方，特别是最不发达国家和小岛屿发展中国家以及经济转型</w:t>
      </w:r>
      <w:r w:rsidRPr="000C0842">
        <w:rPr>
          <w:rFonts w:eastAsia="SimSun" w:hint="eastAsia"/>
          <w:sz w:val="24"/>
          <w:szCs w:val="24"/>
        </w:rPr>
        <w:t>国家</w:t>
      </w:r>
      <w:r w:rsidRPr="000C0842">
        <w:rPr>
          <w:rFonts w:eastAsia="SimSun"/>
          <w:sz w:val="24"/>
          <w:szCs w:val="24"/>
        </w:rPr>
        <w:t>缔约方的代表参加缔约方大会第十六届会议</w:t>
      </w:r>
      <w:r w:rsidRPr="000C0842">
        <w:rPr>
          <w:rFonts w:eastAsia="SimSun" w:hint="eastAsia"/>
          <w:sz w:val="24"/>
          <w:szCs w:val="24"/>
        </w:rPr>
        <w:t>、</w:t>
      </w:r>
      <w:r w:rsidRPr="000C0842">
        <w:rPr>
          <w:rFonts w:eastAsia="SimSun"/>
          <w:sz w:val="24"/>
          <w:szCs w:val="24"/>
        </w:rPr>
        <w:t>作为卡塔赫纳议定书缔约方会议的缔约方大会第十一次会议和作为名古屋议定书缔约方会议的缔约方大会第五次会议</w:t>
      </w:r>
      <w:r w:rsidRPr="000C0842">
        <w:rPr>
          <w:rFonts w:eastAsia="SimSun" w:hint="eastAsia"/>
          <w:sz w:val="24"/>
          <w:szCs w:val="24"/>
        </w:rPr>
        <w:t>的续会。</w:t>
      </w:r>
    </w:p>
    <w:p w14:paraId="0DA14D24" w14:textId="77777777" w:rsidR="004C57B0" w:rsidRPr="000C0842" w:rsidRDefault="004C57B0">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5E800323" w14:textId="15376CC6" w:rsidR="004C57B0" w:rsidRPr="000C0842" w:rsidRDefault="004C57B0" w:rsidP="002437E6">
      <w:pPr>
        <w:pStyle w:val="a1"/>
        <w:rPr>
          <w:rFonts w:hint="eastAsia"/>
          <w:lang w:eastAsia="zh-CN"/>
        </w:rPr>
      </w:pPr>
      <w:bookmarkStart w:id="112" w:name="_Toc206358227"/>
      <w:r w:rsidRPr="000C0842">
        <w:rPr>
          <w:rFonts w:hint="eastAsia"/>
          <w:lang w:eastAsia="zh-CN"/>
        </w:rPr>
        <w:t>16/30.</w:t>
      </w:r>
      <w:r w:rsidR="001C5196" w:rsidRPr="000C0842">
        <w:rPr>
          <w:rFonts w:hint="eastAsia"/>
          <w:lang w:eastAsia="zh-CN"/>
        </w:rPr>
        <w:t xml:space="preserve"> </w:t>
      </w:r>
      <w:r w:rsidRPr="000C0842">
        <w:rPr>
          <w:rFonts w:hint="eastAsia"/>
          <w:lang w:eastAsia="zh-CN"/>
        </w:rPr>
        <w:t>生物多样性公约执行秘书任命事项</w:t>
      </w:r>
      <w:bookmarkEnd w:id="112"/>
    </w:p>
    <w:p w14:paraId="70053612" w14:textId="77777777" w:rsidR="004C57B0" w:rsidRPr="000C0842" w:rsidRDefault="004C57B0" w:rsidP="00233C52">
      <w:pPr>
        <w:tabs>
          <w:tab w:val="clear" w:pos="567"/>
          <w:tab w:val="clear" w:pos="1134"/>
          <w:tab w:val="clear" w:pos="1701"/>
          <w:tab w:val="clear" w:pos="2268"/>
        </w:tabs>
        <w:spacing w:before="240" w:after="120" w:line="240" w:lineRule="atLeast"/>
        <w:ind w:left="490" w:firstLine="490"/>
        <w:rPr>
          <w:rFonts w:eastAsia="KaiTi"/>
          <w:sz w:val="24"/>
          <w:szCs w:val="24"/>
          <w:lang w:val="en-GB"/>
        </w:rPr>
      </w:pPr>
      <w:bookmarkStart w:id="113" w:name="_Hlk164854380"/>
      <w:bookmarkStart w:id="114" w:name="_Hlk164848025"/>
      <w:bookmarkStart w:id="115" w:name="_Hlk164852721"/>
      <w:bookmarkStart w:id="116" w:name="_Hlk165052542"/>
      <w:bookmarkStart w:id="117" w:name="_Hlk164997424"/>
      <w:bookmarkEnd w:id="113"/>
      <w:bookmarkEnd w:id="114"/>
      <w:bookmarkEnd w:id="115"/>
      <w:bookmarkEnd w:id="116"/>
      <w:bookmarkEnd w:id="117"/>
      <w:r w:rsidRPr="000C0842">
        <w:rPr>
          <w:rFonts w:eastAsia="KaiTi"/>
          <w:sz w:val="24"/>
          <w:szCs w:val="24"/>
        </w:rPr>
        <w:t>缔约方大会</w:t>
      </w:r>
      <w:r w:rsidRPr="000C0842">
        <w:rPr>
          <w:rFonts w:eastAsia="KaiTi" w:hint="eastAsia"/>
          <w:sz w:val="24"/>
          <w:szCs w:val="24"/>
          <w:lang w:val="en-GB"/>
        </w:rPr>
        <w:t>，</w:t>
      </w:r>
    </w:p>
    <w:p w14:paraId="12F84102" w14:textId="7BF0A2DB"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回顾</w:t>
      </w:r>
      <w:r w:rsidRPr="000C0842">
        <w:rPr>
          <w:rFonts w:eastAsia="SimSun"/>
          <w:iCs/>
          <w:sz w:val="24"/>
          <w:szCs w:val="24"/>
          <w:lang w:val="en-GB"/>
        </w:rPr>
        <w:t>1998</w:t>
      </w:r>
      <w:r w:rsidRPr="000C0842">
        <w:rPr>
          <w:rFonts w:eastAsia="SimSun"/>
          <w:iCs/>
          <w:sz w:val="24"/>
          <w:szCs w:val="24"/>
          <w:lang w:val="en-GB"/>
        </w:rPr>
        <w:t>年</w:t>
      </w:r>
      <w:r w:rsidRPr="000C0842">
        <w:rPr>
          <w:rFonts w:eastAsia="SimSun"/>
          <w:iCs/>
          <w:sz w:val="24"/>
          <w:szCs w:val="24"/>
          <w:lang w:val="en-GB"/>
        </w:rPr>
        <w:t>5</w:t>
      </w:r>
      <w:r w:rsidRPr="000C0842">
        <w:rPr>
          <w:rFonts w:eastAsia="SimSun"/>
          <w:iCs/>
          <w:sz w:val="24"/>
          <w:szCs w:val="24"/>
          <w:lang w:val="en-GB"/>
        </w:rPr>
        <w:t>月</w:t>
      </w:r>
      <w:r w:rsidRPr="000C0842">
        <w:rPr>
          <w:rFonts w:eastAsia="SimSun"/>
          <w:iCs/>
          <w:sz w:val="24"/>
          <w:szCs w:val="24"/>
          <w:lang w:val="en-GB"/>
        </w:rPr>
        <w:t>15</w:t>
      </w:r>
      <w:r w:rsidRPr="000C0842">
        <w:rPr>
          <w:rFonts w:eastAsia="SimSun"/>
          <w:iCs/>
          <w:sz w:val="24"/>
          <w:szCs w:val="24"/>
          <w:lang w:val="en-GB"/>
        </w:rPr>
        <w:t>日第</w:t>
      </w:r>
      <w:hyperlink r:id="rId254" w:history="1">
        <w:r w:rsidRPr="000C0842">
          <w:rPr>
            <w:rFonts w:eastAsia="SimSun"/>
            <w:iCs/>
            <w:sz w:val="24"/>
            <w:szCs w:val="24"/>
            <w:u w:val="single"/>
            <w:lang w:val="en-GB"/>
          </w:rPr>
          <w:t>IV/17</w:t>
        </w:r>
      </w:hyperlink>
      <w:r w:rsidRPr="000C0842">
        <w:rPr>
          <w:rFonts w:eastAsia="SimSun"/>
          <w:iCs/>
          <w:sz w:val="24"/>
          <w:szCs w:val="24"/>
          <w:lang w:val="en-GB"/>
        </w:rPr>
        <w:t>号决定、</w:t>
      </w:r>
      <w:r w:rsidRPr="000C0842">
        <w:rPr>
          <w:rFonts w:eastAsia="SimSun"/>
          <w:iCs/>
          <w:sz w:val="24"/>
          <w:szCs w:val="24"/>
          <w:lang w:val="en-GB"/>
        </w:rPr>
        <w:t>2004</w:t>
      </w:r>
      <w:r w:rsidRPr="000C0842">
        <w:rPr>
          <w:rFonts w:eastAsia="SimSun"/>
          <w:iCs/>
          <w:sz w:val="24"/>
          <w:szCs w:val="24"/>
          <w:lang w:val="en-GB"/>
        </w:rPr>
        <w:t>年</w:t>
      </w:r>
      <w:r w:rsidRPr="000C0842">
        <w:rPr>
          <w:rFonts w:eastAsia="SimSun"/>
          <w:iCs/>
          <w:sz w:val="24"/>
          <w:szCs w:val="24"/>
          <w:lang w:val="en-GB"/>
        </w:rPr>
        <w:t>2</w:t>
      </w:r>
      <w:r w:rsidRPr="000C0842">
        <w:rPr>
          <w:rFonts w:eastAsia="SimSun"/>
          <w:iCs/>
          <w:sz w:val="24"/>
          <w:szCs w:val="24"/>
          <w:lang w:val="en-GB"/>
        </w:rPr>
        <w:t>月</w:t>
      </w:r>
      <w:r w:rsidRPr="000C0842">
        <w:rPr>
          <w:rFonts w:eastAsia="SimSun"/>
          <w:iCs/>
          <w:sz w:val="24"/>
          <w:szCs w:val="24"/>
          <w:lang w:val="en-GB"/>
        </w:rPr>
        <w:t>20</w:t>
      </w:r>
      <w:r w:rsidRPr="000C0842">
        <w:rPr>
          <w:rFonts w:eastAsia="SimSun"/>
          <w:iCs/>
          <w:sz w:val="24"/>
          <w:szCs w:val="24"/>
          <w:lang w:val="en-GB"/>
        </w:rPr>
        <w:t>日第</w:t>
      </w:r>
      <w:hyperlink r:id="rId255" w:history="1">
        <w:r w:rsidRPr="000C0842">
          <w:rPr>
            <w:rFonts w:eastAsia="SimSun"/>
            <w:iCs/>
            <w:sz w:val="24"/>
            <w:szCs w:val="24"/>
            <w:u w:val="single"/>
            <w:lang w:val="en-GB"/>
          </w:rPr>
          <w:t>VII/33</w:t>
        </w:r>
      </w:hyperlink>
      <w:r w:rsidRPr="000C0842">
        <w:rPr>
          <w:rFonts w:eastAsia="SimSun"/>
          <w:iCs/>
          <w:sz w:val="24"/>
          <w:szCs w:val="24"/>
          <w:lang w:val="en-GB"/>
        </w:rPr>
        <w:t>号和第</w:t>
      </w:r>
      <w:hyperlink r:id="rId256" w:history="1">
        <w:r w:rsidRPr="000C0842">
          <w:rPr>
            <w:rFonts w:eastAsia="SimSun"/>
            <w:iCs/>
            <w:sz w:val="24"/>
            <w:szCs w:val="24"/>
            <w:u w:val="single"/>
            <w:lang w:val="en-GB"/>
          </w:rPr>
          <w:t>VII/34</w:t>
        </w:r>
      </w:hyperlink>
      <w:r w:rsidRPr="000C0842">
        <w:rPr>
          <w:rFonts w:eastAsia="SimSun"/>
          <w:iCs/>
          <w:sz w:val="24"/>
          <w:szCs w:val="24"/>
          <w:lang w:val="en-GB"/>
        </w:rPr>
        <w:t>号决定、</w:t>
      </w:r>
      <w:r w:rsidRPr="000C0842">
        <w:rPr>
          <w:rFonts w:eastAsia="SimSun"/>
          <w:iCs/>
          <w:sz w:val="24"/>
          <w:szCs w:val="24"/>
          <w:lang w:val="en-GB"/>
        </w:rPr>
        <w:t>2006</w:t>
      </w:r>
      <w:r w:rsidRPr="000C0842">
        <w:rPr>
          <w:rFonts w:eastAsia="SimSun"/>
          <w:iCs/>
          <w:sz w:val="24"/>
          <w:szCs w:val="24"/>
          <w:lang w:val="en-GB"/>
        </w:rPr>
        <w:t>年</w:t>
      </w:r>
      <w:r w:rsidRPr="000C0842">
        <w:rPr>
          <w:rFonts w:eastAsia="SimSun"/>
          <w:iCs/>
          <w:sz w:val="24"/>
          <w:szCs w:val="24"/>
          <w:lang w:val="en-GB"/>
        </w:rPr>
        <w:t>3</w:t>
      </w:r>
      <w:r w:rsidRPr="000C0842">
        <w:rPr>
          <w:rFonts w:eastAsia="SimSun"/>
          <w:iCs/>
          <w:sz w:val="24"/>
          <w:szCs w:val="24"/>
          <w:lang w:val="en-GB"/>
        </w:rPr>
        <w:t>月</w:t>
      </w:r>
      <w:r w:rsidRPr="000C0842">
        <w:rPr>
          <w:rFonts w:eastAsia="SimSun"/>
          <w:iCs/>
          <w:sz w:val="24"/>
          <w:szCs w:val="24"/>
          <w:lang w:val="en-GB"/>
        </w:rPr>
        <w:t>31</w:t>
      </w:r>
      <w:r w:rsidRPr="000C0842">
        <w:rPr>
          <w:rFonts w:eastAsia="SimSun"/>
          <w:iCs/>
          <w:sz w:val="24"/>
          <w:szCs w:val="24"/>
          <w:lang w:val="en-GB"/>
        </w:rPr>
        <w:t>日第</w:t>
      </w:r>
      <w:hyperlink r:id="rId257" w:history="1">
        <w:r w:rsidRPr="000C0842">
          <w:rPr>
            <w:rFonts w:eastAsia="SimSun"/>
            <w:iCs/>
            <w:sz w:val="24"/>
            <w:szCs w:val="24"/>
            <w:u w:val="single"/>
            <w:lang w:val="en-GB"/>
          </w:rPr>
          <w:t>VIII/10</w:t>
        </w:r>
      </w:hyperlink>
      <w:r w:rsidRPr="000C0842">
        <w:rPr>
          <w:rFonts w:eastAsia="SimSun"/>
          <w:iCs/>
          <w:sz w:val="24"/>
          <w:szCs w:val="24"/>
          <w:lang w:val="en-GB"/>
        </w:rPr>
        <w:t>号决定</w:t>
      </w:r>
      <w:r w:rsidR="001C5196" w:rsidRPr="000C0842">
        <w:rPr>
          <w:rFonts w:eastAsia="SimSun" w:hint="eastAsia"/>
          <w:iCs/>
          <w:sz w:val="24"/>
          <w:szCs w:val="24"/>
          <w:lang w:val="en-GB"/>
        </w:rPr>
        <w:t>和</w:t>
      </w:r>
      <w:r w:rsidRPr="000C0842">
        <w:rPr>
          <w:rFonts w:eastAsia="SimSun"/>
          <w:iCs/>
          <w:sz w:val="24"/>
          <w:szCs w:val="24"/>
          <w:lang w:val="en-GB"/>
        </w:rPr>
        <w:t>2010</w:t>
      </w:r>
      <w:r w:rsidRPr="000C0842">
        <w:rPr>
          <w:rFonts w:eastAsia="SimSun"/>
          <w:iCs/>
          <w:sz w:val="24"/>
          <w:szCs w:val="24"/>
          <w:lang w:val="en-GB"/>
        </w:rPr>
        <w:t>年</w:t>
      </w:r>
      <w:r w:rsidRPr="000C0842">
        <w:rPr>
          <w:rFonts w:eastAsia="SimSun"/>
          <w:iCs/>
          <w:sz w:val="24"/>
          <w:szCs w:val="24"/>
          <w:lang w:val="en-GB"/>
        </w:rPr>
        <w:t>10</w:t>
      </w:r>
      <w:r w:rsidRPr="000C0842">
        <w:rPr>
          <w:rFonts w:eastAsia="SimSun"/>
          <w:iCs/>
          <w:sz w:val="24"/>
          <w:szCs w:val="24"/>
          <w:lang w:val="en-GB"/>
        </w:rPr>
        <w:t>月</w:t>
      </w:r>
      <w:r w:rsidRPr="000C0842">
        <w:rPr>
          <w:rFonts w:eastAsia="SimSun"/>
          <w:iCs/>
          <w:sz w:val="24"/>
          <w:szCs w:val="24"/>
          <w:lang w:val="en-GB"/>
        </w:rPr>
        <w:t>29</w:t>
      </w:r>
      <w:r w:rsidRPr="000C0842">
        <w:rPr>
          <w:rFonts w:eastAsia="SimSun"/>
          <w:iCs/>
          <w:sz w:val="24"/>
          <w:szCs w:val="24"/>
          <w:lang w:val="en-GB"/>
        </w:rPr>
        <w:t>日第</w:t>
      </w:r>
      <w:hyperlink r:id="rId258" w:history="1">
        <w:r w:rsidRPr="000C0842">
          <w:rPr>
            <w:rFonts w:eastAsia="SimSun"/>
            <w:iCs/>
            <w:sz w:val="24"/>
            <w:szCs w:val="24"/>
            <w:u w:val="single"/>
            <w:lang w:val="en-GB"/>
          </w:rPr>
          <w:t>X/45</w:t>
        </w:r>
      </w:hyperlink>
      <w:r w:rsidRPr="000C0842">
        <w:rPr>
          <w:rFonts w:eastAsia="SimSun"/>
          <w:iCs/>
          <w:sz w:val="24"/>
          <w:szCs w:val="24"/>
          <w:lang w:val="en-GB"/>
        </w:rPr>
        <w:t>号决定，包括第</w:t>
      </w:r>
      <w:hyperlink r:id="rId259" w:history="1">
        <w:r w:rsidRPr="000C0842">
          <w:rPr>
            <w:rStyle w:val="Hyperlink"/>
            <w:rFonts w:eastAsia="SimSun"/>
            <w:iCs/>
            <w:color w:val="auto"/>
            <w:sz w:val="24"/>
            <w:szCs w:val="24"/>
            <w:lang w:val="en-GB"/>
          </w:rPr>
          <w:t>X/45</w:t>
        </w:r>
      </w:hyperlink>
      <w:r w:rsidRPr="000C0842">
        <w:rPr>
          <w:rFonts w:eastAsia="SimSun"/>
          <w:iCs/>
          <w:sz w:val="24"/>
          <w:szCs w:val="24"/>
          <w:lang w:val="en-GB"/>
        </w:rPr>
        <w:t>号决定附件一所载</w:t>
      </w:r>
      <w:r w:rsidRPr="000C0842">
        <w:rPr>
          <w:rFonts w:eastAsia="SimSun"/>
          <w:sz w:val="24"/>
          <w:szCs w:val="24"/>
          <w:lang w:val="en-GB"/>
        </w:rPr>
        <w:t>联合国环境规划署与生物多样性公约</w:t>
      </w:r>
      <w:r w:rsidRPr="000C0842">
        <w:rPr>
          <w:rFonts w:eastAsia="SimSun"/>
          <w:sz w:val="24"/>
          <w:szCs w:val="24"/>
          <w:vertAlign w:val="superscript"/>
          <w:lang w:val="en-GB"/>
        </w:rPr>
        <w:footnoteReference w:id="392"/>
      </w:r>
      <w:r w:rsidRPr="000C0842">
        <w:rPr>
          <w:rFonts w:eastAsia="SimSun"/>
          <w:sz w:val="24"/>
          <w:szCs w:val="24"/>
          <w:lang w:val="en-GB"/>
        </w:rPr>
        <w:t>秘书处之间经修订的行政安排，</w:t>
      </w:r>
    </w:p>
    <w:p w14:paraId="58E2B5ED"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KaiTi"/>
          <w:sz w:val="24"/>
          <w:szCs w:val="24"/>
        </w:rPr>
        <w:t>注意到</w:t>
      </w:r>
      <w:r w:rsidRPr="000C0842">
        <w:rPr>
          <w:rFonts w:eastAsia="SimSun" w:hint="eastAsia"/>
          <w:iCs/>
          <w:sz w:val="24"/>
          <w:szCs w:val="24"/>
          <w:lang w:val="en-GB"/>
        </w:rPr>
        <w:t>公约</w:t>
      </w:r>
      <w:r w:rsidRPr="000C0842">
        <w:rPr>
          <w:rFonts w:eastAsia="SimSun"/>
          <w:iCs/>
          <w:sz w:val="24"/>
          <w:szCs w:val="24"/>
          <w:lang w:val="en-GB"/>
        </w:rPr>
        <w:t>执行秘书职位招聘程序的进行也须遵照《联合国工作人员条例和细则》</w:t>
      </w:r>
      <w:r w:rsidRPr="000C0842">
        <w:rPr>
          <w:rFonts w:eastAsia="SimSun" w:hint="eastAsia"/>
          <w:iCs/>
          <w:sz w:val="24"/>
          <w:szCs w:val="24"/>
          <w:lang w:val="en-GB"/>
        </w:rPr>
        <w:t>，包括暂行工作人员细则</w:t>
      </w:r>
      <w:r w:rsidRPr="000C0842">
        <w:rPr>
          <w:rFonts w:eastAsia="SimSun"/>
          <w:iCs/>
          <w:sz w:val="24"/>
          <w:szCs w:val="24"/>
          <w:vertAlign w:val="superscript"/>
          <w:lang w:val="en-GB"/>
        </w:rPr>
        <w:footnoteReference w:id="393"/>
      </w:r>
      <w:r w:rsidRPr="000C0842">
        <w:rPr>
          <w:rFonts w:eastAsia="SimSun" w:hint="eastAsia"/>
          <w:iCs/>
          <w:sz w:val="24"/>
          <w:szCs w:val="24"/>
          <w:lang w:val="en-GB"/>
        </w:rPr>
        <w:t>，以及</w:t>
      </w:r>
      <w:r w:rsidRPr="000C0842">
        <w:rPr>
          <w:rFonts w:eastAsia="SimSun"/>
          <w:iCs/>
          <w:sz w:val="24"/>
          <w:szCs w:val="24"/>
          <w:lang w:val="en-GB"/>
        </w:rPr>
        <w:t>《联合国财务细则和条例》</w:t>
      </w:r>
      <w:r w:rsidRPr="000C0842">
        <w:rPr>
          <w:rFonts w:eastAsia="SimSun"/>
          <w:iCs/>
          <w:sz w:val="24"/>
          <w:szCs w:val="24"/>
          <w:vertAlign w:val="superscript"/>
          <w:lang w:val="en-GB"/>
        </w:rPr>
        <w:footnoteReference w:id="394"/>
      </w:r>
      <w:r w:rsidRPr="000C0842">
        <w:rPr>
          <w:rFonts w:eastAsia="SimSun"/>
          <w:iCs/>
          <w:sz w:val="24"/>
          <w:szCs w:val="24"/>
          <w:lang w:val="en-GB"/>
        </w:rPr>
        <w:t>，包括</w:t>
      </w:r>
      <w:r w:rsidRPr="000C0842">
        <w:rPr>
          <w:rFonts w:eastAsia="SimSun" w:hint="eastAsia"/>
          <w:iCs/>
          <w:sz w:val="24"/>
          <w:szCs w:val="24"/>
          <w:lang w:val="en-GB"/>
        </w:rPr>
        <w:t>其中</w:t>
      </w:r>
      <w:r w:rsidRPr="000C0842">
        <w:rPr>
          <w:rFonts w:eastAsia="SimSun"/>
          <w:iCs/>
          <w:sz w:val="24"/>
          <w:szCs w:val="24"/>
          <w:lang w:val="en-GB"/>
        </w:rPr>
        <w:t>与人力资源相关的细则和条例，</w:t>
      </w:r>
      <w:r w:rsidRPr="000C0842">
        <w:rPr>
          <w:rFonts w:eastAsia="SimSun"/>
          <w:sz w:val="24"/>
          <w:szCs w:val="24"/>
        </w:rPr>
        <w:t xml:space="preserve"> </w:t>
      </w:r>
    </w:p>
    <w:p w14:paraId="0C6A3AE3"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iCs/>
          <w:sz w:val="24"/>
          <w:szCs w:val="24"/>
          <w:lang w:val="en-GB"/>
        </w:rPr>
      </w:pPr>
      <w:r w:rsidRPr="000C0842">
        <w:rPr>
          <w:rFonts w:eastAsia="KaiTi"/>
          <w:sz w:val="24"/>
          <w:szCs w:val="24"/>
        </w:rPr>
        <w:t>强调</w:t>
      </w:r>
      <w:r w:rsidRPr="000C0842">
        <w:rPr>
          <w:rFonts w:eastAsia="SimSun"/>
          <w:sz w:val="24"/>
          <w:szCs w:val="24"/>
        </w:rPr>
        <w:t>有必要根据联合国环境规划署与</w:t>
      </w:r>
      <w:r w:rsidRPr="000C0842">
        <w:rPr>
          <w:rFonts w:eastAsia="SimSun"/>
          <w:iCs/>
          <w:sz w:val="24"/>
          <w:szCs w:val="24"/>
          <w:lang w:val="en-GB"/>
        </w:rPr>
        <w:t>秘书处之间</w:t>
      </w:r>
      <w:r w:rsidRPr="000C0842">
        <w:rPr>
          <w:rFonts w:eastAsia="SimSun" w:hint="eastAsia"/>
          <w:iCs/>
          <w:sz w:val="24"/>
          <w:szCs w:val="24"/>
          <w:lang w:val="en-GB"/>
        </w:rPr>
        <w:t>经修订的</w:t>
      </w:r>
      <w:r w:rsidRPr="000C0842">
        <w:rPr>
          <w:rFonts w:eastAsia="SimSun"/>
          <w:iCs/>
          <w:sz w:val="24"/>
          <w:szCs w:val="24"/>
          <w:lang w:val="en-GB"/>
        </w:rPr>
        <w:t>行政安排第二节的规定，在任命未来的执行秘书时采用包容、透明和客观的流程，并有必要</w:t>
      </w:r>
      <w:r w:rsidRPr="000C0842">
        <w:rPr>
          <w:rFonts w:eastAsia="SimSun" w:hint="eastAsia"/>
          <w:iCs/>
          <w:sz w:val="24"/>
          <w:szCs w:val="24"/>
          <w:lang w:val="en-GB"/>
        </w:rPr>
        <w:t>澄清</w:t>
      </w:r>
      <w:r w:rsidRPr="000C0842">
        <w:rPr>
          <w:rFonts w:eastAsia="SimSun"/>
          <w:iCs/>
          <w:sz w:val="24"/>
          <w:szCs w:val="24"/>
          <w:lang w:val="en-GB"/>
        </w:rPr>
        <w:t>程序和相关准则，确保缔约方能够通过缔约方大会主席团发挥其协商作用，在该职位的职权范围和审查推荐的候选人方面</w:t>
      </w:r>
      <w:r w:rsidRPr="000C0842">
        <w:rPr>
          <w:rFonts w:eastAsia="SimSun" w:hint="eastAsia"/>
          <w:iCs/>
          <w:sz w:val="24"/>
          <w:szCs w:val="24"/>
          <w:lang w:val="en-GB"/>
        </w:rPr>
        <w:t>尤其如此</w:t>
      </w:r>
      <w:r w:rsidRPr="000C0842">
        <w:rPr>
          <w:rFonts w:eastAsia="SimSun"/>
          <w:iCs/>
          <w:sz w:val="24"/>
          <w:szCs w:val="24"/>
          <w:lang w:val="en-GB"/>
        </w:rPr>
        <w:t>。</w:t>
      </w:r>
    </w:p>
    <w:p w14:paraId="6261DE9E"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回顾</w:t>
      </w:r>
      <w:r w:rsidRPr="000C0842">
        <w:rPr>
          <w:rFonts w:eastAsia="SimSun"/>
          <w:sz w:val="24"/>
          <w:szCs w:val="24"/>
        </w:rPr>
        <w:t>联合国环境规划署与秘书处之间</w:t>
      </w:r>
      <w:r w:rsidRPr="000C0842">
        <w:rPr>
          <w:rFonts w:eastAsia="SimSun" w:hint="eastAsia"/>
          <w:sz w:val="24"/>
          <w:szCs w:val="24"/>
        </w:rPr>
        <w:t>经修订的</w:t>
      </w:r>
      <w:r w:rsidRPr="000C0842">
        <w:rPr>
          <w:rFonts w:eastAsia="SimSun"/>
          <w:sz w:val="24"/>
          <w:szCs w:val="24"/>
        </w:rPr>
        <w:t>行政安排规定，执行秘书由联合国秘书长任命，秘书长将按照联合国环境规划署执行主任通过缔约方大会主席团与缔约方大会协商后推荐的人选进行此项任命，</w:t>
      </w:r>
    </w:p>
    <w:p w14:paraId="5FA65087"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KaiTi"/>
          <w:sz w:val="24"/>
          <w:szCs w:val="24"/>
        </w:rPr>
        <w:t>又回顾</w:t>
      </w:r>
      <w:r w:rsidRPr="000C0842">
        <w:rPr>
          <w:rFonts w:eastAsia="SimSun"/>
          <w:sz w:val="24"/>
          <w:szCs w:val="24"/>
        </w:rPr>
        <w:t>缔约方大会在其第</w:t>
      </w:r>
      <w:hyperlink r:id="rId260" w:history="1">
        <w:r w:rsidRPr="000C0842">
          <w:rPr>
            <w:rFonts w:eastAsia="SimSun"/>
            <w:sz w:val="24"/>
            <w:szCs w:val="24"/>
            <w:u w:val="single"/>
          </w:rPr>
          <w:t>VIII/10</w:t>
        </w:r>
      </w:hyperlink>
      <w:r w:rsidRPr="000C0842">
        <w:rPr>
          <w:rFonts w:eastAsia="SimSun"/>
          <w:sz w:val="24"/>
          <w:szCs w:val="24"/>
        </w:rPr>
        <w:t>号决定中</w:t>
      </w:r>
      <w:r w:rsidRPr="000C0842">
        <w:rPr>
          <w:rFonts w:eastAsia="SimSun" w:hint="eastAsia"/>
          <w:sz w:val="24"/>
          <w:szCs w:val="24"/>
        </w:rPr>
        <w:t>要求</w:t>
      </w:r>
      <w:r w:rsidRPr="000C0842">
        <w:rPr>
          <w:rFonts w:eastAsia="SimSun"/>
          <w:sz w:val="24"/>
          <w:szCs w:val="24"/>
        </w:rPr>
        <w:t>，执行秘书的任命过程须透明和客观，</w:t>
      </w:r>
      <w:r w:rsidRPr="000C0842">
        <w:rPr>
          <w:rFonts w:eastAsia="SimSun" w:hint="eastAsia"/>
          <w:sz w:val="24"/>
          <w:szCs w:val="24"/>
        </w:rPr>
        <w:t>并在其第</w:t>
      </w:r>
      <w:hyperlink r:id="rId261" w:history="1">
        <w:r w:rsidRPr="000C0842">
          <w:rPr>
            <w:rFonts w:eastAsia="SimSun" w:hint="eastAsia"/>
            <w:sz w:val="24"/>
            <w:szCs w:val="24"/>
            <w:u w:val="single"/>
          </w:rPr>
          <w:t>X/45</w:t>
        </w:r>
      </w:hyperlink>
      <w:r w:rsidRPr="000C0842">
        <w:rPr>
          <w:rFonts w:eastAsia="SimSun" w:hint="eastAsia"/>
          <w:sz w:val="24"/>
          <w:szCs w:val="24"/>
        </w:rPr>
        <w:t>号决定中核准</w:t>
      </w:r>
      <w:r w:rsidRPr="000C0842">
        <w:rPr>
          <w:rFonts w:eastAsia="SimSun" w:hint="eastAsia"/>
          <w:iCs/>
          <w:sz w:val="24"/>
          <w:szCs w:val="24"/>
        </w:rPr>
        <w:t>联合国环境规划署与秘书处之间经修订的行政安排，其中规定</w:t>
      </w:r>
      <w:r w:rsidRPr="000C0842">
        <w:rPr>
          <w:rFonts w:eastAsia="SimSun"/>
          <w:sz w:val="24"/>
          <w:szCs w:val="24"/>
        </w:rPr>
        <w:t>执行秘书的</w:t>
      </w:r>
      <w:r w:rsidRPr="000C0842">
        <w:rPr>
          <w:rFonts w:eastAsia="SimSun" w:hint="eastAsia"/>
          <w:sz w:val="24"/>
          <w:szCs w:val="24"/>
        </w:rPr>
        <w:t>任命</w:t>
      </w:r>
      <w:r w:rsidRPr="000C0842">
        <w:rPr>
          <w:rFonts w:eastAsia="SimSun"/>
          <w:sz w:val="24"/>
          <w:szCs w:val="24"/>
        </w:rPr>
        <w:t>过程</w:t>
      </w:r>
      <w:r w:rsidRPr="000C0842">
        <w:rPr>
          <w:rFonts w:eastAsia="SimSun" w:hint="eastAsia"/>
          <w:sz w:val="24"/>
          <w:szCs w:val="24"/>
        </w:rPr>
        <w:t>应透明和客观</w:t>
      </w:r>
      <w:r w:rsidRPr="000C0842">
        <w:rPr>
          <w:rFonts w:eastAsia="SimSun"/>
          <w:sz w:val="24"/>
          <w:szCs w:val="24"/>
        </w:rPr>
        <w:t>，</w:t>
      </w:r>
    </w:p>
    <w:p w14:paraId="0A6C31EC" w14:textId="77777777" w:rsidR="004C57B0" w:rsidRPr="000C0842" w:rsidRDefault="004C57B0">
      <w:pPr>
        <w:numPr>
          <w:ilvl w:val="0"/>
          <w:numId w:val="11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hint="eastAsia"/>
          <w:sz w:val="24"/>
          <w:szCs w:val="24"/>
        </w:rPr>
        <w:t>欢迎</w:t>
      </w:r>
      <w:r w:rsidRPr="000C0842">
        <w:rPr>
          <w:rFonts w:eastAsia="SimSun" w:hint="eastAsia"/>
          <w:sz w:val="24"/>
          <w:szCs w:val="24"/>
        </w:rPr>
        <w:t>2024</w:t>
      </w:r>
      <w:r w:rsidRPr="000C0842">
        <w:rPr>
          <w:rFonts w:eastAsia="SimSun"/>
          <w:sz w:val="24"/>
          <w:szCs w:val="24"/>
        </w:rPr>
        <w:t>年</w:t>
      </w:r>
      <w:r w:rsidRPr="000C0842">
        <w:rPr>
          <w:rFonts w:eastAsia="SimSun" w:hint="eastAsia"/>
          <w:sz w:val="24"/>
          <w:szCs w:val="24"/>
        </w:rPr>
        <w:t>7</w:t>
      </w:r>
      <w:r w:rsidRPr="000C0842">
        <w:rPr>
          <w:rFonts w:eastAsia="SimSun"/>
          <w:sz w:val="24"/>
          <w:szCs w:val="24"/>
        </w:rPr>
        <w:t>月</w:t>
      </w:r>
      <w:r w:rsidRPr="000C0842">
        <w:rPr>
          <w:rFonts w:eastAsia="SimSun" w:hint="eastAsia"/>
          <w:sz w:val="24"/>
          <w:szCs w:val="24"/>
        </w:rPr>
        <w:t>1</w:t>
      </w:r>
      <w:r w:rsidRPr="000C0842">
        <w:rPr>
          <w:rFonts w:eastAsia="SimSun"/>
          <w:sz w:val="24"/>
          <w:szCs w:val="24"/>
        </w:rPr>
        <w:t>日生效</w:t>
      </w:r>
      <w:r w:rsidRPr="000C0842">
        <w:rPr>
          <w:rFonts w:eastAsia="SimSun" w:hint="eastAsia"/>
          <w:sz w:val="24"/>
          <w:szCs w:val="24"/>
        </w:rPr>
        <w:t>的对</w:t>
      </w:r>
      <w:r w:rsidRPr="000C0842">
        <w:rPr>
          <w:rFonts w:eastAsia="SimSun"/>
          <w:sz w:val="24"/>
          <w:szCs w:val="24"/>
          <w:lang w:val="en-GB"/>
        </w:rPr>
        <w:t>Astrid Schomaker</w:t>
      </w:r>
      <w:r w:rsidRPr="000C0842">
        <w:rPr>
          <w:rFonts w:eastAsia="SimSun" w:hint="eastAsia"/>
          <w:sz w:val="24"/>
          <w:szCs w:val="24"/>
          <w:lang w:val="en-GB"/>
        </w:rPr>
        <w:t>的任命；</w:t>
      </w:r>
    </w:p>
    <w:p w14:paraId="73C3ED45" w14:textId="53459EFB" w:rsidR="004C57B0" w:rsidRPr="000C0842" w:rsidRDefault="004C57B0">
      <w:pPr>
        <w:numPr>
          <w:ilvl w:val="0"/>
          <w:numId w:val="110"/>
        </w:num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KaiTi"/>
          <w:sz w:val="24"/>
          <w:szCs w:val="24"/>
        </w:rPr>
        <w:t>做出以下澄清</w:t>
      </w:r>
      <w:r w:rsidRPr="000C0842">
        <w:rPr>
          <w:rFonts w:eastAsia="SimSun"/>
          <w:iCs/>
          <w:sz w:val="24"/>
          <w:szCs w:val="24"/>
          <w:lang w:val="en-GB"/>
        </w:rPr>
        <w:t>：</w:t>
      </w:r>
      <w:r w:rsidRPr="000C0842">
        <w:rPr>
          <w:rFonts w:eastAsia="SimSun"/>
          <w:sz w:val="24"/>
          <w:szCs w:val="24"/>
        </w:rPr>
        <w:t>为解释联合国环境规划署与生物多样性公约秘书处之间</w:t>
      </w:r>
      <w:r w:rsidRPr="000C0842">
        <w:rPr>
          <w:rFonts w:eastAsia="SimSun" w:hint="eastAsia"/>
          <w:sz w:val="24"/>
          <w:szCs w:val="24"/>
        </w:rPr>
        <w:t>经</w:t>
      </w:r>
      <w:r w:rsidRPr="000C0842">
        <w:rPr>
          <w:rFonts w:eastAsia="SimSun"/>
          <w:sz w:val="24"/>
          <w:szCs w:val="24"/>
        </w:rPr>
        <w:t>修订的行政安排第</w:t>
      </w:r>
      <w:r w:rsidRPr="000C0842">
        <w:rPr>
          <w:rFonts w:eastAsia="SimSun"/>
          <w:sz w:val="24"/>
          <w:szCs w:val="24"/>
        </w:rPr>
        <w:t>2</w:t>
      </w:r>
      <w:r w:rsidRPr="000C0842">
        <w:rPr>
          <w:rFonts w:eastAsia="SimSun" w:hint="eastAsia"/>
          <w:sz w:val="24"/>
          <w:szCs w:val="24"/>
        </w:rPr>
        <w:t>段</w:t>
      </w:r>
      <w:r w:rsidRPr="000C0842">
        <w:rPr>
          <w:rFonts w:eastAsia="SimSun"/>
          <w:sz w:val="24"/>
          <w:szCs w:val="24"/>
        </w:rPr>
        <w:t>之目的，如果</w:t>
      </w:r>
      <w:r w:rsidRPr="000C0842">
        <w:rPr>
          <w:rFonts w:eastAsia="SimSun" w:hint="eastAsia"/>
          <w:sz w:val="24"/>
          <w:szCs w:val="24"/>
        </w:rPr>
        <w:t>已</w:t>
      </w:r>
      <w:r w:rsidRPr="000C0842">
        <w:rPr>
          <w:rFonts w:eastAsia="SimSun"/>
          <w:sz w:val="24"/>
          <w:szCs w:val="24"/>
        </w:rPr>
        <w:t>采取以下所有行动，缔约方大会即认为</w:t>
      </w:r>
      <w:r w:rsidRPr="000C0842">
        <w:rPr>
          <w:rFonts w:eastAsia="SimSun" w:hint="eastAsia"/>
          <w:sz w:val="24"/>
          <w:szCs w:val="24"/>
        </w:rPr>
        <w:t>在公约执行秘书的任命过程中</w:t>
      </w:r>
      <w:r w:rsidRPr="000C0842">
        <w:rPr>
          <w:rFonts w:eastAsia="SimSun"/>
          <w:sz w:val="24"/>
          <w:szCs w:val="24"/>
        </w:rPr>
        <w:t>已通过其主席团与其进行妥当</w:t>
      </w:r>
      <w:r w:rsidR="00233C52" w:rsidRPr="000C0842">
        <w:rPr>
          <w:rFonts w:eastAsia="SimSun" w:hint="eastAsia"/>
          <w:sz w:val="24"/>
          <w:szCs w:val="24"/>
        </w:rPr>
        <w:t>磋商</w:t>
      </w:r>
      <w:r w:rsidRPr="000C0842">
        <w:rPr>
          <w:rFonts w:eastAsia="SimSun"/>
          <w:sz w:val="24"/>
          <w:szCs w:val="24"/>
        </w:rPr>
        <w:t>：</w:t>
      </w:r>
    </w:p>
    <w:p w14:paraId="3E72554C"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(a)</w:t>
      </w:r>
      <w:r w:rsidRPr="000C0842">
        <w:rPr>
          <w:rFonts w:eastAsia="SimSun"/>
          <w:sz w:val="24"/>
          <w:szCs w:val="24"/>
          <w:lang w:val="en-GB"/>
        </w:rPr>
        <w:tab/>
      </w:r>
      <w:r w:rsidRPr="000C0842">
        <w:rPr>
          <w:rFonts w:eastAsia="SimSun"/>
          <w:sz w:val="24"/>
          <w:szCs w:val="24"/>
        </w:rPr>
        <w:t>联合国环境规划署执行主任向主席团</w:t>
      </w:r>
      <w:r w:rsidRPr="000C0842">
        <w:rPr>
          <w:rFonts w:eastAsia="SimSun" w:hint="eastAsia"/>
          <w:sz w:val="24"/>
          <w:szCs w:val="24"/>
        </w:rPr>
        <w:t>提交</w:t>
      </w:r>
      <w:r w:rsidRPr="000C0842">
        <w:rPr>
          <w:rFonts w:eastAsia="SimSun"/>
          <w:sz w:val="24"/>
          <w:szCs w:val="24"/>
        </w:rPr>
        <w:t>了新执行秘书</w:t>
      </w:r>
      <w:r w:rsidRPr="000C0842">
        <w:rPr>
          <w:rFonts w:eastAsia="SimSun" w:hint="eastAsia"/>
          <w:sz w:val="24"/>
          <w:szCs w:val="24"/>
        </w:rPr>
        <w:t>遴选工作</w:t>
      </w:r>
      <w:r w:rsidRPr="000C0842">
        <w:rPr>
          <w:rFonts w:eastAsia="SimSun"/>
          <w:sz w:val="24"/>
          <w:szCs w:val="24"/>
        </w:rPr>
        <w:t>的</w:t>
      </w:r>
      <w:r w:rsidRPr="000C0842">
        <w:rPr>
          <w:rFonts w:eastAsia="SimSun" w:hint="eastAsia"/>
          <w:sz w:val="24"/>
          <w:szCs w:val="24"/>
        </w:rPr>
        <w:t>拟议</w:t>
      </w:r>
      <w:r w:rsidRPr="000C0842">
        <w:rPr>
          <w:rFonts w:eastAsia="SimSun"/>
          <w:sz w:val="24"/>
          <w:szCs w:val="24"/>
        </w:rPr>
        <w:t>职权范围，其中包括用于指导招聘过程的标准；</w:t>
      </w:r>
    </w:p>
    <w:p w14:paraId="433F075F"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(b)</w:t>
      </w:r>
      <w:r w:rsidRPr="000C0842">
        <w:rPr>
          <w:rFonts w:eastAsia="SimSun"/>
          <w:sz w:val="24"/>
          <w:szCs w:val="24"/>
          <w:lang w:val="en-GB"/>
        </w:rPr>
        <w:tab/>
      </w:r>
      <w:r w:rsidRPr="000C0842">
        <w:rPr>
          <w:rFonts w:eastAsia="SimSun"/>
          <w:sz w:val="24"/>
          <w:szCs w:val="24"/>
        </w:rPr>
        <w:t>主席团</w:t>
      </w:r>
      <w:r w:rsidRPr="000C0842">
        <w:rPr>
          <w:rFonts w:eastAsia="SimSun" w:hint="eastAsia"/>
          <w:sz w:val="24"/>
          <w:szCs w:val="24"/>
        </w:rPr>
        <w:t>在</w:t>
      </w:r>
      <w:r w:rsidRPr="000C0842">
        <w:rPr>
          <w:rFonts w:eastAsia="SimSun"/>
          <w:sz w:val="24"/>
          <w:szCs w:val="24"/>
        </w:rPr>
        <w:t>一个月</w:t>
      </w:r>
      <w:r w:rsidRPr="000C0842">
        <w:rPr>
          <w:rFonts w:eastAsia="SimSun" w:hint="eastAsia"/>
          <w:sz w:val="24"/>
          <w:szCs w:val="24"/>
        </w:rPr>
        <w:t>内审议</w:t>
      </w:r>
      <w:r w:rsidRPr="000C0842">
        <w:rPr>
          <w:rFonts w:eastAsia="SimSun"/>
          <w:sz w:val="24"/>
          <w:szCs w:val="24"/>
        </w:rPr>
        <w:t>拟议职权范围，并</w:t>
      </w:r>
      <w:r w:rsidRPr="000C0842">
        <w:rPr>
          <w:rFonts w:eastAsia="SimSun" w:hint="eastAsia"/>
          <w:sz w:val="24"/>
          <w:szCs w:val="24"/>
        </w:rPr>
        <w:t>将</w:t>
      </w:r>
      <w:r w:rsidRPr="000C0842">
        <w:rPr>
          <w:rFonts w:eastAsia="SimSun"/>
          <w:sz w:val="24"/>
          <w:szCs w:val="24"/>
        </w:rPr>
        <w:t>意见</w:t>
      </w:r>
      <w:r w:rsidRPr="000C0842">
        <w:rPr>
          <w:rFonts w:eastAsia="SimSun" w:hint="eastAsia"/>
          <w:sz w:val="24"/>
          <w:szCs w:val="24"/>
        </w:rPr>
        <w:t>通过缔约方大会主席</w:t>
      </w:r>
      <w:r w:rsidRPr="000C0842">
        <w:rPr>
          <w:rFonts w:eastAsia="SimSun"/>
          <w:sz w:val="24"/>
          <w:szCs w:val="24"/>
        </w:rPr>
        <w:t>转达执行主任；</w:t>
      </w:r>
    </w:p>
    <w:p w14:paraId="640A9B48"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(c)</w:t>
      </w:r>
      <w:r w:rsidRPr="000C0842">
        <w:rPr>
          <w:rFonts w:eastAsia="SimSun"/>
          <w:sz w:val="24"/>
          <w:szCs w:val="24"/>
          <w:lang w:val="en-GB"/>
        </w:rPr>
        <w:tab/>
      </w:r>
      <w:r w:rsidRPr="000C0842">
        <w:rPr>
          <w:rFonts w:eastAsia="SimSun" w:hint="eastAsia"/>
          <w:sz w:val="24"/>
          <w:szCs w:val="24"/>
        </w:rPr>
        <w:t>执行主任以书面形式向主席团通报最后确定的职权范围，并说明接受或不接受主席团意见的理由</w:t>
      </w:r>
      <w:r w:rsidRPr="000C0842">
        <w:rPr>
          <w:rFonts w:eastAsia="SimSun"/>
          <w:sz w:val="24"/>
          <w:szCs w:val="24"/>
        </w:rPr>
        <w:t>；</w:t>
      </w:r>
    </w:p>
    <w:p w14:paraId="05F3F5D9"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lang w:val="en-GB"/>
        </w:rPr>
      </w:pPr>
      <w:r w:rsidRPr="000C0842">
        <w:rPr>
          <w:rFonts w:eastAsia="SimSun"/>
          <w:sz w:val="24"/>
          <w:szCs w:val="24"/>
          <w:lang w:val="en-GB"/>
        </w:rPr>
        <w:t>(d)</w:t>
      </w:r>
      <w:r w:rsidRPr="000C0842">
        <w:rPr>
          <w:rFonts w:eastAsia="SimSun"/>
          <w:sz w:val="24"/>
          <w:szCs w:val="24"/>
          <w:lang w:val="en-GB"/>
        </w:rPr>
        <w:tab/>
      </w:r>
      <w:r w:rsidRPr="000C0842">
        <w:rPr>
          <w:rFonts w:eastAsia="SimSun"/>
          <w:sz w:val="24"/>
          <w:szCs w:val="24"/>
        </w:rPr>
        <w:t>在确立开放供所有缔约方提名的透明征聘程序</w:t>
      </w:r>
      <w:r w:rsidRPr="000C0842">
        <w:rPr>
          <w:rFonts w:eastAsia="SimSun" w:hint="eastAsia"/>
          <w:sz w:val="24"/>
          <w:szCs w:val="24"/>
        </w:rPr>
        <w:t>以及遴选</w:t>
      </w:r>
      <w:r w:rsidRPr="000C0842">
        <w:rPr>
          <w:rFonts w:eastAsia="SimSun"/>
          <w:sz w:val="24"/>
          <w:szCs w:val="24"/>
        </w:rPr>
        <w:t>程序，导致</w:t>
      </w:r>
      <w:r w:rsidRPr="000C0842">
        <w:rPr>
          <w:rFonts w:eastAsia="SimSun" w:hint="eastAsia"/>
          <w:sz w:val="24"/>
          <w:szCs w:val="24"/>
        </w:rPr>
        <w:t>选定一个可能人选之后，</w:t>
      </w:r>
      <w:r w:rsidRPr="000C0842">
        <w:rPr>
          <w:rFonts w:eastAsia="SimSun"/>
          <w:sz w:val="24"/>
          <w:szCs w:val="24"/>
          <w:lang w:val="en-GB"/>
        </w:rPr>
        <w:t>执行主任向联合国秘书长报告缔约方大会主席团的讨论情况，无论协商一致还是表达不同意见，主席团有一个月时间以符合适用于招聘程序的规则的方式考虑向其提供的信息</w:t>
      </w:r>
      <w:r w:rsidRPr="000C0842">
        <w:rPr>
          <w:rFonts w:eastAsia="SimSun" w:hint="eastAsia"/>
          <w:sz w:val="24"/>
          <w:szCs w:val="24"/>
        </w:rPr>
        <w:t>；</w:t>
      </w:r>
    </w:p>
    <w:p w14:paraId="7B2B2D64" w14:textId="77777777" w:rsidR="004C57B0" w:rsidRPr="000C0842" w:rsidRDefault="004C57B0" w:rsidP="004C57B0">
      <w:p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SimSun" w:hint="eastAsia"/>
          <w:sz w:val="24"/>
          <w:szCs w:val="24"/>
        </w:rPr>
        <w:t xml:space="preserve">(e) </w:t>
      </w:r>
      <w:r w:rsidRPr="000C0842">
        <w:rPr>
          <w:rFonts w:eastAsia="SimSun"/>
          <w:sz w:val="24"/>
          <w:szCs w:val="24"/>
        </w:rPr>
        <w:tab/>
      </w:r>
      <w:r w:rsidRPr="000C0842">
        <w:rPr>
          <w:rFonts w:eastAsia="SimSun" w:hint="eastAsia"/>
          <w:sz w:val="24"/>
          <w:szCs w:val="24"/>
        </w:rPr>
        <w:t>如果执行主任与主席团的磋商涉及执行秘书的重新任命，主席团在一个月内通过协商一致或表示不同意见的方式，就执行秘书在方案交付和政策相关问题方面的业绩表现拟订出意见，在这方面应考虑到把交给执行秘书支配的财政和人力资源分配用于帮助成功实施工作方案的情况，同时由主席团成员就此与各自代表的国家磋商，主席把该意见转达执行主任，以供列入执行主任向秘书长提交的建议；</w:t>
      </w:r>
      <w:r w:rsidRPr="000C0842">
        <w:rPr>
          <w:rFonts w:eastAsia="SimSun" w:hint="eastAsia"/>
          <w:sz w:val="24"/>
          <w:szCs w:val="24"/>
        </w:rPr>
        <w:t xml:space="preserve"> </w:t>
      </w:r>
    </w:p>
    <w:p w14:paraId="427951EF" w14:textId="50F8FAF3" w:rsidR="004C57B0" w:rsidRPr="000C0842" w:rsidRDefault="004C57B0">
      <w:pPr>
        <w:numPr>
          <w:ilvl w:val="0"/>
          <w:numId w:val="110"/>
        </w:numPr>
        <w:tabs>
          <w:tab w:val="clear" w:pos="567"/>
          <w:tab w:val="clear" w:pos="1134"/>
          <w:tab w:val="clear" w:pos="1701"/>
          <w:tab w:val="clear" w:pos="2268"/>
        </w:tabs>
        <w:spacing w:before="120" w:after="120" w:line="240" w:lineRule="atLeast"/>
        <w:ind w:left="490" w:firstLine="490"/>
        <w:rPr>
          <w:rFonts w:eastAsia="SimSun"/>
          <w:sz w:val="24"/>
          <w:szCs w:val="24"/>
        </w:rPr>
      </w:pPr>
      <w:r w:rsidRPr="000C0842">
        <w:rPr>
          <w:rFonts w:eastAsia="KaiTi" w:hint="eastAsia"/>
          <w:sz w:val="24"/>
          <w:szCs w:val="24"/>
        </w:rPr>
        <w:t>决定</w:t>
      </w:r>
      <w:r w:rsidRPr="000C0842">
        <w:rPr>
          <w:rFonts w:eastAsia="SimSun" w:hint="eastAsia"/>
          <w:sz w:val="24"/>
          <w:szCs w:val="24"/>
        </w:rPr>
        <w:t>所有执行秘书的任期为两年，可</w:t>
      </w:r>
      <w:r w:rsidR="00497773" w:rsidRPr="000C0842">
        <w:rPr>
          <w:rFonts w:eastAsia="SimSun" w:hint="eastAsia"/>
          <w:sz w:val="24"/>
          <w:szCs w:val="24"/>
        </w:rPr>
        <w:t>视业绩</w:t>
      </w:r>
      <w:r w:rsidRPr="000C0842">
        <w:rPr>
          <w:rFonts w:eastAsia="SimSun" w:hint="eastAsia"/>
          <w:sz w:val="24"/>
          <w:szCs w:val="24"/>
        </w:rPr>
        <w:t>表现</w:t>
      </w:r>
      <w:r w:rsidR="00233C52" w:rsidRPr="000C0842">
        <w:rPr>
          <w:rFonts w:eastAsia="SimSun" w:hint="eastAsia"/>
          <w:sz w:val="24"/>
          <w:szCs w:val="24"/>
        </w:rPr>
        <w:t>连任一届</w:t>
      </w:r>
      <w:r w:rsidRPr="000C0842">
        <w:rPr>
          <w:rFonts w:eastAsia="SimSun" w:hint="eastAsia"/>
          <w:sz w:val="24"/>
          <w:szCs w:val="24"/>
        </w:rPr>
        <w:t>。</w:t>
      </w:r>
    </w:p>
    <w:p w14:paraId="5DF84473" w14:textId="77777777" w:rsidR="004C57B0" w:rsidRPr="000C0842" w:rsidRDefault="004C57B0">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0186A8AD" w14:textId="2B81188B" w:rsidR="004C57B0" w:rsidRPr="000C0842" w:rsidRDefault="004C57B0" w:rsidP="002437E6">
      <w:pPr>
        <w:pStyle w:val="a1"/>
        <w:rPr>
          <w:rFonts w:hint="eastAsia"/>
          <w:lang w:eastAsia="zh-CN"/>
        </w:rPr>
      </w:pPr>
      <w:bookmarkStart w:id="118" w:name="_Toc206358228"/>
      <w:r w:rsidRPr="000C0842">
        <w:rPr>
          <w:lang w:eastAsia="zh-CN"/>
        </w:rPr>
        <w:t xml:space="preserve">16/31. </w:t>
      </w:r>
      <w:r w:rsidRPr="000C0842">
        <w:rPr>
          <w:lang w:eastAsia="zh-CN"/>
        </w:rPr>
        <w:t>《昆明</w:t>
      </w:r>
      <w:r w:rsidRPr="000C0842">
        <w:rPr>
          <w:lang w:eastAsia="zh-CN"/>
        </w:rPr>
        <w:t>-</w:t>
      </w:r>
      <w:r w:rsidRPr="000C0842">
        <w:rPr>
          <w:lang w:eastAsia="zh-CN"/>
        </w:rPr>
        <w:t>蒙特利尔全球生物多样性框架》的监测框架</w:t>
      </w:r>
      <w:bookmarkEnd w:id="118"/>
    </w:p>
    <w:p w14:paraId="260196B8" w14:textId="77777777" w:rsidR="004C57B0" w:rsidRPr="000C0842" w:rsidRDefault="004C57B0" w:rsidP="000431A0">
      <w:pPr>
        <w:tabs>
          <w:tab w:val="clear" w:pos="567"/>
          <w:tab w:val="clear" w:pos="1134"/>
          <w:tab w:val="clear" w:pos="1701"/>
          <w:tab w:val="clear" w:pos="2268"/>
        </w:tabs>
        <w:snapToGrid w:val="0"/>
        <w:spacing w:before="240" w:after="120"/>
        <w:ind w:left="490" w:firstLine="490"/>
        <w:rPr>
          <w:rFonts w:eastAsia="KaiTi"/>
          <w:iCs/>
          <w:sz w:val="24"/>
          <w:szCs w:val="24"/>
        </w:rPr>
      </w:pPr>
      <w:r w:rsidRPr="000C0842">
        <w:rPr>
          <w:rFonts w:eastAsia="KaiTi" w:hint="eastAsia"/>
          <w:iCs/>
          <w:sz w:val="24"/>
          <w:szCs w:val="24"/>
        </w:rPr>
        <w:t>缔约方大会，</w:t>
      </w:r>
    </w:p>
    <w:p w14:paraId="25FFC838"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iCs/>
          <w:sz w:val="24"/>
          <w:szCs w:val="24"/>
        </w:rPr>
        <w:t>回顾</w:t>
      </w:r>
      <w:r w:rsidRPr="000C0842">
        <w:rPr>
          <w:rFonts w:eastAsia="SimSun" w:hint="eastAsia"/>
          <w:iCs/>
          <w:sz w:val="24"/>
          <w:szCs w:val="24"/>
        </w:rPr>
        <w:t>其</w:t>
      </w:r>
      <w:r w:rsidRPr="000C0842">
        <w:rPr>
          <w:rFonts w:eastAsia="SimSun"/>
          <w:iCs/>
          <w:sz w:val="24"/>
          <w:szCs w:val="24"/>
        </w:rPr>
        <w:t xml:space="preserve"> 2022 </w:t>
      </w:r>
      <w:r w:rsidRPr="000C0842">
        <w:rPr>
          <w:rFonts w:eastAsia="SimSun" w:hint="eastAsia"/>
          <w:iCs/>
          <w:sz w:val="24"/>
          <w:szCs w:val="24"/>
        </w:rPr>
        <w:t>年</w:t>
      </w:r>
      <w:r w:rsidRPr="000C0842">
        <w:rPr>
          <w:rFonts w:eastAsia="SimSun"/>
          <w:iCs/>
          <w:sz w:val="24"/>
          <w:szCs w:val="24"/>
        </w:rPr>
        <w:t xml:space="preserve"> 12 </w:t>
      </w:r>
      <w:r w:rsidRPr="000C0842">
        <w:rPr>
          <w:rFonts w:eastAsia="SimSun" w:hint="eastAsia"/>
          <w:iCs/>
          <w:sz w:val="24"/>
          <w:szCs w:val="24"/>
        </w:rPr>
        <w:t>月</w:t>
      </w:r>
      <w:r w:rsidRPr="000C0842">
        <w:rPr>
          <w:rFonts w:eastAsia="SimSun"/>
          <w:iCs/>
          <w:sz w:val="24"/>
          <w:szCs w:val="24"/>
        </w:rPr>
        <w:t xml:space="preserve"> 19 </w:t>
      </w:r>
      <w:r w:rsidRPr="000C0842">
        <w:rPr>
          <w:rFonts w:eastAsia="SimSun" w:hint="eastAsia"/>
          <w:iCs/>
          <w:sz w:val="24"/>
          <w:szCs w:val="24"/>
        </w:rPr>
        <w:t>日第</w:t>
      </w:r>
      <w:r w:rsidRPr="000C0842">
        <w:rPr>
          <w:rFonts w:eastAsia="SimSun"/>
          <w:iCs/>
          <w:sz w:val="24"/>
          <w:szCs w:val="24"/>
        </w:rPr>
        <w:t xml:space="preserve"> </w:t>
      </w:r>
      <w:hyperlink r:id="rId262" w:history="1">
        <w:r w:rsidRPr="000C0842">
          <w:rPr>
            <w:rFonts w:eastAsia="SimSun"/>
            <w:iCs/>
            <w:sz w:val="24"/>
            <w:szCs w:val="24"/>
            <w:u w:val="single"/>
          </w:rPr>
          <w:t>15/5</w:t>
        </w:r>
      </w:hyperlink>
      <w:r w:rsidRPr="000C0842">
        <w:rPr>
          <w:rFonts w:eastAsia="SimSun"/>
          <w:iCs/>
          <w:sz w:val="24"/>
          <w:szCs w:val="24"/>
        </w:rPr>
        <w:t xml:space="preserve"> </w:t>
      </w:r>
      <w:r w:rsidRPr="000C0842">
        <w:rPr>
          <w:rFonts w:eastAsia="SimSun" w:hint="eastAsia"/>
          <w:iCs/>
          <w:sz w:val="24"/>
          <w:szCs w:val="24"/>
        </w:rPr>
        <w:t>号决定，其中通过了《昆明</w:t>
      </w:r>
      <w:r w:rsidRPr="000C0842">
        <w:rPr>
          <w:rFonts w:eastAsia="SimSun"/>
          <w:iCs/>
          <w:sz w:val="24"/>
          <w:szCs w:val="24"/>
        </w:rPr>
        <w:t>-</w:t>
      </w:r>
      <w:r w:rsidRPr="000C0842">
        <w:rPr>
          <w:rFonts w:eastAsia="SimSun" w:hint="eastAsia"/>
          <w:iCs/>
          <w:sz w:val="24"/>
          <w:szCs w:val="24"/>
        </w:rPr>
        <w:t>蒙特利尔全球生物多样性框架》的监测框架，并设立了昆明</w:t>
      </w:r>
      <w:r w:rsidRPr="000C0842">
        <w:rPr>
          <w:rFonts w:eastAsia="SimSun"/>
          <w:iCs/>
          <w:sz w:val="24"/>
          <w:szCs w:val="24"/>
        </w:rPr>
        <w:t>-</w:t>
      </w:r>
      <w:r w:rsidRPr="000C0842">
        <w:rPr>
          <w:rFonts w:eastAsia="SimSun" w:hint="eastAsia"/>
          <w:iCs/>
          <w:sz w:val="24"/>
          <w:szCs w:val="24"/>
        </w:rPr>
        <w:t>蒙特利尔全球生物多样性框架指标问题特设技术专家组，</w:t>
      </w:r>
    </w:p>
    <w:p w14:paraId="60B0D43C"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hint="eastAsia"/>
          <w:iCs/>
          <w:sz w:val="24"/>
          <w:szCs w:val="24"/>
        </w:rPr>
        <w:t>又回顾</w:t>
      </w:r>
      <w:r w:rsidRPr="000C0842">
        <w:rPr>
          <w:rFonts w:eastAsia="SimSun" w:hint="eastAsia"/>
          <w:iCs/>
          <w:sz w:val="24"/>
          <w:szCs w:val="24"/>
        </w:rPr>
        <w:t>其</w:t>
      </w:r>
      <w:r w:rsidRPr="000C0842">
        <w:rPr>
          <w:rFonts w:eastAsia="SimSun"/>
          <w:iCs/>
          <w:sz w:val="24"/>
          <w:szCs w:val="24"/>
        </w:rPr>
        <w:t xml:space="preserve"> 2022 </w:t>
      </w:r>
      <w:r w:rsidRPr="000C0842">
        <w:rPr>
          <w:rFonts w:eastAsia="SimSun" w:hint="eastAsia"/>
          <w:iCs/>
          <w:sz w:val="24"/>
          <w:szCs w:val="24"/>
        </w:rPr>
        <w:t>年</w:t>
      </w:r>
      <w:r w:rsidRPr="000C0842">
        <w:rPr>
          <w:rFonts w:eastAsia="SimSun"/>
          <w:iCs/>
          <w:sz w:val="24"/>
          <w:szCs w:val="24"/>
        </w:rPr>
        <w:t xml:space="preserve"> 12 </w:t>
      </w:r>
      <w:r w:rsidRPr="000C0842">
        <w:rPr>
          <w:rFonts w:eastAsia="SimSun" w:hint="eastAsia"/>
          <w:iCs/>
          <w:sz w:val="24"/>
          <w:szCs w:val="24"/>
        </w:rPr>
        <w:t>月</w:t>
      </w:r>
      <w:r w:rsidRPr="000C0842">
        <w:rPr>
          <w:rFonts w:eastAsia="SimSun"/>
          <w:iCs/>
          <w:sz w:val="24"/>
          <w:szCs w:val="24"/>
        </w:rPr>
        <w:t xml:space="preserve"> 19 </w:t>
      </w:r>
      <w:r w:rsidRPr="000C0842">
        <w:rPr>
          <w:rFonts w:eastAsia="SimSun" w:hint="eastAsia"/>
          <w:iCs/>
          <w:sz w:val="24"/>
          <w:szCs w:val="24"/>
        </w:rPr>
        <w:t>日第</w:t>
      </w:r>
      <w:r w:rsidRPr="000C0842">
        <w:rPr>
          <w:rFonts w:eastAsia="SimSun"/>
          <w:iCs/>
          <w:sz w:val="24"/>
          <w:szCs w:val="24"/>
        </w:rPr>
        <w:t xml:space="preserve"> </w:t>
      </w:r>
      <w:hyperlink r:id="rId263" w:history="1">
        <w:r w:rsidRPr="000C0842">
          <w:rPr>
            <w:rFonts w:eastAsia="SimSun"/>
            <w:iCs/>
            <w:sz w:val="24"/>
            <w:szCs w:val="24"/>
            <w:u w:val="single"/>
          </w:rPr>
          <w:t>15/4</w:t>
        </w:r>
      </w:hyperlink>
      <w:r w:rsidRPr="000C0842">
        <w:rPr>
          <w:rFonts w:eastAsia="SimSun" w:hint="eastAsia"/>
          <w:iCs/>
          <w:sz w:val="24"/>
          <w:szCs w:val="24"/>
        </w:rPr>
        <w:t>号、第</w:t>
      </w:r>
      <w:hyperlink r:id="rId264" w:history="1">
        <w:r w:rsidRPr="000C0842">
          <w:rPr>
            <w:rFonts w:eastAsia="SimSun" w:hint="eastAsia"/>
            <w:iCs/>
            <w:sz w:val="24"/>
            <w:szCs w:val="24"/>
            <w:u w:val="single"/>
          </w:rPr>
          <w:t>15/6</w:t>
        </w:r>
      </w:hyperlink>
      <w:r w:rsidRPr="000C0842">
        <w:rPr>
          <w:rFonts w:eastAsia="SimSun" w:hint="eastAsia"/>
          <w:iCs/>
          <w:sz w:val="24"/>
          <w:szCs w:val="24"/>
        </w:rPr>
        <w:t>号、第</w:t>
      </w:r>
      <w:hyperlink r:id="rId265" w:history="1">
        <w:r w:rsidRPr="000C0842">
          <w:rPr>
            <w:rFonts w:eastAsia="SimSun" w:hint="eastAsia"/>
            <w:iCs/>
            <w:sz w:val="24"/>
            <w:szCs w:val="24"/>
            <w:u w:val="single"/>
          </w:rPr>
          <w:t>15/7</w:t>
        </w:r>
      </w:hyperlink>
      <w:r w:rsidRPr="000C0842">
        <w:rPr>
          <w:rFonts w:eastAsia="SimSun" w:hint="eastAsia"/>
          <w:iCs/>
          <w:sz w:val="24"/>
          <w:szCs w:val="24"/>
        </w:rPr>
        <w:t>号和第</w:t>
      </w:r>
      <w:hyperlink r:id="rId266" w:history="1">
        <w:r w:rsidRPr="000C0842">
          <w:rPr>
            <w:rFonts w:eastAsia="SimSun"/>
            <w:iCs/>
            <w:sz w:val="24"/>
            <w:szCs w:val="24"/>
            <w:u w:val="single"/>
          </w:rPr>
          <w:t>15/8</w:t>
        </w:r>
      </w:hyperlink>
      <w:r w:rsidRPr="000C0842">
        <w:rPr>
          <w:rFonts w:eastAsia="SimSun" w:hint="eastAsia"/>
          <w:iCs/>
          <w:sz w:val="24"/>
          <w:szCs w:val="24"/>
        </w:rPr>
        <w:t>号决定，</w:t>
      </w:r>
      <w:r w:rsidRPr="000C0842">
        <w:rPr>
          <w:rFonts w:eastAsia="SimSun" w:hint="eastAsia"/>
          <w:iCs/>
          <w:sz w:val="24"/>
          <w:szCs w:val="24"/>
        </w:rPr>
        <w:t>2022</w:t>
      </w:r>
      <w:r w:rsidRPr="000C0842">
        <w:rPr>
          <w:rFonts w:eastAsia="SimSun" w:hint="eastAsia"/>
          <w:iCs/>
          <w:sz w:val="24"/>
          <w:szCs w:val="24"/>
        </w:rPr>
        <w:t>年</w:t>
      </w:r>
      <w:r w:rsidRPr="000C0842">
        <w:rPr>
          <w:rFonts w:eastAsia="SimSun" w:hint="eastAsia"/>
          <w:iCs/>
          <w:sz w:val="24"/>
          <w:szCs w:val="24"/>
        </w:rPr>
        <w:t>12</w:t>
      </w:r>
      <w:r w:rsidRPr="000C0842">
        <w:rPr>
          <w:rFonts w:eastAsia="SimSun" w:hint="eastAsia"/>
          <w:iCs/>
          <w:sz w:val="24"/>
          <w:szCs w:val="24"/>
        </w:rPr>
        <w:t>月</w:t>
      </w:r>
      <w:r w:rsidRPr="000C0842">
        <w:rPr>
          <w:rFonts w:eastAsia="SimSun" w:hint="eastAsia"/>
          <w:iCs/>
          <w:sz w:val="24"/>
          <w:szCs w:val="24"/>
        </w:rPr>
        <w:t>10</w:t>
      </w:r>
      <w:r w:rsidRPr="000C0842">
        <w:rPr>
          <w:rFonts w:eastAsia="SimSun" w:hint="eastAsia"/>
          <w:iCs/>
          <w:sz w:val="24"/>
          <w:szCs w:val="24"/>
        </w:rPr>
        <w:t>日第</w:t>
      </w:r>
      <w:hyperlink r:id="rId267" w:history="1">
        <w:r w:rsidRPr="000C0842">
          <w:rPr>
            <w:rFonts w:eastAsia="SimSun"/>
            <w:iCs/>
            <w:sz w:val="24"/>
            <w:szCs w:val="24"/>
            <w:u w:val="single"/>
          </w:rPr>
          <w:t>15/10</w:t>
        </w:r>
      </w:hyperlink>
      <w:r w:rsidRPr="000C0842">
        <w:rPr>
          <w:rFonts w:eastAsia="SimSun" w:hint="eastAsia"/>
          <w:iCs/>
          <w:sz w:val="24"/>
          <w:szCs w:val="24"/>
        </w:rPr>
        <w:t>号决定，</w:t>
      </w:r>
      <w:r w:rsidRPr="000C0842">
        <w:rPr>
          <w:rFonts w:eastAsia="SimSun" w:hint="eastAsia"/>
          <w:iCs/>
          <w:sz w:val="24"/>
          <w:szCs w:val="24"/>
        </w:rPr>
        <w:t>2022</w:t>
      </w:r>
      <w:r w:rsidRPr="000C0842">
        <w:rPr>
          <w:rFonts w:eastAsia="SimSun" w:hint="eastAsia"/>
          <w:iCs/>
          <w:sz w:val="24"/>
          <w:szCs w:val="24"/>
        </w:rPr>
        <w:t>年</w:t>
      </w:r>
      <w:r w:rsidRPr="000C0842">
        <w:rPr>
          <w:rFonts w:eastAsia="SimSun" w:hint="eastAsia"/>
          <w:iCs/>
          <w:sz w:val="24"/>
          <w:szCs w:val="24"/>
        </w:rPr>
        <w:t>12</w:t>
      </w:r>
      <w:r w:rsidRPr="000C0842">
        <w:rPr>
          <w:rFonts w:eastAsia="SimSun" w:hint="eastAsia"/>
          <w:iCs/>
          <w:sz w:val="24"/>
          <w:szCs w:val="24"/>
        </w:rPr>
        <w:t>月</w:t>
      </w:r>
      <w:r w:rsidRPr="000C0842">
        <w:rPr>
          <w:rFonts w:eastAsia="SimSun" w:hint="eastAsia"/>
          <w:iCs/>
          <w:sz w:val="24"/>
          <w:szCs w:val="24"/>
        </w:rPr>
        <w:t>19</w:t>
      </w:r>
      <w:r w:rsidRPr="000C0842">
        <w:rPr>
          <w:rFonts w:eastAsia="SimSun" w:hint="eastAsia"/>
          <w:iCs/>
          <w:sz w:val="24"/>
          <w:szCs w:val="24"/>
        </w:rPr>
        <w:t>日第</w:t>
      </w:r>
      <w:hyperlink r:id="rId268" w:history="1">
        <w:r w:rsidRPr="000C0842">
          <w:rPr>
            <w:rFonts w:eastAsia="SimSun" w:hint="eastAsia"/>
            <w:iCs/>
            <w:sz w:val="24"/>
            <w:szCs w:val="24"/>
            <w:u w:val="single"/>
          </w:rPr>
          <w:t>15/11</w:t>
        </w:r>
      </w:hyperlink>
      <w:r w:rsidRPr="000C0842">
        <w:rPr>
          <w:rFonts w:eastAsia="SimSun" w:hint="eastAsia"/>
          <w:iCs/>
          <w:sz w:val="24"/>
          <w:szCs w:val="24"/>
        </w:rPr>
        <w:t>号和第</w:t>
      </w:r>
      <w:hyperlink r:id="rId269" w:history="1">
        <w:r w:rsidRPr="000C0842">
          <w:rPr>
            <w:rFonts w:eastAsia="SimSun" w:hint="eastAsia"/>
            <w:iCs/>
            <w:sz w:val="24"/>
            <w:szCs w:val="24"/>
            <w:u w:val="single"/>
          </w:rPr>
          <w:t>15/13</w:t>
        </w:r>
      </w:hyperlink>
      <w:r w:rsidRPr="000C0842">
        <w:rPr>
          <w:rFonts w:eastAsia="SimSun" w:hint="eastAsia"/>
          <w:iCs/>
          <w:sz w:val="24"/>
          <w:szCs w:val="24"/>
        </w:rPr>
        <w:t>号决定，</w:t>
      </w:r>
      <w:r w:rsidRPr="000C0842">
        <w:rPr>
          <w:rFonts w:eastAsia="SimSun" w:hint="eastAsia"/>
          <w:iCs/>
          <w:sz w:val="24"/>
          <w:szCs w:val="24"/>
        </w:rPr>
        <w:t>2022</w:t>
      </w:r>
      <w:r w:rsidRPr="000C0842">
        <w:rPr>
          <w:rFonts w:eastAsia="SimSun" w:hint="eastAsia"/>
          <w:iCs/>
          <w:sz w:val="24"/>
          <w:szCs w:val="24"/>
        </w:rPr>
        <w:t>年</w:t>
      </w:r>
      <w:r w:rsidRPr="000C0842">
        <w:rPr>
          <w:rFonts w:eastAsia="SimSun" w:hint="eastAsia"/>
          <w:iCs/>
          <w:sz w:val="24"/>
          <w:szCs w:val="24"/>
        </w:rPr>
        <w:t>12</w:t>
      </w:r>
      <w:r w:rsidRPr="000C0842">
        <w:rPr>
          <w:rFonts w:eastAsia="SimSun" w:hint="eastAsia"/>
          <w:iCs/>
          <w:sz w:val="24"/>
          <w:szCs w:val="24"/>
        </w:rPr>
        <w:t>月</w:t>
      </w:r>
      <w:r w:rsidRPr="000C0842">
        <w:rPr>
          <w:rFonts w:eastAsia="SimSun" w:hint="eastAsia"/>
          <w:iCs/>
          <w:sz w:val="24"/>
          <w:szCs w:val="24"/>
        </w:rPr>
        <w:t>10</w:t>
      </w:r>
      <w:r w:rsidRPr="000C0842">
        <w:rPr>
          <w:rFonts w:eastAsia="SimSun" w:hint="eastAsia"/>
          <w:iCs/>
          <w:sz w:val="24"/>
          <w:szCs w:val="24"/>
        </w:rPr>
        <w:t>日第</w:t>
      </w:r>
      <w:hyperlink r:id="rId270" w:history="1">
        <w:r w:rsidRPr="000C0842">
          <w:rPr>
            <w:rFonts w:eastAsia="SimSun"/>
            <w:iCs/>
            <w:sz w:val="24"/>
            <w:szCs w:val="24"/>
            <w:u w:val="single"/>
          </w:rPr>
          <w:t>15/22</w:t>
        </w:r>
      </w:hyperlink>
      <w:r w:rsidRPr="000C0842">
        <w:rPr>
          <w:rFonts w:eastAsia="SimSun"/>
          <w:iCs/>
          <w:sz w:val="24"/>
          <w:szCs w:val="24"/>
        </w:rPr>
        <w:t xml:space="preserve"> </w:t>
      </w:r>
      <w:r w:rsidRPr="000C0842">
        <w:rPr>
          <w:rFonts w:eastAsia="SimSun" w:hint="eastAsia"/>
          <w:iCs/>
          <w:sz w:val="24"/>
          <w:szCs w:val="24"/>
        </w:rPr>
        <w:t>号决定，</w:t>
      </w:r>
    </w:p>
    <w:p w14:paraId="7ACAF9B7"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hint="eastAsia"/>
          <w:iCs/>
          <w:sz w:val="24"/>
          <w:szCs w:val="24"/>
        </w:rPr>
        <w:t>赞赏地注意到</w:t>
      </w:r>
      <w:r w:rsidRPr="000C0842">
        <w:rPr>
          <w:rFonts w:eastAsia="SimSun" w:hint="eastAsia"/>
          <w:iCs/>
          <w:sz w:val="24"/>
          <w:szCs w:val="24"/>
        </w:rPr>
        <w:t>指标问题特设技术专家组开展的工作和融资报告技术专家组</w:t>
      </w:r>
      <w:r w:rsidRPr="000C0842">
        <w:rPr>
          <w:rFonts w:eastAsia="SimSun"/>
          <w:iCs/>
          <w:sz w:val="24"/>
          <w:szCs w:val="24"/>
          <w:vertAlign w:val="superscript"/>
          <w:lang w:val="en-GB"/>
        </w:rPr>
        <w:footnoteReference w:id="395"/>
      </w:r>
      <w:r w:rsidRPr="000C0842">
        <w:rPr>
          <w:rFonts w:eastAsia="SimSun" w:hint="eastAsia"/>
          <w:iCs/>
          <w:sz w:val="24"/>
          <w:szCs w:val="24"/>
        </w:rPr>
        <w:t>、科技合作非正式咨询小组</w:t>
      </w:r>
      <w:r w:rsidRPr="000C0842">
        <w:rPr>
          <w:rFonts w:eastAsia="SimSun"/>
          <w:iCs/>
          <w:sz w:val="24"/>
          <w:szCs w:val="24"/>
          <w:vertAlign w:val="superscript"/>
          <w:lang w:val="en-GB"/>
        </w:rPr>
        <w:footnoteReference w:id="396"/>
      </w:r>
      <w:r w:rsidRPr="000C0842">
        <w:rPr>
          <w:rFonts w:eastAsia="SimSun" w:hint="eastAsia"/>
          <w:iCs/>
          <w:sz w:val="24"/>
          <w:szCs w:val="24"/>
        </w:rPr>
        <w:t>、生物多样性</w:t>
      </w:r>
      <w:r w:rsidRPr="000C0842">
        <w:rPr>
          <w:rFonts w:eastAsia="SimSun" w:hint="eastAsia"/>
          <w:iCs/>
          <w:sz w:val="24"/>
          <w:szCs w:val="24"/>
          <w:lang w:val="en-GB"/>
        </w:rPr>
        <w:t>公约</w:t>
      </w:r>
      <w:r w:rsidRPr="000C0842">
        <w:rPr>
          <w:rFonts w:eastAsia="SimSun"/>
          <w:iCs/>
          <w:sz w:val="24"/>
          <w:szCs w:val="24"/>
          <w:vertAlign w:val="superscript"/>
          <w:lang w:val="en-GB"/>
        </w:rPr>
        <w:footnoteReference w:id="397"/>
      </w:r>
      <w:r w:rsidRPr="000C0842">
        <w:rPr>
          <w:rFonts w:eastAsia="SimSun" w:hint="eastAsia"/>
          <w:iCs/>
          <w:sz w:val="24"/>
          <w:szCs w:val="24"/>
          <w:lang w:val="en-GB"/>
        </w:rPr>
        <w:t>第</w:t>
      </w:r>
      <w:r w:rsidRPr="000C0842">
        <w:rPr>
          <w:rFonts w:eastAsia="SimSun"/>
          <w:iCs/>
          <w:sz w:val="24"/>
          <w:szCs w:val="24"/>
          <w:lang w:val="en-GB"/>
        </w:rPr>
        <w:t>8(j)</w:t>
      </w:r>
      <w:r w:rsidRPr="000C0842">
        <w:rPr>
          <w:rFonts w:eastAsia="SimSun" w:hint="eastAsia"/>
          <w:iCs/>
          <w:sz w:val="24"/>
          <w:szCs w:val="24"/>
          <w:lang w:val="en-GB"/>
        </w:rPr>
        <w:t>条和相关条款问题不限成员名额特设工作组</w:t>
      </w:r>
      <w:r w:rsidRPr="000C0842">
        <w:rPr>
          <w:rFonts w:eastAsia="SimSun"/>
          <w:iCs/>
          <w:sz w:val="24"/>
          <w:szCs w:val="24"/>
          <w:vertAlign w:val="superscript"/>
          <w:lang w:val="en-GB"/>
        </w:rPr>
        <w:footnoteReference w:id="398"/>
      </w:r>
      <w:r w:rsidRPr="000C0842">
        <w:rPr>
          <w:rFonts w:eastAsia="SimSun" w:hint="eastAsia"/>
          <w:iCs/>
          <w:sz w:val="24"/>
          <w:szCs w:val="24"/>
          <w:lang w:val="en-GB"/>
        </w:rPr>
        <w:t>、分享利用遗传资源数字序列信息所产生惠益问题不限成员名额特设工作组</w:t>
      </w:r>
      <w:r w:rsidRPr="000C0842">
        <w:rPr>
          <w:rFonts w:eastAsia="SimSun"/>
          <w:iCs/>
          <w:sz w:val="24"/>
          <w:szCs w:val="24"/>
          <w:vertAlign w:val="superscript"/>
          <w:lang w:val="en-GB"/>
        </w:rPr>
        <w:footnoteReference w:id="399"/>
      </w:r>
      <w:r w:rsidRPr="000C0842">
        <w:rPr>
          <w:rFonts w:eastAsia="SimSun" w:hint="eastAsia"/>
          <w:iCs/>
          <w:sz w:val="24"/>
          <w:szCs w:val="24"/>
          <w:lang w:val="en-GB"/>
        </w:rPr>
        <w:t>和</w:t>
      </w:r>
      <w:r w:rsidRPr="000C0842">
        <w:rPr>
          <w:rFonts w:eastAsia="SimSun" w:hint="eastAsia"/>
          <w:iCs/>
          <w:sz w:val="24"/>
          <w:szCs w:val="24"/>
        </w:rPr>
        <w:t>卡塔赫纳生物安全议定书联络小组的投入和工作</w:t>
      </w:r>
      <w:r w:rsidRPr="000C0842">
        <w:rPr>
          <w:rFonts w:eastAsia="SimSun"/>
          <w:iCs/>
          <w:sz w:val="24"/>
          <w:szCs w:val="24"/>
          <w:vertAlign w:val="superscript"/>
          <w:lang w:val="en-GB"/>
        </w:rPr>
        <w:footnoteReference w:id="400"/>
      </w:r>
      <w:r w:rsidRPr="000C0842">
        <w:rPr>
          <w:rFonts w:eastAsia="SimSun" w:hint="eastAsia"/>
          <w:iCs/>
          <w:sz w:val="24"/>
          <w:szCs w:val="24"/>
        </w:rPr>
        <w:t>，</w:t>
      </w:r>
      <w:r w:rsidRPr="000C0842">
        <w:rPr>
          <w:rFonts w:eastAsia="SimSun"/>
          <w:iCs/>
          <w:sz w:val="24"/>
          <w:szCs w:val="24"/>
        </w:rPr>
        <w:t xml:space="preserve"> </w:t>
      </w:r>
    </w:p>
    <w:p w14:paraId="57DAEA00"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shd w:val="clear" w:color="auto" w:fill="FFFFFF"/>
        </w:rPr>
      </w:pPr>
      <w:r w:rsidRPr="000C0842">
        <w:rPr>
          <w:rFonts w:eastAsia="KaiTi" w:hint="eastAsia"/>
          <w:iCs/>
          <w:sz w:val="24"/>
          <w:szCs w:val="24"/>
          <w:shd w:val="clear" w:color="auto" w:fill="FFFFFF"/>
        </w:rPr>
        <w:t>又赞赏地注意到</w:t>
      </w:r>
      <w:r w:rsidRPr="000C0842">
        <w:rPr>
          <w:rFonts w:eastAsia="SimSun" w:hint="eastAsia"/>
          <w:iCs/>
          <w:sz w:val="24"/>
          <w:szCs w:val="24"/>
          <w:shd w:val="clear" w:color="auto" w:fill="FFFFFF"/>
        </w:rPr>
        <w:t>各国际组织和倡议对指标问题特设技术专家组工作的贡献以及缔约方和国家机构为维护与监测《昆蒙框架》相关的国家数据库和数据收集所开展的工作</w:t>
      </w:r>
      <w:r w:rsidRPr="000C0842">
        <w:rPr>
          <w:rFonts w:eastAsia="SimSun"/>
          <w:iCs/>
          <w:sz w:val="24"/>
          <w:szCs w:val="24"/>
          <w:shd w:val="clear" w:color="auto" w:fill="FFFFFF"/>
          <w:vertAlign w:val="superscript"/>
        </w:rPr>
        <w:footnoteReference w:id="401"/>
      </w:r>
      <w:r w:rsidRPr="000C0842">
        <w:rPr>
          <w:rFonts w:eastAsia="SimSun" w:hint="eastAsia"/>
          <w:iCs/>
          <w:sz w:val="24"/>
          <w:szCs w:val="24"/>
          <w:shd w:val="clear" w:color="auto" w:fill="FFFFFF"/>
        </w:rPr>
        <w:t>，</w:t>
      </w:r>
    </w:p>
    <w:p w14:paraId="044FDA0B"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shd w:val="clear" w:color="auto" w:fill="FFFFFF"/>
        </w:rPr>
      </w:pPr>
      <w:r w:rsidRPr="000C0842">
        <w:rPr>
          <w:rFonts w:eastAsia="KaiTi" w:hint="eastAsia"/>
          <w:iCs/>
          <w:sz w:val="24"/>
          <w:szCs w:val="24"/>
          <w:shd w:val="clear" w:color="auto" w:fill="FFFFFF"/>
        </w:rPr>
        <w:t>还赞赏地注意到</w:t>
      </w:r>
      <w:r w:rsidRPr="000C0842">
        <w:rPr>
          <w:rFonts w:eastAsia="SimSun" w:hint="eastAsia"/>
          <w:iCs/>
          <w:sz w:val="24"/>
          <w:szCs w:val="24"/>
          <w:shd w:val="clear" w:color="auto" w:fill="FFFFFF"/>
        </w:rPr>
        <w:t>在</w:t>
      </w:r>
      <w:r w:rsidRPr="000C0842">
        <w:rPr>
          <w:rFonts w:eastAsia="SimSun" w:hint="eastAsia"/>
          <w:iCs/>
          <w:sz w:val="24"/>
          <w:szCs w:val="24"/>
        </w:rPr>
        <w:t>伯尔尼进程</w:t>
      </w:r>
      <w:r w:rsidRPr="000C0842">
        <w:rPr>
          <w:rFonts w:eastAsia="SimSun"/>
          <w:sz w:val="24"/>
          <w:szCs w:val="24"/>
          <w:shd w:val="clear" w:color="auto" w:fill="FFFFFF"/>
          <w:vertAlign w:val="superscript"/>
          <w:lang w:val="en-GB"/>
        </w:rPr>
        <w:footnoteReference w:id="402"/>
      </w:r>
      <w:r w:rsidRPr="000C0842">
        <w:rPr>
          <w:rFonts w:eastAsia="SimSun" w:hint="eastAsia"/>
          <w:iCs/>
          <w:sz w:val="24"/>
          <w:szCs w:val="24"/>
          <w:shd w:val="clear" w:color="auto" w:fill="FFFFFF"/>
        </w:rPr>
        <w:t>下为加强生物多样性相关指标制定方面的合作所开展的工作，</w:t>
      </w:r>
    </w:p>
    <w:p w14:paraId="066C9BE3" w14:textId="77777777" w:rsidR="004C57B0" w:rsidRPr="000C0842" w:rsidRDefault="004C57B0" w:rsidP="004C57B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kern w:val="22"/>
          <w:sz w:val="24"/>
          <w:szCs w:val="24"/>
          <w:lang w:val="en-GB"/>
        </w:rPr>
      </w:pPr>
      <w:bookmarkStart w:id="119" w:name="_Hlk142822277"/>
      <w:r w:rsidRPr="000C0842">
        <w:rPr>
          <w:rFonts w:eastAsia="KaiTi" w:hint="eastAsia"/>
          <w:iCs/>
          <w:sz w:val="24"/>
          <w:szCs w:val="24"/>
          <w:shd w:val="clear" w:color="auto" w:fill="FFFFFF"/>
        </w:rPr>
        <w:t>回顾</w:t>
      </w:r>
      <w:r w:rsidRPr="000C0842">
        <w:rPr>
          <w:rFonts w:ascii="SimSun" w:eastAsia="SimSun" w:hAnsi="SimSun" w:cs="SimSun" w:hint="eastAsia"/>
          <w:sz w:val="24"/>
          <w:szCs w:val="24"/>
          <w:lang w:val="zh-CN"/>
        </w:rPr>
        <w:t>以前关于土著人民和地方社区的指标的工作</w:t>
      </w:r>
      <w:smartTag w:uri="urn:schemas-microsoft-com:office:smarttags" w:element="chsdate">
        <w:smartTagPr>
          <w:attr w:name="Year" w:val="2016"/>
          <w:attr w:name="Month" w:val="12"/>
          <w:attr w:name="Day" w:val="17"/>
          <w:attr w:name="IsLunarDate" w:val="False"/>
          <w:attr w:name="IsROCDate" w:val="False"/>
        </w:smartTagPr>
        <w:r w:rsidRPr="000C0842">
          <w:rPr>
            <w:rFonts w:ascii="SimSun" w:eastAsia="SimSun" w:hAnsi="SimSun" w:cs="SimSun" w:hint="eastAsia"/>
            <w:sz w:val="24"/>
            <w:szCs w:val="24"/>
            <w:lang w:val="en-GB"/>
          </w:rPr>
          <w:t>、</w:t>
        </w:r>
        <w:r w:rsidRPr="000C0842">
          <w:rPr>
            <w:rFonts w:eastAsia="SimSun"/>
            <w:sz w:val="24"/>
            <w:szCs w:val="24"/>
            <w:lang w:val="en-GB"/>
          </w:rPr>
          <w:t>2016</w:t>
        </w:r>
        <w:r w:rsidRPr="000C0842">
          <w:rPr>
            <w:rFonts w:ascii="SimSun" w:eastAsia="SimSun" w:hAnsi="SimSun" w:cs="SimSun" w:hint="eastAsia"/>
            <w:sz w:val="24"/>
            <w:szCs w:val="24"/>
            <w:lang w:val="zh-CN"/>
          </w:rPr>
          <w:t>年</w:t>
        </w:r>
        <w:r w:rsidRPr="000C0842">
          <w:rPr>
            <w:rFonts w:eastAsia="SimSun"/>
            <w:sz w:val="24"/>
            <w:szCs w:val="24"/>
            <w:lang w:val="en-GB"/>
          </w:rPr>
          <w:t>12</w:t>
        </w:r>
        <w:r w:rsidRPr="000C0842">
          <w:rPr>
            <w:rFonts w:ascii="SimSun" w:eastAsia="SimSun" w:hAnsi="SimSun" w:cs="SimSun" w:hint="eastAsia"/>
            <w:sz w:val="24"/>
            <w:szCs w:val="24"/>
            <w:lang w:val="zh-CN"/>
          </w:rPr>
          <w:t>月</w:t>
        </w:r>
        <w:r w:rsidRPr="000C0842">
          <w:rPr>
            <w:rFonts w:eastAsia="SimSun"/>
            <w:sz w:val="24"/>
            <w:szCs w:val="24"/>
            <w:lang w:val="en-GB"/>
          </w:rPr>
          <w:t>17</w:t>
        </w:r>
        <w:r w:rsidRPr="000C0842">
          <w:rPr>
            <w:rFonts w:ascii="SimSun" w:eastAsia="SimSun" w:hAnsi="SimSun" w:cs="SimSun" w:hint="eastAsia"/>
            <w:sz w:val="24"/>
            <w:szCs w:val="24"/>
            <w:lang w:val="zh-CN"/>
          </w:rPr>
          <w:t>日</w:t>
        </w:r>
      </w:smartTag>
      <w:r w:rsidRPr="000C0842">
        <w:rPr>
          <w:rFonts w:ascii="SimSun" w:eastAsia="SimSun" w:hAnsi="SimSun" w:cs="SimSun" w:hint="eastAsia"/>
          <w:sz w:val="24"/>
          <w:szCs w:val="24"/>
          <w:lang w:val="zh-CN"/>
        </w:rPr>
        <w:t>关于《</w:t>
      </w:r>
      <w:r w:rsidRPr="000C0842">
        <w:rPr>
          <w:rFonts w:eastAsia="SimSun"/>
          <w:sz w:val="24"/>
          <w:szCs w:val="24"/>
          <w:lang w:val="en-GB"/>
        </w:rPr>
        <w:t>2011-2020</w:t>
      </w:r>
      <w:r w:rsidRPr="000C0842">
        <w:rPr>
          <w:rFonts w:ascii="SimSun" w:eastAsia="SimSun" w:hAnsi="SimSun" w:cs="SimSun" w:hint="eastAsia"/>
          <w:sz w:val="24"/>
          <w:szCs w:val="24"/>
          <w:lang w:val="zh-CN"/>
        </w:rPr>
        <w:t>年生物多样性战略计划和爱知生物多样性目标》的指标的第</w:t>
      </w:r>
      <w:hyperlink r:id="rId271" w:history="1">
        <w:r w:rsidRPr="000C0842">
          <w:rPr>
            <w:rFonts w:eastAsia="SimSun"/>
            <w:kern w:val="22"/>
            <w:sz w:val="24"/>
            <w:szCs w:val="24"/>
            <w:u w:val="single"/>
            <w:lang w:val="en-GB"/>
          </w:rPr>
          <w:t>XIII/28</w:t>
        </w:r>
      </w:hyperlink>
      <w:r w:rsidRPr="000C0842">
        <w:rPr>
          <w:rFonts w:ascii="SimSun" w:eastAsia="SimSun" w:hAnsi="SimSun" w:cs="SimSun" w:hint="eastAsia"/>
          <w:sz w:val="24"/>
          <w:szCs w:val="24"/>
          <w:lang w:val="zh-CN"/>
        </w:rPr>
        <w:t>号决定和关于《昆蒙框架》的监测框架的第</w:t>
      </w:r>
      <w:hyperlink r:id="rId272" w:history="1">
        <w:r w:rsidRPr="000C0842">
          <w:rPr>
            <w:rFonts w:eastAsia="SimSun"/>
            <w:sz w:val="24"/>
            <w:szCs w:val="24"/>
            <w:u w:val="single"/>
            <w:lang w:val="en-GB"/>
          </w:rPr>
          <w:t>15/5</w:t>
        </w:r>
      </w:hyperlink>
      <w:r w:rsidRPr="000C0842">
        <w:rPr>
          <w:rFonts w:eastAsia="SimSun"/>
          <w:sz w:val="24"/>
          <w:szCs w:val="24"/>
          <w:lang w:val="en-GB"/>
        </w:rPr>
        <w:t xml:space="preserve"> </w:t>
      </w:r>
      <w:r w:rsidRPr="000C0842">
        <w:rPr>
          <w:rFonts w:ascii="SimSun" w:eastAsia="SimSun" w:hAnsi="SimSun" w:cs="SimSun" w:hint="eastAsia"/>
          <w:sz w:val="24"/>
          <w:szCs w:val="24"/>
          <w:lang w:val="zh-CN"/>
        </w:rPr>
        <w:t>号决定</w:t>
      </w:r>
      <w:r w:rsidRPr="000C0842">
        <w:rPr>
          <w:rFonts w:eastAsia="SimSun"/>
          <w:sz w:val="24"/>
          <w:szCs w:val="24"/>
          <w:lang w:val="zh-CN"/>
        </w:rPr>
        <w:t>，</w:t>
      </w:r>
    </w:p>
    <w:bookmarkEnd w:id="119"/>
    <w:p w14:paraId="0FA4F64F"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Times New Roman"/>
          <w:snapToGrid w:val="0"/>
          <w:kern w:val="22"/>
          <w:sz w:val="24"/>
          <w:szCs w:val="24"/>
          <w:lang w:val="en-GB"/>
        </w:rPr>
      </w:pPr>
      <w:r w:rsidRPr="000C0842">
        <w:rPr>
          <w:rFonts w:eastAsia="KaiTi" w:hint="eastAsia"/>
          <w:iCs/>
          <w:sz w:val="24"/>
          <w:szCs w:val="24"/>
          <w:shd w:val="clear" w:color="auto" w:fill="FFFFFF"/>
        </w:rPr>
        <w:t>强调</w:t>
      </w:r>
      <w:r w:rsidRPr="000C0842">
        <w:rPr>
          <w:rFonts w:ascii="SimSun" w:eastAsia="SimSun" w:hAnsi="SimSun" w:cs="SimSun" w:hint="eastAsia"/>
          <w:snapToGrid w:val="0"/>
          <w:kern w:val="22"/>
          <w:sz w:val="24"/>
          <w:szCs w:val="24"/>
          <w:lang w:val="zh-CN"/>
        </w:rPr>
        <w:t>在审查《昆蒙框架》的执行进展情况时</w:t>
      </w:r>
      <w:r w:rsidRPr="000C0842">
        <w:rPr>
          <w:rFonts w:ascii="SimSun" w:eastAsia="SimSun" w:hAnsi="SimSun" w:cs="SimSun" w:hint="eastAsia"/>
          <w:snapToGrid w:val="0"/>
          <w:kern w:val="22"/>
          <w:sz w:val="24"/>
          <w:szCs w:val="24"/>
          <w:lang w:val="en-GB"/>
        </w:rPr>
        <w:t>，</w:t>
      </w:r>
      <w:r w:rsidRPr="000C0842">
        <w:rPr>
          <w:rFonts w:ascii="SimSun" w:eastAsia="SimSun" w:hAnsi="SimSun" w:cs="SimSun" w:hint="eastAsia"/>
          <w:snapToGrid w:val="0"/>
          <w:kern w:val="22"/>
          <w:sz w:val="24"/>
          <w:szCs w:val="24"/>
          <w:lang w:val="zh-CN"/>
        </w:rPr>
        <w:t>让土著人民和地方社区参与并采纳他们的传统知识、创新和做法至关重要</w:t>
      </w:r>
      <w:r w:rsidRPr="000C0842">
        <w:rPr>
          <w:rFonts w:eastAsia="Times New Roman"/>
          <w:snapToGrid w:val="0"/>
          <w:kern w:val="22"/>
          <w:sz w:val="24"/>
          <w:szCs w:val="24"/>
          <w:lang w:val="en-GB"/>
        </w:rPr>
        <w:t>,</w:t>
      </w:r>
    </w:p>
    <w:p w14:paraId="4689F9EF"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shd w:val="clear" w:color="auto" w:fill="FFFFFF"/>
        </w:rPr>
      </w:pPr>
      <w:r w:rsidRPr="000C0842">
        <w:rPr>
          <w:rFonts w:eastAsia="KaiTi" w:hint="eastAsia"/>
          <w:iCs/>
          <w:sz w:val="24"/>
          <w:szCs w:val="24"/>
          <w:shd w:val="clear" w:color="auto" w:fill="FFFFFF"/>
        </w:rPr>
        <w:t>认识到</w:t>
      </w:r>
      <w:r w:rsidRPr="000C0842">
        <w:rPr>
          <w:rFonts w:ascii="SimSun" w:eastAsia="SimSun" w:hAnsi="SimSun" w:cs="SimSun" w:hint="eastAsia"/>
          <w:sz w:val="24"/>
          <w:szCs w:val="24"/>
          <w:lang w:val="zh-CN"/>
        </w:rPr>
        <w:t>基于社区的监测和信息系统对改善全球生物多样性知识、数据和信息的贡献</w:t>
      </w:r>
      <w:r w:rsidRPr="000C0842">
        <w:rPr>
          <w:rFonts w:ascii="SimSun" w:eastAsia="SimSun" w:hAnsi="SimSun" w:cs="SimSun" w:hint="eastAsia"/>
          <w:sz w:val="24"/>
          <w:szCs w:val="24"/>
          <w:lang w:val="en-GB"/>
        </w:rPr>
        <w:t>，</w:t>
      </w:r>
      <w:r w:rsidRPr="000C0842">
        <w:rPr>
          <w:rFonts w:ascii="SimSun" w:eastAsia="SimSun" w:hAnsi="SimSun" w:cs="SimSun" w:hint="eastAsia"/>
          <w:sz w:val="24"/>
          <w:szCs w:val="24"/>
          <w:lang w:val="zh-CN"/>
        </w:rPr>
        <w:t>同时承认需要让土著人民和地方社区参与这些信息系统的开发和管理</w:t>
      </w:r>
      <w:r w:rsidRPr="000C0842">
        <w:rPr>
          <w:rFonts w:ascii="SimSun" w:eastAsia="SimSun" w:hAnsi="SimSun" w:cs="SimSun" w:hint="eastAsia"/>
          <w:sz w:val="24"/>
          <w:szCs w:val="24"/>
          <w:lang w:val="en-GB"/>
        </w:rPr>
        <w:t>，</w:t>
      </w:r>
      <w:r w:rsidRPr="000C0842">
        <w:rPr>
          <w:rFonts w:ascii="SimSun" w:eastAsia="SimSun" w:hAnsi="SimSun" w:cs="SimSun" w:hint="eastAsia"/>
          <w:sz w:val="24"/>
          <w:szCs w:val="24"/>
          <w:lang w:val="zh-CN"/>
        </w:rPr>
        <w:t>以及需要加强国际合作以解决发展中国家的技术和资金缺口</w:t>
      </w:r>
      <w:r w:rsidRPr="000C0842">
        <w:rPr>
          <w:rFonts w:ascii="SimSun" w:eastAsia="SimSun" w:hAnsi="SimSun" w:cs="SimSun" w:hint="eastAsia"/>
          <w:sz w:val="24"/>
          <w:szCs w:val="24"/>
          <w:lang w:val="en-GB"/>
        </w:rPr>
        <w:t>，</w:t>
      </w:r>
    </w:p>
    <w:p w14:paraId="3646195F"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kern w:val="22"/>
          <w:sz w:val="24"/>
          <w:szCs w:val="24"/>
        </w:rPr>
      </w:pPr>
      <w:r w:rsidRPr="000C0842">
        <w:rPr>
          <w:rFonts w:eastAsia="KaiTi" w:hint="eastAsia"/>
          <w:iCs/>
          <w:sz w:val="24"/>
          <w:szCs w:val="24"/>
          <w:shd w:val="clear" w:color="auto" w:fill="FFFFFF"/>
        </w:rPr>
        <w:t>注意到</w:t>
      </w:r>
      <w:r w:rsidRPr="000C0842">
        <w:rPr>
          <w:rFonts w:eastAsia="SimSun" w:hint="eastAsia"/>
          <w:iCs/>
          <w:kern w:val="22"/>
          <w:sz w:val="24"/>
          <w:szCs w:val="24"/>
        </w:rPr>
        <w:t>根据</w:t>
      </w:r>
      <w:r w:rsidRPr="000C0842">
        <w:rPr>
          <w:rFonts w:eastAsia="SimSun" w:hint="eastAsia"/>
          <w:iCs/>
          <w:kern w:val="22"/>
          <w:sz w:val="24"/>
          <w:szCs w:val="24"/>
        </w:rPr>
        <w:t>2022</w:t>
      </w:r>
      <w:r w:rsidRPr="000C0842">
        <w:rPr>
          <w:rFonts w:eastAsia="SimSun" w:hint="eastAsia"/>
          <w:iCs/>
          <w:kern w:val="22"/>
          <w:sz w:val="24"/>
          <w:szCs w:val="24"/>
        </w:rPr>
        <w:t>年</w:t>
      </w:r>
      <w:r w:rsidRPr="000C0842">
        <w:rPr>
          <w:rFonts w:eastAsia="SimSun" w:hint="eastAsia"/>
          <w:iCs/>
          <w:kern w:val="22"/>
          <w:sz w:val="24"/>
          <w:szCs w:val="24"/>
        </w:rPr>
        <w:t>12</w:t>
      </w:r>
      <w:r w:rsidRPr="000C0842">
        <w:rPr>
          <w:rFonts w:eastAsia="SimSun" w:hint="eastAsia"/>
          <w:iCs/>
          <w:kern w:val="22"/>
          <w:sz w:val="24"/>
          <w:szCs w:val="24"/>
        </w:rPr>
        <w:t>月</w:t>
      </w:r>
      <w:r w:rsidRPr="000C0842">
        <w:rPr>
          <w:rFonts w:eastAsia="SimSun" w:hint="eastAsia"/>
          <w:iCs/>
          <w:kern w:val="22"/>
          <w:sz w:val="24"/>
          <w:szCs w:val="24"/>
        </w:rPr>
        <w:t>19</w:t>
      </w:r>
      <w:r w:rsidRPr="000C0842">
        <w:rPr>
          <w:rFonts w:eastAsia="SimSun" w:hint="eastAsia"/>
          <w:iCs/>
          <w:kern w:val="22"/>
          <w:sz w:val="24"/>
          <w:szCs w:val="24"/>
        </w:rPr>
        <w:t>日第</w:t>
      </w:r>
      <w:r w:rsidRPr="000C0842">
        <w:rPr>
          <w:rFonts w:eastAsia="SimSun"/>
          <w:iCs/>
          <w:kern w:val="22"/>
          <w:sz w:val="24"/>
          <w:szCs w:val="24"/>
        </w:rPr>
        <w:t xml:space="preserve"> </w:t>
      </w:r>
      <w:hyperlink r:id="rId273" w:history="1">
        <w:r w:rsidRPr="000C0842">
          <w:rPr>
            <w:rFonts w:eastAsia="SimSun"/>
            <w:iCs/>
            <w:kern w:val="22"/>
            <w:sz w:val="24"/>
            <w:szCs w:val="24"/>
            <w:u w:val="single"/>
          </w:rPr>
          <w:t>15/29</w:t>
        </w:r>
      </w:hyperlink>
      <w:r w:rsidRPr="000C0842">
        <w:rPr>
          <w:rFonts w:eastAsia="SimSun"/>
          <w:iCs/>
          <w:kern w:val="22"/>
          <w:sz w:val="24"/>
          <w:szCs w:val="24"/>
        </w:rPr>
        <w:t xml:space="preserve"> </w:t>
      </w:r>
      <w:r w:rsidRPr="000C0842">
        <w:rPr>
          <w:rFonts w:eastAsia="SimSun" w:hint="eastAsia"/>
          <w:iCs/>
          <w:kern w:val="22"/>
          <w:sz w:val="24"/>
          <w:szCs w:val="24"/>
        </w:rPr>
        <w:t>号决定第</w:t>
      </w:r>
      <w:r w:rsidRPr="000C0842">
        <w:rPr>
          <w:rFonts w:eastAsia="SimSun" w:hint="eastAsia"/>
          <w:iCs/>
          <w:kern w:val="22"/>
          <w:sz w:val="24"/>
          <w:szCs w:val="24"/>
        </w:rPr>
        <w:t>2(c)</w:t>
      </w:r>
      <w:r w:rsidRPr="000C0842">
        <w:rPr>
          <w:rFonts w:eastAsia="SimSun" w:hint="eastAsia"/>
          <w:iCs/>
          <w:kern w:val="22"/>
          <w:sz w:val="24"/>
          <w:szCs w:val="24"/>
        </w:rPr>
        <w:t>段制定生物多样性和健康指标、根据第</w:t>
      </w:r>
      <w:r w:rsidRPr="000C0842">
        <w:rPr>
          <w:rFonts w:eastAsia="SimSun"/>
          <w:iCs/>
          <w:kern w:val="22"/>
          <w:sz w:val="24"/>
          <w:szCs w:val="24"/>
        </w:rPr>
        <w:t xml:space="preserve"> </w:t>
      </w:r>
      <w:hyperlink r:id="rId274" w:history="1">
        <w:r w:rsidRPr="000C0842">
          <w:rPr>
            <w:rFonts w:eastAsia="SimSun"/>
            <w:iCs/>
            <w:kern w:val="22"/>
            <w:sz w:val="24"/>
            <w:szCs w:val="24"/>
            <w:u w:val="single"/>
          </w:rPr>
          <w:t>15/5</w:t>
        </w:r>
      </w:hyperlink>
      <w:r w:rsidRPr="000C0842">
        <w:rPr>
          <w:rFonts w:eastAsia="SimSun" w:hint="eastAsia"/>
          <w:iCs/>
          <w:kern w:val="22"/>
          <w:sz w:val="24"/>
          <w:szCs w:val="24"/>
        </w:rPr>
        <w:t>号和第</w:t>
      </w:r>
      <w:r w:rsidRPr="000C0842">
        <w:rPr>
          <w:rFonts w:eastAsia="SimSun"/>
          <w:iCs/>
          <w:kern w:val="22"/>
          <w:sz w:val="24"/>
          <w:szCs w:val="24"/>
        </w:rPr>
        <w:t xml:space="preserve"> </w:t>
      </w:r>
      <w:hyperlink r:id="rId275" w:history="1">
        <w:r w:rsidRPr="000C0842">
          <w:rPr>
            <w:rFonts w:eastAsia="SimSun"/>
            <w:iCs/>
            <w:kern w:val="22"/>
            <w:sz w:val="24"/>
            <w:szCs w:val="24"/>
            <w:u w:val="single"/>
          </w:rPr>
          <w:t>15/13</w:t>
        </w:r>
      </w:hyperlink>
      <w:r w:rsidRPr="000C0842">
        <w:rPr>
          <w:rFonts w:eastAsia="SimSun"/>
          <w:iCs/>
          <w:kern w:val="22"/>
          <w:sz w:val="24"/>
          <w:szCs w:val="24"/>
        </w:rPr>
        <w:t xml:space="preserve"> </w:t>
      </w:r>
      <w:r w:rsidRPr="000C0842">
        <w:rPr>
          <w:rFonts w:eastAsia="SimSun" w:hint="eastAsia"/>
          <w:iCs/>
          <w:kern w:val="22"/>
          <w:sz w:val="24"/>
          <w:szCs w:val="24"/>
        </w:rPr>
        <w:t>号决定制定全球植物保护战略指标的情况</w:t>
      </w:r>
      <w:r w:rsidRPr="000C0842">
        <w:rPr>
          <w:rFonts w:eastAsia="SimSun"/>
          <w:kern w:val="22"/>
          <w:sz w:val="24"/>
          <w:szCs w:val="24"/>
          <w:vertAlign w:val="superscript"/>
          <w:lang w:val="en-CA"/>
        </w:rPr>
        <w:footnoteReference w:id="403"/>
      </w:r>
      <w:r w:rsidRPr="000C0842">
        <w:rPr>
          <w:rFonts w:eastAsia="SimSun" w:hint="eastAsia"/>
          <w:iCs/>
          <w:kern w:val="22"/>
          <w:sz w:val="24"/>
          <w:szCs w:val="24"/>
        </w:rPr>
        <w:t>，</w:t>
      </w:r>
    </w:p>
    <w:p w14:paraId="3A48194B"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hint="eastAsia"/>
          <w:iCs/>
          <w:sz w:val="24"/>
          <w:szCs w:val="24"/>
          <w:shd w:val="clear" w:color="auto" w:fill="FFFFFF"/>
        </w:rPr>
        <w:t>赞赏地注意到</w:t>
      </w:r>
      <w:r w:rsidRPr="000C0842">
        <w:rPr>
          <w:rFonts w:eastAsia="SimSun" w:hint="eastAsia"/>
          <w:iCs/>
          <w:sz w:val="24"/>
          <w:szCs w:val="24"/>
        </w:rPr>
        <w:t>大不列颠及北爱尔兰联合王国政府和欧洲联盟提供捐款，使专家组得以开展工作；联合国粮食及农业组织提供捐助，主办关于指标</w:t>
      </w:r>
      <w:r w:rsidRPr="000C0842">
        <w:rPr>
          <w:rFonts w:eastAsia="SimSun"/>
          <w:iCs/>
          <w:sz w:val="24"/>
          <w:szCs w:val="24"/>
        </w:rPr>
        <w:t xml:space="preserve"> 7.2</w:t>
      </w:r>
      <w:r w:rsidRPr="000C0842">
        <w:rPr>
          <w:rFonts w:eastAsia="SimSun" w:hint="eastAsia"/>
          <w:iCs/>
          <w:sz w:val="24"/>
          <w:szCs w:val="24"/>
        </w:rPr>
        <w:t>的专家会议；联合王国政府提供捐款，用于对获取和惠益分享指标以及私营部门融资开展指标研究；加拿大政府提供捐款，用于制定解释性指导意见和进行差距分析；联合国环境规划署世界养护监测中心提供实物捐助，支持指标问题特设技术专家组的工作，</w:t>
      </w:r>
    </w:p>
    <w:p w14:paraId="7AFF2C88"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ascii="KaiTi" w:eastAsia="KaiTi" w:hAnsi="KaiTi" w:hint="eastAsia"/>
          <w:iCs/>
          <w:sz w:val="24"/>
          <w:szCs w:val="24"/>
        </w:rPr>
        <w:t>回顾</w:t>
      </w:r>
      <w:r w:rsidRPr="000C0842">
        <w:rPr>
          <w:rFonts w:eastAsia="SimSun" w:hint="eastAsia"/>
          <w:iCs/>
          <w:sz w:val="24"/>
          <w:szCs w:val="24"/>
        </w:rPr>
        <w:t>第</w:t>
      </w:r>
      <w:hyperlink r:id="rId276" w:history="1">
        <w:r w:rsidRPr="000C0842">
          <w:rPr>
            <w:rFonts w:eastAsia="SimSun"/>
            <w:iCs/>
            <w:sz w:val="24"/>
            <w:szCs w:val="24"/>
            <w:u w:val="single"/>
          </w:rPr>
          <w:t>15/6</w:t>
        </w:r>
      </w:hyperlink>
      <w:r w:rsidRPr="000C0842">
        <w:rPr>
          <w:rFonts w:eastAsia="SimSun" w:hint="eastAsia"/>
          <w:iCs/>
          <w:sz w:val="24"/>
          <w:szCs w:val="24"/>
        </w:rPr>
        <w:t>号决定第</w:t>
      </w:r>
      <w:r w:rsidRPr="000C0842">
        <w:rPr>
          <w:rFonts w:eastAsia="SimSun"/>
          <w:iCs/>
          <w:sz w:val="24"/>
          <w:szCs w:val="24"/>
        </w:rPr>
        <w:t>13</w:t>
      </w:r>
      <w:r w:rsidRPr="000C0842">
        <w:rPr>
          <w:rFonts w:eastAsia="SimSun" w:hint="eastAsia"/>
          <w:iCs/>
          <w:sz w:val="24"/>
          <w:szCs w:val="24"/>
        </w:rPr>
        <w:t>段，其中缔约方大会请所有缔约方在国家报告中使用监测框架的标题指标并回答是</w:t>
      </w:r>
      <w:r w:rsidRPr="000C0842">
        <w:rPr>
          <w:rFonts w:eastAsia="SimSun" w:hint="eastAsia"/>
          <w:iCs/>
          <w:sz w:val="24"/>
          <w:szCs w:val="24"/>
        </w:rPr>
        <w:t>/</w:t>
      </w:r>
      <w:r w:rsidRPr="000C0842">
        <w:rPr>
          <w:rFonts w:eastAsia="SimSun" w:hint="eastAsia"/>
          <w:iCs/>
          <w:sz w:val="24"/>
          <w:szCs w:val="24"/>
        </w:rPr>
        <w:t>否二元问题，作为补充，可酌情任选监测框架所列组成指标和补充指标，还可使用国家指标，这为各国特别是发展中国家逐步执行该段提供了灵活性，因为当时有些指标尚未就绪，而且需要为标题指标进行能力建设和发展，</w:t>
      </w:r>
    </w:p>
    <w:p w14:paraId="2A5C58E4"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ascii="KaiTi" w:eastAsia="KaiTi" w:hAnsi="KaiTi" w:hint="eastAsia"/>
          <w:iCs/>
          <w:sz w:val="24"/>
          <w:szCs w:val="24"/>
        </w:rPr>
        <w:t>认识到</w:t>
      </w:r>
      <w:r w:rsidRPr="000C0842">
        <w:rPr>
          <w:rFonts w:eastAsia="SimSun" w:hint="eastAsia"/>
          <w:iCs/>
          <w:sz w:val="24"/>
          <w:szCs w:val="24"/>
        </w:rPr>
        <w:t>《昆蒙框架》通过之后为《性别平等行动计划》（</w:t>
      </w:r>
      <w:r w:rsidRPr="000C0842">
        <w:rPr>
          <w:rFonts w:eastAsia="SimSun"/>
          <w:sz w:val="24"/>
          <w:szCs w:val="28"/>
          <w:lang w:val="en-CA"/>
        </w:rPr>
        <w:t>2023</w:t>
      </w:r>
      <w:r w:rsidRPr="000C0842">
        <w:rPr>
          <w:rFonts w:eastAsia="SimSun"/>
          <w:sz w:val="24"/>
          <w:szCs w:val="28"/>
          <w:lang w:val="en-CA"/>
        </w:rPr>
        <w:sym w:font="Symbol" w:char="F02D"/>
      </w:r>
      <w:r w:rsidRPr="000C0842">
        <w:rPr>
          <w:rFonts w:eastAsia="SimSun"/>
          <w:sz w:val="24"/>
          <w:szCs w:val="28"/>
          <w:lang w:val="en-CA"/>
        </w:rPr>
        <w:t>2030</w:t>
      </w:r>
      <w:r w:rsidRPr="000C0842">
        <w:rPr>
          <w:rFonts w:eastAsia="SimSun"/>
          <w:sz w:val="24"/>
          <w:szCs w:val="28"/>
          <w:lang w:val="en-CA"/>
        </w:rPr>
        <w:t>年</w:t>
      </w:r>
      <w:r w:rsidRPr="000C0842">
        <w:rPr>
          <w:rFonts w:eastAsia="SimSun" w:hint="eastAsia"/>
          <w:iCs/>
          <w:sz w:val="24"/>
          <w:szCs w:val="24"/>
        </w:rPr>
        <w:t>）</w:t>
      </w:r>
      <w:r w:rsidRPr="000C0842">
        <w:rPr>
          <w:rFonts w:eastAsia="Times New Roman"/>
          <w:sz w:val="24"/>
          <w:szCs w:val="28"/>
          <w:vertAlign w:val="superscript"/>
          <w:lang w:val="en-CA"/>
        </w:rPr>
        <w:footnoteReference w:id="404"/>
      </w:r>
      <w:r w:rsidRPr="000C0842">
        <w:rPr>
          <w:rFonts w:eastAsia="SimSun" w:hint="eastAsia"/>
          <w:iCs/>
          <w:sz w:val="24"/>
          <w:szCs w:val="24"/>
        </w:rPr>
        <w:t xml:space="preserve"> </w:t>
      </w:r>
      <w:r w:rsidRPr="000C0842">
        <w:rPr>
          <w:rFonts w:eastAsia="SimSun" w:hint="eastAsia"/>
          <w:iCs/>
          <w:sz w:val="24"/>
          <w:szCs w:val="24"/>
        </w:rPr>
        <w:t>制定了一项指标</w:t>
      </w:r>
      <w:r w:rsidRPr="000C0842">
        <w:rPr>
          <w:rFonts w:eastAsia="Times New Roman"/>
          <w:sz w:val="24"/>
          <w:szCs w:val="24"/>
          <w:vertAlign w:val="superscript"/>
          <w:lang w:val="en-CA"/>
        </w:rPr>
        <w:footnoteReference w:id="405"/>
      </w:r>
      <w:r w:rsidRPr="000C0842">
        <w:rPr>
          <w:rFonts w:eastAsia="SimSun" w:hint="eastAsia"/>
          <w:iCs/>
          <w:sz w:val="24"/>
          <w:szCs w:val="24"/>
        </w:rPr>
        <w:t>，</w:t>
      </w:r>
      <w:r w:rsidRPr="000C0842">
        <w:rPr>
          <w:rFonts w:eastAsia="SimSun" w:hint="eastAsia"/>
          <w:iCs/>
          <w:sz w:val="24"/>
          <w:szCs w:val="24"/>
        </w:rPr>
        <w:t xml:space="preserve"> </w:t>
      </w:r>
    </w:p>
    <w:p w14:paraId="33CAE37E"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ascii="KaiTi" w:eastAsia="KaiTi" w:hAnsi="KaiTi" w:hint="eastAsia"/>
          <w:iCs/>
          <w:sz w:val="24"/>
          <w:szCs w:val="24"/>
        </w:rPr>
        <w:t>又认识到</w:t>
      </w:r>
      <w:r w:rsidRPr="000C0842">
        <w:rPr>
          <w:rFonts w:eastAsia="SimSun" w:hint="eastAsia"/>
          <w:iCs/>
          <w:sz w:val="24"/>
          <w:szCs w:val="24"/>
        </w:rPr>
        <w:t>收集和生成数据、维护数据库和处理生物多样性相关数据的能力参差不齐，在这方面，发展中国家需要执行手段上的支持，包括通过国际合作、资源调动、信息基础设施、能力建设和发展、技术和科学合作以及技术转让，</w:t>
      </w:r>
    </w:p>
    <w:p w14:paraId="09862940"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iCs/>
          <w:sz w:val="24"/>
          <w:szCs w:val="24"/>
        </w:rPr>
      </w:pPr>
      <w:r w:rsidRPr="000C0842">
        <w:rPr>
          <w:rFonts w:ascii="KaiTi" w:eastAsia="KaiTi" w:hAnsi="KaiTi" w:hint="eastAsia"/>
          <w:iCs/>
          <w:sz w:val="24"/>
          <w:szCs w:val="24"/>
        </w:rPr>
        <w:t>还认识</w:t>
      </w:r>
      <w:r w:rsidRPr="000C0842">
        <w:rPr>
          <w:rFonts w:eastAsia="SimSun" w:hint="eastAsia"/>
          <w:iCs/>
          <w:sz w:val="24"/>
          <w:szCs w:val="24"/>
        </w:rPr>
        <w:t>到加强国家监测、报告、审查和信息系统的重要性，这些系统是根据国情和优先事项监测《昆蒙框架》执行工作包括在生态系统层面进行监测的主要信息来源，</w:t>
      </w:r>
    </w:p>
    <w:p w14:paraId="7AE932DF"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rPr>
        <w:t>认可</w:t>
      </w:r>
      <w:r w:rsidRPr="000C0842">
        <w:rPr>
          <w:rFonts w:eastAsia="SimSun"/>
          <w:sz w:val="24"/>
          <w:szCs w:val="24"/>
          <w:lang w:val="en-CA"/>
        </w:rPr>
        <w:t>本决定附件一所载对</w:t>
      </w:r>
      <w:r w:rsidRPr="000C0842">
        <w:rPr>
          <w:rFonts w:eastAsia="SimSun" w:hint="eastAsia"/>
          <w:sz w:val="24"/>
          <w:szCs w:val="24"/>
          <w:lang w:val="en-CA"/>
        </w:rPr>
        <w:t>《</w:t>
      </w:r>
      <w:r w:rsidRPr="000C0842">
        <w:rPr>
          <w:rFonts w:eastAsia="SimSun"/>
          <w:sz w:val="24"/>
          <w:szCs w:val="24"/>
          <w:lang w:val="en-CA"/>
        </w:rPr>
        <w:t>昆明</w:t>
      </w:r>
      <w:r w:rsidRPr="000C0842">
        <w:rPr>
          <w:rFonts w:eastAsia="SimSun"/>
          <w:sz w:val="24"/>
          <w:szCs w:val="24"/>
          <w:lang w:val="en-CA"/>
        </w:rPr>
        <w:t>-</w:t>
      </w:r>
      <w:r w:rsidRPr="000C0842">
        <w:rPr>
          <w:rFonts w:eastAsia="SimSun"/>
          <w:sz w:val="24"/>
          <w:szCs w:val="24"/>
          <w:lang w:val="en-CA"/>
        </w:rPr>
        <w:t>蒙特利尔全球生物多样性框架</w:t>
      </w:r>
      <w:r w:rsidRPr="000C0842">
        <w:rPr>
          <w:rFonts w:eastAsia="SimSun" w:hint="eastAsia"/>
          <w:sz w:val="24"/>
          <w:szCs w:val="24"/>
          <w:lang w:val="en-CA"/>
        </w:rPr>
        <w:t>》的</w:t>
      </w:r>
      <w:r w:rsidRPr="000C0842">
        <w:rPr>
          <w:rFonts w:eastAsia="SimSun"/>
          <w:sz w:val="24"/>
          <w:szCs w:val="24"/>
          <w:lang w:val="en-CA"/>
        </w:rPr>
        <w:t>监测框架题指标</w:t>
      </w:r>
      <w:r w:rsidRPr="000C0842">
        <w:rPr>
          <w:rFonts w:eastAsia="SimSun" w:hint="eastAsia"/>
          <w:sz w:val="24"/>
          <w:szCs w:val="24"/>
          <w:lang w:val="en-CA"/>
        </w:rPr>
        <w:t>和</w:t>
      </w:r>
      <w:r w:rsidRPr="000C0842">
        <w:rPr>
          <w:rFonts w:eastAsia="SimSun"/>
          <w:sz w:val="24"/>
          <w:szCs w:val="24"/>
          <w:lang w:val="en-CA"/>
        </w:rPr>
        <w:t>二元指标的技术更新</w:t>
      </w:r>
      <w:r w:rsidRPr="000C0842">
        <w:rPr>
          <w:rFonts w:eastAsia="SimSun"/>
          <w:sz w:val="24"/>
          <w:szCs w:val="24"/>
          <w:lang w:val="en-CA"/>
        </w:rPr>
        <w:t xml:space="preserve">; </w:t>
      </w:r>
    </w:p>
    <w:p w14:paraId="5F517ECF"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CA"/>
        </w:rPr>
        <w:t>表示注意到</w:t>
      </w:r>
      <w:r w:rsidRPr="000C0842">
        <w:rPr>
          <w:rFonts w:eastAsia="SimSun"/>
          <w:sz w:val="24"/>
          <w:szCs w:val="24"/>
          <w:lang w:val="en-CA"/>
        </w:rPr>
        <w:t>本决定附件二所载</w:t>
      </w:r>
      <w:r w:rsidRPr="000C0842">
        <w:rPr>
          <w:rFonts w:eastAsia="SimSun" w:hint="eastAsia"/>
          <w:sz w:val="24"/>
          <w:szCs w:val="24"/>
          <w:lang w:val="en-CA"/>
        </w:rPr>
        <w:t>《</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hint="eastAsia"/>
          <w:sz w:val="24"/>
          <w:szCs w:val="24"/>
          <w:lang w:val="en-CA"/>
        </w:rPr>
        <w:t>》</w:t>
      </w:r>
      <w:r w:rsidRPr="000C0842">
        <w:rPr>
          <w:rFonts w:eastAsia="SimSun"/>
          <w:sz w:val="24"/>
          <w:szCs w:val="24"/>
        </w:rPr>
        <w:t>监测框架中的标题指标</w:t>
      </w:r>
      <w:r w:rsidRPr="000C0842">
        <w:rPr>
          <w:rFonts w:eastAsia="SimSun" w:hint="eastAsia"/>
          <w:sz w:val="24"/>
          <w:szCs w:val="24"/>
        </w:rPr>
        <w:t>和</w:t>
      </w:r>
      <w:r w:rsidRPr="000C0842">
        <w:rPr>
          <w:rFonts w:eastAsia="SimSun"/>
          <w:sz w:val="24"/>
          <w:szCs w:val="24"/>
        </w:rPr>
        <w:t>自愿</w:t>
      </w:r>
      <w:r w:rsidRPr="000C0842">
        <w:rPr>
          <w:rFonts w:eastAsia="SimSun" w:hint="eastAsia"/>
          <w:sz w:val="24"/>
          <w:szCs w:val="24"/>
        </w:rPr>
        <w:t>性</w:t>
      </w:r>
      <w:r w:rsidRPr="000C0842">
        <w:rPr>
          <w:rFonts w:eastAsia="SimSun"/>
          <w:sz w:val="24"/>
          <w:szCs w:val="24"/>
        </w:rPr>
        <w:t>组成</w:t>
      </w:r>
      <w:r w:rsidRPr="000C0842">
        <w:rPr>
          <w:rFonts w:eastAsia="SimSun" w:hint="eastAsia"/>
          <w:sz w:val="24"/>
          <w:szCs w:val="24"/>
        </w:rPr>
        <w:t>指标和</w:t>
      </w:r>
      <w:r w:rsidRPr="000C0842">
        <w:rPr>
          <w:rFonts w:eastAsia="SimSun"/>
          <w:sz w:val="24"/>
          <w:szCs w:val="24"/>
        </w:rPr>
        <w:t>补充指标的</w:t>
      </w:r>
      <w:r w:rsidRPr="000C0842">
        <w:rPr>
          <w:rFonts w:eastAsia="SimSun" w:hint="eastAsia"/>
          <w:sz w:val="24"/>
          <w:szCs w:val="24"/>
        </w:rPr>
        <w:t>细分选项</w:t>
      </w:r>
      <w:r w:rsidRPr="000C0842">
        <w:rPr>
          <w:rFonts w:eastAsia="SimSun"/>
          <w:sz w:val="24"/>
          <w:szCs w:val="24"/>
        </w:rPr>
        <w:t>，注意到这些指标的使用是</w:t>
      </w:r>
      <w:r w:rsidRPr="000C0842">
        <w:rPr>
          <w:rFonts w:eastAsia="SimSun" w:hint="eastAsia"/>
          <w:sz w:val="24"/>
          <w:szCs w:val="24"/>
        </w:rPr>
        <w:t>任选</w:t>
      </w:r>
      <w:r w:rsidRPr="000C0842">
        <w:rPr>
          <w:rFonts w:eastAsia="SimSun"/>
          <w:sz w:val="24"/>
          <w:szCs w:val="24"/>
        </w:rPr>
        <w:t>性的，</w:t>
      </w:r>
      <w:r w:rsidRPr="000C0842">
        <w:rPr>
          <w:rFonts w:eastAsia="SimSun" w:hint="eastAsia"/>
          <w:sz w:val="24"/>
          <w:szCs w:val="24"/>
        </w:rPr>
        <w:t>应符合国情</w:t>
      </w:r>
      <w:r w:rsidRPr="000C0842">
        <w:rPr>
          <w:rFonts w:eastAsia="SimSun"/>
          <w:sz w:val="24"/>
          <w:szCs w:val="24"/>
        </w:rPr>
        <w:t>和优先事项；</w:t>
      </w:r>
    </w:p>
    <w:p w14:paraId="547AB752"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通过</w:t>
      </w:r>
      <w:r w:rsidRPr="000C0842">
        <w:rPr>
          <w:rFonts w:eastAsia="SimSun"/>
          <w:sz w:val="24"/>
          <w:szCs w:val="24"/>
          <w:lang w:val="en-CA"/>
        </w:rPr>
        <w:t>本决定附件</w:t>
      </w:r>
      <w:r w:rsidRPr="000C0842">
        <w:rPr>
          <w:rFonts w:eastAsia="SimSun" w:hint="eastAsia"/>
          <w:sz w:val="24"/>
          <w:szCs w:val="24"/>
          <w:lang w:val="en-CA"/>
        </w:rPr>
        <w:t>三</w:t>
      </w:r>
      <w:r w:rsidRPr="000C0842">
        <w:rPr>
          <w:rFonts w:eastAsia="SimSun"/>
          <w:sz w:val="24"/>
          <w:szCs w:val="24"/>
          <w:lang w:val="en-CA"/>
        </w:rPr>
        <w:t>所载二元</w:t>
      </w:r>
      <w:r w:rsidRPr="000C0842">
        <w:rPr>
          <w:rFonts w:eastAsia="SimSun" w:hint="eastAsia"/>
          <w:sz w:val="24"/>
          <w:szCs w:val="24"/>
          <w:lang w:val="en-CA"/>
        </w:rPr>
        <w:t>指标</w:t>
      </w:r>
      <w:r w:rsidRPr="000C0842">
        <w:rPr>
          <w:rFonts w:eastAsia="SimSun"/>
          <w:sz w:val="24"/>
          <w:szCs w:val="24"/>
          <w:lang w:val="en-CA"/>
        </w:rPr>
        <w:t>问题清单</w:t>
      </w:r>
      <w:r w:rsidRPr="000C0842">
        <w:rPr>
          <w:rFonts w:eastAsia="SimSun" w:hint="eastAsia"/>
          <w:sz w:val="24"/>
          <w:szCs w:val="24"/>
          <w:lang w:val="en-CA"/>
        </w:rPr>
        <w:t>；</w:t>
      </w:r>
    </w:p>
    <w:p w14:paraId="02D7A2C1"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欢迎</w:t>
      </w:r>
      <w:r w:rsidRPr="000C0842">
        <w:rPr>
          <w:rFonts w:eastAsia="SimSun"/>
          <w:sz w:val="24"/>
          <w:szCs w:val="24"/>
          <w:lang w:val="en-CA"/>
        </w:rPr>
        <w:t>昆明</w:t>
      </w:r>
      <w:r w:rsidRPr="000C0842">
        <w:rPr>
          <w:rFonts w:eastAsia="SimSun"/>
          <w:sz w:val="24"/>
          <w:szCs w:val="24"/>
          <w:lang w:val="en-CA"/>
        </w:rPr>
        <w:t>-</w:t>
      </w:r>
      <w:r w:rsidRPr="000C0842">
        <w:rPr>
          <w:rFonts w:eastAsia="SimSun"/>
          <w:sz w:val="24"/>
          <w:szCs w:val="24"/>
          <w:lang w:val="en-CA"/>
        </w:rPr>
        <w:t>蒙特利尔全球生物多样性框架指标问题特设技术专家组提供的关于监测框架的指导意见</w:t>
      </w:r>
      <w:r w:rsidRPr="000C0842">
        <w:rPr>
          <w:rFonts w:eastAsia="SimSun"/>
          <w:sz w:val="24"/>
          <w:szCs w:val="24"/>
          <w:vertAlign w:val="superscript"/>
          <w:lang w:val="en-CA"/>
        </w:rPr>
        <w:footnoteReference w:id="406"/>
      </w:r>
      <w:r w:rsidRPr="000C0842">
        <w:rPr>
          <w:rFonts w:eastAsia="SimSun"/>
          <w:sz w:val="24"/>
          <w:szCs w:val="24"/>
          <w:lang w:val="en-CA"/>
        </w:rPr>
        <w:t>，请缔约方</w:t>
      </w:r>
      <w:r w:rsidRPr="000C0842">
        <w:rPr>
          <w:rFonts w:eastAsia="SimSun" w:hint="eastAsia"/>
          <w:sz w:val="24"/>
          <w:szCs w:val="24"/>
          <w:lang w:val="en-CA"/>
        </w:rPr>
        <w:t>根据国情和相关国际义务</w:t>
      </w:r>
      <w:r w:rsidRPr="000C0842">
        <w:rPr>
          <w:rFonts w:eastAsia="SimSun"/>
          <w:sz w:val="24"/>
          <w:szCs w:val="24"/>
          <w:lang w:val="en-CA"/>
        </w:rPr>
        <w:t>酌情利用该指导意见，包括标题指标和二元指标的元数据、</w:t>
      </w:r>
      <w:r w:rsidRPr="000C0842">
        <w:rPr>
          <w:rFonts w:eastAsia="SimSun" w:hint="eastAsia"/>
          <w:sz w:val="24"/>
          <w:szCs w:val="24"/>
          <w:lang w:val="en-CA"/>
        </w:rPr>
        <w:t>执行</w:t>
      </w:r>
      <w:r w:rsidRPr="000C0842">
        <w:rPr>
          <w:rFonts w:eastAsia="SimSun"/>
          <w:sz w:val="24"/>
          <w:szCs w:val="24"/>
          <w:lang w:val="en-CA"/>
        </w:rPr>
        <w:t>监测框架时把《</w:t>
      </w:r>
      <w:r w:rsidRPr="000C0842">
        <w:rPr>
          <w:rFonts w:eastAsia="SimSun" w:hint="eastAsia"/>
          <w:sz w:val="24"/>
          <w:szCs w:val="24"/>
          <w:lang w:val="en-CA"/>
        </w:rPr>
        <w:t>昆蒙</w:t>
      </w:r>
      <w:r w:rsidRPr="000C0842">
        <w:rPr>
          <w:rFonts w:eastAsia="SimSun"/>
          <w:sz w:val="24"/>
          <w:szCs w:val="24"/>
          <w:lang w:val="en-CA"/>
        </w:rPr>
        <w:t>框架》</w:t>
      </w:r>
      <w:r w:rsidRPr="000C0842">
        <w:rPr>
          <w:rFonts w:eastAsia="SimSun"/>
          <w:sz w:val="24"/>
          <w:szCs w:val="24"/>
          <w:lang w:val="en-CA"/>
        </w:rPr>
        <w:t xml:space="preserve"> C </w:t>
      </w:r>
      <w:r w:rsidRPr="000C0842">
        <w:rPr>
          <w:rFonts w:eastAsia="SimSun"/>
          <w:sz w:val="24"/>
          <w:szCs w:val="24"/>
          <w:lang w:val="en-CA"/>
        </w:rPr>
        <w:t>部分考虑在内的方法、关于</w:t>
      </w:r>
      <w:r w:rsidRPr="000C0842">
        <w:rPr>
          <w:rFonts w:eastAsia="SimSun"/>
          <w:sz w:val="24"/>
          <w:szCs w:val="24"/>
        </w:rPr>
        <w:t>监测框架的</w:t>
      </w:r>
      <w:r w:rsidRPr="000C0842">
        <w:rPr>
          <w:rFonts w:eastAsia="SimSun" w:hint="eastAsia"/>
          <w:sz w:val="24"/>
          <w:szCs w:val="24"/>
        </w:rPr>
        <w:t>执行</w:t>
      </w:r>
      <w:r w:rsidRPr="000C0842">
        <w:rPr>
          <w:rFonts w:eastAsia="SimSun"/>
          <w:sz w:val="24"/>
          <w:szCs w:val="24"/>
        </w:rPr>
        <w:t>以及关于</w:t>
      </w:r>
      <w:r w:rsidRPr="000C0842">
        <w:rPr>
          <w:rFonts w:eastAsia="SimSun" w:hint="eastAsia"/>
          <w:sz w:val="24"/>
          <w:szCs w:val="24"/>
        </w:rPr>
        <w:t>差距</w:t>
      </w:r>
      <w:r w:rsidRPr="000C0842">
        <w:rPr>
          <w:rFonts w:eastAsia="SimSun"/>
          <w:sz w:val="24"/>
          <w:szCs w:val="24"/>
        </w:rPr>
        <w:t>和机会的总体指导意见</w:t>
      </w:r>
      <w:r w:rsidRPr="000C0842">
        <w:rPr>
          <w:rFonts w:eastAsia="SimSun"/>
          <w:sz w:val="24"/>
          <w:szCs w:val="24"/>
          <w:lang w:val="en-CA"/>
        </w:rPr>
        <w:t>;</w:t>
      </w:r>
    </w:p>
    <w:p w14:paraId="258B710D"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表示注意到</w:t>
      </w:r>
      <w:r w:rsidRPr="000C0842">
        <w:rPr>
          <w:rFonts w:eastAsia="SimSun"/>
          <w:sz w:val="24"/>
          <w:szCs w:val="24"/>
          <w:lang w:val="en-CA"/>
        </w:rPr>
        <w:t>指标问题特设技术专家组编</w:t>
      </w:r>
      <w:r w:rsidRPr="000C0842">
        <w:rPr>
          <w:rFonts w:eastAsia="SimSun" w:hint="eastAsia"/>
          <w:sz w:val="24"/>
          <w:szCs w:val="24"/>
          <w:lang w:val="en-CA"/>
        </w:rPr>
        <w:t>写</w:t>
      </w:r>
      <w:r w:rsidRPr="000C0842">
        <w:rPr>
          <w:rFonts w:eastAsia="SimSun"/>
          <w:sz w:val="24"/>
          <w:szCs w:val="24"/>
          <w:lang w:val="en-CA"/>
        </w:rPr>
        <w:t>的</w:t>
      </w:r>
      <w:hyperlink r:id="rId277" w:history="1">
        <w:r w:rsidRPr="000C0842">
          <w:rPr>
            <w:rFonts w:eastAsia="SimSun"/>
            <w:sz w:val="24"/>
            <w:szCs w:val="24"/>
            <w:u w:val="single"/>
            <w:lang w:val="en-CA"/>
          </w:rPr>
          <w:t>CBD/SBSTTA/26/2</w:t>
        </w:r>
      </w:hyperlink>
      <w:r w:rsidRPr="000C0842">
        <w:rPr>
          <w:rFonts w:eastAsia="SimSun"/>
          <w:sz w:val="24"/>
          <w:szCs w:val="24"/>
          <w:lang w:val="en-CA"/>
        </w:rPr>
        <w:t xml:space="preserve"> </w:t>
      </w:r>
      <w:r w:rsidRPr="000C0842">
        <w:rPr>
          <w:rFonts w:eastAsia="SimSun"/>
          <w:sz w:val="24"/>
          <w:szCs w:val="24"/>
          <w:lang w:val="en-CA"/>
        </w:rPr>
        <w:t>号文件附件二表</w:t>
      </w:r>
      <w:r w:rsidRPr="000C0842">
        <w:rPr>
          <w:rFonts w:eastAsia="SimSun"/>
          <w:sz w:val="24"/>
          <w:szCs w:val="24"/>
          <w:lang w:val="en-CA"/>
        </w:rPr>
        <w:t xml:space="preserve"> 1 </w:t>
      </w:r>
      <w:r w:rsidRPr="000C0842">
        <w:rPr>
          <w:rFonts w:eastAsia="SimSun"/>
          <w:sz w:val="24"/>
          <w:szCs w:val="24"/>
          <w:lang w:val="en-CA"/>
        </w:rPr>
        <w:t>和表</w:t>
      </w:r>
      <w:r w:rsidRPr="000C0842">
        <w:rPr>
          <w:rFonts w:eastAsia="SimSun"/>
          <w:sz w:val="24"/>
          <w:szCs w:val="24"/>
          <w:lang w:val="en-CA"/>
        </w:rPr>
        <w:t xml:space="preserve"> 2 </w:t>
      </w:r>
      <w:r w:rsidRPr="000C0842">
        <w:rPr>
          <w:rFonts w:eastAsia="SimSun"/>
          <w:sz w:val="24"/>
          <w:szCs w:val="24"/>
          <w:lang w:val="en-CA"/>
        </w:rPr>
        <w:t>所载的标题指标</w:t>
      </w:r>
      <w:r w:rsidRPr="000C0842">
        <w:rPr>
          <w:rFonts w:eastAsia="SimSun" w:hint="eastAsia"/>
          <w:sz w:val="24"/>
          <w:szCs w:val="24"/>
          <w:lang w:val="en-CA"/>
        </w:rPr>
        <w:t>制定</w:t>
      </w:r>
      <w:r w:rsidRPr="000C0842">
        <w:rPr>
          <w:rFonts w:eastAsia="SimSun"/>
          <w:sz w:val="24"/>
          <w:szCs w:val="24"/>
          <w:lang w:val="en-CA"/>
        </w:rPr>
        <w:t>现状以及与审议《</w:t>
      </w:r>
      <w:r w:rsidRPr="000C0842">
        <w:rPr>
          <w:rFonts w:eastAsia="SimSun" w:hint="eastAsia"/>
          <w:sz w:val="24"/>
          <w:szCs w:val="24"/>
          <w:lang w:val="en-CA"/>
        </w:rPr>
        <w:t>昆蒙</w:t>
      </w:r>
      <w:r w:rsidRPr="000C0842">
        <w:rPr>
          <w:rFonts w:eastAsia="SimSun"/>
          <w:sz w:val="24"/>
          <w:szCs w:val="24"/>
          <w:lang w:val="en-CA"/>
        </w:rPr>
        <w:t>框架》</w:t>
      </w:r>
      <w:r w:rsidRPr="000C0842">
        <w:rPr>
          <w:rFonts w:eastAsia="SimSun"/>
          <w:sz w:val="24"/>
          <w:szCs w:val="24"/>
          <w:lang w:val="en-CA"/>
        </w:rPr>
        <w:t xml:space="preserve"> C </w:t>
      </w:r>
      <w:r w:rsidRPr="000C0842">
        <w:rPr>
          <w:rFonts w:eastAsia="SimSun"/>
          <w:sz w:val="24"/>
          <w:szCs w:val="24"/>
          <w:lang w:val="en-CA"/>
        </w:rPr>
        <w:t>部分有关的指导意见的现状；</w:t>
      </w:r>
    </w:p>
    <w:p w14:paraId="717CB645"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赞赏地注意到</w:t>
      </w:r>
      <w:r w:rsidRPr="000C0842">
        <w:rPr>
          <w:rFonts w:eastAsia="SimSun"/>
          <w:sz w:val="24"/>
          <w:szCs w:val="24"/>
          <w:lang w:val="en-CA"/>
        </w:rPr>
        <w:t>监测框架很好地涵盖了</w:t>
      </w:r>
      <w:r w:rsidRPr="000C0842">
        <w:rPr>
          <w:rFonts w:eastAsia="SimSun" w:hint="eastAsia"/>
          <w:sz w:val="24"/>
          <w:szCs w:val="24"/>
          <w:lang w:val="en-CA"/>
        </w:rPr>
        <w:t>《昆蒙</w:t>
      </w:r>
      <w:r w:rsidRPr="000C0842">
        <w:rPr>
          <w:rFonts w:eastAsia="SimSun" w:hint="eastAsia"/>
          <w:sz w:val="24"/>
          <w:szCs w:val="24"/>
          <w:lang w:val="en-CA"/>
        </w:rPr>
        <w:t>-</w:t>
      </w:r>
      <w:r w:rsidRPr="000C0842">
        <w:rPr>
          <w:rFonts w:eastAsia="SimSun" w:hint="eastAsia"/>
          <w:sz w:val="24"/>
          <w:szCs w:val="24"/>
          <w:lang w:val="en-CA"/>
        </w:rPr>
        <w:t>蒙特利尔全球生物多样性</w:t>
      </w:r>
      <w:r w:rsidRPr="000C0842">
        <w:rPr>
          <w:rFonts w:eastAsia="SimSun"/>
          <w:sz w:val="24"/>
          <w:szCs w:val="24"/>
          <w:lang w:val="en-CA"/>
        </w:rPr>
        <w:t>框架</w:t>
      </w:r>
      <w:r w:rsidRPr="000C0842">
        <w:rPr>
          <w:rFonts w:eastAsia="SimSun" w:hint="eastAsia"/>
          <w:sz w:val="24"/>
          <w:szCs w:val="24"/>
          <w:lang w:val="en-CA"/>
        </w:rPr>
        <w:t>》</w:t>
      </w:r>
      <w:r w:rsidRPr="000C0842">
        <w:rPr>
          <w:rFonts w:eastAsia="SimSun"/>
          <w:sz w:val="24"/>
          <w:szCs w:val="24"/>
          <w:lang w:val="en-CA"/>
        </w:rPr>
        <w:t>的总体范围</w:t>
      </w:r>
      <w:r w:rsidRPr="000C0842">
        <w:rPr>
          <w:rFonts w:eastAsia="SimSun"/>
          <w:sz w:val="24"/>
          <w:szCs w:val="24"/>
          <w:vertAlign w:val="superscript"/>
          <w:lang w:val="en-CA"/>
        </w:rPr>
        <w:footnoteReference w:id="407"/>
      </w:r>
      <w:r w:rsidRPr="000C0842">
        <w:rPr>
          <w:rFonts w:eastAsia="SimSun" w:hint="eastAsia"/>
          <w:sz w:val="24"/>
          <w:szCs w:val="24"/>
          <w:lang w:val="en-CA"/>
        </w:rPr>
        <w:t>；</w:t>
      </w:r>
    </w:p>
    <w:p w14:paraId="58696EE6"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决定</w:t>
      </w:r>
      <w:r w:rsidRPr="000C0842">
        <w:rPr>
          <w:rFonts w:eastAsia="SimSun" w:hint="eastAsia"/>
          <w:sz w:val="24"/>
          <w:szCs w:val="24"/>
          <w:lang w:val="en-CA"/>
        </w:rPr>
        <w:t>在进一步</w:t>
      </w:r>
      <w:r w:rsidRPr="000C0842">
        <w:rPr>
          <w:rFonts w:eastAsia="SimSun"/>
          <w:sz w:val="24"/>
          <w:szCs w:val="24"/>
          <w:lang w:val="en-CA"/>
        </w:rPr>
        <w:t>制定标题指标、组成指标和补充指标</w:t>
      </w:r>
      <w:r w:rsidRPr="000C0842">
        <w:rPr>
          <w:rFonts w:eastAsia="SimSun" w:hint="eastAsia"/>
          <w:sz w:val="24"/>
          <w:szCs w:val="24"/>
          <w:lang w:val="en-CA"/>
        </w:rPr>
        <w:t>时，需要</w:t>
      </w:r>
      <w:r w:rsidRPr="000C0842">
        <w:rPr>
          <w:rFonts w:eastAsia="SimSun"/>
          <w:sz w:val="24"/>
          <w:szCs w:val="24"/>
          <w:lang w:val="en-CA"/>
        </w:rPr>
        <w:t>考虑缔约方特别是发展中国家</w:t>
      </w:r>
      <w:r w:rsidRPr="000C0842">
        <w:rPr>
          <w:rFonts w:eastAsia="SimSun" w:hint="eastAsia"/>
          <w:sz w:val="24"/>
          <w:szCs w:val="24"/>
          <w:lang w:val="en-CA"/>
        </w:rPr>
        <w:t>缔约方</w:t>
      </w:r>
      <w:r w:rsidRPr="000C0842">
        <w:rPr>
          <w:rFonts w:eastAsia="SimSun"/>
          <w:sz w:val="24"/>
          <w:szCs w:val="24"/>
          <w:lang w:val="en-CA"/>
        </w:rPr>
        <w:t>在</w:t>
      </w:r>
      <w:r w:rsidRPr="000C0842">
        <w:rPr>
          <w:rFonts w:eastAsia="SimSun" w:hint="eastAsia"/>
          <w:sz w:val="24"/>
          <w:szCs w:val="24"/>
          <w:lang w:val="en-CA"/>
        </w:rPr>
        <w:t>执行</w:t>
      </w:r>
      <w:r w:rsidRPr="000C0842">
        <w:rPr>
          <w:rFonts w:eastAsia="SimSun"/>
          <w:sz w:val="24"/>
          <w:szCs w:val="24"/>
          <w:lang w:val="en-CA"/>
        </w:rPr>
        <w:t>监测框架</w:t>
      </w:r>
      <w:r w:rsidRPr="000C0842">
        <w:rPr>
          <w:rFonts w:eastAsia="SimSun" w:hint="eastAsia"/>
          <w:sz w:val="24"/>
          <w:szCs w:val="24"/>
          <w:lang w:val="en-CA"/>
        </w:rPr>
        <w:t>方面</w:t>
      </w:r>
      <w:r w:rsidRPr="000C0842">
        <w:rPr>
          <w:rFonts w:eastAsia="SimSun"/>
          <w:sz w:val="24"/>
          <w:szCs w:val="24"/>
          <w:lang w:val="en-CA"/>
        </w:rPr>
        <w:t>面临的报告负担</w:t>
      </w:r>
      <w:r w:rsidRPr="000C0842">
        <w:rPr>
          <w:rFonts w:eastAsia="SimSun" w:hint="eastAsia"/>
          <w:sz w:val="24"/>
          <w:szCs w:val="24"/>
          <w:lang w:val="en-CA"/>
        </w:rPr>
        <w:t>以及</w:t>
      </w:r>
      <w:r w:rsidRPr="000C0842">
        <w:rPr>
          <w:rFonts w:eastAsia="SimSun"/>
          <w:sz w:val="24"/>
          <w:szCs w:val="24"/>
          <w:lang w:val="en-CA"/>
        </w:rPr>
        <w:t>技术和资金</w:t>
      </w:r>
      <w:r w:rsidRPr="000C0842">
        <w:rPr>
          <w:rFonts w:eastAsia="SimSun" w:hint="eastAsia"/>
          <w:sz w:val="24"/>
          <w:szCs w:val="24"/>
          <w:lang w:val="en-CA"/>
        </w:rPr>
        <w:t>制约</w:t>
      </w:r>
      <w:r w:rsidRPr="000C0842">
        <w:rPr>
          <w:rFonts w:eastAsia="SimSun"/>
          <w:sz w:val="24"/>
          <w:szCs w:val="24"/>
          <w:lang w:val="en-CA"/>
        </w:rPr>
        <w:t>;</w:t>
      </w:r>
    </w:p>
    <w:p w14:paraId="5FD054E1"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rPr>
        <w:t>又</w:t>
      </w:r>
      <w:r w:rsidRPr="000C0842">
        <w:rPr>
          <w:rFonts w:ascii="KaiTi" w:eastAsia="KaiTi" w:hAnsi="KaiTi"/>
          <w:sz w:val="24"/>
          <w:szCs w:val="24"/>
        </w:rPr>
        <w:t>决定</w:t>
      </w:r>
      <w:r w:rsidRPr="000C0842">
        <w:rPr>
          <w:rFonts w:eastAsia="SimSun"/>
          <w:sz w:val="24"/>
          <w:szCs w:val="24"/>
        </w:rPr>
        <w:t>需要开展进一步工作，制定</w:t>
      </w:r>
      <w:r w:rsidRPr="000C0842">
        <w:rPr>
          <w:rFonts w:eastAsia="SimSun" w:hint="eastAsia"/>
          <w:sz w:val="24"/>
          <w:szCs w:val="24"/>
        </w:rPr>
        <w:t>关于</w:t>
      </w:r>
      <w:r w:rsidRPr="000C0842">
        <w:rPr>
          <w:rFonts w:eastAsia="SimSun"/>
          <w:sz w:val="24"/>
          <w:szCs w:val="24"/>
        </w:rPr>
        <w:t>有害生物多样性的补贴的组成指标及其方法，同时考虑到标题指标</w:t>
      </w:r>
      <w:r w:rsidRPr="000C0842">
        <w:rPr>
          <w:rFonts w:eastAsia="SimSun"/>
          <w:sz w:val="24"/>
          <w:szCs w:val="24"/>
        </w:rPr>
        <w:t>18.2</w:t>
      </w:r>
      <w:r w:rsidRPr="000C0842">
        <w:rPr>
          <w:rFonts w:eastAsia="SimSun"/>
          <w:sz w:val="24"/>
          <w:szCs w:val="24"/>
        </w:rPr>
        <w:t>的</w:t>
      </w:r>
      <w:r w:rsidRPr="000C0842">
        <w:rPr>
          <w:rFonts w:eastAsia="SimSun" w:hint="eastAsia"/>
          <w:sz w:val="24"/>
          <w:szCs w:val="24"/>
        </w:rPr>
        <w:t>行业细分选项</w:t>
      </w:r>
      <w:r w:rsidRPr="000C0842">
        <w:rPr>
          <w:rFonts w:eastAsia="SimSun"/>
          <w:sz w:val="24"/>
          <w:szCs w:val="24"/>
        </w:rPr>
        <w:t>，以及促进生物多样性保护和可持续利用的积极激励措施</w:t>
      </w:r>
      <w:r w:rsidRPr="000C0842">
        <w:rPr>
          <w:rFonts w:eastAsia="SimSun" w:hint="eastAsia"/>
          <w:sz w:val="24"/>
          <w:szCs w:val="24"/>
        </w:rPr>
        <w:t>；</w:t>
      </w:r>
    </w:p>
    <w:p w14:paraId="56552815"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sz w:val="24"/>
          <w:szCs w:val="24"/>
        </w:rPr>
        <w:t>请</w:t>
      </w:r>
      <w:r w:rsidRPr="000C0842">
        <w:rPr>
          <w:rFonts w:eastAsia="SimSun"/>
          <w:sz w:val="24"/>
          <w:szCs w:val="24"/>
          <w:lang w:val="en-CA"/>
        </w:rPr>
        <w:t>科学、技术和工艺咨询附属机构在缔约方</w:t>
      </w:r>
      <w:r w:rsidRPr="000C0842">
        <w:rPr>
          <w:rFonts w:eastAsia="SimSun" w:hint="eastAsia"/>
          <w:sz w:val="24"/>
          <w:szCs w:val="24"/>
          <w:lang w:val="en-CA"/>
        </w:rPr>
        <w:t>大会</w:t>
      </w:r>
      <w:r w:rsidRPr="000C0842">
        <w:rPr>
          <w:rFonts w:eastAsia="SimSun"/>
          <w:sz w:val="24"/>
          <w:szCs w:val="24"/>
          <w:lang w:val="en-CA"/>
        </w:rPr>
        <w:t>第十七届会议之前举行的一次会议上审查</w:t>
      </w:r>
      <w:r w:rsidRPr="000C0842">
        <w:rPr>
          <w:rFonts w:eastAsia="SimSun" w:hint="eastAsia"/>
          <w:sz w:val="24"/>
          <w:szCs w:val="24"/>
          <w:lang w:val="en-CA"/>
        </w:rPr>
        <w:t>经更新的</w:t>
      </w:r>
      <w:r w:rsidRPr="000C0842">
        <w:rPr>
          <w:rFonts w:eastAsia="SimSun"/>
          <w:sz w:val="24"/>
          <w:szCs w:val="24"/>
          <w:lang w:val="en-CA"/>
        </w:rPr>
        <w:t>标题指标元数据以及第</w:t>
      </w:r>
      <w:hyperlink r:id="rId278" w:history="1">
        <w:r w:rsidRPr="000C0842">
          <w:rPr>
            <w:rFonts w:eastAsia="SimSun"/>
            <w:sz w:val="24"/>
            <w:szCs w:val="24"/>
            <w:u w:val="single"/>
            <w:lang w:val="en-CA"/>
          </w:rPr>
          <w:t>15/5</w:t>
        </w:r>
      </w:hyperlink>
      <w:r w:rsidRPr="000C0842">
        <w:rPr>
          <w:rFonts w:eastAsia="SimSun"/>
          <w:sz w:val="24"/>
          <w:szCs w:val="24"/>
          <w:lang w:val="en-CA"/>
        </w:rPr>
        <w:t xml:space="preserve"> </w:t>
      </w:r>
      <w:r w:rsidRPr="000C0842">
        <w:rPr>
          <w:rFonts w:eastAsia="SimSun"/>
          <w:sz w:val="24"/>
          <w:szCs w:val="24"/>
          <w:lang w:val="en-CA"/>
        </w:rPr>
        <w:t>号决定</w:t>
      </w:r>
      <w:r w:rsidRPr="000C0842">
        <w:rPr>
          <w:rFonts w:eastAsia="SimSun" w:hint="eastAsia"/>
          <w:sz w:val="24"/>
          <w:szCs w:val="24"/>
          <w:lang w:val="en-CA"/>
        </w:rPr>
        <w:t>通过后已达到列入</w:t>
      </w:r>
      <w:r w:rsidRPr="000C0842">
        <w:rPr>
          <w:rFonts w:eastAsia="SimSun"/>
          <w:sz w:val="24"/>
          <w:szCs w:val="24"/>
          <w:lang w:val="en-CA"/>
        </w:rPr>
        <w:t>监测框架</w:t>
      </w:r>
      <w:r w:rsidRPr="000C0842">
        <w:rPr>
          <w:rFonts w:eastAsia="SimSun" w:hint="eastAsia"/>
          <w:sz w:val="24"/>
          <w:szCs w:val="24"/>
          <w:lang w:val="en-CA"/>
        </w:rPr>
        <w:t>的</w:t>
      </w:r>
      <w:r w:rsidRPr="000C0842">
        <w:rPr>
          <w:rFonts w:eastAsia="SimSun"/>
          <w:sz w:val="24"/>
          <w:szCs w:val="24"/>
          <w:lang w:val="en-CA"/>
        </w:rPr>
        <w:t>标准的组成指标和补充指标清单，供缔约方在第八次国家报告中使用</w:t>
      </w:r>
      <w:r w:rsidRPr="000C0842">
        <w:rPr>
          <w:rFonts w:eastAsia="SimSun"/>
          <w:sz w:val="24"/>
          <w:szCs w:val="24"/>
          <w:lang w:val="en-CA"/>
        </w:rPr>
        <w:t>;</w:t>
      </w:r>
    </w:p>
    <w:p w14:paraId="1BEFA07F"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rPr>
        <w:t>邀请</w:t>
      </w:r>
      <w:r w:rsidRPr="000C0842">
        <w:rPr>
          <w:rFonts w:eastAsia="SimSun"/>
          <w:sz w:val="24"/>
          <w:szCs w:val="24"/>
        </w:rPr>
        <w:t>国际组织和其他相关组织、土著人民和地方社区</w:t>
      </w:r>
      <w:r w:rsidRPr="000C0842">
        <w:rPr>
          <w:rFonts w:eastAsia="SimSun" w:hint="eastAsia"/>
          <w:sz w:val="24"/>
          <w:szCs w:val="24"/>
        </w:rPr>
        <w:t>、</w:t>
      </w:r>
      <w:r w:rsidRPr="000C0842">
        <w:rPr>
          <w:rFonts w:eastAsia="SimSun"/>
          <w:sz w:val="24"/>
          <w:szCs w:val="24"/>
        </w:rPr>
        <w:t>妇女和青年支持缔约方在国家一级</w:t>
      </w:r>
      <w:r w:rsidRPr="000C0842">
        <w:rPr>
          <w:rFonts w:eastAsia="SimSun" w:hint="eastAsia"/>
          <w:sz w:val="24"/>
          <w:szCs w:val="24"/>
        </w:rPr>
        <w:t>执行</w:t>
      </w:r>
      <w:r w:rsidRPr="000C0842">
        <w:rPr>
          <w:rFonts w:eastAsia="SimSun"/>
          <w:sz w:val="24"/>
          <w:szCs w:val="24"/>
        </w:rPr>
        <w:t>监测框架</w:t>
      </w:r>
      <w:r w:rsidRPr="000C0842">
        <w:rPr>
          <w:rFonts w:eastAsia="SimSun"/>
          <w:sz w:val="24"/>
          <w:szCs w:val="24"/>
        </w:rPr>
        <w:t>;</w:t>
      </w:r>
    </w:p>
    <w:p w14:paraId="52ECED12"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回顾</w:t>
      </w:r>
      <w:r w:rsidRPr="000C0842">
        <w:rPr>
          <w:rFonts w:ascii="KaiTi" w:eastAsia="SimSun" w:hAnsi="KaiTi" w:hint="eastAsia"/>
          <w:sz w:val="24"/>
          <w:szCs w:val="24"/>
          <w:lang w:val="en-GB"/>
        </w:rPr>
        <w:t>每一</w:t>
      </w:r>
      <w:r w:rsidRPr="000C0842">
        <w:rPr>
          <w:rFonts w:eastAsia="SimSun" w:hint="eastAsia"/>
          <w:sz w:val="24"/>
          <w:szCs w:val="24"/>
          <w:lang w:val="en-GB"/>
        </w:rPr>
        <w:t>缔约方对数据的验证是《生物多样性公约》下提交国家报告所用报告模板的一部分；</w:t>
      </w:r>
      <w:r w:rsidRPr="000C0842">
        <w:rPr>
          <w:rFonts w:eastAsia="SimSun" w:hint="eastAsia"/>
          <w:sz w:val="24"/>
          <w:szCs w:val="24"/>
          <w:lang w:val="en-GB"/>
        </w:rPr>
        <w:t xml:space="preserve"> </w:t>
      </w:r>
    </w:p>
    <w:p w14:paraId="664FA992"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GB"/>
        </w:rPr>
        <w:t>欢迎</w:t>
      </w:r>
      <w:r w:rsidRPr="000C0842">
        <w:rPr>
          <w:rFonts w:ascii="KaiTi" w:eastAsia="SimSun" w:hAnsi="KaiTi" w:hint="eastAsia"/>
          <w:sz w:val="24"/>
          <w:szCs w:val="24"/>
          <w:lang w:val="en-GB"/>
        </w:rPr>
        <w:t>在</w:t>
      </w:r>
      <w:r w:rsidRPr="000C0842">
        <w:rPr>
          <w:rFonts w:eastAsia="SimSun" w:hint="eastAsia"/>
          <w:sz w:val="24"/>
          <w:szCs w:val="24"/>
          <w:lang w:val="en-GB"/>
        </w:rPr>
        <w:t>多边环境协定和相关倡议下正在开展的监测工作，</w:t>
      </w:r>
      <w:r w:rsidRPr="000C0842">
        <w:rPr>
          <w:rFonts w:eastAsia="SimSun" w:hint="eastAsia"/>
          <w:sz w:val="24"/>
          <w:szCs w:val="24"/>
        </w:rPr>
        <w:t>请多边环境协定和相关</w:t>
      </w:r>
      <w:r w:rsidRPr="000C0842">
        <w:rPr>
          <w:rFonts w:eastAsia="SimSun" w:hint="eastAsia"/>
          <w:sz w:val="24"/>
          <w:szCs w:val="24"/>
          <w:lang w:val="en-GB"/>
        </w:rPr>
        <w:t>倡议</w:t>
      </w:r>
      <w:r w:rsidRPr="000C0842">
        <w:rPr>
          <w:rFonts w:eastAsia="SimSun" w:hint="eastAsia"/>
          <w:sz w:val="24"/>
          <w:szCs w:val="24"/>
        </w:rPr>
        <w:t>的秘书处与公约执行秘书分享有关监测举措的信息；</w:t>
      </w:r>
      <w:r w:rsidRPr="000C0842">
        <w:rPr>
          <w:rFonts w:eastAsia="SimSun"/>
          <w:sz w:val="24"/>
          <w:szCs w:val="24"/>
        </w:rPr>
        <w:t xml:space="preserve"> </w:t>
      </w:r>
    </w:p>
    <w:p w14:paraId="192944AC"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GB"/>
        </w:rPr>
        <w:t>强调</w:t>
      </w:r>
      <w:r w:rsidRPr="000C0842">
        <w:rPr>
          <w:rFonts w:eastAsia="SimSun" w:hint="eastAsia"/>
          <w:sz w:val="24"/>
          <w:szCs w:val="24"/>
          <w:lang w:val="en-GB"/>
        </w:rPr>
        <w:t>将指标纳入相关进程主流的重要性</w:t>
      </w:r>
      <w:r w:rsidRPr="000C0842">
        <w:rPr>
          <w:rFonts w:eastAsia="SimSun" w:hint="eastAsia"/>
          <w:sz w:val="24"/>
          <w:szCs w:val="24"/>
        </w:rPr>
        <w:t>，同时强调需要确保与现有任务保持一致，并请多边环境和生物多样性相关协定、金融机构和其他进程的秘书处和理事机构酌情考虑本决定附件一和附件二所载指标；</w:t>
      </w:r>
    </w:p>
    <w:p w14:paraId="5F3C2CE9"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敦促</w:t>
      </w:r>
      <w:r w:rsidRPr="000C0842">
        <w:rPr>
          <w:rFonts w:eastAsia="SimSun" w:hint="eastAsia"/>
          <w:sz w:val="24"/>
          <w:szCs w:val="24"/>
          <w:lang w:val="en-GB"/>
        </w:rPr>
        <w:t>缔约方和其他政府，包括地方和次国家政府，在执行监测框架时考虑到《昆蒙框架》的</w:t>
      </w:r>
      <w:r w:rsidRPr="000C0842">
        <w:rPr>
          <w:rFonts w:eastAsia="SimSun"/>
          <w:sz w:val="24"/>
          <w:szCs w:val="24"/>
          <w:lang w:val="en-GB"/>
        </w:rPr>
        <w:t>C</w:t>
      </w:r>
      <w:r w:rsidRPr="000C0842">
        <w:rPr>
          <w:rFonts w:eastAsia="SimSun" w:hint="eastAsia"/>
          <w:sz w:val="24"/>
          <w:szCs w:val="24"/>
          <w:lang w:val="en-GB"/>
        </w:rPr>
        <w:t>部分，包括通过按土著人民和地方社区、性别、年龄、残疾人和其他相关群体以及按生态系统类型分列标题指标，并在相关和适用的情况下，酌情使用与</w:t>
      </w:r>
      <w:r w:rsidRPr="000C0842">
        <w:rPr>
          <w:rFonts w:eastAsia="SimSun"/>
          <w:sz w:val="24"/>
          <w:szCs w:val="24"/>
          <w:lang w:val="en-GB"/>
        </w:rPr>
        <w:t>C</w:t>
      </w:r>
      <w:r w:rsidRPr="000C0842">
        <w:rPr>
          <w:rFonts w:eastAsia="SimSun" w:hint="eastAsia"/>
          <w:sz w:val="24"/>
          <w:szCs w:val="24"/>
          <w:lang w:val="en-GB"/>
        </w:rPr>
        <w:t>部分相关的组成指标、补充指标以及国家和地方指标和传统知识指标，包括通过加强基于社区的监测系统；</w:t>
      </w:r>
    </w:p>
    <w:p w14:paraId="2293C9DA"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鼓励</w:t>
      </w:r>
      <w:r w:rsidRPr="000C0842">
        <w:rPr>
          <w:rFonts w:eastAsia="SimSun" w:hint="eastAsia"/>
          <w:sz w:val="24"/>
          <w:szCs w:val="24"/>
          <w:lang w:val="en-GB"/>
        </w:rPr>
        <w:t>缔约方、其他国家政府、次国家政府和地方机构和相关组织为基于社区的监测和信息系统提供资源等支持，包括根据各国国情和优先事项，在执行监测框架时使用这些系统的数据。</w:t>
      </w:r>
      <w:r w:rsidRPr="000C0842">
        <w:rPr>
          <w:rFonts w:eastAsia="SimSun" w:hint="eastAsia"/>
          <w:sz w:val="24"/>
          <w:szCs w:val="24"/>
          <w:lang w:val="en-GB"/>
        </w:rPr>
        <w:t xml:space="preserve"> </w:t>
      </w:r>
    </w:p>
    <w:p w14:paraId="1AB3768E"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邀请</w:t>
      </w:r>
      <w:r w:rsidRPr="000C0842">
        <w:rPr>
          <w:rFonts w:eastAsia="SimSun" w:hint="eastAsia"/>
          <w:sz w:val="24"/>
          <w:szCs w:val="24"/>
          <w:lang w:val="en-GB"/>
        </w:rPr>
        <w:t>私人慈善机构和其他相关组织尽可能根据监测框架分享与生物多样性有关的融资数据；</w:t>
      </w:r>
      <w:r w:rsidRPr="000C0842">
        <w:rPr>
          <w:rFonts w:eastAsia="SimSun"/>
          <w:sz w:val="24"/>
          <w:szCs w:val="24"/>
          <w:lang w:val="en-GB"/>
        </w:rPr>
        <w:t xml:space="preserve"> </w:t>
      </w:r>
    </w:p>
    <w:p w14:paraId="71D7EE90"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鼓励</w:t>
      </w:r>
      <w:r w:rsidRPr="000C0842">
        <w:rPr>
          <w:rFonts w:eastAsia="SimSun" w:hint="eastAsia"/>
          <w:sz w:val="24"/>
          <w:szCs w:val="24"/>
          <w:lang w:val="en-GB"/>
        </w:rPr>
        <w:t>缔约方和其他国家政府，包括地方和次国家政府，采取全国一致的方法，按照国家生态系统分类监测生态系统并报告《昆蒙框架》长期目标和行动目标的数据；</w:t>
      </w:r>
    </w:p>
    <w:p w14:paraId="03E8075F"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 </w:t>
      </w:r>
      <w:r w:rsidRPr="000C0842">
        <w:rPr>
          <w:rFonts w:ascii="KaiTi" w:eastAsia="KaiTi" w:hAnsi="KaiTi" w:hint="eastAsia"/>
          <w:sz w:val="24"/>
          <w:szCs w:val="24"/>
          <w:lang w:val="en-GB"/>
        </w:rPr>
        <w:t>邀请</w:t>
      </w:r>
      <w:r w:rsidRPr="000C0842">
        <w:rPr>
          <w:rFonts w:eastAsia="SimSun" w:hint="eastAsia"/>
          <w:sz w:val="24"/>
          <w:szCs w:val="24"/>
          <w:lang w:val="en-GB"/>
        </w:rPr>
        <w:t>缔约方利用“全球生态系统类型学”或同等方法，根据国情和能力，使国家生态系统数据与这一类型学第</w:t>
      </w:r>
      <w:r w:rsidRPr="000C0842">
        <w:rPr>
          <w:rFonts w:eastAsia="SimSun"/>
          <w:sz w:val="24"/>
          <w:szCs w:val="24"/>
          <w:lang w:val="en-GB"/>
        </w:rPr>
        <w:t>2</w:t>
      </w:r>
      <w:r w:rsidRPr="000C0842">
        <w:rPr>
          <w:rFonts w:eastAsia="SimSun" w:hint="eastAsia"/>
          <w:sz w:val="24"/>
          <w:szCs w:val="24"/>
          <w:lang w:val="en-GB"/>
        </w:rPr>
        <w:t>级和第</w:t>
      </w:r>
      <w:r w:rsidRPr="000C0842">
        <w:rPr>
          <w:rFonts w:eastAsia="SimSun"/>
          <w:sz w:val="24"/>
          <w:szCs w:val="24"/>
          <w:lang w:val="en-GB"/>
        </w:rPr>
        <w:t>3</w:t>
      </w:r>
      <w:r w:rsidRPr="000C0842">
        <w:rPr>
          <w:rFonts w:eastAsia="SimSun" w:hint="eastAsia"/>
          <w:sz w:val="24"/>
          <w:szCs w:val="24"/>
          <w:lang w:val="en-GB"/>
        </w:rPr>
        <w:t>级相互参照；</w:t>
      </w:r>
      <w:r w:rsidRPr="000C0842">
        <w:rPr>
          <w:rFonts w:eastAsia="SimSun" w:hint="eastAsia"/>
          <w:sz w:val="24"/>
          <w:szCs w:val="24"/>
          <w:lang w:val="en-GB"/>
        </w:rPr>
        <w:t xml:space="preserve"> </w:t>
      </w:r>
    </w:p>
    <w:p w14:paraId="776F8121"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敦促</w:t>
      </w:r>
      <w:r w:rsidRPr="000C0842">
        <w:rPr>
          <w:rFonts w:eastAsia="SimSun" w:hint="eastAsia"/>
          <w:sz w:val="24"/>
          <w:szCs w:val="24"/>
          <w:lang w:val="en-GB"/>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0C0842">
        <w:rPr>
          <w:rFonts w:eastAsia="SimSun" w:hint="eastAsia"/>
          <w:sz w:val="24"/>
          <w:szCs w:val="24"/>
          <w:lang w:val="en-GB"/>
        </w:rPr>
        <w:t xml:space="preserve">2026 </w:t>
      </w:r>
      <w:r w:rsidRPr="000C0842">
        <w:rPr>
          <w:rFonts w:eastAsia="SimSun" w:hint="eastAsia"/>
          <w:sz w:val="24"/>
          <w:szCs w:val="24"/>
          <w:lang w:val="en-GB"/>
        </w:rPr>
        <w:t>年</w:t>
      </w:r>
      <w:r w:rsidRPr="000C0842">
        <w:rPr>
          <w:rFonts w:eastAsia="SimSun" w:hint="eastAsia"/>
          <w:sz w:val="24"/>
          <w:szCs w:val="24"/>
          <w:lang w:val="en-GB"/>
        </w:rPr>
        <w:t xml:space="preserve"> 2 </w:t>
      </w:r>
      <w:r w:rsidRPr="000C0842">
        <w:rPr>
          <w:rFonts w:eastAsia="SimSun" w:hint="eastAsia"/>
          <w:sz w:val="24"/>
          <w:szCs w:val="24"/>
          <w:lang w:val="en-GB"/>
        </w:rPr>
        <w:t>月提交的第七次国家报告中报告各项指标；</w:t>
      </w:r>
    </w:p>
    <w:p w14:paraId="0BB9C2FB"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敦促</w:t>
      </w:r>
      <w:r w:rsidRPr="000C0842">
        <w:rPr>
          <w:rFonts w:eastAsia="SimSun" w:hint="eastAsia"/>
          <w:sz w:val="24"/>
          <w:szCs w:val="24"/>
          <w:lang w:val="en-GB"/>
        </w:rPr>
        <w:t>发达国家缔约方并邀请有能力的其他缔约方加强国际合作，包括提供充足、及时和可预测的资金、能力建设和发展、科技合作和技术转让，解决发展中国家缔约方在执行监测框架方面面临的技术和资金挑战；</w:t>
      </w:r>
    </w:p>
    <w:p w14:paraId="7079D18D"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邀请</w:t>
      </w:r>
      <w:r w:rsidRPr="000C0842">
        <w:rPr>
          <w:rFonts w:eastAsia="SimSun" w:hint="eastAsia"/>
          <w:sz w:val="24"/>
          <w:szCs w:val="24"/>
          <w:lang w:val="en-GB"/>
        </w:rPr>
        <w:t>其他国家政府加强国际合作，包括提供充足、及时和可预测的资金、能力建设和发展、科技合作和技术转让，解决发展中国家缔约方在执行监测框架方面面临的技术和资金挑战；</w:t>
      </w:r>
    </w:p>
    <w:p w14:paraId="0C68FB2C"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请</w:t>
      </w:r>
      <w:r w:rsidRPr="000C0842">
        <w:rPr>
          <w:rFonts w:ascii="KaiTi" w:eastAsia="SimSun" w:hAnsi="KaiTi" w:hint="eastAsia"/>
          <w:sz w:val="24"/>
          <w:szCs w:val="24"/>
          <w:lang w:val="en-GB"/>
        </w:rPr>
        <w:t>全球环境基金应所有符合条件的缔约方的要求，根据其任务授权，提供充足、</w:t>
      </w:r>
      <w:r w:rsidRPr="000C0842">
        <w:rPr>
          <w:rFonts w:ascii="KaiTi" w:eastAsia="SimSun" w:hAnsi="KaiTi" w:hint="eastAsia"/>
          <w:sz w:val="24"/>
          <w:szCs w:val="24"/>
          <w:lang w:val="en-GB"/>
        </w:rPr>
        <w:t xml:space="preserve"> </w:t>
      </w:r>
      <w:r w:rsidRPr="000C0842">
        <w:rPr>
          <w:rFonts w:ascii="KaiTi" w:eastAsia="SimSun" w:hAnsi="KaiTi" w:hint="eastAsia"/>
          <w:sz w:val="24"/>
          <w:szCs w:val="24"/>
          <w:lang w:val="en-GB"/>
        </w:rPr>
        <w:t>及时和可预测的资金，促进国家生物多样性监测系统的开发和实施，支持缔约方的报告工作；</w:t>
      </w:r>
    </w:p>
    <w:p w14:paraId="32787EA8"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邀请</w:t>
      </w:r>
      <w:r w:rsidRPr="000C0842">
        <w:rPr>
          <w:rFonts w:ascii="KaiTi" w:eastAsia="SimSun" w:hAnsi="KaiTi" w:hint="eastAsia"/>
          <w:sz w:val="24"/>
          <w:szCs w:val="24"/>
          <w:lang w:val="en-GB"/>
        </w:rPr>
        <w:t>缔约方和其他国家政府在情况相关但</w:t>
      </w:r>
      <w:r w:rsidRPr="000C0842">
        <w:rPr>
          <w:rFonts w:eastAsia="SimSun" w:hint="eastAsia"/>
          <w:sz w:val="24"/>
          <w:szCs w:val="24"/>
          <w:lang w:val="en-GB"/>
        </w:rPr>
        <w:t>国家数据空缺时</w:t>
      </w:r>
      <w:r w:rsidRPr="000C0842">
        <w:rPr>
          <w:rFonts w:ascii="KaiTi" w:eastAsia="SimSun" w:hAnsi="KaiTi" w:hint="eastAsia"/>
          <w:sz w:val="24"/>
          <w:szCs w:val="24"/>
          <w:lang w:val="en-GB"/>
        </w:rPr>
        <w:t>，利用可持续发展目标指标和其他全球现有数据，同时顾及</w:t>
      </w:r>
      <w:r w:rsidRPr="000C0842">
        <w:rPr>
          <w:rFonts w:eastAsia="SimSun" w:hint="eastAsia"/>
          <w:sz w:val="24"/>
          <w:szCs w:val="24"/>
          <w:lang w:val="en-GB"/>
        </w:rPr>
        <w:t>缔约方对国家数据的定期更新和验证</w:t>
      </w:r>
      <w:r w:rsidRPr="000C0842">
        <w:rPr>
          <w:rFonts w:ascii="KaiTi" w:eastAsia="SimSun" w:hAnsi="KaiTi" w:hint="eastAsia"/>
          <w:sz w:val="24"/>
          <w:szCs w:val="24"/>
          <w:lang w:val="en-GB"/>
        </w:rPr>
        <w:t>，补充本国监测系统的数据；</w:t>
      </w:r>
    </w:p>
    <w:p w14:paraId="539FCB4C"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请</w:t>
      </w:r>
      <w:r w:rsidRPr="000C0842">
        <w:rPr>
          <w:rFonts w:eastAsia="SimSun" w:hint="eastAsia"/>
          <w:sz w:val="24"/>
          <w:szCs w:val="24"/>
          <w:lang w:val="en-GB"/>
        </w:rPr>
        <w:t>科学、技术和工艺咨询附属机构在缔约方大会第十七届会议之前举行的一次会议上审查缔约方在执行监测框架方面的需求，考虑如何解决技术或能力差距；</w:t>
      </w:r>
    </w:p>
    <w:p w14:paraId="3446FB67"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鼓励</w:t>
      </w:r>
      <w:r w:rsidRPr="000C0842">
        <w:rPr>
          <w:rFonts w:eastAsia="SimSun" w:hint="eastAsia"/>
          <w:sz w:val="24"/>
          <w:szCs w:val="24"/>
          <w:lang w:val="en-GB"/>
        </w:rPr>
        <w:t>缔约方和相关组织，包括生物多样性指标伙伴关系、土著人民和地方社区、妇女和青年，交流知识，建设与标题指标、组成指标和补充指标有关的能力，在执行监测框架时考虑到《昆蒙框架》的</w:t>
      </w:r>
      <w:r w:rsidRPr="000C0842">
        <w:rPr>
          <w:rFonts w:eastAsia="SimSun" w:hint="eastAsia"/>
          <w:sz w:val="24"/>
          <w:szCs w:val="24"/>
          <w:lang w:val="en-GB"/>
        </w:rPr>
        <w:t>C</w:t>
      </w:r>
      <w:r w:rsidRPr="000C0842">
        <w:rPr>
          <w:rFonts w:eastAsia="SimSun" w:hint="eastAsia"/>
          <w:sz w:val="24"/>
          <w:szCs w:val="24"/>
          <w:lang w:val="en-GB"/>
        </w:rPr>
        <w:t>部分；</w:t>
      </w:r>
    </w:p>
    <w:p w14:paraId="22275B43"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请</w:t>
      </w:r>
      <w:r w:rsidRPr="000C0842">
        <w:rPr>
          <w:rFonts w:eastAsia="SimSun" w:hint="eastAsia"/>
          <w:sz w:val="24"/>
          <w:szCs w:val="24"/>
          <w:lang w:val="en-GB"/>
        </w:rPr>
        <w:t>区域和次区域科技合作支助中心和全球协调实体</w:t>
      </w:r>
      <w:r w:rsidRPr="000C0842">
        <w:rPr>
          <w:rFonts w:eastAsia="SimSun"/>
          <w:sz w:val="24"/>
          <w:szCs w:val="24"/>
          <w:vertAlign w:val="superscript"/>
          <w:lang w:val="en-GB"/>
        </w:rPr>
        <w:footnoteReference w:id="408"/>
      </w:r>
      <w:r w:rsidRPr="000C0842">
        <w:rPr>
          <w:rFonts w:eastAsia="SimSun" w:hint="eastAsia"/>
          <w:sz w:val="24"/>
          <w:szCs w:val="24"/>
          <w:lang w:val="en-GB"/>
        </w:rPr>
        <w:t>根据需求，为缔约方执行监测框架提供能力建设和发展支持；</w:t>
      </w:r>
    </w:p>
    <w:p w14:paraId="5AE4DFB2"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rPr>
      </w:pPr>
      <w:r w:rsidRPr="000C0842">
        <w:rPr>
          <w:rFonts w:ascii="KaiTi" w:eastAsia="KaiTi" w:hAnsi="KaiTi" w:hint="eastAsia"/>
          <w:sz w:val="24"/>
          <w:szCs w:val="24"/>
          <w:lang w:val="en-GB"/>
        </w:rPr>
        <w:t>请</w:t>
      </w:r>
      <w:r w:rsidRPr="000C0842">
        <w:rPr>
          <w:rFonts w:eastAsia="SimSun" w:hint="eastAsia"/>
          <w:sz w:val="24"/>
          <w:szCs w:val="24"/>
          <w:lang w:val="en-GB"/>
        </w:rPr>
        <w:t>执行秘书通过以下措施，包括在相关</w:t>
      </w:r>
      <w:r w:rsidRPr="000C0842">
        <w:rPr>
          <w:rFonts w:eastAsia="SimSun" w:hint="eastAsia"/>
          <w:sz w:val="24"/>
          <w:szCs w:val="24"/>
        </w:rPr>
        <w:t>情况下利用区域和次区域科技合作支助中心和全球生物多样性知识支助服务中心，</w:t>
      </w:r>
      <w:r w:rsidRPr="000C0842">
        <w:rPr>
          <w:rFonts w:eastAsia="SimSun" w:hint="eastAsia"/>
          <w:sz w:val="24"/>
          <w:szCs w:val="24"/>
          <w:lang w:val="en-GB"/>
        </w:rPr>
        <w:t>支持包容性和参与性进程，促进监测框架的运作</w:t>
      </w:r>
      <w:r w:rsidRPr="000C0842">
        <w:rPr>
          <w:rFonts w:eastAsia="SimSun" w:hint="eastAsia"/>
          <w:sz w:val="24"/>
          <w:szCs w:val="24"/>
        </w:rPr>
        <w:t>：</w:t>
      </w:r>
    </w:p>
    <w:p w14:paraId="19669F03" w14:textId="5ED31C34" w:rsidR="004C57B0" w:rsidRPr="000C0842" w:rsidRDefault="004C57B0">
      <w:pPr>
        <w:pStyle w:val="ListParagraph"/>
        <w:numPr>
          <w:ilvl w:val="0"/>
          <w:numId w:val="253"/>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SimSun" w:hint="eastAsia"/>
          <w:sz w:val="24"/>
          <w:szCs w:val="24"/>
        </w:rPr>
        <w:t>与缔约方持续分享关于监测框架执行情况的最新信息，包括多边环境组织、生物多样性指标伙伴关系成员和其他相关组织分享的信息；</w:t>
      </w:r>
    </w:p>
    <w:p w14:paraId="10EEE66C" w14:textId="53167714" w:rsidR="004C57B0" w:rsidRPr="000C0842" w:rsidRDefault="004C57B0">
      <w:pPr>
        <w:pStyle w:val="ListParagraph"/>
        <w:numPr>
          <w:ilvl w:val="0"/>
          <w:numId w:val="253"/>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SimSun" w:hint="eastAsia"/>
          <w:sz w:val="24"/>
          <w:szCs w:val="24"/>
        </w:rPr>
        <w:t>确定备选方案和潜在合作者，以解决指标问题特设技术专家组查明的差距，包括在制定标题指标</w:t>
      </w:r>
      <w:r w:rsidRPr="000C0842">
        <w:rPr>
          <w:rFonts w:eastAsia="SimSun" w:hint="eastAsia"/>
          <w:sz w:val="24"/>
          <w:szCs w:val="24"/>
        </w:rPr>
        <w:t>1.1</w:t>
      </w:r>
      <w:r w:rsidRPr="000C0842">
        <w:rPr>
          <w:rFonts w:eastAsia="SimSun" w:hint="eastAsia"/>
          <w:sz w:val="24"/>
          <w:szCs w:val="24"/>
        </w:rPr>
        <w:t>和</w:t>
      </w:r>
      <w:r w:rsidRPr="000C0842">
        <w:rPr>
          <w:rFonts w:eastAsia="SimSun" w:hint="eastAsia"/>
          <w:sz w:val="24"/>
          <w:szCs w:val="24"/>
        </w:rPr>
        <w:t>9.1</w:t>
      </w:r>
      <w:r w:rsidRPr="000C0842">
        <w:rPr>
          <w:rFonts w:eastAsia="SimSun" w:hint="eastAsia"/>
          <w:sz w:val="24"/>
          <w:szCs w:val="24"/>
        </w:rPr>
        <w:t>方面；</w:t>
      </w:r>
    </w:p>
    <w:p w14:paraId="380A76C8" w14:textId="2667DFF6" w:rsidR="004C57B0" w:rsidRPr="000C0842" w:rsidRDefault="004C57B0">
      <w:pPr>
        <w:pStyle w:val="ListParagraph"/>
        <w:numPr>
          <w:ilvl w:val="0"/>
          <w:numId w:val="253"/>
        </w:numPr>
        <w:tabs>
          <w:tab w:val="clear" w:pos="567"/>
          <w:tab w:val="clear" w:pos="1134"/>
          <w:tab w:val="clear" w:pos="1701"/>
          <w:tab w:val="clear" w:pos="2268"/>
        </w:tabs>
        <w:spacing w:before="120" w:after="120"/>
        <w:ind w:left="490" w:firstLine="490"/>
        <w:contextualSpacing w:val="0"/>
        <w:rPr>
          <w:rFonts w:eastAsia="SimSun"/>
          <w:sz w:val="24"/>
          <w:szCs w:val="24"/>
        </w:rPr>
      </w:pPr>
      <w:r w:rsidRPr="000C0842">
        <w:rPr>
          <w:rFonts w:eastAsia="SimSun" w:hint="eastAsia"/>
          <w:sz w:val="24"/>
          <w:szCs w:val="24"/>
        </w:rPr>
        <w:t>促进在国家一级执行监测框架的相关能力建设和发展活动；</w:t>
      </w:r>
    </w:p>
    <w:p w14:paraId="047B9D51"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lang w:val="en-GB"/>
        </w:rPr>
        <w:t>又请</w:t>
      </w:r>
      <w:r w:rsidRPr="000C0842">
        <w:rPr>
          <w:rFonts w:eastAsia="SimSun" w:hint="eastAsia"/>
          <w:sz w:val="24"/>
          <w:szCs w:val="24"/>
        </w:rPr>
        <w:t>执行秘书将监测框架指导意见和报告模板并列，便利缔约方编写报告时查询；</w:t>
      </w:r>
    </w:p>
    <w:p w14:paraId="154EEAEB"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rPr>
      </w:pPr>
      <w:r w:rsidRPr="000C0842">
        <w:rPr>
          <w:rFonts w:ascii="KaiTi" w:eastAsia="KaiTi" w:hAnsi="KaiTi" w:hint="eastAsia"/>
          <w:sz w:val="24"/>
          <w:szCs w:val="24"/>
          <w:lang w:val="en-GB"/>
        </w:rPr>
        <w:t>还请</w:t>
      </w:r>
      <w:r w:rsidRPr="000C0842">
        <w:rPr>
          <w:rFonts w:eastAsia="SimSun" w:hint="eastAsia"/>
          <w:sz w:val="24"/>
          <w:szCs w:val="24"/>
        </w:rPr>
        <w:t>执行秘书编写关于国家报告中标题指标、二元指标、组成指标和补充指标及国家指标使用情况的分析报告，并与</w:t>
      </w:r>
      <w:r w:rsidRPr="000C0842">
        <w:rPr>
          <w:rFonts w:eastAsia="SimSun"/>
          <w:sz w:val="24"/>
          <w:szCs w:val="24"/>
        </w:rPr>
        <w:t>编写昆明</w:t>
      </w:r>
      <w:r w:rsidRPr="000C0842">
        <w:rPr>
          <w:rFonts w:eastAsia="SimSun"/>
          <w:sz w:val="24"/>
          <w:szCs w:val="24"/>
        </w:rPr>
        <w:t>-</w:t>
      </w:r>
      <w:r w:rsidRPr="000C0842">
        <w:rPr>
          <w:rFonts w:eastAsia="SimSun"/>
          <w:sz w:val="24"/>
          <w:szCs w:val="24"/>
        </w:rPr>
        <w:t>蒙特利尔全球生物多样性框架集体执行进度全球报告的特设科学和技术咨询小</w:t>
      </w:r>
      <w:r w:rsidRPr="000C0842">
        <w:rPr>
          <w:rFonts w:ascii="SimSun" w:eastAsia="SimSun" w:hAnsi="SimSun" w:cs="SimSun" w:hint="eastAsia"/>
          <w:sz w:val="24"/>
          <w:szCs w:val="24"/>
        </w:rPr>
        <w:t>组</w:t>
      </w:r>
      <w:r w:rsidRPr="000C0842">
        <w:rPr>
          <w:rFonts w:eastAsia="SimSun" w:hint="eastAsia"/>
          <w:sz w:val="24"/>
          <w:szCs w:val="24"/>
        </w:rPr>
        <w:t>分享信息；</w:t>
      </w:r>
    </w:p>
    <w:p w14:paraId="0F96FF95"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rPr>
      </w:pPr>
      <w:r w:rsidRPr="000C0842">
        <w:rPr>
          <w:rFonts w:ascii="SimSun" w:eastAsia="KaiTi" w:hAnsi="SimSun" w:cs="SimSun" w:hint="eastAsia"/>
          <w:sz w:val="24"/>
          <w:szCs w:val="24"/>
        </w:rPr>
        <w:t>请</w:t>
      </w:r>
      <w:r w:rsidRPr="000C0842">
        <w:rPr>
          <w:rFonts w:ascii="SimSun" w:eastAsia="SimSun" w:hAnsi="SimSun" w:cs="SimSun" w:hint="eastAsia"/>
          <w:sz w:val="24"/>
          <w:szCs w:val="24"/>
        </w:rPr>
        <w:t>执行秘书</w:t>
      </w:r>
      <w:r w:rsidRPr="000C0842">
        <w:rPr>
          <w:rFonts w:eastAsia="SimSun" w:hint="eastAsia"/>
          <w:sz w:val="24"/>
          <w:szCs w:val="24"/>
        </w:rPr>
        <w:t>：</w:t>
      </w:r>
    </w:p>
    <w:p w14:paraId="2ED7B22C"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lang w:val="en-GB"/>
        </w:rPr>
        <w:t>(a)</w:t>
      </w:r>
      <w:r w:rsidRPr="000C0842">
        <w:rPr>
          <w:rFonts w:eastAsia="SimSun"/>
          <w:sz w:val="24"/>
          <w:szCs w:val="24"/>
        </w:rPr>
        <w:tab/>
      </w:r>
      <w:r w:rsidRPr="000C0842">
        <w:rPr>
          <w:rFonts w:eastAsia="SimSun" w:hint="eastAsia"/>
          <w:sz w:val="24"/>
          <w:szCs w:val="24"/>
        </w:rPr>
        <w:t>与相关组织合作，进一步制定标题指标</w:t>
      </w:r>
      <w:r w:rsidRPr="000C0842">
        <w:rPr>
          <w:rFonts w:eastAsia="SimSun" w:hint="eastAsia"/>
          <w:sz w:val="24"/>
          <w:szCs w:val="24"/>
        </w:rPr>
        <w:t>1.1</w:t>
      </w:r>
      <w:r w:rsidRPr="000C0842">
        <w:rPr>
          <w:rFonts w:eastAsia="SimSun" w:hint="eastAsia"/>
          <w:sz w:val="24"/>
          <w:szCs w:val="24"/>
        </w:rPr>
        <w:t>、</w:t>
      </w:r>
      <w:r w:rsidRPr="000C0842">
        <w:rPr>
          <w:rFonts w:eastAsia="SimSun" w:hint="eastAsia"/>
          <w:sz w:val="24"/>
          <w:szCs w:val="24"/>
        </w:rPr>
        <w:t>7.2</w:t>
      </w:r>
      <w:r w:rsidRPr="000C0842">
        <w:rPr>
          <w:rFonts w:eastAsia="SimSun" w:hint="eastAsia"/>
          <w:sz w:val="24"/>
          <w:szCs w:val="24"/>
        </w:rPr>
        <w:t>（如附件一所确定）</w:t>
      </w:r>
      <w:r w:rsidRPr="000C0842">
        <w:rPr>
          <w:rFonts w:eastAsia="SimSun"/>
          <w:vertAlign w:val="superscript"/>
          <w:lang w:val="en-GB"/>
        </w:rPr>
        <w:footnoteReference w:id="409"/>
      </w:r>
      <w:r w:rsidRPr="000C0842">
        <w:rPr>
          <w:rFonts w:eastAsia="SimSun" w:hint="eastAsia"/>
          <w:sz w:val="24"/>
          <w:szCs w:val="24"/>
        </w:rPr>
        <w:t>和</w:t>
      </w:r>
      <w:r w:rsidRPr="000C0842">
        <w:rPr>
          <w:rFonts w:eastAsia="SimSun" w:hint="eastAsia"/>
          <w:sz w:val="24"/>
          <w:szCs w:val="24"/>
        </w:rPr>
        <w:t>9.1</w:t>
      </w:r>
      <w:r w:rsidRPr="000C0842">
        <w:rPr>
          <w:rFonts w:eastAsia="SimSun" w:hint="eastAsia"/>
          <w:sz w:val="24"/>
          <w:szCs w:val="24"/>
        </w:rPr>
        <w:t>的元数据，并与</w:t>
      </w:r>
      <w:hyperlink r:id="rId279" w:history="1">
        <w:r w:rsidRPr="000C0842">
          <w:rPr>
            <w:rFonts w:eastAsia="SimSun" w:hint="eastAsia"/>
            <w:sz w:val="24"/>
            <w:szCs w:val="24"/>
            <w:u w:val="single"/>
          </w:rPr>
          <w:t>CBD/SBSTTA/26/2</w:t>
        </w:r>
      </w:hyperlink>
      <w:r w:rsidRPr="000C0842">
        <w:rPr>
          <w:rFonts w:eastAsia="SimSun" w:hint="eastAsia"/>
          <w:sz w:val="24"/>
          <w:szCs w:val="24"/>
        </w:rPr>
        <w:t>号文件附件二表</w:t>
      </w:r>
      <w:r w:rsidRPr="000C0842">
        <w:rPr>
          <w:rFonts w:eastAsia="SimSun" w:hint="eastAsia"/>
          <w:sz w:val="24"/>
          <w:szCs w:val="24"/>
        </w:rPr>
        <w:t>1</w:t>
      </w:r>
      <w:r w:rsidRPr="000C0842">
        <w:rPr>
          <w:rFonts w:eastAsia="SimSun" w:hint="eastAsia"/>
          <w:sz w:val="24"/>
          <w:szCs w:val="24"/>
        </w:rPr>
        <w:t>所列组织和其他有关组织合作，视需要更新其他标题指标特别是制定程度较低的标题指标的元数据；</w:t>
      </w:r>
    </w:p>
    <w:p w14:paraId="23DB20EC"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rPr>
        <w:t>(b)</w:t>
      </w:r>
      <w:r w:rsidRPr="000C0842">
        <w:rPr>
          <w:rFonts w:eastAsia="SimSun"/>
          <w:sz w:val="24"/>
          <w:szCs w:val="24"/>
        </w:rPr>
        <w:tab/>
      </w:r>
      <w:r w:rsidRPr="000C0842">
        <w:rPr>
          <w:rFonts w:eastAsia="SimSun"/>
          <w:sz w:val="24"/>
          <w:szCs w:val="24"/>
        </w:rPr>
        <w:t>汇编缔约方、多边环境协定秘书处、相关学术研究机构以及包括生物多样性指标伙伴关系、土著人民和地方社区、妇女和青年在内的其他相关组织提交的材料，以便纳入符合</w:t>
      </w:r>
      <w:r w:rsidRPr="000C0842">
        <w:rPr>
          <w:rFonts w:eastAsia="SimSun" w:hint="eastAsia"/>
          <w:sz w:val="24"/>
          <w:szCs w:val="24"/>
        </w:rPr>
        <w:t>列入</w:t>
      </w:r>
      <w:r w:rsidRPr="000C0842">
        <w:rPr>
          <w:rFonts w:eastAsia="SimSun"/>
          <w:sz w:val="24"/>
          <w:szCs w:val="24"/>
        </w:rPr>
        <w:t>监测框架标准的额外标题</w:t>
      </w:r>
      <w:r w:rsidRPr="000C0842">
        <w:rPr>
          <w:rFonts w:eastAsia="SimSun" w:hint="eastAsia"/>
          <w:sz w:val="24"/>
          <w:szCs w:val="24"/>
        </w:rPr>
        <w:t>指标</w:t>
      </w:r>
      <w:r w:rsidRPr="000C0842">
        <w:rPr>
          <w:rFonts w:eastAsia="SimSun"/>
          <w:sz w:val="24"/>
          <w:szCs w:val="24"/>
        </w:rPr>
        <w:t>、组成</w:t>
      </w:r>
      <w:r w:rsidRPr="000C0842">
        <w:rPr>
          <w:rFonts w:eastAsia="SimSun" w:hint="eastAsia"/>
          <w:sz w:val="24"/>
          <w:szCs w:val="24"/>
        </w:rPr>
        <w:t>指标</w:t>
      </w:r>
      <w:r w:rsidRPr="000C0842">
        <w:rPr>
          <w:rFonts w:eastAsia="SimSun"/>
          <w:sz w:val="24"/>
          <w:szCs w:val="24"/>
        </w:rPr>
        <w:t>和补充指标，从而帮助</w:t>
      </w:r>
      <w:r w:rsidRPr="000C0842">
        <w:rPr>
          <w:rFonts w:eastAsia="SimSun" w:hint="eastAsia"/>
          <w:sz w:val="24"/>
          <w:szCs w:val="24"/>
        </w:rPr>
        <w:t>弥补</w:t>
      </w:r>
      <w:r w:rsidRPr="000C0842">
        <w:rPr>
          <w:rFonts w:eastAsia="SimSun"/>
          <w:sz w:val="24"/>
          <w:szCs w:val="24"/>
        </w:rPr>
        <w:t>监测框架中的</w:t>
      </w:r>
      <w:r w:rsidRPr="000C0842">
        <w:rPr>
          <w:rFonts w:eastAsia="SimSun" w:hint="eastAsia"/>
          <w:sz w:val="24"/>
          <w:szCs w:val="24"/>
        </w:rPr>
        <w:t>空白</w:t>
      </w:r>
      <w:r w:rsidRPr="000C0842">
        <w:rPr>
          <w:rFonts w:eastAsia="SimSun"/>
          <w:sz w:val="24"/>
          <w:szCs w:val="24"/>
        </w:rPr>
        <w:t>；</w:t>
      </w:r>
    </w:p>
    <w:p w14:paraId="288AB688"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rPr>
        <w:t>(</w:t>
      </w:r>
      <w:r w:rsidRPr="000C0842">
        <w:rPr>
          <w:rFonts w:eastAsia="SimSun" w:hint="eastAsia"/>
        </w:rPr>
        <w:t>c</w:t>
      </w:r>
      <w:r w:rsidRPr="000C0842">
        <w:rPr>
          <w:rFonts w:eastAsia="SimSun"/>
        </w:rPr>
        <w:t>)</w:t>
      </w:r>
      <w:r w:rsidRPr="000C0842">
        <w:rPr>
          <w:rFonts w:eastAsia="SimSun"/>
          <w:sz w:val="24"/>
          <w:szCs w:val="24"/>
        </w:rPr>
        <w:tab/>
      </w:r>
      <w:r w:rsidRPr="000C0842">
        <w:rPr>
          <w:rFonts w:eastAsia="SimSun"/>
          <w:sz w:val="24"/>
          <w:szCs w:val="24"/>
        </w:rPr>
        <w:t>进一步汇编缔约方</w:t>
      </w:r>
      <w:r w:rsidRPr="000C0842">
        <w:rPr>
          <w:rFonts w:eastAsia="SimSun" w:hint="eastAsia"/>
          <w:sz w:val="24"/>
          <w:szCs w:val="24"/>
        </w:rPr>
        <w:t>提交的关于</w:t>
      </w:r>
      <w:r w:rsidRPr="000C0842">
        <w:rPr>
          <w:rFonts w:eastAsia="SimSun"/>
          <w:sz w:val="24"/>
          <w:szCs w:val="24"/>
        </w:rPr>
        <w:t>投入和相关信息的材料，</w:t>
      </w:r>
      <w:r w:rsidRPr="000C0842">
        <w:rPr>
          <w:rFonts w:eastAsia="SimSun" w:hint="eastAsia"/>
          <w:sz w:val="24"/>
          <w:szCs w:val="24"/>
        </w:rPr>
        <w:t>帮助制定</w:t>
      </w:r>
      <w:r w:rsidRPr="000C0842">
        <w:rPr>
          <w:rFonts w:eastAsia="SimSun"/>
          <w:sz w:val="24"/>
          <w:szCs w:val="24"/>
        </w:rPr>
        <w:t>第</w:t>
      </w:r>
      <w:r w:rsidRPr="000C0842">
        <w:rPr>
          <w:rFonts w:eastAsia="SimSun"/>
          <w:sz w:val="24"/>
          <w:szCs w:val="24"/>
        </w:rPr>
        <w:t>8</w:t>
      </w:r>
      <w:r w:rsidRPr="000C0842">
        <w:rPr>
          <w:rFonts w:eastAsia="SimSun"/>
          <w:sz w:val="24"/>
          <w:szCs w:val="24"/>
        </w:rPr>
        <w:t>段所述标题指标</w:t>
      </w:r>
      <w:r w:rsidRPr="000C0842">
        <w:rPr>
          <w:rFonts w:eastAsia="SimSun"/>
          <w:sz w:val="24"/>
          <w:szCs w:val="24"/>
        </w:rPr>
        <w:t>18.1</w:t>
      </w:r>
      <w:r w:rsidRPr="000C0842">
        <w:rPr>
          <w:rFonts w:eastAsia="SimSun"/>
          <w:sz w:val="24"/>
          <w:szCs w:val="24"/>
        </w:rPr>
        <w:t>和</w:t>
      </w:r>
      <w:r w:rsidRPr="000C0842">
        <w:rPr>
          <w:rFonts w:eastAsia="SimSun"/>
          <w:sz w:val="24"/>
          <w:szCs w:val="24"/>
        </w:rPr>
        <w:t>18.2</w:t>
      </w:r>
      <w:r w:rsidRPr="000C0842">
        <w:rPr>
          <w:rFonts w:eastAsia="SimSun"/>
          <w:sz w:val="24"/>
          <w:szCs w:val="24"/>
        </w:rPr>
        <w:t>的额外组成指标</w:t>
      </w:r>
      <w:r w:rsidRPr="000C0842">
        <w:rPr>
          <w:rFonts w:eastAsia="SimSun" w:hint="eastAsia"/>
          <w:sz w:val="24"/>
          <w:szCs w:val="24"/>
        </w:rPr>
        <w:t>的</w:t>
      </w:r>
      <w:r w:rsidRPr="000C0842">
        <w:rPr>
          <w:rFonts w:eastAsia="SimSun"/>
          <w:sz w:val="24"/>
          <w:szCs w:val="24"/>
        </w:rPr>
        <w:t>方法；</w:t>
      </w:r>
    </w:p>
    <w:p w14:paraId="6C894D1B" w14:textId="77777777" w:rsidR="004C57B0" w:rsidRPr="000C0842" w:rsidRDefault="004C57B0" w:rsidP="004C57B0">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Cs w:val="24"/>
        </w:rPr>
        <w:t>(</w:t>
      </w:r>
      <w:r w:rsidRPr="000C0842">
        <w:rPr>
          <w:rFonts w:eastAsia="SimSun" w:hint="eastAsia"/>
          <w:szCs w:val="24"/>
        </w:rPr>
        <w:t>d</w:t>
      </w:r>
      <w:r w:rsidRPr="000C0842">
        <w:rPr>
          <w:rFonts w:eastAsia="SimSun"/>
          <w:szCs w:val="24"/>
        </w:rPr>
        <w:t>)</w:t>
      </w:r>
      <w:r w:rsidRPr="000C0842">
        <w:rPr>
          <w:rFonts w:eastAsia="SimSun"/>
          <w:sz w:val="24"/>
          <w:szCs w:val="24"/>
        </w:rPr>
        <w:tab/>
      </w:r>
      <w:r w:rsidRPr="000C0842">
        <w:rPr>
          <w:rFonts w:eastAsia="SimSun"/>
          <w:sz w:val="24"/>
          <w:szCs w:val="24"/>
        </w:rPr>
        <w:t>汇编缔约方、土著人民和</w:t>
      </w:r>
      <w:r w:rsidRPr="000C0842">
        <w:rPr>
          <w:rFonts w:eastAsia="SimSun" w:hint="eastAsia"/>
          <w:sz w:val="24"/>
          <w:szCs w:val="24"/>
        </w:rPr>
        <w:t>地方</w:t>
      </w:r>
      <w:r w:rsidRPr="000C0842">
        <w:rPr>
          <w:rFonts w:eastAsia="SimSun"/>
          <w:sz w:val="24"/>
          <w:szCs w:val="24"/>
        </w:rPr>
        <w:t>社区提交的关于投入和相关信息的材料，</w:t>
      </w:r>
      <w:r w:rsidRPr="000C0842">
        <w:rPr>
          <w:rFonts w:eastAsia="SimSun" w:hint="eastAsia"/>
          <w:sz w:val="24"/>
          <w:szCs w:val="24"/>
        </w:rPr>
        <w:t>帮助</w:t>
      </w:r>
      <w:r w:rsidRPr="000C0842">
        <w:rPr>
          <w:rFonts w:eastAsia="SimSun"/>
          <w:sz w:val="24"/>
          <w:szCs w:val="24"/>
        </w:rPr>
        <w:t>制定标题指标</w:t>
      </w:r>
      <w:r w:rsidRPr="000C0842">
        <w:rPr>
          <w:rFonts w:eastAsia="SimSun"/>
          <w:sz w:val="24"/>
          <w:szCs w:val="24"/>
        </w:rPr>
        <w:t>22.1</w:t>
      </w:r>
      <w:r w:rsidRPr="000C0842">
        <w:rPr>
          <w:rFonts w:eastAsia="SimSun"/>
          <w:sz w:val="24"/>
          <w:szCs w:val="24"/>
        </w:rPr>
        <w:t>的方法；</w:t>
      </w:r>
    </w:p>
    <w:p w14:paraId="6A5FEC82"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rPr>
      </w:pPr>
      <w:r w:rsidRPr="000C0842">
        <w:rPr>
          <w:rFonts w:ascii="KaiTi" w:eastAsia="KaiTi" w:hAnsi="KaiTi" w:hint="eastAsia"/>
          <w:sz w:val="24"/>
          <w:szCs w:val="24"/>
          <w:lang w:val="en-GB"/>
        </w:rPr>
        <w:t>又</w:t>
      </w:r>
      <w:r w:rsidRPr="000C0842">
        <w:rPr>
          <w:rFonts w:ascii="KaiTi" w:eastAsia="KaiTi" w:hAnsi="KaiTi"/>
          <w:sz w:val="24"/>
          <w:szCs w:val="24"/>
          <w:lang w:val="en-GB"/>
        </w:rPr>
        <w:t>请</w:t>
      </w:r>
      <w:r w:rsidRPr="000C0842">
        <w:rPr>
          <w:rFonts w:eastAsia="SimSun"/>
          <w:sz w:val="24"/>
          <w:szCs w:val="24"/>
        </w:rPr>
        <w:t>执行秘书向科学、</w:t>
      </w:r>
      <w:r w:rsidRPr="000C0842">
        <w:rPr>
          <w:rFonts w:ascii="SimSun" w:eastAsia="SimSun" w:hAnsi="SimSun" w:cs="SimSun"/>
          <w:sz w:val="24"/>
          <w:szCs w:val="24"/>
        </w:rPr>
        <w:t>技术和工艺咨询附属机构提供根据第</w:t>
      </w:r>
      <w:r w:rsidRPr="000C0842">
        <w:rPr>
          <w:rFonts w:eastAsia="SimSun"/>
          <w:sz w:val="24"/>
          <w:szCs w:val="24"/>
        </w:rPr>
        <w:t>3</w:t>
      </w:r>
      <w:r w:rsidRPr="000C0842">
        <w:rPr>
          <w:rFonts w:eastAsia="SimSun" w:hint="eastAsia"/>
          <w:sz w:val="24"/>
          <w:szCs w:val="24"/>
        </w:rPr>
        <w:t>0</w:t>
      </w:r>
      <w:r w:rsidRPr="000C0842">
        <w:rPr>
          <w:rFonts w:eastAsia="SimSun"/>
          <w:sz w:val="24"/>
          <w:szCs w:val="24"/>
        </w:rPr>
        <w:t>段的要求</w:t>
      </w:r>
      <w:r w:rsidRPr="000C0842">
        <w:rPr>
          <w:rFonts w:eastAsia="SimSun" w:hint="eastAsia"/>
          <w:sz w:val="24"/>
          <w:szCs w:val="24"/>
        </w:rPr>
        <w:t>汇编的材料</w:t>
      </w:r>
      <w:r w:rsidRPr="000C0842">
        <w:rPr>
          <w:rFonts w:eastAsia="SimSun"/>
          <w:sz w:val="24"/>
          <w:szCs w:val="24"/>
        </w:rPr>
        <w:t>，</w:t>
      </w:r>
      <w:r w:rsidRPr="000C0842">
        <w:rPr>
          <w:rFonts w:eastAsia="SimSun" w:hint="eastAsia"/>
          <w:sz w:val="24"/>
          <w:szCs w:val="24"/>
        </w:rPr>
        <w:t>以在缔约方大会第十七届会议之前举行的一次会议上审议，并在开展这项工作时考虑到本决定第</w:t>
      </w:r>
      <w:r w:rsidRPr="000C0842">
        <w:rPr>
          <w:rFonts w:eastAsia="SimSun" w:hint="eastAsia"/>
          <w:sz w:val="24"/>
          <w:szCs w:val="24"/>
        </w:rPr>
        <w:t>7</w:t>
      </w:r>
      <w:r w:rsidRPr="000C0842">
        <w:rPr>
          <w:rFonts w:eastAsia="SimSun" w:hint="eastAsia"/>
          <w:sz w:val="24"/>
          <w:szCs w:val="24"/>
        </w:rPr>
        <w:t>段；</w:t>
      </w:r>
    </w:p>
    <w:p w14:paraId="7D01200C" w14:textId="77777777" w:rsidR="004C57B0" w:rsidRPr="000C0842" w:rsidRDefault="004C57B0">
      <w:pPr>
        <w:numPr>
          <w:ilvl w:val="0"/>
          <w:numId w:val="242"/>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ascii="KaiTi" w:eastAsia="KaiTi" w:hAnsi="KaiTi" w:hint="eastAsia"/>
          <w:sz w:val="24"/>
          <w:szCs w:val="24"/>
          <w:lang w:val="en-GB"/>
        </w:rPr>
        <w:t>还</w:t>
      </w:r>
      <w:r w:rsidRPr="000C0842">
        <w:rPr>
          <w:rFonts w:ascii="KaiTi" w:eastAsia="KaiTi" w:hAnsi="KaiTi"/>
          <w:sz w:val="24"/>
          <w:szCs w:val="24"/>
          <w:lang w:val="en-GB"/>
        </w:rPr>
        <w:t>请</w:t>
      </w:r>
      <w:r w:rsidRPr="000C0842">
        <w:rPr>
          <w:rFonts w:eastAsia="SimSun"/>
          <w:sz w:val="24"/>
          <w:szCs w:val="24"/>
        </w:rPr>
        <w:t>执行秘书通过《公约》</w:t>
      </w:r>
      <w:r w:rsidRPr="000C0842">
        <w:rPr>
          <w:rFonts w:ascii="SimSun" w:eastAsia="SimSun" w:hAnsi="SimSun" w:cs="SimSun"/>
          <w:sz w:val="24"/>
          <w:szCs w:val="24"/>
        </w:rPr>
        <w:t>的信息交换</w:t>
      </w:r>
      <w:r w:rsidRPr="000C0842">
        <w:rPr>
          <w:rFonts w:ascii="SimSun" w:eastAsia="SimSun" w:hAnsi="SimSun" w:cs="SimSun" w:hint="eastAsia"/>
          <w:sz w:val="24"/>
          <w:szCs w:val="24"/>
        </w:rPr>
        <w:t>所</w:t>
      </w:r>
      <w:r w:rsidRPr="000C0842">
        <w:rPr>
          <w:rFonts w:ascii="SimSun" w:eastAsia="SimSun" w:hAnsi="SimSun" w:cs="SimSun"/>
          <w:sz w:val="24"/>
          <w:szCs w:val="24"/>
        </w:rPr>
        <w:t>机制向缔约方提供根据第</w:t>
      </w:r>
      <w:r w:rsidRPr="000C0842">
        <w:rPr>
          <w:rFonts w:eastAsia="SimSun"/>
          <w:sz w:val="24"/>
          <w:szCs w:val="24"/>
        </w:rPr>
        <w:t>12</w:t>
      </w:r>
      <w:r w:rsidRPr="000C0842">
        <w:rPr>
          <w:rFonts w:eastAsia="SimSun"/>
          <w:sz w:val="24"/>
          <w:szCs w:val="24"/>
        </w:rPr>
        <w:t>段收到的任何</w:t>
      </w:r>
      <w:r w:rsidRPr="000C0842">
        <w:rPr>
          <w:rFonts w:eastAsia="SimSun" w:hint="eastAsia"/>
          <w:sz w:val="24"/>
          <w:szCs w:val="24"/>
        </w:rPr>
        <w:t>信息。</w:t>
      </w:r>
    </w:p>
    <w:p w14:paraId="2F3770FC" w14:textId="77777777" w:rsidR="004C57B0" w:rsidRPr="000C0842" w:rsidRDefault="004C57B0" w:rsidP="00E0642E">
      <w:pPr>
        <w:keepNext/>
        <w:tabs>
          <w:tab w:val="clear" w:pos="567"/>
          <w:tab w:val="clear" w:pos="1134"/>
          <w:tab w:val="clear" w:pos="1701"/>
          <w:tab w:val="clear" w:pos="2268"/>
        </w:tabs>
        <w:spacing w:before="240"/>
        <w:ind w:firstLine="490"/>
        <w:jc w:val="left"/>
        <w:outlineLvl w:val="1"/>
        <w:rPr>
          <w:rFonts w:eastAsia="SimSun"/>
          <w:b/>
          <w:bCs/>
          <w:snapToGrid w:val="0"/>
          <w:sz w:val="24"/>
          <w:szCs w:val="24"/>
          <w:lang w:val="en-GB"/>
        </w:rPr>
      </w:pPr>
      <w:r w:rsidRPr="000C0842">
        <w:rPr>
          <w:rFonts w:eastAsia="SimSun" w:hint="eastAsia"/>
          <w:b/>
          <w:bCs/>
          <w:snapToGrid w:val="0"/>
          <w:sz w:val="24"/>
          <w:szCs w:val="24"/>
          <w:lang w:val="en-GB"/>
        </w:rPr>
        <w:t>附件一</w:t>
      </w:r>
    </w:p>
    <w:p w14:paraId="7CF63A80" w14:textId="77777777" w:rsidR="004C57B0" w:rsidRPr="000C0842" w:rsidRDefault="004C57B0" w:rsidP="00E0642E">
      <w:pPr>
        <w:keepNext/>
        <w:tabs>
          <w:tab w:val="clear" w:pos="567"/>
          <w:tab w:val="clear" w:pos="1134"/>
          <w:tab w:val="clear" w:pos="1701"/>
          <w:tab w:val="clear" w:pos="2268"/>
        </w:tabs>
        <w:spacing w:after="120"/>
        <w:ind w:left="490" w:right="864"/>
        <w:jc w:val="left"/>
        <w:outlineLvl w:val="1"/>
        <w:rPr>
          <w:rFonts w:eastAsia="SimSun"/>
          <w:b/>
          <w:bCs/>
          <w:sz w:val="28"/>
          <w:szCs w:val="28"/>
          <w:lang w:val="en-GB"/>
        </w:rPr>
      </w:pPr>
      <w:r w:rsidRPr="000C0842">
        <w:rPr>
          <w:rFonts w:eastAsia="SimSun" w:hint="eastAsia"/>
          <w:b/>
          <w:bCs/>
          <w:snapToGrid w:val="0"/>
          <w:sz w:val="24"/>
          <w:szCs w:val="24"/>
          <w:lang w:val="en-GB"/>
        </w:rPr>
        <w:t>《昆明</w:t>
      </w:r>
      <w:r w:rsidRPr="000C0842">
        <w:rPr>
          <w:rFonts w:eastAsia="SimSun"/>
          <w:b/>
          <w:bCs/>
          <w:snapToGrid w:val="0"/>
          <w:sz w:val="24"/>
          <w:szCs w:val="24"/>
          <w:lang w:val="en-GB"/>
        </w:rPr>
        <w:t>–</w:t>
      </w:r>
      <w:r w:rsidRPr="000C0842">
        <w:rPr>
          <w:rFonts w:eastAsia="SimSun" w:hint="eastAsia"/>
          <w:b/>
          <w:bCs/>
          <w:snapToGrid w:val="0"/>
          <w:sz w:val="24"/>
          <w:szCs w:val="24"/>
          <w:lang w:val="en-GB"/>
        </w:rPr>
        <w:t>蒙特利尔全球生物多样性框架》监测框架中标题指标和二元指标的技术性更新</w:t>
      </w:r>
      <w:r w:rsidRPr="000C0842">
        <w:rPr>
          <w:rFonts w:eastAsia="SimSun"/>
          <w:b/>
          <w:bCs/>
          <w:snapToGrid w:val="0"/>
          <w:sz w:val="28"/>
          <w:szCs w:val="28"/>
          <w:lang w:val="en-GB"/>
        </w:rPr>
        <w:t xml:space="preserve"> </w:t>
      </w:r>
    </w:p>
    <w:tbl>
      <w:tblPr>
        <w:tblW w:w="5005"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0"/>
        <w:gridCol w:w="8369"/>
      </w:tblGrid>
      <w:tr w:rsidR="000C0842" w:rsidRPr="000C0842" w14:paraId="60F1E32D" w14:textId="77777777" w:rsidTr="00E0642E">
        <w:trPr>
          <w:tblHeader/>
        </w:trPr>
        <w:tc>
          <w:tcPr>
            <w:tcW w:w="990" w:type="dxa"/>
            <w:shd w:val="clear" w:color="auto" w:fill="FFFFFF"/>
            <w:tcMar>
              <w:left w:w="29" w:type="dxa"/>
              <w:right w:w="29" w:type="dxa"/>
            </w:tcMar>
          </w:tcPr>
          <w:p w14:paraId="0D2F413B" w14:textId="77777777" w:rsidR="004C57B0" w:rsidRPr="000C0842" w:rsidRDefault="004C57B0" w:rsidP="004C57B0">
            <w:pPr>
              <w:tabs>
                <w:tab w:val="clear" w:pos="567"/>
                <w:tab w:val="clear" w:pos="1134"/>
                <w:tab w:val="clear" w:pos="1701"/>
                <w:tab w:val="clear" w:pos="2268"/>
              </w:tabs>
              <w:jc w:val="left"/>
              <w:rPr>
                <w:rFonts w:eastAsia="KaiTi"/>
                <w:kern w:val="2"/>
                <w:sz w:val="20"/>
                <w:szCs w:val="20"/>
                <w:lang w:val="en-GB"/>
              </w:rPr>
            </w:pPr>
            <w:r w:rsidRPr="000C0842">
              <w:rPr>
                <w:rFonts w:eastAsia="KaiTi" w:hint="eastAsia"/>
                <w:kern w:val="2"/>
                <w:sz w:val="20"/>
                <w:szCs w:val="20"/>
                <w:lang w:val="en-GB"/>
              </w:rPr>
              <w:t>长期目标</w:t>
            </w:r>
            <w:r w:rsidRPr="000C0842">
              <w:rPr>
                <w:rFonts w:eastAsia="KaiTi"/>
                <w:kern w:val="2"/>
                <w:sz w:val="20"/>
                <w:szCs w:val="20"/>
                <w:lang w:val="en-GB"/>
              </w:rPr>
              <w:t>/</w:t>
            </w:r>
            <w:r w:rsidRPr="000C0842">
              <w:rPr>
                <w:rFonts w:eastAsia="KaiTi" w:hint="eastAsia"/>
                <w:kern w:val="2"/>
                <w:sz w:val="20"/>
                <w:szCs w:val="20"/>
                <w:lang w:val="en-GB"/>
              </w:rPr>
              <w:t>行动目标</w:t>
            </w:r>
          </w:p>
        </w:tc>
        <w:tc>
          <w:tcPr>
            <w:tcW w:w="8370" w:type="dxa"/>
            <w:shd w:val="clear" w:color="auto" w:fill="FFFFFF"/>
            <w:tcMar>
              <w:left w:w="29" w:type="dxa"/>
              <w:right w:w="29" w:type="dxa"/>
            </w:tcMar>
          </w:tcPr>
          <w:p w14:paraId="68E62A4E" w14:textId="77777777" w:rsidR="004C57B0" w:rsidRPr="000C0842" w:rsidRDefault="004C57B0" w:rsidP="004C57B0">
            <w:pPr>
              <w:tabs>
                <w:tab w:val="clear" w:pos="567"/>
                <w:tab w:val="clear" w:pos="1134"/>
                <w:tab w:val="clear" w:pos="1701"/>
                <w:tab w:val="clear" w:pos="2268"/>
              </w:tabs>
              <w:jc w:val="left"/>
              <w:rPr>
                <w:rFonts w:eastAsia="KaiTi"/>
                <w:kern w:val="2"/>
                <w:sz w:val="20"/>
                <w:szCs w:val="20"/>
                <w:lang w:val="en-GB"/>
              </w:rPr>
            </w:pPr>
            <w:r w:rsidRPr="000C0842">
              <w:rPr>
                <w:rFonts w:eastAsia="KaiTi" w:hint="eastAsia"/>
                <w:kern w:val="2"/>
                <w:sz w:val="20"/>
                <w:szCs w:val="20"/>
                <w:lang w:val="en-GB"/>
              </w:rPr>
              <w:t>标题指标或二元指标</w:t>
            </w:r>
          </w:p>
        </w:tc>
      </w:tr>
      <w:tr w:rsidR="000C0842" w:rsidRPr="000C0842" w14:paraId="2CA6E996" w14:textId="77777777" w:rsidTr="00E0642E">
        <w:trPr>
          <w:trHeight w:val="1385"/>
        </w:trPr>
        <w:tc>
          <w:tcPr>
            <w:tcW w:w="990" w:type="dxa"/>
            <w:shd w:val="clear" w:color="auto" w:fill="FFFFFF"/>
          </w:tcPr>
          <w:p w14:paraId="3AA52451"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A</w:t>
            </w:r>
          </w:p>
        </w:tc>
        <w:tc>
          <w:tcPr>
            <w:tcW w:w="8370" w:type="dxa"/>
            <w:shd w:val="clear" w:color="auto" w:fill="FFFFFF"/>
          </w:tcPr>
          <w:p w14:paraId="6C6F11A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A.1</w:t>
            </w:r>
            <w:r w:rsidRPr="000C0842">
              <w:rPr>
                <w:rFonts w:eastAsia="SimSun" w:hint="eastAsia"/>
                <w:kern w:val="2"/>
                <w:sz w:val="20"/>
                <w:szCs w:val="20"/>
                <w:lang w:val="en-GB"/>
              </w:rPr>
              <w:t>生态系统红色名录</w:t>
            </w:r>
          </w:p>
          <w:p w14:paraId="7C048EB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A.2</w:t>
            </w:r>
            <w:r w:rsidRPr="000C0842">
              <w:rPr>
                <w:rFonts w:eastAsia="SimSun" w:hint="eastAsia"/>
                <w:kern w:val="2"/>
                <w:sz w:val="20"/>
                <w:szCs w:val="20"/>
                <w:lang w:val="en-GB"/>
              </w:rPr>
              <w:t>自然生态系统范围</w:t>
            </w:r>
          </w:p>
          <w:p w14:paraId="55E460CB" w14:textId="77777777" w:rsidR="004C57B0" w:rsidRPr="000C0842" w:rsidRDefault="004C57B0" w:rsidP="004C57B0">
            <w:pPr>
              <w:spacing w:before="60"/>
              <w:jc w:val="left"/>
              <w:rPr>
                <w:rFonts w:eastAsia="SimSun"/>
                <w:kern w:val="2"/>
                <w:sz w:val="20"/>
                <w:szCs w:val="20"/>
                <w:lang w:val="en-GB"/>
              </w:rPr>
            </w:pPr>
            <w:r w:rsidRPr="000C0842">
              <w:rPr>
                <w:rFonts w:eastAsia="SimSun"/>
                <w:kern w:val="2"/>
                <w:sz w:val="20"/>
                <w:szCs w:val="20"/>
                <w:lang w:val="en-GB"/>
              </w:rPr>
              <w:t>A.3</w:t>
            </w:r>
            <w:r w:rsidRPr="000C0842">
              <w:rPr>
                <w:rFonts w:eastAsia="SimSun" w:hint="eastAsia"/>
                <w:kern w:val="2"/>
                <w:sz w:val="20"/>
                <w:szCs w:val="20"/>
                <w:lang w:val="en-GB"/>
              </w:rPr>
              <w:t>红色名录指数</w:t>
            </w:r>
          </w:p>
          <w:p w14:paraId="356222E3" w14:textId="77777777" w:rsidR="004C57B0" w:rsidRPr="000C0842" w:rsidRDefault="004C57B0" w:rsidP="004C57B0">
            <w:pPr>
              <w:spacing w:before="60"/>
              <w:jc w:val="left"/>
              <w:rPr>
                <w:rFonts w:eastAsia="SimSun"/>
                <w:kern w:val="2"/>
                <w:sz w:val="20"/>
                <w:szCs w:val="20"/>
                <w:lang w:val="en-GB"/>
              </w:rPr>
            </w:pPr>
            <w:r w:rsidRPr="000C0842">
              <w:rPr>
                <w:rFonts w:eastAsia="SimSun"/>
                <w:kern w:val="2"/>
                <w:sz w:val="20"/>
                <w:szCs w:val="20"/>
                <w:lang w:val="en-GB"/>
              </w:rPr>
              <w:t>A.4</w:t>
            </w:r>
            <w:r w:rsidRPr="000C0842">
              <w:rPr>
                <w:rFonts w:eastAsia="SimSun" w:hint="eastAsia"/>
                <w:kern w:val="2"/>
                <w:sz w:val="20"/>
                <w:szCs w:val="20"/>
                <w:lang w:val="en-GB"/>
              </w:rPr>
              <w:t>物种内有效种群规模大于</w:t>
            </w:r>
            <w:r w:rsidRPr="000C0842">
              <w:rPr>
                <w:rFonts w:eastAsia="SimSun"/>
                <w:kern w:val="2"/>
                <w:sz w:val="20"/>
                <w:szCs w:val="20"/>
                <w:lang w:val="en-GB"/>
              </w:rPr>
              <w:t>500</w:t>
            </w:r>
            <w:r w:rsidRPr="000C0842">
              <w:rPr>
                <w:rFonts w:eastAsia="SimSun" w:hint="eastAsia"/>
                <w:kern w:val="2"/>
                <w:sz w:val="20"/>
                <w:szCs w:val="20"/>
                <w:lang w:val="en-GB"/>
              </w:rPr>
              <w:t>的种群比例</w:t>
            </w:r>
          </w:p>
          <w:p w14:paraId="10E141D3" w14:textId="77777777" w:rsidR="004C57B0" w:rsidRPr="000C0842" w:rsidRDefault="004C57B0" w:rsidP="004C57B0">
            <w:pPr>
              <w:spacing w:before="60"/>
              <w:jc w:val="left"/>
              <w:rPr>
                <w:rFonts w:eastAsia="SimSun"/>
                <w:kern w:val="2"/>
                <w:sz w:val="20"/>
                <w:szCs w:val="20"/>
                <w:lang w:val="en-GB"/>
              </w:rPr>
            </w:pPr>
          </w:p>
        </w:tc>
      </w:tr>
      <w:tr w:rsidR="000C0842" w:rsidRPr="000C0842" w14:paraId="60F58E55" w14:textId="77777777" w:rsidTr="00E0642E">
        <w:trPr>
          <w:trHeight w:val="980"/>
        </w:trPr>
        <w:tc>
          <w:tcPr>
            <w:tcW w:w="990" w:type="dxa"/>
            <w:shd w:val="clear" w:color="auto" w:fill="FFFFFF"/>
          </w:tcPr>
          <w:p w14:paraId="1A5BE03C"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B</w:t>
            </w:r>
          </w:p>
        </w:tc>
        <w:tc>
          <w:tcPr>
            <w:tcW w:w="8370" w:type="dxa"/>
            <w:shd w:val="clear" w:color="auto" w:fill="FFFFFF"/>
          </w:tcPr>
          <w:p w14:paraId="51B60EE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B.1</w:t>
            </w:r>
            <w:r w:rsidRPr="000C0842">
              <w:rPr>
                <w:rFonts w:eastAsia="SimSun" w:hint="eastAsia"/>
                <w:kern w:val="2"/>
                <w:sz w:val="20"/>
                <w:szCs w:val="20"/>
                <w:lang w:val="en-GB"/>
              </w:rPr>
              <w:t>生态系统提供的服务</w:t>
            </w:r>
          </w:p>
          <w:p w14:paraId="5065803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iCs/>
                <w:kern w:val="2"/>
                <w:sz w:val="20"/>
                <w:szCs w:val="20"/>
                <w:lang w:val="en-GB"/>
              </w:rPr>
              <w:t>B.b</w:t>
            </w:r>
            <w:r w:rsidRPr="000C0842">
              <w:rPr>
                <w:rFonts w:eastAsia="SimSun" w:hint="eastAsia"/>
                <w:iCs/>
                <w:kern w:val="2"/>
                <w:sz w:val="20"/>
                <w:szCs w:val="20"/>
                <w:lang w:val="en-GB"/>
              </w:rPr>
              <w:t>已</w:t>
            </w:r>
            <w:r w:rsidRPr="000C0842">
              <w:rPr>
                <w:rFonts w:ascii="SimSun" w:eastAsia="SimSun" w:hAnsi="SimSun" w:cs="SimSun" w:hint="eastAsia"/>
                <w:kern w:val="2"/>
                <w:sz w:val="20"/>
                <w:szCs w:val="20"/>
                <w14:ligatures w14:val="standardContextual"/>
              </w:rPr>
              <w:t>制定政策或行动计划，用于执行和监测可持续利用生物多样性以及维护和增强自然对人类的贡献，包括生态系统功能和服务的国家数目</w:t>
            </w:r>
          </w:p>
        </w:tc>
      </w:tr>
      <w:tr w:rsidR="000C0842" w:rsidRPr="000C0842" w14:paraId="343E949C" w14:textId="77777777" w:rsidTr="00E0642E">
        <w:tc>
          <w:tcPr>
            <w:tcW w:w="990" w:type="dxa"/>
            <w:shd w:val="clear" w:color="auto" w:fill="FFFFFF"/>
          </w:tcPr>
          <w:p w14:paraId="47623B7B"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C</w:t>
            </w:r>
          </w:p>
        </w:tc>
        <w:tc>
          <w:tcPr>
            <w:tcW w:w="8370" w:type="dxa"/>
            <w:shd w:val="clear" w:color="auto" w:fill="FFFFFF"/>
          </w:tcPr>
          <w:p w14:paraId="1E90A70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C.1 </w:t>
            </w:r>
            <w:r w:rsidRPr="000C0842">
              <w:rPr>
                <w:rFonts w:eastAsia="SimSun" w:hint="eastAsia"/>
                <w:kern w:val="2"/>
                <w:sz w:val="20"/>
                <w:szCs w:val="20"/>
                <w:lang w:val="en-GB"/>
              </w:rPr>
              <w:t>根据适用的国际商定获取和惠益分享文书收取的货币惠益</w:t>
            </w:r>
          </w:p>
          <w:p w14:paraId="2E64FDC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C.2 </w:t>
            </w:r>
            <w:r w:rsidRPr="000C0842">
              <w:rPr>
                <w:rFonts w:eastAsia="SimSun" w:hint="eastAsia"/>
                <w:kern w:val="2"/>
                <w:sz w:val="20"/>
                <w:szCs w:val="20"/>
                <w:lang w:val="en-GB"/>
              </w:rPr>
              <w:t>适用的国际获取和惠益分享文书带来的非货币惠益</w:t>
            </w:r>
          </w:p>
          <w:p w14:paraId="73699323"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vertAlign w:val="superscript"/>
                <w:lang w:val="en-GB"/>
              </w:rPr>
            </w:pPr>
            <w:r w:rsidRPr="000C0842">
              <w:rPr>
                <w:rFonts w:eastAsia="SimSun" w:hint="eastAsia"/>
                <w:kern w:val="2"/>
                <w:sz w:val="20"/>
                <w:szCs w:val="20"/>
                <w:lang w:val="en-GB"/>
              </w:rPr>
              <w:t>13</w:t>
            </w:r>
            <w:r w:rsidRPr="000C0842">
              <w:rPr>
                <w:rFonts w:eastAsia="SimSun"/>
                <w:kern w:val="2"/>
                <w:sz w:val="20"/>
                <w:szCs w:val="20"/>
                <w:lang w:val="en-GB"/>
              </w:rPr>
              <w:t>.b</w:t>
            </w:r>
            <w:r w:rsidRPr="000C0842">
              <w:rPr>
                <w:rFonts w:eastAsia="SimSun"/>
                <w:kern w:val="2"/>
                <w:sz w:val="20"/>
                <w:szCs w:val="20"/>
                <w:lang w:val="en-GB"/>
              </w:rPr>
              <w:t>酌情在各级采取有效的法律、政策、行政和能力建设措施，确保公正和公平分享利用遗传资源、遗传资源数字序列信息以及与遗传资源相关的传统知识所</w:t>
            </w:r>
            <w:r w:rsidRPr="000C0842">
              <w:rPr>
                <w:rFonts w:eastAsia="SimSun" w:hint="eastAsia"/>
                <w:kern w:val="2"/>
                <w:sz w:val="20"/>
                <w:szCs w:val="20"/>
                <w:lang w:val="en-GB"/>
              </w:rPr>
              <w:t>产生</w:t>
            </w:r>
            <w:r w:rsidRPr="000C0842">
              <w:rPr>
                <w:rFonts w:eastAsia="SimSun"/>
                <w:kern w:val="2"/>
                <w:sz w:val="20"/>
                <w:szCs w:val="20"/>
                <w:lang w:val="en-GB"/>
              </w:rPr>
              <w:t>惠益的国家数目</w:t>
            </w:r>
          </w:p>
        </w:tc>
      </w:tr>
      <w:tr w:rsidR="000C0842" w:rsidRPr="000C0842" w14:paraId="59AAA40B" w14:textId="77777777" w:rsidTr="00E0642E">
        <w:tc>
          <w:tcPr>
            <w:tcW w:w="990" w:type="dxa"/>
            <w:shd w:val="clear" w:color="auto" w:fill="FFFFFF"/>
          </w:tcPr>
          <w:p w14:paraId="5FD7F7EA"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D</w:t>
            </w:r>
          </w:p>
        </w:tc>
        <w:tc>
          <w:tcPr>
            <w:tcW w:w="8370" w:type="dxa"/>
            <w:shd w:val="clear" w:color="auto" w:fill="FFFFFF"/>
          </w:tcPr>
          <w:p w14:paraId="7B4EC4A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D.1</w:t>
            </w:r>
            <w:r w:rsidRPr="000C0842">
              <w:rPr>
                <w:rFonts w:eastAsia="SimSun" w:hint="eastAsia"/>
                <w:bCs/>
                <w:kern w:val="2"/>
                <w:sz w:val="20"/>
                <w:szCs w:val="20"/>
                <w:lang w:val="en-GB"/>
              </w:rPr>
              <w:t>用于保护和可持续利用生物多样性和生态系统的国际公共资金，包括官方发展援助</w:t>
            </w:r>
          </w:p>
          <w:p w14:paraId="17DAB25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D.2</w:t>
            </w:r>
            <w:r w:rsidRPr="000C0842">
              <w:rPr>
                <w:rFonts w:eastAsia="SimSun" w:hint="eastAsia"/>
                <w:bCs/>
                <w:kern w:val="2"/>
                <w:sz w:val="20"/>
                <w:szCs w:val="20"/>
                <w:lang w:val="en-GB"/>
              </w:rPr>
              <w:t>用于保护和可持续利用生物多样性和生态系统的国内公共资金</w:t>
            </w:r>
          </w:p>
          <w:p w14:paraId="3BF8FA6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D.3</w:t>
            </w:r>
            <w:r w:rsidRPr="000C0842">
              <w:rPr>
                <w:rFonts w:eastAsia="SimSun" w:hint="eastAsia"/>
                <w:bCs/>
                <w:kern w:val="2"/>
                <w:sz w:val="20"/>
                <w:szCs w:val="20"/>
                <w:lang w:val="en-GB"/>
              </w:rPr>
              <w:t>用于保护和可持续利用生物多样性和生态系统的私人资金（国内和国际）</w:t>
            </w:r>
          </w:p>
        </w:tc>
      </w:tr>
      <w:tr w:rsidR="000C0842" w:rsidRPr="000C0842" w14:paraId="05731863" w14:textId="77777777" w:rsidTr="00E0642E">
        <w:tc>
          <w:tcPr>
            <w:tcW w:w="990" w:type="dxa"/>
            <w:shd w:val="clear" w:color="auto" w:fill="FFFFFF"/>
          </w:tcPr>
          <w:p w14:paraId="02643269"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w:t>
            </w:r>
          </w:p>
        </w:tc>
        <w:tc>
          <w:tcPr>
            <w:tcW w:w="8370" w:type="dxa"/>
            <w:shd w:val="clear" w:color="auto" w:fill="FFFFFF"/>
          </w:tcPr>
          <w:p w14:paraId="58EE95A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A.1</w:t>
            </w:r>
            <w:r w:rsidRPr="000C0842">
              <w:rPr>
                <w:rFonts w:eastAsia="SimSun" w:hint="eastAsia"/>
                <w:kern w:val="2"/>
                <w:sz w:val="20"/>
                <w:szCs w:val="20"/>
                <w:lang w:val="en-GB"/>
              </w:rPr>
              <w:t>生态系统红色名录</w:t>
            </w:r>
          </w:p>
          <w:p w14:paraId="53EFE14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A.2</w:t>
            </w:r>
            <w:r w:rsidRPr="000C0842">
              <w:rPr>
                <w:rFonts w:eastAsia="SimSun" w:hint="eastAsia"/>
                <w:kern w:val="2"/>
                <w:sz w:val="20"/>
                <w:szCs w:val="20"/>
                <w:lang w:val="en-GB"/>
              </w:rPr>
              <w:t>自然生态系统范围</w:t>
            </w:r>
          </w:p>
          <w:p w14:paraId="34A2B88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1.1</w:t>
            </w:r>
            <w:r w:rsidRPr="000C0842">
              <w:rPr>
                <w:rFonts w:eastAsia="SimSun" w:hint="eastAsia"/>
                <w:kern w:val="2"/>
                <w:sz w:val="20"/>
                <w:szCs w:val="20"/>
                <w:lang w:val="en-GB"/>
              </w:rPr>
              <w:t>涵盖生物多样性的空间规划覆盖的陆地和海洋区域</w:t>
            </w:r>
            <w:r w:rsidRPr="000C0842">
              <w:rPr>
                <w:rFonts w:eastAsia="SimSun" w:hint="eastAsia"/>
                <w:kern w:val="2"/>
                <w:sz w:val="20"/>
                <w:szCs w:val="20"/>
              </w:rPr>
              <w:t>所占</w:t>
            </w:r>
            <w:r w:rsidRPr="000C0842">
              <w:rPr>
                <w:rFonts w:eastAsia="SimSun" w:hint="eastAsia"/>
                <w:kern w:val="2"/>
                <w:sz w:val="20"/>
                <w:szCs w:val="20"/>
                <w:lang w:val="en-GB"/>
              </w:rPr>
              <w:t>百分比</w:t>
            </w:r>
          </w:p>
          <w:p w14:paraId="618D5141"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1.b</w:t>
            </w:r>
            <w:r w:rsidRPr="000C0842">
              <w:rPr>
                <w:rFonts w:eastAsia="SimSun" w:hint="eastAsia"/>
                <w:iCs/>
                <w:kern w:val="2"/>
                <w:sz w:val="20"/>
                <w:szCs w:val="20"/>
                <w:lang w:val="en-GB"/>
              </w:rPr>
              <w:t>为解决</w:t>
            </w:r>
            <w:r w:rsidRPr="000C0842">
              <w:rPr>
                <w:rFonts w:ascii="Segoe UI" w:eastAsia="SimSun" w:hAnsi="Segoe UI" w:cs="Segoe UI"/>
                <w:sz w:val="20"/>
                <w:szCs w:val="20"/>
              </w:rPr>
              <w:t>土地和海洋利用变化</w:t>
            </w:r>
            <w:r w:rsidRPr="000C0842">
              <w:rPr>
                <w:rFonts w:ascii="Segoe UI" w:eastAsia="SimSun" w:hAnsi="Segoe UI" w:cs="Segoe UI" w:hint="eastAsia"/>
                <w:sz w:val="20"/>
                <w:szCs w:val="20"/>
              </w:rPr>
              <w:t>而使用</w:t>
            </w:r>
            <w:r w:rsidRPr="000C0842">
              <w:rPr>
                <w:rFonts w:ascii="Segoe UI" w:eastAsia="SimSun" w:hAnsi="Segoe UI" w:cs="Segoe UI"/>
                <w:sz w:val="20"/>
                <w:szCs w:val="20"/>
              </w:rPr>
              <w:t>参与性、综合性、涵盖生物多样性的空间规划和</w:t>
            </w:r>
            <w:r w:rsidRPr="000C0842">
              <w:rPr>
                <w:rFonts w:ascii="Segoe UI" w:eastAsia="SimSun" w:hAnsi="Segoe UI" w:cs="Segoe UI"/>
                <w:sz w:val="20"/>
                <w:szCs w:val="20"/>
              </w:rPr>
              <w:t>/</w:t>
            </w:r>
            <w:r w:rsidRPr="000C0842">
              <w:rPr>
                <w:rFonts w:ascii="Segoe UI" w:eastAsia="SimSun" w:hAnsi="Segoe UI" w:cs="Segoe UI"/>
                <w:sz w:val="20"/>
                <w:szCs w:val="20"/>
              </w:rPr>
              <w:t>或其他有效管理进程</w:t>
            </w:r>
            <w:r w:rsidRPr="000C0842">
              <w:rPr>
                <w:rFonts w:ascii="Segoe UI" w:eastAsia="SimSun" w:hAnsi="Segoe UI" w:cs="Segoe UI" w:hint="eastAsia"/>
                <w:sz w:val="20"/>
                <w:szCs w:val="20"/>
              </w:rPr>
              <w:t>以便</w:t>
            </w:r>
            <w:r w:rsidRPr="000C0842">
              <w:rPr>
                <w:rFonts w:ascii="Segoe UI" w:eastAsia="SimSun" w:hAnsi="Segoe UI" w:cs="Segoe UI"/>
                <w:sz w:val="20"/>
                <w:szCs w:val="20"/>
              </w:rPr>
              <w:t>到</w:t>
            </w:r>
            <w:r w:rsidRPr="000C0842">
              <w:rPr>
                <w:rFonts w:ascii="Segoe UI" w:eastAsia="SimSun" w:hAnsi="Segoe UI" w:cs="Segoe UI"/>
                <w:sz w:val="20"/>
                <w:szCs w:val="20"/>
              </w:rPr>
              <w:t>2030</w:t>
            </w:r>
            <w:r w:rsidRPr="000C0842">
              <w:rPr>
                <w:rFonts w:ascii="Segoe UI" w:eastAsia="SimSun" w:hAnsi="Segoe UI" w:cs="Segoe UI"/>
                <w:sz w:val="20"/>
                <w:szCs w:val="20"/>
              </w:rPr>
              <w:t>年使具有高度生物多样性重要性的区域包括具有高度生态完整性的生态系统的丧失接近于零</w:t>
            </w:r>
            <w:r w:rsidRPr="000C0842">
              <w:rPr>
                <w:rFonts w:eastAsia="SimSun" w:hint="eastAsia"/>
                <w:iCs/>
                <w:kern w:val="2"/>
                <w:sz w:val="20"/>
                <w:szCs w:val="20"/>
                <w:lang w:val="en-GB"/>
              </w:rPr>
              <w:t>的国家数目</w:t>
            </w:r>
          </w:p>
        </w:tc>
      </w:tr>
      <w:tr w:rsidR="000C0842" w:rsidRPr="000C0842" w14:paraId="55CE47CD" w14:textId="77777777" w:rsidTr="00E0642E">
        <w:tc>
          <w:tcPr>
            <w:tcW w:w="990" w:type="dxa"/>
            <w:shd w:val="clear" w:color="auto" w:fill="FFFFFF"/>
          </w:tcPr>
          <w:p w14:paraId="2B7B456A"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w:t>
            </w:r>
          </w:p>
        </w:tc>
        <w:tc>
          <w:tcPr>
            <w:tcW w:w="8370" w:type="dxa"/>
            <w:shd w:val="clear" w:color="auto" w:fill="FFFFFF"/>
          </w:tcPr>
          <w:p w14:paraId="3322B6D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2.1 </w:t>
            </w:r>
            <w:r w:rsidRPr="000C0842">
              <w:rPr>
                <w:rFonts w:eastAsia="SimSun" w:hint="eastAsia"/>
                <w:kern w:val="2"/>
                <w:sz w:val="20"/>
                <w:szCs w:val="20"/>
                <w:lang w:val="en-GB"/>
              </w:rPr>
              <w:t>正在恢复的面积</w:t>
            </w:r>
            <w:r w:rsidRPr="000C0842">
              <w:rPr>
                <w:rFonts w:eastAsia="SimSun"/>
                <w:kern w:val="2"/>
                <w:sz w:val="20"/>
                <w:szCs w:val="20"/>
                <w:lang w:val="en-GB"/>
              </w:rPr>
              <w:t xml:space="preserve"> </w:t>
            </w:r>
          </w:p>
        </w:tc>
      </w:tr>
      <w:tr w:rsidR="000C0842" w:rsidRPr="000C0842" w14:paraId="4B8060A9" w14:textId="77777777" w:rsidTr="00E0642E">
        <w:tc>
          <w:tcPr>
            <w:tcW w:w="990" w:type="dxa"/>
            <w:shd w:val="clear" w:color="auto" w:fill="FFFFFF"/>
          </w:tcPr>
          <w:p w14:paraId="65A5658D"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3</w:t>
            </w:r>
          </w:p>
        </w:tc>
        <w:tc>
          <w:tcPr>
            <w:tcW w:w="8370" w:type="dxa"/>
            <w:shd w:val="clear" w:color="auto" w:fill="FFFFFF"/>
          </w:tcPr>
          <w:p w14:paraId="1535C98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3.1</w:t>
            </w:r>
            <w:r w:rsidRPr="000C0842">
              <w:rPr>
                <w:rFonts w:eastAsia="SimSun" w:hint="eastAsia"/>
                <w:kern w:val="2"/>
                <w:sz w:val="20"/>
                <w:szCs w:val="20"/>
                <w:lang w:val="en-GB"/>
              </w:rPr>
              <w:t>保护区和其他基于区域的有效保护措施的覆盖面</w:t>
            </w:r>
          </w:p>
        </w:tc>
      </w:tr>
      <w:tr w:rsidR="000C0842" w:rsidRPr="000C0842" w14:paraId="1244B60D" w14:textId="77777777" w:rsidTr="00E0642E">
        <w:tc>
          <w:tcPr>
            <w:tcW w:w="990" w:type="dxa"/>
            <w:shd w:val="clear" w:color="auto" w:fill="FFFFFF"/>
          </w:tcPr>
          <w:p w14:paraId="1709047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4</w:t>
            </w:r>
          </w:p>
        </w:tc>
        <w:tc>
          <w:tcPr>
            <w:tcW w:w="8370" w:type="dxa"/>
            <w:shd w:val="clear" w:color="auto" w:fill="FFFFFF"/>
          </w:tcPr>
          <w:p w14:paraId="4FFD379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A.3 </w:t>
            </w:r>
            <w:r w:rsidRPr="000C0842">
              <w:rPr>
                <w:rFonts w:eastAsia="SimSun" w:hint="eastAsia"/>
                <w:kern w:val="2"/>
                <w:sz w:val="20"/>
                <w:szCs w:val="20"/>
                <w:lang w:val="en-GB"/>
              </w:rPr>
              <w:t>红色名录指数</w:t>
            </w:r>
          </w:p>
          <w:p w14:paraId="404AD7C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A.4</w:t>
            </w:r>
            <w:r w:rsidRPr="000C0842">
              <w:rPr>
                <w:rFonts w:eastAsia="SimSun" w:hint="eastAsia"/>
                <w:kern w:val="2"/>
                <w:sz w:val="20"/>
                <w:szCs w:val="20"/>
                <w:lang w:val="en-GB"/>
              </w:rPr>
              <w:t>物种内遗传有效种群规模大于</w:t>
            </w:r>
            <w:r w:rsidRPr="000C0842">
              <w:rPr>
                <w:rFonts w:eastAsia="SimSun"/>
                <w:kern w:val="2"/>
                <w:sz w:val="20"/>
                <w:szCs w:val="20"/>
                <w:lang w:val="en-GB"/>
              </w:rPr>
              <w:t xml:space="preserve"> 500</w:t>
            </w:r>
            <w:r w:rsidRPr="000C0842">
              <w:rPr>
                <w:rFonts w:eastAsia="SimSun" w:hint="eastAsia"/>
                <w:kern w:val="2"/>
                <w:sz w:val="20"/>
                <w:szCs w:val="20"/>
                <w:lang w:val="en-GB"/>
              </w:rPr>
              <w:t>的种群所占比例</w:t>
            </w:r>
          </w:p>
        </w:tc>
      </w:tr>
      <w:tr w:rsidR="000C0842" w:rsidRPr="000C0842" w14:paraId="749C9F44" w14:textId="77777777" w:rsidTr="00E0642E">
        <w:tc>
          <w:tcPr>
            <w:tcW w:w="990" w:type="dxa"/>
            <w:shd w:val="clear" w:color="auto" w:fill="FFFFFF"/>
          </w:tcPr>
          <w:p w14:paraId="7108D282"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5</w:t>
            </w:r>
          </w:p>
        </w:tc>
        <w:tc>
          <w:tcPr>
            <w:tcW w:w="8370" w:type="dxa"/>
            <w:shd w:val="clear" w:color="auto" w:fill="FFFFFF"/>
          </w:tcPr>
          <w:p w14:paraId="7A80B17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5.1</w:t>
            </w:r>
            <w:r w:rsidRPr="000C0842">
              <w:rPr>
                <w:rFonts w:eastAsia="SimSun" w:hint="eastAsia"/>
                <w:kern w:val="2"/>
                <w:sz w:val="20"/>
                <w:szCs w:val="20"/>
                <w:lang w:val="en-GB"/>
              </w:rPr>
              <w:t>生物可持续水平内的鱼类种群所占比例</w:t>
            </w:r>
          </w:p>
          <w:p w14:paraId="3626411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rPr>
            </w:pPr>
            <w:r w:rsidRPr="000C0842">
              <w:rPr>
                <w:rFonts w:eastAsia="Times New Roman"/>
                <w:kern w:val="2"/>
                <w:sz w:val="20"/>
                <w:szCs w:val="20"/>
                <w:lang w:val="en-GB"/>
              </w:rPr>
              <w:t>5.b</w:t>
            </w:r>
            <w:r w:rsidRPr="000C0842">
              <w:rPr>
                <w:rFonts w:hint="eastAsia"/>
                <w:kern w:val="2"/>
                <w:sz w:val="20"/>
                <w:szCs w:val="20"/>
                <w:lang w:val="en-GB"/>
              </w:rPr>
              <w:t xml:space="preserve"> </w:t>
            </w:r>
            <w:r w:rsidRPr="000C0842">
              <w:rPr>
                <w:rFonts w:hint="eastAsia"/>
                <w:kern w:val="2"/>
                <w:sz w:val="20"/>
                <w:szCs w:val="20"/>
                <w:lang w:val="en-GB"/>
              </w:rPr>
              <w:t>已</w:t>
            </w:r>
            <w:r w:rsidRPr="000C0842">
              <w:rPr>
                <w:rFonts w:eastAsia="SimSun" w:hint="eastAsia"/>
                <w:sz w:val="20"/>
                <w:szCs w:val="20"/>
                <w:shd w:val="clear" w:color="auto" w:fill="FFFFFF"/>
              </w:rPr>
              <w:t>制定管制野生物种交易法律文书或其他政策框架的国家数目</w:t>
            </w:r>
          </w:p>
        </w:tc>
      </w:tr>
      <w:tr w:rsidR="000C0842" w:rsidRPr="000C0842" w14:paraId="686D212D" w14:textId="77777777" w:rsidTr="00E0642E">
        <w:tc>
          <w:tcPr>
            <w:tcW w:w="990" w:type="dxa"/>
            <w:shd w:val="clear" w:color="auto" w:fill="FFFFFF"/>
          </w:tcPr>
          <w:p w14:paraId="3796FA93"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6</w:t>
            </w:r>
          </w:p>
        </w:tc>
        <w:tc>
          <w:tcPr>
            <w:tcW w:w="8370" w:type="dxa"/>
            <w:shd w:val="clear" w:color="auto" w:fill="FFFFFF"/>
          </w:tcPr>
          <w:p w14:paraId="3617B17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6.1</w:t>
            </w:r>
            <w:r w:rsidRPr="000C0842">
              <w:rPr>
                <w:rFonts w:eastAsia="SimSun" w:hint="eastAsia"/>
                <w:kern w:val="2"/>
                <w:sz w:val="20"/>
                <w:szCs w:val="20"/>
                <w:lang w:val="en-GB"/>
              </w:rPr>
              <w:t>外来入侵物种建群率</w:t>
            </w:r>
          </w:p>
          <w:p w14:paraId="45FF264D"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lang w:val="en-GB"/>
              </w:rPr>
            </w:pPr>
            <w:r w:rsidRPr="000C0842">
              <w:rPr>
                <w:rFonts w:eastAsia="SimSun"/>
                <w:iCs/>
                <w:kern w:val="2"/>
                <w:sz w:val="20"/>
                <w:szCs w:val="20"/>
                <w:lang w:val="en-GB"/>
              </w:rPr>
              <w:t xml:space="preserve">6.b </w:t>
            </w:r>
            <w:r w:rsidRPr="000C0842">
              <w:rPr>
                <w:rFonts w:eastAsia="SimSun" w:hint="eastAsia"/>
                <w:iCs/>
                <w:kern w:val="2"/>
                <w:sz w:val="20"/>
                <w:szCs w:val="20"/>
                <w:lang w:val="en-GB"/>
              </w:rPr>
              <w:t>制定相关法规、程序和措施来减少外来入侵物种影响的国家数目</w:t>
            </w:r>
          </w:p>
        </w:tc>
      </w:tr>
      <w:tr w:rsidR="000C0842" w:rsidRPr="000C0842" w14:paraId="217C27A7" w14:textId="77777777" w:rsidTr="00E0642E">
        <w:tc>
          <w:tcPr>
            <w:tcW w:w="990" w:type="dxa"/>
            <w:shd w:val="clear" w:color="auto" w:fill="FFFFFF"/>
          </w:tcPr>
          <w:p w14:paraId="3D9EA6F2"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7</w:t>
            </w:r>
          </w:p>
        </w:tc>
        <w:tc>
          <w:tcPr>
            <w:tcW w:w="8370" w:type="dxa"/>
            <w:shd w:val="clear" w:color="auto" w:fill="FFFFFF"/>
          </w:tcPr>
          <w:p w14:paraId="0A77657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7.1</w:t>
            </w:r>
            <w:r w:rsidRPr="000C0842">
              <w:rPr>
                <w:rFonts w:eastAsia="SimSun" w:hint="eastAsia"/>
                <w:kern w:val="2"/>
                <w:sz w:val="20"/>
                <w:szCs w:val="20"/>
                <w:lang w:val="en-GB"/>
              </w:rPr>
              <w:t>沿海富营养化指数</w:t>
            </w:r>
            <w:r w:rsidRPr="000C0842">
              <w:rPr>
                <w:rFonts w:eastAsia="SimSun"/>
                <w:kern w:val="2"/>
                <w:sz w:val="20"/>
                <w:szCs w:val="20"/>
                <w:lang w:val="en-GB"/>
              </w:rPr>
              <w:t>7.2</w:t>
            </w:r>
            <w:r w:rsidRPr="000C0842">
              <w:rPr>
                <w:rFonts w:eastAsia="SimSun" w:hint="eastAsia"/>
                <w:kern w:val="2"/>
                <w:sz w:val="20"/>
                <w:szCs w:val="20"/>
                <w:lang w:val="en-GB"/>
              </w:rPr>
              <w:t xml:space="preserve"> </w:t>
            </w:r>
            <w:r w:rsidRPr="000C0842">
              <w:rPr>
                <w:rFonts w:eastAsia="SimSun" w:hint="eastAsia"/>
                <w:kern w:val="2"/>
                <w:sz w:val="20"/>
                <w:szCs w:val="20"/>
                <w:lang w:val="en-GB"/>
              </w:rPr>
              <w:t>农药环境浓度和（或）合计总施用毒性</w:t>
            </w:r>
            <w:r w:rsidRPr="000C0842">
              <w:rPr>
                <w:rFonts w:eastAsia="SimSun"/>
                <w:sz w:val="20"/>
                <w:szCs w:val="20"/>
                <w:vertAlign w:val="superscript"/>
              </w:rPr>
              <w:footnoteReference w:id="410"/>
            </w:r>
          </w:p>
        </w:tc>
      </w:tr>
      <w:tr w:rsidR="000C0842" w:rsidRPr="000C0842" w14:paraId="3DAC7E8A" w14:textId="77777777" w:rsidTr="00E0642E">
        <w:tc>
          <w:tcPr>
            <w:tcW w:w="990" w:type="dxa"/>
            <w:shd w:val="clear" w:color="auto" w:fill="FFFFFF"/>
          </w:tcPr>
          <w:p w14:paraId="3309E59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8</w:t>
            </w:r>
          </w:p>
        </w:tc>
        <w:tc>
          <w:tcPr>
            <w:tcW w:w="8370" w:type="dxa"/>
            <w:shd w:val="clear" w:color="auto" w:fill="FFFFFF"/>
          </w:tcPr>
          <w:p w14:paraId="1DB9CD5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iCs/>
                <w:kern w:val="2"/>
                <w:sz w:val="20"/>
                <w:szCs w:val="20"/>
                <w:lang w:val="en-GB"/>
              </w:rPr>
              <w:t xml:space="preserve">8.b </w:t>
            </w:r>
            <w:r w:rsidRPr="000C0842">
              <w:rPr>
                <w:rFonts w:eastAsia="SimSun" w:hint="eastAsia"/>
                <w:iCs/>
                <w:kern w:val="2"/>
                <w:sz w:val="20"/>
                <w:szCs w:val="20"/>
                <w:lang w:val="en-GB"/>
              </w:rPr>
              <w:t>已制定政策尽量减少气候变化和海洋酸化对生物多样性的影响并尽量减少气候行动对生物多样性的负面影响和促进积极影响的国家数目</w:t>
            </w:r>
          </w:p>
          <w:p w14:paraId="7C07434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r>
      <w:tr w:rsidR="000C0842" w:rsidRPr="000C0842" w14:paraId="24E72A39" w14:textId="77777777" w:rsidTr="00E0642E">
        <w:tc>
          <w:tcPr>
            <w:tcW w:w="990" w:type="dxa"/>
            <w:shd w:val="clear" w:color="auto" w:fill="FFFFFF"/>
          </w:tcPr>
          <w:p w14:paraId="1D7F5145"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9</w:t>
            </w:r>
          </w:p>
        </w:tc>
        <w:tc>
          <w:tcPr>
            <w:tcW w:w="8370" w:type="dxa"/>
            <w:shd w:val="clear" w:color="auto" w:fill="FFFFFF"/>
          </w:tcPr>
          <w:p w14:paraId="385D957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9.1</w:t>
            </w:r>
            <w:r w:rsidRPr="000C0842">
              <w:rPr>
                <w:rFonts w:eastAsia="SimSun" w:hint="eastAsia"/>
                <w:kern w:val="2"/>
                <w:sz w:val="20"/>
                <w:szCs w:val="20"/>
                <w:lang w:val="en-GB"/>
              </w:rPr>
              <w:t>可持续利用野生物种的益处</w:t>
            </w:r>
          </w:p>
          <w:p w14:paraId="793ACD9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9.2</w:t>
            </w:r>
            <w:r w:rsidRPr="000C0842">
              <w:rPr>
                <w:rFonts w:eastAsia="SimSun" w:hint="eastAsia"/>
                <w:kern w:val="2"/>
                <w:sz w:val="20"/>
                <w:szCs w:val="20"/>
                <w:lang w:val="en-GB"/>
              </w:rPr>
              <w:t>从事传统职业人口所占百分比</w:t>
            </w:r>
          </w:p>
          <w:p w14:paraId="5FED1262"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9.b</w:t>
            </w:r>
            <w:r w:rsidRPr="000C0842">
              <w:rPr>
                <w:rFonts w:ascii="SimSun" w:eastAsia="SimSun" w:hAnsi="SimSun" w:cs="SimSun" w:hint="eastAsia"/>
                <w:bCs/>
                <w:kern w:val="2"/>
                <w:sz w:val="20"/>
                <w:szCs w:val="20"/>
                <w:lang w:val="en-GB"/>
                <w14:ligatures w14:val="standardContextual"/>
              </w:rPr>
              <w:t>已</w:t>
            </w:r>
            <w:r w:rsidRPr="000C0842">
              <w:rPr>
                <w:rFonts w:eastAsia="SimSun" w:hint="eastAsia"/>
                <w:bCs/>
                <w:iCs/>
                <w:kern w:val="2"/>
                <w:sz w:val="20"/>
                <w:szCs w:val="20"/>
                <w:lang w:val="en-GB"/>
              </w:rPr>
              <w:t>制定可持续管理野生物种利用政策为人们提供社会、经济和环境</w:t>
            </w:r>
            <w:r w:rsidRPr="000C0842">
              <w:rPr>
                <w:rFonts w:ascii="SimSun" w:eastAsia="SimSun" w:hAnsi="SimSun" w:cs="SimSun" w:hint="eastAsia"/>
                <w:bCs/>
                <w:iCs/>
                <w:kern w:val="2"/>
                <w:sz w:val="20"/>
                <w:szCs w:val="20"/>
                <w:lang w:val="en-GB"/>
              </w:rPr>
              <w:t>福利</w:t>
            </w:r>
            <w:r w:rsidRPr="000C0842">
              <w:rPr>
                <w:rFonts w:eastAsia="SimSun" w:hint="eastAsia"/>
                <w:bCs/>
                <w:iCs/>
                <w:kern w:val="2"/>
                <w:sz w:val="20"/>
                <w:szCs w:val="20"/>
                <w:lang w:val="en-GB"/>
              </w:rPr>
              <w:t>并保护和鼓励土著人民和地方社区可持续利用习惯的国家数目</w:t>
            </w:r>
          </w:p>
        </w:tc>
      </w:tr>
      <w:tr w:rsidR="000C0842" w:rsidRPr="000C0842" w14:paraId="576D6520" w14:textId="77777777" w:rsidTr="00E0642E">
        <w:tc>
          <w:tcPr>
            <w:tcW w:w="990" w:type="dxa"/>
            <w:shd w:val="clear" w:color="auto" w:fill="FFFFFF"/>
          </w:tcPr>
          <w:p w14:paraId="534B806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10</w:t>
            </w:r>
          </w:p>
        </w:tc>
        <w:tc>
          <w:tcPr>
            <w:tcW w:w="8370" w:type="dxa"/>
            <w:shd w:val="clear" w:color="auto" w:fill="FFFFFF"/>
          </w:tcPr>
          <w:p w14:paraId="1289FC5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10.1</w:t>
            </w:r>
            <w:r w:rsidRPr="000C0842">
              <w:rPr>
                <w:rFonts w:eastAsia="SimSun" w:hint="eastAsia"/>
                <w:kern w:val="2"/>
                <w:sz w:val="20"/>
                <w:szCs w:val="20"/>
                <w:lang w:val="en-GB"/>
              </w:rPr>
              <w:t>生产性和可持续农业占农地面积的比例</w:t>
            </w:r>
          </w:p>
          <w:p w14:paraId="52A3227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10.2</w:t>
            </w:r>
            <w:r w:rsidRPr="000C0842">
              <w:rPr>
                <w:rFonts w:eastAsia="SimSun" w:hint="eastAsia"/>
                <w:kern w:val="2"/>
                <w:sz w:val="20"/>
                <w:szCs w:val="20"/>
                <w:lang w:val="en-GB"/>
              </w:rPr>
              <w:t>实施可持续森林管理的进展</w:t>
            </w:r>
          </w:p>
        </w:tc>
      </w:tr>
      <w:tr w:rsidR="000C0842" w:rsidRPr="000C0842" w14:paraId="2401FD4D" w14:textId="77777777" w:rsidTr="00E0642E">
        <w:tc>
          <w:tcPr>
            <w:tcW w:w="990" w:type="dxa"/>
            <w:shd w:val="clear" w:color="auto" w:fill="FFFFFF"/>
          </w:tcPr>
          <w:p w14:paraId="1ACD642E"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11</w:t>
            </w:r>
          </w:p>
        </w:tc>
        <w:tc>
          <w:tcPr>
            <w:tcW w:w="8370" w:type="dxa"/>
            <w:shd w:val="clear" w:color="auto" w:fill="FFFFFF"/>
          </w:tcPr>
          <w:p w14:paraId="5488ED3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B.1</w:t>
            </w:r>
            <w:r w:rsidRPr="000C0842">
              <w:rPr>
                <w:rFonts w:eastAsia="SimSun" w:hint="eastAsia"/>
                <w:kern w:val="2"/>
                <w:sz w:val="20"/>
                <w:szCs w:val="20"/>
                <w:lang w:val="en-GB"/>
              </w:rPr>
              <w:t>生态系统提供的服务</w:t>
            </w:r>
          </w:p>
        </w:tc>
      </w:tr>
      <w:tr w:rsidR="000C0842" w:rsidRPr="000C0842" w14:paraId="5BCF45DF" w14:textId="77777777" w:rsidTr="00E0642E">
        <w:tc>
          <w:tcPr>
            <w:tcW w:w="990" w:type="dxa"/>
            <w:shd w:val="clear" w:color="auto" w:fill="FFFFFF"/>
          </w:tcPr>
          <w:p w14:paraId="7B5F390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12</w:t>
            </w:r>
          </w:p>
        </w:tc>
        <w:tc>
          <w:tcPr>
            <w:tcW w:w="8370" w:type="dxa"/>
            <w:shd w:val="clear" w:color="auto" w:fill="FFFFFF"/>
          </w:tcPr>
          <w:p w14:paraId="0F1BBB6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12.1</w:t>
            </w:r>
            <w:r w:rsidRPr="000C0842">
              <w:rPr>
                <w:rFonts w:eastAsia="SimSun" w:hint="eastAsia"/>
                <w:kern w:val="2"/>
                <w:sz w:val="20"/>
                <w:szCs w:val="20"/>
                <w:lang w:val="en-GB"/>
              </w:rPr>
              <w:t>供公共使用的绿色或蓝色空间占城市建筑区的平均比例</w:t>
            </w:r>
          </w:p>
          <w:p w14:paraId="35F03934"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12.b</w:t>
            </w:r>
            <w:r w:rsidRPr="000C0842">
              <w:rPr>
                <w:rFonts w:eastAsia="SimSun" w:hint="eastAsia"/>
                <w:bCs/>
                <w:kern w:val="2"/>
                <w:sz w:val="20"/>
                <w:szCs w:val="20"/>
                <w:lang w:val="en-GB"/>
                <w14:ligatures w14:val="standardContextual"/>
              </w:rPr>
              <w:t>已</w:t>
            </w:r>
            <w:r w:rsidRPr="000C0842">
              <w:rPr>
                <w:rFonts w:eastAsia="SimSun"/>
                <w:bCs/>
                <w:kern w:val="22"/>
                <w:sz w:val="20"/>
                <w:szCs w:val="20"/>
                <w14:ligatures w14:val="standardContextual"/>
              </w:rPr>
              <w:t>制定涉及绿色或蓝色城市空间</w:t>
            </w:r>
            <w:r w:rsidRPr="000C0842">
              <w:rPr>
                <w:rFonts w:eastAsia="SimSun" w:hint="eastAsia"/>
                <w:bCs/>
                <w:kern w:val="22"/>
                <w:sz w:val="20"/>
                <w:szCs w:val="20"/>
                <w14:ligatures w14:val="standardContextual"/>
              </w:rPr>
              <w:t>的</w:t>
            </w:r>
            <w:r w:rsidRPr="000C0842">
              <w:rPr>
                <w:rFonts w:eastAsia="SimSun"/>
                <w:bCs/>
                <w:kern w:val="22"/>
                <w:sz w:val="20"/>
                <w:szCs w:val="20"/>
                <w14:ligatures w14:val="standardContextual"/>
              </w:rPr>
              <w:t>涵盖生物多样性的城市规划的国家数</w:t>
            </w:r>
            <w:r w:rsidRPr="000C0842">
              <w:rPr>
                <w:rFonts w:eastAsia="SimSun" w:hint="eastAsia"/>
                <w:bCs/>
                <w:kern w:val="22"/>
                <w:sz w:val="20"/>
                <w:szCs w:val="20"/>
                <w14:ligatures w14:val="standardContextual"/>
              </w:rPr>
              <w:t>目</w:t>
            </w:r>
          </w:p>
        </w:tc>
      </w:tr>
      <w:tr w:rsidR="000C0842" w:rsidRPr="000C0842" w14:paraId="2878F8DE" w14:textId="77777777" w:rsidTr="00E0642E">
        <w:tc>
          <w:tcPr>
            <w:tcW w:w="990" w:type="dxa"/>
            <w:shd w:val="clear" w:color="auto" w:fill="FFFFFF"/>
          </w:tcPr>
          <w:p w14:paraId="39B86EE1"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13</w:t>
            </w:r>
          </w:p>
        </w:tc>
        <w:tc>
          <w:tcPr>
            <w:tcW w:w="8370" w:type="dxa"/>
            <w:shd w:val="clear" w:color="auto" w:fill="FFFFFF"/>
          </w:tcPr>
          <w:p w14:paraId="738272A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C.1</w:t>
            </w:r>
            <w:r w:rsidRPr="000C0842">
              <w:rPr>
                <w:rFonts w:eastAsia="SimSun" w:hint="eastAsia"/>
                <w:kern w:val="2"/>
                <w:sz w:val="20"/>
                <w:szCs w:val="20"/>
              </w:rPr>
              <w:t>根据适用的国际商定获取和惠益分享文书收取的货币惠益</w:t>
            </w:r>
          </w:p>
          <w:p w14:paraId="6E760E8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C.2</w:t>
            </w:r>
            <w:r w:rsidRPr="000C0842">
              <w:rPr>
                <w:rFonts w:eastAsia="SimSun" w:hint="eastAsia"/>
                <w:kern w:val="2"/>
                <w:sz w:val="20"/>
                <w:szCs w:val="20"/>
              </w:rPr>
              <w:t>根据适用的国际商定获取和惠益分享文书收取的非货币惠益</w:t>
            </w:r>
          </w:p>
          <w:p w14:paraId="4217DCA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vertAlign w:val="superscript"/>
                <w:lang w:val="en-GB"/>
              </w:rPr>
            </w:pPr>
            <w:r w:rsidRPr="000C0842">
              <w:rPr>
                <w:rFonts w:eastAsia="SimSun" w:hint="eastAsia"/>
                <w:kern w:val="2"/>
                <w:sz w:val="20"/>
                <w:szCs w:val="20"/>
                <w:lang w:val="en-GB"/>
              </w:rPr>
              <w:t>13</w:t>
            </w:r>
            <w:r w:rsidRPr="000C0842">
              <w:rPr>
                <w:rFonts w:eastAsia="SimSun"/>
                <w:kern w:val="2"/>
                <w:sz w:val="20"/>
                <w:szCs w:val="20"/>
                <w:lang w:val="en-GB"/>
              </w:rPr>
              <w:t>.b</w:t>
            </w:r>
            <w:r w:rsidRPr="000C0842">
              <w:rPr>
                <w:rFonts w:eastAsia="SimSun" w:hint="eastAsia"/>
                <w:kern w:val="2"/>
                <w:sz w:val="20"/>
                <w:szCs w:val="20"/>
                <w:lang w:val="en-GB"/>
              </w:rPr>
              <w:t xml:space="preserve"> </w:t>
            </w:r>
            <w:r w:rsidRPr="000C0842">
              <w:rPr>
                <w:rFonts w:eastAsia="SimSun"/>
                <w:kern w:val="2"/>
                <w:sz w:val="20"/>
                <w:szCs w:val="20"/>
                <w:lang w:val="en-GB"/>
              </w:rPr>
              <w:t>酌情在各级采取有效的法律、政策、行政和能力建设措施，确保公正和公平分享利用遗传资源、遗传资源数字序列信息以及与遗传资源相关的传统知识所</w:t>
            </w:r>
            <w:r w:rsidRPr="000C0842">
              <w:rPr>
                <w:rFonts w:eastAsia="SimSun" w:hint="eastAsia"/>
                <w:kern w:val="2"/>
                <w:sz w:val="20"/>
                <w:szCs w:val="20"/>
                <w:lang w:val="en-GB"/>
              </w:rPr>
              <w:t>产生</w:t>
            </w:r>
            <w:r w:rsidRPr="000C0842">
              <w:rPr>
                <w:rFonts w:eastAsia="SimSun"/>
                <w:kern w:val="2"/>
                <w:sz w:val="20"/>
                <w:szCs w:val="20"/>
                <w:lang w:val="en-GB"/>
              </w:rPr>
              <w:t>惠益的国家数目</w:t>
            </w:r>
          </w:p>
        </w:tc>
      </w:tr>
      <w:tr w:rsidR="000C0842" w:rsidRPr="000C0842" w14:paraId="47EE422D" w14:textId="77777777" w:rsidTr="00E0642E">
        <w:tc>
          <w:tcPr>
            <w:tcW w:w="990" w:type="dxa"/>
            <w:shd w:val="clear" w:color="auto" w:fill="FFFFFF"/>
          </w:tcPr>
          <w:p w14:paraId="43F01C56"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14</w:t>
            </w:r>
          </w:p>
        </w:tc>
        <w:tc>
          <w:tcPr>
            <w:tcW w:w="8370" w:type="dxa"/>
            <w:shd w:val="clear" w:color="auto" w:fill="FFFFFF"/>
          </w:tcPr>
          <w:p w14:paraId="6D7BF837"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14.b </w:t>
            </w:r>
            <w:r w:rsidRPr="000C0842">
              <w:rPr>
                <w:rFonts w:eastAsia="SimSun" w:hint="eastAsia"/>
                <w:iCs/>
                <w:kern w:val="2"/>
                <w:sz w:val="20"/>
                <w:szCs w:val="20"/>
                <w:lang w:val="en-GB"/>
              </w:rPr>
              <w:t>将生物多样性及其多重价值纳入各级政府和所有部门的政策、法规、规划、发展进程、消除贫困战略并酌情纳入国民核算逐步使所有相关公共和私人活动、财政和资金流动与《昆蒙框架》的长期目标和行动目标相一致的国家数目</w:t>
            </w:r>
          </w:p>
        </w:tc>
      </w:tr>
      <w:tr w:rsidR="000C0842" w:rsidRPr="000C0842" w14:paraId="1A34F4A0" w14:textId="77777777" w:rsidTr="00E0642E">
        <w:tc>
          <w:tcPr>
            <w:tcW w:w="990" w:type="dxa"/>
            <w:shd w:val="clear" w:color="auto" w:fill="FFFFFF"/>
          </w:tcPr>
          <w:p w14:paraId="1A6D9D4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15</w:t>
            </w:r>
          </w:p>
        </w:tc>
        <w:tc>
          <w:tcPr>
            <w:tcW w:w="8370" w:type="dxa"/>
            <w:shd w:val="clear" w:color="auto" w:fill="FFFFFF"/>
          </w:tcPr>
          <w:p w14:paraId="7A3779F7" w14:textId="77777777" w:rsidR="004C57B0" w:rsidRPr="000C0842" w:rsidRDefault="004C57B0" w:rsidP="004C57B0">
            <w:pPr>
              <w:tabs>
                <w:tab w:val="clear" w:pos="567"/>
                <w:tab w:val="clear" w:pos="1134"/>
                <w:tab w:val="clear" w:pos="1701"/>
                <w:tab w:val="clear" w:pos="2268"/>
              </w:tabs>
              <w:spacing w:before="60"/>
              <w:jc w:val="left"/>
              <w:rPr>
                <w:rFonts w:eastAsia="SimSun"/>
                <w:strike/>
                <w:kern w:val="2"/>
                <w:sz w:val="20"/>
                <w:szCs w:val="20"/>
                <w:lang w:val="en-GB"/>
              </w:rPr>
            </w:pPr>
            <w:r w:rsidRPr="000C0842">
              <w:rPr>
                <w:rFonts w:eastAsia="SimSun"/>
                <w:kern w:val="2"/>
                <w:sz w:val="20"/>
                <w:szCs w:val="20"/>
                <w:lang w:val="en-GB"/>
              </w:rPr>
              <w:t>15.1</w:t>
            </w:r>
            <w:r w:rsidRPr="000C0842">
              <w:rPr>
                <w:rFonts w:eastAsia="SimSun" w:hint="eastAsia"/>
                <w:kern w:val="2"/>
                <w:sz w:val="20"/>
                <w:szCs w:val="20"/>
                <w:lang w:val="en-GB"/>
              </w:rPr>
              <w:t>披露对生物多样性的风险、依赖程度和影响的企业数目</w:t>
            </w:r>
            <w:r w:rsidRPr="000C0842">
              <w:rPr>
                <w:rFonts w:eastAsia="SimSun"/>
                <w:kern w:val="2"/>
                <w:sz w:val="20"/>
                <w:szCs w:val="20"/>
                <w:lang w:val="en-GB"/>
              </w:rPr>
              <w:t xml:space="preserve"> </w:t>
            </w:r>
          </w:p>
          <w:p w14:paraId="3D4EFC61"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15.b </w:t>
            </w:r>
            <w:r w:rsidRPr="000C0842">
              <w:rPr>
                <w:rFonts w:eastAsia="SimSun" w:hint="eastAsia"/>
                <w:iCs/>
                <w:kern w:val="2"/>
                <w:sz w:val="20"/>
                <w:szCs w:val="20"/>
                <w:lang w:val="en-GB"/>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r w:rsidRPr="000C0842">
              <w:rPr>
                <w:rFonts w:eastAsia="SimSun"/>
                <w:iCs/>
                <w:kern w:val="2"/>
                <w:sz w:val="20"/>
                <w:szCs w:val="20"/>
                <w:lang w:val="en-GB"/>
              </w:rPr>
              <w:t xml:space="preserve"> </w:t>
            </w:r>
          </w:p>
        </w:tc>
      </w:tr>
      <w:tr w:rsidR="000C0842" w:rsidRPr="000C0842" w14:paraId="2588B613" w14:textId="77777777" w:rsidTr="00E0642E">
        <w:tc>
          <w:tcPr>
            <w:tcW w:w="990" w:type="dxa"/>
            <w:shd w:val="clear" w:color="auto" w:fill="FFFFFF"/>
          </w:tcPr>
          <w:p w14:paraId="7C995A5D"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16</w:t>
            </w:r>
          </w:p>
        </w:tc>
        <w:tc>
          <w:tcPr>
            <w:tcW w:w="8370" w:type="dxa"/>
            <w:shd w:val="clear" w:color="auto" w:fill="FFFFFF"/>
          </w:tcPr>
          <w:p w14:paraId="222CA37D"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16</w:t>
            </w:r>
            <w:r w:rsidRPr="000C0842">
              <w:rPr>
                <w:rFonts w:eastAsia="SimSun" w:hint="eastAsia"/>
                <w:iCs/>
                <w:kern w:val="2"/>
                <w:sz w:val="20"/>
                <w:szCs w:val="20"/>
                <w:lang w:val="en-GB"/>
              </w:rPr>
              <w:t>.</w:t>
            </w:r>
            <w:r w:rsidRPr="000C0842">
              <w:rPr>
                <w:rFonts w:eastAsia="SimSun"/>
                <w:iCs/>
                <w:kern w:val="2"/>
                <w:sz w:val="20"/>
                <w:szCs w:val="20"/>
                <w:lang w:val="en-GB"/>
              </w:rPr>
              <w:t>b</w:t>
            </w:r>
            <w:r w:rsidRPr="000C0842">
              <w:rPr>
                <w:rFonts w:eastAsia="SimSun"/>
                <w:kern w:val="2"/>
                <w:sz w:val="20"/>
                <w:szCs w:val="20"/>
                <w14:ligatures w14:val="standardContextual"/>
              </w:rPr>
              <w:t>制定、采用或实施政策工具，鼓励</w:t>
            </w:r>
            <w:r w:rsidRPr="000C0842">
              <w:rPr>
                <w:rFonts w:eastAsia="SimSun" w:hint="eastAsia"/>
                <w:kern w:val="2"/>
                <w:sz w:val="20"/>
                <w:szCs w:val="20"/>
                <w14:ligatures w14:val="standardContextual"/>
              </w:rPr>
              <w:t>和帮助人们</w:t>
            </w:r>
            <w:r w:rsidRPr="000C0842">
              <w:rPr>
                <w:rFonts w:eastAsia="SimSun"/>
                <w:kern w:val="2"/>
                <w:sz w:val="20"/>
                <w:szCs w:val="20"/>
                <w14:ligatures w14:val="standardContextual"/>
              </w:rPr>
              <w:t>做出可持续的消费选择的国家数</w:t>
            </w:r>
            <w:r w:rsidRPr="000C0842">
              <w:rPr>
                <w:rFonts w:eastAsia="SimSun" w:hint="eastAsia"/>
                <w:kern w:val="2"/>
                <w:sz w:val="20"/>
                <w:szCs w:val="20"/>
                <w14:ligatures w14:val="standardContextual"/>
              </w:rPr>
              <w:t>目</w:t>
            </w:r>
          </w:p>
        </w:tc>
      </w:tr>
      <w:tr w:rsidR="000C0842" w:rsidRPr="000C0842" w14:paraId="79EE7CD4" w14:textId="77777777" w:rsidTr="00E0642E">
        <w:tc>
          <w:tcPr>
            <w:tcW w:w="990" w:type="dxa"/>
            <w:shd w:val="clear" w:color="auto" w:fill="FFFFFF"/>
          </w:tcPr>
          <w:p w14:paraId="08BDAB35"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17</w:t>
            </w:r>
          </w:p>
        </w:tc>
        <w:tc>
          <w:tcPr>
            <w:tcW w:w="8370" w:type="dxa"/>
            <w:shd w:val="clear" w:color="auto" w:fill="FFFFFF"/>
          </w:tcPr>
          <w:p w14:paraId="6F5DBB7C"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17.b </w:t>
            </w:r>
            <w:r w:rsidRPr="000C0842">
              <w:rPr>
                <w:rFonts w:eastAsia="SimSun" w:hint="eastAsia"/>
                <w:iCs/>
                <w:kern w:val="2"/>
                <w:sz w:val="20"/>
                <w:szCs w:val="20"/>
                <w:lang w:val="en-GB"/>
              </w:rPr>
              <w:t>已采取行动执行《公约》第</w:t>
            </w:r>
            <w:r w:rsidRPr="000C0842">
              <w:rPr>
                <w:rFonts w:eastAsia="SimSun"/>
                <w:iCs/>
                <w:kern w:val="2"/>
                <w:sz w:val="20"/>
                <w:szCs w:val="20"/>
                <w:lang w:val="en-GB"/>
              </w:rPr>
              <w:t xml:space="preserve"> 8(g) </w:t>
            </w:r>
            <w:r w:rsidRPr="000C0842">
              <w:rPr>
                <w:rFonts w:eastAsia="SimSun" w:hint="eastAsia"/>
                <w:iCs/>
                <w:kern w:val="2"/>
                <w:sz w:val="20"/>
                <w:szCs w:val="20"/>
                <w:lang w:val="en-GB"/>
              </w:rPr>
              <w:t>条所述生物安全措施和第</w:t>
            </w:r>
            <w:r w:rsidRPr="000C0842">
              <w:rPr>
                <w:rFonts w:eastAsia="SimSun"/>
                <w:iCs/>
                <w:kern w:val="2"/>
                <w:sz w:val="20"/>
                <w:szCs w:val="20"/>
                <w:lang w:val="en-GB"/>
              </w:rPr>
              <w:t xml:space="preserve"> 19 </w:t>
            </w:r>
            <w:r w:rsidRPr="000C0842">
              <w:rPr>
                <w:rFonts w:eastAsia="SimSun" w:hint="eastAsia"/>
                <w:iCs/>
                <w:kern w:val="2"/>
                <w:sz w:val="20"/>
                <w:szCs w:val="20"/>
                <w:lang w:val="en-GB"/>
              </w:rPr>
              <w:t>条所述生物技术处理和惠益分配措施的国家数目</w:t>
            </w:r>
          </w:p>
        </w:tc>
      </w:tr>
      <w:tr w:rsidR="000C0842" w:rsidRPr="000C0842" w14:paraId="29572776" w14:textId="77777777" w:rsidTr="00E0642E">
        <w:tc>
          <w:tcPr>
            <w:tcW w:w="990" w:type="dxa"/>
            <w:shd w:val="clear" w:color="auto" w:fill="FFFFFF"/>
          </w:tcPr>
          <w:p w14:paraId="4D37C9BA"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18</w:t>
            </w:r>
          </w:p>
        </w:tc>
        <w:tc>
          <w:tcPr>
            <w:tcW w:w="8370" w:type="dxa"/>
            <w:shd w:val="clear" w:color="auto" w:fill="FFFFFF"/>
          </w:tcPr>
          <w:p w14:paraId="7042B00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18.1</w:t>
            </w:r>
            <w:r w:rsidRPr="000C0842">
              <w:rPr>
                <w:rFonts w:eastAsia="SimSun" w:hint="eastAsia"/>
                <w:kern w:val="2"/>
                <w:sz w:val="20"/>
                <w:szCs w:val="20"/>
                <w:lang w:val="en-GB"/>
              </w:rPr>
              <w:t>为促进保护和可持续利用生物多样性制定的积极激励措施</w:t>
            </w:r>
          </w:p>
          <w:p w14:paraId="4967ACA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18.2</w:t>
            </w:r>
            <w:r w:rsidRPr="000C0842">
              <w:rPr>
                <w:rFonts w:eastAsia="SimSun" w:hint="eastAsia"/>
                <w:kern w:val="2"/>
                <w:sz w:val="20"/>
                <w:szCs w:val="20"/>
                <w:lang w:val="en-GB"/>
              </w:rPr>
              <w:t>有害生物多样性的补贴和其他激励措施的价值</w:t>
            </w:r>
          </w:p>
        </w:tc>
      </w:tr>
      <w:tr w:rsidR="000C0842" w:rsidRPr="000C0842" w14:paraId="1D3FCA95" w14:textId="77777777" w:rsidTr="00E0642E">
        <w:tc>
          <w:tcPr>
            <w:tcW w:w="990" w:type="dxa"/>
            <w:shd w:val="clear" w:color="auto" w:fill="FFFFFF"/>
          </w:tcPr>
          <w:p w14:paraId="0F91947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19</w:t>
            </w:r>
          </w:p>
        </w:tc>
        <w:tc>
          <w:tcPr>
            <w:tcW w:w="8370" w:type="dxa"/>
            <w:shd w:val="clear" w:color="auto" w:fill="FFFFFF"/>
          </w:tcPr>
          <w:p w14:paraId="5EF94E5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见长期目标</w:t>
            </w:r>
            <w:r w:rsidRPr="000C0842">
              <w:rPr>
                <w:rFonts w:eastAsia="SimSun"/>
                <w:kern w:val="2"/>
                <w:sz w:val="20"/>
                <w:szCs w:val="20"/>
                <w:lang w:val="en-GB"/>
              </w:rPr>
              <w:t xml:space="preserve">D </w:t>
            </w:r>
            <w:r w:rsidRPr="000C0842">
              <w:rPr>
                <w:rFonts w:eastAsia="SimSun" w:hint="eastAsia"/>
                <w:kern w:val="2"/>
                <w:sz w:val="20"/>
                <w:szCs w:val="20"/>
                <w:lang w:val="en-GB"/>
              </w:rPr>
              <w:t>的指标</w:t>
            </w:r>
          </w:p>
        </w:tc>
      </w:tr>
      <w:tr w:rsidR="000C0842" w:rsidRPr="000C0842" w14:paraId="72AB4395" w14:textId="77777777" w:rsidTr="00E0642E">
        <w:tc>
          <w:tcPr>
            <w:tcW w:w="990" w:type="dxa"/>
            <w:shd w:val="clear" w:color="auto" w:fill="FFFFFF"/>
          </w:tcPr>
          <w:p w14:paraId="334B8195"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20</w:t>
            </w:r>
          </w:p>
        </w:tc>
        <w:tc>
          <w:tcPr>
            <w:tcW w:w="8370" w:type="dxa"/>
            <w:shd w:val="clear" w:color="auto" w:fill="FFFFFF"/>
          </w:tcPr>
          <w:p w14:paraId="72B70798"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20.b </w:t>
            </w:r>
            <w:r w:rsidRPr="000C0842">
              <w:rPr>
                <w:rFonts w:eastAsia="SimSun" w:hint="eastAsia"/>
                <w:iCs/>
                <w:kern w:val="2"/>
                <w:sz w:val="20"/>
                <w:szCs w:val="20"/>
                <w:lang w:val="en-GB"/>
              </w:rPr>
              <w:t>采取重大行动加强能力建设和发展，加强技术获得和转让，促进创新和科技合作的发展和获得的国家数目</w:t>
            </w:r>
          </w:p>
        </w:tc>
      </w:tr>
      <w:tr w:rsidR="000C0842" w:rsidRPr="000C0842" w14:paraId="4C317953" w14:textId="77777777" w:rsidTr="00E0642E">
        <w:tc>
          <w:tcPr>
            <w:tcW w:w="990" w:type="dxa"/>
            <w:shd w:val="clear" w:color="auto" w:fill="FFFFFF"/>
          </w:tcPr>
          <w:p w14:paraId="2F4CA49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21</w:t>
            </w:r>
          </w:p>
        </w:tc>
        <w:tc>
          <w:tcPr>
            <w:tcW w:w="8370" w:type="dxa"/>
            <w:shd w:val="clear" w:color="auto" w:fill="FFFFFF"/>
          </w:tcPr>
          <w:p w14:paraId="2A52F94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21.1</w:t>
            </w:r>
            <w:r w:rsidRPr="000C0842">
              <w:rPr>
                <w:rFonts w:eastAsia="SimSun" w:hint="eastAsia"/>
                <w:kern w:val="2"/>
                <w:sz w:val="20"/>
                <w:szCs w:val="20"/>
                <w:lang w:val="en-GB"/>
              </w:rPr>
              <w:t>用于监测《昆明</w:t>
            </w:r>
            <w:r w:rsidRPr="000C0842">
              <w:rPr>
                <w:rFonts w:eastAsia="SimSun"/>
                <w:kern w:val="2"/>
                <w:sz w:val="20"/>
                <w:szCs w:val="20"/>
                <w:lang w:val="en-GB"/>
              </w:rPr>
              <w:t>-</w:t>
            </w:r>
            <w:r w:rsidRPr="000C0842">
              <w:rPr>
                <w:rFonts w:eastAsia="SimSun" w:hint="eastAsia"/>
                <w:kern w:val="2"/>
                <w:sz w:val="20"/>
                <w:szCs w:val="20"/>
                <w:lang w:val="en-GB"/>
              </w:rPr>
              <w:t>蒙特利尔全球生物多样性框架》的生物多样性信息指标</w:t>
            </w:r>
          </w:p>
        </w:tc>
      </w:tr>
      <w:tr w:rsidR="000C0842" w:rsidRPr="000C0842" w14:paraId="57C8888D" w14:textId="77777777" w:rsidTr="00E0642E">
        <w:tc>
          <w:tcPr>
            <w:tcW w:w="990" w:type="dxa"/>
            <w:shd w:val="clear" w:color="auto" w:fill="FFFFFF"/>
          </w:tcPr>
          <w:p w14:paraId="210833E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22</w:t>
            </w:r>
          </w:p>
        </w:tc>
        <w:tc>
          <w:tcPr>
            <w:tcW w:w="8370" w:type="dxa"/>
            <w:shd w:val="clear" w:color="auto" w:fill="FFFFFF"/>
          </w:tcPr>
          <w:p w14:paraId="52BBFB16"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22.1 </w:t>
            </w:r>
            <w:r w:rsidRPr="000C0842">
              <w:rPr>
                <w:rFonts w:eastAsia="SimSun" w:hint="eastAsia"/>
                <w:iCs/>
                <w:kern w:val="2"/>
                <w:sz w:val="20"/>
                <w:szCs w:val="20"/>
                <w:lang w:val="en-GB"/>
              </w:rPr>
              <w:t>土著人民和地方社区传统领地上的土地利用变化和土地保有权</w:t>
            </w:r>
          </w:p>
          <w:p w14:paraId="109C507D"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vertAlign w:val="superscript"/>
                <w:lang w:val="en-GB"/>
              </w:rPr>
            </w:pPr>
            <w:r w:rsidRPr="000C0842">
              <w:rPr>
                <w:rFonts w:eastAsia="SimSun"/>
                <w:iCs/>
                <w:kern w:val="2"/>
                <w:sz w:val="20"/>
                <w:szCs w:val="20"/>
                <w:lang w:val="en-GB"/>
              </w:rPr>
              <w:t xml:space="preserve">22.b </w:t>
            </w:r>
            <w:r w:rsidRPr="000C0842">
              <w:rPr>
                <w:rFonts w:eastAsia="SimSun" w:hint="eastAsia"/>
                <w:iCs/>
                <w:kern w:val="2"/>
                <w:sz w:val="20"/>
                <w:szCs w:val="20"/>
                <w:lang w:val="en-GB"/>
              </w:rPr>
              <w:t>采取行动</w:t>
            </w:r>
            <w:r w:rsidRPr="000C0842">
              <w:rPr>
                <w:rFonts w:ascii="Segoe UI" w:eastAsia="SimSun" w:hAnsi="Segoe UI" w:cs="Segoe UI"/>
                <w:sz w:val="20"/>
                <w:szCs w:val="20"/>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Pr="000C0842">
              <w:rPr>
                <w:rFonts w:ascii="Microsoft YaHei" w:eastAsia="SimSun" w:hAnsi="Microsoft YaHei" w:cs="Microsoft YaHei"/>
                <w:sz w:val="20"/>
                <w:szCs w:val="20"/>
              </w:rPr>
              <w:t>者</w:t>
            </w:r>
            <w:r w:rsidRPr="000C0842">
              <w:rPr>
                <w:rFonts w:eastAsia="SimSun" w:hint="eastAsia"/>
                <w:iCs/>
                <w:kern w:val="2"/>
                <w:sz w:val="20"/>
                <w:szCs w:val="20"/>
                <w:lang w:val="en-GB"/>
              </w:rPr>
              <w:t>的国家数目</w:t>
            </w:r>
            <w:r w:rsidRPr="000C0842">
              <w:rPr>
                <w:rFonts w:eastAsia="SimSun"/>
                <w:iCs/>
                <w:kern w:val="2"/>
                <w:sz w:val="20"/>
                <w:szCs w:val="20"/>
                <w:lang w:val="en-GB"/>
              </w:rPr>
              <w:t xml:space="preserve"> </w:t>
            </w:r>
          </w:p>
        </w:tc>
      </w:tr>
      <w:tr w:rsidR="004C57B0" w:rsidRPr="000C0842" w14:paraId="12C67832" w14:textId="77777777" w:rsidTr="00E0642E">
        <w:tc>
          <w:tcPr>
            <w:tcW w:w="990" w:type="dxa"/>
            <w:shd w:val="clear" w:color="auto" w:fill="FFFFFF"/>
          </w:tcPr>
          <w:p w14:paraId="432B6B74"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23</w:t>
            </w:r>
          </w:p>
        </w:tc>
        <w:tc>
          <w:tcPr>
            <w:tcW w:w="8370" w:type="dxa"/>
            <w:shd w:val="clear" w:color="auto" w:fill="FFFFFF"/>
          </w:tcPr>
          <w:p w14:paraId="73C61FFF"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Times New Roman"/>
                <w:sz w:val="20"/>
                <w:szCs w:val="20"/>
                <w:lang w:val="en-GB"/>
              </w:rPr>
              <w:t xml:space="preserve">23.b </w:t>
            </w:r>
            <w:r w:rsidRPr="000C0842">
              <w:rPr>
                <w:rFonts w:ascii="SimSun" w:eastAsia="SimSun" w:hAnsi="SimSun" w:hint="eastAsia"/>
                <w:sz w:val="20"/>
                <w:szCs w:val="20"/>
                <w:lang w:val="en-GB"/>
              </w:rPr>
              <w:t>制定了法律、行政或政策框架，以执行</w:t>
            </w:r>
            <w:r w:rsidRPr="000C0842">
              <w:rPr>
                <w:rFonts w:ascii="SimSun" w:eastAsia="SimSun" w:hAnsi="SimSun" w:cs="MS Mincho" w:hint="eastAsia"/>
                <w:sz w:val="20"/>
                <w:szCs w:val="20"/>
                <w:lang w:val="en-GB"/>
              </w:rPr>
              <w:t>《性</w:t>
            </w:r>
            <w:r w:rsidRPr="000C0842">
              <w:rPr>
                <w:rFonts w:ascii="SimSun" w:eastAsia="SimSun" w:hAnsi="SimSun" w:cs="SimSun" w:hint="eastAsia"/>
                <w:sz w:val="20"/>
                <w:szCs w:val="20"/>
                <w:lang w:val="en-GB"/>
              </w:rPr>
              <w:t>别</w:t>
            </w:r>
            <w:r w:rsidRPr="000C0842">
              <w:rPr>
                <w:rFonts w:ascii="SimSun" w:eastAsia="SimSun" w:hAnsi="SimSun" w:hint="eastAsia"/>
                <w:sz w:val="20"/>
                <w:szCs w:val="20"/>
                <w:lang w:val="en-GB"/>
              </w:rPr>
              <w:t>平等行</w:t>
            </w:r>
            <w:r w:rsidRPr="000C0842">
              <w:rPr>
                <w:rFonts w:ascii="SimSun" w:eastAsia="SimSun" w:hAnsi="SimSun" w:cs="SimSun" w:hint="eastAsia"/>
                <w:sz w:val="20"/>
                <w:szCs w:val="20"/>
                <w:lang w:val="en-GB"/>
              </w:rPr>
              <w:t>动计</w:t>
            </w:r>
            <w:r w:rsidRPr="000C0842">
              <w:rPr>
                <w:rFonts w:ascii="SimSun" w:eastAsia="SimSun" w:hAnsi="SimSun" w:cs="MS Mincho" w:hint="eastAsia"/>
                <w:sz w:val="20"/>
                <w:szCs w:val="20"/>
                <w:lang w:val="en-GB"/>
              </w:rPr>
              <w:t>划》</w:t>
            </w:r>
            <w:r w:rsidRPr="000C0842">
              <w:rPr>
                <w:rFonts w:ascii="SimSun" w:eastAsia="SimSun" w:hAnsi="SimSun" w:cs="MS Mincho" w:hint="eastAsia"/>
                <w:sz w:val="20"/>
                <w:szCs w:val="20"/>
              </w:rPr>
              <w:t>（2023-2030年）</w:t>
            </w:r>
            <w:r w:rsidRPr="000C0842">
              <w:rPr>
                <w:rFonts w:ascii="SimSun" w:eastAsia="SimSun" w:hAnsi="SimSun" w:cs="MS Mincho" w:hint="eastAsia"/>
                <w:sz w:val="20"/>
                <w:szCs w:val="20"/>
                <w:lang w:val="en-GB"/>
              </w:rPr>
              <w:t>，确保所有</w:t>
            </w:r>
            <w:r w:rsidRPr="000C0842">
              <w:rPr>
                <w:rFonts w:ascii="SimSun" w:eastAsia="SimSun" w:hAnsi="SimSun" w:cs="SimSun" w:hint="eastAsia"/>
                <w:sz w:val="20"/>
                <w:szCs w:val="20"/>
                <w:lang w:val="en-GB"/>
              </w:rPr>
              <w:t>妇</w:t>
            </w:r>
            <w:r w:rsidRPr="000C0842">
              <w:rPr>
                <w:rFonts w:ascii="SimSun" w:eastAsia="SimSun" w:hAnsi="SimSun" w:cs="MS Mincho" w:hint="eastAsia"/>
                <w:sz w:val="20"/>
                <w:szCs w:val="20"/>
                <w:lang w:val="en-GB"/>
              </w:rPr>
              <w:t>女和女童有平等机会和能力</w:t>
            </w:r>
            <w:r w:rsidRPr="000C0842">
              <w:rPr>
                <w:rFonts w:ascii="SimSun" w:eastAsia="SimSun" w:hAnsi="SimSun" w:cs="SimSun" w:hint="eastAsia"/>
                <w:sz w:val="20"/>
                <w:szCs w:val="20"/>
                <w:lang w:val="en-GB"/>
              </w:rPr>
              <w:t>为</w:t>
            </w:r>
            <w:r w:rsidRPr="000C0842">
              <w:rPr>
                <w:rFonts w:ascii="SimSun" w:eastAsia="SimSun" w:hAnsi="SimSun" w:cs="MS Mincho" w:hint="eastAsia"/>
                <w:sz w:val="20"/>
                <w:szCs w:val="20"/>
                <w:lang w:val="en-GB"/>
              </w:rPr>
              <w:t>《公</w:t>
            </w:r>
            <w:r w:rsidRPr="000C0842">
              <w:rPr>
                <w:rFonts w:ascii="SimSun" w:eastAsia="SimSun" w:hAnsi="SimSun" w:cs="SimSun" w:hint="eastAsia"/>
                <w:sz w:val="20"/>
                <w:szCs w:val="20"/>
                <w:lang w:val="en-GB"/>
              </w:rPr>
              <w:t>约</w:t>
            </w:r>
            <w:r w:rsidRPr="000C0842">
              <w:rPr>
                <w:rFonts w:ascii="SimSun" w:eastAsia="SimSun" w:hAnsi="SimSun" w:cs="MS Mincho" w:hint="eastAsia"/>
                <w:sz w:val="20"/>
                <w:szCs w:val="20"/>
                <w:lang w:val="en-GB"/>
              </w:rPr>
              <w:t>》的三项目</w:t>
            </w:r>
            <w:r w:rsidRPr="000C0842">
              <w:rPr>
                <w:rFonts w:ascii="SimSun" w:eastAsia="SimSun" w:hAnsi="SimSun" w:cs="SimSun" w:hint="eastAsia"/>
                <w:sz w:val="20"/>
                <w:szCs w:val="20"/>
                <w:lang w:val="en-GB"/>
              </w:rPr>
              <w:t>标</w:t>
            </w:r>
            <w:r w:rsidRPr="000C0842">
              <w:rPr>
                <w:rFonts w:ascii="SimSun" w:eastAsia="SimSun" w:hAnsi="SimSun" w:cs="MS Mincho" w:hint="eastAsia"/>
                <w:sz w:val="20"/>
                <w:szCs w:val="20"/>
                <w:lang w:val="en-GB"/>
              </w:rPr>
              <w:t>作出</w:t>
            </w:r>
            <w:r w:rsidRPr="000C0842">
              <w:rPr>
                <w:rFonts w:ascii="SimSun" w:eastAsia="SimSun" w:hAnsi="SimSun" w:cs="SimSun" w:hint="eastAsia"/>
                <w:sz w:val="20"/>
                <w:szCs w:val="20"/>
                <w:lang w:val="en-GB"/>
              </w:rPr>
              <w:t>贡</w:t>
            </w:r>
            <w:r w:rsidRPr="000C0842">
              <w:rPr>
                <w:rFonts w:ascii="SimSun" w:eastAsia="SimSun" w:hAnsi="SimSun" w:cs="MS Mincho" w:hint="eastAsia"/>
                <w:sz w:val="20"/>
                <w:szCs w:val="20"/>
                <w:lang w:val="en-GB"/>
              </w:rPr>
              <w:t>献，</w:t>
            </w:r>
            <w:r w:rsidRPr="000C0842">
              <w:rPr>
                <w:rFonts w:ascii="SimSun" w:eastAsia="SimSun" w:hAnsi="SimSun" w:hint="eastAsia"/>
                <w:sz w:val="20"/>
                <w:szCs w:val="20"/>
                <w:lang w:val="en-GB"/>
              </w:rPr>
              <w:t>包括通过确保</w:t>
            </w:r>
            <w:r w:rsidRPr="000C0842">
              <w:rPr>
                <w:rFonts w:ascii="SimSun" w:eastAsia="SimSun" w:hAnsi="SimSun" w:cs="SimSun" w:hint="eastAsia"/>
                <w:sz w:val="20"/>
                <w:szCs w:val="20"/>
                <w:lang w:val="en-GB"/>
              </w:rPr>
              <w:t>妇</w:t>
            </w:r>
            <w:r w:rsidRPr="000C0842">
              <w:rPr>
                <w:rFonts w:ascii="SimSun" w:eastAsia="SimSun" w:hAnsi="SimSun" w:cs="MS Mincho" w:hint="eastAsia"/>
                <w:sz w:val="20"/>
                <w:szCs w:val="20"/>
                <w:lang w:val="en-GB"/>
              </w:rPr>
              <w:t>女有</w:t>
            </w:r>
            <w:r w:rsidRPr="000C0842">
              <w:rPr>
                <w:rFonts w:ascii="SimSun" w:eastAsia="SimSun" w:hAnsi="SimSun" w:hint="eastAsia"/>
                <w:sz w:val="20"/>
                <w:szCs w:val="20"/>
                <w:lang w:val="en-GB"/>
              </w:rPr>
              <w:t>平等权利获得土地和自然</w:t>
            </w:r>
            <w:r w:rsidRPr="000C0842">
              <w:rPr>
                <w:rFonts w:ascii="SimSun" w:eastAsia="SimSun" w:hAnsi="SimSun" w:cs="SimSun" w:hint="eastAsia"/>
                <w:sz w:val="20"/>
                <w:szCs w:val="20"/>
                <w:lang w:val="en-GB"/>
              </w:rPr>
              <w:t>资</w:t>
            </w:r>
            <w:r w:rsidRPr="000C0842">
              <w:rPr>
                <w:rFonts w:ascii="SimSun" w:eastAsia="SimSun" w:hAnsi="SimSun" w:cs="MS Mincho" w:hint="eastAsia"/>
                <w:sz w:val="20"/>
                <w:szCs w:val="20"/>
                <w:lang w:val="en-GB"/>
              </w:rPr>
              <w:t>源的国家数</w:t>
            </w:r>
            <w:r w:rsidRPr="000C0842">
              <w:rPr>
                <w:rFonts w:ascii="SimSun" w:eastAsia="SimSun" w:hAnsi="SimSun" w:hint="eastAsia"/>
                <w:sz w:val="20"/>
                <w:szCs w:val="20"/>
                <w:lang w:val="en-GB"/>
              </w:rPr>
              <w:t>目</w:t>
            </w:r>
          </w:p>
        </w:tc>
      </w:tr>
    </w:tbl>
    <w:p w14:paraId="62FDC1B2" w14:textId="77777777" w:rsidR="004C57B0" w:rsidRPr="000C0842" w:rsidRDefault="004C57B0" w:rsidP="004C57B0">
      <w:pPr>
        <w:tabs>
          <w:tab w:val="clear" w:pos="567"/>
          <w:tab w:val="clear" w:pos="1134"/>
          <w:tab w:val="clear" w:pos="1701"/>
          <w:tab w:val="clear" w:pos="2268"/>
        </w:tabs>
        <w:rPr>
          <w:rFonts w:eastAsia="SimSun"/>
          <w:sz w:val="20"/>
          <w:szCs w:val="20"/>
          <w:lang w:val="en-GB"/>
        </w:rPr>
      </w:pPr>
    </w:p>
    <w:p w14:paraId="3BFCB7F6" w14:textId="77777777" w:rsidR="004C57B0" w:rsidRPr="000C0842" w:rsidRDefault="004C57B0" w:rsidP="004C57B0">
      <w:pPr>
        <w:tabs>
          <w:tab w:val="clear" w:pos="567"/>
          <w:tab w:val="clear" w:pos="1134"/>
          <w:tab w:val="clear" w:pos="1701"/>
          <w:tab w:val="clear" w:pos="2268"/>
        </w:tabs>
        <w:spacing w:after="160" w:line="259" w:lineRule="auto"/>
        <w:jc w:val="left"/>
        <w:rPr>
          <w:rFonts w:eastAsia="SimSun"/>
          <w:b/>
          <w:snapToGrid w:val="0"/>
          <w:sz w:val="24"/>
          <w:lang w:val="en-GB"/>
        </w:rPr>
        <w:sectPr w:rsidR="004C57B0" w:rsidRPr="000C0842" w:rsidSect="00D35C99">
          <w:headerReference w:type="even" r:id="rId280"/>
          <w:headerReference w:type="default" r:id="rId281"/>
          <w:footerReference w:type="even" r:id="rId282"/>
          <w:footerReference w:type="default" r:id="rId283"/>
          <w:headerReference w:type="first" r:id="rId284"/>
          <w:pgSz w:w="12240" w:h="15840"/>
          <w:pgMar w:top="1134" w:right="1440" w:bottom="1134" w:left="1440" w:header="709" w:footer="709" w:gutter="0"/>
          <w:cols w:space="708"/>
          <w:titlePg/>
          <w:docGrid w:linePitch="360"/>
        </w:sectPr>
      </w:pPr>
    </w:p>
    <w:p w14:paraId="692A1A3A" w14:textId="57774F71" w:rsidR="004C57B0" w:rsidRPr="000C0842" w:rsidRDefault="004C57B0" w:rsidP="00E0642E">
      <w:pPr>
        <w:keepNext/>
        <w:keepLines/>
        <w:tabs>
          <w:tab w:val="clear" w:pos="567"/>
          <w:tab w:val="left" w:pos="2835"/>
          <w:tab w:val="left" w:pos="3402"/>
          <w:tab w:val="left" w:pos="3969"/>
        </w:tabs>
        <w:ind w:left="490" w:right="432"/>
        <w:rPr>
          <w:rFonts w:eastAsia="SimSun"/>
          <w:b/>
          <w:snapToGrid w:val="0"/>
          <w:sz w:val="24"/>
          <w:lang w:val="en-GB"/>
        </w:rPr>
      </w:pPr>
      <w:r w:rsidRPr="000C0842">
        <w:rPr>
          <w:rFonts w:eastAsia="SimSun" w:hint="eastAsia"/>
          <w:b/>
          <w:snapToGrid w:val="0"/>
          <w:sz w:val="24"/>
          <w:lang w:val="en-GB"/>
        </w:rPr>
        <w:t>附件二</w:t>
      </w:r>
    </w:p>
    <w:p w14:paraId="0F3D1650" w14:textId="77777777" w:rsidR="004C57B0" w:rsidRPr="000C0842" w:rsidRDefault="004C57B0" w:rsidP="00A277E2">
      <w:pPr>
        <w:keepNext/>
        <w:keepLines/>
        <w:tabs>
          <w:tab w:val="clear" w:pos="567"/>
          <w:tab w:val="left" w:pos="2835"/>
          <w:tab w:val="left" w:pos="3402"/>
          <w:tab w:val="left" w:pos="3969"/>
        </w:tabs>
        <w:spacing w:after="120"/>
        <w:ind w:left="490" w:right="432"/>
        <w:rPr>
          <w:rFonts w:eastAsia="SimSun"/>
          <w:b/>
          <w:snapToGrid w:val="0"/>
          <w:sz w:val="24"/>
          <w:lang w:val="en-GB"/>
        </w:rPr>
      </w:pPr>
      <w:r w:rsidRPr="000C0842">
        <w:rPr>
          <w:rFonts w:eastAsia="SimSun" w:hint="eastAsia"/>
          <w:b/>
          <w:bCs/>
          <w:snapToGrid w:val="0"/>
          <w:sz w:val="24"/>
          <w:szCs w:val="24"/>
          <w:lang w:val="en-GB"/>
        </w:rPr>
        <w:t>《</w:t>
      </w:r>
      <w:r w:rsidRPr="000C0842">
        <w:rPr>
          <w:rFonts w:eastAsia="SimSun" w:hint="eastAsia"/>
          <w:b/>
          <w:snapToGrid w:val="0"/>
          <w:sz w:val="24"/>
          <w:lang w:val="en-GB"/>
        </w:rPr>
        <w:t>昆明</w:t>
      </w:r>
      <w:r w:rsidRPr="000C0842">
        <w:rPr>
          <w:rFonts w:eastAsia="SimSun"/>
          <w:b/>
          <w:bCs/>
          <w:snapToGrid w:val="0"/>
          <w:sz w:val="24"/>
          <w:szCs w:val="24"/>
          <w:lang w:val="en-GB"/>
        </w:rPr>
        <w:t>–</w:t>
      </w:r>
      <w:r w:rsidRPr="000C0842">
        <w:rPr>
          <w:rFonts w:eastAsia="SimSun" w:hint="eastAsia"/>
          <w:b/>
          <w:bCs/>
          <w:snapToGrid w:val="0"/>
          <w:sz w:val="24"/>
          <w:szCs w:val="24"/>
          <w:lang w:val="en-GB"/>
        </w:rPr>
        <w:t>蒙特利尔全球生物多样性框架》监测框架中标题指标和自愿性组成指标和补充指标的细分选项</w:t>
      </w:r>
      <w:r w:rsidRPr="000C0842">
        <w:rPr>
          <w:rFonts w:eastAsia="SimSun"/>
          <w:b/>
          <w:bCs/>
          <w:snapToGrid w:val="0"/>
          <w:sz w:val="24"/>
          <w:szCs w:val="24"/>
          <w:vertAlign w:val="superscript"/>
          <w:lang w:val="en-GB"/>
        </w:rPr>
        <w:footnoteReference w:customMarkFollows="1" w:id="411"/>
        <w:sym w:font="Symbol" w:char="F02A"/>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867"/>
        <w:gridCol w:w="3175"/>
        <w:gridCol w:w="2902"/>
        <w:gridCol w:w="4517"/>
      </w:tblGrid>
      <w:tr w:rsidR="000C0842" w:rsidRPr="000C0842" w14:paraId="43CC7F5C" w14:textId="77777777" w:rsidTr="001F32B3">
        <w:trPr>
          <w:tblHeader/>
        </w:trPr>
        <w:tc>
          <w:tcPr>
            <w:tcW w:w="759" w:type="dxa"/>
            <w:shd w:val="clear" w:color="auto" w:fill="FFFFFF"/>
            <w:tcMar>
              <w:left w:w="29" w:type="dxa"/>
              <w:right w:w="29" w:type="dxa"/>
            </w:tcMar>
          </w:tcPr>
          <w:p w14:paraId="358DBC7A" w14:textId="77777777" w:rsidR="004C57B0" w:rsidRPr="000C0842" w:rsidRDefault="004C57B0" w:rsidP="004C57B0">
            <w:pPr>
              <w:tabs>
                <w:tab w:val="clear" w:pos="567"/>
                <w:tab w:val="clear" w:pos="1134"/>
                <w:tab w:val="clear" w:pos="1701"/>
                <w:tab w:val="clear" w:pos="2268"/>
              </w:tabs>
              <w:jc w:val="left"/>
              <w:rPr>
                <w:rFonts w:eastAsia="KaiTi"/>
                <w:kern w:val="2"/>
                <w:sz w:val="20"/>
                <w:szCs w:val="20"/>
                <w:lang w:val="en-GB"/>
              </w:rPr>
            </w:pPr>
            <w:r w:rsidRPr="000C0842">
              <w:rPr>
                <w:rFonts w:eastAsia="SimSun"/>
                <w:b/>
                <w:bCs/>
                <w:snapToGrid w:val="0"/>
                <w:sz w:val="28"/>
                <w:szCs w:val="28"/>
                <w:lang w:val="en-GB"/>
              </w:rPr>
              <w:br w:type="page"/>
            </w:r>
            <w:r w:rsidRPr="000C0842">
              <w:rPr>
                <w:rFonts w:eastAsia="SimSun"/>
                <w:b/>
                <w:bCs/>
                <w:snapToGrid w:val="0"/>
                <w:sz w:val="24"/>
                <w:szCs w:val="24"/>
                <w:lang w:val="en-GB"/>
              </w:rPr>
              <w:br w:type="page"/>
            </w:r>
            <w:r w:rsidRPr="000C0842">
              <w:rPr>
                <w:rFonts w:eastAsia="KaiTi" w:hint="eastAsia"/>
                <w:kern w:val="2"/>
                <w:sz w:val="20"/>
                <w:szCs w:val="20"/>
                <w:lang w:val="en-GB"/>
              </w:rPr>
              <w:t>长期目标</w:t>
            </w:r>
            <w:r w:rsidRPr="000C0842">
              <w:rPr>
                <w:rFonts w:eastAsia="KaiTi"/>
                <w:kern w:val="2"/>
                <w:sz w:val="20"/>
                <w:szCs w:val="20"/>
                <w:lang w:val="en-GB"/>
              </w:rPr>
              <w:t>/</w:t>
            </w:r>
            <w:r w:rsidRPr="000C0842">
              <w:rPr>
                <w:rFonts w:eastAsia="KaiTi" w:hint="eastAsia"/>
                <w:kern w:val="2"/>
                <w:sz w:val="20"/>
                <w:szCs w:val="20"/>
                <w:lang w:val="en-GB"/>
              </w:rPr>
              <w:t>行动目标</w:t>
            </w:r>
          </w:p>
        </w:tc>
        <w:tc>
          <w:tcPr>
            <w:tcW w:w="1287" w:type="dxa"/>
            <w:shd w:val="clear" w:color="auto" w:fill="FFFFFF"/>
            <w:tcMar>
              <w:left w:w="29" w:type="dxa"/>
              <w:right w:w="29" w:type="dxa"/>
            </w:tcMar>
          </w:tcPr>
          <w:p w14:paraId="19845DC1" w14:textId="77777777" w:rsidR="004C57B0" w:rsidRPr="000C0842" w:rsidRDefault="004C57B0" w:rsidP="004C57B0">
            <w:pPr>
              <w:tabs>
                <w:tab w:val="clear" w:pos="567"/>
                <w:tab w:val="clear" w:pos="1134"/>
                <w:tab w:val="clear" w:pos="1701"/>
                <w:tab w:val="clear" w:pos="2268"/>
              </w:tabs>
              <w:jc w:val="left"/>
              <w:rPr>
                <w:rFonts w:eastAsia="KaiTi"/>
                <w:kern w:val="2"/>
                <w:sz w:val="20"/>
                <w:szCs w:val="20"/>
                <w:lang w:val="en-GB"/>
              </w:rPr>
            </w:pPr>
            <w:r w:rsidRPr="000C0842">
              <w:rPr>
                <w:rFonts w:eastAsia="KaiTi" w:hint="eastAsia"/>
                <w:kern w:val="2"/>
                <w:sz w:val="20"/>
                <w:szCs w:val="20"/>
                <w:lang w:val="en-GB"/>
              </w:rPr>
              <w:t>标题指标或二元指标</w:t>
            </w:r>
          </w:p>
        </w:tc>
        <w:tc>
          <w:tcPr>
            <w:tcW w:w="2189" w:type="dxa"/>
            <w:shd w:val="clear" w:color="auto" w:fill="FFFFFF"/>
            <w:tcMar>
              <w:left w:w="29" w:type="dxa"/>
              <w:right w:w="29" w:type="dxa"/>
            </w:tcMar>
          </w:tcPr>
          <w:p w14:paraId="060D68E5" w14:textId="77777777" w:rsidR="004C57B0" w:rsidRPr="000C0842" w:rsidRDefault="004C57B0" w:rsidP="004C57B0">
            <w:pPr>
              <w:tabs>
                <w:tab w:val="clear" w:pos="567"/>
                <w:tab w:val="clear" w:pos="1134"/>
                <w:tab w:val="clear" w:pos="1701"/>
                <w:tab w:val="clear" w:pos="2268"/>
              </w:tabs>
              <w:jc w:val="left"/>
              <w:rPr>
                <w:rFonts w:eastAsia="KaiTi"/>
                <w:kern w:val="2"/>
                <w:sz w:val="20"/>
                <w:szCs w:val="20"/>
                <w:lang w:val="en-GB"/>
              </w:rPr>
            </w:pPr>
            <w:r w:rsidRPr="000C0842">
              <w:rPr>
                <w:rFonts w:eastAsia="KaiTi" w:hint="eastAsia"/>
                <w:kern w:val="2"/>
                <w:sz w:val="20"/>
                <w:szCs w:val="20"/>
                <w:lang w:val="en-GB"/>
              </w:rPr>
              <w:t>细分选项</w:t>
            </w:r>
          </w:p>
        </w:tc>
        <w:tc>
          <w:tcPr>
            <w:tcW w:w="2001" w:type="dxa"/>
            <w:shd w:val="clear" w:color="auto" w:fill="FFFFFF"/>
            <w:tcMar>
              <w:left w:w="29" w:type="dxa"/>
              <w:right w:w="29" w:type="dxa"/>
            </w:tcMar>
          </w:tcPr>
          <w:p w14:paraId="4B7DBA02" w14:textId="77777777" w:rsidR="004C57B0" w:rsidRPr="000C0842" w:rsidRDefault="004C57B0">
            <w:pPr>
              <w:numPr>
                <w:ilvl w:val="0"/>
                <w:numId w:val="116"/>
              </w:numPr>
              <w:ind w:left="0"/>
              <w:jc w:val="left"/>
              <w:rPr>
                <w:rFonts w:eastAsia="KaiTi"/>
                <w:kern w:val="2"/>
                <w:sz w:val="20"/>
                <w:szCs w:val="20"/>
              </w:rPr>
            </w:pPr>
            <w:r w:rsidRPr="000C0842">
              <w:rPr>
                <w:rFonts w:eastAsia="KaiTi" w:hint="eastAsia"/>
                <w:kern w:val="2"/>
                <w:sz w:val="20"/>
                <w:szCs w:val="20"/>
              </w:rPr>
              <w:t>组成指标</w:t>
            </w:r>
          </w:p>
        </w:tc>
        <w:tc>
          <w:tcPr>
            <w:tcW w:w="3114" w:type="dxa"/>
            <w:shd w:val="clear" w:color="auto" w:fill="FFFFFF"/>
            <w:tcMar>
              <w:left w:w="29" w:type="dxa"/>
              <w:right w:w="29" w:type="dxa"/>
            </w:tcMar>
          </w:tcPr>
          <w:p w14:paraId="3155CDFF" w14:textId="77777777" w:rsidR="004C57B0" w:rsidRPr="000C0842" w:rsidRDefault="004C57B0" w:rsidP="009E1355">
            <w:pPr>
              <w:spacing w:before="60"/>
              <w:jc w:val="left"/>
              <w:rPr>
                <w:rFonts w:eastAsia="KaiTi"/>
                <w:kern w:val="2"/>
                <w:sz w:val="20"/>
                <w:szCs w:val="20"/>
              </w:rPr>
            </w:pPr>
            <w:r w:rsidRPr="000C0842">
              <w:rPr>
                <w:rFonts w:eastAsia="KaiTi" w:hint="eastAsia"/>
                <w:kern w:val="2"/>
                <w:sz w:val="20"/>
                <w:szCs w:val="20"/>
              </w:rPr>
              <w:t>补充指标</w:t>
            </w:r>
          </w:p>
        </w:tc>
      </w:tr>
      <w:tr w:rsidR="000C0842" w:rsidRPr="000C0842" w14:paraId="6A48A591" w14:textId="77777777" w:rsidTr="001F32B3">
        <w:tc>
          <w:tcPr>
            <w:tcW w:w="759" w:type="dxa"/>
            <w:vMerge w:val="restart"/>
            <w:shd w:val="clear" w:color="auto" w:fill="FFFFFF"/>
          </w:tcPr>
          <w:p w14:paraId="173ED074"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A</w:t>
            </w:r>
          </w:p>
        </w:tc>
        <w:tc>
          <w:tcPr>
            <w:tcW w:w="1287" w:type="dxa"/>
            <w:shd w:val="clear" w:color="auto" w:fill="FFFFFF"/>
          </w:tcPr>
          <w:p w14:paraId="5FCFB86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A.1</w:t>
            </w:r>
            <w:r w:rsidRPr="000C0842">
              <w:rPr>
                <w:rFonts w:eastAsia="SimSun" w:hint="eastAsia"/>
                <w:kern w:val="2"/>
                <w:sz w:val="20"/>
                <w:szCs w:val="20"/>
                <w:lang w:val="en-GB"/>
              </w:rPr>
              <w:t>生态系统红色名录</w:t>
            </w:r>
          </w:p>
          <w:p w14:paraId="3EE2EF9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189" w:type="dxa"/>
            <w:shd w:val="clear" w:color="auto" w:fill="FFFFFF"/>
          </w:tcPr>
          <w:p w14:paraId="230F0E7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A.1</w:t>
            </w:r>
            <w:r w:rsidRPr="000C0842">
              <w:rPr>
                <w:rFonts w:eastAsia="SimSun" w:hint="eastAsia"/>
                <w:kern w:val="2"/>
                <w:sz w:val="20"/>
                <w:szCs w:val="20"/>
                <w:lang w:val="en-GB"/>
              </w:rPr>
              <w:t>细分办法：</w:t>
            </w:r>
          </w:p>
          <w:p w14:paraId="13AB8A95"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r w:rsidRPr="000C0842">
              <w:rPr>
                <w:rFonts w:eastAsia="SimSun" w:hint="eastAsia"/>
                <w:iCs/>
                <w:kern w:val="2"/>
                <w:sz w:val="20"/>
                <w:szCs w:val="20"/>
              </w:rPr>
              <w:t>按领域、生物群系和生态系统功能群（全球生态系统类型学的第</w:t>
            </w:r>
            <w:r w:rsidRPr="000C0842">
              <w:rPr>
                <w:rFonts w:eastAsia="SimSun"/>
                <w:iCs/>
                <w:kern w:val="2"/>
                <w:sz w:val="20"/>
                <w:szCs w:val="20"/>
              </w:rPr>
              <w:t xml:space="preserve">2 </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级或同等级别）细分</w:t>
            </w:r>
          </w:p>
          <w:p w14:paraId="36F0404F"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r w:rsidRPr="000C0842">
              <w:rPr>
                <w:rFonts w:eastAsia="SimSun" w:hint="eastAsia"/>
                <w:iCs/>
                <w:kern w:val="2"/>
                <w:sz w:val="20"/>
                <w:szCs w:val="20"/>
              </w:rPr>
              <w:t>按土著和传统领地细分</w:t>
            </w:r>
          </w:p>
          <w:p w14:paraId="39DFE9CC"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r w:rsidRPr="000C0842">
              <w:rPr>
                <w:rFonts w:eastAsia="SimSun" w:hint="eastAsia"/>
                <w:iCs/>
                <w:kern w:val="2"/>
                <w:sz w:val="20"/>
                <w:szCs w:val="20"/>
              </w:rPr>
              <w:t>按保护区或其他基于区域的有效保护措施细分</w:t>
            </w:r>
          </w:p>
          <w:p w14:paraId="5E18FB7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按驱动因素细分（与国际自然保护联盟的威胁分类办法相匹配）</w:t>
            </w:r>
          </w:p>
          <w:p w14:paraId="7F73111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vMerge w:val="restart"/>
            <w:shd w:val="clear" w:color="auto" w:fill="FFFFFF"/>
          </w:tcPr>
          <w:p w14:paraId="7C628C0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生态系统完好程度指数</w:t>
            </w:r>
          </w:p>
          <w:p w14:paraId="6BA37E4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生态系统完整性指数</w:t>
            </w:r>
          </w:p>
          <w:p w14:paraId="7A3136F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物种生境指数</w:t>
            </w:r>
          </w:p>
          <w:p w14:paraId="4D17CB8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4 </w:t>
            </w:r>
            <w:r w:rsidRPr="000C0842">
              <w:rPr>
                <w:rFonts w:ascii="SimSun" w:eastAsia="SimSun" w:hAnsi="SimSun" w:cs="SimSun" w:hint="eastAsia"/>
                <w:kern w:val="2"/>
                <w:sz w:val="20"/>
                <w:szCs w:val="20"/>
              </w:rPr>
              <w:t>生物多样性生境指数</w:t>
            </w:r>
          </w:p>
          <w:p w14:paraId="24E89DE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5 </w:t>
            </w:r>
            <w:r w:rsidRPr="000C0842">
              <w:rPr>
                <w:rFonts w:ascii="SimSun" w:eastAsia="SimSun" w:hAnsi="SimSun" w:cs="SimSun" w:hint="eastAsia"/>
                <w:kern w:val="2"/>
                <w:sz w:val="20"/>
                <w:szCs w:val="20"/>
              </w:rPr>
              <w:t>生物多样性完好程度指数</w:t>
            </w:r>
          </w:p>
          <w:p w14:paraId="0AFDFA1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6 </w:t>
            </w:r>
            <w:r w:rsidRPr="000C0842">
              <w:rPr>
                <w:rFonts w:ascii="SimSun" w:eastAsia="SimSun" w:hAnsi="SimSun" w:cs="SimSun" w:hint="eastAsia"/>
                <w:kern w:val="2"/>
                <w:sz w:val="20"/>
                <w:szCs w:val="20"/>
              </w:rPr>
              <w:t>保护连通性指数</w:t>
            </w:r>
          </w:p>
          <w:p w14:paraId="4C70EC8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7 </w:t>
            </w:r>
            <w:r w:rsidRPr="000C0842">
              <w:rPr>
                <w:rFonts w:ascii="SimSun" w:eastAsia="SimSun" w:hAnsi="SimSun" w:cs="SimSun" w:hint="eastAsia"/>
                <w:kern w:val="2"/>
                <w:sz w:val="20"/>
                <w:szCs w:val="20"/>
              </w:rPr>
              <w:t>保护区代表性和连通性指数</w:t>
            </w:r>
          </w:p>
          <w:p w14:paraId="232F91A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8 </w:t>
            </w:r>
            <w:r w:rsidRPr="000C0842">
              <w:rPr>
                <w:rFonts w:ascii="SimSun" w:eastAsia="SimSun" w:hAnsi="SimSun" w:cs="SimSun" w:hint="eastAsia"/>
                <w:kern w:val="2"/>
                <w:sz w:val="20"/>
                <w:szCs w:val="20"/>
              </w:rPr>
              <w:t>避免的灭绝数目</w:t>
            </w:r>
          </w:p>
          <w:p w14:paraId="72F4530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9 </w:t>
            </w:r>
            <w:r w:rsidRPr="000C0842">
              <w:rPr>
                <w:rFonts w:ascii="SimSun" w:eastAsia="SimSun" w:hAnsi="SimSun" w:cs="SimSun" w:hint="eastAsia"/>
                <w:kern w:val="2"/>
                <w:sz w:val="20"/>
                <w:szCs w:val="20"/>
              </w:rPr>
              <w:t>进化独特和全球濒危指数</w:t>
            </w:r>
          </w:p>
          <w:p w14:paraId="2221B0F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A.CT.</w:t>
            </w:r>
            <w:r w:rsidRPr="000C0842">
              <w:rPr>
                <w:rFonts w:eastAsia="SimSun" w:hint="eastAsia"/>
                <w:sz w:val="20"/>
                <w:szCs w:val="20"/>
                <w:lang w:val="en-GB"/>
              </w:rPr>
              <w:t xml:space="preserve">10 </w:t>
            </w:r>
            <w:r w:rsidRPr="000C0842">
              <w:rPr>
                <w:rFonts w:ascii="SimSun" w:eastAsia="SimSun" w:hAnsi="SimSun" w:cs="SimSun" w:hint="eastAsia"/>
                <w:kern w:val="2"/>
                <w:sz w:val="20"/>
                <w:szCs w:val="20"/>
              </w:rPr>
              <w:t>地球生命力指数</w:t>
            </w:r>
            <w:r w:rsidRPr="000C0842">
              <w:rPr>
                <w:rFonts w:eastAsia="SimSun"/>
                <w:kern w:val="2"/>
                <w:sz w:val="20"/>
                <w:szCs w:val="20"/>
              </w:rPr>
              <w:t xml:space="preserve"> </w:t>
            </w:r>
          </w:p>
          <w:p w14:paraId="018FF9E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sz w:val="20"/>
                <w:szCs w:val="20"/>
                <w:lang w:val="en-GB"/>
              </w:rPr>
              <w:t>A.CT.</w:t>
            </w:r>
            <w:r w:rsidRPr="000C0842">
              <w:rPr>
                <w:rFonts w:eastAsia="SimSun" w:hint="eastAsia"/>
                <w:sz w:val="20"/>
                <w:szCs w:val="20"/>
                <w:lang w:val="en-GB"/>
              </w:rPr>
              <w:t xml:space="preserve">11 </w:t>
            </w:r>
            <w:r w:rsidRPr="000C0842">
              <w:rPr>
                <w:rFonts w:ascii="SimSun" w:eastAsia="SimSun" w:hAnsi="SimSun" w:cs="SimSun" w:hint="eastAsia"/>
                <w:kern w:val="2"/>
                <w:sz w:val="20"/>
                <w:szCs w:val="20"/>
              </w:rPr>
              <w:t>野生鸟类指数</w:t>
            </w:r>
          </w:p>
        </w:tc>
        <w:tc>
          <w:tcPr>
            <w:tcW w:w="3114" w:type="dxa"/>
            <w:vMerge w:val="restart"/>
            <w:shd w:val="clear" w:color="auto" w:fill="FFFFFF"/>
          </w:tcPr>
          <w:p w14:paraId="0B72256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森林面积占陆地总面积的比例</w:t>
            </w:r>
            <w:r w:rsidRPr="000C0842">
              <w:rPr>
                <w:rFonts w:eastAsia="SimSun"/>
                <w:kern w:val="2"/>
                <w:sz w:val="20"/>
                <w:szCs w:val="20"/>
              </w:rPr>
              <w:t xml:space="preserve"> </w:t>
            </w:r>
          </w:p>
          <w:p w14:paraId="3510984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树木覆盖的丧失速度</w:t>
            </w:r>
          </w:p>
          <w:p w14:paraId="58AF07A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山岭绿色覆盖指数</w:t>
            </w:r>
          </w:p>
          <w:p w14:paraId="4DC4FBF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4 </w:t>
            </w:r>
            <w:r w:rsidRPr="000C0842">
              <w:rPr>
                <w:rFonts w:ascii="SimSun" w:eastAsia="SimSun" w:hAnsi="SimSun" w:cs="SimSun" w:hint="eastAsia"/>
                <w:kern w:val="2"/>
                <w:sz w:val="20"/>
                <w:szCs w:val="20"/>
              </w:rPr>
              <w:t>全球红树林连续覆盖面</w:t>
            </w:r>
          </w:p>
          <w:p w14:paraId="19037C7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5 </w:t>
            </w:r>
            <w:r w:rsidRPr="000C0842">
              <w:rPr>
                <w:rFonts w:ascii="SimSun" w:eastAsia="SimSun" w:hAnsi="SimSun" w:cs="SimSun" w:hint="eastAsia"/>
                <w:kern w:val="2"/>
                <w:sz w:val="20"/>
                <w:szCs w:val="20"/>
              </w:rPr>
              <w:t>红树林破碎化</w:t>
            </w:r>
          </w:p>
          <w:p w14:paraId="35C9ADA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6 </w:t>
            </w:r>
            <w:r w:rsidRPr="000C0842">
              <w:rPr>
                <w:rFonts w:ascii="SimSun" w:eastAsia="SimSun" w:hAnsi="SimSun" w:cs="SimSun" w:hint="eastAsia"/>
                <w:kern w:val="2"/>
                <w:sz w:val="20"/>
                <w:szCs w:val="20"/>
              </w:rPr>
              <w:t>红树林范围</w:t>
            </w:r>
            <w:r w:rsidRPr="000C0842">
              <w:rPr>
                <w:rFonts w:eastAsia="SimSun"/>
                <w:kern w:val="2"/>
                <w:sz w:val="20"/>
                <w:szCs w:val="20"/>
              </w:rPr>
              <w:t xml:space="preserve"> </w:t>
            </w:r>
          </w:p>
          <w:p w14:paraId="1516C44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7 </w:t>
            </w:r>
            <w:r w:rsidRPr="000C0842">
              <w:rPr>
                <w:rFonts w:ascii="SimSun" w:eastAsia="SimSun" w:hAnsi="SimSun" w:cs="SimSun" w:hint="eastAsia"/>
                <w:kern w:val="2"/>
                <w:sz w:val="20"/>
                <w:szCs w:val="20"/>
              </w:rPr>
              <w:t>全球盐沼范围</w:t>
            </w:r>
            <w:r w:rsidRPr="000C0842">
              <w:rPr>
                <w:rFonts w:eastAsia="SimSun"/>
                <w:kern w:val="2"/>
                <w:sz w:val="20"/>
                <w:szCs w:val="20"/>
              </w:rPr>
              <w:t xml:space="preserve"> </w:t>
            </w:r>
          </w:p>
          <w:p w14:paraId="2574492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8 </w:t>
            </w:r>
            <w:r w:rsidRPr="000C0842">
              <w:rPr>
                <w:rFonts w:ascii="SimSun" w:eastAsia="SimSun" w:hAnsi="SimSun" w:cs="SimSun" w:hint="eastAsia"/>
                <w:kern w:val="2"/>
                <w:sz w:val="20"/>
                <w:szCs w:val="20"/>
              </w:rPr>
              <w:t>湿地范围趋势指数</w:t>
            </w:r>
          </w:p>
          <w:p w14:paraId="792859C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9 </w:t>
            </w:r>
            <w:r w:rsidRPr="000C0842">
              <w:rPr>
                <w:rFonts w:ascii="SimSun" w:eastAsia="SimSun" w:hAnsi="SimSun" w:cs="SimSun" w:hint="eastAsia"/>
                <w:kern w:val="2"/>
                <w:sz w:val="20"/>
                <w:szCs w:val="20"/>
              </w:rPr>
              <w:t>森林破碎化指数</w:t>
            </w:r>
          </w:p>
          <w:p w14:paraId="1C0A037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10 </w:t>
            </w:r>
            <w:r w:rsidRPr="000C0842">
              <w:rPr>
                <w:rFonts w:ascii="SimSun" w:eastAsia="SimSun" w:hAnsi="SimSun" w:cs="SimSun" w:hint="eastAsia"/>
                <w:kern w:val="2"/>
                <w:sz w:val="20"/>
                <w:szCs w:val="20"/>
              </w:rPr>
              <w:t>森林景观完整性指数</w:t>
            </w:r>
          </w:p>
          <w:p w14:paraId="4734892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11 </w:t>
            </w:r>
            <w:r w:rsidRPr="000C0842">
              <w:rPr>
                <w:rFonts w:ascii="SimSun" w:eastAsia="SimSun" w:hAnsi="SimSun" w:cs="SimSun" w:hint="eastAsia"/>
                <w:kern w:val="2"/>
                <w:sz w:val="20"/>
                <w:szCs w:val="20"/>
              </w:rPr>
              <w:t>全球植被健康产品</w:t>
            </w:r>
          </w:p>
          <w:p w14:paraId="457FA17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8</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生物气候生态系统复原力指数</w:t>
            </w:r>
            <w:r w:rsidRPr="000C0842">
              <w:rPr>
                <w:rFonts w:eastAsia="SimSun"/>
                <w:kern w:val="2"/>
                <w:sz w:val="20"/>
                <w:szCs w:val="20"/>
              </w:rPr>
              <w:t xml:space="preserve"> </w:t>
            </w:r>
          </w:p>
          <w:p w14:paraId="4C61764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12 </w:t>
            </w:r>
            <w:r w:rsidRPr="000C0842">
              <w:rPr>
                <w:rFonts w:ascii="SimSun" w:eastAsia="SimSun" w:hAnsi="SimSun" w:cs="SimSun" w:hint="eastAsia"/>
                <w:kern w:val="2"/>
                <w:sz w:val="20"/>
                <w:szCs w:val="20"/>
              </w:rPr>
              <w:t>破碎化相对规模</w:t>
            </w:r>
          </w:p>
          <w:p w14:paraId="5203F9F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13 </w:t>
            </w:r>
            <w:r w:rsidRPr="000C0842">
              <w:rPr>
                <w:rFonts w:ascii="SimSun" w:eastAsia="SimSun" w:hAnsi="SimSun" w:cs="SimSun" w:hint="eastAsia"/>
                <w:kern w:val="2"/>
                <w:sz w:val="20"/>
                <w:szCs w:val="20"/>
              </w:rPr>
              <w:t>海洋健康指数</w:t>
            </w:r>
          </w:p>
          <w:p w14:paraId="7D98F64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14 </w:t>
            </w:r>
            <w:r w:rsidRPr="000C0842">
              <w:rPr>
                <w:rFonts w:ascii="SimSun" w:eastAsia="SimSun" w:hAnsi="SimSun" w:cs="SimSun" w:hint="eastAsia"/>
                <w:kern w:val="2"/>
                <w:sz w:val="20"/>
                <w:szCs w:val="20"/>
              </w:rPr>
              <w:t>主要海底生境所受物理损害的程度</w:t>
            </w:r>
          </w:p>
          <w:p w14:paraId="702C1C0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15 </w:t>
            </w:r>
            <w:r w:rsidRPr="000C0842">
              <w:rPr>
                <w:rFonts w:ascii="SimSun" w:eastAsia="SimSun" w:hAnsi="SimSun" w:cs="SimSun" w:hint="eastAsia"/>
                <w:kern w:val="2"/>
                <w:sz w:val="20"/>
                <w:szCs w:val="20"/>
              </w:rPr>
              <w:t>河流破碎化指数</w:t>
            </w:r>
          </w:p>
          <w:p w14:paraId="673C925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16 </w:t>
            </w:r>
            <w:r w:rsidRPr="000C0842">
              <w:rPr>
                <w:rFonts w:ascii="SimSun" w:eastAsia="SimSun" w:hAnsi="SimSun" w:cs="SimSun" w:hint="eastAsia"/>
                <w:kern w:val="2"/>
                <w:sz w:val="20"/>
                <w:szCs w:val="20"/>
              </w:rPr>
              <w:t>平均物种丰度</w:t>
            </w:r>
          </w:p>
          <w:p w14:paraId="19C7AE7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3</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物种保护指数</w:t>
            </w:r>
          </w:p>
          <w:p w14:paraId="1C7CB2F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17 </w:t>
            </w:r>
            <w:r w:rsidRPr="000C0842">
              <w:rPr>
                <w:rFonts w:ascii="SimSun" w:eastAsia="SimSun" w:hAnsi="SimSun" w:cs="SimSun" w:hint="eastAsia"/>
                <w:kern w:val="2"/>
                <w:sz w:val="20"/>
                <w:szCs w:val="20"/>
              </w:rPr>
              <w:t>浮游生物量和丰度的变化</w:t>
            </w:r>
          </w:p>
          <w:p w14:paraId="76E9ABB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18 </w:t>
            </w:r>
            <w:r w:rsidRPr="000C0842">
              <w:rPr>
                <w:rFonts w:ascii="SimSun" w:eastAsia="SimSun" w:hAnsi="SimSun" w:cs="SimSun" w:hint="eastAsia"/>
                <w:kern w:val="2"/>
                <w:sz w:val="20"/>
                <w:szCs w:val="20"/>
              </w:rPr>
              <w:t>具有社会经济和文化珍贵价值的物种所受保护的全面性</w:t>
            </w:r>
          </w:p>
          <w:p w14:paraId="7D6DF92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4</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中期或长期养护设施所保存的粮食和农业动植物遗传资源的数目</w:t>
            </w:r>
          </w:p>
          <w:p w14:paraId="7EFC2D4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4</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4 </w:t>
            </w:r>
            <w:r w:rsidRPr="000C0842">
              <w:rPr>
                <w:rFonts w:ascii="SimSun" w:eastAsia="SimSun" w:hAnsi="SimSun" w:cs="SimSun" w:hint="eastAsia"/>
                <w:kern w:val="2"/>
                <w:sz w:val="20"/>
                <w:szCs w:val="20"/>
              </w:rPr>
              <w:t>被归类为面临灭绝风险的地方品种所占比例</w:t>
            </w:r>
          </w:p>
          <w:p w14:paraId="2B62BE9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19 </w:t>
            </w:r>
            <w:r w:rsidRPr="000C0842">
              <w:rPr>
                <w:rFonts w:ascii="SimSun" w:eastAsia="SimSun" w:hAnsi="SimSun" w:cs="SimSun" w:hint="eastAsia"/>
                <w:kern w:val="2"/>
                <w:sz w:val="20"/>
                <w:szCs w:val="20"/>
              </w:rPr>
              <w:t>红色名录指数（家畜的野生近缘种）</w:t>
            </w:r>
            <w:r w:rsidRPr="000C0842">
              <w:rPr>
                <w:rFonts w:eastAsia="SimSun"/>
                <w:kern w:val="2"/>
                <w:sz w:val="20"/>
                <w:szCs w:val="20"/>
              </w:rPr>
              <w:t xml:space="preserve"> </w:t>
            </w:r>
          </w:p>
          <w:p w14:paraId="0637463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20 </w:t>
            </w:r>
            <w:r w:rsidRPr="000C0842">
              <w:rPr>
                <w:rFonts w:ascii="SimSun" w:eastAsia="SimSun" w:hAnsi="SimSun" w:cs="SimSun" w:hint="eastAsia"/>
                <w:kern w:val="2"/>
                <w:sz w:val="20"/>
                <w:szCs w:val="20"/>
              </w:rPr>
              <w:t>物种状况指数</w:t>
            </w:r>
          </w:p>
          <w:p w14:paraId="118D297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21 </w:t>
            </w:r>
            <w:r w:rsidRPr="000C0842">
              <w:rPr>
                <w:rFonts w:ascii="SimSun" w:eastAsia="SimSun" w:hAnsi="SimSun" w:cs="SimSun" w:hint="eastAsia"/>
                <w:kern w:val="2"/>
                <w:sz w:val="20"/>
                <w:szCs w:val="20"/>
              </w:rPr>
              <w:t>种系多样性的预期丧失情况</w:t>
            </w:r>
          </w:p>
          <w:p w14:paraId="6F7B5A6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A.C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22 </w:t>
            </w:r>
            <w:r w:rsidRPr="000C0842">
              <w:rPr>
                <w:rFonts w:ascii="SimSun" w:eastAsia="SimSun" w:hAnsi="SimSun" w:cs="SimSun" w:hint="eastAsia"/>
                <w:kern w:val="2"/>
                <w:sz w:val="20"/>
                <w:szCs w:val="20"/>
              </w:rPr>
              <w:t>物种内部维持的种群所占比例</w:t>
            </w:r>
          </w:p>
        </w:tc>
      </w:tr>
      <w:tr w:rsidR="000C0842" w:rsidRPr="000C0842" w14:paraId="290D72B9" w14:textId="77777777" w:rsidTr="001F32B3">
        <w:tc>
          <w:tcPr>
            <w:tcW w:w="759" w:type="dxa"/>
            <w:vMerge/>
            <w:shd w:val="clear" w:color="auto" w:fill="FFFFFF"/>
          </w:tcPr>
          <w:p w14:paraId="00049EB2"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p>
        </w:tc>
        <w:tc>
          <w:tcPr>
            <w:tcW w:w="1287" w:type="dxa"/>
            <w:shd w:val="clear" w:color="auto" w:fill="FFFFFF"/>
          </w:tcPr>
          <w:p w14:paraId="4C48BF2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A.2</w:t>
            </w:r>
            <w:r w:rsidRPr="000C0842">
              <w:rPr>
                <w:rFonts w:eastAsia="SimSun" w:hint="eastAsia"/>
                <w:kern w:val="2"/>
                <w:sz w:val="20"/>
                <w:szCs w:val="20"/>
                <w:lang w:val="en-GB"/>
              </w:rPr>
              <w:t>自然生态系统范围</w:t>
            </w:r>
          </w:p>
          <w:p w14:paraId="1DDAD0C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189" w:type="dxa"/>
            <w:shd w:val="clear" w:color="auto" w:fill="FFFFFF"/>
          </w:tcPr>
          <w:p w14:paraId="6E88492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A.2</w:t>
            </w:r>
            <w:r w:rsidRPr="000C0842">
              <w:rPr>
                <w:rFonts w:eastAsia="SimSun" w:hint="eastAsia"/>
                <w:kern w:val="2"/>
                <w:sz w:val="20"/>
                <w:szCs w:val="20"/>
                <w:lang w:val="en-GB"/>
              </w:rPr>
              <w:t>细分办法：</w:t>
            </w:r>
          </w:p>
          <w:p w14:paraId="7D6BDF8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按领域、生物群系和生态系统功能群（全球生态系统类型学的第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级或同等级别）细分</w:t>
            </w:r>
          </w:p>
          <w:p w14:paraId="2E6AD68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按土著和传统领地细分</w:t>
            </w:r>
          </w:p>
          <w:p w14:paraId="53B57B9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在可行情况下按自然和半自然生态系统细分</w:t>
            </w:r>
          </w:p>
        </w:tc>
        <w:tc>
          <w:tcPr>
            <w:tcW w:w="2001" w:type="dxa"/>
            <w:vMerge/>
            <w:shd w:val="clear" w:color="auto" w:fill="FFFFFF"/>
          </w:tcPr>
          <w:p w14:paraId="74545687" w14:textId="77777777" w:rsidR="004C57B0" w:rsidRPr="000C0842" w:rsidRDefault="004C57B0">
            <w:pPr>
              <w:numPr>
                <w:ilvl w:val="0"/>
                <w:numId w:val="172"/>
              </w:numPr>
              <w:tabs>
                <w:tab w:val="clear" w:pos="567"/>
                <w:tab w:val="clear" w:pos="1134"/>
                <w:tab w:val="clear" w:pos="1701"/>
                <w:tab w:val="clear" w:pos="2268"/>
              </w:tabs>
              <w:spacing w:before="60"/>
              <w:ind w:left="144" w:hanging="144"/>
              <w:jc w:val="left"/>
              <w:rPr>
                <w:rFonts w:eastAsia="SimSun"/>
                <w:kern w:val="2"/>
                <w:sz w:val="20"/>
                <w:szCs w:val="20"/>
              </w:rPr>
            </w:pPr>
          </w:p>
        </w:tc>
        <w:tc>
          <w:tcPr>
            <w:tcW w:w="3114" w:type="dxa"/>
            <w:vMerge/>
            <w:shd w:val="clear" w:color="auto" w:fill="FFFFFF"/>
          </w:tcPr>
          <w:p w14:paraId="62887C17" w14:textId="77777777" w:rsidR="004C57B0" w:rsidRPr="000C0842" w:rsidRDefault="004C57B0">
            <w:pPr>
              <w:numPr>
                <w:ilvl w:val="0"/>
                <w:numId w:val="173"/>
              </w:numPr>
              <w:tabs>
                <w:tab w:val="clear" w:pos="567"/>
                <w:tab w:val="clear" w:pos="1134"/>
                <w:tab w:val="clear" w:pos="1701"/>
                <w:tab w:val="clear" w:pos="2268"/>
              </w:tabs>
              <w:spacing w:before="60"/>
              <w:ind w:left="245" w:hanging="245"/>
              <w:jc w:val="left"/>
              <w:rPr>
                <w:rFonts w:eastAsia="SimSun"/>
                <w:kern w:val="2"/>
                <w:sz w:val="20"/>
                <w:szCs w:val="20"/>
              </w:rPr>
            </w:pPr>
          </w:p>
        </w:tc>
      </w:tr>
      <w:tr w:rsidR="000C0842" w:rsidRPr="000C0842" w14:paraId="31D151B9" w14:textId="77777777" w:rsidTr="001F32B3">
        <w:tc>
          <w:tcPr>
            <w:tcW w:w="759" w:type="dxa"/>
            <w:vMerge/>
            <w:shd w:val="clear" w:color="auto" w:fill="FFFFFF"/>
          </w:tcPr>
          <w:p w14:paraId="03F6DA0F"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p>
        </w:tc>
        <w:tc>
          <w:tcPr>
            <w:tcW w:w="1287" w:type="dxa"/>
            <w:shd w:val="clear" w:color="auto" w:fill="FFFFFF"/>
          </w:tcPr>
          <w:p w14:paraId="3018236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A.3</w:t>
            </w:r>
            <w:r w:rsidRPr="000C0842">
              <w:rPr>
                <w:rFonts w:eastAsia="SimSun" w:hint="eastAsia"/>
                <w:kern w:val="2"/>
                <w:sz w:val="20"/>
                <w:szCs w:val="20"/>
                <w:lang w:val="en-GB"/>
              </w:rPr>
              <w:t>红色名录指数</w:t>
            </w:r>
          </w:p>
          <w:p w14:paraId="2913EC5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189" w:type="dxa"/>
            <w:shd w:val="clear" w:color="auto" w:fill="FFFFFF"/>
          </w:tcPr>
          <w:p w14:paraId="7C5F3E2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A.3</w:t>
            </w:r>
            <w:r w:rsidRPr="000C0842">
              <w:rPr>
                <w:rFonts w:eastAsia="SimSun" w:hint="eastAsia"/>
                <w:kern w:val="2"/>
                <w:sz w:val="20"/>
                <w:szCs w:val="20"/>
                <w:lang w:val="en-GB"/>
              </w:rPr>
              <w:t>细分办法</w:t>
            </w:r>
            <w:r w:rsidRPr="000C0842">
              <w:rPr>
                <w:rFonts w:eastAsia="SimSun"/>
                <w:kern w:val="2"/>
                <w:sz w:val="20"/>
                <w:szCs w:val="20"/>
                <w:vertAlign w:val="superscript"/>
                <w:lang w:val="en-GB"/>
              </w:rPr>
              <w:footnoteReference w:id="412"/>
            </w:r>
            <w:r w:rsidRPr="000C0842">
              <w:rPr>
                <w:rFonts w:eastAsia="SimSun" w:hint="eastAsia"/>
                <w:kern w:val="2"/>
                <w:sz w:val="20"/>
                <w:szCs w:val="20"/>
                <w:lang w:val="en-GB"/>
              </w:rPr>
              <w:t>：</w:t>
            </w:r>
          </w:p>
          <w:p w14:paraId="6CDFD82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按领域、生物群系和生态系统功能群（全球生态系统类型学的第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级或同等级别）细分</w:t>
            </w:r>
          </w:p>
          <w:p w14:paraId="6274FBC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按迁徙物种细分</w:t>
            </w:r>
          </w:p>
          <w:p w14:paraId="3CECF65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按驱动因素细分（与国际自然保护联盟的威胁分类办法相匹配）</w:t>
            </w:r>
          </w:p>
        </w:tc>
        <w:tc>
          <w:tcPr>
            <w:tcW w:w="2001" w:type="dxa"/>
            <w:vMerge/>
            <w:shd w:val="clear" w:color="auto" w:fill="FFFFFF"/>
          </w:tcPr>
          <w:p w14:paraId="69B4102B" w14:textId="77777777" w:rsidR="004C57B0" w:rsidRPr="000C0842" w:rsidRDefault="004C57B0">
            <w:pPr>
              <w:numPr>
                <w:ilvl w:val="0"/>
                <w:numId w:val="172"/>
              </w:numPr>
              <w:tabs>
                <w:tab w:val="clear" w:pos="567"/>
                <w:tab w:val="clear" w:pos="1134"/>
                <w:tab w:val="clear" w:pos="1701"/>
                <w:tab w:val="clear" w:pos="2268"/>
              </w:tabs>
              <w:spacing w:before="60"/>
              <w:ind w:left="144" w:hanging="144"/>
              <w:jc w:val="left"/>
              <w:rPr>
                <w:rFonts w:eastAsia="SimSun"/>
                <w:kern w:val="2"/>
                <w:sz w:val="20"/>
                <w:szCs w:val="20"/>
              </w:rPr>
            </w:pPr>
          </w:p>
        </w:tc>
        <w:tc>
          <w:tcPr>
            <w:tcW w:w="3114" w:type="dxa"/>
            <w:vMerge/>
            <w:shd w:val="clear" w:color="auto" w:fill="FFFFFF"/>
          </w:tcPr>
          <w:p w14:paraId="3BDD3F47" w14:textId="77777777" w:rsidR="004C57B0" w:rsidRPr="000C0842" w:rsidRDefault="004C57B0">
            <w:pPr>
              <w:numPr>
                <w:ilvl w:val="0"/>
                <w:numId w:val="173"/>
              </w:numPr>
              <w:tabs>
                <w:tab w:val="clear" w:pos="567"/>
                <w:tab w:val="clear" w:pos="1134"/>
                <w:tab w:val="clear" w:pos="1701"/>
                <w:tab w:val="clear" w:pos="2268"/>
              </w:tabs>
              <w:spacing w:before="60"/>
              <w:ind w:left="245" w:hanging="245"/>
              <w:jc w:val="left"/>
              <w:rPr>
                <w:rFonts w:eastAsia="SimSun"/>
                <w:kern w:val="2"/>
                <w:sz w:val="20"/>
                <w:szCs w:val="20"/>
              </w:rPr>
            </w:pPr>
          </w:p>
        </w:tc>
      </w:tr>
      <w:tr w:rsidR="000C0842" w:rsidRPr="000C0842" w14:paraId="28A11173" w14:textId="77777777" w:rsidTr="001F32B3">
        <w:tc>
          <w:tcPr>
            <w:tcW w:w="759" w:type="dxa"/>
            <w:vMerge/>
            <w:shd w:val="clear" w:color="auto" w:fill="FFFFFF"/>
          </w:tcPr>
          <w:p w14:paraId="4638F242"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p>
        </w:tc>
        <w:tc>
          <w:tcPr>
            <w:tcW w:w="1287" w:type="dxa"/>
            <w:shd w:val="clear" w:color="auto" w:fill="FFFFFF"/>
          </w:tcPr>
          <w:p w14:paraId="11B2B5D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A.4</w:t>
            </w:r>
            <w:r w:rsidRPr="000C0842">
              <w:rPr>
                <w:rFonts w:eastAsia="SimSun" w:hint="eastAsia"/>
                <w:kern w:val="2"/>
                <w:sz w:val="20"/>
                <w:szCs w:val="20"/>
                <w:lang w:val="en-GB"/>
              </w:rPr>
              <w:t>物种内有效种群规模大于</w:t>
            </w:r>
            <w:r w:rsidRPr="000C0842">
              <w:rPr>
                <w:rFonts w:eastAsia="SimSun"/>
                <w:kern w:val="2"/>
                <w:sz w:val="20"/>
                <w:szCs w:val="20"/>
                <w:lang w:val="en-GB"/>
              </w:rPr>
              <w:t>500</w:t>
            </w:r>
            <w:r w:rsidRPr="000C0842">
              <w:rPr>
                <w:rFonts w:eastAsia="SimSun" w:hint="eastAsia"/>
                <w:kern w:val="2"/>
                <w:sz w:val="20"/>
                <w:szCs w:val="20"/>
                <w:lang w:val="en-GB"/>
              </w:rPr>
              <w:t>的种群比例</w:t>
            </w:r>
          </w:p>
        </w:tc>
        <w:tc>
          <w:tcPr>
            <w:tcW w:w="2189" w:type="dxa"/>
            <w:shd w:val="clear" w:color="auto" w:fill="FFFFFF"/>
          </w:tcPr>
          <w:p w14:paraId="0FF6566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A.4</w:t>
            </w:r>
            <w:r w:rsidRPr="000C0842">
              <w:rPr>
                <w:rFonts w:eastAsia="SimSun" w:hint="eastAsia"/>
                <w:kern w:val="2"/>
                <w:sz w:val="20"/>
                <w:szCs w:val="20"/>
                <w:lang w:val="en-GB"/>
              </w:rPr>
              <w:t>细分办法：</w:t>
            </w:r>
          </w:p>
          <w:p w14:paraId="785DF68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物种</w:t>
            </w:r>
          </w:p>
          <w:p w14:paraId="47C7609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分类组</w:t>
            </w:r>
          </w:p>
          <w:p w14:paraId="46D1B96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vMerge/>
            <w:shd w:val="clear" w:color="auto" w:fill="FFFFFF"/>
          </w:tcPr>
          <w:p w14:paraId="76C28CDD" w14:textId="77777777" w:rsidR="004C57B0" w:rsidRPr="000C0842" w:rsidRDefault="004C57B0">
            <w:pPr>
              <w:numPr>
                <w:ilvl w:val="0"/>
                <w:numId w:val="172"/>
              </w:numPr>
              <w:tabs>
                <w:tab w:val="clear" w:pos="567"/>
                <w:tab w:val="clear" w:pos="1134"/>
                <w:tab w:val="clear" w:pos="1701"/>
                <w:tab w:val="clear" w:pos="2268"/>
              </w:tabs>
              <w:spacing w:before="60"/>
              <w:ind w:left="144" w:hanging="144"/>
              <w:jc w:val="left"/>
              <w:rPr>
                <w:rFonts w:eastAsia="SimSun"/>
                <w:kern w:val="2"/>
                <w:sz w:val="20"/>
                <w:szCs w:val="20"/>
              </w:rPr>
            </w:pPr>
          </w:p>
        </w:tc>
        <w:tc>
          <w:tcPr>
            <w:tcW w:w="3114" w:type="dxa"/>
            <w:vMerge/>
            <w:shd w:val="clear" w:color="auto" w:fill="FFFFFF"/>
          </w:tcPr>
          <w:p w14:paraId="20A3026F" w14:textId="77777777" w:rsidR="004C57B0" w:rsidRPr="000C0842" w:rsidRDefault="004C57B0">
            <w:pPr>
              <w:numPr>
                <w:ilvl w:val="0"/>
                <w:numId w:val="173"/>
              </w:numPr>
              <w:tabs>
                <w:tab w:val="clear" w:pos="567"/>
                <w:tab w:val="clear" w:pos="1134"/>
                <w:tab w:val="clear" w:pos="1701"/>
                <w:tab w:val="clear" w:pos="2268"/>
              </w:tabs>
              <w:spacing w:before="60"/>
              <w:ind w:left="245" w:hanging="245"/>
              <w:jc w:val="left"/>
              <w:rPr>
                <w:rFonts w:eastAsia="SimSun"/>
                <w:kern w:val="2"/>
                <w:sz w:val="20"/>
                <w:szCs w:val="20"/>
              </w:rPr>
            </w:pPr>
          </w:p>
        </w:tc>
      </w:tr>
      <w:tr w:rsidR="000C0842" w:rsidRPr="000C0842" w14:paraId="68E47B8A" w14:textId="77777777" w:rsidTr="001F32B3">
        <w:tc>
          <w:tcPr>
            <w:tcW w:w="759" w:type="dxa"/>
            <w:shd w:val="clear" w:color="auto" w:fill="FFFFFF"/>
          </w:tcPr>
          <w:p w14:paraId="46273A4D"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B</w:t>
            </w:r>
          </w:p>
        </w:tc>
        <w:tc>
          <w:tcPr>
            <w:tcW w:w="1287" w:type="dxa"/>
            <w:shd w:val="clear" w:color="auto" w:fill="FFFFFF"/>
          </w:tcPr>
          <w:p w14:paraId="69F4676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B.1</w:t>
            </w:r>
            <w:r w:rsidRPr="000C0842">
              <w:rPr>
                <w:rFonts w:eastAsia="SimSun" w:hint="eastAsia"/>
                <w:kern w:val="2"/>
                <w:sz w:val="20"/>
                <w:szCs w:val="20"/>
                <w:lang w:val="en-GB"/>
              </w:rPr>
              <w:t>生态系统提供的服务</w:t>
            </w:r>
          </w:p>
          <w:p w14:paraId="6030971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320322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531E1B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25ADA6A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1DF9889"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p>
          <w:p w14:paraId="49EB6BE7"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p>
          <w:p w14:paraId="6797563B"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p>
          <w:p w14:paraId="33D4030E"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p>
          <w:p w14:paraId="6785FFF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iCs/>
                <w:kern w:val="2"/>
                <w:sz w:val="20"/>
                <w:szCs w:val="20"/>
                <w:lang w:val="en-GB"/>
              </w:rPr>
              <w:t xml:space="preserve">B.b </w:t>
            </w:r>
            <w:r w:rsidRPr="000C0842">
              <w:rPr>
                <w:rFonts w:eastAsia="SimSun" w:hint="eastAsia"/>
                <w:iCs/>
                <w:kern w:val="2"/>
                <w:sz w:val="20"/>
                <w:szCs w:val="20"/>
                <w:lang w:val="en-GB"/>
              </w:rPr>
              <w:t>已</w:t>
            </w:r>
            <w:r w:rsidRPr="000C0842">
              <w:rPr>
                <w:rFonts w:ascii="SimSun" w:eastAsia="SimSun" w:hAnsi="SimSun" w:cs="SimSun" w:hint="eastAsia"/>
                <w:kern w:val="2"/>
                <w:sz w:val="20"/>
                <w:szCs w:val="20"/>
                <w14:ligatures w14:val="standardContextual"/>
              </w:rPr>
              <w:t>制定政策或行动计划，用于执行和监测可持续利用生物多样性以及维护和增强自然对人类的贡献，包括生态系统功能和服务的国家数目</w:t>
            </w:r>
          </w:p>
        </w:tc>
        <w:tc>
          <w:tcPr>
            <w:tcW w:w="2189" w:type="dxa"/>
            <w:shd w:val="clear" w:color="auto" w:fill="FFFFFF"/>
          </w:tcPr>
          <w:p w14:paraId="1AB94BF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B.1</w:t>
            </w:r>
            <w:r w:rsidRPr="000C0842">
              <w:rPr>
                <w:rFonts w:eastAsia="SimSun" w:hint="eastAsia"/>
                <w:kern w:val="2"/>
                <w:sz w:val="20"/>
                <w:szCs w:val="20"/>
                <w:lang w:val="en-GB"/>
              </w:rPr>
              <w:t>细分办法：</w:t>
            </w:r>
          </w:p>
          <w:p w14:paraId="51A44D7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rPr>
            </w:pPr>
            <w:r w:rsidRPr="000C0842">
              <w:rPr>
                <w:rFonts w:eastAsia="SimSun" w:hint="eastAsia"/>
                <w:kern w:val="2"/>
                <w:sz w:val="20"/>
                <w:szCs w:val="20"/>
              </w:rPr>
              <w:t>按生态系统服务类型细分</w:t>
            </w:r>
          </w:p>
          <w:p w14:paraId="273DEA43"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r w:rsidRPr="000C0842">
              <w:rPr>
                <w:rFonts w:eastAsia="SimSun" w:hint="eastAsia"/>
                <w:kern w:val="2"/>
                <w:sz w:val="20"/>
                <w:szCs w:val="20"/>
              </w:rPr>
              <w:t>按</w:t>
            </w:r>
            <w:r w:rsidRPr="000C0842">
              <w:rPr>
                <w:rFonts w:eastAsia="SimSun" w:hint="eastAsia"/>
                <w:iCs/>
                <w:kern w:val="2"/>
                <w:sz w:val="20"/>
                <w:szCs w:val="20"/>
              </w:rPr>
              <w:t>按领域、生物群系和生态系统功能群（全球生态系统类型学的第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级或同等级别）细分</w:t>
            </w:r>
          </w:p>
          <w:p w14:paraId="0D50E01D"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r w:rsidRPr="000C0842">
              <w:rPr>
                <w:rFonts w:eastAsia="SimSun" w:hint="eastAsia"/>
                <w:iCs/>
                <w:kern w:val="2"/>
                <w:sz w:val="20"/>
                <w:szCs w:val="20"/>
              </w:rPr>
              <w:t>按土著和传统领地细分</w:t>
            </w:r>
          </w:p>
          <w:p w14:paraId="72B26EDB"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p>
          <w:p w14:paraId="4253BBD9"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p>
          <w:p w14:paraId="215A4A14"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p>
          <w:p w14:paraId="1FD8975E"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rPr>
            </w:pPr>
          </w:p>
          <w:p w14:paraId="5333AA2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iCs/>
                <w:kern w:val="2"/>
                <w:sz w:val="20"/>
                <w:szCs w:val="20"/>
              </w:rPr>
              <w:t>n/a</w:t>
            </w:r>
          </w:p>
          <w:p w14:paraId="0014163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1DA58A6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sz w:val="20"/>
                <w:szCs w:val="20"/>
                <w:lang w:val="en-GB"/>
              </w:rPr>
            </w:pPr>
            <w:r w:rsidRPr="000C0842">
              <w:rPr>
                <w:rFonts w:eastAsia="SimSun"/>
                <w:sz w:val="20"/>
                <w:szCs w:val="20"/>
                <w:lang w:val="en-GB"/>
              </w:rPr>
              <w:t>B.CT.</w:t>
            </w:r>
            <w:r w:rsidRPr="000C0842">
              <w:rPr>
                <w:rFonts w:eastAsia="SimSun" w:hint="eastAsia"/>
                <w:sz w:val="20"/>
                <w:szCs w:val="20"/>
                <w:lang w:val="en-GB"/>
              </w:rPr>
              <w:t>1</w:t>
            </w:r>
            <w:r w:rsidRPr="000C0842">
              <w:rPr>
                <w:rFonts w:eastAsia="SimSun" w:hint="eastAsia"/>
                <w:sz w:val="20"/>
                <w:szCs w:val="20"/>
                <w:lang w:val="en-GB"/>
              </w:rPr>
              <w:t>已利用物种红色名录指数</w:t>
            </w:r>
            <w:r w:rsidRPr="000C0842">
              <w:rPr>
                <w:rFonts w:eastAsia="SimSun"/>
                <w:sz w:val="20"/>
                <w:szCs w:val="20"/>
                <w:lang w:val="en-GB"/>
              </w:rPr>
              <w:t xml:space="preserve"> </w:t>
            </w:r>
          </w:p>
          <w:p w14:paraId="72BBA1B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sz w:val="20"/>
                <w:szCs w:val="20"/>
                <w:lang w:val="en-GB"/>
              </w:rPr>
            </w:pPr>
            <w:r w:rsidRPr="000C0842">
              <w:rPr>
                <w:rFonts w:eastAsia="SimSun"/>
                <w:sz w:val="20"/>
                <w:szCs w:val="20"/>
                <w:lang w:val="en-GB"/>
              </w:rPr>
              <w:t>B.CT.</w:t>
            </w:r>
            <w:r w:rsidRPr="000C0842">
              <w:rPr>
                <w:rFonts w:eastAsia="SimSun" w:hint="eastAsia"/>
                <w:sz w:val="20"/>
                <w:szCs w:val="20"/>
                <w:lang w:val="en-GB"/>
              </w:rPr>
              <w:t>2</w:t>
            </w:r>
            <w:r w:rsidRPr="000C0842">
              <w:rPr>
                <w:rFonts w:eastAsia="SimSun" w:hint="eastAsia"/>
                <w:sz w:val="20"/>
                <w:szCs w:val="20"/>
                <w:lang w:val="en-GB"/>
              </w:rPr>
              <w:t>已利用物种地球生命力指数</w:t>
            </w:r>
          </w:p>
          <w:p w14:paraId="2338644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sz w:val="20"/>
                <w:szCs w:val="20"/>
                <w:lang w:val="en-GB"/>
              </w:rPr>
              <w:t>B.CT.</w:t>
            </w:r>
            <w:r w:rsidRPr="000C0842">
              <w:rPr>
                <w:rFonts w:eastAsia="SimSun" w:hint="eastAsia"/>
                <w:sz w:val="20"/>
                <w:szCs w:val="20"/>
                <w:lang w:val="en-GB"/>
              </w:rPr>
              <w:t xml:space="preserve">3 </w:t>
            </w:r>
            <w:r w:rsidRPr="000C0842">
              <w:rPr>
                <w:rFonts w:eastAsia="SimSun" w:hint="eastAsia"/>
                <w:sz w:val="20"/>
                <w:szCs w:val="20"/>
                <w:lang w:val="en-GB"/>
              </w:rPr>
              <w:t>用货币单位表示的生态系统服务总值</w:t>
            </w:r>
            <w:r w:rsidRPr="000C0842">
              <w:rPr>
                <w:rFonts w:eastAsia="SimSun"/>
                <w:kern w:val="2"/>
                <w:sz w:val="20"/>
                <w:szCs w:val="20"/>
              </w:rPr>
              <w:t xml:space="preserve">  </w:t>
            </w:r>
          </w:p>
        </w:tc>
        <w:tc>
          <w:tcPr>
            <w:tcW w:w="3114" w:type="dxa"/>
            <w:shd w:val="clear" w:color="auto" w:fill="FFFFFF"/>
          </w:tcPr>
          <w:p w14:paraId="456B5CB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 xml:space="preserve">16.CT.3 </w:t>
            </w:r>
            <w:r w:rsidRPr="000C0842">
              <w:rPr>
                <w:rFonts w:ascii="SimSun" w:eastAsia="SimSun" w:hAnsi="SimSun" w:cs="SimSun" w:hint="eastAsia"/>
                <w:kern w:val="2"/>
                <w:sz w:val="20"/>
                <w:szCs w:val="20"/>
              </w:rPr>
              <w:t>生态足迹</w:t>
            </w:r>
          </w:p>
          <w:p w14:paraId="42D1CF4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B</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红色名录指数（授粉物种）</w:t>
            </w:r>
            <w:r w:rsidRPr="000C0842">
              <w:rPr>
                <w:rFonts w:eastAsia="SimSun"/>
                <w:kern w:val="2"/>
                <w:sz w:val="20"/>
                <w:szCs w:val="20"/>
              </w:rPr>
              <w:t xml:space="preserve"> </w:t>
            </w:r>
          </w:p>
          <w:p w14:paraId="060979A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4</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物种的绿色状态</w:t>
            </w:r>
            <w:r w:rsidRPr="000C0842">
              <w:rPr>
                <w:rFonts w:eastAsia="SimSun"/>
                <w:kern w:val="2"/>
                <w:sz w:val="20"/>
                <w:szCs w:val="20"/>
              </w:rPr>
              <w:t xml:space="preserve"> </w:t>
            </w:r>
          </w:p>
          <w:p w14:paraId="348C277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11</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用水紧张程度：淡水汲取量占可用淡水资源的比例</w:t>
            </w:r>
          </w:p>
          <w:p w14:paraId="7FD23A5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11</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环境水质良好的水体所占比例</w:t>
            </w:r>
          </w:p>
          <w:p w14:paraId="3F1449EF" w14:textId="19F550D5"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B</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林业生产与贸易</w:t>
            </w:r>
            <w:r w:rsidR="00997EE8" w:rsidRPr="000C0842">
              <w:rPr>
                <w:rFonts w:eastAsia="SimSun" w:hint="eastAsia"/>
                <w:kern w:val="2"/>
                <w:sz w:val="20"/>
                <w:szCs w:val="20"/>
              </w:rPr>
              <w:t>（</w:t>
            </w:r>
            <w:r w:rsidRPr="000C0842">
              <w:rPr>
                <w:rFonts w:ascii="SimSun" w:eastAsia="SimSun" w:hAnsi="SimSun" w:cs="SimSun" w:hint="eastAsia"/>
                <w:kern w:val="2"/>
                <w:sz w:val="20"/>
                <w:szCs w:val="20"/>
              </w:rPr>
              <w:t>木材燃料</w:t>
            </w:r>
            <w:r w:rsidR="00997EE8" w:rsidRPr="000C0842">
              <w:rPr>
                <w:rFonts w:eastAsia="SimSun" w:hint="eastAsia"/>
                <w:kern w:val="2"/>
                <w:sz w:val="20"/>
                <w:szCs w:val="20"/>
              </w:rPr>
              <w:t>）</w:t>
            </w:r>
          </w:p>
          <w:p w14:paraId="0865304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21</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语言多样性指数</w:t>
            </w:r>
            <w:r w:rsidRPr="000C0842">
              <w:rPr>
                <w:rFonts w:eastAsia="SimSun"/>
                <w:kern w:val="2"/>
                <w:sz w:val="20"/>
                <w:szCs w:val="20"/>
              </w:rPr>
              <w:t xml:space="preserve"> </w:t>
            </w:r>
          </w:p>
          <w:p w14:paraId="2CF95D6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B</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联合国教育、科学及文化组织2030年文化指标</w:t>
            </w:r>
            <w:r w:rsidRPr="000C0842">
              <w:rPr>
                <w:rFonts w:eastAsia="SimSun"/>
                <w:kern w:val="2"/>
                <w:sz w:val="20"/>
                <w:szCs w:val="20"/>
                <w:u w:val="single"/>
              </w:rPr>
              <w:t xml:space="preserve"> </w:t>
            </w:r>
          </w:p>
          <w:p w14:paraId="7580CA7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lang w:val="en-GB"/>
              </w:rPr>
            </w:pPr>
          </w:p>
        </w:tc>
      </w:tr>
      <w:tr w:rsidR="000C0842" w:rsidRPr="000C0842" w14:paraId="404C5101" w14:textId="77777777" w:rsidTr="001F32B3">
        <w:tc>
          <w:tcPr>
            <w:tcW w:w="759" w:type="dxa"/>
            <w:shd w:val="clear" w:color="auto" w:fill="FFFFFF"/>
          </w:tcPr>
          <w:p w14:paraId="20645971"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C</w:t>
            </w:r>
          </w:p>
        </w:tc>
        <w:tc>
          <w:tcPr>
            <w:tcW w:w="1287" w:type="dxa"/>
            <w:shd w:val="clear" w:color="auto" w:fill="FFFFFF"/>
          </w:tcPr>
          <w:p w14:paraId="44C804A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C.1 </w:t>
            </w:r>
            <w:r w:rsidRPr="000C0842">
              <w:rPr>
                <w:rFonts w:eastAsia="SimSun" w:hint="eastAsia"/>
                <w:kern w:val="2"/>
                <w:sz w:val="20"/>
                <w:szCs w:val="20"/>
                <w:lang w:val="en-GB"/>
              </w:rPr>
              <w:t>根据适用的国际商定获取和惠益分享文书收取的货币惠益</w:t>
            </w:r>
          </w:p>
          <w:p w14:paraId="4866D11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2B6FF3B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C.2 </w:t>
            </w:r>
            <w:r w:rsidRPr="000C0842">
              <w:rPr>
                <w:rFonts w:eastAsia="SimSun" w:hint="eastAsia"/>
                <w:kern w:val="2"/>
                <w:sz w:val="20"/>
                <w:szCs w:val="20"/>
                <w:lang w:val="en-GB"/>
              </w:rPr>
              <w:t>适用的国际获取和惠益分享文书带来的非货币惠益</w:t>
            </w:r>
          </w:p>
          <w:p w14:paraId="00E65CBA"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vertAlign w:val="superscript"/>
                <w:lang w:val="en-GB"/>
              </w:rPr>
            </w:pPr>
            <w:r w:rsidRPr="000C0842">
              <w:rPr>
                <w:rFonts w:eastAsia="SimSun" w:hint="eastAsia"/>
                <w:kern w:val="2"/>
                <w:sz w:val="20"/>
                <w:szCs w:val="20"/>
                <w:lang w:val="en-GB"/>
              </w:rPr>
              <w:t>13</w:t>
            </w:r>
            <w:r w:rsidRPr="000C0842">
              <w:rPr>
                <w:rFonts w:eastAsia="SimSun"/>
                <w:kern w:val="2"/>
                <w:sz w:val="20"/>
                <w:szCs w:val="20"/>
                <w:lang w:val="en-GB"/>
              </w:rPr>
              <w:t>.b</w:t>
            </w:r>
            <w:r w:rsidRPr="000C0842">
              <w:rPr>
                <w:rFonts w:eastAsia="SimSun"/>
                <w:kern w:val="2"/>
                <w:sz w:val="20"/>
                <w:szCs w:val="20"/>
                <w:lang w:val="en-GB"/>
              </w:rPr>
              <w:t>酌情在各级采取有效的法律、政策、行政和能力建设措施，确保公正和公平分享利用遗传资源、遗传资源数字序列信息以及与遗传资源相关的传统知识所</w:t>
            </w:r>
            <w:r w:rsidRPr="000C0842">
              <w:rPr>
                <w:rFonts w:eastAsia="SimSun" w:hint="eastAsia"/>
                <w:kern w:val="2"/>
                <w:sz w:val="20"/>
                <w:szCs w:val="20"/>
                <w:lang w:val="en-GB"/>
              </w:rPr>
              <w:t>产生</w:t>
            </w:r>
            <w:r w:rsidRPr="000C0842">
              <w:rPr>
                <w:rFonts w:eastAsia="SimSun"/>
                <w:kern w:val="2"/>
                <w:sz w:val="20"/>
                <w:szCs w:val="20"/>
                <w:lang w:val="en-GB"/>
              </w:rPr>
              <w:t>惠益的国家数目</w:t>
            </w:r>
          </w:p>
        </w:tc>
        <w:tc>
          <w:tcPr>
            <w:tcW w:w="2189" w:type="dxa"/>
            <w:shd w:val="clear" w:color="auto" w:fill="FFFFFF"/>
          </w:tcPr>
          <w:p w14:paraId="207FEE7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C.1</w:t>
            </w:r>
            <w:r w:rsidRPr="000C0842">
              <w:rPr>
                <w:rFonts w:eastAsia="SimSun" w:hint="eastAsia"/>
                <w:kern w:val="2"/>
                <w:sz w:val="20"/>
                <w:szCs w:val="20"/>
                <w:lang w:val="en-GB"/>
              </w:rPr>
              <w:t>细分办法：</w:t>
            </w:r>
          </w:p>
          <w:p w14:paraId="66ECFD9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按土著人民和地方社区收取的货币惠益细分</w:t>
            </w:r>
          </w:p>
          <w:p w14:paraId="2CCA4AF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按相关获取和惠益分享文书细分</w:t>
            </w:r>
          </w:p>
          <w:p w14:paraId="67AA962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64E7D3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C.2</w:t>
            </w:r>
            <w:r w:rsidRPr="000C0842">
              <w:rPr>
                <w:rFonts w:eastAsia="SimSun" w:hint="eastAsia"/>
                <w:kern w:val="2"/>
                <w:sz w:val="20"/>
                <w:szCs w:val="20"/>
                <w:lang w:val="en-GB"/>
              </w:rPr>
              <w:t>细分办法：</w:t>
            </w:r>
          </w:p>
          <w:p w14:paraId="5C2702F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按非货币惠益的类型细分</w:t>
            </w:r>
          </w:p>
          <w:p w14:paraId="5FA9C95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按土著人民和地方社区收取的非货币惠益细分</w:t>
            </w:r>
          </w:p>
          <w:p w14:paraId="0F9D37D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按相关获取和惠益分享文书细分</w:t>
            </w:r>
          </w:p>
          <w:p w14:paraId="1D73FFE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062D4818"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123367E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C</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向指定检查点提供了与遗传资源利用有关的信息的使用者数目</w:t>
            </w:r>
          </w:p>
          <w:p w14:paraId="5926090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13</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在获取和惠益分享信息交换所发布的国际公认证书总数</w:t>
            </w:r>
          </w:p>
          <w:p w14:paraId="2335DC1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C</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在获取和惠益分享信息交换所发布的检查点公报数目</w:t>
            </w:r>
            <w:r w:rsidRPr="000C0842">
              <w:rPr>
                <w:rFonts w:eastAsia="SimSun"/>
                <w:kern w:val="2"/>
                <w:sz w:val="20"/>
                <w:szCs w:val="20"/>
              </w:rPr>
              <w:t xml:space="preserve"> </w:t>
            </w:r>
          </w:p>
          <w:p w14:paraId="64482F5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shd w:val="clear" w:color="auto" w:fill="FFFFFF"/>
              </w:rPr>
            </w:pPr>
            <w:r w:rsidRPr="000C0842">
              <w:rPr>
                <w:rFonts w:eastAsia="SimSun" w:hint="eastAsia"/>
                <w:sz w:val="20"/>
                <w:szCs w:val="20"/>
              </w:rPr>
              <w:t>C</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在获取和惠益分享信息交换所发布的非商业目的国际公认合规证书总数</w:t>
            </w:r>
          </w:p>
        </w:tc>
      </w:tr>
      <w:tr w:rsidR="000C0842" w:rsidRPr="000C0842" w14:paraId="00C4C94C" w14:textId="77777777" w:rsidTr="001F32B3">
        <w:tc>
          <w:tcPr>
            <w:tcW w:w="759" w:type="dxa"/>
            <w:shd w:val="clear" w:color="auto" w:fill="FFFFFF"/>
          </w:tcPr>
          <w:p w14:paraId="4ACC62A3"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D</w:t>
            </w:r>
          </w:p>
        </w:tc>
        <w:tc>
          <w:tcPr>
            <w:tcW w:w="1287" w:type="dxa"/>
            <w:shd w:val="clear" w:color="auto" w:fill="FFFFFF"/>
          </w:tcPr>
          <w:p w14:paraId="1DF0E7C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D.1</w:t>
            </w:r>
            <w:r w:rsidRPr="000C0842">
              <w:rPr>
                <w:rFonts w:eastAsia="SimSun" w:hint="eastAsia"/>
                <w:bCs/>
                <w:kern w:val="2"/>
                <w:sz w:val="20"/>
                <w:szCs w:val="20"/>
                <w:lang w:val="en-GB"/>
              </w:rPr>
              <w:t>用于保护和可持续利用生物多样性和生态系统的国际公共资金，包括官方发展援助</w:t>
            </w:r>
          </w:p>
          <w:p w14:paraId="3DF95C1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224FD10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D.2</w:t>
            </w:r>
            <w:r w:rsidRPr="000C0842">
              <w:rPr>
                <w:rFonts w:eastAsia="SimSun" w:hint="eastAsia"/>
                <w:bCs/>
                <w:kern w:val="2"/>
                <w:sz w:val="20"/>
                <w:szCs w:val="20"/>
                <w:lang w:val="en-GB"/>
              </w:rPr>
              <w:t>用于保护和可持续利用生物多样性和生态系统的国内公共资金</w:t>
            </w:r>
          </w:p>
          <w:p w14:paraId="6B12C31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9D4645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D.3</w:t>
            </w:r>
            <w:r w:rsidRPr="000C0842">
              <w:rPr>
                <w:rFonts w:eastAsia="SimSun" w:hint="eastAsia"/>
                <w:bCs/>
                <w:kern w:val="2"/>
                <w:sz w:val="20"/>
                <w:szCs w:val="20"/>
                <w:lang w:val="en-GB"/>
              </w:rPr>
              <w:t>用于保护和可持续利用生物多样性和生态系统的私人资金（国内和国际）</w:t>
            </w:r>
          </w:p>
        </w:tc>
        <w:tc>
          <w:tcPr>
            <w:tcW w:w="2189" w:type="dxa"/>
            <w:shd w:val="clear" w:color="auto" w:fill="FFFFFF"/>
          </w:tcPr>
          <w:p w14:paraId="741A1C9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D1</w:t>
            </w:r>
            <w:r w:rsidRPr="000C0842">
              <w:rPr>
                <w:rFonts w:eastAsia="SimSun" w:hint="eastAsia"/>
                <w:kern w:val="2"/>
                <w:sz w:val="20"/>
                <w:szCs w:val="20"/>
                <w:lang w:val="en-GB"/>
              </w:rPr>
              <w:t>和</w:t>
            </w:r>
            <w:r w:rsidRPr="000C0842">
              <w:rPr>
                <w:rFonts w:eastAsia="SimSun"/>
                <w:kern w:val="2"/>
                <w:sz w:val="20"/>
                <w:szCs w:val="20"/>
                <w:lang w:val="en-GB"/>
              </w:rPr>
              <w:t>D2</w:t>
            </w:r>
            <w:r w:rsidRPr="000C0842">
              <w:rPr>
                <w:rFonts w:eastAsia="SimSun" w:hint="eastAsia"/>
                <w:kern w:val="2"/>
                <w:sz w:val="20"/>
                <w:szCs w:val="20"/>
                <w:lang w:val="en-GB"/>
              </w:rPr>
              <w:t>细分办法：</w:t>
            </w:r>
          </w:p>
          <w:p w14:paraId="28C8D06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没有开列具体的细分</w:t>
            </w:r>
          </w:p>
          <w:p w14:paraId="3AEF2A8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043F383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085D42A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7CD3710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56A45B1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7A47155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40B575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2238F3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7938D65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483A06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D3</w:t>
            </w:r>
            <w:r w:rsidRPr="000C0842">
              <w:rPr>
                <w:rFonts w:eastAsia="SimSun" w:hint="eastAsia"/>
                <w:kern w:val="2"/>
                <w:sz w:val="20"/>
                <w:szCs w:val="20"/>
                <w:lang w:val="en-GB"/>
              </w:rPr>
              <w:t>细分办法：</w:t>
            </w:r>
          </w:p>
          <w:p w14:paraId="18AD25F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按资金来源细分</w:t>
            </w:r>
          </w:p>
          <w:p w14:paraId="45968EC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包括用于发展的国际私人慈善组织、官方发展融资筹集的私人生物多样性资金（分别适用双边和多边指标）、生物多样性补偿、生态系统服务付费、国内私人捐赠、私人惠益分享计划、其他工具，包括生物多样性相关债券（</w:t>
            </w:r>
            <w:r w:rsidRPr="000C0842">
              <w:rPr>
                <w:rFonts w:eastAsia="SimSun" w:hint="eastAsia"/>
                <w:kern w:val="2"/>
                <w:sz w:val="20"/>
                <w:szCs w:val="20"/>
                <w:lang w:val="en-GB"/>
              </w:rPr>
              <w:t xml:space="preserve"> </w:t>
            </w:r>
            <w:r w:rsidRPr="000C0842">
              <w:rPr>
                <w:rFonts w:eastAsia="SimSun" w:hint="eastAsia"/>
                <w:kern w:val="2"/>
                <w:sz w:val="20"/>
                <w:szCs w:val="20"/>
                <w:lang w:val="en-GB"/>
              </w:rPr>
              <w:t>影响力投资、信贷市场、保险产品）</w:t>
            </w:r>
          </w:p>
        </w:tc>
        <w:tc>
          <w:tcPr>
            <w:tcW w:w="2001" w:type="dxa"/>
            <w:shd w:val="clear" w:color="auto" w:fill="FFFFFF"/>
          </w:tcPr>
          <w:p w14:paraId="3BF079E1"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138083C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人口中的科研人员人数</w:t>
            </w:r>
          </w:p>
          <w:p w14:paraId="444D523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发表的联合科学论文数目（在海洋生物多样性信息系统</w:t>
            </w:r>
            <w:r w:rsidRPr="000C0842">
              <w:rPr>
                <w:rFonts w:eastAsia="SimSun"/>
                <w:kern w:val="2"/>
                <w:sz w:val="20"/>
                <w:szCs w:val="20"/>
              </w:rPr>
              <w:t>(OBIS)</w:t>
            </w:r>
            <w:r w:rsidRPr="000C0842">
              <w:rPr>
                <w:rFonts w:ascii="SimSun" w:eastAsia="SimSun" w:hAnsi="SimSun" w:cs="SimSun" w:hint="eastAsia"/>
                <w:kern w:val="2"/>
                <w:sz w:val="20"/>
                <w:szCs w:val="20"/>
              </w:rPr>
              <w:t>发表，按领域分列）</w:t>
            </w:r>
          </w:p>
          <w:p w14:paraId="65582D1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3</w:t>
            </w:r>
            <w:r w:rsidRPr="000C0842">
              <w:rPr>
                <w:rFonts w:ascii="SimSun" w:eastAsia="SimSun" w:hAnsi="SimSun" w:cs="SimSun" w:hint="eastAsia"/>
                <w:kern w:val="2"/>
                <w:sz w:val="20"/>
                <w:szCs w:val="20"/>
              </w:rPr>
              <w:t>海洋技术领域科研经费占总科研预算的比例</w:t>
            </w:r>
          </w:p>
          <w:p w14:paraId="02C7E4F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4</w:t>
            </w:r>
            <w:r w:rsidRPr="000C0842">
              <w:rPr>
                <w:rFonts w:ascii="SimSun" w:eastAsia="SimSun" w:hAnsi="SimSun" w:cs="SimSun" w:hint="eastAsia"/>
                <w:kern w:val="2"/>
                <w:sz w:val="20"/>
                <w:szCs w:val="20"/>
              </w:rPr>
              <w:t>奖学金官方发展援助数额，按部门和学习类型分列</w:t>
            </w:r>
          </w:p>
          <w:p w14:paraId="49A898D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5 </w:t>
            </w:r>
            <w:r w:rsidRPr="000C0842">
              <w:rPr>
                <w:rFonts w:ascii="SimSun" w:eastAsia="SimSun" w:hAnsi="SimSun" w:cs="SimSun" w:hint="eastAsia"/>
                <w:kern w:val="2"/>
                <w:sz w:val="20"/>
                <w:szCs w:val="20"/>
              </w:rPr>
              <w:t>全球信息和通信技术货物进口量，按类别分列</w:t>
            </w:r>
          </w:p>
          <w:p w14:paraId="63FD907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20</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1</w:t>
            </w:r>
            <w:r w:rsidRPr="000C0842">
              <w:rPr>
                <w:rFonts w:ascii="SimSun" w:eastAsia="SimSun" w:hAnsi="SimSun" w:cs="SimSun" w:hint="eastAsia"/>
                <w:kern w:val="2"/>
                <w:sz w:val="20"/>
                <w:szCs w:val="20"/>
              </w:rPr>
              <w:t>为促进开发、转让、传播和推广无害环境技术向发展中国家提供的资金总额</w:t>
            </w:r>
          </w:p>
          <w:p w14:paraId="119CBDF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6 </w:t>
            </w:r>
            <w:r w:rsidRPr="000C0842">
              <w:rPr>
                <w:rFonts w:ascii="SimSun" w:eastAsia="SimSun" w:hAnsi="SimSun" w:cs="SimSun" w:hint="eastAsia"/>
                <w:kern w:val="2"/>
                <w:sz w:val="20"/>
                <w:szCs w:val="20"/>
              </w:rPr>
              <w:t>在生物多样性相关活动中提供给土著人民和地方社区的国际资金</w:t>
            </w:r>
          </w:p>
          <w:p w14:paraId="45315DB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7 </w:t>
            </w:r>
            <w:r w:rsidRPr="000C0842">
              <w:rPr>
                <w:rFonts w:ascii="SimSun" w:eastAsia="SimSun" w:hAnsi="SimSun" w:cs="SimSun" w:hint="eastAsia"/>
                <w:kern w:val="2"/>
                <w:sz w:val="20"/>
                <w:szCs w:val="20"/>
              </w:rPr>
              <w:t>在生物多样性相关活动中提供给青年的国际资金</w:t>
            </w:r>
          </w:p>
          <w:p w14:paraId="11E40D6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8 </w:t>
            </w:r>
            <w:r w:rsidRPr="000C0842">
              <w:rPr>
                <w:rFonts w:ascii="SimSun" w:eastAsia="SimSun" w:hAnsi="SimSun" w:cs="SimSun" w:hint="eastAsia"/>
                <w:kern w:val="2"/>
                <w:sz w:val="20"/>
                <w:szCs w:val="20"/>
              </w:rPr>
              <w:t>在生物多样性相关活动中为性别平等和妇女权利政策目标提供的国际资金</w:t>
            </w:r>
          </w:p>
          <w:p w14:paraId="74E38B9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9 </w:t>
            </w:r>
            <w:r w:rsidRPr="000C0842">
              <w:rPr>
                <w:rFonts w:ascii="SimSun" w:eastAsia="SimSun" w:hAnsi="SimSun" w:cs="SimSun" w:hint="eastAsia"/>
                <w:kern w:val="2"/>
                <w:sz w:val="20"/>
                <w:szCs w:val="20"/>
              </w:rPr>
              <w:t>国家总预算中生物多样性年度预算的货币价值</w:t>
            </w:r>
          </w:p>
          <w:p w14:paraId="586F6298"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10 </w:t>
            </w:r>
            <w:r w:rsidRPr="000C0842">
              <w:rPr>
                <w:rFonts w:ascii="SimSun" w:eastAsia="SimSun" w:hAnsi="SimSun" w:cs="SimSun" w:hint="eastAsia"/>
                <w:kern w:val="2"/>
                <w:sz w:val="20"/>
                <w:szCs w:val="20"/>
              </w:rPr>
              <w:t>年度生物多样性支出占全国政府总预算的百分比</w:t>
            </w:r>
          </w:p>
          <w:p w14:paraId="44263E5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11 </w:t>
            </w:r>
            <w:r w:rsidRPr="000C0842">
              <w:rPr>
                <w:rFonts w:ascii="SimSun" w:eastAsia="SimSun" w:hAnsi="SimSun" w:cs="SimSun" w:hint="eastAsia"/>
                <w:kern w:val="2"/>
                <w:sz w:val="20"/>
                <w:szCs w:val="20"/>
              </w:rPr>
              <w:t>在生物多样性相关活动中提供给土著人民和地方社区的国内资金</w:t>
            </w:r>
          </w:p>
          <w:p w14:paraId="0A32FA6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12 </w:t>
            </w:r>
            <w:r w:rsidRPr="000C0842">
              <w:rPr>
                <w:rFonts w:ascii="SimSun" w:eastAsia="SimSun" w:hAnsi="SimSun" w:cs="SimSun" w:hint="eastAsia"/>
                <w:kern w:val="2"/>
                <w:sz w:val="20"/>
                <w:szCs w:val="20"/>
              </w:rPr>
              <w:t>在生物多样性相关活动中提供给青年的国内资金</w:t>
            </w:r>
          </w:p>
          <w:p w14:paraId="60BE31D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13 </w:t>
            </w:r>
            <w:r w:rsidRPr="000C0842">
              <w:rPr>
                <w:rFonts w:ascii="SimSun" w:eastAsia="SimSun" w:hAnsi="SimSun" w:cs="SimSun" w:hint="eastAsia"/>
                <w:kern w:val="2"/>
                <w:sz w:val="20"/>
                <w:szCs w:val="20"/>
              </w:rPr>
              <w:t>在生物多样性相关活动中为性别平等和妇女权利政策目标提供的的国内资金</w:t>
            </w:r>
          </w:p>
          <w:p w14:paraId="7B8AE3D0" w14:textId="77777777" w:rsidR="004C57B0" w:rsidRPr="000C0842" w:rsidRDefault="004C57B0" w:rsidP="004C57B0">
            <w:pPr>
              <w:tabs>
                <w:tab w:val="clear" w:pos="567"/>
                <w:tab w:val="clear" w:pos="1134"/>
                <w:tab w:val="clear" w:pos="1701"/>
                <w:tab w:val="clear" w:pos="2268"/>
              </w:tabs>
              <w:spacing w:before="60"/>
              <w:ind w:left="245" w:hanging="245"/>
              <w:jc w:val="left"/>
              <w:rPr>
                <w:rFonts w:ascii="SimSun" w:eastAsia="SimSun" w:cs="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14 </w:t>
            </w:r>
            <w:r w:rsidRPr="000C0842">
              <w:rPr>
                <w:rFonts w:ascii="SimSun" w:eastAsia="SimSun" w:hAnsi="SimSun" w:cs="SimSun" w:hint="eastAsia"/>
                <w:kern w:val="2"/>
                <w:sz w:val="20"/>
                <w:szCs w:val="20"/>
              </w:rPr>
              <w:t>在生物多样性相关活动中提供给土著人民和地方社区的私人资金</w:t>
            </w:r>
          </w:p>
          <w:p w14:paraId="1A52932F" w14:textId="77777777" w:rsidR="004C57B0" w:rsidRPr="000C0842" w:rsidRDefault="004C57B0" w:rsidP="004C57B0">
            <w:pPr>
              <w:tabs>
                <w:tab w:val="clear" w:pos="567"/>
                <w:tab w:val="clear" w:pos="1134"/>
                <w:tab w:val="clear" w:pos="1701"/>
                <w:tab w:val="clear" w:pos="2268"/>
              </w:tabs>
              <w:spacing w:before="60"/>
              <w:ind w:left="245" w:hanging="245"/>
              <w:jc w:val="left"/>
              <w:rPr>
                <w:rFonts w:ascii="SimSun" w:eastAsia="SimSun" w:cs="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15 </w:t>
            </w:r>
            <w:r w:rsidRPr="000C0842">
              <w:rPr>
                <w:rFonts w:ascii="SimSun" w:eastAsia="SimSun" w:hAnsi="SimSun" w:cs="SimSun" w:hint="eastAsia"/>
                <w:kern w:val="2"/>
                <w:sz w:val="20"/>
                <w:szCs w:val="20"/>
              </w:rPr>
              <w:t>在生物多样性相关活动中针对青年的私人资助</w:t>
            </w:r>
          </w:p>
          <w:p w14:paraId="6CE525D9" w14:textId="77777777" w:rsidR="004C57B0" w:rsidRPr="000C0842" w:rsidRDefault="004C57B0" w:rsidP="004C57B0">
            <w:pPr>
              <w:tabs>
                <w:tab w:val="clear" w:pos="567"/>
                <w:tab w:val="clear" w:pos="1134"/>
                <w:tab w:val="clear" w:pos="1701"/>
                <w:tab w:val="clear" w:pos="2268"/>
              </w:tabs>
              <w:spacing w:before="60"/>
              <w:ind w:left="245" w:hanging="245"/>
              <w:jc w:val="left"/>
              <w:rPr>
                <w:rFonts w:ascii="SimSun" w:eastAsia="SimSun" w:cs="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16 </w:t>
            </w:r>
            <w:r w:rsidRPr="000C0842">
              <w:rPr>
                <w:rFonts w:ascii="SimSun" w:eastAsia="SimSun" w:hAnsi="SimSun" w:cs="SimSun" w:hint="eastAsia"/>
                <w:kern w:val="2"/>
                <w:sz w:val="20"/>
                <w:szCs w:val="20"/>
              </w:rPr>
              <w:t>在生物多样性相关活动中为性别平等和妇女权利政策目标提供的私人资金</w:t>
            </w:r>
          </w:p>
          <w:p w14:paraId="2DE9E36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D</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17 </w:t>
            </w:r>
            <w:r w:rsidRPr="000C0842">
              <w:rPr>
                <w:rFonts w:ascii="SimSun" w:eastAsia="SimSun" w:hAnsi="SimSun" w:cs="SimSun" w:hint="eastAsia"/>
                <w:sz w:val="20"/>
                <w:szCs w:val="20"/>
              </w:rPr>
              <w:t>为土著人民和地方社区、妇女和青年筹集的私人资金</w:t>
            </w:r>
          </w:p>
        </w:tc>
      </w:tr>
      <w:tr w:rsidR="000C0842" w:rsidRPr="000C0842" w14:paraId="31EBA2FA" w14:textId="77777777" w:rsidTr="001F32B3">
        <w:tc>
          <w:tcPr>
            <w:tcW w:w="759" w:type="dxa"/>
            <w:shd w:val="clear" w:color="auto" w:fill="FFFFFF"/>
          </w:tcPr>
          <w:p w14:paraId="186B1FE9"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w:t>
            </w:r>
          </w:p>
        </w:tc>
        <w:tc>
          <w:tcPr>
            <w:tcW w:w="1287" w:type="dxa"/>
            <w:shd w:val="clear" w:color="auto" w:fill="FFFFFF"/>
          </w:tcPr>
          <w:p w14:paraId="60B3E31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A.1</w:t>
            </w:r>
            <w:r w:rsidRPr="000C0842">
              <w:rPr>
                <w:rFonts w:eastAsia="SimSun" w:hint="eastAsia"/>
                <w:kern w:val="2"/>
                <w:sz w:val="20"/>
                <w:szCs w:val="20"/>
                <w:lang w:val="en-GB"/>
              </w:rPr>
              <w:t>生态系统红色名录</w:t>
            </w:r>
          </w:p>
          <w:p w14:paraId="701AFC1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A.2</w:t>
            </w:r>
            <w:r w:rsidRPr="000C0842">
              <w:rPr>
                <w:rFonts w:eastAsia="SimSun" w:hint="eastAsia"/>
                <w:kern w:val="2"/>
                <w:sz w:val="20"/>
                <w:szCs w:val="20"/>
                <w:lang w:val="en-GB"/>
              </w:rPr>
              <w:t>自然生态系统范围</w:t>
            </w:r>
          </w:p>
          <w:p w14:paraId="56452E7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37150CE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1.1</w:t>
            </w:r>
            <w:r w:rsidRPr="000C0842">
              <w:rPr>
                <w:rFonts w:eastAsia="SimSun" w:hint="eastAsia"/>
                <w:kern w:val="2"/>
                <w:sz w:val="20"/>
                <w:szCs w:val="20"/>
                <w:lang w:val="en-GB"/>
              </w:rPr>
              <w:t>盖生物多样性的空间规划覆盖的陆地和海洋区域</w:t>
            </w:r>
            <w:r w:rsidRPr="000C0842">
              <w:rPr>
                <w:rFonts w:eastAsia="SimSun" w:hint="eastAsia"/>
                <w:kern w:val="2"/>
                <w:sz w:val="20"/>
                <w:szCs w:val="20"/>
              </w:rPr>
              <w:t>所占</w:t>
            </w:r>
            <w:r w:rsidRPr="000C0842">
              <w:rPr>
                <w:rFonts w:eastAsia="SimSun" w:hint="eastAsia"/>
                <w:kern w:val="2"/>
                <w:sz w:val="20"/>
                <w:szCs w:val="20"/>
                <w:lang w:val="en-GB"/>
              </w:rPr>
              <w:t>百分比</w:t>
            </w:r>
          </w:p>
          <w:p w14:paraId="3D9D138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E02BD17"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1.b</w:t>
            </w:r>
            <w:r w:rsidRPr="000C0842">
              <w:rPr>
                <w:rFonts w:eastAsia="SimSun" w:hint="eastAsia"/>
                <w:iCs/>
                <w:kern w:val="2"/>
                <w:sz w:val="20"/>
                <w:szCs w:val="20"/>
                <w:lang w:val="en-GB"/>
              </w:rPr>
              <w:t>为解决</w:t>
            </w:r>
            <w:r w:rsidRPr="000C0842">
              <w:rPr>
                <w:rFonts w:ascii="Segoe UI" w:eastAsia="SimSun" w:hAnsi="Segoe UI" w:cs="Segoe UI"/>
                <w:sz w:val="20"/>
                <w:szCs w:val="20"/>
              </w:rPr>
              <w:t>土地和海洋利用变化</w:t>
            </w:r>
            <w:r w:rsidRPr="000C0842">
              <w:rPr>
                <w:rFonts w:ascii="Segoe UI" w:eastAsia="SimSun" w:hAnsi="Segoe UI" w:cs="Segoe UI" w:hint="eastAsia"/>
                <w:sz w:val="20"/>
                <w:szCs w:val="20"/>
              </w:rPr>
              <w:t>而使用</w:t>
            </w:r>
            <w:r w:rsidRPr="000C0842">
              <w:rPr>
                <w:rFonts w:ascii="Segoe UI" w:eastAsia="SimSun" w:hAnsi="Segoe UI" w:cs="Segoe UI"/>
                <w:sz w:val="20"/>
                <w:szCs w:val="20"/>
              </w:rPr>
              <w:t>参与性、综合性、涵盖生物多样性的空间规划和</w:t>
            </w:r>
            <w:r w:rsidRPr="000C0842">
              <w:rPr>
                <w:rFonts w:ascii="Segoe UI" w:eastAsia="SimSun" w:hAnsi="Segoe UI" w:cs="Segoe UI"/>
                <w:sz w:val="20"/>
                <w:szCs w:val="20"/>
              </w:rPr>
              <w:t>/</w:t>
            </w:r>
            <w:r w:rsidRPr="000C0842">
              <w:rPr>
                <w:rFonts w:ascii="Segoe UI" w:eastAsia="SimSun" w:hAnsi="Segoe UI" w:cs="Segoe UI"/>
                <w:sz w:val="20"/>
                <w:szCs w:val="20"/>
              </w:rPr>
              <w:t>或其他有效管理进程</w:t>
            </w:r>
            <w:r w:rsidRPr="000C0842">
              <w:rPr>
                <w:rFonts w:ascii="Segoe UI" w:eastAsia="SimSun" w:hAnsi="Segoe UI" w:cs="Segoe UI" w:hint="eastAsia"/>
                <w:sz w:val="20"/>
                <w:szCs w:val="20"/>
              </w:rPr>
              <w:t>以便</w:t>
            </w:r>
            <w:r w:rsidRPr="000C0842">
              <w:rPr>
                <w:rFonts w:ascii="Segoe UI" w:eastAsia="SimSun" w:hAnsi="Segoe UI" w:cs="Segoe UI"/>
                <w:sz w:val="20"/>
                <w:szCs w:val="20"/>
              </w:rPr>
              <w:t>到</w:t>
            </w:r>
            <w:r w:rsidRPr="000C0842">
              <w:rPr>
                <w:rFonts w:ascii="Segoe UI" w:eastAsia="SimSun" w:hAnsi="Segoe UI" w:cs="Segoe UI"/>
                <w:sz w:val="20"/>
                <w:szCs w:val="20"/>
              </w:rPr>
              <w:t>2030</w:t>
            </w:r>
            <w:r w:rsidRPr="000C0842">
              <w:rPr>
                <w:rFonts w:ascii="Segoe UI" w:eastAsia="SimSun" w:hAnsi="Segoe UI" w:cs="Segoe UI"/>
                <w:sz w:val="20"/>
                <w:szCs w:val="20"/>
              </w:rPr>
              <w:t>年使具有高度生物多样性重要性的区域包括具有高度生态完整性的生态系统的丧失接近于零</w:t>
            </w:r>
            <w:r w:rsidRPr="000C0842">
              <w:rPr>
                <w:rFonts w:eastAsia="SimSun" w:hint="eastAsia"/>
                <w:iCs/>
                <w:kern w:val="2"/>
                <w:sz w:val="20"/>
                <w:szCs w:val="20"/>
                <w:lang w:val="en-GB"/>
              </w:rPr>
              <w:t>的国家数目</w:t>
            </w:r>
          </w:p>
        </w:tc>
        <w:tc>
          <w:tcPr>
            <w:tcW w:w="2189" w:type="dxa"/>
            <w:shd w:val="clear" w:color="auto" w:fill="FFFFFF"/>
          </w:tcPr>
          <w:p w14:paraId="5A1D0B2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hint="eastAsia"/>
                <w:kern w:val="2"/>
                <w:sz w:val="20"/>
                <w:szCs w:val="20"/>
                <w:lang w:val="en-GB"/>
              </w:rPr>
              <w:t>A1</w:t>
            </w:r>
            <w:r w:rsidRPr="000C0842">
              <w:rPr>
                <w:rFonts w:eastAsia="SimSun" w:hint="eastAsia"/>
                <w:kern w:val="2"/>
                <w:sz w:val="20"/>
                <w:szCs w:val="20"/>
                <w:lang w:val="en-GB"/>
              </w:rPr>
              <w:t>和</w:t>
            </w:r>
            <w:r w:rsidRPr="000C0842">
              <w:rPr>
                <w:rFonts w:eastAsia="SimSun" w:hint="eastAsia"/>
                <w:kern w:val="2"/>
                <w:sz w:val="20"/>
                <w:szCs w:val="20"/>
                <w:lang w:val="en-GB"/>
              </w:rPr>
              <w:t>A2</w:t>
            </w:r>
            <w:r w:rsidRPr="000C0842">
              <w:rPr>
                <w:rFonts w:eastAsia="SimSun" w:hint="eastAsia"/>
                <w:kern w:val="2"/>
                <w:sz w:val="20"/>
                <w:szCs w:val="20"/>
                <w:lang w:val="en-GB"/>
              </w:rPr>
              <w:t>的细分办法：</w:t>
            </w:r>
          </w:p>
          <w:p w14:paraId="27418AF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A</w:t>
            </w:r>
            <w:r w:rsidRPr="000C0842">
              <w:rPr>
                <w:rFonts w:eastAsia="SimSun" w:hint="eastAsia"/>
                <w:kern w:val="2"/>
                <w:sz w:val="20"/>
                <w:szCs w:val="20"/>
                <w:lang w:val="en-GB"/>
              </w:rPr>
              <w:t>下叙述（一些细分办法可能与特定的行动目标更为相关）</w:t>
            </w:r>
          </w:p>
          <w:p w14:paraId="187C2D1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6EDAE0F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hint="eastAsia"/>
                <w:kern w:val="2"/>
                <w:sz w:val="20"/>
                <w:szCs w:val="20"/>
                <w:lang w:val="en-GB"/>
              </w:rPr>
              <w:t>1.1</w:t>
            </w:r>
            <w:r w:rsidRPr="000C0842">
              <w:rPr>
                <w:rFonts w:eastAsia="SimSun" w:hint="eastAsia"/>
                <w:kern w:val="2"/>
                <w:sz w:val="20"/>
                <w:szCs w:val="20"/>
                <w:lang w:val="en-GB"/>
              </w:rPr>
              <w:t>的细分办法：</w:t>
            </w:r>
          </w:p>
          <w:p w14:paraId="5DF619A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当前没有提议任何元数据。</w:t>
            </w:r>
          </w:p>
        </w:tc>
        <w:tc>
          <w:tcPr>
            <w:tcW w:w="2001" w:type="dxa"/>
            <w:shd w:val="clear" w:color="auto" w:fill="FFFFFF"/>
          </w:tcPr>
          <w:p w14:paraId="45423FE1"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1999876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u w:val="single"/>
                <w:lang w:val="en-GB"/>
              </w:rPr>
            </w:pPr>
            <w:r w:rsidRPr="000C0842">
              <w:rPr>
                <w:rFonts w:eastAsia="SimSun" w:hint="eastAsia"/>
                <w:sz w:val="20"/>
                <w:szCs w:val="20"/>
              </w:rPr>
              <w:t>1</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定有水合作业务安排的跨界流域面积所占比例</w:t>
            </w:r>
          </w:p>
        </w:tc>
      </w:tr>
      <w:tr w:rsidR="000C0842" w:rsidRPr="000C0842" w14:paraId="4BA351E1" w14:textId="77777777" w:rsidTr="001F32B3">
        <w:tc>
          <w:tcPr>
            <w:tcW w:w="759" w:type="dxa"/>
            <w:shd w:val="clear" w:color="auto" w:fill="FFFFFF"/>
          </w:tcPr>
          <w:p w14:paraId="37D82BA2"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w:t>
            </w:r>
          </w:p>
        </w:tc>
        <w:tc>
          <w:tcPr>
            <w:tcW w:w="1287" w:type="dxa"/>
            <w:shd w:val="clear" w:color="auto" w:fill="FFFFFF"/>
          </w:tcPr>
          <w:p w14:paraId="7B0EC56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2.1 </w:t>
            </w:r>
            <w:r w:rsidRPr="000C0842">
              <w:rPr>
                <w:rFonts w:eastAsia="SimSun" w:hint="eastAsia"/>
                <w:kern w:val="2"/>
                <w:sz w:val="20"/>
                <w:szCs w:val="20"/>
                <w:lang w:val="en-GB"/>
              </w:rPr>
              <w:t>正在恢复的面积</w:t>
            </w:r>
            <w:r w:rsidRPr="000C0842">
              <w:rPr>
                <w:rFonts w:eastAsia="SimSun"/>
                <w:kern w:val="2"/>
                <w:sz w:val="20"/>
                <w:szCs w:val="20"/>
                <w:lang w:val="en-GB"/>
              </w:rPr>
              <w:t xml:space="preserve"> </w:t>
            </w:r>
          </w:p>
        </w:tc>
        <w:tc>
          <w:tcPr>
            <w:tcW w:w="2189" w:type="dxa"/>
            <w:shd w:val="clear" w:color="auto" w:fill="FFFFFF"/>
          </w:tcPr>
          <w:p w14:paraId="00B7312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按生态系统功能群</w:t>
            </w:r>
            <w:r w:rsidRPr="000C0842">
              <w:rPr>
                <w:rFonts w:eastAsia="SimSun" w:hint="eastAsia"/>
                <w:iCs/>
                <w:kern w:val="2"/>
                <w:sz w:val="20"/>
                <w:szCs w:val="20"/>
              </w:rPr>
              <w:t>（全球生态系统类型学的第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w:t>
            </w:r>
            <w:r w:rsidRPr="000C0842">
              <w:rPr>
                <w:rFonts w:eastAsia="SimSun" w:hint="eastAsia"/>
                <w:kern w:val="2"/>
                <w:sz w:val="20"/>
                <w:szCs w:val="20"/>
                <w:lang w:val="en-GB"/>
              </w:rPr>
              <w:t>细分</w:t>
            </w:r>
          </w:p>
          <w:p w14:paraId="0EE52BB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按土著和传统领地细分</w:t>
            </w:r>
          </w:p>
          <w:p w14:paraId="08C9D13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iCs/>
                <w:kern w:val="2"/>
                <w:sz w:val="20"/>
                <w:szCs w:val="20"/>
              </w:rPr>
              <w:t>按保护区或其他基于区域的有效保护措施细分</w:t>
            </w:r>
          </w:p>
          <w:p w14:paraId="416BD48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按恢复活动的类型细分</w:t>
            </w:r>
            <w:r w:rsidRPr="000C0842">
              <w:rPr>
                <w:rFonts w:eastAsia="SimSun"/>
                <w:kern w:val="2"/>
                <w:sz w:val="20"/>
                <w:szCs w:val="20"/>
                <w:lang w:val="en-GB"/>
              </w:rPr>
              <w:t xml:space="preserve"> </w:t>
            </w:r>
          </w:p>
        </w:tc>
        <w:tc>
          <w:tcPr>
            <w:tcW w:w="2001" w:type="dxa"/>
            <w:shd w:val="clear" w:color="auto" w:fill="FFFFFF"/>
          </w:tcPr>
          <w:p w14:paraId="60C5214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lang w:val="en-GB"/>
              </w:rPr>
            </w:pPr>
            <w:r w:rsidRPr="000C0842">
              <w:rPr>
                <w:rFonts w:eastAsia="SimSun" w:hint="eastAsia"/>
                <w:sz w:val="20"/>
                <w:szCs w:val="20"/>
              </w:rPr>
              <w:t>2</w:t>
            </w:r>
            <w:r w:rsidRPr="000C0842">
              <w:rPr>
                <w:rFonts w:eastAsia="SimSun"/>
                <w:sz w:val="20"/>
                <w:szCs w:val="20"/>
                <w:lang w:val="en-GB"/>
              </w:rPr>
              <w:t>.C</w:t>
            </w:r>
            <w:r w:rsidRPr="000C0842">
              <w:rPr>
                <w:rFonts w:eastAsia="SimSun" w:hint="eastAsia"/>
                <w:sz w:val="20"/>
                <w:szCs w:val="20"/>
                <w:lang w:val="en-GB"/>
              </w:rPr>
              <w:t>T</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sz w:val="20"/>
                <w:szCs w:val="20"/>
              </w:rPr>
              <w:t>退化土地占土地总面积的比例</w:t>
            </w:r>
          </w:p>
        </w:tc>
        <w:tc>
          <w:tcPr>
            <w:tcW w:w="3114" w:type="dxa"/>
            <w:shd w:val="clear" w:color="auto" w:fill="FFFFFF"/>
          </w:tcPr>
          <w:p w14:paraId="059BC93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2</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全球生态系统恢复指数</w:t>
            </w:r>
          </w:p>
          <w:p w14:paraId="4482091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2</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状况良好的关键生物多样性区域所占比例</w:t>
            </w:r>
            <w:r w:rsidRPr="000C0842">
              <w:rPr>
                <w:rFonts w:eastAsia="SimSun"/>
                <w:kern w:val="2"/>
                <w:sz w:val="20"/>
                <w:szCs w:val="20"/>
                <w:u w:val="single"/>
              </w:rPr>
              <w:t xml:space="preserve">  </w:t>
            </w:r>
          </w:p>
        </w:tc>
      </w:tr>
      <w:tr w:rsidR="000C0842" w:rsidRPr="000C0842" w14:paraId="7D95C568" w14:textId="77777777" w:rsidTr="001F32B3">
        <w:tc>
          <w:tcPr>
            <w:tcW w:w="759" w:type="dxa"/>
            <w:shd w:val="clear" w:color="auto" w:fill="FFFFFF"/>
          </w:tcPr>
          <w:p w14:paraId="53890A1E"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3</w:t>
            </w:r>
          </w:p>
        </w:tc>
        <w:tc>
          <w:tcPr>
            <w:tcW w:w="1287" w:type="dxa"/>
            <w:shd w:val="clear" w:color="auto" w:fill="FFFFFF"/>
          </w:tcPr>
          <w:p w14:paraId="4B55F18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3.1</w:t>
            </w:r>
            <w:r w:rsidRPr="000C0842">
              <w:rPr>
                <w:rFonts w:eastAsia="SimSun" w:hint="eastAsia"/>
                <w:kern w:val="2"/>
                <w:sz w:val="20"/>
                <w:szCs w:val="20"/>
                <w:lang w:val="en-GB"/>
              </w:rPr>
              <w:t>保护区和其他基于区域的有效保护措施的覆盖面</w:t>
            </w:r>
          </w:p>
        </w:tc>
        <w:tc>
          <w:tcPr>
            <w:tcW w:w="2189" w:type="dxa"/>
            <w:shd w:val="clear" w:color="auto" w:fill="FFFFFF"/>
          </w:tcPr>
          <w:p w14:paraId="3B1F663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按保护区</w:t>
            </w:r>
            <w:r w:rsidRPr="000C0842">
              <w:rPr>
                <w:rFonts w:eastAsia="SimSun"/>
                <w:kern w:val="2"/>
                <w:sz w:val="20"/>
                <w:szCs w:val="20"/>
                <w:lang w:val="en-GB"/>
              </w:rPr>
              <w:t>/</w:t>
            </w:r>
            <w:r w:rsidRPr="000C0842">
              <w:rPr>
                <w:rFonts w:eastAsia="SimSun" w:hint="eastAsia"/>
                <w:kern w:val="2"/>
                <w:sz w:val="20"/>
                <w:szCs w:val="20"/>
                <w:lang w:val="en-GB"/>
              </w:rPr>
              <w:t>其他基于区域的有效保护措施细分</w:t>
            </w:r>
            <w:r w:rsidRPr="000C0842">
              <w:rPr>
                <w:rFonts w:eastAsia="SimSun"/>
                <w:kern w:val="2"/>
                <w:sz w:val="20"/>
                <w:szCs w:val="20"/>
                <w:lang w:val="en-GB"/>
              </w:rPr>
              <w:t xml:space="preserve"> </w:t>
            </w:r>
          </w:p>
          <w:p w14:paraId="3EA213B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按领域、生物群系和生态系统功能群</w:t>
            </w:r>
            <w:r w:rsidRPr="000C0842">
              <w:rPr>
                <w:rFonts w:eastAsia="SimSun" w:hint="eastAsia"/>
                <w:iCs/>
                <w:kern w:val="2"/>
                <w:sz w:val="20"/>
                <w:szCs w:val="20"/>
              </w:rPr>
              <w:t>（全球生态系统类型学的第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级或同等级别）细分</w:t>
            </w:r>
          </w:p>
          <w:p w14:paraId="6ADB405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按对于生物多样性具有重要意义的地区细分</w:t>
            </w:r>
            <w:r w:rsidRPr="000C0842">
              <w:rPr>
                <w:rFonts w:eastAsia="SimSun"/>
                <w:kern w:val="2"/>
                <w:sz w:val="20"/>
                <w:szCs w:val="20"/>
                <w:lang w:val="en-GB"/>
              </w:rPr>
              <w:t xml:space="preserve"> </w:t>
            </w:r>
          </w:p>
          <w:p w14:paraId="7840939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按功效细分（保护区管理的功效）</w:t>
            </w:r>
          </w:p>
          <w:p w14:paraId="606BBC7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按治理类型细分</w:t>
            </w:r>
          </w:p>
          <w:p w14:paraId="202AC1C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按土著和传统领地细分</w:t>
            </w:r>
          </w:p>
        </w:tc>
        <w:tc>
          <w:tcPr>
            <w:tcW w:w="2001" w:type="dxa"/>
            <w:shd w:val="clear" w:color="auto" w:fill="FFFFFF"/>
          </w:tcPr>
          <w:p w14:paraId="2358DC3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sz w:val="20"/>
                <w:szCs w:val="20"/>
              </w:rPr>
            </w:pPr>
            <w:r w:rsidRPr="000C0842">
              <w:rPr>
                <w:rFonts w:eastAsia="SimSun" w:hint="eastAsia"/>
                <w:sz w:val="20"/>
                <w:szCs w:val="20"/>
              </w:rPr>
              <w:t>A</w:t>
            </w:r>
            <w:r w:rsidRPr="000C0842">
              <w:rPr>
                <w:rFonts w:eastAsia="SimSun"/>
                <w:sz w:val="20"/>
                <w:szCs w:val="20"/>
              </w:rPr>
              <w:t>.C</w:t>
            </w:r>
            <w:r w:rsidRPr="000C0842">
              <w:rPr>
                <w:rFonts w:eastAsia="SimSun" w:hint="eastAsia"/>
                <w:sz w:val="20"/>
                <w:szCs w:val="20"/>
              </w:rPr>
              <w:t>T</w:t>
            </w:r>
            <w:r w:rsidRPr="000C0842">
              <w:rPr>
                <w:rFonts w:eastAsia="SimSun"/>
                <w:sz w:val="20"/>
                <w:szCs w:val="20"/>
              </w:rPr>
              <w:t>.</w:t>
            </w:r>
            <w:r w:rsidRPr="000C0842">
              <w:rPr>
                <w:rFonts w:eastAsia="SimSun" w:hint="eastAsia"/>
                <w:sz w:val="20"/>
                <w:szCs w:val="20"/>
              </w:rPr>
              <w:t xml:space="preserve">6 </w:t>
            </w:r>
            <w:r w:rsidRPr="000C0842">
              <w:rPr>
                <w:rFonts w:eastAsia="SimSun" w:hint="eastAsia"/>
                <w:sz w:val="20"/>
                <w:szCs w:val="20"/>
              </w:rPr>
              <w:t>受保护的连通指数</w:t>
            </w:r>
          </w:p>
          <w:p w14:paraId="2305EE0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sz w:val="20"/>
                <w:szCs w:val="20"/>
              </w:rPr>
            </w:pPr>
            <w:r w:rsidRPr="000C0842">
              <w:rPr>
                <w:rFonts w:eastAsia="SimSun" w:hint="eastAsia"/>
                <w:sz w:val="20"/>
                <w:szCs w:val="20"/>
              </w:rPr>
              <w:t>3</w:t>
            </w:r>
            <w:r w:rsidRPr="000C0842">
              <w:rPr>
                <w:rFonts w:eastAsia="SimSun"/>
                <w:sz w:val="20"/>
                <w:szCs w:val="20"/>
              </w:rPr>
              <w:t>.C</w:t>
            </w:r>
            <w:r w:rsidRPr="000C0842">
              <w:rPr>
                <w:rFonts w:eastAsia="SimSun" w:hint="eastAsia"/>
                <w:sz w:val="20"/>
                <w:szCs w:val="20"/>
              </w:rPr>
              <w:t>T</w:t>
            </w:r>
            <w:r w:rsidRPr="000C0842">
              <w:rPr>
                <w:rFonts w:eastAsia="SimSun"/>
                <w:sz w:val="20"/>
                <w:szCs w:val="20"/>
              </w:rPr>
              <w:t>.</w:t>
            </w:r>
            <w:r w:rsidRPr="000C0842">
              <w:rPr>
                <w:rFonts w:eastAsia="SimSun" w:hint="eastAsia"/>
                <w:sz w:val="20"/>
                <w:szCs w:val="20"/>
              </w:rPr>
              <w:t xml:space="preserve">1 </w:t>
            </w:r>
            <w:r w:rsidRPr="000C0842">
              <w:rPr>
                <w:rFonts w:eastAsia="SimSun" w:hint="eastAsia"/>
                <w:sz w:val="20"/>
                <w:szCs w:val="20"/>
              </w:rPr>
              <w:t>保护区连通性指数</w:t>
            </w:r>
          </w:p>
          <w:p w14:paraId="358A0CB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sz w:val="20"/>
                <w:szCs w:val="20"/>
              </w:rPr>
            </w:pPr>
            <w:r w:rsidRPr="000C0842">
              <w:rPr>
                <w:rFonts w:eastAsia="SimSun" w:hint="eastAsia"/>
                <w:sz w:val="20"/>
                <w:szCs w:val="20"/>
              </w:rPr>
              <w:t>3</w:t>
            </w:r>
            <w:r w:rsidRPr="000C0842">
              <w:rPr>
                <w:rFonts w:eastAsia="SimSun"/>
                <w:sz w:val="20"/>
                <w:szCs w:val="20"/>
              </w:rPr>
              <w:t>.C</w:t>
            </w:r>
            <w:r w:rsidRPr="000C0842">
              <w:rPr>
                <w:rFonts w:eastAsia="SimSun" w:hint="eastAsia"/>
                <w:sz w:val="20"/>
                <w:szCs w:val="20"/>
              </w:rPr>
              <w:t>T</w:t>
            </w:r>
            <w:r w:rsidRPr="000C0842">
              <w:rPr>
                <w:rFonts w:eastAsia="SimSun"/>
                <w:sz w:val="20"/>
                <w:szCs w:val="20"/>
              </w:rPr>
              <w:t>.</w:t>
            </w:r>
            <w:r w:rsidRPr="000C0842">
              <w:rPr>
                <w:rFonts w:eastAsia="SimSun" w:hint="eastAsia"/>
                <w:sz w:val="20"/>
                <w:szCs w:val="20"/>
              </w:rPr>
              <w:t>2</w:t>
            </w:r>
            <w:r w:rsidRPr="000C0842">
              <w:rPr>
                <w:rFonts w:eastAsia="SimSun" w:hint="eastAsia"/>
                <w:sz w:val="20"/>
                <w:szCs w:val="20"/>
              </w:rPr>
              <w:t>物种保护指数</w:t>
            </w:r>
          </w:p>
          <w:p w14:paraId="0C159CF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3433B88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3114" w:type="dxa"/>
            <w:shd w:val="clear" w:color="auto" w:fill="FFFFFF"/>
          </w:tcPr>
          <w:p w14:paraId="3F3BC6A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3</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1 </w:t>
            </w:r>
            <w:r w:rsidRPr="000C0842">
              <w:rPr>
                <w:rFonts w:ascii="SimSun" w:eastAsia="SimSun" w:hAnsi="SimSun" w:cs="SimSun" w:hint="eastAsia"/>
                <w:kern w:val="2"/>
                <w:sz w:val="20"/>
                <w:szCs w:val="20"/>
              </w:rPr>
              <w:t>保护区降级、缩小和取消事件发生率</w:t>
            </w:r>
          </w:p>
          <w:p w14:paraId="733FB3F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3</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2</w:t>
            </w:r>
            <w:r w:rsidRPr="000C0842">
              <w:rPr>
                <w:rFonts w:ascii="SimSun" w:eastAsia="SimSun" w:hAnsi="SimSun" w:cs="SimSun" w:hint="eastAsia"/>
                <w:kern w:val="2"/>
                <w:sz w:val="20"/>
                <w:szCs w:val="20"/>
              </w:rPr>
              <w:t>国际自然保护联盟保护区和养护区标准绿色名录</w:t>
            </w:r>
            <w:r w:rsidRPr="000C0842">
              <w:rPr>
                <w:rFonts w:eastAsia="SimSun"/>
                <w:kern w:val="2"/>
                <w:sz w:val="20"/>
                <w:szCs w:val="20"/>
              </w:rPr>
              <w:t xml:space="preserve"> </w:t>
            </w:r>
          </w:p>
          <w:p w14:paraId="6DE76A9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2</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2 </w:t>
            </w:r>
            <w:r w:rsidRPr="000C0842">
              <w:rPr>
                <w:rFonts w:ascii="SimSun" w:eastAsia="SimSun" w:hAnsi="SimSun" w:cs="SimSun" w:hint="eastAsia"/>
                <w:kern w:val="2"/>
                <w:sz w:val="20"/>
                <w:szCs w:val="20"/>
              </w:rPr>
              <w:t>状况良好的关键生物多样性地区所占比例</w:t>
            </w:r>
            <w:r w:rsidRPr="000C0842">
              <w:rPr>
                <w:rFonts w:eastAsia="SimSun"/>
                <w:kern w:val="2"/>
                <w:sz w:val="20"/>
                <w:szCs w:val="20"/>
              </w:rPr>
              <w:t xml:space="preserve">  </w:t>
            </w:r>
          </w:p>
          <w:p w14:paraId="61F0D95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3</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3 </w:t>
            </w:r>
            <w:r w:rsidRPr="000C0842">
              <w:rPr>
                <w:rFonts w:ascii="SimSun" w:eastAsia="SimSun" w:hAnsi="SimSun" w:cs="SimSun" w:hint="eastAsia"/>
                <w:kern w:val="2"/>
                <w:sz w:val="20"/>
                <w:szCs w:val="20"/>
              </w:rPr>
              <w:t>保护区隔离指数</w:t>
            </w:r>
            <w:r w:rsidRPr="000C0842">
              <w:rPr>
                <w:rFonts w:eastAsia="SimSun"/>
                <w:kern w:val="2"/>
                <w:sz w:val="20"/>
                <w:szCs w:val="20"/>
              </w:rPr>
              <w:t xml:space="preserve"> </w:t>
            </w:r>
          </w:p>
          <w:p w14:paraId="6FCE477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3</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4 </w:t>
            </w:r>
            <w:r w:rsidRPr="000C0842">
              <w:rPr>
                <w:rFonts w:ascii="SimSun" w:eastAsia="SimSun" w:hAnsi="SimSun" w:cs="SimSun" w:hint="eastAsia"/>
                <w:kern w:val="2"/>
                <w:sz w:val="20"/>
                <w:szCs w:val="20"/>
              </w:rPr>
              <w:t>保护区网络指标</w:t>
            </w:r>
          </w:p>
          <w:p w14:paraId="5798021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rPr>
              <w:t>3</w:t>
            </w:r>
            <w:r w:rsidRPr="000C0842">
              <w:rPr>
                <w:rFonts w:eastAsia="SimSun"/>
                <w:sz w:val="20"/>
                <w:szCs w:val="20"/>
                <w:lang w:val="en-GB"/>
              </w:rPr>
              <w:t>.C</w:t>
            </w:r>
            <w:r w:rsidRPr="000C0842">
              <w:rPr>
                <w:rFonts w:eastAsia="SimSun" w:hint="eastAsia"/>
                <w:sz w:val="20"/>
                <w:szCs w:val="20"/>
                <w:lang w:val="en-GB"/>
              </w:rPr>
              <w:t>Y</w:t>
            </w:r>
            <w:r w:rsidRPr="000C0842">
              <w:rPr>
                <w:rFonts w:eastAsia="SimSun"/>
                <w:sz w:val="20"/>
                <w:szCs w:val="20"/>
                <w:lang w:val="en-GB"/>
              </w:rPr>
              <w:t>.</w:t>
            </w:r>
            <w:r w:rsidRPr="000C0842">
              <w:rPr>
                <w:rFonts w:eastAsia="SimSun" w:hint="eastAsia"/>
                <w:sz w:val="20"/>
                <w:szCs w:val="20"/>
                <w:lang w:val="en-GB"/>
              </w:rPr>
              <w:t xml:space="preserve">5 </w:t>
            </w:r>
            <w:r w:rsidRPr="000C0842">
              <w:rPr>
                <w:rFonts w:ascii="SimSun" w:eastAsia="SimSun" w:hAnsi="SimSun" w:cs="SimSun" w:hint="eastAsia"/>
                <w:kern w:val="2"/>
                <w:sz w:val="20"/>
                <w:szCs w:val="20"/>
              </w:rPr>
              <w:t>完成实地一级治理和公平性评估的保护区数目</w:t>
            </w:r>
          </w:p>
        </w:tc>
      </w:tr>
      <w:tr w:rsidR="000C0842" w:rsidRPr="000C0842" w14:paraId="49EB11DE" w14:textId="77777777" w:rsidTr="001F32B3">
        <w:tc>
          <w:tcPr>
            <w:tcW w:w="759" w:type="dxa"/>
            <w:shd w:val="clear" w:color="auto" w:fill="FFFFFF"/>
          </w:tcPr>
          <w:p w14:paraId="75C333CB"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4</w:t>
            </w:r>
          </w:p>
        </w:tc>
        <w:tc>
          <w:tcPr>
            <w:tcW w:w="1287" w:type="dxa"/>
            <w:shd w:val="clear" w:color="auto" w:fill="FFFFFF"/>
          </w:tcPr>
          <w:p w14:paraId="5CA6ED4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A.3 </w:t>
            </w:r>
            <w:r w:rsidRPr="000C0842">
              <w:rPr>
                <w:rFonts w:eastAsia="SimSun" w:hint="eastAsia"/>
                <w:kern w:val="2"/>
                <w:sz w:val="20"/>
                <w:szCs w:val="20"/>
                <w:lang w:val="en-GB"/>
              </w:rPr>
              <w:t>红色名录指数</w:t>
            </w:r>
          </w:p>
          <w:p w14:paraId="0AE8AFD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A.4</w:t>
            </w:r>
            <w:r w:rsidRPr="000C0842">
              <w:rPr>
                <w:rFonts w:eastAsia="SimSun" w:hint="eastAsia"/>
                <w:kern w:val="2"/>
                <w:sz w:val="20"/>
                <w:szCs w:val="20"/>
                <w:lang w:val="en-GB"/>
              </w:rPr>
              <w:t>物种内遗传有效种群规模大于</w:t>
            </w:r>
            <w:r w:rsidRPr="000C0842">
              <w:rPr>
                <w:rFonts w:eastAsia="SimSun"/>
                <w:kern w:val="2"/>
                <w:sz w:val="20"/>
                <w:szCs w:val="20"/>
                <w:lang w:val="en-GB"/>
              </w:rPr>
              <w:t xml:space="preserve"> 500</w:t>
            </w:r>
            <w:r w:rsidRPr="000C0842">
              <w:rPr>
                <w:rFonts w:eastAsia="SimSun" w:hint="eastAsia"/>
                <w:kern w:val="2"/>
                <w:sz w:val="20"/>
                <w:szCs w:val="20"/>
                <w:lang w:val="en-GB"/>
              </w:rPr>
              <w:t>的种群所占比例</w:t>
            </w:r>
          </w:p>
        </w:tc>
        <w:tc>
          <w:tcPr>
            <w:tcW w:w="2189" w:type="dxa"/>
            <w:shd w:val="clear" w:color="auto" w:fill="FFFFFF"/>
          </w:tcPr>
          <w:p w14:paraId="1BAF24D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hint="eastAsia"/>
                <w:kern w:val="2"/>
                <w:sz w:val="20"/>
                <w:szCs w:val="20"/>
                <w:lang w:val="en-GB"/>
              </w:rPr>
              <w:t>A.3</w:t>
            </w:r>
            <w:r w:rsidRPr="000C0842">
              <w:rPr>
                <w:rFonts w:eastAsia="SimSun" w:hint="eastAsia"/>
                <w:kern w:val="2"/>
                <w:sz w:val="20"/>
                <w:szCs w:val="20"/>
                <w:lang w:val="en-GB"/>
              </w:rPr>
              <w:t>和</w:t>
            </w:r>
            <w:r w:rsidRPr="000C0842">
              <w:rPr>
                <w:rFonts w:eastAsia="SimSun" w:hint="eastAsia"/>
                <w:kern w:val="2"/>
                <w:sz w:val="20"/>
                <w:szCs w:val="20"/>
                <w:lang w:val="en-GB"/>
              </w:rPr>
              <w:t>A.4</w:t>
            </w:r>
            <w:r w:rsidRPr="000C0842">
              <w:rPr>
                <w:rFonts w:eastAsia="SimSun" w:hint="eastAsia"/>
                <w:kern w:val="2"/>
                <w:sz w:val="20"/>
                <w:szCs w:val="20"/>
                <w:lang w:val="en-GB"/>
              </w:rPr>
              <w:t>的细分办法：</w:t>
            </w:r>
          </w:p>
          <w:p w14:paraId="29256CD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A</w:t>
            </w:r>
            <w:r w:rsidRPr="000C0842">
              <w:rPr>
                <w:rFonts w:eastAsia="SimSun" w:hint="eastAsia"/>
                <w:kern w:val="2"/>
                <w:sz w:val="20"/>
                <w:szCs w:val="20"/>
                <w:lang w:val="en-GB"/>
              </w:rPr>
              <w:t>下叙述（一些细分办法可能与特定的行动目标更为相关）</w:t>
            </w:r>
          </w:p>
          <w:p w14:paraId="1BCCCC3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AC44E7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7802692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A</w:t>
            </w:r>
            <w:r w:rsidRPr="000C0842">
              <w:rPr>
                <w:rFonts w:eastAsia="SimSun"/>
              </w:rPr>
              <w:t>.CT.</w:t>
            </w:r>
            <w:r w:rsidRPr="000C0842">
              <w:rPr>
                <w:rFonts w:eastAsia="SimSun" w:hint="eastAsia"/>
              </w:rPr>
              <w:t xml:space="preserve">10 </w:t>
            </w:r>
            <w:r w:rsidRPr="000C0842">
              <w:rPr>
                <w:rFonts w:ascii="SimSun" w:eastAsia="SimSun" w:hAnsi="SimSun" w:cs="SimSun" w:hint="eastAsia"/>
                <w:kern w:val="2"/>
                <w:sz w:val="20"/>
                <w:szCs w:val="20"/>
              </w:rPr>
              <w:t>地球生命力指数</w:t>
            </w:r>
          </w:p>
          <w:p w14:paraId="0F88825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.CT.</w:t>
            </w:r>
            <w:r w:rsidRPr="000C0842">
              <w:rPr>
                <w:rFonts w:eastAsia="SimSun" w:hint="eastAsia"/>
              </w:rPr>
              <w:t xml:space="preserve">1 </w:t>
            </w:r>
            <w:r w:rsidRPr="000C0842">
              <w:rPr>
                <w:rFonts w:ascii="SimSun" w:eastAsia="SimSun" w:hAnsi="SimSun" w:cs="SimSun" w:hint="eastAsia"/>
                <w:kern w:val="2"/>
                <w:sz w:val="20"/>
                <w:szCs w:val="20"/>
              </w:rPr>
              <w:t>中期或长期养护设施所保存的粮食和农业(a)动物和(b)植物遗传资源的数量</w:t>
            </w:r>
          </w:p>
          <w:p w14:paraId="02FD0B9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.CT.</w:t>
            </w:r>
            <w:r w:rsidRPr="000C0842">
              <w:rPr>
                <w:rFonts w:eastAsia="SimSun" w:hint="eastAsia"/>
              </w:rPr>
              <w:t xml:space="preserve">2 </w:t>
            </w:r>
            <w:r w:rsidRPr="000C0842">
              <w:rPr>
                <w:rFonts w:ascii="SimSun" w:eastAsia="SimSun" w:hAnsi="SimSun" w:cs="SimSun" w:hint="eastAsia"/>
                <w:kern w:val="2"/>
                <w:sz w:val="20"/>
                <w:szCs w:val="20"/>
              </w:rPr>
              <w:t>物种绿色现状指数</w:t>
            </w:r>
            <w:r w:rsidRPr="000C0842">
              <w:rPr>
                <w:rFonts w:eastAsia="SimSun"/>
                <w:kern w:val="2"/>
                <w:sz w:val="20"/>
                <w:szCs w:val="20"/>
              </w:rPr>
              <w:t xml:space="preserve"> </w:t>
            </w:r>
          </w:p>
          <w:p w14:paraId="40B34ED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.CT.</w:t>
            </w:r>
            <w:r w:rsidRPr="000C0842">
              <w:rPr>
                <w:rFonts w:eastAsia="SimSun" w:hint="eastAsia"/>
              </w:rPr>
              <w:t xml:space="preserve">3 </w:t>
            </w:r>
            <w:r w:rsidRPr="000C0842">
              <w:rPr>
                <w:rFonts w:ascii="SimSun" w:eastAsia="SimSun" w:hAnsi="SimSun" w:cs="SimSun" w:hint="eastAsia"/>
                <w:kern w:val="2"/>
                <w:sz w:val="20"/>
                <w:szCs w:val="20"/>
              </w:rPr>
              <w:t>人类与野生生物冲突指标</w:t>
            </w:r>
          </w:p>
          <w:p w14:paraId="39E56368"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.CT.</w:t>
            </w:r>
            <w:r w:rsidRPr="000C0842">
              <w:rPr>
                <w:rFonts w:eastAsia="SimSun" w:hint="eastAsia"/>
              </w:rPr>
              <w:t xml:space="preserve">4 </w:t>
            </w:r>
            <w:r w:rsidRPr="000C0842">
              <w:rPr>
                <w:rFonts w:ascii="SimSun" w:eastAsia="SimSun" w:hAnsi="SimSun" w:cs="SimSun" w:hint="eastAsia"/>
                <w:kern w:val="2"/>
                <w:sz w:val="20"/>
                <w:szCs w:val="20"/>
              </w:rPr>
              <w:t>定为面临灭绝风险的地方品种所占比例</w:t>
            </w:r>
          </w:p>
        </w:tc>
        <w:tc>
          <w:tcPr>
            <w:tcW w:w="3114" w:type="dxa"/>
            <w:shd w:val="clear" w:color="auto" w:fill="FFFFFF"/>
          </w:tcPr>
          <w:p w14:paraId="3023659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物种威胁减少和恢复指标</w:t>
            </w:r>
          </w:p>
          <w:p w14:paraId="58FC753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A</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19 </w:t>
            </w:r>
            <w:r w:rsidRPr="000C0842">
              <w:rPr>
                <w:rFonts w:ascii="SimSun" w:eastAsia="SimSun" w:hAnsi="SimSun" w:cs="SimSun" w:hint="eastAsia"/>
                <w:kern w:val="2"/>
                <w:sz w:val="20"/>
                <w:szCs w:val="20"/>
              </w:rPr>
              <w:t>红色名录指数</w:t>
            </w:r>
            <w:r w:rsidRPr="000C0842">
              <w:rPr>
                <w:rFonts w:eastAsia="SimSun"/>
                <w:kern w:val="2"/>
                <w:sz w:val="20"/>
                <w:szCs w:val="20"/>
              </w:rPr>
              <w:t xml:space="preserve"> </w:t>
            </w:r>
            <w:r w:rsidRPr="000C0842">
              <w:rPr>
                <w:rFonts w:ascii="SimSun" w:eastAsia="SimSun" w:hAnsi="SimSun" w:cs="SimSun" w:hint="eastAsia"/>
                <w:kern w:val="2"/>
                <w:sz w:val="20"/>
                <w:szCs w:val="20"/>
              </w:rPr>
              <w:t>（家畜的野生近缘种）</w:t>
            </w:r>
            <w:r w:rsidRPr="000C0842">
              <w:rPr>
                <w:rFonts w:eastAsia="SimSun"/>
                <w:kern w:val="2"/>
                <w:sz w:val="20"/>
                <w:szCs w:val="20"/>
              </w:rPr>
              <w:t xml:space="preserve"> </w:t>
            </w:r>
          </w:p>
          <w:p w14:paraId="682AB83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4</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根除岛屿外来入侵物种数目</w:t>
            </w:r>
            <w:r w:rsidRPr="000C0842">
              <w:rPr>
                <w:rFonts w:eastAsia="SimSun"/>
                <w:kern w:val="2"/>
                <w:sz w:val="20"/>
                <w:szCs w:val="20"/>
              </w:rPr>
              <w:t xml:space="preserve"> </w:t>
            </w:r>
          </w:p>
        </w:tc>
      </w:tr>
      <w:tr w:rsidR="000C0842" w:rsidRPr="000C0842" w14:paraId="0FA74858" w14:textId="77777777" w:rsidTr="001F32B3">
        <w:tc>
          <w:tcPr>
            <w:tcW w:w="759" w:type="dxa"/>
            <w:shd w:val="clear" w:color="auto" w:fill="FFFFFF"/>
          </w:tcPr>
          <w:p w14:paraId="5A194857"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5</w:t>
            </w:r>
          </w:p>
        </w:tc>
        <w:tc>
          <w:tcPr>
            <w:tcW w:w="1287" w:type="dxa"/>
            <w:shd w:val="clear" w:color="auto" w:fill="FFFFFF"/>
          </w:tcPr>
          <w:p w14:paraId="16F9118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5.1</w:t>
            </w:r>
            <w:r w:rsidRPr="000C0842">
              <w:rPr>
                <w:rFonts w:eastAsia="SimSun" w:hint="eastAsia"/>
                <w:kern w:val="2"/>
                <w:sz w:val="20"/>
                <w:szCs w:val="20"/>
                <w:lang w:val="en-GB"/>
              </w:rPr>
              <w:t>生物可持续水平内的鱼类种群所占比例</w:t>
            </w:r>
          </w:p>
          <w:p w14:paraId="6C21BB9C" w14:textId="77777777" w:rsidR="004C57B0" w:rsidRPr="000C0842" w:rsidRDefault="004C57B0" w:rsidP="004C57B0">
            <w:pPr>
              <w:tabs>
                <w:tab w:val="clear" w:pos="567"/>
                <w:tab w:val="clear" w:pos="1134"/>
                <w:tab w:val="clear" w:pos="1701"/>
                <w:tab w:val="clear" w:pos="2268"/>
              </w:tabs>
              <w:spacing w:before="60"/>
              <w:jc w:val="left"/>
              <w:rPr>
                <w:kern w:val="2"/>
                <w:sz w:val="20"/>
                <w:szCs w:val="20"/>
              </w:rPr>
            </w:pPr>
            <w:r w:rsidRPr="000C0842">
              <w:rPr>
                <w:rFonts w:eastAsia="Times New Roman"/>
                <w:kern w:val="2"/>
                <w:sz w:val="20"/>
                <w:szCs w:val="20"/>
                <w:lang w:val="en-GB"/>
              </w:rPr>
              <w:t>5.b</w:t>
            </w:r>
            <w:r w:rsidRPr="000C0842">
              <w:rPr>
                <w:rFonts w:ascii="SimSun" w:eastAsia="SimSun" w:hAnsi="SimSun" w:cs="SimSun" w:hint="eastAsia"/>
                <w:kern w:val="2"/>
                <w:sz w:val="20"/>
                <w:szCs w:val="20"/>
                <w:lang w:val="en-GB"/>
              </w:rPr>
              <w:t>已</w:t>
            </w:r>
            <w:r w:rsidRPr="000C0842">
              <w:rPr>
                <w:rFonts w:eastAsia="SimSun" w:hint="eastAsia"/>
                <w:sz w:val="20"/>
                <w:szCs w:val="20"/>
                <w:shd w:val="clear" w:color="auto" w:fill="FFFFFF"/>
              </w:rPr>
              <w:t>制定管制野生物种交易法律文书或其他政策框架的国家数目</w:t>
            </w:r>
          </w:p>
        </w:tc>
        <w:tc>
          <w:tcPr>
            <w:tcW w:w="2189" w:type="dxa"/>
            <w:shd w:val="clear" w:color="auto" w:fill="FFFFFF"/>
          </w:tcPr>
          <w:p w14:paraId="6527348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按联合国粮食及农业组织的主要海洋捕捞区域细分</w:t>
            </w:r>
          </w:p>
          <w:p w14:paraId="2C16E56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056B696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04B744C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rPr>
            </w:pPr>
            <w:r w:rsidRPr="000C0842">
              <w:rPr>
                <w:rFonts w:eastAsia="SimSun" w:hint="eastAsia"/>
                <w:lang w:val="en-GB"/>
              </w:rPr>
              <w:t>5</w:t>
            </w:r>
            <w:r w:rsidRPr="000C0842">
              <w:rPr>
                <w:rFonts w:eastAsia="SimSun"/>
              </w:rPr>
              <w:t>.CT.</w:t>
            </w:r>
            <w:r w:rsidRPr="000C0842">
              <w:rPr>
                <w:rFonts w:eastAsia="SimSun" w:hint="eastAsia"/>
              </w:rPr>
              <w:t>1</w:t>
            </w:r>
            <w:r w:rsidRPr="000C0842">
              <w:rPr>
                <w:rFonts w:eastAsia="SimSun" w:hint="eastAsia"/>
              </w:rPr>
              <w:t>已利用物种红色名录指数（利用造成的影响）</w:t>
            </w:r>
            <w:r w:rsidRPr="000C0842">
              <w:rPr>
                <w:rFonts w:eastAsia="SimSun"/>
              </w:rPr>
              <w:t xml:space="preserve">  </w:t>
            </w:r>
          </w:p>
          <w:p w14:paraId="05D5334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rPr>
            </w:pPr>
            <w:r w:rsidRPr="000C0842">
              <w:rPr>
                <w:rFonts w:eastAsia="SimSun" w:hint="eastAsia"/>
              </w:rPr>
              <w:t>B</w:t>
            </w:r>
            <w:r w:rsidRPr="000C0842">
              <w:rPr>
                <w:rFonts w:eastAsia="SimSun"/>
              </w:rPr>
              <w:t>.CT.</w:t>
            </w:r>
            <w:r w:rsidRPr="000C0842">
              <w:rPr>
                <w:rFonts w:eastAsia="SimSun" w:hint="eastAsia"/>
              </w:rPr>
              <w:t xml:space="preserve">2 </w:t>
            </w:r>
            <w:r w:rsidRPr="000C0842">
              <w:rPr>
                <w:rFonts w:eastAsia="SimSun" w:hint="eastAsia"/>
              </w:rPr>
              <w:t>已利用物种地球生命力指数</w:t>
            </w:r>
          </w:p>
          <w:p w14:paraId="5F1DB14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.CT.</w:t>
            </w:r>
            <w:r w:rsidRPr="000C0842">
              <w:rPr>
                <w:rFonts w:eastAsia="SimSun" w:hint="eastAsia"/>
              </w:rPr>
              <w:t xml:space="preserve">2 </w:t>
            </w:r>
            <w:r w:rsidRPr="000C0842">
              <w:rPr>
                <w:rFonts w:eastAsia="SimSun" w:hint="eastAsia"/>
              </w:rPr>
              <w:t>旨在打击非法、未报告和无管制的捕捞的国际文书的执行程度</w:t>
            </w:r>
          </w:p>
          <w:p w14:paraId="1126628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3114" w:type="dxa"/>
            <w:shd w:val="clear" w:color="auto" w:fill="FFFFFF"/>
          </w:tcPr>
          <w:p w14:paraId="089FCE2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岛屿渔业威胁指数</w:t>
            </w:r>
          </w:p>
          <w:p w14:paraId="75B4B5E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2</w:t>
            </w:r>
            <w:r w:rsidRPr="000C0842">
              <w:rPr>
                <w:rFonts w:ascii="SimSun" w:eastAsia="SimSun" w:hAnsi="SimSun" w:cs="SimSun" w:hint="eastAsia"/>
                <w:kern w:val="2"/>
                <w:sz w:val="20"/>
                <w:szCs w:val="20"/>
              </w:rPr>
              <w:t>红色名录指数（国际贸易物种）</w:t>
            </w:r>
          </w:p>
          <w:p w14:paraId="30B4971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红色名录指数</w:t>
            </w:r>
            <w:r w:rsidRPr="000C0842">
              <w:rPr>
                <w:rFonts w:eastAsia="SimSun"/>
                <w:kern w:val="2"/>
                <w:sz w:val="20"/>
                <w:szCs w:val="20"/>
              </w:rPr>
              <w:t xml:space="preserve"> </w:t>
            </w:r>
            <w:r w:rsidRPr="000C0842">
              <w:rPr>
                <w:rFonts w:ascii="SimSun" w:eastAsia="SimSun" w:hAnsi="SimSun" w:cs="SimSun" w:hint="eastAsia"/>
                <w:kern w:val="2"/>
                <w:sz w:val="20"/>
                <w:szCs w:val="20"/>
              </w:rPr>
              <w:t>（渔业的影响）</w:t>
            </w:r>
            <w:r w:rsidRPr="000C0842">
              <w:rPr>
                <w:rFonts w:eastAsia="SimSun"/>
                <w:kern w:val="2"/>
                <w:sz w:val="20"/>
                <w:szCs w:val="20"/>
              </w:rPr>
              <w:t xml:space="preserve"> </w:t>
            </w:r>
          </w:p>
          <w:p w14:paraId="1B165F8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海洋管理委员会认证的渔获量</w:t>
            </w:r>
          </w:p>
          <w:p w14:paraId="445A5FC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5 </w:t>
            </w:r>
            <w:r w:rsidRPr="000C0842">
              <w:rPr>
                <w:rFonts w:ascii="SimSun" w:eastAsia="SimSun" w:hAnsi="SimSun" w:cs="SimSun" w:hint="eastAsia"/>
                <w:kern w:val="2"/>
                <w:sz w:val="20"/>
                <w:szCs w:val="20"/>
              </w:rPr>
              <w:t>根据《国际捕鲸公约》统计的鲸类总捕获数</w:t>
            </w:r>
          </w:p>
          <w:p w14:paraId="5A1A456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6 </w:t>
            </w:r>
            <w:r w:rsidRPr="000C0842">
              <w:rPr>
                <w:rFonts w:ascii="SimSun" w:eastAsia="SimSun" w:hAnsi="SimSun" w:cs="SimSun" w:hint="eastAsia"/>
                <w:kern w:val="2"/>
                <w:sz w:val="20"/>
                <w:szCs w:val="20"/>
              </w:rPr>
              <w:t>兼捕的脆弱和非目标物种数量</w:t>
            </w:r>
            <w:r w:rsidRPr="000C0842">
              <w:rPr>
                <w:rFonts w:eastAsia="SimSun"/>
                <w:kern w:val="2"/>
                <w:sz w:val="20"/>
                <w:szCs w:val="20"/>
              </w:rPr>
              <w:t xml:space="preserve"> </w:t>
            </w:r>
          </w:p>
          <w:p w14:paraId="3CE5DCB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7 </w:t>
            </w:r>
            <w:r w:rsidRPr="000C0842">
              <w:rPr>
                <w:rFonts w:ascii="SimSun" w:eastAsia="SimSun" w:hAnsi="SimSun" w:cs="SimSun" w:hint="eastAsia"/>
                <w:kern w:val="2"/>
                <w:sz w:val="20"/>
                <w:szCs w:val="20"/>
              </w:rPr>
              <w:t>海洋管理委员会产销监管链认证持有者数目，按分销国分列</w:t>
            </w:r>
          </w:p>
          <w:p w14:paraId="5950E67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8 </w:t>
            </w:r>
            <w:r w:rsidRPr="000C0842">
              <w:rPr>
                <w:rFonts w:ascii="SimSun" w:eastAsia="SimSun" w:hAnsi="SimSun" w:cs="SimSun" w:hint="eastAsia"/>
                <w:kern w:val="2"/>
                <w:sz w:val="20"/>
                <w:szCs w:val="20"/>
              </w:rPr>
              <w:t>基于生物多样性的贸易的增长率</w:t>
            </w:r>
          </w:p>
        </w:tc>
      </w:tr>
      <w:tr w:rsidR="000C0842" w:rsidRPr="000C0842" w14:paraId="6F90717E" w14:textId="77777777" w:rsidTr="001F32B3">
        <w:tc>
          <w:tcPr>
            <w:tcW w:w="759" w:type="dxa"/>
            <w:shd w:val="clear" w:color="auto" w:fill="FFFFFF"/>
          </w:tcPr>
          <w:p w14:paraId="1F8EFFE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6</w:t>
            </w:r>
          </w:p>
        </w:tc>
        <w:tc>
          <w:tcPr>
            <w:tcW w:w="1287" w:type="dxa"/>
            <w:shd w:val="clear" w:color="auto" w:fill="FFFFFF"/>
          </w:tcPr>
          <w:p w14:paraId="4BFC3A0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6.1</w:t>
            </w:r>
            <w:r w:rsidRPr="000C0842">
              <w:rPr>
                <w:rFonts w:eastAsia="SimSun" w:hint="eastAsia"/>
                <w:kern w:val="2"/>
                <w:sz w:val="20"/>
                <w:szCs w:val="20"/>
                <w:lang w:val="en-GB"/>
              </w:rPr>
              <w:t>外来入侵物种建群率</w:t>
            </w:r>
          </w:p>
          <w:p w14:paraId="264A0039"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lang w:val="en-GB"/>
              </w:rPr>
            </w:pPr>
            <w:r w:rsidRPr="000C0842">
              <w:rPr>
                <w:rFonts w:eastAsia="SimSun"/>
                <w:iCs/>
                <w:kern w:val="2"/>
                <w:sz w:val="20"/>
                <w:szCs w:val="20"/>
                <w:lang w:val="en-GB"/>
              </w:rPr>
              <w:t xml:space="preserve">6.b </w:t>
            </w:r>
            <w:r w:rsidRPr="000C0842">
              <w:rPr>
                <w:rFonts w:eastAsia="SimSun" w:hint="eastAsia"/>
                <w:iCs/>
                <w:kern w:val="2"/>
                <w:sz w:val="20"/>
                <w:szCs w:val="20"/>
                <w:lang w:val="en-GB"/>
              </w:rPr>
              <w:t>制定相关法规、程序和措施来减少外来入侵物种影响的国家数目</w:t>
            </w:r>
          </w:p>
        </w:tc>
        <w:tc>
          <w:tcPr>
            <w:tcW w:w="2189" w:type="dxa"/>
            <w:shd w:val="clear" w:color="auto" w:fill="FFFFFF"/>
          </w:tcPr>
          <w:p w14:paraId="7FF7459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hint="eastAsia"/>
                <w:kern w:val="2"/>
                <w:sz w:val="20"/>
                <w:szCs w:val="20"/>
                <w:lang w:val="en-GB"/>
              </w:rPr>
              <w:t>6.1</w:t>
            </w:r>
            <w:r w:rsidRPr="000C0842">
              <w:rPr>
                <w:rFonts w:eastAsia="SimSun" w:hint="eastAsia"/>
                <w:kern w:val="2"/>
                <w:sz w:val="20"/>
                <w:szCs w:val="20"/>
                <w:lang w:val="en-GB"/>
              </w:rPr>
              <w:t>的细分办法：</w:t>
            </w:r>
          </w:p>
          <w:p w14:paraId="4C35F5F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按分类组细分</w:t>
            </w:r>
          </w:p>
          <w:p w14:paraId="4D29060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按路径细分</w:t>
            </w:r>
            <w:r w:rsidRPr="000C0842">
              <w:rPr>
                <w:rFonts w:eastAsia="SimSun" w:hint="eastAsia"/>
                <w:kern w:val="2"/>
                <w:sz w:val="20"/>
                <w:szCs w:val="20"/>
                <w:lang w:val="en-GB"/>
              </w:rPr>
              <w:t xml:space="preserve"> </w:t>
            </w:r>
          </w:p>
          <w:p w14:paraId="39D90E7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570CAF7D"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1CB53A7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6</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红色名录指数（外来入侵物种的影响）</w:t>
            </w:r>
          </w:p>
        </w:tc>
      </w:tr>
      <w:tr w:rsidR="000C0842" w:rsidRPr="000C0842" w14:paraId="6AB7299E" w14:textId="77777777" w:rsidTr="001F32B3">
        <w:tc>
          <w:tcPr>
            <w:tcW w:w="759" w:type="dxa"/>
            <w:shd w:val="clear" w:color="auto" w:fill="FFFFFF"/>
          </w:tcPr>
          <w:p w14:paraId="135EEA8F"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7</w:t>
            </w:r>
          </w:p>
        </w:tc>
        <w:tc>
          <w:tcPr>
            <w:tcW w:w="1287" w:type="dxa"/>
            <w:shd w:val="clear" w:color="auto" w:fill="FFFFFF"/>
          </w:tcPr>
          <w:p w14:paraId="3B59261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7.1</w:t>
            </w:r>
            <w:r w:rsidRPr="000C0842">
              <w:rPr>
                <w:rFonts w:eastAsia="SimSun" w:hint="eastAsia"/>
                <w:kern w:val="2"/>
                <w:sz w:val="20"/>
                <w:szCs w:val="20"/>
                <w:lang w:val="en-GB"/>
              </w:rPr>
              <w:t>沿海富营养化指数</w:t>
            </w:r>
          </w:p>
          <w:p w14:paraId="6618599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7.2</w:t>
            </w:r>
            <w:r w:rsidRPr="000C0842">
              <w:rPr>
                <w:rFonts w:eastAsia="SimSun" w:hint="eastAsia"/>
                <w:kern w:val="2"/>
                <w:sz w:val="20"/>
                <w:szCs w:val="20"/>
                <w:lang w:val="en-GB"/>
              </w:rPr>
              <w:t xml:space="preserve"> </w:t>
            </w:r>
            <w:r w:rsidRPr="000C0842">
              <w:rPr>
                <w:rFonts w:eastAsia="SimSun" w:hint="eastAsia"/>
                <w:kern w:val="2"/>
                <w:sz w:val="20"/>
                <w:szCs w:val="20"/>
                <w:lang w:val="en-GB"/>
              </w:rPr>
              <w:t>农药环境浓度和（或）合计总施用毒性</w:t>
            </w:r>
            <w:r w:rsidRPr="000C0842">
              <w:rPr>
                <w:rFonts w:eastAsia="SimSun"/>
                <w:sz w:val="20"/>
                <w:szCs w:val="20"/>
                <w:vertAlign w:val="superscript"/>
              </w:rPr>
              <w:footnoteReference w:id="413"/>
            </w:r>
          </w:p>
        </w:tc>
        <w:tc>
          <w:tcPr>
            <w:tcW w:w="2189" w:type="dxa"/>
            <w:shd w:val="clear" w:color="auto" w:fill="FFFFFF"/>
          </w:tcPr>
          <w:p w14:paraId="4F32BA8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7.1</w:t>
            </w:r>
            <w:r w:rsidRPr="000C0842">
              <w:rPr>
                <w:rFonts w:eastAsia="SimSun" w:hint="eastAsia"/>
                <w:kern w:val="2"/>
                <w:sz w:val="20"/>
                <w:szCs w:val="20"/>
                <w:lang w:val="en-GB"/>
              </w:rPr>
              <w:t>的细分办法：</w:t>
            </w:r>
          </w:p>
          <w:p w14:paraId="682A5C0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按营养物类型细分</w:t>
            </w:r>
          </w:p>
          <w:p w14:paraId="3C195EF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按支流域细分</w:t>
            </w:r>
            <w:r w:rsidRPr="000C0842">
              <w:rPr>
                <w:rFonts w:eastAsia="SimSun"/>
                <w:kern w:val="2"/>
                <w:sz w:val="20"/>
                <w:szCs w:val="20"/>
                <w:lang w:val="en-GB"/>
              </w:rPr>
              <w:t xml:space="preserve"> </w:t>
            </w:r>
          </w:p>
          <w:p w14:paraId="345D358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76DC137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7.2</w:t>
            </w:r>
            <w:r w:rsidRPr="000C0842">
              <w:rPr>
                <w:rFonts w:eastAsia="SimSun" w:hint="eastAsia"/>
                <w:kern w:val="2"/>
                <w:sz w:val="20"/>
                <w:szCs w:val="20"/>
                <w:lang w:val="en-GB"/>
              </w:rPr>
              <w:t>法细分办法：</w:t>
            </w:r>
          </w:p>
          <w:p w14:paraId="73E3099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按农药类型细分</w:t>
            </w:r>
          </w:p>
          <w:p w14:paraId="67F354B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按每个行业农药产品使用量细分</w:t>
            </w:r>
          </w:p>
        </w:tc>
        <w:tc>
          <w:tcPr>
            <w:tcW w:w="2001" w:type="dxa"/>
            <w:shd w:val="clear" w:color="auto" w:fill="FFFFFF"/>
          </w:tcPr>
          <w:p w14:paraId="7D051A1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.CT.</w:t>
            </w:r>
            <w:r w:rsidRPr="000C0842">
              <w:rPr>
                <w:rFonts w:eastAsia="SimSun" w:hint="eastAsia"/>
              </w:rPr>
              <w:t>1</w:t>
            </w:r>
            <w:r w:rsidRPr="000C0842">
              <w:rPr>
                <w:rFonts w:ascii="SimSun" w:eastAsia="SimSun" w:hAnsi="SimSun" w:cs="SimSun" w:hint="eastAsia"/>
                <w:kern w:val="2"/>
                <w:sz w:val="20"/>
                <w:szCs w:val="20"/>
              </w:rPr>
              <w:t>农田营养预算</w:t>
            </w:r>
            <w:r w:rsidRPr="000C0842">
              <w:rPr>
                <w:rFonts w:eastAsia="SimSun"/>
                <w:kern w:val="2"/>
                <w:sz w:val="20"/>
                <w:szCs w:val="20"/>
              </w:rPr>
              <w:t xml:space="preserve"> </w:t>
            </w:r>
          </w:p>
          <w:p w14:paraId="47C6ADA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.CT.</w:t>
            </w:r>
            <w:r w:rsidRPr="000C0842">
              <w:rPr>
                <w:rFonts w:eastAsia="SimSun" w:hint="eastAsia"/>
              </w:rPr>
              <w:t xml:space="preserve">2 </w:t>
            </w:r>
            <w:r w:rsidRPr="000C0842">
              <w:rPr>
                <w:rFonts w:ascii="SimSun" w:eastAsia="SimSun" w:hAnsi="SimSun" w:cs="SimSun" w:hint="eastAsia"/>
                <w:kern w:val="2"/>
                <w:sz w:val="20"/>
                <w:szCs w:val="20"/>
              </w:rPr>
              <w:t>经过安全处理的家用和工业废水流动所占比例</w:t>
            </w:r>
          </w:p>
          <w:p w14:paraId="2C00129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.CT.</w:t>
            </w:r>
            <w:r w:rsidRPr="000C0842">
              <w:rPr>
                <w:rFonts w:eastAsia="SimSun" w:hint="eastAsia"/>
              </w:rPr>
              <w:t xml:space="preserve">3 </w:t>
            </w:r>
            <w:r w:rsidRPr="000C0842">
              <w:rPr>
                <w:rFonts w:ascii="SimSun" w:eastAsia="SimSun" w:hAnsi="SimSun" w:cs="SimSun" w:hint="eastAsia"/>
                <w:kern w:val="2"/>
                <w:sz w:val="20"/>
                <w:szCs w:val="20"/>
              </w:rPr>
              <w:t>漂浮的塑料碎片密度（按微塑料和宏观塑料分列）</w:t>
            </w:r>
          </w:p>
          <w:p w14:paraId="19D5220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.CT.</w:t>
            </w:r>
            <w:r w:rsidRPr="000C0842">
              <w:rPr>
                <w:rFonts w:eastAsia="SimSun" w:hint="eastAsia"/>
              </w:rPr>
              <w:t xml:space="preserve">4 </w:t>
            </w:r>
            <w:r w:rsidRPr="000C0842">
              <w:rPr>
                <w:rFonts w:ascii="SimSun" w:eastAsia="SimSun" w:hAnsi="SimSun" w:cs="SimSun" w:hint="eastAsia"/>
                <w:kern w:val="2"/>
                <w:sz w:val="20"/>
                <w:szCs w:val="20"/>
              </w:rPr>
              <w:t>红色名录指数（污染的影响）</w:t>
            </w:r>
            <w:r w:rsidRPr="000C0842">
              <w:rPr>
                <w:rFonts w:eastAsia="SimSun"/>
                <w:kern w:val="2"/>
                <w:sz w:val="20"/>
                <w:szCs w:val="20"/>
              </w:rPr>
              <w:t xml:space="preserve"> </w:t>
            </w:r>
          </w:p>
        </w:tc>
        <w:tc>
          <w:tcPr>
            <w:tcW w:w="3114" w:type="dxa"/>
            <w:shd w:val="clear" w:color="auto" w:fill="FFFFFF"/>
          </w:tcPr>
          <w:p w14:paraId="2087998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环境活性氮的损失趋势</w:t>
            </w:r>
          </w:p>
          <w:p w14:paraId="0D1A676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氮沉积趋势</w:t>
            </w:r>
          </w:p>
          <w:p w14:paraId="48FCADB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在管控部门收集和管理的城市固体废物占城市废物总产生量的比例，按城市分列</w:t>
            </w:r>
            <w:r w:rsidRPr="000C0842">
              <w:rPr>
                <w:rFonts w:eastAsia="SimSun"/>
                <w:kern w:val="2"/>
                <w:sz w:val="20"/>
                <w:szCs w:val="20"/>
              </w:rPr>
              <w:t xml:space="preserve"> </w:t>
            </w:r>
          </w:p>
          <w:p w14:paraId="20A0DEC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sz w:val="20"/>
                <w:szCs w:val="20"/>
              </w:rPr>
              <w:t>人均产生的</w:t>
            </w:r>
            <w:r w:rsidRPr="000C0842">
              <w:rPr>
                <w:rFonts w:ascii="SimSun" w:eastAsia="SimSun" w:hAnsi="SimSun" w:cs="SimSun" w:hint="eastAsia"/>
                <w:kern w:val="2"/>
                <w:sz w:val="20"/>
                <w:szCs w:val="20"/>
              </w:rPr>
              <w:t>有害废物</w:t>
            </w:r>
          </w:p>
          <w:p w14:paraId="56906DC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5</w:t>
            </w:r>
            <w:r w:rsidRPr="000C0842">
              <w:rPr>
                <w:rFonts w:ascii="SimSun" w:eastAsia="SimSun" w:hAnsi="SimSun" w:cs="SimSun" w:hint="eastAsia"/>
                <w:kern w:val="2"/>
                <w:sz w:val="20"/>
                <w:szCs w:val="20"/>
              </w:rPr>
              <w:t>水柱和海底垃圾（包括微塑料）数量的变化趋势</w:t>
            </w:r>
            <w:r w:rsidRPr="000C0842">
              <w:rPr>
                <w:rFonts w:eastAsia="SimSun"/>
                <w:kern w:val="2"/>
                <w:sz w:val="20"/>
                <w:szCs w:val="20"/>
              </w:rPr>
              <w:t xml:space="preserve"> </w:t>
            </w:r>
          </w:p>
          <w:p w14:paraId="7DD18A6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6 </w:t>
            </w:r>
            <w:r w:rsidRPr="000C0842">
              <w:rPr>
                <w:rFonts w:ascii="SimSun" w:eastAsia="SimSun" w:hAnsi="SimSun" w:cs="SimSun" w:hint="eastAsia"/>
                <w:kern w:val="2"/>
                <w:sz w:val="20"/>
                <w:szCs w:val="20"/>
              </w:rPr>
              <w:t>每单位农田面积农药使用量</w:t>
            </w:r>
          </w:p>
        </w:tc>
      </w:tr>
      <w:tr w:rsidR="000C0842" w:rsidRPr="000C0842" w14:paraId="796466FD" w14:textId="77777777" w:rsidTr="001F32B3">
        <w:tc>
          <w:tcPr>
            <w:tcW w:w="759" w:type="dxa"/>
            <w:shd w:val="clear" w:color="auto" w:fill="FFFFFF"/>
          </w:tcPr>
          <w:p w14:paraId="0FC48604"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8</w:t>
            </w:r>
          </w:p>
        </w:tc>
        <w:tc>
          <w:tcPr>
            <w:tcW w:w="1287" w:type="dxa"/>
            <w:shd w:val="clear" w:color="auto" w:fill="FFFFFF"/>
          </w:tcPr>
          <w:p w14:paraId="0156055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iCs/>
                <w:kern w:val="2"/>
                <w:sz w:val="20"/>
                <w:szCs w:val="20"/>
                <w:lang w:val="en-GB"/>
              </w:rPr>
              <w:t>8.b</w:t>
            </w:r>
            <w:r w:rsidRPr="000C0842">
              <w:rPr>
                <w:rFonts w:eastAsia="SimSun" w:hint="eastAsia"/>
                <w:iCs/>
                <w:kern w:val="2"/>
                <w:sz w:val="20"/>
                <w:szCs w:val="20"/>
                <w:lang w:val="en-GB"/>
              </w:rPr>
              <w:t>制定政策尽量减少气候变化和海洋酸化对生物多样性的影响并尽量减少气候行动对生物多样性的负面影响和促进积极影响的国家数目</w:t>
            </w:r>
          </w:p>
          <w:p w14:paraId="5C17DC2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189" w:type="dxa"/>
            <w:shd w:val="clear" w:color="auto" w:fill="FFFFFF"/>
          </w:tcPr>
          <w:p w14:paraId="1A65C68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 xml:space="preserve">B1 </w:t>
            </w:r>
            <w:r w:rsidRPr="000C0842">
              <w:rPr>
                <w:rFonts w:eastAsia="SimSun" w:hint="eastAsia"/>
                <w:kern w:val="2"/>
                <w:sz w:val="20"/>
                <w:szCs w:val="20"/>
                <w:lang w:val="en-GB"/>
              </w:rPr>
              <w:t>细分办法：</w:t>
            </w:r>
            <w:r w:rsidRPr="000C0842">
              <w:rPr>
                <w:rFonts w:eastAsia="SimSun"/>
                <w:kern w:val="2"/>
                <w:sz w:val="20"/>
                <w:szCs w:val="20"/>
                <w:lang w:val="en-GB"/>
              </w:rPr>
              <w:t xml:space="preserve"> </w:t>
            </w:r>
          </w:p>
          <w:p w14:paraId="4D7EA9E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按生态系统和生态系统类型所提供的气候调节服务总量细分</w:t>
            </w:r>
            <w:r w:rsidRPr="000C0842">
              <w:rPr>
                <w:rFonts w:eastAsia="SimSun"/>
                <w:kern w:val="2"/>
                <w:sz w:val="20"/>
                <w:szCs w:val="20"/>
                <w:lang w:val="en-GB"/>
              </w:rPr>
              <w:t xml:space="preserve"> </w:t>
            </w:r>
          </w:p>
          <w:p w14:paraId="0F48A98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719BA89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.CT.</w:t>
            </w:r>
            <w:r w:rsidRPr="000C0842">
              <w:rPr>
                <w:rFonts w:eastAsia="SimSun" w:hint="eastAsia"/>
              </w:rPr>
              <w:t>1</w:t>
            </w:r>
            <w:r w:rsidRPr="000C0842">
              <w:rPr>
                <w:rFonts w:ascii="SimSun" w:eastAsia="SimSun" w:hAnsi="SimSun" w:cs="SimSun" w:hint="eastAsia"/>
                <w:kern w:val="2"/>
                <w:sz w:val="20"/>
                <w:szCs w:val="20"/>
              </w:rPr>
              <w:t>按照《</w:t>
            </w:r>
            <w:r w:rsidRPr="000C0842">
              <w:rPr>
                <w:rFonts w:eastAsia="SimSun"/>
                <w:kern w:val="2"/>
                <w:sz w:val="20"/>
                <w:szCs w:val="20"/>
              </w:rPr>
              <w:t>2015-2030</w:t>
            </w:r>
            <w:r w:rsidRPr="000C0842">
              <w:rPr>
                <w:rFonts w:ascii="SimSun" w:eastAsia="SimSun" w:hAnsi="SimSun" w:cs="SimSun" w:hint="eastAsia"/>
                <w:kern w:val="2"/>
                <w:sz w:val="20"/>
                <w:szCs w:val="20"/>
              </w:rPr>
              <w:t>年仙台减少灾害风险框架》通过和实行国家减少灾害风险战略的国家数目</w:t>
            </w:r>
            <w:r w:rsidRPr="000C0842">
              <w:rPr>
                <w:rFonts w:eastAsia="SimSun"/>
                <w:kern w:val="2"/>
                <w:sz w:val="20"/>
                <w:szCs w:val="20"/>
              </w:rPr>
              <w:t xml:space="preserve"> </w:t>
            </w:r>
          </w:p>
          <w:p w14:paraId="7BA02DF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.CT.</w:t>
            </w:r>
            <w:r w:rsidRPr="000C0842">
              <w:rPr>
                <w:rFonts w:eastAsia="SimSun" w:hint="eastAsia"/>
              </w:rPr>
              <w:t xml:space="preserve">2 </w:t>
            </w:r>
            <w:r w:rsidRPr="000C0842">
              <w:rPr>
                <w:rFonts w:ascii="SimSun" w:eastAsia="SimSun" w:hAnsi="SimSun" w:cs="SimSun" w:hint="eastAsia"/>
                <w:kern w:val="2"/>
                <w:sz w:val="20"/>
                <w:szCs w:val="20"/>
              </w:rPr>
              <w:t>生物气候生态系统复原力指数</w:t>
            </w:r>
          </w:p>
        </w:tc>
        <w:tc>
          <w:tcPr>
            <w:tcW w:w="3114" w:type="dxa"/>
            <w:shd w:val="clear" w:color="auto" w:fill="FFFFFF"/>
          </w:tcPr>
          <w:p w14:paraId="4B10D0C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森林地上生物量储量（吨</w:t>
            </w:r>
            <w:r w:rsidRPr="000C0842">
              <w:rPr>
                <w:rFonts w:eastAsia="SimSun"/>
                <w:kern w:val="2"/>
                <w:sz w:val="20"/>
                <w:szCs w:val="20"/>
              </w:rPr>
              <w:t>/</w:t>
            </w:r>
            <w:r w:rsidRPr="000C0842">
              <w:rPr>
                <w:rFonts w:ascii="SimSun" w:eastAsia="SimSun" w:hAnsi="SimSun" w:cs="SimSun" w:hint="eastAsia"/>
                <w:kern w:val="2"/>
                <w:sz w:val="20"/>
                <w:szCs w:val="20"/>
              </w:rPr>
              <w:t>公顷）</w:t>
            </w:r>
          </w:p>
          <w:p w14:paraId="5F2606A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产生于土地利用、土地利用变化和林业的国家温室气体清单</w:t>
            </w:r>
          </w:p>
          <w:p w14:paraId="50D9525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按照国家减少灾害风险战略采用和实施本地减少灾害风险战略的地方政府所占比例</w:t>
            </w:r>
            <w:r w:rsidRPr="000C0842">
              <w:rPr>
                <w:rFonts w:eastAsia="SimSun"/>
                <w:kern w:val="2"/>
                <w:sz w:val="20"/>
                <w:szCs w:val="20"/>
              </w:rPr>
              <w:t xml:space="preserve"> </w:t>
            </w:r>
          </w:p>
          <w:p w14:paraId="3C3987A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7</w:t>
            </w:r>
            <w:r w:rsidRPr="000C0842">
              <w:rPr>
                <w:rFonts w:eastAsia="SimSun"/>
              </w:rPr>
              <w:t>.</w:t>
            </w:r>
            <w:r w:rsidRPr="000C0842">
              <w:rPr>
                <w:rFonts w:eastAsia="SimSun" w:hint="eastAsia"/>
              </w:rPr>
              <w:t>1</w:t>
            </w:r>
            <w:r w:rsidRPr="000C0842">
              <w:rPr>
                <w:rFonts w:eastAsia="SimSun"/>
              </w:rPr>
              <w:t>.</w:t>
            </w:r>
            <w:r w:rsidRPr="000C0842">
              <w:rPr>
                <w:rFonts w:eastAsia="SimSun" w:hint="eastAsia"/>
              </w:rPr>
              <w:t xml:space="preserve"> </w:t>
            </w:r>
            <w:r w:rsidRPr="000C0842">
              <w:rPr>
                <w:rFonts w:ascii="SimSun" w:eastAsia="SimSun" w:hAnsi="SimSun" w:cs="SimSun" w:hint="eastAsia"/>
                <w:kern w:val="2"/>
                <w:sz w:val="20"/>
                <w:szCs w:val="20"/>
              </w:rPr>
              <w:t>沿海富营养化指数</w:t>
            </w:r>
            <w:r w:rsidRPr="000C0842">
              <w:rPr>
                <w:rFonts w:eastAsia="SimSun"/>
                <w:kern w:val="2"/>
                <w:sz w:val="20"/>
                <w:szCs w:val="20"/>
              </w:rPr>
              <w:t xml:space="preserve"> </w:t>
            </w:r>
          </w:p>
          <w:p w14:paraId="0615477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8</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在商定的一组有代表性的采样站测量的平均海洋酸度（</w:t>
            </w:r>
            <w:r w:rsidRPr="000C0842">
              <w:rPr>
                <w:rFonts w:eastAsia="SimSun"/>
                <w:kern w:val="2"/>
                <w:sz w:val="20"/>
                <w:szCs w:val="20"/>
              </w:rPr>
              <w:t>pH</w:t>
            </w:r>
            <w:r w:rsidRPr="000C0842">
              <w:rPr>
                <w:rFonts w:ascii="SimSun" w:eastAsia="SimSun" w:hAnsi="SimSun" w:cs="SimSun" w:hint="eastAsia"/>
                <w:kern w:val="2"/>
                <w:sz w:val="20"/>
                <w:szCs w:val="20"/>
              </w:rPr>
              <w:t>）</w:t>
            </w:r>
          </w:p>
        </w:tc>
      </w:tr>
      <w:tr w:rsidR="000C0842" w:rsidRPr="000C0842" w14:paraId="30B5A568" w14:textId="77777777" w:rsidTr="001F32B3">
        <w:tc>
          <w:tcPr>
            <w:tcW w:w="759" w:type="dxa"/>
            <w:shd w:val="clear" w:color="auto" w:fill="FFFFFF"/>
          </w:tcPr>
          <w:p w14:paraId="1BCFFD49"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9</w:t>
            </w:r>
          </w:p>
        </w:tc>
        <w:tc>
          <w:tcPr>
            <w:tcW w:w="1287" w:type="dxa"/>
            <w:shd w:val="clear" w:color="auto" w:fill="FFFFFF"/>
          </w:tcPr>
          <w:p w14:paraId="1534994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9.1</w:t>
            </w:r>
            <w:r w:rsidRPr="000C0842">
              <w:rPr>
                <w:rFonts w:eastAsia="SimSun" w:hint="eastAsia"/>
                <w:kern w:val="2"/>
                <w:sz w:val="20"/>
                <w:szCs w:val="20"/>
                <w:lang w:val="en-GB"/>
              </w:rPr>
              <w:t>可持续利用野生物种的益处</w:t>
            </w:r>
          </w:p>
          <w:p w14:paraId="1DE94F1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A8C5A2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56B95D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5B5FFC65"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9.2</w:t>
            </w:r>
            <w:r w:rsidRPr="000C0842">
              <w:rPr>
                <w:rFonts w:eastAsia="SimSun" w:hint="eastAsia"/>
                <w:kern w:val="2"/>
                <w:sz w:val="20"/>
                <w:szCs w:val="20"/>
                <w:lang w:val="en-GB"/>
              </w:rPr>
              <w:t>从事传统职业人口所占百分比</w:t>
            </w:r>
          </w:p>
          <w:p w14:paraId="0C629DBD"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9.b</w:t>
            </w:r>
            <w:r w:rsidRPr="000C0842">
              <w:rPr>
                <w:rFonts w:ascii="SimSun" w:eastAsia="SimSun" w:hAnsi="SimSun" w:cs="SimSun" w:hint="eastAsia"/>
                <w:bCs/>
                <w:kern w:val="2"/>
                <w:sz w:val="20"/>
                <w:szCs w:val="20"/>
                <w:lang w:val="en-GB"/>
                <w14:ligatures w14:val="standardContextual"/>
              </w:rPr>
              <w:t>已</w:t>
            </w:r>
            <w:r w:rsidRPr="000C0842">
              <w:rPr>
                <w:rFonts w:eastAsia="SimSun" w:hint="eastAsia"/>
                <w:bCs/>
                <w:iCs/>
                <w:kern w:val="2"/>
                <w:sz w:val="20"/>
                <w:szCs w:val="20"/>
                <w:lang w:val="en-GB"/>
              </w:rPr>
              <w:t>制定可持续管理野生物种利用政策为人们提供社会、经济和环境</w:t>
            </w:r>
            <w:r w:rsidRPr="000C0842">
              <w:rPr>
                <w:rFonts w:ascii="SimSun" w:eastAsia="SimSun" w:hAnsi="SimSun" w:cs="SimSun" w:hint="eastAsia"/>
                <w:bCs/>
                <w:iCs/>
                <w:kern w:val="2"/>
                <w:sz w:val="20"/>
                <w:szCs w:val="20"/>
                <w:lang w:val="en-GB"/>
              </w:rPr>
              <w:t>福利</w:t>
            </w:r>
            <w:r w:rsidRPr="000C0842">
              <w:rPr>
                <w:rFonts w:eastAsia="SimSun" w:hint="eastAsia"/>
                <w:bCs/>
                <w:iCs/>
                <w:kern w:val="2"/>
                <w:sz w:val="20"/>
                <w:szCs w:val="20"/>
                <w:lang w:val="en-GB"/>
              </w:rPr>
              <w:t>并保护和鼓励土著人民和地方社区可持续利用习惯的国家数目</w:t>
            </w:r>
          </w:p>
        </w:tc>
        <w:tc>
          <w:tcPr>
            <w:tcW w:w="2189" w:type="dxa"/>
            <w:shd w:val="clear" w:color="auto" w:fill="FFFFFF"/>
          </w:tcPr>
          <w:p w14:paraId="3E4A167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9.1</w:t>
            </w:r>
            <w:r w:rsidRPr="000C0842">
              <w:rPr>
                <w:rFonts w:eastAsia="SimSun" w:hint="eastAsia"/>
                <w:kern w:val="2"/>
                <w:sz w:val="20"/>
                <w:szCs w:val="20"/>
                <w:lang w:val="en-GB"/>
              </w:rPr>
              <w:t>的细分办法：</w:t>
            </w:r>
          </w:p>
          <w:p w14:paraId="3B4D36B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当前没有提议任何元数据</w:t>
            </w:r>
            <w:r w:rsidRPr="000C0842">
              <w:rPr>
                <w:rFonts w:eastAsia="SimSun"/>
                <w:kern w:val="2"/>
                <w:sz w:val="20"/>
                <w:szCs w:val="20"/>
                <w:lang w:val="en-GB"/>
              </w:rPr>
              <w:t xml:space="preserve"> </w:t>
            </w:r>
          </w:p>
          <w:p w14:paraId="1C38CFA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B</w:t>
            </w:r>
            <w:r w:rsidRPr="000C0842">
              <w:rPr>
                <w:rFonts w:eastAsia="SimSun" w:hint="eastAsia"/>
                <w:kern w:val="2"/>
                <w:sz w:val="20"/>
                <w:szCs w:val="20"/>
                <w:lang w:val="en-GB"/>
              </w:rPr>
              <w:t>下叙述</w:t>
            </w:r>
          </w:p>
          <w:p w14:paraId="4A82932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0E54317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EF9493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9.2</w:t>
            </w:r>
            <w:r w:rsidRPr="000C0842">
              <w:rPr>
                <w:rFonts w:eastAsia="SimSun" w:hint="eastAsia"/>
                <w:kern w:val="2"/>
                <w:sz w:val="20"/>
                <w:szCs w:val="20"/>
                <w:lang w:val="en-GB"/>
              </w:rPr>
              <w:t>的细分办法：</w:t>
            </w:r>
          </w:p>
          <w:p w14:paraId="4C7B81C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按职业类型细分</w:t>
            </w:r>
          </w:p>
          <w:p w14:paraId="392F6AB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按土著人民和地方社区细分</w:t>
            </w:r>
          </w:p>
          <w:p w14:paraId="6B1EC99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按性别细分</w:t>
            </w:r>
          </w:p>
          <w:p w14:paraId="1729C75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按年龄类别细分</w:t>
            </w:r>
          </w:p>
          <w:p w14:paraId="38D1CBC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按农村与城市细分</w:t>
            </w:r>
          </w:p>
          <w:p w14:paraId="63840D8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5C06D0C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9</w:t>
            </w:r>
            <w:r w:rsidRPr="000C0842">
              <w:rPr>
                <w:rFonts w:eastAsia="SimSun"/>
              </w:rPr>
              <w:t>.CT.</w:t>
            </w:r>
            <w:r w:rsidRPr="000C0842">
              <w:rPr>
                <w:rFonts w:eastAsia="SimSun" w:hint="eastAsia"/>
              </w:rPr>
              <w:t xml:space="preserve">1 </w:t>
            </w:r>
            <w:r w:rsidRPr="000C0842">
              <w:rPr>
                <w:rFonts w:ascii="SimSun" w:eastAsia="SimSun" w:hAnsi="SimSun" w:cs="SimSun" w:hint="eastAsia"/>
                <w:kern w:val="2"/>
                <w:sz w:val="20"/>
                <w:szCs w:val="20"/>
              </w:rPr>
              <w:t>红色名录指数（用作食物和药物的物种）</w:t>
            </w:r>
            <w:r w:rsidRPr="000C0842">
              <w:rPr>
                <w:rFonts w:eastAsia="SimSun"/>
                <w:kern w:val="2"/>
                <w:sz w:val="20"/>
                <w:szCs w:val="20"/>
              </w:rPr>
              <w:t xml:space="preserve"> </w:t>
            </w:r>
          </w:p>
          <w:p w14:paraId="0C841DA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rPr>
              <w:t>B</w:t>
            </w:r>
            <w:r w:rsidRPr="000C0842">
              <w:rPr>
                <w:rFonts w:eastAsia="SimSun"/>
              </w:rPr>
              <w:t>.CT.</w:t>
            </w:r>
            <w:r w:rsidRPr="000C0842">
              <w:rPr>
                <w:rFonts w:eastAsia="SimSun" w:hint="eastAsia"/>
              </w:rPr>
              <w:t xml:space="preserve">2 </w:t>
            </w:r>
            <w:r w:rsidRPr="000C0842">
              <w:rPr>
                <w:rFonts w:ascii="SimSun" w:eastAsia="SimSun" w:hAnsi="SimSun" w:cs="SimSun" w:hint="eastAsia"/>
                <w:kern w:val="2"/>
                <w:sz w:val="20"/>
                <w:szCs w:val="20"/>
              </w:rPr>
              <w:t>已利用物种地球生命力指数</w:t>
            </w:r>
          </w:p>
        </w:tc>
        <w:tc>
          <w:tcPr>
            <w:tcW w:w="3114" w:type="dxa"/>
            <w:shd w:val="clear" w:color="auto" w:fill="FFFFFF"/>
          </w:tcPr>
          <w:p w14:paraId="4371CAA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5</w:t>
            </w:r>
            <w:r w:rsidRPr="000C0842">
              <w:rPr>
                <w:rFonts w:eastAsia="SimSun"/>
              </w:rPr>
              <w:t>.CT.</w:t>
            </w:r>
            <w:r w:rsidRPr="000C0842">
              <w:rPr>
                <w:rFonts w:eastAsia="SimSun" w:hint="eastAsia"/>
              </w:rPr>
              <w:t xml:space="preserve">2 </w:t>
            </w:r>
            <w:r w:rsidRPr="000C0842">
              <w:rPr>
                <w:rFonts w:ascii="SimSun" w:eastAsia="SimSun" w:hAnsi="SimSun" w:cs="SimSun" w:hint="eastAsia"/>
                <w:kern w:val="2"/>
                <w:sz w:val="20"/>
                <w:szCs w:val="20"/>
              </w:rPr>
              <w:t>旨在打击非法、未报告和无管制的捕捞的国际文书的执行程度（可持续发展目标指标</w:t>
            </w:r>
            <w:r w:rsidRPr="000C0842">
              <w:rPr>
                <w:rFonts w:eastAsia="SimSun" w:hint="eastAsia"/>
                <w:kern w:val="2"/>
                <w:sz w:val="20"/>
                <w:szCs w:val="20"/>
              </w:rPr>
              <w:t>14.6.1</w:t>
            </w:r>
            <w:r w:rsidRPr="000C0842">
              <w:rPr>
                <w:rFonts w:ascii="SimSun" w:eastAsia="SimSun" w:hAnsi="SimSun" w:cs="SimSun" w:hint="eastAsia"/>
                <w:kern w:val="2"/>
                <w:sz w:val="20"/>
                <w:szCs w:val="20"/>
              </w:rPr>
              <w:t>）</w:t>
            </w:r>
            <w:r w:rsidRPr="000C0842">
              <w:rPr>
                <w:rFonts w:eastAsia="SimSun"/>
                <w:kern w:val="2"/>
                <w:sz w:val="20"/>
                <w:szCs w:val="20"/>
              </w:rPr>
              <w:t xml:space="preserve"> </w:t>
            </w:r>
          </w:p>
          <w:p w14:paraId="7F78841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7 </w:t>
            </w:r>
            <w:r w:rsidRPr="000C0842">
              <w:rPr>
                <w:rFonts w:ascii="SimSun" w:eastAsia="SimSun" w:hAnsi="SimSun" w:cs="SimSun" w:hint="eastAsia"/>
                <w:bCs/>
                <w:kern w:val="2"/>
                <w:sz w:val="20"/>
                <w:szCs w:val="20"/>
              </w:rPr>
              <w:t>海洋管理委员会产销监管链认证持有者数目，按分销国分列</w:t>
            </w:r>
          </w:p>
          <w:p w14:paraId="4D6F75B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9</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bCs/>
                <w:kern w:val="2"/>
                <w:sz w:val="20"/>
                <w:szCs w:val="20"/>
              </w:rPr>
              <w:t>产卵种群生物量（与商业开发的物种有关）</w:t>
            </w:r>
          </w:p>
          <w:p w14:paraId="4804AD5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4</w:t>
            </w:r>
            <w:r w:rsidRPr="000C0842">
              <w:rPr>
                <w:rFonts w:eastAsia="SimSun"/>
              </w:rPr>
              <w:t>.CT.</w:t>
            </w:r>
            <w:r w:rsidRPr="000C0842">
              <w:rPr>
                <w:rFonts w:eastAsia="SimSun" w:hint="eastAsia"/>
              </w:rPr>
              <w:t xml:space="preserve">1 </w:t>
            </w:r>
            <w:r w:rsidRPr="000C0842">
              <w:rPr>
                <w:rFonts w:ascii="SimSun" w:eastAsia="SimSun" w:hAnsi="SimSun" w:cs="SimSun" w:hint="eastAsia"/>
                <w:kern w:val="2"/>
                <w:sz w:val="20"/>
                <w:szCs w:val="20"/>
              </w:rPr>
              <w:t>中期或长期养护设施所保存的粮食和农业</w:t>
            </w:r>
            <w:r w:rsidRPr="000C0842">
              <w:rPr>
                <w:rFonts w:eastAsia="SimSun" w:hint="eastAsia"/>
                <w:kern w:val="2"/>
                <w:sz w:val="20"/>
                <w:szCs w:val="20"/>
              </w:rPr>
              <w:t>(a)</w:t>
            </w:r>
            <w:r w:rsidRPr="000C0842">
              <w:rPr>
                <w:rFonts w:ascii="SimSun" w:eastAsia="SimSun" w:hAnsi="SimSun" w:cs="SimSun" w:hint="eastAsia"/>
                <w:kern w:val="2"/>
                <w:sz w:val="20"/>
                <w:szCs w:val="20"/>
              </w:rPr>
              <w:t>植物和</w:t>
            </w:r>
            <w:r w:rsidRPr="000C0842">
              <w:rPr>
                <w:rFonts w:eastAsia="SimSun" w:hint="eastAsia"/>
                <w:kern w:val="2"/>
                <w:sz w:val="20"/>
                <w:szCs w:val="20"/>
              </w:rPr>
              <w:t>(b)</w:t>
            </w:r>
            <w:r w:rsidRPr="000C0842">
              <w:rPr>
                <w:rFonts w:ascii="SimSun" w:eastAsia="SimSun" w:hAnsi="SimSun" w:cs="SimSun" w:hint="eastAsia"/>
                <w:kern w:val="2"/>
                <w:sz w:val="20"/>
                <w:szCs w:val="20"/>
              </w:rPr>
              <w:t>动物遗传资源的数目</w:t>
            </w:r>
            <w:r w:rsidRPr="000C0842">
              <w:rPr>
                <w:rFonts w:eastAsia="SimSun"/>
                <w:kern w:val="2"/>
                <w:sz w:val="20"/>
                <w:szCs w:val="20"/>
              </w:rPr>
              <w:t xml:space="preserve"> </w:t>
            </w:r>
          </w:p>
          <w:p w14:paraId="767B196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9</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bCs/>
                <w:kern w:val="2"/>
                <w:sz w:val="20"/>
                <w:szCs w:val="20"/>
              </w:rPr>
              <w:t>每个劳动力单位的生产量，按农业</w:t>
            </w:r>
            <w:r w:rsidRPr="000C0842">
              <w:rPr>
                <w:rFonts w:eastAsia="SimSun"/>
                <w:bCs/>
                <w:kern w:val="2"/>
                <w:sz w:val="20"/>
                <w:szCs w:val="20"/>
              </w:rPr>
              <w:t>/</w:t>
            </w:r>
            <w:r w:rsidRPr="000C0842">
              <w:rPr>
                <w:rFonts w:ascii="SimSun" w:eastAsia="SimSun" w:hAnsi="SimSun" w:cs="SimSun" w:hint="eastAsia"/>
                <w:bCs/>
                <w:kern w:val="2"/>
                <w:sz w:val="20"/>
                <w:szCs w:val="20"/>
              </w:rPr>
              <w:t>畜牧</w:t>
            </w:r>
            <w:r w:rsidRPr="000C0842">
              <w:rPr>
                <w:rFonts w:eastAsia="SimSun"/>
                <w:bCs/>
                <w:kern w:val="2"/>
                <w:sz w:val="20"/>
                <w:szCs w:val="20"/>
              </w:rPr>
              <w:t>/</w:t>
            </w:r>
            <w:r w:rsidRPr="000C0842">
              <w:rPr>
                <w:rFonts w:ascii="SimSun" w:eastAsia="SimSun" w:hAnsi="SimSun" w:cs="SimSun" w:hint="eastAsia"/>
                <w:bCs/>
                <w:kern w:val="2"/>
                <w:sz w:val="20"/>
                <w:szCs w:val="20"/>
              </w:rPr>
              <w:t>林业企业的规模级别分列</w:t>
            </w:r>
          </w:p>
          <w:p w14:paraId="6B8B729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红色名录指数（渔业的影响）</w:t>
            </w:r>
            <w:r w:rsidRPr="000C0842">
              <w:rPr>
                <w:rFonts w:eastAsia="SimSun"/>
                <w:kern w:val="2"/>
                <w:sz w:val="20"/>
                <w:szCs w:val="20"/>
              </w:rPr>
              <w:t xml:space="preserve"> </w:t>
            </w:r>
          </w:p>
          <w:p w14:paraId="5FB7FEC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9</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红色名录指数（利用的影响）</w:t>
            </w:r>
            <w:r w:rsidRPr="000C0842">
              <w:rPr>
                <w:rFonts w:eastAsia="SimSun"/>
                <w:kern w:val="2"/>
                <w:sz w:val="20"/>
                <w:szCs w:val="20"/>
              </w:rPr>
              <w:t xml:space="preserve"> </w:t>
            </w:r>
          </w:p>
        </w:tc>
      </w:tr>
      <w:tr w:rsidR="000C0842" w:rsidRPr="000C0842" w14:paraId="5158D5B8" w14:textId="77777777" w:rsidTr="001F32B3">
        <w:tc>
          <w:tcPr>
            <w:tcW w:w="759" w:type="dxa"/>
            <w:shd w:val="clear" w:color="auto" w:fill="FFFFFF"/>
          </w:tcPr>
          <w:p w14:paraId="43975874"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10</w:t>
            </w:r>
          </w:p>
        </w:tc>
        <w:tc>
          <w:tcPr>
            <w:tcW w:w="1287" w:type="dxa"/>
            <w:shd w:val="clear" w:color="auto" w:fill="FFFFFF"/>
          </w:tcPr>
          <w:p w14:paraId="2029338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10.1</w:t>
            </w:r>
            <w:r w:rsidRPr="000C0842">
              <w:rPr>
                <w:rFonts w:eastAsia="SimSun" w:hint="eastAsia"/>
                <w:kern w:val="2"/>
                <w:sz w:val="20"/>
                <w:szCs w:val="20"/>
                <w:lang w:val="en-GB"/>
              </w:rPr>
              <w:t>生产性和可持续农业占农地面积的比例</w:t>
            </w:r>
          </w:p>
          <w:p w14:paraId="67AAB6A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1B2D309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10.2</w:t>
            </w:r>
            <w:r w:rsidRPr="000C0842">
              <w:rPr>
                <w:rFonts w:eastAsia="SimSun" w:hint="eastAsia"/>
                <w:kern w:val="2"/>
                <w:sz w:val="20"/>
                <w:szCs w:val="20"/>
                <w:lang w:val="en-GB"/>
              </w:rPr>
              <w:t>实施可持续森林管理的进展</w:t>
            </w:r>
          </w:p>
        </w:tc>
        <w:tc>
          <w:tcPr>
            <w:tcW w:w="2189" w:type="dxa"/>
            <w:shd w:val="clear" w:color="auto" w:fill="FFFFFF"/>
          </w:tcPr>
          <w:p w14:paraId="2FAE764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10.1</w:t>
            </w:r>
            <w:r w:rsidRPr="000C0842">
              <w:rPr>
                <w:rFonts w:eastAsia="SimSun" w:hint="eastAsia"/>
                <w:kern w:val="2"/>
                <w:sz w:val="20"/>
                <w:szCs w:val="20"/>
                <w:lang w:val="en-GB"/>
              </w:rPr>
              <w:t>的细分办法：</w:t>
            </w:r>
          </w:p>
          <w:p w14:paraId="52FCAF6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按家庭农场和非家庭农场部门细分</w:t>
            </w:r>
            <w:r w:rsidRPr="000C0842">
              <w:rPr>
                <w:rFonts w:eastAsia="SimSun"/>
                <w:kern w:val="2"/>
                <w:sz w:val="20"/>
                <w:szCs w:val="20"/>
                <w:lang w:val="en-GB"/>
              </w:rPr>
              <w:t xml:space="preserve"> </w:t>
            </w:r>
          </w:p>
          <w:p w14:paraId="42E1D6F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按作物和牲畜细分</w:t>
            </w:r>
            <w:r w:rsidRPr="000C0842">
              <w:rPr>
                <w:rFonts w:eastAsia="SimSun"/>
                <w:kern w:val="2"/>
                <w:sz w:val="20"/>
                <w:szCs w:val="20"/>
                <w:lang w:val="en-GB"/>
              </w:rPr>
              <w:t xml:space="preserve"> </w:t>
            </w:r>
          </w:p>
          <w:p w14:paraId="6CFF8AD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227DD87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10.2</w:t>
            </w:r>
            <w:r w:rsidRPr="000C0842">
              <w:rPr>
                <w:rFonts w:eastAsia="SimSun" w:hint="eastAsia"/>
                <w:kern w:val="2"/>
                <w:sz w:val="20"/>
                <w:szCs w:val="20"/>
                <w:lang w:val="en-GB"/>
              </w:rPr>
              <w:t>的细分办法</w:t>
            </w:r>
          </w:p>
          <w:p w14:paraId="50E5DAA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按土著和传统领地细分</w:t>
            </w:r>
          </w:p>
          <w:p w14:paraId="1D01B32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65419B8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10</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小型粮食生产者的平均收入，</w:t>
            </w:r>
            <w:r w:rsidRPr="000C0842">
              <w:rPr>
                <w:rFonts w:eastAsia="SimSun" w:hint="eastAsia"/>
              </w:rPr>
              <w:t>按性别和土著身份分列</w:t>
            </w:r>
          </w:p>
        </w:tc>
        <w:tc>
          <w:tcPr>
            <w:tcW w:w="3114" w:type="dxa"/>
            <w:shd w:val="clear" w:color="auto" w:fill="FFFFFF"/>
          </w:tcPr>
          <w:p w14:paraId="20F8802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农业生物多样性指数</w:t>
            </w:r>
          </w:p>
          <w:p w14:paraId="7858560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bCs/>
                <w:kern w:val="2"/>
                <w:sz w:val="20"/>
                <w:szCs w:val="20"/>
              </w:rPr>
              <w:t>土壤有机碳储量</w:t>
            </w:r>
            <w:r w:rsidRPr="000C0842">
              <w:rPr>
                <w:rFonts w:eastAsia="SimSun"/>
                <w:kern w:val="2"/>
                <w:sz w:val="20"/>
                <w:szCs w:val="20"/>
              </w:rPr>
              <w:t xml:space="preserve"> </w:t>
            </w:r>
          </w:p>
          <w:p w14:paraId="6FE8C41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A</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19 </w:t>
            </w:r>
            <w:r w:rsidRPr="000C0842">
              <w:rPr>
                <w:rFonts w:ascii="SimSun" w:eastAsia="SimSun" w:hAnsi="SimSun" w:cs="SimSun" w:hint="eastAsia"/>
                <w:kern w:val="2"/>
                <w:sz w:val="20"/>
                <w:szCs w:val="20"/>
              </w:rPr>
              <w:t>红色名录指数（</w:t>
            </w:r>
            <w:r w:rsidRPr="000C0842">
              <w:rPr>
                <w:rFonts w:ascii="SimSun" w:eastAsia="SimSun" w:hAnsi="SimSun" w:cs="SimSun" w:hint="eastAsia"/>
                <w:bCs/>
                <w:kern w:val="2"/>
                <w:sz w:val="20"/>
                <w:szCs w:val="20"/>
              </w:rPr>
              <w:t>家畜的野生亲缘种</w:t>
            </w:r>
            <w:r w:rsidRPr="000C0842">
              <w:rPr>
                <w:rFonts w:ascii="SimSun" w:eastAsia="SimSun" w:hAnsi="SimSun" w:cs="SimSun" w:hint="eastAsia"/>
                <w:kern w:val="2"/>
                <w:sz w:val="20"/>
                <w:szCs w:val="20"/>
              </w:rPr>
              <w:t>）</w:t>
            </w:r>
            <w:r w:rsidRPr="000C0842">
              <w:rPr>
                <w:rFonts w:eastAsia="SimSun"/>
                <w:kern w:val="2"/>
                <w:sz w:val="20"/>
                <w:szCs w:val="20"/>
              </w:rPr>
              <w:t xml:space="preserve"> </w:t>
            </w:r>
          </w:p>
          <w:p w14:paraId="4FB7DB9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B</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红色名录指数（授粉物种）</w:t>
            </w:r>
          </w:p>
          <w:p w14:paraId="5B70B22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红色名录指数（森林特有物种）</w:t>
            </w:r>
            <w:r w:rsidRPr="000C0842">
              <w:rPr>
                <w:rFonts w:eastAsia="SimSun"/>
                <w:kern w:val="2"/>
                <w:sz w:val="20"/>
                <w:szCs w:val="20"/>
              </w:rPr>
              <w:t xml:space="preserve"> </w:t>
            </w:r>
          </w:p>
          <w:p w14:paraId="0D6EA09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红色名录指数</w:t>
            </w:r>
            <w:r w:rsidRPr="000C0842">
              <w:rPr>
                <w:rFonts w:eastAsia="SimSun"/>
                <w:kern w:val="2"/>
                <w:sz w:val="20"/>
                <w:szCs w:val="20"/>
              </w:rPr>
              <w:t xml:space="preserve"> </w:t>
            </w:r>
            <w:r w:rsidRPr="000C0842">
              <w:rPr>
                <w:rFonts w:ascii="SimSun" w:eastAsia="SimSun" w:hAnsi="SimSun" w:cs="SimSun" w:hint="eastAsia"/>
                <w:kern w:val="2"/>
                <w:sz w:val="20"/>
                <w:szCs w:val="20"/>
              </w:rPr>
              <w:t>（渔业的影响）</w:t>
            </w:r>
            <w:r w:rsidRPr="000C0842">
              <w:rPr>
                <w:rFonts w:eastAsia="SimSun"/>
                <w:kern w:val="2"/>
                <w:sz w:val="20"/>
                <w:szCs w:val="20"/>
              </w:rPr>
              <w:t xml:space="preserve"> </w:t>
            </w:r>
          </w:p>
          <w:p w14:paraId="68146DD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4</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4 </w:t>
            </w:r>
            <w:r w:rsidRPr="000C0842">
              <w:rPr>
                <w:rFonts w:ascii="SimSun" w:eastAsia="SimSun" w:hAnsi="SimSun" w:cs="SimSun" w:hint="eastAsia"/>
                <w:bCs/>
                <w:kern w:val="2"/>
                <w:sz w:val="20"/>
                <w:szCs w:val="20"/>
              </w:rPr>
              <w:t>被列为面临灭绝风险的地方品种所占比例</w:t>
            </w:r>
          </w:p>
          <w:p w14:paraId="72C6C3E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退化土地占土地总面积的比例</w:t>
            </w:r>
          </w:p>
          <w:p w14:paraId="4E560C8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可持续管理的森林面积：森林管理委员会和森林认证认可方案发放的森林管理认证</w:t>
            </w:r>
            <w:hyperlink r:id="rId285" w:history="1">
              <w:r w:rsidRPr="000C0842">
                <w:rPr>
                  <w:rFonts w:ascii="SimSun" w:eastAsia="SimSun" w:hAnsi="SimSun" w:cs="SimSun" w:hint="eastAsia"/>
                  <w:kern w:val="2"/>
                  <w:sz w:val="20"/>
                  <w:szCs w:val="20"/>
                </w:rPr>
                <w:t>总数</w:t>
              </w:r>
            </w:hyperlink>
            <w:r w:rsidRPr="000C0842">
              <w:rPr>
                <w:rFonts w:eastAsia="SimSun"/>
                <w:kern w:val="2"/>
                <w:sz w:val="20"/>
                <w:szCs w:val="20"/>
              </w:rPr>
              <w:t xml:space="preserve"> </w:t>
            </w:r>
          </w:p>
          <w:p w14:paraId="562B2C8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lang w:val="en-GB"/>
              </w:rPr>
            </w:pPr>
          </w:p>
        </w:tc>
      </w:tr>
      <w:tr w:rsidR="000C0842" w:rsidRPr="000C0842" w14:paraId="604AD973" w14:textId="77777777" w:rsidTr="001F32B3">
        <w:tc>
          <w:tcPr>
            <w:tcW w:w="759" w:type="dxa"/>
            <w:shd w:val="clear" w:color="auto" w:fill="FFFFFF"/>
          </w:tcPr>
          <w:p w14:paraId="580BCC09"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11</w:t>
            </w:r>
          </w:p>
        </w:tc>
        <w:tc>
          <w:tcPr>
            <w:tcW w:w="1287" w:type="dxa"/>
            <w:shd w:val="clear" w:color="auto" w:fill="FFFFFF"/>
          </w:tcPr>
          <w:p w14:paraId="579F471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B.1</w:t>
            </w:r>
            <w:r w:rsidRPr="000C0842">
              <w:rPr>
                <w:rFonts w:eastAsia="SimSun" w:hint="eastAsia"/>
                <w:kern w:val="2"/>
                <w:sz w:val="20"/>
                <w:szCs w:val="20"/>
                <w:lang w:val="en-GB"/>
              </w:rPr>
              <w:t>生态系统提供的服务</w:t>
            </w:r>
          </w:p>
        </w:tc>
        <w:tc>
          <w:tcPr>
            <w:tcW w:w="2189" w:type="dxa"/>
            <w:shd w:val="clear" w:color="auto" w:fill="FFFFFF"/>
          </w:tcPr>
          <w:p w14:paraId="147724A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B</w:t>
            </w:r>
            <w:r w:rsidRPr="000C0842">
              <w:rPr>
                <w:rFonts w:eastAsia="SimSun" w:hint="eastAsia"/>
                <w:kern w:val="2"/>
                <w:sz w:val="20"/>
                <w:szCs w:val="20"/>
                <w:lang w:val="en-GB"/>
              </w:rPr>
              <w:t>下叙述</w:t>
            </w:r>
          </w:p>
          <w:p w14:paraId="39C7138F"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2546217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城市年度细颗粒物（例如</w:t>
            </w:r>
            <w:r w:rsidRPr="000C0842">
              <w:rPr>
                <w:rFonts w:eastAsia="SimSun"/>
                <w:kern w:val="2"/>
                <w:sz w:val="20"/>
                <w:szCs w:val="20"/>
              </w:rPr>
              <w:t>PM</w:t>
            </w:r>
            <w:r w:rsidRPr="000C0842">
              <w:rPr>
                <w:rFonts w:eastAsia="SimSun"/>
                <w:kern w:val="2"/>
                <w:sz w:val="20"/>
                <w:szCs w:val="20"/>
                <w:vertAlign w:val="subscript"/>
              </w:rPr>
              <w:t xml:space="preserve">2.5 </w:t>
            </w:r>
            <w:r w:rsidRPr="000C0842">
              <w:rPr>
                <w:rFonts w:ascii="SimSun" w:eastAsia="SimSun" w:hAnsi="SimSun" w:cs="SimSun" w:hint="eastAsia"/>
                <w:kern w:val="2"/>
                <w:sz w:val="20"/>
                <w:szCs w:val="20"/>
              </w:rPr>
              <w:t>和</w:t>
            </w:r>
            <w:r w:rsidRPr="000C0842">
              <w:rPr>
                <w:rFonts w:eastAsia="SimSun"/>
                <w:kern w:val="2"/>
                <w:sz w:val="20"/>
                <w:szCs w:val="20"/>
              </w:rPr>
              <w:t>PM</w:t>
            </w:r>
            <w:r w:rsidRPr="000C0842">
              <w:rPr>
                <w:rFonts w:eastAsia="SimSun"/>
                <w:kern w:val="2"/>
                <w:sz w:val="20"/>
                <w:szCs w:val="20"/>
                <w:vertAlign w:val="subscript"/>
              </w:rPr>
              <w:t>10</w:t>
            </w:r>
            <w:r w:rsidRPr="000C0842">
              <w:rPr>
                <w:rFonts w:ascii="SimSun" w:eastAsia="SimSun" w:hAnsi="SimSun" w:cs="SimSun" w:hint="eastAsia"/>
                <w:kern w:val="2"/>
                <w:sz w:val="20"/>
                <w:szCs w:val="20"/>
              </w:rPr>
              <w:t>）平均水平</w:t>
            </w:r>
            <w:r w:rsidRPr="000C0842">
              <w:rPr>
                <w:rFonts w:eastAsia="SimSun"/>
                <w:kern w:val="2"/>
                <w:sz w:val="20"/>
                <w:szCs w:val="20"/>
              </w:rPr>
              <w:t xml:space="preserve"> </w:t>
            </w:r>
          </w:p>
          <w:p w14:paraId="0E7E241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环境水质良好的水体所占比例</w:t>
            </w:r>
          </w:p>
          <w:p w14:paraId="183ACAF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3 </w:t>
            </w:r>
            <w:r w:rsidRPr="000C0842">
              <w:rPr>
                <w:rFonts w:eastAsia="SimSun" w:hint="eastAsia"/>
              </w:rPr>
              <w:t>用水进展</w:t>
            </w:r>
            <w:r w:rsidRPr="000C0842">
              <w:rPr>
                <w:rFonts w:ascii="SimSun" w:eastAsia="SimSun" w:hAnsi="SimSun" w:cs="SimSun" w:hint="eastAsia"/>
                <w:kern w:val="2"/>
                <w:sz w:val="20"/>
                <w:szCs w:val="20"/>
              </w:rPr>
              <w:t>程度：淡水汲取量占可用淡水资源的比例</w:t>
            </w:r>
            <w:r w:rsidRPr="000C0842">
              <w:rPr>
                <w:rFonts w:eastAsia="SimSun"/>
                <w:kern w:val="2"/>
                <w:sz w:val="20"/>
                <w:szCs w:val="20"/>
              </w:rPr>
              <w:t xml:space="preserve"> </w:t>
            </w:r>
          </w:p>
        </w:tc>
        <w:tc>
          <w:tcPr>
            <w:tcW w:w="3114" w:type="dxa"/>
            <w:shd w:val="clear" w:color="auto" w:fill="FFFFFF"/>
          </w:tcPr>
          <w:p w14:paraId="2288317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bCs/>
                <w:kern w:val="2"/>
                <w:sz w:val="20"/>
                <w:szCs w:val="20"/>
              </w:rPr>
              <w:t>空气排放账户</w:t>
            </w:r>
          </w:p>
          <w:p w14:paraId="5DDE07E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bCs/>
                <w:kern w:val="2"/>
                <w:sz w:val="20"/>
                <w:szCs w:val="20"/>
              </w:rPr>
              <w:t>制定和正在实施政策和程序，使地方社区参与水和环境卫生管理的地方行政单位所占比例</w:t>
            </w:r>
          </w:p>
          <w:p w14:paraId="29E318A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bCs/>
                <w:kern w:val="2"/>
                <w:sz w:val="20"/>
                <w:szCs w:val="20"/>
              </w:rPr>
              <w:t>使用安全管理的饮水服务的人口所占比例</w:t>
            </w:r>
            <w:r w:rsidRPr="000C0842">
              <w:rPr>
                <w:rFonts w:eastAsia="SimSun"/>
                <w:kern w:val="2"/>
                <w:sz w:val="20"/>
                <w:szCs w:val="20"/>
              </w:rPr>
              <w:t xml:space="preserve"> </w:t>
            </w:r>
          </w:p>
          <w:p w14:paraId="08361E7C" w14:textId="19104A4E"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不安全供水、不安全环卫设施以及缺乏个人卫生</w:t>
            </w:r>
            <w:r w:rsidR="00997EE8" w:rsidRPr="000C0842">
              <w:rPr>
                <w:rFonts w:ascii="SimSun" w:eastAsia="SimSun" w:hAnsi="SimSun" w:cs="SimSun" w:hint="eastAsia"/>
                <w:kern w:val="2"/>
                <w:sz w:val="20"/>
                <w:szCs w:val="20"/>
              </w:rPr>
              <w:t>（</w:t>
            </w:r>
            <w:r w:rsidRPr="000C0842">
              <w:rPr>
                <w:rFonts w:ascii="SimSun" w:eastAsia="SimSun" w:hAnsi="SimSun" w:cs="SimSun" w:hint="eastAsia"/>
                <w:kern w:val="2"/>
                <w:sz w:val="20"/>
                <w:szCs w:val="20"/>
              </w:rPr>
              <w:t>接触人人享有饮水、环境卫生和个人卫生项目（水卫项目）所述不安全服务</w:t>
            </w:r>
            <w:r w:rsidR="00997EE8" w:rsidRPr="000C0842">
              <w:rPr>
                <w:rFonts w:ascii="SimSun" w:eastAsia="SimSun" w:hAnsi="SimSun" w:cs="SimSun" w:hint="eastAsia"/>
                <w:kern w:val="2"/>
                <w:sz w:val="20"/>
                <w:szCs w:val="20"/>
              </w:rPr>
              <w:t>）</w:t>
            </w:r>
            <w:r w:rsidRPr="000C0842">
              <w:rPr>
                <w:rFonts w:ascii="SimSun" w:eastAsia="SimSun" w:hAnsi="SimSun" w:cs="SimSun" w:hint="eastAsia"/>
                <w:kern w:val="2"/>
                <w:sz w:val="20"/>
                <w:szCs w:val="20"/>
              </w:rPr>
              <w:t>导致的死亡率</w:t>
            </w:r>
          </w:p>
          <w:p w14:paraId="1F3C1DAB" w14:textId="77777777" w:rsidR="004C57B0" w:rsidRPr="000C0842" w:rsidRDefault="004C57B0" w:rsidP="004C57B0">
            <w:pPr>
              <w:tabs>
                <w:tab w:val="clear" w:pos="567"/>
                <w:tab w:val="clear" w:pos="1134"/>
                <w:tab w:val="clear" w:pos="1701"/>
                <w:tab w:val="clear" w:pos="2268"/>
              </w:tabs>
              <w:spacing w:before="60"/>
              <w:ind w:left="245" w:hanging="245"/>
              <w:rPr>
                <w:rFonts w:eastAsia="SimSun"/>
                <w:kern w:val="2"/>
                <w:sz w:val="20"/>
                <w:szCs w:val="20"/>
              </w:rPr>
            </w:pPr>
            <w:r w:rsidRPr="000C0842">
              <w:rPr>
                <w:rFonts w:eastAsia="SimSun" w:hint="eastAsia"/>
                <w:lang w:val="en-GB"/>
              </w:rPr>
              <w:t>11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5 </w:t>
            </w:r>
            <w:r w:rsidRPr="000C0842">
              <w:rPr>
                <w:rFonts w:ascii="SimSun" w:eastAsia="SimSun" w:hAnsi="SimSun" w:cs="SimSun" w:hint="eastAsia"/>
                <w:kern w:val="2"/>
                <w:sz w:val="20"/>
                <w:szCs w:val="20"/>
              </w:rPr>
              <w:t>每 10 万人中因灾害死亡、失踪和直接受影响的人数</w:t>
            </w:r>
          </w:p>
        </w:tc>
      </w:tr>
      <w:tr w:rsidR="000C0842" w:rsidRPr="000C0842" w14:paraId="41EA576A" w14:textId="77777777" w:rsidTr="001F32B3">
        <w:tc>
          <w:tcPr>
            <w:tcW w:w="759" w:type="dxa"/>
            <w:shd w:val="clear" w:color="auto" w:fill="FFFFFF"/>
          </w:tcPr>
          <w:p w14:paraId="3284F0B0"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12</w:t>
            </w:r>
          </w:p>
        </w:tc>
        <w:tc>
          <w:tcPr>
            <w:tcW w:w="1287" w:type="dxa"/>
            <w:shd w:val="clear" w:color="auto" w:fill="FFFFFF"/>
          </w:tcPr>
          <w:p w14:paraId="3112569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12.1</w:t>
            </w:r>
            <w:r w:rsidRPr="000C0842">
              <w:rPr>
                <w:rFonts w:eastAsia="SimSun" w:hint="eastAsia"/>
                <w:kern w:val="2"/>
                <w:sz w:val="20"/>
                <w:szCs w:val="20"/>
                <w:lang w:val="en-GB"/>
              </w:rPr>
              <w:t>供公共使用的绿色或蓝色空间占城市建筑区的平均比例</w:t>
            </w:r>
          </w:p>
          <w:p w14:paraId="2790EA13"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12.b</w:t>
            </w:r>
            <w:r w:rsidRPr="000C0842">
              <w:rPr>
                <w:rFonts w:eastAsia="SimSun" w:hint="eastAsia"/>
                <w:bCs/>
                <w:kern w:val="2"/>
                <w:sz w:val="20"/>
                <w:szCs w:val="20"/>
                <w:lang w:val="en-GB"/>
                <w14:ligatures w14:val="standardContextual"/>
              </w:rPr>
              <w:t>已</w:t>
            </w:r>
            <w:r w:rsidRPr="000C0842">
              <w:rPr>
                <w:rFonts w:eastAsia="SimSun"/>
                <w:bCs/>
                <w:kern w:val="22"/>
                <w:sz w:val="20"/>
                <w:szCs w:val="20"/>
                <w14:ligatures w14:val="standardContextual"/>
              </w:rPr>
              <w:t>制定涉及绿色或蓝色城市空间</w:t>
            </w:r>
            <w:r w:rsidRPr="000C0842">
              <w:rPr>
                <w:rFonts w:eastAsia="SimSun" w:hint="eastAsia"/>
                <w:bCs/>
                <w:kern w:val="22"/>
                <w:sz w:val="20"/>
                <w:szCs w:val="20"/>
                <w14:ligatures w14:val="standardContextual"/>
              </w:rPr>
              <w:t>的</w:t>
            </w:r>
            <w:r w:rsidRPr="000C0842">
              <w:rPr>
                <w:rFonts w:eastAsia="SimSun"/>
                <w:bCs/>
                <w:kern w:val="22"/>
                <w:sz w:val="20"/>
                <w:szCs w:val="20"/>
                <w14:ligatures w14:val="standardContextual"/>
              </w:rPr>
              <w:t>涵盖生物多样性的城市规划的国家数</w:t>
            </w:r>
            <w:r w:rsidRPr="000C0842">
              <w:rPr>
                <w:rFonts w:eastAsia="SimSun" w:hint="eastAsia"/>
                <w:bCs/>
                <w:kern w:val="22"/>
                <w:sz w:val="20"/>
                <w:szCs w:val="20"/>
                <w14:ligatures w14:val="standardContextual"/>
              </w:rPr>
              <w:t>目</w:t>
            </w:r>
          </w:p>
        </w:tc>
        <w:tc>
          <w:tcPr>
            <w:tcW w:w="2189" w:type="dxa"/>
            <w:shd w:val="clear" w:color="auto" w:fill="FFFFFF"/>
          </w:tcPr>
          <w:p w14:paraId="7D70A11B"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按空间类型细分：按领域、生物群系和生态系统功能群</w:t>
            </w:r>
            <w:r w:rsidRPr="000C0842">
              <w:rPr>
                <w:rFonts w:eastAsia="SimSun" w:hint="eastAsia"/>
                <w:iCs/>
                <w:kern w:val="2"/>
                <w:sz w:val="20"/>
                <w:szCs w:val="20"/>
              </w:rPr>
              <w:t>（全球生态系统类型学的第</w:t>
            </w:r>
            <w:r w:rsidRPr="000C0842">
              <w:rPr>
                <w:rFonts w:eastAsia="SimSun"/>
                <w:iCs/>
                <w:kern w:val="2"/>
                <w:sz w:val="20"/>
                <w:szCs w:val="20"/>
              </w:rPr>
              <w:t>2</w:t>
            </w:r>
            <w:r w:rsidRPr="000C0842">
              <w:rPr>
                <w:rFonts w:eastAsia="SimSun" w:hint="eastAsia"/>
                <w:iCs/>
                <w:kern w:val="2"/>
                <w:sz w:val="20"/>
                <w:szCs w:val="20"/>
              </w:rPr>
              <w:t>和第</w:t>
            </w:r>
            <w:r w:rsidRPr="000C0842">
              <w:rPr>
                <w:rFonts w:eastAsia="SimSun"/>
                <w:iCs/>
                <w:kern w:val="2"/>
                <w:sz w:val="20"/>
                <w:szCs w:val="20"/>
              </w:rPr>
              <w:t>3</w:t>
            </w:r>
            <w:r w:rsidRPr="000C0842">
              <w:rPr>
                <w:rFonts w:eastAsia="SimSun" w:hint="eastAsia"/>
                <w:iCs/>
                <w:kern w:val="2"/>
                <w:sz w:val="20"/>
                <w:szCs w:val="20"/>
              </w:rPr>
              <w:t>级或同等级别）</w:t>
            </w:r>
          </w:p>
          <w:p w14:paraId="64E1909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3C745CB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57151E2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12</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新加坡城市生物多样性指数</w:t>
            </w:r>
          </w:p>
        </w:tc>
        <w:tc>
          <w:tcPr>
            <w:tcW w:w="3114" w:type="dxa"/>
            <w:shd w:val="clear" w:color="auto" w:fill="FFFFFF"/>
          </w:tcPr>
          <w:p w14:paraId="6033E523" w14:textId="77777777" w:rsidR="004C57B0" w:rsidRPr="000C0842" w:rsidRDefault="004C57B0" w:rsidP="004C57B0">
            <w:pPr>
              <w:spacing w:before="60"/>
              <w:ind w:left="245" w:hanging="245"/>
              <w:jc w:val="left"/>
              <w:rPr>
                <w:rFonts w:eastAsia="SimSun"/>
                <w:kern w:val="2"/>
                <w:sz w:val="20"/>
                <w:szCs w:val="20"/>
              </w:rPr>
            </w:pPr>
            <w:r w:rsidRPr="000C0842">
              <w:rPr>
                <w:rFonts w:eastAsia="SimSun" w:hint="eastAsia"/>
                <w:kern w:val="2"/>
                <w:sz w:val="20"/>
                <w:szCs w:val="20"/>
              </w:rPr>
              <w:t>..</w:t>
            </w:r>
          </w:p>
        </w:tc>
      </w:tr>
      <w:tr w:rsidR="000C0842" w:rsidRPr="000C0842" w14:paraId="19976F90" w14:textId="77777777" w:rsidTr="001F32B3">
        <w:tc>
          <w:tcPr>
            <w:tcW w:w="759" w:type="dxa"/>
            <w:shd w:val="clear" w:color="auto" w:fill="FFFFFF"/>
          </w:tcPr>
          <w:p w14:paraId="56286655"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13</w:t>
            </w:r>
          </w:p>
        </w:tc>
        <w:tc>
          <w:tcPr>
            <w:tcW w:w="1287" w:type="dxa"/>
            <w:shd w:val="clear" w:color="auto" w:fill="FFFFFF"/>
          </w:tcPr>
          <w:p w14:paraId="66EAA92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C.1</w:t>
            </w:r>
            <w:r w:rsidRPr="000C0842">
              <w:rPr>
                <w:rFonts w:eastAsia="SimSun" w:hint="eastAsia"/>
                <w:kern w:val="2"/>
                <w:sz w:val="20"/>
                <w:szCs w:val="20"/>
              </w:rPr>
              <w:t>根据适用的国际商定获取和惠益分享文书收取的货币惠益</w:t>
            </w:r>
          </w:p>
          <w:p w14:paraId="536790E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C.2</w:t>
            </w:r>
            <w:r w:rsidRPr="000C0842">
              <w:rPr>
                <w:rFonts w:eastAsia="SimSun" w:hint="eastAsia"/>
                <w:kern w:val="2"/>
                <w:sz w:val="20"/>
                <w:szCs w:val="20"/>
              </w:rPr>
              <w:t>根据适用的国际商定获取和惠益分享文书收取的非货币惠益</w:t>
            </w:r>
          </w:p>
          <w:p w14:paraId="472E20E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4FB0AF2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vertAlign w:val="superscript"/>
                <w:lang w:val="en-GB"/>
              </w:rPr>
            </w:pPr>
            <w:r w:rsidRPr="000C0842">
              <w:rPr>
                <w:rFonts w:eastAsia="SimSun" w:hint="eastAsia"/>
                <w:kern w:val="2"/>
                <w:sz w:val="20"/>
                <w:szCs w:val="20"/>
                <w:lang w:val="en-GB"/>
              </w:rPr>
              <w:t>13</w:t>
            </w:r>
            <w:r w:rsidRPr="000C0842">
              <w:rPr>
                <w:rFonts w:eastAsia="SimSun"/>
                <w:kern w:val="2"/>
                <w:sz w:val="20"/>
                <w:szCs w:val="20"/>
                <w:lang w:val="en-GB"/>
              </w:rPr>
              <w:t>.b</w:t>
            </w:r>
            <w:r w:rsidRPr="000C0842">
              <w:rPr>
                <w:rFonts w:eastAsia="SimSun" w:hint="eastAsia"/>
                <w:kern w:val="2"/>
                <w:sz w:val="20"/>
                <w:szCs w:val="20"/>
                <w:lang w:val="en-GB"/>
              </w:rPr>
              <w:t xml:space="preserve"> </w:t>
            </w:r>
            <w:r w:rsidRPr="000C0842">
              <w:rPr>
                <w:rFonts w:eastAsia="SimSun"/>
                <w:kern w:val="2"/>
                <w:sz w:val="20"/>
                <w:szCs w:val="20"/>
                <w:lang w:val="en-GB"/>
              </w:rPr>
              <w:t>酌情在各级采取有效的法律、政策、行政和能力建设措施，以确保公正和公平分享利用遗传资源、遗传资源数字序列信息以及与遗传资源相关的传统知识所</w:t>
            </w:r>
            <w:r w:rsidRPr="000C0842">
              <w:rPr>
                <w:rFonts w:eastAsia="SimSun" w:hint="eastAsia"/>
                <w:kern w:val="2"/>
                <w:sz w:val="20"/>
                <w:szCs w:val="20"/>
                <w:lang w:val="en-GB"/>
              </w:rPr>
              <w:t>产生</w:t>
            </w:r>
            <w:r w:rsidRPr="000C0842">
              <w:rPr>
                <w:rFonts w:eastAsia="SimSun"/>
                <w:kern w:val="2"/>
                <w:sz w:val="20"/>
                <w:szCs w:val="20"/>
                <w:lang w:val="en-GB"/>
              </w:rPr>
              <w:t>惠益的国家数目</w:t>
            </w:r>
          </w:p>
        </w:tc>
        <w:tc>
          <w:tcPr>
            <w:tcW w:w="2189" w:type="dxa"/>
            <w:shd w:val="clear" w:color="auto" w:fill="FFFFFF"/>
          </w:tcPr>
          <w:p w14:paraId="483C73B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 xml:space="preserve"> C </w:t>
            </w:r>
            <w:r w:rsidRPr="000C0842">
              <w:rPr>
                <w:rFonts w:eastAsia="SimSun" w:hint="eastAsia"/>
                <w:kern w:val="2"/>
                <w:sz w:val="20"/>
                <w:szCs w:val="20"/>
                <w:lang w:val="en-GB"/>
              </w:rPr>
              <w:t>下叙述</w:t>
            </w:r>
          </w:p>
        </w:tc>
        <w:tc>
          <w:tcPr>
            <w:tcW w:w="2001" w:type="dxa"/>
            <w:shd w:val="clear" w:color="auto" w:fill="FFFFFF"/>
          </w:tcPr>
          <w:p w14:paraId="522EFED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13</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eastAsia="SimSun" w:hint="eastAsia"/>
                <w:lang w:val="en-GB"/>
              </w:rPr>
              <w:t>在获取和惠益分享信息交换所发布的国际公认证书总数</w:t>
            </w:r>
          </w:p>
        </w:tc>
        <w:tc>
          <w:tcPr>
            <w:tcW w:w="3114" w:type="dxa"/>
            <w:shd w:val="clear" w:color="auto" w:fill="FFFFFF"/>
          </w:tcPr>
          <w:p w14:paraId="6FF2E75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13</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bCs/>
                <w:kern w:val="2"/>
                <w:sz w:val="20"/>
                <w:szCs w:val="20"/>
              </w:rPr>
              <w:t>一个国家从《粮食和农业植物遗传资源国际条约》多边系统收到的作物材料转让总数</w:t>
            </w:r>
          </w:p>
          <w:p w14:paraId="54A152F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C</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向指定检查点提供遗传资源利用相关信息的用户数量</w:t>
            </w:r>
          </w:p>
          <w:p w14:paraId="4BF8924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C</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在获取和惠益分享信息交换所发布的检查点公报数目</w:t>
            </w:r>
          </w:p>
          <w:p w14:paraId="1A11027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C</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kern w:val="2"/>
                <w:sz w:val="20"/>
                <w:szCs w:val="20"/>
              </w:rPr>
              <w:t>在获取和惠益分享信息交换所发布的非商业目的国际公认合规证书数目</w:t>
            </w:r>
          </w:p>
        </w:tc>
      </w:tr>
      <w:tr w:rsidR="000C0842" w:rsidRPr="000C0842" w14:paraId="6B85489B" w14:textId="77777777" w:rsidTr="001F32B3">
        <w:tc>
          <w:tcPr>
            <w:tcW w:w="759" w:type="dxa"/>
            <w:shd w:val="clear" w:color="auto" w:fill="FFFFFF"/>
          </w:tcPr>
          <w:p w14:paraId="619F97DD"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14</w:t>
            </w:r>
          </w:p>
        </w:tc>
        <w:tc>
          <w:tcPr>
            <w:tcW w:w="1287" w:type="dxa"/>
            <w:shd w:val="clear" w:color="auto" w:fill="FFFFFF"/>
          </w:tcPr>
          <w:p w14:paraId="4291EE19"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14.b</w:t>
            </w:r>
            <w:r w:rsidRPr="000C0842">
              <w:rPr>
                <w:rFonts w:eastAsia="SimSun" w:hint="eastAsia"/>
                <w:iCs/>
                <w:kern w:val="2"/>
                <w:sz w:val="20"/>
                <w:szCs w:val="20"/>
                <w:lang w:val="en-GB"/>
              </w:rPr>
              <w:t>将生物多样性及其多重价值纳入各级政府和所有部门的政策、法规、规划、发展进程、消除贫困战略并酌情纳入国民核算逐步使所有相关公共和私人活动、财政和资金流动与《昆蒙框架》的长期目标和行动目标相一致的国家数目</w:t>
            </w:r>
          </w:p>
        </w:tc>
        <w:tc>
          <w:tcPr>
            <w:tcW w:w="2189" w:type="dxa"/>
            <w:shd w:val="clear" w:color="auto" w:fill="FFFFFF"/>
          </w:tcPr>
          <w:p w14:paraId="736815BD"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7B16D9A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14</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将生物多样性纳入国民核算和报告体系，定义</w:t>
            </w:r>
            <w:r w:rsidRPr="000C0842">
              <w:rPr>
                <w:rFonts w:eastAsia="SimSun" w:hint="eastAsia"/>
                <w:lang w:val="en-GB"/>
              </w:rPr>
              <w:t>为实施环境经济核算体系</w:t>
            </w:r>
            <w:r w:rsidRPr="000C0842">
              <w:rPr>
                <w:rFonts w:eastAsia="SimSun"/>
                <w:kern w:val="2"/>
                <w:sz w:val="20"/>
                <w:szCs w:val="20"/>
              </w:rPr>
              <w:t xml:space="preserve"> </w:t>
            </w:r>
          </w:p>
        </w:tc>
        <w:tc>
          <w:tcPr>
            <w:tcW w:w="3114" w:type="dxa"/>
            <w:shd w:val="clear" w:color="auto" w:fill="FFFFFF"/>
          </w:tcPr>
          <w:p w14:paraId="36A8244C" w14:textId="77777777" w:rsidR="004C57B0" w:rsidRPr="000C0842" w:rsidRDefault="004C57B0" w:rsidP="004C57B0">
            <w:pPr>
              <w:spacing w:before="60"/>
              <w:ind w:left="245" w:hanging="245"/>
              <w:jc w:val="left"/>
              <w:rPr>
                <w:rFonts w:eastAsia="SimSun"/>
                <w:kern w:val="2"/>
                <w:sz w:val="20"/>
                <w:szCs w:val="20"/>
              </w:rPr>
            </w:pPr>
            <w:r w:rsidRPr="000C0842">
              <w:rPr>
                <w:rFonts w:eastAsia="SimSun" w:hint="eastAsia"/>
                <w:kern w:val="2"/>
                <w:sz w:val="20"/>
                <w:szCs w:val="20"/>
              </w:rPr>
              <w:t>..</w:t>
            </w:r>
          </w:p>
        </w:tc>
      </w:tr>
      <w:tr w:rsidR="000C0842" w:rsidRPr="000C0842" w14:paraId="61E97B48" w14:textId="77777777" w:rsidTr="001F32B3">
        <w:tc>
          <w:tcPr>
            <w:tcW w:w="759" w:type="dxa"/>
            <w:shd w:val="clear" w:color="auto" w:fill="FFFFFF"/>
          </w:tcPr>
          <w:p w14:paraId="733F49B5"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15</w:t>
            </w:r>
          </w:p>
        </w:tc>
        <w:tc>
          <w:tcPr>
            <w:tcW w:w="1287" w:type="dxa"/>
            <w:shd w:val="clear" w:color="auto" w:fill="FFFFFF"/>
          </w:tcPr>
          <w:p w14:paraId="5DFB9811" w14:textId="77777777" w:rsidR="004C57B0" w:rsidRPr="000C0842" w:rsidRDefault="004C57B0" w:rsidP="004C57B0">
            <w:pPr>
              <w:tabs>
                <w:tab w:val="clear" w:pos="567"/>
                <w:tab w:val="clear" w:pos="1134"/>
                <w:tab w:val="clear" w:pos="1701"/>
                <w:tab w:val="clear" w:pos="2268"/>
              </w:tabs>
              <w:spacing w:before="60"/>
              <w:jc w:val="left"/>
              <w:rPr>
                <w:rFonts w:eastAsia="SimSun"/>
                <w:strike/>
                <w:kern w:val="2"/>
                <w:sz w:val="20"/>
                <w:szCs w:val="20"/>
                <w:lang w:val="en-GB"/>
              </w:rPr>
            </w:pPr>
            <w:r w:rsidRPr="000C0842">
              <w:rPr>
                <w:rFonts w:eastAsia="SimSun"/>
                <w:kern w:val="2"/>
                <w:sz w:val="20"/>
                <w:szCs w:val="20"/>
                <w:lang w:val="en-GB"/>
              </w:rPr>
              <w:t>15.1</w:t>
            </w:r>
            <w:r w:rsidRPr="000C0842">
              <w:rPr>
                <w:rFonts w:eastAsia="SimSun" w:hint="eastAsia"/>
                <w:kern w:val="2"/>
                <w:sz w:val="20"/>
                <w:szCs w:val="20"/>
                <w:lang w:val="en-GB"/>
              </w:rPr>
              <w:t>披露对生物多样性的风险、依赖程度和影响的企业数目</w:t>
            </w:r>
            <w:r w:rsidRPr="000C0842">
              <w:rPr>
                <w:rFonts w:eastAsia="SimSun"/>
                <w:kern w:val="2"/>
                <w:sz w:val="20"/>
                <w:szCs w:val="20"/>
                <w:lang w:val="en-GB"/>
              </w:rPr>
              <w:t xml:space="preserve"> </w:t>
            </w:r>
          </w:p>
          <w:p w14:paraId="1805B2FF"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15.b</w:t>
            </w:r>
            <w:r w:rsidRPr="000C0842">
              <w:rPr>
                <w:rFonts w:eastAsia="SimSun" w:hint="eastAsia"/>
                <w:iCs/>
                <w:kern w:val="2"/>
                <w:sz w:val="20"/>
                <w:szCs w:val="20"/>
                <w:lang w:val="en-GB"/>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p>
        </w:tc>
        <w:tc>
          <w:tcPr>
            <w:tcW w:w="2189" w:type="dxa"/>
            <w:shd w:val="clear" w:color="auto" w:fill="FFFFFF"/>
          </w:tcPr>
          <w:p w14:paraId="2DB0ACE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按行业细分</w:t>
            </w:r>
          </w:p>
        </w:tc>
        <w:tc>
          <w:tcPr>
            <w:tcW w:w="2001" w:type="dxa"/>
            <w:shd w:val="clear" w:color="auto" w:fill="FFFFFF"/>
          </w:tcPr>
          <w:p w14:paraId="6DE6636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15</w:t>
            </w:r>
            <w:r w:rsidRPr="000C0842">
              <w:rPr>
                <w:rFonts w:eastAsia="SimSun"/>
              </w:rPr>
              <w:t>.C</w:t>
            </w:r>
            <w:r w:rsidRPr="000C0842">
              <w:rPr>
                <w:rFonts w:eastAsia="SimSun" w:hint="eastAsia"/>
              </w:rPr>
              <w:t>T</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发</w:t>
            </w:r>
            <w:r w:rsidRPr="000C0842">
              <w:rPr>
                <w:rFonts w:ascii="MS Mincho" w:eastAsia="SimSun" w:hAnsi="MS Mincho" w:cs="MS Mincho" w:hint="eastAsia"/>
                <w:kern w:val="2"/>
                <w:sz w:val="20"/>
                <w:szCs w:val="20"/>
              </w:rPr>
              <w:t>布可持</w:t>
            </w:r>
            <w:r w:rsidRPr="000C0842">
              <w:rPr>
                <w:rFonts w:ascii="SimSun" w:eastAsia="SimSun" w:hAnsi="SimSun" w:cs="SimSun" w:hint="eastAsia"/>
                <w:kern w:val="2"/>
                <w:sz w:val="20"/>
                <w:szCs w:val="20"/>
              </w:rPr>
              <w:t>续发</w:t>
            </w:r>
            <w:r w:rsidRPr="000C0842">
              <w:rPr>
                <w:rFonts w:ascii="MS Mincho" w:eastAsia="SimSun" w:hAnsi="MS Mincho" w:cs="MS Mincho" w:hint="eastAsia"/>
                <w:kern w:val="2"/>
                <w:sz w:val="20"/>
                <w:szCs w:val="20"/>
              </w:rPr>
              <w:t>展</w:t>
            </w:r>
            <w:r w:rsidRPr="000C0842">
              <w:rPr>
                <w:rFonts w:ascii="SimSun" w:eastAsia="SimSun" w:hAnsi="SimSun" w:cs="SimSun" w:hint="eastAsia"/>
                <w:kern w:val="2"/>
                <w:sz w:val="20"/>
                <w:szCs w:val="20"/>
              </w:rPr>
              <w:t>报</w:t>
            </w:r>
            <w:r w:rsidRPr="000C0842">
              <w:rPr>
                <w:rFonts w:ascii="MS Mincho" w:eastAsia="SimSun" w:hAnsi="MS Mincho" w:cs="MS Mincho" w:hint="eastAsia"/>
                <w:kern w:val="2"/>
                <w:sz w:val="20"/>
                <w:szCs w:val="20"/>
              </w:rPr>
              <w:t>告的公司数目</w:t>
            </w:r>
          </w:p>
        </w:tc>
        <w:tc>
          <w:tcPr>
            <w:tcW w:w="3114" w:type="dxa"/>
            <w:shd w:val="clear" w:color="auto" w:fill="FFFFFF"/>
          </w:tcPr>
          <w:p w14:paraId="3A802A7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15</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国内表示有意开始采用自然相关财务披露工作组的建议的组织数目</w:t>
            </w:r>
            <w:r w:rsidRPr="000C0842">
              <w:rPr>
                <w:rFonts w:eastAsia="SimSun"/>
                <w:kern w:val="2"/>
                <w:sz w:val="20"/>
                <w:szCs w:val="20"/>
              </w:rPr>
              <w:t xml:space="preserve"> </w:t>
            </w:r>
          </w:p>
        </w:tc>
      </w:tr>
      <w:tr w:rsidR="000C0842" w:rsidRPr="000C0842" w14:paraId="21F6E636" w14:textId="77777777" w:rsidTr="001F32B3">
        <w:tc>
          <w:tcPr>
            <w:tcW w:w="759" w:type="dxa"/>
            <w:shd w:val="clear" w:color="auto" w:fill="FFFFFF"/>
          </w:tcPr>
          <w:p w14:paraId="552B5C83"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16</w:t>
            </w:r>
          </w:p>
        </w:tc>
        <w:tc>
          <w:tcPr>
            <w:tcW w:w="1287" w:type="dxa"/>
            <w:shd w:val="clear" w:color="auto" w:fill="FFFFFF"/>
          </w:tcPr>
          <w:p w14:paraId="7B88E1E2"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16</w:t>
            </w:r>
            <w:r w:rsidRPr="000C0842">
              <w:rPr>
                <w:rFonts w:eastAsia="SimSun" w:hint="eastAsia"/>
                <w:iCs/>
                <w:kern w:val="2"/>
                <w:sz w:val="20"/>
                <w:szCs w:val="20"/>
                <w:lang w:val="en-GB"/>
              </w:rPr>
              <w:t>.</w:t>
            </w:r>
            <w:r w:rsidRPr="000C0842">
              <w:rPr>
                <w:rFonts w:eastAsia="SimSun"/>
                <w:iCs/>
                <w:kern w:val="2"/>
                <w:sz w:val="20"/>
                <w:szCs w:val="20"/>
                <w:lang w:val="en-GB"/>
              </w:rPr>
              <w:t>b</w:t>
            </w:r>
            <w:r w:rsidRPr="000C0842">
              <w:rPr>
                <w:rFonts w:eastAsia="SimSun"/>
                <w:bCs/>
                <w:kern w:val="2"/>
                <w:sz w:val="20"/>
                <w:szCs w:val="20"/>
                <w14:ligatures w14:val="standardContextual"/>
              </w:rPr>
              <w:t>制定、采用或实施政策工具，鼓励</w:t>
            </w:r>
            <w:r w:rsidRPr="000C0842">
              <w:rPr>
                <w:rFonts w:eastAsia="SimSun" w:hint="eastAsia"/>
                <w:bCs/>
                <w:kern w:val="2"/>
                <w:sz w:val="20"/>
                <w:szCs w:val="20"/>
                <w14:ligatures w14:val="standardContextual"/>
              </w:rPr>
              <w:t>和帮助人们</w:t>
            </w:r>
            <w:r w:rsidRPr="000C0842">
              <w:rPr>
                <w:rFonts w:eastAsia="SimSun"/>
                <w:bCs/>
                <w:kern w:val="2"/>
                <w:sz w:val="20"/>
                <w:szCs w:val="20"/>
                <w14:ligatures w14:val="standardContextual"/>
              </w:rPr>
              <w:t>做出可持续的消费选择的国家数</w:t>
            </w:r>
            <w:r w:rsidRPr="000C0842">
              <w:rPr>
                <w:rFonts w:eastAsia="SimSun" w:hint="eastAsia"/>
                <w:bCs/>
                <w:kern w:val="2"/>
                <w:sz w:val="20"/>
                <w:szCs w:val="20"/>
                <w14:ligatures w14:val="standardContextual"/>
              </w:rPr>
              <w:t>目</w:t>
            </w:r>
          </w:p>
        </w:tc>
        <w:tc>
          <w:tcPr>
            <w:tcW w:w="2189" w:type="dxa"/>
            <w:shd w:val="clear" w:color="auto" w:fill="FFFFFF"/>
          </w:tcPr>
          <w:p w14:paraId="4D4E823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57E5DC5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u w:val="single"/>
                <w:lang w:val="en-GB"/>
              </w:rPr>
              <w:t>16</w:t>
            </w:r>
            <w:r w:rsidRPr="000C0842">
              <w:rPr>
                <w:rFonts w:eastAsia="SimSun"/>
                <w:kern w:val="2"/>
                <w:sz w:val="20"/>
                <w:szCs w:val="20"/>
              </w:rPr>
              <w:t xml:space="preserve">.CT.1 </w:t>
            </w:r>
            <w:r w:rsidRPr="000C0842">
              <w:rPr>
                <w:rFonts w:eastAsia="SimSun"/>
                <w:kern w:val="2"/>
                <w:sz w:val="20"/>
                <w:szCs w:val="20"/>
              </w:rPr>
              <w:t>粮食浪费指数</w:t>
            </w:r>
          </w:p>
          <w:p w14:paraId="284281B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16.CT.2 </w:t>
            </w:r>
            <w:r w:rsidRPr="000C0842">
              <w:rPr>
                <w:rFonts w:eastAsia="SimSun"/>
                <w:kern w:val="2"/>
                <w:sz w:val="20"/>
                <w:szCs w:val="20"/>
              </w:rPr>
              <w:t>物质足迹、人均物质足迹和单位</w:t>
            </w:r>
            <w:r w:rsidRPr="000C0842">
              <w:rPr>
                <w:rFonts w:eastAsia="SimSun"/>
                <w:kern w:val="2"/>
                <w:sz w:val="20"/>
                <w:szCs w:val="20"/>
              </w:rPr>
              <w:t>GDP</w:t>
            </w:r>
            <w:r w:rsidRPr="000C0842">
              <w:rPr>
                <w:rFonts w:eastAsia="SimSun"/>
                <w:kern w:val="2"/>
                <w:sz w:val="20"/>
                <w:szCs w:val="20"/>
              </w:rPr>
              <w:t>物质足迹</w:t>
            </w:r>
          </w:p>
          <w:p w14:paraId="1A784033"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kern w:val="2"/>
                <w:sz w:val="20"/>
                <w:szCs w:val="20"/>
              </w:rPr>
              <w:t>16.CT.3</w:t>
            </w:r>
            <w:r w:rsidRPr="000C0842">
              <w:rPr>
                <w:rFonts w:eastAsia="SimSun"/>
                <w:kern w:val="2"/>
                <w:sz w:val="20"/>
                <w:szCs w:val="20"/>
              </w:rPr>
              <w:t>生态足迹</w:t>
            </w:r>
          </w:p>
        </w:tc>
        <w:tc>
          <w:tcPr>
            <w:tcW w:w="3114" w:type="dxa"/>
            <w:shd w:val="clear" w:color="auto" w:fill="FFFFFF"/>
          </w:tcPr>
          <w:p w14:paraId="1243A6C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Y.1 </w:t>
            </w:r>
            <w:r w:rsidRPr="000C0842">
              <w:rPr>
                <w:rFonts w:ascii="SimSun" w:eastAsia="SimSun" w:hAnsi="SimSun" w:cs="SimSun" w:hint="eastAsia"/>
                <w:bCs/>
                <w:kern w:val="2"/>
                <w:sz w:val="20"/>
                <w:szCs w:val="20"/>
              </w:rPr>
              <w:t>将</w:t>
            </w:r>
            <w:r w:rsidRPr="000C0842">
              <w:rPr>
                <w:rFonts w:eastAsia="SimSun"/>
                <w:bCs/>
                <w:kern w:val="2"/>
                <w:sz w:val="20"/>
                <w:szCs w:val="20"/>
              </w:rPr>
              <w:t xml:space="preserve"> (</w:t>
            </w:r>
            <w:r w:rsidRPr="000C0842">
              <w:rPr>
                <w:rFonts w:ascii="SimSun" w:eastAsia="SimSun" w:hAnsi="SimSun" w:cs="SimSun" w:hint="eastAsia"/>
                <w:bCs/>
                <w:kern w:val="2"/>
                <w:sz w:val="20"/>
                <w:szCs w:val="20"/>
              </w:rPr>
              <w:t>一</w:t>
            </w:r>
            <w:r w:rsidRPr="000C0842">
              <w:rPr>
                <w:rFonts w:eastAsia="SimSun"/>
                <w:bCs/>
                <w:kern w:val="2"/>
                <w:sz w:val="20"/>
                <w:szCs w:val="20"/>
              </w:rPr>
              <w:t>)</w:t>
            </w:r>
            <w:r w:rsidRPr="000C0842">
              <w:rPr>
                <w:rFonts w:ascii="SimSun" w:eastAsia="SimSun" w:hAnsi="SimSun" w:cs="SimSun" w:hint="eastAsia"/>
                <w:bCs/>
                <w:kern w:val="2"/>
                <w:sz w:val="20"/>
                <w:szCs w:val="20"/>
              </w:rPr>
              <w:t>全球公民教育</w:t>
            </w:r>
            <w:r w:rsidRPr="000C0842">
              <w:rPr>
                <w:rFonts w:eastAsia="SimSun"/>
                <w:bCs/>
                <w:kern w:val="2"/>
                <w:sz w:val="20"/>
                <w:szCs w:val="20"/>
              </w:rPr>
              <w:t>(</w:t>
            </w:r>
            <w:r w:rsidRPr="000C0842">
              <w:rPr>
                <w:rFonts w:ascii="SimSun" w:eastAsia="SimSun" w:hAnsi="SimSun" w:cs="SimSun" w:hint="eastAsia"/>
                <w:bCs/>
                <w:kern w:val="2"/>
                <w:sz w:val="20"/>
                <w:szCs w:val="20"/>
              </w:rPr>
              <w:t>二</w:t>
            </w:r>
            <w:r w:rsidRPr="000C0842">
              <w:rPr>
                <w:rFonts w:eastAsia="SimSun"/>
                <w:bCs/>
                <w:kern w:val="2"/>
                <w:sz w:val="20"/>
                <w:szCs w:val="20"/>
              </w:rPr>
              <w:t>)</w:t>
            </w:r>
            <w:r w:rsidRPr="000C0842">
              <w:rPr>
                <w:rFonts w:ascii="SimSun" w:eastAsia="SimSun" w:hAnsi="SimSun" w:cs="SimSun" w:hint="eastAsia"/>
                <w:bCs/>
                <w:kern w:val="2"/>
                <w:sz w:val="20"/>
                <w:szCs w:val="20"/>
              </w:rPr>
              <w:t>可持续发展教育纳入（</w:t>
            </w:r>
            <w:r w:rsidRPr="000C0842">
              <w:rPr>
                <w:rFonts w:eastAsia="SimSun"/>
                <w:bCs/>
                <w:kern w:val="2"/>
                <w:sz w:val="20"/>
                <w:szCs w:val="20"/>
              </w:rPr>
              <w:t>a</w:t>
            </w:r>
            <w:r w:rsidRPr="000C0842">
              <w:rPr>
                <w:rFonts w:ascii="SimSun" w:eastAsia="SimSun" w:hAnsi="SimSun" w:cs="SimSun" w:hint="eastAsia"/>
                <w:bCs/>
                <w:kern w:val="2"/>
                <w:sz w:val="20"/>
                <w:szCs w:val="20"/>
              </w:rPr>
              <w:t>）国家教育政策（</w:t>
            </w:r>
            <w:r w:rsidRPr="000C0842">
              <w:rPr>
                <w:rFonts w:eastAsia="SimSun"/>
                <w:bCs/>
                <w:kern w:val="2"/>
                <w:sz w:val="20"/>
                <w:szCs w:val="20"/>
              </w:rPr>
              <w:t>b</w:t>
            </w:r>
            <w:r w:rsidRPr="000C0842">
              <w:rPr>
                <w:rFonts w:ascii="SimSun" w:eastAsia="SimSun" w:hAnsi="SimSun" w:cs="SimSun" w:hint="eastAsia"/>
                <w:bCs/>
                <w:kern w:val="2"/>
                <w:sz w:val="20"/>
                <w:szCs w:val="20"/>
              </w:rPr>
              <w:t>）课程（</w:t>
            </w:r>
            <w:r w:rsidRPr="000C0842">
              <w:rPr>
                <w:rFonts w:eastAsia="SimSun"/>
                <w:bCs/>
                <w:kern w:val="2"/>
                <w:sz w:val="20"/>
                <w:szCs w:val="20"/>
              </w:rPr>
              <w:t>c</w:t>
            </w:r>
            <w:r w:rsidRPr="000C0842">
              <w:rPr>
                <w:rFonts w:ascii="SimSun" w:eastAsia="SimSun" w:hAnsi="SimSun" w:cs="SimSun" w:hint="eastAsia"/>
                <w:bCs/>
                <w:kern w:val="2"/>
                <w:sz w:val="20"/>
                <w:szCs w:val="20"/>
              </w:rPr>
              <w:t>）教师教育（</w:t>
            </w:r>
            <w:r w:rsidRPr="000C0842">
              <w:rPr>
                <w:rFonts w:eastAsia="SimSun"/>
                <w:bCs/>
                <w:kern w:val="2"/>
                <w:sz w:val="20"/>
                <w:szCs w:val="20"/>
              </w:rPr>
              <w:t>d</w:t>
            </w:r>
            <w:r w:rsidRPr="000C0842">
              <w:rPr>
                <w:rFonts w:ascii="SimSun" w:eastAsia="SimSun" w:hAnsi="SimSun" w:cs="SimSun" w:hint="eastAsia"/>
                <w:bCs/>
                <w:kern w:val="2"/>
                <w:sz w:val="20"/>
                <w:szCs w:val="20"/>
              </w:rPr>
              <w:t>）学生评估主流的程度</w:t>
            </w:r>
          </w:p>
          <w:p w14:paraId="4861768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Y.2 </w:t>
            </w:r>
            <w:r w:rsidRPr="000C0842">
              <w:rPr>
                <w:rFonts w:ascii="SimSun" w:eastAsia="SimSun" w:hAnsi="SimSun" w:cs="SimSun" w:hint="eastAsia"/>
                <w:kern w:val="2"/>
                <w:sz w:val="20"/>
                <w:szCs w:val="20"/>
              </w:rPr>
              <w:t>国家回收利用率，物资回收吨数</w:t>
            </w:r>
          </w:p>
          <w:p w14:paraId="5E0E1F1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Y.3 </w:t>
            </w:r>
            <w:r w:rsidRPr="000C0842">
              <w:rPr>
                <w:rFonts w:ascii="SimSun" w:eastAsia="SimSun" w:hAnsi="SimSun" w:cs="SimSun" w:hint="eastAsia"/>
                <w:kern w:val="2"/>
                <w:sz w:val="20"/>
                <w:szCs w:val="20"/>
              </w:rPr>
              <w:t>人类对净初级生产的占用</w:t>
            </w:r>
          </w:p>
          <w:p w14:paraId="5ECCB39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Y.4 </w:t>
            </w:r>
            <w:r w:rsidRPr="000C0842">
              <w:rPr>
                <w:rFonts w:ascii="SimSun" w:eastAsia="SimSun" w:hAnsi="SimSun" w:cs="SimSun" w:hint="eastAsia"/>
                <w:kern w:val="2"/>
                <w:sz w:val="20"/>
                <w:szCs w:val="20"/>
              </w:rPr>
              <w:t>每单位附加值的二氧化碳排放量</w:t>
            </w:r>
          </w:p>
          <w:p w14:paraId="6E118A3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Y.5 </w:t>
            </w:r>
            <w:r w:rsidRPr="000C0842">
              <w:rPr>
                <w:rFonts w:ascii="SimSun" w:eastAsia="SimSun" w:hAnsi="SimSun" w:cs="SimSun" w:hint="eastAsia"/>
                <w:kern w:val="2"/>
                <w:sz w:val="20"/>
                <w:szCs w:val="20"/>
              </w:rPr>
              <w:t>水利用效率的逐渐变化</w:t>
            </w:r>
          </w:p>
          <w:p w14:paraId="31EFE68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Y.6 </w:t>
            </w:r>
            <w:r w:rsidRPr="000C0842">
              <w:rPr>
                <w:rFonts w:ascii="SimSun" w:eastAsia="SimSun" w:hAnsi="SimSun" w:cs="SimSun" w:hint="eastAsia"/>
                <w:kern w:val="2"/>
                <w:sz w:val="20"/>
                <w:szCs w:val="20"/>
              </w:rPr>
              <w:t>生命周期影响评估得出的指标</w:t>
            </w:r>
          </w:p>
          <w:p w14:paraId="5B6A8ED8"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16</w:t>
            </w:r>
            <w:r w:rsidRPr="000C0842">
              <w:rPr>
                <w:rFonts w:eastAsia="SimSun"/>
              </w:rPr>
              <w:t>.C</w:t>
            </w:r>
            <w:r w:rsidRPr="000C0842">
              <w:rPr>
                <w:rFonts w:eastAsia="SimSun" w:hint="eastAsia"/>
              </w:rPr>
              <w:t xml:space="preserve">Y.7 </w:t>
            </w:r>
            <w:r w:rsidRPr="000C0842">
              <w:rPr>
                <w:rFonts w:ascii="SimSun" w:eastAsia="SimSun" w:hAnsi="SimSun" w:cs="SimSun" w:hint="eastAsia"/>
                <w:kern w:val="2"/>
                <w:sz w:val="20"/>
                <w:szCs w:val="20"/>
              </w:rPr>
              <w:t>贫困程度</w:t>
            </w:r>
            <w:r w:rsidRPr="000C0842">
              <w:rPr>
                <w:rFonts w:eastAsia="SimSun"/>
                <w:kern w:val="2"/>
                <w:sz w:val="20"/>
                <w:szCs w:val="20"/>
              </w:rPr>
              <w:t xml:space="preserve">  </w:t>
            </w:r>
          </w:p>
        </w:tc>
      </w:tr>
      <w:tr w:rsidR="000C0842" w:rsidRPr="000C0842" w14:paraId="23E1F55C" w14:textId="77777777" w:rsidTr="001F32B3">
        <w:tc>
          <w:tcPr>
            <w:tcW w:w="759" w:type="dxa"/>
            <w:shd w:val="clear" w:color="auto" w:fill="FFFFFF"/>
          </w:tcPr>
          <w:p w14:paraId="17EA751E"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17</w:t>
            </w:r>
          </w:p>
        </w:tc>
        <w:tc>
          <w:tcPr>
            <w:tcW w:w="1287" w:type="dxa"/>
            <w:shd w:val="clear" w:color="auto" w:fill="FFFFFF"/>
          </w:tcPr>
          <w:p w14:paraId="189BCF07"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17.b</w:t>
            </w:r>
            <w:r w:rsidRPr="000C0842">
              <w:rPr>
                <w:rFonts w:eastAsia="SimSun" w:hint="eastAsia"/>
                <w:iCs/>
                <w:kern w:val="2"/>
                <w:sz w:val="20"/>
                <w:szCs w:val="20"/>
                <w:lang w:val="en-GB"/>
              </w:rPr>
              <w:t>已采取行动执行《公约》第</w:t>
            </w:r>
            <w:r w:rsidRPr="000C0842">
              <w:rPr>
                <w:rFonts w:eastAsia="SimSun"/>
                <w:iCs/>
                <w:kern w:val="2"/>
                <w:sz w:val="20"/>
                <w:szCs w:val="20"/>
                <w:lang w:val="en-GB"/>
              </w:rPr>
              <w:t xml:space="preserve"> 8(g) </w:t>
            </w:r>
            <w:r w:rsidRPr="000C0842">
              <w:rPr>
                <w:rFonts w:eastAsia="SimSun" w:hint="eastAsia"/>
                <w:iCs/>
                <w:kern w:val="2"/>
                <w:sz w:val="20"/>
                <w:szCs w:val="20"/>
                <w:lang w:val="en-GB"/>
              </w:rPr>
              <w:t>条所述生物安全措施和第</w:t>
            </w:r>
            <w:r w:rsidRPr="000C0842">
              <w:rPr>
                <w:rFonts w:eastAsia="SimSun"/>
                <w:iCs/>
                <w:kern w:val="2"/>
                <w:sz w:val="20"/>
                <w:szCs w:val="20"/>
                <w:lang w:val="en-GB"/>
              </w:rPr>
              <w:t xml:space="preserve"> 19 </w:t>
            </w:r>
            <w:r w:rsidRPr="000C0842">
              <w:rPr>
                <w:rFonts w:eastAsia="SimSun" w:hint="eastAsia"/>
                <w:iCs/>
                <w:kern w:val="2"/>
                <w:sz w:val="20"/>
                <w:szCs w:val="20"/>
                <w:lang w:val="en-GB"/>
              </w:rPr>
              <w:t>条所述生物技术处理和惠益分配措施的国家数目</w:t>
            </w:r>
          </w:p>
        </w:tc>
        <w:tc>
          <w:tcPr>
            <w:tcW w:w="2189" w:type="dxa"/>
            <w:shd w:val="clear" w:color="auto" w:fill="FFFFFF"/>
          </w:tcPr>
          <w:p w14:paraId="2C61EBD4"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w:t>
            </w:r>
          </w:p>
        </w:tc>
        <w:tc>
          <w:tcPr>
            <w:tcW w:w="2001" w:type="dxa"/>
            <w:shd w:val="clear" w:color="auto" w:fill="FFFFFF"/>
          </w:tcPr>
          <w:p w14:paraId="43A0E4E7"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0E7A574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17</w:t>
            </w:r>
            <w:r w:rsidRPr="000C0842">
              <w:rPr>
                <w:rFonts w:eastAsia="SimSun"/>
              </w:rPr>
              <w:t>.C</w:t>
            </w:r>
            <w:r w:rsidRPr="000C0842">
              <w:rPr>
                <w:rFonts w:eastAsia="SimSun" w:hint="eastAsia"/>
              </w:rPr>
              <w:t>Y.1</w:t>
            </w:r>
            <w:r w:rsidRPr="000C0842">
              <w:rPr>
                <w:rFonts w:ascii="SimSun" w:eastAsia="SimSun" w:hAnsi="SimSun" w:cs="SimSun" w:hint="eastAsia"/>
                <w:kern w:val="2"/>
                <w:sz w:val="20"/>
                <w:szCs w:val="20"/>
              </w:rPr>
              <w:t>与《卡塔赫纳生物安全议定书》有关的指标</w:t>
            </w:r>
            <w:r w:rsidRPr="000C0842">
              <w:rPr>
                <w:rFonts w:eastAsia="SimSun"/>
                <w:kern w:val="2"/>
                <w:sz w:val="20"/>
                <w:szCs w:val="20"/>
              </w:rPr>
              <w:t xml:space="preserve"> </w:t>
            </w:r>
          </w:p>
          <w:p w14:paraId="0673CF3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lang w:val="en-GB"/>
              </w:rPr>
            </w:pPr>
          </w:p>
        </w:tc>
      </w:tr>
      <w:tr w:rsidR="000C0842" w:rsidRPr="000C0842" w14:paraId="315B1E4F" w14:textId="77777777" w:rsidTr="001F32B3">
        <w:tc>
          <w:tcPr>
            <w:tcW w:w="759" w:type="dxa"/>
            <w:shd w:val="clear" w:color="auto" w:fill="FFFFFF"/>
          </w:tcPr>
          <w:p w14:paraId="2E8E859E"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18</w:t>
            </w:r>
          </w:p>
        </w:tc>
        <w:tc>
          <w:tcPr>
            <w:tcW w:w="1287" w:type="dxa"/>
            <w:shd w:val="clear" w:color="auto" w:fill="FFFFFF"/>
          </w:tcPr>
          <w:p w14:paraId="2CA8C4E8"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18.1</w:t>
            </w:r>
            <w:r w:rsidRPr="000C0842">
              <w:rPr>
                <w:rFonts w:eastAsia="SimSun" w:hint="eastAsia"/>
                <w:kern w:val="2"/>
                <w:sz w:val="20"/>
                <w:szCs w:val="20"/>
                <w:lang w:val="en-GB"/>
              </w:rPr>
              <w:t>为促进保护和可持续利用生物多样性制定的积极激励措施</w:t>
            </w:r>
          </w:p>
          <w:p w14:paraId="6196CF3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7197A5F9"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61C7487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18.2</w:t>
            </w:r>
            <w:r w:rsidRPr="000C0842">
              <w:rPr>
                <w:rFonts w:eastAsia="SimSun" w:hint="eastAsia"/>
                <w:kern w:val="2"/>
                <w:sz w:val="20"/>
                <w:szCs w:val="20"/>
                <w:lang w:val="en-GB"/>
              </w:rPr>
              <w:t>有害生物多样性的补贴和其他激励措施的价值</w:t>
            </w:r>
          </w:p>
        </w:tc>
        <w:tc>
          <w:tcPr>
            <w:tcW w:w="2189" w:type="dxa"/>
            <w:shd w:val="clear" w:color="auto" w:fill="FFFFFF"/>
          </w:tcPr>
          <w:p w14:paraId="3534567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18.1</w:t>
            </w:r>
            <w:r w:rsidRPr="000C0842">
              <w:rPr>
                <w:rFonts w:eastAsia="SimSun" w:hint="eastAsia"/>
                <w:kern w:val="2"/>
                <w:sz w:val="20"/>
                <w:szCs w:val="20"/>
                <w:lang w:val="en-GB"/>
              </w:rPr>
              <w:t>的细分办法：</w:t>
            </w:r>
            <w:r w:rsidRPr="000C0842">
              <w:rPr>
                <w:rFonts w:eastAsia="SimSun"/>
                <w:kern w:val="2"/>
                <w:sz w:val="20"/>
                <w:szCs w:val="20"/>
                <w:lang w:val="en-GB"/>
              </w:rPr>
              <w:t xml:space="preserve"> </w:t>
            </w:r>
          </w:p>
          <w:p w14:paraId="33E5435C"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按激励类型（征税、各种收费、补贴、可交易许可证、为生态系统服务付款方案和抵消办法）细分</w:t>
            </w:r>
            <w:r w:rsidRPr="000C0842">
              <w:rPr>
                <w:rFonts w:eastAsia="SimSun"/>
                <w:kern w:val="2"/>
                <w:sz w:val="20"/>
                <w:szCs w:val="20"/>
                <w:vertAlign w:val="superscript"/>
                <w:lang w:val="en-GB"/>
              </w:rPr>
              <w:footnoteReference w:id="414"/>
            </w:r>
          </w:p>
          <w:p w14:paraId="7D55E22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p w14:paraId="62D117A7"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指标</w:t>
            </w:r>
            <w:r w:rsidRPr="000C0842">
              <w:rPr>
                <w:rFonts w:eastAsia="SimSun"/>
                <w:kern w:val="2"/>
                <w:sz w:val="20"/>
                <w:szCs w:val="20"/>
                <w:lang w:val="en-GB"/>
              </w:rPr>
              <w:t>18.2</w:t>
            </w:r>
            <w:r w:rsidRPr="000C0842">
              <w:rPr>
                <w:rFonts w:eastAsia="SimSun" w:hint="eastAsia"/>
                <w:kern w:val="2"/>
                <w:sz w:val="20"/>
                <w:szCs w:val="20"/>
                <w:lang w:val="en-GB"/>
              </w:rPr>
              <w:t>细分办法：</w:t>
            </w:r>
          </w:p>
          <w:p w14:paraId="0A8551B0"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按行业（农业、渔业、化石燃料和其他行业）细分</w:t>
            </w:r>
          </w:p>
          <w:p w14:paraId="379B959E"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66C7AF9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18</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 xml:space="preserve">1 </w:t>
            </w:r>
            <w:r w:rsidRPr="000C0842">
              <w:rPr>
                <w:rFonts w:eastAsia="SimSun" w:hint="eastAsia"/>
                <w:kern w:val="2"/>
                <w:sz w:val="20"/>
                <w:szCs w:val="20"/>
              </w:rPr>
              <w:t>与生物多样性相关的可交易许可证（如果拍卖）产生的收入</w:t>
            </w:r>
            <w:r w:rsidRPr="000C0842">
              <w:rPr>
                <w:rFonts w:eastAsia="SimSun"/>
                <w:kern w:val="2"/>
                <w:sz w:val="20"/>
                <w:szCs w:val="20"/>
              </w:rPr>
              <w:t xml:space="preserve"> </w:t>
            </w:r>
          </w:p>
          <w:p w14:paraId="15A7B12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kern w:val="2"/>
                <w:sz w:val="20"/>
                <w:szCs w:val="20"/>
              </w:rPr>
              <w:t>18</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 xml:space="preserve">2 </w:t>
            </w:r>
            <w:r w:rsidRPr="000C0842">
              <w:rPr>
                <w:rFonts w:eastAsia="SimSun" w:hint="eastAsia"/>
                <w:kern w:val="2"/>
                <w:sz w:val="20"/>
                <w:szCs w:val="20"/>
              </w:rPr>
              <w:t>生态系统服务付款的货币价值</w:t>
            </w:r>
            <w:r w:rsidRPr="000C0842">
              <w:rPr>
                <w:rFonts w:eastAsia="SimSun"/>
                <w:kern w:val="2"/>
                <w:sz w:val="20"/>
                <w:szCs w:val="20"/>
              </w:rPr>
              <w:t xml:space="preserve">  </w:t>
            </w:r>
          </w:p>
          <w:p w14:paraId="5D44370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bCs/>
                <w:kern w:val="2"/>
                <w:sz w:val="20"/>
                <w:szCs w:val="20"/>
              </w:rPr>
            </w:pPr>
            <w:r w:rsidRPr="000C0842">
              <w:rPr>
                <w:rFonts w:eastAsia="SimSun" w:hint="eastAsia"/>
                <w:kern w:val="2"/>
                <w:sz w:val="20"/>
                <w:szCs w:val="20"/>
              </w:rPr>
              <w:t>18</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 xml:space="preserve">3 </w:t>
            </w:r>
            <w:r w:rsidRPr="000C0842">
              <w:rPr>
                <w:rFonts w:eastAsia="SimSun" w:hint="eastAsia"/>
                <w:kern w:val="2"/>
                <w:sz w:val="20"/>
                <w:szCs w:val="20"/>
              </w:rPr>
              <w:t>生物多样性抵消措施的货币价值</w:t>
            </w:r>
            <w:r w:rsidRPr="000C0842">
              <w:rPr>
                <w:rFonts w:eastAsia="SimSun"/>
                <w:bCs/>
                <w:kern w:val="2"/>
                <w:sz w:val="20"/>
                <w:szCs w:val="20"/>
              </w:rPr>
              <w:t xml:space="preserve">    </w:t>
            </w:r>
          </w:p>
          <w:p w14:paraId="1D00E0AA" w14:textId="77777777" w:rsidR="004C57B0" w:rsidRPr="000C0842" w:rsidRDefault="004C57B0" w:rsidP="004C57B0">
            <w:pPr>
              <w:tabs>
                <w:tab w:val="clear" w:pos="567"/>
                <w:tab w:val="clear" w:pos="1134"/>
                <w:tab w:val="clear" w:pos="1701"/>
                <w:tab w:val="clear" w:pos="2268"/>
              </w:tabs>
              <w:spacing w:before="60"/>
              <w:ind w:left="144"/>
              <w:jc w:val="left"/>
              <w:rPr>
                <w:rFonts w:eastAsia="SimSun"/>
                <w:kern w:val="2"/>
                <w:sz w:val="20"/>
                <w:szCs w:val="20"/>
              </w:rPr>
            </w:pPr>
          </w:p>
        </w:tc>
        <w:tc>
          <w:tcPr>
            <w:tcW w:w="3114" w:type="dxa"/>
            <w:shd w:val="clear" w:color="auto" w:fill="FFFFFF"/>
          </w:tcPr>
          <w:p w14:paraId="45B7A5A9" w14:textId="77777777" w:rsidR="004C57B0" w:rsidRPr="000C0842" w:rsidRDefault="004C57B0" w:rsidP="004C57B0">
            <w:pPr>
              <w:spacing w:before="60"/>
              <w:ind w:left="245" w:hanging="245"/>
              <w:jc w:val="left"/>
              <w:rPr>
                <w:rFonts w:eastAsia="SimSun"/>
                <w:kern w:val="2"/>
                <w:sz w:val="20"/>
                <w:szCs w:val="20"/>
              </w:rPr>
            </w:pPr>
            <w:r w:rsidRPr="000C0842">
              <w:rPr>
                <w:rFonts w:eastAsia="SimSun" w:hint="eastAsia"/>
                <w:kern w:val="2"/>
                <w:sz w:val="20"/>
                <w:szCs w:val="20"/>
              </w:rPr>
              <w:t>..</w:t>
            </w:r>
          </w:p>
        </w:tc>
      </w:tr>
      <w:tr w:rsidR="000C0842" w:rsidRPr="000C0842" w14:paraId="068A7C43" w14:textId="77777777" w:rsidTr="001F32B3">
        <w:tc>
          <w:tcPr>
            <w:tcW w:w="759" w:type="dxa"/>
            <w:shd w:val="clear" w:color="auto" w:fill="FFFFFF"/>
          </w:tcPr>
          <w:p w14:paraId="0FA6955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19</w:t>
            </w:r>
          </w:p>
        </w:tc>
        <w:tc>
          <w:tcPr>
            <w:tcW w:w="1287" w:type="dxa"/>
            <w:shd w:val="clear" w:color="auto" w:fill="FFFFFF"/>
          </w:tcPr>
          <w:p w14:paraId="04BBFFE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见长期目标</w:t>
            </w:r>
            <w:r w:rsidRPr="000C0842">
              <w:rPr>
                <w:rFonts w:eastAsia="SimSun"/>
                <w:kern w:val="2"/>
                <w:sz w:val="20"/>
                <w:szCs w:val="20"/>
                <w:lang w:val="en-GB"/>
              </w:rPr>
              <w:t xml:space="preserve">D </w:t>
            </w:r>
            <w:r w:rsidRPr="000C0842">
              <w:rPr>
                <w:rFonts w:eastAsia="SimSun" w:hint="eastAsia"/>
                <w:kern w:val="2"/>
                <w:sz w:val="20"/>
                <w:szCs w:val="20"/>
                <w:lang w:val="en-GB"/>
              </w:rPr>
              <w:t>的指标</w:t>
            </w:r>
          </w:p>
        </w:tc>
        <w:tc>
          <w:tcPr>
            <w:tcW w:w="2189" w:type="dxa"/>
            <w:shd w:val="clear" w:color="auto" w:fill="FFFFFF"/>
          </w:tcPr>
          <w:p w14:paraId="3B5402F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在长期目标</w:t>
            </w:r>
            <w:r w:rsidRPr="000C0842">
              <w:rPr>
                <w:rFonts w:eastAsia="SimSun"/>
                <w:kern w:val="2"/>
                <w:sz w:val="20"/>
                <w:szCs w:val="20"/>
                <w:lang w:val="en-GB"/>
              </w:rPr>
              <w:t xml:space="preserve"> D </w:t>
            </w:r>
            <w:r w:rsidRPr="000C0842">
              <w:rPr>
                <w:rFonts w:eastAsia="SimSun" w:hint="eastAsia"/>
                <w:kern w:val="2"/>
                <w:sz w:val="20"/>
                <w:szCs w:val="20"/>
                <w:lang w:val="en-GB"/>
              </w:rPr>
              <w:t>下叙述</w:t>
            </w:r>
          </w:p>
        </w:tc>
        <w:tc>
          <w:tcPr>
            <w:tcW w:w="2001" w:type="dxa"/>
            <w:shd w:val="clear" w:color="auto" w:fill="FFFFFF"/>
          </w:tcPr>
          <w:p w14:paraId="2102F90E" w14:textId="77777777" w:rsidR="004C57B0" w:rsidRPr="000C0842" w:rsidRDefault="004C57B0" w:rsidP="004C57B0">
            <w:pPr>
              <w:spacing w:before="60"/>
              <w:ind w:left="144"/>
              <w:jc w:val="left"/>
              <w:rPr>
                <w:rFonts w:eastAsia="SimSun"/>
                <w:kern w:val="2"/>
                <w:sz w:val="20"/>
                <w:szCs w:val="20"/>
              </w:rPr>
            </w:pPr>
            <w:r w:rsidRPr="000C0842">
              <w:rPr>
                <w:rFonts w:eastAsia="SimSun" w:hint="eastAsia"/>
                <w:kern w:val="2"/>
                <w:sz w:val="20"/>
                <w:szCs w:val="20"/>
              </w:rPr>
              <w:t>..</w:t>
            </w:r>
          </w:p>
        </w:tc>
        <w:tc>
          <w:tcPr>
            <w:tcW w:w="3114" w:type="dxa"/>
            <w:shd w:val="clear" w:color="auto" w:fill="FFFFFF"/>
          </w:tcPr>
          <w:p w14:paraId="0A194576"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ascii="SimSun" w:eastAsia="SimSun" w:hAnsi="SimSun" w:cs="SimSun" w:hint="eastAsia"/>
                <w:kern w:val="2"/>
                <w:sz w:val="20"/>
                <w:szCs w:val="20"/>
              </w:rPr>
              <w:t>见长期目标</w:t>
            </w:r>
            <w:r w:rsidRPr="000C0842">
              <w:rPr>
                <w:rFonts w:eastAsia="SimSun"/>
                <w:kern w:val="2"/>
                <w:sz w:val="20"/>
                <w:szCs w:val="20"/>
              </w:rPr>
              <w:t>D</w:t>
            </w:r>
            <w:r w:rsidRPr="000C0842">
              <w:rPr>
                <w:rFonts w:ascii="SimSun" w:eastAsia="SimSun" w:hAnsi="SimSun" w:cs="SimSun" w:hint="eastAsia"/>
                <w:kern w:val="2"/>
                <w:sz w:val="20"/>
                <w:szCs w:val="20"/>
              </w:rPr>
              <w:t>的指标</w:t>
            </w:r>
          </w:p>
        </w:tc>
      </w:tr>
      <w:tr w:rsidR="000C0842" w:rsidRPr="000C0842" w14:paraId="7F08F3B1" w14:textId="77777777" w:rsidTr="001F32B3">
        <w:tc>
          <w:tcPr>
            <w:tcW w:w="759" w:type="dxa"/>
            <w:shd w:val="clear" w:color="auto" w:fill="FFFFFF"/>
          </w:tcPr>
          <w:p w14:paraId="09CDD941"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20</w:t>
            </w:r>
          </w:p>
        </w:tc>
        <w:tc>
          <w:tcPr>
            <w:tcW w:w="1287" w:type="dxa"/>
            <w:shd w:val="clear" w:color="auto" w:fill="FFFFFF"/>
          </w:tcPr>
          <w:p w14:paraId="39144DF5"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20.b</w:t>
            </w:r>
            <w:r w:rsidRPr="000C0842">
              <w:rPr>
                <w:rFonts w:eastAsia="SimSun" w:hint="eastAsia"/>
                <w:iCs/>
                <w:kern w:val="2"/>
                <w:sz w:val="20"/>
                <w:szCs w:val="20"/>
                <w:lang w:val="en-GB"/>
              </w:rPr>
              <w:t>采取重大行动加强能力建设和发展，加强技术获得和转让，促进创新和科技合作的发展和获得的国家数目</w:t>
            </w:r>
          </w:p>
        </w:tc>
        <w:tc>
          <w:tcPr>
            <w:tcW w:w="2189" w:type="dxa"/>
            <w:shd w:val="clear" w:color="auto" w:fill="FFFFFF"/>
          </w:tcPr>
          <w:p w14:paraId="5AFF8472"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1788FE7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20</w:t>
            </w:r>
            <w:r w:rsidRPr="000C0842">
              <w:rPr>
                <w:rFonts w:eastAsia="SimSun"/>
              </w:rPr>
              <w:t>.C</w:t>
            </w:r>
            <w:r w:rsidRPr="000C0842">
              <w:rPr>
                <w:rFonts w:eastAsia="SimSun" w:hint="eastAsia"/>
              </w:rPr>
              <w:t>T</w:t>
            </w:r>
            <w:r w:rsidRPr="000C0842">
              <w:rPr>
                <w:rFonts w:eastAsia="SimSun"/>
              </w:rPr>
              <w:t>.</w:t>
            </w:r>
            <w:r w:rsidRPr="000C0842">
              <w:rPr>
                <w:rFonts w:eastAsia="SimSun" w:hint="eastAsia"/>
              </w:rPr>
              <w:t>1</w:t>
            </w:r>
            <w:r w:rsidRPr="000C0842">
              <w:rPr>
                <w:rFonts w:ascii="SimSun" w:eastAsia="SimSun" w:hAnsi="SimSun" w:cs="SimSun" w:hint="eastAsia"/>
                <w:kern w:val="2"/>
                <w:sz w:val="20"/>
                <w:szCs w:val="20"/>
              </w:rPr>
              <w:t>为促进开发、转让、传播和推广无害环境技术向发展中国家提供的资金总额</w:t>
            </w:r>
          </w:p>
        </w:tc>
        <w:tc>
          <w:tcPr>
            <w:tcW w:w="3114" w:type="dxa"/>
            <w:shd w:val="clear" w:color="auto" w:fill="FFFFFF"/>
          </w:tcPr>
          <w:p w14:paraId="7D967756" w14:textId="4541E1A9"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kern w:val="2"/>
                <w:sz w:val="20"/>
                <w:szCs w:val="20"/>
              </w:rPr>
              <w:t>每百万居民中的研究员</w:t>
            </w:r>
            <w:r w:rsidR="00997EE8" w:rsidRPr="000C0842">
              <w:rPr>
                <w:rFonts w:eastAsia="SimSun" w:hint="eastAsia"/>
                <w:kern w:val="2"/>
                <w:sz w:val="20"/>
                <w:szCs w:val="20"/>
              </w:rPr>
              <w:t>（</w:t>
            </w:r>
            <w:r w:rsidRPr="000C0842">
              <w:rPr>
                <w:rFonts w:ascii="SimSun" w:eastAsia="SimSun" w:hAnsi="SimSun" w:cs="SimSun" w:hint="eastAsia"/>
                <w:kern w:val="2"/>
                <w:sz w:val="20"/>
                <w:szCs w:val="20"/>
              </w:rPr>
              <w:t>全时当量</w:t>
            </w:r>
            <w:r w:rsidR="00997EE8" w:rsidRPr="000C0842">
              <w:rPr>
                <w:rFonts w:ascii="SimSun" w:eastAsia="SimSun" w:hAnsi="SimSun" w:cs="SimSun" w:hint="eastAsia"/>
                <w:kern w:val="2"/>
                <w:sz w:val="20"/>
                <w:szCs w:val="20"/>
              </w:rPr>
              <w:t>）</w:t>
            </w:r>
            <w:r w:rsidRPr="000C0842">
              <w:rPr>
                <w:rFonts w:ascii="SimSun" w:eastAsia="SimSun" w:hAnsi="SimSun" w:cs="SimSun" w:hint="eastAsia"/>
                <w:kern w:val="2"/>
                <w:sz w:val="20"/>
                <w:szCs w:val="20"/>
              </w:rPr>
              <w:t>人数</w:t>
            </w:r>
          </w:p>
          <w:p w14:paraId="106D1E3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D</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（在海洋生物多样性信息系统）</w:t>
            </w:r>
            <w:r w:rsidRPr="000C0842">
              <w:rPr>
                <w:rFonts w:eastAsia="SimSun"/>
                <w:kern w:val="2"/>
                <w:sz w:val="20"/>
                <w:szCs w:val="20"/>
              </w:rPr>
              <w:t xml:space="preserve"> </w:t>
            </w:r>
            <w:r w:rsidRPr="000C0842">
              <w:rPr>
                <w:rFonts w:ascii="SimSun" w:eastAsia="SimSun" w:hAnsi="SimSun" w:cs="SimSun" w:hint="eastAsia"/>
                <w:kern w:val="2"/>
                <w:sz w:val="20"/>
                <w:szCs w:val="20"/>
              </w:rPr>
              <w:t>发表的联合科学论文数目，按领域分列</w:t>
            </w:r>
          </w:p>
          <w:p w14:paraId="452D2D7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D</w:t>
            </w:r>
            <w:r w:rsidRPr="000C0842">
              <w:rPr>
                <w:rFonts w:eastAsia="SimSun"/>
              </w:rPr>
              <w:t>.C</w:t>
            </w:r>
            <w:r w:rsidRPr="000C0842">
              <w:rPr>
                <w:rFonts w:eastAsia="SimSun" w:hint="eastAsia"/>
              </w:rPr>
              <w:t>Y</w:t>
            </w:r>
            <w:r w:rsidRPr="000C0842">
              <w:rPr>
                <w:rFonts w:eastAsia="SimSun"/>
              </w:rPr>
              <w:t>.</w:t>
            </w:r>
            <w:r w:rsidRPr="000C0842">
              <w:rPr>
                <w:rFonts w:eastAsia="SimSun" w:hint="eastAsia"/>
              </w:rPr>
              <w:t>3</w:t>
            </w:r>
            <w:r w:rsidRPr="000C0842">
              <w:rPr>
                <w:rFonts w:ascii="SimSun" w:eastAsia="SimSun" w:hAnsi="SimSun" w:cs="SimSun" w:hint="eastAsia"/>
                <w:kern w:val="2"/>
                <w:sz w:val="20"/>
                <w:szCs w:val="20"/>
              </w:rPr>
              <w:t>海洋技术领域科研经费占总科研预算的比例</w:t>
            </w:r>
          </w:p>
          <w:p w14:paraId="713660B5"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D</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奖学金官方发展援助数额，按部门和学习类型分列</w:t>
            </w:r>
          </w:p>
          <w:p w14:paraId="4E28F338"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20</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kern w:val="2"/>
                <w:sz w:val="20"/>
                <w:szCs w:val="20"/>
              </w:rPr>
              <w:t>双边贸易流量显示的全球信息和通信技术商品进口数，按信息和通信技术商品类别分列</w:t>
            </w:r>
          </w:p>
          <w:p w14:paraId="140781B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20</w:t>
            </w:r>
            <w:r w:rsidRPr="000C0842">
              <w:rPr>
                <w:rFonts w:eastAsia="SimSun"/>
              </w:rPr>
              <w:t>.C</w:t>
            </w:r>
            <w:r w:rsidRPr="000C0842">
              <w:rPr>
                <w:rFonts w:eastAsia="SimSun" w:hint="eastAsia"/>
              </w:rPr>
              <w:t>T</w:t>
            </w:r>
            <w:r w:rsidRPr="000C0842">
              <w:rPr>
                <w:rFonts w:eastAsia="SimSun"/>
              </w:rPr>
              <w:t>.</w:t>
            </w:r>
            <w:r w:rsidRPr="000C0842">
              <w:rPr>
                <w:rFonts w:eastAsia="SimSun" w:hint="eastAsia"/>
              </w:rPr>
              <w:t>1</w:t>
            </w:r>
            <w:r w:rsidRPr="000C0842">
              <w:rPr>
                <w:rFonts w:ascii="SimSun" w:eastAsia="SimSun" w:hAnsi="SimSun" w:cs="SimSun" w:hint="eastAsia"/>
                <w:kern w:val="2"/>
                <w:sz w:val="20"/>
                <w:szCs w:val="20"/>
              </w:rPr>
              <w:t>为促进开发、转让、传播和推广无害环境技术向发展中国家提供的资金总额</w:t>
            </w:r>
          </w:p>
        </w:tc>
      </w:tr>
      <w:tr w:rsidR="000C0842" w:rsidRPr="000C0842" w14:paraId="75B6BC95" w14:textId="77777777" w:rsidTr="001F32B3">
        <w:tc>
          <w:tcPr>
            <w:tcW w:w="759" w:type="dxa"/>
            <w:shd w:val="clear" w:color="auto" w:fill="FFFFFF"/>
          </w:tcPr>
          <w:p w14:paraId="1579CACF"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21</w:t>
            </w:r>
          </w:p>
        </w:tc>
        <w:tc>
          <w:tcPr>
            <w:tcW w:w="1287" w:type="dxa"/>
            <w:shd w:val="clear" w:color="auto" w:fill="FFFFFF"/>
          </w:tcPr>
          <w:p w14:paraId="7C662443"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kern w:val="2"/>
                <w:sz w:val="20"/>
                <w:szCs w:val="20"/>
                <w:lang w:val="en-GB"/>
              </w:rPr>
              <w:t>21.1</w:t>
            </w:r>
            <w:r w:rsidRPr="000C0842">
              <w:rPr>
                <w:rFonts w:eastAsia="SimSun" w:hint="eastAsia"/>
                <w:kern w:val="2"/>
                <w:sz w:val="20"/>
                <w:szCs w:val="20"/>
                <w:lang w:val="en-GB"/>
              </w:rPr>
              <w:t>用于监测《昆明</w:t>
            </w:r>
            <w:r w:rsidRPr="000C0842">
              <w:rPr>
                <w:rFonts w:eastAsia="SimSun"/>
                <w:kern w:val="2"/>
                <w:sz w:val="20"/>
                <w:szCs w:val="20"/>
                <w:lang w:val="en-GB"/>
              </w:rPr>
              <w:t>-</w:t>
            </w:r>
            <w:r w:rsidRPr="000C0842">
              <w:rPr>
                <w:rFonts w:eastAsia="SimSun" w:hint="eastAsia"/>
                <w:kern w:val="2"/>
                <w:sz w:val="20"/>
                <w:szCs w:val="20"/>
                <w:lang w:val="en-GB"/>
              </w:rPr>
              <w:t>蒙特利尔全球生物多样性框架》的生物多样性信息指标</w:t>
            </w:r>
          </w:p>
        </w:tc>
        <w:tc>
          <w:tcPr>
            <w:tcW w:w="2189" w:type="dxa"/>
            <w:shd w:val="clear" w:color="auto" w:fill="FFFFFF"/>
          </w:tcPr>
          <w:p w14:paraId="758A1FF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按信息类型细分</w:t>
            </w:r>
          </w:p>
        </w:tc>
        <w:tc>
          <w:tcPr>
            <w:tcW w:w="2001" w:type="dxa"/>
            <w:shd w:val="clear" w:color="auto" w:fill="FFFFFF"/>
          </w:tcPr>
          <w:p w14:paraId="4EF929D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21.CT.1 </w:t>
            </w:r>
            <w:r w:rsidRPr="000C0842">
              <w:rPr>
                <w:rFonts w:eastAsia="SimSun"/>
                <w:kern w:val="2"/>
                <w:sz w:val="20"/>
                <w:szCs w:val="20"/>
              </w:rPr>
              <w:t>物种状况指数</w:t>
            </w:r>
            <w:r w:rsidRPr="000C0842">
              <w:rPr>
                <w:rFonts w:eastAsia="SimSun"/>
                <w:kern w:val="2"/>
                <w:sz w:val="20"/>
                <w:szCs w:val="20"/>
              </w:rPr>
              <w:t xml:space="preserve"> </w:t>
            </w:r>
          </w:p>
          <w:p w14:paraId="47C7C2C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21.CT.2 </w:t>
            </w:r>
            <w:r w:rsidRPr="000C0842">
              <w:rPr>
                <w:rFonts w:eastAsia="SimSun"/>
                <w:kern w:val="2"/>
                <w:sz w:val="20"/>
                <w:szCs w:val="20"/>
              </w:rPr>
              <w:t>土著人民和地方社区</w:t>
            </w:r>
            <w:r w:rsidRPr="000C0842">
              <w:rPr>
                <w:rFonts w:eastAsia="SimSun" w:hint="eastAsia"/>
                <w:kern w:val="2"/>
                <w:sz w:val="20"/>
                <w:szCs w:val="20"/>
              </w:rPr>
              <w:t>参与</w:t>
            </w:r>
            <w:r w:rsidRPr="000C0842">
              <w:rPr>
                <w:rFonts w:eastAsia="SimSun"/>
                <w:kern w:val="2"/>
                <w:sz w:val="20"/>
                <w:szCs w:val="20"/>
              </w:rPr>
              <w:t>各级</w:t>
            </w:r>
            <w:r w:rsidRPr="000C0842">
              <w:rPr>
                <w:rFonts w:eastAsia="SimSun" w:hint="eastAsia"/>
                <w:kern w:val="2"/>
                <w:sz w:val="20"/>
                <w:szCs w:val="20"/>
              </w:rPr>
              <w:t>执行</w:t>
            </w:r>
            <w:r w:rsidRPr="000C0842">
              <w:rPr>
                <w:rFonts w:eastAsia="SimSun"/>
                <w:kern w:val="2"/>
                <w:sz w:val="20"/>
                <w:szCs w:val="20"/>
              </w:rPr>
              <w:t>《公约》</w:t>
            </w:r>
            <w:r w:rsidRPr="000C0842">
              <w:rPr>
                <w:rFonts w:eastAsia="SimSun" w:hint="eastAsia"/>
                <w:kern w:val="2"/>
                <w:sz w:val="20"/>
                <w:szCs w:val="20"/>
              </w:rPr>
              <w:t>的</w:t>
            </w:r>
            <w:r w:rsidRPr="000C0842">
              <w:rPr>
                <w:rFonts w:eastAsia="SimSun"/>
                <w:kern w:val="2"/>
                <w:sz w:val="20"/>
                <w:szCs w:val="20"/>
              </w:rPr>
              <w:t>决策</w:t>
            </w:r>
          </w:p>
          <w:p w14:paraId="558713D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21.CT.3 </w:t>
            </w:r>
            <w:r w:rsidRPr="000C0842">
              <w:rPr>
                <w:rFonts w:eastAsia="SimSun"/>
                <w:kern w:val="2"/>
                <w:sz w:val="20"/>
                <w:szCs w:val="20"/>
              </w:rPr>
              <w:t>语言多样性指数</w:t>
            </w:r>
          </w:p>
        </w:tc>
        <w:tc>
          <w:tcPr>
            <w:tcW w:w="3114" w:type="dxa"/>
            <w:shd w:val="clear" w:color="auto" w:fill="FFFFFF"/>
          </w:tcPr>
          <w:p w14:paraId="3A10317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bCs/>
                <w:kern w:val="2"/>
                <w:sz w:val="20"/>
                <w:szCs w:val="20"/>
              </w:rPr>
              <w:t>地球生命力指数数据库中的记录和物种数目增加</w:t>
            </w:r>
          </w:p>
          <w:p w14:paraId="1A4745DB"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bCs/>
                <w:kern w:val="2"/>
                <w:sz w:val="20"/>
                <w:szCs w:val="20"/>
              </w:rPr>
              <w:t>通过全球生物多样性信息机制可获得的物种出现记录增加</w:t>
            </w:r>
          </w:p>
          <w:p w14:paraId="3B4F93F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3 </w:t>
            </w:r>
            <w:r w:rsidRPr="000C0842">
              <w:rPr>
                <w:rFonts w:ascii="SimSun" w:eastAsia="SimSun" w:hAnsi="SimSun" w:cs="SimSun" w:hint="eastAsia"/>
                <w:bCs/>
                <w:kern w:val="2"/>
                <w:sz w:val="20"/>
                <w:szCs w:val="20"/>
              </w:rPr>
              <w:t>可通过海洋生物多样性信息系统访问的海洋物种出现记录增加</w:t>
            </w:r>
            <w:r w:rsidRPr="000C0842">
              <w:rPr>
                <w:rFonts w:eastAsia="SimSun"/>
                <w:kern w:val="2"/>
                <w:sz w:val="20"/>
                <w:szCs w:val="20"/>
              </w:rPr>
              <w:t xml:space="preserve"> </w:t>
            </w:r>
          </w:p>
          <w:p w14:paraId="76EB2C8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bCs/>
                <w:kern w:val="2"/>
                <w:sz w:val="20"/>
                <w:szCs w:val="20"/>
              </w:rPr>
              <w:t>通过世界自然保护联盟受威胁物种红色名录评估的已知物种所占比例</w:t>
            </w:r>
          </w:p>
          <w:p w14:paraId="37196A0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5 </w:t>
            </w:r>
            <w:r w:rsidRPr="000C0842">
              <w:rPr>
                <w:rFonts w:ascii="SimSun" w:eastAsia="SimSun" w:hAnsi="SimSun" w:cs="SimSun" w:hint="eastAsia"/>
                <w:kern w:val="2"/>
                <w:sz w:val="20"/>
                <w:szCs w:val="20"/>
              </w:rPr>
              <w:t>对世界自然保护联盟受威胁物种红色名录的评估次数</w:t>
            </w:r>
          </w:p>
          <w:p w14:paraId="65046C2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6 </w:t>
            </w:r>
            <w:r w:rsidRPr="000C0842">
              <w:rPr>
                <w:rFonts w:ascii="SimSun" w:eastAsia="SimSun" w:hAnsi="SimSun" w:cs="SimSun" w:hint="eastAsia"/>
                <w:bCs/>
                <w:kern w:val="2"/>
                <w:sz w:val="20"/>
                <w:szCs w:val="20"/>
              </w:rPr>
              <w:t>世界动物园和水族馆协会的生物知识状况调查（全球动物园和水族馆访客的生物多样性知识）</w:t>
            </w:r>
          </w:p>
        </w:tc>
      </w:tr>
      <w:tr w:rsidR="000C0842" w:rsidRPr="000C0842" w14:paraId="3942C36F" w14:textId="77777777" w:rsidTr="001F32B3">
        <w:tc>
          <w:tcPr>
            <w:tcW w:w="759" w:type="dxa"/>
            <w:shd w:val="clear" w:color="auto" w:fill="FFFFFF"/>
          </w:tcPr>
          <w:p w14:paraId="7E6D8FD8"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22</w:t>
            </w:r>
          </w:p>
        </w:tc>
        <w:tc>
          <w:tcPr>
            <w:tcW w:w="1287" w:type="dxa"/>
            <w:shd w:val="clear" w:color="auto" w:fill="FFFFFF"/>
          </w:tcPr>
          <w:p w14:paraId="4C344B14"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SimSun"/>
                <w:iCs/>
                <w:kern w:val="2"/>
                <w:sz w:val="20"/>
                <w:szCs w:val="20"/>
                <w:lang w:val="en-GB"/>
              </w:rPr>
              <w:t xml:space="preserve">22.1 </w:t>
            </w:r>
            <w:r w:rsidRPr="000C0842">
              <w:rPr>
                <w:rFonts w:eastAsia="SimSun" w:hint="eastAsia"/>
                <w:iCs/>
                <w:kern w:val="2"/>
                <w:sz w:val="20"/>
                <w:szCs w:val="20"/>
                <w:lang w:val="en-GB"/>
              </w:rPr>
              <w:t>土著人民和地方社区传统领地上的土地利用变化和土地保有权</w:t>
            </w:r>
          </w:p>
          <w:p w14:paraId="0D31109E" w14:textId="77777777" w:rsidR="004C57B0" w:rsidRPr="000C0842" w:rsidRDefault="004C57B0" w:rsidP="004C57B0">
            <w:pPr>
              <w:tabs>
                <w:tab w:val="clear" w:pos="567"/>
                <w:tab w:val="clear" w:pos="1134"/>
                <w:tab w:val="clear" w:pos="1701"/>
                <w:tab w:val="clear" w:pos="2268"/>
              </w:tabs>
              <w:spacing w:before="60"/>
              <w:jc w:val="left"/>
              <w:rPr>
                <w:rFonts w:eastAsia="SimSun"/>
                <w:i/>
                <w:iCs/>
                <w:kern w:val="2"/>
                <w:sz w:val="20"/>
                <w:szCs w:val="20"/>
                <w:vertAlign w:val="superscript"/>
                <w:lang w:val="en-GB"/>
              </w:rPr>
            </w:pPr>
            <w:r w:rsidRPr="000C0842">
              <w:rPr>
                <w:rFonts w:eastAsia="SimSun"/>
                <w:iCs/>
                <w:kern w:val="2"/>
                <w:sz w:val="20"/>
                <w:szCs w:val="20"/>
                <w:lang w:val="en-GB"/>
              </w:rPr>
              <w:t xml:space="preserve">22.b </w:t>
            </w:r>
            <w:r w:rsidRPr="000C0842">
              <w:rPr>
                <w:rFonts w:eastAsia="SimSun" w:hint="eastAsia"/>
                <w:iCs/>
                <w:kern w:val="2"/>
                <w:sz w:val="20"/>
                <w:szCs w:val="20"/>
                <w:lang w:val="en-GB"/>
              </w:rPr>
              <w:t>采取行动</w:t>
            </w:r>
            <w:r w:rsidRPr="000C0842">
              <w:rPr>
                <w:rFonts w:ascii="Segoe UI" w:eastAsia="SimSun" w:hAnsi="Segoe UI" w:cs="Segoe UI"/>
                <w:sz w:val="20"/>
                <w:szCs w:val="20"/>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w:t>
            </w:r>
            <w:r w:rsidRPr="000C0842">
              <w:rPr>
                <w:rFonts w:ascii="Microsoft YaHei" w:eastAsia="SimSun" w:hAnsi="Microsoft YaHei" w:cs="Microsoft YaHei"/>
                <w:sz w:val="20"/>
                <w:szCs w:val="20"/>
              </w:rPr>
              <w:t>者</w:t>
            </w:r>
            <w:r w:rsidRPr="000C0842">
              <w:rPr>
                <w:rFonts w:eastAsia="SimSun" w:hint="eastAsia"/>
                <w:iCs/>
                <w:kern w:val="2"/>
                <w:sz w:val="20"/>
                <w:szCs w:val="20"/>
                <w:lang w:val="en-GB"/>
              </w:rPr>
              <w:t>的国家数目</w:t>
            </w:r>
          </w:p>
        </w:tc>
        <w:tc>
          <w:tcPr>
            <w:tcW w:w="2189" w:type="dxa"/>
            <w:shd w:val="clear" w:color="auto" w:fill="FFFFFF"/>
          </w:tcPr>
          <w:p w14:paraId="2E57226A"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对所有指标按土著和传统领地以及治理情况进行的细分都与行动目标</w:t>
            </w:r>
            <w:r w:rsidRPr="000C0842">
              <w:rPr>
                <w:rFonts w:eastAsia="SimSun"/>
                <w:kern w:val="2"/>
                <w:sz w:val="20"/>
                <w:szCs w:val="20"/>
                <w:lang w:val="en-GB"/>
              </w:rPr>
              <w:t>22</w:t>
            </w:r>
            <w:r w:rsidRPr="000C0842">
              <w:rPr>
                <w:rFonts w:eastAsia="SimSun" w:hint="eastAsia"/>
                <w:kern w:val="2"/>
                <w:sz w:val="20"/>
                <w:szCs w:val="20"/>
                <w:lang w:val="en-GB"/>
              </w:rPr>
              <w:t>相关</w:t>
            </w:r>
          </w:p>
          <w:p w14:paraId="5FD00C01"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p>
        </w:tc>
        <w:tc>
          <w:tcPr>
            <w:tcW w:w="2001" w:type="dxa"/>
            <w:shd w:val="clear" w:color="auto" w:fill="FFFFFF"/>
          </w:tcPr>
          <w:p w14:paraId="4B6977DA"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21</w:t>
            </w:r>
            <w:r w:rsidRPr="000C0842">
              <w:rPr>
                <w:rFonts w:eastAsia="SimSun"/>
              </w:rPr>
              <w:t>.C</w:t>
            </w:r>
            <w:r w:rsidRPr="000C0842">
              <w:rPr>
                <w:rFonts w:eastAsia="SimSun" w:hint="eastAsia"/>
              </w:rPr>
              <w:t>T</w:t>
            </w:r>
            <w:r w:rsidRPr="000C0842">
              <w:rPr>
                <w:rFonts w:eastAsia="SimSun"/>
              </w:rPr>
              <w:t>.</w:t>
            </w:r>
            <w:r w:rsidRPr="000C0842">
              <w:rPr>
                <w:rFonts w:eastAsia="SimSun" w:hint="eastAsia"/>
              </w:rPr>
              <w:t>2</w:t>
            </w:r>
            <w:r w:rsidRPr="000C0842">
              <w:rPr>
                <w:rFonts w:eastAsia="SimSun"/>
                <w:kern w:val="2"/>
                <w:sz w:val="20"/>
                <w:szCs w:val="20"/>
              </w:rPr>
              <w:t>土著人民和地方社区</w:t>
            </w:r>
            <w:r w:rsidRPr="000C0842">
              <w:rPr>
                <w:rFonts w:eastAsia="SimSun" w:hint="eastAsia"/>
                <w:kern w:val="2"/>
                <w:sz w:val="20"/>
                <w:szCs w:val="20"/>
              </w:rPr>
              <w:t>参与</w:t>
            </w:r>
            <w:r w:rsidRPr="000C0842">
              <w:rPr>
                <w:rFonts w:eastAsia="SimSun"/>
                <w:kern w:val="2"/>
                <w:sz w:val="20"/>
                <w:szCs w:val="20"/>
              </w:rPr>
              <w:t>各级</w:t>
            </w:r>
            <w:r w:rsidRPr="000C0842">
              <w:rPr>
                <w:rFonts w:eastAsia="SimSun" w:hint="eastAsia"/>
                <w:kern w:val="2"/>
                <w:sz w:val="20"/>
                <w:szCs w:val="20"/>
              </w:rPr>
              <w:t>执行</w:t>
            </w:r>
            <w:r w:rsidRPr="000C0842">
              <w:rPr>
                <w:rFonts w:eastAsia="SimSun"/>
                <w:kern w:val="2"/>
                <w:sz w:val="20"/>
                <w:szCs w:val="20"/>
              </w:rPr>
              <w:t>《公约》</w:t>
            </w:r>
            <w:r w:rsidRPr="000C0842">
              <w:rPr>
                <w:rFonts w:eastAsia="SimSun" w:hint="eastAsia"/>
                <w:kern w:val="2"/>
                <w:sz w:val="20"/>
                <w:szCs w:val="20"/>
              </w:rPr>
              <w:t>的</w:t>
            </w:r>
            <w:r w:rsidRPr="000C0842">
              <w:rPr>
                <w:rFonts w:eastAsia="SimSun"/>
                <w:kern w:val="2"/>
                <w:sz w:val="20"/>
                <w:szCs w:val="20"/>
              </w:rPr>
              <w:t>决策</w:t>
            </w:r>
          </w:p>
          <w:p w14:paraId="2827B8D8"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kern w:val="2"/>
                <w:sz w:val="20"/>
                <w:szCs w:val="20"/>
              </w:rPr>
              <w:t>21</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 xml:space="preserve">3 </w:t>
            </w:r>
            <w:r w:rsidRPr="000C0842">
              <w:rPr>
                <w:rFonts w:eastAsia="SimSun" w:hint="eastAsia"/>
                <w:kern w:val="2"/>
                <w:sz w:val="20"/>
                <w:szCs w:val="20"/>
              </w:rPr>
              <w:t>语言多样性指数</w:t>
            </w:r>
            <w:r w:rsidRPr="000C0842">
              <w:rPr>
                <w:rFonts w:eastAsia="SimSun"/>
                <w:kern w:val="2"/>
                <w:sz w:val="20"/>
                <w:szCs w:val="20"/>
              </w:rPr>
              <w:t xml:space="preserve"> </w:t>
            </w:r>
          </w:p>
          <w:p w14:paraId="16EAF75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kern w:val="2"/>
                <w:sz w:val="20"/>
                <w:szCs w:val="20"/>
              </w:rPr>
              <w:t>22</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1</w:t>
            </w:r>
            <w:r w:rsidRPr="000C0842">
              <w:rPr>
                <w:rFonts w:eastAsia="SimSun" w:hint="eastAsia"/>
                <w:kern w:val="2"/>
                <w:sz w:val="20"/>
                <w:szCs w:val="20"/>
              </w:rPr>
              <w:t>按性别和权属类型划分的拥有可靠土地权属，即</w:t>
            </w:r>
            <w:r w:rsidRPr="000C0842">
              <w:rPr>
                <w:rFonts w:eastAsia="SimSun" w:hint="eastAsia"/>
                <w:kern w:val="2"/>
                <w:sz w:val="20"/>
                <w:szCs w:val="20"/>
              </w:rPr>
              <w:t>(a)</w:t>
            </w:r>
            <w:r w:rsidRPr="000C0842">
              <w:rPr>
                <w:rFonts w:eastAsia="SimSun" w:hint="eastAsia"/>
                <w:kern w:val="2"/>
                <w:sz w:val="20"/>
                <w:szCs w:val="20"/>
              </w:rPr>
              <w:t>拥有法律认可的文件，并且</w:t>
            </w:r>
            <w:r w:rsidRPr="000C0842">
              <w:rPr>
                <w:rFonts w:eastAsia="SimSun" w:hint="eastAsia"/>
                <w:kern w:val="2"/>
                <w:sz w:val="20"/>
                <w:szCs w:val="20"/>
              </w:rPr>
              <w:t>(b)</w:t>
            </w:r>
            <w:r w:rsidRPr="000C0842">
              <w:rPr>
                <w:rFonts w:eastAsia="SimSun" w:hint="eastAsia"/>
                <w:kern w:val="2"/>
                <w:sz w:val="20"/>
                <w:szCs w:val="20"/>
              </w:rPr>
              <w:t>认为自身土地权得到保障的总成年人口比例</w:t>
            </w:r>
          </w:p>
          <w:p w14:paraId="4F20437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kern w:val="2"/>
                <w:sz w:val="20"/>
                <w:szCs w:val="20"/>
              </w:rPr>
              <w:t>22</w:t>
            </w:r>
            <w:r w:rsidRPr="000C0842">
              <w:rPr>
                <w:rFonts w:eastAsia="SimSun"/>
                <w:kern w:val="2"/>
                <w:sz w:val="20"/>
                <w:szCs w:val="20"/>
              </w:rPr>
              <w:t>.C</w:t>
            </w:r>
            <w:r w:rsidRPr="000C0842">
              <w:rPr>
                <w:rFonts w:eastAsia="SimSun" w:hint="eastAsia"/>
                <w:kern w:val="2"/>
                <w:sz w:val="20"/>
                <w:szCs w:val="20"/>
              </w:rPr>
              <w:t>T</w:t>
            </w:r>
            <w:r w:rsidRPr="000C0842">
              <w:rPr>
                <w:rFonts w:eastAsia="SimSun"/>
                <w:kern w:val="2"/>
                <w:sz w:val="20"/>
                <w:szCs w:val="20"/>
              </w:rPr>
              <w:t>.</w:t>
            </w:r>
            <w:r w:rsidRPr="000C0842">
              <w:rPr>
                <w:rFonts w:eastAsia="SimSun" w:hint="eastAsia"/>
                <w:kern w:val="2"/>
                <w:sz w:val="20"/>
                <w:szCs w:val="20"/>
              </w:rPr>
              <w:t xml:space="preserve">2 </w:t>
            </w:r>
            <w:r w:rsidRPr="000C0842">
              <w:rPr>
                <w:rFonts w:eastAsia="SimSun" w:hint="eastAsia"/>
                <w:kern w:val="2"/>
                <w:sz w:val="20"/>
                <w:szCs w:val="20"/>
              </w:rPr>
              <w:t>过去</w:t>
            </w:r>
            <w:r w:rsidRPr="000C0842">
              <w:rPr>
                <w:rFonts w:eastAsia="SimSun"/>
                <w:kern w:val="2"/>
                <w:sz w:val="20"/>
                <w:szCs w:val="20"/>
              </w:rPr>
              <w:t>12</w:t>
            </w:r>
            <w:r w:rsidRPr="000C0842">
              <w:rPr>
                <w:rFonts w:eastAsia="SimSun" w:hint="eastAsia"/>
                <w:kern w:val="2"/>
                <w:sz w:val="20"/>
                <w:szCs w:val="20"/>
              </w:rPr>
              <w:t>个月经核实的杀害和以其他方式袭击环境人权捍卫者的案件数目</w:t>
            </w:r>
          </w:p>
        </w:tc>
        <w:tc>
          <w:tcPr>
            <w:tcW w:w="3114" w:type="dxa"/>
            <w:shd w:val="clear" w:color="auto" w:fill="FFFFFF"/>
          </w:tcPr>
          <w:p w14:paraId="23C7F050"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1 </w:t>
            </w:r>
            <w:r w:rsidRPr="000C0842">
              <w:rPr>
                <w:rFonts w:ascii="SimSun" w:eastAsia="SimSun" w:hAnsi="SimSun" w:cs="SimSun" w:hint="eastAsia"/>
                <w:bCs/>
                <w:kern w:val="2"/>
                <w:sz w:val="20"/>
                <w:szCs w:val="20"/>
              </w:rPr>
              <w:t>与全国分布情况相比，在国家和地方机构职位中所占比例，包括：</w:t>
            </w:r>
            <w:r w:rsidRPr="000C0842">
              <w:rPr>
                <w:rFonts w:eastAsia="SimSun"/>
                <w:bCs/>
                <w:kern w:val="2"/>
                <w:sz w:val="20"/>
                <w:szCs w:val="20"/>
              </w:rPr>
              <w:t xml:space="preserve">(a) </w:t>
            </w:r>
            <w:r w:rsidRPr="000C0842">
              <w:rPr>
                <w:rFonts w:ascii="SimSun" w:eastAsia="SimSun" w:hAnsi="SimSun" w:cs="SimSun" w:hint="eastAsia"/>
                <w:bCs/>
                <w:kern w:val="2"/>
                <w:sz w:val="20"/>
                <w:szCs w:val="20"/>
              </w:rPr>
              <w:t>立法机关；</w:t>
            </w:r>
            <w:r w:rsidRPr="000C0842">
              <w:rPr>
                <w:rFonts w:eastAsia="SimSun"/>
                <w:bCs/>
                <w:kern w:val="2"/>
                <w:sz w:val="20"/>
                <w:szCs w:val="20"/>
              </w:rPr>
              <w:t xml:space="preserve">(b) </w:t>
            </w:r>
            <w:r w:rsidRPr="000C0842">
              <w:rPr>
                <w:rFonts w:ascii="SimSun" w:eastAsia="SimSun" w:hAnsi="SimSun" w:cs="SimSun" w:hint="eastAsia"/>
                <w:bCs/>
                <w:kern w:val="2"/>
                <w:sz w:val="20"/>
                <w:szCs w:val="20"/>
              </w:rPr>
              <w:t>公职；</w:t>
            </w:r>
            <w:r w:rsidRPr="000C0842">
              <w:rPr>
                <w:rFonts w:eastAsia="SimSun"/>
                <w:bCs/>
                <w:kern w:val="2"/>
                <w:sz w:val="20"/>
                <w:szCs w:val="20"/>
              </w:rPr>
              <w:t>(c)</w:t>
            </w:r>
            <w:r w:rsidRPr="000C0842">
              <w:rPr>
                <w:rFonts w:ascii="SimSun" w:eastAsia="SimSun" w:hAnsi="SimSun" w:cs="SimSun" w:hint="eastAsia"/>
                <w:bCs/>
                <w:kern w:val="2"/>
                <w:sz w:val="20"/>
                <w:szCs w:val="20"/>
              </w:rPr>
              <w:t>司法机构，按性别、年龄、残疾人和人口群体分列</w:t>
            </w:r>
          </w:p>
          <w:p w14:paraId="485AF19F"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2 </w:t>
            </w:r>
            <w:r w:rsidRPr="000C0842">
              <w:rPr>
                <w:rFonts w:ascii="SimSun" w:eastAsia="SimSun" w:hAnsi="SimSun" w:cs="SimSun" w:hint="eastAsia"/>
                <w:bCs/>
                <w:kern w:val="2"/>
                <w:sz w:val="20"/>
                <w:szCs w:val="20"/>
              </w:rPr>
              <w:t>已建立制度来追踪并拨付公共款项用于性别平等和增强妇女权能的国家所占比例</w:t>
            </w:r>
            <w:r w:rsidRPr="000C0842">
              <w:rPr>
                <w:rFonts w:eastAsia="SimSun"/>
                <w:kern w:val="2"/>
                <w:sz w:val="20"/>
                <w:szCs w:val="20"/>
              </w:rPr>
              <w:t xml:space="preserve"> </w:t>
            </w:r>
          </w:p>
          <w:p w14:paraId="63F44251"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3 (a)</w:t>
            </w:r>
            <w:r w:rsidRPr="000C0842">
              <w:rPr>
                <w:rFonts w:ascii="SimSun" w:eastAsia="SimSun" w:hAnsi="SimSun" w:cs="SimSun" w:hint="eastAsia"/>
                <w:kern w:val="2"/>
                <w:sz w:val="20"/>
                <w:szCs w:val="20"/>
              </w:rPr>
              <w:t>农业总人口中对农业用地拥有所有权或有保障权利的人口比例，按性别分列；(b)</w:t>
            </w:r>
            <w:r w:rsidRPr="000C0842">
              <w:rPr>
                <w:rFonts w:ascii="SimSun" w:eastAsia="SimSun" w:hAnsi="SimSun" w:cs="SimSun" w:hint="eastAsia"/>
                <w:bCs/>
                <w:kern w:val="2"/>
                <w:sz w:val="20"/>
                <w:szCs w:val="20"/>
              </w:rPr>
              <w:t>农业用地所有人或权利人中妇女所占比例</w:t>
            </w:r>
            <w:r w:rsidRPr="000C0842">
              <w:rPr>
                <w:rFonts w:ascii="SimSun" w:eastAsia="SimSun" w:hAnsi="SimSun" w:cs="SimSun" w:hint="eastAsia"/>
                <w:kern w:val="2"/>
                <w:sz w:val="20"/>
                <w:szCs w:val="20"/>
              </w:rPr>
              <w:t>，按土地保有类型分列</w:t>
            </w:r>
          </w:p>
          <w:p w14:paraId="2CA10A4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包括习惯法在内的国家法律框架保障妇女有权平等享有土地所有权和</w:t>
            </w:r>
            <w:r w:rsidRPr="000C0842">
              <w:rPr>
                <w:rFonts w:eastAsia="SimSun" w:hint="eastAsia"/>
                <w:kern w:val="2"/>
                <w:sz w:val="20"/>
                <w:szCs w:val="20"/>
              </w:rPr>
              <w:t>/</w:t>
            </w:r>
            <w:r w:rsidRPr="000C0842">
              <w:rPr>
                <w:rFonts w:ascii="SimSun" w:eastAsia="SimSun" w:hAnsi="SimSun" w:cs="SimSun" w:hint="eastAsia"/>
                <w:kern w:val="2"/>
                <w:sz w:val="20"/>
                <w:szCs w:val="20"/>
              </w:rPr>
              <w:t>或控制权的国家所占比例</w:t>
            </w:r>
          </w:p>
          <w:p w14:paraId="3914DC87"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5 </w:t>
            </w:r>
            <w:r w:rsidRPr="000C0842">
              <w:rPr>
                <w:rFonts w:ascii="SimSun" w:eastAsia="SimSun" w:hAnsi="SimSun" w:cs="SimSun" w:hint="eastAsia"/>
                <w:kern w:val="2"/>
                <w:sz w:val="20"/>
                <w:szCs w:val="20"/>
              </w:rPr>
              <w:t>认为决策具有包容性和响应性的人口比例，按性别、年龄、残疾人和人口群体分列</w:t>
            </w:r>
          </w:p>
          <w:p w14:paraId="705CF57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6 </w:t>
            </w:r>
            <w:r w:rsidRPr="000C0842">
              <w:rPr>
                <w:rFonts w:ascii="SimSun" w:eastAsia="SimSun" w:hAnsi="SimSun" w:cs="SimSun" w:hint="eastAsia"/>
                <w:kern w:val="2"/>
                <w:sz w:val="20"/>
                <w:szCs w:val="20"/>
              </w:rPr>
              <w:t>根据报告由作为保管者的土著人民和地方社区治理、管理和养护的领土和地区覆盖的面积（土著人民和社区养护的领土和地区</w:t>
            </w:r>
            <w:r w:rsidRPr="000C0842">
              <w:rPr>
                <w:rFonts w:eastAsia="SimSun"/>
                <w:kern w:val="2"/>
                <w:sz w:val="20"/>
                <w:szCs w:val="20"/>
              </w:rPr>
              <w:t xml:space="preserve"> – </w:t>
            </w:r>
            <w:r w:rsidRPr="000C0842">
              <w:rPr>
                <w:rFonts w:ascii="SimSun" w:eastAsia="SimSun" w:hAnsi="SimSun" w:cs="SimSun" w:hint="eastAsia"/>
                <w:kern w:val="2"/>
                <w:sz w:val="20"/>
                <w:szCs w:val="20"/>
              </w:rPr>
              <w:t>维系生命的领土）</w:t>
            </w:r>
            <w:r w:rsidRPr="000C0842">
              <w:rPr>
                <w:rFonts w:eastAsia="SimSun"/>
                <w:kern w:val="2"/>
                <w:sz w:val="20"/>
                <w:szCs w:val="20"/>
              </w:rPr>
              <w:t xml:space="preserve">  </w:t>
            </w:r>
          </w:p>
        </w:tc>
      </w:tr>
      <w:tr w:rsidR="000C0842" w:rsidRPr="000C0842" w14:paraId="0312CC04" w14:textId="77777777" w:rsidTr="001F32B3">
        <w:tc>
          <w:tcPr>
            <w:tcW w:w="759" w:type="dxa"/>
            <w:shd w:val="clear" w:color="auto" w:fill="FFFFFF"/>
          </w:tcPr>
          <w:p w14:paraId="51503916" w14:textId="77777777" w:rsidR="004C57B0" w:rsidRPr="000C0842" w:rsidRDefault="004C57B0" w:rsidP="004C57B0">
            <w:pPr>
              <w:tabs>
                <w:tab w:val="clear" w:pos="567"/>
                <w:tab w:val="clear" w:pos="1134"/>
                <w:tab w:val="clear" w:pos="1701"/>
                <w:tab w:val="clear" w:pos="2268"/>
              </w:tabs>
              <w:spacing w:before="60"/>
              <w:rPr>
                <w:rFonts w:eastAsia="SimSun"/>
                <w:kern w:val="2"/>
                <w:sz w:val="20"/>
                <w:szCs w:val="20"/>
                <w:lang w:val="en-GB"/>
              </w:rPr>
            </w:pPr>
            <w:r w:rsidRPr="000C0842">
              <w:rPr>
                <w:rFonts w:eastAsia="SimSun"/>
                <w:kern w:val="2"/>
                <w:sz w:val="20"/>
                <w:szCs w:val="20"/>
                <w:lang w:val="en-GB"/>
              </w:rPr>
              <w:t>23</w:t>
            </w:r>
          </w:p>
        </w:tc>
        <w:tc>
          <w:tcPr>
            <w:tcW w:w="1287" w:type="dxa"/>
            <w:shd w:val="clear" w:color="auto" w:fill="FFFFFF"/>
          </w:tcPr>
          <w:p w14:paraId="0DAAF0F0" w14:textId="77777777" w:rsidR="004C57B0" w:rsidRPr="000C0842" w:rsidRDefault="004C57B0" w:rsidP="004C57B0">
            <w:pPr>
              <w:tabs>
                <w:tab w:val="clear" w:pos="567"/>
                <w:tab w:val="clear" w:pos="1134"/>
                <w:tab w:val="clear" w:pos="1701"/>
                <w:tab w:val="clear" w:pos="2268"/>
              </w:tabs>
              <w:spacing w:before="60"/>
              <w:jc w:val="left"/>
              <w:rPr>
                <w:rFonts w:eastAsia="SimSun"/>
                <w:iCs/>
                <w:kern w:val="2"/>
                <w:sz w:val="20"/>
                <w:szCs w:val="20"/>
                <w:lang w:val="en-GB"/>
              </w:rPr>
            </w:pPr>
            <w:r w:rsidRPr="000C0842">
              <w:rPr>
                <w:rFonts w:eastAsia="Times New Roman"/>
                <w:sz w:val="20"/>
                <w:szCs w:val="20"/>
                <w:lang w:val="en-GB"/>
              </w:rPr>
              <w:t xml:space="preserve">23.b </w:t>
            </w:r>
            <w:r w:rsidRPr="000C0842">
              <w:rPr>
                <w:rFonts w:ascii="SimSun" w:eastAsia="SimSun" w:hAnsi="SimSun" w:hint="eastAsia"/>
                <w:sz w:val="20"/>
                <w:szCs w:val="20"/>
                <w:lang w:val="en-GB"/>
              </w:rPr>
              <w:t>制定了法律、行政或政策框架，以执行</w:t>
            </w:r>
            <w:r w:rsidRPr="000C0842">
              <w:rPr>
                <w:rFonts w:ascii="SimSun" w:eastAsia="SimSun" w:hAnsi="SimSun" w:cs="MS Mincho" w:hint="eastAsia"/>
                <w:sz w:val="20"/>
                <w:szCs w:val="20"/>
                <w:lang w:val="en-GB"/>
              </w:rPr>
              <w:t>《性</w:t>
            </w:r>
            <w:r w:rsidRPr="000C0842">
              <w:rPr>
                <w:rFonts w:ascii="SimSun" w:eastAsia="SimSun" w:hAnsi="SimSun" w:cs="SimSun" w:hint="eastAsia"/>
                <w:sz w:val="20"/>
                <w:szCs w:val="20"/>
                <w:lang w:val="en-GB"/>
              </w:rPr>
              <w:t>别</w:t>
            </w:r>
            <w:r w:rsidRPr="000C0842">
              <w:rPr>
                <w:rFonts w:ascii="SimSun" w:eastAsia="SimSun" w:hAnsi="SimSun" w:hint="eastAsia"/>
                <w:sz w:val="20"/>
                <w:szCs w:val="20"/>
                <w:lang w:val="en-GB"/>
              </w:rPr>
              <w:t>平等行</w:t>
            </w:r>
            <w:r w:rsidRPr="000C0842">
              <w:rPr>
                <w:rFonts w:ascii="SimSun" w:eastAsia="SimSun" w:hAnsi="SimSun" w:cs="SimSun" w:hint="eastAsia"/>
                <w:sz w:val="20"/>
                <w:szCs w:val="20"/>
                <w:lang w:val="en-GB"/>
              </w:rPr>
              <w:t>动计</w:t>
            </w:r>
            <w:r w:rsidRPr="000C0842">
              <w:rPr>
                <w:rFonts w:ascii="SimSun" w:eastAsia="SimSun" w:hAnsi="SimSun" w:cs="MS Mincho" w:hint="eastAsia"/>
                <w:sz w:val="20"/>
                <w:szCs w:val="20"/>
                <w:lang w:val="en-GB"/>
              </w:rPr>
              <w:t>划》</w:t>
            </w:r>
            <w:r w:rsidRPr="000C0842">
              <w:rPr>
                <w:rFonts w:ascii="SimSun" w:eastAsia="SimSun" w:hAnsi="SimSun" w:cs="MS Mincho" w:hint="eastAsia"/>
                <w:sz w:val="20"/>
                <w:szCs w:val="20"/>
              </w:rPr>
              <w:t>（2023-2030年）</w:t>
            </w:r>
            <w:r w:rsidRPr="000C0842">
              <w:rPr>
                <w:rFonts w:ascii="SimSun" w:eastAsia="SimSun" w:hAnsi="SimSun" w:cs="MS Mincho" w:hint="eastAsia"/>
                <w:sz w:val="20"/>
                <w:szCs w:val="20"/>
                <w:lang w:val="en-GB"/>
              </w:rPr>
              <w:t>，确保所有</w:t>
            </w:r>
            <w:r w:rsidRPr="000C0842">
              <w:rPr>
                <w:rFonts w:ascii="SimSun" w:eastAsia="SimSun" w:hAnsi="SimSun" w:cs="SimSun" w:hint="eastAsia"/>
                <w:sz w:val="20"/>
                <w:szCs w:val="20"/>
                <w:lang w:val="en-GB"/>
              </w:rPr>
              <w:t>妇</w:t>
            </w:r>
            <w:r w:rsidRPr="000C0842">
              <w:rPr>
                <w:rFonts w:ascii="SimSun" w:eastAsia="SimSun" w:hAnsi="SimSun" w:cs="MS Mincho" w:hint="eastAsia"/>
                <w:sz w:val="20"/>
                <w:szCs w:val="20"/>
                <w:lang w:val="en-GB"/>
              </w:rPr>
              <w:t>女和女童有平等机会和能力</w:t>
            </w:r>
            <w:r w:rsidRPr="000C0842">
              <w:rPr>
                <w:rFonts w:ascii="SimSun" w:eastAsia="SimSun" w:hAnsi="SimSun" w:cs="SimSun" w:hint="eastAsia"/>
                <w:sz w:val="20"/>
                <w:szCs w:val="20"/>
                <w:lang w:val="en-GB"/>
              </w:rPr>
              <w:t>为</w:t>
            </w:r>
            <w:r w:rsidRPr="000C0842">
              <w:rPr>
                <w:rFonts w:ascii="SimSun" w:eastAsia="SimSun" w:hAnsi="SimSun" w:cs="MS Mincho" w:hint="eastAsia"/>
                <w:sz w:val="20"/>
                <w:szCs w:val="20"/>
                <w:lang w:val="en-GB"/>
              </w:rPr>
              <w:t>《公</w:t>
            </w:r>
            <w:r w:rsidRPr="000C0842">
              <w:rPr>
                <w:rFonts w:ascii="SimSun" w:eastAsia="SimSun" w:hAnsi="SimSun" w:cs="SimSun" w:hint="eastAsia"/>
                <w:sz w:val="20"/>
                <w:szCs w:val="20"/>
                <w:lang w:val="en-GB"/>
              </w:rPr>
              <w:t>约</w:t>
            </w:r>
            <w:r w:rsidRPr="000C0842">
              <w:rPr>
                <w:rFonts w:ascii="SimSun" w:eastAsia="SimSun" w:hAnsi="SimSun" w:cs="MS Mincho" w:hint="eastAsia"/>
                <w:sz w:val="20"/>
                <w:szCs w:val="20"/>
                <w:lang w:val="en-GB"/>
              </w:rPr>
              <w:t>》的三项目</w:t>
            </w:r>
            <w:r w:rsidRPr="000C0842">
              <w:rPr>
                <w:rFonts w:ascii="SimSun" w:eastAsia="SimSun" w:hAnsi="SimSun" w:cs="SimSun" w:hint="eastAsia"/>
                <w:sz w:val="20"/>
                <w:szCs w:val="20"/>
                <w:lang w:val="en-GB"/>
              </w:rPr>
              <w:t>标</w:t>
            </w:r>
            <w:r w:rsidRPr="000C0842">
              <w:rPr>
                <w:rFonts w:ascii="SimSun" w:eastAsia="SimSun" w:hAnsi="SimSun" w:cs="MS Mincho" w:hint="eastAsia"/>
                <w:sz w:val="20"/>
                <w:szCs w:val="20"/>
                <w:lang w:val="en-GB"/>
              </w:rPr>
              <w:t>作出</w:t>
            </w:r>
            <w:r w:rsidRPr="000C0842">
              <w:rPr>
                <w:rFonts w:ascii="SimSun" w:eastAsia="SimSun" w:hAnsi="SimSun" w:cs="SimSun" w:hint="eastAsia"/>
                <w:sz w:val="20"/>
                <w:szCs w:val="20"/>
                <w:lang w:val="en-GB"/>
              </w:rPr>
              <w:t>贡</w:t>
            </w:r>
            <w:r w:rsidRPr="000C0842">
              <w:rPr>
                <w:rFonts w:ascii="SimSun" w:eastAsia="SimSun" w:hAnsi="SimSun" w:cs="MS Mincho" w:hint="eastAsia"/>
                <w:sz w:val="20"/>
                <w:szCs w:val="20"/>
                <w:lang w:val="en-GB"/>
              </w:rPr>
              <w:t>献，</w:t>
            </w:r>
            <w:r w:rsidRPr="000C0842">
              <w:rPr>
                <w:rFonts w:ascii="SimSun" w:eastAsia="SimSun" w:hAnsi="SimSun" w:hint="eastAsia"/>
                <w:sz w:val="20"/>
                <w:szCs w:val="20"/>
                <w:lang w:val="en-GB"/>
              </w:rPr>
              <w:t>包括通过确保</w:t>
            </w:r>
            <w:r w:rsidRPr="000C0842">
              <w:rPr>
                <w:rFonts w:ascii="SimSun" w:eastAsia="SimSun" w:hAnsi="SimSun" w:cs="SimSun" w:hint="eastAsia"/>
                <w:sz w:val="20"/>
                <w:szCs w:val="20"/>
                <w:lang w:val="en-GB"/>
              </w:rPr>
              <w:t>妇</w:t>
            </w:r>
            <w:r w:rsidRPr="000C0842">
              <w:rPr>
                <w:rFonts w:ascii="SimSun" w:eastAsia="SimSun" w:hAnsi="SimSun" w:cs="MS Mincho" w:hint="eastAsia"/>
                <w:sz w:val="20"/>
                <w:szCs w:val="20"/>
                <w:lang w:val="en-GB"/>
              </w:rPr>
              <w:t>女有</w:t>
            </w:r>
            <w:r w:rsidRPr="000C0842">
              <w:rPr>
                <w:rFonts w:ascii="SimSun" w:eastAsia="SimSun" w:hAnsi="SimSun" w:hint="eastAsia"/>
                <w:sz w:val="20"/>
                <w:szCs w:val="20"/>
                <w:lang w:val="en-GB"/>
              </w:rPr>
              <w:t>平等权利获得土地和自然</w:t>
            </w:r>
            <w:r w:rsidRPr="000C0842">
              <w:rPr>
                <w:rFonts w:ascii="SimSun" w:eastAsia="SimSun" w:hAnsi="SimSun" w:cs="SimSun" w:hint="eastAsia"/>
                <w:sz w:val="20"/>
                <w:szCs w:val="20"/>
                <w:lang w:val="en-GB"/>
              </w:rPr>
              <w:t>资</w:t>
            </w:r>
            <w:r w:rsidRPr="000C0842">
              <w:rPr>
                <w:rFonts w:ascii="SimSun" w:eastAsia="SimSun" w:hAnsi="SimSun" w:cs="MS Mincho" w:hint="eastAsia"/>
                <w:sz w:val="20"/>
                <w:szCs w:val="20"/>
                <w:lang w:val="en-GB"/>
              </w:rPr>
              <w:t>源的国家数</w:t>
            </w:r>
            <w:r w:rsidRPr="000C0842">
              <w:rPr>
                <w:rFonts w:ascii="SimSun" w:eastAsia="SimSun" w:hAnsi="SimSun" w:hint="eastAsia"/>
                <w:sz w:val="20"/>
                <w:szCs w:val="20"/>
                <w:lang w:val="en-GB"/>
              </w:rPr>
              <w:t>目</w:t>
            </w:r>
          </w:p>
        </w:tc>
        <w:tc>
          <w:tcPr>
            <w:tcW w:w="2189" w:type="dxa"/>
            <w:shd w:val="clear" w:color="auto" w:fill="FFFFFF"/>
          </w:tcPr>
          <w:p w14:paraId="71E9E8E6" w14:textId="77777777" w:rsidR="004C57B0" w:rsidRPr="000C0842" w:rsidRDefault="004C57B0" w:rsidP="004C57B0">
            <w:pPr>
              <w:tabs>
                <w:tab w:val="clear" w:pos="567"/>
                <w:tab w:val="clear" w:pos="1134"/>
                <w:tab w:val="clear" w:pos="1701"/>
                <w:tab w:val="clear" w:pos="2268"/>
              </w:tabs>
              <w:spacing w:before="60"/>
              <w:jc w:val="left"/>
              <w:rPr>
                <w:rFonts w:eastAsia="SimSun"/>
                <w:kern w:val="2"/>
                <w:sz w:val="20"/>
                <w:szCs w:val="20"/>
                <w:lang w:val="en-GB"/>
              </w:rPr>
            </w:pPr>
            <w:r w:rsidRPr="000C0842">
              <w:rPr>
                <w:rFonts w:eastAsia="SimSun" w:hint="eastAsia"/>
                <w:kern w:val="2"/>
                <w:sz w:val="20"/>
                <w:szCs w:val="20"/>
                <w:lang w:val="en-GB"/>
              </w:rPr>
              <w:t>其他指标按性别、年龄和治理情况进行的细分均与此相关</w:t>
            </w:r>
          </w:p>
        </w:tc>
        <w:tc>
          <w:tcPr>
            <w:tcW w:w="2001" w:type="dxa"/>
            <w:shd w:val="clear" w:color="auto" w:fill="FFFFFF"/>
          </w:tcPr>
          <w:p w14:paraId="3598A4DC"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23.CT.1 </w:t>
            </w:r>
            <w:r w:rsidRPr="000C0842">
              <w:rPr>
                <w:rFonts w:eastAsia="SimSun"/>
                <w:kern w:val="2"/>
                <w:sz w:val="20"/>
                <w:szCs w:val="20"/>
              </w:rPr>
              <w:t>妇女在</w:t>
            </w:r>
            <w:r w:rsidRPr="000C0842">
              <w:rPr>
                <w:rFonts w:eastAsia="SimSun"/>
                <w:kern w:val="2"/>
                <w:sz w:val="20"/>
                <w:szCs w:val="20"/>
              </w:rPr>
              <w:t xml:space="preserve">(a) </w:t>
            </w:r>
            <w:r w:rsidRPr="000C0842">
              <w:rPr>
                <w:rFonts w:eastAsia="SimSun"/>
                <w:kern w:val="2"/>
                <w:sz w:val="20"/>
                <w:szCs w:val="20"/>
              </w:rPr>
              <w:t>国家议会和</w:t>
            </w:r>
            <w:r w:rsidRPr="000C0842">
              <w:rPr>
                <w:rFonts w:eastAsia="SimSun"/>
                <w:kern w:val="2"/>
                <w:sz w:val="20"/>
                <w:szCs w:val="20"/>
              </w:rPr>
              <w:t>(b)</w:t>
            </w:r>
            <w:r w:rsidRPr="000C0842">
              <w:rPr>
                <w:rFonts w:eastAsia="SimSun"/>
                <w:kern w:val="2"/>
                <w:sz w:val="20"/>
                <w:szCs w:val="20"/>
              </w:rPr>
              <w:t>地方政府席位</w:t>
            </w:r>
            <w:r w:rsidRPr="000C0842">
              <w:rPr>
                <w:rFonts w:eastAsia="SimSun" w:hint="eastAsia"/>
                <w:kern w:val="2"/>
                <w:sz w:val="20"/>
                <w:szCs w:val="20"/>
              </w:rPr>
              <w:t>中所占</w:t>
            </w:r>
            <w:r w:rsidRPr="000C0842">
              <w:rPr>
                <w:rFonts w:eastAsia="SimSun"/>
                <w:kern w:val="2"/>
                <w:sz w:val="20"/>
                <w:szCs w:val="20"/>
              </w:rPr>
              <w:t>比例</w:t>
            </w:r>
            <w:r w:rsidRPr="000C0842">
              <w:rPr>
                <w:rFonts w:eastAsia="SimSun"/>
                <w:kern w:val="2"/>
                <w:sz w:val="20"/>
                <w:szCs w:val="20"/>
              </w:rPr>
              <w:t xml:space="preserve"> </w:t>
            </w:r>
          </w:p>
          <w:p w14:paraId="3BF95594"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 xml:space="preserve">23.CT.2 </w:t>
            </w:r>
            <w:r w:rsidRPr="000C0842">
              <w:rPr>
                <w:rFonts w:eastAsia="SimSun"/>
                <w:kern w:val="2"/>
                <w:sz w:val="20"/>
                <w:szCs w:val="20"/>
              </w:rPr>
              <w:t>国家执行《性别平等行动计划》（</w:t>
            </w:r>
            <w:r w:rsidRPr="000C0842">
              <w:rPr>
                <w:rFonts w:eastAsia="SimSun"/>
                <w:kern w:val="2"/>
                <w:sz w:val="20"/>
                <w:szCs w:val="20"/>
              </w:rPr>
              <w:t>2023-2030</w:t>
            </w:r>
            <w:r w:rsidRPr="000C0842">
              <w:rPr>
                <w:rFonts w:eastAsia="SimSun"/>
                <w:kern w:val="2"/>
                <w:sz w:val="20"/>
                <w:szCs w:val="20"/>
              </w:rPr>
              <w:t>年）的指标</w:t>
            </w:r>
            <w:r w:rsidRPr="000C0842">
              <w:rPr>
                <w:rFonts w:eastAsia="SimSun"/>
                <w:kern w:val="2"/>
                <w:sz w:val="20"/>
                <w:szCs w:val="20"/>
              </w:rPr>
              <w:t xml:space="preserve">    </w:t>
            </w:r>
          </w:p>
          <w:p w14:paraId="6754D77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kern w:val="2"/>
                <w:sz w:val="20"/>
                <w:szCs w:val="20"/>
              </w:rPr>
              <w:t>22.CT.1</w:t>
            </w:r>
            <w:r w:rsidRPr="000C0842">
              <w:rPr>
                <w:rFonts w:eastAsia="SimSun" w:hint="eastAsia"/>
                <w:kern w:val="2"/>
                <w:sz w:val="20"/>
                <w:szCs w:val="20"/>
              </w:rPr>
              <w:t>按性别和权属类型划分的拥有可靠土地权属，即</w:t>
            </w:r>
            <w:r w:rsidRPr="000C0842">
              <w:rPr>
                <w:rFonts w:eastAsia="SimSun" w:hint="eastAsia"/>
                <w:kern w:val="2"/>
                <w:sz w:val="20"/>
                <w:szCs w:val="20"/>
              </w:rPr>
              <w:t>(a)</w:t>
            </w:r>
            <w:r w:rsidRPr="000C0842">
              <w:rPr>
                <w:rFonts w:eastAsia="SimSun" w:hint="eastAsia"/>
                <w:kern w:val="2"/>
                <w:sz w:val="20"/>
                <w:szCs w:val="20"/>
              </w:rPr>
              <w:t>拥有法律认可的文件，并且</w:t>
            </w:r>
            <w:r w:rsidRPr="000C0842">
              <w:rPr>
                <w:rFonts w:eastAsia="SimSun" w:hint="eastAsia"/>
                <w:kern w:val="2"/>
                <w:sz w:val="20"/>
                <w:szCs w:val="20"/>
              </w:rPr>
              <w:t>(b)</w:t>
            </w:r>
            <w:r w:rsidRPr="000C0842">
              <w:rPr>
                <w:rFonts w:eastAsia="SimSun" w:hint="eastAsia"/>
                <w:kern w:val="2"/>
                <w:sz w:val="20"/>
                <w:szCs w:val="20"/>
              </w:rPr>
              <w:t>认为自身土地权得到保障的总成年人口比例</w:t>
            </w:r>
          </w:p>
          <w:p w14:paraId="3CDA1199"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p>
        </w:tc>
        <w:tc>
          <w:tcPr>
            <w:tcW w:w="3114" w:type="dxa"/>
            <w:shd w:val="clear" w:color="auto" w:fill="FFFFFF"/>
          </w:tcPr>
          <w:p w14:paraId="14E1E49D"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sz w:val="20"/>
                <w:szCs w:val="20"/>
                <w:lang w:val="en-GB"/>
              </w:rPr>
              <w:t>22</w:t>
            </w:r>
            <w:r w:rsidRPr="000C0842">
              <w:rPr>
                <w:rFonts w:eastAsia="SimSun"/>
                <w:sz w:val="20"/>
                <w:szCs w:val="20"/>
              </w:rPr>
              <w:t>.C</w:t>
            </w:r>
            <w:r w:rsidRPr="000C0842">
              <w:rPr>
                <w:rFonts w:eastAsia="SimSun" w:hint="eastAsia"/>
                <w:sz w:val="20"/>
                <w:szCs w:val="20"/>
              </w:rPr>
              <w:t>Y</w:t>
            </w:r>
            <w:r w:rsidRPr="000C0842">
              <w:rPr>
                <w:rFonts w:eastAsia="SimSun"/>
                <w:sz w:val="20"/>
                <w:szCs w:val="20"/>
              </w:rPr>
              <w:t>.</w:t>
            </w:r>
            <w:r w:rsidRPr="000C0842">
              <w:rPr>
                <w:rFonts w:eastAsia="SimSun" w:hint="eastAsia"/>
                <w:sz w:val="20"/>
                <w:szCs w:val="20"/>
              </w:rPr>
              <w:t xml:space="preserve">1 </w:t>
            </w:r>
            <w:r w:rsidRPr="000C0842">
              <w:rPr>
                <w:rFonts w:ascii="SimSun" w:eastAsia="SimSun" w:hAnsi="SimSun" w:cs="SimSun" w:hint="eastAsia"/>
                <w:bCs/>
                <w:kern w:val="2"/>
                <w:sz w:val="20"/>
                <w:szCs w:val="20"/>
              </w:rPr>
              <w:t>与全国分布情况相比，国家和地方机构包括</w:t>
            </w:r>
            <w:r w:rsidRPr="000C0842">
              <w:rPr>
                <w:rFonts w:eastAsia="SimSun"/>
                <w:bCs/>
                <w:kern w:val="2"/>
                <w:sz w:val="20"/>
                <w:szCs w:val="20"/>
              </w:rPr>
              <w:t xml:space="preserve">(a) </w:t>
            </w:r>
            <w:r w:rsidRPr="000C0842">
              <w:rPr>
                <w:rFonts w:ascii="SimSun" w:eastAsia="SimSun" w:hAnsi="SimSun" w:cs="SimSun" w:hint="eastAsia"/>
                <w:bCs/>
                <w:kern w:val="2"/>
                <w:sz w:val="20"/>
                <w:szCs w:val="20"/>
              </w:rPr>
              <w:t>立法机关</w:t>
            </w:r>
            <w:r w:rsidRPr="000C0842">
              <w:rPr>
                <w:rFonts w:eastAsia="SimSun"/>
                <w:bCs/>
                <w:kern w:val="2"/>
                <w:sz w:val="20"/>
                <w:szCs w:val="20"/>
              </w:rPr>
              <w:t xml:space="preserve">(b) </w:t>
            </w:r>
            <w:r w:rsidRPr="000C0842">
              <w:rPr>
                <w:rFonts w:eastAsia="SimSun" w:hint="eastAsia"/>
                <w:bCs/>
                <w:kern w:val="2"/>
                <w:sz w:val="20"/>
                <w:szCs w:val="20"/>
              </w:rPr>
              <w:t>公务员制度</w:t>
            </w:r>
            <w:r w:rsidRPr="000C0842">
              <w:rPr>
                <w:rFonts w:eastAsia="SimSun"/>
                <w:bCs/>
                <w:kern w:val="2"/>
                <w:sz w:val="20"/>
                <w:szCs w:val="20"/>
              </w:rPr>
              <w:t>(c)</w:t>
            </w:r>
            <w:r w:rsidRPr="000C0842">
              <w:rPr>
                <w:rFonts w:ascii="SimSun" w:eastAsia="SimSun" w:hAnsi="SimSun" w:cs="SimSun" w:hint="eastAsia"/>
                <w:bCs/>
                <w:kern w:val="2"/>
                <w:sz w:val="20"/>
                <w:szCs w:val="20"/>
              </w:rPr>
              <w:t>司法机关中的职位比例，按性别、年龄、残疾人和人口群体分列</w:t>
            </w:r>
          </w:p>
          <w:p w14:paraId="390C2032"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3 (a)</w:t>
            </w:r>
            <w:r w:rsidRPr="000C0842">
              <w:rPr>
                <w:rFonts w:ascii="SimSun" w:eastAsia="SimSun" w:hAnsi="SimSun" w:cs="SimSun" w:hint="eastAsia"/>
                <w:bCs/>
                <w:kern w:val="2"/>
                <w:sz w:val="20"/>
                <w:szCs w:val="20"/>
              </w:rPr>
              <w:t>农业总人口中对农业用地拥有所有权或有保障权利的人口比例</w:t>
            </w:r>
            <w:r w:rsidRPr="000C0842">
              <w:rPr>
                <w:rFonts w:ascii="SimSun" w:eastAsia="SimSun" w:hAnsi="SimSun" w:cs="SimSun" w:hint="eastAsia"/>
                <w:kern w:val="2"/>
                <w:sz w:val="20"/>
                <w:szCs w:val="20"/>
              </w:rPr>
              <w:t>，按性别分列；(b)农业用地所有人或权利人中妇女所占比例，按土地保有类型分列</w:t>
            </w:r>
          </w:p>
          <w:p w14:paraId="213BEAB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5 </w:t>
            </w:r>
            <w:r w:rsidRPr="000C0842">
              <w:rPr>
                <w:rFonts w:ascii="SimSun" w:eastAsia="SimSun" w:hAnsi="SimSun" w:cs="SimSun" w:hint="eastAsia"/>
                <w:kern w:val="2"/>
                <w:sz w:val="20"/>
                <w:szCs w:val="20"/>
              </w:rPr>
              <w:t>认为决策具有包容性和响应性的人口比例，按性别、年龄、残疾人和人口群体分列</w:t>
            </w:r>
            <w:r w:rsidRPr="000C0842">
              <w:rPr>
                <w:rFonts w:eastAsia="SimSun"/>
                <w:kern w:val="2"/>
                <w:sz w:val="20"/>
                <w:szCs w:val="20"/>
              </w:rPr>
              <w:t xml:space="preserve"> </w:t>
            </w:r>
          </w:p>
          <w:p w14:paraId="12A946EE" w14:textId="77777777" w:rsidR="004C57B0" w:rsidRPr="000C0842" w:rsidRDefault="004C57B0" w:rsidP="004C57B0">
            <w:pPr>
              <w:tabs>
                <w:tab w:val="clear" w:pos="567"/>
                <w:tab w:val="clear" w:pos="1134"/>
                <w:tab w:val="clear" w:pos="1701"/>
                <w:tab w:val="clear" w:pos="2268"/>
              </w:tabs>
              <w:spacing w:before="60"/>
              <w:ind w:left="245" w:hanging="245"/>
              <w:jc w:val="left"/>
              <w:rPr>
                <w:rFonts w:eastAsia="SimSun"/>
                <w:kern w:val="2"/>
                <w:sz w:val="20"/>
                <w:szCs w:val="20"/>
              </w:rPr>
            </w:pPr>
            <w:r w:rsidRPr="000C0842">
              <w:rPr>
                <w:rFonts w:eastAsia="SimSun" w:hint="eastAsia"/>
                <w:lang w:val="en-GB"/>
              </w:rPr>
              <w:t>22</w:t>
            </w:r>
            <w:r w:rsidRPr="000C0842">
              <w:rPr>
                <w:rFonts w:eastAsia="SimSun"/>
              </w:rPr>
              <w:t>.C</w:t>
            </w:r>
            <w:r w:rsidRPr="000C0842">
              <w:rPr>
                <w:rFonts w:eastAsia="SimSun" w:hint="eastAsia"/>
              </w:rPr>
              <w:t>Y</w:t>
            </w:r>
            <w:r w:rsidRPr="000C0842">
              <w:rPr>
                <w:rFonts w:eastAsia="SimSun"/>
              </w:rPr>
              <w:t>.</w:t>
            </w:r>
            <w:r w:rsidRPr="000C0842">
              <w:rPr>
                <w:rFonts w:eastAsia="SimSun" w:hint="eastAsia"/>
              </w:rPr>
              <w:t xml:space="preserve">4 </w:t>
            </w:r>
            <w:r w:rsidRPr="000C0842">
              <w:rPr>
                <w:rFonts w:ascii="SimSun" w:eastAsia="SimSun" w:hAnsi="SimSun" w:cs="SimSun" w:hint="eastAsia"/>
                <w:kern w:val="2"/>
                <w:sz w:val="20"/>
                <w:szCs w:val="20"/>
              </w:rPr>
              <w:t>包括习惯法在内的国家法律框架保障妇女有权平等享有土地所有权和/或控制权的国家所占比例</w:t>
            </w:r>
            <w:r w:rsidRPr="000C0842">
              <w:rPr>
                <w:rFonts w:eastAsia="SimSun"/>
                <w:kern w:val="2"/>
                <w:sz w:val="20"/>
                <w:szCs w:val="20"/>
              </w:rPr>
              <w:t xml:space="preserve"> </w:t>
            </w:r>
          </w:p>
        </w:tc>
      </w:tr>
    </w:tbl>
    <w:p w14:paraId="032967BC" w14:textId="77777777" w:rsidR="004C57B0" w:rsidRPr="000C0842" w:rsidRDefault="004C57B0" w:rsidP="004C57B0">
      <w:pPr>
        <w:tabs>
          <w:tab w:val="clear" w:pos="567"/>
          <w:tab w:val="clear" w:pos="1134"/>
          <w:tab w:val="clear" w:pos="1701"/>
          <w:tab w:val="clear" w:pos="2268"/>
          <w:tab w:val="left" w:pos="4428"/>
        </w:tabs>
        <w:snapToGrid w:val="0"/>
        <w:ind w:firstLine="490"/>
        <w:jc w:val="left"/>
        <w:outlineLvl w:val="1"/>
        <w:rPr>
          <w:rFonts w:eastAsia="SimSun"/>
          <w:b/>
          <w:bCs/>
          <w:snapToGrid w:val="0"/>
          <w:sz w:val="24"/>
          <w:szCs w:val="24"/>
          <w:lang w:val="en-GB"/>
        </w:rPr>
      </w:pPr>
      <w:r w:rsidRPr="000C0842">
        <w:rPr>
          <w:rFonts w:eastAsia="SimSun"/>
          <w:b/>
          <w:bCs/>
          <w:snapToGrid w:val="0"/>
          <w:sz w:val="24"/>
          <w:szCs w:val="24"/>
          <w:lang w:val="en-GB"/>
        </w:rPr>
        <w:tab/>
      </w:r>
    </w:p>
    <w:p w14:paraId="667D4634" w14:textId="77777777" w:rsidR="004C57B0" w:rsidRPr="000C0842" w:rsidRDefault="004C57B0" w:rsidP="004C57B0">
      <w:pPr>
        <w:tabs>
          <w:tab w:val="clear" w:pos="567"/>
          <w:tab w:val="clear" w:pos="1134"/>
          <w:tab w:val="clear" w:pos="1701"/>
          <w:tab w:val="clear" w:pos="2268"/>
        </w:tabs>
        <w:spacing w:after="160" w:line="259" w:lineRule="auto"/>
        <w:jc w:val="left"/>
        <w:rPr>
          <w:rFonts w:eastAsia="SimSun"/>
          <w:b/>
          <w:spacing w:val="5"/>
          <w:kern w:val="28"/>
          <w:sz w:val="24"/>
          <w:szCs w:val="24"/>
          <w:lang w:val="en-GB"/>
          <w14:ligatures w14:val="standardContextual"/>
        </w:rPr>
        <w:sectPr w:rsidR="004C57B0" w:rsidRPr="000C0842" w:rsidSect="00D35C99">
          <w:pgSz w:w="15840" w:h="12240" w:orient="landscape"/>
          <w:pgMar w:top="1440" w:right="1134" w:bottom="1440" w:left="1134" w:header="709" w:footer="709" w:gutter="0"/>
          <w:cols w:space="708"/>
          <w:docGrid w:linePitch="360"/>
        </w:sectPr>
      </w:pPr>
    </w:p>
    <w:p w14:paraId="6EFB1E7C" w14:textId="77777777" w:rsidR="004C57B0" w:rsidRPr="000C0842" w:rsidRDefault="004C57B0" w:rsidP="00A277E2">
      <w:pPr>
        <w:keepNext/>
        <w:tabs>
          <w:tab w:val="clear" w:pos="567"/>
          <w:tab w:val="clear" w:pos="1134"/>
          <w:tab w:val="clear" w:pos="1701"/>
          <w:tab w:val="clear" w:pos="2268"/>
        </w:tabs>
        <w:ind w:left="490"/>
        <w:rPr>
          <w:rFonts w:eastAsia="SimSun"/>
          <w:b/>
          <w:spacing w:val="5"/>
          <w:kern w:val="28"/>
          <w:sz w:val="24"/>
          <w:szCs w:val="24"/>
          <w:lang w:val="en-GB"/>
          <w14:ligatures w14:val="standardContextual"/>
        </w:rPr>
      </w:pPr>
      <w:r w:rsidRPr="000C0842">
        <w:rPr>
          <w:rFonts w:eastAsia="SimSun" w:hint="eastAsia"/>
          <w:b/>
          <w:spacing w:val="5"/>
          <w:kern w:val="28"/>
          <w:sz w:val="24"/>
          <w:szCs w:val="24"/>
          <w:lang w:val="en-GB"/>
          <w14:ligatures w14:val="standardContextual"/>
        </w:rPr>
        <w:t>附件三</w:t>
      </w:r>
    </w:p>
    <w:p w14:paraId="32CD7F4C" w14:textId="77777777" w:rsidR="004C57B0" w:rsidRPr="000C0842" w:rsidRDefault="004C57B0" w:rsidP="00A277E2">
      <w:pPr>
        <w:keepNext/>
        <w:tabs>
          <w:tab w:val="clear" w:pos="567"/>
          <w:tab w:val="clear" w:pos="1134"/>
          <w:tab w:val="clear" w:pos="1701"/>
          <w:tab w:val="clear" w:pos="2268"/>
        </w:tabs>
        <w:spacing w:after="120"/>
        <w:ind w:left="490"/>
        <w:rPr>
          <w:rFonts w:ascii="Times New Roman Bold" w:eastAsia="MS Gothic" w:hAnsi="Times New Roman Bold" w:hint="eastAsia"/>
          <w:b/>
          <w:bCs/>
          <w:spacing w:val="5"/>
          <w:kern w:val="28"/>
          <w:sz w:val="28"/>
          <w:szCs w:val="28"/>
          <w:lang w:val="en-GB"/>
          <w14:ligatures w14:val="standardContextual"/>
        </w:rPr>
      </w:pPr>
      <w:r w:rsidRPr="000C0842">
        <w:rPr>
          <w:rFonts w:eastAsia="SimSun" w:hint="eastAsia"/>
          <w:b/>
          <w:spacing w:val="5"/>
          <w:kern w:val="28"/>
          <w:sz w:val="24"/>
          <w:szCs w:val="24"/>
          <w:lang w:val="en-GB"/>
          <w14:ligatures w14:val="standardContextual"/>
        </w:rPr>
        <w:t>二元指标问题清单</w:t>
      </w:r>
    </w:p>
    <w:tbl>
      <w:tblPr>
        <w:tblStyle w:val="TableGrid323"/>
        <w:tblW w:w="9934" w:type="dxa"/>
        <w:tblLayout w:type="fixed"/>
        <w:tblCellMar>
          <w:top w:w="43" w:type="dxa"/>
          <w:bottom w:w="43" w:type="dxa"/>
        </w:tblCellMar>
        <w:tblLook w:val="04A0" w:firstRow="1" w:lastRow="0" w:firstColumn="1" w:lastColumn="0" w:noHBand="0" w:noVBand="1"/>
      </w:tblPr>
      <w:tblGrid>
        <w:gridCol w:w="6249"/>
        <w:gridCol w:w="3685"/>
      </w:tblGrid>
      <w:tr w:rsidR="000C0842" w:rsidRPr="000C0842" w14:paraId="64C5C817" w14:textId="77777777" w:rsidTr="001F32B3">
        <w:trPr>
          <w:cantSplit/>
          <w:trHeight w:val="1032"/>
        </w:trPr>
        <w:tc>
          <w:tcPr>
            <w:tcW w:w="9934" w:type="dxa"/>
            <w:gridSpan w:val="2"/>
            <w:shd w:val="clear" w:color="auto" w:fill="F2F2F2"/>
            <w:vAlign w:val="center"/>
          </w:tcPr>
          <w:p w14:paraId="10995104"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bookmarkStart w:id="120" w:name="_Hlk148541574"/>
            <w:r w:rsidRPr="000C0842">
              <w:rPr>
                <w:rFonts w:eastAsia="SimSun" w:cs="Times New Roman"/>
                <w:b/>
                <w:sz w:val="20"/>
                <w:szCs w:val="20"/>
                <w:lang w:val="en-GB" w:eastAsia="zh-CN"/>
              </w:rPr>
              <w:t>长期目标</w:t>
            </w:r>
            <w:r w:rsidRPr="000C0842">
              <w:rPr>
                <w:rFonts w:eastAsia="SimSun" w:cs="Times New Roman"/>
                <w:b/>
                <w:sz w:val="20"/>
                <w:szCs w:val="20"/>
                <w:lang w:val="en-GB" w:eastAsia="zh-CN"/>
              </w:rPr>
              <w:t>B</w:t>
            </w:r>
            <w:r w:rsidRPr="000C0842">
              <w:rPr>
                <w:rFonts w:eastAsia="SimSun" w:cs="Times New Roman"/>
                <w:b/>
                <w:sz w:val="20"/>
                <w:szCs w:val="20"/>
                <w:lang w:val="en-GB" w:eastAsia="zh-CN"/>
              </w:rPr>
              <w:t>：到</w:t>
            </w:r>
            <w:r w:rsidRPr="000C0842">
              <w:rPr>
                <w:rFonts w:eastAsia="SimSun" w:cs="Times New Roman"/>
                <w:b/>
                <w:sz w:val="20"/>
                <w:szCs w:val="20"/>
                <w:lang w:val="en-GB" w:eastAsia="zh-CN"/>
              </w:rPr>
              <w:t>2050</w:t>
            </w:r>
            <w:r w:rsidRPr="000C0842">
              <w:rPr>
                <w:rFonts w:eastAsia="SimSun" w:cs="Times New Roman"/>
                <w:b/>
                <w:sz w:val="20"/>
                <w:szCs w:val="20"/>
                <w:lang w:val="en-GB" w:eastAsia="zh-CN"/>
              </w:rPr>
              <w:t>年，生物多样性得到可持续利用和管理，</w:t>
            </w:r>
            <w:bookmarkStart w:id="121" w:name="_Hlk117414754"/>
            <w:r w:rsidRPr="000C0842">
              <w:rPr>
                <w:rFonts w:eastAsia="SimSun" w:cs="Times New Roman"/>
                <w:b/>
                <w:sz w:val="20"/>
                <w:szCs w:val="20"/>
                <w:lang w:val="en-GB" w:eastAsia="zh-CN"/>
              </w:rPr>
              <w:t>自然对人类的贡献，包括生态系统功能和服务的贡献</w:t>
            </w:r>
            <w:bookmarkStart w:id="122" w:name="_Hlk117414601"/>
            <w:r w:rsidRPr="000C0842">
              <w:rPr>
                <w:rFonts w:eastAsia="SimSun" w:cs="Times New Roman"/>
                <w:b/>
                <w:sz w:val="20"/>
                <w:szCs w:val="20"/>
                <w:lang w:val="en-GB" w:eastAsia="zh-CN"/>
              </w:rPr>
              <w:t>得到重视</w:t>
            </w:r>
            <w:bookmarkStart w:id="123" w:name="_Hlk117414688"/>
            <w:r w:rsidRPr="000C0842">
              <w:rPr>
                <w:rFonts w:eastAsia="SimSun" w:cs="Times New Roman"/>
                <w:b/>
                <w:sz w:val="20"/>
                <w:szCs w:val="20"/>
                <w:lang w:val="en-GB" w:eastAsia="zh-CN"/>
              </w:rPr>
              <w:t>、维持和加强</w:t>
            </w:r>
            <w:bookmarkEnd w:id="122"/>
            <w:bookmarkEnd w:id="123"/>
            <w:r w:rsidRPr="000C0842">
              <w:rPr>
                <w:rFonts w:eastAsia="SimSun" w:cs="Times New Roman"/>
                <w:b/>
                <w:sz w:val="20"/>
                <w:szCs w:val="20"/>
                <w:lang w:val="en-GB" w:eastAsia="zh-CN"/>
              </w:rPr>
              <w:t>，目前正在下降的生态系统</w:t>
            </w:r>
            <w:bookmarkEnd w:id="121"/>
            <w:r w:rsidRPr="000C0842">
              <w:rPr>
                <w:rFonts w:eastAsia="SimSun" w:cs="Times New Roman"/>
                <w:b/>
                <w:sz w:val="20"/>
                <w:szCs w:val="20"/>
                <w:lang w:val="en-GB" w:eastAsia="zh-CN"/>
              </w:rPr>
              <w:t>得到恢复，促进实现可持续发展，造福今世后代。</w:t>
            </w:r>
          </w:p>
        </w:tc>
      </w:tr>
      <w:tr w:rsidR="000C0842" w:rsidRPr="000C0842" w14:paraId="37E66C14" w14:textId="77777777" w:rsidTr="001F32B3">
        <w:trPr>
          <w:cantSplit/>
          <w:trHeight w:val="537"/>
        </w:trPr>
        <w:tc>
          <w:tcPr>
            <w:tcW w:w="9934" w:type="dxa"/>
            <w:gridSpan w:val="2"/>
            <w:shd w:val="clear" w:color="auto" w:fill="FFFFFF"/>
            <w:vAlign w:val="center"/>
          </w:tcPr>
          <w:p w14:paraId="1299F8B1"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ascii="SimSun" w:eastAsia="SimSun" w:hAnsi="SimSun" w:cs="SimSun" w:hint="eastAsia"/>
                <w:b/>
                <w:sz w:val="20"/>
                <w:szCs w:val="20"/>
                <w:lang w:eastAsia="zh-CN"/>
              </w:rPr>
              <w:t>指标：已制定政策或行动计划，用于执行和监测可持续利用生物多样性以及维护和增强自然对人类的贡献，包括生态系统功能和服务的国家数目。</w:t>
            </w:r>
          </w:p>
        </w:tc>
      </w:tr>
      <w:bookmarkEnd w:id="120"/>
      <w:tr w:rsidR="000C0842" w:rsidRPr="000C0842" w14:paraId="15992AE6" w14:textId="77777777" w:rsidTr="001F32B3">
        <w:trPr>
          <w:cantSplit/>
          <w:trHeight w:val="896"/>
        </w:trPr>
        <w:tc>
          <w:tcPr>
            <w:tcW w:w="6249" w:type="dxa"/>
          </w:tcPr>
          <w:p w14:paraId="1DCD0393"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b/>
                <w:sz w:val="20"/>
                <w:szCs w:val="20"/>
                <w:lang w:val="en-GB" w:eastAsia="zh-CN"/>
              </w:rPr>
              <w:t>B.1</w:t>
            </w:r>
            <w:r w:rsidRPr="000C0842">
              <w:rPr>
                <w:rFonts w:eastAsia="SimSun" w:cs="Times New Roman"/>
                <w:sz w:val="20"/>
                <w:szCs w:val="20"/>
                <w:shd w:val="clear" w:color="auto" w:fill="FFFFFF"/>
                <w:lang w:eastAsia="zh-CN"/>
              </w:rPr>
              <w:t>贵国是否制定政策和</w:t>
            </w:r>
            <w:r w:rsidRPr="000C0842">
              <w:rPr>
                <w:rFonts w:eastAsia="SimSun" w:cs="Times New Roman"/>
                <w:sz w:val="20"/>
                <w:szCs w:val="20"/>
                <w:shd w:val="clear" w:color="auto" w:fill="FFFFFF"/>
                <w:lang w:eastAsia="zh-CN"/>
              </w:rPr>
              <w:t>/</w:t>
            </w:r>
            <w:r w:rsidRPr="000C0842">
              <w:rPr>
                <w:rFonts w:eastAsia="SimSun" w:cs="Times New Roman"/>
                <w:sz w:val="20"/>
                <w:szCs w:val="20"/>
                <w:shd w:val="clear" w:color="auto" w:fill="FFFFFF"/>
                <w:lang w:eastAsia="zh-CN"/>
              </w:rPr>
              <w:t>或行动计划，旨在确保维护、增强和恢复自然对人类的贡献，包括生态系统功能和服务？</w:t>
            </w:r>
          </w:p>
        </w:tc>
        <w:tc>
          <w:tcPr>
            <w:tcW w:w="3685" w:type="dxa"/>
          </w:tcPr>
          <w:p w14:paraId="5D0EDCBE" w14:textId="77777777" w:rsidR="004C57B0" w:rsidRPr="000C0842" w:rsidRDefault="004C57B0">
            <w:pPr>
              <w:numPr>
                <w:ilvl w:val="0"/>
                <w:numId w:val="11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1E3743A9" w14:textId="77777777" w:rsidR="004C57B0" w:rsidRPr="000C0842" w:rsidRDefault="004C57B0">
            <w:pPr>
              <w:numPr>
                <w:ilvl w:val="0"/>
                <w:numId w:val="11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r w:rsidRPr="000C0842">
              <w:rPr>
                <w:rFonts w:eastAsia="SimSun" w:cs="Times New Roman"/>
                <w:sz w:val="20"/>
                <w:szCs w:val="20"/>
                <w:shd w:val="clear" w:color="auto" w:fill="FFFFFF"/>
                <w:lang w:val="en-GB" w:eastAsia="zh-CN"/>
              </w:rPr>
              <w:t xml:space="preserve"> </w:t>
            </w:r>
          </w:p>
          <w:p w14:paraId="492B6DAE" w14:textId="77777777" w:rsidR="004C57B0" w:rsidRPr="000C0842" w:rsidRDefault="004C57B0">
            <w:pPr>
              <w:numPr>
                <w:ilvl w:val="0"/>
                <w:numId w:val="112"/>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221B8A66" w14:textId="77777777" w:rsidR="004C57B0" w:rsidRPr="000C0842" w:rsidRDefault="004C57B0">
            <w:pPr>
              <w:numPr>
                <w:ilvl w:val="0"/>
                <w:numId w:val="112"/>
              </w:numPr>
              <w:tabs>
                <w:tab w:val="clear" w:pos="567"/>
                <w:tab w:val="clear" w:pos="1134"/>
                <w:tab w:val="clear" w:pos="1701"/>
                <w:tab w:val="clear" w:pos="2268"/>
              </w:tabs>
              <w:contextualSpacing/>
              <w:jc w:val="left"/>
              <w:rPr>
                <w:rFonts w:eastAsia="SimSun" w:cs="Times New Roman"/>
                <w:b/>
                <w:sz w:val="20"/>
                <w:szCs w:val="20"/>
                <w:u w:val="single"/>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419D5D16" w14:textId="77777777" w:rsidTr="001F32B3">
        <w:trPr>
          <w:cantSplit/>
          <w:trHeight w:val="912"/>
        </w:trPr>
        <w:tc>
          <w:tcPr>
            <w:tcW w:w="6249" w:type="dxa"/>
          </w:tcPr>
          <w:p w14:paraId="300F63BE" w14:textId="77777777" w:rsidR="004C57B0" w:rsidRPr="000C0842" w:rsidRDefault="004C57B0" w:rsidP="004C57B0">
            <w:pPr>
              <w:tabs>
                <w:tab w:val="clear" w:pos="567"/>
                <w:tab w:val="clear" w:pos="1134"/>
                <w:tab w:val="clear" w:pos="1701"/>
                <w:tab w:val="clear" w:pos="2268"/>
                <w:tab w:val="left" w:pos="710"/>
              </w:tabs>
              <w:rPr>
                <w:rFonts w:eastAsia="SimSun" w:cs="Times New Roman"/>
                <w:sz w:val="20"/>
                <w:szCs w:val="20"/>
                <w:lang w:val="en-GB" w:eastAsia="zh-CN"/>
              </w:rPr>
            </w:pPr>
            <w:r w:rsidRPr="000C0842">
              <w:rPr>
                <w:rFonts w:eastAsia="SimSun" w:cs="Times New Roman"/>
                <w:b/>
                <w:sz w:val="20"/>
                <w:szCs w:val="20"/>
                <w:lang w:val="en-GB" w:eastAsia="zh-CN"/>
              </w:rPr>
              <w:t xml:space="preserve">B.2  </w:t>
            </w:r>
            <w:r w:rsidRPr="000C0842">
              <w:rPr>
                <w:rFonts w:eastAsia="SimSun" w:cs="Times New Roman"/>
                <w:sz w:val="20"/>
                <w:szCs w:val="20"/>
                <w:lang w:val="en-GB" w:eastAsia="zh-CN"/>
              </w:rPr>
              <w:t>贵国是否制定政策和</w:t>
            </w:r>
            <w:r w:rsidRPr="000C0842">
              <w:rPr>
                <w:rFonts w:eastAsia="SimSun" w:cs="Times New Roman"/>
                <w:sz w:val="20"/>
                <w:szCs w:val="20"/>
                <w:lang w:val="en-GB" w:eastAsia="zh-CN"/>
              </w:rPr>
              <w:t>/</w:t>
            </w:r>
            <w:r w:rsidRPr="000C0842">
              <w:rPr>
                <w:rFonts w:eastAsia="SimSun" w:cs="Times New Roman"/>
                <w:sz w:val="20"/>
                <w:szCs w:val="20"/>
                <w:lang w:val="en-GB" w:eastAsia="zh-CN"/>
              </w:rPr>
              <w:t>或行动计划</w:t>
            </w:r>
            <w:r w:rsidRPr="000C0842">
              <w:rPr>
                <w:rFonts w:eastAsia="SimSun" w:cs="Times New Roman"/>
                <w:sz w:val="20"/>
                <w:szCs w:val="20"/>
                <w:shd w:val="clear" w:color="auto" w:fill="FFFFFF"/>
                <w:lang w:eastAsia="zh-CN"/>
              </w:rPr>
              <w:t>，旨在确保可持续利用生物多样性？</w:t>
            </w:r>
          </w:p>
        </w:tc>
        <w:tc>
          <w:tcPr>
            <w:tcW w:w="3685" w:type="dxa"/>
          </w:tcPr>
          <w:p w14:paraId="59722D9D"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0C4CC5B7"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r w:rsidRPr="000C0842">
              <w:rPr>
                <w:rFonts w:eastAsia="SimSun" w:cs="Times New Roman"/>
                <w:sz w:val="20"/>
                <w:szCs w:val="20"/>
                <w:shd w:val="clear" w:color="auto" w:fill="FFFFFF"/>
                <w:lang w:val="en-GB" w:eastAsia="zh-CN"/>
              </w:rPr>
              <w:t xml:space="preserve"> </w:t>
            </w:r>
          </w:p>
          <w:p w14:paraId="7849C39C"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40E23879"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1F4F0A53" w14:textId="77777777" w:rsidTr="001F32B3">
        <w:trPr>
          <w:cantSplit/>
          <w:trHeight w:val="912"/>
        </w:trPr>
        <w:tc>
          <w:tcPr>
            <w:tcW w:w="6249" w:type="dxa"/>
          </w:tcPr>
          <w:p w14:paraId="4D08FABF" w14:textId="77777777" w:rsidR="004C57B0" w:rsidRPr="000C0842" w:rsidRDefault="004C57B0" w:rsidP="004C57B0">
            <w:pPr>
              <w:tabs>
                <w:tab w:val="clear" w:pos="567"/>
                <w:tab w:val="clear" w:pos="1134"/>
                <w:tab w:val="clear" w:pos="1701"/>
                <w:tab w:val="clear" w:pos="2268"/>
                <w:tab w:val="left" w:pos="710"/>
              </w:tabs>
              <w:rPr>
                <w:rFonts w:eastAsia="SimSun" w:cs="Times New Roman"/>
                <w:sz w:val="20"/>
                <w:szCs w:val="20"/>
                <w:lang w:val="en-GB" w:eastAsia="zh-CN"/>
              </w:rPr>
            </w:pPr>
            <w:r w:rsidRPr="000C0842">
              <w:rPr>
                <w:rFonts w:eastAsia="SimSun" w:cs="Times New Roman"/>
                <w:b/>
                <w:sz w:val="20"/>
                <w:szCs w:val="20"/>
                <w:lang w:val="en-GB" w:eastAsia="zh-CN"/>
              </w:rPr>
              <w:t>B.</w:t>
            </w:r>
            <w:r w:rsidRPr="000C0842">
              <w:rPr>
                <w:rFonts w:eastAsia="SimSun" w:cs="Times New Roman" w:hint="eastAsia"/>
                <w:b/>
                <w:sz w:val="20"/>
                <w:szCs w:val="20"/>
                <w:lang w:val="en-GB" w:eastAsia="zh-CN"/>
              </w:rPr>
              <w:t>3</w:t>
            </w:r>
            <w:r w:rsidRPr="000C0842">
              <w:rPr>
                <w:rFonts w:eastAsia="SimSun" w:cs="Times New Roman"/>
                <w:b/>
                <w:sz w:val="20"/>
                <w:szCs w:val="20"/>
                <w:lang w:val="en-GB" w:eastAsia="zh-CN"/>
              </w:rPr>
              <w:t xml:space="preserve">  </w:t>
            </w:r>
            <w:r w:rsidRPr="000C0842">
              <w:rPr>
                <w:rFonts w:eastAsia="SimSun" w:cs="Times New Roman"/>
                <w:sz w:val="20"/>
                <w:szCs w:val="20"/>
                <w:lang w:val="en-GB" w:eastAsia="zh-CN"/>
              </w:rPr>
              <w:t>贵国是否</w:t>
            </w:r>
            <w:r w:rsidRPr="000C0842">
              <w:rPr>
                <w:rFonts w:eastAsia="SimSun" w:cs="Times New Roman" w:hint="eastAsia"/>
                <w:sz w:val="20"/>
                <w:szCs w:val="20"/>
                <w:lang w:val="en-GB" w:eastAsia="zh-CN"/>
              </w:rPr>
              <w:t>监测</w:t>
            </w:r>
            <w:r w:rsidRPr="000C0842">
              <w:rPr>
                <w:rFonts w:eastAsia="SimSun" w:cs="Times New Roman"/>
                <w:sz w:val="20"/>
                <w:szCs w:val="20"/>
                <w:shd w:val="clear" w:color="auto" w:fill="FFFFFF"/>
                <w:lang w:eastAsia="zh-CN"/>
              </w:rPr>
              <w:t>生物多样性</w:t>
            </w:r>
            <w:r w:rsidRPr="000C0842">
              <w:rPr>
                <w:rFonts w:eastAsia="SimSun" w:cs="Times New Roman" w:hint="eastAsia"/>
                <w:sz w:val="20"/>
                <w:szCs w:val="20"/>
                <w:shd w:val="clear" w:color="auto" w:fill="FFFFFF"/>
                <w:lang w:eastAsia="zh-CN"/>
              </w:rPr>
              <w:t>的</w:t>
            </w:r>
            <w:r w:rsidRPr="000C0842">
              <w:rPr>
                <w:rFonts w:eastAsia="SimSun" w:cs="Times New Roman"/>
                <w:sz w:val="20"/>
                <w:szCs w:val="20"/>
                <w:shd w:val="clear" w:color="auto" w:fill="FFFFFF"/>
                <w:lang w:eastAsia="zh-CN"/>
              </w:rPr>
              <w:t>可持续利用？</w:t>
            </w:r>
          </w:p>
        </w:tc>
        <w:tc>
          <w:tcPr>
            <w:tcW w:w="3685" w:type="dxa"/>
          </w:tcPr>
          <w:p w14:paraId="6C883E7C"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41D217BA"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r w:rsidRPr="000C0842">
              <w:rPr>
                <w:rFonts w:eastAsia="SimSun" w:cs="Times New Roman"/>
                <w:sz w:val="20"/>
                <w:szCs w:val="20"/>
                <w:shd w:val="clear" w:color="auto" w:fill="FFFFFF"/>
                <w:lang w:val="en-GB" w:eastAsia="zh-CN"/>
              </w:rPr>
              <w:t xml:space="preserve"> </w:t>
            </w:r>
          </w:p>
          <w:p w14:paraId="33E51E00"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77BCC142" w14:textId="77777777" w:rsidR="004C57B0" w:rsidRPr="000C0842" w:rsidRDefault="004C57B0">
            <w:pPr>
              <w:numPr>
                <w:ilvl w:val="0"/>
                <w:numId w:val="11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20AF5B7D" w14:textId="77777777" w:rsidTr="001F32B3">
        <w:trPr>
          <w:cantSplit/>
          <w:trHeight w:val="974"/>
        </w:trPr>
        <w:tc>
          <w:tcPr>
            <w:tcW w:w="6249" w:type="dxa"/>
          </w:tcPr>
          <w:p w14:paraId="364BC3AE"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b/>
                <w:sz w:val="20"/>
                <w:szCs w:val="20"/>
                <w:lang w:val="en-GB" w:eastAsia="zh-CN"/>
              </w:rPr>
              <w:t>B.4</w:t>
            </w:r>
            <w:r w:rsidRPr="000C0842">
              <w:rPr>
                <w:rFonts w:ascii="SimSun" w:eastAsia="SimSun" w:hAnsi="SimSun" w:cs="SimSun"/>
                <w:sz w:val="20"/>
                <w:szCs w:val="20"/>
                <w:shd w:val="clear" w:color="auto" w:fill="FFFFFF"/>
                <w:lang w:val="en-GB" w:eastAsia="zh-CN"/>
              </w:rPr>
              <w:t>贵国是否为了今世后代的利益，对维护、恢复和增强自然对人类的贡献进行监测，包括生态系统功能和服务？</w:t>
            </w:r>
          </w:p>
        </w:tc>
        <w:tc>
          <w:tcPr>
            <w:tcW w:w="3685" w:type="dxa"/>
          </w:tcPr>
          <w:p w14:paraId="139EC687" w14:textId="77777777" w:rsidR="004C57B0" w:rsidRPr="000C0842" w:rsidRDefault="004C57B0">
            <w:pPr>
              <w:numPr>
                <w:ilvl w:val="0"/>
                <w:numId w:val="11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4D32D420" w14:textId="77777777" w:rsidR="004C57B0" w:rsidRPr="000C0842" w:rsidRDefault="004C57B0">
            <w:pPr>
              <w:numPr>
                <w:ilvl w:val="0"/>
                <w:numId w:val="11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r w:rsidRPr="000C0842">
              <w:rPr>
                <w:rFonts w:eastAsia="SimSun" w:cs="Times New Roman"/>
                <w:sz w:val="20"/>
                <w:szCs w:val="20"/>
                <w:shd w:val="clear" w:color="auto" w:fill="FFFFFF"/>
                <w:lang w:val="en-GB" w:eastAsia="zh-CN"/>
              </w:rPr>
              <w:t xml:space="preserve"> </w:t>
            </w:r>
          </w:p>
          <w:p w14:paraId="3200BA79" w14:textId="77777777" w:rsidR="004C57B0" w:rsidRPr="000C0842" w:rsidRDefault="004C57B0">
            <w:pPr>
              <w:numPr>
                <w:ilvl w:val="0"/>
                <w:numId w:val="114"/>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60FE8E8B" w14:textId="77777777" w:rsidR="004C57B0" w:rsidRPr="000C0842" w:rsidRDefault="004C57B0">
            <w:pPr>
              <w:numPr>
                <w:ilvl w:val="0"/>
                <w:numId w:val="11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2A0C829D" w14:textId="77777777" w:rsidTr="001F32B3">
        <w:trPr>
          <w:cantSplit/>
          <w:trHeight w:val="895"/>
        </w:trPr>
        <w:tc>
          <w:tcPr>
            <w:tcW w:w="9934" w:type="dxa"/>
            <w:gridSpan w:val="2"/>
            <w:shd w:val="clear" w:color="auto" w:fill="F2F2F2"/>
          </w:tcPr>
          <w:p w14:paraId="0255A0F5"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ascii="SimSun" w:eastAsia="SimSun" w:hAnsi="SimSun" w:cs="SimSun" w:hint="eastAsia"/>
                <w:b/>
                <w:sz w:val="20"/>
                <w:szCs w:val="20"/>
                <w:lang w:eastAsia="zh-CN"/>
              </w:rPr>
              <w:t>行动目标</w:t>
            </w:r>
            <w:r w:rsidRPr="000C0842">
              <w:rPr>
                <w:rFonts w:eastAsia="SimSun" w:cs="Times New Roman"/>
                <w:b/>
                <w:sz w:val="20"/>
                <w:szCs w:val="20"/>
                <w:lang w:eastAsia="zh-CN"/>
              </w:rPr>
              <w:t>1</w:t>
            </w:r>
            <w:r w:rsidRPr="000C0842">
              <w:rPr>
                <w:rFonts w:ascii="SimSun" w:eastAsia="SimSun" w:hAnsi="SimSun" w:cs="SimSun" w:hint="eastAsia"/>
                <w:b/>
                <w:sz w:val="20"/>
                <w:szCs w:val="20"/>
                <w:lang w:eastAsia="zh-CN"/>
              </w:rPr>
              <w:t>：确保所有区域处于解决土地和海洋利用变化的参与性、综合性、涵盖生物多样性的空间规划和</w:t>
            </w:r>
            <w:r w:rsidRPr="000C0842">
              <w:rPr>
                <w:rFonts w:eastAsia="SimSun" w:cs="Times New Roman"/>
                <w:b/>
                <w:sz w:val="20"/>
                <w:szCs w:val="20"/>
                <w:lang w:eastAsia="zh-CN"/>
              </w:rPr>
              <w:t>/</w:t>
            </w:r>
            <w:r w:rsidRPr="000C0842">
              <w:rPr>
                <w:rFonts w:ascii="SimSun" w:eastAsia="SimSun" w:hAnsi="SimSun" w:cs="SimSun" w:hint="eastAsia"/>
                <w:b/>
                <w:sz w:val="20"/>
                <w:szCs w:val="20"/>
                <w:lang w:eastAsia="zh-CN"/>
              </w:rPr>
              <w:t>或其他有效管理进程之下，到</w:t>
            </w:r>
            <w:r w:rsidRPr="000C0842">
              <w:rPr>
                <w:rFonts w:eastAsia="SimSun" w:cs="Times New Roman"/>
                <w:b/>
                <w:sz w:val="20"/>
                <w:szCs w:val="20"/>
                <w:lang w:eastAsia="zh-CN"/>
              </w:rPr>
              <w:t>2030</w:t>
            </w:r>
            <w:r w:rsidRPr="000C0842">
              <w:rPr>
                <w:rFonts w:ascii="SimSun" w:eastAsia="SimSun" w:hAnsi="SimSun" w:cs="SimSun" w:hint="eastAsia"/>
                <w:b/>
                <w:sz w:val="20"/>
                <w:szCs w:val="20"/>
                <w:lang w:eastAsia="zh-CN"/>
              </w:rPr>
              <w:t>年使具有高度生物多样性重要性的区域包括具有高度生态完整性的生态系统的丧失接近于零，同时尊重土著人民和地方社区的权利。</w:t>
            </w:r>
            <w:r w:rsidRPr="000C0842">
              <w:rPr>
                <w:rFonts w:eastAsia="SimSun" w:cs="Times New Roman"/>
                <w:b/>
                <w:sz w:val="20"/>
                <w:szCs w:val="20"/>
                <w:lang w:val="en-GB" w:eastAsia="zh-CN"/>
              </w:rPr>
              <w:t xml:space="preserve"> </w:t>
            </w:r>
          </w:p>
        </w:tc>
      </w:tr>
      <w:tr w:rsidR="000C0842" w:rsidRPr="000C0842" w14:paraId="19CDBEEF" w14:textId="77777777" w:rsidTr="001F32B3">
        <w:trPr>
          <w:cantSplit/>
        </w:trPr>
        <w:tc>
          <w:tcPr>
            <w:tcW w:w="9934" w:type="dxa"/>
            <w:gridSpan w:val="2"/>
            <w:shd w:val="clear" w:color="auto" w:fill="FFFFFF"/>
          </w:tcPr>
          <w:p w14:paraId="3CFB8FF0"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b/>
                <w:sz w:val="20"/>
                <w:szCs w:val="20"/>
                <w:lang w:val="en-GB" w:eastAsia="zh-CN"/>
              </w:rPr>
              <w:t>指标：</w:t>
            </w:r>
            <w:r w:rsidRPr="000C0842">
              <w:rPr>
                <w:rFonts w:ascii="SimSun" w:eastAsia="SimSun" w:hAnsi="SimSun" w:cs="SimSun" w:hint="eastAsia"/>
                <w:b/>
                <w:bCs/>
                <w:iCs/>
                <w:sz w:val="20"/>
                <w:szCs w:val="20"/>
                <w:lang w:val="en-GB" w:eastAsia="zh-CN"/>
              </w:rPr>
              <w:t>为解决</w:t>
            </w:r>
            <w:r w:rsidRPr="000C0842">
              <w:rPr>
                <w:rFonts w:ascii="SimSun" w:eastAsia="SimSun" w:hAnsi="SimSun" w:cs="SimSun" w:hint="eastAsia"/>
                <w:b/>
                <w:bCs/>
                <w:sz w:val="20"/>
                <w:szCs w:val="20"/>
                <w:lang w:eastAsia="zh-CN"/>
              </w:rPr>
              <w:t>土地和海洋利用变化而使用参与性、综合性、涵盖生物多样性的空间规划和</w:t>
            </w:r>
            <w:r w:rsidRPr="000C0842">
              <w:rPr>
                <w:rFonts w:eastAsia="SimSun" w:cs="Times New Roman"/>
                <w:b/>
                <w:bCs/>
                <w:sz w:val="20"/>
                <w:szCs w:val="20"/>
                <w:lang w:eastAsia="zh-CN"/>
              </w:rPr>
              <w:t>/</w:t>
            </w:r>
            <w:r w:rsidRPr="000C0842">
              <w:rPr>
                <w:rFonts w:ascii="SimSun" w:eastAsia="SimSun" w:hAnsi="SimSun" w:cs="SimSun" w:hint="eastAsia"/>
                <w:b/>
                <w:bCs/>
                <w:sz w:val="20"/>
                <w:szCs w:val="20"/>
                <w:lang w:eastAsia="zh-CN"/>
              </w:rPr>
              <w:t>或其他有效管理进程以便到</w:t>
            </w:r>
            <w:r w:rsidRPr="000C0842">
              <w:rPr>
                <w:rFonts w:eastAsia="SimSun" w:cs="Times New Roman"/>
                <w:b/>
                <w:bCs/>
                <w:sz w:val="20"/>
                <w:szCs w:val="20"/>
                <w:lang w:eastAsia="zh-CN"/>
              </w:rPr>
              <w:t>2030</w:t>
            </w:r>
            <w:r w:rsidRPr="000C0842">
              <w:rPr>
                <w:rFonts w:ascii="SimSun" w:eastAsia="SimSun" w:hAnsi="SimSun" w:cs="SimSun" w:hint="eastAsia"/>
                <w:b/>
                <w:bCs/>
                <w:sz w:val="20"/>
                <w:szCs w:val="20"/>
                <w:lang w:eastAsia="zh-CN"/>
              </w:rPr>
              <w:t>年使具有高度生物多样性重要性的区域包括具有高度生态完整性的生态系统的丧失接近于零</w:t>
            </w:r>
            <w:r w:rsidRPr="000C0842">
              <w:rPr>
                <w:rFonts w:ascii="SimSun" w:eastAsia="SimSun" w:hAnsi="SimSun" w:cs="SimSun" w:hint="eastAsia"/>
                <w:b/>
                <w:bCs/>
                <w:iCs/>
                <w:sz w:val="20"/>
                <w:szCs w:val="20"/>
                <w:lang w:val="en-GB" w:eastAsia="zh-CN"/>
              </w:rPr>
              <w:t>的国家数目</w:t>
            </w:r>
            <w:r w:rsidRPr="000C0842">
              <w:rPr>
                <w:rFonts w:eastAsia="SimSun" w:cs="Times New Roman"/>
                <w:b/>
                <w:bCs/>
                <w:sz w:val="20"/>
                <w:szCs w:val="20"/>
                <w:lang w:eastAsia="zh-CN"/>
              </w:rPr>
              <w:t>。</w:t>
            </w:r>
          </w:p>
        </w:tc>
      </w:tr>
      <w:tr w:rsidR="000C0842" w:rsidRPr="000C0842" w14:paraId="1DD739F3" w14:textId="77777777" w:rsidTr="001F32B3">
        <w:trPr>
          <w:cantSplit/>
          <w:trHeight w:val="560"/>
        </w:trPr>
        <w:tc>
          <w:tcPr>
            <w:tcW w:w="6249" w:type="dxa"/>
          </w:tcPr>
          <w:p w14:paraId="05229B03"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b/>
                <w:sz w:val="20"/>
                <w:szCs w:val="20"/>
                <w:lang w:val="en-GB" w:eastAsia="zh-CN"/>
              </w:rPr>
              <w:t>1.1</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贵国是否正在所有区域实施综合性和涵盖生物多样性的空间规划或有效的管理流程，以便：</w:t>
            </w:r>
          </w:p>
        </w:tc>
        <w:tc>
          <w:tcPr>
            <w:tcW w:w="3685" w:type="dxa"/>
          </w:tcPr>
          <w:p w14:paraId="1BA180CF"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p>
        </w:tc>
      </w:tr>
      <w:tr w:rsidR="000C0842" w:rsidRPr="000C0842" w14:paraId="6E25E3C3" w14:textId="77777777" w:rsidTr="001F32B3">
        <w:trPr>
          <w:cantSplit/>
          <w:trHeight w:val="1244"/>
        </w:trPr>
        <w:tc>
          <w:tcPr>
            <w:tcW w:w="6249" w:type="dxa"/>
          </w:tcPr>
          <w:p w14:paraId="64D6F452" w14:textId="77777777" w:rsidR="004C57B0" w:rsidRPr="000C0842" w:rsidRDefault="004C57B0">
            <w:pPr>
              <w:numPr>
                <w:ilvl w:val="0"/>
                <w:numId w:val="117"/>
              </w:numPr>
              <w:tabs>
                <w:tab w:val="clear" w:pos="567"/>
                <w:tab w:val="clear" w:pos="1134"/>
                <w:tab w:val="clear" w:pos="1701"/>
                <w:tab w:val="clear" w:pos="2268"/>
              </w:tabs>
              <w:contextualSpacing/>
              <w:rPr>
                <w:rFonts w:eastAsia="SimSun" w:cs="Times New Roman"/>
                <w:b/>
                <w:sz w:val="20"/>
                <w:szCs w:val="20"/>
                <w:lang w:val="en-GB" w:eastAsia="zh-CN"/>
              </w:rPr>
            </w:pPr>
            <w:r w:rsidRPr="000C0842">
              <w:rPr>
                <w:rFonts w:ascii="SimSun" w:eastAsia="SimSun" w:hAnsi="SimSun" w:cs="SimSun" w:hint="eastAsia"/>
                <w:sz w:val="20"/>
                <w:szCs w:val="20"/>
                <w:lang w:eastAsia="zh-CN"/>
              </w:rPr>
              <w:t>应对土地利用（陆地）方式的变化？</w:t>
            </w:r>
          </w:p>
        </w:tc>
        <w:tc>
          <w:tcPr>
            <w:tcW w:w="3685" w:type="dxa"/>
          </w:tcPr>
          <w:p w14:paraId="2567CDD9" w14:textId="77777777" w:rsidR="004C57B0" w:rsidRPr="000C0842" w:rsidRDefault="004C57B0">
            <w:pPr>
              <w:numPr>
                <w:ilvl w:val="0"/>
                <w:numId w:val="11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r w:rsidRPr="000C0842">
              <w:rPr>
                <w:rFonts w:eastAsia="SimSun" w:cs="Times New Roman"/>
                <w:sz w:val="20"/>
                <w:szCs w:val="20"/>
                <w:lang w:val="en-GB" w:eastAsia="zh-CN"/>
              </w:rPr>
              <w:t xml:space="preserve"> </w:t>
            </w:r>
          </w:p>
          <w:p w14:paraId="1A50D26E" w14:textId="77777777" w:rsidR="004C57B0" w:rsidRPr="000C0842" w:rsidRDefault="004C57B0">
            <w:pPr>
              <w:numPr>
                <w:ilvl w:val="0"/>
                <w:numId w:val="11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9A57C36" w14:textId="77777777" w:rsidR="004C57B0" w:rsidRPr="000C0842" w:rsidRDefault="004C57B0">
            <w:pPr>
              <w:numPr>
                <w:ilvl w:val="0"/>
                <w:numId w:val="11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r w:rsidRPr="000C0842">
              <w:rPr>
                <w:rFonts w:eastAsia="SimSun" w:cs="Times New Roman"/>
                <w:sz w:val="20"/>
                <w:szCs w:val="20"/>
                <w:lang w:val="en-GB" w:eastAsia="zh-CN"/>
              </w:rPr>
              <w:t xml:space="preserve"> </w:t>
            </w:r>
          </w:p>
          <w:p w14:paraId="4C9AEA93" w14:textId="77777777" w:rsidR="004C57B0" w:rsidRPr="000C0842" w:rsidRDefault="004C57B0">
            <w:pPr>
              <w:numPr>
                <w:ilvl w:val="0"/>
                <w:numId w:val="11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1190B1C1" w14:textId="77777777" w:rsidTr="001F32B3">
        <w:trPr>
          <w:cantSplit/>
          <w:trHeight w:val="1262"/>
        </w:trPr>
        <w:tc>
          <w:tcPr>
            <w:tcW w:w="6249" w:type="dxa"/>
          </w:tcPr>
          <w:p w14:paraId="3E9FB24A"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sz w:val="20"/>
                <w:szCs w:val="20"/>
                <w:lang w:val="en-GB" w:eastAsia="zh-CN"/>
              </w:rPr>
              <w:t>(</w:t>
            </w:r>
            <w:r w:rsidRPr="000C0842">
              <w:rPr>
                <w:rFonts w:eastAsia="SimSun" w:cs="Times New Roman" w:hint="eastAsia"/>
                <w:sz w:val="20"/>
                <w:szCs w:val="20"/>
                <w:lang w:val="en-GB" w:eastAsia="zh-CN"/>
              </w:rPr>
              <w:t>b</w:t>
            </w:r>
            <w:r w:rsidRPr="000C0842">
              <w:rPr>
                <w:rFonts w:eastAsia="SimSun" w:cs="Times New Roman"/>
                <w:sz w:val="20"/>
                <w:szCs w:val="20"/>
                <w:lang w:val="en-GB" w:eastAsia="zh-CN"/>
              </w:rPr>
              <w:t>)</w:t>
            </w:r>
            <w:r w:rsidRPr="000C0842">
              <w:rPr>
                <w:rFonts w:eastAsia="SimSun" w:cs="Times New Roman" w:hint="eastAsia"/>
                <w:sz w:val="20"/>
                <w:szCs w:val="20"/>
                <w:lang w:val="en-GB" w:eastAsia="zh-CN"/>
              </w:rPr>
              <w:t xml:space="preserve"> </w:t>
            </w:r>
            <w:r w:rsidRPr="000C0842">
              <w:rPr>
                <w:rFonts w:ascii="SimSun" w:eastAsia="SimSun" w:hAnsi="SimSun" w:cs="SimSun" w:hint="eastAsia"/>
                <w:sz w:val="20"/>
                <w:szCs w:val="20"/>
                <w:lang w:eastAsia="zh-CN"/>
              </w:rPr>
              <w:t>应对土地利用（内陆水域）方式的变化？</w:t>
            </w:r>
          </w:p>
        </w:tc>
        <w:tc>
          <w:tcPr>
            <w:tcW w:w="3685" w:type="dxa"/>
          </w:tcPr>
          <w:p w14:paraId="0F87A3DE" w14:textId="77777777" w:rsidR="004C57B0" w:rsidRPr="000C0842" w:rsidRDefault="004C57B0">
            <w:pPr>
              <w:numPr>
                <w:ilvl w:val="0"/>
                <w:numId w:val="14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r w:rsidRPr="000C0842">
              <w:rPr>
                <w:rFonts w:eastAsia="SimSun" w:cs="Times New Roman"/>
                <w:sz w:val="20"/>
                <w:szCs w:val="20"/>
                <w:lang w:val="en-GB" w:eastAsia="zh-CN"/>
              </w:rPr>
              <w:t xml:space="preserve"> </w:t>
            </w:r>
          </w:p>
          <w:p w14:paraId="61A62D19" w14:textId="77777777" w:rsidR="004C57B0" w:rsidRPr="000C0842" w:rsidRDefault="004C57B0">
            <w:pPr>
              <w:numPr>
                <w:ilvl w:val="0"/>
                <w:numId w:val="14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3F1D13CA" w14:textId="77777777" w:rsidR="004C57B0" w:rsidRPr="000C0842" w:rsidRDefault="004C57B0">
            <w:pPr>
              <w:numPr>
                <w:ilvl w:val="0"/>
                <w:numId w:val="14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r w:rsidRPr="000C0842">
              <w:rPr>
                <w:rFonts w:eastAsia="SimSun" w:cs="Times New Roman"/>
                <w:sz w:val="20"/>
                <w:szCs w:val="20"/>
                <w:lang w:val="en-GB" w:eastAsia="zh-CN"/>
              </w:rPr>
              <w:t xml:space="preserve"> </w:t>
            </w:r>
          </w:p>
          <w:p w14:paraId="598D01F3" w14:textId="77777777" w:rsidR="004C57B0" w:rsidRPr="000C0842" w:rsidRDefault="004C57B0">
            <w:pPr>
              <w:numPr>
                <w:ilvl w:val="0"/>
                <w:numId w:val="14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67BE732A" w14:textId="77777777" w:rsidTr="001F32B3">
        <w:trPr>
          <w:cantSplit/>
          <w:trHeight w:val="846"/>
        </w:trPr>
        <w:tc>
          <w:tcPr>
            <w:tcW w:w="6249" w:type="dxa"/>
          </w:tcPr>
          <w:p w14:paraId="76FFF0DB" w14:textId="77777777" w:rsidR="004C57B0" w:rsidRPr="000C0842" w:rsidRDefault="004C57B0" w:rsidP="004C57B0">
            <w:pPr>
              <w:tabs>
                <w:tab w:val="clear" w:pos="567"/>
                <w:tab w:val="clear" w:pos="1134"/>
                <w:tab w:val="clear" w:pos="1701"/>
                <w:tab w:val="clear" w:pos="2268"/>
              </w:tabs>
              <w:rPr>
                <w:rFonts w:ascii="SimSun" w:eastAsia="SimSun" w:hAnsi="SimSun" w:cs="SimSun"/>
                <w:sz w:val="20"/>
                <w:szCs w:val="20"/>
                <w:lang w:eastAsia="zh-CN"/>
              </w:rPr>
            </w:pPr>
            <w:r w:rsidRPr="000C0842">
              <w:rPr>
                <w:rFonts w:eastAsia="SimSun" w:cs="Times New Roman"/>
                <w:sz w:val="20"/>
                <w:szCs w:val="20"/>
                <w:lang w:val="en-GB" w:eastAsia="zh-CN"/>
              </w:rPr>
              <w:t>(</w:t>
            </w:r>
            <w:r w:rsidRPr="000C0842">
              <w:rPr>
                <w:rFonts w:eastAsia="SimSun" w:cs="Times New Roman" w:hint="eastAsia"/>
                <w:sz w:val="20"/>
                <w:szCs w:val="20"/>
                <w:lang w:val="en-GB" w:eastAsia="zh-CN"/>
              </w:rPr>
              <w:t>c</w:t>
            </w:r>
            <w:r w:rsidRPr="000C0842">
              <w:rPr>
                <w:rFonts w:eastAsia="SimSun" w:cs="Times New Roman"/>
                <w:sz w:val="20"/>
                <w:szCs w:val="20"/>
                <w:lang w:val="en-GB" w:eastAsia="zh-CN"/>
              </w:rPr>
              <w:t>)</w:t>
            </w:r>
            <w:r w:rsidRPr="000C0842">
              <w:rPr>
                <w:rFonts w:eastAsia="SimSun" w:cs="Times New Roman" w:hint="eastAsia"/>
                <w:sz w:val="20"/>
                <w:szCs w:val="20"/>
                <w:lang w:val="en-GB" w:eastAsia="zh-CN"/>
              </w:rPr>
              <w:t xml:space="preserve"> </w:t>
            </w:r>
            <w:r w:rsidRPr="000C0842">
              <w:rPr>
                <w:rFonts w:ascii="SimSun" w:eastAsia="SimSun" w:hAnsi="SimSun" w:cs="SimSun" w:hint="eastAsia"/>
                <w:sz w:val="20"/>
                <w:szCs w:val="20"/>
                <w:lang w:eastAsia="zh-CN"/>
              </w:rPr>
              <w:t>应对海洋利用（海洋和沿海）方式的变化（将被视为不适用于内陆国家）？</w:t>
            </w:r>
          </w:p>
          <w:p w14:paraId="53C80728"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eastAsia="zh-CN"/>
              </w:rPr>
            </w:pPr>
          </w:p>
        </w:tc>
        <w:tc>
          <w:tcPr>
            <w:tcW w:w="3685" w:type="dxa"/>
          </w:tcPr>
          <w:p w14:paraId="3BC75E47" w14:textId="77777777" w:rsidR="004C57B0" w:rsidRPr="000C0842" w:rsidRDefault="004C57B0">
            <w:pPr>
              <w:numPr>
                <w:ilvl w:val="0"/>
                <w:numId w:val="11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6A788DFA" w14:textId="77777777" w:rsidR="004C57B0" w:rsidRPr="000C0842" w:rsidRDefault="004C57B0">
            <w:pPr>
              <w:numPr>
                <w:ilvl w:val="0"/>
                <w:numId w:val="11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DEB94E6" w14:textId="77777777" w:rsidR="004C57B0" w:rsidRPr="000C0842" w:rsidRDefault="004C57B0">
            <w:pPr>
              <w:numPr>
                <w:ilvl w:val="0"/>
                <w:numId w:val="11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r w:rsidRPr="000C0842">
              <w:rPr>
                <w:rFonts w:eastAsia="SimSun" w:cs="Times New Roman"/>
                <w:sz w:val="20"/>
                <w:szCs w:val="20"/>
                <w:lang w:val="en-GB" w:eastAsia="zh-CN"/>
              </w:rPr>
              <w:tab/>
            </w:r>
          </w:p>
          <w:p w14:paraId="41BC16AB" w14:textId="77777777" w:rsidR="004C57B0" w:rsidRPr="000C0842" w:rsidRDefault="004C57B0">
            <w:pPr>
              <w:numPr>
                <w:ilvl w:val="0"/>
                <w:numId w:val="11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40A9B382" w14:textId="77777777" w:rsidTr="001F32B3">
        <w:trPr>
          <w:cantSplit/>
          <w:trHeight w:val="404"/>
        </w:trPr>
        <w:tc>
          <w:tcPr>
            <w:tcW w:w="6249" w:type="dxa"/>
          </w:tcPr>
          <w:p w14:paraId="1054F252" w14:textId="77777777" w:rsidR="004C57B0" w:rsidRPr="000C0842" w:rsidRDefault="004C57B0" w:rsidP="004C57B0">
            <w:pPr>
              <w:tabs>
                <w:tab w:val="clear" w:pos="567"/>
                <w:tab w:val="clear" w:pos="1134"/>
                <w:tab w:val="clear" w:pos="1701"/>
                <w:tab w:val="clear" w:pos="2268"/>
              </w:tabs>
              <w:rPr>
                <w:rFonts w:ascii="SimSun" w:eastAsia="SimSun" w:hAnsi="SimSun" w:cs="SimSun"/>
                <w:sz w:val="20"/>
                <w:szCs w:val="20"/>
                <w:lang w:eastAsia="zh-CN"/>
              </w:rPr>
            </w:pPr>
            <w:r w:rsidRPr="000C0842">
              <w:rPr>
                <w:rFonts w:eastAsia="SimSun" w:cs="Times New Roman"/>
                <w:b/>
                <w:sz w:val="20"/>
                <w:szCs w:val="20"/>
                <w:lang w:val="en-GB" w:eastAsia="zh-CN"/>
              </w:rPr>
              <w:t>1.2</w:t>
            </w:r>
            <w:r w:rsidRPr="000C0842">
              <w:rPr>
                <w:rFonts w:ascii="SimSun" w:eastAsia="SimSun" w:hAnsi="SimSun" w:cs="SimSun" w:hint="eastAsia"/>
                <w:sz w:val="20"/>
                <w:szCs w:val="20"/>
                <w:lang w:eastAsia="zh-CN"/>
              </w:rPr>
              <w:t>如果对</w:t>
            </w:r>
            <w:r w:rsidRPr="000C0842">
              <w:rPr>
                <w:rFonts w:eastAsia="SimSun" w:cs="Times New Roman" w:hint="eastAsia"/>
                <w:sz w:val="20"/>
                <w:szCs w:val="20"/>
                <w:lang w:eastAsia="zh-CN"/>
              </w:rPr>
              <w:t>1.</w:t>
            </w:r>
            <w:r w:rsidRPr="000C0842">
              <w:rPr>
                <w:rFonts w:eastAsia="SimSun" w:cs="Times New Roman"/>
                <w:sz w:val="20"/>
                <w:szCs w:val="20"/>
                <w:lang w:eastAsia="zh-CN"/>
              </w:rPr>
              <w:t>1</w:t>
            </w:r>
            <w:r w:rsidRPr="000C0842">
              <w:rPr>
                <w:rFonts w:ascii="SimSun" w:eastAsia="SimSun" w:hAnsi="SimSun" w:cs="SimSun" w:hint="eastAsia"/>
                <w:sz w:val="20"/>
                <w:szCs w:val="20"/>
                <w:lang w:eastAsia="zh-CN"/>
              </w:rPr>
              <w:t>下</w:t>
            </w:r>
            <w:r w:rsidRPr="000C0842">
              <w:rPr>
                <w:rFonts w:eastAsia="SimSun" w:cs="Times New Roman" w:hint="eastAsia"/>
                <w:sz w:val="20"/>
                <w:szCs w:val="20"/>
                <w:lang w:eastAsia="zh-CN"/>
              </w:rPr>
              <w:t>任何</w:t>
            </w:r>
            <w:r w:rsidRPr="000C0842">
              <w:rPr>
                <w:rFonts w:ascii="SimSun" w:eastAsia="SimSun" w:hAnsi="SimSun" w:cs="SimSun" w:hint="eastAsia"/>
                <w:sz w:val="20"/>
                <w:szCs w:val="20"/>
                <w:lang w:eastAsia="zh-CN"/>
              </w:rPr>
              <w:t>问题的答复为“否”，计划制定是否利用了参与性进程？</w:t>
            </w:r>
            <w:r w:rsidRPr="000C0842">
              <w:rPr>
                <w:rFonts w:eastAsia="SimSun" w:cs="Times New Roman" w:hint="eastAsia"/>
                <w:sz w:val="20"/>
                <w:szCs w:val="20"/>
                <w:lang w:eastAsia="zh-CN"/>
              </w:rPr>
              <w:t xml:space="preserve"> </w:t>
            </w:r>
            <w:r w:rsidRPr="000C0842">
              <w:rPr>
                <w:rFonts w:ascii="SimSun" w:eastAsia="SimSun" w:hAnsi="SimSun" w:cs="SimSun" w:hint="eastAsia"/>
                <w:sz w:val="20"/>
                <w:szCs w:val="20"/>
                <w:lang w:eastAsia="zh-CN"/>
              </w:rPr>
              <w:t>（请选择所有适用的答复），请注意，如贵国是路锁国，空间规划将被视为与此无关）</w:t>
            </w:r>
          </w:p>
          <w:p w14:paraId="25E0E206"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p>
        </w:tc>
        <w:tc>
          <w:tcPr>
            <w:tcW w:w="3685" w:type="dxa"/>
          </w:tcPr>
          <w:p w14:paraId="3F4BB66E" w14:textId="77777777" w:rsidR="004C57B0" w:rsidRPr="000C0842" w:rsidRDefault="004C57B0">
            <w:pPr>
              <w:numPr>
                <w:ilvl w:val="0"/>
                <w:numId w:val="11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用于陆地空间规划</w:t>
            </w:r>
          </w:p>
          <w:p w14:paraId="56A260EB" w14:textId="77777777" w:rsidR="004C57B0" w:rsidRPr="000C0842" w:rsidRDefault="004C57B0">
            <w:pPr>
              <w:numPr>
                <w:ilvl w:val="0"/>
                <w:numId w:val="11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用于海洋空间规划</w:t>
            </w:r>
          </w:p>
          <w:p w14:paraId="2E6CF1BC" w14:textId="77777777" w:rsidR="004C57B0" w:rsidRPr="000C0842" w:rsidRDefault="004C57B0">
            <w:pPr>
              <w:numPr>
                <w:ilvl w:val="0"/>
                <w:numId w:val="11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用于内陆水域空间规划</w:t>
            </w:r>
          </w:p>
          <w:p w14:paraId="24829563" w14:textId="77777777" w:rsidR="004C57B0" w:rsidRPr="000C0842" w:rsidRDefault="004C57B0">
            <w:pPr>
              <w:numPr>
                <w:ilvl w:val="0"/>
                <w:numId w:val="11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上述均无参与</w:t>
            </w:r>
          </w:p>
        </w:tc>
      </w:tr>
      <w:tr w:rsidR="000C0842" w:rsidRPr="000C0842" w14:paraId="5C77D95E" w14:textId="77777777" w:rsidTr="001F32B3">
        <w:trPr>
          <w:cantSplit/>
        </w:trPr>
        <w:tc>
          <w:tcPr>
            <w:tcW w:w="9934" w:type="dxa"/>
            <w:gridSpan w:val="2"/>
            <w:shd w:val="clear" w:color="auto" w:fill="F2F2F2"/>
          </w:tcPr>
          <w:p w14:paraId="49585313"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val="en-GB" w:eastAsia="zh-CN"/>
              </w:rPr>
            </w:pPr>
            <w:r w:rsidRPr="000C0842">
              <w:rPr>
                <w:rFonts w:ascii="SimSun" w:eastAsia="SimSun" w:hAnsi="SimSun" w:cs="SimSun" w:hint="eastAsia"/>
                <w:b/>
                <w:sz w:val="20"/>
                <w:szCs w:val="20"/>
                <w:lang w:eastAsia="zh-CN"/>
              </w:rPr>
              <w:t>行动目标</w:t>
            </w:r>
            <w:r w:rsidRPr="000C0842">
              <w:rPr>
                <w:rFonts w:eastAsia="SimSun" w:cs="Times New Roman" w:hint="eastAsia"/>
                <w:b/>
                <w:sz w:val="20"/>
                <w:szCs w:val="20"/>
                <w:lang w:eastAsia="zh-CN"/>
              </w:rPr>
              <w:t>5</w:t>
            </w:r>
            <w:r w:rsidRPr="000C0842">
              <w:rPr>
                <w:rFonts w:ascii="SimSun" w:eastAsia="SimSun" w:hAnsi="SimSun" w:cs="SimSun" w:hint="eastAsia"/>
                <w:b/>
                <w:sz w:val="20"/>
                <w:szCs w:val="20"/>
                <w:lang w:eastAsia="zh-CN"/>
              </w:rPr>
              <w:t>：确保野生物种的使用、采猎和交易是可持续的、安全的、合法的，防止过度开发，减少对非目标物种和生态系统的影响，减少病原体溢出的风险，采用生态系统方法，同时尊重和保护土著人民和地方社区的可持续习惯使用。</w:t>
            </w:r>
            <w:r w:rsidRPr="000C0842">
              <w:rPr>
                <w:rFonts w:eastAsia="SimSun" w:cs="Times New Roman"/>
                <w:b/>
                <w:sz w:val="20"/>
                <w:szCs w:val="20"/>
                <w:lang w:eastAsia="zh-CN"/>
              </w:rPr>
              <w:t xml:space="preserve"> </w:t>
            </w:r>
          </w:p>
        </w:tc>
      </w:tr>
      <w:tr w:rsidR="000C0842" w:rsidRPr="000C0842" w14:paraId="6F11B799" w14:textId="77777777" w:rsidTr="001F32B3">
        <w:trPr>
          <w:cantSplit/>
          <w:trHeight w:val="244"/>
        </w:trPr>
        <w:tc>
          <w:tcPr>
            <w:tcW w:w="9934" w:type="dxa"/>
            <w:gridSpan w:val="2"/>
            <w:shd w:val="clear" w:color="auto" w:fill="FFFFFF"/>
          </w:tcPr>
          <w:p w14:paraId="7CDAC057" w14:textId="77777777" w:rsidR="004C57B0" w:rsidRPr="000C0842" w:rsidRDefault="004C57B0" w:rsidP="004C57B0">
            <w:pPr>
              <w:tabs>
                <w:tab w:val="clear" w:pos="567"/>
                <w:tab w:val="clear" w:pos="1134"/>
                <w:tab w:val="clear" w:pos="1701"/>
                <w:tab w:val="clear" w:pos="2268"/>
              </w:tabs>
              <w:textAlignment w:val="baseline"/>
              <w:rPr>
                <w:rFonts w:ascii="SimSun" w:eastAsia="SimSun" w:hAnsi="SimSun" w:cs="SimSun"/>
                <w:b/>
                <w:sz w:val="20"/>
                <w:szCs w:val="20"/>
                <w:lang w:val="en-GB" w:eastAsia="zh-CN"/>
              </w:rPr>
            </w:pPr>
            <w:r w:rsidRPr="000C0842">
              <w:rPr>
                <w:rFonts w:ascii="SimSun" w:eastAsia="SimSun" w:hAnsi="SimSun" w:cs="SimSun" w:hint="eastAsia"/>
                <w:b/>
                <w:sz w:val="20"/>
                <w:szCs w:val="20"/>
                <w:lang w:val="en-GB" w:eastAsia="zh-CN"/>
              </w:rPr>
              <w:t>指标：已制定管制野生物种交易法律文书或其他政策框架的国家数目。</w:t>
            </w:r>
          </w:p>
        </w:tc>
      </w:tr>
      <w:tr w:rsidR="000C0842" w:rsidRPr="000C0842" w14:paraId="0AB1BAFB" w14:textId="77777777" w:rsidTr="001F32B3">
        <w:trPr>
          <w:cantSplit/>
          <w:trHeight w:val="983"/>
        </w:trPr>
        <w:tc>
          <w:tcPr>
            <w:tcW w:w="6249" w:type="dxa"/>
          </w:tcPr>
          <w:p w14:paraId="15BD5B4D"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r w:rsidRPr="000C0842">
              <w:rPr>
                <w:rFonts w:eastAsia="SimSun" w:cs="Times New Roman" w:hint="eastAsia"/>
                <w:b/>
                <w:sz w:val="20"/>
                <w:szCs w:val="20"/>
                <w:lang w:val="en-GB" w:eastAsia="zh-CN"/>
              </w:rPr>
              <w:t>5</w:t>
            </w:r>
            <w:r w:rsidRPr="000C0842">
              <w:rPr>
                <w:rFonts w:eastAsia="SimSun" w:cs="Times New Roman"/>
                <w:b/>
                <w:sz w:val="20"/>
                <w:szCs w:val="20"/>
                <w:lang w:val="en-GB" w:eastAsia="zh-CN"/>
              </w:rPr>
              <w:t>.1</w:t>
            </w:r>
            <w:r w:rsidRPr="000C0842">
              <w:rPr>
                <w:rFonts w:ascii="SimSun" w:eastAsia="SimSun" w:hAnsi="SimSun" w:cs="SimSun" w:hint="eastAsia"/>
                <w:sz w:val="20"/>
                <w:szCs w:val="20"/>
                <w:lang w:eastAsia="zh-CN"/>
              </w:rPr>
              <w:t>贵国是否制定了管制野生物种交易的法律文书或其他政策框架？（请选择所有适用的答复）</w:t>
            </w:r>
          </w:p>
        </w:tc>
        <w:tc>
          <w:tcPr>
            <w:tcW w:w="3685" w:type="dxa"/>
          </w:tcPr>
          <w:p w14:paraId="1C64500C"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陆地物种</w:t>
            </w:r>
          </w:p>
          <w:p w14:paraId="4F5FA33E"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淡水物种</w:t>
            </w:r>
          </w:p>
          <w:p w14:paraId="230654EC"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海洋物种</w:t>
            </w:r>
          </w:p>
          <w:p w14:paraId="44F49B94"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国际贸易</w:t>
            </w:r>
          </w:p>
          <w:p w14:paraId="77015F4B"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以上都不是</w:t>
            </w:r>
          </w:p>
        </w:tc>
      </w:tr>
      <w:tr w:rsidR="000C0842" w:rsidRPr="000C0842" w14:paraId="59381BE3" w14:textId="77777777" w:rsidTr="001F32B3">
        <w:trPr>
          <w:cantSplit/>
        </w:trPr>
        <w:tc>
          <w:tcPr>
            <w:tcW w:w="9934" w:type="dxa"/>
            <w:gridSpan w:val="2"/>
            <w:shd w:val="clear" w:color="auto" w:fill="F2F2F2"/>
          </w:tcPr>
          <w:p w14:paraId="5F5EF70A"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val="en-GB" w:eastAsia="zh-CN"/>
              </w:rPr>
            </w:pPr>
            <w:r w:rsidRPr="000C0842">
              <w:rPr>
                <w:rFonts w:ascii="SimSun" w:eastAsia="SimSun" w:hAnsi="SimSun" w:cs="SimSun" w:hint="eastAsia"/>
                <w:b/>
                <w:sz w:val="20"/>
                <w:szCs w:val="20"/>
                <w:lang w:eastAsia="zh-CN"/>
              </w:rPr>
              <w:t>行动目标</w:t>
            </w:r>
            <w:r w:rsidRPr="000C0842">
              <w:rPr>
                <w:rFonts w:eastAsia="SimSun" w:cs="Times New Roman"/>
                <w:b/>
                <w:sz w:val="20"/>
                <w:szCs w:val="20"/>
                <w:lang w:eastAsia="zh-CN"/>
              </w:rPr>
              <w:t>6</w:t>
            </w:r>
            <w:r w:rsidRPr="000C0842">
              <w:rPr>
                <w:rFonts w:ascii="SimSun" w:eastAsia="SimSun" w:hAnsi="SimSun" w:cs="SimSun" w:hint="eastAsia"/>
                <w:b/>
                <w:sz w:val="20"/>
                <w:szCs w:val="20"/>
                <w:lang w:eastAsia="zh-CN"/>
              </w:rPr>
              <w:t>：</w:t>
            </w:r>
            <w:r w:rsidRPr="000C0842">
              <w:rPr>
                <w:rFonts w:ascii="SimSun" w:eastAsia="SimSun" w:hAnsi="SimSun" w:cs="SimSun" w:hint="eastAsia"/>
                <w:b/>
                <w:sz w:val="20"/>
                <w:szCs w:val="20"/>
                <w:lang w:val="en-AU" w:eastAsia="zh-CN"/>
              </w:rPr>
              <w:t>通过确定和管理外来物种的引进途径，防止重点外来入侵物种的引进和建群，消除、尽量降低、减少和</w:t>
            </w:r>
            <w:r w:rsidRPr="000C0842">
              <w:rPr>
                <w:rFonts w:eastAsia="SimSun" w:cs="Times New Roman"/>
                <w:b/>
                <w:sz w:val="20"/>
                <w:szCs w:val="20"/>
                <w:lang w:val="en-AU" w:eastAsia="zh-CN"/>
              </w:rPr>
              <w:t>/</w:t>
            </w:r>
            <w:r w:rsidRPr="000C0842">
              <w:rPr>
                <w:rFonts w:ascii="SimSun" w:eastAsia="SimSun" w:hAnsi="SimSun" w:cs="SimSun" w:hint="eastAsia"/>
                <w:b/>
                <w:sz w:val="20"/>
                <w:szCs w:val="20"/>
                <w:lang w:val="en-AU" w:eastAsia="zh-CN"/>
              </w:rPr>
              <w:t>或减轻外来入侵物种对生物多样性和生态系统服务的影响，到</w:t>
            </w:r>
            <w:r w:rsidRPr="000C0842">
              <w:rPr>
                <w:rFonts w:eastAsia="SimSun" w:cs="Times New Roman"/>
                <w:b/>
                <w:sz w:val="20"/>
                <w:szCs w:val="20"/>
                <w:lang w:val="en-AU" w:eastAsia="zh-CN"/>
              </w:rPr>
              <w:t>2030</w:t>
            </w:r>
            <w:r w:rsidRPr="000C0842">
              <w:rPr>
                <w:rFonts w:ascii="SimSun" w:eastAsia="SimSun" w:hAnsi="SimSun" w:cs="SimSun" w:hint="eastAsia"/>
                <w:b/>
                <w:sz w:val="20"/>
                <w:szCs w:val="20"/>
                <w:lang w:val="en-AU" w:eastAsia="zh-CN"/>
              </w:rPr>
              <w:t>年，将其他已知或潜在外来入侵物种的引进和建群率至少降低</w:t>
            </w:r>
            <w:r w:rsidRPr="000C0842">
              <w:rPr>
                <w:rFonts w:eastAsia="SimSun" w:cs="Times New Roman"/>
                <w:b/>
                <w:sz w:val="20"/>
                <w:szCs w:val="20"/>
                <w:lang w:val="en-AU" w:eastAsia="zh-CN"/>
              </w:rPr>
              <w:t>50%</w:t>
            </w:r>
            <w:r w:rsidRPr="000C0842">
              <w:rPr>
                <w:rFonts w:ascii="SimSun" w:eastAsia="SimSun" w:hAnsi="SimSun" w:cs="SimSun" w:hint="eastAsia"/>
                <w:b/>
                <w:sz w:val="20"/>
                <w:szCs w:val="20"/>
                <w:lang w:val="en-AU" w:eastAsia="zh-CN"/>
              </w:rPr>
              <w:t>，消除或控制外来入侵物种，特别是在岛屿等重点地带这样做。</w:t>
            </w:r>
          </w:p>
        </w:tc>
      </w:tr>
      <w:tr w:rsidR="000C0842" w:rsidRPr="000C0842" w14:paraId="127BE80E" w14:textId="77777777" w:rsidTr="001F32B3">
        <w:trPr>
          <w:cantSplit/>
          <w:trHeight w:val="244"/>
        </w:trPr>
        <w:tc>
          <w:tcPr>
            <w:tcW w:w="9934" w:type="dxa"/>
            <w:gridSpan w:val="2"/>
            <w:shd w:val="clear" w:color="auto" w:fill="FFFFFF"/>
          </w:tcPr>
          <w:p w14:paraId="5892CAD3" w14:textId="77777777" w:rsidR="004C57B0" w:rsidRPr="000C0842" w:rsidRDefault="004C57B0" w:rsidP="004C57B0">
            <w:pPr>
              <w:tabs>
                <w:tab w:val="clear" w:pos="567"/>
                <w:tab w:val="clear" w:pos="1134"/>
                <w:tab w:val="clear" w:pos="1701"/>
                <w:tab w:val="clear" w:pos="2268"/>
              </w:tabs>
              <w:textAlignment w:val="baseline"/>
              <w:rPr>
                <w:rFonts w:ascii="SimSun" w:eastAsia="SimSun" w:hAnsi="SimSun" w:cs="SimSun"/>
                <w:b/>
                <w:sz w:val="20"/>
                <w:szCs w:val="20"/>
                <w:lang w:val="en-GB" w:eastAsia="zh-CN"/>
              </w:rPr>
            </w:pPr>
            <w:r w:rsidRPr="000C0842">
              <w:rPr>
                <w:rFonts w:ascii="SimSun" w:eastAsia="SimSun" w:hAnsi="SimSun" w:cs="SimSun" w:hint="eastAsia"/>
                <w:b/>
                <w:sz w:val="20"/>
                <w:szCs w:val="20"/>
                <w:lang w:val="en-GB" w:eastAsia="zh-CN"/>
              </w:rPr>
              <w:t>指标：</w:t>
            </w:r>
            <w:r w:rsidRPr="000C0842">
              <w:rPr>
                <w:rFonts w:ascii="SimSun" w:eastAsia="SimSun" w:hAnsi="SimSun" w:cs="SimSun" w:hint="eastAsia"/>
                <w:b/>
                <w:bCs/>
                <w:iCs/>
                <w:sz w:val="20"/>
                <w:szCs w:val="20"/>
                <w:lang w:val="en-GB" w:eastAsia="zh-CN"/>
              </w:rPr>
              <w:t>制定相关法规、程序和措施来减少外来入侵物种影响的国家数目</w:t>
            </w:r>
            <w:r w:rsidRPr="000C0842">
              <w:rPr>
                <w:rFonts w:ascii="SimSun" w:eastAsia="SimSun" w:hAnsi="SimSun" w:cs="SimSun" w:hint="eastAsia"/>
                <w:b/>
                <w:bCs/>
                <w:sz w:val="20"/>
                <w:szCs w:val="20"/>
                <w:lang w:val="en-GB" w:eastAsia="zh-CN"/>
              </w:rPr>
              <w:t>。</w:t>
            </w:r>
          </w:p>
        </w:tc>
      </w:tr>
      <w:tr w:rsidR="000C0842" w:rsidRPr="000C0842" w14:paraId="0C939A83" w14:textId="77777777" w:rsidTr="001F32B3">
        <w:trPr>
          <w:cantSplit/>
          <w:trHeight w:val="983"/>
        </w:trPr>
        <w:tc>
          <w:tcPr>
            <w:tcW w:w="6249" w:type="dxa"/>
          </w:tcPr>
          <w:p w14:paraId="36822E0A"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r w:rsidRPr="000C0842">
              <w:rPr>
                <w:rFonts w:eastAsia="SimSun" w:cs="Times New Roman"/>
                <w:b/>
                <w:sz w:val="20"/>
                <w:szCs w:val="20"/>
                <w:lang w:val="en-GB" w:eastAsia="zh-CN"/>
              </w:rPr>
              <w:t>6.1</w:t>
            </w:r>
            <w:r w:rsidRPr="000C0842">
              <w:rPr>
                <w:rFonts w:eastAsia="SimSun" w:cs="Times New Roman"/>
                <w:sz w:val="20"/>
                <w:szCs w:val="20"/>
                <w:lang w:eastAsia="zh-CN"/>
              </w:rPr>
              <w:t>贵国是否</w:t>
            </w:r>
            <w:r w:rsidRPr="000C0842">
              <w:rPr>
                <w:rFonts w:eastAsia="SimSun" w:cs="Times New Roman" w:hint="eastAsia"/>
                <w:sz w:val="20"/>
                <w:szCs w:val="20"/>
                <w:lang w:eastAsia="zh-CN"/>
              </w:rPr>
              <w:t>制定了法律</w:t>
            </w:r>
            <w:r w:rsidRPr="000C0842">
              <w:rPr>
                <w:rFonts w:eastAsia="SimSun" w:cs="Times New Roman"/>
                <w:sz w:val="20"/>
                <w:szCs w:val="20"/>
                <w:lang w:eastAsia="zh-CN"/>
              </w:rPr>
              <w:t>，授权相关机构采取必要措施，大幅度降低外来入侵物种的</w:t>
            </w:r>
            <w:r w:rsidRPr="000C0842">
              <w:rPr>
                <w:rFonts w:eastAsia="SimSun" w:cs="Times New Roman" w:hint="eastAsia"/>
                <w:sz w:val="20"/>
                <w:szCs w:val="20"/>
                <w:lang w:eastAsia="zh-CN"/>
              </w:rPr>
              <w:t>引进和</w:t>
            </w:r>
            <w:r w:rsidRPr="000C0842">
              <w:rPr>
                <w:rFonts w:eastAsia="SimSun" w:cs="Times New Roman"/>
                <w:sz w:val="20"/>
                <w:szCs w:val="20"/>
                <w:lang w:eastAsia="zh-CN"/>
              </w:rPr>
              <w:t>影响？</w:t>
            </w:r>
          </w:p>
        </w:tc>
        <w:tc>
          <w:tcPr>
            <w:tcW w:w="3685" w:type="dxa"/>
          </w:tcPr>
          <w:p w14:paraId="3B2CFE04"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4819A4C3"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1AD2A75B"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1E6B11B9" w14:textId="77777777" w:rsidR="004C57B0" w:rsidRPr="000C0842" w:rsidRDefault="004C57B0">
            <w:pPr>
              <w:numPr>
                <w:ilvl w:val="0"/>
                <w:numId w:val="11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09F1881F" w14:textId="77777777" w:rsidTr="001F32B3">
        <w:trPr>
          <w:cantSplit/>
          <w:trHeight w:val="1144"/>
        </w:trPr>
        <w:tc>
          <w:tcPr>
            <w:tcW w:w="6249" w:type="dxa"/>
          </w:tcPr>
          <w:p w14:paraId="159B3ED4"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eastAsia="zh-CN"/>
              </w:rPr>
            </w:pPr>
            <w:r w:rsidRPr="000C0842">
              <w:rPr>
                <w:rFonts w:eastAsia="SimSun" w:cs="Times New Roman"/>
                <w:b/>
                <w:sz w:val="20"/>
                <w:szCs w:val="20"/>
                <w:lang w:val="en-GB" w:eastAsia="zh-CN"/>
              </w:rPr>
              <w:t>6.2</w:t>
            </w:r>
            <w:r w:rsidRPr="000C0842">
              <w:rPr>
                <w:rFonts w:eastAsia="SimSun" w:cs="Times New Roman"/>
                <w:sz w:val="20"/>
                <w:szCs w:val="20"/>
                <w:lang w:eastAsia="zh-CN"/>
              </w:rPr>
              <w:t>贵国是否制定了措施用于预防外来入侵物种的引入和立足？</w:t>
            </w:r>
            <w:r w:rsidRPr="000C0842">
              <w:rPr>
                <w:rFonts w:eastAsia="SimSun" w:cs="Times New Roman"/>
                <w:sz w:val="20"/>
                <w:szCs w:val="20"/>
                <w:lang w:eastAsia="zh-CN"/>
              </w:rPr>
              <w:t xml:space="preserve"> </w:t>
            </w:r>
          </w:p>
          <w:p w14:paraId="7FC5F712"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p>
        </w:tc>
        <w:tc>
          <w:tcPr>
            <w:tcW w:w="3685" w:type="dxa"/>
          </w:tcPr>
          <w:p w14:paraId="68A4663F" w14:textId="77777777" w:rsidR="004C57B0" w:rsidRPr="000C0842" w:rsidRDefault="004C57B0">
            <w:pPr>
              <w:numPr>
                <w:ilvl w:val="0"/>
                <w:numId w:val="11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05F370B5" w14:textId="77777777" w:rsidR="004C57B0" w:rsidRPr="000C0842" w:rsidRDefault="004C57B0">
            <w:pPr>
              <w:numPr>
                <w:ilvl w:val="0"/>
                <w:numId w:val="11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67377FDB" w14:textId="77777777" w:rsidR="004C57B0" w:rsidRPr="000C0842" w:rsidRDefault="004C57B0">
            <w:pPr>
              <w:numPr>
                <w:ilvl w:val="0"/>
                <w:numId w:val="11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5730E5ED" w14:textId="77777777" w:rsidR="004C57B0" w:rsidRPr="000C0842" w:rsidRDefault="004C57B0">
            <w:pPr>
              <w:numPr>
                <w:ilvl w:val="0"/>
                <w:numId w:val="11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2ADCAFA1" w14:textId="77777777" w:rsidTr="001F32B3">
        <w:trPr>
          <w:cantSplit/>
          <w:trHeight w:val="1144"/>
        </w:trPr>
        <w:tc>
          <w:tcPr>
            <w:tcW w:w="6249" w:type="dxa"/>
          </w:tcPr>
          <w:p w14:paraId="11FFCAA2"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r w:rsidRPr="000C0842">
              <w:rPr>
                <w:rFonts w:eastAsia="SimSun" w:cs="Times New Roman"/>
                <w:b/>
                <w:sz w:val="20"/>
                <w:szCs w:val="20"/>
                <w:lang w:val="en-GB" w:eastAsia="zh-CN"/>
              </w:rPr>
              <w:t>6.</w:t>
            </w:r>
            <w:r w:rsidRPr="000C0842">
              <w:rPr>
                <w:rFonts w:eastAsia="SimSun" w:cs="Times New Roman" w:hint="eastAsia"/>
                <w:b/>
                <w:sz w:val="20"/>
                <w:szCs w:val="20"/>
                <w:lang w:val="en-GB" w:eastAsia="zh-CN"/>
              </w:rPr>
              <w:t>3</w:t>
            </w:r>
            <w:r w:rsidRPr="000C0842">
              <w:rPr>
                <w:rFonts w:eastAsia="SimSun" w:cs="Times New Roman"/>
                <w:sz w:val="20"/>
                <w:szCs w:val="20"/>
                <w:lang w:eastAsia="zh-CN"/>
              </w:rPr>
              <w:t>贵国是否制定了措施用于消除或控制外来入侵物种？</w:t>
            </w:r>
            <w:r w:rsidRPr="000C0842">
              <w:rPr>
                <w:rFonts w:eastAsia="SimSun" w:cs="Times New Roman"/>
                <w:sz w:val="20"/>
                <w:szCs w:val="20"/>
                <w:lang w:eastAsia="zh-CN"/>
              </w:rPr>
              <w:t xml:space="preserve"> </w:t>
            </w:r>
          </w:p>
        </w:tc>
        <w:tc>
          <w:tcPr>
            <w:tcW w:w="3685" w:type="dxa"/>
          </w:tcPr>
          <w:p w14:paraId="1D0D5343" w14:textId="77777777" w:rsidR="004C57B0" w:rsidRPr="000C0842" w:rsidRDefault="004C57B0">
            <w:pPr>
              <w:numPr>
                <w:ilvl w:val="0"/>
                <w:numId w:val="14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234003D7" w14:textId="77777777" w:rsidR="004C57B0" w:rsidRPr="000C0842" w:rsidRDefault="004C57B0">
            <w:pPr>
              <w:numPr>
                <w:ilvl w:val="0"/>
                <w:numId w:val="14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69E0020E" w14:textId="77777777" w:rsidR="004C57B0" w:rsidRPr="000C0842" w:rsidRDefault="004C57B0">
            <w:pPr>
              <w:numPr>
                <w:ilvl w:val="0"/>
                <w:numId w:val="14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51BBC0B5" w14:textId="77777777" w:rsidR="004C57B0" w:rsidRPr="000C0842" w:rsidRDefault="004C57B0">
            <w:pPr>
              <w:numPr>
                <w:ilvl w:val="0"/>
                <w:numId w:val="14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17FA79C3" w14:textId="77777777" w:rsidTr="001F32B3">
        <w:trPr>
          <w:cantSplit/>
        </w:trPr>
        <w:tc>
          <w:tcPr>
            <w:tcW w:w="9934" w:type="dxa"/>
            <w:gridSpan w:val="2"/>
            <w:shd w:val="clear" w:color="auto" w:fill="F2F2F2"/>
          </w:tcPr>
          <w:p w14:paraId="6F4A7F17"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8</w:t>
            </w:r>
            <w:r w:rsidRPr="000C0842">
              <w:rPr>
                <w:rFonts w:ascii="SimSun" w:eastAsia="SimSun" w:hAnsi="SimSun" w:cs="SimSun" w:hint="eastAsia"/>
                <w:b/>
                <w:sz w:val="20"/>
                <w:szCs w:val="20"/>
                <w:lang w:val="en-GB" w:eastAsia="zh-CN"/>
              </w:rPr>
              <w:t>：</w:t>
            </w:r>
            <w:r w:rsidRPr="000C0842">
              <w:rPr>
                <w:rFonts w:ascii="SimSun" w:eastAsia="SimSun" w:hAnsi="SimSun" w:cs="SimSun" w:hint="eastAsia"/>
                <w:b/>
                <w:sz w:val="20"/>
                <w:szCs w:val="20"/>
                <w:lang w:eastAsia="zh-CN"/>
              </w:rPr>
              <w:t>通过缓解、适应和减少灾害风险行动，包括通过基于自然的解决方案和</w:t>
            </w:r>
            <w:r w:rsidRPr="000C0842">
              <w:rPr>
                <w:rFonts w:eastAsia="SimSun" w:cs="Times New Roman"/>
                <w:b/>
                <w:sz w:val="20"/>
                <w:szCs w:val="20"/>
                <w:lang w:eastAsia="zh-CN"/>
              </w:rPr>
              <w:t>/</w:t>
            </w:r>
            <w:r w:rsidRPr="000C0842">
              <w:rPr>
                <w:rFonts w:ascii="SimSun" w:eastAsia="SimSun" w:hAnsi="SimSun" w:cs="SimSun" w:hint="eastAsia"/>
                <w:b/>
                <w:sz w:val="20"/>
                <w:szCs w:val="20"/>
                <w:lang w:eastAsia="zh-CN"/>
              </w:rPr>
              <w:t>或基于生态系统的方法，最大限度地减少气候变化和海洋酸化对生物多样性的影响，提高其复原力，同时减少气候行动对生物多样性的不利影响并促进积极影响。</w:t>
            </w:r>
            <w:r w:rsidRPr="000C0842">
              <w:rPr>
                <w:rFonts w:eastAsia="SimSun" w:cs="Times New Roman"/>
                <w:b/>
                <w:sz w:val="20"/>
                <w:szCs w:val="20"/>
                <w:lang w:val="en-GB" w:eastAsia="zh-CN"/>
              </w:rPr>
              <w:t xml:space="preserve">  </w:t>
            </w:r>
          </w:p>
        </w:tc>
      </w:tr>
      <w:tr w:rsidR="000C0842" w:rsidRPr="000C0842" w14:paraId="3AA417B7" w14:textId="77777777" w:rsidTr="001F32B3">
        <w:trPr>
          <w:cantSplit/>
        </w:trPr>
        <w:tc>
          <w:tcPr>
            <w:tcW w:w="9934" w:type="dxa"/>
            <w:gridSpan w:val="2"/>
            <w:shd w:val="clear" w:color="auto" w:fill="FFFFFF"/>
          </w:tcPr>
          <w:p w14:paraId="7F1DF099" w14:textId="77777777" w:rsidR="004C57B0" w:rsidRPr="000C0842" w:rsidRDefault="004C57B0" w:rsidP="004C57B0">
            <w:pPr>
              <w:tabs>
                <w:tab w:val="clear" w:pos="567"/>
                <w:tab w:val="clear" w:pos="1134"/>
                <w:tab w:val="clear" w:pos="1701"/>
                <w:tab w:val="clear" w:pos="2268"/>
              </w:tabs>
              <w:spacing w:before="60"/>
              <w:jc w:val="left"/>
              <w:rPr>
                <w:rFonts w:eastAsia="SimSun" w:cs="Times New Roman"/>
                <w:b/>
                <w:sz w:val="20"/>
                <w:szCs w:val="20"/>
                <w:lang w:eastAsia="zh-CN"/>
              </w:rPr>
            </w:pPr>
            <w:r w:rsidRPr="000C0842">
              <w:rPr>
                <w:rFonts w:ascii="SimSun" w:eastAsia="SimSun" w:hAnsi="SimSun" w:cs="SimSun" w:hint="eastAsia"/>
                <w:b/>
                <w:sz w:val="20"/>
                <w:szCs w:val="20"/>
                <w:lang w:val="en-GB" w:eastAsia="zh-CN"/>
              </w:rPr>
              <w:t>指标：已</w:t>
            </w:r>
            <w:r w:rsidRPr="000C0842">
              <w:rPr>
                <w:rFonts w:eastAsia="SimSun" w:cs="Times New Roman" w:hint="eastAsia"/>
                <w:b/>
                <w:iCs/>
                <w:sz w:val="20"/>
                <w:szCs w:val="20"/>
                <w:lang w:val="en-GB" w:eastAsia="zh-CN"/>
              </w:rPr>
              <w:t>制定政策尽量减少气候变化和海洋酸化对生物多样性的影响并尽量减少气候行动对生物多样性的负面影响和促进积极影响的国家数目</w:t>
            </w:r>
            <w:r w:rsidRPr="000C0842">
              <w:rPr>
                <w:rFonts w:ascii="SimSun" w:eastAsia="SimSun" w:hAnsi="SimSun" w:cs="SimSun" w:hint="eastAsia"/>
                <w:b/>
                <w:sz w:val="20"/>
                <w:szCs w:val="20"/>
                <w:lang w:eastAsia="zh-CN"/>
              </w:rPr>
              <w:t>。</w:t>
            </w:r>
          </w:p>
        </w:tc>
      </w:tr>
      <w:tr w:rsidR="000C0842" w:rsidRPr="000C0842" w14:paraId="19AFA768" w14:textId="77777777" w:rsidTr="001F32B3">
        <w:trPr>
          <w:cantSplit/>
          <w:trHeight w:val="340"/>
        </w:trPr>
        <w:tc>
          <w:tcPr>
            <w:tcW w:w="6249" w:type="dxa"/>
          </w:tcPr>
          <w:p w14:paraId="442EA451"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r w:rsidRPr="000C0842">
              <w:rPr>
                <w:rFonts w:eastAsia="SimSun" w:cs="Times New Roman"/>
                <w:b/>
                <w:sz w:val="20"/>
                <w:szCs w:val="20"/>
                <w:lang w:val="en-GB" w:eastAsia="zh-CN"/>
              </w:rPr>
              <w:t>8.1</w:t>
            </w:r>
            <w:r w:rsidRPr="000C0842">
              <w:rPr>
                <w:rFonts w:ascii="SimSun" w:eastAsia="SimSun" w:hAnsi="SimSun" w:cs="SimSun" w:hint="eastAsia"/>
                <w:sz w:val="20"/>
                <w:szCs w:val="20"/>
                <w:lang w:eastAsia="zh-CN"/>
              </w:rPr>
              <w:t>贵国的国家生物多样性战略和行动计划是否包括采取行动，防止或尽量减少以下原因造成的影响（请选择所有适用的答复）：</w:t>
            </w:r>
          </w:p>
        </w:tc>
        <w:tc>
          <w:tcPr>
            <w:tcW w:w="3685" w:type="dxa"/>
          </w:tcPr>
          <w:p w14:paraId="4C62934A" w14:textId="77777777" w:rsidR="004C57B0" w:rsidRPr="000C0842" w:rsidRDefault="004C57B0">
            <w:pPr>
              <w:numPr>
                <w:ilvl w:val="0"/>
                <w:numId w:val="12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气候变化</w:t>
            </w:r>
          </w:p>
          <w:p w14:paraId="7CB94BE1" w14:textId="77777777" w:rsidR="004C57B0" w:rsidRPr="000C0842" w:rsidRDefault="004C57B0">
            <w:pPr>
              <w:numPr>
                <w:ilvl w:val="0"/>
                <w:numId w:val="12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海洋酸化</w:t>
            </w:r>
          </w:p>
          <w:p w14:paraId="6BA0FA4F" w14:textId="77777777" w:rsidR="004C57B0" w:rsidRPr="000C0842" w:rsidRDefault="004C57B0">
            <w:pPr>
              <w:numPr>
                <w:ilvl w:val="0"/>
                <w:numId w:val="12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无上述情况</w:t>
            </w:r>
          </w:p>
        </w:tc>
      </w:tr>
      <w:tr w:rsidR="000C0842" w:rsidRPr="000C0842" w14:paraId="24717335" w14:textId="77777777" w:rsidTr="001F32B3">
        <w:trPr>
          <w:cantSplit/>
          <w:trHeight w:val="902"/>
        </w:trPr>
        <w:tc>
          <w:tcPr>
            <w:tcW w:w="6249" w:type="dxa"/>
          </w:tcPr>
          <w:p w14:paraId="02B5FA41"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shd w:val="clear" w:color="auto" w:fill="FFFFFF"/>
                <w:lang w:eastAsia="zh-CN"/>
              </w:rPr>
            </w:pPr>
            <w:r w:rsidRPr="000C0842">
              <w:rPr>
                <w:rFonts w:eastAsia="SimSun" w:cs="Times New Roman"/>
                <w:b/>
                <w:sz w:val="20"/>
                <w:szCs w:val="20"/>
                <w:shd w:val="clear" w:color="auto" w:fill="FFFFFF"/>
                <w:lang w:val="en-GB" w:eastAsia="zh-CN"/>
              </w:rPr>
              <w:t>8.2</w:t>
            </w:r>
            <w:r w:rsidRPr="000C0842">
              <w:rPr>
                <w:rFonts w:ascii="SimSun" w:eastAsia="SimSun" w:hAnsi="SimSun" w:cs="SimSun" w:hint="eastAsia"/>
                <w:sz w:val="20"/>
                <w:szCs w:val="20"/>
                <w:shd w:val="clear" w:color="auto" w:fill="FFFFFF"/>
                <w:lang w:eastAsia="zh-CN"/>
              </w:rPr>
              <w:t>贵国关于气候变化的政策是否解决气候变化对于生物多样性的影响？</w:t>
            </w:r>
          </w:p>
        </w:tc>
        <w:tc>
          <w:tcPr>
            <w:tcW w:w="3685" w:type="dxa"/>
          </w:tcPr>
          <w:p w14:paraId="1A4E4F4E" w14:textId="77777777" w:rsidR="004C57B0" w:rsidRPr="000C0842" w:rsidRDefault="004C57B0">
            <w:pPr>
              <w:numPr>
                <w:ilvl w:val="0"/>
                <w:numId w:val="15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494525F3" w14:textId="77777777" w:rsidR="004C57B0" w:rsidRPr="000C0842" w:rsidRDefault="004C57B0">
            <w:pPr>
              <w:numPr>
                <w:ilvl w:val="0"/>
                <w:numId w:val="15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7CCDB81C" w14:textId="77777777" w:rsidR="004C57B0" w:rsidRPr="000C0842" w:rsidRDefault="004C57B0">
            <w:pPr>
              <w:numPr>
                <w:ilvl w:val="0"/>
                <w:numId w:val="15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7B1D0C65" w14:textId="77777777" w:rsidR="004C57B0" w:rsidRPr="000C0842" w:rsidRDefault="004C57B0">
            <w:pPr>
              <w:numPr>
                <w:ilvl w:val="0"/>
                <w:numId w:val="15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22BCA76C" w14:textId="77777777" w:rsidTr="001F32B3">
        <w:trPr>
          <w:cantSplit/>
          <w:trHeight w:val="1135"/>
        </w:trPr>
        <w:tc>
          <w:tcPr>
            <w:tcW w:w="6249" w:type="dxa"/>
          </w:tcPr>
          <w:p w14:paraId="2F5D7D1D"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shd w:val="clear" w:color="auto" w:fill="FFFFFF"/>
                <w:lang w:val="en-GB" w:eastAsia="zh-CN"/>
              </w:rPr>
            </w:pPr>
            <w:r w:rsidRPr="000C0842">
              <w:rPr>
                <w:rFonts w:eastAsia="SimSun" w:cs="Times New Roman"/>
                <w:b/>
                <w:sz w:val="20"/>
                <w:szCs w:val="20"/>
                <w:shd w:val="clear" w:color="auto" w:fill="FFFFFF"/>
                <w:lang w:val="en-GB" w:eastAsia="zh-CN"/>
              </w:rPr>
              <w:t>8.3</w:t>
            </w:r>
            <w:r w:rsidRPr="000C0842">
              <w:rPr>
                <w:rFonts w:ascii="SimSun" w:eastAsia="SimSun" w:hAnsi="SimSun" w:cs="SimSun" w:hint="eastAsia"/>
                <w:sz w:val="20"/>
                <w:szCs w:val="20"/>
                <w:shd w:val="clear" w:color="auto" w:fill="FFFFFF"/>
                <w:lang w:eastAsia="zh-CN"/>
              </w:rPr>
              <w:t>贵国的其他政策是否解决气候变化对生物多样性的影响？</w:t>
            </w:r>
            <w:r w:rsidRPr="000C0842">
              <w:rPr>
                <w:rFonts w:eastAsia="SimSun" w:cs="Times New Roman" w:hint="eastAsia"/>
                <w:sz w:val="20"/>
                <w:szCs w:val="20"/>
                <w:shd w:val="clear" w:color="auto" w:fill="FFFFFF"/>
                <w:lang w:eastAsia="zh-CN"/>
              </w:rPr>
              <w:t xml:space="preserve"> </w:t>
            </w:r>
          </w:p>
        </w:tc>
        <w:tc>
          <w:tcPr>
            <w:tcW w:w="3685" w:type="dxa"/>
          </w:tcPr>
          <w:p w14:paraId="3095989A" w14:textId="77777777" w:rsidR="004C57B0" w:rsidRPr="000C0842" w:rsidRDefault="004C57B0">
            <w:pPr>
              <w:numPr>
                <w:ilvl w:val="0"/>
                <w:numId w:val="12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60C2854" w14:textId="77777777" w:rsidR="004C57B0" w:rsidRPr="000C0842" w:rsidRDefault="004C57B0">
            <w:pPr>
              <w:numPr>
                <w:ilvl w:val="0"/>
                <w:numId w:val="12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4B741D4B" w14:textId="77777777" w:rsidR="004C57B0" w:rsidRPr="000C0842" w:rsidRDefault="004C57B0">
            <w:pPr>
              <w:numPr>
                <w:ilvl w:val="0"/>
                <w:numId w:val="12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094ACF9" w14:textId="77777777" w:rsidR="004C57B0" w:rsidRPr="000C0842" w:rsidRDefault="004C57B0">
            <w:pPr>
              <w:numPr>
                <w:ilvl w:val="0"/>
                <w:numId w:val="12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22A6677D" w14:textId="77777777" w:rsidTr="001F32B3">
        <w:trPr>
          <w:cantSplit/>
        </w:trPr>
        <w:tc>
          <w:tcPr>
            <w:tcW w:w="6249" w:type="dxa"/>
          </w:tcPr>
          <w:p w14:paraId="3A6FA158"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shd w:val="clear" w:color="auto" w:fill="FFFFFF"/>
                <w:lang w:val="en-GB" w:eastAsia="zh-CN"/>
              </w:rPr>
            </w:pPr>
            <w:r w:rsidRPr="000C0842">
              <w:rPr>
                <w:rFonts w:eastAsia="SimSun" w:cs="Times New Roman"/>
                <w:b/>
                <w:sz w:val="20"/>
                <w:szCs w:val="20"/>
                <w:lang w:val="en-GB" w:eastAsia="zh-CN"/>
              </w:rPr>
              <w:t>8.4</w:t>
            </w:r>
            <w:r w:rsidRPr="000C0842">
              <w:rPr>
                <w:rFonts w:ascii="SimSun" w:eastAsia="SimSun" w:hAnsi="SimSun" w:cs="SimSun" w:hint="eastAsia"/>
                <w:sz w:val="20"/>
                <w:szCs w:val="20"/>
                <w:lang w:eastAsia="zh-CN"/>
              </w:rPr>
              <w:t>贵国的其他政策是否解决海洋酸化对生物多样性所造成影响？）</w:t>
            </w:r>
            <w:r w:rsidRPr="000C0842">
              <w:rPr>
                <w:rFonts w:eastAsia="SimSun" w:cs="Times New Roman"/>
                <w:sz w:val="20"/>
                <w:szCs w:val="20"/>
                <w:shd w:val="clear" w:color="auto" w:fill="FFFFFF"/>
                <w:lang w:val="en-GB" w:eastAsia="zh-CN"/>
              </w:rPr>
              <w:t xml:space="preserve"> </w:t>
            </w:r>
          </w:p>
          <w:p w14:paraId="678D6EE7" w14:textId="77777777" w:rsidR="004C57B0" w:rsidRPr="000C0842" w:rsidRDefault="004C57B0" w:rsidP="004C57B0">
            <w:pPr>
              <w:tabs>
                <w:tab w:val="clear" w:pos="567"/>
                <w:tab w:val="clear" w:pos="1134"/>
                <w:tab w:val="clear" w:pos="1701"/>
                <w:tab w:val="clear" w:pos="2268"/>
              </w:tabs>
              <w:textAlignment w:val="baseline"/>
              <w:rPr>
                <w:rFonts w:eastAsia="SimSun" w:cs="Times New Roman"/>
                <w:sz w:val="20"/>
                <w:szCs w:val="20"/>
                <w:lang w:val="en-GB" w:eastAsia="zh-CN"/>
              </w:rPr>
            </w:pPr>
          </w:p>
        </w:tc>
        <w:tc>
          <w:tcPr>
            <w:tcW w:w="3685" w:type="dxa"/>
          </w:tcPr>
          <w:p w14:paraId="37E48E20" w14:textId="77777777" w:rsidR="004C57B0" w:rsidRPr="000C0842" w:rsidRDefault="004C57B0">
            <w:pPr>
              <w:numPr>
                <w:ilvl w:val="0"/>
                <w:numId w:val="12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562D4547" w14:textId="77777777" w:rsidR="004C57B0" w:rsidRPr="000C0842" w:rsidRDefault="004C57B0">
            <w:pPr>
              <w:numPr>
                <w:ilvl w:val="0"/>
                <w:numId w:val="12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1C7A4F6" w14:textId="77777777" w:rsidR="004C57B0" w:rsidRPr="000C0842" w:rsidRDefault="004C57B0">
            <w:pPr>
              <w:numPr>
                <w:ilvl w:val="0"/>
                <w:numId w:val="12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031047FD" w14:textId="77777777" w:rsidR="004C57B0" w:rsidRPr="000C0842" w:rsidRDefault="004C57B0">
            <w:pPr>
              <w:numPr>
                <w:ilvl w:val="0"/>
                <w:numId w:val="122"/>
              </w:numPr>
              <w:tabs>
                <w:tab w:val="clear" w:pos="567"/>
                <w:tab w:val="clear" w:pos="1134"/>
                <w:tab w:val="clear" w:pos="1701"/>
                <w:tab w:val="clear" w:pos="2268"/>
              </w:tabs>
              <w:jc w:val="left"/>
              <w:textAlignment w:val="baseline"/>
              <w:rPr>
                <w:rFonts w:eastAsia="SimSun" w:cs="Times New Roman"/>
                <w:b/>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103BEE58" w14:textId="77777777" w:rsidTr="001F32B3">
        <w:trPr>
          <w:cantSplit/>
        </w:trPr>
        <w:tc>
          <w:tcPr>
            <w:tcW w:w="6249" w:type="dxa"/>
          </w:tcPr>
          <w:p w14:paraId="64DCF130"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val="en-GB" w:eastAsia="zh-CN"/>
              </w:rPr>
            </w:pPr>
            <w:r w:rsidRPr="000C0842">
              <w:rPr>
                <w:rFonts w:eastAsia="SimSun" w:cs="Times New Roman"/>
                <w:b/>
                <w:sz w:val="20"/>
                <w:szCs w:val="20"/>
                <w:lang w:val="en-GB" w:eastAsia="zh-CN"/>
              </w:rPr>
              <w:t>8.</w:t>
            </w:r>
            <w:r w:rsidRPr="000C0842">
              <w:rPr>
                <w:rFonts w:eastAsia="SimSun" w:cs="Times New Roman" w:hint="eastAsia"/>
                <w:b/>
                <w:sz w:val="20"/>
                <w:szCs w:val="20"/>
                <w:lang w:val="en-GB" w:eastAsia="zh-CN"/>
              </w:rPr>
              <w:t>5</w:t>
            </w:r>
            <w:r w:rsidRPr="000C0842">
              <w:rPr>
                <w:rFonts w:ascii="SimSun" w:eastAsia="SimSun" w:hAnsi="SimSun" w:cs="SimSun"/>
                <w:sz w:val="20"/>
                <w:szCs w:val="20"/>
                <w:lang w:eastAsia="zh-CN"/>
              </w:rPr>
              <w:t xml:space="preserve"> </w:t>
            </w:r>
            <w:r w:rsidRPr="000C0842">
              <w:rPr>
                <w:rFonts w:ascii="SimSun" w:eastAsia="SimSun" w:hAnsi="SimSun" w:cs="SimSun" w:hint="eastAsia"/>
                <w:sz w:val="20"/>
                <w:szCs w:val="20"/>
                <w:lang w:eastAsia="zh-CN"/>
              </w:rPr>
              <w:t>贵国是否监测和报告气候变化对生物多样性的影响？</w:t>
            </w:r>
          </w:p>
        </w:tc>
        <w:tc>
          <w:tcPr>
            <w:tcW w:w="3685" w:type="dxa"/>
          </w:tcPr>
          <w:p w14:paraId="0B1DB9EC" w14:textId="77777777" w:rsidR="004C57B0" w:rsidRPr="000C0842" w:rsidRDefault="004C57B0">
            <w:pPr>
              <w:numPr>
                <w:ilvl w:val="0"/>
                <w:numId w:val="15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0E725367" w14:textId="77777777" w:rsidR="004C57B0" w:rsidRPr="000C0842" w:rsidRDefault="004C57B0">
            <w:pPr>
              <w:numPr>
                <w:ilvl w:val="0"/>
                <w:numId w:val="15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2F64087" w14:textId="77777777" w:rsidR="004C57B0" w:rsidRPr="000C0842" w:rsidRDefault="004C57B0">
            <w:pPr>
              <w:numPr>
                <w:ilvl w:val="0"/>
                <w:numId w:val="151"/>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C165807" w14:textId="77777777" w:rsidR="004C57B0" w:rsidRPr="000C0842" w:rsidRDefault="004C57B0">
            <w:pPr>
              <w:numPr>
                <w:ilvl w:val="0"/>
                <w:numId w:val="15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7F848A10" w14:textId="77777777" w:rsidTr="001F32B3">
        <w:trPr>
          <w:cantSplit/>
        </w:trPr>
        <w:tc>
          <w:tcPr>
            <w:tcW w:w="6249" w:type="dxa"/>
          </w:tcPr>
          <w:p w14:paraId="66336BBA"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lang w:val="en-GB" w:eastAsia="zh-CN"/>
              </w:rPr>
              <w:t>8.</w:t>
            </w:r>
            <w:r w:rsidRPr="000C0842">
              <w:rPr>
                <w:rFonts w:eastAsia="SimSun" w:cs="Times New Roman" w:hint="eastAsia"/>
                <w:b/>
                <w:sz w:val="20"/>
                <w:szCs w:val="20"/>
                <w:lang w:val="en-GB" w:eastAsia="zh-CN"/>
              </w:rPr>
              <w:t>6</w:t>
            </w:r>
            <w:r w:rsidRPr="000C0842">
              <w:rPr>
                <w:rFonts w:ascii="SimSun" w:eastAsia="SimSun" w:hAnsi="SimSun" w:cs="SimSun" w:hint="eastAsia"/>
                <w:sz w:val="20"/>
                <w:szCs w:val="20"/>
                <w:lang w:eastAsia="zh-CN"/>
              </w:rPr>
              <w:t xml:space="preserve"> 贵国是否监测和报告海洋酸化对生物多样性的影响？</w:t>
            </w:r>
          </w:p>
          <w:p w14:paraId="5DB89C87"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eastAsia="zh-CN"/>
              </w:rPr>
            </w:pPr>
          </w:p>
        </w:tc>
        <w:tc>
          <w:tcPr>
            <w:tcW w:w="3685" w:type="dxa"/>
          </w:tcPr>
          <w:p w14:paraId="0E59DEB5" w14:textId="77777777" w:rsidR="004C57B0" w:rsidRPr="000C0842" w:rsidRDefault="004C57B0">
            <w:pPr>
              <w:numPr>
                <w:ilvl w:val="0"/>
                <w:numId w:val="15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28C17C4E" w14:textId="77777777" w:rsidR="004C57B0" w:rsidRPr="000C0842" w:rsidRDefault="004C57B0">
            <w:pPr>
              <w:numPr>
                <w:ilvl w:val="0"/>
                <w:numId w:val="15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1CA78CE" w14:textId="77777777" w:rsidR="004C57B0" w:rsidRPr="000C0842" w:rsidRDefault="004C57B0">
            <w:pPr>
              <w:numPr>
                <w:ilvl w:val="0"/>
                <w:numId w:val="15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6F8940B6" w14:textId="77777777" w:rsidR="004C57B0" w:rsidRPr="000C0842" w:rsidRDefault="004C57B0">
            <w:pPr>
              <w:numPr>
                <w:ilvl w:val="0"/>
                <w:numId w:val="152"/>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07756754" w14:textId="77777777" w:rsidTr="001F32B3">
        <w:trPr>
          <w:cantSplit/>
        </w:trPr>
        <w:tc>
          <w:tcPr>
            <w:tcW w:w="6249" w:type="dxa"/>
          </w:tcPr>
          <w:p w14:paraId="1AB18312" w14:textId="7ABEA773"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lang w:val="en-GB" w:eastAsia="zh-CN"/>
              </w:rPr>
              <w:t>8.</w:t>
            </w:r>
            <w:r w:rsidRPr="000C0842">
              <w:rPr>
                <w:rFonts w:eastAsia="SimSun" w:cs="Times New Roman" w:hint="eastAsia"/>
                <w:b/>
                <w:sz w:val="20"/>
                <w:szCs w:val="20"/>
                <w:lang w:val="en-GB" w:eastAsia="zh-CN"/>
              </w:rPr>
              <w:t>7</w:t>
            </w:r>
            <w:r w:rsidRPr="000C0842">
              <w:rPr>
                <w:rFonts w:ascii="SimSun" w:eastAsia="SimSun" w:hAnsi="SimSun" w:cs="SimSun"/>
                <w:sz w:val="20"/>
                <w:szCs w:val="20"/>
                <w:lang w:val="en-GB" w:eastAsia="zh-CN"/>
              </w:rPr>
              <w:t>贵国关于气候变化和海洋酸化影响的政策或行动计划是否包含以下类型的旨在提高生物多样性复原力或减少影响的行动</w:t>
            </w:r>
            <w:r w:rsidR="00997EE8" w:rsidRPr="000C0842">
              <w:rPr>
                <w:rFonts w:ascii="SimSun" w:eastAsia="SimSun" w:hAnsi="SimSun" w:cs="SimSun" w:hint="eastAsia"/>
                <w:sz w:val="20"/>
                <w:szCs w:val="20"/>
                <w:lang w:val="en-GB" w:eastAsia="zh-CN"/>
              </w:rPr>
              <w:t>（</w:t>
            </w:r>
            <w:r w:rsidRPr="000C0842">
              <w:rPr>
                <w:rFonts w:ascii="SimSun" w:eastAsia="SimSun" w:hAnsi="SimSun" w:cs="SimSun"/>
                <w:sz w:val="20"/>
                <w:szCs w:val="20"/>
                <w:lang w:val="en-GB" w:eastAsia="zh-CN"/>
              </w:rPr>
              <w:t>选择所有适用的选项</w:t>
            </w:r>
            <w:r w:rsidR="00997EE8" w:rsidRPr="000C0842">
              <w:rPr>
                <w:rFonts w:ascii="SimSun" w:eastAsia="SimSun" w:hAnsi="SimSun" w:cs="SimSun" w:hint="eastAsia"/>
                <w:sz w:val="20"/>
                <w:szCs w:val="20"/>
                <w:lang w:val="en-GB" w:eastAsia="zh-CN"/>
              </w:rPr>
              <w:t>）</w:t>
            </w:r>
            <w:r w:rsidRPr="000C0842">
              <w:rPr>
                <w:rFonts w:ascii="SimSun" w:eastAsia="SimSun" w:hAnsi="SimSun" w:cs="SimSun" w:hint="eastAsia"/>
                <w:sz w:val="20"/>
                <w:szCs w:val="20"/>
                <w:lang w:val="en-GB" w:eastAsia="zh-CN"/>
              </w:rPr>
              <w:t>：</w:t>
            </w:r>
          </w:p>
          <w:p w14:paraId="26FE1BBD"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eastAsia="zh-CN"/>
              </w:rPr>
            </w:pPr>
          </w:p>
        </w:tc>
        <w:tc>
          <w:tcPr>
            <w:tcW w:w="3685" w:type="dxa"/>
          </w:tcPr>
          <w:p w14:paraId="7D7ADF19"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 xml:space="preserve">缓解 </w:t>
            </w:r>
          </w:p>
          <w:p w14:paraId="6DCDC02F"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 xml:space="preserve">适应 </w:t>
            </w:r>
          </w:p>
          <w:p w14:paraId="0952BFE4"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 xml:space="preserve">减少灾害风险 </w:t>
            </w:r>
          </w:p>
          <w:p w14:paraId="46984832"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 xml:space="preserve">基于自然的解决方案和/或基于生态系统的方法 </w:t>
            </w:r>
          </w:p>
          <w:p w14:paraId="5B16931C"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尽量减少气候行动对生物多样性的</w:t>
            </w:r>
            <w:r w:rsidRPr="000C0842">
              <w:rPr>
                <w:rFonts w:ascii="SimSun" w:eastAsia="SimSun" w:hAnsi="SimSun" w:cs="SimSun" w:hint="eastAsia"/>
                <w:sz w:val="20"/>
                <w:szCs w:val="20"/>
                <w:lang w:val="en-GB" w:eastAsia="zh-CN"/>
              </w:rPr>
              <w:t>消极</w:t>
            </w:r>
            <w:r w:rsidRPr="000C0842">
              <w:rPr>
                <w:rFonts w:ascii="SimSun" w:eastAsia="SimSun" w:hAnsi="SimSun" w:cs="SimSun"/>
                <w:sz w:val="20"/>
                <w:szCs w:val="20"/>
                <w:lang w:val="en-GB" w:eastAsia="zh-CN"/>
              </w:rPr>
              <w:t>影响并促进其</w:t>
            </w:r>
            <w:r w:rsidRPr="000C0842">
              <w:rPr>
                <w:rFonts w:ascii="SimSun" w:eastAsia="SimSun" w:hAnsi="SimSun" w:cs="SimSun" w:hint="eastAsia"/>
                <w:sz w:val="20"/>
                <w:szCs w:val="20"/>
                <w:lang w:val="en-GB" w:eastAsia="zh-CN"/>
              </w:rPr>
              <w:t>积极</w:t>
            </w:r>
            <w:r w:rsidRPr="000C0842">
              <w:rPr>
                <w:rFonts w:ascii="SimSun" w:eastAsia="SimSun" w:hAnsi="SimSun" w:cs="SimSun"/>
                <w:sz w:val="20"/>
                <w:szCs w:val="20"/>
                <w:lang w:val="en-GB" w:eastAsia="zh-CN"/>
              </w:rPr>
              <w:t>影响的政策</w:t>
            </w:r>
          </w:p>
          <w:p w14:paraId="0C16770F"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 xml:space="preserve">其他 </w:t>
            </w:r>
          </w:p>
          <w:p w14:paraId="54E244C7" w14:textId="77777777" w:rsidR="004C57B0" w:rsidRPr="000C0842" w:rsidRDefault="004C57B0">
            <w:pPr>
              <w:numPr>
                <w:ilvl w:val="0"/>
                <w:numId w:val="161"/>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sz w:val="20"/>
                <w:szCs w:val="20"/>
                <w:lang w:val="en-GB" w:eastAsia="zh-CN"/>
              </w:rPr>
              <w:t>以上都不是</w:t>
            </w:r>
          </w:p>
        </w:tc>
      </w:tr>
      <w:tr w:rsidR="000C0842" w:rsidRPr="000C0842" w14:paraId="581C66D0" w14:textId="77777777" w:rsidTr="001F32B3">
        <w:trPr>
          <w:cantSplit/>
        </w:trPr>
        <w:tc>
          <w:tcPr>
            <w:tcW w:w="6249" w:type="dxa"/>
          </w:tcPr>
          <w:p w14:paraId="3E09BD9C"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lang w:val="en-GB" w:eastAsia="zh-CN"/>
              </w:rPr>
              <w:t>8.</w:t>
            </w:r>
            <w:r w:rsidRPr="000C0842">
              <w:rPr>
                <w:rFonts w:eastAsia="SimSun" w:cs="Times New Roman" w:hint="eastAsia"/>
                <w:b/>
                <w:sz w:val="20"/>
                <w:szCs w:val="20"/>
                <w:lang w:val="en-GB" w:eastAsia="zh-CN"/>
              </w:rPr>
              <w:t>8</w:t>
            </w:r>
            <w:r w:rsidRPr="000C0842">
              <w:rPr>
                <w:rFonts w:ascii="SimSun" w:eastAsia="SimSun" w:hAnsi="SimSun" w:cs="SimSun"/>
                <w:sz w:val="20"/>
                <w:szCs w:val="20"/>
                <w:lang w:val="en-GB" w:eastAsia="zh-CN"/>
              </w:rPr>
              <w:t>贵国的政策或行动计划中是否包括尽量减少气候行动对生物多样性</w:t>
            </w:r>
            <w:r w:rsidRPr="000C0842">
              <w:rPr>
                <w:rFonts w:ascii="SimSun" w:eastAsia="SimSun" w:hAnsi="SimSun" w:cs="SimSun" w:hint="eastAsia"/>
                <w:sz w:val="20"/>
                <w:szCs w:val="20"/>
                <w:lang w:val="en-GB" w:eastAsia="zh-CN"/>
              </w:rPr>
              <w:t>消极</w:t>
            </w:r>
            <w:r w:rsidRPr="000C0842">
              <w:rPr>
                <w:rFonts w:ascii="SimSun" w:eastAsia="SimSun" w:hAnsi="SimSun" w:cs="SimSun"/>
                <w:sz w:val="20"/>
                <w:szCs w:val="20"/>
                <w:lang w:val="en-GB" w:eastAsia="zh-CN"/>
              </w:rPr>
              <w:t>影响的措施？</w:t>
            </w:r>
          </w:p>
          <w:p w14:paraId="16BBD713"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eastAsia="zh-CN"/>
              </w:rPr>
            </w:pPr>
          </w:p>
        </w:tc>
        <w:tc>
          <w:tcPr>
            <w:tcW w:w="3685" w:type="dxa"/>
          </w:tcPr>
          <w:p w14:paraId="3F36BFBB" w14:textId="77777777" w:rsidR="004C57B0" w:rsidRPr="000C0842" w:rsidRDefault="004C57B0">
            <w:pPr>
              <w:numPr>
                <w:ilvl w:val="0"/>
                <w:numId w:val="16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32663BE1" w14:textId="77777777" w:rsidR="004C57B0" w:rsidRPr="000C0842" w:rsidRDefault="004C57B0">
            <w:pPr>
              <w:numPr>
                <w:ilvl w:val="0"/>
                <w:numId w:val="16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17140381" w14:textId="77777777" w:rsidR="004C57B0" w:rsidRPr="000C0842" w:rsidRDefault="004C57B0">
            <w:pPr>
              <w:numPr>
                <w:ilvl w:val="0"/>
                <w:numId w:val="162"/>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75D71A64" w14:textId="77777777" w:rsidR="004C57B0" w:rsidRPr="000C0842" w:rsidRDefault="004C57B0">
            <w:pPr>
              <w:numPr>
                <w:ilvl w:val="0"/>
                <w:numId w:val="162"/>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3312A37C" w14:textId="77777777" w:rsidTr="001F32B3">
        <w:trPr>
          <w:cantSplit/>
        </w:trPr>
        <w:tc>
          <w:tcPr>
            <w:tcW w:w="6249" w:type="dxa"/>
          </w:tcPr>
          <w:p w14:paraId="54A11666"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lang w:val="en-GB" w:eastAsia="zh-CN"/>
              </w:rPr>
              <w:t>8.</w:t>
            </w:r>
            <w:r w:rsidRPr="000C0842">
              <w:rPr>
                <w:rFonts w:eastAsia="SimSun" w:cs="Times New Roman" w:hint="eastAsia"/>
                <w:b/>
                <w:sz w:val="20"/>
                <w:szCs w:val="20"/>
                <w:lang w:val="en-GB" w:eastAsia="zh-CN"/>
              </w:rPr>
              <w:t>9</w:t>
            </w:r>
            <w:r w:rsidRPr="000C0842">
              <w:rPr>
                <w:rFonts w:ascii="SimSun" w:eastAsia="SimSun" w:hAnsi="SimSun" w:cs="SimSun"/>
                <w:sz w:val="20"/>
                <w:szCs w:val="20"/>
                <w:lang w:val="en-GB" w:eastAsia="zh-CN"/>
              </w:rPr>
              <w:t>贵国的政策或行动计划中是否包括促进气候行动对生物多样性</w:t>
            </w:r>
            <w:r w:rsidRPr="000C0842">
              <w:rPr>
                <w:rFonts w:ascii="SimSun" w:eastAsia="SimSun" w:hAnsi="SimSun" w:cs="SimSun" w:hint="eastAsia"/>
                <w:sz w:val="20"/>
                <w:szCs w:val="20"/>
                <w:lang w:val="en-GB" w:eastAsia="zh-CN"/>
              </w:rPr>
              <w:t>积极</w:t>
            </w:r>
            <w:r w:rsidRPr="000C0842">
              <w:rPr>
                <w:rFonts w:ascii="SimSun" w:eastAsia="SimSun" w:hAnsi="SimSun" w:cs="SimSun"/>
                <w:sz w:val="20"/>
                <w:szCs w:val="20"/>
                <w:lang w:val="en-GB" w:eastAsia="zh-CN"/>
              </w:rPr>
              <w:t>影响的措施</w:t>
            </w:r>
            <w:r w:rsidRPr="000C0842">
              <w:rPr>
                <w:rFonts w:ascii="SimSun" w:eastAsia="SimSun" w:hAnsi="SimSun" w:cs="SimSun" w:hint="eastAsia"/>
                <w:sz w:val="20"/>
                <w:szCs w:val="20"/>
                <w:lang w:eastAsia="zh-CN"/>
              </w:rPr>
              <w:t>？</w:t>
            </w:r>
          </w:p>
          <w:p w14:paraId="42E522EB" w14:textId="77777777" w:rsidR="004C57B0" w:rsidRPr="000C0842" w:rsidRDefault="004C57B0" w:rsidP="004C57B0">
            <w:pPr>
              <w:tabs>
                <w:tab w:val="clear" w:pos="567"/>
                <w:tab w:val="clear" w:pos="1134"/>
                <w:tab w:val="clear" w:pos="1701"/>
                <w:tab w:val="clear" w:pos="2268"/>
              </w:tabs>
              <w:textAlignment w:val="baseline"/>
              <w:rPr>
                <w:rFonts w:eastAsia="SimSun" w:cs="Times New Roman"/>
                <w:b/>
                <w:sz w:val="20"/>
                <w:szCs w:val="20"/>
                <w:lang w:eastAsia="zh-CN"/>
              </w:rPr>
            </w:pPr>
          </w:p>
        </w:tc>
        <w:tc>
          <w:tcPr>
            <w:tcW w:w="3685" w:type="dxa"/>
          </w:tcPr>
          <w:p w14:paraId="6B795F5E" w14:textId="77777777" w:rsidR="004C57B0" w:rsidRPr="000C0842" w:rsidRDefault="004C57B0">
            <w:pPr>
              <w:numPr>
                <w:ilvl w:val="0"/>
                <w:numId w:val="16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2A4C9CB9" w14:textId="77777777" w:rsidR="004C57B0" w:rsidRPr="000C0842" w:rsidRDefault="004C57B0">
            <w:pPr>
              <w:numPr>
                <w:ilvl w:val="0"/>
                <w:numId w:val="16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8253D8C" w14:textId="77777777" w:rsidR="004C57B0" w:rsidRPr="000C0842" w:rsidRDefault="004C57B0">
            <w:pPr>
              <w:numPr>
                <w:ilvl w:val="0"/>
                <w:numId w:val="16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27B7039F" w14:textId="77777777" w:rsidR="004C57B0" w:rsidRPr="000C0842" w:rsidRDefault="004C57B0">
            <w:pPr>
              <w:numPr>
                <w:ilvl w:val="0"/>
                <w:numId w:val="163"/>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1609C81E" w14:textId="77777777" w:rsidTr="001F32B3">
        <w:trPr>
          <w:cantSplit/>
        </w:trPr>
        <w:tc>
          <w:tcPr>
            <w:tcW w:w="9934" w:type="dxa"/>
            <w:gridSpan w:val="2"/>
            <w:shd w:val="clear" w:color="auto" w:fill="F2F2F2"/>
          </w:tcPr>
          <w:p w14:paraId="6D1692C7"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eastAsia="SimSun" w:cs="Times New Roman"/>
                <w:b/>
                <w:sz w:val="20"/>
                <w:szCs w:val="20"/>
                <w:lang w:val="en-GB" w:eastAsia="zh-CN"/>
              </w:rPr>
              <w:br w:type="page"/>
            </w: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9</w:t>
            </w:r>
            <w:r w:rsidRPr="000C0842">
              <w:rPr>
                <w:rFonts w:ascii="SimSun" w:eastAsia="SimSun" w:hAnsi="SimSun" w:cs="SimSun" w:hint="eastAsia"/>
                <w:b/>
                <w:sz w:val="20"/>
                <w:szCs w:val="20"/>
                <w:lang w:val="en-GB" w:eastAsia="zh-CN"/>
              </w:rPr>
              <w:t>：确保野生物种的管理和利用可持续，从而为人，特别是处境脆弱和最依赖生物多样性的人提供社会、经济和环境福利，包括通过可持续的生物多样性活动，能增强生物多样性的产品和服务，保护</w:t>
            </w:r>
            <w:r w:rsidRPr="000C0842">
              <w:rPr>
                <w:rFonts w:ascii="SimSun" w:eastAsia="SimSun" w:hAnsi="SimSun" w:cs="SimSun" w:hint="eastAsia"/>
                <w:b/>
                <w:sz w:val="20"/>
                <w:szCs w:val="20"/>
                <w:lang w:eastAsia="zh-CN"/>
              </w:rPr>
              <w:t>和鼓励</w:t>
            </w:r>
            <w:r w:rsidRPr="000C0842">
              <w:rPr>
                <w:rFonts w:ascii="SimSun" w:eastAsia="SimSun" w:hAnsi="SimSun" w:cs="SimSun" w:hint="eastAsia"/>
                <w:b/>
                <w:sz w:val="20"/>
                <w:szCs w:val="20"/>
                <w:lang w:val="en-GB" w:eastAsia="zh-CN"/>
              </w:rPr>
              <w:t>土著人民和地方社区的</w:t>
            </w:r>
            <w:bookmarkStart w:id="124" w:name="_Hlk143765568"/>
            <w:r w:rsidRPr="000C0842">
              <w:rPr>
                <w:rFonts w:ascii="SimSun" w:eastAsia="SimSun" w:hAnsi="SimSun" w:cs="SimSun" w:hint="eastAsia"/>
                <w:b/>
                <w:sz w:val="20"/>
                <w:szCs w:val="20"/>
                <w:lang w:val="en-GB" w:eastAsia="zh-CN"/>
              </w:rPr>
              <w:t>可持续习惯使用</w:t>
            </w:r>
            <w:bookmarkEnd w:id="124"/>
            <w:r w:rsidRPr="000C0842">
              <w:rPr>
                <w:rFonts w:ascii="SimSun" w:eastAsia="SimSun" w:hAnsi="SimSun" w:cs="SimSun" w:hint="eastAsia"/>
                <w:b/>
                <w:sz w:val="20"/>
                <w:szCs w:val="20"/>
                <w:lang w:val="en-GB" w:eastAsia="zh-CN"/>
              </w:rPr>
              <w:t>。</w:t>
            </w:r>
            <w:r w:rsidRPr="000C0842">
              <w:rPr>
                <w:rFonts w:eastAsia="SimSun" w:cs="Times New Roman"/>
                <w:b/>
                <w:sz w:val="20"/>
                <w:szCs w:val="20"/>
                <w:lang w:val="en-GB" w:eastAsia="zh-CN"/>
              </w:rPr>
              <w:t xml:space="preserve"> </w:t>
            </w:r>
          </w:p>
        </w:tc>
      </w:tr>
      <w:tr w:rsidR="000C0842" w:rsidRPr="000C0842" w14:paraId="3E4FCD33" w14:textId="77777777" w:rsidTr="001F32B3">
        <w:trPr>
          <w:cantSplit/>
        </w:trPr>
        <w:tc>
          <w:tcPr>
            <w:tcW w:w="9934" w:type="dxa"/>
            <w:gridSpan w:val="2"/>
            <w:shd w:val="clear" w:color="auto" w:fill="FFFFFF"/>
          </w:tcPr>
          <w:p w14:paraId="104EE910"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en-GB" w:eastAsia="zh-CN"/>
              </w:rPr>
            </w:pPr>
            <w:r w:rsidRPr="000C0842">
              <w:rPr>
                <w:rFonts w:ascii="SimSun" w:eastAsia="SimSun" w:hAnsi="SimSun" w:cs="SimSun" w:hint="eastAsia"/>
                <w:b/>
                <w:sz w:val="20"/>
                <w:szCs w:val="20"/>
                <w:lang w:val="en-GB" w:eastAsia="zh-CN"/>
              </w:rPr>
              <w:t>指标：已</w:t>
            </w:r>
            <w:r w:rsidRPr="000C0842">
              <w:rPr>
                <w:rFonts w:ascii="SimSun" w:eastAsia="SimSun" w:hAnsi="SimSun" w:cs="SimSun" w:hint="eastAsia"/>
                <w:b/>
                <w:iCs/>
                <w:sz w:val="20"/>
                <w:szCs w:val="20"/>
                <w:lang w:val="en-GB" w:eastAsia="zh-CN"/>
              </w:rPr>
              <w:t>制定可持续管理野生物种利用政策为人们提供社会、经济和环境福利并保护和鼓励土著人民和地方社区可持续利用习惯的国家数目。</w:t>
            </w:r>
          </w:p>
        </w:tc>
      </w:tr>
      <w:tr w:rsidR="000C0842" w:rsidRPr="000C0842" w14:paraId="74B082BA" w14:textId="77777777" w:rsidTr="001F32B3">
        <w:trPr>
          <w:cantSplit/>
          <w:trHeight w:val="487"/>
        </w:trPr>
        <w:tc>
          <w:tcPr>
            <w:tcW w:w="6249" w:type="dxa"/>
          </w:tcPr>
          <w:p w14:paraId="167FF4D2" w14:textId="77777777" w:rsidR="004C57B0" w:rsidRPr="000C0842" w:rsidRDefault="004C57B0" w:rsidP="004C57B0">
            <w:pPr>
              <w:tabs>
                <w:tab w:val="clear" w:pos="567"/>
                <w:tab w:val="clear" w:pos="1134"/>
                <w:tab w:val="clear" w:pos="1701"/>
                <w:tab w:val="clear" w:pos="2268"/>
              </w:tabs>
              <w:rPr>
                <w:rFonts w:ascii="SimSun" w:eastAsia="SimSun" w:hAnsi="SimSun" w:cs="SimSun"/>
                <w:sz w:val="20"/>
                <w:szCs w:val="20"/>
                <w:shd w:val="clear" w:color="auto" w:fill="FFFFFF"/>
                <w:lang w:eastAsia="zh-CN"/>
              </w:rPr>
            </w:pPr>
            <w:r w:rsidRPr="000C0842">
              <w:rPr>
                <w:rFonts w:eastAsia="SimSun" w:cs="Times New Roman"/>
                <w:b/>
                <w:sz w:val="20"/>
                <w:szCs w:val="20"/>
                <w:lang w:val="en-GB" w:eastAsia="zh-CN"/>
              </w:rPr>
              <w:t>9.1</w:t>
            </w:r>
            <w:r w:rsidRPr="000C0842">
              <w:rPr>
                <w:rFonts w:ascii="SimSun" w:eastAsia="SimSun" w:hAnsi="SimSun" w:cs="SimSun" w:hint="eastAsia"/>
                <w:sz w:val="20"/>
                <w:szCs w:val="20"/>
                <w:shd w:val="clear" w:color="auto" w:fill="FFFFFF"/>
                <w:lang w:eastAsia="zh-CN"/>
              </w:rPr>
              <w:t>贵国是否有确保可持续管理和利用野生物种的法律文书或其他政策框架或行政措施？</w:t>
            </w:r>
          </w:p>
          <w:p w14:paraId="45DFE738" w14:textId="77777777" w:rsidR="004C57B0" w:rsidRPr="000C0842" w:rsidRDefault="004C57B0" w:rsidP="004C57B0">
            <w:pPr>
              <w:tabs>
                <w:tab w:val="clear" w:pos="567"/>
                <w:tab w:val="clear" w:pos="1134"/>
                <w:tab w:val="clear" w:pos="1701"/>
                <w:tab w:val="clear" w:pos="2268"/>
              </w:tabs>
              <w:rPr>
                <w:rFonts w:ascii="SimSun" w:eastAsia="SimSun" w:hAnsi="SimSun" w:cs="SimSun"/>
                <w:sz w:val="20"/>
                <w:szCs w:val="20"/>
                <w:shd w:val="clear" w:color="auto" w:fill="FFFFFF"/>
                <w:lang w:eastAsia="zh-CN"/>
              </w:rPr>
            </w:pPr>
          </w:p>
          <w:p w14:paraId="39B61B66" w14:textId="77777777" w:rsidR="004C57B0" w:rsidRPr="000C0842" w:rsidRDefault="004C57B0" w:rsidP="004C57B0">
            <w:pPr>
              <w:tabs>
                <w:tab w:val="clear" w:pos="567"/>
                <w:tab w:val="clear" w:pos="1134"/>
                <w:tab w:val="clear" w:pos="1701"/>
                <w:tab w:val="clear" w:pos="2268"/>
              </w:tabs>
              <w:rPr>
                <w:rFonts w:eastAsia="SimSun" w:cs="Times New Roman"/>
                <w:sz w:val="20"/>
                <w:szCs w:val="20"/>
                <w:shd w:val="clear" w:color="auto" w:fill="FFFFFF"/>
                <w:lang w:val="en-GB" w:eastAsia="zh-CN"/>
              </w:rPr>
            </w:pPr>
          </w:p>
        </w:tc>
        <w:tc>
          <w:tcPr>
            <w:tcW w:w="3685" w:type="dxa"/>
          </w:tcPr>
          <w:p w14:paraId="1A45D98B" w14:textId="77777777" w:rsidR="004C57B0" w:rsidRPr="000C0842" w:rsidRDefault="004C57B0">
            <w:pPr>
              <w:numPr>
                <w:ilvl w:val="0"/>
                <w:numId w:val="12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04B779E6" w14:textId="77777777" w:rsidR="004C57B0" w:rsidRPr="000C0842" w:rsidRDefault="004C57B0">
            <w:pPr>
              <w:numPr>
                <w:ilvl w:val="0"/>
                <w:numId w:val="12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0DCC1C36" w14:textId="77777777" w:rsidR="004C57B0" w:rsidRPr="000C0842" w:rsidRDefault="004C57B0">
            <w:pPr>
              <w:numPr>
                <w:ilvl w:val="0"/>
                <w:numId w:val="12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6A630B2C" w14:textId="77777777" w:rsidR="004C57B0" w:rsidRPr="000C0842" w:rsidRDefault="004C57B0">
            <w:pPr>
              <w:numPr>
                <w:ilvl w:val="0"/>
                <w:numId w:val="123"/>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5E09A922" w14:textId="77777777" w:rsidTr="001F32B3">
        <w:trPr>
          <w:cantSplit/>
        </w:trPr>
        <w:tc>
          <w:tcPr>
            <w:tcW w:w="6249" w:type="dxa"/>
          </w:tcPr>
          <w:p w14:paraId="3294216B" w14:textId="77777777" w:rsidR="004C57B0" w:rsidRPr="000C0842" w:rsidRDefault="004C57B0" w:rsidP="004C57B0">
            <w:pPr>
              <w:tabs>
                <w:tab w:val="clear" w:pos="567"/>
                <w:tab w:val="clear" w:pos="1134"/>
                <w:tab w:val="clear" w:pos="1701"/>
                <w:tab w:val="clear" w:pos="2268"/>
              </w:tabs>
              <w:rPr>
                <w:rFonts w:ascii="SimSun" w:eastAsia="SimSun" w:hAnsi="SimSun" w:cs="SimSun"/>
                <w:sz w:val="20"/>
                <w:szCs w:val="20"/>
                <w:lang w:eastAsia="zh-CN"/>
              </w:rPr>
            </w:pPr>
            <w:r w:rsidRPr="000C0842">
              <w:rPr>
                <w:rFonts w:eastAsia="SimSun" w:cs="Times New Roman"/>
                <w:b/>
                <w:sz w:val="20"/>
                <w:szCs w:val="20"/>
                <w:lang w:val="en-GB" w:eastAsia="zh-CN"/>
              </w:rPr>
              <w:t>9.2</w:t>
            </w:r>
            <w:r w:rsidRPr="000C0842">
              <w:rPr>
                <w:rFonts w:eastAsia="SimSun" w:cs="Times New Roman" w:hint="eastAsia"/>
                <w:sz w:val="20"/>
                <w:szCs w:val="20"/>
                <w:lang w:val="en-GB" w:eastAsia="zh-CN"/>
              </w:rPr>
              <w:t xml:space="preserve"> </w:t>
            </w:r>
            <w:r w:rsidRPr="000C0842">
              <w:rPr>
                <w:rFonts w:ascii="SimSun" w:eastAsia="SimSun" w:hAnsi="SimSun" w:cs="SimSun" w:hint="eastAsia"/>
                <w:sz w:val="20"/>
                <w:szCs w:val="20"/>
                <w:lang w:eastAsia="zh-CN"/>
              </w:rPr>
              <w:t>贵国是否监测野生物种的可持续管理和利用？</w:t>
            </w:r>
          </w:p>
          <w:p w14:paraId="77D2C57B"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p>
        </w:tc>
        <w:tc>
          <w:tcPr>
            <w:tcW w:w="3685" w:type="dxa"/>
          </w:tcPr>
          <w:p w14:paraId="6BEF080D" w14:textId="77777777" w:rsidR="004C57B0" w:rsidRPr="000C0842" w:rsidRDefault="004C57B0">
            <w:pPr>
              <w:numPr>
                <w:ilvl w:val="0"/>
                <w:numId w:val="12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4C14CB0A" w14:textId="77777777" w:rsidR="004C57B0" w:rsidRPr="000C0842" w:rsidRDefault="004C57B0">
            <w:pPr>
              <w:numPr>
                <w:ilvl w:val="0"/>
                <w:numId w:val="12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4BE2343" w14:textId="77777777" w:rsidR="004C57B0" w:rsidRPr="000C0842" w:rsidRDefault="004C57B0">
            <w:pPr>
              <w:numPr>
                <w:ilvl w:val="0"/>
                <w:numId w:val="12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1D5B9902" w14:textId="77777777" w:rsidR="004C57B0" w:rsidRPr="000C0842" w:rsidRDefault="004C57B0">
            <w:pPr>
              <w:numPr>
                <w:ilvl w:val="0"/>
                <w:numId w:val="12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5A1D0290" w14:textId="77777777" w:rsidTr="001F32B3">
        <w:trPr>
          <w:cantSplit/>
          <w:trHeight w:val="1253"/>
        </w:trPr>
        <w:tc>
          <w:tcPr>
            <w:tcW w:w="6249" w:type="dxa"/>
          </w:tcPr>
          <w:p w14:paraId="33AA5B2A"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shd w:val="clear" w:color="auto" w:fill="FFFFFF"/>
                <w:lang w:val="en-GB" w:eastAsia="zh-CN"/>
              </w:rPr>
              <w:t>9.</w:t>
            </w:r>
            <w:r w:rsidRPr="000C0842">
              <w:rPr>
                <w:rFonts w:eastAsia="SimSun" w:cs="Times New Roman" w:hint="eastAsia"/>
                <w:b/>
                <w:sz w:val="20"/>
                <w:szCs w:val="20"/>
                <w:shd w:val="clear" w:color="auto" w:fill="FFFFFF"/>
                <w:lang w:val="en-GB" w:eastAsia="zh-CN"/>
              </w:rPr>
              <w:t xml:space="preserve">3 </w:t>
            </w:r>
            <w:r w:rsidRPr="000C0842">
              <w:rPr>
                <w:rFonts w:ascii="SimSun" w:eastAsia="SimSun" w:hAnsi="SimSun" w:cs="SimSun"/>
                <w:sz w:val="20"/>
                <w:szCs w:val="20"/>
                <w:shd w:val="clear" w:color="auto" w:fill="FFFFFF"/>
                <w:lang w:val="en-GB" w:eastAsia="zh-CN"/>
              </w:rPr>
              <w:t>贵国是否监测利用野生物种给人们带来的社会、经济和环境惠益，特别是那些处于脆弱境地和最依赖生物多样性的人？</w:t>
            </w:r>
            <w:r w:rsidRPr="000C0842">
              <w:rPr>
                <w:rFonts w:ascii="SimSun" w:eastAsia="SimSun" w:hAnsi="SimSun" w:cs="SimSun" w:hint="eastAsia"/>
                <w:sz w:val="20"/>
                <w:szCs w:val="20"/>
                <w:shd w:val="clear" w:color="auto" w:fill="FFFFFF"/>
                <w:lang w:val="en-GB" w:eastAsia="zh-CN"/>
              </w:rPr>
              <w:t>（</w:t>
            </w:r>
            <w:r w:rsidRPr="000C0842">
              <w:rPr>
                <w:rFonts w:ascii="SimSun" w:eastAsia="SimSun" w:hAnsi="SimSun" w:cs="SimSun"/>
                <w:sz w:val="20"/>
                <w:szCs w:val="20"/>
                <w:shd w:val="clear" w:color="auto" w:fill="FFFFFF"/>
                <w:lang w:val="en-GB" w:eastAsia="zh-CN"/>
              </w:rPr>
              <w:t>选择所有适用项</w:t>
            </w:r>
            <w:r w:rsidRPr="000C0842">
              <w:rPr>
                <w:rFonts w:ascii="SimSun" w:eastAsia="SimSun" w:hAnsi="SimSun" w:cs="SimSun" w:hint="eastAsia"/>
                <w:sz w:val="20"/>
                <w:szCs w:val="20"/>
                <w:shd w:val="clear" w:color="auto" w:fill="FFFFFF"/>
                <w:lang w:val="en-GB" w:eastAsia="zh-CN"/>
              </w:rPr>
              <w:t>）</w:t>
            </w:r>
          </w:p>
        </w:tc>
        <w:tc>
          <w:tcPr>
            <w:tcW w:w="3685" w:type="dxa"/>
          </w:tcPr>
          <w:p w14:paraId="29781D9F" w14:textId="77777777" w:rsidR="004C57B0" w:rsidRPr="000C0842" w:rsidRDefault="004C57B0">
            <w:pPr>
              <w:numPr>
                <w:ilvl w:val="0"/>
                <w:numId w:val="16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00151B8E" w14:textId="77777777" w:rsidR="004C57B0" w:rsidRPr="000C0842" w:rsidRDefault="004C57B0">
            <w:pPr>
              <w:numPr>
                <w:ilvl w:val="0"/>
                <w:numId w:val="16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44CED24E" w14:textId="77777777" w:rsidR="004C57B0" w:rsidRPr="000C0842" w:rsidRDefault="004C57B0">
            <w:pPr>
              <w:numPr>
                <w:ilvl w:val="0"/>
                <w:numId w:val="16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D66CB42" w14:textId="77777777" w:rsidR="004C57B0" w:rsidRPr="000C0842" w:rsidRDefault="004C57B0">
            <w:pPr>
              <w:numPr>
                <w:ilvl w:val="0"/>
                <w:numId w:val="164"/>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7B90910B" w14:textId="77777777" w:rsidR="004C57B0" w:rsidRPr="000C0842" w:rsidRDefault="004C57B0" w:rsidP="004C57B0">
            <w:p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p>
          <w:p w14:paraId="74194CAD" w14:textId="77777777" w:rsidR="004C57B0" w:rsidRPr="000C0842" w:rsidRDefault="004C57B0" w:rsidP="004C57B0">
            <w:pPr>
              <w:ind w:left="360" w:hanging="360"/>
              <w:jc w:val="left"/>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如果回答“完全是”或“部分是”，请列出国家一级确定的所有相关群体：</w:t>
            </w:r>
          </w:p>
          <w:p w14:paraId="099F8874" w14:textId="77777777" w:rsidR="004C57B0" w:rsidRPr="000C0842" w:rsidRDefault="004C57B0">
            <w:pPr>
              <w:numPr>
                <w:ilvl w:val="0"/>
                <w:numId w:val="170"/>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 xml:space="preserve">妇女和女童 </w:t>
            </w:r>
          </w:p>
          <w:p w14:paraId="48428A81" w14:textId="77777777" w:rsidR="004C57B0" w:rsidRPr="000C0842" w:rsidRDefault="004C57B0">
            <w:pPr>
              <w:numPr>
                <w:ilvl w:val="0"/>
                <w:numId w:val="170"/>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 xml:space="preserve">儿童和青年 </w:t>
            </w:r>
          </w:p>
          <w:p w14:paraId="3BC851D4" w14:textId="77777777" w:rsidR="004C57B0" w:rsidRPr="000C0842" w:rsidRDefault="004C57B0">
            <w:pPr>
              <w:numPr>
                <w:ilvl w:val="0"/>
                <w:numId w:val="170"/>
              </w:numPr>
              <w:tabs>
                <w:tab w:val="clear" w:pos="567"/>
                <w:tab w:val="clear" w:pos="1134"/>
                <w:tab w:val="clear" w:pos="1701"/>
                <w:tab w:val="clear" w:pos="2268"/>
              </w:tabs>
              <w:jc w:val="left"/>
              <w:textAlignment w:val="baseline"/>
              <w:rPr>
                <w:rFonts w:ascii="SimSun" w:eastAsia="SimSun" w:hAnsi="SimSun" w:cs="SimSun"/>
                <w:sz w:val="20"/>
                <w:szCs w:val="20"/>
                <w:lang w:val="en-GB" w:eastAsia="zh-CN"/>
              </w:rPr>
            </w:pPr>
            <w:r w:rsidRPr="000C0842">
              <w:rPr>
                <w:rFonts w:ascii="SimSun" w:eastAsia="SimSun" w:hAnsi="SimSun" w:cs="SimSun" w:hint="eastAsia"/>
                <w:sz w:val="20"/>
                <w:szCs w:val="20"/>
                <w:lang w:val="en-GB" w:eastAsia="zh-CN"/>
              </w:rPr>
              <w:t xml:space="preserve">残疾人 </w:t>
            </w:r>
          </w:p>
          <w:p w14:paraId="0EF7F920" w14:textId="77777777" w:rsidR="004C57B0" w:rsidRPr="000C0842" w:rsidRDefault="004C57B0">
            <w:pPr>
              <w:numPr>
                <w:ilvl w:val="0"/>
                <w:numId w:val="170"/>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土著人民联络委员会</w:t>
            </w:r>
          </w:p>
        </w:tc>
      </w:tr>
      <w:tr w:rsidR="000C0842" w:rsidRPr="000C0842" w14:paraId="7B7597B2" w14:textId="77777777" w:rsidTr="001F32B3">
        <w:trPr>
          <w:cantSplit/>
          <w:trHeight w:val="1253"/>
        </w:trPr>
        <w:tc>
          <w:tcPr>
            <w:tcW w:w="6249" w:type="dxa"/>
          </w:tcPr>
          <w:p w14:paraId="25F82229" w14:textId="77777777" w:rsidR="004C57B0" w:rsidRPr="000C0842" w:rsidRDefault="004C57B0" w:rsidP="004C57B0">
            <w:pPr>
              <w:tabs>
                <w:tab w:val="clear" w:pos="567"/>
                <w:tab w:val="clear" w:pos="1134"/>
                <w:tab w:val="clear" w:pos="1701"/>
                <w:tab w:val="clear" w:pos="2268"/>
              </w:tabs>
              <w:rPr>
                <w:rFonts w:eastAsia="SimSun" w:cs="Times New Roman"/>
                <w:sz w:val="20"/>
                <w:szCs w:val="20"/>
                <w:lang w:val="en-GB" w:eastAsia="zh-CN"/>
              </w:rPr>
            </w:pPr>
            <w:r w:rsidRPr="000C0842">
              <w:rPr>
                <w:rFonts w:eastAsia="SimSun" w:cs="Times New Roman"/>
                <w:b/>
                <w:sz w:val="20"/>
                <w:szCs w:val="20"/>
                <w:shd w:val="clear" w:color="auto" w:fill="FFFFFF"/>
                <w:lang w:val="en-GB" w:eastAsia="zh-CN"/>
              </w:rPr>
              <w:t>9.</w:t>
            </w:r>
            <w:r w:rsidRPr="000C0842">
              <w:rPr>
                <w:rFonts w:eastAsia="SimSun" w:cs="Times New Roman" w:hint="eastAsia"/>
                <w:b/>
                <w:sz w:val="20"/>
                <w:szCs w:val="20"/>
                <w:shd w:val="clear" w:color="auto" w:fill="FFFFFF"/>
                <w:lang w:val="en-GB" w:eastAsia="zh-CN"/>
              </w:rPr>
              <w:t xml:space="preserve">4 </w:t>
            </w:r>
            <w:r w:rsidRPr="000C0842">
              <w:rPr>
                <w:rFonts w:ascii="SimSun" w:eastAsia="SimSun" w:hAnsi="SimSun" w:cs="SimSun"/>
                <w:sz w:val="20"/>
                <w:szCs w:val="20"/>
                <w:shd w:val="clear" w:color="auto" w:fill="FFFFFF"/>
                <w:lang w:val="en-GB" w:eastAsia="zh-CN"/>
              </w:rPr>
              <w:t>贵国是否有法律文书或其他政策框架</w:t>
            </w:r>
            <w:r w:rsidRPr="000C0842">
              <w:rPr>
                <w:rFonts w:ascii="SimSun" w:eastAsia="SimSun" w:hAnsi="SimSun" w:cs="SimSun" w:hint="eastAsia"/>
                <w:sz w:val="20"/>
                <w:szCs w:val="20"/>
                <w:shd w:val="clear" w:color="auto" w:fill="FFFFFF"/>
                <w:lang w:val="en-GB" w:eastAsia="zh-CN"/>
              </w:rPr>
              <w:t>，</w:t>
            </w:r>
            <w:r w:rsidRPr="000C0842">
              <w:rPr>
                <w:rFonts w:ascii="SimSun" w:eastAsia="SimSun" w:hAnsi="SimSun" w:cs="SimSun"/>
                <w:sz w:val="20"/>
                <w:szCs w:val="20"/>
                <w:shd w:val="clear" w:color="auto" w:fill="FFFFFF"/>
                <w:lang w:val="en-GB" w:eastAsia="zh-CN"/>
              </w:rPr>
              <w:t>保护和鼓励土著人民和</w:t>
            </w:r>
            <w:r w:rsidRPr="000C0842">
              <w:rPr>
                <w:rFonts w:ascii="SimSun" w:eastAsia="SimSun" w:hAnsi="SimSun" w:cs="SimSun" w:hint="eastAsia"/>
                <w:sz w:val="20"/>
                <w:szCs w:val="20"/>
                <w:shd w:val="clear" w:color="auto" w:fill="FFFFFF"/>
                <w:lang w:val="en-GB" w:eastAsia="zh-CN"/>
              </w:rPr>
              <w:t>地方</w:t>
            </w:r>
            <w:r w:rsidRPr="000C0842">
              <w:rPr>
                <w:rFonts w:ascii="SimSun" w:eastAsia="SimSun" w:hAnsi="SimSun" w:cs="SimSun"/>
                <w:sz w:val="20"/>
                <w:szCs w:val="20"/>
                <w:shd w:val="clear" w:color="auto" w:fill="FFFFFF"/>
                <w:lang w:val="en-GB" w:eastAsia="zh-CN"/>
              </w:rPr>
              <w:t>社区对生物多样性的习惯性可持续利用，例如</w:t>
            </w:r>
            <w:r w:rsidRPr="000C0842">
              <w:rPr>
                <w:rFonts w:ascii="SimSun" w:eastAsia="SimSun" w:hAnsi="SimSun" w:cs="SimSun" w:hint="eastAsia"/>
                <w:sz w:val="20"/>
                <w:szCs w:val="20"/>
                <w:shd w:val="clear" w:color="auto" w:fill="FFFFFF"/>
                <w:lang w:val="en-GB" w:eastAsia="zh-CN"/>
              </w:rPr>
              <w:t>《</w:t>
            </w:r>
            <w:r w:rsidRPr="000C0842">
              <w:rPr>
                <w:rFonts w:ascii="SimSun" w:eastAsia="SimSun" w:hAnsi="SimSun" w:cs="SimSun"/>
                <w:sz w:val="20"/>
                <w:szCs w:val="20"/>
                <w:shd w:val="clear" w:color="auto" w:fill="FFFFFF"/>
                <w:lang w:val="en-GB" w:eastAsia="zh-CN"/>
              </w:rPr>
              <w:t>生物多样性习惯性可持续利用行动计划</w:t>
            </w:r>
            <w:r w:rsidRPr="000C0842">
              <w:rPr>
                <w:rFonts w:ascii="SimSun" w:eastAsia="SimSun" w:hAnsi="SimSun" w:cs="SimSun" w:hint="eastAsia"/>
                <w:sz w:val="20"/>
                <w:szCs w:val="20"/>
                <w:shd w:val="clear" w:color="auto" w:fill="FFFFFF"/>
                <w:lang w:val="en-GB" w:eastAsia="zh-CN"/>
              </w:rPr>
              <w:t>》</w:t>
            </w:r>
            <w:r w:rsidRPr="000C0842">
              <w:rPr>
                <w:rFonts w:ascii="SimSun" w:eastAsia="SimSun" w:hAnsi="SimSun" w:cs="SimSun"/>
                <w:sz w:val="20"/>
                <w:szCs w:val="20"/>
                <w:shd w:val="clear" w:color="auto" w:fill="FFFFFF"/>
                <w:lang w:val="en-GB" w:eastAsia="zh-CN"/>
              </w:rPr>
              <w:t>或其他相关举措？</w:t>
            </w:r>
          </w:p>
        </w:tc>
        <w:tc>
          <w:tcPr>
            <w:tcW w:w="3685" w:type="dxa"/>
          </w:tcPr>
          <w:p w14:paraId="3B433C30" w14:textId="77777777" w:rsidR="004C57B0" w:rsidRPr="000C0842" w:rsidRDefault="004C57B0">
            <w:pPr>
              <w:numPr>
                <w:ilvl w:val="0"/>
                <w:numId w:val="165"/>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1D68C73F" w14:textId="77777777" w:rsidR="004C57B0" w:rsidRPr="000C0842" w:rsidRDefault="004C57B0">
            <w:pPr>
              <w:numPr>
                <w:ilvl w:val="0"/>
                <w:numId w:val="165"/>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7B06C24" w14:textId="77777777" w:rsidR="004C57B0" w:rsidRPr="000C0842" w:rsidRDefault="004C57B0">
            <w:pPr>
              <w:numPr>
                <w:ilvl w:val="0"/>
                <w:numId w:val="165"/>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26317A05" w14:textId="77777777" w:rsidR="004C57B0" w:rsidRPr="000C0842" w:rsidRDefault="004C57B0">
            <w:pPr>
              <w:numPr>
                <w:ilvl w:val="0"/>
                <w:numId w:val="165"/>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5322DC98" w14:textId="77777777" w:rsidR="004C57B0" w:rsidRPr="000C0842" w:rsidRDefault="004C57B0">
            <w:pPr>
              <w:numPr>
                <w:ilvl w:val="0"/>
                <w:numId w:val="16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r w:rsidRPr="000C0842">
              <w:rPr>
                <w:rFonts w:eastAsia="SimSun" w:cs="Times New Roman"/>
                <w:sz w:val="20"/>
                <w:szCs w:val="20"/>
                <w:lang w:val="en-GB" w:eastAsia="zh-CN"/>
              </w:rPr>
              <w:t xml:space="preserve"> </w:t>
            </w:r>
          </w:p>
        </w:tc>
      </w:tr>
    </w:tbl>
    <w:tbl>
      <w:tblPr>
        <w:tblStyle w:val="TableGrid413"/>
        <w:tblW w:w="9934" w:type="dxa"/>
        <w:tblLayout w:type="fixed"/>
        <w:tblCellMar>
          <w:top w:w="43" w:type="dxa"/>
          <w:bottom w:w="43" w:type="dxa"/>
        </w:tblCellMar>
        <w:tblLook w:val="04A0" w:firstRow="1" w:lastRow="0" w:firstColumn="1" w:lastColumn="0" w:noHBand="0" w:noVBand="1"/>
      </w:tblPr>
      <w:tblGrid>
        <w:gridCol w:w="7545"/>
        <w:gridCol w:w="2389"/>
      </w:tblGrid>
      <w:tr w:rsidR="000C0842" w:rsidRPr="000C0842" w14:paraId="42841D20" w14:textId="77777777" w:rsidTr="001F32B3">
        <w:trPr>
          <w:cantSplit/>
          <w:trHeight w:val="300"/>
        </w:trPr>
        <w:tc>
          <w:tcPr>
            <w:tcW w:w="9934" w:type="dxa"/>
            <w:gridSpan w:val="2"/>
            <w:shd w:val="clear" w:color="auto" w:fill="F2F2F2"/>
          </w:tcPr>
          <w:p w14:paraId="694977C1"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sz w:val="20"/>
                <w:szCs w:val="20"/>
                <w:lang w:val="en-GB" w:eastAsia="zh-CN"/>
              </w:rPr>
              <w:br w:type="page"/>
            </w:r>
            <w:r w:rsidRPr="000C0842">
              <w:rPr>
                <w:rFonts w:eastAsia="SimSun" w:cs="Times New Roman"/>
                <w:b/>
                <w:sz w:val="20"/>
                <w:szCs w:val="20"/>
                <w:lang w:val="en-GB" w:eastAsia="zh-CN"/>
              </w:rPr>
              <w:t>行动目标</w:t>
            </w:r>
            <w:r w:rsidRPr="000C0842">
              <w:rPr>
                <w:rFonts w:eastAsia="SimSun" w:cs="Times New Roman"/>
                <w:b/>
                <w:sz w:val="20"/>
                <w:szCs w:val="20"/>
                <w:lang w:val="en-GB" w:eastAsia="zh-CN"/>
              </w:rPr>
              <w:t>12</w:t>
            </w:r>
            <w:r w:rsidRPr="000C0842">
              <w:rPr>
                <w:rFonts w:eastAsia="SimSun" w:cs="Times New Roman"/>
                <w:b/>
                <w:sz w:val="20"/>
                <w:szCs w:val="20"/>
                <w:lang w:val="en-GB"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0C0842" w:rsidRPr="000C0842" w14:paraId="75A4F757" w14:textId="77777777" w:rsidTr="001F32B3">
        <w:trPr>
          <w:cantSplit/>
          <w:trHeight w:val="300"/>
        </w:trPr>
        <w:tc>
          <w:tcPr>
            <w:tcW w:w="9934" w:type="dxa"/>
            <w:gridSpan w:val="2"/>
            <w:shd w:val="clear" w:color="auto" w:fill="FFFFFF"/>
          </w:tcPr>
          <w:p w14:paraId="615E31AF"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t>指标：</w:t>
            </w:r>
            <w:r w:rsidRPr="000C0842">
              <w:rPr>
                <w:rFonts w:eastAsia="SimSun" w:cs="Times New Roman" w:hint="eastAsia"/>
                <w:b/>
                <w:sz w:val="20"/>
                <w:szCs w:val="20"/>
                <w:lang w:val="en-GB" w:eastAsia="zh-CN"/>
              </w:rPr>
              <w:t>已</w:t>
            </w:r>
            <w:r w:rsidRPr="000C0842">
              <w:rPr>
                <w:rFonts w:eastAsia="SimSun" w:cs="Times New Roman"/>
                <w:b/>
                <w:kern w:val="22"/>
                <w:sz w:val="20"/>
                <w:szCs w:val="20"/>
                <w:lang w:eastAsia="zh-CN"/>
              </w:rPr>
              <w:t>制定涉及绿色或蓝色城市空间</w:t>
            </w:r>
            <w:r w:rsidRPr="000C0842">
              <w:rPr>
                <w:rFonts w:eastAsia="SimSun" w:cs="Times New Roman" w:hint="eastAsia"/>
                <w:b/>
                <w:kern w:val="22"/>
                <w:sz w:val="20"/>
                <w:szCs w:val="20"/>
                <w:lang w:eastAsia="zh-CN"/>
              </w:rPr>
              <w:t>的</w:t>
            </w:r>
            <w:r w:rsidRPr="000C0842">
              <w:rPr>
                <w:rFonts w:eastAsia="SimSun" w:cs="Times New Roman"/>
                <w:b/>
                <w:kern w:val="22"/>
                <w:sz w:val="20"/>
                <w:szCs w:val="20"/>
                <w:lang w:eastAsia="zh-CN"/>
              </w:rPr>
              <w:t>涵盖生物多样性的城市规划的国家数</w:t>
            </w:r>
            <w:r w:rsidRPr="000C0842">
              <w:rPr>
                <w:rFonts w:eastAsia="SimSun" w:cs="Times New Roman" w:hint="eastAsia"/>
                <w:b/>
                <w:kern w:val="22"/>
                <w:sz w:val="20"/>
                <w:szCs w:val="20"/>
                <w:lang w:eastAsia="zh-CN"/>
              </w:rPr>
              <w:t>目。</w:t>
            </w:r>
          </w:p>
        </w:tc>
      </w:tr>
      <w:tr w:rsidR="000C0842" w:rsidRPr="000C0842" w14:paraId="4973FE92" w14:textId="77777777" w:rsidTr="001F32B3">
        <w:trPr>
          <w:cantSplit/>
          <w:trHeight w:val="300"/>
        </w:trPr>
        <w:tc>
          <w:tcPr>
            <w:tcW w:w="7545" w:type="dxa"/>
          </w:tcPr>
          <w:p w14:paraId="54B1AC9B"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12.1</w:t>
            </w:r>
            <w:r w:rsidRPr="000C0842">
              <w:rPr>
                <w:rFonts w:eastAsia="SimSun" w:cs="Times New Roman"/>
                <w:sz w:val="20"/>
                <w:szCs w:val="20"/>
                <w:lang w:val="en-GB" w:eastAsia="zh-CN"/>
              </w:rPr>
              <w:tab/>
            </w:r>
            <w:r w:rsidRPr="000C0842">
              <w:rPr>
                <w:rFonts w:eastAsia="SimSun" w:cs="Times New Roman"/>
                <w:sz w:val="20"/>
                <w:szCs w:val="20"/>
                <w:lang w:eastAsia="zh-CN"/>
              </w:rPr>
              <w:t>贵国</w:t>
            </w:r>
            <w:bookmarkStart w:id="125" w:name="_Hlk143768561"/>
            <w:r w:rsidRPr="000C0842">
              <w:rPr>
                <w:rFonts w:eastAsia="SimSun" w:cs="Times New Roman"/>
                <w:sz w:val="20"/>
                <w:szCs w:val="20"/>
                <w:lang w:eastAsia="zh-CN"/>
              </w:rPr>
              <w:t>是否</w:t>
            </w:r>
            <w:r w:rsidRPr="000C0842">
              <w:rPr>
                <w:rFonts w:eastAsia="SimSun" w:cs="Times New Roman" w:hint="eastAsia"/>
                <w:sz w:val="20"/>
                <w:szCs w:val="20"/>
                <w:lang w:eastAsia="zh-CN"/>
              </w:rPr>
              <w:t>有</w:t>
            </w:r>
            <w:r w:rsidRPr="000C0842">
              <w:rPr>
                <w:rFonts w:eastAsia="SimSun" w:cs="Times New Roman"/>
                <w:sz w:val="20"/>
                <w:szCs w:val="20"/>
                <w:lang w:eastAsia="zh-CN"/>
              </w:rPr>
              <w:t>城市地区</w:t>
            </w:r>
            <w:r w:rsidRPr="000C0842">
              <w:rPr>
                <w:rFonts w:eastAsia="SimSun" w:cs="Times New Roman" w:hint="eastAsia"/>
                <w:sz w:val="20"/>
                <w:szCs w:val="20"/>
                <w:lang w:eastAsia="zh-CN"/>
              </w:rPr>
              <w:t>实施的</w:t>
            </w:r>
            <w:r w:rsidRPr="000C0842">
              <w:rPr>
                <w:rFonts w:eastAsia="SimSun" w:cs="Times New Roman"/>
                <w:sz w:val="20"/>
                <w:szCs w:val="20"/>
                <w:lang w:eastAsia="zh-CN"/>
              </w:rPr>
              <w:t>涵盖生物多样性城市规划</w:t>
            </w:r>
            <w:bookmarkEnd w:id="125"/>
            <w:r w:rsidRPr="000C0842">
              <w:rPr>
                <w:rFonts w:eastAsia="SimSun" w:cs="Times New Roman"/>
                <w:sz w:val="20"/>
                <w:szCs w:val="20"/>
                <w:lang w:eastAsia="zh-CN"/>
              </w:rPr>
              <w:t>纳入了有利于生物多样性保护和可持续利用的绿色或蓝色空间管理？</w:t>
            </w:r>
          </w:p>
        </w:tc>
        <w:tc>
          <w:tcPr>
            <w:tcW w:w="2389" w:type="dxa"/>
          </w:tcPr>
          <w:p w14:paraId="3F3794A5" w14:textId="77777777" w:rsidR="004C57B0" w:rsidRPr="000C0842" w:rsidRDefault="004C57B0">
            <w:pPr>
              <w:numPr>
                <w:ilvl w:val="0"/>
                <w:numId w:val="12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524E4BB7" w14:textId="77777777" w:rsidR="004C57B0" w:rsidRPr="000C0842" w:rsidRDefault="004C57B0">
            <w:pPr>
              <w:numPr>
                <w:ilvl w:val="0"/>
                <w:numId w:val="12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0BB9A27" w14:textId="77777777" w:rsidR="004C57B0" w:rsidRPr="000C0842" w:rsidRDefault="004C57B0">
            <w:pPr>
              <w:numPr>
                <w:ilvl w:val="0"/>
                <w:numId w:val="12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58158882" w14:textId="77777777" w:rsidR="004C57B0" w:rsidRPr="000C0842" w:rsidRDefault="004C57B0">
            <w:pPr>
              <w:numPr>
                <w:ilvl w:val="0"/>
                <w:numId w:val="12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4D22C1DC" w14:textId="77777777" w:rsidR="004C57B0" w:rsidRPr="000C0842" w:rsidRDefault="004C57B0" w:rsidP="004C57B0">
            <w:pPr>
              <w:tabs>
                <w:tab w:val="clear" w:pos="567"/>
                <w:tab w:val="clear" w:pos="1134"/>
                <w:tab w:val="clear" w:pos="1701"/>
                <w:tab w:val="clear" w:pos="2268"/>
              </w:tabs>
              <w:ind w:left="360"/>
              <w:contextualSpacing/>
              <w:jc w:val="left"/>
              <w:rPr>
                <w:rFonts w:eastAsia="SimSun" w:cs="Times New Roman"/>
                <w:sz w:val="20"/>
                <w:szCs w:val="20"/>
                <w:lang w:val="en-GB" w:eastAsia="zh-CN"/>
              </w:rPr>
            </w:pPr>
          </w:p>
        </w:tc>
      </w:tr>
      <w:tr w:rsidR="000C0842" w:rsidRPr="000C0842" w14:paraId="1AF372E4" w14:textId="77777777" w:rsidTr="001F32B3">
        <w:trPr>
          <w:cantSplit/>
          <w:trHeight w:val="1010"/>
        </w:trPr>
        <w:tc>
          <w:tcPr>
            <w:tcW w:w="7545" w:type="dxa"/>
            <w:vAlign w:val="center"/>
          </w:tcPr>
          <w:p w14:paraId="01FA053A"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12.2</w:t>
            </w: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贵国</w:t>
            </w:r>
            <w:r w:rsidRPr="000C0842">
              <w:rPr>
                <w:rFonts w:eastAsia="SimSun" w:cs="Times New Roman" w:hint="eastAsia"/>
                <w:sz w:val="20"/>
                <w:szCs w:val="20"/>
                <w:lang w:val="en-GB" w:eastAsia="zh-CN"/>
              </w:rPr>
              <w:t>是否有</w:t>
            </w:r>
            <w:r w:rsidRPr="000C0842">
              <w:rPr>
                <w:rFonts w:eastAsia="SimSun" w:cs="Times New Roman"/>
                <w:sz w:val="20"/>
                <w:szCs w:val="20"/>
                <w:lang w:val="en-GB" w:eastAsia="zh-CN"/>
              </w:rPr>
              <w:t>城市地区</w:t>
            </w:r>
            <w:r w:rsidRPr="000C0842">
              <w:rPr>
                <w:rFonts w:eastAsia="SimSun" w:cs="Times New Roman" w:hint="eastAsia"/>
                <w:sz w:val="20"/>
                <w:szCs w:val="20"/>
                <w:lang w:val="en-GB" w:eastAsia="zh-CN"/>
              </w:rPr>
              <w:t>实施的</w:t>
            </w:r>
            <w:r w:rsidRPr="000C0842">
              <w:rPr>
                <w:rFonts w:eastAsia="SimSun" w:cs="Times New Roman"/>
                <w:sz w:val="20"/>
                <w:szCs w:val="20"/>
                <w:lang w:val="en-GB" w:eastAsia="zh-CN"/>
              </w:rPr>
              <w:t>涵盖生物多样性城市规划纳入了促进生态系统服务和自然对人类的贡献的绿色或蓝色空间管理？</w:t>
            </w:r>
          </w:p>
          <w:p w14:paraId="6FA741E8"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p>
          <w:p w14:paraId="7E985831" w14:textId="77777777" w:rsidR="004C57B0" w:rsidRPr="000C0842" w:rsidRDefault="004C57B0" w:rsidP="004C57B0">
            <w:pPr>
              <w:tabs>
                <w:tab w:val="clear" w:pos="567"/>
                <w:tab w:val="clear" w:pos="1134"/>
                <w:tab w:val="clear" w:pos="1701"/>
                <w:tab w:val="clear" w:pos="2268"/>
              </w:tabs>
              <w:spacing w:line="276" w:lineRule="auto"/>
              <w:jc w:val="left"/>
              <w:rPr>
                <w:rFonts w:eastAsia="SimSun" w:cs="Times New Roman"/>
                <w:sz w:val="20"/>
                <w:szCs w:val="20"/>
                <w:lang w:val="en-GB" w:eastAsia="zh-CN"/>
              </w:rPr>
            </w:pPr>
          </w:p>
        </w:tc>
        <w:tc>
          <w:tcPr>
            <w:tcW w:w="2389" w:type="dxa"/>
          </w:tcPr>
          <w:p w14:paraId="357C4AC2" w14:textId="77777777" w:rsidR="004C57B0" w:rsidRPr="000C0842" w:rsidRDefault="004C57B0">
            <w:pPr>
              <w:numPr>
                <w:ilvl w:val="0"/>
                <w:numId w:val="14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C4CD129" w14:textId="77777777" w:rsidR="004C57B0" w:rsidRPr="000C0842" w:rsidRDefault="004C57B0">
            <w:pPr>
              <w:numPr>
                <w:ilvl w:val="0"/>
                <w:numId w:val="14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2A01062F" w14:textId="77777777" w:rsidR="004C57B0" w:rsidRPr="000C0842" w:rsidRDefault="004C57B0">
            <w:pPr>
              <w:numPr>
                <w:ilvl w:val="0"/>
                <w:numId w:val="14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04570F52" w14:textId="77777777" w:rsidR="004C57B0" w:rsidRPr="000C0842" w:rsidRDefault="004C57B0">
            <w:pPr>
              <w:numPr>
                <w:ilvl w:val="0"/>
                <w:numId w:val="14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63366070" w14:textId="77777777" w:rsidTr="001F32B3">
        <w:trPr>
          <w:cantSplit/>
          <w:trHeight w:val="300"/>
        </w:trPr>
        <w:tc>
          <w:tcPr>
            <w:tcW w:w="9934" w:type="dxa"/>
            <w:gridSpan w:val="2"/>
            <w:shd w:val="clear" w:color="auto" w:fill="F2F2F2"/>
          </w:tcPr>
          <w:p w14:paraId="088B4DDA"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eastAsia="zh-CN"/>
              </w:rPr>
              <w:br w:type="page"/>
            </w:r>
            <w:r w:rsidRPr="000C0842">
              <w:rPr>
                <w:rFonts w:eastAsia="SimSun" w:cs="Times New Roman"/>
                <w:b/>
                <w:sz w:val="20"/>
                <w:szCs w:val="20"/>
                <w:lang w:eastAsia="zh-CN"/>
              </w:rPr>
              <w:t>行动目标</w:t>
            </w:r>
            <w:r w:rsidRPr="000C0842">
              <w:rPr>
                <w:rFonts w:eastAsia="SimSun" w:cs="Times New Roman"/>
                <w:b/>
                <w:sz w:val="20"/>
                <w:szCs w:val="20"/>
                <w:lang w:eastAsia="zh-CN"/>
              </w:rPr>
              <w:t xml:space="preserve"> 13</w:t>
            </w:r>
            <w:r w:rsidRPr="000C0842">
              <w:rPr>
                <w:rFonts w:eastAsia="SimSun" w:cs="Times New Roman"/>
                <w:b/>
                <w:sz w:val="20"/>
                <w:szCs w:val="20"/>
                <w:lang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0C0842">
              <w:rPr>
                <w:rFonts w:eastAsia="SimSun" w:cs="Times New Roman"/>
                <w:b/>
                <w:sz w:val="20"/>
                <w:szCs w:val="20"/>
                <w:lang w:eastAsia="zh-CN"/>
              </w:rPr>
              <w:t>2030</w:t>
            </w:r>
            <w:r w:rsidRPr="000C0842">
              <w:rPr>
                <w:rFonts w:eastAsia="SimSun" w:cs="Times New Roman"/>
                <w:b/>
                <w:sz w:val="20"/>
                <w:szCs w:val="20"/>
                <w:lang w:eastAsia="zh-CN"/>
              </w:rPr>
              <w:t>年大幅增加分享的惠益。</w:t>
            </w:r>
            <w:r w:rsidRPr="000C0842">
              <w:rPr>
                <w:rFonts w:eastAsia="SimSun" w:cs="Times New Roman"/>
                <w:b/>
                <w:sz w:val="20"/>
                <w:szCs w:val="20"/>
                <w:lang w:eastAsia="zh-CN"/>
              </w:rPr>
              <w:t xml:space="preserve"> </w:t>
            </w:r>
          </w:p>
        </w:tc>
      </w:tr>
      <w:tr w:rsidR="000C0842" w:rsidRPr="000C0842" w14:paraId="05BBC422" w14:textId="77777777" w:rsidTr="001F32B3">
        <w:trPr>
          <w:cantSplit/>
          <w:trHeight w:val="300"/>
        </w:trPr>
        <w:tc>
          <w:tcPr>
            <w:tcW w:w="9934" w:type="dxa"/>
            <w:gridSpan w:val="2"/>
            <w:shd w:val="clear" w:color="auto" w:fill="FFFFFF"/>
          </w:tcPr>
          <w:p w14:paraId="381E8407" w14:textId="77777777" w:rsidR="004C57B0" w:rsidRPr="000C0842" w:rsidRDefault="004C57B0" w:rsidP="004C57B0">
            <w:pPr>
              <w:tabs>
                <w:tab w:val="clear" w:pos="567"/>
                <w:tab w:val="clear" w:pos="1134"/>
                <w:tab w:val="clear" w:pos="1701"/>
                <w:tab w:val="clear" w:pos="2268"/>
              </w:tabs>
              <w:spacing w:before="100" w:beforeAutospacing="1" w:after="100" w:afterAutospacing="1"/>
              <w:jc w:val="left"/>
              <w:rPr>
                <w:rFonts w:eastAsia="SimSun" w:cs="Times New Roman"/>
                <w:b/>
                <w:sz w:val="20"/>
                <w:szCs w:val="20"/>
                <w:lang w:val="en-GB" w:eastAsia="zh-CN"/>
              </w:rPr>
            </w:pPr>
            <w:r w:rsidRPr="000C0842">
              <w:rPr>
                <w:rFonts w:eastAsia="SimSun" w:cs="Times New Roman"/>
                <w:b/>
                <w:sz w:val="20"/>
                <w:szCs w:val="20"/>
                <w:lang w:val="en-GB" w:eastAsia="zh-CN"/>
              </w:rPr>
              <w:t>指标</w:t>
            </w:r>
            <w:r w:rsidRPr="000C0842">
              <w:rPr>
                <w:rFonts w:eastAsia="SimSun" w:cs="Times New Roman"/>
                <w:b/>
                <w:sz w:val="20"/>
                <w:szCs w:val="20"/>
                <w:lang w:val="en-GB" w:eastAsia="zh-CN"/>
              </w:rPr>
              <w:t xml:space="preserve">: </w:t>
            </w:r>
            <w:r w:rsidRPr="000C0842">
              <w:rPr>
                <w:rFonts w:eastAsia="SimSun" w:cs="Times New Roman"/>
                <w:b/>
                <w:sz w:val="20"/>
                <w:szCs w:val="20"/>
                <w:lang w:val="en-GB" w:eastAsia="zh-CN"/>
              </w:rPr>
              <w:t>酌情在各级采取有效的法律、政策、行政和能力建设措施，确保公正公平地分享利用遗传资源、遗传资源数字序列信息以及与遗传资源相关的传统知识所带来的惠益的国家数</w:t>
            </w:r>
            <w:r w:rsidRPr="000C0842">
              <w:rPr>
                <w:rFonts w:eastAsia="SimSun" w:cs="Times New Roman" w:hint="eastAsia"/>
                <w:b/>
                <w:sz w:val="20"/>
                <w:szCs w:val="20"/>
                <w:lang w:val="en-GB" w:eastAsia="zh-CN"/>
              </w:rPr>
              <w:t>目</w:t>
            </w:r>
            <w:r w:rsidRPr="000C0842">
              <w:rPr>
                <w:rFonts w:eastAsia="SimSun" w:cs="Times New Roman"/>
                <w:b/>
                <w:sz w:val="20"/>
                <w:szCs w:val="20"/>
                <w:lang w:val="en-GB" w:eastAsia="zh-CN"/>
              </w:rPr>
              <w:t>。</w:t>
            </w:r>
            <w:r w:rsidRPr="000C0842">
              <w:rPr>
                <w:rFonts w:eastAsia="SimSun" w:cs="Times New Roman"/>
                <w:b/>
                <w:sz w:val="20"/>
                <w:szCs w:val="20"/>
                <w:lang w:val="en-GB" w:eastAsia="zh-CN"/>
              </w:rPr>
              <w:t xml:space="preserve"> </w:t>
            </w:r>
          </w:p>
        </w:tc>
      </w:tr>
      <w:tr w:rsidR="000C0842" w:rsidRPr="000C0842" w14:paraId="0A207188" w14:textId="77777777" w:rsidTr="001F32B3">
        <w:trPr>
          <w:cantSplit/>
          <w:trHeight w:val="1235"/>
        </w:trPr>
        <w:tc>
          <w:tcPr>
            <w:tcW w:w="7545" w:type="dxa"/>
          </w:tcPr>
          <w:p w14:paraId="0F5FF9B0" w14:textId="77777777" w:rsidR="004C57B0" w:rsidRPr="000C0842" w:rsidRDefault="004C57B0" w:rsidP="004C57B0">
            <w:pPr>
              <w:tabs>
                <w:tab w:val="clear" w:pos="567"/>
                <w:tab w:val="clear" w:pos="1134"/>
                <w:tab w:val="clear" w:pos="1701"/>
                <w:tab w:val="clear" w:pos="2268"/>
              </w:tabs>
              <w:spacing w:before="100" w:beforeAutospacing="1" w:after="100" w:afterAutospacing="1"/>
              <w:jc w:val="left"/>
              <w:rPr>
                <w:rFonts w:eastAsia="SimSun" w:cs="Times New Roman"/>
                <w:sz w:val="20"/>
                <w:szCs w:val="20"/>
                <w:lang w:eastAsia="zh-CN"/>
              </w:rPr>
            </w:pPr>
            <w:r w:rsidRPr="000C0842">
              <w:rPr>
                <w:rFonts w:eastAsia="SimSun" w:cs="Times New Roman"/>
                <w:b/>
                <w:sz w:val="20"/>
                <w:szCs w:val="20"/>
                <w:lang w:val="en-GB" w:eastAsia="zh-CN"/>
              </w:rPr>
              <w:t>13.1</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贵国是否有有效的法律、行政和政策措施</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确保公正公平地分享利用遗传资源所</w:t>
            </w:r>
            <w:r w:rsidRPr="000C0842">
              <w:rPr>
                <w:rFonts w:eastAsia="SimSun" w:cs="Times New Roman" w:hint="eastAsia"/>
                <w:sz w:val="20"/>
                <w:szCs w:val="20"/>
                <w:lang w:val="en-GB" w:eastAsia="zh-CN"/>
              </w:rPr>
              <w:t>带来</w:t>
            </w:r>
            <w:r w:rsidRPr="000C0842">
              <w:rPr>
                <w:rFonts w:eastAsia="SimSun" w:cs="Times New Roman"/>
                <w:sz w:val="20"/>
                <w:szCs w:val="20"/>
                <w:lang w:val="en-GB" w:eastAsia="zh-CN"/>
              </w:rPr>
              <w:t>的惠益？</w:t>
            </w:r>
          </w:p>
        </w:tc>
        <w:tc>
          <w:tcPr>
            <w:tcW w:w="2389" w:type="dxa"/>
          </w:tcPr>
          <w:p w14:paraId="6FFA844A" w14:textId="77777777" w:rsidR="004C57B0" w:rsidRPr="000C0842" w:rsidRDefault="004C57B0">
            <w:pPr>
              <w:numPr>
                <w:ilvl w:val="0"/>
                <w:numId w:val="153"/>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8B2034A" w14:textId="77777777" w:rsidR="004C57B0" w:rsidRPr="000C0842" w:rsidRDefault="004C57B0">
            <w:pPr>
              <w:numPr>
                <w:ilvl w:val="0"/>
                <w:numId w:val="153"/>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60352A30" w14:textId="77777777" w:rsidR="004C57B0" w:rsidRPr="000C0842" w:rsidRDefault="004C57B0">
            <w:pPr>
              <w:numPr>
                <w:ilvl w:val="0"/>
                <w:numId w:val="153"/>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72A05A76" w14:textId="77777777" w:rsidR="004C57B0" w:rsidRPr="000C0842" w:rsidRDefault="004C57B0">
            <w:pPr>
              <w:numPr>
                <w:ilvl w:val="0"/>
                <w:numId w:val="153"/>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0CBB57B5" w14:textId="77777777" w:rsidR="004C57B0" w:rsidRPr="000C0842" w:rsidRDefault="004C57B0">
            <w:pPr>
              <w:numPr>
                <w:ilvl w:val="0"/>
                <w:numId w:val="153"/>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27CF3CDE" w14:textId="77777777" w:rsidTr="001F32B3">
        <w:trPr>
          <w:cantSplit/>
          <w:trHeight w:val="1235"/>
        </w:trPr>
        <w:tc>
          <w:tcPr>
            <w:tcW w:w="7545" w:type="dxa"/>
          </w:tcPr>
          <w:p w14:paraId="19B0196B" w14:textId="77777777" w:rsidR="004C57B0" w:rsidRPr="000C0842" w:rsidRDefault="004C57B0" w:rsidP="004C57B0">
            <w:pPr>
              <w:tabs>
                <w:tab w:val="clear" w:pos="567"/>
                <w:tab w:val="clear" w:pos="1134"/>
                <w:tab w:val="clear" w:pos="1701"/>
                <w:tab w:val="clear" w:pos="2268"/>
              </w:tabs>
              <w:spacing w:beforeAutospacing="1" w:afterAutospacing="1"/>
              <w:jc w:val="left"/>
              <w:rPr>
                <w:rFonts w:eastAsia="SimSun" w:cs="Times New Roman"/>
                <w:sz w:val="20"/>
                <w:szCs w:val="20"/>
                <w:lang w:val="en-GB" w:eastAsia="zh-CN"/>
              </w:rPr>
            </w:pPr>
            <w:r w:rsidRPr="000C0842">
              <w:rPr>
                <w:rFonts w:eastAsia="SimSun" w:cs="Times New Roman"/>
                <w:b/>
                <w:sz w:val="20"/>
                <w:szCs w:val="20"/>
                <w:lang w:val="en-GB" w:eastAsia="zh-CN"/>
              </w:rPr>
              <w:t>13.</w:t>
            </w:r>
            <w:r w:rsidRPr="000C0842">
              <w:rPr>
                <w:rFonts w:eastAsia="SimSun" w:cs="Times New Roman" w:hint="eastAsia"/>
                <w:b/>
                <w:sz w:val="20"/>
                <w:szCs w:val="20"/>
                <w:lang w:val="en-GB" w:eastAsia="zh-CN"/>
              </w:rPr>
              <w:t>2</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贵国是否有能力建设措施</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确保公正和公平地分享利用遗传资源所产生的惠益</w:t>
            </w:r>
            <w:r w:rsidRPr="000C0842">
              <w:rPr>
                <w:rFonts w:eastAsia="SimSun" w:cs="Times New Roman" w:hint="eastAsia"/>
                <w:sz w:val="20"/>
                <w:szCs w:val="20"/>
                <w:lang w:val="en-GB" w:eastAsia="zh-CN"/>
              </w:rPr>
              <w:t>？</w:t>
            </w:r>
          </w:p>
        </w:tc>
        <w:tc>
          <w:tcPr>
            <w:tcW w:w="2389" w:type="dxa"/>
          </w:tcPr>
          <w:p w14:paraId="13CBDB64"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0EAC43AD"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01AD0E1B"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6702D582"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72C5C2CE"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757B564A" w14:textId="77777777" w:rsidTr="001F32B3">
        <w:trPr>
          <w:cantSplit/>
          <w:trHeight w:val="1235"/>
        </w:trPr>
        <w:tc>
          <w:tcPr>
            <w:tcW w:w="7545" w:type="dxa"/>
          </w:tcPr>
          <w:p w14:paraId="545ED701" w14:textId="77777777" w:rsidR="004C57B0" w:rsidRPr="000C0842" w:rsidRDefault="004C57B0" w:rsidP="004C57B0">
            <w:pPr>
              <w:tabs>
                <w:tab w:val="clear" w:pos="567"/>
                <w:tab w:val="clear" w:pos="1134"/>
                <w:tab w:val="clear" w:pos="1701"/>
                <w:tab w:val="clear" w:pos="2268"/>
              </w:tabs>
              <w:spacing w:before="100" w:beforeAutospacing="1" w:after="100" w:afterAutospacing="1"/>
              <w:jc w:val="left"/>
              <w:rPr>
                <w:rFonts w:eastAsia="SimSun" w:cs="Times New Roman"/>
                <w:sz w:val="20"/>
                <w:szCs w:val="20"/>
                <w:lang w:val="en-GB" w:eastAsia="zh-CN"/>
              </w:rPr>
            </w:pPr>
            <w:r w:rsidRPr="000C0842">
              <w:rPr>
                <w:rFonts w:eastAsia="SimSun" w:cs="Times New Roman"/>
                <w:b/>
                <w:sz w:val="20"/>
                <w:szCs w:val="20"/>
                <w:lang w:val="en-GB" w:eastAsia="zh-CN"/>
              </w:rPr>
              <w:t>13.</w:t>
            </w:r>
            <w:r w:rsidRPr="000C0842">
              <w:rPr>
                <w:rFonts w:eastAsia="SimSun" w:cs="Times New Roman" w:hint="eastAsia"/>
                <w:b/>
                <w:sz w:val="20"/>
                <w:szCs w:val="20"/>
                <w:lang w:val="en-GB" w:eastAsia="zh-CN"/>
              </w:rPr>
              <w:t>3</w:t>
            </w:r>
            <w:r w:rsidRPr="000C0842">
              <w:rPr>
                <w:rFonts w:eastAsia="SimSun" w:cs="Times New Roman" w:hint="eastAsia"/>
                <w:sz w:val="20"/>
                <w:szCs w:val="20"/>
                <w:lang w:val="en-GB" w:eastAsia="zh-CN"/>
              </w:rPr>
              <w:t xml:space="preserve">  </w:t>
            </w:r>
            <w:r w:rsidRPr="000C0842">
              <w:rPr>
                <w:rFonts w:eastAsia="SimSun" w:cs="Times New Roman" w:hint="eastAsia"/>
                <w:sz w:val="20"/>
                <w:szCs w:val="20"/>
                <w:lang w:val="en-GB" w:eastAsia="zh-CN"/>
              </w:rPr>
              <w:t>贵国是否根据关于多边机制运作的第</w:t>
            </w:r>
            <w:r w:rsidRPr="000C0842">
              <w:rPr>
                <w:rFonts w:eastAsia="SimSun" w:cs="Times New Roman" w:hint="eastAsia"/>
                <w:sz w:val="20"/>
                <w:szCs w:val="20"/>
                <w:lang w:val="en-GB" w:eastAsia="zh-CN"/>
              </w:rPr>
              <w:t>16/2</w:t>
            </w:r>
            <w:r w:rsidRPr="000C0842">
              <w:rPr>
                <w:rFonts w:eastAsia="SimSun" w:cs="Times New Roman" w:hint="eastAsia"/>
                <w:sz w:val="20"/>
                <w:szCs w:val="20"/>
                <w:lang w:val="en-GB" w:eastAsia="zh-CN"/>
              </w:rPr>
              <w:t>号决定采取了行政、政策或法律措施？</w:t>
            </w:r>
          </w:p>
          <w:p w14:paraId="556B30B5" w14:textId="77777777" w:rsidR="004C57B0" w:rsidRPr="000C0842" w:rsidRDefault="004C57B0" w:rsidP="004C57B0">
            <w:pPr>
              <w:tabs>
                <w:tab w:val="clear" w:pos="567"/>
                <w:tab w:val="clear" w:pos="1134"/>
                <w:tab w:val="clear" w:pos="1701"/>
                <w:tab w:val="clear" w:pos="2268"/>
              </w:tabs>
              <w:spacing w:before="100" w:beforeAutospacing="1" w:after="100" w:afterAutospacing="1"/>
              <w:jc w:val="left"/>
              <w:rPr>
                <w:rFonts w:eastAsia="SimSun" w:cs="Times New Roman"/>
                <w:sz w:val="20"/>
                <w:szCs w:val="20"/>
                <w:lang w:val="en-GB" w:eastAsia="zh-CN"/>
              </w:rPr>
            </w:pPr>
          </w:p>
        </w:tc>
        <w:tc>
          <w:tcPr>
            <w:tcW w:w="2389" w:type="dxa"/>
          </w:tcPr>
          <w:p w14:paraId="0C386673"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6ABF0352"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3CEF4DCF"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388E30E" w14:textId="77777777" w:rsidR="004C57B0" w:rsidRPr="000C0842" w:rsidRDefault="004C57B0">
            <w:pPr>
              <w:numPr>
                <w:ilvl w:val="0"/>
                <w:numId w:val="16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55DA57AB" w14:textId="77777777" w:rsidTr="001F32B3">
        <w:trPr>
          <w:cantSplit/>
          <w:trHeight w:val="973"/>
        </w:trPr>
        <w:tc>
          <w:tcPr>
            <w:tcW w:w="7545" w:type="dxa"/>
          </w:tcPr>
          <w:p w14:paraId="17AA5CA8"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13.</w:t>
            </w:r>
            <w:r w:rsidRPr="000C0842">
              <w:rPr>
                <w:rFonts w:eastAsia="SimSun" w:cs="Times New Roman" w:hint="eastAsia"/>
                <w:b/>
                <w:sz w:val="20"/>
                <w:szCs w:val="20"/>
                <w:lang w:val="en-GB" w:eastAsia="zh-CN"/>
              </w:rPr>
              <w:t>4</w:t>
            </w:r>
            <w:r w:rsidRPr="000C0842">
              <w:rPr>
                <w:rFonts w:eastAsia="SimSun" w:cs="Times New Roman"/>
                <w:sz w:val="20"/>
                <w:szCs w:val="20"/>
                <w:lang w:eastAsia="zh-CN"/>
              </w:rPr>
              <w:tab/>
            </w:r>
            <w:r w:rsidRPr="000C0842">
              <w:rPr>
                <w:rFonts w:eastAsia="SimSun" w:cs="Times New Roman"/>
                <w:sz w:val="20"/>
                <w:szCs w:val="20"/>
                <w:lang w:eastAsia="zh-CN"/>
              </w:rPr>
              <w:t>问题</w:t>
            </w:r>
            <w:r w:rsidRPr="000C0842">
              <w:rPr>
                <w:rFonts w:eastAsia="SimSun" w:cs="Times New Roman"/>
                <w:sz w:val="20"/>
                <w:szCs w:val="20"/>
                <w:lang w:eastAsia="zh-CN"/>
              </w:rPr>
              <w:t>13.1</w:t>
            </w:r>
            <w:r w:rsidRPr="000C0842">
              <w:rPr>
                <w:rFonts w:eastAsia="SimSun" w:cs="Times New Roman" w:hint="eastAsia"/>
                <w:sz w:val="20"/>
                <w:szCs w:val="20"/>
                <w:lang w:eastAsia="zh-CN"/>
              </w:rPr>
              <w:t>和</w:t>
            </w:r>
            <w:r w:rsidRPr="000C0842">
              <w:rPr>
                <w:rFonts w:eastAsia="SimSun" w:cs="Times New Roman"/>
                <w:sz w:val="20"/>
                <w:szCs w:val="20"/>
                <w:lang w:eastAsia="zh-CN"/>
              </w:rPr>
              <w:t>13.2</w:t>
            </w:r>
            <w:r w:rsidRPr="000C0842">
              <w:rPr>
                <w:rFonts w:eastAsia="SimSun" w:cs="Times New Roman"/>
                <w:sz w:val="20"/>
                <w:szCs w:val="20"/>
                <w:lang w:eastAsia="zh-CN"/>
              </w:rPr>
              <w:t>中提到的措施是否包括利用与遗传资源相关的传统知识？</w:t>
            </w:r>
          </w:p>
        </w:tc>
        <w:tc>
          <w:tcPr>
            <w:tcW w:w="2389" w:type="dxa"/>
          </w:tcPr>
          <w:p w14:paraId="7DB15199"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1694601B"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u w:val="single"/>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hint="eastAsia"/>
                <w:sz w:val="20"/>
                <w:szCs w:val="20"/>
                <w:lang w:val="en-GB" w:eastAsia="zh-CN"/>
              </w:rPr>
              <w:t>是</w:t>
            </w:r>
          </w:p>
          <w:p w14:paraId="5537B9A8"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ascii="SimSun" w:eastAsia="SimSun" w:hAnsi="SimSun" w:cs="SimSun" w:hint="eastAsia"/>
                <w:sz w:val="20"/>
                <w:szCs w:val="20"/>
                <w:lang w:val="en-GB" w:eastAsia="zh-CN"/>
              </w:rPr>
              <w:t>不适用</w:t>
            </w:r>
          </w:p>
        </w:tc>
      </w:tr>
      <w:tr w:rsidR="000C0842" w:rsidRPr="000C0842" w14:paraId="1D3D048F" w14:textId="77777777" w:rsidTr="001F32B3">
        <w:trPr>
          <w:cantSplit/>
          <w:trHeight w:val="1432"/>
        </w:trPr>
        <w:tc>
          <w:tcPr>
            <w:tcW w:w="7545" w:type="dxa"/>
          </w:tcPr>
          <w:p w14:paraId="34621BB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13.</w:t>
            </w:r>
            <w:r w:rsidRPr="000C0842">
              <w:rPr>
                <w:rFonts w:eastAsia="SimSun" w:cs="Times New Roman" w:hint="eastAsia"/>
                <w:b/>
                <w:sz w:val="20"/>
                <w:szCs w:val="20"/>
                <w:lang w:val="en-GB" w:eastAsia="zh-CN"/>
              </w:rPr>
              <w:t>5</w:t>
            </w:r>
            <w:r w:rsidRPr="000C0842">
              <w:rPr>
                <w:rFonts w:eastAsia="SimSun" w:cs="Times New Roman"/>
                <w:sz w:val="20"/>
                <w:szCs w:val="20"/>
                <w:lang w:val="en-GB" w:eastAsia="zh-CN"/>
              </w:rPr>
              <w:t>贵国是否监测利用遗传资源和</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或与</w:t>
            </w:r>
            <w:r w:rsidRPr="000C0842">
              <w:rPr>
                <w:rFonts w:eastAsia="SimSun" w:cs="Times New Roman" w:hint="eastAsia"/>
                <w:sz w:val="20"/>
                <w:szCs w:val="20"/>
                <w:lang w:val="en-GB" w:eastAsia="zh-CN"/>
              </w:rPr>
              <w:t>从贵国获得的</w:t>
            </w:r>
            <w:r w:rsidRPr="000C0842">
              <w:rPr>
                <w:rFonts w:eastAsia="SimSun" w:cs="Times New Roman"/>
                <w:sz w:val="20"/>
                <w:szCs w:val="20"/>
                <w:lang w:val="en-GB" w:eastAsia="zh-CN"/>
              </w:rPr>
              <w:t>遗传资源相关</w:t>
            </w:r>
            <w:r w:rsidRPr="000C0842">
              <w:rPr>
                <w:rFonts w:eastAsia="SimSun" w:cs="Times New Roman" w:hint="eastAsia"/>
                <w:sz w:val="20"/>
                <w:szCs w:val="20"/>
                <w:lang w:val="en-GB" w:eastAsia="zh-CN"/>
              </w:rPr>
              <w:t>的传统知识</w:t>
            </w:r>
            <w:r w:rsidRPr="000C0842">
              <w:rPr>
                <w:rFonts w:eastAsia="SimSun" w:cs="Times New Roman"/>
                <w:sz w:val="20"/>
                <w:szCs w:val="20"/>
                <w:lang w:val="en-GB" w:eastAsia="zh-CN"/>
              </w:rPr>
              <w:t>所产生</w:t>
            </w:r>
            <w:r w:rsidRPr="000C0842">
              <w:rPr>
                <w:rFonts w:eastAsia="SimSun" w:cs="Times New Roman" w:hint="eastAsia"/>
                <w:sz w:val="20"/>
                <w:szCs w:val="20"/>
                <w:lang w:val="en-GB" w:eastAsia="zh-CN"/>
              </w:rPr>
              <w:t>的货币</w:t>
            </w:r>
            <w:r w:rsidRPr="000C0842">
              <w:rPr>
                <w:rFonts w:eastAsia="SimSun" w:cs="Times New Roman"/>
                <w:sz w:val="20"/>
                <w:szCs w:val="20"/>
                <w:lang w:val="en-GB" w:eastAsia="zh-CN"/>
              </w:rPr>
              <w:t>惠益？</w:t>
            </w:r>
          </w:p>
          <w:p w14:paraId="32CDA767"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p>
        </w:tc>
        <w:tc>
          <w:tcPr>
            <w:tcW w:w="2389" w:type="dxa"/>
          </w:tcPr>
          <w:p w14:paraId="169BDA2F" w14:textId="77777777" w:rsidR="004C57B0" w:rsidRPr="000C0842" w:rsidRDefault="004C57B0">
            <w:pPr>
              <w:numPr>
                <w:ilvl w:val="0"/>
                <w:numId w:val="154"/>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40E06A7" w14:textId="77777777" w:rsidR="004C57B0" w:rsidRPr="000C0842" w:rsidRDefault="004C57B0">
            <w:pPr>
              <w:numPr>
                <w:ilvl w:val="0"/>
                <w:numId w:val="154"/>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9221CBE" w14:textId="77777777" w:rsidR="004C57B0" w:rsidRPr="000C0842" w:rsidRDefault="004C57B0">
            <w:pPr>
              <w:numPr>
                <w:ilvl w:val="0"/>
                <w:numId w:val="154"/>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0CB58A68" w14:textId="77777777" w:rsidR="004C57B0" w:rsidRPr="000C0842" w:rsidRDefault="004C57B0">
            <w:pPr>
              <w:numPr>
                <w:ilvl w:val="0"/>
                <w:numId w:val="154"/>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2B8B620B" w14:textId="77777777" w:rsidR="004C57B0" w:rsidRPr="000C0842" w:rsidRDefault="004C57B0">
            <w:pPr>
              <w:numPr>
                <w:ilvl w:val="0"/>
                <w:numId w:val="154"/>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068E3F8B" w14:textId="77777777" w:rsidTr="001F32B3">
        <w:trPr>
          <w:cantSplit/>
          <w:trHeight w:val="1141"/>
        </w:trPr>
        <w:tc>
          <w:tcPr>
            <w:tcW w:w="7545" w:type="dxa"/>
          </w:tcPr>
          <w:p w14:paraId="48E49D2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13.</w:t>
            </w:r>
            <w:r w:rsidRPr="000C0842">
              <w:rPr>
                <w:rFonts w:eastAsia="SimSun" w:cs="Times New Roman" w:hint="eastAsia"/>
                <w:b/>
                <w:sz w:val="20"/>
                <w:szCs w:val="20"/>
                <w:lang w:val="en-GB" w:eastAsia="zh-CN"/>
              </w:rPr>
              <w:t>6</w:t>
            </w: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贵国是否监测利用遗传资源和</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或与</w:t>
            </w:r>
            <w:r w:rsidRPr="000C0842">
              <w:rPr>
                <w:rFonts w:eastAsia="SimSun" w:cs="Times New Roman" w:hint="eastAsia"/>
                <w:sz w:val="20"/>
                <w:szCs w:val="20"/>
                <w:lang w:val="en-GB" w:eastAsia="zh-CN"/>
              </w:rPr>
              <w:t>从贵国获得的</w:t>
            </w:r>
            <w:r w:rsidRPr="000C0842">
              <w:rPr>
                <w:rFonts w:eastAsia="SimSun" w:cs="Times New Roman"/>
                <w:sz w:val="20"/>
                <w:szCs w:val="20"/>
                <w:lang w:val="en-GB" w:eastAsia="zh-CN"/>
              </w:rPr>
              <w:t>遗传资源相关的传统知识所产生</w:t>
            </w:r>
            <w:r w:rsidRPr="000C0842">
              <w:rPr>
                <w:rFonts w:eastAsia="SimSun" w:cs="Times New Roman" w:hint="eastAsia"/>
                <w:sz w:val="20"/>
                <w:szCs w:val="20"/>
                <w:lang w:val="en-GB" w:eastAsia="zh-CN"/>
              </w:rPr>
              <w:t>的非货币</w:t>
            </w:r>
            <w:r w:rsidRPr="000C0842">
              <w:rPr>
                <w:rFonts w:eastAsia="SimSun" w:cs="Times New Roman"/>
                <w:sz w:val="20"/>
                <w:szCs w:val="20"/>
                <w:lang w:val="en-GB" w:eastAsia="zh-CN"/>
              </w:rPr>
              <w:t>惠益？</w:t>
            </w:r>
          </w:p>
        </w:tc>
        <w:tc>
          <w:tcPr>
            <w:tcW w:w="2389" w:type="dxa"/>
          </w:tcPr>
          <w:p w14:paraId="056D5AF4" w14:textId="77777777" w:rsidR="004C57B0" w:rsidRPr="000C0842" w:rsidRDefault="004C57B0">
            <w:pPr>
              <w:numPr>
                <w:ilvl w:val="0"/>
                <w:numId w:val="171"/>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4F46F332" w14:textId="77777777" w:rsidR="004C57B0" w:rsidRPr="000C0842" w:rsidRDefault="004C57B0">
            <w:pPr>
              <w:numPr>
                <w:ilvl w:val="0"/>
                <w:numId w:val="171"/>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6FEC939D" w14:textId="77777777" w:rsidR="004C57B0" w:rsidRPr="000C0842" w:rsidRDefault="004C57B0">
            <w:pPr>
              <w:numPr>
                <w:ilvl w:val="0"/>
                <w:numId w:val="171"/>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61E7CEB1" w14:textId="77777777" w:rsidR="004C57B0" w:rsidRPr="000C0842" w:rsidRDefault="004C57B0">
            <w:pPr>
              <w:numPr>
                <w:ilvl w:val="0"/>
                <w:numId w:val="171"/>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14F1426E" w14:textId="77777777" w:rsidR="004C57B0" w:rsidRPr="000C0842" w:rsidRDefault="004C57B0">
            <w:pPr>
              <w:numPr>
                <w:ilvl w:val="0"/>
                <w:numId w:val="171"/>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697367E8" w14:textId="77777777" w:rsidTr="001F32B3">
        <w:trPr>
          <w:cantSplit/>
          <w:trHeight w:val="300"/>
        </w:trPr>
        <w:tc>
          <w:tcPr>
            <w:tcW w:w="7545" w:type="dxa"/>
          </w:tcPr>
          <w:p w14:paraId="1A287936" w14:textId="77777777" w:rsidR="004C57B0" w:rsidRPr="000C0842" w:rsidRDefault="004C57B0" w:rsidP="004C57B0">
            <w:pPr>
              <w:tabs>
                <w:tab w:val="clear" w:pos="567"/>
                <w:tab w:val="clear" w:pos="1134"/>
                <w:tab w:val="clear" w:pos="1701"/>
                <w:tab w:val="clear" w:pos="2268"/>
              </w:tabs>
              <w:spacing w:before="100" w:beforeAutospacing="1" w:after="100" w:afterAutospacing="1"/>
              <w:jc w:val="left"/>
              <w:rPr>
                <w:rFonts w:eastAsia="SimSun" w:cs="Times New Roman"/>
                <w:sz w:val="20"/>
                <w:szCs w:val="20"/>
                <w:lang w:val="en-GB" w:eastAsia="zh-CN"/>
              </w:rPr>
            </w:pPr>
            <w:r w:rsidRPr="000C0842">
              <w:rPr>
                <w:rFonts w:eastAsia="SimSun" w:cs="Times New Roman"/>
                <w:b/>
                <w:sz w:val="20"/>
                <w:szCs w:val="20"/>
                <w:lang w:val="en-GB" w:eastAsia="zh-CN"/>
              </w:rPr>
              <w:t>13.7</w:t>
            </w: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贵国是否采取措施确保公正公平</w:t>
            </w:r>
            <w:r w:rsidRPr="000C0842">
              <w:rPr>
                <w:rFonts w:eastAsia="SimSun" w:cs="Times New Roman" w:hint="eastAsia"/>
                <w:sz w:val="20"/>
                <w:szCs w:val="20"/>
                <w:lang w:val="en-GB" w:eastAsia="zh-CN"/>
              </w:rPr>
              <w:t>地分享</w:t>
            </w:r>
            <w:r w:rsidRPr="000C0842">
              <w:rPr>
                <w:rFonts w:eastAsia="SimSun" w:cs="Times New Roman"/>
                <w:sz w:val="20"/>
                <w:szCs w:val="20"/>
                <w:lang w:val="en-GB" w:eastAsia="zh-CN"/>
              </w:rPr>
              <w:t>利用</w:t>
            </w:r>
            <w:r w:rsidRPr="000C0842">
              <w:rPr>
                <w:rFonts w:eastAsia="SimSun" w:cs="Times New Roman" w:hint="eastAsia"/>
                <w:sz w:val="20"/>
                <w:szCs w:val="20"/>
                <w:lang w:val="en-GB" w:eastAsia="zh-CN"/>
              </w:rPr>
              <w:t>从另一国获取的</w:t>
            </w:r>
            <w:r w:rsidRPr="000C0842">
              <w:rPr>
                <w:rFonts w:eastAsia="SimSun" w:cs="Times New Roman"/>
                <w:sz w:val="20"/>
                <w:szCs w:val="20"/>
                <w:lang w:val="en-GB" w:eastAsia="zh-CN"/>
              </w:rPr>
              <w:t>遗传资源和</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或</w:t>
            </w:r>
            <w:r w:rsidRPr="000C0842">
              <w:rPr>
                <w:rFonts w:eastAsia="SimSun" w:cs="Times New Roman" w:hint="eastAsia"/>
                <w:sz w:val="20"/>
                <w:szCs w:val="20"/>
                <w:lang w:val="en-GB" w:eastAsia="zh-CN"/>
              </w:rPr>
              <w:t>与</w:t>
            </w:r>
            <w:r w:rsidRPr="000C0842">
              <w:rPr>
                <w:rFonts w:eastAsia="SimSun" w:cs="Times New Roman"/>
                <w:sz w:val="20"/>
                <w:szCs w:val="20"/>
                <w:lang w:val="en-GB" w:eastAsia="zh-CN"/>
              </w:rPr>
              <w:t>遗传资源相关</w:t>
            </w:r>
            <w:r w:rsidRPr="000C0842">
              <w:rPr>
                <w:rFonts w:eastAsia="SimSun" w:cs="Times New Roman" w:hint="eastAsia"/>
                <w:sz w:val="20"/>
                <w:szCs w:val="20"/>
                <w:lang w:val="en-GB" w:eastAsia="zh-CN"/>
              </w:rPr>
              <w:t>的</w:t>
            </w:r>
            <w:r w:rsidRPr="000C0842">
              <w:rPr>
                <w:rFonts w:eastAsia="SimSun" w:cs="Times New Roman"/>
                <w:sz w:val="20"/>
                <w:szCs w:val="20"/>
                <w:lang w:val="en-GB" w:eastAsia="zh-CN"/>
              </w:rPr>
              <w:t>传统知识所产生的惠益</w:t>
            </w:r>
            <w:r w:rsidRPr="000C0842">
              <w:rPr>
                <w:rFonts w:eastAsia="SimSun" w:cs="Times New Roman" w:hint="eastAsia"/>
                <w:sz w:val="20"/>
                <w:szCs w:val="20"/>
                <w:lang w:val="en-GB" w:eastAsia="zh-CN"/>
              </w:rPr>
              <w:t>？</w:t>
            </w:r>
          </w:p>
        </w:tc>
        <w:tc>
          <w:tcPr>
            <w:tcW w:w="2389" w:type="dxa"/>
          </w:tcPr>
          <w:p w14:paraId="1DBECB8F" w14:textId="77777777" w:rsidR="004C57B0" w:rsidRPr="000C0842" w:rsidRDefault="004C57B0">
            <w:pPr>
              <w:numPr>
                <w:ilvl w:val="0"/>
                <w:numId w:val="15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3B93F69B" w14:textId="77777777" w:rsidR="004C57B0" w:rsidRPr="000C0842" w:rsidRDefault="004C57B0">
            <w:pPr>
              <w:numPr>
                <w:ilvl w:val="0"/>
                <w:numId w:val="15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366860FD" w14:textId="77777777" w:rsidR="004C57B0" w:rsidRPr="000C0842" w:rsidRDefault="004C57B0">
            <w:pPr>
              <w:numPr>
                <w:ilvl w:val="0"/>
                <w:numId w:val="15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5D5DAB17" w14:textId="77777777" w:rsidR="004C57B0" w:rsidRPr="000C0842" w:rsidRDefault="004C57B0">
            <w:pPr>
              <w:numPr>
                <w:ilvl w:val="0"/>
                <w:numId w:val="15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6D7981BF" w14:textId="77777777" w:rsidR="004C57B0" w:rsidRPr="000C0842" w:rsidRDefault="004C57B0">
            <w:pPr>
              <w:numPr>
                <w:ilvl w:val="0"/>
                <w:numId w:val="155"/>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683E907A" w14:textId="77777777" w:rsidTr="001F32B3">
        <w:trPr>
          <w:cantSplit/>
          <w:trHeight w:val="300"/>
        </w:trPr>
        <w:tc>
          <w:tcPr>
            <w:tcW w:w="9934" w:type="dxa"/>
            <w:gridSpan w:val="2"/>
            <w:shd w:val="clear" w:color="auto" w:fill="F2F2F2"/>
          </w:tcPr>
          <w:p w14:paraId="0B66224D"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sz w:val="20"/>
                <w:szCs w:val="20"/>
                <w:lang w:val="en-GB" w:eastAsia="zh-CN"/>
              </w:rPr>
              <w:br w:type="page"/>
            </w:r>
            <w:r w:rsidRPr="000C0842">
              <w:rPr>
                <w:rFonts w:eastAsia="SimSun" w:cs="Times New Roman"/>
                <w:b/>
                <w:sz w:val="20"/>
                <w:szCs w:val="20"/>
                <w:lang w:eastAsia="zh-CN"/>
              </w:rPr>
              <w:t>行动目标</w:t>
            </w:r>
            <w:r w:rsidRPr="000C0842">
              <w:rPr>
                <w:rFonts w:eastAsia="SimSun" w:cs="Times New Roman"/>
                <w:b/>
                <w:sz w:val="20"/>
                <w:szCs w:val="20"/>
                <w:lang w:eastAsia="zh-CN"/>
              </w:rPr>
              <w:t xml:space="preserve"> 14</w:t>
            </w:r>
            <w:r w:rsidRPr="000C0842">
              <w:rPr>
                <w:rFonts w:eastAsia="SimSun" w:cs="Times New Roman"/>
                <w:b/>
                <w:sz w:val="20"/>
                <w:szCs w:val="20"/>
                <w:lang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0C0842">
              <w:rPr>
                <w:rFonts w:eastAsia="SimSun" w:cs="Times New Roman" w:hint="eastAsia"/>
                <w:b/>
                <w:sz w:val="20"/>
                <w:szCs w:val="20"/>
                <w:lang w:eastAsia="zh-CN"/>
              </w:rPr>
              <w:t>昆明</w:t>
            </w:r>
            <w:r w:rsidRPr="000C0842">
              <w:rPr>
                <w:rFonts w:eastAsia="SimSun" w:cs="Times New Roman" w:hint="eastAsia"/>
                <w:b/>
                <w:sz w:val="20"/>
                <w:szCs w:val="20"/>
                <w:lang w:eastAsia="zh-CN"/>
              </w:rPr>
              <w:t>-</w:t>
            </w:r>
            <w:r w:rsidRPr="000C0842">
              <w:rPr>
                <w:rFonts w:eastAsia="SimSun" w:cs="Times New Roman" w:hint="eastAsia"/>
                <w:b/>
                <w:sz w:val="20"/>
                <w:szCs w:val="20"/>
                <w:lang w:eastAsia="zh-CN"/>
              </w:rPr>
              <w:t>蒙特利尔全球生物多样性</w:t>
            </w:r>
            <w:r w:rsidRPr="000C0842">
              <w:rPr>
                <w:rFonts w:eastAsia="SimSun" w:cs="Times New Roman"/>
                <w:b/>
                <w:sz w:val="20"/>
                <w:szCs w:val="20"/>
                <w:lang w:eastAsia="zh-CN"/>
              </w:rPr>
              <w:t>框架》的长期目标和行动目标相一致</w:t>
            </w:r>
            <w:r w:rsidRPr="000C0842">
              <w:rPr>
                <w:rFonts w:eastAsia="SimSun" w:cs="Times New Roman" w:hint="eastAsia"/>
                <w:b/>
                <w:sz w:val="20"/>
                <w:szCs w:val="20"/>
                <w:lang w:eastAsia="zh-CN"/>
              </w:rPr>
              <w:t>。</w:t>
            </w:r>
          </w:p>
        </w:tc>
      </w:tr>
      <w:tr w:rsidR="000C0842" w:rsidRPr="000C0842" w14:paraId="1301E557" w14:textId="77777777" w:rsidTr="001F32B3">
        <w:trPr>
          <w:cantSplit/>
          <w:trHeight w:val="300"/>
        </w:trPr>
        <w:tc>
          <w:tcPr>
            <w:tcW w:w="9934" w:type="dxa"/>
            <w:gridSpan w:val="2"/>
            <w:shd w:val="clear" w:color="auto" w:fill="FFFFFF"/>
          </w:tcPr>
          <w:p w14:paraId="4339947A"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t>指标：</w:t>
            </w:r>
            <w:r w:rsidRPr="000C0842">
              <w:rPr>
                <w:rFonts w:eastAsia="SimSun" w:cs="Times New Roman"/>
                <w:b/>
                <w:iCs/>
                <w:sz w:val="20"/>
                <w:szCs w:val="20"/>
                <w:lang w:val="en-GB" w:eastAsia="zh-CN"/>
              </w:rPr>
              <w:t>将生物多样性及其多重价值纳入各级政府和所有部门的政策、法规、规划、发展进程、消除贫困战略并酌情纳入国民核算逐步使所有相关公共和私人活动、财政和资金流动与《昆蒙框架》的长期目标和行动目标相一致的国家数目。</w:t>
            </w:r>
          </w:p>
        </w:tc>
      </w:tr>
      <w:tr w:rsidR="000C0842" w:rsidRPr="000C0842" w14:paraId="75B2FA70" w14:textId="77777777" w:rsidTr="001F32B3">
        <w:trPr>
          <w:cantSplit/>
          <w:trHeight w:val="1025"/>
        </w:trPr>
        <w:tc>
          <w:tcPr>
            <w:tcW w:w="7545" w:type="dxa"/>
          </w:tcPr>
          <w:p w14:paraId="4AC7E5FD"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14.1</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贵国是否将生物多样性及其多重价值纳入各级政府的政策、法规、规划、发展进程和消除贫困战略</w:t>
            </w:r>
            <w:r w:rsidRPr="000C0842">
              <w:rPr>
                <w:rFonts w:eastAsia="SimSun" w:cs="Times New Roman" w:hint="eastAsia"/>
                <w:sz w:val="20"/>
                <w:szCs w:val="20"/>
                <w:lang w:val="en-GB" w:eastAsia="zh-CN"/>
              </w:rPr>
              <w:t>？</w:t>
            </w:r>
          </w:p>
        </w:tc>
        <w:tc>
          <w:tcPr>
            <w:tcW w:w="2389" w:type="dxa"/>
          </w:tcPr>
          <w:p w14:paraId="71CEFB44" w14:textId="77777777" w:rsidR="004C57B0" w:rsidRPr="000C0842" w:rsidRDefault="004C57B0">
            <w:pPr>
              <w:numPr>
                <w:ilvl w:val="0"/>
                <w:numId w:val="15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2C8A502C" w14:textId="77777777" w:rsidR="004C57B0" w:rsidRPr="000C0842" w:rsidRDefault="004C57B0">
            <w:pPr>
              <w:numPr>
                <w:ilvl w:val="0"/>
                <w:numId w:val="15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1327430" w14:textId="77777777" w:rsidR="004C57B0" w:rsidRPr="000C0842" w:rsidRDefault="004C57B0">
            <w:pPr>
              <w:numPr>
                <w:ilvl w:val="0"/>
                <w:numId w:val="15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17A024DD" w14:textId="77777777" w:rsidR="004C57B0" w:rsidRPr="000C0842" w:rsidRDefault="004C57B0">
            <w:pPr>
              <w:numPr>
                <w:ilvl w:val="0"/>
                <w:numId w:val="156"/>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787F5B9E" w14:textId="77777777" w:rsidTr="001F32B3">
        <w:trPr>
          <w:cantSplit/>
          <w:trHeight w:val="977"/>
        </w:trPr>
        <w:tc>
          <w:tcPr>
            <w:tcW w:w="7545" w:type="dxa"/>
          </w:tcPr>
          <w:p w14:paraId="6E3E97D1"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14.2</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贵国是否利用环境经济核算来量化生物多样性的货币和非货币价值？</w:t>
            </w:r>
          </w:p>
        </w:tc>
        <w:tc>
          <w:tcPr>
            <w:tcW w:w="2389" w:type="dxa"/>
          </w:tcPr>
          <w:p w14:paraId="725313F3" w14:textId="77777777" w:rsidR="004C57B0" w:rsidRPr="000C0842" w:rsidRDefault="004C57B0">
            <w:pPr>
              <w:numPr>
                <w:ilvl w:val="0"/>
                <w:numId w:val="157"/>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831482F" w14:textId="77777777" w:rsidR="004C57B0" w:rsidRPr="000C0842" w:rsidRDefault="004C57B0">
            <w:pPr>
              <w:numPr>
                <w:ilvl w:val="0"/>
                <w:numId w:val="157"/>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15AB3D78" w14:textId="77777777" w:rsidR="004C57B0" w:rsidRPr="000C0842" w:rsidRDefault="004C57B0">
            <w:pPr>
              <w:numPr>
                <w:ilvl w:val="0"/>
                <w:numId w:val="157"/>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6561EAF3" w14:textId="77777777" w:rsidR="004C57B0" w:rsidRPr="000C0842" w:rsidRDefault="004C57B0">
            <w:pPr>
              <w:numPr>
                <w:ilvl w:val="0"/>
                <w:numId w:val="157"/>
              </w:numPr>
              <w:tabs>
                <w:tab w:val="clear" w:pos="567"/>
                <w:tab w:val="clear" w:pos="1134"/>
                <w:tab w:val="clear" w:pos="1701"/>
                <w:tab w:val="clear" w:pos="2268"/>
              </w:tabs>
              <w:jc w:val="left"/>
              <w:rPr>
                <w:rFonts w:eastAsia="SimSun" w:cs="Times New Roman"/>
                <w:sz w:val="20"/>
                <w:szCs w:val="20"/>
                <w:u w:val="single"/>
                <w:lang w:val="en-GB" w:eastAsia="zh-CN"/>
              </w:rPr>
            </w:pPr>
            <w:r w:rsidRPr="000C0842">
              <w:rPr>
                <w:rFonts w:ascii="SimSun" w:eastAsia="SimSun" w:hAnsi="SimSun" w:cs="SimSun" w:hint="eastAsia"/>
                <w:sz w:val="20"/>
                <w:szCs w:val="20"/>
                <w:lang w:val="en-GB" w:eastAsia="zh-CN"/>
              </w:rPr>
              <w:t>完全是</w:t>
            </w:r>
          </w:p>
        </w:tc>
      </w:tr>
      <w:tr w:rsidR="000C0842" w:rsidRPr="000C0842" w14:paraId="798B7A8B" w14:textId="77777777" w:rsidTr="001F32B3">
        <w:trPr>
          <w:trHeight w:val="992"/>
        </w:trPr>
        <w:tc>
          <w:tcPr>
            <w:tcW w:w="7545" w:type="dxa"/>
          </w:tcPr>
          <w:p w14:paraId="48EAB97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u w:val="single"/>
                <w:shd w:val="clear" w:color="auto" w:fill="FFFFFF"/>
                <w:lang w:val="en-GB" w:eastAsia="zh-CN"/>
              </w:rPr>
            </w:pPr>
            <w:r w:rsidRPr="000C0842">
              <w:rPr>
                <w:rFonts w:eastAsia="SimSun" w:cs="Times New Roman"/>
                <w:b/>
                <w:sz w:val="20"/>
                <w:szCs w:val="20"/>
                <w:lang w:val="en-GB" w:eastAsia="zh-CN"/>
              </w:rPr>
              <w:t>14.3</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贵国是否将生物多样性及其多重价值纳入所有部门的政策、法规、计划和战略，以确保其主流化</w:t>
            </w:r>
            <w:r w:rsidRPr="000C0842">
              <w:rPr>
                <w:rFonts w:eastAsia="SimSun" w:cs="Times New Roman" w:hint="eastAsia"/>
                <w:sz w:val="20"/>
                <w:szCs w:val="20"/>
                <w:lang w:val="en-GB" w:eastAsia="zh-CN"/>
              </w:rPr>
              <w:t>？</w:t>
            </w:r>
          </w:p>
        </w:tc>
        <w:tc>
          <w:tcPr>
            <w:tcW w:w="2389" w:type="dxa"/>
          </w:tcPr>
          <w:p w14:paraId="6FD9771F"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04BBD441"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34CA7BFC"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57033921"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p w14:paraId="31B384E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p>
          <w:p w14:paraId="4EFD4FB4"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如果</w:t>
            </w:r>
            <w:r w:rsidRPr="000C0842">
              <w:rPr>
                <w:rFonts w:eastAsia="SimSun" w:cs="Times New Roman" w:hint="eastAsia"/>
                <w:sz w:val="20"/>
                <w:szCs w:val="20"/>
                <w:lang w:val="en-GB" w:eastAsia="zh-CN"/>
              </w:rPr>
              <w:t>完全</w:t>
            </w:r>
            <w:r w:rsidRPr="000C0842">
              <w:rPr>
                <w:rFonts w:eastAsia="SimSun" w:cs="Times New Roman"/>
                <w:sz w:val="20"/>
                <w:szCs w:val="20"/>
                <w:lang w:val="en-GB" w:eastAsia="zh-CN"/>
              </w:rPr>
              <w:t>是或部分是，请列出</w:t>
            </w:r>
            <w:r w:rsidRPr="000C0842">
              <w:rPr>
                <w:rFonts w:ascii="SimSun" w:eastAsia="SimSun" w:hAnsi="SimSun" w:cs="SimSun" w:hint="eastAsia"/>
                <w:sz w:val="20"/>
                <w:szCs w:val="20"/>
                <w:lang w:val="en-GB" w:eastAsia="zh-CN"/>
              </w:rPr>
              <w:t>国家一级确定的</w:t>
            </w:r>
            <w:r w:rsidRPr="000C0842">
              <w:rPr>
                <w:rFonts w:eastAsia="SimSun" w:cs="Times New Roman"/>
                <w:sz w:val="20"/>
                <w:szCs w:val="20"/>
                <w:lang w:val="en-GB" w:eastAsia="zh-CN"/>
              </w:rPr>
              <w:t>所有适用部门</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可选</w:t>
            </w:r>
            <w:r w:rsidRPr="000C0842">
              <w:rPr>
                <w:rFonts w:eastAsia="SimSun" w:cs="Times New Roman" w:hint="eastAsia"/>
                <w:sz w:val="20"/>
                <w:szCs w:val="20"/>
                <w:lang w:val="en-GB" w:eastAsia="zh-CN"/>
              </w:rPr>
              <w:t>）</w:t>
            </w:r>
            <w:r w:rsidRPr="000C0842">
              <w:rPr>
                <w:rFonts w:ascii="SimSun" w:eastAsia="SimSun" w:hAnsi="SimSun" w:cs="SimSun" w:hint="eastAsia"/>
                <w:sz w:val="20"/>
                <w:szCs w:val="20"/>
                <w:lang w:val="en-GB" w:eastAsia="zh-CN"/>
              </w:rPr>
              <w:t>：</w:t>
            </w:r>
          </w:p>
          <w:p w14:paraId="66E78D6C"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农业</w:t>
            </w:r>
            <w:r w:rsidRPr="000C0842">
              <w:rPr>
                <w:rFonts w:eastAsia="SimSun" w:cs="Times New Roman"/>
                <w:sz w:val="20"/>
                <w:szCs w:val="20"/>
                <w:lang w:val="en-GB" w:eastAsia="zh-CN"/>
              </w:rPr>
              <w:t xml:space="preserve"> </w:t>
            </w:r>
          </w:p>
          <w:p w14:paraId="5C294AB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渔业</w:t>
            </w:r>
            <w:r w:rsidRPr="000C0842">
              <w:rPr>
                <w:rFonts w:eastAsia="SimSun" w:cs="Times New Roman"/>
                <w:sz w:val="20"/>
                <w:szCs w:val="20"/>
                <w:lang w:val="en-GB" w:eastAsia="zh-CN"/>
              </w:rPr>
              <w:t xml:space="preserve"> </w:t>
            </w:r>
          </w:p>
          <w:p w14:paraId="372335B4"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林业</w:t>
            </w:r>
            <w:r w:rsidRPr="000C0842">
              <w:rPr>
                <w:rFonts w:eastAsia="SimSun" w:cs="Times New Roman"/>
                <w:sz w:val="20"/>
                <w:szCs w:val="20"/>
                <w:lang w:val="en-GB" w:eastAsia="zh-CN"/>
              </w:rPr>
              <w:t xml:space="preserve"> </w:t>
            </w:r>
          </w:p>
          <w:p w14:paraId="5CD00637"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水产养殖</w:t>
            </w:r>
          </w:p>
          <w:p w14:paraId="338B654A"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金融</w:t>
            </w:r>
            <w:r w:rsidRPr="000C0842">
              <w:rPr>
                <w:rFonts w:eastAsia="SimSun" w:cs="Times New Roman"/>
                <w:sz w:val="20"/>
                <w:szCs w:val="20"/>
                <w:lang w:val="en-GB" w:eastAsia="zh-CN"/>
              </w:rPr>
              <w:t xml:space="preserve"> </w:t>
            </w:r>
          </w:p>
          <w:p w14:paraId="05B9A4A6"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sz w:val="20"/>
                <w:szCs w:val="20"/>
                <w:lang w:val="en-GB" w:eastAsia="zh-CN"/>
              </w:rPr>
              <w:t>旅游业</w:t>
            </w:r>
            <w:r w:rsidRPr="000C0842">
              <w:rPr>
                <w:rFonts w:eastAsia="SimSun" w:cs="Times New Roman"/>
                <w:sz w:val="20"/>
                <w:szCs w:val="20"/>
                <w:lang w:val="en-GB" w:eastAsia="zh-CN"/>
              </w:rPr>
              <w:t xml:space="preserve"> </w:t>
            </w:r>
          </w:p>
          <w:p w14:paraId="3DEE22D6"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hint="eastAsia"/>
                <w:sz w:val="20"/>
                <w:szCs w:val="20"/>
                <w:lang w:val="en-GB" w:eastAsia="zh-CN"/>
              </w:rPr>
              <w:t>卫生</w:t>
            </w:r>
          </w:p>
          <w:p w14:paraId="73BB3DDC"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基础设施</w:t>
            </w:r>
          </w:p>
          <w:p w14:paraId="7141241E"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能源</w:t>
            </w:r>
            <w:r w:rsidRPr="000C0842">
              <w:rPr>
                <w:rFonts w:eastAsia="SimSun" w:cs="Times New Roman"/>
                <w:sz w:val="20"/>
                <w:szCs w:val="20"/>
                <w:lang w:val="en-GB" w:eastAsia="zh-CN"/>
              </w:rPr>
              <w:t xml:space="preserve"> </w:t>
            </w:r>
          </w:p>
          <w:p w14:paraId="6B139532"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hint="eastAsia"/>
                <w:sz w:val="20"/>
                <w:szCs w:val="20"/>
                <w:lang w:val="en-GB" w:eastAsia="zh-CN"/>
              </w:rPr>
              <w:t xml:space="preserve"> </w:t>
            </w:r>
            <w:r w:rsidRPr="000C0842">
              <w:rPr>
                <w:rFonts w:eastAsia="SimSun" w:cs="Times New Roman"/>
                <w:sz w:val="20"/>
                <w:szCs w:val="20"/>
                <w:lang w:val="en-GB" w:eastAsia="zh-CN"/>
              </w:rPr>
              <w:t>-</w:t>
            </w:r>
            <w:r w:rsidRPr="000C0842">
              <w:rPr>
                <w:rFonts w:eastAsia="SimSun" w:cs="Times New Roman"/>
                <w:sz w:val="20"/>
                <w:szCs w:val="20"/>
                <w:lang w:val="en-GB" w:eastAsia="zh-CN"/>
              </w:rPr>
              <w:t>采矿</w:t>
            </w:r>
            <w:r w:rsidRPr="000C0842">
              <w:rPr>
                <w:rFonts w:eastAsia="SimSun" w:cs="Times New Roman"/>
                <w:sz w:val="20"/>
                <w:szCs w:val="20"/>
                <w:lang w:val="en-GB" w:eastAsia="zh-CN"/>
              </w:rPr>
              <w:t xml:space="preserve"> </w:t>
            </w:r>
          </w:p>
          <w:p w14:paraId="694F9A92"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hint="eastAsia"/>
                <w:sz w:val="20"/>
                <w:szCs w:val="20"/>
                <w:lang w:val="en-GB" w:eastAsia="zh-CN"/>
              </w:rPr>
              <w:t xml:space="preserve"> </w:t>
            </w:r>
            <w:r w:rsidRPr="000C0842">
              <w:rPr>
                <w:rFonts w:eastAsia="SimSun" w:cs="Times New Roman"/>
                <w:sz w:val="20"/>
                <w:szCs w:val="20"/>
                <w:lang w:val="en-GB" w:eastAsia="zh-CN"/>
              </w:rPr>
              <w:t>-</w:t>
            </w:r>
            <w:r w:rsidRPr="000C0842">
              <w:rPr>
                <w:rFonts w:eastAsia="SimSun" w:cs="Times New Roman"/>
                <w:sz w:val="20"/>
                <w:szCs w:val="20"/>
                <w:lang w:val="en-GB" w:eastAsia="zh-CN"/>
              </w:rPr>
              <w:t>制造和加工</w:t>
            </w:r>
          </w:p>
          <w:p w14:paraId="2DE9B32C"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其他</w:t>
            </w:r>
          </w:p>
        </w:tc>
      </w:tr>
      <w:tr w:rsidR="000C0842" w:rsidRPr="000C0842" w14:paraId="7CB73B7E" w14:textId="77777777" w:rsidTr="001F32B3">
        <w:trPr>
          <w:cantSplit/>
          <w:trHeight w:val="1118"/>
        </w:trPr>
        <w:tc>
          <w:tcPr>
            <w:tcW w:w="7545" w:type="dxa"/>
          </w:tcPr>
          <w:p w14:paraId="76E92559"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14.4</w:t>
            </w:r>
            <w:r w:rsidRPr="000C0842">
              <w:rPr>
                <w:rFonts w:eastAsia="SimSun" w:cs="Times New Roman"/>
                <w:b/>
                <w:sz w:val="20"/>
                <w:szCs w:val="20"/>
                <w:lang w:val="en-GB" w:eastAsia="zh-CN"/>
              </w:rPr>
              <w:tab/>
            </w:r>
            <w:r w:rsidRPr="000C0842">
              <w:rPr>
                <w:rFonts w:eastAsia="SimSun" w:cs="Times New Roman"/>
                <w:sz w:val="20"/>
                <w:szCs w:val="20"/>
                <w:lang w:val="en-GB" w:eastAsia="zh-CN"/>
              </w:rPr>
              <w:t>贵国是否实施了政策、法规、战略或计划，逐步使</w:t>
            </w:r>
            <w:r w:rsidRPr="000C0842">
              <w:rPr>
                <w:rFonts w:eastAsia="SimSun" w:cs="Times New Roman" w:hint="eastAsia"/>
                <w:sz w:val="20"/>
                <w:szCs w:val="20"/>
                <w:lang w:val="en-GB" w:eastAsia="zh-CN"/>
              </w:rPr>
              <w:t>所有相关的公共和私人</w:t>
            </w:r>
            <w:r w:rsidRPr="000C0842">
              <w:rPr>
                <w:rFonts w:eastAsia="SimSun" w:cs="Times New Roman"/>
                <w:sz w:val="20"/>
                <w:szCs w:val="20"/>
                <w:lang w:val="en-GB" w:eastAsia="zh-CN"/>
              </w:rPr>
              <w:t>活动与《昆蒙框架》的所有长期目标和行动具体目标保持一致？</w:t>
            </w:r>
            <w:r w:rsidRPr="000C0842">
              <w:rPr>
                <w:rFonts w:eastAsia="SimSun" w:cs="Times New Roman" w:hint="eastAsia"/>
                <w:sz w:val="20"/>
                <w:szCs w:val="20"/>
                <w:lang w:val="en-GB" w:eastAsia="zh-CN"/>
              </w:rPr>
              <w:t xml:space="preserve"> </w:t>
            </w:r>
          </w:p>
          <w:p w14:paraId="694AB51A"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p>
          <w:p w14:paraId="7212845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p>
        </w:tc>
        <w:tc>
          <w:tcPr>
            <w:tcW w:w="2389" w:type="dxa"/>
          </w:tcPr>
          <w:p w14:paraId="4B6B7B35" w14:textId="77777777" w:rsidR="004C57B0" w:rsidRPr="000C0842" w:rsidRDefault="004C57B0">
            <w:pPr>
              <w:numPr>
                <w:ilvl w:val="0"/>
                <w:numId w:val="158"/>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5628148" w14:textId="77777777" w:rsidR="004C57B0" w:rsidRPr="000C0842" w:rsidRDefault="004C57B0">
            <w:pPr>
              <w:numPr>
                <w:ilvl w:val="0"/>
                <w:numId w:val="158"/>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5F06AFF9" w14:textId="77777777" w:rsidR="004C57B0" w:rsidRPr="000C0842" w:rsidRDefault="004C57B0">
            <w:pPr>
              <w:numPr>
                <w:ilvl w:val="0"/>
                <w:numId w:val="158"/>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1E99D760" w14:textId="77777777" w:rsidR="004C57B0" w:rsidRPr="000C0842" w:rsidRDefault="004C57B0">
            <w:pPr>
              <w:numPr>
                <w:ilvl w:val="0"/>
                <w:numId w:val="158"/>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0EE83147"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p>
        </w:tc>
      </w:tr>
      <w:tr w:rsidR="000C0842" w:rsidRPr="000C0842" w14:paraId="1BE9421F" w14:textId="77777777" w:rsidTr="001F32B3">
        <w:trPr>
          <w:cantSplit/>
          <w:trHeight w:val="1118"/>
        </w:trPr>
        <w:tc>
          <w:tcPr>
            <w:tcW w:w="7545" w:type="dxa"/>
          </w:tcPr>
          <w:p w14:paraId="1C7254A6"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14.</w:t>
            </w:r>
            <w:r w:rsidRPr="000C0842">
              <w:rPr>
                <w:rFonts w:eastAsia="SimSun" w:cs="Times New Roman" w:hint="eastAsia"/>
                <w:b/>
                <w:sz w:val="20"/>
                <w:szCs w:val="20"/>
                <w:lang w:val="en-GB" w:eastAsia="zh-CN"/>
              </w:rPr>
              <w:t>5</w:t>
            </w:r>
            <w:r w:rsidRPr="000C0842">
              <w:rPr>
                <w:rFonts w:eastAsia="SimSun" w:cs="Times New Roman" w:hint="eastAsia"/>
                <w:sz w:val="20"/>
                <w:szCs w:val="20"/>
                <w:lang w:val="en-GB" w:eastAsia="zh-CN"/>
              </w:rPr>
              <w:t xml:space="preserve"> </w:t>
            </w:r>
            <w:r w:rsidRPr="000C0842">
              <w:rPr>
                <w:rFonts w:eastAsia="SimSun" w:cs="Times New Roman"/>
                <w:sz w:val="20"/>
                <w:szCs w:val="20"/>
                <w:lang w:val="en-GB" w:eastAsia="zh-CN"/>
              </w:rPr>
              <w:t xml:space="preserve"> </w:t>
            </w:r>
            <w:r w:rsidRPr="000C0842">
              <w:rPr>
                <w:rFonts w:eastAsia="SimSun" w:cs="Times New Roman"/>
                <w:sz w:val="20"/>
                <w:szCs w:val="20"/>
                <w:lang w:val="en-GB" w:eastAsia="zh-CN"/>
              </w:rPr>
              <w:t>是否实施了政策、法规、战略</w:t>
            </w:r>
            <w:r w:rsidRPr="000C0842">
              <w:rPr>
                <w:rFonts w:eastAsia="SimSun" w:cs="Times New Roman" w:hint="eastAsia"/>
                <w:sz w:val="20"/>
                <w:szCs w:val="20"/>
                <w:lang w:val="en-GB" w:eastAsia="zh-CN"/>
              </w:rPr>
              <w:t>或计划</w:t>
            </w:r>
            <w:r w:rsidRPr="000C0842">
              <w:rPr>
                <w:rFonts w:eastAsia="SimSun" w:cs="Times New Roman"/>
                <w:sz w:val="20"/>
                <w:szCs w:val="20"/>
                <w:lang w:val="en-GB" w:eastAsia="zh-CN"/>
              </w:rPr>
              <w:t>，以逐步使财政和资金流与《昆蒙框架》的长期目标和行动目标保持一致？</w:t>
            </w:r>
          </w:p>
        </w:tc>
        <w:tc>
          <w:tcPr>
            <w:tcW w:w="2389" w:type="dxa"/>
          </w:tcPr>
          <w:p w14:paraId="69263227" w14:textId="77777777" w:rsidR="004C57B0" w:rsidRPr="000C0842" w:rsidRDefault="004C57B0">
            <w:pPr>
              <w:numPr>
                <w:ilvl w:val="0"/>
                <w:numId w:val="159"/>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95EF7CD" w14:textId="77777777" w:rsidR="004C57B0" w:rsidRPr="000C0842" w:rsidRDefault="004C57B0">
            <w:pPr>
              <w:numPr>
                <w:ilvl w:val="0"/>
                <w:numId w:val="159"/>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4B557A6B" w14:textId="77777777" w:rsidR="004C57B0" w:rsidRPr="000C0842" w:rsidRDefault="004C57B0">
            <w:pPr>
              <w:numPr>
                <w:ilvl w:val="0"/>
                <w:numId w:val="159"/>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294639F5" w14:textId="77777777" w:rsidR="004C57B0" w:rsidRPr="000C0842" w:rsidRDefault="004C57B0">
            <w:pPr>
              <w:numPr>
                <w:ilvl w:val="0"/>
                <w:numId w:val="159"/>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p w14:paraId="062A32BD"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p>
        </w:tc>
      </w:tr>
      <w:tr w:rsidR="000C0842" w:rsidRPr="000C0842" w14:paraId="265B309B" w14:textId="77777777" w:rsidTr="001F32B3">
        <w:trPr>
          <w:cantSplit/>
          <w:trHeight w:val="300"/>
        </w:trPr>
        <w:tc>
          <w:tcPr>
            <w:tcW w:w="9934" w:type="dxa"/>
            <w:gridSpan w:val="2"/>
            <w:shd w:val="clear" w:color="auto" w:fill="F2F2F2"/>
          </w:tcPr>
          <w:p w14:paraId="5E9A6159"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fr-CA" w:eastAsia="zh-CN"/>
              </w:rPr>
            </w:pPr>
            <w:r w:rsidRPr="000C0842">
              <w:rPr>
                <w:rFonts w:eastAsia="SimSun" w:cs="Times New Roman"/>
                <w:b/>
                <w:sz w:val="20"/>
                <w:szCs w:val="20"/>
                <w:lang w:val="en-GB" w:eastAsia="zh-CN"/>
              </w:rPr>
              <w:br w:type="page"/>
            </w:r>
            <w:r w:rsidRPr="000C0842">
              <w:rPr>
                <w:rFonts w:eastAsia="SimSun" w:cs="Times New Roman"/>
                <w:b/>
                <w:sz w:val="20"/>
                <w:szCs w:val="20"/>
                <w:lang w:val="en-GB" w:eastAsia="zh-CN"/>
              </w:rPr>
              <w:t>行动目标</w:t>
            </w:r>
            <w:r w:rsidRPr="000C0842">
              <w:rPr>
                <w:rFonts w:eastAsia="SimSun" w:cs="Times New Roman"/>
                <w:b/>
                <w:sz w:val="20"/>
                <w:szCs w:val="20"/>
                <w:lang w:val="en-GB" w:eastAsia="zh-CN"/>
              </w:rPr>
              <w:t xml:space="preserve"> 15</w:t>
            </w:r>
            <w:r w:rsidRPr="000C0842">
              <w:rPr>
                <w:rFonts w:eastAsia="SimSun" w:cs="Times New Roman"/>
                <w:b/>
                <w:sz w:val="20"/>
                <w:szCs w:val="20"/>
                <w:lang w:val="en-GB" w:eastAsia="zh-CN"/>
              </w:rPr>
              <w:t>：</w:t>
            </w:r>
            <w:r w:rsidRPr="000C0842">
              <w:rPr>
                <w:rFonts w:eastAsia="SimSun" w:cs="Times New Roman"/>
                <w:b/>
                <w:sz w:val="20"/>
                <w:szCs w:val="20"/>
                <w:lang w:val="fr-CA" w:eastAsia="zh-CN"/>
              </w:rPr>
              <w:t>采取法律、行政或政策措施，鼓励和推动企业，特别是所有大型跨国公司和金融机构：</w:t>
            </w:r>
          </w:p>
          <w:p w14:paraId="6395751D" w14:textId="77777777" w:rsidR="004C57B0" w:rsidRPr="000C0842" w:rsidRDefault="004C57B0">
            <w:pPr>
              <w:numPr>
                <w:ilvl w:val="0"/>
                <w:numId w:val="93"/>
              </w:numPr>
              <w:tabs>
                <w:tab w:val="clear" w:pos="567"/>
                <w:tab w:val="clear" w:pos="1134"/>
                <w:tab w:val="clear" w:pos="1701"/>
                <w:tab w:val="clear" w:pos="2268"/>
              </w:tabs>
              <w:ind w:left="0" w:firstLine="0"/>
              <w:jc w:val="left"/>
              <w:rPr>
                <w:rFonts w:eastAsia="SimSun" w:cs="Times New Roman"/>
                <w:b/>
                <w:sz w:val="20"/>
                <w:szCs w:val="20"/>
                <w:lang w:val="fr-CA" w:eastAsia="zh-CN"/>
              </w:rPr>
            </w:pPr>
            <w:r w:rsidRPr="000C0842">
              <w:rPr>
                <w:rFonts w:eastAsia="SimSun" w:cs="Times New Roman"/>
                <w:b/>
                <w:sz w:val="20"/>
                <w:szCs w:val="20"/>
                <w:lang w:val="fr-CA" w:eastAsia="zh-CN"/>
              </w:rPr>
              <w:t>定期监测、评估和透明地披露其生物多样性</w:t>
            </w:r>
            <w:r w:rsidRPr="000C0842">
              <w:rPr>
                <w:rFonts w:eastAsia="SimSun" w:cs="Times New Roman"/>
                <w:b/>
                <w:sz w:val="20"/>
                <w:szCs w:val="20"/>
                <w:lang w:eastAsia="zh-CN"/>
              </w:rPr>
              <w:t>风险、</w:t>
            </w:r>
            <w:r w:rsidRPr="000C0842">
              <w:rPr>
                <w:rFonts w:eastAsia="SimSun" w:cs="Times New Roman"/>
                <w:b/>
                <w:sz w:val="20"/>
                <w:szCs w:val="20"/>
                <w:lang w:val="fr-CA" w:eastAsia="zh-CN"/>
              </w:rPr>
              <w:t>依赖程度和影响，包括对所有大型跨国公司和金融机构及其运营、供应链和价值链和投资组合的要求；</w:t>
            </w:r>
          </w:p>
          <w:p w14:paraId="77BAB4F2" w14:textId="77777777" w:rsidR="004C57B0" w:rsidRPr="000C0842" w:rsidRDefault="004C57B0">
            <w:pPr>
              <w:numPr>
                <w:ilvl w:val="0"/>
                <w:numId w:val="93"/>
              </w:numPr>
              <w:tabs>
                <w:tab w:val="clear" w:pos="567"/>
                <w:tab w:val="clear" w:pos="1134"/>
                <w:tab w:val="clear" w:pos="1701"/>
                <w:tab w:val="clear" w:pos="2268"/>
              </w:tabs>
              <w:ind w:left="0" w:firstLine="0"/>
              <w:jc w:val="left"/>
              <w:rPr>
                <w:rFonts w:eastAsia="SimSun" w:cs="Times New Roman"/>
                <w:b/>
                <w:sz w:val="20"/>
                <w:szCs w:val="20"/>
                <w:lang w:val="fr-CA" w:eastAsia="zh-CN"/>
              </w:rPr>
            </w:pPr>
            <w:r w:rsidRPr="000C0842">
              <w:rPr>
                <w:rFonts w:eastAsia="SimSun" w:cs="Times New Roman"/>
                <w:b/>
                <w:sz w:val="20"/>
                <w:szCs w:val="20"/>
                <w:lang w:val="fr-CA" w:eastAsia="zh-CN"/>
              </w:rPr>
              <w:t>向消费者提供所需信息，促进可持续的消费模式；</w:t>
            </w:r>
          </w:p>
          <w:p w14:paraId="50BC98D5" w14:textId="77777777" w:rsidR="004C57B0" w:rsidRPr="000C0842" w:rsidRDefault="004C57B0">
            <w:pPr>
              <w:numPr>
                <w:ilvl w:val="0"/>
                <w:numId w:val="93"/>
              </w:numPr>
              <w:tabs>
                <w:tab w:val="clear" w:pos="567"/>
                <w:tab w:val="clear" w:pos="1134"/>
                <w:tab w:val="clear" w:pos="1701"/>
                <w:tab w:val="clear" w:pos="2268"/>
              </w:tabs>
              <w:ind w:left="0" w:firstLine="0"/>
              <w:jc w:val="left"/>
              <w:rPr>
                <w:rFonts w:eastAsia="SimSun" w:cs="Times New Roman"/>
                <w:b/>
                <w:sz w:val="20"/>
                <w:szCs w:val="20"/>
                <w:lang w:val="fr-CA" w:eastAsia="zh-CN"/>
              </w:rPr>
            </w:pPr>
            <w:r w:rsidRPr="000C0842">
              <w:rPr>
                <w:rFonts w:eastAsia="SimSun" w:cs="Times New Roman"/>
                <w:b/>
                <w:sz w:val="20"/>
                <w:szCs w:val="20"/>
                <w:lang w:val="fr-CA" w:eastAsia="zh-CN"/>
              </w:rPr>
              <w:t>酌情报告遵守获取和惠益分享法规和措施的情况；</w:t>
            </w:r>
          </w:p>
          <w:p w14:paraId="6E3FF306"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fr-CA" w:eastAsia="zh-CN"/>
              </w:rPr>
            </w:pPr>
            <w:r w:rsidRPr="000C0842">
              <w:rPr>
                <w:rFonts w:eastAsia="SimSun" w:cs="Times New Roman"/>
                <w:b/>
                <w:sz w:val="20"/>
                <w:szCs w:val="20"/>
                <w:lang w:val="fr-CA" w:eastAsia="zh-CN"/>
              </w:rPr>
              <w:t>以逐步减少对生物多样性的不利影响，增加有利影响，减少企业和金融机构的生物多样性风险，并促进有利于可持续生产模式的措施。</w:t>
            </w:r>
          </w:p>
        </w:tc>
      </w:tr>
      <w:tr w:rsidR="000C0842" w:rsidRPr="000C0842" w14:paraId="0FE411DD" w14:textId="77777777" w:rsidTr="001F32B3">
        <w:trPr>
          <w:cantSplit/>
          <w:trHeight w:val="300"/>
        </w:trPr>
        <w:tc>
          <w:tcPr>
            <w:tcW w:w="9934" w:type="dxa"/>
            <w:gridSpan w:val="2"/>
            <w:shd w:val="clear" w:color="auto" w:fill="FFFFFF"/>
          </w:tcPr>
          <w:p w14:paraId="136474DE" w14:textId="77777777" w:rsidR="004C57B0" w:rsidRPr="000C0842" w:rsidRDefault="004C57B0" w:rsidP="004C57B0">
            <w:pPr>
              <w:tabs>
                <w:tab w:val="clear" w:pos="567"/>
                <w:tab w:val="clear" w:pos="1134"/>
                <w:tab w:val="clear" w:pos="1701"/>
                <w:tab w:val="clear" w:pos="2268"/>
              </w:tabs>
              <w:rPr>
                <w:rFonts w:eastAsia="SimSun" w:cs="Times New Roman"/>
                <w:b/>
                <w:sz w:val="20"/>
                <w:szCs w:val="20"/>
                <w:lang w:val="fr-CA" w:eastAsia="zh-CN"/>
              </w:rPr>
            </w:pPr>
            <w:r w:rsidRPr="000C0842">
              <w:rPr>
                <w:rFonts w:eastAsia="SimSun" w:cs="Times New Roman"/>
                <w:b/>
                <w:sz w:val="20"/>
                <w:szCs w:val="20"/>
                <w:lang w:val="en-GB" w:eastAsia="zh-CN"/>
              </w:rPr>
              <w:t>指标</w:t>
            </w:r>
            <w:r w:rsidRPr="000C0842">
              <w:rPr>
                <w:rFonts w:eastAsia="SimSun" w:cs="Times New Roman" w:hint="eastAsia"/>
                <w:b/>
                <w:sz w:val="20"/>
                <w:szCs w:val="20"/>
                <w:lang w:val="fr-CA" w:eastAsia="zh-CN"/>
              </w:rPr>
              <w:t>：</w:t>
            </w:r>
            <w:r w:rsidRPr="000C0842">
              <w:rPr>
                <w:rFonts w:ascii="SimSun" w:eastAsia="SimSun" w:hAnsi="SimSun" w:cs="SimSun" w:hint="eastAsia"/>
                <w:b/>
                <w:iCs/>
                <w:sz w:val="20"/>
                <w:szCs w:val="20"/>
                <w:lang w:val="en-GB" w:eastAsia="zh-CN"/>
              </w:rPr>
              <w:t>采取法律、行政或政策措施鼓励和扶持商业和金融机构特别是大型跨国公司和金融机构逐步减少对生物多样性的不利影响、增加有利影响、减少生物多样性相关风险，并促进采取行动确保可持续生产模式的国家数目。</w:t>
            </w:r>
          </w:p>
        </w:tc>
      </w:tr>
      <w:tr w:rsidR="000C0842" w:rsidRPr="000C0842" w14:paraId="4E78F236" w14:textId="77777777" w:rsidTr="001F32B3">
        <w:trPr>
          <w:cantSplit/>
          <w:trHeight w:val="992"/>
        </w:trPr>
        <w:tc>
          <w:tcPr>
            <w:tcW w:w="7545" w:type="dxa"/>
          </w:tcPr>
          <w:p w14:paraId="3B8DFB0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fr-CA" w:eastAsia="zh-CN"/>
              </w:rPr>
            </w:pPr>
            <w:r w:rsidRPr="000C0842">
              <w:rPr>
                <w:rFonts w:eastAsia="SimSun" w:cs="Times New Roman"/>
                <w:b/>
                <w:sz w:val="20"/>
                <w:szCs w:val="20"/>
                <w:lang w:val="fr-CA" w:eastAsia="zh-CN"/>
              </w:rPr>
              <w:t>15.1</w:t>
            </w:r>
            <w:r w:rsidRPr="000C0842">
              <w:rPr>
                <w:rFonts w:eastAsia="SimSun" w:cs="Times New Roman"/>
                <w:sz w:val="20"/>
                <w:szCs w:val="20"/>
                <w:lang w:val="fr-CA" w:eastAsia="zh-CN"/>
              </w:rPr>
              <w:tab/>
            </w:r>
            <w:r w:rsidRPr="000C0842">
              <w:rPr>
                <w:rFonts w:eastAsia="SimSun" w:cs="Times New Roman"/>
                <w:sz w:val="20"/>
                <w:szCs w:val="20"/>
                <w:lang w:eastAsia="zh-CN"/>
              </w:rPr>
              <w:t>贵国是否建立了</w:t>
            </w:r>
            <w:r w:rsidRPr="000C0842">
              <w:rPr>
                <w:rFonts w:eastAsia="SimSun" w:cs="Times New Roman" w:hint="eastAsia"/>
                <w:sz w:val="20"/>
                <w:szCs w:val="20"/>
                <w:lang w:eastAsia="zh-CN"/>
              </w:rPr>
              <w:t>法律</w:t>
            </w:r>
            <w:r w:rsidRPr="000C0842">
              <w:rPr>
                <w:rFonts w:eastAsia="SimSun" w:cs="Times New Roman"/>
                <w:sz w:val="20"/>
                <w:szCs w:val="20"/>
                <w:lang w:eastAsia="zh-CN"/>
              </w:rPr>
              <w:t>、行政和政策</w:t>
            </w:r>
            <w:r w:rsidRPr="000C0842">
              <w:rPr>
                <w:rFonts w:eastAsia="SimSun" w:cs="Times New Roman" w:hint="eastAsia"/>
                <w:sz w:val="20"/>
                <w:szCs w:val="20"/>
                <w:lang w:eastAsia="zh-CN"/>
              </w:rPr>
              <w:t>措施</w:t>
            </w:r>
            <w:r w:rsidRPr="000C0842">
              <w:rPr>
                <w:rFonts w:eastAsia="SimSun" w:cs="Times New Roman"/>
                <w:sz w:val="20"/>
                <w:szCs w:val="20"/>
                <w:lang w:val="fr-CA" w:eastAsia="zh-CN"/>
              </w:rPr>
              <w:t>，</w:t>
            </w:r>
            <w:r w:rsidRPr="000C0842">
              <w:rPr>
                <w:rFonts w:eastAsia="SimSun" w:cs="Times New Roman"/>
                <w:sz w:val="20"/>
                <w:szCs w:val="20"/>
                <w:lang w:eastAsia="zh-CN"/>
              </w:rPr>
              <w:t>确保大型跨国公司和金融机构能够监测、评估和透明地披露其运营、供应链、价值链和投资组合中对生物多样性的风险、依赖和影响</w:t>
            </w:r>
            <w:r w:rsidRPr="000C0842">
              <w:rPr>
                <w:rFonts w:eastAsia="SimSun" w:cs="Times New Roman"/>
                <w:sz w:val="20"/>
                <w:szCs w:val="20"/>
                <w:lang w:val="fr-CA" w:eastAsia="zh-CN"/>
              </w:rPr>
              <w:t>？</w:t>
            </w:r>
          </w:p>
        </w:tc>
        <w:tc>
          <w:tcPr>
            <w:tcW w:w="2389" w:type="dxa"/>
          </w:tcPr>
          <w:p w14:paraId="50E396FA"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4623DC72"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68CCE345"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1737B073"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ascii="SimSun" w:eastAsia="SimSun" w:hAnsi="SimSun" w:cs="SimSun" w:hint="eastAsia"/>
                <w:sz w:val="20"/>
                <w:szCs w:val="20"/>
                <w:lang w:val="en-GB" w:eastAsia="zh-CN"/>
              </w:rPr>
              <w:t>完全是</w:t>
            </w:r>
          </w:p>
        </w:tc>
      </w:tr>
      <w:tr w:rsidR="000C0842" w:rsidRPr="000C0842" w14:paraId="7905C8D1" w14:textId="77777777" w:rsidTr="001F32B3">
        <w:trPr>
          <w:cantSplit/>
          <w:trHeight w:val="974"/>
        </w:trPr>
        <w:tc>
          <w:tcPr>
            <w:tcW w:w="7545" w:type="dxa"/>
          </w:tcPr>
          <w:p w14:paraId="10F0D192"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15.2</w:t>
            </w:r>
            <w:r w:rsidRPr="000C0842">
              <w:rPr>
                <w:rFonts w:eastAsia="SimSun" w:cs="Times New Roman"/>
                <w:b/>
                <w:sz w:val="20"/>
                <w:szCs w:val="20"/>
                <w:lang w:eastAsia="zh-CN"/>
              </w:rPr>
              <w:tab/>
            </w:r>
            <w:r w:rsidRPr="000C0842">
              <w:rPr>
                <w:rFonts w:eastAsia="SimSun" w:cs="Times New Roman"/>
                <w:sz w:val="20"/>
                <w:szCs w:val="20"/>
                <w:lang w:eastAsia="zh-CN"/>
              </w:rPr>
              <w:t>贵国是否采取措施，确保大型跨国公司和金融机构向消费者提供相关信息，促进可持续的消费模式？</w:t>
            </w:r>
          </w:p>
        </w:tc>
        <w:tc>
          <w:tcPr>
            <w:tcW w:w="2389" w:type="dxa"/>
          </w:tcPr>
          <w:p w14:paraId="01A47A4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1DF2A32C"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006A922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13748B04"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w:t>
            </w:r>
            <w:r w:rsidRPr="000C0842">
              <w:rPr>
                <w:rFonts w:eastAsia="SimSun" w:cs="Times New Roman" w:hint="eastAsia"/>
                <w:sz w:val="20"/>
                <w:szCs w:val="20"/>
                <w:lang w:val="en-GB" w:eastAsia="zh-CN"/>
              </w:rPr>
              <w:t>d</w:t>
            </w:r>
            <w:r w:rsidRPr="000C0842">
              <w:rPr>
                <w:rFonts w:eastAsia="SimSun" w:cs="Times New Roman"/>
                <w:sz w:val="20"/>
                <w:szCs w:val="20"/>
                <w:lang w:val="en-GB" w:eastAsia="zh-CN"/>
              </w:rPr>
              <w:t>)</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tc>
      </w:tr>
      <w:tr w:rsidR="000C0842" w:rsidRPr="000C0842" w14:paraId="467B9A6B" w14:textId="77777777" w:rsidTr="001F32B3">
        <w:trPr>
          <w:cantSplit/>
          <w:trHeight w:val="974"/>
        </w:trPr>
        <w:tc>
          <w:tcPr>
            <w:tcW w:w="7545" w:type="dxa"/>
          </w:tcPr>
          <w:p w14:paraId="6DF5FC00"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eastAsia="zh-CN"/>
              </w:rPr>
            </w:pPr>
            <w:r w:rsidRPr="000C0842">
              <w:rPr>
                <w:rFonts w:eastAsia="SimSun" w:cs="Times New Roman"/>
                <w:b/>
                <w:sz w:val="20"/>
                <w:szCs w:val="20"/>
                <w:lang w:val="en-GB" w:eastAsia="zh-CN"/>
              </w:rPr>
              <w:t>15.3</w:t>
            </w:r>
            <w:r w:rsidRPr="000C0842">
              <w:rPr>
                <w:rFonts w:eastAsia="SimSun" w:cs="Times New Roman"/>
                <w:b/>
                <w:sz w:val="20"/>
                <w:szCs w:val="20"/>
                <w:lang w:eastAsia="zh-CN"/>
              </w:rPr>
              <w:tab/>
            </w:r>
            <w:r w:rsidRPr="000C0842">
              <w:rPr>
                <w:rFonts w:eastAsia="SimSun" w:cs="Times New Roman"/>
                <w:sz w:val="20"/>
                <w:szCs w:val="20"/>
                <w:lang w:eastAsia="zh-CN"/>
              </w:rPr>
              <w:t>贵国是否采取措施，确保大型跨国公司和金融机构报告对获取和惠益分享法规的遵守情况？</w:t>
            </w:r>
          </w:p>
        </w:tc>
        <w:tc>
          <w:tcPr>
            <w:tcW w:w="2389" w:type="dxa"/>
          </w:tcPr>
          <w:p w14:paraId="10D1726E"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4E1FA52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2F0E9B3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5E643CC1"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tc>
      </w:tr>
      <w:tr w:rsidR="000C0842" w:rsidRPr="000C0842" w14:paraId="0C675A88" w14:textId="77777777" w:rsidTr="001F32B3">
        <w:trPr>
          <w:cantSplit/>
          <w:trHeight w:val="974"/>
        </w:trPr>
        <w:tc>
          <w:tcPr>
            <w:tcW w:w="7545" w:type="dxa"/>
          </w:tcPr>
          <w:p w14:paraId="0EDFE0B4"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eastAsia="zh-CN"/>
              </w:rPr>
            </w:pPr>
            <w:r w:rsidRPr="000C0842">
              <w:rPr>
                <w:rFonts w:eastAsia="SimSun" w:cs="Times New Roman"/>
                <w:b/>
                <w:sz w:val="20"/>
                <w:szCs w:val="20"/>
                <w:lang w:val="en-GB" w:eastAsia="zh-CN"/>
              </w:rPr>
              <w:t>15.</w:t>
            </w:r>
            <w:r w:rsidRPr="000C0842">
              <w:rPr>
                <w:rFonts w:eastAsia="SimSun" w:cs="Times New Roman" w:hint="eastAsia"/>
                <w:b/>
                <w:sz w:val="20"/>
                <w:szCs w:val="20"/>
                <w:lang w:val="en-GB" w:eastAsia="zh-CN"/>
              </w:rPr>
              <w:t>4</w:t>
            </w:r>
            <w:r w:rsidRPr="000C0842">
              <w:rPr>
                <w:rFonts w:eastAsia="SimSun" w:cs="Times New Roman"/>
                <w:sz w:val="20"/>
                <w:szCs w:val="20"/>
                <w:lang w:eastAsia="zh-CN"/>
              </w:rPr>
              <w:tab/>
            </w:r>
            <w:r w:rsidRPr="000C0842">
              <w:rPr>
                <w:rFonts w:eastAsia="SimSun" w:cs="Times New Roman"/>
                <w:sz w:val="20"/>
                <w:szCs w:val="20"/>
                <w:lang w:eastAsia="zh-CN"/>
              </w:rPr>
              <w:t>贵国</w:t>
            </w:r>
            <w:r w:rsidRPr="000C0842">
              <w:rPr>
                <w:rFonts w:eastAsia="SimSun" w:cs="Times New Roman"/>
                <w:sz w:val="20"/>
                <w:szCs w:val="20"/>
                <w:lang w:val="en-GB" w:eastAsia="zh-CN"/>
              </w:rPr>
              <w:t>是否采取措施</w:t>
            </w:r>
            <w:r w:rsidRPr="000C0842">
              <w:rPr>
                <w:rFonts w:eastAsia="SimSun" w:cs="Times New Roman" w:hint="eastAsia"/>
                <w:sz w:val="20"/>
                <w:szCs w:val="20"/>
                <w:lang w:val="en-GB" w:eastAsia="zh-CN"/>
              </w:rPr>
              <w:t>，</w:t>
            </w:r>
            <w:r w:rsidRPr="000C0842">
              <w:rPr>
                <w:rFonts w:eastAsia="SimSun" w:cs="Times New Roman"/>
                <w:sz w:val="20"/>
                <w:szCs w:val="20"/>
                <w:lang w:val="en-GB" w:eastAsia="zh-CN"/>
              </w:rPr>
              <w:t>确保大型跨国公司和金融机构逐步减少其对生物多样性的</w:t>
            </w:r>
            <w:r w:rsidRPr="000C0842">
              <w:rPr>
                <w:rFonts w:eastAsia="SimSun" w:cs="Times New Roman" w:hint="eastAsia"/>
                <w:sz w:val="20"/>
                <w:szCs w:val="20"/>
                <w:lang w:val="en-GB" w:eastAsia="zh-CN"/>
              </w:rPr>
              <w:t>消极</w:t>
            </w:r>
            <w:r w:rsidRPr="000C0842">
              <w:rPr>
                <w:rFonts w:eastAsia="SimSun" w:cs="Times New Roman"/>
                <w:sz w:val="20"/>
                <w:szCs w:val="20"/>
                <w:lang w:val="en-GB" w:eastAsia="zh-CN"/>
              </w:rPr>
              <w:t>影响并增加其</w:t>
            </w:r>
            <w:r w:rsidRPr="000C0842">
              <w:rPr>
                <w:rFonts w:eastAsia="SimSun" w:cs="Times New Roman" w:hint="eastAsia"/>
                <w:sz w:val="20"/>
                <w:szCs w:val="20"/>
                <w:lang w:val="en-GB" w:eastAsia="zh-CN"/>
              </w:rPr>
              <w:t>积极</w:t>
            </w:r>
            <w:r w:rsidRPr="000C0842">
              <w:rPr>
                <w:rFonts w:eastAsia="SimSun" w:cs="Times New Roman"/>
                <w:sz w:val="20"/>
                <w:szCs w:val="20"/>
                <w:lang w:val="en-GB" w:eastAsia="zh-CN"/>
              </w:rPr>
              <w:t>影响</w:t>
            </w:r>
            <w:r w:rsidRPr="000C0842">
              <w:rPr>
                <w:rFonts w:eastAsia="SimSun" w:cs="Times New Roman" w:hint="eastAsia"/>
                <w:sz w:val="20"/>
                <w:szCs w:val="20"/>
                <w:lang w:val="en-GB" w:eastAsia="zh-CN"/>
              </w:rPr>
              <w:t>？</w:t>
            </w:r>
          </w:p>
        </w:tc>
        <w:tc>
          <w:tcPr>
            <w:tcW w:w="2389" w:type="dxa"/>
          </w:tcPr>
          <w:p w14:paraId="3DBC0719"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71691C47"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686EB398"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79ECCC52"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tc>
      </w:tr>
      <w:tr w:rsidR="000C0842" w:rsidRPr="000C0842" w14:paraId="51BEACB6" w14:textId="77777777" w:rsidTr="001F32B3">
        <w:trPr>
          <w:cantSplit/>
          <w:trHeight w:val="974"/>
        </w:trPr>
        <w:tc>
          <w:tcPr>
            <w:tcW w:w="7545" w:type="dxa"/>
          </w:tcPr>
          <w:p w14:paraId="7408C6E1"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eastAsia="zh-CN"/>
              </w:rPr>
            </w:pPr>
            <w:r w:rsidRPr="000C0842">
              <w:rPr>
                <w:rFonts w:eastAsia="SimSun" w:cs="Times New Roman"/>
                <w:b/>
                <w:sz w:val="20"/>
                <w:szCs w:val="20"/>
                <w:lang w:val="en-GB" w:eastAsia="zh-CN"/>
              </w:rPr>
              <w:t>15.</w:t>
            </w:r>
            <w:r w:rsidRPr="000C0842">
              <w:rPr>
                <w:rFonts w:eastAsia="SimSun" w:cs="Times New Roman" w:hint="eastAsia"/>
                <w:b/>
                <w:sz w:val="20"/>
                <w:szCs w:val="20"/>
                <w:lang w:val="en-GB" w:eastAsia="zh-CN"/>
              </w:rPr>
              <w:t>5</w:t>
            </w:r>
            <w:r w:rsidRPr="000C0842">
              <w:rPr>
                <w:rFonts w:eastAsia="SimSun" w:cs="Times New Roman"/>
                <w:sz w:val="20"/>
                <w:szCs w:val="20"/>
                <w:lang w:eastAsia="zh-CN"/>
              </w:rPr>
              <w:tab/>
            </w:r>
            <w:r w:rsidRPr="000C0842">
              <w:rPr>
                <w:rFonts w:eastAsia="SimSun" w:cs="Times New Roman"/>
                <w:sz w:val="20"/>
                <w:szCs w:val="20"/>
                <w:lang w:val="en-GB" w:eastAsia="zh-CN"/>
              </w:rPr>
              <w:t>贵国是否监测</w:t>
            </w:r>
            <w:r w:rsidRPr="000C0842">
              <w:rPr>
                <w:rFonts w:eastAsia="SimSun" w:cs="Times New Roman" w:hint="eastAsia"/>
                <w:sz w:val="20"/>
                <w:szCs w:val="20"/>
                <w:lang w:val="en-GB" w:eastAsia="zh-CN"/>
              </w:rPr>
              <w:t>企业</w:t>
            </w:r>
            <w:r w:rsidRPr="000C0842">
              <w:rPr>
                <w:rFonts w:eastAsia="SimSun" w:cs="Times New Roman"/>
                <w:sz w:val="20"/>
                <w:szCs w:val="20"/>
                <w:lang w:val="en-GB" w:eastAsia="zh-CN"/>
              </w:rPr>
              <w:t>对生物多样性的</w:t>
            </w:r>
            <w:r w:rsidRPr="000C0842">
              <w:rPr>
                <w:rFonts w:eastAsia="SimSun" w:cs="Times New Roman" w:hint="eastAsia"/>
                <w:sz w:val="20"/>
                <w:szCs w:val="20"/>
                <w:lang w:val="en-GB" w:eastAsia="zh-CN"/>
              </w:rPr>
              <w:t>消极</w:t>
            </w:r>
            <w:r w:rsidRPr="000C0842">
              <w:rPr>
                <w:rFonts w:eastAsia="SimSun" w:cs="Times New Roman"/>
                <w:sz w:val="20"/>
                <w:szCs w:val="20"/>
                <w:lang w:val="en-GB" w:eastAsia="zh-CN"/>
              </w:rPr>
              <w:t>影响是否已逐步减少</w:t>
            </w:r>
            <w:r w:rsidRPr="000C0842">
              <w:rPr>
                <w:rFonts w:eastAsia="SimSun" w:cs="Times New Roman" w:hint="eastAsia"/>
                <w:sz w:val="20"/>
                <w:szCs w:val="20"/>
                <w:lang w:val="en-GB" w:eastAsia="zh-CN"/>
              </w:rPr>
              <w:t>？</w:t>
            </w:r>
          </w:p>
        </w:tc>
        <w:tc>
          <w:tcPr>
            <w:tcW w:w="2389" w:type="dxa"/>
          </w:tcPr>
          <w:p w14:paraId="0FC29DC7"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val="en-GB" w:eastAsia="zh-CN"/>
              </w:rPr>
              <w:t>否</w:t>
            </w:r>
          </w:p>
          <w:p w14:paraId="382B8E78"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r w:rsidRPr="000C0842">
              <w:rPr>
                <w:rFonts w:eastAsia="SimSun" w:cs="Times New Roman"/>
                <w:sz w:val="20"/>
                <w:szCs w:val="20"/>
                <w:lang w:val="en-GB" w:eastAsia="zh-CN"/>
              </w:rPr>
              <w:t xml:space="preserve"> </w:t>
            </w:r>
          </w:p>
          <w:p w14:paraId="7A056DC1"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3D506EFD"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tc>
      </w:tr>
      <w:tr w:rsidR="000C0842" w:rsidRPr="000C0842" w14:paraId="361B2BA6" w14:textId="77777777" w:rsidTr="001F32B3">
        <w:trPr>
          <w:cantSplit/>
          <w:trHeight w:val="300"/>
        </w:trPr>
        <w:tc>
          <w:tcPr>
            <w:tcW w:w="9934" w:type="dxa"/>
            <w:gridSpan w:val="2"/>
            <w:shd w:val="clear" w:color="auto" w:fill="F2F2F2"/>
          </w:tcPr>
          <w:p w14:paraId="1AF4A2ED"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br w:type="page"/>
            </w:r>
            <w:r w:rsidRPr="000C0842">
              <w:rPr>
                <w:rFonts w:eastAsia="SimSun" w:cs="Times New Roman"/>
                <w:b/>
                <w:sz w:val="20"/>
                <w:szCs w:val="20"/>
                <w:lang w:eastAsia="zh-CN"/>
              </w:rPr>
              <w:t>行动目标</w:t>
            </w:r>
            <w:r w:rsidRPr="000C0842">
              <w:rPr>
                <w:rFonts w:eastAsia="SimSun" w:cs="Times New Roman"/>
                <w:b/>
                <w:sz w:val="20"/>
                <w:szCs w:val="20"/>
                <w:lang w:eastAsia="zh-CN"/>
              </w:rPr>
              <w:t>16</w:t>
            </w:r>
            <w:r w:rsidRPr="000C0842">
              <w:rPr>
                <w:rFonts w:eastAsia="SimSun" w:cs="Times New Roman"/>
                <w:b/>
                <w:sz w:val="20"/>
                <w:szCs w:val="20"/>
                <w:lang w:eastAsia="zh-CN"/>
              </w:rPr>
              <w:t>：</w:t>
            </w:r>
            <w:r w:rsidRPr="000C0842">
              <w:rPr>
                <w:rFonts w:eastAsia="SimSun" w:cs="Times New Roman"/>
                <w:b/>
                <w:sz w:val="20"/>
                <w:szCs w:val="20"/>
                <w:lang w:val="fr-CA" w:eastAsia="zh-CN"/>
              </w:rPr>
              <w:t>通过制定支持性政策、立法或监管框架，改进教育和提供相关准确信息和其他选择等措施，鼓励人们并使其能做出可持续的消费选择，到</w:t>
            </w:r>
            <w:r w:rsidRPr="000C0842">
              <w:rPr>
                <w:rFonts w:eastAsia="SimSun" w:cs="Times New Roman"/>
                <w:b/>
                <w:sz w:val="20"/>
                <w:szCs w:val="20"/>
                <w:lang w:val="fr-CA" w:eastAsia="zh-CN"/>
              </w:rPr>
              <w:t>2030</w:t>
            </w:r>
            <w:r w:rsidRPr="000C0842">
              <w:rPr>
                <w:rFonts w:eastAsia="SimSun" w:cs="Times New Roman"/>
                <w:b/>
                <w:sz w:val="20"/>
                <w:szCs w:val="20"/>
                <w:lang w:val="fr-CA" w:eastAsia="zh-CN"/>
              </w:rPr>
              <w:t>年以公平的方式减少全球消费足迹，包括将全球粮食浪费减半，大幅减少过度消费，大幅减少废物产生，使所有人都能与地球母亲和谐相处。</w:t>
            </w:r>
            <w:r w:rsidRPr="000C0842">
              <w:rPr>
                <w:rFonts w:eastAsia="SimSun" w:cs="Times New Roman"/>
                <w:b/>
                <w:sz w:val="20"/>
                <w:szCs w:val="20"/>
                <w:lang w:val="en-GB" w:eastAsia="zh-CN"/>
              </w:rPr>
              <w:t xml:space="preserve"> </w:t>
            </w:r>
          </w:p>
        </w:tc>
      </w:tr>
      <w:tr w:rsidR="000C0842" w:rsidRPr="000C0842" w14:paraId="3073D23E" w14:textId="77777777" w:rsidTr="001F32B3">
        <w:trPr>
          <w:cantSplit/>
          <w:trHeight w:val="524"/>
        </w:trPr>
        <w:tc>
          <w:tcPr>
            <w:tcW w:w="9934" w:type="dxa"/>
            <w:gridSpan w:val="2"/>
            <w:shd w:val="clear" w:color="auto" w:fill="FFFFFF"/>
          </w:tcPr>
          <w:p w14:paraId="4B665912"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t>指标：</w:t>
            </w:r>
            <w:r w:rsidRPr="000C0842">
              <w:rPr>
                <w:rFonts w:eastAsia="SimSun" w:cs="Times New Roman"/>
                <w:b/>
                <w:sz w:val="20"/>
                <w:szCs w:val="20"/>
                <w:lang w:eastAsia="zh-CN"/>
              </w:rPr>
              <w:t>制定、采用或实施政策工具，鼓励</w:t>
            </w:r>
            <w:r w:rsidRPr="000C0842">
              <w:rPr>
                <w:rFonts w:eastAsia="SimSun" w:cs="Times New Roman" w:hint="eastAsia"/>
                <w:b/>
                <w:sz w:val="20"/>
                <w:szCs w:val="20"/>
                <w:lang w:eastAsia="zh-CN"/>
              </w:rPr>
              <w:t>和帮助人们</w:t>
            </w:r>
            <w:r w:rsidRPr="000C0842">
              <w:rPr>
                <w:rFonts w:eastAsia="SimSun" w:cs="Times New Roman"/>
                <w:b/>
                <w:sz w:val="20"/>
                <w:szCs w:val="20"/>
                <w:lang w:eastAsia="zh-CN"/>
              </w:rPr>
              <w:t>做出可持续的消费选择的国家数</w:t>
            </w:r>
            <w:r w:rsidRPr="000C0842">
              <w:rPr>
                <w:rFonts w:eastAsia="SimSun" w:cs="Times New Roman" w:hint="eastAsia"/>
                <w:b/>
                <w:sz w:val="20"/>
                <w:szCs w:val="20"/>
                <w:lang w:eastAsia="zh-CN"/>
              </w:rPr>
              <w:t>目。</w:t>
            </w:r>
          </w:p>
        </w:tc>
      </w:tr>
      <w:tr w:rsidR="000C0842" w:rsidRPr="000C0842" w14:paraId="2FD50F4D" w14:textId="77777777" w:rsidTr="001F32B3">
        <w:trPr>
          <w:cantSplit/>
          <w:trHeight w:val="1063"/>
        </w:trPr>
        <w:tc>
          <w:tcPr>
            <w:tcW w:w="7545" w:type="dxa"/>
          </w:tcPr>
          <w:p w14:paraId="66557208"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shd w:val="clear" w:color="auto" w:fill="FFFFFF"/>
                <w:lang w:val="en-GB" w:eastAsia="zh-CN"/>
              </w:rPr>
            </w:pPr>
            <w:r w:rsidRPr="000C0842">
              <w:rPr>
                <w:rFonts w:eastAsia="SimSun" w:cs="Times New Roman"/>
                <w:b/>
                <w:sz w:val="20"/>
                <w:szCs w:val="20"/>
                <w:shd w:val="clear" w:color="auto" w:fill="FFFFFF"/>
                <w:lang w:val="en-GB" w:eastAsia="zh-CN"/>
              </w:rPr>
              <w:t>16.1</w:t>
            </w:r>
            <w:r w:rsidRPr="000C0842">
              <w:rPr>
                <w:rFonts w:eastAsia="SimSun" w:cs="Times New Roman"/>
                <w:b/>
                <w:sz w:val="20"/>
                <w:szCs w:val="20"/>
                <w:shd w:val="clear" w:color="auto" w:fill="FFFFFF"/>
                <w:lang w:val="en-GB" w:eastAsia="zh-CN"/>
              </w:rPr>
              <w:tab/>
            </w:r>
            <w:r w:rsidRPr="000C0842">
              <w:rPr>
                <w:rFonts w:eastAsia="SimSun" w:cs="Times New Roman"/>
                <w:sz w:val="20"/>
                <w:szCs w:val="20"/>
                <w:shd w:val="clear" w:color="auto" w:fill="FFFFFF"/>
                <w:lang w:eastAsia="zh-CN"/>
              </w:rPr>
              <w:t>贵国是否制定了支持可持续消费的机制、政策或立法或监管框架？</w:t>
            </w:r>
          </w:p>
        </w:tc>
        <w:tc>
          <w:tcPr>
            <w:tcW w:w="2389" w:type="dxa"/>
          </w:tcPr>
          <w:p w14:paraId="7704911E"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u w:val="single"/>
                <w:lang w:val="en-GB" w:eastAsia="zh-CN"/>
              </w:rPr>
            </w:pPr>
            <w:r w:rsidRPr="000C0842">
              <w:rPr>
                <w:rFonts w:eastAsia="SimSun" w:cs="Times New Roman"/>
                <w:sz w:val="20"/>
                <w:szCs w:val="20"/>
                <w:lang w:val="en-GB" w:eastAsia="zh-CN"/>
              </w:rPr>
              <w:t>(a)</w:t>
            </w:r>
            <w:r w:rsidRPr="000C0842">
              <w:rPr>
                <w:rFonts w:eastAsia="SimSun" w:cs="Times New Roman"/>
                <w:sz w:val="20"/>
                <w:szCs w:val="20"/>
                <w:lang w:eastAsia="zh-CN"/>
              </w:rPr>
              <w:tab/>
            </w:r>
            <w:r w:rsidRPr="000C0842">
              <w:rPr>
                <w:rFonts w:eastAsia="SimSun" w:cs="Times New Roman"/>
                <w:sz w:val="20"/>
                <w:szCs w:val="20"/>
                <w:lang w:val="en-GB" w:eastAsia="zh-CN"/>
              </w:rPr>
              <w:t>否</w:t>
            </w:r>
          </w:p>
          <w:p w14:paraId="0540218A"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p>
          <w:p w14:paraId="08536581"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0269CC73"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ascii="SimSun" w:eastAsia="SimSun" w:hAnsi="SimSun" w:cs="SimSun" w:hint="eastAsia"/>
                <w:sz w:val="20"/>
                <w:szCs w:val="20"/>
                <w:lang w:val="en-GB" w:eastAsia="zh-CN"/>
              </w:rPr>
              <w:t>完全是</w:t>
            </w:r>
          </w:p>
        </w:tc>
      </w:tr>
      <w:tr w:rsidR="000C0842" w:rsidRPr="000C0842" w14:paraId="7ECDC036" w14:textId="77777777" w:rsidTr="001F32B3">
        <w:trPr>
          <w:cantSplit/>
          <w:trHeight w:val="1019"/>
        </w:trPr>
        <w:tc>
          <w:tcPr>
            <w:tcW w:w="7545" w:type="dxa"/>
          </w:tcPr>
          <w:p w14:paraId="1BB8C74E" w14:textId="77777777" w:rsidR="004C57B0" w:rsidRPr="000C0842" w:rsidRDefault="004C57B0" w:rsidP="004C57B0">
            <w:pPr>
              <w:tabs>
                <w:tab w:val="clear" w:pos="567"/>
                <w:tab w:val="clear" w:pos="1134"/>
                <w:tab w:val="clear" w:pos="1701"/>
                <w:tab w:val="clear" w:pos="2268"/>
              </w:tabs>
              <w:jc w:val="left"/>
              <w:rPr>
                <w:rFonts w:eastAsia="SimSun" w:cs="Times New Roman"/>
                <w:i/>
                <w:sz w:val="20"/>
                <w:szCs w:val="20"/>
                <w:shd w:val="clear" w:color="auto" w:fill="FFFFFF"/>
                <w:lang w:val="en-GB" w:eastAsia="zh-CN"/>
              </w:rPr>
            </w:pPr>
            <w:r w:rsidRPr="000C0842">
              <w:rPr>
                <w:rFonts w:eastAsia="SimSun" w:cs="Times New Roman"/>
                <w:b/>
                <w:sz w:val="20"/>
                <w:szCs w:val="20"/>
                <w:shd w:val="clear" w:color="auto" w:fill="FFFFFF"/>
                <w:lang w:val="en-GB" w:eastAsia="zh-CN"/>
              </w:rPr>
              <w:t>16.2</w:t>
            </w:r>
            <w:r w:rsidRPr="000C0842">
              <w:rPr>
                <w:rFonts w:eastAsia="SimSun" w:cs="Times New Roman"/>
                <w:b/>
                <w:sz w:val="20"/>
                <w:szCs w:val="20"/>
                <w:shd w:val="clear" w:color="auto" w:fill="FFFFFF"/>
                <w:lang w:val="en-GB" w:eastAsia="zh-CN"/>
              </w:rPr>
              <w:tab/>
            </w:r>
            <w:r w:rsidRPr="000C0842">
              <w:rPr>
                <w:rFonts w:eastAsia="SimSun" w:cs="Times New Roman"/>
                <w:sz w:val="20"/>
                <w:szCs w:val="20"/>
                <w:shd w:val="clear" w:color="auto" w:fill="FFFFFF"/>
                <w:lang w:eastAsia="zh-CN"/>
              </w:rPr>
              <w:t>贵国是否已实施加强认识或教育的机制，使人们更加了解消费对生物多样性造成的影响以及获取支持可持续消费的相关准确信息或替代办法</w:t>
            </w:r>
            <w:r w:rsidRPr="000C0842">
              <w:rPr>
                <w:rFonts w:eastAsia="SimSun" w:cs="Times New Roman"/>
                <w:sz w:val="20"/>
                <w:szCs w:val="20"/>
                <w:shd w:val="clear" w:color="auto" w:fill="FFFFFF"/>
                <w:lang w:val="en-GB" w:eastAsia="zh-CN"/>
              </w:rPr>
              <w:t>?</w:t>
            </w:r>
          </w:p>
        </w:tc>
        <w:tc>
          <w:tcPr>
            <w:tcW w:w="2389" w:type="dxa"/>
          </w:tcPr>
          <w:p w14:paraId="1AC2CD03"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eastAsia="SimSun" w:cs="Times New Roman"/>
                <w:sz w:val="20"/>
                <w:szCs w:val="20"/>
                <w:lang w:eastAsia="zh-CN"/>
              </w:rPr>
              <w:t>否</w:t>
            </w:r>
          </w:p>
          <w:p w14:paraId="3E3F9F1E"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sz w:val="20"/>
                <w:szCs w:val="20"/>
                <w:lang w:val="en-GB" w:eastAsia="zh-CN"/>
              </w:rPr>
              <w:tab/>
            </w:r>
            <w:r w:rsidRPr="000C0842">
              <w:rPr>
                <w:rFonts w:eastAsia="SimSun" w:cs="Times New Roman"/>
                <w:sz w:val="20"/>
                <w:szCs w:val="20"/>
                <w:lang w:val="en-GB" w:eastAsia="zh-CN"/>
              </w:rPr>
              <w:t>正在酝酿中</w:t>
            </w:r>
          </w:p>
          <w:p w14:paraId="29C8102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sz w:val="20"/>
                <w:szCs w:val="20"/>
                <w:lang w:val="en-GB" w:eastAsia="zh-CN"/>
              </w:rPr>
              <w:tab/>
            </w:r>
            <w:r w:rsidRPr="000C0842">
              <w:rPr>
                <w:rFonts w:eastAsia="SimSun" w:cs="Times New Roman"/>
                <w:sz w:val="20"/>
                <w:szCs w:val="20"/>
                <w:lang w:val="en-GB" w:eastAsia="zh-CN"/>
              </w:rPr>
              <w:t>部分是</w:t>
            </w:r>
          </w:p>
          <w:p w14:paraId="7B1F6760" w14:textId="77777777" w:rsidR="004C57B0" w:rsidRPr="000C0842" w:rsidRDefault="004C57B0" w:rsidP="004C57B0">
            <w:pPr>
              <w:tabs>
                <w:tab w:val="clear" w:pos="567"/>
                <w:tab w:val="clear" w:pos="1134"/>
                <w:tab w:val="clear" w:pos="1701"/>
                <w:tab w:val="clear" w:pos="2268"/>
              </w:tabs>
              <w:ind w:left="360" w:hanging="360"/>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sz w:val="20"/>
                <w:szCs w:val="20"/>
                <w:lang w:val="en-GB" w:eastAsia="zh-CN"/>
              </w:rPr>
              <w:tab/>
            </w:r>
            <w:r w:rsidRPr="000C0842">
              <w:rPr>
                <w:rFonts w:eastAsia="SimSun" w:cs="Times New Roman"/>
                <w:sz w:val="20"/>
                <w:szCs w:val="20"/>
                <w:lang w:val="en-GB" w:eastAsia="zh-CN"/>
              </w:rPr>
              <w:t>完全是</w:t>
            </w:r>
          </w:p>
        </w:tc>
      </w:tr>
      <w:tr w:rsidR="000C0842" w:rsidRPr="000C0842" w14:paraId="6B2EE8CE" w14:textId="77777777" w:rsidTr="001F32B3">
        <w:trPr>
          <w:cantSplit/>
          <w:trHeight w:val="752"/>
        </w:trPr>
        <w:tc>
          <w:tcPr>
            <w:tcW w:w="7545" w:type="dxa"/>
          </w:tcPr>
          <w:p w14:paraId="3653DF03"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shd w:val="clear" w:color="auto" w:fill="FFFFFF"/>
                <w:lang w:val="en-GB" w:eastAsia="zh-CN"/>
              </w:rPr>
            </w:pPr>
            <w:r w:rsidRPr="000C0842">
              <w:rPr>
                <w:rFonts w:eastAsia="SimSun" w:cs="Times New Roman"/>
                <w:b/>
                <w:sz w:val="20"/>
                <w:szCs w:val="20"/>
                <w:shd w:val="clear" w:color="auto" w:fill="FFFFFF"/>
                <w:lang w:val="en-GB" w:eastAsia="zh-CN"/>
              </w:rPr>
              <w:t>16.3</w:t>
            </w:r>
            <w:r w:rsidRPr="000C0842">
              <w:rPr>
                <w:rFonts w:eastAsia="SimSun" w:cs="Times New Roman"/>
                <w:b/>
                <w:sz w:val="20"/>
                <w:szCs w:val="20"/>
                <w:shd w:val="clear" w:color="auto" w:fill="FFFFFF"/>
                <w:lang w:val="en-GB" w:eastAsia="zh-CN"/>
              </w:rPr>
              <w:tab/>
            </w:r>
            <w:r w:rsidRPr="000C0842">
              <w:rPr>
                <w:rFonts w:eastAsia="SimSun" w:cs="Times New Roman"/>
                <w:sz w:val="20"/>
                <w:szCs w:val="20"/>
                <w:shd w:val="clear" w:color="auto" w:fill="FFFFFF"/>
                <w:lang w:val="en-GB" w:eastAsia="zh-CN"/>
              </w:rPr>
              <w:t>贵国是否通过或实施了政策工具，鼓励和帮助人们通过减少粮食浪费、过度消费和产生废物等方式，</w:t>
            </w:r>
            <w:r w:rsidRPr="000C0842">
              <w:rPr>
                <w:rFonts w:eastAsia="SimSun" w:cs="Times New Roman" w:hint="eastAsia"/>
                <w:sz w:val="20"/>
                <w:szCs w:val="20"/>
                <w:shd w:val="clear" w:color="auto" w:fill="FFFFFF"/>
                <w:lang w:val="en-GB" w:eastAsia="zh-CN"/>
              </w:rPr>
              <w:t>做出可持续的消费选择？</w:t>
            </w:r>
          </w:p>
        </w:tc>
        <w:tc>
          <w:tcPr>
            <w:tcW w:w="2389" w:type="dxa"/>
          </w:tcPr>
          <w:p w14:paraId="4A9F589F" w14:textId="77777777" w:rsidR="004C57B0" w:rsidRPr="000C0842" w:rsidRDefault="004C57B0">
            <w:pPr>
              <w:numPr>
                <w:ilvl w:val="0"/>
                <w:numId w:val="160"/>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5E17A021" w14:textId="77777777" w:rsidR="004C57B0" w:rsidRPr="000C0842" w:rsidRDefault="004C57B0">
            <w:pPr>
              <w:numPr>
                <w:ilvl w:val="0"/>
                <w:numId w:val="160"/>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4B67000F" w14:textId="77777777" w:rsidR="004C57B0" w:rsidRPr="000C0842" w:rsidRDefault="004C57B0">
            <w:pPr>
              <w:numPr>
                <w:ilvl w:val="0"/>
                <w:numId w:val="160"/>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97A12C5" w14:textId="77777777" w:rsidR="004C57B0" w:rsidRPr="000C0842" w:rsidRDefault="004C57B0">
            <w:pPr>
              <w:numPr>
                <w:ilvl w:val="0"/>
                <w:numId w:val="160"/>
              </w:numPr>
              <w:tabs>
                <w:tab w:val="clear" w:pos="567"/>
                <w:tab w:val="clear" w:pos="1134"/>
                <w:tab w:val="clear" w:pos="1701"/>
                <w:tab w:val="clear" w:pos="2268"/>
              </w:tabs>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bl>
    <w:tbl>
      <w:tblPr>
        <w:tblStyle w:val="TableGrid323"/>
        <w:tblW w:w="9934" w:type="dxa"/>
        <w:tblLayout w:type="fixed"/>
        <w:tblCellMar>
          <w:top w:w="43" w:type="dxa"/>
          <w:bottom w:w="43" w:type="dxa"/>
        </w:tblCellMar>
        <w:tblLook w:val="04A0" w:firstRow="1" w:lastRow="0" w:firstColumn="1" w:lastColumn="0" w:noHBand="0" w:noVBand="1"/>
      </w:tblPr>
      <w:tblGrid>
        <w:gridCol w:w="6249"/>
        <w:gridCol w:w="3685"/>
      </w:tblGrid>
      <w:tr w:rsidR="000C0842" w:rsidRPr="000C0842" w14:paraId="5A60488E" w14:textId="77777777" w:rsidTr="001F32B3">
        <w:trPr>
          <w:cantSplit/>
        </w:trPr>
        <w:tc>
          <w:tcPr>
            <w:tcW w:w="9934" w:type="dxa"/>
            <w:gridSpan w:val="2"/>
            <w:shd w:val="clear" w:color="auto" w:fill="F2F2F2"/>
          </w:tcPr>
          <w:p w14:paraId="01A60D7E"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br w:type="page"/>
            </w: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 xml:space="preserve"> 17</w:t>
            </w:r>
            <w:r w:rsidRPr="000C0842">
              <w:rPr>
                <w:rFonts w:ascii="SimSun" w:eastAsia="SimSun" w:hAnsi="SimSun" w:cs="SimSun" w:hint="eastAsia"/>
                <w:b/>
                <w:sz w:val="20"/>
                <w:szCs w:val="20"/>
                <w:lang w:val="en-GB" w:eastAsia="zh-CN"/>
              </w:rPr>
              <w:t>：</w:t>
            </w:r>
            <w:r w:rsidRPr="000C0842">
              <w:rPr>
                <w:rFonts w:ascii="SimSun" w:eastAsia="SimSun" w:hAnsi="SimSun" w:cs="SimSun" w:hint="eastAsia"/>
                <w:b/>
                <w:iCs/>
                <w:sz w:val="20"/>
                <w:szCs w:val="20"/>
                <w:lang w:val="fr-CA" w:eastAsia="zh-CN"/>
              </w:rPr>
              <w:t>所有国家加强能力，制定和执行《生物多样性公约》第</w:t>
            </w:r>
            <w:r w:rsidRPr="000C0842">
              <w:rPr>
                <w:rFonts w:eastAsia="SimSun" w:cs="Times New Roman"/>
                <w:b/>
                <w:iCs/>
                <w:sz w:val="20"/>
                <w:szCs w:val="20"/>
                <w:lang w:val="fr-CA" w:eastAsia="zh-CN"/>
              </w:rPr>
              <w:t>8</w:t>
            </w:r>
            <w:r w:rsidRPr="000C0842">
              <w:rPr>
                <w:rFonts w:eastAsia="SimSun" w:cs="Times New Roman" w:hint="eastAsia"/>
                <w:b/>
                <w:iCs/>
                <w:sz w:val="20"/>
                <w:szCs w:val="20"/>
                <w:lang w:val="fr-CA" w:eastAsia="zh-CN"/>
              </w:rPr>
              <w:t>(</w:t>
            </w:r>
            <w:r w:rsidRPr="000C0842">
              <w:rPr>
                <w:rFonts w:eastAsia="SimSun" w:cs="Times New Roman"/>
                <w:b/>
                <w:iCs/>
                <w:sz w:val="20"/>
                <w:szCs w:val="20"/>
                <w:lang w:val="fr-CA" w:eastAsia="zh-CN"/>
              </w:rPr>
              <w:t>g</w:t>
            </w:r>
            <w:r w:rsidRPr="000C0842">
              <w:rPr>
                <w:rFonts w:eastAsia="SimSun" w:cs="Times New Roman" w:hint="eastAsia"/>
                <w:b/>
                <w:iCs/>
                <w:sz w:val="20"/>
                <w:szCs w:val="20"/>
                <w:lang w:val="fr-CA" w:eastAsia="zh-CN"/>
              </w:rPr>
              <w:t>)</w:t>
            </w:r>
            <w:r w:rsidRPr="000C0842">
              <w:rPr>
                <w:rFonts w:ascii="SimSun" w:eastAsia="SimSun" w:hAnsi="SimSun" w:cs="SimSun" w:hint="eastAsia"/>
                <w:b/>
                <w:iCs/>
                <w:sz w:val="20"/>
                <w:szCs w:val="20"/>
                <w:lang w:val="fr-CA" w:eastAsia="zh-CN"/>
              </w:rPr>
              <w:t>条所述生物安全措施和第</w:t>
            </w:r>
            <w:r w:rsidRPr="000C0842">
              <w:rPr>
                <w:rFonts w:eastAsia="SimSun" w:cs="Times New Roman"/>
                <w:b/>
                <w:iCs/>
                <w:sz w:val="20"/>
                <w:szCs w:val="20"/>
                <w:lang w:val="fr-CA" w:eastAsia="zh-CN"/>
              </w:rPr>
              <w:t>19</w:t>
            </w:r>
            <w:r w:rsidRPr="000C0842">
              <w:rPr>
                <w:rFonts w:ascii="SimSun" w:eastAsia="SimSun" w:hAnsi="SimSun" w:cs="SimSun" w:hint="eastAsia"/>
                <w:b/>
                <w:iCs/>
                <w:sz w:val="20"/>
                <w:szCs w:val="20"/>
                <w:lang w:val="fr-CA" w:eastAsia="zh-CN"/>
              </w:rPr>
              <w:t>条所述生物技术处理和惠益分配措施。</w:t>
            </w:r>
            <w:r w:rsidRPr="000C0842">
              <w:rPr>
                <w:rFonts w:eastAsia="SimSun" w:cs="Times New Roman"/>
                <w:b/>
                <w:iCs/>
                <w:sz w:val="20"/>
                <w:szCs w:val="20"/>
                <w:lang w:val="fr-CA" w:eastAsia="zh-CN"/>
              </w:rPr>
              <w:t xml:space="preserve"> </w:t>
            </w:r>
            <w:r w:rsidRPr="000C0842">
              <w:rPr>
                <w:rFonts w:eastAsia="SimSun" w:cs="Times New Roman"/>
                <w:b/>
                <w:sz w:val="20"/>
                <w:szCs w:val="20"/>
                <w:lang w:val="en-GB" w:eastAsia="zh-CN"/>
              </w:rPr>
              <w:t xml:space="preserve"> </w:t>
            </w:r>
          </w:p>
        </w:tc>
      </w:tr>
      <w:tr w:rsidR="000C0842" w:rsidRPr="000C0842" w14:paraId="4A0FD8E6" w14:textId="77777777" w:rsidTr="001F32B3">
        <w:trPr>
          <w:cantSplit/>
        </w:trPr>
        <w:tc>
          <w:tcPr>
            <w:tcW w:w="9934" w:type="dxa"/>
            <w:gridSpan w:val="2"/>
            <w:shd w:val="clear" w:color="auto" w:fill="FFFFFF"/>
          </w:tcPr>
          <w:p w14:paraId="3ACC48C1"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ascii="SimSun" w:eastAsia="SimSun" w:hAnsi="SimSun" w:cs="SimSun" w:hint="eastAsia"/>
                <w:b/>
                <w:sz w:val="20"/>
                <w:szCs w:val="20"/>
                <w:lang w:val="en-GB" w:eastAsia="zh-CN"/>
              </w:rPr>
              <w:t>指标：</w:t>
            </w:r>
            <w:r w:rsidRPr="000C0842">
              <w:rPr>
                <w:rFonts w:ascii="SimSun" w:eastAsia="SimSun" w:hAnsi="SimSun" w:cs="SimSun" w:hint="eastAsia"/>
                <w:b/>
                <w:kern w:val="22"/>
                <w:sz w:val="20"/>
                <w:szCs w:val="20"/>
                <w:lang w:eastAsia="zh-CN"/>
              </w:rPr>
              <w:t>已采取行动执行《公约》第</w:t>
            </w:r>
            <w:r w:rsidRPr="000C0842">
              <w:rPr>
                <w:rFonts w:eastAsia="SimSun" w:cs="Times New Roman" w:hint="eastAsia"/>
                <w:b/>
                <w:kern w:val="22"/>
                <w:sz w:val="20"/>
                <w:szCs w:val="20"/>
                <w:lang w:eastAsia="zh-CN"/>
              </w:rPr>
              <w:t xml:space="preserve"> 8(g) </w:t>
            </w:r>
            <w:r w:rsidRPr="000C0842">
              <w:rPr>
                <w:rFonts w:ascii="SimSun" w:eastAsia="SimSun" w:hAnsi="SimSun" w:cs="SimSun" w:hint="eastAsia"/>
                <w:b/>
                <w:kern w:val="22"/>
                <w:sz w:val="20"/>
                <w:szCs w:val="20"/>
                <w:lang w:eastAsia="zh-CN"/>
              </w:rPr>
              <w:t>条所述生物安全措施和第</w:t>
            </w:r>
            <w:r w:rsidRPr="000C0842">
              <w:rPr>
                <w:rFonts w:eastAsia="SimSun" w:cs="Times New Roman" w:hint="eastAsia"/>
                <w:b/>
                <w:kern w:val="22"/>
                <w:sz w:val="20"/>
                <w:szCs w:val="20"/>
                <w:lang w:eastAsia="zh-CN"/>
              </w:rPr>
              <w:t xml:space="preserve"> 19 </w:t>
            </w:r>
            <w:r w:rsidRPr="000C0842">
              <w:rPr>
                <w:rFonts w:ascii="SimSun" w:eastAsia="SimSun" w:hAnsi="SimSun" w:cs="SimSun" w:hint="eastAsia"/>
                <w:b/>
                <w:kern w:val="22"/>
                <w:sz w:val="20"/>
                <w:szCs w:val="20"/>
                <w:lang w:eastAsia="zh-CN"/>
              </w:rPr>
              <w:t>条所述生物技术处理和惠益分配措施的国家数目。</w:t>
            </w:r>
          </w:p>
        </w:tc>
      </w:tr>
      <w:tr w:rsidR="000C0842" w:rsidRPr="000C0842" w14:paraId="506DD5DB" w14:textId="77777777" w:rsidTr="001F32B3">
        <w:trPr>
          <w:cantSplit/>
          <w:trHeight w:val="972"/>
        </w:trPr>
        <w:tc>
          <w:tcPr>
            <w:tcW w:w="6249" w:type="dxa"/>
          </w:tcPr>
          <w:p w14:paraId="5D00BFA7" w14:textId="7F2AEE52" w:rsidR="004C57B0" w:rsidRPr="000C0842" w:rsidRDefault="004C57B0" w:rsidP="004C57B0">
            <w:pPr>
              <w:tabs>
                <w:tab w:val="clear" w:pos="567"/>
                <w:tab w:val="clear" w:pos="1134"/>
                <w:tab w:val="clear" w:pos="1701"/>
                <w:tab w:val="clear" w:pos="2268"/>
              </w:tabs>
              <w:jc w:val="left"/>
              <w:textAlignment w:val="baseline"/>
              <w:rPr>
                <w:rFonts w:eastAsia="SimSun" w:cs="Times New Roman"/>
                <w:sz w:val="20"/>
                <w:szCs w:val="20"/>
                <w:lang w:eastAsia="zh-CN"/>
              </w:rPr>
            </w:pPr>
            <w:r w:rsidRPr="000C0842">
              <w:rPr>
                <w:rFonts w:eastAsia="SimSun" w:cs="Times New Roman"/>
                <w:b/>
                <w:sz w:val="20"/>
                <w:szCs w:val="20"/>
                <w:lang w:val="en-GB" w:eastAsia="zh-CN"/>
              </w:rPr>
              <w:t>17.1</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贵国是否已依照《公约》第</w:t>
            </w:r>
            <w:r w:rsidRPr="000C0842">
              <w:rPr>
                <w:rFonts w:eastAsia="SimSun" w:cs="Times New Roman" w:hint="eastAsia"/>
                <w:sz w:val="20"/>
                <w:szCs w:val="20"/>
                <w:lang w:eastAsia="zh-CN"/>
              </w:rPr>
              <w:t xml:space="preserve"> 8</w:t>
            </w:r>
            <w:r w:rsidRPr="000C0842">
              <w:rPr>
                <w:rFonts w:eastAsia="SimSun" w:cs="Times New Roman"/>
                <w:sz w:val="20"/>
                <w:szCs w:val="20"/>
                <w:lang w:eastAsia="zh-CN"/>
              </w:rPr>
              <w:t>(g)</w:t>
            </w:r>
            <w:r w:rsidRPr="000C0842">
              <w:rPr>
                <w:rFonts w:ascii="SimSun" w:eastAsia="SimSun" w:hAnsi="SimSun" w:cs="SimSun" w:hint="eastAsia"/>
                <w:sz w:val="20"/>
                <w:szCs w:val="20"/>
                <w:lang w:eastAsia="zh-CN"/>
              </w:rPr>
              <w:t>条的规定采取与生物安全相关的政策、法律、行政和其他措施？</w:t>
            </w:r>
          </w:p>
        </w:tc>
        <w:tc>
          <w:tcPr>
            <w:tcW w:w="3685" w:type="dxa"/>
          </w:tcPr>
          <w:p w14:paraId="00C54A2E" w14:textId="77777777" w:rsidR="004C57B0" w:rsidRPr="000C0842" w:rsidRDefault="004C57B0">
            <w:pPr>
              <w:numPr>
                <w:ilvl w:val="0"/>
                <w:numId w:val="12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2BBB7864" w14:textId="77777777" w:rsidR="004C57B0" w:rsidRPr="000C0842" w:rsidRDefault="004C57B0">
            <w:pPr>
              <w:numPr>
                <w:ilvl w:val="0"/>
                <w:numId w:val="12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否，但正在酝酿中</w:t>
            </w:r>
            <w:r w:rsidRPr="000C0842">
              <w:rPr>
                <w:rFonts w:eastAsia="SimSun" w:cs="Times New Roman"/>
                <w:sz w:val="20"/>
                <w:szCs w:val="20"/>
                <w:shd w:val="clear" w:color="auto" w:fill="FFFFFF"/>
                <w:lang w:val="en-GB" w:eastAsia="zh-CN"/>
              </w:rPr>
              <w:t xml:space="preserve"> </w:t>
            </w:r>
          </w:p>
          <w:p w14:paraId="52065837" w14:textId="77777777" w:rsidR="004C57B0" w:rsidRPr="000C0842" w:rsidRDefault="004C57B0">
            <w:pPr>
              <w:numPr>
                <w:ilvl w:val="0"/>
                <w:numId w:val="12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58730AB0" w14:textId="77777777" w:rsidR="004C57B0" w:rsidRPr="000C0842" w:rsidRDefault="004C57B0">
            <w:pPr>
              <w:numPr>
                <w:ilvl w:val="0"/>
                <w:numId w:val="12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7E614C5D" w14:textId="77777777" w:rsidTr="001F32B3">
        <w:trPr>
          <w:cantSplit/>
          <w:trHeight w:val="254"/>
        </w:trPr>
        <w:tc>
          <w:tcPr>
            <w:tcW w:w="6249" w:type="dxa"/>
          </w:tcPr>
          <w:p w14:paraId="20B21D2F" w14:textId="154F0AE0" w:rsidR="004C57B0" w:rsidRPr="000C0842" w:rsidRDefault="004C57B0" w:rsidP="004C57B0">
            <w:p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eastAsia="SimSun" w:cs="Times New Roman"/>
                <w:b/>
                <w:sz w:val="20"/>
                <w:szCs w:val="20"/>
                <w:lang w:val="en-GB" w:eastAsia="zh-CN"/>
              </w:rPr>
              <w:t>17.2</w:t>
            </w:r>
            <w:r w:rsidRPr="000C0842">
              <w:rPr>
                <w:rFonts w:eastAsia="SimSun" w:cs="Times New Roman"/>
                <w:sz w:val="20"/>
                <w:szCs w:val="20"/>
                <w:lang w:val="en-GB" w:eastAsia="zh-CN"/>
              </w:rPr>
              <w:tab/>
            </w:r>
            <w:r w:rsidRPr="000C0842">
              <w:rPr>
                <w:rFonts w:ascii="SimSun" w:eastAsia="SimSun" w:hAnsi="SimSun" w:cs="SimSun"/>
                <w:sz w:val="20"/>
                <w:szCs w:val="20"/>
                <w:shd w:val="clear" w:color="auto" w:fill="FFFFFF"/>
                <w:lang w:val="en-GB" w:eastAsia="zh-CN"/>
              </w:rPr>
              <w:t xml:space="preserve"> </w:t>
            </w:r>
            <w:r w:rsidRPr="000C0842">
              <w:rPr>
                <w:rFonts w:ascii="SimSun" w:eastAsia="SimSun" w:hAnsi="SimSun" w:cs="SimSun"/>
                <w:sz w:val="20"/>
                <w:szCs w:val="20"/>
                <w:lang w:val="en-GB" w:eastAsia="zh-CN"/>
              </w:rPr>
              <w:t>贵国是否</w:t>
            </w:r>
            <w:r w:rsidRPr="000C0842">
              <w:rPr>
                <w:rFonts w:ascii="SimSun" w:eastAsia="SimSun" w:hAnsi="SimSun" w:cs="SimSun" w:hint="eastAsia"/>
                <w:sz w:val="20"/>
                <w:szCs w:val="20"/>
                <w:lang w:val="en-GB" w:eastAsia="zh-CN"/>
              </w:rPr>
              <w:t>已</w:t>
            </w:r>
            <w:r w:rsidRPr="000C0842">
              <w:rPr>
                <w:rFonts w:ascii="SimSun" w:eastAsia="SimSun" w:hAnsi="SimSun" w:cs="SimSun"/>
                <w:sz w:val="20"/>
                <w:szCs w:val="20"/>
                <w:lang w:val="en-GB" w:eastAsia="zh-CN"/>
              </w:rPr>
              <w:t>实施《公约》第8</w:t>
            </w:r>
            <w:r w:rsidR="00997EE8" w:rsidRPr="000C0842">
              <w:rPr>
                <w:rFonts w:eastAsia="SimSun" w:cs="Times New Roman"/>
                <w:sz w:val="20"/>
                <w:szCs w:val="20"/>
                <w:lang w:eastAsia="zh-CN"/>
              </w:rPr>
              <w:t>(g)</w:t>
            </w:r>
            <w:r w:rsidRPr="000C0842">
              <w:rPr>
                <w:rFonts w:ascii="SimSun" w:eastAsia="SimSun" w:hAnsi="SimSun" w:cs="SimSun"/>
                <w:sz w:val="20"/>
                <w:szCs w:val="20"/>
                <w:lang w:val="en-GB" w:eastAsia="zh-CN"/>
              </w:rPr>
              <w:t>条规定的生物安全措施</w:t>
            </w:r>
            <w:r w:rsidRPr="000C0842">
              <w:rPr>
                <w:rFonts w:ascii="SimSun" w:eastAsia="SimSun" w:hAnsi="SimSun" w:cs="SimSun" w:hint="eastAsia"/>
                <w:sz w:val="20"/>
                <w:szCs w:val="20"/>
                <w:lang w:val="en-GB" w:eastAsia="zh-CN"/>
              </w:rPr>
              <w:t>？</w:t>
            </w:r>
          </w:p>
        </w:tc>
        <w:tc>
          <w:tcPr>
            <w:tcW w:w="3685" w:type="dxa"/>
          </w:tcPr>
          <w:p w14:paraId="6C1659C1"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否</w:t>
            </w:r>
          </w:p>
          <w:p w14:paraId="307E3E78"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正在酝酿中</w:t>
            </w:r>
          </w:p>
          <w:p w14:paraId="762F5715"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112CCA80"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7D179BA3" w14:textId="77777777" w:rsidTr="001F32B3">
        <w:trPr>
          <w:cantSplit/>
          <w:trHeight w:val="254"/>
        </w:trPr>
        <w:tc>
          <w:tcPr>
            <w:tcW w:w="6249" w:type="dxa"/>
          </w:tcPr>
          <w:p w14:paraId="75BB9101" w14:textId="77777777" w:rsidR="004C57B0" w:rsidRPr="000C0842" w:rsidRDefault="004C57B0" w:rsidP="004C57B0">
            <w:p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eastAsia="SimSun" w:cs="Times New Roman"/>
                <w:b/>
                <w:sz w:val="20"/>
                <w:szCs w:val="20"/>
                <w:lang w:val="en-GB" w:eastAsia="zh-CN"/>
              </w:rPr>
              <w:t>17.</w:t>
            </w:r>
            <w:r w:rsidRPr="000C0842">
              <w:rPr>
                <w:rFonts w:eastAsia="SimSun" w:cs="Times New Roman" w:hint="eastAsia"/>
                <w:b/>
                <w:sz w:val="20"/>
                <w:szCs w:val="20"/>
                <w:lang w:val="en-GB" w:eastAsia="zh-CN"/>
              </w:rPr>
              <w:t>3</w:t>
            </w:r>
            <w:r w:rsidRPr="000C0842">
              <w:rPr>
                <w:rFonts w:eastAsia="SimSun" w:cs="Times New Roman"/>
                <w:sz w:val="20"/>
                <w:szCs w:val="20"/>
                <w:lang w:val="en-GB" w:eastAsia="zh-CN"/>
              </w:rPr>
              <w:tab/>
            </w:r>
            <w:r w:rsidRPr="000C0842">
              <w:rPr>
                <w:rFonts w:eastAsia="SimSun" w:cs="Times New Roman" w:hint="eastAsia"/>
                <w:sz w:val="20"/>
                <w:szCs w:val="20"/>
                <w:lang w:val="en-GB" w:eastAsia="zh-CN"/>
              </w:rPr>
              <w:t xml:space="preserve"> </w:t>
            </w:r>
            <w:r w:rsidRPr="000C0842">
              <w:rPr>
                <w:rFonts w:ascii="SimSun" w:eastAsia="SimSun" w:hAnsi="SimSun" w:cs="SimSun" w:hint="eastAsia"/>
                <w:sz w:val="20"/>
                <w:szCs w:val="20"/>
                <w:lang w:val="en-GB" w:eastAsia="zh-CN"/>
              </w:rPr>
              <w:t>贵国是否酌情采取了立法、行政或政策措施，为那些为《公约》第</w:t>
            </w:r>
            <w:r w:rsidRPr="000C0842">
              <w:rPr>
                <w:rFonts w:eastAsia="SimSun" w:cs="Times New Roman"/>
                <w:sz w:val="20"/>
                <w:szCs w:val="20"/>
                <w:lang w:val="en-GB" w:eastAsia="zh-CN"/>
              </w:rPr>
              <w:t>19</w:t>
            </w:r>
            <w:r w:rsidRPr="000C0842">
              <w:rPr>
                <w:rFonts w:ascii="SimSun" w:eastAsia="SimSun" w:hAnsi="SimSun" w:cs="SimSun" w:hint="eastAsia"/>
                <w:sz w:val="20"/>
                <w:szCs w:val="20"/>
                <w:lang w:val="en-GB" w:eastAsia="zh-CN"/>
              </w:rPr>
              <w:t>条第</w:t>
            </w:r>
            <w:r w:rsidRPr="000C0842">
              <w:rPr>
                <w:rFonts w:eastAsia="SimSun" w:cs="Times New Roman"/>
                <w:sz w:val="20"/>
                <w:szCs w:val="20"/>
                <w:lang w:val="en-GB" w:eastAsia="zh-CN"/>
              </w:rPr>
              <w:t>1</w:t>
            </w:r>
            <w:r w:rsidRPr="000C0842">
              <w:rPr>
                <w:rFonts w:ascii="SimSun" w:eastAsia="SimSun" w:hAnsi="SimSun" w:cs="SimSun" w:hint="eastAsia"/>
                <w:sz w:val="20"/>
                <w:szCs w:val="20"/>
                <w:lang w:val="en-GB" w:eastAsia="zh-CN"/>
              </w:rPr>
              <w:t>款所述研究提供遗传资源的缔约方，特别是发展中国家有效参与生物技术研究活动提供便利？</w:t>
            </w:r>
          </w:p>
        </w:tc>
        <w:tc>
          <w:tcPr>
            <w:tcW w:w="3685" w:type="dxa"/>
          </w:tcPr>
          <w:p w14:paraId="37B6D211" w14:textId="77777777" w:rsidR="004C57B0" w:rsidRPr="000C0842" w:rsidRDefault="004C57B0">
            <w:pPr>
              <w:numPr>
                <w:ilvl w:val="0"/>
                <w:numId w:val="16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否</w:t>
            </w:r>
          </w:p>
          <w:p w14:paraId="7BA5B601"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正在酝酿中</w:t>
            </w:r>
          </w:p>
          <w:p w14:paraId="1F4450C8"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1ADBCB6C" w14:textId="77777777" w:rsidR="004C57B0" w:rsidRPr="000C0842" w:rsidRDefault="004C57B0">
            <w:pPr>
              <w:numPr>
                <w:ilvl w:val="0"/>
                <w:numId w:val="127"/>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3723BDE1" w14:textId="77777777" w:rsidTr="001F32B3">
        <w:trPr>
          <w:cantSplit/>
          <w:trHeight w:val="254"/>
        </w:trPr>
        <w:tc>
          <w:tcPr>
            <w:tcW w:w="6249" w:type="dxa"/>
          </w:tcPr>
          <w:p w14:paraId="0DBABF45" w14:textId="77777777" w:rsidR="004C57B0" w:rsidRPr="000C0842" w:rsidRDefault="004C57B0" w:rsidP="004C57B0">
            <w:p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eastAsia="SimSun" w:cs="Times New Roman"/>
                <w:b/>
                <w:sz w:val="20"/>
                <w:szCs w:val="20"/>
                <w:lang w:val="en-GB" w:eastAsia="zh-CN"/>
              </w:rPr>
              <w:t>17.</w:t>
            </w:r>
            <w:r w:rsidRPr="000C0842">
              <w:rPr>
                <w:rFonts w:eastAsia="SimSun" w:cs="Times New Roman" w:hint="eastAsia"/>
                <w:b/>
                <w:sz w:val="20"/>
                <w:szCs w:val="20"/>
                <w:lang w:val="en-GB" w:eastAsia="zh-CN"/>
              </w:rPr>
              <w:t>4</w:t>
            </w:r>
            <w:r w:rsidRPr="000C0842">
              <w:rPr>
                <w:rFonts w:eastAsia="SimSun" w:cs="Times New Roman"/>
                <w:sz w:val="20"/>
                <w:szCs w:val="20"/>
                <w:lang w:val="en-GB" w:eastAsia="zh-CN"/>
              </w:rPr>
              <w:tab/>
            </w:r>
            <w:r w:rsidRPr="000C0842">
              <w:rPr>
                <w:rFonts w:ascii="SimSun" w:eastAsia="SimSun" w:hAnsi="SimSun" w:cs="SimSun"/>
                <w:sz w:val="20"/>
                <w:szCs w:val="20"/>
                <w:lang w:val="en-GB" w:eastAsia="zh-CN"/>
              </w:rPr>
              <w:t>贵国是否按照《公约》第19条第2款的规定，采取切实可行的措施</w:t>
            </w:r>
            <w:r w:rsidRPr="000C0842">
              <w:rPr>
                <w:rFonts w:ascii="SimSun" w:eastAsia="SimSun" w:hAnsi="SimSun" w:cs="SimSun" w:hint="eastAsia"/>
                <w:sz w:val="20"/>
                <w:szCs w:val="20"/>
                <w:lang w:val="en-GB" w:eastAsia="zh-CN"/>
              </w:rPr>
              <w:t>，</w:t>
            </w:r>
            <w:r w:rsidRPr="000C0842">
              <w:rPr>
                <w:rFonts w:ascii="SimSun" w:eastAsia="SimSun" w:hAnsi="SimSun" w:cs="SimSun"/>
                <w:sz w:val="20"/>
                <w:szCs w:val="20"/>
                <w:lang w:val="en-GB" w:eastAsia="zh-CN"/>
              </w:rPr>
              <w:t>促进和推动缔约方特别是发展中国家在公正公平基础上优先获取基于这些缔约方</w:t>
            </w:r>
            <w:r w:rsidRPr="000C0842">
              <w:rPr>
                <w:rFonts w:ascii="SimSun" w:eastAsia="SimSun" w:hAnsi="SimSun" w:cs="SimSun" w:hint="eastAsia"/>
                <w:sz w:val="20"/>
                <w:szCs w:val="20"/>
                <w:lang w:val="en-GB" w:eastAsia="zh-CN"/>
              </w:rPr>
              <w:t>所</w:t>
            </w:r>
            <w:r w:rsidRPr="000C0842">
              <w:rPr>
                <w:rFonts w:ascii="SimSun" w:eastAsia="SimSun" w:hAnsi="SimSun" w:cs="SimSun"/>
                <w:sz w:val="20"/>
                <w:szCs w:val="20"/>
                <w:lang w:val="en-GB" w:eastAsia="zh-CN"/>
              </w:rPr>
              <w:t>提供遗传资源生物技术产生的成果和惠益？</w:t>
            </w:r>
          </w:p>
        </w:tc>
        <w:tc>
          <w:tcPr>
            <w:tcW w:w="3685" w:type="dxa"/>
          </w:tcPr>
          <w:p w14:paraId="504861B4" w14:textId="77777777" w:rsidR="004C57B0" w:rsidRPr="000C0842" w:rsidRDefault="004C57B0">
            <w:pPr>
              <w:numPr>
                <w:ilvl w:val="0"/>
                <w:numId w:val="168"/>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否</w:t>
            </w:r>
          </w:p>
          <w:p w14:paraId="03D9139B" w14:textId="77777777" w:rsidR="004C57B0" w:rsidRPr="000C0842" w:rsidRDefault="004C57B0">
            <w:pPr>
              <w:numPr>
                <w:ilvl w:val="0"/>
                <w:numId w:val="168"/>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正在酝酿中</w:t>
            </w:r>
          </w:p>
          <w:p w14:paraId="39D1D349" w14:textId="77777777" w:rsidR="004C57B0" w:rsidRPr="000C0842" w:rsidRDefault="004C57B0">
            <w:pPr>
              <w:numPr>
                <w:ilvl w:val="0"/>
                <w:numId w:val="168"/>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部分是</w:t>
            </w:r>
          </w:p>
          <w:p w14:paraId="41A37747" w14:textId="77777777" w:rsidR="004C57B0" w:rsidRPr="000C0842" w:rsidRDefault="004C57B0">
            <w:pPr>
              <w:numPr>
                <w:ilvl w:val="0"/>
                <w:numId w:val="168"/>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124F449E" w14:textId="77777777" w:rsidTr="001F32B3">
        <w:trPr>
          <w:cantSplit/>
          <w:trHeight w:val="1134"/>
        </w:trPr>
        <w:tc>
          <w:tcPr>
            <w:tcW w:w="6249" w:type="dxa"/>
          </w:tcPr>
          <w:p w14:paraId="71382778" w14:textId="77777777" w:rsidR="004C57B0" w:rsidRPr="000C0842" w:rsidRDefault="004C57B0" w:rsidP="004C57B0">
            <w:pPr>
              <w:tabs>
                <w:tab w:val="clear" w:pos="567"/>
                <w:tab w:val="clear" w:pos="1134"/>
                <w:tab w:val="clear" w:pos="1701"/>
                <w:tab w:val="clear" w:pos="2268"/>
              </w:tabs>
              <w:jc w:val="left"/>
              <w:textAlignment w:val="baseline"/>
              <w:rPr>
                <w:rFonts w:ascii="SimSun" w:eastAsia="SimSun" w:hAnsi="SimSun" w:cs="SimSun"/>
                <w:sz w:val="20"/>
                <w:szCs w:val="20"/>
                <w:lang w:eastAsia="zh-CN"/>
              </w:rPr>
            </w:pPr>
            <w:r w:rsidRPr="000C0842">
              <w:rPr>
                <w:rFonts w:eastAsia="SimSun" w:cs="Times New Roman"/>
                <w:b/>
                <w:sz w:val="20"/>
                <w:szCs w:val="20"/>
                <w:lang w:val="en-GB" w:eastAsia="zh-CN"/>
              </w:rPr>
              <w:t>17.</w:t>
            </w:r>
            <w:r w:rsidRPr="000C0842">
              <w:rPr>
                <w:rFonts w:eastAsia="SimSun" w:cs="Times New Roman" w:hint="eastAsia"/>
                <w:b/>
                <w:sz w:val="20"/>
                <w:szCs w:val="20"/>
                <w:lang w:val="en-GB" w:eastAsia="zh-CN"/>
              </w:rPr>
              <w:t>5</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贵国是否就改性活生物体的使用和释放进行科学合理的风险评估？</w:t>
            </w:r>
          </w:p>
          <w:p w14:paraId="124F126B" w14:textId="77777777" w:rsidR="004C57B0" w:rsidRPr="000C0842" w:rsidRDefault="004C57B0" w:rsidP="004C57B0">
            <w:pPr>
              <w:tabs>
                <w:tab w:val="clear" w:pos="567"/>
                <w:tab w:val="clear" w:pos="1134"/>
                <w:tab w:val="clear" w:pos="1701"/>
                <w:tab w:val="clear" w:pos="2268"/>
              </w:tabs>
              <w:jc w:val="left"/>
              <w:textAlignment w:val="baseline"/>
              <w:rPr>
                <w:rFonts w:ascii="SimSun" w:eastAsia="SimSun" w:hAnsi="SimSun" w:cs="SimSun"/>
                <w:b/>
                <w:sz w:val="20"/>
                <w:szCs w:val="20"/>
                <w:lang w:val="en-GB" w:eastAsia="zh-CN"/>
              </w:rPr>
            </w:pPr>
          </w:p>
        </w:tc>
        <w:tc>
          <w:tcPr>
            <w:tcW w:w="3685" w:type="dxa"/>
          </w:tcPr>
          <w:p w14:paraId="7E825507" w14:textId="77777777" w:rsidR="004C57B0" w:rsidRPr="000C0842" w:rsidRDefault="004C57B0">
            <w:pPr>
              <w:numPr>
                <w:ilvl w:val="0"/>
                <w:numId w:val="12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6904FCA7" w14:textId="77777777" w:rsidR="004C57B0" w:rsidRPr="000C0842" w:rsidRDefault="004C57B0">
            <w:pPr>
              <w:numPr>
                <w:ilvl w:val="0"/>
                <w:numId w:val="12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7F5D9078" w14:textId="77777777" w:rsidR="004C57B0" w:rsidRPr="000C0842" w:rsidRDefault="004C57B0">
            <w:pPr>
              <w:numPr>
                <w:ilvl w:val="0"/>
                <w:numId w:val="12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437C4AD2" w14:textId="77777777" w:rsidR="004C57B0" w:rsidRPr="000C0842" w:rsidRDefault="004C57B0">
            <w:pPr>
              <w:numPr>
                <w:ilvl w:val="0"/>
                <w:numId w:val="128"/>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14C4A817" w14:textId="77777777" w:rsidTr="001F32B3">
        <w:trPr>
          <w:cantSplit/>
          <w:trHeight w:val="744"/>
        </w:trPr>
        <w:tc>
          <w:tcPr>
            <w:tcW w:w="6249" w:type="dxa"/>
          </w:tcPr>
          <w:p w14:paraId="06080B36" w14:textId="77777777" w:rsidR="004C57B0" w:rsidRPr="000C0842" w:rsidRDefault="004C57B0" w:rsidP="004C57B0">
            <w:pPr>
              <w:tabs>
                <w:tab w:val="clear" w:pos="567"/>
                <w:tab w:val="clear" w:pos="1134"/>
                <w:tab w:val="clear" w:pos="1701"/>
                <w:tab w:val="clear" w:pos="2268"/>
              </w:tabs>
              <w:jc w:val="left"/>
              <w:textAlignment w:val="baseline"/>
              <w:rPr>
                <w:rFonts w:ascii="SimSun" w:eastAsia="SimSun" w:hAnsi="SimSun" w:cs="SimSun"/>
                <w:sz w:val="20"/>
                <w:szCs w:val="20"/>
                <w:lang w:eastAsia="zh-CN"/>
              </w:rPr>
            </w:pPr>
            <w:r w:rsidRPr="000C0842">
              <w:rPr>
                <w:rFonts w:eastAsia="SimSun" w:cs="Times New Roman"/>
                <w:b/>
                <w:sz w:val="20"/>
                <w:szCs w:val="20"/>
                <w:lang w:val="en-GB" w:eastAsia="zh-CN"/>
              </w:rPr>
              <w:t>17.</w:t>
            </w:r>
            <w:r w:rsidRPr="000C0842">
              <w:rPr>
                <w:rFonts w:eastAsia="SimSun" w:cs="Times New Roman" w:hint="eastAsia"/>
                <w:b/>
                <w:sz w:val="20"/>
                <w:szCs w:val="20"/>
                <w:lang w:val="en-GB" w:eastAsia="zh-CN"/>
              </w:rPr>
              <w:t>6</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贵国是否为获得安全转移、处理和使用改性活生物体的生物安全相关信息提供渠道？</w:t>
            </w:r>
          </w:p>
          <w:p w14:paraId="7DA2D7BA" w14:textId="77777777" w:rsidR="004C57B0" w:rsidRPr="000C0842" w:rsidRDefault="004C57B0" w:rsidP="004C57B0">
            <w:pPr>
              <w:tabs>
                <w:tab w:val="clear" w:pos="567"/>
                <w:tab w:val="clear" w:pos="1134"/>
                <w:tab w:val="clear" w:pos="1701"/>
                <w:tab w:val="clear" w:pos="2268"/>
              </w:tabs>
              <w:jc w:val="left"/>
              <w:textAlignment w:val="baseline"/>
              <w:rPr>
                <w:rFonts w:eastAsia="SimSun" w:cs="Times New Roman"/>
                <w:sz w:val="20"/>
                <w:szCs w:val="20"/>
                <w:lang w:val="en-GB" w:eastAsia="zh-CN"/>
              </w:rPr>
            </w:pPr>
          </w:p>
        </w:tc>
        <w:tc>
          <w:tcPr>
            <w:tcW w:w="3685" w:type="dxa"/>
          </w:tcPr>
          <w:p w14:paraId="6B3AF4DA" w14:textId="77777777" w:rsidR="004C57B0" w:rsidRPr="000C0842" w:rsidRDefault="004C57B0">
            <w:pPr>
              <w:numPr>
                <w:ilvl w:val="0"/>
                <w:numId w:val="12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4FD039D1" w14:textId="77777777" w:rsidR="004C57B0" w:rsidRPr="000C0842" w:rsidRDefault="004C57B0">
            <w:pPr>
              <w:numPr>
                <w:ilvl w:val="0"/>
                <w:numId w:val="12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0246F30D" w14:textId="77777777" w:rsidR="004C57B0" w:rsidRPr="000C0842" w:rsidRDefault="004C57B0">
            <w:pPr>
              <w:numPr>
                <w:ilvl w:val="0"/>
                <w:numId w:val="12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76E6F151" w14:textId="77777777" w:rsidR="004C57B0" w:rsidRPr="000C0842" w:rsidRDefault="004C57B0">
            <w:pPr>
              <w:numPr>
                <w:ilvl w:val="0"/>
                <w:numId w:val="129"/>
              </w:numPr>
              <w:tabs>
                <w:tab w:val="clear" w:pos="567"/>
                <w:tab w:val="clear" w:pos="1134"/>
                <w:tab w:val="clear" w:pos="1701"/>
                <w:tab w:val="clear" w:pos="2268"/>
              </w:tabs>
              <w:jc w:val="left"/>
              <w:textAlignment w:val="baseline"/>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2FE0690C" w14:textId="77777777" w:rsidTr="001F32B3">
        <w:trPr>
          <w:cantSplit/>
        </w:trPr>
        <w:tc>
          <w:tcPr>
            <w:tcW w:w="9934" w:type="dxa"/>
            <w:gridSpan w:val="2"/>
            <w:shd w:val="clear" w:color="auto" w:fill="F2F2F2"/>
          </w:tcPr>
          <w:p w14:paraId="577147E8"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20</w:t>
            </w:r>
            <w:r w:rsidRPr="000C0842">
              <w:rPr>
                <w:rFonts w:ascii="SimSun" w:eastAsia="SimSun" w:hAnsi="SimSun" w:cs="SimSun" w:hint="eastAsia"/>
                <w:b/>
                <w:sz w:val="20"/>
                <w:szCs w:val="20"/>
                <w:lang w:val="en-GB" w:eastAsia="zh-CN"/>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昆蒙框架》的长期目标和行动目标的雄心相称。 </w:t>
            </w:r>
            <w:r w:rsidRPr="000C0842">
              <w:rPr>
                <w:rFonts w:ascii="SimSun" w:eastAsia="SimSun" w:hAnsi="SimSun" w:cs="SimSun"/>
                <w:b/>
                <w:sz w:val="20"/>
                <w:szCs w:val="20"/>
                <w:lang w:val="en-GB" w:eastAsia="zh-CN"/>
              </w:rPr>
              <w:t xml:space="preserve">   </w:t>
            </w:r>
          </w:p>
        </w:tc>
      </w:tr>
      <w:tr w:rsidR="000C0842" w:rsidRPr="000C0842" w14:paraId="357D8F53" w14:textId="77777777" w:rsidTr="001F32B3">
        <w:trPr>
          <w:cantSplit/>
        </w:trPr>
        <w:tc>
          <w:tcPr>
            <w:tcW w:w="9934" w:type="dxa"/>
            <w:gridSpan w:val="2"/>
            <w:shd w:val="clear" w:color="auto" w:fill="FFFFFF"/>
          </w:tcPr>
          <w:p w14:paraId="4F2ABC10"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ascii="SimSun" w:eastAsia="SimSun" w:hAnsi="SimSun" w:cs="SimSun" w:hint="eastAsia"/>
                <w:b/>
                <w:sz w:val="20"/>
                <w:szCs w:val="20"/>
                <w:lang w:val="en-GB" w:eastAsia="zh-CN"/>
              </w:rPr>
              <w:t>指标：</w:t>
            </w:r>
            <w:r w:rsidRPr="000C0842">
              <w:rPr>
                <w:rFonts w:ascii="SimSun" w:eastAsia="SimSun" w:hAnsi="SimSun" w:cs="SimSun" w:hint="eastAsia"/>
                <w:b/>
                <w:sz w:val="20"/>
                <w:szCs w:val="20"/>
                <w:lang w:eastAsia="zh-CN"/>
              </w:rPr>
              <w:t>采取重大行动加强能力建设和发展，加强技术获得和转让，促进创新和科技合作的发展和获得的国家数目。</w:t>
            </w:r>
          </w:p>
        </w:tc>
      </w:tr>
      <w:tr w:rsidR="000C0842" w:rsidRPr="000C0842" w14:paraId="6BD54456" w14:textId="77777777" w:rsidTr="001F32B3">
        <w:trPr>
          <w:cantSplit/>
          <w:trHeight w:val="992"/>
        </w:trPr>
        <w:tc>
          <w:tcPr>
            <w:tcW w:w="6249" w:type="dxa"/>
          </w:tcPr>
          <w:p w14:paraId="2CF03101" w14:textId="77777777" w:rsidR="004C57B0" w:rsidRPr="000C0842" w:rsidRDefault="004C57B0" w:rsidP="004C57B0">
            <w:pPr>
              <w:shd w:val="clear" w:color="auto" w:fill="FFFFFF"/>
              <w:tabs>
                <w:tab w:val="clear" w:pos="567"/>
                <w:tab w:val="clear" w:pos="1134"/>
                <w:tab w:val="clear" w:pos="1701"/>
                <w:tab w:val="clear" w:pos="2268"/>
              </w:tabs>
              <w:spacing w:line="233" w:lineRule="atLeast"/>
              <w:ind w:left="-36"/>
              <w:jc w:val="left"/>
              <w:rPr>
                <w:rFonts w:ascii="SimSun" w:eastAsia="SimSun" w:hAnsi="SimSun" w:cs="SimSun"/>
                <w:sz w:val="20"/>
                <w:szCs w:val="20"/>
                <w:lang w:val="en-GB" w:eastAsia="zh-CN"/>
              </w:rPr>
            </w:pPr>
            <w:r w:rsidRPr="000C0842">
              <w:rPr>
                <w:rFonts w:eastAsia="SimSun" w:cs="Times New Roman"/>
                <w:b/>
                <w:sz w:val="20"/>
                <w:szCs w:val="20"/>
                <w:lang w:val="en-GB" w:eastAsia="zh-CN"/>
              </w:rPr>
              <w:t>20.1</w:t>
            </w:r>
            <w:r w:rsidRPr="000C0842">
              <w:rPr>
                <w:rFonts w:eastAsia="SimSun" w:cs="Times New Roman"/>
                <w:sz w:val="20"/>
                <w:szCs w:val="20"/>
                <w:lang w:val="en-GB" w:eastAsia="zh-CN"/>
              </w:rPr>
              <w:tab/>
            </w:r>
            <w:r w:rsidRPr="000C0842">
              <w:rPr>
                <w:rFonts w:eastAsia="SimSun" w:cs="Times New Roman"/>
                <w:sz w:val="20"/>
                <w:szCs w:val="20"/>
                <w:lang w:eastAsia="zh-CN"/>
              </w:rPr>
              <w:t>贵国是否</w:t>
            </w:r>
            <w:r w:rsidRPr="000C0842">
              <w:rPr>
                <w:rFonts w:eastAsia="SimSun" w:cs="Times New Roman"/>
                <w:sz w:val="20"/>
                <w:szCs w:val="20"/>
                <w:lang w:val="en-GB" w:eastAsia="zh-CN"/>
              </w:rPr>
              <w:t>有解决生物多样性能力建设和发展需求的计划、政策或文书</w:t>
            </w:r>
            <w:r w:rsidRPr="000C0842">
              <w:rPr>
                <w:rFonts w:eastAsia="SimSun" w:cs="Times New Roman"/>
                <w:sz w:val="20"/>
                <w:szCs w:val="20"/>
                <w:lang w:eastAsia="zh-CN"/>
              </w:rPr>
              <w:t>？</w:t>
            </w:r>
            <w:r w:rsidRPr="000C0842">
              <w:rPr>
                <w:rFonts w:eastAsia="SimSun" w:cs="Times New Roman" w:hint="eastAsia"/>
                <w:sz w:val="20"/>
                <w:szCs w:val="20"/>
                <w:lang w:eastAsia="zh-CN"/>
              </w:rPr>
              <w:t xml:space="preserve"> </w:t>
            </w:r>
          </w:p>
          <w:p w14:paraId="1594C2A4" w14:textId="77777777" w:rsidR="004C57B0" w:rsidRPr="000C0842" w:rsidRDefault="004C57B0" w:rsidP="004C57B0">
            <w:pPr>
              <w:shd w:val="clear" w:color="auto" w:fill="FFFFFF"/>
              <w:tabs>
                <w:tab w:val="clear" w:pos="567"/>
                <w:tab w:val="clear" w:pos="1134"/>
                <w:tab w:val="clear" w:pos="1701"/>
                <w:tab w:val="clear" w:pos="2268"/>
              </w:tabs>
              <w:spacing w:line="233" w:lineRule="atLeast"/>
              <w:ind w:left="-36"/>
              <w:jc w:val="left"/>
              <w:rPr>
                <w:rFonts w:eastAsia="SimSun" w:cs="Times New Roman"/>
                <w:sz w:val="20"/>
                <w:szCs w:val="20"/>
                <w:lang w:eastAsia="zh-CN"/>
              </w:rPr>
            </w:pPr>
          </w:p>
        </w:tc>
        <w:tc>
          <w:tcPr>
            <w:tcW w:w="3685" w:type="dxa"/>
          </w:tcPr>
          <w:p w14:paraId="06FBC7CD" w14:textId="77777777" w:rsidR="004C57B0" w:rsidRPr="000C0842" w:rsidRDefault="004C57B0">
            <w:pPr>
              <w:numPr>
                <w:ilvl w:val="0"/>
                <w:numId w:val="13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042CBC1F" w14:textId="77777777" w:rsidR="004C57B0" w:rsidRPr="000C0842" w:rsidRDefault="004C57B0">
            <w:pPr>
              <w:numPr>
                <w:ilvl w:val="0"/>
                <w:numId w:val="13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4339B107" w14:textId="77777777" w:rsidR="004C57B0" w:rsidRPr="000C0842" w:rsidRDefault="004C57B0">
            <w:pPr>
              <w:numPr>
                <w:ilvl w:val="0"/>
                <w:numId w:val="13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17492320" w14:textId="77777777" w:rsidR="004C57B0" w:rsidRPr="000C0842" w:rsidRDefault="004C57B0">
            <w:pPr>
              <w:numPr>
                <w:ilvl w:val="0"/>
                <w:numId w:val="13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7162D24B" w14:textId="77777777" w:rsidTr="001F32B3">
        <w:trPr>
          <w:cantSplit/>
          <w:trHeight w:val="992"/>
        </w:trPr>
        <w:tc>
          <w:tcPr>
            <w:tcW w:w="6249" w:type="dxa"/>
          </w:tcPr>
          <w:p w14:paraId="6FAB7C8B" w14:textId="3E8D35A2"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val="fr-CH" w:eastAsia="zh-CN"/>
              </w:rPr>
            </w:pPr>
            <w:r w:rsidRPr="000C0842">
              <w:rPr>
                <w:rFonts w:eastAsia="SimSun" w:cs="Times New Roman"/>
                <w:b/>
                <w:sz w:val="20"/>
                <w:szCs w:val="20"/>
                <w:lang w:val="en-GB" w:eastAsia="zh-CN"/>
              </w:rPr>
              <w:t>20.2</w:t>
            </w:r>
            <w:r w:rsidRPr="000C0842">
              <w:rPr>
                <w:rFonts w:eastAsia="SimSun" w:cs="Times New Roman"/>
                <w:sz w:val="20"/>
                <w:szCs w:val="20"/>
                <w:lang w:val="en-GB" w:eastAsia="zh-CN"/>
              </w:rPr>
              <w:tab/>
            </w:r>
            <w:r w:rsidRPr="000C0842">
              <w:rPr>
                <w:rFonts w:eastAsia="SimSun" w:cs="Times New Roman"/>
                <w:sz w:val="20"/>
                <w:szCs w:val="20"/>
                <w:lang w:eastAsia="zh-CN"/>
              </w:rPr>
              <w:t>贵国是否</w:t>
            </w:r>
            <w:r w:rsidRPr="000C0842">
              <w:rPr>
                <w:rFonts w:eastAsia="SimSun" w:cs="Times New Roman"/>
                <w:sz w:val="20"/>
                <w:szCs w:val="20"/>
                <w:lang w:val="en-GB" w:eastAsia="zh-CN"/>
              </w:rPr>
              <w:t>采取措施确保土著人民和</w:t>
            </w:r>
            <w:r w:rsidRPr="000C0842">
              <w:rPr>
                <w:rFonts w:eastAsia="SimSun" w:cs="Times New Roman" w:hint="eastAsia"/>
                <w:sz w:val="20"/>
                <w:szCs w:val="20"/>
                <w:lang w:val="en-GB" w:eastAsia="zh-CN"/>
              </w:rPr>
              <w:t>地方</w:t>
            </w:r>
            <w:r w:rsidRPr="000C0842">
              <w:rPr>
                <w:rFonts w:eastAsia="SimSun" w:cs="Times New Roman"/>
                <w:sz w:val="20"/>
                <w:szCs w:val="20"/>
                <w:lang w:val="en-GB" w:eastAsia="zh-CN"/>
              </w:rPr>
              <w:t>社区、妇女和女童、儿童和青年以及残疾人充分有效地参与保护和可持续利用生物多样性的能力建设和发展？</w:t>
            </w:r>
            <w:r w:rsidR="00997EE8" w:rsidRPr="000C0842">
              <w:rPr>
                <w:rFonts w:eastAsia="SimSun" w:cs="Times New Roman" w:hint="eastAsia"/>
                <w:sz w:val="20"/>
                <w:szCs w:val="20"/>
                <w:lang w:val="en-GB" w:eastAsia="zh-CN"/>
              </w:rPr>
              <w:t>（</w:t>
            </w:r>
            <w:r w:rsidRPr="000C0842">
              <w:rPr>
                <w:rFonts w:eastAsia="SimSun" w:cs="Times New Roman"/>
                <w:sz w:val="20"/>
                <w:szCs w:val="20"/>
                <w:lang w:val="en-GB" w:eastAsia="zh-CN"/>
              </w:rPr>
              <w:t>选择所有适用的选项</w:t>
            </w:r>
            <w:r w:rsidR="00997EE8" w:rsidRPr="000C0842">
              <w:rPr>
                <w:rFonts w:eastAsia="SimSun" w:cs="Times New Roman" w:hint="eastAsia"/>
                <w:sz w:val="20"/>
                <w:szCs w:val="20"/>
                <w:lang w:val="en-GB" w:eastAsia="zh-CN"/>
              </w:rPr>
              <w:t>）</w:t>
            </w:r>
          </w:p>
        </w:tc>
        <w:tc>
          <w:tcPr>
            <w:tcW w:w="3685" w:type="dxa"/>
          </w:tcPr>
          <w:p w14:paraId="20D5D084" w14:textId="77777777" w:rsidR="004C57B0" w:rsidRPr="000C0842" w:rsidRDefault="004C57B0">
            <w:pPr>
              <w:numPr>
                <w:ilvl w:val="0"/>
                <w:numId w:val="13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妇女和女童</w:t>
            </w:r>
          </w:p>
          <w:p w14:paraId="45AD20B5" w14:textId="77777777" w:rsidR="004C57B0" w:rsidRPr="000C0842" w:rsidRDefault="004C57B0">
            <w:pPr>
              <w:numPr>
                <w:ilvl w:val="0"/>
                <w:numId w:val="131"/>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儿童和青年</w:t>
            </w:r>
          </w:p>
          <w:p w14:paraId="1DCCA7E8" w14:textId="77777777" w:rsidR="004C57B0" w:rsidRPr="000C0842" w:rsidRDefault="004C57B0">
            <w:pPr>
              <w:numPr>
                <w:ilvl w:val="0"/>
                <w:numId w:val="13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残疾人</w:t>
            </w:r>
          </w:p>
          <w:p w14:paraId="4F523530" w14:textId="77777777" w:rsidR="004C57B0" w:rsidRPr="000C0842" w:rsidRDefault="004C57B0">
            <w:pPr>
              <w:numPr>
                <w:ilvl w:val="0"/>
                <w:numId w:val="13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eastAsia="SimSun" w:cs="Times New Roman"/>
                <w:sz w:val="20"/>
                <w:szCs w:val="20"/>
                <w:lang w:val="en-GB" w:eastAsia="zh-CN"/>
              </w:rPr>
              <w:t>土著人民和</w:t>
            </w:r>
            <w:r w:rsidRPr="000C0842">
              <w:rPr>
                <w:rFonts w:eastAsia="SimSun" w:cs="Times New Roman" w:hint="eastAsia"/>
                <w:sz w:val="20"/>
                <w:szCs w:val="20"/>
                <w:lang w:val="en-GB" w:eastAsia="zh-CN"/>
              </w:rPr>
              <w:t>地方</w:t>
            </w:r>
            <w:r w:rsidRPr="000C0842">
              <w:rPr>
                <w:rFonts w:eastAsia="SimSun" w:cs="Times New Roman"/>
                <w:sz w:val="20"/>
                <w:szCs w:val="20"/>
                <w:lang w:val="en-GB" w:eastAsia="zh-CN"/>
              </w:rPr>
              <w:t>社区</w:t>
            </w:r>
          </w:p>
          <w:p w14:paraId="1FCF5E56" w14:textId="77777777" w:rsidR="004C57B0" w:rsidRPr="000C0842" w:rsidRDefault="004C57B0">
            <w:pPr>
              <w:numPr>
                <w:ilvl w:val="0"/>
                <w:numId w:val="13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其他</w:t>
            </w:r>
          </w:p>
        </w:tc>
      </w:tr>
      <w:tr w:rsidR="000C0842" w:rsidRPr="000C0842" w14:paraId="2B4B21B7" w14:textId="77777777" w:rsidTr="001F32B3">
        <w:trPr>
          <w:cantSplit/>
          <w:trHeight w:val="1070"/>
        </w:trPr>
        <w:tc>
          <w:tcPr>
            <w:tcW w:w="6249" w:type="dxa"/>
          </w:tcPr>
          <w:p w14:paraId="772A8B44"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val="en-GB" w:eastAsia="zh-CN"/>
              </w:rPr>
            </w:pPr>
            <w:r w:rsidRPr="000C0842">
              <w:rPr>
                <w:rFonts w:eastAsia="SimSun" w:cs="Times New Roman"/>
                <w:b/>
                <w:sz w:val="20"/>
                <w:szCs w:val="20"/>
                <w:lang w:val="en-GB" w:eastAsia="zh-CN"/>
              </w:rPr>
              <w:t>20.3</w:t>
            </w:r>
            <w:r w:rsidRPr="000C0842">
              <w:rPr>
                <w:rFonts w:eastAsia="SimSun" w:cs="Times New Roman"/>
                <w:sz w:val="20"/>
                <w:szCs w:val="20"/>
                <w:lang w:val="en-GB" w:eastAsia="zh-CN"/>
              </w:rPr>
              <w:tab/>
            </w:r>
            <w:r w:rsidRPr="000C0842">
              <w:rPr>
                <w:rFonts w:eastAsia="SimSun" w:cs="Times New Roman"/>
                <w:sz w:val="20"/>
                <w:szCs w:val="20"/>
                <w:lang w:val="en-GB" w:eastAsia="zh-CN"/>
              </w:rPr>
              <w:t>贵国是否开展了国家能力自我评估或其他进程</w:t>
            </w:r>
            <w:r w:rsidRPr="000C0842">
              <w:rPr>
                <w:rFonts w:eastAsia="SimSun" w:cs="Times New Roman" w:hint="eastAsia"/>
                <w:sz w:val="20"/>
                <w:szCs w:val="20"/>
                <w:lang w:val="en-GB" w:eastAsia="zh-CN"/>
              </w:rPr>
              <w:t>，以</w:t>
            </w:r>
            <w:r w:rsidRPr="000C0842">
              <w:rPr>
                <w:rFonts w:eastAsia="SimSun" w:cs="Times New Roman"/>
                <w:sz w:val="20"/>
                <w:szCs w:val="20"/>
                <w:lang w:val="en-GB" w:eastAsia="zh-CN"/>
              </w:rPr>
              <w:t>评估保护和可持续利用生物多样性的能力需求？</w:t>
            </w:r>
          </w:p>
        </w:tc>
        <w:tc>
          <w:tcPr>
            <w:tcW w:w="3685" w:type="dxa"/>
          </w:tcPr>
          <w:p w14:paraId="362DB201" w14:textId="77777777" w:rsidR="004C57B0" w:rsidRPr="000C0842" w:rsidRDefault="004C57B0">
            <w:pPr>
              <w:numPr>
                <w:ilvl w:val="0"/>
                <w:numId w:val="13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1212A569" w14:textId="77777777" w:rsidR="004C57B0" w:rsidRPr="000C0842" w:rsidRDefault="004C57B0">
            <w:pPr>
              <w:numPr>
                <w:ilvl w:val="0"/>
                <w:numId w:val="13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706066D6" w14:textId="77777777" w:rsidR="004C57B0" w:rsidRPr="000C0842" w:rsidRDefault="004C57B0">
            <w:pPr>
              <w:numPr>
                <w:ilvl w:val="0"/>
                <w:numId w:val="13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3D561AB3" w14:textId="77777777" w:rsidR="004C57B0" w:rsidRPr="000C0842" w:rsidRDefault="004C57B0">
            <w:pPr>
              <w:numPr>
                <w:ilvl w:val="0"/>
                <w:numId w:val="13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3D94BA10" w14:textId="77777777" w:rsidTr="001F32B3">
        <w:trPr>
          <w:cantSplit/>
          <w:trHeight w:val="420"/>
        </w:trPr>
        <w:tc>
          <w:tcPr>
            <w:tcW w:w="6249" w:type="dxa"/>
          </w:tcPr>
          <w:p w14:paraId="7C593767" w14:textId="4480B516" w:rsidR="004C57B0" w:rsidRPr="000C0842" w:rsidRDefault="004C57B0" w:rsidP="004C57B0">
            <w:pPr>
              <w:shd w:val="clear" w:color="auto" w:fill="FFFFFF"/>
              <w:tabs>
                <w:tab w:val="clear" w:pos="567"/>
                <w:tab w:val="clear" w:pos="1134"/>
                <w:tab w:val="clear" w:pos="1701"/>
                <w:tab w:val="clear" w:pos="2268"/>
              </w:tabs>
              <w:spacing w:after="160" w:line="233" w:lineRule="atLeast"/>
              <w:jc w:val="left"/>
              <w:rPr>
                <w:rFonts w:eastAsia="SimSun" w:cs="Times New Roman"/>
                <w:b/>
                <w:sz w:val="20"/>
                <w:szCs w:val="20"/>
                <w:lang w:val="en-GB" w:eastAsia="zh-CN"/>
              </w:rPr>
            </w:pPr>
            <w:r w:rsidRPr="000C0842">
              <w:rPr>
                <w:rFonts w:eastAsia="SimSun" w:cs="Times New Roman"/>
                <w:b/>
                <w:sz w:val="20"/>
                <w:szCs w:val="20"/>
                <w:lang w:val="en-GB" w:eastAsia="zh-CN"/>
              </w:rPr>
              <w:t>20.4</w:t>
            </w:r>
            <w:r w:rsidRPr="000C0842">
              <w:rPr>
                <w:rFonts w:eastAsia="SimSun" w:cs="Times New Roman"/>
                <w:b/>
                <w:sz w:val="20"/>
                <w:szCs w:val="20"/>
                <w:lang w:val="en-GB" w:eastAsia="zh-CN"/>
              </w:rPr>
              <w:tab/>
            </w:r>
            <w:r w:rsidRPr="000C0842">
              <w:rPr>
                <w:rFonts w:eastAsia="SimSun" w:cs="Times New Roman"/>
                <w:sz w:val="20"/>
                <w:szCs w:val="20"/>
                <w:lang w:eastAsia="zh-CN"/>
              </w:rPr>
              <w:t>贵国是否</w:t>
            </w:r>
            <w:r w:rsidRPr="000C0842">
              <w:rPr>
                <w:rFonts w:eastAsia="SimSun" w:cs="Times New Roman"/>
                <w:sz w:val="20"/>
                <w:szCs w:val="20"/>
                <w:lang w:val="en-GB" w:eastAsia="zh-CN"/>
              </w:rPr>
              <w:t>对土著人民和</w:t>
            </w:r>
            <w:r w:rsidRPr="000C0842">
              <w:rPr>
                <w:rFonts w:eastAsia="SimSun" w:cs="Times New Roman" w:hint="eastAsia"/>
                <w:sz w:val="20"/>
                <w:szCs w:val="20"/>
                <w:lang w:val="en-GB" w:eastAsia="zh-CN"/>
              </w:rPr>
              <w:t>地方</w:t>
            </w:r>
            <w:r w:rsidRPr="000C0842">
              <w:rPr>
                <w:rFonts w:eastAsia="SimSun" w:cs="Times New Roman"/>
                <w:sz w:val="20"/>
                <w:szCs w:val="20"/>
                <w:lang w:val="en-GB" w:eastAsia="zh-CN"/>
              </w:rPr>
              <w:t>社区、妇女和女童、儿童和青年以及残疾人保护和可持续利用生物多样性的能力建设和发展需求进行了国家评估？</w:t>
            </w:r>
            <w:r w:rsidR="00997EE8" w:rsidRPr="000C0842">
              <w:rPr>
                <w:rFonts w:eastAsia="SimSun" w:cs="Times New Roman" w:hint="eastAsia"/>
                <w:sz w:val="20"/>
                <w:szCs w:val="20"/>
                <w:lang w:val="en-GB" w:eastAsia="zh-CN"/>
              </w:rPr>
              <w:t>（</w:t>
            </w:r>
            <w:r w:rsidRPr="000C0842">
              <w:rPr>
                <w:rFonts w:eastAsia="SimSun" w:cs="Times New Roman"/>
                <w:sz w:val="20"/>
                <w:szCs w:val="20"/>
                <w:lang w:val="en-GB" w:eastAsia="zh-CN"/>
              </w:rPr>
              <w:t>选择所有适用的选项</w:t>
            </w:r>
            <w:r w:rsidR="00997EE8" w:rsidRPr="000C0842">
              <w:rPr>
                <w:rFonts w:eastAsia="SimSun" w:cs="Times New Roman" w:hint="eastAsia"/>
                <w:sz w:val="20"/>
                <w:szCs w:val="20"/>
                <w:lang w:val="en-GB" w:eastAsia="zh-CN"/>
              </w:rPr>
              <w:t>）</w:t>
            </w:r>
          </w:p>
        </w:tc>
        <w:tc>
          <w:tcPr>
            <w:tcW w:w="3685" w:type="dxa"/>
          </w:tcPr>
          <w:p w14:paraId="05AF6707" w14:textId="77777777" w:rsidR="004C57B0" w:rsidRPr="000C0842" w:rsidRDefault="004C57B0">
            <w:pPr>
              <w:numPr>
                <w:ilvl w:val="0"/>
                <w:numId w:val="13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妇女和女童</w:t>
            </w:r>
          </w:p>
          <w:p w14:paraId="35102DB8" w14:textId="77777777" w:rsidR="004C57B0" w:rsidRPr="000C0842" w:rsidRDefault="004C57B0">
            <w:pPr>
              <w:numPr>
                <w:ilvl w:val="0"/>
                <w:numId w:val="133"/>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儿童和青年</w:t>
            </w:r>
          </w:p>
          <w:p w14:paraId="48B6ABD5" w14:textId="77777777" w:rsidR="004C57B0" w:rsidRPr="000C0842" w:rsidRDefault="004C57B0">
            <w:pPr>
              <w:numPr>
                <w:ilvl w:val="0"/>
                <w:numId w:val="13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残疾人</w:t>
            </w:r>
          </w:p>
          <w:p w14:paraId="22EAE8DE" w14:textId="77777777" w:rsidR="004C57B0" w:rsidRPr="000C0842" w:rsidRDefault="004C57B0">
            <w:pPr>
              <w:numPr>
                <w:ilvl w:val="0"/>
                <w:numId w:val="13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eastAsia="SimSun" w:cs="Times New Roman"/>
                <w:sz w:val="20"/>
                <w:szCs w:val="20"/>
                <w:lang w:val="en-GB" w:eastAsia="zh-CN"/>
              </w:rPr>
              <w:t>土著人民和</w:t>
            </w:r>
            <w:r w:rsidRPr="000C0842">
              <w:rPr>
                <w:rFonts w:eastAsia="SimSun" w:cs="Times New Roman" w:hint="eastAsia"/>
                <w:sz w:val="20"/>
                <w:szCs w:val="20"/>
                <w:lang w:val="en-GB" w:eastAsia="zh-CN"/>
              </w:rPr>
              <w:t>地方</w:t>
            </w:r>
            <w:r w:rsidRPr="000C0842">
              <w:rPr>
                <w:rFonts w:eastAsia="SimSun" w:cs="Times New Roman"/>
                <w:sz w:val="20"/>
                <w:szCs w:val="20"/>
                <w:lang w:val="en-GB" w:eastAsia="zh-CN"/>
              </w:rPr>
              <w:t>社区</w:t>
            </w:r>
          </w:p>
          <w:p w14:paraId="28F44200" w14:textId="77777777" w:rsidR="004C57B0" w:rsidRPr="000C0842" w:rsidRDefault="004C57B0">
            <w:pPr>
              <w:numPr>
                <w:ilvl w:val="0"/>
                <w:numId w:val="133"/>
              </w:numPr>
              <w:tabs>
                <w:tab w:val="clear" w:pos="567"/>
                <w:tab w:val="clear" w:pos="1134"/>
                <w:tab w:val="clear" w:pos="1701"/>
                <w:tab w:val="clear" w:pos="2268"/>
              </w:tabs>
              <w:contextualSpacing/>
              <w:jc w:val="left"/>
              <w:rPr>
                <w:rFonts w:eastAsia="SimSun" w:cs="Times New Roman"/>
                <w:sz w:val="20"/>
                <w:szCs w:val="20"/>
                <w:shd w:val="clear" w:color="auto" w:fill="FFFFFF"/>
                <w:lang w:val="en-GB" w:eastAsia="zh-CN"/>
              </w:rPr>
            </w:pPr>
            <w:r w:rsidRPr="000C0842">
              <w:rPr>
                <w:rFonts w:ascii="SimSun" w:eastAsia="SimSun" w:hAnsi="SimSun" w:cs="SimSun" w:hint="eastAsia"/>
                <w:sz w:val="20"/>
                <w:szCs w:val="20"/>
                <w:shd w:val="clear" w:color="auto" w:fill="FFFFFF"/>
                <w:lang w:val="en-GB" w:eastAsia="zh-CN"/>
              </w:rPr>
              <w:t>其他</w:t>
            </w:r>
          </w:p>
        </w:tc>
      </w:tr>
      <w:tr w:rsidR="000C0842" w:rsidRPr="000C0842" w14:paraId="67A90E77" w14:textId="77777777" w:rsidTr="001F32B3">
        <w:trPr>
          <w:cantSplit/>
          <w:trHeight w:val="1037"/>
        </w:trPr>
        <w:tc>
          <w:tcPr>
            <w:tcW w:w="6249" w:type="dxa"/>
          </w:tcPr>
          <w:p w14:paraId="0DB2DD45"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eastAsia="zh-CN"/>
              </w:rPr>
            </w:pPr>
            <w:r w:rsidRPr="000C0842">
              <w:rPr>
                <w:rFonts w:eastAsia="SimSun" w:cs="Times New Roman"/>
                <w:b/>
                <w:sz w:val="20"/>
                <w:szCs w:val="20"/>
                <w:lang w:val="en-GB" w:eastAsia="zh-CN"/>
              </w:rPr>
              <w:t>20.5</w:t>
            </w:r>
            <w:r w:rsidRPr="000C0842">
              <w:rPr>
                <w:rFonts w:eastAsia="SimSun" w:cs="Times New Roman"/>
                <w:sz w:val="20"/>
                <w:szCs w:val="20"/>
                <w:lang w:val="en-GB" w:eastAsia="zh-CN"/>
              </w:rPr>
              <w:tab/>
            </w:r>
            <w:r w:rsidRPr="000C0842">
              <w:rPr>
                <w:rFonts w:eastAsia="SimSun" w:cs="Times New Roman"/>
                <w:sz w:val="20"/>
                <w:szCs w:val="20"/>
                <w:lang w:eastAsia="zh-CN"/>
              </w:rPr>
              <w:t>贵国是否</w:t>
            </w:r>
            <w:r w:rsidRPr="000C0842">
              <w:rPr>
                <w:rFonts w:eastAsia="SimSun" w:cs="Times New Roman"/>
                <w:sz w:val="20"/>
                <w:szCs w:val="20"/>
                <w:lang w:val="en-GB" w:eastAsia="zh-CN"/>
              </w:rPr>
              <w:t>建立了伙伴关系，以促进联合技术开发和联合科学研究方案，从而保护和可持续利用生物多样性并加强科学研究和监测能力，包括通过南南合作、南北合作和三</w:t>
            </w:r>
            <w:r w:rsidRPr="000C0842">
              <w:rPr>
                <w:rFonts w:eastAsia="SimSun" w:cs="Times New Roman" w:hint="eastAsia"/>
                <w:sz w:val="20"/>
                <w:szCs w:val="20"/>
                <w:lang w:val="en-GB" w:eastAsia="zh-CN"/>
              </w:rPr>
              <w:t>方</w:t>
            </w:r>
            <w:r w:rsidRPr="000C0842">
              <w:rPr>
                <w:rFonts w:eastAsia="SimSun" w:cs="Times New Roman"/>
                <w:sz w:val="20"/>
                <w:szCs w:val="20"/>
                <w:lang w:val="en-GB" w:eastAsia="zh-CN"/>
              </w:rPr>
              <w:t>合作？</w:t>
            </w:r>
            <w:r w:rsidRPr="000C0842">
              <w:rPr>
                <w:rFonts w:eastAsia="SimSun" w:cs="Times New Roman" w:hint="eastAsia"/>
                <w:sz w:val="20"/>
                <w:szCs w:val="20"/>
                <w:lang w:eastAsia="zh-CN"/>
              </w:rPr>
              <w:t xml:space="preserve"> </w:t>
            </w:r>
          </w:p>
          <w:p w14:paraId="21DF514C"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eastAsia="zh-CN"/>
              </w:rPr>
            </w:pPr>
          </w:p>
          <w:p w14:paraId="0F3E910D"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eastAsia="zh-CN"/>
              </w:rPr>
            </w:pPr>
            <w:r w:rsidRPr="000C0842">
              <w:rPr>
                <w:rFonts w:ascii="SimSun" w:eastAsia="SimSun" w:hAnsi="SimSun" w:cs="Times New Roman" w:hint="eastAsia"/>
                <w:sz w:val="20"/>
                <w:szCs w:val="20"/>
                <w:lang w:val="en-GB" w:eastAsia="zh-CN"/>
              </w:rPr>
              <w:t xml:space="preserve"> </w:t>
            </w:r>
          </w:p>
          <w:p w14:paraId="6E4F5B4A"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ascii="SimSun" w:eastAsia="SimSun" w:hAnsi="SimSun" w:cs="SimSun"/>
                <w:sz w:val="20"/>
                <w:szCs w:val="20"/>
                <w:lang w:val="en-GB" w:eastAsia="zh-CN"/>
              </w:rPr>
            </w:pPr>
          </w:p>
          <w:p w14:paraId="756E0F3B" w14:textId="77777777" w:rsidR="004C57B0" w:rsidRPr="000C0842" w:rsidRDefault="004C57B0" w:rsidP="004C57B0">
            <w:pPr>
              <w:shd w:val="clear" w:color="auto" w:fill="FFFFFF"/>
              <w:tabs>
                <w:tab w:val="clear" w:pos="567"/>
                <w:tab w:val="clear" w:pos="1134"/>
                <w:tab w:val="clear" w:pos="1701"/>
                <w:tab w:val="clear" w:pos="2268"/>
              </w:tabs>
              <w:spacing w:line="233" w:lineRule="atLeast"/>
              <w:jc w:val="left"/>
              <w:rPr>
                <w:rFonts w:eastAsia="SimSun" w:cs="Times New Roman"/>
                <w:sz w:val="20"/>
                <w:szCs w:val="20"/>
                <w:lang w:val="en-GB" w:eastAsia="zh-CN"/>
              </w:rPr>
            </w:pPr>
          </w:p>
        </w:tc>
        <w:tc>
          <w:tcPr>
            <w:tcW w:w="3685" w:type="dxa"/>
          </w:tcPr>
          <w:p w14:paraId="1A4B3343" w14:textId="77777777" w:rsidR="004C57B0" w:rsidRPr="000C0842" w:rsidRDefault="004C57B0">
            <w:pPr>
              <w:numPr>
                <w:ilvl w:val="0"/>
                <w:numId w:val="16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51FA494F" w14:textId="77777777" w:rsidR="004C57B0" w:rsidRPr="000C0842" w:rsidRDefault="004C57B0">
            <w:pPr>
              <w:numPr>
                <w:ilvl w:val="0"/>
                <w:numId w:val="16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09DB4FD7" w14:textId="77777777" w:rsidR="004C57B0" w:rsidRPr="000C0842" w:rsidRDefault="004C57B0">
            <w:pPr>
              <w:numPr>
                <w:ilvl w:val="0"/>
                <w:numId w:val="16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3D92B369" w14:textId="77777777" w:rsidR="004C57B0" w:rsidRPr="000C0842" w:rsidRDefault="004C57B0">
            <w:pPr>
              <w:numPr>
                <w:ilvl w:val="0"/>
                <w:numId w:val="16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p w14:paraId="3FF9A7D9" w14:textId="628D41BB" w:rsidR="004C57B0" w:rsidRPr="000C0842" w:rsidRDefault="00997EE8" w:rsidP="004C57B0">
            <w:pPr>
              <w:tabs>
                <w:tab w:val="clear" w:pos="567"/>
                <w:tab w:val="clear" w:pos="1134"/>
                <w:tab w:val="clear" w:pos="1701"/>
                <w:tab w:val="clear" w:pos="2268"/>
              </w:tabs>
              <w:ind w:left="360"/>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w:t>
            </w:r>
            <w:r w:rsidR="004C57B0" w:rsidRPr="000C0842">
              <w:rPr>
                <w:rFonts w:ascii="SimSun" w:eastAsia="SimSun" w:hAnsi="SimSun" w:cs="SimSun" w:hint="eastAsia"/>
                <w:sz w:val="20"/>
                <w:szCs w:val="20"/>
                <w:shd w:val="clear" w:color="auto" w:fill="FFFFFF"/>
                <w:lang w:val="en-GB" w:eastAsia="zh-CN"/>
              </w:rPr>
              <w:t>具体说明每种类型的伙伴关系</w:t>
            </w:r>
            <w:r w:rsidRPr="000C0842">
              <w:rPr>
                <w:rFonts w:ascii="SimSun" w:eastAsia="SimSun" w:hAnsi="SimSun" w:cs="SimSun" w:hint="eastAsia"/>
                <w:sz w:val="20"/>
                <w:szCs w:val="20"/>
                <w:shd w:val="clear" w:color="auto" w:fill="FFFFFF"/>
                <w:lang w:val="en-GB" w:eastAsia="zh-CN"/>
              </w:rPr>
              <w:t>（</w:t>
            </w:r>
            <w:r w:rsidR="004C57B0" w:rsidRPr="000C0842">
              <w:rPr>
                <w:rFonts w:ascii="SimSun" w:eastAsia="SimSun" w:hAnsi="SimSun" w:cs="SimSun" w:hint="eastAsia"/>
                <w:sz w:val="20"/>
                <w:szCs w:val="20"/>
                <w:shd w:val="clear" w:color="auto" w:fill="FFFFFF"/>
                <w:lang w:val="en-GB" w:eastAsia="zh-CN"/>
              </w:rPr>
              <w:t>可选</w:t>
            </w:r>
            <w:r w:rsidRPr="000C0842">
              <w:rPr>
                <w:rFonts w:ascii="SimSun" w:eastAsia="SimSun" w:hAnsi="SimSun" w:cs="SimSun" w:hint="eastAsia"/>
                <w:sz w:val="20"/>
                <w:szCs w:val="20"/>
                <w:shd w:val="clear" w:color="auto" w:fill="FFFFFF"/>
                <w:lang w:val="en-GB" w:eastAsia="zh-CN"/>
              </w:rPr>
              <w:t>））</w:t>
            </w:r>
          </w:p>
        </w:tc>
      </w:tr>
      <w:tr w:rsidR="000C0842" w:rsidRPr="000C0842" w14:paraId="2A9F99ED" w14:textId="77777777" w:rsidTr="001F32B3">
        <w:trPr>
          <w:cantSplit/>
        </w:trPr>
        <w:tc>
          <w:tcPr>
            <w:tcW w:w="9934" w:type="dxa"/>
            <w:gridSpan w:val="2"/>
            <w:shd w:val="clear" w:color="auto" w:fill="F2F2F2"/>
          </w:tcPr>
          <w:p w14:paraId="5B9CD4E1"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br w:type="page"/>
            </w: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22</w:t>
            </w:r>
            <w:r w:rsidRPr="000C0842">
              <w:rPr>
                <w:rFonts w:ascii="SimSun" w:eastAsia="SimSun" w:hAnsi="SimSun" w:cs="SimSun" w:hint="eastAsia"/>
                <w:b/>
                <w:sz w:val="20"/>
                <w:szCs w:val="20"/>
                <w:lang w:val="en-GB" w:eastAsia="zh-CN"/>
              </w:rPr>
              <w:t>：</w:t>
            </w:r>
            <w:r w:rsidRPr="000C0842">
              <w:rPr>
                <w:rFonts w:ascii="SimSun" w:eastAsia="SimSun" w:hAnsi="SimSun" w:cs="SimSun" w:hint="eastAsia"/>
                <w:b/>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0C0842">
              <w:rPr>
                <w:rFonts w:eastAsia="SimSun" w:cs="Times New Roman"/>
                <w:b/>
                <w:sz w:val="20"/>
                <w:szCs w:val="20"/>
                <w:lang w:val="en-GB" w:eastAsia="zh-CN"/>
              </w:rPr>
              <w:t xml:space="preserve"> </w:t>
            </w:r>
          </w:p>
        </w:tc>
      </w:tr>
      <w:tr w:rsidR="000C0842" w:rsidRPr="000C0842" w14:paraId="17EF3FBD" w14:textId="77777777" w:rsidTr="001F32B3">
        <w:trPr>
          <w:cantSplit/>
          <w:trHeight w:val="928"/>
        </w:trPr>
        <w:tc>
          <w:tcPr>
            <w:tcW w:w="9934" w:type="dxa"/>
            <w:gridSpan w:val="2"/>
            <w:shd w:val="clear" w:color="auto" w:fill="FFFFFF"/>
          </w:tcPr>
          <w:p w14:paraId="47E0D8F0"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ascii="SimSun" w:eastAsia="SimSun" w:hAnsi="SimSun" w:cs="SimSun" w:hint="eastAsia"/>
                <w:b/>
                <w:sz w:val="20"/>
                <w:szCs w:val="20"/>
                <w:lang w:val="en-GB" w:eastAsia="zh-CN"/>
              </w:rPr>
              <w:t>指标：</w:t>
            </w:r>
            <w:r w:rsidRPr="000C0842">
              <w:rPr>
                <w:rFonts w:ascii="SimSun" w:eastAsia="SimSun" w:hAnsi="SimSun" w:cs="SimSun" w:hint="eastAsia"/>
                <w:b/>
                <w:bCs/>
                <w:iCs/>
                <w:sz w:val="20"/>
                <w:szCs w:val="20"/>
                <w:lang w:val="en-GB" w:eastAsia="zh-CN"/>
              </w:rPr>
              <w:t>采取行动</w:t>
            </w:r>
            <w:r w:rsidRPr="000C0842">
              <w:rPr>
                <w:rFonts w:ascii="SimSun" w:eastAsia="SimSun" w:hAnsi="SimSun" w:cs="SimSun" w:hint="eastAsia"/>
                <w:b/>
                <w:bCs/>
                <w:sz w:val="20"/>
                <w:szCs w:val="20"/>
                <w:lang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充分保护环境人权维护者</w:t>
            </w:r>
            <w:r w:rsidRPr="000C0842">
              <w:rPr>
                <w:rFonts w:ascii="SimSun" w:eastAsia="SimSun" w:hAnsi="SimSun" w:cs="SimSun" w:hint="eastAsia"/>
                <w:b/>
                <w:bCs/>
                <w:iCs/>
                <w:sz w:val="20"/>
                <w:szCs w:val="20"/>
                <w:lang w:val="en-GB" w:eastAsia="zh-CN"/>
              </w:rPr>
              <w:t>的国家数目</w:t>
            </w:r>
            <w:r w:rsidRPr="000C0842">
              <w:rPr>
                <w:rFonts w:ascii="SimSun" w:eastAsia="SimSun" w:hAnsi="SimSun" w:cs="SimSun" w:hint="eastAsia"/>
                <w:b/>
                <w:sz w:val="20"/>
                <w:szCs w:val="20"/>
                <w:lang w:val="en-GB" w:eastAsia="zh-CN"/>
              </w:rPr>
              <w:t>。</w:t>
            </w:r>
            <w:r w:rsidRPr="000C0842">
              <w:rPr>
                <w:rFonts w:eastAsia="SimSun" w:cs="Times New Roman"/>
                <w:b/>
                <w:sz w:val="20"/>
                <w:szCs w:val="20"/>
                <w:lang w:val="en-GB" w:eastAsia="zh-CN"/>
              </w:rPr>
              <w:t xml:space="preserve"> </w:t>
            </w:r>
          </w:p>
        </w:tc>
      </w:tr>
      <w:tr w:rsidR="000C0842" w:rsidRPr="000C0842" w14:paraId="2AB54798" w14:textId="77777777" w:rsidTr="001F32B3">
        <w:trPr>
          <w:cantSplit/>
        </w:trPr>
        <w:tc>
          <w:tcPr>
            <w:tcW w:w="6249" w:type="dxa"/>
          </w:tcPr>
          <w:p w14:paraId="506CF340"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22.1</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贵国是否建立了国家和次国家政府的政策、法律和行政框架，以便：</w:t>
            </w:r>
          </w:p>
        </w:tc>
        <w:tc>
          <w:tcPr>
            <w:tcW w:w="3685" w:type="dxa"/>
          </w:tcPr>
          <w:p w14:paraId="7EBCC3ED" w14:textId="77777777" w:rsidR="004C57B0" w:rsidRPr="000C0842" w:rsidRDefault="004C57B0" w:rsidP="004C57B0">
            <w:pPr>
              <w:tabs>
                <w:tab w:val="clear" w:pos="567"/>
                <w:tab w:val="clear" w:pos="1134"/>
                <w:tab w:val="clear" w:pos="1701"/>
                <w:tab w:val="clear" w:pos="2268"/>
              </w:tabs>
              <w:ind w:left="360"/>
              <w:contextualSpacing/>
              <w:jc w:val="left"/>
              <w:rPr>
                <w:rFonts w:eastAsia="SimSun" w:cs="Times New Roman"/>
                <w:sz w:val="20"/>
                <w:szCs w:val="20"/>
                <w:lang w:val="en-GB" w:eastAsia="zh-CN"/>
              </w:rPr>
            </w:pPr>
          </w:p>
        </w:tc>
      </w:tr>
      <w:tr w:rsidR="000C0842" w:rsidRPr="000C0842" w14:paraId="3065A6D1" w14:textId="77777777" w:rsidTr="001F32B3">
        <w:trPr>
          <w:cantSplit/>
          <w:trHeight w:val="1180"/>
        </w:trPr>
        <w:tc>
          <w:tcPr>
            <w:tcW w:w="6249" w:type="dxa"/>
          </w:tcPr>
          <w:p w14:paraId="07886CA9" w14:textId="77777777" w:rsidR="004C57B0" w:rsidRPr="000C0842" w:rsidRDefault="004C57B0" w:rsidP="004C57B0">
            <w:p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确保以下群体在</w:t>
            </w:r>
            <w:r w:rsidRPr="000C0842">
              <w:rPr>
                <w:rFonts w:ascii="SimSun" w:eastAsia="SimSun" w:hAnsi="SimSun" w:cs="SimSun" w:hint="eastAsia"/>
                <w:sz w:val="20"/>
                <w:szCs w:val="20"/>
                <w:lang w:val="en-GB" w:eastAsia="zh-CN"/>
              </w:rPr>
              <w:t>与生物多样性相关的</w:t>
            </w:r>
            <w:r w:rsidRPr="000C0842">
              <w:rPr>
                <w:rFonts w:ascii="SimSun" w:eastAsia="SimSun" w:hAnsi="SimSun" w:cs="SimSun" w:hint="eastAsia"/>
                <w:sz w:val="20"/>
                <w:szCs w:val="20"/>
                <w:lang w:eastAsia="zh-CN"/>
              </w:rPr>
              <w:t>生物多样性决策中享有充分、公平、包容、有效和注重性别平等的代表性和参与</w:t>
            </w:r>
            <w:r w:rsidRPr="000C0842">
              <w:rPr>
                <w:rFonts w:eastAsia="SimSun" w:cs="Times New Roman" w:hint="eastAsia"/>
                <w:sz w:val="20"/>
                <w:szCs w:val="20"/>
                <w:lang w:eastAsia="zh-CN"/>
              </w:rPr>
              <w:t xml:space="preserve"> </w:t>
            </w:r>
            <w:r w:rsidRPr="000C0842">
              <w:rPr>
                <w:rFonts w:ascii="SimSun" w:eastAsia="SimSun" w:hAnsi="SimSun" w:cs="SimSun" w:hint="eastAsia"/>
                <w:sz w:val="20"/>
                <w:szCs w:val="20"/>
                <w:lang w:eastAsia="zh-CN"/>
              </w:rPr>
              <w:t>（选择所有适用选项）：</w:t>
            </w:r>
          </w:p>
        </w:tc>
        <w:tc>
          <w:tcPr>
            <w:tcW w:w="3685" w:type="dxa"/>
          </w:tcPr>
          <w:p w14:paraId="17BD4C17" w14:textId="77777777" w:rsidR="004C57B0" w:rsidRPr="000C0842" w:rsidRDefault="004C57B0">
            <w:pPr>
              <w:numPr>
                <w:ilvl w:val="0"/>
                <w:numId w:val="13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土著人民和地方社区</w:t>
            </w:r>
          </w:p>
          <w:p w14:paraId="541CC6C7" w14:textId="77777777" w:rsidR="004C57B0" w:rsidRPr="000C0842" w:rsidRDefault="004C57B0">
            <w:pPr>
              <w:numPr>
                <w:ilvl w:val="0"/>
                <w:numId w:val="13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妇女和女童</w:t>
            </w:r>
          </w:p>
          <w:p w14:paraId="6F029183" w14:textId="77777777" w:rsidR="004C57B0" w:rsidRPr="000C0842" w:rsidRDefault="004C57B0">
            <w:pPr>
              <w:numPr>
                <w:ilvl w:val="0"/>
                <w:numId w:val="13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儿童和青年</w:t>
            </w:r>
          </w:p>
          <w:p w14:paraId="50954AE5" w14:textId="77777777" w:rsidR="004C57B0" w:rsidRPr="000C0842" w:rsidRDefault="004C57B0">
            <w:pPr>
              <w:numPr>
                <w:ilvl w:val="0"/>
                <w:numId w:val="13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残疾人</w:t>
            </w:r>
          </w:p>
          <w:p w14:paraId="0A671A39" w14:textId="77777777" w:rsidR="004C57B0" w:rsidRPr="000C0842" w:rsidRDefault="004C57B0">
            <w:pPr>
              <w:numPr>
                <w:ilvl w:val="0"/>
                <w:numId w:val="137"/>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其他</w:t>
            </w:r>
          </w:p>
        </w:tc>
      </w:tr>
      <w:tr w:rsidR="000C0842" w:rsidRPr="000C0842" w14:paraId="3D41DCA0" w14:textId="77777777" w:rsidTr="001F32B3">
        <w:trPr>
          <w:cantSplit/>
        </w:trPr>
        <w:tc>
          <w:tcPr>
            <w:tcW w:w="6249" w:type="dxa"/>
          </w:tcPr>
          <w:p w14:paraId="46BD7CE9" w14:textId="77777777" w:rsidR="004C57B0" w:rsidRPr="000C0842" w:rsidRDefault="004C57B0" w:rsidP="004C57B0">
            <w:pPr>
              <w:tabs>
                <w:tab w:val="clear" w:pos="567"/>
                <w:tab w:val="clear" w:pos="1134"/>
                <w:tab w:val="clear" w:pos="1701"/>
                <w:tab w:val="clear" w:pos="2268"/>
                <w:tab w:val="left" w:pos="326"/>
              </w:tabs>
              <w:contextualSpacing/>
              <w:jc w:val="left"/>
              <w:rPr>
                <w:rFonts w:ascii="SimSun" w:eastAsia="SimSun" w:hAnsi="SimSun" w:cs="SimSun"/>
                <w:sz w:val="20"/>
                <w:szCs w:val="20"/>
                <w:lang w:eastAsia="zh-CN"/>
              </w:rPr>
            </w:pPr>
            <w:r w:rsidRPr="000C0842">
              <w:rPr>
                <w:rFonts w:eastAsia="SimSun" w:cs="Times New Roman"/>
                <w:sz w:val="20"/>
                <w:szCs w:val="20"/>
                <w:lang w:val="en-GB" w:eastAsia="zh-CN"/>
              </w:rPr>
              <w:t>(b)</w:t>
            </w:r>
            <w:r w:rsidRPr="000C0842">
              <w:rPr>
                <w:rFonts w:eastAsia="SimSun" w:cs="Times New Roman"/>
                <w:b/>
                <w:sz w:val="20"/>
                <w:szCs w:val="20"/>
                <w:lang w:val="en-GB" w:eastAsia="zh-CN"/>
              </w:rPr>
              <w:tab/>
            </w:r>
            <w:r w:rsidRPr="000C0842">
              <w:rPr>
                <w:rFonts w:ascii="SimSun" w:eastAsia="SimSun" w:hAnsi="SimSun" w:cs="SimSun" w:hint="eastAsia"/>
                <w:sz w:val="20"/>
                <w:szCs w:val="20"/>
                <w:lang w:val="en-GB" w:eastAsia="zh-CN"/>
              </w:rPr>
              <w:t>尊重土著人民和地方社区的以下权利和文化</w:t>
            </w:r>
            <w:r w:rsidRPr="000C0842">
              <w:rPr>
                <w:rFonts w:ascii="inherit" w:eastAsia="SimSun" w:hAnsi="inherit" w:cs="Times New Roman" w:hint="eastAsia"/>
                <w:sz w:val="20"/>
                <w:szCs w:val="20"/>
                <w:lang w:val="en-GB" w:eastAsia="zh-CN"/>
              </w:rPr>
              <w:t xml:space="preserve"> </w:t>
            </w:r>
            <w:r w:rsidRPr="000C0842">
              <w:rPr>
                <w:rFonts w:ascii="SimSun" w:eastAsia="SimSun" w:hAnsi="SimSun" w:cs="SimSun" w:hint="eastAsia"/>
                <w:sz w:val="20"/>
                <w:szCs w:val="20"/>
                <w:lang w:eastAsia="zh-CN"/>
              </w:rPr>
              <w:t>（选择所有适用选项）：</w:t>
            </w:r>
          </w:p>
          <w:p w14:paraId="6E6DE071"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eastAsia="zh-CN"/>
              </w:rPr>
            </w:pPr>
          </w:p>
        </w:tc>
        <w:tc>
          <w:tcPr>
            <w:tcW w:w="3685" w:type="dxa"/>
          </w:tcPr>
          <w:p w14:paraId="08483B2D" w14:textId="77777777" w:rsidR="004C57B0" w:rsidRPr="000C0842" w:rsidRDefault="004C57B0">
            <w:pPr>
              <w:numPr>
                <w:ilvl w:val="0"/>
                <w:numId w:val="13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文化和做法</w:t>
            </w:r>
            <w:r w:rsidRPr="000C0842">
              <w:rPr>
                <w:rFonts w:eastAsia="SimSun" w:cs="Times New Roman"/>
                <w:sz w:val="20"/>
                <w:szCs w:val="20"/>
                <w:lang w:val="en-GB" w:eastAsia="zh-CN"/>
              </w:rPr>
              <w:t xml:space="preserve"> </w:t>
            </w:r>
          </w:p>
          <w:p w14:paraId="5612E505" w14:textId="77777777" w:rsidR="004C57B0" w:rsidRPr="000C0842" w:rsidRDefault="004C57B0">
            <w:pPr>
              <w:numPr>
                <w:ilvl w:val="0"/>
                <w:numId w:val="13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对土地和领地的权利</w:t>
            </w:r>
          </w:p>
          <w:p w14:paraId="2DE8C915" w14:textId="77777777" w:rsidR="004C57B0" w:rsidRPr="000C0842" w:rsidRDefault="004C57B0">
            <w:pPr>
              <w:numPr>
                <w:ilvl w:val="0"/>
                <w:numId w:val="13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对资源的权利</w:t>
            </w:r>
          </w:p>
          <w:p w14:paraId="5677036B" w14:textId="77777777" w:rsidR="004C57B0" w:rsidRPr="000C0842" w:rsidRDefault="004C57B0">
            <w:pPr>
              <w:numPr>
                <w:ilvl w:val="0"/>
                <w:numId w:val="13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对传统知识的权利</w:t>
            </w:r>
          </w:p>
          <w:p w14:paraId="2ECB0314" w14:textId="77777777" w:rsidR="004C57B0" w:rsidRPr="000C0842" w:rsidRDefault="004C57B0">
            <w:pPr>
              <w:numPr>
                <w:ilvl w:val="0"/>
                <w:numId w:val="13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084975CE" w14:textId="77777777" w:rsidTr="001F32B3">
        <w:trPr>
          <w:cantSplit/>
        </w:trPr>
        <w:tc>
          <w:tcPr>
            <w:tcW w:w="6249" w:type="dxa"/>
          </w:tcPr>
          <w:p w14:paraId="22B9AF1B"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确保环境人权维护者得到充分保护？</w:t>
            </w:r>
          </w:p>
        </w:tc>
        <w:tc>
          <w:tcPr>
            <w:tcW w:w="3685" w:type="dxa"/>
          </w:tcPr>
          <w:p w14:paraId="487F7580" w14:textId="77777777" w:rsidR="004C57B0" w:rsidRPr="000C0842" w:rsidRDefault="004C57B0">
            <w:pPr>
              <w:numPr>
                <w:ilvl w:val="0"/>
                <w:numId w:val="13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5CCB8F68" w14:textId="77777777" w:rsidR="004C57B0" w:rsidRPr="000C0842" w:rsidRDefault="004C57B0">
            <w:pPr>
              <w:numPr>
                <w:ilvl w:val="0"/>
                <w:numId w:val="139"/>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是</w:t>
            </w:r>
          </w:p>
        </w:tc>
      </w:tr>
      <w:tr w:rsidR="000C0842" w:rsidRPr="000C0842" w14:paraId="039141C4" w14:textId="77777777" w:rsidTr="001F32B3">
        <w:trPr>
          <w:cantSplit/>
        </w:trPr>
        <w:tc>
          <w:tcPr>
            <w:tcW w:w="6249" w:type="dxa"/>
          </w:tcPr>
          <w:p w14:paraId="05391E54"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val="en-GB" w:eastAsia="zh-CN"/>
              </w:rPr>
            </w:pPr>
            <w:r w:rsidRPr="000C0842">
              <w:rPr>
                <w:rFonts w:eastAsia="SimSun" w:cs="Times New Roman"/>
                <w:sz w:val="20"/>
                <w:szCs w:val="20"/>
                <w:lang w:val="en-GB" w:eastAsia="zh-CN"/>
              </w:rPr>
              <w:t>(d)</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确保公众能够获得以下有关生物多样性的信息（选择所有适用选项）：</w:t>
            </w:r>
          </w:p>
        </w:tc>
        <w:tc>
          <w:tcPr>
            <w:tcW w:w="3685" w:type="dxa"/>
          </w:tcPr>
          <w:p w14:paraId="7B4D42B8" w14:textId="77777777" w:rsidR="004C57B0" w:rsidRPr="000C0842" w:rsidRDefault="004C57B0">
            <w:pPr>
              <w:numPr>
                <w:ilvl w:val="0"/>
                <w:numId w:val="14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eastAsia="zh-CN"/>
              </w:rPr>
              <w:t>土著人民和地方社区</w:t>
            </w:r>
            <w:r w:rsidRPr="000C0842">
              <w:rPr>
                <w:rFonts w:eastAsia="SimSun" w:cs="Times New Roman"/>
                <w:sz w:val="20"/>
                <w:szCs w:val="20"/>
                <w:lang w:val="en-GB" w:eastAsia="zh-CN"/>
              </w:rPr>
              <w:t xml:space="preserve"> </w:t>
            </w:r>
          </w:p>
          <w:p w14:paraId="5E05949D" w14:textId="77777777" w:rsidR="004C57B0" w:rsidRPr="000C0842" w:rsidRDefault="004C57B0">
            <w:pPr>
              <w:numPr>
                <w:ilvl w:val="0"/>
                <w:numId w:val="14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eastAsia="zh-CN"/>
              </w:rPr>
              <w:t>妇女</w:t>
            </w:r>
            <w:r w:rsidRPr="000C0842">
              <w:rPr>
                <w:rFonts w:ascii="SimSun" w:eastAsia="SimSun" w:hAnsi="SimSun" w:cs="SimSun" w:hint="eastAsia"/>
                <w:sz w:val="20"/>
                <w:szCs w:val="20"/>
                <w:lang w:val="en-GB" w:eastAsia="zh-CN"/>
              </w:rPr>
              <w:t>和女童</w:t>
            </w:r>
          </w:p>
          <w:p w14:paraId="172329F9" w14:textId="77777777" w:rsidR="004C57B0" w:rsidRPr="000C0842" w:rsidRDefault="004C57B0">
            <w:pPr>
              <w:numPr>
                <w:ilvl w:val="0"/>
                <w:numId w:val="14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儿童</w:t>
            </w:r>
            <w:r w:rsidRPr="000C0842">
              <w:rPr>
                <w:rFonts w:ascii="SimSun" w:eastAsia="SimSun" w:hAnsi="SimSun" w:cs="SimSun" w:hint="eastAsia"/>
                <w:sz w:val="20"/>
                <w:szCs w:val="20"/>
                <w:lang w:eastAsia="zh-CN"/>
              </w:rPr>
              <w:t>和青年</w:t>
            </w:r>
          </w:p>
          <w:p w14:paraId="3B0DEE41" w14:textId="77777777" w:rsidR="004C57B0" w:rsidRPr="000C0842" w:rsidRDefault="004C57B0">
            <w:pPr>
              <w:numPr>
                <w:ilvl w:val="0"/>
                <w:numId w:val="14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eastAsia="zh-CN"/>
              </w:rPr>
              <w:t>残疾人</w:t>
            </w:r>
          </w:p>
          <w:p w14:paraId="207A0151" w14:textId="77777777" w:rsidR="004C57B0" w:rsidRPr="000C0842" w:rsidRDefault="004C57B0">
            <w:pPr>
              <w:numPr>
                <w:ilvl w:val="0"/>
                <w:numId w:val="140"/>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eastAsia="zh-CN"/>
              </w:rPr>
              <w:t>其他</w:t>
            </w:r>
          </w:p>
        </w:tc>
      </w:tr>
      <w:tr w:rsidR="000C0842" w:rsidRPr="000C0842" w14:paraId="31F35DDE" w14:textId="77777777" w:rsidTr="001F32B3">
        <w:trPr>
          <w:cantSplit/>
        </w:trPr>
        <w:tc>
          <w:tcPr>
            <w:tcW w:w="6249" w:type="dxa"/>
          </w:tcPr>
          <w:p w14:paraId="7694BEA9"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val="en-GB" w:eastAsia="zh-CN"/>
              </w:rPr>
            </w:pPr>
            <w:r w:rsidRPr="000C0842">
              <w:rPr>
                <w:rFonts w:eastAsia="SimSun" w:cs="Times New Roman"/>
                <w:sz w:val="20"/>
                <w:szCs w:val="20"/>
                <w:lang w:val="en-GB" w:eastAsia="zh-CN"/>
              </w:rPr>
              <w:t>(e)</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为以下一个或多个类别的群体提供诉诸司法的机会（选择所有适用选项）：</w:t>
            </w:r>
          </w:p>
        </w:tc>
        <w:tc>
          <w:tcPr>
            <w:tcW w:w="3685" w:type="dxa"/>
          </w:tcPr>
          <w:p w14:paraId="43635E05" w14:textId="77777777" w:rsidR="004C57B0" w:rsidRPr="000C0842" w:rsidRDefault="004C57B0">
            <w:pPr>
              <w:numPr>
                <w:ilvl w:val="0"/>
                <w:numId w:val="14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土著人民和地方社区</w:t>
            </w:r>
          </w:p>
          <w:p w14:paraId="561AACC6" w14:textId="77777777" w:rsidR="004C57B0" w:rsidRPr="000C0842" w:rsidRDefault="004C57B0">
            <w:pPr>
              <w:numPr>
                <w:ilvl w:val="0"/>
                <w:numId w:val="14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妇女和女童</w:t>
            </w:r>
          </w:p>
          <w:p w14:paraId="5863024B" w14:textId="77777777" w:rsidR="004C57B0" w:rsidRPr="000C0842" w:rsidRDefault="004C57B0">
            <w:pPr>
              <w:numPr>
                <w:ilvl w:val="0"/>
                <w:numId w:val="14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儿童和青年</w:t>
            </w:r>
          </w:p>
          <w:p w14:paraId="695BD355" w14:textId="77777777" w:rsidR="004C57B0" w:rsidRPr="000C0842" w:rsidRDefault="004C57B0">
            <w:pPr>
              <w:numPr>
                <w:ilvl w:val="0"/>
                <w:numId w:val="14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残疾人</w:t>
            </w:r>
          </w:p>
          <w:p w14:paraId="02C746CA" w14:textId="77777777" w:rsidR="004C57B0" w:rsidRPr="000C0842" w:rsidRDefault="004C57B0">
            <w:pPr>
              <w:numPr>
                <w:ilvl w:val="0"/>
                <w:numId w:val="14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其他</w:t>
            </w:r>
          </w:p>
        </w:tc>
      </w:tr>
      <w:tr w:rsidR="000C0842" w:rsidRPr="000C0842" w14:paraId="519F077A" w14:textId="77777777" w:rsidTr="001F32B3">
        <w:trPr>
          <w:cantSplit/>
        </w:trPr>
        <w:tc>
          <w:tcPr>
            <w:tcW w:w="6249" w:type="dxa"/>
          </w:tcPr>
          <w:p w14:paraId="6064E71D"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22.2</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贵国是否有与问题</w:t>
            </w:r>
            <w:r w:rsidRPr="000C0842">
              <w:rPr>
                <w:rFonts w:eastAsia="SimSun" w:cs="Times New Roman" w:hint="eastAsia"/>
                <w:sz w:val="20"/>
                <w:szCs w:val="20"/>
                <w:lang w:eastAsia="zh-CN"/>
              </w:rPr>
              <w:t xml:space="preserve"> 22.1 </w:t>
            </w:r>
            <w:r w:rsidRPr="000C0842">
              <w:rPr>
                <w:rFonts w:ascii="SimSun" w:eastAsia="SimSun" w:hAnsi="SimSun" w:cs="SimSun" w:hint="eastAsia"/>
                <w:sz w:val="20"/>
                <w:szCs w:val="20"/>
                <w:lang w:eastAsia="zh-CN"/>
              </w:rPr>
              <w:t>所述政策、法律和行政框架有关的运作框架和机制？</w:t>
            </w:r>
          </w:p>
        </w:tc>
        <w:tc>
          <w:tcPr>
            <w:tcW w:w="3685" w:type="dxa"/>
          </w:tcPr>
          <w:p w14:paraId="1A032FBC" w14:textId="77777777" w:rsidR="004C57B0" w:rsidRPr="000C0842" w:rsidRDefault="004C57B0">
            <w:pPr>
              <w:numPr>
                <w:ilvl w:val="0"/>
                <w:numId w:val="14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r w:rsidRPr="000C0842">
              <w:rPr>
                <w:rFonts w:eastAsia="SimSun" w:cs="Times New Roman"/>
                <w:sz w:val="20"/>
                <w:szCs w:val="20"/>
                <w:lang w:val="en-GB" w:eastAsia="zh-CN"/>
              </w:rPr>
              <w:t xml:space="preserve"> </w:t>
            </w:r>
          </w:p>
          <w:p w14:paraId="074AFDDE" w14:textId="77777777" w:rsidR="004C57B0" w:rsidRPr="000C0842" w:rsidRDefault="004C57B0">
            <w:pPr>
              <w:numPr>
                <w:ilvl w:val="0"/>
                <w:numId w:val="14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正在酝酿中</w:t>
            </w:r>
          </w:p>
          <w:p w14:paraId="62F9D476" w14:textId="77777777" w:rsidR="004C57B0" w:rsidRPr="000C0842" w:rsidRDefault="004C57B0">
            <w:pPr>
              <w:numPr>
                <w:ilvl w:val="0"/>
                <w:numId w:val="14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部分是</w:t>
            </w:r>
          </w:p>
          <w:p w14:paraId="25589028" w14:textId="77777777" w:rsidR="004C57B0" w:rsidRPr="000C0842" w:rsidRDefault="004C57B0">
            <w:pPr>
              <w:numPr>
                <w:ilvl w:val="0"/>
                <w:numId w:val="141"/>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完全是</w:t>
            </w:r>
          </w:p>
        </w:tc>
      </w:tr>
      <w:tr w:rsidR="000C0842" w:rsidRPr="000C0842" w14:paraId="5842B471" w14:textId="77777777" w:rsidTr="001F32B3">
        <w:trPr>
          <w:cantSplit/>
          <w:trHeight w:val="380"/>
        </w:trPr>
        <w:tc>
          <w:tcPr>
            <w:tcW w:w="6249" w:type="dxa"/>
            <w:vAlign w:val="center"/>
          </w:tcPr>
          <w:p w14:paraId="5CEEAEF5"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22.</w:t>
            </w:r>
            <w:r w:rsidRPr="000C0842">
              <w:rPr>
                <w:rFonts w:eastAsia="SimSun" w:cs="Times New Roman" w:hint="eastAsia"/>
                <w:b/>
                <w:sz w:val="20"/>
                <w:szCs w:val="20"/>
                <w:lang w:val="en-GB" w:eastAsia="zh-CN"/>
              </w:rPr>
              <w:t>3</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贵国是否监测以下情况：</w:t>
            </w:r>
          </w:p>
        </w:tc>
        <w:tc>
          <w:tcPr>
            <w:tcW w:w="3685" w:type="dxa"/>
            <w:vAlign w:val="center"/>
          </w:tcPr>
          <w:p w14:paraId="4BBACC76"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p>
        </w:tc>
      </w:tr>
      <w:tr w:rsidR="000C0842" w:rsidRPr="000C0842" w14:paraId="1297651C" w14:textId="77777777" w:rsidTr="001F32B3">
        <w:trPr>
          <w:cantSplit/>
        </w:trPr>
        <w:tc>
          <w:tcPr>
            <w:tcW w:w="6249" w:type="dxa"/>
          </w:tcPr>
          <w:p w14:paraId="12112A45" w14:textId="77777777" w:rsidR="004C57B0" w:rsidRPr="000C0842" w:rsidRDefault="004C57B0" w:rsidP="004C57B0">
            <w:pPr>
              <w:tabs>
                <w:tab w:val="clear" w:pos="567"/>
                <w:tab w:val="clear" w:pos="1134"/>
                <w:tab w:val="clear" w:pos="1701"/>
                <w:tab w:val="clear" w:pos="2268"/>
                <w:tab w:val="left" w:pos="339"/>
              </w:tabs>
              <w:contextualSpacing/>
              <w:jc w:val="left"/>
              <w:rPr>
                <w:rFonts w:eastAsia="SimSun" w:cs="Times New Roman"/>
                <w:sz w:val="20"/>
                <w:szCs w:val="20"/>
                <w:lang w:val="en-GB" w:eastAsia="zh-CN"/>
              </w:rPr>
            </w:pPr>
            <w:r w:rsidRPr="000C0842">
              <w:rPr>
                <w:rFonts w:eastAsia="SimSun" w:cs="Times New Roman"/>
                <w:sz w:val="20"/>
                <w:szCs w:val="20"/>
                <w:lang w:val="en-GB" w:eastAsia="zh-CN"/>
              </w:rPr>
              <w:t>(a)</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以下群体在生物多样性决策中享有充分、公平、包容、有效和注重性别平等的代表性和参与</w:t>
            </w:r>
            <w:r w:rsidRPr="000C0842">
              <w:rPr>
                <w:rFonts w:eastAsia="SimSun" w:cs="Times New Roman" w:hint="eastAsia"/>
                <w:sz w:val="20"/>
                <w:szCs w:val="20"/>
                <w:lang w:eastAsia="zh-CN"/>
              </w:rPr>
              <w:t xml:space="preserve"> </w:t>
            </w:r>
            <w:r w:rsidRPr="000C0842">
              <w:rPr>
                <w:rFonts w:ascii="SimSun" w:eastAsia="SimSun" w:hAnsi="SimSun" w:cs="SimSun" w:hint="eastAsia"/>
                <w:sz w:val="20"/>
                <w:szCs w:val="20"/>
                <w:lang w:eastAsia="zh-CN"/>
              </w:rPr>
              <w:t>（选择所有适用选项）：</w:t>
            </w:r>
          </w:p>
        </w:tc>
        <w:tc>
          <w:tcPr>
            <w:tcW w:w="3685" w:type="dxa"/>
          </w:tcPr>
          <w:p w14:paraId="378F5D07" w14:textId="77777777" w:rsidR="004C57B0" w:rsidRPr="000C0842" w:rsidRDefault="004C57B0">
            <w:pPr>
              <w:numPr>
                <w:ilvl w:val="0"/>
                <w:numId w:val="14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土著人民和地方社区</w:t>
            </w:r>
          </w:p>
          <w:p w14:paraId="11F0A5B8" w14:textId="77777777" w:rsidR="004C57B0" w:rsidRPr="000C0842" w:rsidRDefault="004C57B0">
            <w:pPr>
              <w:numPr>
                <w:ilvl w:val="0"/>
                <w:numId w:val="14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妇女和女童</w:t>
            </w:r>
          </w:p>
          <w:p w14:paraId="581244F5" w14:textId="77777777" w:rsidR="004C57B0" w:rsidRPr="000C0842" w:rsidRDefault="004C57B0">
            <w:pPr>
              <w:numPr>
                <w:ilvl w:val="0"/>
                <w:numId w:val="14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儿童和青年</w:t>
            </w:r>
          </w:p>
          <w:p w14:paraId="4FEC3EEC" w14:textId="77777777" w:rsidR="004C57B0" w:rsidRPr="000C0842" w:rsidRDefault="004C57B0">
            <w:pPr>
              <w:numPr>
                <w:ilvl w:val="0"/>
                <w:numId w:val="14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残疾人</w:t>
            </w:r>
          </w:p>
          <w:p w14:paraId="3536CE5C" w14:textId="77777777" w:rsidR="004C57B0" w:rsidRPr="000C0842" w:rsidRDefault="004C57B0">
            <w:pPr>
              <w:numPr>
                <w:ilvl w:val="0"/>
                <w:numId w:val="142"/>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其他</w:t>
            </w:r>
          </w:p>
        </w:tc>
      </w:tr>
      <w:tr w:rsidR="000C0842" w:rsidRPr="000C0842" w14:paraId="1BD01897" w14:textId="77777777" w:rsidTr="001F32B3">
        <w:trPr>
          <w:cantSplit/>
          <w:trHeight w:val="1262"/>
        </w:trPr>
        <w:tc>
          <w:tcPr>
            <w:tcW w:w="6249" w:type="dxa"/>
          </w:tcPr>
          <w:p w14:paraId="550E93CD"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val="en-GB" w:eastAsia="zh-CN"/>
              </w:rPr>
            </w:pPr>
            <w:r w:rsidRPr="000C0842">
              <w:rPr>
                <w:rFonts w:eastAsia="SimSun" w:cs="Times New Roman"/>
                <w:sz w:val="20"/>
                <w:szCs w:val="20"/>
                <w:lang w:val="en-GB" w:eastAsia="zh-CN"/>
              </w:rPr>
              <w:t>(b)</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土著人民和地方社区的以下文化和权利</w:t>
            </w:r>
            <w:r w:rsidRPr="000C0842">
              <w:rPr>
                <w:rFonts w:eastAsia="SimSun" w:cs="Times New Roman" w:hint="eastAsia"/>
                <w:sz w:val="20"/>
                <w:szCs w:val="20"/>
                <w:lang w:eastAsia="zh-CN"/>
              </w:rPr>
              <w:t xml:space="preserve"> </w:t>
            </w:r>
            <w:r w:rsidRPr="000C0842">
              <w:rPr>
                <w:rFonts w:ascii="SimSun" w:eastAsia="SimSun" w:hAnsi="SimSun" w:cs="SimSun" w:hint="eastAsia"/>
                <w:sz w:val="20"/>
                <w:szCs w:val="20"/>
                <w:lang w:eastAsia="zh-CN"/>
              </w:rPr>
              <w:t>（选择所有适用选项）：</w:t>
            </w:r>
          </w:p>
        </w:tc>
        <w:tc>
          <w:tcPr>
            <w:tcW w:w="3685" w:type="dxa"/>
          </w:tcPr>
          <w:p w14:paraId="2B48F4E4" w14:textId="77777777" w:rsidR="004C57B0" w:rsidRPr="000C0842" w:rsidRDefault="004C57B0">
            <w:pPr>
              <w:numPr>
                <w:ilvl w:val="0"/>
                <w:numId w:val="14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文化和做法</w:t>
            </w:r>
            <w:r w:rsidRPr="000C0842">
              <w:rPr>
                <w:rFonts w:eastAsia="SimSun" w:cs="Times New Roman"/>
                <w:sz w:val="20"/>
                <w:szCs w:val="20"/>
                <w:lang w:val="en-GB" w:eastAsia="zh-CN"/>
              </w:rPr>
              <w:t xml:space="preserve"> </w:t>
            </w:r>
          </w:p>
          <w:p w14:paraId="28E7AB5E" w14:textId="77777777" w:rsidR="004C57B0" w:rsidRPr="000C0842" w:rsidRDefault="004C57B0">
            <w:pPr>
              <w:numPr>
                <w:ilvl w:val="0"/>
                <w:numId w:val="14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对土地和领地的权利</w:t>
            </w:r>
          </w:p>
          <w:p w14:paraId="5AA5F523" w14:textId="77777777" w:rsidR="004C57B0" w:rsidRPr="000C0842" w:rsidRDefault="004C57B0">
            <w:pPr>
              <w:numPr>
                <w:ilvl w:val="0"/>
                <w:numId w:val="14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对自然资源的权利</w:t>
            </w:r>
          </w:p>
          <w:p w14:paraId="2BBA1E33" w14:textId="77777777" w:rsidR="004C57B0" w:rsidRPr="000C0842" w:rsidRDefault="004C57B0">
            <w:pPr>
              <w:numPr>
                <w:ilvl w:val="0"/>
                <w:numId w:val="14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对传统知识的权利</w:t>
            </w:r>
          </w:p>
          <w:p w14:paraId="1E25663E" w14:textId="77777777" w:rsidR="004C57B0" w:rsidRPr="000C0842" w:rsidRDefault="004C57B0">
            <w:pPr>
              <w:numPr>
                <w:ilvl w:val="0"/>
                <w:numId w:val="143"/>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不适用</w:t>
            </w:r>
          </w:p>
        </w:tc>
      </w:tr>
      <w:tr w:rsidR="000C0842" w:rsidRPr="000C0842" w14:paraId="638F70B0" w14:textId="77777777" w:rsidTr="001F32B3">
        <w:trPr>
          <w:cantSplit/>
        </w:trPr>
        <w:tc>
          <w:tcPr>
            <w:tcW w:w="6249" w:type="dxa"/>
          </w:tcPr>
          <w:p w14:paraId="194C17F3" w14:textId="77777777" w:rsidR="004C57B0" w:rsidRPr="000C0842" w:rsidRDefault="004C57B0" w:rsidP="004C57B0">
            <w:pPr>
              <w:tabs>
                <w:tab w:val="clear" w:pos="567"/>
                <w:tab w:val="clear" w:pos="1134"/>
                <w:tab w:val="clear" w:pos="1701"/>
                <w:tab w:val="clear" w:pos="2268"/>
                <w:tab w:val="left" w:pos="326"/>
              </w:tabs>
              <w:contextualSpacing/>
              <w:jc w:val="left"/>
              <w:rPr>
                <w:rFonts w:eastAsia="SimSun" w:cs="Times New Roman"/>
                <w:sz w:val="20"/>
                <w:szCs w:val="20"/>
                <w:lang w:val="en-GB" w:eastAsia="zh-CN"/>
              </w:rPr>
            </w:pPr>
            <w:r w:rsidRPr="000C0842">
              <w:rPr>
                <w:rFonts w:eastAsia="SimSun" w:cs="Times New Roman"/>
                <w:sz w:val="20"/>
                <w:szCs w:val="20"/>
                <w:lang w:val="en-GB" w:eastAsia="zh-CN"/>
              </w:rPr>
              <w:t>(c)</w:t>
            </w:r>
            <w:r w:rsidRPr="000C0842">
              <w:rPr>
                <w:rFonts w:eastAsia="SimSun" w:cs="Times New Roman"/>
                <w:b/>
                <w:sz w:val="20"/>
                <w:szCs w:val="20"/>
                <w:lang w:val="en-GB" w:eastAsia="zh-CN"/>
              </w:rPr>
              <w:tab/>
            </w:r>
            <w:r w:rsidRPr="000C0842">
              <w:rPr>
                <w:rFonts w:ascii="SimSun" w:eastAsia="SimSun" w:hAnsi="SimSun" w:cs="SimSun" w:hint="eastAsia"/>
                <w:sz w:val="20"/>
                <w:szCs w:val="20"/>
                <w:lang w:eastAsia="zh-CN"/>
              </w:rPr>
              <w:t>对环境人权维护者的充分保护？</w:t>
            </w:r>
          </w:p>
        </w:tc>
        <w:tc>
          <w:tcPr>
            <w:tcW w:w="3685" w:type="dxa"/>
          </w:tcPr>
          <w:p w14:paraId="173F7682" w14:textId="77777777" w:rsidR="004C57B0" w:rsidRPr="000C0842" w:rsidRDefault="004C57B0">
            <w:pPr>
              <w:numPr>
                <w:ilvl w:val="0"/>
                <w:numId w:val="14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否</w:t>
            </w:r>
          </w:p>
          <w:p w14:paraId="78B219A9" w14:textId="77777777" w:rsidR="004C57B0" w:rsidRPr="000C0842" w:rsidRDefault="004C57B0">
            <w:pPr>
              <w:numPr>
                <w:ilvl w:val="0"/>
                <w:numId w:val="14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lang w:val="en-GB" w:eastAsia="zh-CN"/>
              </w:rPr>
              <w:t>是</w:t>
            </w:r>
          </w:p>
        </w:tc>
      </w:tr>
      <w:tr w:rsidR="000C0842" w:rsidRPr="000C0842" w14:paraId="6E852E10" w14:textId="77777777" w:rsidTr="001F32B3">
        <w:trPr>
          <w:cantSplit/>
        </w:trPr>
        <w:tc>
          <w:tcPr>
            <w:tcW w:w="9934" w:type="dxa"/>
            <w:gridSpan w:val="2"/>
            <w:shd w:val="clear" w:color="auto" w:fill="F2F2F2"/>
          </w:tcPr>
          <w:p w14:paraId="10E2F95D"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eastAsia="SimSun" w:cs="Times New Roman"/>
                <w:b/>
                <w:sz w:val="20"/>
                <w:szCs w:val="20"/>
                <w:lang w:val="en-GB" w:eastAsia="zh-CN"/>
              </w:rPr>
              <w:br w:type="page"/>
            </w:r>
            <w:r w:rsidRPr="000C0842">
              <w:rPr>
                <w:rFonts w:ascii="SimSun" w:eastAsia="SimSun" w:hAnsi="SimSun" w:cs="SimSun" w:hint="eastAsia"/>
                <w:b/>
                <w:sz w:val="20"/>
                <w:szCs w:val="20"/>
                <w:lang w:val="en-GB" w:eastAsia="zh-CN"/>
              </w:rPr>
              <w:t>行动目标</w:t>
            </w:r>
            <w:r w:rsidRPr="000C0842">
              <w:rPr>
                <w:rFonts w:eastAsia="SimSun" w:cs="Times New Roman"/>
                <w:b/>
                <w:sz w:val="20"/>
                <w:szCs w:val="20"/>
                <w:lang w:val="en-GB" w:eastAsia="zh-CN"/>
              </w:rPr>
              <w:t>23</w:t>
            </w:r>
            <w:r w:rsidRPr="000C0842">
              <w:rPr>
                <w:rFonts w:ascii="SimSun" w:eastAsia="SimSun" w:hAnsi="SimSun" w:cs="SimSun" w:hint="eastAsia"/>
                <w:b/>
                <w:sz w:val="20"/>
                <w:szCs w:val="20"/>
                <w:lang w:val="en-GB" w:eastAsia="zh-CN"/>
              </w:rPr>
              <w:t>：</w:t>
            </w:r>
            <w:r w:rsidRPr="000C0842">
              <w:rPr>
                <w:rFonts w:ascii="SimSun" w:eastAsia="SimSun" w:hAnsi="SimSun" w:cs="SimSun" w:hint="eastAsia"/>
                <w:b/>
                <w:sz w:val="20"/>
                <w:szCs w:val="20"/>
                <w:lang w:val="fr-CA" w:eastAsia="zh-CN"/>
              </w:rPr>
              <w:t>在《昆蒙框架》执行过程中</w:t>
            </w:r>
            <w:r w:rsidRPr="000C0842">
              <w:rPr>
                <w:rFonts w:ascii="SimSun" w:eastAsia="SimSun" w:hAnsi="SimSun" w:cs="SimSun" w:hint="eastAsia"/>
                <w:b/>
                <w:sz w:val="20"/>
                <w:szCs w:val="20"/>
                <w:lang w:val="en-GB" w:eastAsia="zh-CN"/>
              </w:rPr>
              <w:t>采用促进性别平等的方法</w:t>
            </w:r>
            <w:r w:rsidRPr="000C0842">
              <w:rPr>
                <w:rFonts w:ascii="SimSun" w:eastAsia="SimSun" w:hAnsi="SimSun" w:cs="SimSun" w:hint="eastAsia"/>
                <w:b/>
                <w:sz w:val="20"/>
                <w:szCs w:val="20"/>
                <w:lang w:val="fr-CA" w:eastAsia="zh-CN"/>
              </w:rPr>
              <w:t>确保性别平等，确保妇女和女童有平等的机会和能力</w:t>
            </w:r>
            <w:r w:rsidRPr="000C0842">
              <w:rPr>
                <w:rFonts w:ascii="SimSun" w:eastAsia="SimSun" w:hAnsi="SimSun" w:cs="SimSun" w:hint="eastAsia"/>
                <w:b/>
                <w:sz w:val="20"/>
                <w:szCs w:val="20"/>
                <w:lang w:val="en-GB" w:eastAsia="zh-CN"/>
              </w:rPr>
              <w:t>为《</w:t>
            </w:r>
            <w:r w:rsidRPr="000C0842">
              <w:rPr>
                <w:rFonts w:ascii="SimSun" w:eastAsia="SimSun" w:hAnsi="SimSun" w:cs="SimSun" w:hint="eastAsia"/>
                <w:b/>
                <w:sz w:val="20"/>
                <w:szCs w:val="20"/>
                <w:lang w:val="fr-CA" w:eastAsia="zh-CN"/>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0C0842" w:rsidRPr="000C0842" w14:paraId="22456EBD" w14:textId="77777777" w:rsidTr="001F32B3">
        <w:trPr>
          <w:cantSplit/>
        </w:trPr>
        <w:tc>
          <w:tcPr>
            <w:tcW w:w="9934" w:type="dxa"/>
            <w:gridSpan w:val="2"/>
            <w:shd w:val="clear" w:color="auto" w:fill="FFFFFF"/>
          </w:tcPr>
          <w:p w14:paraId="06450E62" w14:textId="77777777" w:rsidR="004C57B0" w:rsidRPr="000C0842" w:rsidRDefault="004C57B0" w:rsidP="004C57B0">
            <w:pPr>
              <w:tabs>
                <w:tab w:val="clear" w:pos="567"/>
                <w:tab w:val="clear" w:pos="1134"/>
                <w:tab w:val="clear" w:pos="1701"/>
                <w:tab w:val="clear" w:pos="2268"/>
              </w:tabs>
              <w:jc w:val="left"/>
              <w:rPr>
                <w:rFonts w:eastAsia="SimSun" w:cs="Times New Roman"/>
                <w:b/>
                <w:sz w:val="20"/>
                <w:szCs w:val="20"/>
                <w:lang w:val="en-GB" w:eastAsia="zh-CN"/>
              </w:rPr>
            </w:pPr>
            <w:r w:rsidRPr="000C0842">
              <w:rPr>
                <w:rFonts w:ascii="SimSun" w:eastAsia="SimSun" w:hAnsi="SimSun" w:cs="SimSun" w:hint="eastAsia"/>
                <w:b/>
                <w:sz w:val="20"/>
                <w:szCs w:val="20"/>
                <w:lang w:val="en-GB" w:eastAsia="zh-CN"/>
              </w:rPr>
              <w:t>指标：</w:t>
            </w:r>
            <w:r w:rsidRPr="000C0842">
              <w:rPr>
                <w:rFonts w:ascii="SimSun" w:eastAsia="SimSun" w:hAnsi="SimSun" w:cs="SimSun" w:hint="eastAsia"/>
                <w:b/>
                <w:bCs/>
                <w:sz w:val="20"/>
                <w:szCs w:val="20"/>
                <w:lang w:val="en-GB" w:eastAsia="zh-CN"/>
              </w:rPr>
              <w:t>制定了法律、行政或政策框架，以执行《性别平等行动计划》</w:t>
            </w:r>
            <w:r w:rsidRPr="000C0842">
              <w:rPr>
                <w:rFonts w:ascii="SimSun" w:eastAsia="SimSun" w:hAnsi="SimSun" w:cs="SimSun" w:hint="eastAsia"/>
                <w:b/>
                <w:bCs/>
                <w:sz w:val="20"/>
                <w:szCs w:val="20"/>
                <w:lang w:eastAsia="zh-CN"/>
              </w:rPr>
              <w:t>（</w:t>
            </w:r>
            <w:r w:rsidRPr="000C0842">
              <w:rPr>
                <w:rFonts w:ascii="SimSun" w:hAnsi="SimSun" w:cs="MS Mincho" w:hint="eastAsia"/>
                <w:b/>
                <w:bCs/>
                <w:sz w:val="20"/>
                <w:szCs w:val="20"/>
                <w:lang w:eastAsia="zh-CN"/>
              </w:rPr>
              <w:t>2023-2030</w:t>
            </w:r>
            <w:r w:rsidRPr="000C0842">
              <w:rPr>
                <w:rFonts w:ascii="SimSun" w:eastAsia="SimSun" w:hAnsi="SimSun" w:cs="SimSun" w:hint="eastAsia"/>
                <w:b/>
                <w:bCs/>
                <w:sz w:val="20"/>
                <w:szCs w:val="20"/>
                <w:lang w:eastAsia="zh-CN"/>
              </w:rPr>
              <w:t>年）</w:t>
            </w:r>
            <w:r w:rsidRPr="000C0842">
              <w:rPr>
                <w:rFonts w:ascii="SimSun" w:eastAsia="SimSun" w:hAnsi="SimSun" w:cs="SimSun" w:hint="eastAsia"/>
                <w:b/>
                <w:bCs/>
                <w:sz w:val="20"/>
                <w:szCs w:val="20"/>
                <w:lang w:val="en-GB" w:eastAsia="zh-CN"/>
              </w:rPr>
              <w:t>，确保所有妇女和女童有平等机会和能力为《公约》的三项目标作出贡献，包括通过确保妇女有平等权利获得土地和自然资源的国家数目</w:t>
            </w:r>
            <w:r w:rsidRPr="000C0842">
              <w:rPr>
                <w:rFonts w:ascii="SimSun" w:eastAsia="SimSun" w:hAnsi="SimSun" w:cs="SimSun" w:hint="eastAsia"/>
                <w:b/>
                <w:sz w:val="20"/>
                <w:szCs w:val="20"/>
                <w:lang w:eastAsia="zh-CN"/>
              </w:rPr>
              <w:t>。</w:t>
            </w:r>
          </w:p>
        </w:tc>
      </w:tr>
      <w:tr w:rsidR="000C0842" w:rsidRPr="000C0842" w14:paraId="753085E1" w14:textId="77777777" w:rsidTr="001F32B3">
        <w:trPr>
          <w:cantSplit/>
          <w:trHeight w:val="947"/>
        </w:trPr>
        <w:tc>
          <w:tcPr>
            <w:tcW w:w="6249" w:type="dxa"/>
          </w:tcPr>
          <w:p w14:paraId="5CB617C8"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23.1</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贵国是否建立了机制，帮助所有妇女和女童充分、公平、有意义和知情地参加与生物多样性有关的各级行动、参与、政策和决策，在其中国发挥领导作用的机制？</w:t>
            </w:r>
          </w:p>
        </w:tc>
        <w:tc>
          <w:tcPr>
            <w:tcW w:w="3685" w:type="dxa"/>
          </w:tcPr>
          <w:p w14:paraId="50BB4CAA" w14:textId="77777777" w:rsidR="004C57B0" w:rsidRPr="000C0842" w:rsidRDefault="004C57B0">
            <w:pPr>
              <w:numPr>
                <w:ilvl w:val="0"/>
                <w:numId w:val="13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3C78FD02" w14:textId="77777777" w:rsidR="004C57B0" w:rsidRPr="000C0842" w:rsidRDefault="004C57B0">
            <w:pPr>
              <w:numPr>
                <w:ilvl w:val="0"/>
                <w:numId w:val="13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088F1B1C" w14:textId="77777777" w:rsidR="004C57B0" w:rsidRPr="000C0842" w:rsidRDefault="004C57B0">
            <w:pPr>
              <w:numPr>
                <w:ilvl w:val="0"/>
                <w:numId w:val="13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750FAB6E" w14:textId="77777777" w:rsidR="004C57B0" w:rsidRPr="000C0842" w:rsidRDefault="004C57B0">
            <w:pPr>
              <w:numPr>
                <w:ilvl w:val="0"/>
                <w:numId w:val="134"/>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4A7EAB28" w14:textId="77777777" w:rsidTr="001F32B3">
        <w:trPr>
          <w:cantSplit/>
          <w:trHeight w:val="992"/>
        </w:trPr>
        <w:tc>
          <w:tcPr>
            <w:tcW w:w="6249" w:type="dxa"/>
          </w:tcPr>
          <w:p w14:paraId="618D10BB" w14:textId="77777777" w:rsidR="004C57B0" w:rsidRPr="000C0842" w:rsidRDefault="004C57B0" w:rsidP="004C57B0">
            <w:pPr>
              <w:tabs>
                <w:tab w:val="clear" w:pos="567"/>
                <w:tab w:val="clear" w:pos="1134"/>
                <w:tab w:val="clear" w:pos="1701"/>
                <w:tab w:val="clear" w:pos="2268"/>
              </w:tabs>
              <w:jc w:val="left"/>
              <w:rPr>
                <w:rFonts w:ascii="SimSun" w:eastAsia="SimSun" w:hAnsi="SimSun" w:cs="SimSun"/>
                <w:sz w:val="20"/>
                <w:szCs w:val="20"/>
                <w:lang w:eastAsia="zh-CN"/>
              </w:rPr>
            </w:pPr>
            <w:r w:rsidRPr="000C0842">
              <w:rPr>
                <w:rFonts w:eastAsia="SimSun" w:cs="Times New Roman"/>
                <w:b/>
                <w:sz w:val="20"/>
                <w:szCs w:val="20"/>
                <w:lang w:val="en-GB" w:eastAsia="zh-CN"/>
              </w:rPr>
              <w:t>23.2</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贵国是否采取了法律、行政或政策措施，明确承认和保护所有妇女和女童</w:t>
            </w:r>
            <w:r w:rsidRPr="000C0842">
              <w:rPr>
                <w:rFonts w:eastAsia="SimSun" w:cs="Times New Roman" w:hint="eastAsia"/>
                <w:sz w:val="20"/>
                <w:szCs w:val="20"/>
                <w:lang w:val="en-GB" w:eastAsia="zh-CN"/>
              </w:rPr>
              <w:t>获得土地和自然资源的权利</w:t>
            </w:r>
            <w:r w:rsidRPr="000C0842">
              <w:rPr>
                <w:rFonts w:ascii="SimSun" w:eastAsia="SimSun" w:hAnsi="SimSun" w:cs="SimSun" w:hint="eastAsia"/>
                <w:sz w:val="20"/>
                <w:szCs w:val="20"/>
                <w:lang w:eastAsia="zh-CN"/>
              </w:rPr>
              <w:t>？</w:t>
            </w:r>
          </w:p>
          <w:p w14:paraId="7BC7C9D8"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hint="eastAsia"/>
                <w:sz w:val="20"/>
                <w:szCs w:val="20"/>
                <w:lang w:val="en-GB" w:eastAsia="zh-CN"/>
              </w:rPr>
              <w:t xml:space="preserve"> </w:t>
            </w:r>
          </w:p>
        </w:tc>
        <w:tc>
          <w:tcPr>
            <w:tcW w:w="3685" w:type="dxa"/>
          </w:tcPr>
          <w:p w14:paraId="3A976399" w14:textId="77777777" w:rsidR="004C57B0" w:rsidRPr="000C0842" w:rsidRDefault="004C57B0">
            <w:pPr>
              <w:numPr>
                <w:ilvl w:val="0"/>
                <w:numId w:val="13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5CD4AF6F" w14:textId="77777777" w:rsidR="004C57B0" w:rsidRPr="000C0842" w:rsidRDefault="004C57B0">
            <w:pPr>
              <w:numPr>
                <w:ilvl w:val="0"/>
                <w:numId w:val="13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665B20C5" w14:textId="77777777" w:rsidR="004C57B0" w:rsidRPr="000C0842" w:rsidRDefault="004C57B0">
            <w:pPr>
              <w:numPr>
                <w:ilvl w:val="0"/>
                <w:numId w:val="13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5105118A" w14:textId="77777777" w:rsidR="004C57B0" w:rsidRPr="000C0842" w:rsidRDefault="004C57B0">
            <w:pPr>
              <w:numPr>
                <w:ilvl w:val="0"/>
                <w:numId w:val="135"/>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0C0842" w:rsidRPr="000C0842" w14:paraId="619A108C" w14:textId="77777777" w:rsidTr="001F32B3">
        <w:trPr>
          <w:cantSplit/>
          <w:trHeight w:val="911"/>
        </w:trPr>
        <w:tc>
          <w:tcPr>
            <w:tcW w:w="6249" w:type="dxa"/>
          </w:tcPr>
          <w:p w14:paraId="7878F711"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23.3</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w:t>
            </w:r>
            <w:r w:rsidRPr="000C0842">
              <w:rPr>
                <w:rFonts w:ascii="SimSun" w:eastAsia="SimSun" w:hAnsi="SimSun" w:cs="SimSun"/>
                <w:sz w:val="20"/>
                <w:szCs w:val="20"/>
                <w:lang w:val="en-GB" w:eastAsia="zh-CN"/>
              </w:rPr>
              <w:t>是否通过国家报告</w:t>
            </w:r>
            <w:r w:rsidRPr="000C0842">
              <w:rPr>
                <w:rFonts w:ascii="SimSun" w:eastAsia="SimSun" w:hAnsi="SimSun" w:cs="SimSun" w:hint="eastAsia"/>
                <w:sz w:val="20"/>
                <w:szCs w:val="20"/>
                <w:lang w:val="en-GB" w:eastAsia="zh-CN"/>
              </w:rPr>
              <w:t>或</w:t>
            </w:r>
            <w:r w:rsidRPr="000C0842">
              <w:rPr>
                <w:rFonts w:ascii="SimSun" w:eastAsia="SimSun" w:hAnsi="SimSun" w:cs="SimSun"/>
                <w:sz w:val="20"/>
                <w:szCs w:val="20"/>
                <w:lang w:val="en-GB" w:eastAsia="zh-CN"/>
              </w:rPr>
              <w:t>国家生物多样性战略行动计划，明确采用促进性别平等的方法，承认妇女和</w:t>
            </w:r>
            <w:r w:rsidRPr="000C0842">
              <w:rPr>
                <w:rFonts w:ascii="SimSun" w:eastAsia="SimSun" w:hAnsi="SimSun" w:cs="SimSun" w:hint="eastAsia"/>
                <w:sz w:val="20"/>
                <w:szCs w:val="20"/>
                <w:lang w:val="en-GB" w:eastAsia="zh-CN"/>
              </w:rPr>
              <w:t>女童</w:t>
            </w:r>
            <w:r w:rsidRPr="000C0842">
              <w:rPr>
                <w:rFonts w:ascii="SimSun" w:eastAsia="SimSun" w:hAnsi="SimSun" w:cs="SimSun"/>
                <w:sz w:val="20"/>
                <w:szCs w:val="20"/>
                <w:lang w:val="en-GB" w:eastAsia="zh-CN"/>
              </w:rPr>
              <w:t>在执行</w:t>
            </w:r>
            <w:r w:rsidRPr="000C0842">
              <w:rPr>
                <w:rFonts w:ascii="SimSun" w:eastAsia="SimSun" w:hAnsi="SimSun" w:cs="SimSun" w:hint="eastAsia"/>
                <w:sz w:val="20"/>
                <w:szCs w:val="20"/>
                <w:lang w:val="en-GB" w:eastAsia="zh-CN"/>
              </w:rPr>
              <w:t>《昆蒙</w:t>
            </w:r>
            <w:r w:rsidRPr="000C0842">
              <w:rPr>
                <w:rFonts w:ascii="SimSun" w:eastAsia="SimSun" w:hAnsi="SimSun" w:cs="SimSun"/>
                <w:sz w:val="20"/>
                <w:szCs w:val="20"/>
                <w:lang w:val="en-GB" w:eastAsia="zh-CN"/>
              </w:rPr>
              <w:t>框架</w:t>
            </w:r>
            <w:r w:rsidRPr="000C0842">
              <w:rPr>
                <w:rFonts w:ascii="SimSun" w:eastAsia="SimSun" w:hAnsi="SimSun" w:cs="SimSun" w:hint="eastAsia"/>
                <w:sz w:val="20"/>
                <w:szCs w:val="20"/>
                <w:lang w:val="en-GB" w:eastAsia="zh-CN"/>
              </w:rPr>
              <w:t>》工作</w:t>
            </w:r>
            <w:r w:rsidRPr="000C0842">
              <w:rPr>
                <w:rFonts w:ascii="SimSun" w:eastAsia="SimSun" w:hAnsi="SimSun" w:cs="SimSun"/>
                <w:sz w:val="20"/>
                <w:szCs w:val="20"/>
                <w:lang w:val="en-GB" w:eastAsia="zh-CN"/>
              </w:rPr>
              <w:t>中的贡献和作用？</w:t>
            </w:r>
            <w:r w:rsidRPr="000C0842" w:rsidDel="00743B92">
              <w:rPr>
                <w:rFonts w:ascii="SimSun" w:eastAsia="SimSun" w:hAnsi="SimSun" w:cs="SimSun" w:hint="eastAsia"/>
                <w:sz w:val="20"/>
                <w:szCs w:val="20"/>
                <w:lang w:eastAsia="zh-CN"/>
              </w:rPr>
              <w:t xml:space="preserve"> </w:t>
            </w:r>
          </w:p>
        </w:tc>
        <w:tc>
          <w:tcPr>
            <w:tcW w:w="3685" w:type="dxa"/>
          </w:tcPr>
          <w:p w14:paraId="53AB49B3" w14:textId="77777777" w:rsidR="004C57B0" w:rsidRPr="000C0842" w:rsidRDefault="004C57B0">
            <w:pPr>
              <w:numPr>
                <w:ilvl w:val="0"/>
                <w:numId w:val="13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6D37420C" w14:textId="77777777" w:rsidR="004C57B0" w:rsidRPr="000C0842" w:rsidRDefault="004C57B0">
            <w:pPr>
              <w:numPr>
                <w:ilvl w:val="0"/>
                <w:numId w:val="13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p>
          <w:p w14:paraId="7BEDC762" w14:textId="77777777" w:rsidR="004C57B0" w:rsidRPr="000C0842" w:rsidRDefault="004C57B0">
            <w:pPr>
              <w:numPr>
                <w:ilvl w:val="0"/>
                <w:numId w:val="13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6C06F2B6" w14:textId="77777777" w:rsidR="004C57B0" w:rsidRPr="000C0842" w:rsidRDefault="004C57B0">
            <w:pPr>
              <w:numPr>
                <w:ilvl w:val="0"/>
                <w:numId w:val="136"/>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r w:rsidR="004C57B0" w:rsidRPr="000C0842" w14:paraId="625F0213" w14:textId="77777777" w:rsidTr="001F32B3">
        <w:trPr>
          <w:cantSplit/>
          <w:trHeight w:val="979"/>
        </w:trPr>
        <w:tc>
          <w:tcPr>
            <w:tcW w:w="6249" w:type="dxa"/>
          </w:tcPr>
          <w:p w14:paraId="6E79C25E" w14:textId="77777777" w:rsidR="004C57B0" w:rsidRPr="000C0842" w:rsidRDefault="004C57B0" w:rsidP="004C57B0">
            <w:pPr>
              <w:tabs>
                <w:tab w:val="clear" w:pos="567"/>
                <w:tab w:val="clear" w:pos="1134"/>
                <w:tab w:val="clear" w:pos="1701"/>
                <w:tab w:val="clear" w:pos="2268"/>
              </w:tabs>
              <w:jc w:val="left"/>
              <w:rPr>
                <w:rFonts w:eastAsia="SimSun" w:cs="Times New Roman"/>
                <w:sz w:val="20"/>
                <w:szCs w:val="20"/>
                <w:lang w:val="en-GB" w:eastAsia="zh-CN"/>
              </w:rPr>
            </w:pPr>
            <w:r w:rsidRPr="000C0842">
              <w:rPr>
                <w:rFonts w:eastAsia="SimSun" w:cs="Times New Roman"/>
                <w:b/>
                <w:sz w:val="20"/>
                <w:szCs w:val="20"/>
                <w:lang w:val="en-GB" w:eastAsia="zh-CN"/>
              </w:rPr>
              <w:t>23.</w:t>
            </w:r>
            <w:r w:rsidRPr="000C0842">
              <w:rPr>
                <w:rFonts w:eastAsia="SimSun" w:cs="Times New Roman" w:hint="eastAsia"/>
                <w:b/>
                <w:sz w:val="20"/>
                <w:szCs w:val="20"/>
                <w:lang w:val="en-GB" w:eastAsia="zh-CN"/>
              </w:rPr>
              <w:t>4</w:t>
            </w:r>
            <w:r w:rsidRPr="000C0842">
              <w:rPr>
                <w:rFonts w:eastAsia="SimSun" w:cs="Times New Roman"/>
                <w:sz w:val="20"/>
                <w:szCs w:val="20"/>
                <w:lang w:val="en-GB" w:eastAsia="zh-CN"/>
              </w:rPr>
              <w:tab/>
            </w:r>
            <w:r w:rsidRPr="000C0842">
              <w:rPr>
                <w:rFonts w:ascii="SimSun" w:eastAsia="SimSun" w:hAnsi="SimSun" w:cs="SimSun" w:hint="eastAsia"/>
                <w:sz w:val="20"/>
                <w:szCs w:val="20"/>
                <w:lang w:eastAsia="zh-CN"/>
              </w:rPr>
              <w:t>贵国是否进行按性别细分的数据收集和分析，用于评估生物多样性政策和计划的不同影响？</w:t>
            </w:r>
          </w:p>
        </w:tc>
        <w:tc>
          <w:tcPr>
            <w:tcW w:w="3685" w:type="dxa"/>
          </w:tcPr>
          <w:p w14:paraId="5022857C" w14:textId="77777777" w:rsidR="004C57B0" w:rsidRPr="000C0842" w:rsidRDefault="004C57B0">
            <w:pPr>
              <w:numPr>
                <w:ilvl w:val="0"/>
                <w:numId w:val="14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否</w:t>
            </w:r>
          </w:p>
          <w:p w14:paraId="5767D145" w14:textId="77777777" w:rsidR="004C57B0" w:rsidRPr="000C0842" w:rsidRDefault="004C57B0">
            <w:pPr>
              <w:numPr>
                <w:ilvl w:val="0"/>
                <w:numId w:val="14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正在酝酿中</w:t>
            </w:r>
            <w:r w:rsidRPr="000C0842">
              <w:rPr>
                <w:rFonts w:eastAsia="SimSun" w:cs="Times New Roman"/>
                <w:sz w:val="20"/>
                <w:szCs w:val="20"/>
                <w:shd w:val="clear" w:color="auto" w:fill="FFFFFF"/>
                <w:lang w:val="en-GB" w:eastAsia="zh-CN"/>
              </w:rPr>
              <w:t xml:space="preserve"> </w:t>
            </w:r>
          </w:p>
          <w:p w14:paraId="44D41B22" w14:textId="77777777" w:rsidR="004C57B0" w:rsidRPr="000C0842" w:rsidRDefault="004C57B0">
            <w:pPr>
              <w:numPr>
                <w:ilvl w:val="0"/>
                <w:numId w:val="14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部分是</w:t>
            </w:r>
          </w:p>
          <w:p w14:paraId="1821C3BE" w14:textId="77777777" w:rsidR="004C57B0" w:rsidRPr="000C0842" w:rsidRDefault="004C57B0">
            <w:pPr>
              <w:numPr>
                <w:ilvl w:val="0"/>
                <w:numId w:val="148"/>
              </w:numPr>
              <w:tabs>
                <w:tab w:val="clear" w:pos="567"/>
                <w:tab w:val="clear" w:pos="1134"/>
                <w:tab w:val="clear" w:pos="1701"/>
                <w:tab w:val="clear" w:pos="2268"/>
              </w:tabs>
              <w:contextualSpacing/>
              <w:jc w:val="left"/>
              <w:rPr>
                <w:rFonts w:eastAsia="SimSun" w:cs="Times New Roman"/>
                <w:sz w:val="20"/>
                <w:szCs w:val="20"/>
                <w:lang w:val="en-GB" w:eastAsia="zh-CN"/>
              </w:rPr>
            </w:pPr>
            <w:r w:rsidRPr="000C0842">
              <w:rPr>
                <w:rFonts w:ascii="SimSun" w:eastAsia="SimSun" w:hAnsi="SimSun" w:cs="SimSun" w:hint="eastAsia"/>
                <w:sz w:val="20"/>
                <w:szCs w:val="20"/>
                <w:shd w:val="clear" w:color="auto" w:fill="FFFFFF"/>
                <w:lang w:val="en-GB" w:eastAsia="zh-CN"/>
              </w:rPr>
              <w:t>完全是</w:t>
            </w:r>
          </w:p>
        </w:tc>
      </w:tr>
    </w:tbl>
    <w:p w14:paraId="71DF79A0" w14:textId="77777777" w:rsidR="004C57B0" w:rsidRPr="000C0842" w:rsidRDefault="004C57B0" w:rsidP="004C57B0">
      <w:pPr>
        <w:tabs>
          <w:tab w:val="clear" w:pos="567"/>
          <w:tab w:val="clear" w:pos="1134"/>
          <w:tab w:val="clear" w:pos="1701"/>
          <w:tab w:val="clear" w:pos="2268"/>
        </w:tabs>
        <w:spacing w:line="276" w:lineRule="auto"/>
        <w:jc w:val="left"/>
        <w:rPr>
          <w:rFonts w:eastAsia="SimSun"/>
          <w:sz w:val="24"/>
        </w:rPr>
      </w:pPr>
    </w:p>
    <w:p w14:paraId="4F521821" w14:textId="5F3065E4" w:rsidR="000A776A" w:rsidRPr="000C0842" w:rsidRDefault="000A776A">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515A55E9" w14:textId="79F749B7" w:rsidR="000A776A" w:rsidRPr="000C0842" w:rsidRDefault="000A776A" w:rsidP="002437E6">
      <w:pPr>
        <w:pStyle w:val="a1"/>
        <w:rPr>
          <w:rFonts w:hint="eastAsia"/>
          <w:lang w:eastAsia="zh-CN"/>
        </w:rPr>
      </w:pPr>
      <w:bookmarkStart w:id="126" w:name="_Toc206358229"/>
      <w:r w:rsidRPr="000C0842">
        <w:rPr>
          <w:lang w:eastAsia="zh-CN"/>
        </w:rPr>
        <w:t>16/32.</w:t>
      </w:r>
      <w:r w:rsidR="00A277E2" w:rsidRPr="000C0842">
        <w:rPr>
          <w:rFonts w:hint="eastAsia"/>
          <w:lang w:eastAsia="zh-CN"/>
        </w:rPr>
        <w:t xml:space="preserve"> </w:t>
      </w:r>
      <w:r w:rsidRPr="000C0842">
        <w:rPr>
          <w:rFonts w:hint="eastAsia"/>
          <w:lang w:eastAsia="zh-CN"/>
        </w:rPr>
        <w:t>规划、监测、报告和审查机制，包括将在缔约方大会第十七届和第十九届会议上进行的《昆明</w:t>
      </w:r>
      <w:r w:rsidRPr="000C0842">
        <w:rPr>
          <w:lang w:eastAsia="zh-CN"/>
        </w:rPr>
        <w:t>-</w:t>
      </w:r>
      <w:r w:rsidRPr="000C0842">
        <w:rPr>
          <w:rFonts w:hint="eastAsia"/>
          <w:lang w:eastAsia="zh-CN"/>
        </w:rPr>
        <w:t>蒙特利尔全球生物多样性框架》集体执行进度全球审查</w:t>
      </w:r>
      <w:bookmarkEnd w:id="126"/>
    </w:p>
    <w:p w14:paraId="1127D63A" w14:textId="77777777" w:rsidR="000A776A" w:rsidRPr="000C0842" w:rsidRDefault="000A776A" w:rsidP="00444037">
      <w:pPr>
        <w:suppressLineNumbers/>
        <w:tabs>
          <w:tab w:val="clear" w:pos="567"/>
          <w:tab w:val="clear" w:pos="1134"/>
          <w:tab w:val="clear" w:pos="1701"/>
          <w:tab w:val="clear" w:pos="2268"/>
        </w:tabs>
        <w:suppressAutoHyphens/>
        <w:autoSpaceDE w:val="0"/>
        <w:autoSpaceDN w:val="0"/>
        <w:adjustRightInd w:val="0"/>
        <w:snapToGrid w:val="0"/>
        <w:spacing w:before="240" w:after="120"/>
        <w:ind w:left="490" w:firstLine="490"/>
        <w:rPr>
          <w:rFonts w:eastAsia="KaiTi"/>
          <w:snapToGrid w:val="0"/>
          <w:kern w:val="22"/>
          <w:sz w:val="24"/>
          <w:szCs w:val="18"/>
          <w:lang w:val="en-GB"/>
        </w:rPr>
      </w:pPr>
      <w:r w:rsidRPr="000C0842">
        <w:rPr>
          <w:rFonts w:eastAsia="KaiTi" w:hint="eastAsia"/>
          <w:snapToGrid w:val="0"/>
          <w:kern w:val="22"/>
          <w:sz w:val="24"/>
          <w:szCs w:val="18"/>
          <w:lang w:val="en-GB"/>
        </w:rPr>
        <w:t>缔约方大会，</w:t>
      </w:r>
    </w:p>
    <w:p w14:paraId="405228EA" w14:textId="387E3E3C"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回顾</w:t>
      </w:r>
      <w:r w:rsidRPr="000C0842">
        <w:rPr>
          <w:rFonts w:eastAsia="SimSun" w:hint="eastAsia"/>
          <w:snapToGrid w:val="0"/>
          <w:kern w:val="22"/>
          <w:sz w:val="24"/>
          <w:szCs w:val="18"/>
          <w:lang w:val="en-GB"/>
        </w:rPr>
        <w:t>《生物多样性公约》</w:t>
      </w:r>
      <w:r w:rsidRPr="000C0842">
        <w:rPr>
          <w:rFonts w:eastAsia="SimSun"/>
          <w:snapToGrid w:val="0"/>
          <w:kern w:val="22"/>
          <w:sz w:val="24"/>
          <w:szCs w:val="18"/>
          <w:vertAlign w:val="superscript"/>
          <w:lang w:val="en-GB"/>
        </w:rPr>
        <w:footnoteReference w:id="415"/>
      </w:r>
      <w:r w:rsidRPr="000C0842">
        <w:rPr>
          <w:rFonts w:eastAsia="SimSun" w:hint="eastAsia"/>
          <w:snapToGrid w:val="0"/>
          <w:kern w:val="22"/>
          <w:sz w:val="24"/>
          <w:szCs w:val="18"/>
          <w:lang w:val="en-GB"/>
        </w:rPr>
        <w:t>第</w:t>
      </w:r>
      <w:hyperlink r:id="rId286" w:history="1">
        <w:r w:rsidRPr="000C0842">
          <w:rPr>
            <w:rStyle w:val="Hyperlink"/>
            <w:rFonts w:eastAsia="SimSun"/>
            <w:snapToGrid w:val="0"/>
            <w:color w:val="auto"/>
            <w:kern w:val="22"/>
            <w:sz w:val="24"/>
            <w:szCs w:val="18"/>
            <w:lang w:val="en-GB"/>
          </w:rPr>
          <w:t>6</w:t>
        </w:r>
      </w:hyperlink>
      <w:r w:rsidRPr="000C0842">
        <w:rPr>
          <w:rFonts w:eastAsia="SimSun" w:hint="eastAsia"/>
          <w:snapToGrid w:val="0"/>
          <w:kern w:val="22"/>
          <w:sz w:val="24"/>
          <w:szCs w:val="18"/>
          <w:lang w:val="en-GB"/>
        </w:rPr>
        <w:t>条、第</w:t>
      </w:r>
      <w:hyperlink r:id="rId287" w:history="1">
        <w:r w:rsidRPr="000C0842">
          <w:rPr>
            <w:rStyle w:val="Hyperlink"/>
            <w:rFonts w:eastAsia="SimSun"/>
            <w:snapToGrid w:val="0"/>
            <w:color w:val="auto"/>
            <w:kern w:val="22"/>
            <w:sz w:val="24"/>
            <w:szCs w:val="18"/>
            <w:lang w:val="en-GB"/>
          </w:rPr>
          <w:t>23</w:t>
        </w:r>
      </w:hyperlink>
      <w:r w:rsidRPr="000C0842">
        <w:rPr>
          <w:rFonts w:eastAsia="SimSun" w:hint="eastAsia"/>
          <w:snapToGrid w:val="0"/>
          <w:kern w:val="22"/>
          <w:sz w:val="24"/>
          <w:szCs w:val="18"/>
          <w:lang w:val="en-GB"/>
        </w:rPr>
        <w:t>条和第</w:t>
      </w:r>
      <w:hyperlink r:id="rId288" w:history="1">
        <w:r w:rsidRPr="000C0842">
          <w:rPr>
            <w:rStyle w:val="Hyperlink"/>
            <w:rFonts w:eastAsia="SimSun"/>
            <w:snapToGrid w:val="0"/>
            <w:color w:val="auto"/>
            <w:kern w:val="22"/>
            <w:sz w:val="24"/>
            <w:szCs w:val="18"/>
            <w:lang w:val="en-GB"/>
          </w:rPr>
          <w:t>26</w:t>
        </w:r>
      </w:hyperlink>
      <w:r w:rsidRPr="000C0842">
        <w:rPr>
          <w:rFonts w:eastAsia="SimSun" w:hint="eastAsia"/>
          <w:snapToGrid w:val="0"/>
          <w:kern w:val="22"/>
          <w:sz w:val="24"/>
          <w:szCs w:val="18"/>
          <w:lang w:val="en-GB"/>
        </w:rPr>
        <w:t>条，</w:t>
      </w:r>
    </w:p>
    <w:p w14:paraId="2AF87B8A"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sz w:val="24"/>
          <w:szCs w:val="18"/>
          <w:lang w:val="en-GB"/>
        </w:rPr>
      </w:pPr>
      <w:r w:rsidRPr="000C0842">
        <w:rPr>
          <w:rFonts w:eastAsia="KaiTi" w:hint="eastAsia"/>
          <w:snapToGrid w:val="0"/>
          <w:sz w:val="24"/>
          <w:szCs w:val="18"/>
          <w:lang w:val="en-GB"/>
        </w:rPr>
        <w:t>又回顾</w:t>
      </w:r>
      <w:r w:rsidRPr="000C0842">
        <w:rPr>
          <w:rFonts w:eastAsia="SimSun" w:hint="eastAsia"/>
          <w:snapToGrid w:val="0"/>
          <w:sz w:val="24"/>
          <w:szCs w:val="18"/>
          <w:lang w:val="en-GB"/>
        </w:rPr>
        <w:t>其关于五版《全球生物多样性展望》和两版《地方生物多样性展望》</w:t>
      </w:r>
      <w:r w:rsidRPr="000C0842">
        <w:rPr>
          <w:rFonts w:eastAsia="SimSun"/>
          <w:snapToGrid w:val="0"/>
          <w:sz w:val="24"/>
          <w:szCs w:val="18"/>
          <w:lang w:val="en-GB"/>
        </w:rPr>
        <w:t xml:space="preserve"> </w:t>
      </w:r>
      <w:r w:rsidRPr="000C0842">
        <w:rPr>
          <w:rFonts w:eastAsia="SimSun" w:hint="eastAsia"/>
          <w:snapToGrid w:val="0"/>
          <w:sz w:val="24"/>
          <w:szCs w:val="18"/>
          <w:lang w:val="en-GB"/>
        </w:rPr>
        <w:t>的结论的</w:t>
      </w:r>
      <w:r w:rsidRPr="000C0842">
        <w:rPr>
          <w:rFonts w:eastAsia="SimSun"/>
          <w:snapToGrid w:val="0"/>
          <w:sz w:val="24"/>
          <w:szCs w:val="18"/>
          <w:lang w:val="en-GB"/>
        </w:rPr>
        <w:t>2002</w:t>
      </w:r>
      <w:r w:rsidRPr="000C0842">
        <w:rPr>
          <w:rFonts w:eastAsia="SimSun" w:hint="eastAsia"/>
          <w:snapToGrid w:val="0"/>
          <w:sz w:val="24"/>
          <w:szCs w:val="18"/>
          <w:lang w:val="en-GB"/>
        </w:rPr>
        <w:t>年</w:t>
      </w:r>
      <w:r w:rsidRPr="000C0842">
        <w:rPr>
          <w:rFonts w:eastAsia="SimSun"/>
          <w:snapToGrid w:val="0"/>
          <w:sz w:val="24"/>
          <w:szCs w:val="18"/>
          <w:lang w:val="en-GB"/>
        </w:rPr>
        <w:t>4</w:t>
      </w:r>
      <w:r w:rsidRPr="000C0842">
        <w:rPr>
          <w:rFonts w:eastAsia="SimSun" w:hint="eastAsia"/>
          <w:snapToGrid w:val="0"/>
          <w:sz w:val="24"/>
          <w:szCs w:val="18"/>
          <w:lang w:val="en-GB"/>
        </w:rPr>
        <w:t>月</w:t>
      </w:r>
      <w:r w:rsidRPr="000C0842">
        <w:rPr>
          <w:rFonts w:eastAsia="SimSun"/>
          <w:snapToGrid w:val="0"/>
          <w:sz w:val="24"/>
          <w:szCs w:val="18"/>
          <w:lang w:val="en-GB"/>
        </w:rPr>
        <w:t>19</w:t>
      </w:r>
      <w:r w:rsidRPr="000C0842">
        <w:rPr>
          <w:rFonts w:eastAsia="SimSun" w:hint="eastAsia"/>
          <w:snapToGrid w:val="0"/>
          <w:sz w:val="24"/>
          <w:szCs w:val="18"/>
          <w:lang w:val="en-GB"/>
        </w:rPr>
        <w:t>日第</w:t>
      </w:r>
      <w:hyperlink r:id="rId289" w:history="1">
        <w:r w:rsidRPr="000C0842">
          <w:rPr>
            <w:rFonts w:eastAsia="SimSun"/>
            <w:snapToGrid w:val="0"/>
            <w:sz w:val="24"/>
            <w:szCs w:val="18"/>
            <w:u w:val="single"/>
            <w:lang w:val="en-GB"/>
          </w:rPr>
          <w:t>VI/25</w:t>
        </w:r>
      </w:hyperlink>
      <w:r w:rsidRPr="000C0842">
        <w:rPr>
          <w:rFonts w:eastAsia="SimSun" w:hint="eastAsia"/>
          <w:snapToGrid w:val="0"/>
          <w:sz w:val="24"/>
          <w:szCs w:val="18"/>
          <w:lang w:val="en-GB"/>
        </w:rPr>
        <w:t>号、</w:t>
      </w:r>
      <w:r w:rsidRPr="000C0842">
        <w:rPr>
          <w:rFonts w:eastAsia="SimSun"/>
          <w:snapToGrid w:val="0"/>
          <w:sz w:val="24"/>
          <w:szCs w:val="18"/>
          <w:lang w:val="en-GB"/>
        </w:rPr>
        <w:t>2006</w:t>
      </w:r>
      <w:r w:rsidRPr="000C0842">
        <w:rPr>
          <w:rFonts w:eastAsia="SimSun" w:hint="eastAsia"/>
          <w:snapToGrid w:val="0"/>
          <w:sz w:val="24"/>
          <w:szCs w:val="18"/>
          <w:lang w:val="en-GB"/>
        </w:rPr>
        <w:t>年</w:t>
      </w:r>
      <w:r w:rsidRPr="000C0842">
        <w:rPr>
          <w:rFonts w:eastAsia="SimSun"/>
          <w:snapToGrid w:val="0"/>
          <w:sz w:val="24"/>
          <w:szCs w:val="18"/>
          <w:lang w:val="en-GB"/>
        </w:rPr>
        <w:t>3</w:t>
      </w:r>
      <w:r w:rsidRPr="000C0842">
        <w:rPr>
          <w:rFonts w:eastAsia="SimSun" w:hint="eastAsia"/>
          <w:snapToGrid w:val="0"/>
          <w:sz w:val="24"/>
          <w:szCs w:val="18"/>
          <w:lang w:val="en-GB"/>
        </w:rPr>
        <w:t>月</w:t>
      </w:r>
      <w:r w:rsidRPr="000C0842">
        <w:rPr>
          <w:rFonts w:eastAsia="SimSun"/>
          <w:snapToGrid w:val="0"/>
          <w:sz w:val="24"/>
          <w:szCs w:val="18"/>
          <w:lang w:val="en-GB"/>
        </w:rPr>
        <w:t>31</w:t>
      </w:r>
      <w:r w:rsidRPr="000C0842">
        <w:rPr>
          <w:rFonts w:eastAsia="SimSun" w:hint="eastAsia"/>
          <w:snapToGrid w:val="0"/>
          <w:sz w:val="24"/>
          <w:szCs w:val="18"/>
          <w:lang w:val="en-GB"/>
        </w:rPr>
        <w:t>日第</w:t>
      </w:r>
      <w:hyperlink r:id="rId290" w:history="1">
        <w:r w:rsidRPr="000C0842">
          <w:rPr>
            <w:rFonts w:eastAsia="SimSun"/>
            <w:snapToGrid w:val="0"/>
            <w:sz w:val="24"/>
            <w:szCs w:val="18"/>
            <w:u w:val="single"/>
            <w:lang w:val="en-GB"/>
          </w:rPr>
          <w:t>VIII/7</w:t>
        </w:r>
      </w:hyperlink>
      <w:r w:rsidRPr="000C0842">
        <w:rPr>
          <w:rFonts w:eastAsia="SimSun" w:hint="eastAsia"/>
          <w:snapToGrid w:val="0"/>
          <w:sz w:val="24"/>
          <w:szCs w:val="18"/>
          <w:lang w:val="en-GB"/>
        </w:rPr>
        <w:t>号、</w:t>
      </w:r>
      <w:r w:rsidRPr="000C0842">
        <w:rPr>
          <w:rFonts w:eastAsia="SimSun"/>
          <w:snapToGrid w:val="0"/>
          <w:sz w:val="24"/>
          <w:szCs w:val="18"/>
          <w:lang w:val="en-GB"/>
        </w:rPr>
        <w:t>2010</w:t>
      </w:r>
      <w:r w:rsidRPr="000C0842">
        <w:rPr>
          <w:rFonts w:eastAsia="SimSun" w:hint="eastAsia"/>
          <w:snapToGrid w:val="0"/>
          <w:sz w:val="24"/>
          <w:szCs w:val="18"/>
          <w:lang w:val="en-GB"/>
        </w:rPr>
        <w:t>年</w:t>
      </w:r>
      <w:r w:rsidRPr="000C0842">
        <w:rPr>
          <w:rFonts w:eastAsia="SimSun"/>
          <w:snapToGrid w:val="0"/>
          <w:sz w:val="24"/>
          <w:szCs w:val="18"/>
          <w:lang w:val="en-GB"/>
        </w:rPr>
        <w:t>10</w:t>
      </w:r>
      <w:r w:rsidRPr="000C0842">
        <w:rPr>
          <w:rFonts w:eastAsia="SimSun" w:hint="eastAsia"/>
          <w:snapToGrid w:val="0"/>
          <w:sz w:val="24"/>
          <w:szCs w:val="18"/>
          <w:lang w:val="en-GB"/>
        </w:rPr>
        <w:t>月</w:t>
      </w:r>
      <w:r w:rsidRPr="000C0842">
        <w:rPr>
          <w:rFonts w:eastAsia="SimSun"/>
          <w:snapToGrid w:val="0"/>
          <w:sz w:val="24"/>
          <w:szCs w:val="18"/>
          <w:lang w:val="en-GB"/>
        </w:rPr>
        <w:t>29</w:t>
      </w:r>
      <w:r w:rsidRPr="000C0842">
        <w:rPr>
          <w:rFonts w:eastAsia="SimSun" w:hint="eastAsia"/>
          <w:snapToGrid w:val="0"/>
          <w:sz w:val="24"/>
          <w:szCs w:val="18"/>
          <w:lang w:val="en-GB"/>
        </w:rPr>
        <w:t>日第</w:t>
      </w:r>
      <w:hyperlink r:id="rId291" w:history="1">
        <w:r w:rsidRPr="000C0842">
          <w:rPr>
            <w:rFonts w:eastAsia="SimSun"/>
            <w:snapToGrid w:val="0"/>
            <w:sz w:val="24"/>
            <w:szCs w:val="18"/>
            <w:u w:val="single"/>
            <w:lang w:val="en-GB"/>
          </w:rPr>
          <w:t>X/4</w:t>
        </w:r>
      </w:hyperlink>
      <w:r w:rsidRPr="000C0842">
        <w:rPr>
          <w:rFonts w:eastAsia="SimSun" w:hint="eastAsia"/>
          <w:snapToGrid w:val="0"/>
          <w:sz w:val="24"/>
          <w:szCs w:val="18"/>
          <w:lang w:val="en-GB"/>
        </w:rPr>
        <w:t>号、</w:t>
      </w:r>
      <w:r w:rsidRPr="000C0842">
        <w:rPr>
          <w:rFonts w:eastAsia="SimSun"/>
          <w:snapToGrid w:val="0"/>
          <w:sz w:val="24"/>
          <w:szCs w:val="18"/>
          <w:lang w:val="en-GB"/>
        </w:rPr>
        <w:t>2014</w:t>
      </w:r>
      <w:r w:rsidRPr="000C0842">
        <w:rPr>
          <w:rFonts w:eastAsia="SimSun" w:hint="eastAsia"/>
          <w:snapToGrid w:val="0"/>
          <w:sz w:val="24"/>
          <w:szCs w:val="18"/>
          <w:lang w:val="en-GB"/>
        </w:rPr>
        <w:t>年</w:t>
      </w:r>
      <w:r w:rsidRPr="000C0842">
        <w:rPr>
          <w:rFonts w:eastAsia="SimSun"/>
          <w:snapToGrid w:val="0"/>
          <w:sz w:val="24"/>
          <w:szCs w:val="18"/>
          <w:lang w:val="en-GB"/>
        </w:rPr>
        <w:t>10</w:t>
      </w:r>
      <w:r w:rsidRPr="000C0842">
        <w:rPr>
          <w:rFonts w:eastAsia="SimSun" w:hint="eastAsia"/>
          <w:snapToGrid w:val="0"/>
          <w:sz w:val="24"/>
          <w:szCs w:val="18"/>
          <w:lang w:val="en-GB"/>
        </w:rPr>
        <w:t>月</w:t>
      </w:r>
      <w:r w:rsidRPr="000C0842">
        <w:rPr>
          <w:rFonts w:eastAsia="SimSun"/>
          <w:snapToGrid w:val="0"/>
          <w:sz w:val="24"/>
          <w:szCs w:val="18"/>
          <w:lang w:val="en-GB"/>
        </w:rPr>
        <w:t>17</w:t>
      </w:r>
      <w:r w:rsidRPr="000C0842">
        <w:rPr>
          <w:rFonts w:eastAsia="SimSun" w:hint="eastAsia"/>
          <w:snapToGrid w:val="0"/>
          <w:sz w:val="24"/>
          <w:szCs w:val="18"/>
          <w:lang w:val="en-GB"/>
        </w:rPr>
        <w:t>日第</w:t>
      </w:r>
      <w:hyperlink r:id="rId292" w:history="1">
        <w:r w:rsidRPr="000C0842">
          <w:rPr>
            <w:rFonts w:eastAsia="SimSun"/>
            <w:snapToGrid w:val="0"/>
            <w:sz w:val="24"/>
            <w:szCs w:val="18"/>
            <w:u w:val="single"/>
            <w:lang w:val="en-GB"/>
          </w:rPr>
          <w:t>XII/2</w:t>
        </w:r>
      </w:hyperlink>
      <w:r w:rsidRPr="000C0842">
        <w:rPr>
          <w:rFonts w:eastAsia="SimSun" w:hint="eastAsia"/>
          <w:snapToGrid w:val="0"/>
          <w:sz w:val="24"/>
          <w:szCs w:val="18"/>
          <w:lang w:val="en-GB"/>
        </w:rPr>
        <w:t>号和</w:t>
      </w:r>
      <w:r w:rsidRPr="000C0842">
        <w:rPr>
          <w:rFonts w:eastAsia="SimSun"/>
          <w:snapToGrid w:val="0"/>
          <w:sz w:val="24"/>
          <w:szCs w:val="18"/>
          <w:lang w:val="en-GB"/>
        </w:rPr>
        <w:t>2022</w:t>
      </w:r>
      <w:r w:rsidRPr="000C0842">
        <w:rPr>
          <w:rFonts w:eastAsia="SimSun" w:hint="eastAsia"/>
          <w:snapToGrid w:val="0"/>
          <w:sz w:val="24"/>
          <w:szCs w:val="18"/>
          <w:lang w:val="en-GB"/>
        </w:rPr>
        <w:t>年</w:t>
      </w:r>
      <w:r w:rsidRPr="000C0842">
        <w:rPr>
          <w:rFonts w:eastAsia="SimSun"/>
          <w:snapToGrid w:val="0"/>
          <w:sz w:val="24"/>
          <w:szCs w:val="18"/>
          <w:lang w:val="en-GB"/>
        </w:rPr>
        <w:t>12</w:t>
      </w:r>
      <w:r w:rsidRPr="000C0842">
        <w:rPr>
          <w:rFonts w:eastAsia="SimSun" w:hint="eastAsia"/>
          <w:snapToGrid w:val="0"/>
          <w:sz w:val="24"/>
          <w:szCs w:val="18"/>
          <w:lang w:val="en-GB"/>
        </w:rPr>
        <w:t>月</w:t>
      </w:r>
      <w:r w:rsidRPr="000C0842">
        <w:rPr>
          <w:rFonts w:eastAsia="SimSun"/>
          <w:snapToGrid w:val="0"/>
          <w:sz w:val="24"/>
          <w:szCs w:val="18"/>
          <w:lang w:val="en-GB"/>
        </w:rPr>
        <w:t>10</w:t>
      </w:r>
      <w:r w:rsidRPr="000C0842">
        <w:rPr>
          <w:rFonts w:eastAsia="SimSun" w:hint="eastAsia"/>
          <w:snapToGrid w:val="0"/>
          <w:sz w:val="24"/>
          <w:szCs w:val="18"/>
          <w:lang w:val="en-GB"/>
        </w:rPr>
        <w:t>日第</w:t>
      </w:r>
      <w:hyperlink r:id="rId293" w:history="1">
        <w:r w:rsidRPr="000C0842">
          <w:rPr>
            <w:rFonts w:eastAsia="SimSun"/>
            <w:snapToGrid w:val="0"/>
            <w:sz w:val="24"/>
            <w:szCs w:val="18"/>
            <w:u w:val="single"/>
            <w:lang w:val="en-GB"/>
          </w:rPr>
          <w:t>15/3</w:t>
        </w:r>
      </w:hyperlink>
      <w:r w:rsidRPr="000C0842">
        <w:rPr>
          <w:rFonts w:eastAsia="SimSun" w:hint="eastAsia"/>
          <w:snapToGrid w:val="0"/>
          <w:sz w:val="24"/>
          <w:szCs w:val="18"/>
          <w:lang w:val="en-GB"/>
        </w:rPr>
        <w:t>号、第</w:t>
      </w:r>
      <w:hyperlink r:id="rId294" w:history="1">
        <w:r w:rsidRPr="000C0842">
          <w:rPr>
            <w:rFonts w:eastAsia="SimSun"/>
            <w:snapToGrid w:val="0"/>
            <w:sz w:val="24"/>
            <w:szCs w:val="18"/>
            <w:u w:val="single"/>
            <w:lang w:val="en-GB"/>
          </w:rPr>
          <w:t>15/5</w:t>
        </w:r>
      </w:hyperlink>
      <w:r w:rsidRPr="000C0842">
        <w:rPr>
          <w:rFonts w:eastAsia="SimSun" w:hint="eastAsia"/>
          <w:snapToGrid w:val="0"/>
          <w:sz w:val="24"/>
          <w:szCs w:val="18"/>
          <w:lang w:val="en-GB"/>
        </w:rPr>
        <w:t>号、第</w:t>
      </w:r>
      <w:hyperlink r:id="rId295" w:history="1">
        <w:r w:rsidRPr="000C0842">
          <w:rPr>
            <w:rFonts w:eastAsia="SimSun"/>
            <w:snapToGrid w:val="0"/>
            <w:sz w:val="24"/>
            <w:szCs w:val="18"/>
            <w:u w:val="single"/>
            <w:lang w:val="en-GB"/>
          </w:rPr>
          <w:t>15/6</w:t>
        </w:r>
      </w:hyperlink>
      <w:r w:rsidRPr="000C0842">
        <w:rPr>
          <w:rFonts w:eastAsia="SimSun" w:hint="eastAsia"/>
          <w:snapToGrid w:val="0"/>
          <w:sz w:val="24"/>
          <w:szCs w:val="18"/>
          <w:lang w:val="en-GB"/>
        </w:rPr>
        <w:t>号和第</w:t>
      </w:r>
      <w:hyperlink r:id="rId296" w:history="1">
        <w:r w:rsidRPr="000C0842">
          <w:rPr>
            <w:rFonts w:eastAsia="SimSun"/>
            <w:snapToGrid w:val="0"/>
            <w:sz w:val="24"/>
            <w:szCs w:val="18"/>
            <w:u w:val="single"/>
            <w:lang w:val="en-GB"/>
          </w:rPr>
          <w:t>15/11</w:t>
        </w:r>
      </w:hyperlink>
      <w:r w:rsidRPr="000C0842">
        <w:rPr>
          <w:rFonts w:eastAsia="SimSun" w:hint="eastAsia"/>
          <w:snapToGrid w:val="0"/>
          <w:sz w:val="24"/>
          <w:szCs w:val="18"/>
          <w:lang w:val="en-GB"/>
        </w:rPr>
        <w:t>号决定，</w:t>
      </w:r>
    </w:p>
    <w:p w14:paraId="19A83181"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sz w:val="24"/>
          <w:szCs w:val="18"/>
          <w:lang w:val="en-GB"/>
        </w:rPr>
      </w:pPr>
      <w:r w:rsidRPr="000C0842">
        <w:rPr>
          <w:rFonts w:eastAsia="KaiTi" w:hint="eastAsia"/>
          <w:snapToGrid w:val="0"/>
          <w:kern w:val="22"/>
          <w:sz w:val="24"/>
          <w:szCs w:val="18"/>
          <w:lang w:val="en-GB"/>
        </w:rPr>
        <w:t>还回顾</w:t>
      </w:r>
      <w:r w:rsidRPr="000C0842">
        <w:rPr>
          <w:rFonts w:eastAsia="SimSun"/>
          <w:snapToGrid w:val="0"/>
          <w:kern w:val="22"/>
          <w:sz w:val="24"/>
          <w:szCs w:val="18"/>
        </w:rPr>
        <w:t>其</w:t>
      </w:r>
      <w:r w:rsidRPr="000C0842">
        <w:rPr>
          <w:rFonts w:eastAsia="SimSun"/>
          <w:snapToGrid w:val="0"/>
          <w:kern w:val="22"/>
          <w:sz w:val="24"/>
          <w:szCs w:val="18"/>
        </w:rPr>
        <w:t>2016</w:t>
      </w:r>
      <w:r w:rsidRPr="000C0842">
        <w:rPr>
          <w:rFonts w:eastAsia="SimSun"/>
          <w:snapToGrid w:val="0"/>
          <w:kern w:val="22"/>
          <w:sz w:val="24"/>
          <w:szCs w:val="18"/>
        </w:rPr>
        <w:t>年</w:t>
      </w:r>
      <w:r w:rsidRPr="000C0842">
        <w:rPr>
          <w:rFonts w:eastAsia="SimSun"/>
          <w:snapToGrid w:val="0"/>
          <w:kern w:val="22"/>
          <w:sz w:val="24"/>
          <w:szCs w:val="18"/>
        </w:rPr>
        <w:t>12</w:t>
      </w:r>
      <w:r w:rsidRPr="000C0842">
        <w:rPr>
          <w:rFonts w:eastAsia="SimSun"/>
          <w:snapToGrid w:val="0"/>
          <w:kern w:val="22"/>
          <w:sz w:val="24"/>
          <w:szCs w:val="18"/>
        </w:rPr>
        <w:t>月</w:t>
      </w:r>
      <w:r w:rsidRPr="000C0842">
        <w:rPr>
          <w:rFonts w:eastAsia="SimSun"/>
          <w:snapToGrid w:val="0"/>
          <w:kern w:val="22"/>
          <w:sz w:val="24"/>
          <w:szCs w:val="18"/>
        </w:rPr>
        <w:t>9</w:t>
      </w:r>
      <w:r w:rsidRPr="000C0842">
        <w:rPr>
          <w:rFonts w:eastAsia="SimSun"/>
          <w:snapToGrid w:val="0"/>
          <w:kern w:val="22"/>
          <w:sz w:val="24"/>
          <w:szCs w:val="18"/>
        </w:rPr>
        <w:t>日第</w:t>
      </w:r>
      <w:hyperlink r:id="rId297" w:history="1">
        <w:r w:rsidRPr="000C0842">
          <w:rPr>
            <w:rFonts w:eastAsia="SimSun"/>
            <w:snapToGrid w:val="0"/>
            <w:kern w:val="22"/>
            <w:sz w:val="24"/>
            <w:szCs w:val="18"/>
            <w:u w:val="single"/>
          </w:rPr>
          <w:t>XIII/25</w:t>
        </w:r>
      </w:hyperlink>
      <w:r w:rsidRPr="000C0842">
        <w:rPr>
          <w:rFonts w:eastAsia="SimSun"/>
          <w:snapToGrid w:val="0"/>
          <w:kern w:val="22"/>
          <w:sz w:val="24"/>
          <w:szCs w:val="18"/>
        </w:rPr>
        <w:t>号决定、</w:t>
      </w:r>
      <w:r w:rsidRPr="000C0842">
        <w:rPr>
          <w:rFonts w:eastAsia="SimSun"/>
          <w:snapToGrid w:val="0"/>
          <w:kern w:val="22"/>
          <w:sz w:val="24"/>
          <w:szCs w:val="18"/>
        </w:rPr>
        <w:t>2018</w:t>
      </w:r>
      <w:r w:rsidRPr="000C0842">
        <w:rPr>
          <w:rFonts w:eastAsia="SimSun"/>
          <w:snapToGrid w:val="0"/>
          <w:kern w:val="22"/>
          <w:sz w:val="24"/>
          <w:szCs w:val="18"/>
        </w:rPr>
        <w:t>年</w:t>
      </w:r>
      <w:r w:rsidRPr="000C0842">
        <w:rPr>
          <w:rFonts w:eastAsia="SimSun"/>
          <w:snapToGrid w:val="0"/>
          <w:kern w:val="22"/>
          <w:sz w:val="24"/>
          <w:szCs w:val="18"/>
        </w:rPr>
        <w:t>11</w:t>
      </w:r>
      <w:r w:rsidRPr="000C0842">
        <w:rPr>
          <w:rFonts w:eastAsia="SimSun"/>
          <w:snapToGrid w:val="0"/>
          <w:kern w:val="22"/>
          <w:sz w:val="24"/>
          <w:szCs w:val="18"/>
        </w:rPr>
        <w:t>月</w:t>
      </w:r>
      <w:r w:rsidRPr="000C0842">
        <w:rPr>
          <w:rFonts w:eastAsia="SimSun"/>
          <w:snapToGrid w:val="0"/>
          <w:kern w:val="22"/>
          <w:sz w:val="24"/>
          <w:szCs w:val="18"/>
        </w:rPr>
        <w:t>29</w:t>
      </w:r>
      <w:r w:rsidRPr="000C0842">
        <w:rPr>
          <w:rFonts w:eastAsia="SimSun"/>
          <w:snapToGrid w:val="0"/>
          <w:kern w:val="22"/>
          <w:sz w:val="24"/>
          <w:szCs w:val="18"/>
        </w:rPr>
        <w:t>日第</w:t>
      </w:r>
      <w:hyperlink r:id="rId298" w:history="1">
        <w:r w:rsidRPr="000C0842">
          <w:rPr>
            <w:rFonts w:eastAsia="SimSun"/>
            <w:snapToGrid w:val="0"/>
            <w:kern w:val="22"/>
            <w:sz w:val="24"/>
            <w:szCs w:val="18"/>
            <w:u w:val="single"/>
          </w:rPr>
          <w:t>14/29</w:t>
        </w:r>
      </w:hyperlink>
      <w:r w:rsidRPr="000C0842">
        <w:rPr>
          <w:rFonts w:eastAsia="SimSun"/>
          <w:snapToGrid w:val="0"/>
          <w:kern w:val="22"/>
          <w:sz w:val="24"/>
          <w:szCs w:val="18"/>
        </w:rPr>
        <w:t>号决定</w:t>
      </w:r>
      <w:r w:rsidRPr="000C0842">
        <w:rPr>
          <w:rFonts w:eastAsia="SimSun" w:hint="eastAsia"/>
          <w:snapToGrid w:val="0"/>
          <w:kern w:val="22"/>
          <w:sz w:val="24"/>
          <w:szCs w:val="18"/>
        </w:rPr>
        <w:t>，</w:t>
      </w:r>
    </w:p>
    <w:p w14:paraId="647FE991"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回顾</w:t>
      </w:r>
      <w:r w:rsidRPr="000C0842">
        <w:rPr>
          <w:rFonts w:eastAsia="SimSun" w:hint="eastAsia"/>
          <w:snapToGrid w:val="0"/>
          <w:kern w:val="22"/>
          <w:sz w:val="24"/>
          <w:szCs w:val="18"/>
          <w:lang w:val="en-GB"/>
        </w:rPr>
        <w:t>根据第</w:t>
      </w:r>
      <w:hyperlink r:id="rId299" w:history="1">
        <w:r w:rsidRPr="000C0842">
          <w:rPr>
            <w:rFonts w:eastAsia="SimSun"/>
            <w:snapToGrid w:val="0"/>
            <w:kern w:val="22"/>
            <w:sz w:val="24"/>
            <w:szCs w:val="18"/>
            <w:u w:val="single"/>
            <w:lang w:val="en-GB"/>
          </w:rPr>
          <w:t>15/6</w:t>
        </w:r>
      </w:hyperlink>
      <w:r w:rsidRPr="000C0842">
        <w:rPr>
          <w:rFonts w:eastAsia="SimSun" w:hint="eastAsia"/>
          <w:snapToGrid w:val="0"/>
          <w:kern w:val="22"/>
          <w:sz w:val="24"/>
          <w:szCs w:val="18"/>
          <w:lang w:val="en-GB"/>
        </w:rPr>
        <w:t>号决定，</w:t>
      </w:r>
      <w:r w:rsidRPr="000C0842">
        <w:rPr>
          <w:rFonts w:eastAsia="SimSun"/>
          <w:snapToGrid w:val="0"/>
          <w:kern w:val="22"/>
          <w:sz w:val="24"/>
          <w:szCs w:val="18"/>
        </w:rPr>
        <w:t>以便利性、非侵入性、非惩罚性方式实施强化的多层面规划、监测、报告和审查办法，尊重国家主权，避免给缔约方特别是发展中国家造成不必要的负担</w:t>
      </w:r>
      <w:r w:rsidRPr="000C0842">
        <w:rPr>
          <w:rFonts w:eastAsia="SimSun" w:hint="eastAsia"/>
          <w:snapToGrid w:val="0"/>
          <w:kern w:val="22"/>
          <w:sz w:val="24"/>
          <w:szCs w:val="18"/>
          <w:lang w:val="en-GB"/>
        </w:rPr>
        <w:t>，</w:t>
      </w:r>
    </w:p>
    <w:p w14:paraId="1A30595D"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又回顾</w:t>
      </w:r>
      <w:r w:rsidRPr="000C0842">
        <w:rPr>
          <w:rFonts w:eastAsia="SimSun" w:hint="eastAsia"/>
          <w:snapToGrid w:val="0"/>
          <w:kern w:val="22"/>
          <w:sz w:val="24"/>
          <w:szCs w:val="18"/>
          <w:lang w:val="en-GB"/>
        </w:rPr>
        <w:t>依照第</w:t>
      </w:r>
      <w:hyperlink r:id="rId300" w:history="1">
        <w:r w:rsidRPr="000C0842">
          <w:rPr>
            <w:rFonts w:eastAsia="SimSun"/>
            <w:snapToGrid w:val="0"/>
            <w:kern w:val="22"/>
            <w:sz w:val="24"/>
            <w:szCs w:val="18"/>
            <w:u w:val="single"/>
            <w:lang w:val="en-GB"/>
          </w:rPr>
          <w:t>15/6</w:t>
        </w:r>
      </w:hyperlink>
      <w:r w:rsidRPr="000C0842">
        <w:rPr>
          <w:rFonts w:eastAsia="SimSun" w:hint="eastAsia"/>
          <w:snapToGrid w:val="0"/>
          <w:kern w:val="22"/>
          <w:sz w:val="24"/>
          <w:szCs w:val="18"/>
          <w:lang w:val="en-GB"/>
        </w:rPr>
        <w:t>号决定第</w:t>
      </w:r>
      <w:r w:rsidRPr="000C0842">
        <w:rPr>
          <w:rFonts w:eastAsia="SimSun"/>
          <w:snapToGrid w:val="0"/>
          <w:kern w:val="22"/>
          <w:sz w:val="24"/>
          <w:szCs w:val="18"/>
          <w:lang w:val="en-GB"/>
        </w:rPr>
        <w:t>2</w:t>
      </w:r>
      <w:r w:rsidRPr="000C0842">
        <w:rPr>
          <w:rFonts w:eastAsia="SimSun" w:hint="eastAsia"/>
          <w:snapToGrid w:val="0"/>
          <w:kern w:val="22"/>
          <w:sz w:val="24"/>
          <w:szCs w:val="18"/>
          <w:lang w:val="en-GB"/>
        </w:rPr>
        <w:t>段，在缔约方大会今后届会上审议并提出任何必要的建议，以期实现《昆明</w:t>
      </w:r>
      <w:r w:rsidRPr="000C0842">
        <w:rPr>
          <w:rFonts w:eastAsia="SimSun"/>
          <w:snapToGrid w:val="0"/>
          <w:kern w:val="22"/>
          <w:sz w:val="24"/>
          <w:szCs w:val="18"/>
          <w:lang w:val="en-GB"/>
        </w:rPr>
        <w:t>-</w:t>
      </w:r>
      <w:r w:rsidRPr="000C0842">
        <w:rPr>
          <w:rFonts w:eastAsia="SimSun" w:hint="eastAsia"/>
          <w:snapToGrid w:val="0"/>
          <w:kern w:val="22"/>
          <w:sz w:val="24"/>
          <w:szCs w:val="18"/>
          <w:lang w:val="en-GB"/>
        </w:rPr>
        <w:t>蒙特利尔全球生物多样性框架》</w:t>
      </w:r>
      <w:r w:rsidRPr="000C0842">
        <w:rPr>
          <w:rFonts w:eastAsia="SimSun"/>
          <w:snapToGrid w:val="0"/>
          <w:kern w:val="22"/>
          <w:sz w:val="24"/>
          <w:szCs w:val="18"/>
          <w:vertAlign w:val="superscript"/>
          <w:lang w:val="en-GB"/>
        </w:rPr>
        <w:footnoteReference w:id="416"/>
      </w:r>
      <w:r w:rsidRPr="000C0842">
        <w:rPr>
          <w:rFonts w:eastAsia="SimSun" w:hint="eastAsia"/>
          <w:snapToGrid w:val="0"/>
          <w:kern w:val="22"/>
          <w:sz w:val="24"/>
          <w:szCs w:val="18"/>
          <w:lang w:val="en-GB"/>
        </w:rPr>
        <w:t>的长期目标和行动目标，</w:t>
      </w:r>
    </w:p>
    <w:p w14:paraId="4BE0F7A9"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还</w:t>
      </w:r>
      <w:r w:rsidRPr="000C0842">
        <w:rPr>
          <w:rFonts w:eastAsia="KaiTi"/>
          <w:snapToGrid w:val="0"/>
          <w:kern w:val="22"/>
          <w:sz w:val="24"/>
          <w:szCs w:val="18"/>
          <w:lang w:val="en-GB"/>
        </w:rPr>
        <w:t>回顾</w:t>
      </w:r>
      <w:r w:rsidRPr="000C0842">
        <w:rPr>
          <w:rFonts w:eastAsia="SimSun" w:hint="eastAsia"/>
          <w:snapToGrid w:val="0"/>
          <w:kern w:val="22"/>
          <w:sz w:val="24"/>
          <w:szCs w:val="18"/>
        </w:rPr>
        <w:t>依照</w:t>
      </w:r>
      <w:r w:rsidRPr="000C0842">
        <w:rPr>
          <w:rFonts w:eastAsia="SimSun"/>
          <w:snapToGrid w:val="0"/>
          <w:kern w:val="22"/>
          <w:sz w:val="24"/>
          <w:szCs w:val="18"/>
        </w:rPr>
        <w:t>第</w:t>
      </w:r>
      <w:hyperlink r:id="rId301" w:history="1">
        <w:r w:rsidRPr="000C0842">
          <w:rPr>
            <w:rFonts w:eastAsia="SimSun"/>
            <w:snapToGrid w:val="0"/>
            <w:kern w:val="22"/>
            <w:sz w:val="24"/>
            <w:szCs w:val="18"/>
            <w:u w:val="single"/>
          </w:rPr>
          <w:t>15/6</w:t>
        </w:r>
      </w:hyperlink>
      <w:r w:rsidRPr="000C0842">
        <w:rPr>
          <w:rFonts w:eastAsia="SimSun"/>
          <w:snapToGrid w:val="0"/>
          <w:kern w:val="22"/>
          <w:sz w:val="24"/>
          <w:szCs w:val="18"/>
        </w:rPr>
        <w:t>号决定第</w:t>
      </w:r>
      <w:r w:rsidRPr="000C0842">
        <w:rPr>
          <w:rFonts w:eastAsia="SimSun"/>
          <w:snapToGrid w:val="0"/>
          <w:kern w:val="22"/>
          <w:sz w:val="24"/>
          <w:szCs w:val="18"/>
        </w:rPr>
        <w:t>20</w:t>
      </w:r>
      <w:r w:rsidRPr="000C0842">
        <w:rPr>
          <w:rFonts w:eastAsia="SimSun"/>
          <w:snapToGrid w:val="0"/>
          <w:kern w:val="22"/>
          <w:sz w:val="24"/>
          <w:szCs w:val="18"/>
        </w:rPr>
        <w:t>段，缔约方可在未来修订和执行国家生物多样性和生物多样性战略计划时考虑</w:t>
      </w:r>
      <w:r w:rsidRPr="000C0842">
        <w:rPr>
          <w:rFonts w:eastAsia="SimSun" w:hint="eastAsia"/>
          <w:snapToGrid w:val="0"/>
          <w:kern w:val="22"/>
          <w:sz w:val="24"/>
          <w:szCs w:val="18"/>
        </w:rPr>
        <w:t>到《昆蒙框架》</w:t>
      </w:r>
      <w:r w:rsidRPr="000C0842">
        <w:rPr>
          <w:rFonts w:eastAsia="SimSun"/>
          <w:snapToGrid w:val="0"/>
          <w:kern w:val="22"/>
          <w:sz w:val="24"/>
          <w:szCs w:val="18"/>
        </w:rPr>
        <w:t>集体执行进度全球审查的结果，包括向发展中国家缔约方提供执行手段，以期酌情改进行动和努力。</w:t>
      </w:r>
    </w:p>
    <w:p w14:paraId="1089F50D"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注意到</w:t>
      </w:r>
      <w:r w:rsidRPr="000C0842">
        <w:rPr>
          <w:rFonts w:eastAsia="SimSun" w:hint="eastAsia"/>
          <w:snapToGrid w:val="0"/>
          <w:kern w:val="22"/>
          <w:sz w:val="24"/>
          <w:szCs w:val="18"/>
          <w:lang w:val="en-GB"/>
        </w:rPr>
        <w:t>缔约方实施强化的多层面规划、监测、报告和审查方法有助于有效执行《公约》及其议定书和《昆蒙框架》，</w:t>
      </w:r>
    </w:p>
    <w:p w14:paraId="178AA15B"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赞赏地注意到</w:t>
      </w:r>
      <w:r w:rsidRPr="000C0842">
        <w:rPr>
          <w:rFonts w:eastAsia="SimSun" w:hint="eastAsia"/>
          <w:snapToGrid w:val="0"/>
          <w:kern w:val="22"/>
          <w:sz w:val="24"/>
          <w:szCs w:val="18"/>
          <w:lang w:val="en-GB"/>
        </w:rPr>
        <w:t>执行秘书为进一步开发在线报告工具而开展的工作，该工具具有提交符合《昆蒙框架》的国家目标和提交国家报告的功能，</w:t>
      </w:r>
    </w:p>
    <w:p w14:paraId="3C5CEB4A"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强调</w:t>
      </w:r>
      <w:r w:rsidRPr="000C0842">
        <w:rPr>
          <w:rFonts w:eastAsia="SimSun" w:hint="eastAsia"/>
          <w:snapToGrid w:val="0"/>
          <w:kern w:val="22"/>
          <w:sz w:val="24"/>
          <w:szCs w:val="18"/>
          <w:lang w:val="en-GB"/>
        </w:rPr>
        <w:t>科技和工艺的投入，包括传统知识的投入，对于《昆蒙框架》集体执行进度全球审查的所有要素都至关重要，</w:t>
      </w:r>
      <w:r w:rsidRPr="000C0842">
        <w:rPr>
          <w:rFonts w:eastAsia="SimSun"/>
          <w:snapToGrid w:val="0"/>
          <w:kern w:val="22"/>
          <w:sz w:val="24"/>
          <w:szCs w:val="18"/>
          <w:lang w:val="en-GB"/>
        </w:rPr>
        <w:t xml:space="preserve"> </w:t>
      </w:r>
    </w:p>
    <w:p w14:paraId="53BB3772"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认识到</w:t>
      </w:r>
      <w:r w:rsidRPr="000C0842">
        <w:rPr>
          <w:rFonts w:eastAsia="SimSun" w:hint="eastAsia"/>
          <w:snapToGrid w:val="0"/>
          <w:kern w:val="22"/>
          <w:sz w:val="24"/>
          <w:szCs w:val="18"/>
          <w:lang w:val="en-GB"/>
        </w:rPr>
        <w:t>生物多样性和生态系统服务政府间科学与政策平台和政府间气候变化专门委员会的贡献，以及科学、技术和工艺咨询附属机构在审查上述机构的结论方面的作用，同时注意到《全球环境展望》和其他主要国际科学评估在加强全球生物多样性知识和信息方面的作用，</w:t>
      </w:r>
    </w:p>
    <w:p w14:paraId="504AE7C8"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又认识到</w:t>
      </w:r>
      <w:r w:rsidRPr="000C0842">
        <w:rPr>
          <w:rFonts w:eastAsia="SimSun" w:hint="eastAsia"/>
          <w:snapToGrid w:val="0"/>
          <w:kern w:val="22"/>
          <w:sz w:val="24"/>
          <w:szCs w:val="18"/>
          <w:lang w:val="en-GB"/>
        </w:rPr>
        <w:t>科学、技术和工艺咨询附属机构在为全球审查提供关于科技和工艺事项包括传统知识的咨询意见方面的作用，</w:t>
      </w:r>
    </w:p>
    <w:p w14:paraId="64AAB58D"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snapToGrid w:val="0"/>
          <w:kern w:val="22"/>
          <w:sz w:val="24"/>
          <w:szCs w:val="18"/>
          <w:lang w:val="en-GB"/>
        </w:rPr>
        <w:t>回顾</w:t>
      </w:r>
      <w:r w:rsidRPr="000C0842">
        <w:rPr>
          <w:rFonts w:eastAsia="SimSun"/>
          <w:snapToGrid w:val="0"/>
          <w:kern w:val="22"/>
          <w:sz w:val="24"/>
          <w:szCs w:val="18"/>
        </w:rPr>
        <w:t>第</w:t>
      </w:r>
      <w:hyperlink r:id="rId302" w:history="1">
        <w:r w:rsidRPr="000C0842">
          <w:rPr>
            <w:rFonts w:eastAsia="SimSun"/>
            <w:snapToGrid w:val="0"/>
            <w:kern w:val="22"/>
            <w:sz w:val="24"/>
            <w:szCs w:val="18"/>
            <w:u w:val="single"/>
          </w:rPr>
          <w:t>15/6</w:t>
        </w:r>
      </w:hyperlink>
      <w:r w:rsidRPr="000C0842">
        <w:rPr>
          <w:rFonts w:eastAsia="SimSun"/>
          <w:snapToGrid w:val="0"/>
          <w:kern w:val="22"/>
          <w:sz w:val="24"/>
          <w:szCs w:val="18"/>
        </w:rPr>
        <w:t>号决定第</w:t>
      </w:r>
      <w:r w:rsidRPr="000C0842">
        <w:rPr>
          <w:rFonts w:eastAsia="SimSun"/>
          <w:snapToGrid w:val="0"/>
          <w:kern w:val="22"/>
          <w:sz w:val="24"/>
          <w:szCs w:val="18"/>
        </w:rPr>
        <w:t>13</w:t>
      </w:r>
      <w:r w:rsidRPr="000C0842">
        <w:rPr>
          <w:rFonts w:eastAsia="SimSun"/>
          <w:snapToGrid w:val="0"/>
          <w:kern w:val="22"/>
          <w:sz w:val="24"/>
          <w:szCs w:val="18"/>
        </w:rPr>
        <w:t>段要求缔约方在其国家报告中使用</w:t>
      </w:r>
      <w:r w:rsidRPr="000C0842">
        <w:rPr>
          <w:rFonts w:eastAsia="SimSun" w:hint="eastAsia"/>
          <w:snapToGrid w:val="0"/>
          <w:kern w:val="22"/>
          <w:sz w:val="24"/>
          <w:szCs w:val="18"/>
        </w:rPr>
        <w:t>标题</w:t>
      </w:r>
      <w:r w:rsidRPr="000C0842">
        <w:rPr>
          <w:rFonts w:eastAsia="SimSun"/>
          <w:snapToGrid w:val="0"/>
          <w:kern w:val="22"/>
          <w:sz w:val="24"/>
          <w:szCs w:val="18"/>
        </w:rPr>
        <w:t>指标</w:t>
      </w:r>
      <w:r w:rsidRPr="000C0842">
        <w:rPr>
          <w:rFonts w:eastAsia="SimSun" w:hint="eastAsia"/>
          <w:snapToGrid w:val="0"/>
          <w:kern w:val="22"/>
          <w:sz w:val="24"/>
          <w:szCs w:val="18"/>
        </w:rPr>
        <w:t>并酌情使用其他指标，</w:t>
      </w:r>
    </w:p>
    <w:p w14:paraId="0403D085"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欢迎</w:t>
      </w:r>
      <w:r w:rsidRPr="000C0842">
        <w:rPr>
          <w:rFonts w:eastAsia="SimSun" w:hint="eastAsia"/>
          <w:snapToGrid w:val="0"/>
          <w:kern w:val="22"/>
          <w:sz w:val="24"/>
          <w:szCs w:val="18"/>
          <w:lang w:val="en-GB"/>
        </w:rPr>
        <w:t>生物多样性和生态系统服务政府间科学与政策平台全体会议在第十届会议作为其到</w:t>
      </w:r>
      <w:r w:rsidRPr="000C0842">
        <w:rPr>
          <w:rFonts w:eastAsia="SimSun"/>
          <w:snapToGrid w:val="0"/>
          <w:kern w:val="22"/>
          <w:sz w:val="24"/>
          <w:szCs w:val="18"/>
          <w:lang w:val="en-GB"/>
        </w:rPr>
        <w:t>2030</w:t>
      </w:r>
      <w:r w:rsidRPr="000C0842">
        <w:rPr>
          <w:rFonts w:eastAsia="SimSun" w:hint="eastAsia"/>
          <w:snapToGrid w:val="0"/>
          <w:kern w:val="22"/>
          <w:sz w:val="24"/>
          <w:szCs w:val="18"/>
          <w:lang w:val="en-GB"/>
        </w:rPr>
        <w:t>年滚动工作方案的一部分，决定最迟在</w:t>
      </w:r>
      <w:r w:rsidRPr="000C0842">
        <w:rPr>
          <w:rFonts w:eastAsia="SimSun"/>
          <w:snapToGrid w:val="0"/>
          <w:kern w:val="22"/>
          <w:sz w:val="24"/>
          <w:szCs w:val="18"/>
          <w:lang w:val="en-GB"/>
        </w:rPr>
        <w:t>2026</w:t>
      </w:r>
      <w:r w:rsidRPr="000C0842">
        <w:rPr>
          <w:rFonts w:eastAsia="SimSun" w:hint="eastAsia"/>
          <w:snapToGrid w:val="0"/>
          <w:kern w:val="22"/>
          <w:sz w:val="24"/>
          <w:szCs w:val="18"/>
          <w:lang w:val="en-GB"/>
        </w:rPr>
        <w:t>年进行关于监测生物多样性和自然对人类的贡献的快速方法评估，最迟在</w:t>
      </w:r>
      <w:r w:rsidRPr="000C0842">
        <w:rPr>
          <w:rFonts w:eastAsia="SimSun"/>
          <w:snapToGrid w:val="0"/>
          <w:kern w:val="22"/>
          <w:sz w:val="24"/>
          <w:szCs w:val="18"/>
          <w:lang w:val="en-GB"/>
        </w:rPr>
        <w:t>2027</w:t>
      </w:r>
      <w:r w:rsidRPr="000C0842">
        <w:rPr>
          <w:rFonts w:eastAsia="SimSun" w:hint="eastAsia"/>
          <w:snapToGrid w:val="0"/>
          <w:kern w:val="22"/>
          <w:sz w:val="24"/>
          <w:szCs w:val="18"/>
          <w:lang w:val="en-GB"/>
        </w:rPr>
        <w:t>年进行关于包括生物多样性在内的综合空间规划和生态连通性的快速方法评估，并最迟在</w:t>
      </w:r>
      <w:r w:rsidRPr="000C0842">
        <w:rPr>
          <w:rFonts w:eastAsia="SimSun"/>
          <w:snapToGrid w:val="0"/>
          <w:kern w:val="22"/>
          <w:sz w:val="24"/>
          <w:szCs w:val="18"/>
          <w:lang w:val="en-GB"/>
        </w:rPr>
        <w:t>2024</w:t>
      </w:r>
      <w:r w:rsidRPr="000C0842">
        <w:rPr>
          <w:rFonts w:eastAsia="SimSun" w:hint="eastAsia"/>
          <w:snapToGrid w:val="0"/>
          <w:kern w:val="22"/>
          <w:sz w:val="24"/>
          <w:szCs w:val="18"/>
          <w:lang w:val="en-GB"/>
        </w:rPr>
        <w:t>年进行第二次生物多样性和生态系统服务全球评估的界定范围程序，以期于</w:t>
      </w:r>
      <w:r w:rsidRPr="000C0842">
        <w:rPr>
          <w:rFonts w:eastAsia="SimSun"/>
          <w:snapToGrid w:val="0"/>
          <w:kern w:val="22"/>
          <w:sz w:val="24"/>
          <w:szCs w:val="18"/>
          <w:lang w:val="en-GB"/>
        </w:rPr>
        <w:t>2028</w:t>
      </w:r>
      <w:r w:rsidRPr="000C0842">
        <w:rPr>
          <w:rFonts w:eastAsia="SimSun" w:hint="eastAsia"/>
          <w:snapToGrid w:val="0"/>
          <w:kern w:val="22"/>
          <w:sz w:val="24"/>
          <w:szCs w:val="18"/>
          <w:lang w:val="en-GB"/>
        </w:rPr>
        <w:t>年编制完成第二次全球评估</w:t>
      </w:r>
      <w:r w:rsidRPr="000C0842">
        <w:rPr>
          <w:rFonts w:eastAsia="SimSun"/>
          <w:snapToGrid w:val="0"/>
          <w:kern w:val="22"/>
          <w:sz w:val="24"/>
          <w:szCs w:val="18"/>
          <w:vertAlign w:val="superscript"/>
          <w:lang w:val="en-GB"/>
        </w:rPr>
        <w:footnoteReference w:id="417"/>
      </w:r>
      <w:r w:rsidRPr="000C0842">
        <w:rPr>
          <w:rFonts w:eastAsia="SimSun"/>
          <w:snapToGrid w:val="0"/>
          <w:kern w:val="22"/>
          <w:sz w:val="24"/>
          <w:szCs w:val="18"/>
          <w:lang w:val="en-GB"/>
        </w:rPr>
        <w:t xml:space="preserve"> </w:t>
      </w:r>
      <w:r w:rsidRPr="000C0842">
        <w:rPr>
          <w:rFonts w:eastAsia="SimSun" w:hint="eastAsia"/>
          <w:snapToGrid w:val="0"/>
          <w:kern w:val="22"/>
          <w:sz w:val="24"/>
          <w:szCs w:val="18"/>
          <w:lang w:val="en-GB"/>
        </w:rPr>
        <w:t>，</w:t>
      </w:r>
    </w:p>
    <w:p w14:paraId="2163402E"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强调</w:t>
      </w:r>
      <w:r w:rsidRPr="000C0842">
        <w:rPr>
          <w:rFonts w:eastAsia="SimSun" w:hint="eastAsia"/>
          <w:snapToGrid w:val="0"/>
          <w:kern w:val="22"/>
          <w:sz w:val="24"/>
          <w:szCs w:val="18"/>
          <w:lang w:val="en-GB"/>
        </w:rPr>
        <w:t>上述滚动工作方案对于全球审查的重要性，特别是缔约方大会第十九届会议将进行的第二次生物多样性和生态系统服务全球评估对于审查的重要性，</w:t>
      </w:r>
    </w:p>
    <w:p w14:paraId="77A1F196"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KaiTi" w:hint="eastAsia"/>
          <w:snapToGrid w:val="0"/>
          <w:kern w:val="22"/>
          <w:sz w:val="24"/>
          <w:szCs w:val="18"/>
          <w:lang w:val="en-GB"/>
        </w:rPr>
        <w:t>回顾</w:t>
      </w:r>
      <w:r w:rsidRPr="000C0842">
        <w:rPr>
          <w:rFonts w:eastAsia="SimSun" w:hint="eastAsia"/>
          <w:snapToGrid w:val="0"/>
          <w:kern w:val="22"/>
          <w:sz w:val="24"/>
          <w:szCs w:val="18"/>
          <w:lang w:val="en-GB"/>
        </w:rPr>
        <w:t>要求缔约方最迟在</w:t>
      </w:r>
      <w:r w:rsidRPr="000C0842">
        <w:rPr>
          <w:rFonts w:eastAsia="SimSun"/>
          <w:snapToGrid w:val="0"/>
          <w:kern w:val="22"/>
          <w:sz w:val="24"/>
          <w:szCs w:val="18"/>
          <w:lang w:val="en-GB"/>
        </w:rPr>
        <w:t>2026</w:t>
      </w:r>
      <w:r w:rsidRPr="000C0842">
        <w:rPr>
          <w:rFonts w:eastAsia="SimSun" w:hint="eastAsia"/>
          <w:snapToGrid w:val="0"/>
          <w:kern w:val="22"/>
          <w:sz w:val="24"/>
          <w:szCs w:val="18"/>
          <w:lang w:val="en-GB"/>
        </w:rPr>
        <w:t>年</w:t>
      </w:r>
      <w:r w:rsidRPr="000C0842">
        <w:rPr>
          <w:rFonts w:eastAsia="SimSun"/>
          <w:snapToGrid w:val="0"/>
          <w:kern w:val="22"/>
          <w:sz w:val="24"/>
          <w:szCs w:val="18"/>
          <w:lang w:val="en-GB"/>
        </w:rPr>
        <w:t>2</w:t>
      </w:r>
      <w:r w:rsidRPr="000C0842">
        <w:rPr>
          <w:rFonts w:eastAsia="SimSun" w:hint="eastAsia"/>
          <w:snapToGrid w:val="0"/>
          <w:kern w:val="22"/>
          <w:sz w:val="24"/>
          <w:szCs w:val="18"/>
          <w:lang w:val="en-GB"/>
        </w:rPr>
        <w:t>月</w:t>
      </w:r>
      <w:r w:rsidRPr="000C0842">
        <w:rPr>
          <w:rFonts w:eastAsia="SimSun"/>
          <w:snapToGrid w:val="0"/>
          <w:kern w:val="22"/>
          <w:sz w:val="24"/>
          <w:szCs w:val="18"/>
          <w:lang w:val="en-GB"/>
        </w:rPr>
        <w:t>28</w:t>
      </w:r>
      <w:r w:rsidRPr="000C0842">
        <w:rPr>
          <w:rFonts w:eastAsia="SimSun" w:hint="eastAsia"/>
          <w:snapToGrid w:val="0"/>
          <w:kern w:val="22"/>
          <w:sz w:val="24"/>
          <w:szCs w:val="18"/>
          <w:lang w:val="en-GB"/>
        </w:rPr>
        <w:t>日提交第七次国家报告，并最迟在</w:t>
      </w:r>
      <w:r w:rsidRPr="000C0842">
        <w:rPr>
          <w:rFonts w:eastAsia="SimSun"/>
          <w:snapToGrid w:val="0"/>
          <w:kern w:val="22"/>
          <w:sz w:val="24"/>
          <w:szCs w:val="18"/>
          <w:lang w:val="en-GB"/>
        </w:rPr>
        <w:t>2029</w:t>
      </w:r>
      <w:r w:rsidRPr="000C0842">
        <w:rPr>
          <w:rFonts w:eastAsia="SimSun" w:hint="eastAsia"/>
          <w:snapToGrid w:val="0"/>
          <w:kern w:val="22"/>
          <w:sz w:val="24"/>
          <w:szCs w:val="18"/>
          <w:lang w:val="en-GB"/>
        </w:rPr>
        <w:t>年</w:t>
      </w:r>
      <w:r w:rsidRPr="000C0842">
        <w:rPr>
          <w:rFonts w:eastAsia="SimSun"/>
          <w:snapToGrid w:val="0"/>
          <w:kern w:val="22"/>
          <w:sz w:val="24"/>
          <w:szCs w:val="18"/>
          <w:lang w:val="en-GB"/>
        </w:rPr>
        <w:t>6</w:t>
      </w:r>
      <w:r w:rsidRPr="000C0842">
        <w:rPr>
          <w:rFonts w:eastAsia="SimSun" w:hint="eastAsia"/>
          <w:snapToGrid w:val="0"/>
          <w:kern w:val="22"/>
          <w:sz w:val="24"/>
          <w:szCs w:val="18"/>
          <w:lang w:val="en-GB"/>
        </w:rPr>
        <w:t>月</w:t>
      </w:r>
      <w:r w:rsidRPr="000C0842">
        <w:rPr>
          <w:rFonts w:eastAsia="SimSun"/>
          <w:snapToGrid w:val="0"/>
          <w:kern w:val="22"/>
          <w:sz w:val="24"/>
          <w:szCs w:val="18"/>
          <w:lang w:val="en-GB"/>
        </w:rPr>
        <w:t>30</w:t>
      </w:r>
      <w:r w:rsidRPr="000C0842">
        <w:rPr>
          <w:rFonts w:eastAsia="SimSun" w:hint="eastAsia"/>
          <w:snapToGrid w:val="0"/>
          <w:kern w:val="22"/>
          <w:sz w:val="24"/>
          <w:szCs w:val="18"/>
          <w:lang w:val="en-GB"/>
        </w:rPr>
        <w:t>日提交第八次国家报告；</w:t>
      </w:r>
    </w:p>
    <w:p w14:paraId="1ABDEF45"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snapToGrid w:val="0"/>
          <w:kern w:val="22"/>
          <w:sz w:val="24"/>
          <w:szCs w:val="18"/>
          <w:lang w:val="en-GB"/>
        </w:rPr>
        <w:t>1.</w:t>
      </w:r>
      <w:r w:rsidRPr="000C0842">
        <w:rPr>
          <w:rFonts w:eastAsia="SimSun"/>
          <w:snapToGrid w:val="0"/>
          <w:kern w:val="22"/>
          <w:sz w:val="24"/>
          <w:szCs w:val="18"/>
          <w:lang w:val="en-GB"/>
        </w:rPr>
        <w:tab/>
      </w:r>
      <w:r w:rsidRPr="000C0842">
        <w:rPr>
          <w:rFonts w:eastAsia="KaiTi" w:hint="eastAsia"/>
          <w:snapToGrid w:val="0"/>
          <w:kern w:val="22"/>
          <w:sz w:val="24"/>
          <w:szCs w:val="18"/>
          <w:lang w:val="en-GB"/>
        </w:rPr>
        <w:t>认可</w:t>
      </w:r>
      <w:r w:rsidRPr="000C0842">
        <w:rPr>
          <w:rFonts w:eastAsia="SimSun" w:hint="eastAsia"/>
          <w:snapToGrid w:val="0"/>
          <w:kern w:val="22"/>
          <w:sz w:val="24"/>
          <w:szCs w:val="18"/>
          <w:lang w:val="en-GB"/>
        </w:rPr>
        <w:t>本决定附件一所载用于编制第七次和第八次国家报告的国家报告模板的修订；</w:t>
      </w:r>
    </w:p>
    <w:p w14:paraId="0390F393"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lang w:val="en-GB"/>
        </w:rPr>
        <w:t>2</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eastAsia="KaiTi" w:hint="eastAsia"/>
          <w:snapToGrid w:val="0"/>
          <w:kern w:val="22"/>
          <w:sz w:val="24"/>
          <w:szCs w:val="18"/>
          <w:lang w:val="en-GB"/>
        </w:rPr>
        <w:t>鼓励</w:t>
      </w:r>
      <w:r w:rsidRPr="000C0842">
        <w:rPr>
          <w:rFonts w:eastAsia="SimSun" w:hint="eastAsia"/>
          <w:snapToGrid w:val="0"/>
          <w:kern w:val="22"/>
          <w:sz w:val="24"/>
          <w:szCs w:val="18"/>
          <w:lang w:val="en-GB"/>
        </w:rPr>
        <w:t>缔约方酌情与其他报告进程合作，例如与可持续发展目标和相关多边环境协定下的报告进程合作，包括为此以自愿方式使用多边环境协定数据报告工具或其他模块化数据报告工具；</w:t>
      </w:r>
    </w:p>
    <w:p w14:paraId="6ADD0925"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rPr>
      </w:pPr>
      <w:r w:rsidRPr="000C0842">
        <w:rPr>
          <w:rFonts w:eastAsia="KaiTi"/>
          <w:snapToGrid w:val="0"/>
          <w:kern w:val="22"/>
          <w:sz w:val="24"/>
          <w:szCs w:val="18"/>
          <w:lang w:val="en-GB"/>
        </w:rPr>
        <w:t>国家政府</w:t>
      </w:r>
      <w:r w:rsidRPr="000C0842">
        <w:rPr>
          <w:rFonts w:eastAsia="KaiTi" w:hint="eastAsia"/>
          <w:snapToGrid w:val="0"/>
          <w:kern w:val="22"/>
          <w:sz w:val="24"/>
          <w:szCs w:val="18"/>
          <w:lang w:val="en-GB"/>
        </w:rPr>
        <w:t>以外</w:t>
      </w:r>
      <w:r w:rsidRPr="000C0842">
        <w:rPr>
          <w:rFonts w:eastAsia="KaiTi"/>
          <w:snapToGrid w:val="0"/>
          <w:kern w:val="22"/>
          <w:sz w:val="24"/>
          <w:szCs w:val="18"/>
          <w:lang w:val="en-GB"/>
        </w:rPr>
        <w:t>行为</w:t>
      </w:r>
      <w:r w:rsidRPr="000C0842">
        <w:rPr>
          <w:rFonts w:eastAsia="KaiTi" w:hint="eastAsia"/>
          <w:snapToGrid w:val="0"/>
          <w:kern w:val="22"/>
          <w:sz w:val="24"/>
          <w:szCs w:val="18"/>
          <w:lang w:val="en-GB"/>
        </w:rPr>
        <w:t>体</w:t>
      </w:r>
      <w:r w:rsidRPr="000C0842">
        <w:rPr>
          <w:rFonts w:eastAsia="KaiTi"/>
          <w:snapToGrid w:val="0"/>
          <w:kern w:val="22"/>
          <w:sz w:val="24"/>
          <w:szCs w:val="18"/>
          <w:lang w:val="en-GB"/>
        </w:rPr>
        <w:t>的承</w:t>
      </w:r>
      <w:r w:rsidRPr="000C0842">
        <w:rPr>
          <w:rFonts w:eastAsia="KaiTi" w:hint="eastAsia"/>
          <w:snapToGrid w:val="0"/>
          <w:kern w:val="22"/>
          <w:sz w:val="24"/>
          <w:szCs w:val="18"/>
          <w:lang w:val="en-GB"/>
        </w:rPr>
        <w:t>诺</w:t>
      </w:r>
    </w:p>
    <w:p w14:paraId="3CB4B9DE"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lang w:val="en-GB"/>
        </w:rPr>
        <w:t>3</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eastAsia="KaiTi" w:hint="eastAsia"/>
          <w:snapToGrid w:val="0"/>
          <w:kern w:val="22"/>
          <w:sz w:val="24"/>
          <w:szCs w:val="18"/>
          <w:lang w:val="en-GB"/>
        </w:rPr>
        <w:t>通过</w:t>
      </w:r>
      <w:r w:rsidRPr="000C0842">
        <w:rPr>
          <w:rFonts w:eastAsia="SimSun" w:hint="eastAsia"/>
          <w:snapToGrid w:val="0"/>
          <w:kern w:val="22"/>
          <w:sz w:val="24"/>
          <w:szCs w:val="18"/>
          <w:lang w:val="en-GB"/>
        </w:rPr>
        <w:t>本决定附件二所载国家政府以外行为体</w:t>
      </w:r>
      <w:r w:rsidRPr="000C0842">
        <w:rPr>
          <w:rFonts w:eastAsia="SimSun"/>
          <w:snapToGrid w:val="0"/>
          <w:kern w:val="22"/>
          <w:sz w:val="24"/>
          <w:szCs w:val="18"/>
          <w:vertAlign w:val="superscript"/>
          <w:lang w:val="en-GB"/>
        </w:rPr>
        <w:footnoteReference w:id="418"/>
      </w:r>
      <w:r w:rsidRPr="000C0842">
        <w:rPr>
          <w:rFonts w:eastAsia="SimSun" w:hint="eastAsia"/>
          <w:snapToGrid w:val="0"/>
          <w:kern w:val="22"/>
          <w:sz w:val="24"/>
          <w:szCs w:val="18"/>
          <w:lang w:val="en-GB"/>
        </w:rPr>
        <w:t>的核心报告要素；</w:t>
      </w:r>
    </w:p>
    <w:p w14:paraId="7C4B4300"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lang w:val="en-GB"/>
        </w:rPr>
        <w:t>4</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eastAsia="KaiTi" w:hint="eastAsia"/>
          <w:snapToGrid w:val="0"/>
          <w:kern w:val="22"/>
          <w:sz w:val="24"/>
          <w:szCs w:val="18"/>
          <w:lang w:val="en-GB"/>
        </w:rPr>
        <w:t>回顾</w:t>
      </w:r>
      <w:r w:rsidRPr="000C0842">
        <w:rPr>
          <w:rFonts w:eastAsia="SimSun" w:hint="eastAsia"/>
          <w:snapToGrid w:val="0"/>
          <w:kern w:val="22"/>
          <w:sz w:val="24"/>
          <w:szCs w:val="18"/>
          <w:lang w:val="en-GB"/>
        </w:rPr>
        <w:t>第</w:t>
      </w:r>
      <w:hyperlink r:id="rId303" w:history="1">
        <w:r w:rsidRPr="000C0842">
          <w:rPr>
            <w:rFonts w:eastAsia="SimSun"/>
            <w:snapToGrid w:val="0"/>
            <w:kern w:val="22"/>
            <w:sz w:val="24"/>
            <w:szCs w:val="18"/>
            <w:u w:val="single"/>
            <w:lang w:val="en-GB"/>
          </w:rPr>
          <w:t>15/6</w:t>
        </w:r>
      </w:hyperlink>
      <w:r w:rsidRPr="000C0842">
        <w:rPr>
          <w:rFonts w:eastAsia="SimSun" w:hint="eastAsia"/>
          <w:snapToGrid w:val="0"/>
          <w:kern w:val="22"/>
          <w:sz w:val="24"/>
          <w:szCs w:val="18"/>
          <w:lang w:val="en-GB"/>
        </w:rPr>
        <w:t>号决定第</w:t>
      </w:r>
      <w:r w:rsidRPr="000C0842">
        <w:rPr>
          <w:rFonts w:eastAsia="SimSun"/>
          <w:snapToGrid w:val="0"/>
          <w:kern w:val="22"/>
          <w:sz w:val="24"/>
          <w:szCs w:val="18"/>
          <w:lang w:val="en-GB"/>
        </w:rPr>
        <w:t>6</w:t>
      </w:r>
      <w:r w:rsidRPr="000C0842">
        <w:rPr>
          <w:rFonts w:eastAsia="SimSun" w:hint="eastAsia"/>
          <w:snapToGrid w:val="0"/>
          <w:kern w:val="22"/>
          <w:sz w:val="24"/>
          <w:szCs w:val="18"/>
          <w:lang w:val="en-GB"/>
        </w:rPr>
        <w:t>段邀请国家政府以外行为体自愿制定和分享对国家生物多样性战略和行动计划和对《昆明</w:t>
      </w:r>
      <w:r w:rsidRPr="000C0842">
        <w:rPr>
          <w:rFonts w:eastAsia="SimSun" w:hint="eastAsia"/>
          <w:snapToGrid w:val="0"/>
          <w:kern w:val="22"/>
          <w:sz w:val="24"/>
          <w:szCs w:val="18"/>
          <w:lang w:val="en-GB"/>
        </w:rPr>
        <w:t>-</w:t>
      </w:r>
      <w:r w:rsidRPr="000C0842">
        <w:rPr>
          <w:rFonts w:eastAsia="SimSun" w:hint="eastAsia"/>
          <w:snapToGrid w:val="0"/>
          <w:kern w:val="22"/>
          <w:sz w:val="24"/>
          <w:szCs w:val="18"/>
          <w:lang w:val="en-GB"/>
        </w:rPr>
        <w:t>蒙特利尔全球生物多样性框架》作出贡献的承诺，并邀请这些行为体遵循本决定附件二所载模板的一般原则和核心报告要素</w:t>
      </w:r>
      <w:r w:rsidRPr="000C0842">
        <w:rPr>
          <w:rFonts w:eastAsia="Times New Roman"/>
          <w:snapToGrid w:val="0"/>
          <w:sz w:val="24"/>
          <w:szCs w:val="24"/>
          <w:vertAlign w:val="superscript"/>
          <w:lang w:val="en-GB"/>
        </w:rPr>
        <w:footnoteReference w:id="419"/>
      </w:r>
      <w:r w:rsidRPr="000C0842">
        <w:rPr>
          <w:rFonts w:eastAsia="SimSun" w:hint="eastAsia"/>
          <w:snapToGrid w:val="0"/>
          <w:kern w:val="22"/>
          <w:sz w:val="24"/>
          <w:szCs w:val="18"/>
          <w:lang w:val="en-GB"/>
        </w:rPr>
        <w:t>；</w:t>
      </w:r>
    </w:p>
    <w:p w14:paraId="6E565088"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rPr>
      </w:pPr>
      <w:r w:rsidRPr="000C0842">
        <w:rPr>
          <w:rFonts w:eastAsia="KaiTi"/>
          <w:snapToGrid w:val="0"/>
          <w:kern w:val="22"/>
          <w:sz w:val="24"/>
          <w:szCs w:val="18"/>
          <w:lang w:val="en-GB"/>
        </w:rPr>
        <w:t>不限成员名额论坛或区域</w:t>
      </w:r>
      <w:r w:rsidRPr="000C0842">
        <w:rPr>
          <w:rFonts w:eastAsia="KaiTi" w:hint="eastAsia"/>
          <w:snapToGrid w:val="0"/>
          <w:kern w:val="22"/>
          <w:sz w:val="24"/>
          <w:szCs w:val="18"/>
          <w:lang w:val="en-GB"/>
        </w:rPr>
        <w:t>或</w:t>
      </w:r>
      <w:r w:rsidRPr="000C0842">
        <w:rPr>
          <w:rFonts w:eastAsia="KaiTi"/>
          <w:snapToGrid w:val="0"/>
          <w:kern w:val="22"/>
          <w:sz w:val="24"/>
          <w:szCs w:val="18"/>
          <w:lang w:val="en-GB"/>
        </w:rPr>
        <w:t>区域间对话</w:t>
      </w:r>
    </w:p>
    <w:p w14:paraId="005C633A" w14:textId="00F47360"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lang w:val="en-GB"/>
        </w:rPr>
        <w:t>5</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ascii="KaiTi" w:eastAsia="KaiTi" w:hAnsi="KaiTi" w:cs="Arial" w:hint="eastAsia"/>
          <w:sz w:val="24"/>
          <w:szCs w:val="24"/>
          <w:shd w:val="clear" w:color="auto" w:fill="FFFFFF"/>
        </w:rPr>
        <w:t>表示</w:t>
      </w:r>
      <w:r w:rsidRPr="000C0842">
        <w:rPr>
          <w:rFonts w:ascii="KaiTi" w:eastAsia="KaiTi" w:hAnsi="KaiTi"/>
          <w:snapToGrid w:val="0"/>
          <w:kern w:val="22"/>
          <w:sz w:val="24"/>
          <w:szCs w:val="24"/>
        </w:rPr>
        <w:t>注意到</w:t>
      </w:r>
      <w:r w:rsidRPr="000C0842">
        <w:rPr>
          <w:rFonts w:eastAsia="SimSun"/>
          <w:snapToGrid w:val="0"/>
          <w:kern w:val="22"/>
          <w:sz w:val="24"/>
          <w:szCs w:val="18"/>
        </w:rPr>
        <w:t>缔约方的意见和</w:t>
      </w:r>
      <w:r w:rsidRPr="000C0842">
        <w:rPr>
          <w:rFonts w:eastAsia="SimSun" w:hint="eastAsia"/>
          <w:snapToGrid w:val="0"/>
          <w:kern w:val="22"/>
          <w:sz w:val="24"/>
          <w:szCs w:val="18"/>
        </w:rPr>
        <w:t>执行问题</w:t>
      </w:r>
      <w:r w:rsidRPr="000C0842">
        <w:rPr>
          <w:rFonts w:eastAsia="SimSun"/>
          <w:snapToGrid w:val="0"/>
          <w:kern w:val="22"/>
          <w:sz w:val="24"/>
          <w:szCs w:val="18"/>
        </w:rPr>
        <w:t>附属机构主席在</w:t>
      </w:r>
      <w:r w:rsidRPr="000C0842">
        <w:rPr>
          <w:rFonts w:eastAsia="SimSun" w:hint="eastAsia"/>
          <w:snapToGrid w:val="0"/>
          <w:kern w:val="22"/>
          <w:sz w:val="24"/>
          <w:szCs w:val="18"/>
        </w:rPr>
        <w:t>执行问题</w:t>
      </w:r>
      <w:r w:rsidRPr="000C0842">
        <w:rPr>
          <w:rFonts w:eastAsia="SimSun"/>
          <w:snapToGrid w:val="0"/>
          <w:kern w:val="22"/>
          <w:sz w:val="24"/>
          <w:szCs w:val="18"/>
        </w:rPr>
        <w:t>附属机构第五次会议</w:t>
      </w:r>
      <w:r w:rsidRPr="000C0842">
        <w:rPr>
          <w:rFonts w:eastAsia="SimSun" w:hint="eastAsia"/>
          <w:snapToGrid w:val="0"/>
          <w:kern w:val="22"/>
          <w:sz w:val="24"/>
          <w:szCs w:val="18"/>
        </w:rPr>
        <w:t>进行</w:t>
      </w:r>
      <w:r w:rsidRPr="000C0842">
        <w:rPr>
          <w:rFonts w:eastAsia="SimSun"/>
          <w:snapToGrid w:val="0"/>
          <w:kern w:val="22"/>
          <w:sz w:val="24"/>
          <w:szCs w:val="18"/>
        </w:rPr>
        <w:t>的自愿国家</w:t>
      </w:r>
      <w:r w:rsidRPr="000C0842">
        <w:rPr>
          <w:rFonts w:eastAsia="SimSun" w:hint="eastAsia"/>
          <w:snapToGrid w:val="0"/>
          <w:kern w:val="22"/>
          <w:sz w:val="24"/>
          <w:szCs w:val="18"/>
        </w:rPr>
        <w:t>审查</w:t>
      </w:r>
      <w:r w:rsidRPr="000C0842">
        <w:rPr>
          <w:rFonts w:eastAsia="SimSun"/>
          <w:snapToGrid w:val="0"/>
          <w:kern w:val="22"/>
          <w:sz w:val="24"/>
          <w:szCs w:val="18"/>
        </w:rPr>
        <w:t>执行情况不限成员名额试点论坛</w:t>
      </w:r>
      <w:r w:rsidRPr="000C0842">
        <w:rPr>
          <w:rFonts w:eastAsia="SimSun" w:hint="eastAsia"/>
          <w:snapToGrid w:val="0"/>
          <w:kern w:val="22"/>
          <w:sz w:val="24"/>
          <w:szCs w:val="18"/>
        </w:rPr>
        <w:t>的讨论摘要</w:t>
      </w:r>
      <w:r w:rsidRPr="000C0842">
        <w:rPr>
          <w:rFonts w:eastAsia="Times New Roman"/>
          <w:snapToGrid w:val="0"/>
          <w:kern w:val="22"/>
          <w:sz w:val="24"/>
          <w:szCs w:val="24"/>
          <w:vertAlign w:val="superscript"/>
          <w:lang w:val="en-GB"/>
        </w:rPr>
        <w:footnoteReference w:id="420"/>
      </w:r>
      <w:r w:rsidRPr="000C0842">
        <w:rPr>
          <w:rFonts w:eastAsia="SimSun"/>
          <w:snapToGrid w:val="0"/>
          <w:kern w:val="22"/>
          <w:sz w:val="24"/>
          <w:szCs w:val="18"/>
        </w:rPr>
        <w:t>；</w:t>
      </w:r>
    </w:p>
    <w:p w14:paraId="7357583F"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rPr>
      </w:pPr>
      <w:r w:rsidRPr="000C0842">
        <w:rPr>
          <w:rFonts w:eastAsia="SimSun"/>
          <w:snapToGrid w:val="0"/>
          <w:kern w:val="22"/>
          <w:sz w:val="24"/>
          <w:szCs w:val="18"/>
        </w:rPr>
        <w:t xml:space="preserve"> </w:t>
      </w:r>
      <w:r w:rsidRPr="000C0842">
        <w:rPr>
          <w:rFonts w:ascii="KaiTi" w:eastAsia="KaiTi" w:hAnsi="KaiTi"/>
          <w:snapToGrid w:val="0"/>
          <w:kern w:val="22"/>
          <w:sz w:val="24"/>
          <w:szCs w:val="18"/>
        </w:rPr>
        <w:t xml:space="preserve">《昆明-蒙特利尔全球生物多样性框架》集体执行进度全球审查 </w:t>
      </w:r>
    </w:p>
    <w:p w14:paraId="78E16138"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rPr>
        <w:t>6</w:t>
      </w:r>
      <w:r w:rsidRPr="000C0842">
        <w:rPr>
          <w:rFonts w:eastAsia="SimSun"/>
          <w:snapToGrid w:val="0"/>
          <w:kern w:val="22"/>
          <w:sz w:val="24"/>
          <w:szCs w:val="18"/>
        </w:rPr>
        <w:t>.</w:t>
      </w:r>
      <w:r w:rsidRPr="000C0842">
        <w:rPr>
          <w:rFonts w:eastAsia="SimSun"/>
          <w:snapToGrid w:val="0"/>
          <w:kern w:val="22"/>
          <w:sz w:val="24"/>
          <w:szCs w:val="18"/>
        </w:rPr>
        <w:tab/>
      </w:r>
      <w:r w:rsidRPr="000C0842">
        <w:rPr>
          <w:rFonts w:ascii="KaiTi" w:eastAsia="KaiTi" w:hAnsi="KaiTi"/>
          <w:snapToGrid w:val="0"/>
          <w:kern w:val="22"/>
          <w:sz w:val="24"/>
          <w:szCs w:val="24"/>
        </w:rPr>
        <w:t>重申</w:t>
      </w:r>
      <w:r w:rsidRPr="000C0842">
        <w:rPr>
          <w:rFonts w:eastAsia="SimSun"/>
          <w:snapToGrid w:val="0"/>
          <w:kern w:val="22"/>
          <w:sz w:val="24"/>
          <w:szCs w:val="18"/>
        </w:rPr>
        <w:t>第</w:t>
      </w:r>
      <w:hyperlink r:id="rId304" w:history="1">
        <w:r w:rsidRPr="000C0842">
          <w:rPr>
            <w:rFonts w:eastAsia="SimSun"/>
            <w:snapToGrid w:val="0"/>
            <w:kern w:val="22"/>
            <w:sz w:val="24"/>
            <w:szCs w:val="18"/>
            <w:u w:val="single"/>
          </w:rPr>
          <w:t>15/6</w:t>
        </w:r>
      </w:hyperlink>
      <w:r w:rsidRPr="000C0842">
        <w:rPr>
          <w:rFonts w:eastAsia="SimSun"/>
          <w:snapToGrid w:val="0"/>
          <w:kern w:val="22"/>
          <w:sz w:val="24"/>
          <w:szCs w:val="18"/>
        </w:rPr>
        <w:t>号决定第</w:t>
      </w:r>
      <w:r w:rsidRPr="000C0842">
        <w:rPr>
          <w:rFonts w:eastAsia="SimSun"/>
          <w:snapToGrid w:val="0"/>
          <w:kern w:val="22"/>
          <w:sz w:val="24"/>
          <w:szCs w:val="18"/>
        </w:rPr>
        <w:t>16</w:t>
      </w:r>
      <w:r w:rsidRPr="000C0842">
        <w:rPr>
          <w:rFonts w:eastAsia="SimSun"/>
          <w:snapToGrid w:val="0"/>
          <w:kern w:val="22"/>
          <w:sz w:val="24"/>
          <w:szCs w:val="18"/>
        </w:rPr>
        <w:t>段，其中</w:t>
      </w:r>
      <w:r w:rsidRPr="000C0842">
        <w:rPr>
          <w:rFonts w:eastAsia="SimSun" w:hint="eastAsia"/>
          <w:snapToGrid w:val="0"/>
          <w:kern w:val="22"/>
          <w:sz w:val="24"/>
          <w:szCs w:val="18"/>
        </w:rPr>
        <w:t>决定</w:t>
      </w:r>
      <w:r w:rsidRPr="000C0842">
        <w:rPr>
          <w:rFonts w:eastAsia="SimSun"/>
          <w:snapToGrid w:val="0"/>
          <w:kern w:val="22"/>
          <w:sz w:val="24"/>
          <w:szCs w:val="18"/>
        </w:rPr>
        <w:t>将</w:t>
      </w:r>
      <w:r w:rsidRPr="000C0842">
        <w:rPr>
          <w:rFonts w:eastAsia="SimSun" w:hint="eastAsia"/>
          <w:snapToGrid w:val="0"/>
          <w:kern w:val="22"/>
          <w:sz w:val="24"/>
          <w:szCs w:val="18"/>
        </w:rPr>
        <w:t>在</w:t>
      </w:r>
      <w:r w:rsidRPr="000C0842">
        <w:rPr>
          <w:rFonts w:eastAsia="SimSun"/>
          <w:snapToGrid w:val="0"/>
          <w:kern w:val="22"/>
          <w:sz w:val="24"/>
          <w:szCs w:val="18"/>
        </w:rPr>
        <w:t>缔约方大会第十七</w:t>
      </w:r>
      <w:r w:rsidRPr="000C0842">
        <w:rPr>
          <w:rFonts w:eastAsia="SimSun" w:hint="eastAsia"/>
          <w:snapToGrid w:val="0"/>
          <w:kern w:val="22"/>
          <w:sz w:val="24"/>
          <w:szCs w:val="18"/>
        </w:rPr>
        <w:t>届</w:t>
      </w:r>
      <w:r w:rsidRPr="000C0842">
        <w:rPr>
          <w:rFonts w:eastAsia="SimSun"/>
          <w:snapToGrid w:val="0"/>
          <w:kern w:val="22"/>
          <w:sz w:val="24"/>
          <w:szCs w:val="18"/>
        </w:rPr>
        <w:t>和第十九</w:t>
      </w:r>
      <w:r w:rsidRPr="000C0842">
        <w:rPr>
          <w:rFonts w:eastAsia="SimSun" w:hint="eastAsia"/>
          <w:snapToGrid w:val="0"/>
          <w:kern w:val="22"/>
          <w:sz w:val="24"/>
          <w:szCs w:val="18"/>
        </w:rPr>
        <w:t>届</w:t>
      </w:r>
      <w:r w:rsidRPr="000C0842">
        <w:rPr>
          <w:rFonts w:eastAsia="SimSun"/>
          <w:snapToGrid w:val="0"/>
          <w:kern w:val="22"/>
          <w:sz w:val="24"/>
          <w:szCs w:val="18"/>
        </w:rPr>
        <w:t>会议</w:t>
      </w:r>
      <w:r w:rsidRPr="000C0842">
        <w:rPr>
          <w:rFonts w:eastAsia="SimSun" w:hint="eastAsia"/>
          <w:snapToGrid w:val="0"/>
          <w:kern w:val="22"/>
          <w:sz w:val="24"/>
          <w:szCs w:val="18"/>
        </w:rPr>
        <w:t>上</w:t>
      </w:r>
      <w:r w:rsidRPr="000C0842">
        <w:rPr>
          <w:rFonts w:eastAsia="SimSun"/>
          <w:snapToGrid w:val="0"/>
          <w:kern w:val="22"/>
          <w:sz w:val="24"/>
          <w:szCs w:val="18"/>
        </w:rPr>
        <w:t>对</w:t>
      </w:r>
      <w:r w:rsidRPr="000C0842">
        <w:rPr>
          <w:rFonts w:eastAsia="SimSun" w:hint="eastAsia"/>
          <w:snapToGrid w:val="0"/>
          <w:kern w:val="22"/>
          <w:sz w:val="24"/>
          <w:szCs w:val="18"/>
        </w:rPr>
        <w:t>《昆蒙框架》</w:t>
      </w:r>
      <w:r w:rsidRPr="000C0842">
        <w:rPr>
          <w:rFonts w:eastAsia="SimSun"/>
          <w:snapToGrid w:val="0"/>
          <w:kern w:val="22"/>
          <w:sz w:val="24"/>
          <w:szCs w:val="18"/>
        </w:rPr>
        <w:t>的集体</w:t>
      </w:r>
      <w:r w:rsidRPr="000C0842">
        <w:rPr>
          <w:rFonts w:eastAsia="SimSun" w:hint="eastAsia"/>
          <w:snapToGrid w:val="0"/>
          <w:kern w:val="22"/>
          <w:sz w:val="24"/>
          <w:szCs w:val="18"/>
        </w:rPr>
        <w:t>执行进度</w:t>
      </w:r>
      <w:r w:rsidRPr="000C0842">
        <w:rPr>
          <w:rFonts w:eastAsia="SimSun"/>
          <w:snapToGrid w:val="0"/>
          <w:kern w:val="22"/>
          <w:sz w:val="24"/>
          <w:szCs w:val="18"/>
        </w:rPr>
        <w:t>进行全球审查</w:t>
      </w:r>
      <w:r w:rsidRPr="000C0842">
        <w:rPr>
          <w:rFonts w:eastAsia="SimSun" w:hint="eastAsia"/>
          <w:snapToGrid w:val="0"/>
          <w:kern w:val="22"/>
          <w:sz w:val="24"/>
          <w:szCs w:val="18"/>
        </w:rPr>
        <w:t>；</w:t>
      </w:r>
    </w:p>
    <w:p w14:paraId="795BA4FD"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napToGrid w:val="0"/>
          <w:kern w:val="22"/>
          <w:sz w:val="24"/>
          <w:szCs w:val="18"/>
          <w:lang w:val="en-GB"/>
        </w:rPr>
      </w:pPr>
      <w:r w:rsidRPr="000C0842">
        <w:rPr>
          <w:rFonts w:eastAsia="SimSun" w:hint="eastAsia"/>
          <w:snapToGrid w:val="0"/>
          <w:kern w:val="22"/>
          <w:sz w:val="24"/>
          <w:szCs w:val="18"/>
          <w:lang w:val="en-GB"/>
        </w:rPr>
        <w:t>7</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eastAsia="KaiTi" w:hint="eastAsia"/>
          <w:snapToGrid w:val="0"/>
          <w:kern w:val="22"/>
          <w:sz w:val="24"/>
          <w:szCs w:val="18"/>
          <w:lang w:val="en-GB"/>
        </w:rPr>
        <w:t>决定</w:t>
      </w:r>
      <w:r w:rsidRPr="000C0842">
        <w:rPr>
          <w:rFonts w:eastAsia="SimSun" w:hint="eastAsia"/>
          <w:snapToGrid w:val="0"/>
          <w:kern w:val="22"/>
          <w:sz w:val="24"/>
          <w:szCs w:val="18"/>
          <w:lang w:val="en-GB"/>
        </w:rPr>
        <w:t>全球审查最终将由缔约方大会作出一项或多项决定，包括必要时提出任何建议，以查明和应对集体执行进度中的挑战，包括执行手段，特别是对发展中国家缔约方，以期实现《昆蒙框架》的长期目标和行动目标；</w:t>
      </w:r>
    </w:p>
    <w:p w14:paraId="4BD583A8" w14:textId="1D8B381D"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SimSun"/>
          <w:sz w:val="24"/>
          <w:szCs w:val="24"/>
          <w:lang w:val="en-GB"/>
        </w:rPr>
      </w:pPr>
      <w:r w:rsidRPr="000C0842">
        <w:rPr>
          <w:rFonts w:eastAsia="SimSun" w:hint="eastAsia"/>
          <w:snapToGrid w:val="0"/>
          <w:kern w:val="22"/>
          <w:sz w:val="24"/>
          <w:szCs w:val="18"/>
          <w:lang w:val="en-GB"/>
        </w:rPr>
        <w:t>8</w:t>
      </w:r>
      <w:r w:rsidRPr="000C0842">
        <w:rPr>
          <w:rFonts w:eastAsia="SimSun"/>
          <w:snapToGrid w:val="0"/>
          <w:kern w:val="22"/>
          <w:sz w:val="24"/>
          <w:szCs w:val="18"/>
          <w:lang w:val="en-GB"/>
        </w:rPr>
        <w:t>.</w:t>
      </w:r>
      <w:r w:rsidRPr="000C0842">
        <w:rPr>
          <w:rFonts w:eastAsia="SimSun"/>
          <w:snapToGrid w:val="0"/>
          <w:kern w:val="22"/>
          <w:sz w:val="24"/>
          <w:szCs w:val="18"/>
          <w:lang w:val="en-GB"/>
        </w:rPr>
        <w:tab/>
      </w:r>
      <w:r w:rsidRPr="000C0842">
        <w:rPr>
          <w:rFonts w:eastAsia="KaiTi" w:hint="eastAsia"/>
          <w:sz w:val="24"/>
          <w:szCs w:val="24"/>
          <w:lang w:val="en-GB"/>
        </w:rPr>
        <w:t>又</w:t>
      </w:r>
      <w:r w:rsidRPr="000C0842">
        <w:rPr>
          <w:rFonts w:eastAsia="KaiTi"/>
          <w:sz w:val="24"/>
          <w:szCs w:val="24"/>
          <w:lang w:val="en-GB"/>
        </w:rPr>
        <w:t>决定</w:t>
      </w:r>
      <w:r w:rsidRPr="000C0842">
        <w:rPr>
          <w:rFonts w:eastAsia="SimSun"/>
          <w:sz w:val="24"/>
          <w:szCs w:val="24"/>
          <w:lang w:val="en-GB"/>
        </w:rPr>
        <w:t>全球审查应侧重评估集体执行进度，审查</w:t>
      </w:r>
      <w:r w:rsidRPr="000C0842">
        <w:rPr>
          <w:rFonts w:eastAsia="SimSun" w:hint="eastAsia"/>
          <w:sz w:val="24"/>
          <w:szCs w:val="24"/>
          <w:lang w:val="en-GB"/>
        </w:rPr>
        <w:t>工作</w:t>
      </w:r>
      <w:r w:rsidRPr="000C0842">
        <w:rPr>
          <w:rFonts w:eastAsia="SimSun"/>
          <w:sz w:val="24"/>
          <w:szCs w:val="24"/>
          <w:lang w:val="en-GB"/>
        </w:rPr>
        <w:t>将以便利性、非侵入性、非惩罚性方式进行，尊重国家主权，避免给缔约方特别是发展中国家造成不必要的负担</w:t>
      </w:r>
      <w:r w:rsidRPr="000C0842">
        <w:rPr>
          <w:rFonts w:eastAsia="SimSun" w:hint="eastAsia"/>
          <w:sz w:val="24"/>
          <w:szCs w:val="24"/>
          <w:lang w:val="en-GB"/>
        </w:rPr>
        <w:t>，不侧重个别缔约方并尊重其政策空间</w:t>
      </w:r>
      <w:r w:rsidRPr="000C0842">
        <w:rPr>
          <w:rFonts w:eastAsia="SimSun"/>
          <w:sz w:val="24"/>
          <w:szCs w:val="24"/>
          <w:lang w:val="en-GB"/>
        </w:rPr>
        <w:t>；</w:t>
      </w:r>
    </w:p>
    <w:p w14:paraId="5928A6B6"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hint="eastAsia"/>
          <w:sz w:val="24"/>
          <w:szCs w:val="24"/>
          <w:lang w:val="en-GB"/>
        </w:rPr>
        <w:t>9</w:t>
      </w:r>
      <w:r w:rsidRPr="000C0842">
        <w:rPr>
          <w:rFonts w:eastAsia="SimSun"/>
          <w:sz w:val="24"/>
          <w:szCs w:val="24"/>
          <w:lang w:val="en-GB"/>
        </w:rPr>
        <w:t>.</w:t>
      </w:r>
      <w:r w:rsidRPr="000C0842">
        <w:rPr>
          <w:rFonts w:eastAsia="SimSun"/>
          <w:sz w:val="24"/>
          <w:szCs w:val="24"/>
          <w:lang w:val="en-GB"/>
        </w:rPr>
        <w:tab/>
      </w:r>
      <w:r w:rsidRPr="000C0842">
        <w:rPr>
          <w:rFonts w:eastAsia="KaiTi" w:hint="eastAsia"/>
          <w:sz w:val="24"/>
          <w:szCs w:val="24"/>
          <w:lang w:val="en-GB"/>
        </w:rPr>
        <w:t>还</w:t>
      </w:r>
      <w:r w:rsidRPr="000C0842">
        <w:rPr>
          <w:rFonts w:eastAsia="KaiTi"/>
          <w:sz w:val="24"/>
          <w:szCs w:val="24"/>
          <w:lang w:val="en-GB"/>
        </w:rPr>
        <w:t>决定</w:t>
      </w:r>
      <w:r w:rsidRPr="000C0842">
        <w:rPr>
          <w:rFonts w:eastAsia="SimSun"/>
          <w:sz w:val="24"/>
          <w:szCs w:val="24"/>
          <w:lang w:val="en-GB"/>
        </w:rPr>
        <w:t>全球审查是</w:t>
      </w:r>
      <w:r w:rsidRPr="000C0842">
        <w:rPr>
          <w:rFonts w:eastAsia="SimSun" w:hint="eastAsia"/>
          <w:sz w:val="24"/>
          <w:szCs w:val="24"/>
          <w:lang w:val="en-GB"/>
        </w:rPr>
        <w:t>一个</w:t>
      </w:r>
      <w:r w:rsidRPr="000C0842">
        <w:rPr>
          <w:rFonts w:eastAsia="SimSun"/>
          <w:sz w:val="24"/>
          <w:szCs w:val="24"/>
          <w:lang w:val="en-GB"/>
        </w:rPr>
        <w:t>由缔约方驱动的进程，以全面、便利、高效、包容和透明的方式进行，在包括编写全球报告在内的所有阶段避免重复工作；</w:t>
      </w:r>
    </w:p>
    <w:p w14:paraId="0790766D"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1</w:t>
      </w:r>
      <w:r w:rsidRPr="000C0842">
        <w:rPr>
          <w:rFonts w:eastAsia="SimSun" w:hint="eastAsia"/>
          <w:sz w:val="24"/>
          <w:szCs w:val="24"/>
          <w:lang w:val="en-GB"/>
        </w:rPr>
        <w:t>0</w:t>
      </w:r>
      <w:r w:rsidRPr="000C0842">
        <w:rPr>
          <w:rFonts w:eastAsia="SimSun"/>
          <w:sz w:val="24"/>
          <w:szCs w:val="24"/>
          <w:lang w:val="en-GB"/>
        </w:rPr>
        <w:t>.</w:t>
      </w:r>
      <w:r w:rsidRPr="000C0842">
        <w:rPr>
          <w:rFonts w:eastAsia="SimSun"/>
          <w:sz w:val="24"/>
          <w:szCs w:val="24"/>
          <w:lang w:val="en-GB"/>
        </w:rPr>
        <w:tab/>
      </w:r>
      <w:r w:rsidRPr="000C0842">
        <w:rPr>
          <w:rFonts w:eastAsia="KaiTi"/>
          <w:sz w:val="24"/>
          <w:szCs w:val="24"/>
          <w:lang w:val="en-GB"/>
        </w:rPr>
        <w:t>决定</w:t>
      </w:r>
      <w:r w:rsidRPr="000C0842">
        <w:rPr>
          <w:rFonts w:eastAsia="SimSun"/>
          <w:sz w:val="24"/>
          <w:szCs w:val="24"/>
          <w:lang w:val="en-GB"/>
        </w:rPr>
        <w:t>为支持缔约方有效和公平参与，所有投入都应完全可以获取，包括在线获取；</w:t>
      </w:r>
    </w:p>
    <w:p w14:paraId="4C1BF310"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rPr>
      </w:pPr>
      <w:r w:rsidRPr="000C0842">
        <w:rPr>
          <w:rFonts w:ascii="KaiTi" w:eastAsia="KaiTi" w:hAnsi="KaiTi"/>
          <w:snapToGrid w:val="0"/>
          <w:kern w:val="22"/>
          <w:sz w:val="24"/>
          <w:szCs w:val="18"/>
        </w:rPr>
        <w:t xml:space="preserve">全球审查的设计 </w:t>
      </w:r>
    </w:p>
    <w:p w14:paraId="674880E1"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1</w:t>
      </w:r>
      <w:r w:rsidRPr="000C0842">
        <w:rPr>
          <w:rFonts w:eastAsia="SimSun"/>
          <w:sz w:val="24"/>
          <w:szCs w:val="24"/>
        </w:rPr>
        <w:t>.</w:t>
      </w:r>
      <w:r w:rsidRPr="000C0842">
        <w:rPr>
          <w:rFonts w:ascii="KaiTi" w:eastAsia="KaiTi" w:hAnsi="KaiTi"/>
          <w:sz w:val="24"/>
          <w:szCs w:val="24"/>
        </w:rPr>
        <w:tab/>
        <w:t>决定</w:t>
      </w:r>
      <w:r w:rsidRPr="000C0842">
        <w:rPr>
          <w:rFonts w:eastAsia="SimSun"/>
          <w:sz w:val="24"/>
          <w:szCs w:val="24"/>
        </w:rPr>
        <w:t>全球审查，包括执行手段，将主要基于：</w:t>
      </w:r>
      <w:r w:rsidRPr="000C0842">
        <w:rPr>
          <w:rFonts w:eastAsia="SimSun"/>
          <w:sz w:val="24"/>
          <w:szCs w:val="24"/>
        </w:rPr>
        <w:t xml:space="preserve"> </w:t>
      </w:r>
    </w:p>
    <w:p w14:paraId="6385304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Times New Roman"/>
        </w:rPr>
        <w:t>(a)</w:t>
      </w:r>
      <w:r w:rsidRPr="000C0842">
        <w:rPr>
          <w:rFonts w:eastAsia="Times New Roman"/>
        </w:rPr>
        <w:tab/>
      </w:r>
      <w:r w:rsidRPr="000C0842">
        <w:rPr>
          <w:rFonts w:eastAsia="SimSun"/>
          <w:sz w:val="24"/>
          <w:szCs w:val="24"/>
        </w:rPr>
        <w:t>国家报告；</w:t>
      </w:r>
      <w:r w:rsidRPr="000C0842">
        <w:rPr>
          <w:rFonts w:eastAsia="SimSun"/>
          <w:sz w:val="24"/>
          <w:szCs w:val="24"/>
        </w:rPr>
        <w:t xml:space="preserve"> </w:t>
      </w:r>
    </w:p>
    <w:p w14:paraId="079AB76B"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(b)</w:t>
      </w:r>
      <w:r w:rsidRPr="000C0842">
        <w:rPr>
          <w:rFonts w:eastAsia="SimSun"/>
          <w:sz w:val="24"/>
          <w:szCs w:val="24"/>
        </w:rPr>
        <w:tab/>
      </w:r>
      <w:r w:rsidRPr="000C0842">
        <w:rPr>
          <w:rFonts w:eastAsia="SimSun"/>
          <w:sz w:val="24"/>
          <w:szCs w:val="24"/>
        </w:rPr>
        <w:t>关于</w:t>
      </w:r>
      <w:r w:rsidRPr="000C0842">
        <w:rPr>
          <w:rFonts w:eastAsia="SimSun" w:hint="eastAsia"/>
          <w:sz w:val="24"/>
          <w:szCs w:val="24"/>
        </w:rPr>
        <w:t>《昆蒙框架》</w:t>
      </w:r>
      <w:r w:rsidRPr="000C0842">
        <w:rPr>
          <w:rFonts w:eastAsia="SimSun"/>
          <w:sz w:val="24"/>
          <w:szCs w:val="24"/>
        </w:rPr>
        <w:t>集体执行进</w:t>
      </w:r>
      <w:r w:rsidRPr="000C0842">
        <w:rPr>
          <w:rFonts w:eastAsia="SimSun" w:hint="eastAsia"/>
          <w:sz w:val="24"/>
          <w:szCs w:val="24"/>
        </w:rPr>
        <w:t>度</w:t>
      </w:r>
      <w:r w:rsidRPr="000C0842">
        <w:rPr>
          <w:rFonts w:eastAsia="SimSun"/>
          <w:sz w:val="24"/>
          <w:szCs w:val="24"/>
        </w:rPr>
        <w:t>的全球报告；</w:t>
      </w:r>
      <w:r w:rsidRPr="000C0842">
        <w:rPr>
          <w:rFonts w:eastAsia="SimSun"/>
          <w:sz w:val="24"/>
          <w:szCs w:val="24"/>
        </w:rPr>
        <w:t xml:space="preserve"> </w:t>
      </w:r>
    </w:p>
    <w:p w14:paraId="557B353F" w14:textId="339802E1"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2</w:t>
      </w:r>
      <w:r w:rsidRPr="000C0842">
        <w:rPr>
          <w:rFonts w:eastAsia="SimSun"/>
          <w:sz w:val="24"/>
          <w:szCs w:val="24"/>
        </w:rPr>
        <w:t>.</w:t>
      </w:r>
      <w:r w:rsidRPr="000C0842">
        <w:rPr>
          <w:rFonts w:eastAsia="SimSun"/>
          <w:sz w:val="24"/>
          <w:szCs w:val="24"/>
        </w:rPr>
        <w:tab/>
      </w:r>
      <w:r w:rsidRPr="000C0842">
        <w:rPr>
          <w:rFonts w:ascii="KaiTi" w:eastAsia="KaiTi" w:hAnsi="KaiTi" w:hint="eastAsia"/>
          <w:sz w:val="24"/>
          <w:szCs w:val="24"/>
        </w:rPr>
        <w:t>又</w:t>
      </w:r>
      <w:r w:rsidRPr="000C0842">
        <w:rPr>
          <w:rFonts w:ascii="KaiTi" w:eastAsia="KaiTi" w:hAnsi="KaiTi"/>
          <w:sz w:val="24"/>
          <w:szCs w:val="24"/>
        </w:rPr>
        <w:t>决定</w:t>
      </w:r>
      <w:r w:rsidRPr="000C0842">
        <w:rPr>
          <w:rFonts w:eastAsia="SimSun"/>
          <w:sz w:val="24"/>
          <w:szCs w:val="24"/>
        </w:rPr>
        <w:t>全球审查还将借鉴</w:t>
      </w:r>
      <w:r w:rsidRPr="000C0842">
        <w:rPr>
          <w:rFonts w:eastAsia="SimSun" w:hint="eastAsia"/>
          <w:sz w:val="24"/>
          <w:szCs w:val="24"/>
        </w:rPr>
        <w:t>各</w:t>
      </w:r>
      <w:r w:rsidRPr="000C0842">
        <w:rPr>
          <w:rFonts w:eastAsia="SimSun"/>
          <w:sz w:val="24"/>
          <w:szCs w:val="24"/>
        </w:rPr>
        <w:t>附属机构和工作组的相关建议</w:t>
      </w:r>
      <w:r w:rsidRPr="000C0842">
        <w:rPr>
          <w:rFonts w:eastAsia="Times New Roman"/>
          <w:snapToGrid w:val="0"/>
          <w:kern w:val="22"/>
          <w:sz w:val="24"/>
          <w:szCs w:val="24"/>
          <w:vertAlign w:val="superscript"/>
          <w:lang w:val="en-GB"/>
        </w:rPr>
        <w:footnoteReference w:id="421"/>
      </w:r>
      <w:r w:rsidRPr="000C0842">
        <w:rPr>
          <w:rFonts w:eastAsia="SimSun"/>
          <w:sz w:val="24"/>
          <w:szCs w:val="24"/>
        </w:rPr>
        <w:t>，并可</w:t>
      </w:r>
      <w:r w:rsidRPr="000C0842">
        <w:rPr>
          <w:rFonts w:eastAsia="SimSun" w:hint="eastAsia"/>
          <w:sz w:val="24"/>
          <w:szCs w:val="24"/>
        </w:rPr>
        <w:t>酌情</w:t>
      </w:r>
      <w:r w:rsidRPr="000C0842">
        <w:rPr>
          <w:rFonts w:eastAsia="SimSun"/>
          <w:sz w:val="24"/>
          <w:szCs w:val="24"/>
        </w:rPr>
        <w:t>借鉴</w:t>
      </w:r>
      <w:r w:rsidRPr="000C0842">
        <w:rPr>
          <w:rFonts w:eastAsia="SimSun" w:hint="eastAsia"/>
          <w:sz w:val="24"/>
          <w:szCs w:val="24"/>
        </w:rPr>
        <w:t>下文</w:t>
      </w:r>
      <w:r w:rsidRPr="000C0842">
        <w:rPr>
          <w:rFonts w:eastAsia="SimSun"/>
          <w:sz w:val="24"/>
          <w:szCs w:val="24"/>
        </w:rPr>
        <w:t>第</w:t>
      </w:r>
      <w:r w:rsidRPr="000C0842">
        <w:rPr>
          <w:rFonts w:eastAsia="SimSun"/>
          <w:sz w:val="24"/>
          <w:szCs w:val="24"/>
        </w:rPr>
        <w:t>2</w:t>
      </w:r>
      <w:r w:rsidRPr="000C0842">
        <w:rPr>
          <w:rFonts w:eastAsia="SimSun" w:hint="eastAsia"/>
          <w:sz w:val="24"/>
          <w:szCs w:val="24"/>
        </w:rPr>
        <w:t>4</w:t>
      </w:r>
      <w:r w:rsidRPr="000C0842">
        <w:rPr>
          <w:rFonts w:eastAsia="Times New Roman"/>
          <w:szCs w:val="24"/>
          <w:lang w:val="en-GB"/>
        </w:rPr>
        <w:t>(h)</w:t>
      </w:r>
      <w:r w:rsidRPr="000C0842">
        <w:rPr>
          <w:rFonts w:eastAsia="SimSun"/>
          <w:sz w:val="24"/>
          <w:szCs w:val="24"/>
        </w:rPr>
        <w:t>段</w:t>
      </w:r>
      <w:r w:rsidRPr="000C0842">
        <w:rPr>
          <w:rFonts w:eastAsia="SimSun" w:hint="eastAsia"/>
          <w:sz w:val="24"/>
          <w:szCs w:val="24"/>
        </w:rPr>
        <w:t>所述</w:t>
      </w:r>
      <w:r w:rsidRPr="000C0842">
        <w:rPr>
          <w:rFonts w:eastAsia="SimSun"/>
          <w:sz w:val="24"/>
          <w:szCs w:val="24"/>
        </w:rPr>
        <w:t>非正式技术对话的成果、</w:t>
      </w:r>
      <w:r w:rsidRPr="000C0842">
        <w:rPr>
          <w:rFonts w:eastAsia="SimSun" w:hint="eastAsia"/>
          <w:sz w:val="24"/>
          <w:szCs w:val="24"/>
        </w:rPr>
        <w:t>下文</w:t>
      </w:r>
      <w:r w:rsidRPr="000C0842">
        <w:rPr>
          <w:rFonts w:eastAsia="SimSun"/>
          <w:sz w:val="24"/>
          <w:szCs w:val="24"/>
        </w:rPr>
        <w:t>第</w:t>
      </w:r>
      <w:r w:rsidRPr="000C0842">
        <w:rPr>
          <w:rFonts w:eastAsia="SimSun"/>
          <w:sz w:val="24"/>
          <w:szCs w:val="24"/>
        </w:rPr>
        <w:t>2</w:t>
      </w:r>
      <w:r w:rsidRPr="000C0842">
        <w:rPr>
          <w:rFonts w:eastAsia="SimSun" w:hint="eastAsia"/>
          <w:sz w:val="24"/>
          <w:szCs w:val="24"/>
        </w:rPr>
        <w:t>4</w:t>
      </w:r>
      <w:r w:rsidRPr="000C0842">
        <w:rPr>
          <w:rFonts w:eastAsia="Times New Roman"/>
          <w:snapToGrid w:val="0"/>
          <w:kern w:val="22"/>
          <w:szCs w:val="18"/>
          <w:lang w:val="en-GB"/>
        </w:rPr>
        <w:t>(e)</w:t>
      </w:r>
      <w:r w:rsidRPr="000C0842">
        <w:rPr>
          <w:rFonts w:eastAsia="SimSun"/>
          <w:sz w:val="24"/>
          <w:szCs w:val="24"/>
        </w:rPr>
        <w:t>段</w:t>
      </w:r>
      <w:r w:rsidRPr="000C0842">
        <w:rPr>
          <w:rFonts w:eastAsia="SimSun" w:hint="eastAsia"/>
          <w:sz w:val="24"/>
          <w:szCs w:val="24"/>
        </w:rPr>
        <w:t>所述</w:t>
      </w:r>
      <w:r w:rsidRPr="000C0842">
        <w:rPr>
          <w:rFonts w:eastAsia="SimSun"/>
          <w:sz w:val="24"/>
          <w:szCs w:val="24"/>
        </w:rPr>
        <w:t>次区域或区域对话</w:t>
      </w:r>
      <w:r w:rsidRPr="000C0842">
        <w:rPr>
          <w:rFonts w:eastAsia="SimSun" w:hint="eastAsia"/>
          <w:sz w:val="24"/>
          <w:szCs w:val="24"/>
        </w:rPr>
        <w:t>和</w:t>
      </w:r>
      <w:r w:rsidRPr="000C0842">
        <w:rPr>
          <w:rFonts w:eastAsia="SimSun"/>
          <w:sz w:val="24"/>
          <w:szCs w:val="24"/>
        </w:rPr>
        <w:t>可能的区域间对话的成果，以及第</w:t>
      </w:r>
      <w:hyperlink r:id="rId305" w:history="1">
        <w:r w:rsidRPr="000C0842">
          <w:rPr>
            <w:rFonts w:eastAsia="SimSun"/>
            <w:sz w:val="24"/>
            <w:szCs w:val="24"/>
            <w:u w:val="single"/>
          </w:rPr>
          <w:t>15/6</w:t>
        </w:r>
      </w:hyperlink>
      <w:r w:rsidRPr="000C0842">
        <w:rPr>
          <w:rFonts w:eastAsia="SimSun"/>
          <w:sz w:val="24"/>
          <w:szCs w:val="24"/>
        </w:rPr>
        <w:t>号决定第</w:t>
      </w:r>
      <w:r w:rsidRPr="000C0842">
        <w:rPr>
          <w:rFonts w:eastAsia="SimSun"/>
          <w:sz w:val="24"/>
          <w:szCs w:val="24"/>
        </w:rPr>
        <w:t>1(c)</w:t>
      </w:r>
      <w:r w:rsidRPr="000C0842">
        <w:rPr>
          <w:rFonts w:eastAsia="SimSun"/>
          <w:sz w:val="24"/>
          <w:szCs w:val="24"/>
        </w:rPr>
        <w:t>段中</w:t>
      </w:r>
      <w:r w:rsidRPr="000C0842">
        <w:rPr>
          <w:rFonts w:eastAsia="SimSun" w:hint="eastAsia"/>
          <w:sz w:val="24"/>
          <w:szCs w:val="24"/>
        </w:rPr>
        <w:t>所述</w:t>
      </w:r>
      <w:r w:rsidRPr="000C0842">
        <w:rPr>
          <w:rFonts w:eastAsia="SimSun"/>
          <w:sz w:val="24"/>
          <w:szCs w:val="24"/>
        </w:rPr>
        <w:t>全球分析。</w:t>
      </w:r>
      <w:r w:rsidRPr="000C0842">
        <w:rPr>
          <w:rFonts w:eastAsia="SimSun"/>
          <w:sz w:val="24"/>
          <w:szCs w:val="24"/>
        </w:rPr>
        <w:t xml:space="preserve"> </w:t>
      </w:r>
    </w:p>
    <w:p w14:paraId="72B6A69F" w14:textId="77777777" w:rsidR="000A776A" w:rsidRPr="000C0842" w:rsidRDefault="000A776A" w:rsidP="000A776A">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SimSun"/>
          <w:sz w:val="24"/>
          <w:szCs w:val="24"/>
          <w:lang w:val="en-GB"/>
        </w:rPr>
      </w:pPr>
      <w:r w:rsidRPr="000C0842">
        <w:rPr>
          <w:rFonts w:ascii="KaiTi" w:eastAsia="KaiTi" w:hAnsi="KaiTi"/>
          <w:snapToGrid w:val="0"/>
          <w:kern w:val="22"/>
          <w:sz w:val="24"/>
          <w:szCs w:val="18"/>
        </w:rPr>
        <w:t>全球报告</w:t>
      </w:r>
    </w:p>
    <w:p w14:paraId="642321D0"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3</w:t>
      </w:r>
      <w:r w:rsidRPr="000C0842">
        <w:rPr>
          <w:rFonts w:eastAsia="SimSun"/>
          <w:sz w:val="24"/>
          <w:szCs w:val="24"/>
        </w:rPr>
        <w:t>.</w:t>
      </w:r>
      <w:r w:rsidRPr="000C0842">
        <w:rPr>
          <w:rFonts w:eastAsia="SimSun"/>
          <w:sz w:val="24"/>
          <w:szCs w:val="24"/>
        </w:rPr>
        <w:tab/>
      </w:r>
      <w:r w:rsidRPr="000C0842">
        <w:rPr>
          <w:rFonts w:ascii="KaiTi" w:eastAsia="KaiTi" w:hAnsi="KaiTi"/>
          <w:sz w:val="24"/>
          <w:szCs w:val="24"/>
        </w:rPr>
        <w:t>决定</w:t>
      </w:r>
      <w:r w:rsidRPr="000C0842">
        <w:rPr>
          <w:rFonts w:eastAsia="SimSun"/>
          <w:sz w:val="24"/>
          <w:szCs w:val="24"/>
        </w:rPr>
        <w:t>全球报告将如</w:t>
      </w:r>
      <w:r w:rsidRPr="000C0842">
        <w:rPr>
          <w:rFonts w:eastAsia="SimSun" w:hint="eastAsia"/>
          <w:sz w:val="24"/>
          <w:szCs w:val="24"/>
        </w:rPr>
        <w:t>《昆蒙框架》</w:t>
      </w:r>
      <w:r w:rsidRPr="000C0842">
        <w:rPr>
          <w:rFonts w:eastAsia="SimSun"/>
          <w:sz w:val="24"/>
          <w:szCs w:val="24"/>
        </w:rPr>
        <w:t>所示</w:t>
      </w:r>
      <w:r w:rsidRPr="000C0842">
        <w:rPr>
          <w:rFonts w:eastAsia="SimSun" w:hint="eastAsia"/>
          <w:sz w:val="24"/>
          <w:szCs w:val="24"/>
        </w:rPr>
        <w:t>平衡地</w:t>
      </w:r>
      <w:r w:rsidRPr="000C0842">
        <w:rPr>
          <w:rFonts w:eastAsia="SimSun"/>
          <w:sz w:val="24"/>
          <w:szCs w:val="24"/>
        </w:rPr>
        <w:t>审议《</w:t>
      </w:r>
      <w:r w:rsidRPr="000C0842">
        <w:rPr>
          <w:rFonts w:eastAsia="SimSun" w:hint="eastAsia"/>
          <w:sz w:val="24"/>
          <w:szCs w:val="24"/>
        </w:rPr>
        <w:t>生物多样性</w:t>
      </w:r>
      <w:r w:rsidRPr="000C0842">
        <w:rPr>
          <w:rFonts w:eastAsia="SimSun"/>
          <w:sz w:val="24"/>
          <w:szCs w:val="24"/>
        </w:rPr>
        <w:t>公约》的三个目标；</w:t>
      </w:r>
      <w:r w:rsidRPr="000C0842">
        <w:rPr>
          <w:rFonts w:eastAsia="SimSun"/>
          <w:sz w:val="24"/>
          <w:szCs w:val="24"/>
        </w:rPr>
        <w:t xml:space="preserve"> </w:t>
      </w:r>
    </w:p>
    <w:p w14:paraId="32D512BD"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4</w:t>
      </w:r>
      <w:r w:rsidRPr="000C0842">
        <w:rPr>
          <w:rFonts w:eastAsia="SimSun"/>
          <w:sz w:val="24"/>
          <w:szCs w:val="24"/>
        </w:rPr>
        <w:t>.</w:t>
      </w:r>
      <w:r w:rsidRPr="000C0842">
        <w:rPr>
          <w:rFonts w:eastAsia="SimSun"/>
          <w:sz w:val="24"/>
          <w:szCs w:val="24"/>
        </w:rPr>
        <w:tab/>
      </w:r>
      <w:r w:rsidRPr="000C0842">
        <w:rPr>
          <w:rFonts w:eastAsia="SimSun" w:hint="eastAsia"/>
          <w:sz w:val="24"/>
          <w:szCs w:val="24"/>
        </w:rPr>
        <w:t xml:space="preserve">   </w:t>
      </w:r>
      <w:r w:rsidRPr="000C0842">
        <w:rPr>
          <w:rFonts w:ascii="KaiTi" w:eastAsia="KaiTi" w:hAnsi="KaiTi" w:hint="eastAsia"/>
          <w:sz w:val="24"/>
          <w:szCs w:val="24"/>
        </w:rPr>
        <w:t>又</w:t>
      </w:r>
      <w:r w:rsidRPr="000C0842">
        <w:rPr>
          <w:rFonts w:ascii="KaiTi" w:eastAsia="KaiTi" w:hAnsi="KaiTi"/>
          <w:sz w:val="24"/>
          <w:szCs w:val="24"/>
        </w:rPr>
        <w:t>决定</w:t>
      </w:r>
      <w:r w:rsidRPr="000C0842">
        <w:rPr>
          <w:rFonts w:eastAsia="SimSun"/>
          <w:sz w:val="24"/>
          <w:szCs w:val="24"/>
        </w:rPr>
        <w:t>在整个全球报告中考虑执行</w:t>
      </w:r>
      <w:r w:rsidRPr="000C0842">
        <w:rPr>
          <w:rFonts w:eastAsia="SimSun" w:hint="eastAsia"/>
          <w:sz w:val="24"/>
          <w:szCs w:val="24"/>
        </w:rPr>
        <w:t>《昆蒙框架》</w:t>
      </w:r>
      <w:r w:rsidRPr="000C0842">
        <w:rPr>
          <w:rFonts w:eastAsia="SimSun"/>
          <w:sz w:val="24"/>
          <w:szCs w:val="24"/>
        </w:rPr>
        <w:t>的具体挑战，特别是发展中国家</w:t>
      </w:r>
      <w:r w:rsidRPr="000C0842">
        <w:rPr>
          <w:rFonts w:eastAsia="SimSun" w:hint="eastAsia"/>
          <w:sz w:val="24"/>
          <w:szCs w:val="24"/>
        </w:rPr>
        <w:t>缔约方</w:t>
      </w:r>
      <w:r w:rsidRPr="000C0842">
        <w:rPr>
          <w:rFonts w:eastAsia="SimSun"/>
          <w:sz w:val="24"/>
          <w:szCs w:val="24"/>
        </w:rPr>
        <w:t>、尤其是最不发达国家和小岛屿发展中国家；</w:t>
      </w:r>
      <w:r w:rsidRPr="000C0842">
        <w:rPr>
          <w:rFonts w:eastAsia="SimSun"/>
          <w:sz w:val="24"/>
          <w:szCs w:val="24"/>
        </w:rPr>
        <w:t xml:space="preserve"> </w:t>
      </w:r>
    </w:p>
    <w:p w14:paraId="333C9EE6"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5</w:t>
      </w:r>
      <w:r w:rsidRPr="000C0842">
        <w:rPr>
          <w:rFonts w:eastAsia="SimSun"/>
          <w:sz w:val="24"/>
          <w:szCs w:val="24"/>
        </w:rPr>
        <w:t>.</w:t>
      </w:r>
      <w:r w:rsidRPr="000C0842">
        <w:rPr>
          <w:rFonts w:eastAsia="SimSun"/>
          <w:sz w:val="24"/>
          <w:szCs w:val="24"/>
        </w:rPr>
        <w:tab/>
      </w:r>
      <w:r w:rsidRPr="000C0842">
        <w:rPr>
          <w:rFonts w:ascii="KaiTi" w:eastAsia="KaiTi" w:hAnsi="KaiTi"/>
          <w:sz w:val="24"/>
          <w:szCs w:val="24"/>
        </w:rPr>
        <w:t>强调</w:t>
      </w:r>
      <w:r w:rsidRPr="000C0842">
        <w:rPr>
          <w:rFonts w:eastAsia="SimSun"/>
          <w:sz w:val="24"/>
          <w:szCs w:val="24"/>
        </w:rPr>
        <w:t>全球报告应利用缔约方提供的数据和信息、可获得的经过同行</w:t>
      </w:r>
      <w:r w:rsidRPr="000C0842">
        <w:rPr>
          <w:rFonts w:eastAsia="SimSun" w:hint="eastAsia"/>
          <w:sz w:val="24"/>
          <w:szCs w:val="24"/>
        </w:rPr>
        <w:t>评议</w:t>
      </w:r>
      <w:r w:rsidRPr="000C0842">
        <w:rPr>
          <w:rFonts w:eastAsia="SimSun"/>
          <w:sz w:val="24"/>
          <w:szCs w:val="24"/>
        </w:rPr>
        <w:t>的最佳科学、技术和工艺信息，以及在土著人民和</w:t>
      </w:r>
      <w:r w:rsidRPr="000C0842">
        <w:rPr>
          <w:rFonts w:eastAsia="SimSun" w:hint="eastAsia"/>
          <w:sz w:val="24"/>
          <w:szCs w:val="24"/>
        </w:rPr>
        <w:t>地方</w:t>
      </w:r>
      <w:r w:rsidRPr="000C0842">
        <w:rPr>
          <w:rFonts w:eastAsia="SimSun"/>
          <w:sz w:val="24"/>
          <w:szCs w:val="24"/>
        </w:rPr>
        <w:t>社区自由、事先、知情同意的情况下获得的传统知识；</w:t>
      </w:r>
      <w:r w:rsidRPr="000C0842">
        <w:rPr>
          <w:rFonts w:eastAsia="SimSun"/>
          <w:sz w:val="24"/>
          <w:szCs w:val="24"/>
        </w:rPr>
        <w:t xml:space="preserve"> </w:t>
      </w:r>
    </w:p>
    <w:p w14:paraId="37A8A6E9"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1</w:t>
      </w:r>
      <w:r w:rsidRPr="000C0842">
        <w:rPr>
          <w:rFonts w:eastAsia="SimSun" w:hint="eastAsia"/>
          <w:sz w:val="24"/>
          <w:szCs w:val="24"/>
        </w:rPr>
        <w:t>6</w:t>
      </w:r>
      <w:r w:rsidRPr="000C0842">
        <w:rPr>
          <w:rFonts w:eastAsia="SimSun"/>
          <w:sz w:val="24"/>
          <w:szCs w:val="24"/>
        </w:rPr>
        <w:t>.</w:t>
      </w:r>
      <w:r w:rsidRPr="000C0842">
        <w:rPr>
          <w:rFonts w:eastAsia="SimSun"/>
          <w:sz w:val="24"/>
          <w:szCs w:val="24"/>
        </w:rPr>
        <w:tab/>
      </w:r>
      <w:r w:rsidRPr="000C0842">
        <w:rPr>
          <w:rFonts w:ascii="KaiTi" w:eastAsia="KaiTi" w:hAnsi="KaiTi"/>
          <w:sz w:val="24"/>
          <w:szCs w:val="24"/>
        </w:rPr>
        <w:t>又强调</w:t>
      </w:r>
      <w:r w:rsidRPr="000C0842">
        <w:rPr>
          <w:rFonts w:eastAsia="SimSun"/>
          <w:sz w:val="24"/>
          <w:szCs w:val="24"/>
        </w:rPr>
        <w:t>需要在编写全球报告的所有阶段确保平衡、透明和包容；</w:t>
      </w:r>
      <w:r w:rsidRPr="000C0842">
        <w:rPr>
          <w:rFonts w:eastAsia="SimSun"/>
          <w:sz w:val="24"/>
          <w:szCs w:val="24"/>
        </w:rPr>
        <w:t xml:space="preserve"> </w:t>
      </w:r>
    </w:p>
    <w:p w14:paraId="5C180BD0"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rPr>
        <w:t>1</w:t>
      </w:r>
      <w:r w:rsidRPr="000C0842">
        <w:rPr>
          <w:rFonts w:eastAsia="SimSun" w:hint="eastAsia"/>
          <w:sz w:val="24"/>
          <w:szCs w:val="24"/>
        </w:rPr>
        <w:t>7</w:t>
      </w:r>
      <w:r w:rsidRPr="000C0842">
        <w:rPr>
          <w:rFonts w:eastAsia="SimSun"/>
          <w:sz w:val="24"/>
          <w:szCs w:val="24"/>
        </w:rPr>
        <w:t>.</w:t>
      </w:r>
      <w:r w:rsidRPr="000C0842">
        <w:rPr>
          <w:rFonts w:eastAsia="SimSun"/>
          <w:sz w:val="24"/>
          <w:szCs w:val="24"/>
        </w:rPr>
        <w:tab/>
      </w:r>
      <w:r w:rsidRPr="000C0842">
        <w:rPr>
          <w:rFonts w:eastAsia="SimSun" w:hint="eastAsia"/>
          <w:sz w:val="24"/>
          <w:szCs w:val="24"/>
        </w:rPr>
        <w:t xml:space="preserve"> </w:t>
      </w:r>
      <w:r w:rsidRPr="000C0842">
        <w:rPr>
          <w:rFonts w:ascii="KaiTi" w:eastAsia="KaiTi" w:hAnsi="KaiTi"/>
          <w:sz w:val="24"/>
          <w:szCs w:val="24"/>
        </w:rPr>
        <w:t>决定</w:t>
      </w:r>
      <w:r w:rsidRPr="000C0842">
        <w:rPr>
          <w:rFonts w:eastAsia="SimSun"/>
          <w:sz w:val="24"/>
          <w:szCs w:val="24"/>
        </w:rPr>
        <w:t>全球报告将主要侧重评估</w:t>
      </w:r>
      <w:r w:rsidRPr="000C0842">
        <w:rPr>
          <w:rFonts w:eastAsia="SimSun" w:hint="eastAsia"/>
          <w:sz w:val="24"/>
          <w:szCs w:val="24"/>
        </w:rPr>
        <w:t>《昆蒙框架》</w:t>
      </w:r>
      <w:r w:rsidRPr="000C0842">
        <w:rPr>
          <w:rFonts w:eastAsia="SimSun"/>
          <w:sz w:val="24"/>
          <w:szCs w:val="24"/>
        </w:rPr>
        <w:t>的执行进展，并包含以下结构要素</w:t>
      </w:r>
      <w:r w:rsidRPr="000C0842">
        <w:rPr>
          <w:rFonts w:eastAsia="SimSun" w:hint="eastAsia"/>
          <w:sz w:val="24"/>
          <w:szCs w:val="24"/>
        </w:rPr>
        <w:t>：</w:t>
      </w:r>
    </w:p>
    <w:p w14:paraId="218A1C3B"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a</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报告和《昆蒙框架》</w:t>
      </w:r>
      <w:r w:rsidRPr="000C0842">
        <w:rPr>
          <w:rFonts w:eastAsia="SimSun" w:hint="eastAsia"/>
          <w:sz w:val="24"/>
          <w:szCs w:val="24"/>
          <w:lang w:val="en-GB"/>
        </w:rPr>
        <w:t>的介绍</w:t>
      </w:r>
      <w:r w:rsidRPr="000C0842">
        <w:rPr>
          <w:rFonts w:eastAsia="SimSun"/>
          <w:sz w:val="24"/>
          <w:szCs w:val="24"/>
          <w:lang w:val="en-GB"/>
        </w:rPr>
        <w:t>；</w:t>
      </w:r>
    </w:p>
    <w:p w14:paraId="4A69CBF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b</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生物多样性现状和趋势的简明科技综述；</w:t>
      </w:r>
    </w:p>
    <w:p w14:paraId="57C295FA"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(c) </w:t>
      </w:r>
      <w:r w:rsidRPr="000C0842">
        <w:rPr>
          <w:rFonts w:eastAsia="SimSun"/>
          <w:sz w:val="24"/>
          <w:szCs w:val="24"/>
          <w:lang w:val="en-GB"/>
        </w:rPr>
        <w:tab/>
      </w:r>
      <w:r w:rsidRPr="000C0842">
        <w:rPr>
          <w:rFonts w:eastAsia="SimSun"/>
          <w:spacing w:val="-6"/>
          <w:sz w:val="24"/>
          <w:szCs w:val="24"/>
          <w:lang w:val="en-GB"/>
        </w:rPr>
        <w:t>审查执行《昆蒙框架》的</w:t>
      </w:r>
      <w:r w:rsidRPr="000C0842">
        <w:rPr>
          <w:rFonts w:eastAsia="SimSun" w:hint="eastAsia"/>
          <w:spacing w:val="-6"/>
          <w:sz w:val="24"/>
          <w:szCs w:val="24"/>
          <w:lang w:val="en-GB"/>
        </w:rPr>
        <w:t>集体执行进度</w:t>
      </w:r>
      <w:r w:rsidRPr="000C0842">
        <w:rPr>
          <w:rFonts w:eastAsia="SimSun"/>
          <w:spacing w:val="-6"/>
          <w:sz w:val="24"/>
          <w:szCs w:val="24"/>
          <w:lang w:val="en-GB"/>
        </w:rPr>
        <w:t>，包括对实现</w:t>
      </w:r>
      <w:r w:rsidRPr="000C0842">
        <w:rPr>
          <w:rFonts w:eastAsia="SimSun"/>
          <w:spacing w:val="-6"/>
          <w:sz w:val="24"/>
          <w:szCs w:val="24"/>
          <w:lang w:val="en-GB"/>
        </w:rPr>
        <w:t xml:space="preserve"> 23 </w:t>
      </w:r>
      <w:r w:rsidRPr="000C0842">
        <w:rPr>
          <w:rFonts w:eastAsia="SimSun"/>
          <w:spacing w:val="-6"/>
          <w:sz w:val="24"/>
          <w:szCs w:val="24"/>
          <w:lang w:val="en-GB"/>
        </w:rPr>
        <w:t>项</w:t>
      </w:r>
      <w:r w:rsidRPr="000C0842">
        <w:rPr>
          <w:rFonts w:eastAsia="SimSun" w:hint="eastAsia"/>
          <w:spacing w:val="-6"/>
          <w:sz w:val="24"/>
          <w:szCs w:val="24"/>
          <w:lang w:val="en-GB"/>
        </w:rPr>
        <w:t>行动</w:t>
      </w:r>
      <w:r w:rsidRPr="000C0842">
        <w:rPr>
          <w:rFonts w:eastAsia="SimSun"/>
          <w:spacing w:val="-6"/>
          <w:sz w:val="24"/>
          <w:szCs w:val="24"/>
          <w:lang w:val="en-GB"/>
        </w:rPr>
        <w:t>目标、</w:t>
      </w:r>
      <w:r w:rsidRPr="000C0842">
        <w:rPr>
          <w:rFonts w:eastAsia="SimSun"/>
          <w:spacing w:val="-6"/>
          <w:sz w:val="24"/>
          <w:szCs w:val="24"/>
          <w:lang w:val="en-GB"/>
        </w:rPr>
        <w:t xml:space="preserve">2030 </w:t>
      </w:r>
      <w:r w:rsidRPr="000C0842">
        <w:rPr>
          <w:rFonts w:eastAsia="SimSun"/>
          <w:spacing w:val="-6"/>
          <w:sz w:val="24"/>
          <w:szCs w:val="24"/>
          <w:lang w:val="en-GB"/>
        </w:rPr>
        <w:t>年任务和《昆蒙框架》其他内容（包括</w:t>
      </w:r>
      <w:r w:rsidRPr="000C0842">
        <w:rPr>
          <w:rFonts w:eastAsia="SimSun"/>
          <w:spacing w:val="-6"/>
          <w:sz w:val="24"/>
          <w:szCs w:val="24"/>
          <w:lang w:val="en-GB"/>
        </w:rPr>
        <w:t xml:space="preserve"> C</w:t>
      </w:r>
      <w:r w:rsidRPr="000C0842">
        <w:rPr>
          <w:rFonts w:eastAsia="SimSun"/>
          <w:spacing w:val="-6"/>
          <w:sz w:val="24"/>
          <w:szCs w:val="24"/>
          <w:lang w:val="en-GB"/>
        </w:rPr>
        <w:t>、</w:t>
      </w:r>
      <w:r w:rsidRPr="000C0842">
        <w:rPr>
          <w:rFonts w:eastAsia="SimSun"/>
          <w:spacing w:val="-6"/>
          <w:sz w:val="24"/>
          <w:szCs w:val="24"/>
          <w:lang w:val="en-GB"/>
        </w:rPr>
        <w:t>I</w:t>
      </w:r>
      <w:r w:rsidRPr="000C0842">
        <w:rPr>
          <w:rFonts w:eastAsia="SimSun"/>
          <w:spacing w:val="-6"/>
          <w:sz w:val="24"/>
          <w:szCs w:val="24"/>
          <w:lang w:val="en-GB"/>
        </w:rPr>
        <w:t>、</w:t>
      </w:r>
      <w:r w:rsidRPr="000C0842">
        <w:rPr>
          <w:rFonts w:eastAsia="SimSun"/>
          <w:spacing w:val="-6"/>
          <w:sz w:val="24"/>
          <w:szCs w:val="24"/>
          <w:lang w:val="en-GB"/>
        </w:rPr>
        <w:t xml:space="preserve">J </w:t>
      </w:r>
      <w:r w:rsidRPr="000C0842">
        <w:rPr>
          <w:rFonts w:eastAsia="SimSun"/>
          <w:spacing w:val="-6"/>
          <w:sz w:val="24"/>
          <w:szCs w:val="24"/>
          <w:lang w:val="en-GB"/>
        </w:rPr>
        <w:t>和</w:t>
      </w:r>
      <w:r w:rsidRPr="000C0842">
        <w:rPr>
          <w:rFonts w:eastAsia="SimSun"/>
          <w:spacing w:val="-6"/>
          <w:sz w:val="24"/>
          <w:szCs w:val="24"/>
          <w:lang w:val="en-GB"/>
        </w:rPr>
        <w:t xml:space="preserve"> K </w:t>
      </w:r>
      <w:r w:rsidRPr="000C0842">
        <w:rPr>
          <w:rFonts w:eastAsia="SimSun"/>
          <w:spacing w:val="-6"/>
          <w:sz w:val="24"/>
          <w:szCs w:val="24"/>
          <w:lang w:val="en-GB"/>
        </w:rPr>
        <w:t>部分）的进展情况进行逐项评估；</w:t>
      </w:r>
    </w:p>
    <w:p w14:paraId="5F006A1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(d) </w:t>
      </w:r>
      <w:r w:rsidRPr="000C0842">
        <w:rPr>
          <w:rFonts w:eastAsia="SimSun"/>
          <w:sz w:val="24"/>
          <w:szCs w:val="24"/>
          <w:lang w:val="en-GB"/>
        </w:rPr>
        <w:tab/>
      </w:r>
      <w:r w:rsidRPr="000C0842">
        <w:rPr>
          <w:rFonts w:eastAsia="SimSun"/>
          <w:sz w:val="24"/>
          <w:szCs w:val="24"/>
          <w:lang w:val="en-GB"/>
        </w:rPr>
        <w:t>专设一节，介绍与《昆蒙框架》相一致的实施手段；</w:t>
      </w:r>
    </w:p>
    <w:p w14:paraId="2DF2DF21"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e</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对实现《昆蒙框架》和</w:t>
      </w:r>
      <w:r w:rsidRPr="000C0842">
        <w:rPr>
          <w:rFonts w:eastAsia="SimSun"/>
          <w:sz w:val="24"/>
          <w:szCs w:val="24"/>
          <w:lang w:val="en-GB"/>
        </w:rPr>
        <w:t xml:space="preserve">2050 </w:t>
      </w:r>
      <w:r w:rsidRPr="000C0842">
        <w:rPr>
          <w:rFonts w:eastAsia="SimSun"/>
          <w:sz w:val="24"/>
          <w:szCs w:val="24"/>
          <w:lang w:val="en-GB"/>
        </w:rPr>
        <w:t>年</w:t>
      </w:r>
      <w:r w:rsidRPr="000C0842">
        <w:rPr>
          <w:rFonts w:eastAsia="SimSun" w:hint="eastAsia"/>
          <w:sz w:val="24"/>
          <w:szCs w:val="24"/>
          <w:lang w:val="en-GB"/>
        </w:rPr>
        <w:t>愿景</w:t>
      </w:r>
      <w:r w:rsidRPr="000C0842">
        <w:rPr>
          <w:rFonts w:eastAsia="SimSun"/>
          <w:sz w:val="24"/>
          <w:szCs w:val="24"/>
          <w:lang w:val="en-GB"/>
        </w:rPr>
        <w:t>目标的进展情况进行分析；</w:t>
      </w:r>
    </w:p>
    <w:p w14:paraId="5966C89B"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f</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lang w:val="en-GB"/>
        </w:rPr>
        <w:t>相关</w:t>
      </w:r>
      <w:r w:rsidRPr="000C0842">
        <w:rPr>
          <w:rFonts w:eastAsia="SimSun"/>
          <w:sz w:val="24"/>
          <w:szCs w:val="24"/>
          <w:lang w:val="en-GB"/>
        </w:rPr>
        <w:t>多边环境协定根据各自的任务规定</w:t>
      </w:r>
      <w:r w:rsidRPr="000C0842">
        <w:rPr>
          <w:rFonts w:eastAsia="SimSun" w:hint="eastAsia"/>
          <w:sz w:val="24"/>
          <w:szCs w:val="24"/>
          <w:lang w:val="en-GB"/>
        </w:rPr>
        <w:t>对</w:t>
      </w:r>
      <w:r w:rsidRPr="000C0842">
        <w:rPr>
          <w:rFonts w:eastAsia="SimSun"/>
          <w:sz w:val="24"/>
          <w:szCs w:val="24"/>
          <w:lang w:val="en-GB"/>
        </w:rPr>
        <w:t>《昆蒙框架》</w:t>
      </w:r>
      <w:r w:rsidRPr="000C0842">
        <w:rPr>
          <w:rFonts w:eastAsia="SimSun" w:hint="eastAsia"/>
          <w:sz w:val="24"/>
          <w:szCs w:val="24"/>
          <w:lang w:val="en-GB"/>
        </w:rPr>
        <w:t>执行工作的贡献实例</w:t>
      </w:r>
      <w:r w:rsidRPr="000C0842">
        <w:rPr>
          <w:rFonts w:eastAsia="SimSun"/>
          <w:sz w:val="24"/>
          <w:szCs w:val="24"/>
          <w:lang w:val="en-GB"/>
        </w:rPr>
        <w:t>简明汇编；</w:t>
      </w:r>
      <w:r w:rsidRPr="000C0842">
        <w:rPr>
          <w:rFonts w:eastAsia="SimSun"/>
          <w:sz w:val="24"/>
          <w:szCs w:val="24"/>
          <w:lang w:val="en-GB"/>
        </w:rPr>
        <w:t xml:space="preserve"> </w:t>
      </w:r>
    </w:p>
    <w:p w14:paraId="572AD76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g</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lang w:val="en-GB"/>
        </w:rPr>
        <w:t>汇总</w:t>
      </w:r>
      <w:r w:rsidRPr="000C0842">
        <w:rPr>
          <w:rFonts w:eastAsia="SimSun"/>
          <w:sz w:val="24"/>
          <w:szCs w:val="24"/>
          <w:lang w:val="en-GB"/>
        </w:rPr>
        <w:t>报告关键信息</w:t>
      </w:r>
      <w:r w:rsidRPr="000C0842">
        <w:rPr>
          <w:rFonts w:eastAsia="SimSun" w:hint="eastAsia"/>
          <w:sz w:val="24"/>
          <w:szCs w:val="24"/>
          <w:lang w:val="en-GB"/>
        </w:rPr>
        <w:t>和</w:t>
      </w:r>
      <w:r w:rsidRPr="000C0842">
        <w:rPr>
          <w:rFonts w:eastAsia="SimSun"/>
          <w:sz w:val="24"/>
          <w:szCs w:val="24"/>
          <w:lang w:val="en-GB"/>
        </w:rPr>
        <w:t>内容的结论</w:t>
      </w:r>
      <w:r w:rsidRPr="000C0842">
        <w:rPr>
          <w:rFonts w:eastAsia="SimSun" w:hint="eastAsia"/>
          <w:sz w:val="24"/>
          <w:szCs w:val="24"/>
          <w:lang w:val="en-GB"/>
        </w:rPr>
        <w:t>；</w:t>
      </w:r>
      <w:r w:rsidRPr="000C0842">
        <w:rPr>
          <w:rFonts w:eastAsia="SimSun"/>
          <w:sz w:val="24"/>
          <w:szCs w:val="24"/>
          <w:lang w:val="en-GB"/>
        </w:rPr>
        <w:t xml:space="preserve"> </w:t>
      </w:r>
    </w:p>
    <w:p w14:paraId="2197206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hint="eastAsia"/>
          <w:sz w:val="24"/>
          <w:szCs w:val="24"/>
          <w:lang w:val="en-GB"/>
        </w:rPr>
        <w:t>18</w:t>
      </w:r>
      <w:r w:rsidRPr="000C0842">
        <w:rPr>
          <w:rFonts w:eastAsia="SimSun"/>
          <w:sz w:val="24"/>
          <w:szCs w:val="24"/>
          <w:lang w:val="en-GB"/>
        </w:rPr>
        <w:t>.</w:t>
      </w:r>
      <w:r w:rsidRPr="000C0842">
        <w:rPr>
          <w:rFonts w:eastAsia="SimSun"/>
          <w:sz w:val="24"/>
          <w:szCs w:val="24"/>
          <w:lang w:val="en-GB"/>
        </w:rPr>
        <w:tab/>
      </w:r>
      <w:r w:rsidRPr="000C0842">
        <w:rPr>
          <w:rFonts w:eastAsia="KaiTi" w:hint="eastAsia"/>
          <w:sz w:val="24"/>
          <w:szCs w:val="24"/>
          <w:lang w:val="en-GB"/>
        </w:rPr>
        <w:t>又</w:t>
      </w:r>
      <w:r w:rsidRPr="000C0842">
        <w:rPr>
          <w:rFonts w:eastAsia="KaiTi"/>
          <w:sz w:val="24"/>
          <w:szCs w:val="24"/>
          <w:lang w:val="en-GB"/>
        </w:rPr>
        <w:t>决定</w:t>
      </w:r>
      <w:r w:rsidRPr="000C0842">
        <w:rPr>
          <w:rFonts w:eastAsia="SimSun"/>
          <w:sz w:val="24"/>
          <w:szCs w:val="24"/>
          <w:lang w:val="en-GB"/>
        </w:rPr>
        <w:t>在编写全球报告时应利用以下信息来源：</w:t>
      </w:r>
      <w:r w:rsidRPr="000C0842">
        <w:rPr>
          <w:rFonts w:eastAsia="SimSun"/>
          <w:sz w:val="24"/>
          <w:szCs w:val="24"/>
          <w:lang w:val="en-GB"/>
        </w:rPr>
        <w:t xml:space="preserve">  </w:t>
      </w:r>
    </w:p>
    <w:p w14:paraId="3DC2E4E9"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a</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根据《公约》第</w:t>
      </w:r>
      <w:r w:rsidRPr="000C0842">
        <w:rPr>
          <w:rFonts w:eastAsia="SimSun"/>
          <w:sz w:val="24"/>
          <w:szCs w:val="24"/>
          <w:lang w:val="en-GB"/>
        </w:rPr>
        <w:t xml:space="preserve"> 26 </w:t>
      </w:r>
      <w:r w:rsidRPr="000C0842">
        <w:rPr>
          <w:rFonts w:eastAsia="SimSun"/>
          <w:sz w:val="24"/>
          <w:szCs w:val="24"/>
          <w:lang w:val="en-GB"/>
        </w:rPr>
        <w:t>条和第</w:t>
      </w:r>
      <w:r w:rsidRPr="000C0842">
        <w:rPr>
          <w:rFonts w:eastAsia="SimSun"/>
          <w:sz w:val="24"/>
          <w:szCs w:val="24"/>
          <w:lang w:val="en-GB"/>
        </w:rPr>
        <w:t xml:space="preserve"> </w:t>
      </w:r>
      <w:hyperlink r:id="rId306" w:history="1">
        <w:r w:rsidRPr="000C0842">
          <w:rPr>
            <w:rFonts w:eastAsia="SimSun"/>
            <w:sz w:val="24"/>
            <w:szCs w:val="24"/>
            <w:u w:val="single"/>
            <w:lang w:val="en-GB"/>
          </w:rPr>
          <w:t>15/6</w:t>
        </w:r>
      </w:hyperlink>
      <w:r w:rsidRPr="000C0842">
        <w:rPr>
          <w:rFonts w:eastAsia="SimSun"/>
          <w:sz w:val="24"/>
          <w:szCs w:val="24"/>
          <w:lang w:val="en-GB"/>
        </w:rPr>
        <w:t xml:space="preserve"> </w:t>
      </w:r>
      <w:r w:rsidRPr="000C0842">
        <w:rPr>
          <w:rFonts w:eastAsia="SimSun"/>
          <w:sz w:val="24"/>
          <w:szCs w:val="24"/>
          <w:lang w:val="en-GB"/>
        </w:rPr>
        <w:t>号决定提交的国家报告作为其主要来源；</w:t>
      </w:r>
      <w:r w:rsidRPr="000C0842">
        <w:rPr>
          <w:rFonts w:eastAsia="SimSun"/>
          <w:sz w:val="24"/>
          <w:szCs w:val="24"/>
          <w:lang w:val="en-GB"/>
        </w:rPr>
        <w:t xml:space="preserve"> </w:t>
      </w:r>
    </w:p>
    <w:p w14:paraId="78D4A225"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 xml:space="preserve">(b) </w:t>
      </w:r>
      <w:r w:rsidRPr="000C0842">
        <w:rPr>
          <w:rFonts w:eastAsia="SimSun"/>
          <w:sz w:val="24"/>
          <w:szCs w:val="24"/>
          <w:lang w:val="en-GB"/>
        </w:rPr>
        <w:tab/>
      </w:r>
      <w:r w:rsidRPr="000C0842">
        <w:rPr>
          <w:rFonts w:eastAsia="SimSun"/>
          <w:sz w:val="24"/>
          <w:szCs w:val="24"/>
        </w:rPr>
        <w:t>分析标题指标、二元指标、组成指标和补充指标以及国家报告中国家指标的使用情况</w:t>
      </w:r>
      <w:r w:rsidRPr="000C0842">
        <w:rPr>
          <w:rFonts w:eastAsia="Times New Roman"/>
          <w:sz w:val="24"/>
          <w:szCs w:val="24"/>
          <w:vertAlign w:val="superscript"/>
          <w:lang w:val="en-GB"/>
        </w:rPr>
        <w:footnoteReference w:id="422"/>
      </w:r>
      <w:r w:rsidRPr="000C0842">
        <w:rPr>
          <w:rFonts w:eastAsia="SimSun" w:hint="eastAsia"/>
          <w:sz w:val="24"/>
          <w:szCs w:val="24"/>
        </w:rPr>
        <w:t>；</w:t>
      </w:r>
    </w:p>
    <w:p w14:paraId="105D6E0A"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 xml:space="preserve">(c) </w:t>
      </w:r>
      <w:r w:rsidRPr="000C0842">
        <w:rPr>
          <w:rFonts w:eastAsia="SimSun"/>
          <w:sz w:val="24"/>
          <w:szCs w:val="24"/>
          <w:lang w:val="en-GB"/>
        </w:rPr>
        <w:tab/>
      </w:r>
      <w:r w:rsidRPr="000C0842">
        <w:rPr>
          <w:rFonts w:eastAsia="SimSun"/>
          <w:sz w:val="24"/>
          <w:szCs w:val="24"/>
          <w:lang w:val="en-GB"/>
        </w:rPr>
        <w:t>根据第</w:t>
      </w:r>
      <w:r w:rsidRPr="000C0842">
        <w:rPr>
          <w:rFonts w:eastAsia="SimSun"/>
          <w:sz w:val="24"/>
          <w:szCs w:val="24"/>
          <w:lang w:val="en-GB"/>
        </w:rPr>
        <w:t xml:space="preserve"> </w:t>
      </w:r>
      <w:hyperlink r:id="rId307" w:history="1">
        <w:r w:rsidRPr="000C0842">
          <w:rPr>
            <w:rFonts w:eastAsia="SimSun"/>
            <w:sz w:val="24"/>
            <w:szCs w:val="24"/>
            <w:u w:val="single"/>
            <w:lang w:val="en-GB"/>
          </w:rPr>
          <w:t xml:space="preserve">15/6 </w:t>
        </w:r>
      </w:hyperlink>
      <w:r w:rsidRPr="000C0842">
        <w:rPr>
          <w:rFonts w:eastAsia="SimSun"/>
          <w:sz w:val="24"/>
          <w:szCs w:val="24"/>
          <w:lang w:val="en-GB"/>
        </w:rPr>
        <w:t>号决定第</w:t>
      </w:r>
      <w:r w:rsidRPr="000C0842">
        <w:rPr>
          <w:rFonts w:eastAsia="SimSun"/>
          <w:sz w:val="24"/>
          <w:szCs w:val="24"/>
          <w:lang w:val="en-GB"/>
        </w:rPr>
        <w:t xml:space="preserve"> 15 </w:t>
      </w:r>
      <w:r w:rsidRPr="000C0842">
        <w:rPr>
          <w:rFonts w:eastAsia="SimSun"/>
          <w:sz w:val="24"/>
          <w:szCs w:val="24"/>
          <w:lang w:val="en-GB"/>
        </w:rPr>
        <w:t>段</w:t>
      </w:r>
      <w:r w:rsidRPr="000C0842">
        <w:rPr>
          <w:rFonts w:eastAsia="SimSun" w:hint="eastAsia"/>
          <w:sz w:val="24"/>
          <w:szCs w:val="24"/>
          <w:lang w:val="en-GB"/>
        </w:rPr>
        <w:t>提供的</w:t>
      </w:r>
      <w:r w:rsidRPr="000C0842">
        <w:rPr>
          <w:rFonts w:eastAsia="SimSun"/>
          <w:sz w:val="24"/>
          <w:szCs w:val="24"/>
          <w:lang w:val="en-GB"/>
        </w:rPr>
        <w:t>对国家生物多样性战略和行动计划及国家目标中的信息进行</w:t>
      </w:r>
      <w:r w:rsidRPr="000C0842">
        <w:rPr>
          <w:rFonts w:eastAsia="SimSun" w:hint="eastAsia"/>
          <w:sz w:val="24"/>
          <w:szCs w:val="24"/>
          <w:lang w:val="en-GB"/>
        </w:rPr>
        <w:t>的</w:t>
      </w:r>
      <w:r w:rsidRPr="000C0842">
        <w:rPr>
          <w:rFonts w:eastAsia="SimSun"/>
          <w:sz w:val="24"/>
          <w:szCs w:val="24"/>
          <w:lang w:val="en-GB"/>
        </w:rPr>
        <w:t>全球分析；</w:t>
      </w:r>
    </w:p>
    <w:p w14:paraId="6B532E34"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 xml:space="preserve">(d) </w:t>
      </w:r>
      <w:r w:rsidRPr="000C0842">
        <w:rPr>
          <w:rFonts w:eastAsia="SimSun"/>
          <w:sz w:val="24"/>
          <w:szCs w:val="24"/>
          <w:lang w:val="en-GB"/>
        </w:rPr>
        <w:tab/>
      </w:r>
      <w:r w:rsidRPr="000C0842">
        <w:rPr>
          <w:rFonts w:eastAsia="SimSun" w:hint="eastAsia"/>
          <w:sz w:val="24"/>
          <w:szCs w:val="24"/>
          <w:lang w:val="en-GB"/>
        </w:rPr>
        <w:t>迄今已发表的五版</w:t>
      </w:r>
      <w:r w:rsidRPr="000C0842">
        <w:rPr>
          <w:rFonts w:eastAsia="SimSun"/>
          <w:sz w:val="24"/>
          <w:szCs w:val="24"/>
          <w:lang w:val="en-GB"/>
        </w:rPr>
        <w:t>《全球生物多样性展望》和</w:t>
      </w:r>
      <w:r w:rsidRPr="000C0842">
        <w:rPr>
          <w:rFonts w:eastAsia="SimSun" w:hint="eastAsia"/>
          <w:sz w:val="24"/>
          <w:szCs w:val="24"/>
          <w:lang w:val="en-GB"/>
        </w:rPr>
        <w:t>两</w:t>
      </w:r>
      <w:r w:rsidRPr="000C0842">
        <w:rPr>
          <w:rFonts w:eastAsia="SimSun"/>
          <w:sz w:val="24"/>
          <w:szCs w:val="24"/>
          <w:lang w:val="en-GB"/>
        </w:rPr>
        <w:t>版《地方生物多样性展望》；</w:t>
      </w:r>
    </w:p>
    <w:p w14:paraId="7120600C"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rPr>
      </w:pPr>
      <w:r w:rsidRPr="000C0842">
        <w:rPr>
          <w:rFonts w:eastAsia="SimSun"/>
          <w:sz w:val="24"/>
          <w:szCs w:val="24"/>
        </w:rPr>
        <w:t>(e)</w:t>
      </w:r>
      <w:r w:rsidRPr="000C0842">
        <w:rPr>
          <w:rFonts w:eastAsia="SimSun"/>
          <w:sz w:val="24"/>
          <w:szCs w:val="24"/>
        </w:rPr>
        <w:tab/>
      </w:r>
      <w:r w:rsidRPr="000C0842">
        <w:rPr>
          <w:rFonts w:eastAsia="SimSun"/>
          <w:sz w:val="24"/>
          <w:szCs w:val="24"/>
        </w:rPr>
        <w:t>生物多样性和生态系统服务政府间科学</w:t>
      </w:r>
      <w:r w:rsidRPr="000C0842">
        <w:rPr>
          <w:rFonts w:eastAsia="SimSun" w:hint="eastAsia"/>
          <w:sz w:val="24"/>
          <w:szCs w:val="24"/>
        </w:rPr>
        <w:t>与</w:t>
      </w:r>
      <w:r w:rsidRPr="000C0842">
        <w:rPr>
          <w:rFonts w:eastAsia="SimSun"/>
          <w:sz w:val="24"/>
          <w:szCs w:val="24"/>
        </w:rPr>
        <w:t>政策平台的评估、报告和交付</w:t>
      </w:r>
      <w:r w:rsidRPr="000C0842">
        <w:rPr>
          <w:rFonts w:eastAsia="SimSun" w:hint="eastAsia"/>
          <w:sz w:val="24"/>
          <w:szCs w:val="24"/>
        </w:rPr>
        <w:t>成果</w:t>
      </w:r>
      <w:r w:rsidRPr="000C0842">
        <w:rPr>
          <w:rFonts w:eastAsia="SimSun"/>
          <w:sz w:val="24"/>
          <w:szCs w:val="24"/>
        </w:rPr>
        <w:t>，以及其他相关政府间审查的科学评估和报告，包括政府间气候变化专门委员会和联合国其他科学政策平台的评估、报告和交付</w:t>
      </w:r>
      <w:r w:rsidRPr="000C0842">
        <w:rPr>
          <w:rFonts w:eastAsia="SimSun" w:hint="eastAsia"/>
          <w:sz w:val="24"/>
          <w:szCs w:val="24"/>
        </w:rPr>
        <w:t>成果</w:t>
      </w:r>
      <w:r w:rsidRPr="000C0842">
        <w:rPr>
          <w:rFonts w:eastAsia="SimSun"/>
          <w:sz w:val="24"/>
          <w:szCs w:val="24"/>
        </w:rPr>
        <w:t>；</w:t>
      </w:r>
    </w:p>
    <w:p w14:paraId="0211A094"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rPr>
        <w:t>(f)</w:t>
      </w:r>
      <w:r w:rsidRPr="000C0842">
        <w:rPr>
          <w:rFonts w:eastAsia="SimSun"/>
          <w:sz w:val="24"/>
          <w:szCs w:val="24"/>
        </w:rPr>
        <w:tab/>
      </w:r>
      <w:r w:rsidRPr="000C0842">
        <w:rPr>
          <w:rFonts w:eastAsia="SimSun"/>
          <w:sz w:val="24"/>
          <w:szCs w:val="24"/>
        </w:rPr>
        <w:t>相关的国家、区域和国际科学和技术评估，包括次区域和区域评估；</w:t>
      </w:r>
    </w:p>
    <w:p w14:paraId="7949F6C0"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g</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关于</w:t>
      </w:r>
      <w:r w:rsidRPr="000C0842">
        <w:rPr>
          <w:rFonts w:eastAsia="SimSun" w:hint="eastAsia"/>
          <w:sz w:val="24"/>
          <w:szCs w:val="24"/>
          <w:lang w:val="en-GB"/>
        </w:rPr>
        <w:t>执行</w:t>
      </w:r>
      <w:r w:rsidRPr="000C0842">
        <w:rPr>
          <w:rFonts w:eastAsia="SimSun"/>
          <w:sz w:val="24"/>
          <w:szCs w:val="24"/>
          <w:lang w:val="en-GB"/>
        </w:rPr>
        <w:t>手段的</w:t>
      </w:r>
      <w:r w:rsidRPr="000C0842">
        <w:rPr>
          <w:rFonts w:eastAsia="SimSun" w:hint="eastAsia"/>
          <w:sz w:val="24"/>
          <w:szCs w:val="24"/>
          <w:lang w:val="en-GB"/>
        </w:rPr>
        <w:t>各项</w:t>
      </w:r>
      <w:r w:rsidRPr="000C0842">
        <w:rPr>
          <w:rFonts w:eastAsia="SimSun"/>
          <w:sz w:val="24"/>
          <w:szCs w:val="24"/>
          <w:lang w:val="en-GB"/>
        </w:rPr>
        <w:t>报告，包括全球环境基金理事会关于全球环境基金信托基金和全球生物多样性框架基金进展情况的报告；</w:t>
      </w:r>
    </w:p>
    <w:p w14:paraId="258C0B4E"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h</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其他相关科学和技术同行评议文献</w:t>
      </w:r>
      <w:r w:rsidRPr="000C0842">
        <w:rPr>
          <w:rFonts w:eastAsia="SimSun" w:hint="eastAsia"/>
          <w:sz w:val="24"/>
          <w:szCs w:val="24"/>
          <w:lang w:val="en-GB"/>
        </w:rPr>
        <w:t>；</w:t>
      </w:r>
    </w:p>
    <w:p w14:paraId="089A7AF1"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 xml:space="preserve">(i) </w:t>
      </w:r>
      <w:r w:rsidRPr="000C0842">
        <w:rPr>
          <w:rFonts w:eastAsia="SimSun"/>
          <w:sz w:val="24"/>
          <w:szCs w:val="24"/>
          <w:lang w:val="en-GB"/>
        </w:rPr>
        <w:tab/>
      </w:r>
      <w:r w:rsidRPr="000C0842">
        <w:rPr>
          <w:rFonts w:eastAsia="SimSun"/>
          <w:sz w:val="24"/>
          <w:szCs w:val="24"/>
        </w:rPr>
        <w:t>第</w:t>
      </w:r>
      <w:r w:rsidRPr="000C0842">
        <w:rPr>
          <w:rFonts w:eastAsia="SimSun"/>
          <w:sz w:val="24"/>
          <w:szCs w:val="24"/>
        </w:rPr>
        <w:t>2</w:t>
      </w:r>
      <w:r w:rsidRPr="000C0842">
        <w:rPr>
          <w:rFonts w:eastAsia="SimSun" w:hint="eastAsia"/>
          <w:sz w:val="24"/>
          <w:szCs w:val="24"/>
        </w:rPr>
        <w:t>4</w:t>
      </w:r>
      <w:r w:rsidRPr="000C0842">
        <w:rPr>
          <w:rFonts w:eastAsia="SimSun"/>
          <w:lang w:val="en-GB"/>
        </w:rPr>
        <w:t>(e)</w:t>
      </w:r>
      <w:r w:rsidRPr="000C0842">
        <w:rPr>
          <w:rFonts w:eastAsia="SimSun"/>
          <w:sz w:val="24"/>
          <w:szCs w:val="24"/>
        </w:rPr>
        <w:t>段</w:t>
      </w:r>
      <w:r w:rsidRPr="000C0842">
        <w:rPr>
          <w:rFonts w:eastAsia="SimSun" w:hint="eastAsia"/>
          <w:sz w:val="24"/>
          <w:szCs w:val="24"/>
        </w:rPr>
        <w:t>所述</w:t>
      </w:r>
      <w:r w:rsidRPr="000C0842">
        <w:rPr>
          <w:rFonts w:eastAsia="SimSun"/>
          <w:sz w:val="24"/>
          <w:szCs w:val="24"/>
        </w:rPr>
        <w:t>区域和次区域对话的报告</w:t>
      </w:r>
      <w:r w:rsidRPr="000C0842">
        <w:rPr>
          <w:rFonts w:eastAsia="SimSun" w:hint="eastAsia"/>
          <w:sz w:val="24"/>
          <w:szCs w:val="24"/>
        </w:rPr>
        <w:t>；</w:t>
      </w:r>
    </w:p>
    <w:p w14:paraId="296B2D98"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j</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关于国家政府以外的行为体对《昆蒙框架》所作承诺的信息，包括关于土著人民和地方社区、妇女和青年所作贡献的分类信息；</w:t>
      </w:r>
      <w:r w:rsidRPr="000C0842">
        <w:rPr>
          <w:rFonts w:eastAsia="SimSun"/>
          <w:sz w:val="24"/>
          <w:szCs w:val="24"/>
          <w:lang w:val="en-GB"/>
        </w:rPr>
        <w:t xml:space="preserve"> </w:t>
      </w:r>
    </w:p>
    <w:p w14:paraId="0FC0E2FC"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k</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来自生物多样性相关公约和其他相关多边环境协定</w:t>
      </w:r>
      <w:r w:rsidRPr="000C0842">
        <w:rPr>
          <w:rFonts w:eastAsia="SimSun" w:hint="eastAsia"/>
          <w:sz w:val="24"/>
          <w:szCs w:val="24"/>
          <w:lang w:val="en-GB"/>
        </w:rPr>
        <w:t>的秘书处</w:t>
      </w:r>
      <w:r w:rsidRPr="000C0842">
        <w:rPr>
          <w:rFonts w:eastAsia="SimSun"/>
          <w:sz w:val="24"/>
          <w:szCs w:val="24"/>
          <w:lang w:val="en-GB"/>
        </w:rPr>
        <w:t>、国际组织和进程的相关信息，包括根据相关公约提交的报告以及关于可持续发展目标的报告；</w:t>
      </w:r>
    </w:p>
    <w:p w14:paraId="75D08AF3"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l</w:t>
      </w:r>
      <w:r w:rsidRPr="000C0842">
        <w:rPr>
          <w:rFonts w:eastAsia="SimSun"/>
          <w:sz w:val="24"/>
          <w:szCs w:val="24"/>
          <w:lang w:val="en-GB"/>
        </w:rPr>
        <w:t xml:space="preserve">) </w:t>
      </w:r>
      <w:r w:rsidRPr="000C0842">
        <w:rPr>
          <w:rFonts w:eastAsia="SimSun"/>
          <w:sz w:val="24"/>
          <w:szCs w:val="24"/>
          <w:lang w:val="en-GB"/>
        </w:rPr>
        <w:tab/>
      </w:r>
      <w:r w:rsidRPr="000C0842">
        <w:rPr>
          <w:rFonts w:eastAsia="SimSun" w:hint="eastAsia"/>
          <w:sz w:val="24"/>
          <w:szCs w:val="24"/>
          <w:lang w:val="en-GB"/>
        </w:rPr>
        <w:t>在</w:t>
      </w:r>
      <w:r w:rsidRPr="000C0842">
        <w:rPr>
          <w:rFonts w:eastAsia="SimSun"/>
          <w:sz w:val="24"/>
          <w:szCs w:val="24"/>
          <w:lang w:val="en-GB"/>
        </w:rPr>
        <w:t>土著人民和地方社区自由、事先和知情同意的情况下获得的相关传统知识、创新、</w:t>
      </w:r>
      <w:r w:rsidRPr="000C0842">
        <w:rPr>
          <w:rFonts w:eastAsia="SimSun"/>
          <w:sz w:val="24"/>
          <w:szCs w:val="24"/>
          <w:lang w:val="en-GB"/>
        </w:rPr>
        <w:t xml:space="preserve"> </w:t>
      </w:r>
      <w:r w:rsidRPr="000C0842">
        <w:rPr>
          <w:rFonts w:eastAsia="SimSun"/>
          <w:sz w:val="24"/>
          <w:szCs w:val="24"/>
          <w:lang w:val="en-GB"/>
        </w:rPr>
        <w:t>做法和技术；</w:t>
      </w:r>
    </w:p>
    <w:p w14:paraId="5C6F8F53" w14:textId="77777777" w:rsidR="000A776A" w:rsidRPr="000C0842" w:rsidRDefault="000A776A" w:rsidP="000A776A">
      <w:pPr>
        <w:tabs>
          <w:tab w:val="clear" w:pos="567"/>
          <w:tab w:val="clear" w:pos="1134"/>
          <w:tab w:val="clear" w:pos="1701"/>
          <w:tab w:val="clear" w:pos="2268"/>
        </w:tabs>
        <w:snapToGrid w:val="0"/>
        <w:spacing w:before="120" w:after="120"/>
        <w:ind w:firstLine="490"/>
        <w:rPr>
          <w:rFonts w:ascii="KaiTi" w:eastAsia="KaiTi" w:hAnsi="KaiTi"/>
          <w:sz w:val="24"/>
          <w:szCs w:val="24"/>
        </w:rPr>
      </w:pPr>
      <w:r w:rsidRPr="000C0842">
        <w:rPr>
          <w:rFonts w:ascii="KaiTi" w:eastAsia="KaiTi" w:hAnsi="KaiTi"/>
          <w:sz w:val="24"/>
          <w:szCs w:val="24"/>
        </w:rPr>
        <w:t>全球审查的治理</w:t>
      </w:r>
    </w:p>
    <w:p w14:paraId="3EDA5784"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rPr>
      </w:pPr>
      <w:r w:rsidRPr="000C0842">
        <w:rPr>
          <w:rFonts w:eastAsia="SimSun" w:hint="eastAsia"/>
          <w:sz w:val="24"/>
          <w:szCs w:val="24"/>
        </w:rPr>
        <w:t>19</w:t>
      </w:r>
      <w:r w:rsidRPr="000C0842">
        <w:rPr>
          <w:rFonts w:eastAsia="SimSun"/>
          <w:sz w:val="24"/>
          <w:szCs w:val="24"/>
        </w:rPr>
        <w:t>.</w:t>
      </w:r>
      <w:r w:rsidRPr="000C0842">
        <w:rPr>
          <w:rFonts w:eastAsia="SimSun"/>
          <w:sz w:val="24"/>
          <w:szCs w:val="24"/>
        </w:rPr>
        <w:tab/>
      </w:r>
      <w:r w:rsidRPr="000C0842">
        <w:rPr>
          <w:rFonts w:ascii="KaiTi" w:eastAsia="KaiTi" w:hAnsi="KaiTi"/>
          <w:sz w:val="24"/>
          <w:szCs w:val="24"/>
        </w:rPr>
        <w:t>决定</w:t>
      </w:r>
      <w:r w:rsidRPr="000C0842">
        <w:rPr>
          <w:rFonts w:eastAsia="SimSun"/>
          <w:sz w:val="24"/>
          <w:szCs w:val="24"/>
        </w:rPr>
        <w:t>全球</w:t>
      </w:r>
      <w:r w:rsidRPr="000C0842">
        <w:rPr>
          <w:rFonts w:eastAsia="SimSun" w:hint="eastAsia"/>
          <w:sz w:val="24"/>
          <w:szCs w:val="24"/>
        </w:rPr>
        <w:t>审查</w:t>
      </w:r>
      <w:r w:rsidRPr="000C0842">
        <w:rPr>
          <w:rFonts w:eastAsia="SimSun"/>
          <w:sz w:val="24"/>
          <w:szCs w:val="24"/>
        </w:rPr>
        <w:t>，特别是</w:t>
      </w:r>
      <w:r w:rsidRPr="000C0842">
        <w:rPr>
          <w:rFonts w:eastAsia="SimSun" w:hint="eastAsia"/>
          <w:sz w:val="24"/>
          <w:szCs w:val="24"/>
        </w:rPr>
        <w:t>有关</w:t>
      </w:r>
      <w:r w:rsidRPr="000C0842">
        <w:rPr>
          <w:rFonts w:eastAsia="SimSun"/>
          <w:sz w:val="24"/>
          <w:szCs w:val="24"/>
        </w:rPr>
        <w:t>上文第</w:t>
      </w:r>
      <w:r w:rsidRPr="000C0842">
        <w:rPr>
          <w:rFonts w:eastAsia="SimSun" w:hint="eastAsia"/>
          <w:sz w:val="24"/>
          <w:szCs w:val="24"/>
        </w:rPr>
        <w:t>6</w:t>
      </w:r>
      <w:r w:rsidRPr="000C0842">
        <w:rPr>
          <w:rFonts w:eastAsia="SimSun"/>
          <w:sz w:val="24"/>
          <w:szCs w:val="24"/>
        </w:rPr>
        <w:t>至</w:t>
      </w:r>
      <w:r w:rsidRPr="000C0842">
        <w:rPr>
          <w:rFonts w:eastAsia="SimSun"/>
          <w:sz w:val="24"/>
          <w:szCs w:val="24"/>
        </w:rPr>
        <w:t>12</w:t>
      </w:r>
      <w:r w:rsidRPr="000C0842">
        <w:rPr>
          <w:rFonts w:eastAsia="SimSun"/>
          <w:sz w:val="24"/>
          <w:szCs w:val="24"/>
        </w:rPr>
        <w:t>段的</w:t>
      </w:r>
      <w:r w:rsidRPr="000C0842">
        <w:rPr>
          <w:rFonts w:eastAsia="SimSun" w:hint="eastAsia"/>
          <w:sz w:val="24"/>
          <w:szCs w:val="24"/>
        </w:rPr>
        <w:t>审查</w:t>
      </w:r>
      <w:r w:rsidRPr="000C0842">
        <w:rPr>
          <w:rFonts w:eastAsia="SimSun"/>
          <w:sz w:val="24"/>
          <w:szCs w:val="24"/>
        </w:rPr>
        <w:t>，将是</w:t>
      </w:r>
      <w:r w:rsidRPr="000C0842">
        <w:rPr>
          <w:rFonts w:eastAsia="SimSun" w:hint="eastAsia"/>
          <w:sz w:val="24"/>
          <w:szCs w:val="24"/>
        </w:rPr>
        <w:t>执行问题</w:t>
      </w:r>
      <w:r w:rsidRPr="000C0842">
        <w:rPr>
          <w:rFonts w:eastAsia="SimSun"/>
          <w:sz w:val="24"/>
          <w:szCs w:val="24"/>
        </w:rPr>
        <w:t>附属机构</w:t>
      </w:r>
      <w:r w:rsidRPr="000C0842">
        <w:rPr>
          <w:rFonts w:eastAsia="SimSun" w:hint="eastAsia"/>
          <w:sz w:val="24"/>
          <w:szCs w:val="24"/>
        </w:rPr>
        <w:t>指导</w:t>
      </w:r>
      <w:r w:rsidRPr="000C0842">
        <w:rPr>
          <w:rFonts w:eastAsia="SimSun"/>
          <w:sz w:val="24"/>
          <w:szCs w:val="24"/>
        </w:rPr>
        <w:t>的缔约方</w:t>
      </w:r>
      <w:r w:rsidRPr="000C0842">
        <w:rPr>
          <w:rFonts w:eastAsia="SimSun" w:hint="eastAsia"/>
          <w:sz w:val="24"/>
          <w:szCs w:val="24"/>
        </w:rPr>
        <w:t>领导的</w:t>
      </w:r>
      <w:r w:rsidRPr="000C0842">
        <w:rPr>
          <w:rFonts w:eastAsia="SimSun"/>
          <w:sz w:val="24"/>
          <w:szCs w:val="24"/>
        </w:rPr>
        <w:t>进程，由主席团提供支持，根据需要参考缔约方提交的材料和同行</w:t>
      </w:r>
      <w:r w:rsidRPr="000C0842">
        <w:rPr>
          <w:rFonts w:eastAsia="SimSun" w:hint="eastAsia"/>
          <w:sz w:val="24"/>
          <w:szCs w:val="24"/>
        </w:rPr>
        <w:t>评议</w:t>
      </w:r>
      <w:r w:rsidRPr="000C0842">
        <w:rPr>
          <w:rFonts w:eastAsia="SimSun"/>
          <w:sz w:val="24"/>
          <w:szCs w:val="24"/>
        </w:rPr>
        <w:t>，然后由缔约方</w:t>
      </w:r>
      <w:r w:rsidRPr="000C0842">
        <w:rPr>
          <w:rFonts w:eastAsia="SimSun" w:hint="eastAsia"/>
          <w:sz w:val="24"/>
          <w:szCs w:val="24"/>
        </w:rPr>
        <w:t>大会</w:t>
      </w:r>
      <w:r w:rsidRPr="000C0842">
        <w:rPr>
          <w:rFonts w:eastAsia="SimSun"/>
          <w:sz w:val="24"/>
          <w:szCs w:val="24"/>
        </w:rPr>
        <w:t>审议；</w:t>
      </w:r>
      <w:r w:rsidRPr="000C0842">
        <w:rPr>
          <w:rFonts w:eastAsia="SimSun"/>
          <w:sz w:val="24"/>
          <w:szCs w:val="24"/>
        </w:rPr>
        <w:t xml:space="preserve"> </w:t>
      </w:r>
    </w:p>
    <w:p w14:paraId="595C402A"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rPr>
      </w:pPr>
      <w:r w:rsidRPr="000C0842">
        <w:rPr>
          <w:rFonts w:eastAsia="SimSun"/>
          <w:sz w:val="24"/>
          <w:szCs w:val="24"/>
        </w:rPr>
        <w:t>2</w:t>
      </w:r>
      <w:r w:rsidRPr="000C0842">
        <w:rPr>
          <w:rFonts w:eastAsia="SimSun" w:hint="eastAsia"/>
          <w:sz w:val="24"/>
          <w:szCs w:val="24"/>
        </w:rPr>
        <w:t>0</w:t>
      </w:r>
      <w:r w:rsidRPr="000C0842">
        <w:rPr>
          <w:rFonts w:eastAsia="SimSun"/>
          <w:sz w:val="24"/>
          <w:szCs w:val="24"/>
        </w:rPr>
        <w:t>.</w:t>
      </w:r>
      <w:r w:rsidRPr="000C0842">
        <w:rPr>
          <w:rFonts w:eastAsia="SimSun"/>
          <w:sz w:val="24"/>
          <w:szCs w:val="24"/>
        </w:rPr>
        <w:tab/>
      </w:r>
      <w:r w:rsidRPr="000C0842">
        <w:rPr>
          <w:rFonts w:eastAsia="SimSun" w:hint="eastAsia"/>
          <w:sz w:val="24"/>
          <w:szCs w:val="24"/>
        </w:rPr>
        <w:t xml:space="preserve"> </w:t>
      </w:r>
      <w:r w:rsidRPr="000C0842">
        <w:rPr>
          <w:rFonts w:ascii="KaiTi" w:eastAsia="KaiTi" w:hAnsi="KaiTi" w:hint="eastAsia"/>
          <w:sz w:val="24"/>
          <w:szCs w:val="24"/>
        </w:rPr>
        <w:t>表示</w:t>
      </w:r>
      <w:r w:rsidRPr="000C0842">
        <w:rPr>
          <w:rFonts w:ascii="KaiTi" w:eastAsia="KaiTi" w:hAnsi="KaiTi"/>
          <w:sz w:val="24"/>
          <w:szCs w:val="24"/>
        </w:rPr>
        <w:t>注意到</w:t>
      </w:r>
      <w:r w:rsidRPr="000C0842">
        <w:rPr>
          <w:rFonts w:eastAsia="SimSun" w:hint="eastAsia"/>
          <w:sz w:val="24"/>
          <w:szCs w:val="24"/>
        </w:rPr>
        <w:t>本决定</w:t>
      </w:r>
      <w:r w:rsidRPr="000C0842">
        <w:rPr>
          <w:rFonts w:eastAsia="SimSun"/>
          <w:sz w:val="24"/>
          <w:szCs w:val="24"/>
        </w:rPr>
        <w:t>附件四所载全球审</w:t>
      </w:r>
      <w:r w:rsidRPr="000C0842">
        <w:rPr>
          <w:rFonts w:eastAsia="SimSun" w:hint="eastAsia"/>
          <w:sz w:val="24"/>
          <w:szCs w:val="24"/>
        </w:rPr>
        <w:t>查</w:t>
      </w:r>
      <w:r w:rsidRPr="000C0842">
        <w:rPr>
          <w:rFonts w:eastAsia="SimSun"/>
          <w:sz w:val="24"/>
          <w:szCs w:val="24"/>
        </w:rPr>
        <w:t>的指示性时间表，包括编写全球报告的时间表；</w:t>
      </w:r>
      <w:r w:rsidRPr="000C0842">
        <w:rPr>
          <w:rFonts w:eastAsia="SimSun"/>
          <w:sz w:val="24"/>
          <w:szCs w:val="24"/>
        </w:rPr>
        <w:t xml:space="preserve"> </w:t>
      </w:r>
    </w:p>
    <w:p w14:paraId="43166399" w14:textId="77777777" w:rsidR="000A776A" w:rsidRPr="000C0842" w:rsidRDefault="000A776A" w:rsidP="000A776A">
      <w:pPr>
        <w:tabs>
          <w:tab w:val="clear" w:pos="567"/>
          <w:tab w:val="clear" w:pos="1134"/>
          <w:tab w:val="clear" w:pos="1701"/>
          <w:tab w:val="clear" w:pos="2268"/>
        </w:tabs>
        <w:snapToGrid w:val="0"/>
        <w:spacing w:before="120" w:after="120"/>
        <w:ind w:firstLine="490"/>
        <w:rPr>
          <w:rFonts w:ascii="KaiTi" w:eastAsia="KaiTi" w:hAnsi="KaiTi"/>
          <w:sz w:val="24"/>
          <w:szCs w:val="24"/>
        </w:rPr>
      </w:pPr>
      <w:r w:rsidRPr="000C0842">
        <w:rPr>
          <w:rFonts w:ascii="KaiTi" w:eastAsia="KaiTi" w:hAnsi="KaiTi"/>
          <w:sz w:val="24"/>
          <w:szCs w:val="24"/>
        </w:rPr>
        <w:t>全球报告的治理</w:t>
      </w:r>
    </w:p>
    <w:p w14:paraId="4CF7C457"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1</w:t>
      </w:r>
      <w:r w:rsidRPr="000C0842">
        <w:rPr>
          <w:rFonts w:eastAsia="SimSun"/>
          <w:sz w:val="24"/>
          <w:szCs w:val="24"/>
          <w:lang w:val="en-GB"/>
        </w:rPr>
        <w:t>.</w:t>
      </w:r>
      <w:r w:rsidRPr="000C0842">
        <w:rPr>
          <w:rFonts w:eastAsia="SimSun"/>
          <w:sz w:val="24"/>
          <w:szCs w:val="24"/>
          <w:lang w:val="en-GB"/>
        </w:rPr>
        <w:tab/>
      </w:r>
      <w:r w:rsidRPr="000C0842">
        <w:rPr>
          <w:rFonts w:eastAsia="KaiTi"/>
          <w:sz w:val="24"/>
          <w:szCs w:val="24"/>
          <w:lang w:val="en-GB"/>
        </w:rPr>
        <w:t>决定</w:t>
      </w:r>
      <w:r w:rsidRPr="000C0842">
        <w:rPr>
          <w:rFonts w:eastAsia="SimSun"/>
          <w:sz w:val="24"/>
          <w:szCs w:val="24"/>
          <w:lang w:val="en-GB"/>
        </w:rPr>
        <w:t>设立一个特设科学和技术咨询小组，负责编写《</w:t>
      </w:r>
      <w:r w:rsidRPr="000C0842">
        <w:rPr>
          <w:rFonts w:eastAsia="SimSun" w:hint="eastAsia"/>
          <w:sz w:val="24"/>
          <w:szCs w:val="24"/>
          <w:lang w:val="en-GB"/>
        </w:rPr>
        <w:t>昆明</w:t>
      </w:r>
      <w:r w:rsidRPr="000C0842">
        <w:rPr>
          <w:rFonts w:eastAsia="SimSun" w:hint="eastAsia"/>
          <w:sz w:val="24"/>
          <w:szCs w:val="24"/>
          <w:lang w:val="en-GB"/>
        </w:rPr>
        <w:t>-</w:t>
      </w:r>
      <w:r w:rsidRPr="000C0842">
        <w:rPr>
          <w:rFonts w:eastAsia="SimSun" w:hint="eastAsia"/>
          <w:sz w:val="24"/>
          <w:szCs w:val="24"/>
          <w:lang w:val="en-GB"/>
        </w:rPr>
        <w:t>蒙特利尔全球生物多样性</w:t>
      </w:r>
      <w:r w:rsidRPr="000C0842">
        <w:rPr>
          <w:rFonts w:eastAsia="SimSun"/>
          <w:sz w:val="24"/>
          <w:szCs w:val="24"/>
          <w:lang w:val="en-GB"/>
        </w:rPr>
        <w:t>框架》集体执行进度全球报告，</w:t>
      </w:r>
      <w:r w:rsidRPr="000C0842">
        <w:rPr>
          <w:rFonts w:eastAsia="SimSun" w:hint="eastAsia"/>
          <w:sz w:val="24"/>
          <w:szCs w:val="24"/>
          <w:lang w:val="en-GB"/>
        </w:rPr>
        <w:t>其</w:t>
      </w:r>
      <w:r w:rsidRPr="000C0842">
        <w:rPr>
          <w:rFonts w:eastAsia="SimSun"/>
          <w:sz w:val="24"/>
          <w:szCs w:val="24"/>
          <w:lang w:val="en-GB"/>
        </w:rPr>
        <w:t>任务时限至缔约方大会第十七届会议，其职权范围载于本决定附件</w:t>
      </w:r>
      <w:r w:rsidRPr="000C0842">
        <w:rPr>
          <w:rFonts w:eastAsia="SimSun" w:hint="eastAsia"/>
          <w:sz w:val="24"/>
          <w:szCs w:val="24"/>
          <w:lang w:val="en-GB"/>
        </w:rPr>
        <w:t>三</w:t>
      </w:r>
      <w:r w:rsidRPr="000C0842">
        <w:rPr>
          <w:rFonts w:eastAsia="SimSun"/>
          <w:sz w:val="24"/>
          <w:szCs w:val="24"/>
          <w:lang w:val="en-GB"/>
        </w:rPr>
        <w:t>，该小组将提供科学、技术和工艺建议，包括关于传统知识的建议，以便在</w:t>
      </w:r>
      <w:r w:rsidRPr="000C0842">
        <w:rPr>
          <w:rFonts w:eastAsia="SimSun" w:hint="eastAsia"/>
          <w:sz w:val="24"/>
          <w:szCs w:val="24"/>
          <w:lang w:val="en-GB"/>
        </w:rPr>
        <w:t>第</w:t>
      </w:r>
      <w:r w:rsidRPr="000C0842">
        <w:rPr>
          <w:rFonts w:eastAsia="SimSun" w:hint="eastAsia"/>
          <w:sz w:val="24"/>
          <w:szCs w:val="24"/>
          <w:lang w:val="en-GB"/>
        </w:rPr>
        <w:t>18</w:t>
      </w:r>
      <w:r w:rsidRPr="000C0842">
        <w:rPr>
          <w:rFonts w:eastAsia="SimSun"/>
          <w:sz w:val="24"/>
          <w:szCs w:val="24"/>
          <w:lang w:val="en-GB"/>
        </w:rPr>
        <w:t>段所述来源的基础上编写全球报告。</w:t>
      </w:r>
    </w:p>
    <w:p w14:paraId="58341CB0"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2</w:t>
      </w:r>
      <w:r w:rsidRPr="000C0842">
        <w:rPr>
          <w:rFonts w:eastAsia="SimSun"/>
          <w:sz w:val="24"/>
          <w:szCs w:val="24"/>
          <w:lang w:val="en-GB"/>
        </w:rPr>
        <w:t>.</w:t>
      </w:r>
      <w:r w:rsidRPr="000C0842">
        <w:rPr>
          <w:rFonts w:eastAsia="SimSun"/>
          <w:sz w:val="24"/>
          <w:szCs w:val="24"/>
          <w:lang w:val="en-GB"/>
        </w:rPr>
        <w:tab/>
      </w:r>
      <w:r w:rsidRPr="000C0842">
        <w:rPr>
          <w:rFonts w:eastAsia="KaiTi" w:hint="eastAsia"/>
          <w:spacing w:val="-2"/>
          <w:sz w:val="24"/>
          <w:szCs w:val="24"/>
          <w:lang w:val="en-GB"/>
        </w:rPr>
        <w:t>又</w:t>
      </w:r>
      <w:r w:rsidRPr="000C0842">
        <w:rPr>
          <w:rFonts w:eastAsia="KaiTi"/>
          <w:spacing w:val="-2"/>
          <w:sz w:val="24"/>
          <w:szCs w:val="24"/>
          <w:lang w:val="en-GB"/>
        </w:rPr>
        <w:t>决定</w:t>
      </w:r>
      <w:r w:rsidRPr="000C0842">
        <w:rPr>
          <w:rFonts w:eastAsia="SimSun"/>
          <w:spacing w:val="-2"/>
          <w:sz w:val="24"/>
          <w:szCs w:val="24"/>
          <w:lang w:val="en-GB"/>
        </w:rPr>
        <w:t>负责编写《昆明</w:t>
      </w:r>
      <w:r w:rsidRPr="000C0842">
        <w:rPr>
          <w:rFonts w:eastAsia="SimSun"/>
          <w:spacing w:val="-2"/>
          <w:sz w:val="24"/>
          <w:szCs w:val="24"/>
          <w:lang w:val="en-GB"/>
        </w:rPr>
        <w:t>-</w:t>
      </w:r>
      <w:r w:rsidRPr="000C0842">
        <w:rPr>
          <w:rFonts w:eastAsia="SimSun"/>
          <w:spacing w:val="-2"/>
          <w:sz w:val="24"/>
          <w:szCs w:val="24"/>
          <w:lang w:val="en-GB"/>
        </w:rPr>
        <w:t>蒙特利尔全球生物多样性框架》集体执行进度全球</w:t>
      </w:r>
      <w:r w:rsidRPr="000C0842">
        <w:rPr>
          <w:rFonts w:eastAsia="SimSun" w:hint="eastAsia"/>
          <w:spacing w:val="-2"/>
          <w:sz w:val="24"/>
          <w:szCs w:val="24"/>
          <w:lang w:val="en-GB"/>
        </w:rPr>
        <w:t>报告</w:t>
      </w:r>
      <w:r w:rsidRPr="000C0842">
        <w:rPr>
          <w:rFonts w:eastAsia="SimSun"/>
          <w:spacing w:val="-2"/>
          <w:sz w:val="24"/>
          <w:szCs w:val="24"/>
          <w:lang w:val="en-GB"/>
        </w:rPr>
        <w:t>的特设科学和技术咨询小组</w:t>
      </w:r>
      <w:r w:rsidRPr="000C0842">
        <w:rPr>
          <w:rFonts w:eastAsia="SimSun" w:hint="eastAsia"/>
          <w:spacing w:val="-2"/>
          <w:sz w:val="24"/>
          <w:szCs w:val="24"/>
          <w:lang w:val="en-GB"/>
        </w:rPr>
        <w:t>，</w:t>
      </w:r>
      <w:r w:rsidRPr="000C0842">
        <w:rPr>
          <w:rFonts w:eastAsia="SimSun"/>
          <w:spacing w:val="-2"/>
          <w:sz w:val="24"/>
          <w:szCs w:val="24"/>
          <w:lang w:val="en-GB"/>
        </w:rPr>
        <w:t>将向科学、技术和工艺咨询附属机构报告并支持其工作，向执行问题附属机构提供科学、技术和工艺咨询意见，以指导全球审查</w:t>
      </w:r>
      <w:r w:rsidRPr="000C0842">
        <w:rPr>
          <w:rFonts w:eastAsia="SimSun" w:hint="eastAsia"/>
          <w:spacing w:val="-2"/>
          <w:sz w:val="24"/>
          <w:szCs w:val="24"/>
          <w:lang w:val="en-GB"/>
        </w:rPr>
        <w:t>工作</w:t>
      </w:r>
      <w:r w:rsidRPr="000C0842">
        <w:rPr>
          <w:rFonts w:eastAsia="SimSun"/>
          <w:sz w:val="24"/>
          <w:szCs w:val="24"/>
          <w:lang w:val="en-GB"/>
        </w:rPr>
        <w:t>；</w:t>
      </w:r>
      <w:r w:rsidRPr="000C0842">
        <w:rPr>
          <w:rFonts w:eastAsia="SimSun"/>
          <w:sz w:val="24"/>
          <w:szCs w:val="24"/>
          <w:lang w:val="en-GB"/>
        </w:rPr>
        <w:t xml:space="preserve"> </w:t>
      </w:r>
    </w:p>
    <w:p w14:paraId="623D7908"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3</w:t>
      </w:r>
      <w:r w:rsidRPr="000C0842">
        <w:rPr>
          <w:rFonts w:eastAsia="SimSun"/>
          <w:sz w:val="24"/>
          <w:szCs w:val="24"/>
          <w:lang w:val="en-GB"/>
        </w:rPr>
        <w:t>.</w:t>
      </w:r>
      <w:r w:rsidRPr="000C0842">
        <w:rPr>
          <w:rFonts w:eastAsia="SimSun"/>
          <w:sz w:val="24"/>
          <w:szCs w:val="24"/>
          <w:lang w:val="en-GB"/>
        </w:rPr>
        <w:tab/>
      </w:r>
      <w:r w:rsidRPr="000C0842">
        <w:rPr>
          <w:rFonts w:eastAsia="KaiTi" w:hint="eastAsia"/>
          <w:sz w:val="24"/>
          <w:szCs w:val="24"/>
          <w:lang w:val="en-GB"/>
        </w:rPr>
        <w:t>还</w:t>
      </w:r>
      <w:r w:rsidRPr="000C0842">
        <w:rPr>
          <w:rFonts w:eastAsia="KaiTi"/>
          <w:sz w:val="24"/>
          <w:szCs w:val="24"/>
          <w:lang w:val="en-GB"/>
        </w:rPr>
        <w:t>决定</w:t>
      </w:r>
      <w:r w:rsidRPr="000C0842">
        <w:rPr>
          <w:rFonts w:eastAsia="SimSun" w:hint="eastAsia"/>
          <w:sz w:val="24"/>
          <w:szCs w:val="24"/>
          <w:lang w:val="en-GB"/>
        </w:rPr>
        <w:t>在把</w:t>
      </w:r>
      <w:r w:rsidRPr="000C0842">
        <w:rPr>
          <w:rFonts w:eastAsia="SimSun"/>
          <w:sz w:val="24"/>
          <w:szCs w:val="24"/>
          <w:lang w:val="en-GB"/>
        </w:rPr>
        <w:t>全球报告提交缔约方大会之前，将</w:t>
      </w:r>
      <w:r w:rsidRPr="000C0842">
        <w:rPr>
          <w:rFonts w:eastAsia="SimSun" w:hint="eastAsia"/>
          <w:sz w:val="24"/>
          <w:szCs w:val="24"/>
          <w:lang w:val="en-GB"/>
        </w:rPr>
        <w:t>其</w:t>
      </w:r>
      <w:r w:rsidRPr="000C0842">
        <w:rPr>
          <w:rFonts w:eastAsia="SimSun"/>
          <w:sz w:val="24"/>
          <w:szCs w:val="24"/>
          <w:lang w:val="en-GB"/>
        </w:rPr>
        <w:t>提供给科学、技术和工艺咨询附属机构和执行问题附属机构进行同行评议和审查；</w:t>
      </w:r>
    </w:p>
    <w:p w14:paraId="6B5913BA" w14:textId="77777777" w:rsidR="000A776A" w:rsidRPr="000C0842" w:rsidRDefault="000A776A" w:rsidP="000A776A">
      <w:pPr>
        <w:tabs>
          <w:tab w:val="clear" w:pos="567"/>
          <w:tab w:val="clear" w:pos="1134"/>
          <w:tab w:val="clear" w:pos="1701"/>
          <w:tab w:val="clear" w:pos="2268"/>
        </w:tabs>
        <w:snapToGrid w:val="0"/>
        <w:spacing w:before="120" w:after="120"/>
        <w:ind w:firstLine="490"/>
        <w:rPr>
          <w:rFonts w:ascii="KaiTi" w:eastAsia="KaiTi" w:hAnsi="KaiTi"/>
          <w:sz w:val="24"/>
          <w:szCs w:val="24"/>
          <w:lang w:val="en-GB"/>
        </w:rPr>
      </w:pPr>
      <w:r w:rsidRPr="000C0842">
        <w:rPr>
          <w:rFonts w:ascii="KaiTi" w:eastAsia="KaiTi" w:hAnsi="KaiTi" w:hint="eastAsia"/>
          <w:sz w:val="24"/>
          <w:szCs w:val="24"/>
          <w:lang w:val="en-GB"/>
        </w:rPr>
        <w:t>对</w:t>
      </w:r>
      <w:r w:rsidRPr="000C0842">
        <w:rPr>
          <w:rFonts w:ascii="KaiTi" w:eastAsia="KaiTi" w:hAnsi="KaiTi"/>
          <w:sz w:val="24"/>
          <w:szCs w:val="24"/>
          <w:lang w:val="en-GB"/>
        </w:rPr>
        <w:t>执行秘书</w:t>
      </w:r>
      <w:r w:rsidRPr="000C0842">
        <w:rPr>
          <w:rFonts w:ascii="KaiTi" w:eastAsia="KaiTi" w:hAnsi="KaiTi" w:hint="eastAsia"/>
          <w:sz w:val="24"/>
          <w:szCs w:val="24"/>
          <w:lang w:val="en-GB"/>
        </w:rPr>
        <w:t>的要求</w:t>
      </w:r>
    </w:p>
    <w:p w14:paraId="5356AF05"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ascii="KaiTi" w:eastAsia="KaiTi" w:hAnsi="KaiTi"/>
          <w:sz w:val="24"/>
          <w:szCs w:val="24"/>
          <w:lang w:val="en-GB"/>
        </w:rPr>
      </w:pPr>
      <w:r w:rsidRPr="000C0842">
        <w:rPr>
          <w:rFonts w:eastAsia="SimSun"/>
          <w:sz w:val="24"/>
          <w:szCs w:val="24"/>
          <w:lang w:val="en-GB"/>
        </w:rPr>
        <w:t>2</w:t>
      </w:r>
      <w:r w:rsidRPr="000C0842">
        <w:rPr>
          <w:rFonts w:eastAsia="SimSun" w:hint="eastAsia"/>
          <w:sz w:val="24"/>
          <w:szCs w:val="24"/>
          <w:lang w:val="en-GB"/>
        </w:rPr>
        <w:t>4</w:t>
      </w:r>
      <w:r w:rsidRPr="000C0842">
        <w:rPr>
          <w:rFonts w:eastAsia="SimSun"/>
          <w:sz w:val="24"/>
          <w:szCs w:val="24"/>
          <w:lang w:val="en-GB"/>
        </w:rPr>
        <w:t>.</w:t>
      </w:r>
      <w:r w:rsidRPr="000C0842">
        <w:rPr>
          <w:rFonts w:eastAsia="SimSun"/>
          <w:sz w:val="24"/>
          <w:szCs w:val="24"/>
          <w:lang w:val="en-GB"/>
        </w:rPr>
        <w:tab/>
      </w:r>
      <w:r w:rsidRPr="000C0842">
        <w:rPr>
          <w:rFonts w:ascii="KaiTi" w:eastAsia="KaiTi" w:hAnsi="KaiTi"/>
          <w:sz w:val="24"/>
          <w:szCs w:val="24"/>
        </w:rPr>
        <w:t>请</w:t>
      </w:r>
      <w:r w:rsidRPr="000C0842">
        <w:rPr>
          <w:rFonts w:eastAsia="SimSun"/>
          <w:sz w:val="24"/>
          <w:szCs w:val="24"/>
        </w:rPr>
        <w:t>执行秘书在资源允许的情况下</w:t>
      </w:r>
      <w:r w:rsidRPr="000C0842">
        <w:rPr>
          <w:rFonts w:eastAsia="SimSun" w:hint="eastAsia"/>
          <w:sz w:val="24"/>
          <w:szCs w:val="24"/>
        </w:rPr>
        <w:t>：</w:t>
      </w:r>
    </w:p>
    <w:p w14:paraId="3F8534BF"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(a) </w:t>
      </w:r>
      <w:r w:rsidRPr="000C0842">
        <w:rPr>
          <w:rFonts w:eastAsia="SimSun"/>
          <w:sz w:val="24"/>
          <w:szCs w:val="24"/>
          <w:lang w:val="en-GB"/>
        </w:rPr>
        <w:tab/>
      </w:r>
      <w:r w:rsidRPr="000C0842">
        <w:rPr>
          <w:rFonts w:eastAsia="SimSun"/>
          <w:sz w:val="24"/>
          <w:szCs w:val="24"/>
          <w:lang w:val="en-GB"/>
        </w:rPr>
        <w:t>继续支持实施第</w:t>
      </w:r>
      <w:hyperlink r:id="rId308" w:history="1">
        <w:r w:rsidRPr="000C0842">
          <w:rPr>
            <w:rFonts w:eastAsia="SimSun"/>
            <w:sz w:val="24"/>
            <w:szCs w:val="24"/>
            <w:u w:val="single"/>
            <w:lang w:val="en-GB"/>
          </w:rPr>
          <w:t>15/6</w:t>
        </w:r>
      </w:hyperlink>
      <w:r w:rsidRPr="000C0842">
        <w:rPr>
          <w:rFonts w:eastAsia="SimSun"/>
          <w:sz w:val="24"/>
          <w:szCs w:val="24"/>
          <w:lang w:val="en-GB"/>
        </w:rPr>
        <w:t>号决定通过的</w:t>
      </w:r>
      <w:r w:rsidRPr="000C0842">
        <w:rPr>
          <w:rFonts w:eastAsia="SimSun" w:hint="eastAsia"/>
          <w:sz w:val="24"/>
          <w:szCs w:val="24"/>
          <w:lang w:val="en-GB"/>
        </w:rPr>
        <w:t>关于</w:t>
      </w:r>
      <w:r w:rsidRPr="000C0842">
        <w:rPr>
          <w:rFonts w:eastAsia="SimSun"/>
          <w:sz w:val="24"/>
          <w:szCs w:val="24"/>
          <w:lang w:val="en-GB"/>
        </w:rPr>
        <w:t>国家生物多样性战略和行动计划以及第七次和第八次国家报告</w:t>
      </w:r>
      <w:r w:rsidRPr="000C0842">
        <w:rPr>
          <w:rFonts w:eastAsia="SimSun" w:hint="eastAsia"/>
          <w:sz w:val="24"/>
          <w:szCs w:val="24"/>
          <w:lang w:val="en-GB"/>
        </w:rPr>
        <w:t>的</w:t>
      </w:r>
      <w:r w:rsidRPr="000C0842">
        <w:rPr>
          <w:rFonts w:eastAsia="SimSun"/>
          <w:sz w:val="24"/>
          <w:szCs w:val="24"/>
          <w:lang w:val="en-GB"/>
        </w:rPr>
        <w:t>指南，同时考虑到本决定附件一所载报告模板；</w:t>
      </w:r>
      <w:r w:rsidRPr="000C0842">
        <w:rPr>
          <w:rFonts w:eastAsia="SimSun"/>
          <w:sz w:val="24"/>
          <w:szCs w:val="24"/>
          <w:lang w:val="en-GB"/>
        </w:rPr>
        <w:t xml:space="preserve"> </w:t>
      </w:r>
    </w:p>
    <w:p w14:paraId="74456CB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(b) </w:t>
      </w:r>
      <w:r w:rsidRPr="000C0842">
        <w:rPr>
          <w:rFonts w:eastAsia="SimSun"/>
          <w:sz w:val="24"/>
          <w:szCs w:val="24"/>
          <w:lang w:val="en-GB"/>
        </w:rPr>
        <w:tab/>
      </w:r>
      <w:r w:rsidRPr="000C0842">
        <w:rPr>
          <w:rFonts w:eastAsia="SimSun"/>
          <w:sz w:val="24"/>
          <w:szCs w:val="24"/>
          <w:lang w:val="en-GB"/>
        </w:rPr>
        <w:t>继续</w:t>
      </w:r>
      <w:r w:rsidRPr="000C0842">
        <w:rPr>
          <w:rFonts w:eastAsia="SimSun" w:hint="eastAsia"/>
          <w:sz w:val="24"/>
          <w:szCs w:val="24"/>
          <w:lang w:val="en-GB"/>
        </w:rPr>
        <w:t>协助</w:t>
      </w:r>
      <w:r w:rsidRPr="000C0842">
        <w:rPr>
          <w:rFonts w:eastAsia="SimSun"/>
          <w:sz w:val="24"/>
          <w:szCs w:val="24"/>
          <w:lang w:val="en-GB"/>
        </w:rPr>
        <w:t>自愿使用数据报告模块工具，</w:t>
      </w:r>
      <w:r w:rsidRPr="000C0842">
        <w:rPr>
          <w:rFonts w:eastAsia="SimSun" w:hint="eastAsia"/>
          <w:sz w:val="24"/>
          <w:szCs w:val="24"/>
          <w:lang w:val="en-GB"/>
        </w:rPr>
        <w:t>例如多边环境协定</w:t>
      </w:r>
      <w:r w:rsidRPr="000C0842">
        <w:rPr>
          <w:rFonts w:eastAsia="SimSun"/>
          <w:sz w:val="24"/>
          <w:szCs w:val="24"/>
          <w:lang w:val="en-GB"/>
        </w:rPr>
        <w:t>数据报告工具；</w:t>
      </w:r>
    </w:p>
    <w:p w14:paraId="266950F9"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(c) </w:t>
      </w:r>
      <w:r w:rsidRPr="000C0842">
        <w:rPr>
          <w:rFonts w:eastAsia="SimSun"/>
          <w:sz w:val="24"/>
          <w:szCs w:val="24"/>
          <w:lang w:val="en-GB"/>
        </w:rPr>
        <w:tab/>
      </w:r>
      <w:r w:rsidRPr="000C0842">
        <w:rPr>
          <w:rFonts w:eastAsia="SimSun"/>
          <w:sz w:val="24"/>
          <w:szCs w:val="24"/>
          <w:lang w:val="en-GB"/>
        </w:rPr>
        <w:t>继续支持缔约方在使用国家生物多样性战略和行动计划在线</w:t>
      </w:r>
      <w:r w:rsidRPr="000C0842">
        <w:rPr>
          <w:rFonts w:eastAsia="SimSun" w:hint="eastAsia"/>
          <w:sz w:val="24"/>
          <w:szCs w:val="24"/>
          <w:lang w:val="en-GB"/>
        </w:rPr>
        <w:t>报告</w:t>
      </w:r>
      <w:r w:rsidRPr="000C0842">
        <w:rPr>
          <w:rFonts w:eastAsia="SimSun"/>
          <w:sz w:val="24"/>
          <w:szCs w:val="24"/>
          <w:lang w:val="en-GB"/>
        </w:rPr>
        <w:t>工具以及</w:t>
      </w:r>
      <w:r w:rsidRPr="000C0842">
        <w:rPr>
          <w:rFonts w:eastAsia="SimSun" w:hint="eastAsia"/>
          <w:sz w:val="24"/>
          <w:szCs w:val="24"/>
          <w:lang w:val="en-GB"/>
        </w:rPr>
        <w:t>国家</w:t>
      </w:r>
      <w:r w:rsidRPr="000C0842">
        <w:rPr>
          <w:rFonts w:eastAsia="SimSun"/>
          <w:sz w:val="24"/>
          <w:szCs w:val="24"/>
          <w:lang w:val="en-GB"/>
        </w:rPr>
        <w:t>报告方面的能力建设和发展；</w:t>
      </w:r>
    </w:p>
    <w:p w14:paraId="315430DB"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 xml:space="preserve">(d) </w:t>
      </w:r>
      <w:r w:rsidRPr="000C0842">
        <w:rPr>
          <w:rFonts w:eastAsia="SimSun"/>
          <w:sz w:val="24"/>
          <w:szCs w:val="24"/>
          <w:lang w:val="en-GB"/>
        </w:rPr>
        <w:tab/>
      </w:r>
      <w:r w:rsidRPr="000C0842">
        <w:rPr>
          <w:rFonts w:eastAsia="SimSun"/>
          <w:sz w:val="24"/>
          <w:szCs w:val="24"/>
          <w:lang w:val="en-GB"/>
        </w:rPr>
        <w:t>利用本决定附件二所载模板，进一步建立</w:t>
      </w:r>
      <w:r w:rsidRPr="000C0842">
        <w:rPr>
          <w:rFonts w:eastAsia="SimSun" w:hint="eastAsia"/>
          <w:sz w:val="24"/>
          <w:szCs w:val="24"/>
          <w:lang w:val="en-GB"/>
        </w:rPr>
        <w:t>对</w:t>
      </w:r>
      <w:r w:rsidRPr="000C0842">
        <w:rPr>
          <w:rFonts w:eastAsia="SimSun"/>
          <w:sz w:val="24"/>
          <w:szCs w:val="24"/>
          <w:lang w:val="en-GB"/>
        </w:rPr>
        <w:t>国家政府以外的行为体</w:t>
      </w:r>
      <w:r w:rsidRPr="000C0842">
        <w:rPr>
          <w:rFonts w:eastAsia="SimSun" w:hint="eastAsia"/>
          <w:sz w:val="24"/>
          <w:szCs w:val="24"/>
          <w:lang w:val="en-GB"/>
        </w:rPr>
        <w:t>所做</w:t>
      </w:r>
      <w:r w:rsidRPr="000C0842">
        <w:rPr>
          <w:rFonts w:eastAsia="SimSun"/>
          <w:sz w:val="24"/>
          <w:szCs w:val="24"/>
          <w:lang w:val="en-GB"/>
        </w:rPr>
        <w:t>承诺</w:t>
      </w:r>
      <w:r w:rsidRPr="000C0842">
        <w:rPr>
          <w:rFonts w:eastAsia="SimSun" w:hint="eastAsia"/>
          <w:sz w:val="24"/>
          <w:szCs w:val="24"/>
          <w:lang w:val="en-GB"/>
        </w:rPr>
        <w:t>进行</w:t>
      </w:r>
      <w:r w:rsidRPr="000C0842">
        <w:rPr>
          <w:rFonts w:eastAsia="SimSun"/>
          <w:sz w:val="24"/>
          <w:szCs w:val="24"/>
          <w:lang w:val="en-GB"/>
        </w:rPr>
        <w:t>跟踪</w:t>
      </w:r>
      <w:r w:rsidRPr="000C0842">
        <w:rPr>
          <w:rFonts w:eastAsia="SimSun" w:hint="eastAsia"/>
          <w:sz w:val="24"/>
          <w:szCs w:val="24"/>
          <w:lang w:val="en-GB"/>
        </w:rPr>
        <w:t>监测的</w:t>
      </w:r>
      <w:r w:rsidRPr="000C0842">
        <w:rPr>
          <w:rFonts w:eastAsia="SimSun"/>
          <w:sz w:val="24"/>
          <w:szCs w:val="24"/>
          <w:lang w:val="en-GB"/>
        </w:rPr>
        <w:t>机制；</w:t>
      </w:r>
      <w:r w:rsidRPr="000C0842">
        <w:rPr>
          <w:rFonts w:eastAsia="SimSun"/>
          <w:sz w:val="24"/>
          <w:szCs w:val="24"/>
          <w:lang w:val="en-GB"/>
        </w:rPr>
        <w:t xml:space="preserve"> </w:t>
      </w:r>
    </w:p>
    <w:p w14:paraId="05E31795"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e</w:t>
      </w:r>
      <w:r w:rsidRPr="000C0842">
        <w:rPr>
          <w:rFonts w:eastAsia="SimSun"/>
          <w:sz w:val="24"/>
          <w:szCs w:val="24"/>
          <w:lang w:val="en-GB"/>
        </w:rPr>
        <w:t>)</w:t>
      </w:r>
      <w:r w:rsidRPr="000C0842">
        <w:rPr>
          <w:rFonts w:eastAsia="SimSun"/>
          <w:sz w:val="24"/>
          <w:szCs w:val="24"/>
          <w:lang w:val="en-GB"/>
        </w:rPr>
        <w:tab/>
      </w:r>
      <w:r w:rsidRPr="000C0842">
        <w:rPr>
          <w:rFonts w:ascii="Arial" w:eastAsia="SimSun" w:hAnsi="Arial" w:cs="Arial"/>
          <w:sz w:val="27"/>
          <w:szCs w:val="27"/>
          <w:shd w:val="clear" w:color="auto" w:fill="FFFFFF"/>
        </w:rPr>
        <w:t xml:space="preserve"> </w:t>
      </w:r>
      <w:r w:rsidRPr="000C0842">
        <w:rPr>
          <w:rFonts w:eastAsia="SimSun"/>
          <w:sz w:val="24"/>
          <w:szCs w:val="24"/>
        </w:rPr>
        <w:t>在缔约方</w:t>
      </w:r>
      <w:r w:rsidRPr="000C0842">
        <w:rPr>
          <w:rFonts w:eastAsia="SimSun" w:hint="eastAsia"/>
          <w:sz w:val="24"/>
          <w:szCs w:val="24"/>
        </w:rPr>
        <w:t>大会</w:t>
      </w:r>
      <w:r w:rsidRPr="000C0842">
        <w:rPr>
          <w:rFonts w:eastAsia="SimSun"/>
          <w:sz w:val="24"/>
          <w:szCs w:val="24"/>
        </w:rPr>
        <w:t>主席团的指导下，举行</w:t>
      </w:r>
      <w:r w:rsidRPr="000C0842">
        <w:rPr>
          <w:rFonts w:eastAsia="SimSun" w:hint="eastAsia"/>
          <w:sz w:val="24"/>
          <w:szCs w:val="24"/>
        </w:rPr>
        <w:t>次</w:t>
      </w:r>
      <w:r w:rsidRPr="000C0842">
        <w:rPr>
          <w:rFonts w:eastAsia="SimSun"/>
          <w:sz w:val="24"/>
          <w:szCs w:val="24"/>
        </w:rPr>
        <w:t>区域和</w:t>
      </w:r>
      <w:r w:rsidRPr="000C0842">
        <w:rPr>
          <w:rFonts w:eastAsia="SimSun"/>
          <w:sz w:val="24"/>
          <w:szCs w:val="24"/>
        </w:rPr>
        <w:t>/</w:t>
      </w:r>
      <w:r w:rsidRPr="000C0842">
        <w:rPr>
          <w:rFonts w:eastAsia="SimSun"/>
          <w:sz w:val="24"/>
          <w:szCs w:val="24"/>
        </w:rPr>
        <w:t>或区域对话，同时考虑到从以前的区域对话中吸取的经验和教训</w:t>
      </w:r>
      <w:r w:rsidRPr="000C0842">
        <w:rPr>
          <w:rFonts w:eastAsia="Times New Roman"/>
          <w:snapToGrid w:val="0"/>
          <w:kern w:val="22"/>
          <w:sz w:val="24"/>
          <w:szCs w:val="24"/>
          <w:vertAlign w:val="superscript"/>
          <w:lang w:val="en-GB"/>
        </w:rPr>
        <w:footnoteReference w:id="423"/>
      </w:r>
      <w:r w:rsidRPr="000C0842">
        <w:rPr>
          <w:rFonts w:eastAsia="SimSun"/>
          <w:sz w:val="24"/>
          <w:szCs w:val="24"/>
        </w:rPr>
        <w:t>，并在资源允许的情况下举行可能的区域间对话，同时考虑到在</w:t>
      </w:r>
      <w:r w:rsidRPr="000C0842">
        <w:rPr>
          <w:rFonts w:eastAsia="SimSun" w:hint="eastAsia"/>
          <w:sz w:val="24"/>
          <w:szCs w:val="24"/>
        </w:rPr>
        <w:t>执行问题</w:t>
      </w:r>
      <w:r w:rsidRPr="000C0842">
        <w:rPr>
          <w:rFonts w:eastAsia="SimSun"/>
          <w:sz w:val="24"/>
          <w:szCs w:val="24"/>
        </w:rPr>
        <w:t>附属机构第五次会议上不限成员名额</w:t>
      </w:r>
      <w:r w:rsidRPr="000C0842">
        <w:rPr>
          <w:rFonts w:eastAsia="SimSun" w:hint="eastAsia"/>
          <w:sz w:val="24"/>
          <w:szCs w:val="24"/>
        </w:rPr>
        <w:t>试点</w:t>
      </w:r>
      <w:r w:rsidRPr="000C0842">
        <w:rPr>
          <w:rFonts w:eastAsia="SimSun"/>
          <w:sz w:val="24"/>
          <w:szCs w:val="24"/>
        </w:rPr>
        <w:t>论坛的经验</w:t>
      </w:r>
      <w:r w:rsidRPr="000C0842">
        <w:rPr>
          <w:rFonts w:eastAsia="SimSun" w:hint="eastAsia"/>
          <w:sz w:val="24"/>
          <w:szCs w:val="24"/>
        </w:rPr>
        <w:t>；</w:t>
      </w:r>
    </w:p>
    <w:p w14:paraId="740C5052"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f</w:t>
      </w:r>
      <w:r w:rsidRPr="000C0842">
        <w:rPr>
          <w:rFonts w:eastAsia="SimSun"/>
          <w:sz w:val="24"/>
          <w:szCs w:val="24"/>
          <w:lang w:val="en-GB"/>
        </w:rPr>
        <w:t>)</w:t>
      </w:r>
      <w:r w:rsidRPr="000C0842">
        <w:rPr>
          <w:rFonts w:eastAsia="SimSun"/>
          <w:sz w:val="24"/>
          <w:szCs w:val="24"/>
          <w:lang w:val="en-GB"/>
        </w:rPr>
        <w:tab/>
      </w:r>
      <w:r w:rsidRPr="000C0842">
        <w:rPr>
          <w:rFonts w:eastAsia="SimSun"/>
          <w:sz w:val="24"/>
          <w:szCs w:val="24"/>
          <w:lang w:val="en-GB"/>
        </w:rPr>
        <w:t>支持土著人民和地方社区、妇女和青年分享</w:t>
      </w:r>
      <w:r w:rsidRPr="000C0842">
        <w:rPr>
          <w:rFonts w:eastAsia="SimSun" w:hint="eastAsia"/>
          <w:sz w:val="24"/>
          <w:szCs w:val="24"/>
          <w:lang w:val="en-GB"/>
        </w:rPr>
        <w:t>其</w:t>
      </w:r>
      <w:r w:rsidRPr="000C0842">
        <w:rPr>
          <w:rFonts w:eastAsia="SimSun"/>
          <w:sz w:val="24"/>
          <w:szCs w:val="24"/>
          <w:lang w:val="en-GB"/>
        </w:rPr>
        <w:t>为全球审查提供的信息；</w:t>
      </w:r>
    </w:p>
    <w:p w14:paraId="1772458A"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g</w:t>
      </w:r>
      <w:r w:rsidRPr="000C0842">
        <w:rPr>
          <w:rFonts w:eastAsia="SimSun"/>
          <w:sz w:val="24"/>
          <w:szCs w:val="24"/>
          <w:lang w:val="en-GB"/>
        </w:rPr>
        <w:t xml:space="preserve">) </w:t>
      </w:r>
      <w:r w:rsidRPr="000C0842">
        <w:rPr>
          <w:rFonts w:eastAsia="SimSun"/>
          <w:sz w:val="24"/>
          <w:szCs w:val="24"/>
          <w:lang w:val="en-GB"/>
        </w:rPr>
        <w:tab/>
      </w:r>
      <w:r w:rsidRPr="000C0842">
        <w:rPr>
          <w:rFonts w:eastAsia="SimSun"/>
          <w:sz w:val="24"/>
          <w:szCs w:val="24"/>
          <w:lang w:val="en-GB"/>
        </w:rPr>
        <w:t>继续与相关合作伙伴协调</w:t>
      </w:r>
      <w:r w:rsidRPr="000C0842">
        <w:rPr>
          <w:rFonts w:eastAsia="SimSun" w:hint="eastAsia"/>
          <w:sz w:val="24"/>
          <w:szCs w:val="24"/>
          <w:lang w:val="en-GB"/>
        </w:rPr>
        <w:t>行动和开展合作</w:t>
      </w:r>
      <w:r w:rsidRPr="000C0842">
        <w:rPr>
          <w:rFonts w:eastAsia="SimSun"/>
          <w:sz w:val="24"/>
          <w:szCs w:val="24"/>
          <w:lang w:val="en-GB"/>
        </w:rPr>
        <w:t>，支持实施强化的多层面规划、监测、报告和审查方法</w:t>
      </w:r>
      <w:r w:rsidRPr="000C0842">
        <w:rPr>
          <w:rFonts w:eastAsia="SimSun" w:hint="eastAsia"/>
          <w:sz w:val="24"/>
          <w:szCs w:val="24"/>
          <w:lang w:val="en-GB"/>
        </w:rPr>
        <w:t>，包括自愿</w:t>
      </w:r>
      <w:r w:rsidRPr="000C0842">
        <w:rPr>
          <w:rFonts w:eastAsia="SimSun"/>
          <w:sz w:val="24"/>
          <w:szCs w:val="24"/>
        </w:rPr>
        <w:t>同行评议</w:t>
      </w:r>
      <w:r w:rsidRPr="000C0842">
        <w:rPr>
          <w:rFonts w:eastAsia="SimSun" w:hint="eastAsia"/>
          <w:sz w:val="24"/>
          <w:szCs w:val="24"/>
        </w:rPr>
        <w:t>方面</w:t>
      </w:r>
      <w:r w:rsidRPr="000C0842">
        <w:rPr>
          <w:rFonts w:eastAsia="SimSun"/>
          <w:sz w:val="24"/>
          <w:szCs w:val="24"/>
          <w:lang w:val="en-GB"/>
        </w:rPr>
        <w:t>；</w:t>
      </w:r>
    </w:p>
    <w:p w14:paraId="15E27A6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w:t>
      </w:r>
      <w:r w:rsidRPr="000C0842">
        <w:rPr>
          <w:rFonts w:eastAsia="SimSun" w:hint="eastAsia"/>
          <w:sz w:val="24"/>
          <w:szCs w:val="24"/>
          <w:lang w:val="en-GB"/>
        </w:rPr>
        <w:t>h</w:t>
      </w:r>
      <w:r w:rsidRPr="000C0842">
        <w:rPr>
          <w:rFonts w:eastAsia="SimSun"/>
          <w:sz w:val="24"/>
          <w:szCs w:val="24"/>
          <w:lang w:val="en-GB"/>
        </w:rPr>
        <w:t xml:space="preserve">) </w:t>
      </w:r>
      <w:r w:rsidRPr="000C0842">
        <w:rPr>
          <w:rFonts w:eastAsia="SimSun"/>
          <w:sz w:val="24"/>
          <w:szCs w:val="24"/>
          <w:lang w:val="en-GB"/>
        </w:rPr>
        <w:tab/>
      </w:r>
      <w:r w:rsidRPr="000C0842">
        <w:rPr>
          <w:rFonts w:eastAsia="SimSun" w:hint="eastAsia"/>
          <w:sz w:val="24"/>
          <w:szCs w:val="24"/>
          <w:lang w:val="en-GB"/>
        </w:rPr>
        <w:t xml:space="preserve">   </w:t>
      </w:r>
      <w:r w:rsidRPr="000C0842">
        <w:rPr>
          <w:rFonts w:eastAsia="SimSun"/>
          <w:sz w:val="24"/>
          <w:szCs w:val="24"/>
          <w:lang w:val="en-GB"/>
        </w:rPr>
        <w:t>在特设科学和技术咨询小组的支持下，促进缔约方、土著人民和地方社区、妇女</w:t>
      </w:r>
      <w:r w:rsidRPr="000C0842">
        <w:rPr>
          <w:rFonts w:eastAsia="SimSun" w:hint="eastAsia"/>
          <w:sz w:val="24"/>
          <w:szCs w:val="24"/>
          <w:lang w:val="en-GB"/>
        </w:rPr>
        <w:t>和</w:t>
      </w:r>
      <w:r w:rsidRPr="000C0842">
        <w:rPr>
          <w:rFonts w:eastAsia="SimSun"/>
          <w:sz w:val="24"/>
          <w:szCs w:val="24"/>
          <w:lang w:val="en-GB"/>
        </w:rPr>
        <w:t>青年</w:t>
      </w:r>
      <w:r w:rsidRPr="000C0842">
        <w:rPr>
          <w:rFonts w:eastAsia="SimSun" w:hint="eastAsia"/>
          <w:sz w:val="24"/>
          <w:szCs w:val="24"/>
          <w:lang w:val="en-GB"/>
        </w:rPr>
        <w:t>代表</w:t>
      </w:r>
      <w:r w:rsidRPr="000C0842">
        <w:rPr>
          <w:rFonts w:eastAsia="SimSun"/>
          <w:sz w:val="24"/>
          <w:szCs w:val="24"/>
          <w:lang w:val="en-GB"/>
        </w:rPr>
        <w:t>、学术界、私营和金融部门以及专家和其他利益攸关方之间就全球报告的科学、技术和工艺方面以及对全球审查的其他相关投入开展非正式技术对话，包括分享最佳做法、挑战、差距和</w:t>
      </w:r>
      <w:r w:rsidRPr="000C0842">
        <w:rPr>
          <w:rFonts w:eastAsia="SimSun" w:hint="eastAsia"/>
          <w:sz w:val="24"/>
          <w:szCs w:val="24"/>
          <w:lang w:val="en-GB"/>
        </w:rPr>
        <w:t>解决</w:t>
      </w:r>
      <w:r w:rsidRPr="000C0842">
        <w:rPr>
          <w:rFonts w:eastAsia="SimSun"/>
          <w:sz w:val="24"/>
          <w:szCs w:val="24"/>
          <w:lang w:val="en-GB"/>
        </w:rPr>
        <w:t>方法；</w:t>
      </w:r>
    </w:p>
    <w:p w14:paraId="2C7E8EE5"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5</w:t>
      </w:r>
      <w:r w:rsidRPr="000C0842">
        <w:rPr>
          <w:rFonts w:eastAsia="SimSun"/>
          <w:sz w:val="24"/>
          <w:szCs w:val="24"/>
          <w:lang w:val="en-GB"/>
        </w:rPr>
        <w:t>.</w:t>
      </w:r>
      <w:r w:rsidRPr="000C0842">
        <w:rPr>
          <w:rFonts w:eastAsia="SimSun"/>
          <w:sz w:val="24"/>
          <w:szCs w:val="24"/>
          <w:lang w:val="en-GB"/>
        </w:rPr>
        <w:tab/>
      </w:r>
      <w:r w:rsidRPr="000C0842">
        <w:rPr>
          <w:rFonts w:eastAsia="KaiTi" w:hint="eastAsia"/>
          <w:sz w:val="24"/>
          <w:szCs w:val="24"/>
          <w:lang w:val="en-GB"/>
        </w:rPr>
        <w:t>又</w:t>
      </w:r>
      <w:r w:rsidRPr="000C0842">
        <w:rPr>
          <w:rFonts w:eastAsia="KaiTi"/>
          <w:sz w:val="24"/>
          <w:szCs w:val="24"/>
          <w:lang w:val="en-GB"/>
        </w:rPr>
        <w:t>请</w:t>
      </w:r>
      <w:r w:rsidRPr="000C0842">
        <w:rPr>
          <w:rFonts w:eastAsia="SimSun"/>
          <w:sz w:val="24"/>
          <w:szCs w:val="24"/>
          <w:lang w:val="en-GB"/>
        </w:rPr>
        <w:t>执行秘书</w:t>
      </w:r>
      <w:r w:rsidRPr="000C0842">
        <w:rPr>
          <w:rFonts w:eastAsia="SimSun" w:hint="eastAsia"/>
          <w:sz w:val="24"/>
          <w:szCs w:val="24"/>
          <w:lang w:val="en-GB"/>
        </w:rPr>
        <w:t>在缔约方大会主席团指导下，推动全球审查并</w:t>
      </w:r>
      <w:r w:rsidRPr="000C0842">
        <w:rPr>
          <w:rFonts w:eastAsia="SimSun"/>
          <w:sz w:val="24"/>
          <w:szCs w:val="24"/>
          <w:lang w:val="en-GB"/>
        </w:rPr>
        <w:t>定期向缔约方提供关于编写全球报告的最新情况，包括在</w:t>
      </w:r>
      <w:r w:rsidRPr="000C0842">
        <w:rPr>
          <w:rFonts w:eastAsia="SimSun" w:hint="eastAsia"/>
          <w:sz w:val="24"/>
          <w:szCs w:val="24"/>
          <w:lang w:val="en-GB"/>
        </w:rPr>
        <w:t>各</w:t>
      </w:r>
      <w:r w:rsidRPr="000C0842">
        <w:rPr>
          <w:rFonts w:eastAsia="SimSun"/>
          <w:sz w:val="24"/>
          <w:szCs w:val="24"/>
          <w:lang w:val="en-GB"/>
        </w:rPr>
        <w:t>附属机构的会议上</w:t>
      </w:r>
      <w:r w:rsidRPr="000C0842">
        <w:rPr>
          <w:rFonts w:eastAsia="SimSun" w:hint="eastAsia"/>
          <w:sz w:val="24"/>
          <w:szCs w:val="24"/>
          <w:lang w:val="en-GB"/>
        </w:rPr>
        <w:t>这样做</w:t>
      </w:r>
      <w:r w:rsidRPr="000C0842">
        <w:rPr>
          <w:rFonts w:eastAsia="SimSun"/>
          <w:sz w:val="24"/>
          <w:szCs w:val="24"/>
          <w:lang w:val="en-GB"/>
        </w:rPr>
        <w:t>；</w:t>
      </w:r>
    </w:p>
    <w:p w14:paraId="0E3CB9FE" w14:textId="65E196E1" w:rsidR="000A776A" w:rsidRPr="000C0842" w:rsidRDefault="000A776A" w:rsidP="00A277E2">
      <w:pPr>
        <w:tabs>
          <w:tab w:val="clear" w:pos="567"/>
          <w:tab w:val="clear" w:pos="1134"/>
          <w:tab w:val="clear" w:pos="1701"/>
          <w:tab w:val="clear" w:pos="2268"/>
        </w:tabs>
        <w:snapToGrid w:val="0"/>
        <w:spacing w:before="120" w:after="120"/>
        <w:ind w:left="490" w:firstLine="490"/>
        <w:jc w:val="left"/>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6</w:t>
      </w:r>
      <w:r w:rsidRPr="000C0842">
        <w:rPr>
          <w:rFonts w:eastAsia="SimSun"/>
          <w:sz w:val="24"/>
          <w:szCs w:val="24"/>
          <w:lang w:val="en-GB"/>
        </w:rPr>
        <w:t>.</w:t>
      </w:r>
      <w:r w:rsidR="00A277E2" w:rsidRPr="000C0842">
        <w:rPr>
          <w:rFonts w:eastAsia="SimSun"/>
          <w:sz w:val="24"/>
          <w:szCs w:val="24"/>
          <w:lang w:val="en-GB"/>
        </w:rPr>
        <w:tab/>
      </w:r>
      <w:r w:rsidRPr="000C0842">
        <w:rPr>
          <w:rFonts w:eastAsia="KaiTi"/>
          <w:sz w:val="24"/>
          <w:szCs w:val="24"/>
          <w:lang w:val="en-GB"/>
        </w:rPr>
        <w:t>邀请</w:t>
      </w:r>
      <w:r w:rsidRPr="000C0842">
        <w:rPr>
          <w:rFonts w:eastAsia="SimSun"/>
          <w:sz w:val="24"/>
          <w:szCs w:val="24"/>
          <w:lang w:val="en-GB"/>
        </w:rPr>
        <w:t>缔约方、其他政府以及多边和双边机构支持强化的多层面规划、监测、报告和审查方法，包括加强国家一级的监测，以确保有效执行《昆蒙框架》；</w:t>
      </w:r>
    </w:p>
    <w:p w14:paraId="4AB7EDBC" w14:textId="24D63FB1"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sz w:val="24"/>
          <w:szCs w:val="24"/>
          <w:lang w:val="en-GB"/>
        </w:rPr>
      </w:pPr>
      <w:r w:rsidRPr="000C0842">
        <w:rPr>
          <w:rFonts w:eastAsia="SimSun"/>
          <w:sz w:val="24"/>
          <w:szCs w:val="24"/>
          <w:lang w:val="en-GB"/>
        </w:rPr>
        <w:t>2</w:t>
      </w:r>
      <w:r w:rsidRPr="000C0842">
        <w:rPr>
          <w:rFonts w:eastAsia="SimSun" w:hint="eastAsia"/>
          <w:sz w:val="24"/>
          <w:szCs w:val="24"/>
          <w:lang w:val="en-GB"/>
        </w:rPr>
        <w:t>7</w:t>
      </w:r>
      <w:r w:rsidRPr="000C0842">
        <w:rPr>
          <w:rFonts w:eastAsia="SimSun"/>
          <w:sz w:val="24"/>
          <w:szCs w:val="24"/>
          <w:lang w:val="en-GB"/>
        </w:rPr>
        <w:t>.</w:t>
      </w:r>
      <w:r w:rsidRPr="000C0842">
        <w:rPr>
          <w:rFonts w:eastAsia="SimSun"/>
          <w:sz w:val="24"/>
          <w:szCs w:val="24"/>
          <w:lang w:val="en-GB"/>
        </w:rPr>
        <w:tab/>
      </w:r>
      <w:r w:rsidRPr="000C0842">
        <w:rPr>
          <w:rFonts w:eastAsia="KaiTi"/>
          <w:sz w:val="24"/>
          <w:szCs w:val="24"/>
          <w:lang w:val="en-GB"/>
        </w:rPr>
        <w:t>邀请</w:t>
      </w:r>
      <w:r w:rsidRPr="000C0842">
        <w:rPr>
          <w:rFonts w:eastAsia="SimSun"/>
          <w:sz w:val="24"/>
          <w:szCs w:val="24"/>
          <w:lang w:val="en-GB"/>
        </w:rPr>
        <w:t>生物多样性和生态系统服务政府间科学与政策平台以充分尊重各自任务规定的方式，为全球审查，特别是为特设科学和技术咨询小组的工作</w:t>
      </w:r>
      <w:r w:rsidR="001A5C0A" w:rsidRPr="000C0842">
        <w:rPr>
          <w:rFonts w:eastAsia="SimSun"/>
          <w:sz w:val="24"/>
          <w:szCs w:val="24"/>
          <w:lang w:val="en-GB"/>
        </w:rPr>
        <w:t>作</w:t>
      </w:r>
      <w:r w:rsidRPr="000C0842">
        <w:rPr>
          <w:rFonts w:eastAsia="SimSun"/>
          <w:sz w:val="24"/>
          <w:szCs w:val="24"/>
          <w:lang w:val="en-GB"/>
        </w:rPr>
        <w:t>出贡献</w:t>
      </w:r>
      <w:r w:rsidRPr="000C0842">
        <w:rPr>
          <w:rFonts w:eastAsia="SimSun" w:hint="eastAsia"/>
          <w:sz w:val="24"/>
          <w:szCs w:val="24"/>
          <w:lang w:val="en-GB"/>
        </w:rPr>
        <w:t>。</w:t>
      </w:r>
      <w:r w:rsidRPr="000C0842">
        <w:rPr>
          <w:rFonts w:eastAsia="SimSun"/>
          <w:sz w:val="24"/>
          <w:szCs w:val="24"/>
          <w:lang w:val="en-GB"/>
        </w:rPr>
        <w:t xml:space="preserve"> </w:t>
      </w:r>
    </w:p>
    <w:p w14:paraId="0D282270" w14:textId="61276279" w:rsidR="00ED1A1D" w:rsidRPr="000C0842" w:rsidRDefault="00ED1A1D">
      <w:pPr>
        <w:tabs>
          <w:tab w:val="clear" w:pos="567"/>
          <w:tab w:val="clear" w:pos="1134"/>
          <w:tab w:val="clear" w:pos="1701"/>
          <w:tab w:val="clear" w:pos="2268"/>
        </w:tabs>
        <w:jc w:val="left"/>
        <w:rPr>
          <w:sz w:val="28"/>
          <w:szCs w:val="28"/>
          <w:lang w:val="en-GB"/>
        </w:rPr>
      </w:pPr>
      <w:r w:rsidRPr="000C0842">
        <w:rPr>
          <w:sz w:val="28"/>
          <w:szCs w:val="28"/>
          <w:lang w:val="en-GB"/>
        </w:rPr>
        <w:br w:type="page"/>
      </w:r>
    </w:p>
    <w:p w14:paraId="57BDCDB2" w14:textId="77777777" w:rsidR="000A776A" w:rsidRPr="000C0842" w:rsidRDefault="000A776A" w:rsidP="00ED1A1D">
      <w:pPr>
        <w:keepNext/>
        <w:keepLines/>
        <w:tabs>
          <w:tab w:val="clear" w:pos="567"/>
          <w:tab w:val="clear" w:pos="1134"/>
          <w:tab w:val="clear" w:pos="1701"/>
          <w:tab w:val="clear" w:pos="2268"/>
        </w:tabs>
        <w:ind w:left="490"/>
        <w:rPr>
          <w:rFonts w:eastAsia="SimSun"/>
          <w:b/>
          <w:sz w:val="24"/>
          <w:szCs w:val="24"/>
          <w:lang w:val="en-GB"/>
        </w:rPr>
      </w:pPr>
      <w:r w:rsidRPr="000C0842">
        <w:rPr>
          <w:rFonts w:eastAsia="SimSun" w:hint="eastAsia"/>
          <w:b/>
          <w:sz w:val="24"/>
          <w:szCs w:val="24"/>
          <w:lang w:val="en-GB"/>
        </w:rPr>
        <w:t>附件一</w:t>
      </w:r>
    </w:p>
    <w:p w14:paraId="2789098C" w14:textId="77777777" w:rsidR="000A776A" w:rsidRPr="000C0842" w:rsidRDefault="000A776A" w:rsidP="00ED1A1D">
      <w:pPr>
        <w:keepNext/>
        <w:keepLines/>
        <w:shd w:val="clear" w:color="auto" w:fill="FFFFFF"/>
        <w:tabs>
          <w:tab w:val="clear" w:pos="567"/>
          <w:tab w:val="clear" w:pos="1134"/>
          <w:tab w:val="clear" w:pos="1701"/>
          <w:tab w:val="clear" w:pos="2268"/>
        </w:tabs>
        <w:ind w:left="490"/>
        <w:jc w:val="left"/>
        <w:textAlignment w:val="top"/>
        <w:outlineLvl w:val="0"/>
        <w:rPr>
          <w:rFonts w:eastAsia="SimSun"/>
          <w:b/>
          <w:bCs/>
          <w:spacing w:val="5"/>
          <w:kern w:val="28"/>
          <w:sz w:val="28"/>
          <w:szCs w:val="28"/>
          <w:lang w:val="en-GB"/>
        </w:rPr>
      </w:pPr>
      <w:r w:rsidRPr="000C0842">
        <w:rPr>
          <w:rFonts w:eastAsia="SimSun" w:hint="eastAsia"/>
          <w:b/>
          <w:bCs/>
          <w:spacing w:val="5"/>
          <w:kern w:val="28"/>
          <w:sz w:val="24"/>
          <w:szCs w:val="24"/>
          <w:lang w:val="en-GB"/>
        </w:rPr>
        <w:t>第七次和第八次国家报告模板</w:t>
      </w:r>
      <w:r w:rsidRPr="000C0842">
        <w:rPr>
          <w:rFonts w:eastAsia="SimSun"/>
          <w:b/>
          <w:bCs/>
          <w:spacing w:val="5"/>
          <w:kern w:val="28"/>
          <w:sz w:val="24"/>
          <w:szCs w:val="24"/>
          <w:vertAlign w:val="superscript"/>
          <w:lang w:val="en-GB"/>
        </w:rPr>
        <w:footnoteReference w:customMarkFollows="1" w:id="424"/>
        <w:t>*</w:t>
      </w:r>
    </w:p>
    <w:p w14:paraId="4F3FF834" w14:textId="77777777" w:rsidR="000A776A" w:rsidRPr="000C0842" w:rsidRDefault="000A776A" w:rsidP="00ED1A1D">
      <w:pPr>
        <w:keepLines/>
        <w:widowControl w:val="0"/>
        <w:tabs>
          <w:tab w:val="clear" w:pos="567"/>
          <w:tab w:val="clear" w:pos="1134"/>
          <w:tab w:val="clear" w:pos="1701"/>
          <w:tab w:val="clear" w:pos="2268"/>
        </w:tabs>
        <w:topLinePunct/>
        <w:adjustRightInd w:val="0"/>
        <w:snapToGrid w:val="0"/>
        <w:spacing w:before="120" w:after="120"/>
        <w:rPr>
          <w:rFonts w:eastAsia="SimSun"/>
          <w:b/>
          <w:bCs/>
          <w:snapToGrid w:val="0"/>
          <w:kern w:val="22"/>
          <w:sz w:val="24"/>
          <w:szCs w:val="24"/>
          <w:lang w:val="en-GB"/>
        </w:rPr>
      </w:pPr>
      <w:r w:rsidRPr="000C0842">
        <w:rPr>
          <w:rFonts w:eastAsia="SimSun" w:hint="eastAsia"/>
          <w:b/>
          <w:bCs/>
          <w:snapToGrid w:val="0"/>
          <w:kern w:val="22"/>
          <w:sz w:val="24"/>
          <w:szCs w:val="24"/>
          <w:lang w:val="en-GB"/>
        </w:rPr>
        <w:t>一</w:t>
      </w:r>
      <w:r w:rsidRPr="000C0842">
        <w:rPr>
          <w:rFonts w:eastAsia="SimSun"/>
          <w:b/>
          <w:bCs/>
          <w:snapToGrid w:val="0"/>
          <w:kern w:val="22"/>
          <w:sz w:val="24"/>
          <w:szCs w:val="24"/>
          <w:lang w:val="en-GB"/>
        </w:rPr>
        <w:t xml:space="preserve">.  </w:t>
      </w:r>
      <w:r w:rsidRPr="000C0842">
        <w:rPr>
          <w:rFonts w:eastAsia="SimSun"/>
          <w:b/>
          <w:bCs/>
          <w:snapToGrid w:val="0"/>
          <w:kern w:val="22"/>
          <w:sz w:val="24"/>
          <w:szCs w:val="24"/>
          <w:lang w:val="en-GB"/>
        </w:rPr>
        <w:t>报告编写过程简述</w:t>
      </w:r>
    </w:p>
    <w:tbl>
      <w:tblPr>
        <w:tblStyle w:val="TableGrid64"/>
        <w:tblW w:w="0" w:type="auto"/>
        <w:tblLook w:val="04A0" w:firstRow="1" w:lastRow="0" w:firstColumn="1" w:lastColumn="0" w:noHBand="0" w:noVBand="1"/>
      </w:tblPr>
      <w:tblGrid>
        <w:gridCol w:w="2155"/>
        <w:gridCol w:w="7195"/>
      </w:tblGrid>
      <w:tr w:rsidR="000C0842" w:rsidRPr="000C0842" w14:paraId="46CA8976" w14:textId="77777777" w:rsidTr="001F32B3">
        <w:tc>
          <w:tcPr>
            <w:tcW w:w="2155" w:type="dxa"/>
          </w:tcPr>
          <w:p w14:paraId="6421D382" w14:textId="77777777" w:rsidR="000A776A" w:rsidRPr="000C0842" w:rsidRDefault="000A776A" w:rsidP="00ED1A1D">
            <w:pPr>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r w:rsidRPr="000C0842">
              <w:rPr>
                <w:rFonts w:ascii="SimSun" w:hAnsi="SimSun" w:cs="SimSun" w:hint="eastAsia"/>
                <w:b/>
                <w:bCs/>
                <w:kern w:val="0"/>
                <w:sz w:val="20"/>
                <w:szCs w:val="20"/>
                <w:lang w:val="en-GB" w:eastAsia="zh-CN"/>
              </w:rPr>
              <w:t>国名</w:t>
            </w:r>
          </w:p>
        </w:tc>
        <w:tc>
          <w:tcPr>
            <w:tcW w:w="7195" w:type="dxa"/>
          </w:tcPr>
          <w:p w14:paraId="00BBFC4B" w14:textId="77777777" w:rsidR="000A776A" w:rsidRPr="000C0842" w:rsidRDefault="000A776A" w:rsidP="00ED1A1D">
            <w:pPr>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p>
        </w:tc>
      </w:tr>
      <w:tr w:rsidR="000C0842" w:rsidRPr="000C0842" w14:paraId="147241E6" w14:textId="77777777" w:rsidTr="001F32B3">
        <w:tc>
          <w:tcPr>
            <w:tcW w:w="2155" w:type="dxa"/>
          </w:tcPr>
          <w:p w14:paraId="630840E5"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cs="Times New Roman"/>
                <w:b/>
                <w:bCs/>
                <w:kern w:val="22"/>
                <w:sz w:val="20"/>
                <w:szCs w:val="20"/>
                <w:lang w:val="en-GB" w:eastAsia="zh-CN"/>
              </w:rPr>
            </w:pPr>
            <w:r w:rsidRPr="000C0842">
              <w:rPr>
                <w:rFonts w:ascii="SimSun" w:hAnsi="SimSun" w:cs="SimSun" w:hint="eastAsia"/>
                <w:b/>
                <w:bCs/>
                <w:kern w:val="0"/>
                <w:sz w:val="20"/>
                <w:szCs w:val="20"/>
                <w:lang w:val="en-GB" w:eastAsia="zh-CN"/>
              </w:rPr>
              <w:t>负责编写和提交报告的国家主管部门</w:t>
            </w:r>
          </w:p>
        </w:tc>
        <w:tc>
          <w:tcPr>
            <w:tcW w:w="7195" w:type="dxa"/>
          </w:tcPr>
          <w:p w14:paraId="4EAE6C01"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p>
        </w:tc>
      </w:tr>
      <w:tr w:rsidR="000C0842" w:rsidRPr="000C0842" w14:paraId="04F4D81B" w14:textId="77777777" w:rsidTr="001F32B3">
        <w:tc>
          <w:tcPr>
            <w:tcW w:w="2155" w:type="dxa"/>
          </w:tcPr>
          <w:p w14:paraId="7E56DEBB"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r w:rsidRPr="000C0842">
              <w:rPr>
                <w:rFonts w:ascii="SimSun" w:hAnsi="SimSun" w:cs="SimSun" w:hint="eastAsia"/>
                <w:b/>
                <w:bCs/>
                <w:kern w:val="0"/>
                <w:sz w:val="20"/>
                <w:szCs w:val="20"/>
                <w:lang w:val="en-GB" w:eastAsia="zh-CN"/>
              </w:rPr>
              <w:t>联系人</w:t>
            </w:r>
          </w:p>
        </w:tc>
        <w:tc>
          <w:tcPr>
            <w:tcW w:w="7195" w:type="dxa"/>
          </w:tcPr>
          <w:p w14:paraId="65ABA564"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p>
        </w:tc>
      </w:tr>
      <w:tr w:rsidR="000C0842" w:rsidRPr="000C0842" w14:paraId="405E8544" w14:textId="77777777" w:rsidTr="001F32B3">
        <w:tc>
          <w:tcPr>
            <w:tcW w:w="2155" w:type="dxa"/>
          </w:tcPr>
          <w:p w14:paraId="40133111"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r w:rsidRPr="000C0842">
              <w:rPr>
                <w:rFonts w:ascii="SimSun" w:hAnsi="SimSun" w:cs="SimSun" w:hint="eastAsia"/>
                <w:b/>
                <w:bCs/>
                <w:kern w:val="0"/>
                <w:sz w:val="20"/>
                <w:szCs w:val="20"/>
                <w:lang w:val="en-GB" w:eastAsia="zh-CN"/>
              </w:rPr>
              <w:t>联系方式</w:t>
            </w:r>
          </w:p>
        </w:tc>
        <w:tc>
          <w:tcPr>
            <w:tcW w:w="7195" w:type="dxa"/>
          </w:tcPr>
          <w:p w14:paraId="3B4E27ED" w14:textId="77777777" w:rsidR="000A776A" w:rsidRPr="000C0842" w:rsidRDefault="000A776A"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cs="Times New Roman"/>
                <w:b/>
                <w:bCs/>
                <w:snapToGrid w:val="0"/>
                <w:kern w:val="22"/>
                <w:sz w:val="20"/>
                <w:szCs w:val="20"/>
                <w:lang w:val="en-GB" w:eastAsia="zh-CN"/>
              </w:rPr>
            </w:pPr>
          </w:p>
        </w:tc>
      </w:tr>
      <w:tr w:rsidR="000C0842" w:rsidRPr="000C0842" w14:paraId="57637265" w14:textId="77777777" w:rsidTr="00143300">
        <w:tc>
          <w:tcPr>
            <w:tcW w:w="9350" w:type="dxa"/>
            <w:gridSpan w:val="2"/>
          </w:tcPr>
          <w:p w14:paraId="7A71B53D" w14:textId="77777777" w:rsidR="00ED1A1D" w:rsidRPr="000C0842" w:rsidRDefault="00ED1A1D" w:rsidP="00ED1A1D">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b/>
                <w:snapToGrid w:val="0"/>
                <w:kern w:val="22"/>
                <w:sz w:val="20"/>
                <w:szCs w:val="20"/>
                <w:lang w:eastAsia="zh-CN"/>
              </w:rPr>
            </w:pPr>
            <w:r w:rsidRPr="000C0842">
              <w:rPr>
                <w:rFonts w:ascii="SimSun" w:hAnsi="SimSun" w:cs="SimSun" w:hint="eastAsia"/>
                <w:b/>
                <w:snapToGrid w:val="0"/>
                <w:kern w:val="22"/>
                <w:sz w:val="20"/>
                <w:szCs w:val="20"/>
                <w:lang w:eastAsia="zh-CN"/>
              </w:rPr>
              <w:t>请简短描述本报告的编写程序。所做答复可以包括以下内容：</w:t>
            </w:r>
          </w:p>
          <w:p w14:paraId="1A4E6FF7" w14:textId="77777777" w:rsidR="00ED1A1D" w:rsidRPr="000C0842" w:rsidRDefault="00ED1A1D">
            <w:pPr>
              <w:widowControl w:val="0"/>
              <w:numPr>
                <w:ilvl w:val="0"/>
                <w:numId w:val="174"/>
              </w:numPr>
              <w:tabs>
                <w:tab w:val="clear" w:pos="567"/>
                <w:tab w:val="clear" w:pos="1134"/>
                <w:tab w:val="clear" w:pos="1701"/>
                <w:tab w:val="clear" w:pos="2268"/>
              </w:tabs>
              <w:topLinePunct/>
              <w:adjustRightInd w:val="0"/>
              <w:snapToGrid w:val="0"/>
              <w:spacing w:before="120" w:after="120" w:line="240" w:lineRule="atLeast"/>
              <w:ind w:left="850"/>
              <w:rPr>
                <w:rFonts w:eastAsia="Times New Roman"/>
                <w:b/>
                <w:bCs/>
                <w:snapToGrid w:val="0"/>
                <w:kern w:val="22"/>
                <w:sz w:val="20"/>
                <w:szCs w:val="20"/>
                <w:lang w:val="en-GB" w:eastAsia="zh-CN"/>
              </w:rPr>
            </w:pPr>
            <w:r w:rsidRPr="000C0842">
              <w:rPr>
                <w:rFonts w:ascii="SimSun" w:hAnsi="SimSun" w:cs="SimSun" w:hint="eastAsia"/>
                <w:snapToGrid w:val="0"/>
                <w:kern w:val="22"/>
                <w:sz w:val="20"/>
                <w:szCs w:val="20"/>
                <w:lang w:eastAsia="zh-CN"/>
              </w:rPr>
              <w:t>采用的协调机制和数据收集及验证方法（如果适用），以及遇到的主要挑战；</w:t>
            </w:r>
          </w:p>
          <w:p w14:paraId="4370BF30" w14:textId="12747F90" w:rsidR="00ED1A1D" w:rsidRPr="000C0842" w:rsidRDefault="00ED1A1D">
            <w:pPr>
              <w:widowControl w:val="0"/>
              <w:numPr>
                <w:ilvl w:val="0"/>
                <w:numId w:val="174"/>
              </w:numPr>
              <w:tabs>
                <w:tab w:val="clear" w:pos="567"/>
                <w:tab w:val="clear" w:pos="1134"/>
                <w:tab w:val="clear" w:pos="1701"/>
                <w:tab w:val="clear" w:pos="2268"/>
              </w:tabs>
              <w:topLinePunct/>
              <w:adjustRightInd w:val="0"/>
              <w:snapToGrid w:val="0"/>
              <w:spacing w:before="120" w:after="120" w:line="240" w:lineRule="atLeast"/>
              <w:ind w:left="850"/>
              <w:rPr>
                <w:rFonts w:eastAsia="Times New Roman"/>
                <w:b/>
                <w:bCs/>
                <w:snapToGrid w:val="0"/>
                <w:kern w:val="22"/>
                <w:sz w:val="20"/>
                <w:szCs w:val="20"/>
                <w:lang w:val="en-GB" w:eastAsia="zh-CN"/>
              </w:rPr>
            </w:pPr>
            <w:r w:rsidRPr="000C0842">
              <w:rPr>
                <w:rFonts w:ascii="SimSun" w:hAnsi="SimSun" w:cs="SimSun" w:hint="eastAsia"/>
                <w:snapToGrid w:val="0"/>
                <w:kern w:val="22"/>
                <w:sz w:val="20"/>
                <w:szCs w:val="20"/>
                <w:lang w:eastAsia="zh-CN"/>
              </w:rPr>
              <w:t>为编写本报告在各级进行的磋商，不同利益攸关方的参与和介入以及对国情的考虑，包括为此对全政府和全社会方法的运用。</w:t>
            </w:r>
          </w:p>
        </w:tc>
      </w:tr>
      <w:tr w:rsidR="000C0842" w:rsidRPr="000C0842" w14:paraId="529F9097" w14:textId="77777777" w:rsidTr="00A12F84">
        <w:tc>
          <w:tcPr>
            <w:tcW w:w="9350" w:type="dxa"/>
            <w:gridSpan w:val="2"/>
          </w:tcPr>
          <w:p w14:paraId="7ACE2CF4" w14:textId="77777777" w:rsidR="00ED1A1D" w:rsidRPr="000C0842" w:rsidRDefault="00ED1A1D" w:rsidP="000A77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p>
        </w:tc>
      </w:tr>
    </w:tbl>
    <w:p w14:paraId="6DDDC1C9" w14:textId="77777777" w:rsidR="000A776A" w:rsidRPr="000C0842" w:rsidRDefault="000A776A" w:rsidP="00ED1A1D">
      <w:pPr>
        <w:widowControl w:val="0"/>
        <w:tabs>
          <w:tab w:val="clear" w:pos="567"/>
          <w:tab w:val="clear" w:pos="1134"/>
          <w:tab w:val="clear" w:pos="1701"/>
          <w:tab w:val="clear" w:pos="2268"/>
        </w:tabs>
        <w:topLinePunct/>
        <w:adjustRightInd w:val="0"/>
        <w:snapToGrid w:val="0"/>
        <w:spacing w:before="240" w:after="120" w:line="240" w:lineRule="atLeast"/>
        <w:rPr>
          <w:rFonts w:eastAsia="SimSun"/>
          <w:b/>
          <w:bCs/>
          <w:snapToGrid w:val="0"/>
          <w:kern w:val="22"/>
          <w:sz w:val="24"/>
          <w:szCs w:val="24"/>
          <w:lang w:val="en-GB"/>
        </w:rPr>
      </w:pPr>
      <w:r w:rsidRPr="000C0842">
        <w:rPr>
          <w:rFonts w:eastAsia="SimSun" w:hint="eastAsia"/>
          <w:b/>
          <w:bCs/>
          <w:snapToGrid w:val="0"/>
          <w:kern w:val="22"/>
          <w:sz w:val="24"/>
          <w:szCs w:val="24"/>
          <w:lang w:val="en-GB"/>
        </w:rPr>
        <w:t>二</w:t>
      </w:r>
      <w:r w:rsidRPr="000C0842">
        <w:rPr>
          <w:rFonts w:eastAsia="SimSun"/>
          <w:b/>
          <w:bCs/>
          <w:snapToGrid w:val="0"/>
          <w:kern w:val="22"/>
          <w:sz w:val="24"/>
          <w:szCs w:val="24"/>
          <w:lang w:val="en-GB"/>
        </w:rPr>
        <w:t>.</w:t>
      </w:r>
      <w:r w:rsidRPr="000C0842">
        <w:rPr>
          <w:rFonts w:eastAsia="SimSun"/>
          <w:b/>
          <w:bCs/>
          <w:snapToGrid w:val="0"/>
          <w:kern w:val="22"/>
          <w:sz w:val="24"/>
          <w:szCs w:val="24"/>
          <w:lang w:val="en-GB"/>
        </w:rPr>
        <w:tab/>
      </w:r>
      <w:r w:rsidRPr="000C0842">
        <w:rPr>
          <w:rFonts w:eastAsia="SimSun"/>
          <w:b/>
          <w:bCs/>
          <w:snapToGrid w:val="0"/>
          <w:kern w:val="22"/>
          <w:sz w:val="24"/>
          <w:szCs w:val="24"/>
          <w:lang w:val="en-GB"/>
        </w:rPr>
        <w:t>根据《昆明</w:t>
      </w:r>
      <w:r w:rsidRPr="000C0842">
        <w:rPr>
          <w:rFonts w:eastAsia="SimSun"/>
          <w:b/>
          <w:bCs/>
          <w:snapToGrid w:val="0"/>
          <w:kern w:val="22"/>
          <w:sz w:val="24"/>
          <w:szCs w:val="24"/>
          <w:lang w:val="en-GB"/>
        </w:rPr>
        <w:t>-</w:t>
      </w:r>
      <w:r w:rsidRPr="000C0842">
        <w:rPr>
          <w:rFonts w:eastAsia="SimSun"/>
          <w:b/>
          <w:bCs/>
          <w:snapToGrid w:val="0"/>
          <w:kern w:val="22"/>
          <w:sz w:val="24"/>
          <w:szCs w:val="24"/>
          <w:lang w:val="en-GB"/>
        </w:rPr>
        <w:t>蒙特利尔全球生物多样性框架》修订或更新</w:t>
      </w:r>
      <w:r w:rsidRPr="000C0842">
        <w:rPr>
          <w:rFonts w:eastAsia="SimSun" w:hint="eastAsia"/>
          <w:b/>
          <w:bCs/>
          <w:snapToGrid w:val="0"/>
          <w:kern w:val="22"/>
          <w:sz w:val="24"/>
          <w:szCs w:val="24"/>
          <w:lang w:val="en-GB"/>
        </w:rPr>
        <w:t>国家生物多样性战略和行动计划</w:t>
      </w:r>
      <w:r w:rsidRPr="000C0842">
        <w:rPr>
          <w:rFonts w:eastAsia="SimSun"/>
          <w:b/>
          <w:bCs/>
          <w:snapToGrid w:val="0"/>
          <w:kern w:val="22"/>
          <w:sz w:val="24"/>
          <w:szCs w:val="24"/>
          <w:lang w:val="en-CA"/>
        </w:rPr>
        <w:t>的</w:t>
      </w:r>
      <w:r w:rsidRPr="000C0842">
        <w:rPr>
          <w:rFonts w:eastAsia="SimSun"/>
          <w:b/>
          <w:bCs/>
          <w:snapToGrid w:val="0"/>
          <w:kern w:val="22"/>
          <w:sz w:val="24"/>
          <w:szCs w:val="24"/>
          <w:lang w:val="en-GB"/>
        </w:rPr>
        <w:t>情况</w:t>
      </w:r>
    </w:p>
    <w:tbl>
      <w:tblPr>
        <w:tblStyle w:val="TableGrid11"/>
        <w:tblW w:w="0" w:type="auto"/>
        <w:tblLook w:val="04A0" w:firstRow="1" w:lastRow="0" w:firstColumn="1" w:lastColumn="0" w:noHBand="0" w:noVBand="1"/>
      </w:tblPr>
      <w:tblGrid>
        <w:gridCol w:w="535"/>
        <w:gridCol w:w="5397"/>
        <w:gridCol w:w="3418"/>
      </w:tblGrid>
      <w:tr w:rsidR="000C0842" w:rsidRPr="000C0842" w14:paraId="050C15B1" w14:textId="77777777" w:rsidTr="001F32B3">
        <w:tc>
          <w:tcPr>
            <w:tcW w:w="535" w:type="dxa"/>
          </w:tcPr>
          <w:p w14:paraId="6F601DF3"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b/>
                <w:bCs/>
                <w:snapToGrid w:val="0"/>
                <w:kern w:val="22"/>
                <w:sz w:val="20"/>
                <w:szCs w:val="20"/>
                <w:lang w:eastAsia="zh-CN"/>
              </w:rPr>
              <w:t>1.</w:t>
            </w:r>
          </w:p>
        </w:tc>
        <w:tc>
          <w:tcPr>
            <w:tcW w:w="5397" w:type="dxa"/>
          </w:tcPr>
          <w:p w14:paraId="5569DCB3"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贵国是否根据《昆蒙框架》修订或更新了</w:t>
            </w:r>
            <w:r w:rsidRPr="000C0842">
              <w:rPr>
                <w:rFonts w:ascii="SimSun" w:eastAsia="SimSun" w:hAnsi="SimSun" w:cs="SimSun" w:hint="eastAsia"/>
                <w:b/>
                <w:bCs/>
                <w:snapToGrid w:val="0"/>
                <w:kern w:val="22"/>
                <w:sz w:val="20"/>
                <w:szCs w:val="20"/>
                <w:lang w:val="en-GB" w:eastAsia="zh-CN"/>
              </w:rPr>
              <w:t>国家生物多样性战略和行动计划</w:t>
            </w:r>
            <w:r w:rsidRPr="000C0842">
              <w:rPr>
                <w:rFonts w:ascii="SimSun" w:eastAsia="SimSun" w:hAnsi="SimSun" w:cs="SimSun" w:hint="eastAsia"/>
                <w:b/>
                <w:bCs/>
                <w:snapToGrid w:val="0"/>
                <w:kern w:val="22"/>
                <w:sz w:val="20"/>
                <w:szCs w:val="20"/>
                <w:lang w:eastAsia="zh-CN"/>
              </w:rPr>
              <w:t>？</w:t>
            </w:r>
          </w:p>
        </w:tc>
        <w:tc>
          <w:tcPr>
            <w:tcW w:w="3418" w:type="dxa"/>
          </w:tcPr>
          <w:p w14:paraId="5944AEB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eastAsia="zh-CN"/>
              </w:rPr>
            </w:pPr>
            <w:r w:rsidRPr="000C0842">
              <w:rPr>
                <w:rFonts w:ascii="Segoe UI Symbol" w:eastAsia="MS Gothic" w:hAnsi="Segoe UI Symbol" w:cs="Segoe UI Symbol"/>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kern w:val="22"/>
                <w:sz w:val="20"/>
                <w:szCs w:val="20"/>
                <w:lang w:eastAsia="zh-CN"/>
              </w:rPr>
              <w:t>是</w:t>
            </w:r>
          </w:p>
          <w:p w14:paraId="3AF0A88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rPr>
                <w:rFonts w:ascii="MS Gothic" w:eastAsia="MS Gothic" w:hAnsi="MS Gothic" w:cs="Arial"/>
                <w:kern w:val="22"/>
                <w:sz w:val="20"/>
                <w:szCs w:val="20"/>
                <w:lang w:eastAsia="zh-CN"/>
              </w:rPr>
            </w:pPr>
            <w:r w:rsidRPr="000C0842">
              <w:rPr>
                <w:rFonts w:ascii="Segoe UI Symbol" w:eastAsia="MS Gothic" w:hAnsi="Segoe UI Symbol" w:cs="Segoe UI Symbol"/>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kern w:val="22"/>
                <w:sz w:val="20"/>
                <w:szCs w:val="20"/>
                <w:lang w:eastAsia="zh-CN"/>
              </w:rPr>
              <w:t>否</w:t>
            </w:r>
          </w:p>
          <w:p w14:paraId="3D7F414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eastAsia="zh-CN"/>
              </w:rPr>
            </w:pPr>
            <w:r w:rsidRPr="000C0842">
              <w:rPr>
                <w:rFonts w:ascii="Segoe UI Symbol" w:eastAsia="MS Gothic" w:hAnsi="Segoe UI Symbol" w:cs="Segoe UI Symbol"/>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kern w:val="22"/>
                <w:sz w:val="20"/>
                <w:szCs w:val="20"/>
                <w:lang w:eastAsia="zh-CN"/>
              </w:rPr>
              <w:t>进行中</w:t>
            </w:r>
          </w:p>
          <w:p w14:paraId="55F7232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hAnsi="Calibri" w:cs="Arial"/>
                <w:snapToGrid w:val="0"/>
                <w:kern w:val="22"/>
                <w:sz w:val="20"/>
                <w:szCs w:val="20"/>
                <w:lang w:eastAsia="zh-CN"/>
              </w:rPr>
            </w:pPr>
            <w:r w:rsidRPr="000C0842">
              <w:rPr>
                <w:rFonts w:ascii="SimSun" w:eastAsia="SimSun" w:hAnsi="SimSun" w:cs="SimSun" w:hint="eastAsia"/>
                <w:kern w:val="22"/>
                <w:sz w:val="20"/>
                <w:szCs w:val="20"/>
                <w:lang w:eastAsia="zh-CN"/>
              </w:rPr>
              <w:t>如回答</w:t>
            </w:r>
            <w:r w:rsidRPr="000C0842">
              <w:rPr>
                <w:rFonts w:ascii="Cambria" w:hAnsi="Cambria" w:cs="Cambria"/>
                <w:kern w:val="22"/>
                <w:sz w:val="20"/>
                <w:szCs w:val="20"/>
                <w:lang w:eastAsia="zh-CN"/>
              </w:rPr>
              <w:t>“</w:t>
            </w:r>
            <w:r w:rsidRPr="000C0842">
              <w:rPr>
                <w:rFonts w:ascii="SimSun" w:eastAsia="SimSun" w:hAnsi="SimSun" w:cs="SimSun" w:hint="eastAsia"/>
                <w:kern w:val="22"/>
                <w:sz w:val="20"/>
                <w:szCs w:val="20"/>
                <w:lang w:eastAsia="zh-CN"/>
              </w:rPr>
              <w:t>否</w:t>
            </w:r>
            <w:r w:rsidRPr="000C0842">
              <w:rPr>
                <w:rFonts w:ascii="Cambria" w:hAnsi="Cambria" w:cs="Cambria"/>
                <w:kern w:val="22"/>
                <w:sz w:val="20"/>
                <w:szCs w:val="20"/>
                <w:lang w:eastAsia="zh-CN"/>
              </w:rPr>
              <w:t>”</w:t>
            </w:r>
            <w:r w:rsidRPr="000C0842">
              <w:rPr>
                <w:rFonts w:ascii="SimSun" w:eastAsia="SimSun" w:hAnsi="SimSun" w:cs="SimSun" w:hint="eastAsia"/>
                <w:kern w:val="22"/>
                <w:sz w:val="20"/>
                <w:szCs w:val="20"/>
                <w:lang w:eastAsia="zh-CN"/>
              </w:rPr>
              <w:t>或</w:t>
            </w:r>
            <w:r w:rsidRPr="000C0842">
              <w:rPr>
                <w:rFonts w:ascii="Cambria" w:hAnsi="Cambria" w:cs="Cambria"/>
                <w:kern w:val="22"/>
                <w:sz w:val="20"/>
                <w:szCs w:val="20"/>
                <w:lang w:eastAsia="zh-CN"/>
              </w:rPr>
              <w:t>“</w:t>
            </w:r>
            <w:r w:rsidRPr="000C0842">
              <w:rPr>
                <w:rFonts w:ascii="SimSun" w:eastAsia="SimSun" w:hAnsi="SimSun" w:cs="SimSun" w:hint="eastAsia"/>
                <w:kern w:val="22"/>
                <w:sz w:val="20"/>
                <w:szCs w:val="20"/>
                <w:lang w:eastAsia="zh-CN"/>
              </w:rPr>
              <w:t>进行中</w:t>
            </w:r>
            <w:r w:rsidRPr="000C0842">
              <w:rPr>
                <w:rFonts w:ascii="MS Gothic" w:hAnsi="MS Gothic" w:cs="MS Gothic" w:hint="eastAsia"/>
                <w:kern w:val="22"/>
                <w:sz w:val="20"/>
                <w:szCs w:val="20"/>
                <w:lang w:eastAsia="zh-CN"/>
              </w:rPr>
              <w:t>”</w:t>
            </w:r>
            <w:r w:rsidRPr="000C0842">
              <w:rPr>
                <w:rFonts w:ascii="SimSun" w:eastAsia="SimSun" w:hAnsi="SimSun" w:cs="SimSun" w:hint="eastAsia"/>
                <w:kern w:val="22"/>
                <w:sz w:val="20"/>
                <w:szCs w:val="20"/>
                <w:lang w:eastAsia="zh-CN"/>
              </w:rPr>
              <w:t>，请说明完成修订或更新国家生物多样性战略和行动计划的预计日期：</w:t>
            </w:r>
            <w:r w:rsidRPr="000C0842">
              <w:rPr>
                <w:rFonts w:ascii="Calibri" w:hAnsi="Calibri" w:cs="Arial"/>
                <w:kern w:val="22"/>
                <w:sz w:val="20"/>
                <w:szCs w:val="20"/>
                <w:lang w:eastAsia="zh-CN"/>
              </w:rPr>
              <w:t>_________</w:t>
            </w:r>
            <w:r w:rsidRPr="000C0842">
              <w:rPr>
                <w:rFonts w:ascii="Calibri" w:eastAsia="DengXian" w:hAnsi="Calibri" w:cs="Arial" w:hint="eastAsia"/>
                <w:kern w:val="22"/>
                <w:sz w:val="20"/>
                <w:szCs w:val="20"/>
                <w:lang w:eastAsia="zh-CN"/>
              </w:rPr>
              <w:t xml:space="preserve"> </w:t>
            </w:r>
            <w:r w:rsidRPr="000C0842">
              <w:rPr>
                <w:rFonts w:ascii="Calibri" w:hAnsi="Calibri" w:cs="Arial"/>
                <w:kern w:val="22"/>
                <w:sz w:val="20"/>
                <w:szCs w:val="20"/>
                <w:lang w:eastAsia="zh-CN"/>
              </w:rPr>
              <w:t>_______________________</w:t>
            </w:r>
          </w:p>
        </w:tc>
      </w:tr>
      <w:tr w:rsidR="000C0842" w:rsidRPr="000C0842" w14:paraId="2CEB773C" w14:textId="77777777" w:rsidTr="001F32B3">
        <w:tc>
          <w:tcPr>
            <w:tcW w:w="535" w:type="dxa"/>
          </w:tcPr>
          <w:p w14:paraId="3BA8D336"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2.</w:t>
            </w:r>
          </w:p>
        </w:tc>
        <w:tc>
          <w:tcPr>
            <w:tcW w:w="5397" w:type="dxa"/>
          </w:tcPr>
          <w:p w14:paraId="56BB8307"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贵国是否让利益攸关方参与修订或更新国家生物多样性战略和行动计划？</w:t>
            </w:r>
          </w:p>
        </w:tc>
        <w:tc>
          <w:tcPr>
            <w:tcW w:w="3418" w:type="dxa"/>
          </w:tcPr>
          <w:p w14:paraId="729E772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kern w:val="22"/>
                <w:sz w:val="20"/>
                <w:szCs w:val="20"/>
                <w:lang w:eastAsia="zh-CN"/>
              </w:rPr>
              <w:t>是</w:t>
            </w:r>
          </w:p>
          <w:p w14:paraId="444E5502"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kern w:val="22"/>
                <w:sz w:val="20"/>
                <w:szCs w:val="20"/>
                <w:lang w:eastAsia="zh-CN"/>
              </w:rPr>
              <w:t>否</w:t>
            </w:r>
          </w:p>
          <w:p w14:paraId="0C2003F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SimSun" w:eastAsia="SimSun" w:hAnsi="SimSun" w:cs="SimSun" w:hint="eastAsia"/>
                <w:kern w:val="22"/>
                <w:sz w:val="20"/>
                <w:szCs w:val="20"/>
                <w:lang w:eastAsia="zh-CN"/>
              </w:rPr>
              <w:t>如回答</w:t>
            </w:r>
            <w:r w:rsidRPr="000C0842">
              <w:rPr>
                <w:rFonts w:ascii="Cambria" w:hAnsi="Cambria" w:cs="Cambria"/>
                <w:kern w:val="22"/>
                <w:sz w:val="20"/>
                <w:szCs w:val="20"/>
                <w:lang w:eastAsia="zh-CN"/>
              </w:rPr>
              <w:t>“</w:t>
            </w:r>
            <w:r w:rsidRPr="000C0842">
              <w:rPr>
                <w:rFonts w:ascii="SimSun" w:eastAsia="SimSun" w:hAnsi="SimSun" w:cs="SimSun" w:hint="eastAsia"/>
                <w:kern w:val="22"/>
                <w:sz w:val="20"/>
                <w:szCs w:val="20"/>
                <w:lang w:eastAsia="zh-CN"/>
              </w:rPr>
              <w:t>是</w:t>
            </w:r>
            <w:r w:rsidRPr="000C0842">
              <w:rPr>
                <w:rFonts w:ascii="Cambria" w:hAnsi="Cambria" w:cs="Cambria"/>
                <w:kern w:val="22"/>
                <w:sz w:val="20"/>
                <w:szCs w:val="20"/>
                <w:lang w:eastAsia="zh-CN"/>
              </w:rPr>
              <w:t>”</w:t>
            </w:r>
            <w:r w:rsidRPr="000C0842">
              <w:rPr>
                <w:rFonts w:ascii="SimSun" w:eastAsia="SimSun" w:hAnsi="SimSun" w:cs="SimSun" w:hint="eastAsia"/>
                <w:kern w:val="22"/>
                <w:sz w:val="20"/>
                <w:szCs w:val="20"/>
                <w:lang w:eastAsia="zh-CN"/>
              </w:rPr>
              <w:t>，请（在下拉菜单中）选择：</w:t>
            </w:r>
            <w:r w:rsidRPr="000C0842">
              <w:rPr>
                <w:rFonts w:ascii="Calibri" w:hAnsi="Calibri" w:cs="Arial"/>
                <w:kern w:val="22"/>
                <w:sz w:val="20"/>
                <w:szCs w:val="20"/>
                <w:lang w:eastAsia="zh-CN"/>
              </w:rPr>
              <w:t xml:space="preserve"> </w:t>
            </w:r>
          </w:p>
          <w:p w14:paraId="43451D8E"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土著人民和地方社区</w:t>
            </w:r>
          </w:p>
          <w:p w14:paraId="4D8BAFF8"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妇女</w:t>
            </w:r>
          </w:p>
          <w:p w14:paraId="02EA9FB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青年</w:t>
            </w:r>
          </w:p>
          <w:p w14:paraId="7DFD715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地方和</w:t>
            </w:r>
            <w:r w:rsidRPr="000C0842">
              <w:rPr>
                <w:rFonts w:ascii="Microsoft YaHei" w:eastAsia="DengXian" w:hAnsi="Microsoft YaHei" w:cs="Microsoft YaHei" w:hint="eastAsia"/>
                <w:snapToGrid w:val="0"/>
                <w:kern w:val="22"/>
                <w:sz w:val="20"/>
                <w:szCs w:val="20"/>
                <w:lang w:eastAsia="zh-CN"/>
              </w:rPr>
              <w:t>/</w:t>
            </w:r>
            <w:r w:rsidRPr="000C0842">
              <w:rPr>
                <w:rFonts w:ascii="Microsoft YaHei" w:eastAsia="DengXian" w:hAnsi="Microsoft YaHei" w:cs="Microsoft YaHei" w:hint="eastAsia"/>
                <w:snapToGrid w:val="0"/>
                <w:kern w:val="22"/>
                <w:sz w:val="20"/>
                <w:szCs w:val="20"/>
                <w:lang w:eastAsia="zh-CN"/>
              </w:rPr>
              <w:t>或</w:t>
            </w:r>
            <w:r w:rsidRPr="000C0842">
              <w:rPr>
                <w:rFonts w:ascii="SimSun" w:eastAsia="SimSun" w:hAnsi="SimSun" w:cs="SimSun" w:hint="eastAsia"/>
                <w:snapToGrid w:val="0"/>
                <w:kern w:val="22"/>
                <w:sz w:val="20"/>
                <w:szCs w:val="20"/>
                <w:lang w:eastAsia="zh-CN"/>
              </w:rPr>
              <w:t>次国家政府</w:t>
            </w:r>
          </w:p>
          <w:p w14:paraId="7EF2E6BC"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私营部门</w:t>
            </w:r>
          </w:p>
          <w:p w14:paraId="478AA512"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Microsoft YaHei" w:eastAsia="Microsoft YaHei" w:hAnsi="Microsoft YaHei" w:cs="Microsoft YaHei" w:hint="eastAsia"/>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其他利益攸关方</w:t>
            </w:r>
          </w:p>
        </w:tc>
      </w:tr>
      <w:tr w:rsidR="000C0842" w:rsidRPr="000C0842" w14:paraId="5475896E" w14:textId="77777777" w:rsidTr="001F32B3">
        <w:tc>
          <w:tcPr>
            <w:tcW w:w="535" w:type="dxa"/>
          </w:tcPr>
          <w:p w14:paraId="604A0E83"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3.</w:t>
            </w:r>
          </w:p>
        </w:tc>
        <w:tc>
          <w:tcPr>
            <w:tcW w:w="5397" w:type="dxa"/>
          </w:tcPr>
          <w:p w14:paraId="141BB00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贵国修订或更新的国家生物多样性战略和行动计划是否已获采纳，成为政策或法律文书和</w:t>
            </w:r>
            <w:r w:rsidRPr="000C0842">
              <w:rPr>
                <w:rFonts w:ascii="Calibri" w:hAnsi="Calibri" w:cs="Arial" w:hint="eastAsia"/>
                <w:b/>
                <w:bCs/>
                <w:snapToGrid w:val="0"/>
                <w:kern w:val="22"/>
                <w:sz w:val="20"/>
                <w:szCs w:val="20"/>
                <w:lang w:eastAsia="zh-CN"/>
              </w:rPr>
              <w:t>/</w:t>
            </w:r>
            <w:r w:rsidRPr="000C0842">
              <w:rPr>
                <w:rFonts w:ascii="SimSun" w:eastAsia="SimSun" w:hAnsi="SimSun" w:cs="SimSun" w:hint="eastAsia"/>
                <w:b/>
                <w:bCs/>
                <w:snapToGrid w:val="0"/>
                <w:kern w:val="22"/>
                <w:sz w:val="20"/>
                <w:szCs w:val="20"/>
                <w:lang w:eastAsia="zh-CN"/>
              </w:rPr>
              <w:t>或纳入其他战略？</w:t>
            </w:r>
          </w:p>
          <w:p w14:paraId="053BC5D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p>
          <w:p w14:paraId="6122B5A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p>
        </w:tc>
        <w:tc>
          <w:tcPr>
            <w:tcW w:w="3418" w:type="dxa"/>
          </w:tcPr>
          <w:p w14:paraId="0B9ED57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snapToGrid w:val="0"/>
                <w:kern w:val="22"/>
                <w:sz w:val="20"/>
                <w:szCs w:val="20"/>
                <w:lang w:eastAsia="zh-CN"/>
              </w:rPr>
              <w:t>是</w:t>
            </w:r>
          </w:p>
          <w:p w14:paraId="67708A0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snapToGrid w:val="0"/>
                <w:kern w:val="22"/>
                <w:sz w:val="20"/>
                <w:szCs w:val="20"/>
                <w:lang w:eastAsia="zh-CN"/>
              </w:rPr>
              <w:t>否</w:t>
            </w:r>
          </w:p>
          <w:p w14:paraId="636D01A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snapToGrid w:val="0"/>
                <w:kern w:val="22"/>
                <w:sz w:val="20"/>
                <w:szCs w:val="20"/>
                <w:lang w:eastAsia="zh-CN"/>
              </w:rPr>
              <w:t>进行中</w:t>
            </w:r>
          </w:p>
          <w:p w14:paraId="67E5DB0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Calibri" w:eastAsia="MS Gothic" w:hAnsi="Calibri" w:cs="Arial" w:hint="eastAsia"/>
                <w:kern w:val="22"/>
                <w:sz w:val="20"/>
                <w:szCs w:val="20"/>
                <w:lang w:eastAsia="zh-CN"/>
              </w:rPr>
              <w:t>☐</w:t>
            </w:r>
            <w:r w:rsidRPr="000C0842">
              <w:rPr>
                <w:rFonts w:ascii="Calibri" w:eastAsia="MS Gothic" w:hAnsi="Calibri" w:cs="Arial"/>
                <w:kern w:val="22"/>
                <w:sz w:val="20"/>
                <w:szCs w:val="20"/>
                <w:lang w:eastAsia="zh-CN"/>
              </w:rPr>
              <w:t xml:space="preserve"> </w:t>
            </w:r>
            <w:r w:rsidRPr="000C0842">
              <w:rPr>
                <w:rFonts w:ascii="SimSun" w:eastAsia="SimSun" w:hAnsi="SimSun" w:cs="SimSun" w:hint="eastAsia"/>
                <w:snapToGrid w:val="0"/>
                <w:kern w:val="22"/>
                <w:sz w:val="20"/>
                <w:szCs w:val="20"/>
                <w:lang w:eastAsia="zh-CN"/>
              </w:rPr>
              <w:t>其他</w:t>
            </w:r>
            <w:r w:rsidRPr="000C0842">
              <w:rPr>
                <w:rFonts w:ascii="Calibri" w:hAnsi="Calibri" w:cs="Arial" w:hint="eastAsia"/>
                <w:snapToGrid w:val="0"/>
                <w:kern w:val="22"/>
                <w:sz w:val="20"/>
                <w:szCs w:val="20"/>
                <w:lang w:eastAsia="zh-CN"/>
              </w:rPr>
              <w:t xml:space="preserve"> </w:t>
            </w:r>
          </w:p>
          <w:p w14:paraId="780FA60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imSun" w:eastAsia="SimSun" w:hAnsi="SimSun" w:cs="SimSun" w:hint="eastAsia"/>
                <w:snapToGrid w:val="0"/>
                <w:kern w:val="22"/>
                <w:sz w:val="20"/>
                <w:szCs w:val="20"/>
                <w:lang w:eastAsia="zh-CN"/>
              </w:rPr>
              <w:t>如果回答</w:t>
            </w:r>
            <w:r w:rsidRPr="000C0842">
              <w:rPr>
                <w:rFonts w:ascii="Calibri" w:hAnsi="Calibri" w:cs="Arial"/>
                <w:snapToGrid w:val="0"/>
                <w:kern w:val="22"/>
                <w:sz w:val="20"/>
                <w:szCs w:val="20"/>
                <w:lang w:eastAsia="zh-CN"/>
              </w:rPr>
              <w:t>“</w:t>
            </w:r>
            <w:r w:rsidRPr="000C0842">
              <w:rPr>
                <w:rFonts w:ascii="SimSun" w:eastAsia="SimSun" w:hAnsi="SimSun" w:cs="SimSun" w:hint="eastAsia"/>
                <w:snapToGrid w:val="0"/>
                <w:kern w:val="22"/>
                <w:sz w:val="20"/>
                <w:szCs w:val="20"/>
                <w:lang w:eastAsia="zh-CN"/>
              </w:rPr>
              <w:t>否</w:t>
            </w:r>
            <w:r w:rsidRPr="000C0842">
              <w:rPr>
                <w:rFonts w:ascii="Calibri" w:hAnsi="Calibri" w:cs="Arial"/>
                <w:snapToGrid w:val="0"/>
                <w:kern w:val="22"/>
                <w:sz w:val="20"/>
                <w:szCs w:val="20"/>
                <w:lang w:eastAsia="zh-CN"/>
              </w:rPr>
              <w:t>”</w:t>
            </w:r>
            <w:r w:rsidRPr="000C0842">
              <w:rPr>
                <w:rFonts w:ascii="SimSun" w:eastAsia="SimSun" w:hAnsi="SimSun" w:cs="SimSun" w:hint="eastAsia"/>
                <w:snapToGrid w:val="0"/>
                <w:kern w:val="22"/>
                <w:sz w:val="20"/>
                <w:szCs w:val="20"/>
                <w:lang w:eastAsia="zh-CN"/>
              </w:rPr>
              <w:t>或</w:t>
            </w:r>
            <w:r w:rsidRPr="000C0842">
              <w:rPr>
                <w:rFonts w:ascii="Cambria" w:hAnsi="Cambria" w:cs="Cambria"/>
                <w:snapToGrid w:val="0"/>
                <w:kern w:val="22"/>
                <w:sz w:val="20"/>
                <w:szCs w:val="20"/>
                <w:lang w:eastAsia="zh-CN"/>
              </w:rPr>
              <w:t>“</w:t>
            </w:r>
            <w:r w:rsidRPr="000C0842">
              <w:rPr>
                <w:rFonts w:ascii="SimSun" w:eastAsia="SimSun" w:hAnsi="SimSun" w:cs="SimSun" w:hint="eastAsia"/>
                <w:snapToGrid w:val="0"/>
                <w:kern w:val="22"/>
                <w:sz w:val="20"/>
                <w:szCs w:val="20"/>
                <w:lang w:eastAsia="zh-CN"/>
              </w:rPr>
              <w:t>其他</w:t>
            </w:r>
            <w:r w:rsidRPr="000C0842">
              <w:rPr>
                <w:rFonts w:ascii="Cambria" w:hAnsi="Cambria" w:cs="Cambria"/>
                <w:snapToGrid w:val="0"/>
                <w:kern w:val="22"/>
                <w:sz w:val="20"/>
                <w:szCs w:val="20"/>
                <w:lang w:eastAsia="zh-CN"/>
              </w:rPr>
              <w:t>”</w:t>
            </w:r>
            <w:r w:rsidRPr="000C0842">
              <w:rPr>
                <w:rFonts w:ascii="SimSun" w:eastAsia="SimSun" w:hAnsi="SimSun" w:cs="SimSun" w:hint="eastAsia"/>
                <w:snapToGrid w:val="0"/>
                <w:kern w:val="22"/>
                <w:sz w:val="20"/>
                <w:szCs w:val="20"/>
                <w:lang w:eastAsia="zh-CN"/>
              </w:rPr>
              <w:t>，请具体说明预计通过日期：</w:t>
            </w:r>
          </w:p>
          <w:p w14:paraId="0B62481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eastAsia="zh-CN"/>
              </w:rPr>
            </w:pPr>
          </w:p>
        </w:tc>
      </w:tr>
      <w:tr w:rsidR="000C0842" w:rsidRPr="000C0842" w14:paraId="1A66101C" w14:textId="77777777" w:rsidTr="001F32B3">
        <w:tc>
          <w:tcPr>
            <w:tcW w:w="535" w:type="dxa"/>
          </w:tcPr>
          <w:p w14:paraId="3C26155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4.</w:t>
            </w:r>
          </w:p>
        </w:tc>
        <w:tc>
          <w:tcPr>
            <w:tcW w:w="5397" w:type="dxa"/>
          </w:tcPr>
          <w:p w14:paraId="1C0D2596"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如果对问题</w:t>
            </w:r>
            <w:r w:rsidRPr="000C0842">
              <w:rPr>
                <w:rFonts w:cs="Times New Roman"/>
                <w:b/>
                <w:bCs/>
                <w:snapToGrid w:val="0"/>
                <w:kern w:val="22"/>
                <w:sz w:val="20"/>
                <w:szCs w:val="20"/>
                <w:lang w:eastAsia="zh-CN"/>
              </w:rPr>
              <w:t>3</w:t>
            </w:r>
            <w:r w:rsidRPr="000C0842">
              <w:rPr>
                <w:rFonts w:ascii="SimSun" w:eastAsia="SimSun" w:hAnsi="SimSun" w:cs="SimSun" w:hint="eastAsia"/>
                <w:b/>
                <w:bCs/>
                <w:snapToGrid w:val="0"/>
                <w:kern w:val="22"/>
                <w:sz w:val="20"/>
                <w:szCs w:val="20"/>
                <w:lang w:eastAsia="zh-CN"/>
              </w:rPr>
              <w:t>回答</w:t>
            </w:r>
            <w:r w:rsidRPr="000C0842">
              <w:rPr>
                <w:rFonts w:ascii="Calibri" w:hAnsi="Calibri" w:cs="Arial"/>
                <w:b/>
                <w:bCs/>
                <w:snapToGrid w:val="0"/>
                <w:kern w:val="22"/>
                <w:sz w:val="20"/>
                <w:szCs w:val="20"/>
                <w:lang w:eastAsia="zh-CN"/>
              </w:rPr>
              <w:t>“</w:t>
            </w:r>
            <w:r w:rsidRPr="000C0842">
              <w:rPr>
                <w:rFonts w:ascii="SimSun" w:eastAsia="SimSun" w:hAnsi="SimSun" w:cs="SimSun" w:hint="eastAsia"/>
                <w:b/>
                <w:bCs/>
                <w:snapToGrid w:val="0"/>
                <w:kern w:val="22"/>
                <w:sz w:val="20"/>
                <w:szCs w:val="20"/>
                <w:lang w:eastAsia="zh-CN"/>
              </w:rPr>
              <w:t>是</w:t>
            </w:r>
            <w:r w:rsidRPr="000C0842">
              <w:rPr>
                <w:rFonts w:ascii="Calibri" w:hAnsi="Calibri" w:cs="Arial"/>
                <w:b/>
                <w:bCs/>
                <w:snapToGrid w:val="0"/>
                <w:kern w:val="22"/>
                <w:sz w:val="20"/>
                <w:szCs w:val="20"/>
                <w:lang w:eastAsia="zh-CN"/>
              </w:rPr>
              <w:t>”</w:t>
            </w:r>
            <w:r w:rsidRPr="000C0842">
              <w:rPr>
                <w:rFonts w:ascii="SimSun" w:eastAsia="SimSun" w:hAnsi="SimSun" w:cs="SimSun" w:hint="eastAsia"/>
                <w:b/>
                <w:bCs/>
                <w:snapToGrid w:val="0"/>
                <w:kern w:val="22"/>
                <w:sz w:val="20"/>
                <w:szCs w:val="20"/>
                <w:lang w:eastAsia="zh-CN"/>
              </w:rPr>
              <w:t>，请说明贵国是以何种方式采纳经修订或更新的国家生物多样性战略和行动计划。</w:t>
            </w:r>
          </w:p>
        </w:tc>
        <w:tc>
          <w:tcPr>
            <w:tcW w:w="3418" w:type="dxa"/>
          </w:tcPr>
          <w:p w14:paraId="3F67BED0"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w:t>
            </w:r>
            <w:r w:rsidRPr="000C0842">
              <w:rPr>
                <w:rFonts w:ascii="Segoe UI Symbol" w:hAnsi="Segoe UI Symbol" w:cs="Segoe UI Symbol"/>
                <w:snapToGrid w:val="0"/>
                <w:kern w:val="22"/>
                <w:sz w:val="20"/>
                <w:szCs w:val="20"/>
                <w:lang w:eastAsia="zh-CN"/>
              </w:rPr>
              <w:tab/>
            </w:r>
            <w:r w:rsidRPr="000C0842">
              <w:rPr>
                <w:rFonts w:ascii="SimSun" w:eastAsia="SimSun" w:hAnsi="SimSun" w:cs="SimSun" w:hint="eastAsia"/>
                <w:snapToGrid w:val="0"/>
                <w:kern w:val="22"/>
                <w:sz w:val="20"/>
                <w:szCs w:val="20"/>
                <w:lang w:eastAsia="zh-CN"/>
              </w:rPr>
              <w:t>议会通过立法或其他方式采纳</w:t>
            </w:r>
          </w:p>
          <w:p w14:paraId="0A100ACE"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w:t>
            </w:r>
            <w:r w:rsidRPr="000C0842">
              <w:rPr>
                <w:rFonts w:ascii="Segoe UI Symbol" w:hAnsi="Segoe UI Symbol" w:cs="Segoe UI Symbol"/>
                <w:snapToGrid w:val="0"/>
                <w:kern w:val="22"/>
                <w:sz w:val="20"/>
                <w:szCs w:val="20"/>
                <w:lang w:eastAsia="zh-CN"/>
              </w:rPr>
              <w:tab/>
            </w:r>
            <w:r w:rsidRPr="000C0842">
              <w:rPr>
                <w:rFonts w:ascii="SimSun" w:eastAsia="SimSun" w:hAnsi="SimSun" w:cs="SimSun" w:hint="eastAsia"/>
                <w:snapToGrid w:val="0"/>
                <w:kern w:val="22"/>
                <w:sz w:val="20"/>
                <w:szCs w:val="20"/>
                <w:lang w:eastAsia="zh-CN"/>
              </w:rPr>
              <w:t>为部长会议、总统</w:t>
            </w:r>
            <w:r w:rsidRPr="000C0842">
              <w:rPr>
                <w:rFonts w:ascii="Calibri" w:hAnsi="Calibri" w:cs="Arial"/>
                <w:snapToGrid w:val="0"/>
                <w:kern w:val="22"/>
                <w:sz w:val="20"/>
                <w:szCs w:val="20"/>
                <w:lang w:eastAsia="zh-CN"/>
              </w:rPr>
              <w:t>/</w:t>
            </w:r>
            <w:r w:rsidRPr="000C0842">
              <w:rPr>
                <w:rFonts w:ascii="SimSun" w:eastAsia="SimSun" w:hAnsi="SimSun" w:cs="SimSun" w:hint="eastAsia"/>
                <w:snapToGrid w:val="0"/>
                <w:kern w:val="22"/>
                <w:sz w:val="20"/>
                <w:szCs w:val="20"/>
                <w:lang w:eastAsia="zh-CN"/>
              </w:rPr>
              <w:t>总理办公室或同等机构所采纳</w:t>
            </w:r>
          </w:p>
          <w:p w14:paraId="247B4120"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w:t>
            </w:r>
            <w:r w:rsidRPr="000C0842">
              <w:rPr>
                <w:rFonts w:ascii="Segoe UI Symbol" w:hAnsi="Segoe UI Symbol" w:cs="Segoe UI Symbol"/>
                <w:snapToGrid w:val="0"/>
                <w:kern w:val="22"/>
                <w:sz w:val="20"/>
                <w:szCs w:val="20"/>
                <w:lang w:eastAsia="zh-CN"/>
              </w:rPr>
              <w:tab/>
            </w:r>
            <w:r w:rsidRPr="000C0842">
              <w:rPr>
                <w:rFonts w:ascii="SimSun" w:eastAsia="SimSun" w:hAnsi="SimSun" w:cs="SimSun" w:hint="eastAsia"/>
                <w:snapToGrid w:val="0"/>
                <w:kern w:val="22"/>
                <w:sz w:val="20"/>
                <w:szCs w:val="20"/>
                <w:lang w:eastAsia="zh-CN"/>
              </w:rPr>
              <w:t>为环境部或其他对口部委所采纳</w:t>
            </w:r>
            <w:r w:rsidRPr="000C0842">
              <w:rPr>
                <w:rFonts w:ascii="Calibri" w:hAnsi="Calibri" w:cs="Arial"/>
                <w:snapToGrid w:val="0"/>
                <w:kern w:val="22"/>
                <w:sz w:val="20"/>
                <w:szCs w:val="20"/>
                <w:lang w:eastAsia="zh-CN"/>
              </w:rPr>
              <w:t xml:space="preserve"> </w:t>
            </w:r>
          </w:p>
          <w:p w14:paraId="277E3C9F"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w:t>
            </w:r>
            <w:r w:rsidRPr="000C0842">
              <w:rPr>
                <w:rFonts w:ascii="Segoe UI Symbol" w:hAnsi="Segoe UI Symbol" w:cs="Segoe UI Symbol"/>
                <w:snapToGrid w:val="0"/>
                <w:kern w:val="22"/>
                <w:sz w:val="20"/>
                <w:szCs w:val="20"/>
                <w:lang w:eastAsia="zh-CN"/>
              </w:rPr>
              <w:tab/>
            </w:r>
            <w:r w:rsidRPr="000C0842">
              <w:rPr>
                <w:rFonts w:ascii="SimSun" w:eastAsia="SimSun" w:hAnsi="SimSun" w:cs="SimSun" w:hint="eastAsia"/>
                <w:snapToGrid w:val="0"/>
                <w:kern w:val="22"/>
                <w:sz w:val="20"/>
                <w:szCs w:val="20"/>
                <w:lang w:eastAsia="zh-CN"/>
              </w:rPr>
              <w:t>被纳入减贫战略、可持续发展战略、国家发展计划和其他某项相关战略或计划</w:t>
            </w:r>
            <w:r w:rsidRPr="000C0842">
              <w:rPr>
                <w:rFonts w:ascii="Calibri" w:eastAsia="Times New Roman" w:hAnsi="Calibri" w:cs="Arial"/>
                <w:snapToGrid w:val="0"/>
                <w:kern w:val="22"/>
                <w:sz w:val="20"/>
                <w:szCs w:val="20"/>
                <w:lang w:eastAsia="zh-CN"/>
              </w:rPr>
              <w:t xml:space="preserve"> </w:t>
            </w:r>
          </w:p>
          <w:p w14:paraId="30E86AFE"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eastAsia="Times New Roman" w:hAnsi="Segoe UI Symbol" w:cs="Segoe UI Symbol"/>
                <w:snapToGrid w:val="0"/>
                <w:kern w:val="22"/>
                <w:sz w:val="20"/>
                <w:szCs w:val="20"/>
                <w:lang w:eastAsia="zh-CN"/>
              </w:rPr>
              <w:t>☐</w:t>
            </w:r>
            <w:r w:rsidRPr="000C0842">
              <w:rPr>
                <w:rFonts w:ascii="Segoe UI Symbol" w:eastAsia="DengXian" w:hAnsi="Segoe UI Symbol" w:cs="Segoe UI Symbol"/>
                <w:snapToGrid w:val="0"/>
                <w:kern w:val="22"/>
                <w:sz w:val="20"/>
                <w:szCs w:val="20"/>
                <w:lang w:eastAsia="zh-CN"/>
              </w:rPr>
              <w:tab/>
            </w:r>
            <w:r w:rsidRPr="000C0842">
              <w:rPr>
                <w:rFonts w:ascii="SimSun" w:eastAsia="SimSun" w:hAnsi="SimSun" w:cs="SimSun" w:hint="eastAsia"/>
                <w:snapToGrid w:val="0"/>
                <w:kern w:val="22"/>
                <w:sz w:val="20"/>
                <w:szCs w:val="20"/>
                <w:lang w:eastAsia="zh-CN"/>
              </w:rPr>
              <w:t>其他（请具体说明）</w:t>
            </w:r>
          </w:p>
          <w:p w14:paraId="5F5D53D6"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cs="Times New Roman"/>
                <w:snapToGrid w:val="0"/>
                <w:kern w:val="22"/>
                <w:sz w:val="20"/>
                <w:szCs w:val="20"/>
                <w:lang w:eastAsia="zh-CN"/>
              </w:rPr>
            </w:pPr>
            <w:r w:rsidRPr="000C0842">
              <w:rPr>
                <w:rFonts w:cs="Times New Roman"/>
                <w:snapToGrid w:val="0"/>
                <w:kern w:val="22"/>
                <w:sz w:val="20"/>
                <w:szCs w:val="20"/>
                <w:lang w:eastAsia="zh-CN"/>
              </w:rPr>
              <w:t>_______________</w:t>
            </w:r>
            <w:r w:rsidRPr="000C0842">
              <w:rPr>
                <w:rFonts w:cs="Times New Roman" w:hint="eastAsia"/>
                <w:snapToGrid w:val="0"/>
                <w:kern w:val="22"/>
                <w:sz w:val="20"/>
                <w:szCs w:val="20"/>
                <w:lang w:eastAsia="zh-CN"/>
              </w:rPr>
              <w:t>___________</w:t>
            </w:r>
            <w:r w:rsidRPr="000C0842">
              <w:rPr>
                <w:rFonts w:cs="Times New Roman"/>
                <w:snapToGrid w:val="0"/>
                <w:kern w:val="22"/>
                <w:sz w:val="20"/>
                <w:szCs w:val="20"/>
                <w:lang w:eastAsia="zh-CN"/>
              </w:rPr>
              <w:t>_</w:t>
            </w:r>
          </w:p>
        </w:tc>
      </w:tr>
      <w:tr w:rsidR="000C0842" w:rsidRPr="000C0842" w14:paraId="7987AA3D" w14:textId="77777777" w:rsidTr="001F32B3">
        <w:tc>
          <w:tcPr>
            <w:tcW w:w="535" w:type="dxa"/>
          </w:tcPr>
          <w:p w14:paraId="5884D41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5.</w:t>
            </w:r>
          </w:p>
        </w:tc>
        <w:tc>
          <w:tcPr>
            <w:tcW w:w="5397" w:type="dxa"/>
          </w:tcPr>
          <w:p w14:paraId="7AC87E78"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请简要说明国家生物多样性监测系统以及该系统如何跟踪国家生物多样性战略和行动计划的执行进度。</w:t>
            </w:r>
          </w:p>
        </w:tc>
        <w:tc>
          <w:tcPr>
            <w:tcW w:w="3418" w:type="dxa"/>
          </w:tcPr>
          <w:p w14:paraId="78A8A9D1" w14:textId="77777777" w:rsidR="000A776A" w:rsidRPr="000C0842" w:rsidRDefault="000A776A" w:rsidP="000A776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Segoe UI Symbol" w:hAnsi="Segoe UI Symbol" w:cs="Segoe UI Symbol"/>
                <w:snapToGrid w:val="0"/>
                <w:kern w:val="22"/>
                <w:sz w:val="20"/>
                <w:szCs w:val="20"/>
                <w:lang w:eastAsia="zh-CN"/>
              </w:rPr>
            </w:pPr>
          </w:p>
        </w:tc>
      </w:tr>
    </w:tbl>
    <w:p w14:paraId="701BFE21" w14:textId="77777777" w:rsidR="000A776A" w:rsidRPr="000C0842" w:rsidRDefault="000A776A" w:rsidP="00ED1A1D">
      <w:pPr>
        <w:widowControl w:val="0"/>
        <w:tabs>
          <w:tab w:val="clear" w:pos="567"/>
          <w:tab w:val="clear" w:pos="1134"/>
          <w:tab w:val="clear" w:pos="1701"/>
          <w:tab w:val="clear" w:pos="2268"/>
        </w:tabs>
        <w:topLinePunct/>
        <w:adjustRightInd w:val="0"/>
        <w:snapToGrid w:val="0"/>
        <w:spacing w:before="240" w:after="120" w:line="240" w:lineRule="atLeast"/>
        <w:ind w:left="490" w:hanging="490"/>
        <w:rPr>
          <w:rFonts w:eastAsia="SimSun"/>
          <w:b/>
          <w:bCs/>
          <w:snapToGrid w:val="0"/>
          <w:kern w:val="22"/>
          <w:sz w:val="24"/>
          <w:szCs w:val="24"/>
          <w:lang w:val="en-GB"/>
        </w:rPr>
      </w:pPr>
      <w:r w:rsidRPr="000C0842">
        <w:rPr>
          <w:rFonts w:eastAsia="SimSun" w:hint="eastAsia"/>
          <w:b/>
          <w:bCs/>
          <w:snapToGrid w:val="0"/>
          <w:kern w:val="22"/>
          <w:sz w:val="24"/>
          <w:szCs w:val="24"/>
          <w:lang w:val="en-GB"/>
        </w:rPr>
        <w:t>三</w:t>
      </w:r>
      <w:r w:rsidRPr="000C0842">
        <w:rPr>
          <w:rFonts w:eastAsia="SimSun"/>
          <w:b/>
          <w:bCs/>
          <w:snapToGrid w:val="0"/>
          <w:kern w:val="22"/>
          <w:sz w:val="24"/>
          <w:szCs w:val="24"/>
          <w:lang w:val="en-GB"/>
        </w:rPr>
        <w:t xml:space="preserve">.  </w:t>
      </w:r>
      <w:r w:rsidRPr="000C0842">
        <w:rPr>
          <w:rFonts w:eastAsia="SimSun" w:hint="eastAsia"/>
          <w:b/>
          <w:bCs/>
          <w:snapToGrid w:val="0"/>
          <w:kern w:val="22"/>
          <w:sz w:val="24"/>
          <w:szCs w:val="24"/>
          <w:lang w:val="en-GB"/>
        </w:rPr>
        <w:t>国家</w:t>
      </w:r>
      <w:r w:rsidRPr="000C0842">
        <w:rPr>
          <w:rFonts w:eastAsia="SimSun"/>
          <w:b/>
          <w:bCs/>
          <w:snapToGrid w:val="0"/>
          <w:kern w:val="22"/>
          <w:sz w:val="24"/>
          <w:szCs w:val="24"/>
          <w:lang w:val="en-GB"/>
        </w:rPr>
        <w:t>目标实现进度评估</w:t>
      </w:r>
      <w:r w:rsidRPr="000C0842">
        <w:rPr>
          <w:rFonts w:eastAsia="SimSun"/>
          <w:b/>
          <w:bCs/>
          <w:snapToGrid w:val="0"/>
          <w:kern w:val="22"/>
          <w:sz w:val="24"/>
          <w:szCs w:val="24"/>
          <w:lang w:val="en-GB"/>
        </w:rPr>
        <w:t xml:space="preserve"> </w:t>
      </w:r>
    </w:p>
    <w:p w14:paraId="7CF11E43" w14:textId="77777777" w:rsidR="000A776A" w:rsidRPr="000C0842" w:rsidRDefault="000A776A" w:rsidP="000A776A">
      <w:pPr>
        <w:widowControl w:val="0"/>
        <w:tabs>
          <w:tab w:val="clear" w:pos="567"/>
          <w:tab w:val="clear" w:pos="1134"/>
          <w:tab w:val="clear" w:pos="1701"/>
          <w:tab w:val="clear" w:pos="2268"/>
          <w:tab w:val="left" w:pos="403"/>
        </w:tabs>
        <w:topLinePunct/>
        <w:adjustRightInd w:val="0"/>
        <w:snapToGrid w:val="0"/>
        <w:spacing w:before="120" w:after="120" w:line="240" w:lineRule="atLeast"/>
        <w:rPr>
          <w:rFonts w:eastAsia="SimSun"/>
          <w:snapToGrid w:val="0"/>
          <w:kern w:val="22"/>
          <w:sz w:val="20"/>
          <w:szCs w:val="20"/>
          <w:lang w:val="en-GB"/>
        </w:rPr>
      </w:pPr>
      <w:r w:rsidRPr="000C0842">
        <w:rPr>
          <w:rFonts w:eastAsia="SimSun"/>
          <w:snapToGrid w:val="0"/>
          <w:kern w:val="22"/>
          <w:sz w:val="20"/>
          <w:szCs w:val="20"/>
          <w:lang w:val="en-GB"/>
        </w:rPr>
        <w:tab/>
      </w:r>
      <w:r w:rsidRPr="000C0842">
        <w:rPr>
          <w:rFonts w:eastAsia="SimSun"/>
          <w:snapToGrid w:val="0"/>
          <w:kern w:val="22"/>
          <w:sz w:val="20"/>
          <w:szCs w:val="20"/>
          <w:lang w:val="en-GB"/>
        </w:rPr>
        <w:t>请使用以下模板报告贵国根据《昆蒙框架》在</w:t>
      </w:r>
      <w:r w:rsidRPr="000C0842">
        <w:rPr>
          <w:rFonts w:eastAsia="SimSun" w:hint="eastAsia"/>
          <w:snapToGrid w:val="0"/>
          <w:kern w:val="22"/>
          <w:sz w:val="20"/>
          <w:szCs w:val="20"/>
          <w:lang w:val="en-GB"/>
        </w:rPr>
        <w:t>实施</w:t>
      </w:r>
      <w:r w:rsidRPr="000C0842">
        <w:rPr>
          <w:rFonts w:eastAsia="SimSun"/>
          <w:snapToGrid w:val="0"/>
          <w:kern w:val="22"/>
          <w:sz w:val="20"/>
          <w:szCs w:val="20"/>
          <w:lang w:val="en-GB"/>
        </w:rPr>
        <w:t>国家目标以及</w:t>
      </w:r>
      <w:r w:rsidRPr="000C0842">
        <w:rPr>
          <w:rFonts w:eastAsia="SimSun" w:hint="eastAsia"/>
          <w:snapToGrid w:val="0"/>
          <w:kern w:val="22"/>
          <w:sz w:val="20"/>
          <w:szCs w:val="20"/>
          <w:lang w:val="en-GB"/>
        </w:rPr>
        <w:t>经</w:t>
      </w:r>
      <w:r w:rsidRPr="000C0842">
        <w:rPr>
          <w:rFonts w:eastAsia="SimSun"/>
          <w:snapToGrid w:val="0"/>
          <w:kern w:val="22"/>
          <w:sz w:val="20"/>
          <w:szCs w:val="20"/>
          <w:lang w:val="en-GB"/>
        </w:rPr>
        <w:t>修订或更新的</w:t>
      </w:r>
      <w:r w:rsidRPr="000C0842">
        <w:rPr>
          <w:rFonts w:eastAsia="SimSun" w:hint="eastAsia"/>
          <w:snapToGrid w:val="0"/>
          <w:kern w:val="22"/>
          <w:sz w:val="20"/>
          <w:szCs w:val="20"/>
          <w:lang w:val="en-GB"/>
        </w:rPr>
        <w:t>国家生物多样性战略和行动计划</w:t>
      </w:r>
      <w:r w:rsidRPr="000C0842">
        <w:rPr>
          <w:rFonts w:eastAsia="SimSun"/>
          <w:snapToGrid w:val="0"/>
          <w:kern w:val="22"/>
          <w:sz w:val="20"/>
          <w:szCs w:val="20"/>
          <w:lang w:val="en-GB"/>
        </w:rPr>
        <w:t>方面的进展</w:t>
      </w:r>
      <w:r w:rsidRPr="000C0842">
        <w:rPr>
          <w:rFonts w:eastAsia="SimSun" w:hint="eastAsia"/>
          <w:snapToGrid w:val="0"/>
          <w:kern w:val="22"/>
          <w:sz w:val="20"/>
          <w:szCs w:val="20"/>
          <w:lang w:val="en-GB"/>
        </w:rPr>
        <w:t>情况。如果没有任何国家目标与一项或多项相关全球行动目标挂钩，建议国家直接报告有助于实现全球行动目标的进度。</w:t>
      </w:r>
    </w:p>
    <w:tbl>
      <w:tblPr>
        <w:tblStyle w:val="TableGrid11"/>
        <w:tblW w:w="9355" w:type="dxa"/>
        <w:tblLayout w:type="fixed"/>
        <w:tblLook w:val="04A0" w:firstRow="1" w:lastRow="0" w:firstColumn="1" w:lastColumn="0" w:noHBand="0" w:noVBand="1"/>
      </w:tblPr>
      <w:tblGrid>
        <w:gridCol w:w="535"/>
        <w:gridCol w:w="5400"/>
        <w:gridCol w:w="3420"/>
      </w:tblGrid>
      <w:tr w:rsidR="000C0842" w:rsidRPr="000C0842" w14:paraId="5C1C9A1F" w14:textId="77777777" w:rsidTr="001F32B3">
        <w:tc>
          <w:tcPr>
            <w:tcW w:w="9355" w:type="dxa"/>
            <w:gridSpan w:val="3"/>
            <w:tcBorders>
              <w:top w:val="single" w:sz="4" w:space="0" w:color="auto"/>
            </w:tcBorders>
          </w:tcPr>
          <w:p w14:paraId="4922EE4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imSun" w:eastAsia="SimSun" w:hAnsi="SimSun" w:cs="SimSun" w:hint="eastAsia"/>
                <w:b/>
                <w:bCs/>
                <w:snapToGrid w:val="0"/>
                <w:kern w:val="22"/>
                <w:sz w:val="20"/>
                <w:szCs w:val="20"/>
                <w:lang w:eastAsia="zh-CN"/>
              </w:rPr>
              <w:t>国家目标</w:t>
            </w:r>
            <w:r w:rsidRPr="000C0842">
              <w:rPr>
                <w:rFonts w:ascii="SimSun" w:hAnsi="SimSun" w:cs="Arial" w:hint="eastAsia"/>
                <w:snapToGrid w:val="0"/>
                <w:kern w:val="22"/>
                <w:sz w:val="20"/>
                <w:szCs w:val="20"/>
                <w:lang w:eastAsia="zh-CN"/>
              </w:rPr>
              <w:t>（根据提交的国家目标预先填入，如果没有与所涉全球行动目标相关的国家目标，可填入该全球行动目标）</w:t>
            </w:r>
          </w:p>
        </w:tc>
      </w:tr>
      <w:tr w:rsidR="000C0842" w:rsidRPr="000C0842" w14:paraId="0F79B9DE" w14:textId="77777777" w:rsidTr="001F32B3">
        <w:tc>
          <w:tcPr>
            <w:tcW w:w="535" w:type="dxa"/>
            <w:tcBorders>
              <w:top w:val="single" w:sz="4" w:space="0" w:color="auto"/>
            </w:tcBorders>
          </w:tcPr>
          <w:p w14:paraId="5051802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b/>
                <w:bCs/>
                <w:snapToGrid w:val="0"/>
                <w:kern w:val="22"/>
                <w:sz w:val="20"/>
                <w:szCs w:val="20"/>
                <w:lang w:eastAsia="zh-CN"/>
              </w:rPr>
              <w:t>1.</w:t>
            </w:r>
          </w:p>
        </w:tc>
        <w:tc>
          <w:tcPr>
            <w:tcW w:w="5400" w:type="dxa"/>
            <w:tcBorders>
              <w:top w:val="single" w:sz="4" w:space="0" w:color="auto"/>
            </w:tcBorders>
          </w:tcPr>
          <w:p w14:paraId="61AE8A1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请简述为落实这项目标采取的主要行动</w:t>
            </w:r>
          </w:p>
        </w:tc>
        <w:tc>
          <w:tcPr>
            <w:tcW w:w="3420" w:type="dxa"/>
            <w:tcBorders>
              <w:top w:val="single" w:sz="4" w:space="0" w:color="auto"/>
            </w:tcBorders>
          </w:tcPr>
          <w:p w14:paraId="7FF5B04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hAnsi="Calibri" w:cs="Arial"/>
                <w:snapToGrid w:val="0"/>
                <w:kern w:val="22"/>
                <w:sz w:val="20"/>
                <w:szCs w:val="20"/>
                <w:lang w:eastAsia="zh-CN"/>
              </w:rPr>
            </w:pPr>
          </w:p>
        </w:tc>
      </w:tr>
      <w:tr w:rsidR="000C0842" w:rsidRPr="000C0842" w14:paraId="6BD2868B" w14:textId="77777777" w:rsidTr="001F32B3">
        <w:tc>
          <w:tcPr>
            <w:tcW w:w="535" w:type="dxa"/>
          </w:tcPr>
          <w:p w14:paraId="4BDC342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2.</w:t>
            </w:r>
          </w:p>
        </w:tc>
        <w:tc>
          <w:tcPr>
            <w:tcW w:w="5400" w:type="dxa"/>
          </w:tcPr>
          <w:p w14:paraId="59CA2A2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请说明目前在实现这项目标方面的进展情况</w:t>
            </w:r>
          </w:p>
        </w:tc>
        <w:tc>
          <w:tcPr>
            <w:tcW w:w="3420" w:type="dxa"/>
          </w:tcPr>
          <w:p w14:paraId="3BBF7CB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正在实现目标</w:t>
            </w:r>
            <w:r w:rsidRPr="000C0842">
              <w:rPr>
                <w:rFonts w:ascii="Calibri" w:hAnsi="Calibri" w:cs="Arial"/>
                <w:snapToGrid w:val="0"/>
                <w:kern w:val="22"/>
                <w:sz w:val="20"/>
                <w:szCs w:val="20"/>
                <w:lang w:eastAsia="zh-CN"/>
              </w:rPr>
              <w:t xml:space="preserve"> </w:t>
            </w:r>
          </w:p>
          <w:p w14:paraId="3C20904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实现目标取得进展，但速度不够</w:t>
            </w:r>
            <w:r w:rsidRPr="000C0842">
              <w:rPr>
                <w:rFonts w:ascii="Calibri" w:hAnsi="Calibri" w:cs="Arial"/>
                <w:snapToGrid w:val="0"/>
                <w:kern w:val="22"/>
                <w:sz w:val="20"/>
                <w:szCs w:val="20"/>
                <w:lang w:eastAsia="zh-CN"/>
              </w:rPr>
              <w:t xml:space="preserve"> </w:t>
            </w:r>
          </w:p>
          <w:p w14:paraId="484C1A82"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无重大进展</w:t>
            </w:r>
            <w:r w:rsidRPr="000C0842">
              <w:rPr>
                <w:rFonts w:ascii="Calibri" w:hAnsi="Calibri" w:cs="Arial"/>
                <w:snapToGrid w:val="0"/>
                <w:kern w:val="22"/>
                <w:sz w:val="20"/>
                <w:szCs w:val="20"/>
                <w:lang w:eastAsia="zh-CN"/>
              </w:rPr>
              <w:t xml:space="preserve"> </w:t>
            </w:r>
          </w:p>
          <w:p w14:paraId="2AA1CCD6"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不适用</w:t>
            </w:r>
          </w:p>
          <w:p w14:paraId="1C3BFEE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未知</w:t>
            </w:r>
          </w:p>
          <w:p w14:paraId="44AE3FC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egoe UI Symbol"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已实现</w:t>
            </w:r>
          </w:p>
        </w:tc>
      </w:tr>
      <w:tr w:rsidR="000C0842" w:rsidRPr="000C0842" w14:paraId="55996C8C" w14:textId="77777777" w:rsidTr="001F32B3">
        <w:tc>
          <w:tcPr>
            <w:tcW w:w="535" w:type="dxa"/>
          </w:tcPr>
          <w:p w14:paraId="068071FE"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3.</w:t>
            </w:r>
          </w:p>
        </w:tc>
        <w:tc>
          <w:tcPr>
            <w:tcW w:w="5400" w:type="dxa"/>
          </w:tcPr>
          <w:p w14:paraId="08A1DB8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S Mincho" w:hAnsi="MS Mincho" w:cs="MS Mincho"/>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请概述实现这项目标的进展情况，包括取得的主要成果</w:t>
            </w:r>
          </w:p>
          <w:p w14:paraId="447014C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请概述遇到的主要挑战，为进一步执行目标可能采取的不同办法。</w:t>
            </w:r>
          </w:p>
        </w:tc>
        <w:tc>
          <w:tcPr>
            <w:tcW w:w="3420" w:type="dxa"/>
          </w:tcPr>
          <w:p w14:paraId="1ADAC3E2"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ind w:left="360"/>
              <w:rPr>
                <w:rFonts w:ascii="Segoe UI Symbol" w:eastAsia="Times New Roman" w:hAnsi="Segoe UI Symbol" w:cs="Segoe UI Symbol"/>
                <w:snapToGrid w:val="0"/>
                <w:kern w:val="22"/>
                <w:sz w:val="20"/>
                <w:szCs w:val="20"/>
                <w:lang w:eastAsia="zh-CN"/>
              </w:rPr>
            </w:pPr>
          </w:p>
        </w:tc>
      </w:tr>
      <w:tr w:rsidR="000C0842" w:rsidRPr="000C0842" w14:paraId="4491A10B" w14:textId="77777777" w:rsidTr="001F32B3">
        <w:tc>
          <w:tcPr>
            <w:tcW w:w="535" w:type="dxa"/>
          </w:tcPr>
          <w:p w14:paraId="79E6209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4.</w:t>
            </w:r>
          </w:p>
        </w:tc>
        <w:tc>
          <w:tcPr>
            <w:tcW w:w="5400" w:type="dxa"/>
          </w:tcPr>
          <w:p w14:paraId="0C7CD949"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请提供用于评估实现这项目标进展情况的标题指标的数据</w:t>
            </w:r>
            <w:r w:rsidRPr="000C0842">
              <w:rPr>
                <w:rFonts w:ascii="SimSun" w:eastAsia="SimSun" w:hAnsi="SimSun" w:cs="SimSun" w:hint="eastAsia"/>
                <w:snapToGrid w:val="0"/>
                <w:kern w:val="22"/>
                <w:sz w:val="20"/>
                <w:szCs w:val="20"/>
                <w:lang w:eastAsia="zh-CN"/>
              </w:rPr>
              <w:t>（</w:t>
            </w:r>
            <w:r w:rsidRPr="000C0842">
              <w:rPr>
                <w:rFonts w:ascii="SimSun" w:hAnsi="SimSun" w:cs="Microsoft YaHei" w:hint="eastAsia"/>
                <w:snapToGrid w:val="0"/>
                <w:kern w:val="22"/>
                <w:sz w:val="20"/>
                <w:szCs w:val="20"/>
                <w:lang w:eastAsia="zh-CN"/>
              </w:rPr>
              <w:t>根据提交的国家目标预</w:t>
            </w:r>
            <w:r w:rsidRPr="000C0842">
              <w:rPr>
                <w:rFonts w:ascii="SimSun" w:hAnsi="SimSun" w:cs="MS Mincho" w:hint="eastAsia"/>
                <w:snapToGrid w:val="0"/>
                <w:kern w:val="22"/>
                <w:sz w:val="20"/>
                <w:szCs w:val="20"/>
                <w:lang w:eastAsia="zh-CN"/>
              </w:rPr>
              <w:t>先填入</w:t>
            </w:r>
            <w:r w:rsidRPr="000C0842">
              <w:rPr>
                <w:rFonts w:ascii="SimSun" w:eastAsia="SimSun" w:hAnsi="SimSun" w:cs="SimSun" w:hint="eastAsia"/>
                <w:snapToGrid w:val="0"/>
                <w:kern w:val="22"/>
                <w:sz w:val="20"/>
                <w:szCs w:val="20"/>
                <w:lang w:eastAsia="zh-CN"/>
              </w:rPr>
              <w:t>）</w:t>
            </w:r>
            <w:r w:rsidRPr="000C0842">
              <w:rPr>
                <w:rFonts w:cs="Times New Roman"/>
                <w:snapToGrid w:val="0"/>
                <w:kern w:val="22"/>
                <w:sz w:val="20"/>
                <w:szCs w:val="20"/>
                <w:vertAlign w:val="superscript"/>
                <w:lang w:eastAsia="zh-CN"/>
              </w:rPr>
              <w:footnoteReference w:id="425"/>
            </w:r>
          </w:p>
          <w:p w14:paraId="2CA8816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0C0842">
              <w:rPr>
                <w:rFonts w:ascii="Microsoft YaHei" w:eastAsia="KaiTi" w:hAnsi="Microsoft YaHei" w:cs="Microsoft YaHei" w:hint="eastAsia"/>
                <w:snapToGrid w:val="0"/>
                <w:kern w:val="22"/>
                <w:sz w:val="20"/>
                <w:szCs w:val="20"/>
                <w:lang w:eastAsia="zh-CN"/>
              </w:rPr>
              <w:t>如果目标有标题指标，可填写本节。</w:t>
            </w:r>
          </w:p>
        </w:tc>
        <w:tc>
          <w:tcPr>
            <w:tcW w:w="3420" w:type="dxa"/>
          </w:tcPr>
          <w:p w14:paraId="577891D3"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egoe UI Symbol" w:eastAsia="Times New Roman" w:hAnsi="Segoe UI Symbol" w:cs="Segoe UI Symbol"/>
                <w:snapToGrid w:val="0"/>
                <w:kern w:val="22"/>
                <w:sz w:val="20"/>
                <w:szCs w:val="20"/>
                <w:lang w:eastAsia="zh-CN"/>
              </w:rPr>
              <w:t xml:space="preserve">☐ </w:t>
            </w:r>
            <w:r w:rsidRPr="000C0842">
              <w:rPr>
                <w:rFonts w:ascii="SimSun" w:eastAsia="Times New Roman" w:hAnsi="SimSun" w:cs="SimSun" w:hint="eastAsia"/>
                <w:snapToGrid w:val="0"/>
                <w:kern w:val="22"/>
                <w:sz w:val="20"/>
                <w:szCs w:val="20"/>
                <w:lang w:eastAsia="zh-CN"/>
              </w:rPr>
              <w:t>使用国家数据集</w:t>
            </w:r>
          </w:p>
          <w:p w14:paraId="477F23D8"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eastAsia="zh-CN"/>
              </w:rPr>
            </w:pPr>
            <w:r w:rsidRPr="000C0842">
              <w:rPr>
                <w:rFonts w:ascii="Segoe UI Symbol" w:eastAsia="Times New Roman" w:hAnsi="Segoe UI Symbol" w:cs="Segoe UI Symbol"/>
                <w:snapToGrid w:val="0"/>
                <w:kern w:val="22"/>
                <w:sz w:val="20"/>
                <w:szCs w:val="20"/>
                <w:lang w:eastAsia="zh-CN"/>
              </w:rPr>
              <w:t xml:space="preserve">☐ </w:t>
            </w:r>
            <w:r w:rsidRPr="000C0842">
              <w:rPr>
                <w:rFonts w:ascii="SimSun" w:eastAsia="Times New Roman" w:hAnsi="SimSun" w:cs="SimSun" w:hint="eastAsia"/>
                <w:snapToGrid w:val="0"/>
                <w:kern w:val="22"/>
                <w:sz w:val="20"/>
                <w:szCs w:val="20"/>
                <w:lang w:eastAsia="zh-CN"/>
              </w:rPr>
              <w:t>使用</w:t>
            </w:r>
            <w:r w:rsidRPr="000C0842">
              <w:rPr>
                <w:rFonts w:ascii="SimSun" w:eastAsia="SimSun" w:hAnsi="SimSun" w:cs="SimSun" w:hint="eastAsia"/>
                <w:snapToGrid w:val="0"/>
                <w:kern w:val="22"/>
                <w:sz w:val="20"/>
                <w:szCs w:val="20"/>
                <w:lang w:eastAsia="zh-CN"/>
              </w:rPr>
              <w:t>来自相关全球数据来源</w:t>
            </w:r>
            <w:r w:rsidRPr="000C0842">
              <w:rPr>
                <w:rFonts w:ascii="SimSun" w:hAnsi="SimSun" w:cs="SimSun" w:hint="eastAsia"/>
                <w:snapToGrid w:val="0"/>
                <w:kern w:val="22"/>
                <w:sz w:val="20"/>
                <w:szCs w:val="20"/>
                <w:lang w:eastAsia="zh-CN"/>
              </w:rPr>
              <w:t>的现有数据</w:t>
            </w:r>
          </w:p>
          <w:p w14:paraId="738EE74A"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eastAsia="zh-CN"/>
              </w:rPr>
            </w:pPr>
            <w:r w:rsidRPr="000C0842">
              <w:rPr>
                <w:rFonts w:ascii="Segoe UI Symbol" w:eastAsia="Times New Roman" w:hAnsi="Segoe UI Symbol" w:cs="Segoe UI Symbol"/>
                <w:snapToGrid w:val="0"/>
                <w:kern w:val="22"/>
                <w:sz w:val="20"/>
                <w:szCs w:val="20"/>
                <w:lang w:eastAsia="zh-CN"/>
              </w:rPr>
              <w:t xml:space="preserve">☐ </w:t>
            </w:r>
            <w:r w:rsidRPr="000C0842">
              <w:rPr>
                <w:rFonts w:ascii="SimSun" w:eastAsia="Times New Roman" w:hAnsi="SimSun" w:cs="SimSun" w:hint="eastAsia"/>
                <w:snapToGrid w:val="0"/>
                <w:kern w:val="22"/>
                <w:sz w:val="20"/>
                <w:szCs w:val="20"/>
                <w:lang w:eastAsia="zh-CN"/>
              </w:rPr>
              <w:t>无数据</w:t>
            </w:r>
            <w:r w:rsidRPr="000C0842">
              <w:rPr>
                <w:rFonts w:ascii="SimSun" w:eastAsia="SimSun" w:hAnsi="SimSun" w:cs="SimSun" w:hint="eastAsia"/>
                <w:snapToGrid w:val="0"/>
                <w:kern w:val="22"/>
                <w:sz w:val="20"/>
                <w:szCs w:val="20"/>
                <w:lang w:eastAsia="zh-CN"/>
              </w:rPr>
              <w:t>。请说明原因</w:t>
            </w:r>
            <w:r w:rsidRPr="000C0842">
              <w:rPr>
                <w:rFonts w:ascii="SimSun" w:hAnsi="SimSun" w:cs="SimSun" w:hint="eastAsia"/>
                <w:snapToGrid w:val="0"/>
                <w:kern w:val="22"/>
                <w:sz w:val="20"/>
                <w:szCs w:val="20"/>
                <w:lang w:eastAsia="zh-CN"/>
              </w:rPr>
              <w:t>：</w:t>
            </w:r>
          </w:p>
          <w:p w14:paraId="4C4BE93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eastAsia="zh-CN"/>
              </w:rPr>
            </w:pPr>
            <w:r w:rsidRPr="000C0842">
              <w:rPr>
                <w:rFonts w:cs="Times New Roman"/>
                <w:snapToGrid w:val="0"/>
                <w:kern w:val="22"/>
                <w:sz w:val="20"/>
                <w:szCs w:val="20"/>
                <w:lang w:eastAsia="zh-CN"/>
              </w:rPr>
              <w:t>_______________</w:t>
            </w:r>
            <w:r w:rsidRPr="000C0842">
              <w:rPr>
                <w:rFonts w:cs="Times New Roman" w:hint="eastAsia"/>
                <w:snapToGrid w:val="0"/>
                <w:kern w:val="22"/>
                <w:sz w:val="20"/>
                <w:szCs w:val="20"/>
                <w:lang w:eastAsia="zh-CN"/>
              </w:rPr>
              <w:t>___________</w:t>
            </w:r>
            <w:r w:rsidRPr="000C0842">
              <w:rPr>
                <w:rFonts w:cs="Times New Roman"/>
                <w:snapToGrid w:val="0"/>
                <w:kern w:val="22"/>
                <w:sz w:val="20"/>
                <w:szCs w:val="20"/>
                <w:lang w:eastAsia="zh-CN"/>
              </w:rPr>
              <w:t>_</w:t>
            </w:r>
          </w:p>
          <w:p w14:paraId="173E82AE"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eastAsia="zh-CN"/>
              </w:rPr>
            </w:pPr>
            <w:r w:rsidRPr="000C0842">
              <w:rPr>
                <w:rFonts w:ascii="Segoe UI Symbol" w:eastAsia="Times New Roman" w:hAnsi="Segoe UI Symbol" w:cs="Segoe UI Symbol"/>
                <w:snapToGrid w:val="0"/>
                <w:kern w:val="22"/>
                <w:sz w:val="20"/>
                <w:szCs w:val="20"/>
                <w:lang w:eastAsia="zh-CN"/>
              </w:rPr>
              <w:t xml:space="preserve">☐ </w:t>
            </w:r>
            <w:r w:rsidRPr="000C0842">
              <w:rPr>
                <w:rFonts w:ascii="SimSun" w:eastAsia="SimSun" w:hAnsi="SimSun" w:cs="SimSun" w:hint="eastAsia"/>
                <w:snapToGrid w:val="0"/>
                <w:kern w:val="22"/>
                <w:sz w:val="20"/>
                <w:szCs w:val="20"/>
                <w:lang w:eastAsia="zh-CN"/>
              </w:rPr>
              <w:t>不相关。请说明理由</w:t>
            </w:r>
            <w:r w:rsidRPr="000C0842">
              <w:rPr>
                <w:rFonts w:ascii="SimSun" w:hAnsi="SimSun" w:cs="SimSun" w:hint="eastAsia"/>
                <w:snapToGrid w:val="0"/>
                <w:kern w:val="22"/>
                <w:sz w:val="20"/>
                <w:szCs w:val="20"/>
                <w:lang w:eastAsia="zh-CN"/>
              </w:rPr>
              <w:t>：</w:t>
            </w:r>
          </w:p>
          <w:p w14:paraId="5427FA5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eastAsia="zh-CN"/>
              </w:rPr>
            </w:pPr>
            <w:r w:rsidRPr="000C0842">
              <w:rPr>
                <w:rFonts w:cs="Times New Roman"/>
                <w:snapToGrid w:val="0"/>
                <w:kern w:val="22"/>
                <w:sz w:val="20"/>
                <w:szCs w:val="20"/>
                <w:lang w:eastAsia="zh-CN"/>
              </w:rPr>
              <w:t>_______________</w:t>
            </w:r>
            <w:r w:rsidRPr="000C0842">
              <w:rPr>
                <w:rFonts w:cs="Times New Roman" w:hint="eastAsia"/>
                <w:snapToGrid w:val="0"/>
                <w:kern w:val="22"/>
                <w:sz w:val="20"/>
                <w:szCs w:val="20"/>
                <w:lang w:eastAsia="zh-CN"/>
              </w:rPr>
              <w:t>___________</w:t>
            </w:r>
            <w:r w:rsidRPr="000C0842">
              <w:rPr>
                <w:rFonts w:cs="Times New Roman"/>
                <w:snapToGrid w:val="0"/>
                <w:kern w:val="22"/>
                <w:sz w:val="20"/>
                <w:szCs w:val="20"/>
                <w:lang w:eastAsia="zh-CN"/>
              </w:rPr>
              <w:t>_</w:t>
            </w:r>
          </w:p>
          <w:p w14:paraId="1CBADC9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缔约方如果选择使用本国数据集，须以表格形式提交这些数据，并具体说明数据来源。缔约方将仅为每个指标提交一次数据，即使该指标被用于多个长期目标</w:t>
            </w:r>
            <w:r w:rsidRPr="000C0842">
              <w:rPr>
                <w:rFonts w:ascii="Microsoft YaHei" w:eastAsia="KaiTi" w:hAnsi="Microsoft YaHei" w:cs="Microsoft YaHei" w:hint="eastAsia"/>
                <w:snapToGrid w:val="0"/>
                <w:kern w:val="22"/>
                <w:sz w:val="20"/>
                <w:szCs w:val="20"/>
                <w:lang w:eastAsia="zh-CN"/>
              </w:rPr>
              <w:t>/</w:t>
            </w:r>
            <w:r w:rsidRPr="000C0842">
              <w:rPr>
                <w:rFonts w:ascii="Microsoft YaHei" w:eastAsia="KaiTi" w:hAnsi="Microsoft YaHei" w:cs="Microsoft YaHei" w:hint="eastAsia"/>
                <w:snapToGrid w:val="0"/>
                <w:kern w:val="22"/>
                <w:sz w:val="20"/>
                <w:szCs w:val="20"/>
                <w:lang w:eastAsia="zh-CN"/>
              </w:rPr>
              <w:t>行动目标。</w:t>
            </w:r>
          </w:p>
          <w:p w14:paraId="47ADDE5B"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缔约方如果选择使用全球或区域现有数据集，将以表格形式向其提供所涉指标的数据。</w:t>
            </w:r>
          </w:p>
          <w:p w14:paraId="74381DC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缔约方如果表示“无数据”，请简短说明为制订相关指标和数据集而进行的努力。</w:t>
            </w:r>
          </w:p>
          <w:p w14:paraId="27DC2C06"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eastAsia="zh-CN"/>
              </w:rPr>
            </w:pPr>
            <w:r w:rsidRPr="000C0842">
              <w:rPr>
                <w:rFonts w:ascii="SimSun" w:eastAsia="SimSun" w:hAnsi="SimSun" w:cs="SimSun" w:hint="eastAsia"/>
                <w:snapToGrid w:val="0"/>
                <w:kern w:val="22"/>
                <w:sz w:val="20"/>
                <w:szCs w:val="20"/>
                <w:lang w:eastAsia="zh-CN"/>
              </w:rPr>
              <w:t>评论（可选）</w:t>
            </w:r>
            <w:r w:rsidRPr="000C0842">
              <w:rPr>
                <w:rFonts w:ascii="SimSun" w:hAnsi="SimSun" w:cs="SimSun" w:hint="eastAsia"/>
                <w:snapToGrid w:val="0"/>
                <w:kern w:val="22"/>
                <w:sz w:val="20"/>
                <w:szCs w:val="20"/>
                <w:lang w:eastAsia="zh-CN"/>
              </w:rPr>
              <w:t>：</w:t>
            </w:r>
            <w:r w:rsidRPr="000C0842">
              <w:rPr>
                <w:rFonts w:ascii="SimSun" w:hAnsi="SimSun" w:cs="SimSun"/>
                <w:snapToGrid w:val="0"/>
                <w:kern w:val="22"/>
                <w:sz w:val="20"/>
                <w:szCs w:val="20"/>
                <w:lang w:eastAsia="zh-CN"/>
              </w:rPr>
              <w:t>________________</w:t>
            </w:r>
          </w:p>
        </w:tc>
      </w:tr>
      <w:tr w:rsidR="000C0842" w:rsidRPr="000C0842" w14:paraId="3A70145A" w14:textId="77777777" w:rsidTr="001F32B3">
        <w:tc>
          <w:tcPr>
            <w:tcW w:w="535" w:type="dxa"/>
          </w:tcPr>
          <w:p w14:paraId="21DC0C0C"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5.</w:t>
            </w:r>
          </w:p>
        </w:tc>
        <w:tc>
          <w:tcPr>
            <w:tcW w:w="5400" w:type="dxa"/>
          </w:tcPr>
          <w:p w14:paraId="11C6F52A"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请回答有关二元指标的问题</w:t>
            </w:r>
            <w:r w:rsidRPr="000C0842">
              <w:rPr>
                <w:rFonts w:cs="Times New Roman"/>
                <w:b/>
                <w:bCs/>
                <w:iCs/>
                <w:snapToGrid w:val="0"/>
                <w:kern w:val="22"/>
                <w:sz w:val="20"/>
                <w:szCs w:val="20"/>
                <w:vertAlign w:val="superscript"/>
                <w:lang w:val="en-GB" w:eastAsia="zh-CN"/>
              </w:rPr>
              <w:footnoteReference w:id="426"/>
            </w:r>
          </w:p>
          <w:p w14:paraId="18B806B4"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0C0842">
              <w:rPr>
                <w:rFonts w:ascii="Microsoft YaHei" w:eastAsia="KaiTi" w:hAnsi="Microsoft YaHei" w:cs="Microsoft YaHei" w:hint="eastAsia"/>
                <w:snapToGrid w:val="0"/>
                <w:kern w:val="22"/>
                <w:sz w:val="20"/>
                <w:szCs w:val="20"/>
                <w:lang w:eastAsia="zh-CN"/>
              </w:rPr>
              <w:t>本节仅适用于有二元指标的所涉目标。</w:t>
            </w:r>
          </w:p>
        </w:tc>
        <w:tc>
          <w:tcPr>
            <w:tcW w:w="3420" w:type="dxa"/>
          </w:tcPr>
          <w:p w14:paraId="66E5F4F0"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将以缔约方大会第十六届会议通过的清单为基础列入二元指标和问题。</w:t>
            </w:r>
          </w:p>
          <w:p w14:paraId="1EF29B5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即使用于多个长期目标</w:t>
            </w:r>
            <w:r w:rsidRPr="000C0842">
              <w:rPr>
                <w:rFonts w:ascii="Calibri" w:eastAsia="KaiTi" w:hAnsi="Calibri" w:cs="Arial"/>
                <w:snapToGrid w:val="0"/>
                <w:kern w:val="22"/>
                <w:sz w:val="20"/>
                <w:szCs w:val="20"/>
                <w:lang w:eastAsia="zh-CN"/>
              </w:rPr>
              <w:t>/</w:t>
            </w:r>
            <w:r w:rsidRPr="000C0842">
              <w:rPr>
                <w:rFonts w:ascii="Microsoft YaHei" w:eastAsia="KaiTi" w:hAnsi="Microsoft YaHei" w:cs="Microsoft YaHei" w:hint="eastAsia"/>
                <w:snapToGrid w:val="0"/>
                <w:kern w:val="22"/>
                <w:sz w:val="20"/>
                <w:szCs w:val="20"/>
                <w:lang w:eastAsia="zh-CN"/>
              </w:rPr>
              <w:t>行动目标，缔约方只需为每个二元指标提交一次数据。</w:t>
            </w:r>
          </w:p>
          <w:p w14:paraId="5C3D3D21"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eastAsia="zh-CN"/>
              </w:rPr>
            </w:pPr>
            <w:r w:rsidRPr="000C0842">
              <w:rPr>
                <w:rFonts w:ascii="SimSun" w:eastAsia="SimSun" w:hAnsi="SimSun" w:cs="SimSun" w:hint="eastAsia"/>
                <w:snapToGrid w:val="0"/>
                <w:kern w:val="22"/>
                <w:sz w:val="20"/>
                <w:szCs w:val="20"/>
                <w:lang w:eastAsia="zh-CN"/>
              </w:rPr>
              <w:t>评论（可选）</w:t>
            </w:r>
            <w:r w:rsidRPr="000C0842">
              <w:rPr>
                <w:rFonts w:ascii="SimSun" w:hAnsi="SimSun" w:cs="SimSun" w:hint="eastAsia"/>
                <w:snapToGrid w:val="0"/>
                <w:kern w:val="22"/>
                <w:sz w:val="20"/>
                <w:szCs w:val="20"/>
                <w:lang w:eastAsia="zh-CN"/>
              </w:rPr>
              <w:t>：</w:t>
            </w:r>
            <w:r w:rsidRPr="000C0842">
              <w:rPr>
                <w:rFonts w:ascii="SimSun" w:hAnsi="SimSun" w:cs="SimSun"/>
                <w:snapToGrid w:val="0"/>
                <w:kern w:val="22"/>
                <w:sz w:val="20"/>
                <w:szCs w:val="20"/>
                <w:lang w:eastAsia="zh-CN"/>
              </w:rPr>
              <w:t>________________</w:t>
            </w:r>
          </w:p>
          <w:p w14:paraId="345EF880"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eastAsia="zh-CN"/>
              </w:rPr>
            </w:pPr>
          </w:p>
        </w:tc>
      </w:tr>
      <w:tr w:rsidR="000C0842" w:rsidRPr="000C0842" w14:paraId="0F686269" w14:textId="77777777" w:rsidTr="001F32B3">
        <w:tc>
          <w:tcPr>
            <w:tcW w:w="535" w:type="dxa"/>
          </w:tcPr>
          <w:p w14:paraId="78C98FF7"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6.</w:t>
            </w:r>
          </w:p>
        </w:tc>
        <w:tc>
          <w:tcPr>
            <w:tcW w:w="5400" w:type="dxa"/>
          </w:tcPr>
          <w:p w14:paraId="67A4FDAD"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请提供用于评估本目标进展情况的组成指标、补充指标或其他国家指标的数据</w:t>
            </w:r>
            <w:r w:rsidRPr="000C0842">
              <w:rPr>
                <w:rFonts w:ascii="SimSun" w:eastAsia="SimSun" w:hAnsi="SimSun" w:cs="SimSun" w:hint="eastAsia"/>
                <w:snapToGrid w:val="0"/>
                <w:kern w:val="22"/>
                <w:sz w:val="20"/>
                <w:szCs w:val="20"/>
                <w:lang w:eastAsia="zh-CN"/>
              </w:rPr>
              <w:t>（可选）（根据提交的国家目标预先填充）</w:t>
            </w:r>
            <w:r w:rsidRPr="000C0842">
              <w:rPr>
                <w:rFonts w:ascii="SimSun" w:hAnsi="SimSun" w:cs="SimSun" w:hint="eastAsia"/>
                <w:snapToGrid w:val="0"/>
                <w:kern w:val="22"/>
                <w:sz w:val="20"/>
                <w:szCs w:val="20"/>
                <w:lang w:eastAsia="zh-CN"/>
              </w:rPr>
              <w:t>。</w:t>
            </w:r>
          </w:p>
        </w:tc>
        <w:tc>
          <w:tcPr>
            <w:tcW w:w="3420" w:type="dxa"/>
          </w:tcPr>
          <w:p w14:paraId="3FA4B4E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eastAsia="zh-CN"/>
              </w:rPr>
            </w:pPr>
            <w:r w:rsidRPr="000C0842">
              <w:rPr>
                <w:rFonts w:ascii="Microsoft YaHei" w:eastAsia="KaiTi" w:hAnsi="Microsoft YaHei" w:cs="Microsoft YaHei" w:hint="eastAsia"/>
                <w:snapToGrid w:val="0"/>
                <w:kern w:val="22"/>
                <w:sz w:val="20"/>
                <w:szCs w:val="20"/>
                <w:lang w:eastAsia="zh-CN"/>
              </w:rPr>
              <w:t>缔约方可以用表格形式提供数据和信息来源。</w:t>
            </w:r>
          </w:p>
          <w:p w14:paraId="2CBDFB8F"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jc w:val="left"/>
              <w:rPr>
                <w:rFonts w:ascii="Microsoft YaHei" w:eastAsia="KaiTi" w:hAnsi="Microsoft YaHei" w:cs="Microsoft YaHei"/>
                <w:snapToGrid w:val="0"/>
                <w:kern w:val="22"/>
                <w:sz w:val="20"/>
                <w:szCs w:val="20"/>
                <w:lang w:eastAsia="zh-CN"/>
              </w:rPr>
            </w:pPr>
            <w:r w:rsidRPr="000C0842">
              <w:rPr>
                <w:rFonts w:ascii="SimSun" w:eastAsia="SimSun" w:hAnsi="SimSun" w:cs="SimSun" w:hint="eastAsia"/>
                <w:snapToGrid w:val="0"/>
                <w:kern w:val="22"/>
                <w:sz w:val="20"/>
                <w:szCs w:val="20"/>
                <w:lang w:eastAsia="zh-CN"/>
              </w:rPr>
              <w:t>评论（可选）</w:t>
            </w:r>
            <w:r w:rsidRPr="000C0842">
              <w:rPr>
                <w:rFonts w:ascii="SimSun" w:hAnsi="SimSun" w:cs="SimSun" w:hint="eastAsia"/>
                <w:snapToGrid w:val="0"/>
                <w:kern w:val="22"/>
                <w:sz w:val="20"/>
                <w:szCs w:val="20"/>
                <w:lang w:eastAsia="zh-CN"/>
              </w:rPr>
              <w:t>：</w:t>
            </w:r>
            <w:r w:rsidRPr="000C0842">
              <w:rPr>
                <w:rFonts w:ascii="SimSun" w:hAnsi="SimSun" w:cs="SimSun"/>
                <w:snapToGrid w:val="0"/>
                <w:kern w:val="22"/>
                <w:sz w:val="20"/>
                <w:szCs w:val="20"/>
                <w:lang w:eastAsia="zh-CN"/>
              </w:rPr>
              <w:t>________________</w:t>
            </w:r>
          </w:p>
        </w:tc>
      </w:tr>
      <w:tr w:rsidR="000C0842" w:rsidRPr="000C0842" w14:paraId="5FC3BB3E" w14:textId="77777777" w:rsidTr="001F32B3">
        <w:tc>
          <w:tcPr>
            <w:tcW w:w="535" w:type="dxa"/>
          </w:tcPr>
          <w:p w14:paraId="3294183C"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7.</w:t>
            </w:r>
          </w:p>
        </w:tc>
        <w:tc>
          <w:tcPr>
            <w:tcW w:w="5400" w:type="dxa"/>
          </w:tcPr>
          <w:p w14:paraId="76727136"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请提供实例或案例，说明为实现这一目标所采取行动的有效性。如果有必要，请提供相关网络链接或附上相关材料或出版物。</w:t>
            </w:r>
          </w:p>
        </w:tc>
        <w:tc>
          <w:tcPr>
            <w:tcW w:w="3420" w:type="dxa"/>
          </w:tcPr>
          <w:p w14:paraId="1F6E266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eastAsia="zh-CN"/>
              </w:rPr>
            </w:pPr>
          </w:p>
        </w:tc>
      </w:tr>
      <w:tr w:rsidR="000C0842" w:rsidRPr="000C0842" w14:paraId="2280A067" w14:textId="77777777" w:rsidTr="001F32B3">
        <w:tc>
          <w:tcPr>
            <w:tcW w:w="535" w:type="dxa"/>
          </w:tcPr>
          <w:p w14:paraId="72F32F7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cs="Times New Roman"/>
                <w:b/>
                <w:bCs/>
                <w:snapToGrid w:val="0"/>
                <w:kern w:val="22"/>
                <w:sz w:val="20"/>
                <w:szCs w:val="20"/>
                <w:lang w:eastAsia="zh-CN"/>
              </w:rPr>
            </w:pPr>
            <w:r w:rsidRPr="000C0842">
              <w:rPr>
                <w:rFonts w:cs="Times New Roman" w:hint="eastAsia"/>
                <w:b/>
                <w:bCs/>
                <w:snapToGrid w:val="0"/>
                <w:kern w:val="22"/>
                <w:sz w:val="20"/>
                <w:szCs w:val="20"/>
                <w:lang w:eastAsia="zh-CN"/>
              </w:rPr>
              <w:t>8.</w:t>
            </w:r>
          </w:p>
        </w:tc>
        <w:tc>
          <w:tcPr>
            <w:tcW w:w="5400" w:type="dxa"/>
          </w:tcPr>
          <w:p w14:paraId="767097F5"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请简要说明这项国家目标的实施如何有助于实现有关的可持续发展目标和相关具体目标以及执行其他相关协定</w:t>
            </w:r>
            <w:r w:rsidRPr="000C0842">
              <w:rPr>
                <w:rFonts w:ascii="SimSun" w:eastAsia="SimSun" w:hAnsi="SimSun" w:cs="SimSun" w:hint="eastAsia"/>
                <w:snapToGrid w:val="0"/>
                <w:kern w:val="22"/>
                <w:sz w:val="20"/>
                <w:szCs w:val="20"/>
                <w:lang w:eastAsia="zh-CN"/>
              </w:rPr>
              <w:t>（可选）</w:t>
            </w:r>
            <w:r w:rsidRPr="000C0842">
              <w:rPr>
                <w:rFonts w:ascii="SimSun" w:hAnsi="SimSun" w:cs="SimSun" w:hint="eastAsia"/>
                <w:snapToGrid w:val="0"/>
                <w:kern w:val="22"/>
                <w:sz w:val="20"/>
                <w:szCs w:val="20"/>
                <w:lang w:eastAsia="zh-CN"/>
              </w:rPr>
              <w:t>。</w:t>
            </w:r>
          </w:p>
        </w:tc>
        <w:tc>
          <w:tcPr>
            <w:tcW w:w="3420" w:type="dxa"/>
          </w:tcPr>
          <w:p w14:paraId="588286F7" w14:textId="77777777" w:rsidR="000A776A" w:rsidRPr="000C0842" w:rsidRDefault="000A776A" w:rsidP="000A776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eastAsia="zh-CN"/>
              </w:rPr>
            </w:pPr>
          </w:p>
        </w:tc>
      </w:tr>
    </w:tbl>
    <w:p w14:paraId="1031EA1D" w14:textId="77777777" w:rsidR="000A776A" w:rsidRPr="000C0842" w:rsidRDefault="000A776A" w:rsidP="00ED1A1D">
      <w:pPr>
        <w:widowControl w:val="0"/>
        <w:tabs>
          <w:tab w:val="clear" w:pos="567"/>
          <w:tab w:val="clear" w:pos="1134"/>
          <w:tab w:val="clear" w:pos="1701"/>
          <w:tab w:val="clear" w:pos="2268"/>
        </w:tabs>
        <w:topLinePunct/>
        <w:adjustRightInd w:val="0"/>
        <w:snapToGrid w:val="0"/>
        <w:spacing w:before="240" w:after="120" w:line="240" w:lineRule="atLeast"/>
        <w:ind w:left="490" w:hanging="490"/>
        <w:rPr>
          <w:rFonts w:eastAsia="SimSun"/>
          <w:b/>
          <w:bCs/>
          <w:snapToGrid w:val="0"/>
          <w:kern w:val="22"/>
          <w:sz w:val="24"/>
          <w:szCs w:val="24"/>
          <w:lang w:val="en-GB"/>
        </w:rPr>
      </w:pPr>
      <w:r w:rsidRPr="000C0842">
        <w:rPr>
          <w:rFonts w:eastAsia="SimSun"/>
          <w:b/>
          <w:bCs/>
          <w:snapToGrid w:val="0"/>
          <w:kern w:val="22"/>
          <w:sz w:val="24"/>
          <w:szCs w:val="24"/>
          <w:lang w:val="en-GB"/>
        </w:rPr>
        <w:t>四</w:t>
      </w:r>
      <w:r w:rsidRPr="000C0842">
        <w:rPr>
          <w:rFonts w:eastAsia="SimSun"/>
          <w:b/>
          <w:bCs/>
          <w:snapToGrid w:val="0"/>
          <w:kern w:val="22"/>
          <w:sz w:val="24"/>
          <w:szCs w:val="24"/>
          <w:lang w:val="en-GB"/>
        </w:rPr>
        <w:t xml:space="preserve">.  </w:t>
      </w:r>
      <w:r w:rsidRPr="000C0842">
        <w:rPr>
          <w:rFonts w:eastAsia="SimSun"/>
          <w:b/>
          <w:bCs/>
          <w:snapToGrid w:val="0"/>
          <w:kern w:val="22"/>
          <w:sz w:val="24"/>
          <w:szCs w:val="24"/>
          <w:lang w:val="en-GB"/>
        </w:rPr>
        <w:t>评估各国</w:t>
      </w:r>
      <w:r w:rsidRPr="000C0842">
        <w:rPr>
          <w:rFonts w:eastAsia="SimSun" w:hint="eastAsia"/>
          <w:b/>
          <w:bCs/>
          <w:snapToGrid w:val="0"/>
          <w:kern w:val="22"/>
          <w:sz w:val="24"/>
          <w:szCs w:val="24"/>
          <w:lang w:val="en-GB"/>
        </w:rPr>
        <w:t>促进</w:t>
      </w:r>
      <w:r w:rsidRPr="000C0842">
        <w:rPr>
          <w:rFonts w:eastAsia="SimSun"/>
          <w:b/>
          <w:bCs/>
          <w:snapToGrid w:val="0"/>
          <w:kern w:val="22"/>
          <w:sz w:val="24"/>
          <w:szCs w:val="24"/>
          <w:lang w:val="en-GB"/>
        </w:rPr>
        <w:t>实现《昆明</w:t>
      </w:r>
      <w:r w:rsidRPr="000C0842">
        <w:rPr>
          <w:rFonts w:eastAsia="SimSun"/>
          <w:b/>
          <w:bCs/>
          <w:snapToGrid w:val="0"/>
          <w:kern w:val="22"/>
          <w:sz w:val="24"/>
          <w:szCs w:val="24"/>
          <w:lang w:val="en-GB"/>
        </w:rPr>
        <w:t>-</w:t>
      </w:r>
      <w:r w:rsidRPr="000C0842">
        <w:rPr>
          <w:rFonts w:eastAsia="SimSun"/>
          <w:b/>
          <w:bCs/>
          <w:snapToGrid w:val="0"/>
          <w:kern w:val="22"/>
          <w:sz w:val="24"/>
          <w:szCs w:val="24"/>
          <w:lang w:val="en-GB"/>
        </w:rPr>
        <w:t>蒙特利尔全球生物多样性框架》长期目标的进展情况</w:t>
      </w:r>
    </w:p>
    <w:tbl>
      <w:tblPr>
        <w:tblStyle w:val="TableGrid34"/>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0C0842" w:rsidRPr="000C0842" w14:paraId="32D79B36" w14:textId="77777777" w:rsidTr="001F32B3">
        <w:tc>
          <w:tcPr>
            <w:tcW w:w="1695" w:type="dxa"/>
            <w:shd w:val="clear" w:color="auto" w:fill="FFFFFF"/>
          </w:tcPr>
          <w:p w14:paraId="65EF1DD2"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snapToGrid w:val="0"/>
                <w:kern w:val="22"/>
                <w:sz w:val="20"/>
                <w:szCs w:val="20"/>
                <w:lang w:eastAsia="zh-CN"/>
              </w:rPr>
            </w:pPr>
            <w:r w:rsidRPr="000C0842">
              <w:rPr>
                <w:rFonts w:eastAsia="KaiTi" w:cs="Times New Roman"/>
                <w:snapToGrid w:val="0"/>
                <w:kern w:val="22"/>
                <w:sz w:val="20"/>
                <w:szCs w:val="20"/>
                <w:lang w:eastAsia="zh-CN"/>
              </w:rPr>
              <w:t>2050</w:t>
            </w:r>
            <w:r w:rsidRPr="000C0842">
              <w:rPr>
                <w:rFonts w:eastAsia="KaiTi" w:cs="Times New Roman"/>
                <w:snapToGrid w:val="0"/>
                <w:kern w:val="22"/>
                <w:sz w:val="20"/>
                <w:szCs w:val="20"/>
                <w:lang w:eastAsia="zh-CN"/>
              </w:rPr>
              <w:t>年长期目标</w:t>
            </w:r>
            <w:r w:rsidRPr="000C0842">
              <w:rPr>
                <w:rFonts w:eastAsia="KaiTi" w:cs="Times New Roman"/>
                <w:snapToGrid w:val="0"/>
                <w:kern w:val="22"/>
                <w:sz w:val="20"/>
                <w:szCs w:val="20"/>
                <w:lang w:eastAsia="zh-CN"/>
              </w:rPr>
              <w:t xml:space="preserve"> </w:t>
            </w:r>
          </w:p>
        </w:tc>
        <w:tc>
          <w:tcPr>
            <w:tcW w:w="1532" w:type="dxa"/>
            <w:shd w:val="clear" w:color="auto" w:fill="FFFFFF"/>
          </w:tcPr>
          <w:p w14:paraId="2157DF7A"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snapToGrid w:val="0"/>
                <w:kern w:val="22"/>
                <w:sz w:val="20"/>
                <w:szCs w:val="20"/>
                <w:lang w:eastAsia="zh-CN"/>
              </w:rPr>
            </w:pPr>
            <w:r w:rsidRPr="000C0842">
              <w:rPr>
                <w:rFonts w:eastAsia="KaiTi" w:cs="Times New Roman"/>
                <w:snapToGrid w:val="0"/>
                <w:kern w:val="22"/>
                <w:sz w:val="20"/>
                <w:szCs w:val="20"/>
                <w:lang w:eastAsia="zh-CN"/>
              </w:rPr>
              <w:t>有助于实现全球长期目标的国家进展摘要</w:t>
            </w:r>
          </w:p>
        </w:tc>
        <w:tc>
          <w:tcPr>
            <w:tcW w:w="2268" w:type="dxa"/>
            <w:shd w:val="clear" w:color="auto" w:fill="FFFFFF"/>
          </w:tcPr>
          <w:p w14:paraId="43250B29"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snapToGrid w:val="0"/>
                <w:kern w:val="22"/>
                <w:sz w:val="20"/>
                <w:szCs w:val="20"/>
                <w:lang w:eastAsia="zh-CN"/>
              </w:rPr>
            </w:pPr>
            <w:r w:rsidRPr="000C0842">
              <w:rPr>
                <w:rFonts w:eastAsia="KaiTi" w:cs="Times New Roman"/>
                <w:snapToGrid w:val="0"/>
                <w:kern w:val="22"/>
                <w:sz w:val="20"/>
                <w:szCs w:val="20"/>
                <w:lang w:eastAsia="zh-CN"/>
              </w:rPr>
              <w:t>标题指标和二元指标</w:t>
            </w:r>
          </w:p>
          <w:p w14:paraId="7F29F470"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snapToGrid w:val="0"/>
                <w:kern w:val="22"/>
                <w:sz w:val="20"/>
                <w:szCs w:val="20"/>
                <w:lang w:eastAsia="zh-CN"/>
              </w:rPr>
            </w:pPr>
            <w:r w:rsidRPr="000C0842">
              <w:rPr>
                <w:rFonts w:eastAsia="KaiTi" w:cs="Times New Roman"/>
                <w:snapToGrid w:val="0"/>
                <w:kern w:val="22"/>
                <w:sz w:val="20"/>
                <w:szCs w:val="20"/>
                <w:lang w:val="en-CA" w:eastAsia="zh-CN"/>
              </w:rPr>
              <w:t>（根据提交的国家目标预先填充）</w:t>
            </w:r>
          </w:p>
        </w:tc>
        <w:tc>
          <w:tcPr>
            <w:tcW w:w="1984" w:type="dxa"/>
            <w:shd w:val="clear" w:color="auto" w:fill="FFFFFF"/>
          </w:tcPr>
          <w:p w14:paraId="07937702"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jc w:val="left"/>
              <w:rPr>
                <w:rFonts w:eastAsia="KaiTi" w:cs="Times New Roman"/>
                <w:snapToGrid w:val="0"/>
                <w:kern w:val="22"/>
                <w:sz w:val="20"/>
                <w:szCs w:val="20"/>
                <w:lang w:eastAsia="zh-CN"/>
              </w:rPr>
            </w:pPr>
            <w:r w:rsidRPr="000C0842">
              <w:rPr>
                <w:rFonts w:eastAsia="KaiTi" w:cs="Times New Roman"/>
                <w:snapToGrid w:val="0"/>
                <w:kern w:val="22"/>
                <w:sz w:val="20"/>
                <w:szCs w:val="20"/>
                <w:lang w:eastAsia="zh-CN"/>
              </w:rPr>
              <w:t>组成指标、补充指标或其他国家指标</w:t>
            </w:r>
          </w:p>
          <w:p w14:paraId="3F494731"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ind w:right="-4"/>
              <w:jc w:val="left"/>
              <w:rPr>
                <w:rFonts w:eastAsia="KaiTi" w:cs="Times New Roman"/>
                <w:snapToGrid w:val="0"/>
                <w:kern w:val="22"/>
                <w:sz w:val="20"/>
                <w:szCs w:val="20"/>
                <w:lang w:eastAsia="zh-CN"/>
              </w:rPr>
            </w:pPr>
            <w:r w:rsidRPr="000C0842">
              <w:rPr>
                <w:rFonts w:eastAsia="KaiTi" w:cs="Times New Roman"/>
                <w:snapToGrid w:val="0"/>
                <w:kern w:val="22"/>
                <w:sz w:val="20"/>
                <w:szCs w:val="20"/>
                <w:lang w:val="en-CA" w:eastAsia="zh-CN"/>
              </w:rPr>
              <w:t>（根据提交的国家目标预先填充）</w:t>
            </w:r>
          </w:p>
        </w:tc>
        <w:tc>
          <w:tcPr>
            <w:tcW w:w="1843" w:type="dxa"/>
            <w:shd w:val="clear" w:color="auto" w:fill="FFFFFF"/>
          </w:tcPr>
          <w:p w14:paraId="793CF6DE"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snapToGrid w:val="0"/>
                <w:kern w:val="22"/>
                <w:sz w:val="20"/>
                <w:szCs w:val="20"/>
                <w:lang w:eastAsia="zh-CN"/>
              </w:rPr>
            </w:pPr>
            <w:r w:rsidRPr="000C0842">
              <w:rPr>
                <w:rFonts w:eastAsia="KaiTi" w:cs="Times New Roman"/>
                <w:snapToGrid w:val="0"/>
                <w:kern w:val="22"/>
                <w:sz w:val="20"/>
                <w:szCs w:val="20"/>
                <w:lang w:eastAsia="zh-CN"/>
              </w:rPr>
              <w:t>指标的数据来源</w:t>
            </w:r>
          </w:p>
        </w:tc>
      </w:tr>
      <w:tr w:rsidR="000C0842" w:rsidRPr="000C0842" w14:paraId="612CBDF6" w14:textId="77777777" w:rsidTr="001F32B3">
        <w:tc>
          <w:tcPr>
            <w:tcW w:w="1695" w:type="dxa"/>
            <w:shd w:val="clear" w:color="auto" w:fill="FFFFFF"/>
          </w:tcPr>
          <w:p w14:paraId="146A2423" w14:textId="6F44313C"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ascii="SimSun" w:eastAsia="SimSun" w:hAnsi="SimSun"/>
                <w:b/>
                <w:bCs/>
                <w:snapToGrid w:val="0"/>
                <w:kern w:val="22"/>
                <w:sz w:val="20"/>
                <w:szCs w:val="20"/>
                <w:lang w:eastAsia="zh-CN"/>
              </w:rPr>
            </w:pPr>
            <w:r w:rsidRPr="000C0842">
              <w:rPr>
                <w:rFonts w:ascii="SimSun" w:eastAsia="SimSun" w:hAnsi="SimSun" w:cs="SimSun" w:hint="eastAsia"/>
                <w:b/>
                <w:bCs/>
                <w:snapToGrid w:val="0"/>
                <w:kern w:val="22"/>
                <w:sz w:val="20"/>
                <w:szCs w:val="20"/>
                <w:lang w:eastAsia="zh-CN"/>
              </w:rPr>
              <w:t>长期目标</w:t>
            </w:r>
            <w:r w:rsidR="00ED1A1D" w:rsidRPr="000C0842">
              <w:rPr>
                <w:rFonts w:eastAsia="Times New Roman"/>
                <w:snapToGrid w:val="0"/>
                <w:kern w:val="22"/>
                <w:sz w:val="20"/>
                <w:szCs w:val="20"/>
                <w:lang w:eastAsia="zh-CN"/>
              </w:rPr>
              <w:t>___</w:t>
            </w:r>
          </w:p>
        </w:tc>
        <w:tc>
          <w:tcPr>
            <w:tcW w:w="1532" w:type="dxa"/>
            <w:shd w:val="clear" w:color="auto" w:fill="FFFFFF"/>
          </w:tcPr>
          <w:p w14:paraId="46F90B10"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bCs/>
                <w:snapToGrid w:val="0"/>
                <w:kern w:val="22"/>
                <w:sz w:val="20"/>
                <w:szCs w:val="20"/>
                <w:lang w:eastAsia="zh-CN"/>
              </w:rPr>
            </w:pPr>
          </w:p>
        </w:tc>
        <w:tc>
          <w:tcPr>
            <w:tcW w:w="2268" w:type="dxa"/>
            <w:shd w:val="clear" w:color="auto" w:fill="FFFFFF"/>
          </w:tcPr>
          <w:p w14:paraId="5B2A2F11"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bCs/>
                <w:snapToGrid w:val="0"/>
                <w:kern w:val="22"/>
                <w:sz w:val="20"/>
                <w:szCs w:val="20"/>
                <w:lang w:eastAsia="zh-CN"/>
              </w:rPr>
            </w:pPr>
            <w:r w:rsidRPr="000C0842">
              <w:rPr>
                <w:rFonts w:eastAsia="KaiTi" w:cs="Times New Roman"/>
                <w:bCs/>
                <w:snapToGrid w:val="0"/>
                <w:kern w:val="22"/>
                <w:sz w:val="20"/>
                <w:szCs w:val="20"/>
                <w:lang w:eastAsia="zh-CN"/>
              </w:rPr>
              <w:t>（如</w:t>
            </w:r>
            <w:r w:rsidRPr="000C0842">
              <w:rPr>
                <w:rFonts w:eastAsia="KaiTi" w:cs="Times New Roman" w:hint="eastAsia"/>
                <w:bCs/>
                <w:snapToGrid w:val="0"/>
                <w:kern w:val="22"/>
                <w:sz w:val="20"/>
                <w:szCs w:val="20"/>
                <w:lang w:eastAsia="zh-CN"/>
              </w:rPr>
              <w:t>上文</w:t>
            </w:r>
            <w:r w:rsidRPr="000C0842">
              <w:rPr>
                <w:rFonts w:eastAsia="KaiTi" w:cs="Times New Roman"/>
                <w:bCs/>
                <w:snapToGrid w:val="0"/>
                <w:kern w:val="22"/>
                <w:sz w:val="20"/>
                <w:szCs w:val="20"/>
                <w:lang w:eastAsia="zh-CN"/>
              </w:rPr>
              <w:t>第三</w:t>
            </w:r>
            <w:r w:rsidRPr="000C0842">
              <w:rPr>
                <w:rFonts w:eastAsia="KaiTi" w:cs="Times New Roman" w:hint="eastAsia"/>
                <w:bCs/>
                <w:snapToGrid w:val="0"/>
                <w:kern w:val="22"/>
                <w:sz w:val="20"/>
                <w:szCs w:val="20"/>
                <w:lang w:eastAsia="zh-CN"/>
              </w:rPr>
              <w:t>节</w:t>
            </w:r>
            <w:r w:rsidRPr="000C0842">
              <w:rPr>
                <w:rFonts w:eastAsia="KaiTi" w:cs="Times New Roman"/>
                <w:bCs/>
                <w:snapToGrid w:val="0"/>
                <w:kern w:val="22"/>
                <w:sz w:val="20"/>
                <w:szCs w:val="20"/>
                <w:lang w:eastAsia="zh-CN"/>
              </w:rPr>
              <w:t>所述，将提供相关指标以供选择。）</w:t>
            </w:r>
          </w:p>
        </w:tc>
        <w:tc>
          <w:tcPr>
            <w:tcW w:w="1984" w:type="dxa"/>
            <w:shd w:val="clear" w:color="auto" w:fill="FFFFFF"/>
          </w:tcPr>
          <w:p w14:paraId="7C5C793C"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bCs/>
                <w:snapToGrid w:val="0"/>
                <w:kern w:val="22"/>
                <w:sz w:val="20"/>
                <w:szCs w:val="20"/>
                <w:lang w:eastAsia="zh-CN"/>
              </w:rPr>
            </w:pPr>
            <w:r w:rsidRPr="000C0842">
              <w:rPr>
                <w:rFonts w:eastAsia="KaiTi" w:cs="Times New Roman"/>
                <w:bCs/>
                <w:snapToGrid w:val="0"/>
                <w:kern w:val="22"/>
                <w:sz w:val="20"/>
                <w:szCs w:val="20"/>
                <w:lang w:eastAsia="zh-CN"/>
              </w:rPr>
              <w:t>（如</w:t>
            </w:r>
            <w:r w:rsidRPr="000C0842">
              <w:rPr>
                <w:rFonts w:eastAsia="KaiTi" w:cs="Times New Roman" w:hint="eastAsia"/>
                <w:bCs/>
                <w:snapToGrid w:val="0"/>
                <w:kern w:val="22"/>
                <w:sz w:val="20"/>
                <w:szCs w:val="20"/>
                <w:lang w:eastAsia="zh-CN"/>
              </w:rPr>
              <w:t>上文</w:t>
            </w:r>
            <w:r w:rsidRPr="000C0842">
              <w:rPr>
                <w:rFonts w:eastAsia="KaiTi" w:cs="Times New Roman"/>
                <w:bCs/>
                <w:snapToGrid w:val="0"/>
                <w:kern w:val="22"/>
                <w:sz w:val="20"/>
                <w:szCs w:val="20"/>
                <w:lang w:eastAsia="zh-CN"/>
              </w:rPr>
              <w:t>第三</w:t>
            </w:r>
            <w:r w:rsidRPr="000C0842">
              <w:rPr>
                <w:rFonts w:eastAsia="KaiTi" w:cs="Times New Roman" w:hint="eastAsia"/>
                <w:bCs/>
                <w:snapToGrid w:val="0"/>
                <w:kern w:val="22"/>
                <w:sz w:val="20"/>
                <w:szCs w:val="20"/>
                <w:lang w:eastAsia="zh-CN"/>
              </w:rPr>
              <w:t>节</w:t>
            </w:r>
            <w:r w:rsidRPr="000C0842">
              <w:rPr>
                <w:rFonts w:eastAsia="KaiTi" w:cs="Times New Roman"/>
                <w:bCs/>
                <w:snapToGrid w:val="0"/>
                <w:kern w:val="22"/>
                <w:sz w:val="20"/>
                <w:szCs w:val="20"/>
                <w:lang w:eastAsia="zh-CN"/>
              </w:rPr>
              <w:t>所述，将提供相关指标以供选择。）</w:t>
            </w:r>
          </w:p>
          <w:p w14:paraId="02A3FFBE"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cs="Times New Roman"/>
                <w:bCs/>
                <w:snapToGrid w:val="0"/>
                <w:kern w:val="22"/>
                <w:sz w:val="20"/>
                <w:szCs w:val="20"/>
                <w:lang w:eastAsia="zh-CN"/>
              </w:rPr>
            </w:pPr>
            <w:r w:rsidRPr="000C0842">
              <w:rPr>
                <w:rFonts w:eastAsia="KaiTi" w:cs="Times New Roman" w:hint="eastAsia"/>
                <w:bCs/>
                <w:snapToGrid w:val="0"/>
                <w:kern w:val="22"/>
                <w:sz w:val="20"/>
                <w:szCs w:val="20"/>
                <w:lang w:eastAsia="zh-CN"/>
              </w:rPr>
              <w:t>国家可能需要以表格形式提交相关的国家指标。</w:t>
            </w:r>
          </w:p>
          <w:p w14:paraId="6896C2C2"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bCs/>
                <w:snapToGrid w:val="0"/>
                <w:kern w:val="22"/>
                <w:sz w:val="20"/>
                <w:szCs w:val="20"/>
                <w:lang w:eastAsia="zh-CN"/>
              </w:rPr>
            </w:pPr>
          </w:p>
        </w:tc>
        <w:tc>
          <w:tcPr>
            <w:tcW w:w="1843" w:type="dxa"/>
            <w:shd w:val="clear" w:color="auto" w:fill="FFFFFF"/>
          </w:tcPr>
          <w:p w14:paraId="7ABA8928" w14:textId="77777777" w:rsidR="000A776A" w:rsidRPr="000C0842" w:rsidRDefault="000A776A" w:rsidP="000A776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bCs/>
                <w:snapToGrid w:val="0"/>
                <w:kern w:val="22"/>
                <w:sz w:val="20"/>
                <w:szCs w:val="20"/>
                <w:lang w:eastAsia="zh-CN"/>
              </w:rPr>
            </w:pPr>
          </w:p>
        </w:tc>
      </w:tr>
    </w:tbl>
    <w:p w14:paraId="3897EDA5" w14:textId="77777777" w:rsidR="000A776A" w:rsidRPr="000C0842" w:rsidRDefault="000A776A" w:rsidP="00ED1A1D">
      <w:pPr>
        <w:widowControl w:val="0"/>
        <w:tabs>
          <w:tab w:val="clear" w:pos="567"/>
          <w:tab w:val="clear" w:pos="1134"/>
          <w:tab w:val="clear" w:pos="1701"/>
          <w:tab w:val="clear" w:pos="2268"/>
        </w:tabs>
        <w:topLinePunct/>
        <w:adjustRightInd w:val="0"/>
        <w:snapToGrid w:val="0"/>
        <w:spacing w:before="240" w:after="120" w:line="240" w:lineRule="atLeast"/>
        <w:rPr>
          <w:rFonts w:eastAsia="SimSun"/>
          <w:b/>
          <w:bCs/>
          <w:snapToGrid w:val="0"/>
          <w:kern w:val="22"/>
          <w:sz w:val="24"/>
          <w:szCs w:val="24"/>
          <w:lang w:val="en-GB"/>
        </w:rPr>
      </w:pPr>
      <w:r w:rsidRPr="000C0842">
        <w:rPr>
          <w:rFonts w:eastAsia="SimSun"/>
          <w:b/>
          <w:bCs/>
          <w:snapToGrid w:val="0"/>
          <w:kern w:val="22"/>
          <w:sz w:val="24"/>
          <w:szCs w:val="24"/>
          <w:lang w:val="en-GB"/>
        </w:rPr>
        <w:t>五</w:t>
      </w:r>
      <w:r w:rsidRPr="000C0842">
        <w:rPr>
          <w:rFonts w:eastAsia="SimSun"/>
          <w:b/>
          <w:bCs/>
          <w:snapToGrid w:val="0"/>
          <w:kern w:val="22"/>
          <w:sz w:val="24"/>
          <w:szCs w:val="24"/>
          <w:lang w:val="en-GB"/>
        </w:rPr>
        <w:t xml:space="preserve">.  </w:t>
      </w:r>
      <w:r w:rsidRPr="000C0842">
        <w:rPr>
          <w:rFonts w:eastAsia="SimSun"/>
          <w:b/>
          <w:bCs/>
          <w:snapToGrid w:val="0"/>
          <w:kern w:val="22"/>
          <w:sz w:val="24"/>
          <w:szCs w:val="24"/>
          <w:lang w:val="en-GB"/>
        </w:rPr>
        <w:t>关于《</w:t>
      </w:r>
      <w:r w:rsidRPr="000C0842">
        <w:rPr>
          <w:rFonts w:eastAsia="SimSun" w:hint="eastAsia"/>
          <w:b/>
          <w:bCs/>
          <w:snapToGrid w:val="0"/>
          <w:kern w:val="22"/>
          <w:sz w:val="24"/>
          <w:szCs w:val="24"/>
          <w:lang w:val="en-GB"/>
        </w:rPr>
        <w:t>生物多样性</w:t>
      </w:r>
      <w:r w:rsidRPr="000C0842">
        <w:rPr>
          <w:rFonts w:eastAsia="SimSun"/>
          <w:b/>
          <w:bCs/>
          <w:snapToGrid w:val="0"/>
          <w:kern w:val="22"/>
          <w:sz w:val="24"/>
          <w:szCs w:val="24"/>
          <w:lang w:val="en-GB"/>
        </w:rPr>
        <w:t>公约》和《昆明</w:t>
      </w:r>
      <w:r w:rsidRPr="000C0842">
        <w:rPr>
          <w:rFonts w:eastAsia="SimSun"/>
          <w:b/>
          <w:bCs/>
          <w:snapToGrid w:val="0"/>
          <w:kern w:val="22"/>
          <w:sz w:val="24"/>
          <w:szCs w:val="24"/>
          <w:lang w:val="en-GB"/>
        </w:rPr>
        <w:t>-</w:t>
      </w:r>
      <w:r w:rsidRPr="000C0842">
        <w:rPr>
          <w:rFonts w:eastAsia="SimSun"/>
          <w:b/>
          <w:bCs/>
          <w:snapToGrid w:val="0"/>
          <w:kern w:val="22"/>
          <w:sz w:val="24"/>
          <w:szCs w:val="24"/>
          <w:lang w:val="en-GB"/>
        </w:rPr>
        <w:t>蒙特利尔全球生物多样性框架》</w:t>
      </w:r>
      <w:r w:rsidRPr="000C0842">
        <w:rPr>
          <w:rFonts w:eastAsia="SimSun" w:hint="eastAsia"/>
          <w:b/>
          <w:bCs/>
          <w:snapToGrid w:val="0"/>
          <w:kern w:val="22"/>
          <w:sz w:val="24"/>
          <w:szCs w:val="24"/>
          <w:lang w:val="en-GB"/>
        </w:rPr>
        <w:t>国家</w:t>
      </w:r>
      <w:r w:rsidRPr="000C0842">
        <w:rPr>
          <w:rFonts w:eastAsia="SimSun"/>
          <w:b/>
          <w:bCs/>
          <w:snapToGrid w:val="0"/>
          <w:kern w:val="22"/>
          <w:sz w:val="24"/>
          <w:szCs w:val="24"/>
          <w:lang w:val="en-GB"/>
        </w:rPr>
        <w:t>执行情况的结论</w:t>
      </w:r>
    </w:p>
    <w:p w14:paraId="3784A271" w14:textId="77777777" w:rsidR="000A776A" w:rsidRPr="000C0842" w:rsidRDefault="000A776A" w:rsidP="00ED1A1D">
      <w:pPr>
        <w:widowControl w:val="0"/>
        <w:tabs>
          <w:tab w:val="clear" w:pos="567"/>
          <w:tab w:val="clear" w:pos="1134"/>
          <w:tab w:val="clear" w:pos="1701"/>
          <w:tab w:val="clear" w:pos="2268"/>
        </w:tabs>
        <w:topLinePunct/>
        <w:spacing w:before="120" w:after="120" w:line="240" w:lineRule="atLeast"/>
        <w:rPr>
          <w:rFonts w:eastAsia="SimSun"/>
          <w:b/>
          <w:bCs/>
          <w:snapToGrid w:val="0"/>
          <w:kern w:val="22"/>
          <w:sz w:val="20"/>
          <w:szCs w:val="20"/>
          <w:lang w:val="en-GB"/>
        </w:rPr>
      </w:pPr>
      <w:r w:rsidRPr="000C0842">
        <w:rPr>
          <w:rFonts w:eastAsia="SimSun"/>
          <w:snapToGrid w:val="0"/>
          <w:kern w:val="22"/>
          <w:sz w:val="24"/>
          <w:szCs w:val="24"/>
          <w:lang w:val="en-GB"/>
        </w:rPr>
        <w:tab/>
      </w:r>
      <w:r w:rsidRPr="000C0842">
        <w:rPr>
          <w:rFonts w:eastAsia="SimSun" w:hint="eastAsia"/>
          <w:snapToGrid w:val="0"/>
          <w:kern w:val="22"/>
          <w:sz w:val="20"/>
          <w:szCs w:val="20"/>
          <w:lang w:val="en-GB"/>
        </w:rPr>
        <w:t>本节</w:t>
      </w:r>
      <w:r w:rsidRPr="000C0842">
        <w:rPr>
          <w:rFonts w:eastAsia="SimSun"/>
          <w:snapToGrid w:val="0"/>
          <w:kern w:val="22"/>
          <w:sz w:val="20"/>
          <w:szCs w:val="20"/>
          <w:lang w:val="en-GB"/>
        </w:rPr>
        <w:t>鼓励</w:t>
      </w:r>
      <w:r w:rsidRPr="000C0842">
        <w:rPr>
          <w:rFonts w:eastAsia="SimSun" w:hint="eastAsia"/>
          <w:snapToGrid w:val="0"/>
          <w:kern w:val="22"/>
          <w:sz w:val="20"/>
          <w:szCs w:val="20"/>
          <w:lang w:val="en-GB"/>
        </w:rPr>
        <w:t>缔约方</w:t>
      </w:r>
      <w:r w:rsidRPr="000C0842">
        <w:rPr>
          <w:rFonts w:eastAsia="SimSun"/>
          <w:snapToGrid w:val="0"/>
          <w:kern w:val="22"/>
          <w:sz w:val="20"/>
          <w:szCs w:val="20"/>
          <w:lang w:val="en-GB"/>
        </w:rPr>
        <w:t>总结</w:t>
      </w:r>
      <w:r w:rsidRPr="000C0842">
        <w:rPr>
          <w:rFonts w:eastAsia="SimSun" w:hint="eastAsia"/>
          <w:snapToGrid w:val="0"/>
          <w:kern w:val="22"/>
          <w:sz w:val="20"/>
          <w:szCs w:val="20"/>
          <w:lang w:val="en-GB"/>
        </w:rPr>
        <w:t>本国执行</w:t>
      </w:r>
      <w:r w:rsidRPr="000C0842">
        <w:rPr>
          <w:rFonts w:eastAsia="SimSun"/>
          <w:snapToGrid w:val="0"/>
          <w:kern w:val="22"/>
          <w:sz w:val="20"/>
          <w:szCs w:val="20"/>
          <w:lang w:val="en-GB"/>
        </w:rPr>
        <w:t>《</w:t>
      </w:r>
      <w:r w:rsidRPr="000C0842">
        <w:rPr>
          <w:rFonts w:eastAsia="SimSun" w:hint="eastAsia"/>
          <w:snapToGrid w:val="0"/>
          <w:kern w:val="22"/>
          <w:sz w:val="20"/>
          <w:szCs w:val="20"/>
          <w:lang w:val="en-GB"/>
        </w:rPr>
        <w:t>生物多样性</w:t>
      </w:r>
      <w:r w:rsidRPr="000C0842">
        <w:rPr>
          <w:rFonts w:eastAsia="SimSun"/>
          <w:snapToGrid w:val="0"/>
          <w:kern w:val="22"/>
          <w:sz w:val="20"/>
          <w:szCs w:val="20"/>
          <w:lang w:val="en-GB"/>
        </w:rPr>
        <w:t>公约》和《昆蒙框架》</w:t>
      </w:r>
      <w:r w:rsidRPr="000C0842">
        <w:rPr>
          <w:rFonts w:eastAsia="SimSun" w:hint="eastAsia"/>
          <w:snapToGrid w:val="0"/>
          <w:kern w:val="22"/>
          <w:sz w:val="20"/>
          <w:szCs w:val="20"/>
          <w:lang w:val="en-GB"/>
        </w:rPr>
        <w:t>的</w:t>
      </w:r>
      <w:r w:rsidRPr="000C0842">
        <w:rPr>
          <w:rFonts w:eastAsia="SimSun"/>
          <w:snapToGrid w:val="0"/>
          <w:kern w:val="22"/>
          <w:sz w:val="20"/>
          <w:szCs w:val="20"/>
          <w:lang w:val="en-GB"/>
        </w:rPr>
        <w:t>情况，包括</w:t>
      </w:r>
      <w:r w:rsidRPr="000C0842">
        <w:rPr>
          <w:rFonts w:eastAsia="SimSun" w:hint="eastAsia"/>
          <w:snapToGrid w:val="0"/>
          <w:kern w:val="22"/>
          <w:sz w:val="20"/>
          <w:szCs w:val="20"/>
          <w:lang w:val="en-GB"/>
        </w:rPr>
        <w:t>取得的</w:t>
      </w:r>
      <w:r w:rsidRPr="000C0842">
        <w:rPr>
          <w:rFonts w:eastAsia="SimSun"/>
          <w:snapToGrid w:val="0"/>
          <w:kern w:val="22"/>
          <w:sz w:val="20"/>
          <w:szCs w:val="20"/>
          <w:lang w:val="en-GB"/>
        </w:rPr>
        <w:t>主要</w:t>
      </w:r>
      <w:r w:rsidRPr="000C0842">
        <w:rPr>
          <w:rFonts w:eastAsia="SimSun" w:hint="eastAsia"/>
          <w:snapToGrid w:val="0"/>
          <w:kern w:val="22"/>
          <w:sz w:val="20"/>
          <w:szCs w:val="20"/>
          <w:lang w:val="en-GB"/>
        </w:rPr>
        <w:t>成就</w:t>
      </w:r>
      <w:r w:rsidRPr="000C0842">
        <w:rPr>
          <w:rFonts w:eastAsia="SimSun"/>
          <w:snapToGrid w:val="0"/>
          <w:kern w:val="22"/>
          <w:sz w:val="20"/>
          <w:szCs w:val="20"/>
          <w:lang w:val="en-GB"/>
        </w:rPr>
        <w:t>和遇到的主要挑战，特别是有关能力、技术、工艺、体制和财政差距和制约因素以及有关为执行工作所提供支持的主要成果和挑战。</w:t>
      </w:r>
      <w:r w:rsidRPr="000C0842">
        <w:rPr>
          <w:rFonts w:eastAsia="SimSun" w:hint="eastAsia"/>
          <w:snapToGrid w:val="0"/>
          <w:kern w:val="22"/>
          <w:sz w:val="20"/>
          <w:szCs w:val="20"/>
          <w:lang w:val="en-GB"/>
        </w:rPr>
        <w:t>缔约方</w:t>
      </w:r>
      <w:r w:rsidRPr="000C0842">
        <w:rPr>
          <w:rFonts w:eastAsia="SimSun"/>
          <w:snapToGrid w:val="0"/>
          <w:kern w:val="22"/>
          <w:sz w:val="20"/>
          <w:szCs w:val="20"/>
          <w:lang w:val="en-GB"/>
        </w:rPr>
        <w:t>可以提及影响执行《公约》和《昆蒙框架》的跨领域挑战，或阻碍进展的具体障碍。这些挑战</w:t>
      </w:r>
      <w:r w:rsidRPr="000C0842">
        <w:rPr>
          <w:rFonts w:eastAsia="SimSun" w:hint="eastAsia"/>
          <w:snapToGrid w:val="0"/>
          <w:kern w:val="22"/>
          <w:sz w:val="20"/>
          <w:szCs w:val="20"/>
          <w:lang w:val="en-GB"/>
        </w:rPr>
        <w:t>和障碍</w:t>
      </w:r>
      <w:r w:rsidRPr="000C0842">
        <w:rPr>
          <w:rFonts w:eastAsia="SimSun"/>
          <w:snapToGrid w:val="0"/>
          <w:kern w:val="22"/>
          <w:sz w:val="20"/>
          <w:szCs w:val="20"/>
          <w:lang w:val="en-GB"/>
        </w:rPr>
        <w:t>可能包括缺乏足够的</w:t>
      </w:r>
      <w:r w:rsidRPr="000C0842">
        <w:rPr>
          <w:rFonts w:eastAsia="SimSun" w:hint="eastAsia"/>
          <w:snapToGrid w:val="0"/>
          <w:kern w:val="22"/>
          <w:sz w:val="20"/>
          <w:szCs w:val="20"/>
          <w:lang w:val="en-GB"/>
        </w:rPr>
        <w:t>财务</w:t>
      </w:r>
      <w:r w:rsidRPr="000C0842">
        <w:rPr>
          <w:rFonts w:eastAsia="SimSun"/>
          <w:snapToGrid w:val="0"/>
          <w:kern w:val="22"/>
          <w:sz w:val="20"/>
          <w:szCs w:val="20"/>
          <w:lang w:val="en-GB"/>
        </w:rPr>
        <w:t>、人力和技术资源，部际</w:t>
      </w:r>
      <w:r w:rsidRPr="000C0842">
        <w:rPr>
          <w:rFonts w:eastAsia="SimSun" w:hint="eastAsia"/>
          <w:snapToGrid w:val="0"/>
          <w:kern w:val="22"/>
          <w:sz w:val="20"/>
          <w:szCs w:val="20"/>
          <w:lang w:val="en-GB"/>
        </w:rPr>
        <w:t>或</w:t>
      </w:r>
      <w:r w:rsidRPr="000C0842">
        <w:rPr>
          <w:rFonts w:eastAsia="SimSun"/>
          <w:snapToGrid w:val="0"/>
          <w:kern w:val="22"/>
          <w:sz w:val="20"/>
          <w:szCs w:val="20"/>
          <w:lang w:val="en-GB"/>
        </w:rPr>
        <w:t>机构间合作和协调方面的困难，缺乏及时和可靠的获取知识、信息和数据的途径，缺乏支持项目开发和管理的科学专门知识，以及缺乏获取相关执行技术的途径。如果前面各</w:t>
      </w:r>
      <w:r w:rsidRPr="000C0842">
        <w:rPr>
          <w:rFonts w:eastAsia="SimSun" w:hint="eastAsia"/>
          <w:snapToGrid w:val="0"/>
          <w:kern w:val="22"/>
          <w:sz w:val="20"/>
          <w:szCs w:val="20"/>
          <w:lang w:val="en-GB"/>
        </w:rPr>
        <w:t>节</w:t>
      </w:r>
      <w:r w:rsidRPr="000C0842">
        <w:rPr>
          <w:rFonts w:eastAsia="SimSun"/>
          <w:snapToGrid w:val="0"/>
          <w:kern w:val="22"/>
          <w:sz w:val="20"/>
          <w:szCs w:val="20"/>
          <w:lang w:val="en-GB"/>
        </w:rPr>
        <w:t>涵盖了</w:t>
      </w:r>
      <w:r w:rsidRPr="000C0842">
        <w:rPr>
          <w:rFonts w:eastAsia="SimSun" w:hint="eastAsia"/>
          <w:snapToGrid w:val="0"/>
          <w:kern w:val="22"/>
          <w:sz w:val="20"/>
          <w:szCs w:val="20"/>
          <w:lang w:val="en-GB"/>
        </w:rPr>
        <w:t>这些</w:t>
      </w:r>
      <w:r w:rsidRPr="000C0842">
        <w:rPr>
          <w:rFonts w:eastAsia="SimSun"/>
          <w:snapToGrid w:val="0"/>
          <w:kern w:val="22"/>
          <w:sz w:val="20"/>
          <w:szCs w:val="20"/>
          <w:lang w:val="en-GB"/>
        </w:rPr>
        <w:t>信息，</w:t>
      </w:r>
      <w:r w:rsidRPr="000C0842">
        <w:rPr>
          <w:rFonts w:eastAsia="SimSun" w:hint="eastAsia"/>
          <w:snapToGrid w:val="0"/>
          <w:kern w:val="22"/>
          <w:sz w:val="20"/>
          <w:szCs w:val="20"/>
          <w:lang w:val="en-GB"/>
        </w:rPr>
        <w:t>缔约方</w:t>
      </w:r>
      <w:r w:rsidRPr="000C0842">
        <w:rPr>
          <w:rFonts w:eastAsia="SimSun"/>
          <w:snapToGrid w:val="0"/>
          <w:kern w:val="22"/>
          <w:sz w:val="20"/>
          <w:szCs w:val="20"/>
          <w:lang w:val="en-GB"/>
        </w:rPr>
        <w:t>应尽量避免重复</w:t>
      </w:r>
      <w:r w:rsidRPr="000C0842">
        <w:rPr>
          <w:rFonts w:eastAsia="SimSun"/>
          <w:b/>
          <w:bCs/>
          <w:snapToGrid w:val="0"/>
          <w:kern w:val="22"/>
          <w:sz w:val="20"/>
          <w:szCs w:val="20"/>
          <w:lang w:val="en-GB"/>
        </w:rPr>
        <w:t>。</w:t>
      </w:r>
    </w:p>
    <w:tbl>
      <w:tblPr>
        <w:tblStyle w:val="TableGrid23"/>
        <w:tblW w:w="0" w:type="auto"/>
        <w:jc w:val="center"/>
        <w:tblLook w:val="04A0" w:firstRow="1" w:lastRow="0" w:firstColumn="1" w:lastColumn="0" w:noHBand="0" w:noVBand="1"/>
      </w:tblPr>
      <w:tblGrid>
        <w:gridCol w:w="9350"/>
      </w:tblGrid>
      <w:tr w:rsidR="000C0842" w:rsidRPr="000C0842" w14:paraId="14759F9A" w14:textId="77777777" w:rsidTr="001F32B3">
        <w:trPr>
          <w:trHeight w:val="1165"/>
          <w:jc w:val="center"/>
        </w:trPr>
        <w:tc>
          <w:tcPr>
            <w:tcW w:w="9350" w:type="dxa"/>
            <w:vAlign w:val="center"/>
          </w:tcPr>
          <w:p w14:paraId="3FD2C8FE" w14:textId="77777777" w:rsidR="000A776A" w:rsidRPr="000C0842" w:rsidRDefault="000A776A" w:rsidP="000A776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 w:val="20"/>
                <w:szCs w:val="20"/>
                <w:lang w:eastAsia="zh-CN"/>
              </w:rPr>
            </w:pPr>
            <w:r w:rsidRPr="000C0842">
              <w:rPr>
                <w:rFonts w:ascii="Calibri" w:hAnsi="Calibri" w:cs="Arial"/>
                <w:b/>
                <w:snapToGrid w:val="0"/>
                <w:kern w:val="22"/>
                <w:sz w:val="20"/>
                <w:szCs w:val="20"/>
                <w:lang w:eastAsia="zh-CN"/>
              </w:rPr>
              <w:t>请概述《公约》和</w:t>
            </w:r>
            <w:r w:rsidRPr="000C0842">
              <w:rPr>
                <w:rFonts w:ascii="Microsoft YaHei" w:hAnsi="Microsoft YaHei" w:cs="Microsoft YaHei" w:hint="eastAsia"/>
                <w:b/>
                <w:snapToGrid w:val="0"/>
                <w:kern w:val="22"/>
                <w:sz w:val="20"/>
                <w:szCs w:val="20"/>
                <w:lang w:eastAsia="zh-CN"/>
              </w:rPr>
              <w:t>《昆蒙框架》</w:t>
            </w:r>
            <w:r w:rsidRPr="000C0842">
              <w:rPr>
                <w:rFonts w:ascii="Calibri" w:hAnsi="Calibri" w:cs="Arial"/>
                <w:b/>
                <w:snapToGrid w:val="0"/>
                <w:kern w:val="22"/>
                <w:sz w:val="20"/>
                <w:szCs w:val="20"/>
                <w:lang w:eastAsia="zh-CN"/>
              </w:rPr>
              <w:t>的执行情况</w:t>
            </w:r>
            <w:r w:rsidRPr="000C0842">
              <w:rPr>
                <w:rFonts w:ascii="Calibri" w:hAnsi="Calibri" w:cs="Arial" w:hint="eastAsia"/>
                <w:b/>
                <w:snapToGrid w:val="0"/>
                <w:kern w:val="22"/>
                <w:sz w:val="20"/>
                <w:szCs w:val="20"/>
                <w:lang w:eastAsia="zh-CN"/>
              </w:rPr>
              <w:t>，</w:t>
            </w:r>
            <w:r w:rsidRPr="000C0842">
              <w:rPr>
                <w:rFonts w:ascii="Calibri" w:hAnsi="Calibri" w:cs="Arial"/>
                <w:b/>
                <w:snapToGrid w:val="0"/>
                <w:kern w:val="22"/>
                <w:sz w:val="20"/>
                <w:szCs w:val="20"/>
                <w:lang w:eastAsia="zh-CN"/>
              </w:rPr>
              <w:t>包括</w:t>
            </w:r>
            <w:r w:rsidRPr="000C0842">
              <w:rPr>
                <w:rFonts w:ascii="Calibri" w:hAnsi="Calibri" w:cs="Arial" w:hint="eastAsia"/>
                <w:b/>
                <w:snapToGrid w:val="0"/>
                <w:kern w:val="22"/>
                <w:sz w:val="20"/>
                <w:szCs w:val="20"/>
                <w:lang w:eastAsia="zh-CN"/>
              </w:rPr>
              <w:t>《昆蒙框架》的所有部分，说明</w:t>
            </w:r>
            <w:r w:rsidRPr="000C0842">
              <w:rPr>
                <w:rFonts w:ascii="Calibri" w:hAnsi="Calibri" w:cs="Arial"/>
                <w:b/>
                <w:snapToGrid w:val="0"/>
                <w:kern w:val="22"/>
                <w:sz w:val="20"/>
                <w:szCs w:val="20"/>
                <w:lang w:eastAsia="zh-CN"/>
              </w:rPr>
              <w:t>取得的主要</w:t>
            </w:r>
            <w:r w:rsidRPr="000C0842">
              <w:rPr>
                <w:rFonts w:ascii="Calibri" w:hAnsi="Calibri" w:cs="Arial" w:hint="eastAsia"/>
                <w:b/>
                <w:snapToGrid w:val="0"/>
                <w:kern w:val="22"/>
                <w:sz w:val="20"/>
                <w:szCs w:val="20"/>
                <w:lang w:eastAsia="zh-CN"/>
              </w:rPr>
              <w:t>成就以及</w:t>
            </w:r>
            <w:r w:rsidRPr="000C0842">
              <w:rPr>
                <w:rFonts w:ascii="Calibri" w:hAnsi="Calibri" w:cs="Arial"/>
                <w:b/>
                <w:snapToGrid w:val="0"/>
                <w:kern w:val="22"/>
                <w:sz w:val="20"/>
                <w:szCs w:val="20"/>
                <w:lang w:eastAsia="zh-CN"/>
              </w:rPr>
              <w:t>遇到的</w:t>
            </w:r>
            <w:r w:rsidRPr="000C0842">
              <w:rPr>
                <w:rFonts w:ascii="Calibri" w:hAnsi="Calibri" w:cs="Arial" w:hint="eastAsia"/>
                <w:b/>
                <w:snapToGrid w:val="0"/>
                <w:kern w:val="22"/>
                <w:sz w:val="20"/>
                <w:szCs w:val="20"/>
                <w:lang w:eastAsia="zh-CN"/>
              </w:rPr>
              <w:t>（适用情况下说明已克服的）</w:t>
            </w:r>
            <w:r w:rsidRPr="000C0842">
              <w:rPr>
                <w:rFonts w:ascii="Calibri" w:hAnsi="Calibri" w:cs="Arial"/>
                <w:b/>
                <w:snapToGrid w:val="0"/>
                <w:kern w:val="22"/>
                <w:sz w:val="20"/>
                <w:szCs w:val="20"/>
                <w:lang w:eastAsia="zh-CN"/>
              </w:rPr>
              <w:t>主要挑战，特别是有关能力、技术、工艺、体制和</w:t>
            </w:r>
            <w:r w:rsidRPr="000C0842">
              <w:rPr>
                <w:rFonts w:ascii="Calibri" w:hAnsi="Calibri" w:cs="Arial" w:hint="eastAsia"/>
                <w:b/>
                <w:snapToGrid w:val="0"/>
                <w:kern w:val="22"/>
                <w:sz w:val="20"/>
                <w:szCs w:val="20"/>
                <w:lang w:eastAsia="zh-CN"/>
              </w:rPr>
              <w:t>财务</w:t>
            </w:r>
            <w:r w:rsidRPr="000C0842">
              <w:rPr>
                <w:rFonts w:ascii="Calibri" w:hAnsi="Calibri" w:cs="Arial"/>
                <w:b/>
                <w:snapToGrid w:val="0"/>
                <w:kern w:val="22"/>
                <w:sz w:val="20"/>
                <w:szCs w:val="20"/>
                <w:lang w:eastAsia="zh-CN"/>
              </w:rPr>
              <w:t>差距和制约</w:t>
            </w:r>
            <w:r w:rsidRPr="000C0842">
              <w:rPr>
                <w:rFonts w:ascii="Calibri" w:hAnsi="Calibri" w:cs="Arial" w:hint="eastAsia"/>
                <w:b/>
                <w:snapToGrid w:val="0"/>
                <w:kern w:val="22"/>
                <w:sz w:val="20"/>
                <w:szCs w:val="20"/>
                <w:lang w:eastAsia="zh-CN"/>
              </w:rPr>
              <w:t>的</w:t>
            </w:r>
            <w:r w:rsidRPr="000C0842">
              <w:rPr>
                <w:rFonts w:ascii="Calibri" w:hAnsi="Calibri" w:cs="Arial"/>
                <w:b/>
                <w:snapToGrid w:val="0"/>
                <w:kern w:val="22"/>
                <w:sz w:val="20"/>
                <w:szCs w:val="20"/>
                <w:lang w:eastAsia="zh-CN"/>
              </w:rPr>
              <w:t>主要成果和挑战</w:t>
            </w:r>
            <w:r w:rsidRPr="000C0842">
              <w:rPr>
                <w:rFonts w:ascii="Calibri" w:hAnsi="Calibri" w:cs="Arial" w:hint="eastAsia"/>
                <w:b/>
                <w:snapToGrid w:val="0"/>
                <w:kern w:val="22"/>
                <w:sz w:val="20"/>
                <w:szCs w:val="20"/>
                <w:lang w:eastAsia="zh-CN"/>
              </w:rPr>
              <w:t>，</w:t>
            </w:r>
            <w:r w:rsidRPr="000C0842">
              <w:rPr>
                <w:rFonts w:ascii="Calibri" w:hAnsi="Calibri" w:cs="Arial"/>
                <w:b/>
                <w:snapToGrid w:val="0"/>
                <w:kern w:val="22"/>
                <w:sz w:val="20"/>
                <w:szCs w:val="20"/>
                <w:lang w:eastAsia="zh-CN"/>
              </w:rPr>
              <w:t>以及为执行</w:t>
            </w:r>
            <w:r w:rsidRPr="000C0842">
              <w:rPr>
                <w:rFonts w:ascii="Calibri" w:hAnsi="Calibri" w:cs="Arial" w:hint="eastAsia"/>
                <w:b/>
                <w:snapToGrid w:val="0"/>
                <w:kern w:val="22"/>
                <w:sz w:val="20"/>
                <w:szCs w:val="20"/>
                <w:lang w:eastAsia="zh-CN"/>
              </w:rPr>
              <w:t>工作</w:t>
            </w:r>
            <w:r w:rsidRPr="000C0842">
              <w:rPr>
                <w:rFonts w:ascii="Calibri" w:hAnsi="Calibri" w:cs="Arial"/>
                <w:b/>
                <w:snapToGrid w:val="0"/>
                <w:kern w:val="22"/>
                <w:sz w:val="20"/>
                <w:szCs w:val="20"/>
                <w:lang w:eastAsia="zh-CN"/>
              </w:rPr>
              <w:t>提供</w:t>
            </w:r>
            <w:r w:rsidRPr="000C0842">
              <w:rPr>
                <w:rFonts w:ascii="Calibri" w:hAnsi="Calibri" w:cs="Arial" w:hint="eastAsia"/>
                <w:b/>
                <w:snapToGrid w:val="0"/>
                <w:kern w:val="22"/>
                <w:sz w:val="20"/>
                <w:szCs w:val="20"/>
                <w:lang w:eastAsia="zh-CN"/>
              </w:rPr>
              <w:t>的</w:t>
            </w:r>
            <w:r w:rsidRPr="000C0842">
              <w:rPr>
                <w:rFonts w:ascii="Calibri" w:hAnsi="Calibri" w:cs="Arial"/>
                <w:b/>
                <w:snapToGrid w:val="0"/>
                <w:kern w:val="22"/>
                <w:sz w:val="20"/>
                <w:szCs w:val="20"/>
                <w:lang w:eastAsia="zh-CN"/>
              </w:rPr>
              <w:t>支持</w:t>
            </w:r>
            <w:r w:rsidRPr="000C0842">
              <w:rPr>
                <w:rFonts w:ascii="Calibri" w:hAnsi="Calibri" w:cs="Arial" w:hint="eastAsia"/>
                <w:b/>
                <w:snapToGrid w:val="0"/>
                <w:kern w:val="22"/>
                <w:sz w:val="20"/>
                <w:szCs w:val="20"/>
                <w:lang w:eastAsia="zh-CN"/>
              </w:rPr>
              <w:t>。</w:t>
            </w:r>
          </w:p>
        </w:tc>
      </w:tr>
      <w:tr w:rsidR="000A776A" w:rsidRPr="000C0842" w14:paraId="512922F6" w14:textId="77777777" w:rsidTr="001F32B3">
        <w:trPr>
          <w:trHeight w:val="1165"/>
          <w:jc w:val="center"/>
        </w:trPr>
        <w:tc>
          <w:tcPr>
            <w:tcW w:w="9350" w:type="dxa"/>
            <w:vAlign w:val="center"/>
          </w:tcPr>
          <w:p w14:paraId="7F789CED" w14:textId="77777777" w:rsidR="000A776A" w:rsidRPr="000C0842" w:rsidRDefault="000A776A" w:rsidP="000A776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Cs w:val="20"/>
                <w:lang w:eastAsia="zh-CN"/>
              </w:rPr>
            </w:pPr>
          </w:p>
        </w:tc>
      </w:tr>
    </w:tbl>
    <w:p w14:paraId="322F22BE" w14:textId="77777777" w:rsidR="000A776A" w:rsidRPr="000C0842" w:rsidRDefault="000A776A" w:rsidP="000A776A">
      <w:pPr>
        <w:shd w:val="clear" w:color="auto" w:fill="FFFFFF"/>
        <w:tabs>
          <w:tab w:val="clear" w:pos="567"/>
          <w:tab w:val="clear" w:pos="1134"/>
          <w:tab w:val="clear" w:pos="1701"/>
          <w:tab w:val="clear" w:pos="2268"/>
        </w:tabs>
        <w:spacing w:before="120" w:after="240"/>
        <w:ind w:left="567"/>
        <w:jc w:val="left"/>
        <w:outlineLvl w:val="0"/>
        <w:rPr>
          <w:rFonts w:eastAsia="SimSun"/>
          <w:sz w:val="24"/>
          <w:szCs w:val="24"/>
          <w:lang w:val="en-GB"/>
        </w:rPr>
      </w:pPr>
    </w:p>
    <w:p w14:paraId="555491AA" w14:textId="77777777" w:rsidR="000A776A" w:rsidRPr="000C0842" w:rsidRDefault="000A776A" w:rsidP="00893A90">
      <w:pPr>
        <w:keepNext/>
        <w:tabs>
          <w:tab w:val="clear" w:pos="567"/>
          <w:tab w:val="clear" w:pos="1134"/>
          <w:tab w:val="clear" w:pos="1701"/>
          <w:tab w:val="clear" w:pos="2268"/>
        </w:tabs>
        <w:ind w:left="490"/>
        <w:rPr>
          <w:rFonts w:eastAsia="SimSun"/>
          <w:b/>
          <w:bCs/>
          <w:sz w:val="24"/>
          <w:szCs w:val="24"/>
          <w:lang w:val="en-CA"/>
        </w:rPr>
      </w:pPr>
      <w:r w:rsidRPr="000C0842">
        <w:rPr>
          <w:rFonts w:eastAsia="SimSun" w:hint="eastAsia"/>
          <w:b/>
          <w:bCs/>
          <w:kern w:val="2"/>
          <w:sz w:val="24"/>
          <w:szCs w:val="24"/>
          <w:lang w:val="en-CA"/>
          <w14:ligatures w14:val="standardContextual"/>
        </w:rPr>
        <w:t>附件二</w:t>
      </w:r>
    </w:p>
    <w:p w14:paraId="2864FAE7" w14:textId="77777777" w:rsidR="000A776A" w:rsidRPr="000C0842" w:rsidRDefault="000A776A" w:rsidP="000A776A">
      <w:pPr>
        <w:keepNext/>
        <w:keepLines/>
        <w:tabs>
          <w:tab w:val="clear" w:pos="567"/>
          <w:tab w:val="clear" w:pos="1134"/>
          <w:tab w:val="clear" w:pos="1701"/>
          <w:tab w:val="clear" w:pos="2268"/>
        </w:tabs>
        <w:ind w:left="495"/>
        <w:jc w:val="left"/>
        <w:outlineLvl w:val="1"/>
        <w:rPr>
          <w:rFonts w:eastAsia="SimSun"/>
          <w:b/>
          <w:bCs/>
          <w:kern w:val="2"/>
          <w:sz w:val="28"/>
          <w:szCs w:val="28"/>
          <w:lang w:val="en-GB"/>
          <w14:ligatures w14:val="standardContextual"/>
        </w:rPr>
      </w:pPr>
      <w:r w:rsidRPr="000C0842">
        <w:rPr>
          <w:rFonts w:eastAsia="SimSun" w:hint="eastAsia"/>
          <w:b/>
          <w:bCs/>
          <w:kern w:val="2"/>
          <w:sz w:val="24"/>
          <w:szCs w:val="24"/>
          <w:lang w:val="en-CA"/>
          <w14:ligatures w14:val="standardContextual"/>
        </w:rPr>
        <w:t>传播国家政府以外的行为体所做承诺</w:t>
      </w:r>
      <w:r w:rsidRPr="000C0842">
        <w:rPr>
          <w:rFonts w:eastAsia="DengXian Light"/>
          <w:b/>
          <w:sz w:val="24"/>
          <w:szCs w:val="26"/>
          <w:vertAlign w:val="superscript"/>
          <w:lang w:val="en-GB"/>
        </w:rPr>
        <w:footnoteReference w:customMarkFollows="1" w:id="427"/>
        <w:t>*</w:t>
      </w:r>
    </w:p>
    <w:p w14:paraId="44FA4915" w14:textId="77777777" w:rsidR="000A776A" w:rsidRPr="000C0842" w:rsidRDefault="000A776A" w:rsidP="000A776A">
      <w:pPr>
        <w:keepNext/>
        <w:keepLines/>
        <w:tabs>
          <w:tab w:val="clear" w:pos="567"/>
          <w:tab w:val="clear" w:pos="1134"/>
          <w:tab w:val="clear" w:pos="1701"/>
          <w:tab w:val="clear" w:pos="2268"/>
        </w:tabs>
        <w:spacing w:before="120" w:after="120"/>
        <w:ind w:left="490" w:hanging="490"/>
        <w:jc w:val="left"/>
        <w:outlineLvl w:val="1"/>
        <w:rPr>
          <w:rFonts w:eastAsia="SimSun"/>
          <w:b/>
          <w:bCs/>
          <w:kern w:val="2"/>
          <w:sz w:val="24"/>
          <w:szCs w:val="24"/>
          <w:lang w:val="en-CA"/>
          <w14:ligatures w14:val="standardContextual"/>
        </w:rPr>
      </w:pPr>
      <w:r w:rsidRPr="000C0842">
        <w:rPr>
          <w:rFonts w:eastAsia="SimSun" w:hint="eastAsia"/>
          <w:b/>
          <w:bCs/>
          <w:kern w:val="2"/>
          <w:sz w:val="24"/>
          <w:szCs w:val="24"/>
          <w:lang w:val="en-CA"/>
          <w14:ligatures w14:val="standardContextual"/>
        </w:rPr>
        <w:t>一</w:t>
      </w:r>
      <w:r w:rsidRPr="000C0842">
        <w:rPr>
          <w:rFonts w:eastAsia="SimSun"/>
          <w:b/>
          <w:bCs/>
          <w:kern w:val="2"/>
          <w:sz w:val="24"/>
          <w:szCs w:val="24"/>
          <w:lang w:val="en-CA"/>
          <w14:ligatures w14:val="standardContextual"/>
        </w:rPr>
        <w:t>.</w:t>
      </w:r>
      <w:r w:rsidRPr="000C0842">
        <w:rPr>
          <w:rFonts w:eastAsia="SimSun"/>
          <w:b/>
          <w:bCs/>
          <w:kern w:val="2"/>
          <w:sz w:val="24"/>
          <w:szCs w:val="24"/>
          <w:lang w:val="en-CA"/>
          <w14:ligatures w14:val="standardContextual"/>
        </w:rPr>
        <w:tab/>
      </w:r>
      <w:r w:rsidRPr="000C0842">
        <w:rPr>
          <w:rFonts w:eastAsia="SimSun" w:hint="eastAsia"/>
          <w:b/>
          <w:bCs/>
          <w:kern w:val="2"/>
          <w:sz w:val="24"/>
          <w:szCs w:val="24"/>
          <w14:ligatures w14:val="standardContextual"/>
        </w:rPr>
        <w:t>在强化的多层面规划、监测、报告和审查办法中纳入国家政府以外的行为体所做承诺的一般原则</w:t>
      </w:r>
    </w:p>
    <w:p w14:paraId="50D28A50"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lang w:val="en-GB"/>
        </w:rPr>
        <w:t>1.</w:t>
      </w:r>
      <w:r w:rsidRPr="000C0842">
        <w:rPr>
          <w:rFonts w:eastAsia="SimSun"/>
          <w:sz w:val="24"/>
          <w:szCs w:val="24"/>
          <w:lang w:val="en-GB"/>
        </w:rPr>
        <w:tab/>
      </w:r>
      <w:r w:rsidRPr="000C0842">
        <w:rPr>
          <w:rFonts w:eastAsia="SimSun" w:hint="eastAsia"/>
          <w:sz w:val="24"/>
          <w:szCs w:val="24"/>
        </w:rPr>
        <w:t>《昆明</w:t>
      </w:r>
      <w:r w:rsidRPr="000C0842">
        <w:rPr>
          <w:rFonts w:eastAsia="SimSun" w:hint="eastAsia"/>
          <w:sz w:val="24"/>
          <w:szCs w:val="24"/>
        </w:rPr>
        <w:t>-</w:t>
      </w:r>
      <w:r w:rsidRPr="000C0842">
        <w:rPr>
          <w:rFonts w:eastAsia="SimSun" w:hint="eastAsia"/>
          <w:sz w:val="24"/>
          <w:szCs w:val="24"/>
        </w:rPr>
        <w:t>蒙特利尔全球生物多样性框架》</w:t>
      </w:r>
      <w:r w:rsidRPr="000C0842">
        <w:rPr>
          <w:rFonts w:eastAsia="SimSun"/>
          <w:sz w:val="24"/>
          <w:szCs w:val="24"/>
          <w:vertAlign w:val="superscript"/>
        </w:rPr>
        <w:footnoteReference w:id="428"/>
      </w:r>
      <w:r w:rsidRPr="000C0842">
        <w:rPr>
          <w:rFonts w:eastAsia="SimSun" w:hint="eastAsia"/>
          <w:sz w:val="24"/>
          <w:szCs w:val="24"/>
        </w:rPr>
        <w:t>采取了全政府和全社会办法，其成功有赖于社会所有行为体的行动和合作。鼓励国家政府以外的行为体在自愿基础上对执行《昆蒙框架》作出承诺，特别侧重于国家目标或国家生物多样性战略和行动计划，酌情促进全球指标或其中任何其他方面。国家政府以外的行为体的贡献可对执行工作产生积极影响，加强社会所有部门的协作。提交国家政府以外的行为体承诺的信息可对强化的多层面规划、监测、报告和审评办法作出宝贵贡献，应以下列考虑为指导：</w:t>
      </w:r>
    </w:p>
    <w:p w14:paraId="3810F72E" w14:textId="77777777" w:rsidR="000A776A" w:rsidRPr="000C0842" w:rsidRDefault="000A776A">
      <w:pPr>
        <w:numPr>
          <w:ilvl w:val="0"/>
          <w:numId w:val="175"/>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报告国家政府以外的行为体承诺的标准化准则和模板可酌情改进信息共享和国家报告以及全球一级审查。传达国家政府以外的行为体的承诺应尽可能简单，同时让这些行为体能够显示这些承诺有助于执行《昆蒙框架》，特别侧重于国家目标或国家生物多样性战略和行动计划，或同时侧重于二者；</w:t>
      </w:r>
    </w:p>
    <w:p w14:paraId="7DE76A90" w14:textId="77777777" w:rsidR="000A776A" w:rsidRPr="000C0842" w:rsidRDefault="000A776A">
      <w:pPr>
        <w:numPr>
          <w:ilvl w:val="0"/>
          <w:numId w:val="175"/>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强烈建议尽可能酌情使用既定和可用的指标，包括《昆明</w:t>
      </w:r>
      <w:r w:rsidRPr="000C0842">
        <w:rPr>
          <w:rFonts w:eastAsia="SimSun" w:hint="eastAsia"/>
          <w:sz w:val="24"/>
          <w:szCs w:val="24"/>
        </w:rPr>
        <w:t>-</w:t>
      </w:r>
      <w:r w:rsidRPr="000C0842">
        <w:rPr>
          <w:rFonts w:eastAsia="SimSun" w:hint="eastAsia"/>
          <w:sz w:val="24"/>
          <w:szCs w:val="24"/>
        </w:rPr>
        <w:t>蒙特利尔全球生物多样性框架》监测框架</w:t>
      </w:r>
      <w:r w:rsidRPr="000C0842">
        <w:rPr>
          <w:rFonts w:eastAsia="SimSun"/>
          <w:sz w:val="24"/>
          <w:szCs w:val="24"/>
          <w:vertAlign w:val="superscript"/>
        </w:rPr>
        <w:footnoteReference w:id="429"/>
      </w:r>
      <w:r w:rsidRPr="000C0842">
        <w:rPr>
          <w:rFonts w:eastAsia="SimSun" w:hint="eastAsia"/>
          <w:sz w:val="24"/>
          <w:szCs w:val="24"/>
        </w:rPr>
        <w:t>、国家目标以及国家生物多样性战略和行动计划中的相关指标，因为这些指标可提供信息，改进对《昆蒙框架》的监测，特别是在建立与生物多样性影响相关的基线和展示长期进展的情况下；</w:t>
      </w:r>
    </w:p>
    <w:p w14:paraId="31F001C3" w14:textId="77777777" w:rsidR="000A776A" w:rsidRPr="000C0842" w:rsidRDefault="000A776A">
      <w:pPr>
        <w:numPr>
          <w:ilvl w:val="0"/>
          <w:numId w:val="175"/>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鉴于国家政府以外的行为体的不同情况，拟议模板将允许有一定的灵活性，同时确保捕捉到关于承诺的相关信息；</w:t>
      </w:r>
    </w:p>
    <w:p w14:paraId="5F805B99" w14:textId="77777777" w:rsidR="000A776A" w:rsidRPr="000C0842" w:rsidRDefault="000A776A">
      <w:pPr>
        <w:numPr>
          <w:ilvl w:val="0"/>
          <w:numId w:val="175"/>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模板的设计旨在承认各国可有具体方式让国家政府以外的行为体参与修订或更新国家生物多样性战略和行动计划，包括国家目标，并将其贡献列入这些战略和行动计划以及国家报告。</w:t>
      </w:r>
      <w:r w:rsidRPr="000C0842">
        <w:rPr>
          <w:rFonts w:eastAsia="SimSun" w:hint="eastAsia"/>
          <w:sz w:val="24"/>
          <w:szCs w:val="24"/>
        </w:rPr>
        <w:t xml:space="preserve"> </w:t>
      </w:r>
    </w:p>
    <w:p w14:paraId="5A46DA8A"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2.</w:t>
      </w:r>
      <w:r w:rsidRPr="000C0842">
        <w:rPr>
          <w:rFonts w:eastAsia="SimSun"/>
          <w:sz w:val="24"/>
          <w:szCs w:val="24"/>
        </w:rPr>
        <w:tab/>
      </w:r>
      <w:r w:rsidRPr="000C0842">
        <w:rPr>
          <w:rFonts w:eastAsia="SimSun" w:hint="eastAsia"/>
          <w:sz w:val="24"/>
          <w:szCs w:val="24"/>
        </w:rPr>
        <w:t>国家政府以外的行为体可使用标准模板传播其所做承诺，</w:t>
      </w:r>
      <w:r w:rsidRPr="000C0842">
        <w:rPr>
          <w:rFonts w:eastAsia="SimSun"/>
          <w:sz w:val="24"/>
          <w:szCs w:val="24"/>
        </w:rPr>
        <w:t>或者希望这样做的</w:t>
      </w:r>
      <w:r w:rsidRPr="000C0842">
        <w:rPr>
          <w:rFonts w:eastAsia="SimSun" w:hint="eastAsia"/>
          <w:sz w:val="24"/>
          <w:szCs w:val="24"/>
        </w:rPr>
        <w:t>生物多样性公约国家联络点可将承诺上传到</w:t>
      </w:r>
      <w:r w:rsidRPr="000C0842">
        <w:rPr>
          <w:rFonts w:eastAsia="SimSun"/>
          <w:sz w:val="24"/>
          <w:szCs w:val="24"/>
        </w:rPr>
        <w:t>信息交换</w:t>
      </w:r>
      <w:r w:rsidRPr="000C0842">
        <w:rPr>
          <w:rFonts w:eastAsia="SimSun" w:hint="eastAsia"/>
          <w:sz w:val="24"/>
          <w:szCs w:val="24"/>
        </w:rPr>
        <w:t>所</w:t>
      </w:r>
      <w:r w:rsidRPr="000C0842">
        <w:rPr>
          <w:rFonts w:eastAsia="SimSun"/>
          <w:sz w:val="24"/>
          <w:szCs w:val="24"/>
        </w:rPr>
        <w:t>机制的在线报告工具</w:t>
      </w:r>
      <w:r w:rsidRPr="000C0842">
        <w:rPr>
          <w:rFonts w:eastAsia="Times New Roman"/>
          <w:vertAlign w:val="superscript"/>
          <w:lang w:val="en-GB"/>
        </w:rPr>
        <w:footnoteReference w:id="430"/>
      </w:r>
      <w:r w:rsidRPr="000C0842">
        <w:rPr>
          <w:rFonts w:eastAsia="SimSun" w:hint="eastAsia"/>
          <w:sz w:val="24"/>
          <w:szCs w:val="24"/>
        </w:rPr>
        <w:t>，</w:t>
      </w:r>
      <w:r w:rsidRPr="000C0842">
        <w:rPr>
          <w:rFonts w:eastAsia="SimSun"/>
          <w:sz w:val="24"/>
          <w:szCs w:val="24"/>
        </w:rPr>
        <w:t>代其传达承诺。</w:t>
      </w:r>
      <w:r w:rsidRPr="000C0842">
        <w:rPr>
          <w:rFonts w:eastAsia="SimSun" w:hint="eastAsia"/>
          <w:sz w:val="24"/>
          <w:szCs w:val="24"/>
        </w:rPr>
        <w:t>将通过向希望了解门户网站上共享信息的缔约方发送自动通知的方式，</w:t>
      </w:r>
      <w:r w:rsidRPr="000C0842">
        <w:rPr>
          <w:rFonts w:eastAsia="SimSun"/>
          <w:sz w:val="24"/>
          <w:szCs w:val="24"/>
        </w:rPr>
        <w:t>与相关国家联络点共享信息。</w:t>
      </w:r>
    </w:p>
    <w:p w14:paraId="6B3AD7CA"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3.</w:t>
      </w:r>
      <w:r w:rsidRPr="000C0842">
        <w:rPr>
          <w:rFonts w:eastAsia="SimSun"/>
          <w:sz w:val="24"/>
          <w:szCs w:val="24"/>
        </w:rPr>
        <w:tab/>
      </w:r>
      <w:r w:rsidRPr="000C0842">
        <w:rPr>
          <w:rFonts w:eastAsia="SimSun"/>
          <w:sz w:val="24"/>
          <w:szCs w:val="24"/>
        </w:rPr>
        <w:t>希望这样做的国家</w:t>
      </w:r>
      <w:r w:rsidRPr="000C0842">
        <w:rPr>
          <w:rFonts w:eastAsia="SimSun" w:hint="eastAsia"/>
          <w:sz w:val="24"/>
          <w:szCs w:val="24"/>
        </w:rPr>
        <w:t>联络点</w:t>
      </w:r>
      <w:r w:rsidRPr="000C0842">
        <w:rPr>
          <w:rFonts w:eastAsia="SimSun"/>
          <w:sz w:val="24"/>
          <w:szCs w:val="24"/>
        </w:rPr>
        <w:t>将能在无异议基础上</w:t>
      </w:r>
      <w:r w:rsidRPr="000C0842">
        <w:rPr>
          <w:rFonts w:eastAsia="SimSun"/>
          <w:sz w:val="24"/>
          <w:szCs w:val="24"/>
          <w:vertAlign w:val="superscript"/>
        </w:rPr>
        <w:footnoteReference w:id="431"/>
      </w:r>
      <w:r w:rsidRPr="000C0842">
        <w:rPr>
          <w:rFonts w:eastAsia="SimSun"/>
          <w:sz w:val="24"/>
          <w:szCs w:val="24"/>
        </w:rPr>
        <w:t>在公布之前查看国家政府以外行为</w:t>
      </w:r>
      <w:r w:rsidRPr="000C0842">
        <w:rPr>
          <w:rFonts w:eastAsia="SimSun" w:hint="eastAsia"/>
          <w:sz w:val="24"/>
          <w:szCs w:val="24"/>
        </w:rPr>
        <w:t>体</w:t>
      </w:r>
      <w:r w:rsidRPr="000C0842">
        <w:rPr>
          <w:rFonts w:eastAsia="SimSun"/>
          <w:sz w:val="24"/>
          <w:szCs w:val="24"/>
        </w:rPr>
        <w:t>提交的承诺</w:t>
      </w:r>
      <w:r w:rsidRPr="000C0842">
        <w:rPr>
          <w:rFonts w:eastAsia="SimSun" w:hint="eastAsia"/>
          <w:sz w:val="24"/>
          <w:szCs w:val="24"/>
        </w:rPr>
        <w:t>。</w:t>
      </w:r>
    </w:p>
    <w:p w14:paraId="4B7563A8"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4.</w:t>
      </w:r>
      <w:r w:rsidRPr="000C0842">
        <w:rPr>
          <w:rFonts w:eastAsia="SimSun"/>
          <w:sz w:val="24"/>
          <w:szCs w:val="24"/>
        </w:rPr>
        <w:tab/>
      </w:r>
      <w:r w:rsidRPr="000C0842">
        <w:rPr>
          <w:rFonts w:eastAsia="SimSun" w:hint="eastAsia"/>
          <w:sz w:val="24"/>
          <w:szCs w:val="24"/>
        </w:rPr>
        <w:t>鼓励提交承诺的国家政府以外的行为体或代其传达的国家联络点，在自愿基础上传达实现这些承诺的进展情况，将其上传到第</w:t>
      </w:r>
      <w:r w:rsidRPr="000C0842">
        <w:rPr>
          <w:rFonts w:eastAsia="SimSun" w:hint="eastAsia"/>
          <w:sz w:val="24"/>
          <w:szCs w:val="24"/>
        </w:rPr>
        <w:t>2</w:t>
      </w:r>
      <w:r w:rsidRPr="000C0842">
        <w:rPr>
          <w:rFonts w:eastAsia="SimSun" w:hint="eastAsia"/>
          <w:sz w:val="24"/>
          <w:szCs w:val="24"/>
        </w:rPr>
        <w:t>段所述门户网站，并邀请这些行为体尽可能在第</w:t>
      </w:r>
      <w:hyperlink r:id="rId309" w:history="1">
        <w:r w:rsidRPr="000C0842">
          <w:rPr>
            <w:rFonts w:eastAsia="SimSun"/>
            <w:sz w:val="24"/>
            <w:szCs w:val="24"/>
            <w:u w:val="single"/>
          </w:rPr>
          <w:t>15/6</w:t>
        </w:r>
      </w:hyperlink>
      <w:r w:rsidRPr="000C0842">
        <w:rPr>
          <w:rFonts w:eastAsia="SimSun" w:hint="eastAsia"/>
          <w:sz w:val="24"/>
          <w:szCs w:val="24"/>
        </w:rPr>
        <w:t>号决定规定的相关截止日期之前提供这些报告。</w:t>
      </w:r>
    </w:p>
    <w:p w14:paraId="717D06DC"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rPr>
      </w:pPr>
      <w:r w:rsidRPr="000C0842">
        <w:rPr>
          <w:rFonts w:eastAsia="SimSun"/>
          <w:sz w:val="24"/>
          <w:szCs w:val="24"/>
        </w:rPr>
        <w:t>5.</w:t>
      </w:r>
      <w:r w:rsidRPr="000C0842">
        <w:rPr>
          <w:rFonts w:eastAsia="SimSun"/>
          <w:sz w:val="24"/>
          <w:szCs w:val="24"/>
        </w:rPr>
        <w:tab/>
      </w:r>
      <w:r w:rsidRPr="000C0842">
        <w:rPr>
          <w:rFonts w:eastAsia="SimSun"/>
          <w:sz w:val="24"/>
          <w:szCs w:val="24"/>
        </w:rPr>
        <w:t>国家政府以外的行为</w:t>
      </w:r>
      <w:r w:rsidRPr="000C0842">
        <w:rPr>
          <w:rFonts w:eastAsia="SimSun" w:hint="eastAsia"/>
          <w:sz w:val="24"/>
          <w:szCs w:val="24"/>
        </w:rPr>
        <w:t>体传达</w:t>
      </w:r>
      <w:r w:rsidRPr="000C0842">
        <w:rPr>
          <w:rFonts w:eastAsia="SimSun"/>
          <w:sz w:val="24"/>
          <w:szCs w:val="24"/>
        </w:rPr>
        <w:t>的承诺完全是为了促进《公约》的目标</w:t>
      </w:r>
      <w:r w:rsidRPr="000C0842">
        <w:rPr>
          <w:rFonts w:eastAsia="SimSun" w:hint="eastAsia"/>
          <w:sz w:val="24"/>
          <w:szCs w:val="24"/>
        </w:rPr>
        <w:t>和</w:t>
      </w:r>
      <w:r w:rsidRPr="000C0842">
        <w:rPr>
          <w:rFonts w:eastAsia="SimSun"/>
          <w:sz w:val="24"/>
          <w:szCs w:val="24"/>
        </w:rPr>
        <w:t>《昆蒙框架》</w:t>
      </w:r>
      <w:r w:rsidRPr="000C0842">
        <w:rPr>
          <w:rFonts w:eastAsia="SimSun" w:hint="eastAsia"/>
          <w:sz w:val="24"/>
          <w:szCs w:val="24"/>
        </w:rPr>
        <w:t>的执行，</w:t>
      </w:r>
      <w:r w:rsidRPr="000C0842">
        <w:rPr>
          <w:rFonts w:eastAsia="SimSun"/>
          <w:sz w:val="24"/>
          <w:szCs w:val="24"/>
        </w:rPr>
        <w:t>包括其</w:t>
      </w:r>
      <w:r w:rsidRPr="000C0842">
        <w:rPr>
          <w:rFonts w:eastAsia="SimSun" w:hint="eastAsia"/>
          <w:sz w:val="24"/>
          <w:szCs w:val="24"/>
        </w:rPr>
        <w:t>长期</w:t>
      </w:r>
      <w:r w:rsidRPr="000C0842">
        <w:rPr>
          <w:rFonts w:eastAsia="SimSun"/>
          <w:sz w:val="24"/>
          <w:szCs w:val="24"/>
        </w:rPr>
        <w:t>目标和</w:t>
      </w:r>
      <w:r w:rsidRPr="000C0842">
        <w:rPr>
          <w:rFonts w:eastAsia="SimSun" w:hint="eastAsia"/>
          <w:sz w:val="24"/>
          <w:szCs w:val="24"/>
        </w:rPr>
        <w:t>行动</w:t>
      </w:r>
      <w:r w:rsidRPr="000C0842">
        <w:rPr>
          <w:rFonts w:eastAsia="SimSun"/>
          <w:sz w:val="24"/>
          <w:szCs w:val="24"/>
        </w:rPr>
        <w:t>目标，这些对承认国家、领土、地区或其当局的领土主权或法律地位没有任何影响。</w:t>
      </w:r>
    </w:p>
    <w:p w14:paraId="647D162A" w14:textId="77777777" w:rsidR="000A776A" w:rsidRPr="000C0842" w:rsidRDefault="000A776A" w:rsidP="000A776A">
      <w:pPr>
        <w:tabs>
          <w:tab w:val="clear" w:pos="567"/>
          <w:tab w:val="clear" w:pos="1134"/>
          <w:tab w:val="clear" w:pos="1701"/>
          <w:tab w:val="clear" w:pos="2268"/>
        </w:tabs>
        <w:spacing w:before="120" w:after="120"/>
        <w:rPr>
          <w:rFonts w:eastAsia="SimSun"/>
          <w:b/>
          <w:bCs/>
          <w:sz w:val="24"/>
          <w:szCs w:val="24"/>
          <w:lang w:val="en-GB"/>
        </w:rPr>
      </w:pPr>
      <w:r w:rsidRPr="000C0842">
        <w:rPr>
          <w:rFonts w:eastAsia="SimSun" w:hint="eastAsia"/>
          <w:b/>
          <w:bCs/>
          <w:sz w:val="24"/>
          <w:szCs w:val="24"/>
          <w:lang w:val="en-GB"/>
        </w:rPr>
        <w:t>二</w:t>
      </w:r>
      <w:r w:rsidRPr="000C0842">
        <w:rPr>
          <w:rFonts w:eastAsia="SimSun"/>
          <w:b/>
          <w:bCs/>
          <w:sz w:val="24"/>
          <w:szCs w:val="24"/>
          <w:lang w:val="en-GB"/>
        </w:rPr>
        <w:t>.</w:t>
      </w:r>
      <w:r w:rsidRPr="000C0842">
        <w:rPr>
          <w:rFonts w:eastAsia="SimSun"/>
          <w:b/>
          <w:bCs/>
          <w:sz w:val="24"/>
          <w:szCs w:val="24"/>
          <w:lang w:val="en-GB"/>
        </w:rPr>
        <w:tab/>
      </w:r>
      <w:r w:rsidRPr="000C0842">
        <w:rPr>
          <w:rFonts w:eastAsia="SimSun" w:hint="eastAsia"/>
          <w:b/>
          <w:bCs/>
          <w:kern w:val="2"/>
          <w:sz w:val="24"/>
          <w:szCs w:val="24"/>
          <w14:ligatures w14:val="standardContextual"/>
        </w:rPr>
        <w:t>关于国家政府以外的行为体所做承诺的核心报告要素</w:t>
      </w:r>
    </w:p>
    <w:p w14:paraId="2DC826FF" w14:textId="77777777" w:rsidR="000A776A" w:rsidRPr="000C0842" w:rsidRDefault="000A776A" w:rsidP="000A776A">
      <w:pPr>
        <w:tabs>
          <w:tab w:val="clear" w:pos="567"/>
          <w:tab w:val="clear" w:pos="1134"/>
          <w:tab w:val="clear" w:pos="1701"/>
          <w:tab w:val="clear" w:pos="2268"/>
        </w:tabs>
        <w:spacing w:before="120" w:after="120"/>
        <w:ind w:left="490"/>
        <w:rPr>
          <w:rFonts w:eastAsia="SimSun"/>
          <w:b/>
          <w:bCs/>
          <w:sz w:val="24"/>
          <w:szCs w:val="24"/>
          <w:lang w:val="en-GB"/>
        </w:rPr>
      </w:pPr>
      <w:r w:rsidRPr="000C0842">
        <w:rPr>
          <w:rFonts w:eastAsia="SimSun" w:hint="eastAsia"/>
          <w:b/>
          <w:bCs/>
          <w:sz w:val="24"/>
          <w:szCs w:val="24"/>
          <w:lang w:val="en-GB"/>
        </w:rPr>
        <w:t>1.</w:t>
      </w:r>
      <w:r w:rsidRPr="000C0842">
        <w:rPr>
          <w:rFonts w:eastAsia="SimSun"/>
          <w:b/>
          <w:bCs/>
          <w:sz w:val="24"/>
          <w:szCs w:val="24"/>
          <w:lang w:val="en-GB"/>
        </w:rPr>
        <w:tab/>
      </w:r>
      <w:r w:rsidRPr="000C0842">
        <w:rPr>
          <w:rFonts w:eastAsia="SimSun" w:hint="eastAsia"/>
          <w:b/>
          <w:bCs/>
          <w:sz w:val="24"/>
          <w:szCs w:val="24"/>
          <w:lang w:val="en-GB"/>
        </w:rPr>
        <w:t>一般信息</w:t>
      </w:r>
    </w:p>
    <w:p w14:paraId="728CC107"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6</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组织或联盟的名称（负责某项单一承诺的组织的正式名称，如果是集体承诺，则提供联盟的名称）。</w:t>
      </w:r>
    </w:p>
    <w:p w14:paraId="1CD612D2"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7</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网站（如有，牵头组织或联盟的网站信息）（可选）。</w:t>
      </w:r>
    </w:p>
    <w:p w14:paraId="5B9CBDB5"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8</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联络人（在组织或联盟内负责所做承诺或提交材料的人的姓名、职称和电子邮件地址）。</w:t>
      </w:r>
    </w:p>
    <w:p w14:paraId="2726A42B"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9</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地址（牵头组织的完整地址，包括国家、州、省、县和市）。</w:t>
      </w:r>
    </w:p>
    <w:p w14:paraId="1074D02E"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10</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组织或联盟的地域范围（请说明组织或联盟是在地方、次国家、国家、区域还是在多国一级运作，并尽可能提供地点清单</w:t>
      </w:r>
      <w:r w:rsidRPr="000C0842">
        <w:rPr>
          <w:rFonts w:eastAsia="SimSun" w:hint="eastAsia"/>
          <w:sz w:val="24"/>
          <w:szCs w:val="24"/>
        </w:rPr>
        <w:t>)</w:t>
      </w:r>
      <w:r w:rsidRPr="000C0842">
        <w:rPr>
          <w:rFonts w:eastAsia="SimSun" w:hint="eastAsia"/>
          <w:sz w:val="24"/>
          <w:szCs w:val="24"/>
        </w:rPr>
        <w:t>。</w:t>
      </w:r>
    </w:p>
    <w:p w14:paraId="6C631DEB"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11</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组织类型（请选择所有适用选项）：</w:t>
      </w:r>
      <w:r w:rsidRPr="000C0842">
        <w:rPr>
          <w:rFonts w:eastAsia="SimSun" w:hint="eastAsia"/>
          <w:sz w:val="24"/>
          <w:szCs w:val="24"/>
        </w:rPr>
        <w:t xml:space="preserve">(a) </w:t>
      </w:r>
      <w:r w:rsidRPr="000C0842">
        <w:rPr>
          <w:rFonts w:eastAsia="SimSun" w:hint="eastAsia"/>
          <w:sz w:val="24"/>
          <w:szCs w:val="24"/>
        </w:rPr>
        <w:t>学术和研究；</w:t>
      </w:r>
      <w:r w:rsidRPr="000C0842">
        <w:rPr>
          <w:rFonts w:eastAsia="SimSun" w:hint="eastAsia"/>
          <w:sz w:val="24"/>
          <w:szCs w:val="24"/>
        </w:rPr>
        <w:t xml:space="preserve">(b) </w:t>
      </w:r>
      <w:r w:rsidRPr="000C0842">
        <w:rPr>
          <w:rFonts w:eastAsia="SimSun" w:hint="eastAsia"/>
          <w:sz w:val="24"/>
          <w:szCs w:val="24"/>
        </w:rPr>
        <w:t>商业或工业；</w:t>
      </w:r>
      <w:r w:rsidRPr="000C0842">
        <w:rPr>
          <w:rFonts w:eastAsia="SimSun" w:hint="eastAsia"/>
          <w:sz w:val="24"/>
          <w:szCs w:val="24"/>
        </w:rPr>
        <w:t xml:space="preserve">(c) </w:t>
      </w:r>
      <w:r w:rsidRPr="000C0842">
        <w:rPr>
          <w:rFonts w:eastAsia="SimSun" w:hint="eastAsia"/>
          <w:sz w:val="24"/>
          <w:szCs w:val="24"/>
        </w:rPr>
        <w:t>金融机构；</w:t>
      </w:r>
      <w:r w:rsidRPr="000C0842">
        <w:rPr>
          <w:rFonts w:eastAsia="SimSun" w:hint="eastAsia"/>
          <w:sz w:val="24"/>
          <w:szCs w:val="24"/>
        </w:rPr>
        <w:t xml:space="preserve">(d) </w:t>
      </w:r>
      <w:r w:rsidRPr="000C0842">
        <w:rPr>
          <w:rFonts w:eastAsia="SimSun" w:hint="eastAsia"/>
          <w:sz w:val="24"/>
          <w:szCs w:val="24"/>
        </w:rPr>
        <w:t>土著人民和地方社区；</w:t>
      </w:r>
      <w:r w:rsidRPr="000C0842">
        <w:rPr>
          <w:rFonts w:eastAsia="SimSun" w:hint="eastAsia"/>
          <w:sz w:val="24"/>
          <w:szCs w:val="24"/>
        </w:rPr>
        <w:t xml:space="preserve">(e) </w:t>
      </w:r>
      <w:r w:rsidRPr="000C0842">
        <w:rPr>
          <w:rFonts w:eastAsia="SimSun" w:hint="eastAsia"/>
          <w:sz w:val="24"/>
          <w:szCs w:val="24"/>
        </w:rPr>
        <w:t>非政府组织；</w:t>
      </w:r>
      <w:r w:rsidRPr="000C0842">
        <w:rPr>
          <w:rFonts w:eastAsia="SimSun" w:hint="eastAsia"/>
          <w:sz w:val="24"/>
          <w:szCs w:val="24"/>
        </w:rPr>
        <w:t xml:space="preserve">(f) </w:t>
      </w:r>
      <w:r w:rsidRPr="000C0842">
        <w:rPr>
          <w:rFonts w:eastAsia="SimSun" w:hint="eastAsia"/>
          <w:sz w:val="24"/>
          <w:szCs w:val="24"/>
        </w:rPr>
        <w:t>慈善组织；</w:t>
      </w:r>
      <w:r w:rsidRPr="000C0842">
        <w:rPr>
          <w:rFonts w:eastAsia="SimSun" w:hint="eastAsia"/>
          <w:sz w:val="24"/>
          <w:szCs w:val="24"/>
        </w:rPr>
        <w:t xml:space="preserve">(g) </w:t>
      </w:r>
      <w:r w:rsidRPr="000C0842">
        <w:rPr>
          <w:rFonts w:eastAsia="SimSun" w:hint="eastAsia"/>
          <w:sz w:val="24"/>
          <w:szCs w:val="24"/>
        </w:rPr>
        <w:t>次国家或地方政府或当局；</w:t>
      </w:r>
      <w:r w:rsidRPr="000C0842">
        <w:rPr>
          <w:rFonts w:eastAsia="SimSun" w:hint="eastAsia"/>
          <w:sz w:val="24"/>
          <w:szCs w:val="24"/>
        </w:rPr>
        <w:t xml:space="preserve">(h) </w:t>
      </w:r>
      <w:r w:rsidRPr="000C0842">
        <w:rPr>
          <w:rFonts w:eastAsia="SimSun" w:hint="eastAsia"/>
          <w:sz w:val="24"/>
          <w:szCs w:val="24"/>
        </w:rPr>
        <w:t>妇女组织；</w:t>
      </w:r>
      <w:r w:rsidRPr="000C0842">
        <w:rPr>
          <w:rFonts w:eastAsia="SimSun" w:hint="eastAsia"/>
          <w:sz w:val="24"/>
          <w:szCs w:val="24"/>
        </w:rPr>
        <w:t xml:space="preserve">(i) </w:t>
      </w:r>
      <w:r w:rsidRPr="000C0842">
        <w:rPr>
          <w:rFonts w:eastAsia="SimSun" w:hint="eastAsia"/>
          <w:sz w:val="24"/>
          <w:szCs w:val="24"/>
        </w:rPr>
        <w:t>青年组织；</w:t>
      </w:r>
      <w:r w:rsidRPr="000C0842">
        <w:rPr>
          <w:rFonts w:eastAsia="SimSun" w:hint="eastAsia"/>
          <w:sz w:val="24"/>
          <w:szCs w:val="24"/>
        </w:rPr>
        <w:t xml:space="preserve">(j) </w:t>
      </w:r>
      <w:r w:rsidRPr="000C0842">
        <w:rPr>
          <w:rFonts w:eastAsia="SimSun" w:hint="eastAsia"/>
          <w:sz w:val="24"/>
          <w:szCs w:val="24"/>
        </w:rPr>
        <w:t>其他（请具体说明）。</w:t>
      </w:r>
    </w:p>
    <w:p w14:paraId="317FBCD4" w14:textId="77777777" w:rsidR="000A776A" w:rsidRPr="000C0842" w:rsidRDefault="000A776A" w:rsidP="000A776A">
      <w:pPr>
        <w:keepNext/>
        <w:tabs>
          <w:tab w:val="clear" w:pos="567"/>
          <w:tab w:val="clear" w:pos="1134"/>
          <w:tab w:val="clear" w:pos="1701"/>
          <w:tab w:val="clear" w:pos="2268"/>
        </w:tabs>
        <w:spacing w:before="120" w:after="120"/>
        <w:ind w:firstLine="490"/>
        <w:rPr>
          <w:rFonts w:eastAsia="SimSun"/>
          <w:b/>
          <w:bCs/>
          <w:sz w:val="24"/>
          <w:szCs w:val="24"/>
          <w:lang w:val="en-GB"/>
        </w:rPr>
      </w:pPr>
      <w:r w:rsidRPr="000C0842">
        <w:rPr>
          <w:rFonts w:eastAsia="SimSun" w:hint="eastAsia"/>
          <w:b/>
          <w:bCs/>
          <w:sz w:val="24"/>
          <w:szCs w:val="24"/>
          <w:lang w:val="en-GB"/>
        </w:rPr>
        <w:t>2.</w:t>
      </w:r>
      <w:r w:rsidRPr="000C0842">
        <w:rPr>
          <w:rFonts w:eastAsia="SimSun"/>
          <w:b/>
          <w:bCs/>
          <w:sz w:val="24"/>
          <w:szCs w:val="24"/>
          <w:lang w:val="en-GB"/>
        </w:rPr>
        <w:tab/>
      </w:r>
      <w:r w:rsidRPr="000C0842">
        <w:rPr>
          <w:rFonts w:eastAsia="SimSun" w:hint="eastAsia"/>
          <w:b/>
          <w:bCs/>
          <w:sz w:val="24"/>
          <w:szCs w:val="24"/>
          <w:lang w:val="en-GB"/>
        </w:rPr>
        <w:t>承诺</w:t>
      </w:r>
    </w:p>
    <w:p w14:paraId="0C7BDF9E"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12</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lang w:val="en-GB"/>
        </w:rPr>
        <w:t>所做</w:t>
      </w:r>
      <w:r w:rsidRPr="000C0842">
        <w:rPr>
          <w:rFonts w:eastAsia="SimSun" w:hint="eastAsia"/>
          <w:sz w:val="24"/>
          <w:szCs w:val="24"/>
        </w:rPr>
        <w:t>承诺的名称。</w:t>
      </w:r>
    </w:p>
    <w:p w14:paraId="073E78A2"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hint="eastAsia"/>
          <w:sz w:val="24"/>
          <w:szCs w:val="24"/>
          <w:lang w:val="en-GB"/>
        </w:rPr>
        <w:t>13</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请描述所做承诺，包括说明：</w:t>
      </w:r>
      <w:r w:rsidRPr="000C0842">
        <w:rPr>
          <w:rFonts w:eastAsia="SimSun"/>
          <w:sz w:val="24"/>
          <w:szCs w:val="24"/>
          <w:lang w:val="en-GB"/>
        </w:rPr>
        <w:t xml:space="preserve"> </w:t>
      </w:r>
    </w:p>
    <w:p w14:paraId="02A6963A" w14:textId="77777777" w:rsidR="000A776A" w:rsidRPr="000C0842" w:rsidRDefault="000A776A">
      <w:pPr>
        <w:numPr>
          <w:ilvl w:val="0"/>
          <w:numId w:val="180"/>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大致范围和拟议的行动；</w:t>
      </w:r>
    </w:p>
    <w:p w14:paraId="4BDDEB76" w14:textId="77777777" w:rsidR="000A776A" w:rsidRPr="000C0842" w:rsidRDefault="000A776A">
      <w:pPr>
        <w:numPr>
          <w:ilvl w:val="0"/>
          <w:numId w:val="180"/>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所做承诺将设法解决哪些助长生物多样性丧失的直接和间接驱动因素或促成条件（可选）。</w:t>
      </w:r>
    </w:p>
    <w:p w14:paraId="1B9EF725"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sz w:val="24"/>
          <w:szCs w:val="24"/>
          <w:lang w:val="en-GB"/>
        </w:rPr>
        <w:t>1</w:t>
      </w:r>
      <w:r w:rsidRPr="000C0842">
        <w:rPr>
          <w:rFonts w:eastAsia="SimSun" w:hint="eastAsia"/>
          <w:sz w:val="24"/>
          <w:szCs w:val="24"/>
          <w:lang w:val="en-GB"/>
        </w:rPr>
        <w:t>4</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所做承诺的时间表（启动日期和完成日期）。另一个办法是说明所做承诺有没有时限，并说明为今后步骤制订的计划。</w:t>
      </w:r>
    </w:p>
    <w:p w14:paraId="3C7C18CA" w14:textId="77777777" w:rsidR="000A776A" w:rsidRPr="000C0842" w:rsidRDefault="000A776A" w:rsidP="000A776A">
      <w:pPr>
        <w:tabs>
          <w:tab w:val="clear" w:pos="567"/>
          <w:tab w:val="clear" w:pos="1134"/>
          <w:tab w:val="clear" w:pos="1701"/>
          <w:tab w:val="clear" w:pos="2268"/>
        </w:tabs>
        <w:spacing w:before="120" w:after="120"/>
        <w:ind w:left="490"/>
        <w:rPr>
          <w:rFonts w:eastAsia="SimSun"/>
          <w:sz w:val="24"/>
          <w:szCs w:val="24"/>
          <w:lang w:val="en-GB"/>
        </w:rPr>
      </w:pPr>
      <w:r w:rsidRPr="000C0842">
        <w:rPr>
          <w:rFonts w:eastAsia="SimSun"/>
          <w:sz w:val="24"/>
          <w:szCs w:val="24"/>
          <w:lang w:val="en-GB"/>
        </w:rPr>
        <w:t>1</w:t>
      </w:r>
      <w:r w:rsidRPr="000C0842">
        <w:rPr>
          <w:rFonts w:eastAsia="SimSun" w:hint="eastAsia"/>
          <w:sz w:val="24"/>
          <w:szCs w:val="24"/>
          <w:lang w:val="en-GB"/>
        </w:rPr>
        <w:t>5</w:t>
      </w:r>
      <w:r w:rsidRPr="000C0842">
        <w:rPr>
          <w:rFonts w:eastAsia="SimSun"/>
          <w:sz w:val="24"/>
          <w:szCs w:val="24"/>
          <w:lang w:val="en-GB"/>
        </w:rPr>
        <w:t>.</w:t>
      </w:r>
      <w:r w:rsidRPr="000C0842">
        <w:rPr>
          <w:rFonts w:eastAsia="SimSun"/>
          <w:sz w:val="24"/>
          <w:szCs w:val="24"/>
          <w:lang w:val="en-GB"/>
        </w:rPr>
        <w:tab/>
      </w:r>
      <w:r w:rsidRPr="000C0842">
        <w:rPr>
          <w:rFonts w:eastAsia="SimSun" w:hint="eastAsia"/>
          <w:sz w:val="24"/>
          <w:szCs w:val="24"/>
        </w:rPr>
        <w:t>关键绩效指标或其他可衡量成功程度的相关指标（如百分比、数字或其他量化信息，在适用情况下请注明与《</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Pr="000C0842">
        <w:rPr>
          <w:rFonts w:eastAsia="SimSun" w:hint="eastAsia"/>
          <w:sz w:val="24"/>
          <w:szCs w:val="24"/>
        </w:rPr>
        <w:t>》的监测框架指标、国家生物多样性战略和行动计划以及国家目标之间的联系（可选）。</w:t>
      </w:r>
    </w:p>
    <w:p w14:paraId="7FCFC8C2"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1</w:t>
      </w:r>
      <w:r w:rsidRPr="000C0842">
        <w:rPr>
          <w:rFonts w:eastAsia="SimSun" w:hint="eastAsia"/>
          <w:sz w:val="24"/>
          <w:szCs w:val="24"/>
          <w:lang w:val="en-GB"/>
        </w:rPr>
        <w:t>6</w:t>
      </w:r>
      <w:r w:rsidRPr="000C0842">
        <w:rPr>
          <w:rFonts w:eastAsia="SimSun"/>
          <w:sz w:val="24"/>
          <w:szCs w:val="24"/>
          <w:lang w:val="en-GB"/>
        </w:rPr>
        <w:t>.</w:t>
      </w:r>
      <w:r w:rsidRPr="000C0842">
        <w:rPr>
          <w:rFonts w:eastAsia="SimSun"/>
          <w:sz w:val="24"/>
          <w:szCs w:val="24"/>
          <w:lang w:val="en-GB"/>
        </w:rPr>
        <w:tab/>
      </w:r>
      <w:r w:rsidRPr="000C0842">
        <w:rPr>
          <w:rFonts w:eastAsia="SimSun"/>
          <w:sz w:val="24"/>
          <w:szCs w:val="24"/>
          <w:lang w:val="en-GB"/>
        </w:rPr>
        <w:t>认可（例如，在</w:t>
      </w:r>
      <w:r w:rsidRPr="000C0842">
        <w:rPr>
          <w:rFonts w:eastAsia="SimSun" w:hint="eastAsia"/>
          <w:sz w:val="24"/>
          <w:szCs w:val="24"/>
          <w:lang w:val="en-GB"/>
        </w:rPr>
        <w:t>若干</w:t>
      </w:r>
      <w:r w:rsidRPr="000C0842">
        <w:rPr>
          <w:rFonts w:eastAsia="SimSun"/>
          <w:sz w:val="24"/>
          <w:szCs w:val="24"/>
          <w:lang w:val="en-GB"/>
        </w:rPr>
        <w:t>组织</w:t>
      </w:r>
      <w:r w:rsidRPr="000C0842">
        <w:rPr>
          <w:rFonts w:eastAsia="SimSun" w:hint="eastAsia"/>
          <w:sz w:val="24"/>
          <w:szCs w:val="24"/>
          <w:lang w:val="en-GB"/>
        </w:rPr>
        <w:t>的</w:t>
      </w:r>
      <w:r w:rsidRPr="000C0842">
        <w:rPr>
          <w:rFonts w:eastAsia="SimSun"/>
          <w:sz w:val="24"/>
          <w:szCs w:val="24"/>
          <w:lang w:val="en-GB"/>
        </w:rPr>
        <w:t>联盟做出集体承诺的情况下，承诺是否</w:t>
      </w:r>
      <w:r w:rsidRPr="000C0842">
        <w:rPr>
          <w:rFonts w:eastAsia="SimSun" w:hint="eastAsia"/>
          <w:sz w:val="24"/>
          <w:szCs w:val="24"/>
          <w:lang w:val="en-GB"/>
        </w:rPr>
        <w:t>获得</w:t>
      </w:r>
      <w:r w:rsidRPr="000C0842">
        <w:rPr>
          <w:rFonts w:eastAsia="SimSun"/>
          <w:sz w:val="24"/>
          <w:szCs w:val="24"/>
          <w:lang w:val="en-GB"/>
        </w:rPr>
        <w:t>成员组织包括传统</w:t>
      </w:r>
      <w:r w:rsidRPr="000C0842">
        <w:rPr>
          <w:rFonts w:eastAsia="SimSun" w:hint="eastAsia"/>
          <w:sz w:val="24"/>
          <w:szCs w:val="24"/>
          <w:lang w:val="en-GB"/>
        </w:rPr>
        <w:t>主管</w:t>
      </w:r>
      <w:r w:rsidRPr="000C0842">
        <w:rPr>
          <w:rFonts w:eastAsia="SimSun"/>
          <w:sz w:val="24"/>
          <w:szCs w:val="24"/>
          <w:lang w:val="en-GB"/>
        </w:rPr>
        <w:t>机构的首席执行官或</w:t>
      </w:r>
      <w:r w:rsidRPr="000C0842">
        <w:rPr>
          <w:rFonts w:eastAsia="SimSun" w:hint="eastAsia"/>
          <w:sz w:val="24"/>
          <w:szCs w:val="24"/>
          <w:lang w:val="en-GB"/>
        </w:rPr>
        <w:t>理事机构</w:t>
      </w:r>
      <w:r w:rsidRPr="000C0842">
        <w:rPr>
          <w:rFonts w:eastAsia="SimSun"/>
          <w:sz w:val="24"/>
          <w:szCs w:val="24"/>
          <w:lang w:val="en-GB"/>
        </w:rPr>
        <w:t>的认可</w:t>
      </w:r>
      <w:r w:rsidRPr="000C0842">
        <w:rPr>
          <w:rFonts w:eastAsia="SimSun" w:hint="eastAsia"/>
          <w:sz w:val="24"/>
          <w:szCs w:val="24"/>
          <w:lang w:val="en-GB"/>
        </w:rPr>
        <w:t>）</w:t>
      </w:r>
      <w:r w:rsidRPr="000C0842">
        <w:rPr>
          <w:rFonts w:eastAsia="SimSun"/>
          <w:sz w:val="24"/>
          <w:szCs w:val="24"/>
          <w:lang w:val="en-GB"/>
        </w:rPr>
        <w:t>（可选）</w:t>
      </w:r>
      <w:r w:rsidRPr="000C0842">
        <w:rPr>
          <w:rFonts w:eastAsia="SimSun" w:hint="eastAsia"/>
          <w:sz w:val="24"/>
          <w:szCs w:val="24"/>
          <w:lang w:val="en-GB"/>
        </w:rPr>
        <w:t>。</w:t>
      </w:r>
    </w:p>
    <w:p w14:paraId="6155B056"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17.</w:t>
      </w:r>
      <w:r w:rsidRPr="000C0842">
        <w:rPr>
          <w:rFonts w:eastAsia="SimSun"/>
          <w:sz w:val="24"/>
          <w:szCs w:val="24"/>
          <w:lang w:val="en-GB"/>
        </w:rPr>
        <w:tab/>
      </w:r>
      <w:r w:rsidRPr="000C0842">
        <w:rPr>
          <w:rFonts w:eastAsia="SimSun"/>
          <w:sz w:val="24"/>
          <w:szCs w:val="24"/>
          <w:lang w:val="en-GB"/>
        </w:rPr>
        <w:t>承诺旨在促进的</w:t>
      </w:r>
      <w:r w:rsidRPr="000C0842">
        <w:rPr>
          <w:rFonts w:eastAsia="SimSun" w:hint="eastAsia"/>
          <w:sz w:val="24"/>
          <w:szCs w:val="24"/>
          <w:lang w:val="en-GB"/>
        </w:rPr>
        <w:t>《昆蒙框架》长期</w:t>
      </w:r>
      <w:r w:rsidRPr="000C0842">
        <w:rPr>
          <w:rFonts w:eastAsia="SimSun"/>
          <w:sz w:val="24"/>
          <w:szCs w:val="24"/>
          <w:lang w:val="en-GB"/>
        </w:rPr>
        <w:t>目标和</w:t>
      </w:r>
      <w:r w:rsidRPr="000C0842">
        <w:rPr>
          <w:rFonts w:eastAsia="SimSun" w:hint="eastAsia"/>
          <w:sz w:val="24"/>
          <w:szCs w:val="24"/>
          <w:lang w:val="en-GB"/>
        </w:rPr>
        <w:t>行动目标、</w:t>
      </w:r>
      <w:r w:rsidRPr="000C0842">
        <w:rPr>
          <w:rFonts w:eastAsia="SimSun"/>
          <w:sz w:val="24"/>
          <w:szCs w:val="24"/>
          <w:lang w:val="en-GB"/>
        </w:rPr>
        <w:t>国家</w:t>
      </w:r>
      <w:r w:rsidRPr="000C0842">
        <w:rPr>
          <w:rFonts w:eastAsia="SimSun" w:hint="eastAsia"/>
          <w:sz w:val="24"/>
          <w:szCs w:val="24"/>
          <w:lang w:val="en-GB"/>
        </w:rPr>
        <w:t>生物多样性</w:t>
      </w:r>
      <w:r w:rsidRPr="000C0842">
        <w:rPr>
          <w:rFonts w:eastAsia="SimSun"/>
          <w:sz w:val="24"/>
          <w:szCs w:val="24"/>
          <w:lang w:val="en-GB"/>
        </w:rPr>
        <w:t>战略和行动计划</w:t>
      </w:r>
      <w:r w:rsidRPr="000C0842">
        <w:rPr>
          <w:rFonts w:eastAsia="SimSun" w:hint="eastAsia"/>
          <w:sz w:val="24"/>
          <w:szCs w:val="24"/>
          <w:lang w:val="en-GB"/>
        </w:rPr>
        <w:t>、</w:t>
      </w:r>
      <w:r w:rsidRPr="000C0842">
        <w:rPr>
          <w:rFonts w:eastAsia="SimSun"/>
          <w:sz w:val="24"/>
          <w:szCs w:val="24"/>
          <w:lang w:val="en-GB"/>
        </w:rPr>
        <w:t>国家目标以及</w:t>
      </w:r>
      <w:r w:rsidRPr="000C0842">
        <w:rPr>
          <w:rFonts w:eastAsia="SimSun" w:hint="eastAsia"/>
          <w:sz w:val="24"/>
          <w:szCs w:val="24"/>
          <w:lang w:val="en-GB"/>
        </w:rPr>
        <w:t>任何</w:t>
      </w:r>
      <w:r w:rsidRPr="000C0842">
        <w:rPr>
          <w:rFonts w:eastAsia="SimSun"/>
          <w:sz w:val="24"/>
          <w:szCs w:val="24"/>
          <w:lang w:val="en-GB"/>
        </w:rPr>
        <w:t>相关的</w:t>
      </w:r>
      <w:r w:rsidRPr="000C0842">
        <w:rPr>
          <w:rFonts w:eastAsia="SimSun" w:hint="eastAsia"/>
          <w:sz w:val="24"/>
          <w:szCs w:val="24"/>
          <w:lang w:val="en-GB"/>
        </w:rPr>
        <w:t>标题</w:t>
      </w:r>
      <w:r w:rsidRPr="000C0842">
        <w:rPr>
          <w:rFonts w:eastAsia="SimSun"/>
          <w:sz w:val="24"/>
          <w:szCs w:val="24"/>
          <w:lang w:val="en-GB"/>
        </w:rPr>
        <w:t>指标</w:t>
      </w:r>
      <w:r w:rsidRPr="000C0842">
        <w:rPr>
          <w:rFonts w:eastAsia="SimSun" w:hint="eastAsia"/>
          <w:sz w:val="24"/>
          <w:szCs w:val="24"/>
          <w:lang w:val="en-GB"/>
        </w:rPr>
        <w:t>：</w:t>
      </w:r>
    </w:p>
    <w:p w14:paraId="2F5AC8CE" w14:textId="77777777" w:rsidR="000A776A" w:rsidRPr="000C0842" w:rsidRDefault="000A776A">
      <w:pPr>
        <w:numPr>
          <w:ilvl w:val="0"/>
          <w:numId w:val="181"/>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主要的国家或全球目标（</w:t>
      </w:r>
      <w:r w:rsidRPr="000C0842">
        <w:rPr>
          <w:rFonts w:eastAsia="SimSun" w:hint="eastAsia"/>
          <w:sz w:val="24"/>
          <w:szCs w:val="24"/>
        </w:rPr>
        <w:t>挑选一个</w:t>
      </w:r>
      <w:r w:rsidRPr="000C0842">
        <w:rPr>
          <w:rFonts w:eastAsia="SimSun"/>
          <w:sz w:val="24"/>
          <w:szCs w:val="24"/>
        </w:rPr>
        <w:t>最相关的</w:t>
      </w:r>
      <w:r w:rsidRPr="000C0842">
        <w:rPr>
          <w:rFonts w:eastAsia="SimSun" w:hint="eastAsia"/>
          <w:sz w:val="24"/>
          <w:szCs w:val="24"/>
        </w:rPr>
        <w:t>目标</w:t>
      </w:r>
      <w:r w:rsidRPr="000C0842">
        <w:rPr>
          <w:rFonts w:eastAsia="SimSun"/>
          <w:sz w:val="24"/>
          <w:szCs w:val="24"/>
        </w:rPr>
        <w:t>）和指标；</w:t>
      </w:r>
    </w:p>
    <w:p w14:paraId="48D66073" w14:textId="77777777" w:rsidR="000A776A" w:rsidRPr="000C0842" w:rsidRDefault="000A776A">
      <w:pPr>
        <w:numPr>
          <w:ilvl w:val="0"/>
          <w:numId w:val="181"/>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其他相关</w:t>
      </w:r>
      <w:r w:rsidRPr="000C0842">
        <w:rPr>
          <w:rFonts w:eastAsia="SimSun" w:hint="eastAsia"/>
          <w:sz w:val="24"/>
          <w:szCs w:val="24"/>
        </w:rPr>
        <w:t>行动</w:t>
      </w:r>
      <w:r w:rsidRPr="000C0842">
        <w:rPr>
          <w:rFonts w:eastAsia="SimSun"/>
          <w:sz w:val="24"/>
          <w:szCs w:val="24"/>
        </w:rPr>
        <w:t>目标</w:t>
      </w:r>
      <w:r w:rsidRPr="000C0842">
        <w:rPr>
          <w:rFonts w:eastAsia="SimSun" w:hint="eastAsia"/>
          <w:sz w:val="24"/>
          <w:szCs w:val="24"/>
        </w:rPr>
        <w:t>和长期目标</w:t>
      </w:r>
      <w:r w:rsidRPr="000C0842">
        <w:rPr>
          <w:rFonts w:eastAsia="SimSun"/>
          <w:sz w:val="24"/>
          <w:szCs w:val="24"/>
        </w:rPr>
        <w:t>（可能有多个</w:t>
      </w:r>
      <w:r w:rsidRPr="000C0842">
        <w:rPr>
          <w:rFonts w:eastAsia="SimSun" w:hint="eastAsia"/>
          <w:sz w:val="24"/>
          <w:szCs w:val="24"/>
        </w:rPr>
        <w:t>行动</w:t>
      </w:r>
      <w:r w:rsidRPr="000C0842">
        <w:rPr>
          <w:rFonts w:eastAsia="SimSun"/>
          <w:sz w:val="24"/>
          <w:szCs w:val="24"/>
        </w:rPr>
        <w:t>目标</w:t>
      </w:r>
      <w:r w:rsidRPr="000C0842">
        <w:rPr>
          <w:rFonts w:eastAsia="SimSun" w:hint="eastAsia"/>
          <w:sz w:val="24"/>
          <w:szCs w:val="24"/>
        </w:rPr>
        <w:t>和长期目标</w:t>
      </w:r>
      <w:r w:rsidRPr="000C0842">
        <w:rPr>
          <w:rFonts w:eastAsia="SimSun"/>
          <w:sz w:val="24"/>
          <w:szCs w:val="24"/>
        </w:rPr>
        <w:t>）</w:t>
      </w:r>
      <w:r w:rsidRPr="000C0842">
        <w:rPr>
          <w:rFonts w:eastAsia="SimSun" w:hint="eastAsia"/>
          <w:sz w:val="24"/>
          <w:szCs w:val="24"/>
        </w:rPr>
        <w:t>以及《昆蒙框架》的</w:t>
      </w:r>
      <w:r w:rsidRPr="000C0842">
        <w:rPr>
          <w:rFonts w:eastAsia="SimSun"/>
          <w:sz w:val="24"/>
          <w:szCs w:val="24"/>
        </w:rPr>
        <w:t>要素（如</w:t>
      </w:r>
      <w:r w:rsidRPr="000C0842">
        <w:rPr>
          <w:rFonts w:eastAsia="SimSun"/>
          <w:sz w:val="24"/>
          <w:szCs w:val="24"/>
        </w:rPr>
        <w:t>C</w:t>
      </w:r>
      <w:r w:rsidRPr="000C0842">
        <w:rPr>
          <w:rFonts w:eastAsia="SimSun" w:hint="eastAsia"/>
          <w:sz w:val="24"/>
          <w:szCs w:val="24"/>
        </w:rPr>
        <w:t>部分</w:t>
      </w:r>
      <w:r w:rsidRPr="000C0842">
        <w:rPr>
          <w:rFonts w:eastAsia="SimSun"/>
          <w:sz w:val="24"/>
          <w:szCs w:val="24"/>
        </w:rPr>
        <w:t>）和指标</w:t>
      </w:r>
      <w:r w:rsidRPr="000C0842">
        <w:rPr>
          <w:rFonts w:eastAsia="SimSun" w:hint="eastAsia"/>
          <w:sz w:val="24"/>
          <w:szCs w:val="24"/>
        </w:rPr>
        <w:t>（</w:t>
      </w:r>
      <w:r w:rsidRPr="000C0842">
        <w:rPr>
          <w:rFonts w:eastAsia="SimSun"/>
          <w:sz w:val="24"/>
          <w:szCs w:val="24"/>
        </w:rPr>
        <w:t>可选</w:t>
      </w:r>
      <w:r w:rsidRPr="000C0842">
        <w:rPr>
          <w:rFonts w:eastAsia="SimSun" w:hint="eastAsia"/>
          <w:sz w:val="24"/>
          <w:szCs w:val="24"/>
        </w:rPr>
        <w:t>）</w:t>
      </w:r>
      <w:r w:rsidRPr="000C0842">
        <w:rPr>
          <w:rFonts w:eastAsia="SimSun"/>
          <w:sz w:val="24"/>
          <w:szCs w:val="24"/>
        </w:rPr>
        <w:t>。</w:t>
      </w:r>
    </w:p>
    <w:p w14:paraId="633EFEE8"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18.</w:t>
      </w:r>
      <w:r w:rsidRPr="000C0842">
        <w:rPr>
          <w:rFonts w:eastAsia="SimSun"/>
          <w:sz w:val="24"/>
          <w:szCs w:val="24"/>
          <w:lang w:val="en-GB"/>
        </w:rPr>
        <w:tab/>
      </w:r>
      <w:r w:rsidRPr="000C0842">
        <w:rPr>
          <w:rFonts w:eastAsia="SimSun"/>
          <w:sz w:val="24"/>
          <w:szCs w:val="24"/>
          <w:lang w:val="en-GB"/>
        </w:rPr>
        <w:t>承诺的地理覆盖范围（请</w:t>
      </w:r>
      <w:r w:rsidRPr="000C0842">
        <w:rPr>
          <w:rFonts w:eastAsia="SimSun" w:hint="eastAsia"/>
          <w:sz w:val="24"/>
          <w:szCs w:val="24"/>
          <w:lang w:val="en-GB"/>
        </w:rPr>
        <w:t>酌情说明</w:t>
      </w:r>
      <w:r w:rsidRPr="000C0842">
        <w:rPr>
          <w:rFonts w:eastAsia="SimSun"/>
          <w:sz w:val="24"/>
          <w:szCs w:val="24"/>
          <w:lang w:val="en-GB"/>
        </w:rPr>
        <w:t>具体的</w:t>
      </w:r>
      <w:r w:rsidRPr="000C0842">
        <w:rPr>
          <w:rFonts w:eastAsia="SimSun" w:hint="eastAsia"/>
          <w:sz w:val="24"/>
          <w:szCs w:val="24"/>
          <w:lang w:val="en-GB"/>
        </w:rPr>
        <w:t>区域</w:t>
      </w:r>
      <w:r w:rsidRPr="000C0842">
        <w:rPr>
          <w:rFonts w:eastAsia="SimSun"/>
          <w:sz w:val="24"/>
          <w:szCs w:val="24"/>
          <w:lang w:val="en-GB"/>
        </w:rPr>
        <w:t>、国家或国家集团以及生物群落</w:t>
      </w:r>
      <w:r w:rsidRPr="000C0842">
        <w:rPr>
          <w:rFonts w:eastAsia="SimSun" w:hint="eastAsia"/>
          <w:sz w:val="24"/>
          <w:szCs w:val="24"/>
          <w:lang w:val="en-GB"/>
        </w:rPr>
        <w:t>或</w:t>
      </w:r>
      <w:r w:rsidRPr="000C0842">
        <w:rPr>
          <w:rFonts w:eastAsia="SimSun"/>
          <w:sz w:val="24"/>
          <w:szCs w:val="24"/>
          <w:lang w:val="en-GB"/>
        </w:rPr>
        <w:t>生态系统）。</w:t>
      </w:r>
    </w:p>
    <w:p w14:paraId="02C5F00A"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19.</w:t>
      </w:r>
      <w:r w:rsidRPr="000C0842">
        <w:rPr>
          <w:rFonts w:eastAsia="SimSun"/>
          <w:sz w:val="24"/>
          <w:szCs w:val="24"/>
          <w:lang w:val="en-GB"/>
        </w:rPr>
        <w:tab/>
      </w:r>
      <w:r w:rsidRPr="000C0842">
        <w:rPr>
          <w:rFonts w:eastAsia="SimSun"/>
          <w:sz w:val="24"/>
          <w:szCs w:val="24"/>
          <w:lang w:val="en-GB"/>
        </w:rPr>
        <w:t>用于</w:t>
      </w:r>
      <w:r w:rsidRPr="000C0842">
        <w:rPr>
          <w:rFonts w:eastAsia="SimSun" w:hint="eastAsia"/>
          <w:sz w:val="24"/>
          <w:szCs w:val="24"/>
          <w:lang w:val="en-GB"/>
        </w:rPr>
        <w:t>实现</w:t>
      </w:r>
      <w:r w:rsidRPr="000C0842">
        <w:rPr>
          <w:rFonts w:eastAsia="SimSun"/>
          <w:sz w:val="24"/>
          <w:szCs w:val="24"/>
          <w:lang w:val="en-GB"/>
        </w:rPr>
        <w:t>此承诺的</w:t>
      </w:r>
      <w:r w:rsidRPr="000C0842">
        <w:rPr>
          <w:rFonts w:eastAsia="SimSun" w:hint="eastAsia"/>
          <w:sz w:val="24"/>
          <w:szCs w:val="24"/>
          <w:lang w:val="en-GB"/>
        </w:rPr>
        <w:t>资金</w:t>
      </w:r>
      <w:r w:rsidRPr="000C0842">
        <w:rPr>
          <w:rFonts w:eastAsia="SimSun"/>
          <w:sz w:val="24"/>
          <w:szCs w:val="24"/>
          <w:lang w:val="en-GB"/>
        </w:rPr>
        <w:t>（可选）。</w:t>
      </w:r>
    </w:p>
    <w:p w14:paraId="7E96565E"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20.</w:t>
      </w:r>
      <w:r w:rsidRPr="000C0842">
        <w:rPr>
          <w:rFonts w:eastAsia="SimSun"/>
          <w:sz w:val="24"/>
          <w:szCs w:val="24"/>
          <w:lang w:val="en-GB"/>
        </w:rPr>
        <w:tab/>
      </w:r>
      <w:r w:rsidRPr="000C0842">
        <w:rPr>
          <w:rFonts w:eastAsia="SimSun" w:hint="eastAsia"/>
          <w:sz w:val="24"/>
          <w:szCs w:val="24"/>
          <w:lang w:val="en-GB"/>
        </w:rPr>
        <w:t>资金</w:t>
      </w:r>
      <w:r w:rsidRPr="000C0842">
        <w:rPr>
          <w:rFonts w:eastAsia="SimSun"/>
          <w:sz w:val="24"/>
          <w:szCs w:val="24"/>
          <w:lang w:val="en-GB"/>
        </w:rPr>
        <w:t>是否足以实现承诺？</w:t>
      </w:r>
      <w:r w:rsidRPr="000C0842">
        <w:rPr>
          <w:rFonts w:eastAsia="SimSun" w:hint="eastAsia"/>
          <w:sz w:val="24"/>
          <w:szCs w:val="24"/>
          <w:lang w:val="en-GB"/>
        </w:rPr>
        <w:t>（</w:t>
      </w:r>
      <w:r w:rsidRPr="000C0842">
        <w:rPr>
          <w:rFonts w:eastAsia="SimSun"/>
          <w:sz w:val="24"/>
          <w:szCs w:val="24"/>
          <w:lang w:val="en-GB"/>
        </w:rPr>
        <w:t>是</w:t>
      </w:r>
      <w:r w:rsidRPr="000C0842">
        <w:rPr>
          <w:rFonts w:eastAsia="SimSun"/>
          <w:sz w:val="24"/>
          <w:szCs w:val="24"/>
          <w:lang w:val="en-GB"/>
        </w:rPr>
        <w:t>/</w:t>
      </w:r>
      <w:r w:rsidRPr="000C0842">
        <w:rPr>
          <w:rFonts w:eastAsia="SimSun"/>
          <w:sz w:val="24"/>
          <w:szCs w:val="24"/>
          <w:lang w:val="en-GB"/>
        </w:rPr>
        <w:t>否</w:t>
      </w:r>
      <w:r w:rsidRPr="000C0842">
        <w:rPr>
          <w:rFonts w:eastAsia="SimSun" w:hint="eastAsia"/>
          <w:sz w:val="24"/>
          <w:szCs w:val="24"/>
          <w:lang w:val="en-GB"/>
        </w:rPr>
        <w:t>）</w:t>
      </w:r>
    </w:p>
    <w:p w14:paraId="687C50D4"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21.</w:t>
      </w:r>
      <w:r w:rsidRPr="000C0842">
        <w:rPr>
          <w:rFonts w:eastAsia="SimSun"/>
          <w:sz w:val="24"/>
          <w:szCs w:val="24"/>
          <w:lang w:val="en-GB"/>
        </w:rPr>
        <w:tab/>
      </w:r>
      <w:r w:rsidRPr="000C0842">
        <w:rPr>
          <w:rFonts w:eastAsia="SimSun"/>
          <w:sz w:val="24"/>
          <w:szCs w:val="24"/>
          <w:lang w:val="en-GB"/>
        </w:rPr>
        <w:t>承诺</w:t>
      </w:r>
      <w:r w:rsidRPr="000C0842">
        <w:rPr>
          <w:rFonts w:eastAsia="SimSun" w:hint="eastAsia"/>
          <w:sz w:val="24"/>
          <w:szCs w:val="24"/>
          <w:lang w:val="en-GB"/>
        </w:rPr>
        <w:t>为之作出贡献</w:t>
      </w:r>
      <w:r w:rsidRPr="000C0842">
        <w:rPr>
          <w:rFonts w:eastAsia="SimSun"/>
          <w:sz w:val="24"/>
          <w:szCs w:val="24"/>
          <w:lang w:val="en-GB"/>
        </w:rPr>
        <w:t>的可持续发展目标和多边环境协定及文书（可选）。</w:t>
      </w:r>
    </w:p>
    <w:p w14:paraId="0435CF87"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22.</w:t>
      </w:r>
      <w:r w:rsidRPr="000C0842">
        <w:rPr>
          <w:rFonts w:eastAsia="SimSun"/>
          <w:sz w:val="24"/>
          <w:szCs w:val="24"/>
          <w:lang w:val="en-GB"/>
        </w:rPr>
        <w:tab/>
      </w:r>
      <w:r w:rsidRPr="000C0842">
        <w:rPr>
          <w:rFonts w:eastAsia="SimSun"/>
          <w:sz w:val="24"/>
          <w:szCs w:val="24"/>
          <w:lang w:val="en-GB"/>
        </w:rPr>
        <w:t>合作伙伴（参与承诺的其他组织的名称和</w:t>
      </w:r>
      <w:r w:rsidRPr="000C0842">
        <w:rPr>
          <w:rFonts w:eastAsia="SimSun" w:hint="eastAsia"/>
          <w:sz w:val="24"/>
          <w:szCs w:val="24"/>
          <w:lang w:val="en-GB"/>
        </w:rPr>
        <w:t>所在地</w:t>
      </w:r>
      <w:r w:rsidRPr="000C0842">
        <w:rPr>
          <w:rFonts w:eastAsia="SimSun"/>
          <w:sz w:val="24"/>
          <w:szCs w:val="24"/>
          <w:lang w:val="en-GB"/>
        </w:rPr>
        <w:t>）</w:t>
      </w:r>
    </w:p>
    <w:p w14:paraId="1F6720D9"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23.</w:t>
      </w:r>
      <w:r w:rsidRPr="000C0842">
        <w:rPr>
          <w:rFonts w:eastAsia="SimSun"/>
          <w:sz w:val="24"/>
          <w:szCs w:val="24"/>
          <w:lang w:val="en-GB"/>
        </w:rPr>
        <w:tab/>
      </w:r>
      <w:r w:rsidRPr="000C0842">
        <w:rPr>
          <w:rFonts w:eastAsia="SimSun" w:hint="eastAsia"/>
          <w:sz w:val="24"/>
          <w:szCs w:val="24"/>
          <w:lang w:val="en-GB"/>
        </w:rPr>
        <w:t>承诺</w:t>
      </w:r>
      <w:r w:rsidRPr="000C0842">
        <w:rPr>
          <w:rFonts w:eastAsia="SimSun"/>
          <w:sz w:val="24"/>
          <w:szCs w:val="24"/>
          <w:lang w:val="en-GB"/>
        </w:rPr>
        <w:t>是否在任何国家</w:t>
      </w:r>
      <w:r w:rsidRPr="000C0842">
        <w:rPr>
          <w:rFonts w:eastAsia="SimSun" w:hint="eastAsia"/>
          <w:sz w:val="24"/>
          <w:szCs w:val="24"/>
          <w:lang w:val="en-GB"/>
        </w:rPr>
        <w:t>的</w:t>
      </w:r>
      <w:r w:rsidRPr="000C0842">
        <w:rPr>
          <w:rFonts w:eastAsia="SimSun"/>
          <w:sz w:val="24"/>
          <w:szCs w:val="24"/>
          <w:lang w:val="en-GB"/>
        </w:rPr>
        <w:t>生物多样性战略和行动计划中明确提及？</w:t>
      </w:r>
      <w:r w:rsidRPr="000C0842">
        <w:rPr>
          <w:rFonts w:eastAsia="SimSun" w:hint="eastAsia"/>
          <w:sz w:val="24"/>
          <w:szCs w:val="24"/>
          <w:lang w:val="en-GB"/>
        </w:rPr>
        <w:t>如果回答“是”，</w:t>
      </w:r>
      <w:r w:rsidRPr="000C0842">
        <w:rPr>
          <w:rFonts w:eastAsia="SimSun"/>
          <w:sz w:val="24"/>
          <w:szCs w:val="24"/>
          <w:lang w:val="en-GB"/>
        </w:rPr>
        <w:t>请</w:t>
      </w:r>
      <w:r w:rsidRPr="000C0842">
        <w:rPr>
          <w:rFonts w:eastAsia="SimSun" w:hint="eastAsia"/>
          <w:sz w:val="24"/>
          <w:szCs w:val="24"/>
          <w:lang w:val="en-GB"/>
        </w:rPr>
        <w:t>说明</w:t>
      </w:r>
      <w:r w:rsidRPr="000C0842">
        <w:rPr>
          <w:rFonts w:eastAsia="SimSun"/>
          <w:sz w:val="24"/>
          <w:szCs w:val="24"/>
          <w:lang w:val="en-GB"/>
        </w:rPr>
        <w:t>是哪个</w:t>
      </w:r>
      <w:r w:rsidRPr="000C0842">
        <w:rPr>
          <w:rFonts w:eastAsia="SimSun" w:hint="eastAsia"/>
          <w:sz w:val="24"/>
          <w:szCs w:val="24"/>
          <w:lang w:val="en-GB"/>
        </w:rPr>
        <w:t>或</w:t>
      </w:r>
      <w:r w:rsidRPr="000C0842">
        <w:rPr>
          <w:rFonts w:eastAsia="SimSun"/>
          <w:sz w:val="24"/>
          <w:szCs w:val="24"/>
          <w:lang w:val="en-GB"/>
        </w:rPr>
        <w:t>哪些国家</w:t>
      </w:r>
      <w:r w:rsidRPr="000C0842">
        <w:rPr>
          <w:rFonts w:eastAsia="SimSun" w:hint="eastAsia"/>
          <w:sz w:val="24"/>
          <w:szCs w:val="24"/>
          <w:lang w:val="en-GB"/>
        </w:rPr>
        <w:t>。</w:t>
      </w:r>
    </w:p>
    <w:p w14:paraId="5263DE27" w14:textId="77777777" w:rsidR="000A776A" w:rsidRPr="000C0842" w:rsidRDefault="000A776A" w:rsidP="000A776A">
      <w:pPr>
        <w:tabs>
          <w:tab w:val="clear" w:pos="567"/>
          <w:tab w:val="clear" w:pos="1134"/>
          <w:tab w:val="clear" w:pos="1701"/>
          <w:tab w:val="clear" w:pos="2268"/>
        </w:tabs>
        <w:spacing w:before="120" w:after="120" w:line="240" w:lineRule="atLeast"/>
        <w:ind w:firstLine="490"/>
        <w:jc w:val="left"/>
        <w:rPr>
          <w:rFonts w:eastAsia="SimSun"/>
          <w:b/>
          <w:bCs/>
          <w:sz w:val="24"/>
          <w:szCs w:val="24"/>
          <w:lang w:val="en-GB"/>
        </w:rPr>
      </w:pPr>
      <w:r w:rsidRPr="000C0842">
        <w:rPr>
          <w:rFonts w:eastAsia="SimSun"/>
          <w:b/>
          <w:bCs/>
          <w:sz w:val="24"/>
          <w:szCs w:val="24"/>
          <w:lang w:val="en-GB"/>
        </w:rPr>
        <w:t>3</w:t>
      </w:r>
      <w:r w:rsidRPr="000C0842">
        <w:rPr>
          <w:rFonts w:eastAsia="SimSun" w:hint="eastAsia"/>
          <w:b/>
          <w:bCs/>
          <w:sz w:val="24"/>
          <w:szCs w:val="24"/>
          <w:lang w:val="en-GB"/>
        </w:rPr>
        <w:t>.</w:t>
      </w:r>
      <w:r w:rsidRPr="000C0842">
        <w:rPr>
          <w:rFonts w:eastAsia="SimSun"/>
          <w:b/>
          <w:bCs/>
          <w:sz w:val="24"/>
          <w:szCs w:val="24"/>
          <w:lang w:val="en-GB"/>
        </w:rPr>
        <w:tab/>
      </w:r>
      <w:r w:rsidRPr="000C0842">
        <w:rPr>
          <w:rFonts w:eastAsia="SimSun"/>
          <w:b/>
          <w:bCs/>
          <w:sz w:val="24"/>
          <w:szCs w:val="24"/>
          <w:lang w:val="en-GB"/>
        </w:rPr>
        <w:t>跟踪</w:t>
      </w:r>
      <w:r w:rsidRPr="000C0842">
        <w:rPr>
          <w:rFonts w:eastAsia="SimSun" w:hint="eastAsia"/>
          <w:b/>
          <w:bCs/>
          <w:sz w:val="24"/>
          <w:szCs w:val="24"/>
          <w:lang w:val="en-GB"/>
        </w:rPr>
        <w:t>监测进展情况</w:t>
      </w:r>
      <w:r w:rsidRPr="000C0842">
        <w:rPr>
          <w:rFonts w:eastAsia="SimSun" w:hint="eastAsia"/>
          <w:b/>
          <w:bCs/>
          <w:sz w:val="24"/>
          <w:szCs w:val="24"/>
          <w:lang w:val="en-GB"/>
        </w:rPr>
        <w:t xml:space="preserve"> </w:t>
      </w:r>
    </w:p>
    <w:p w14:paraId="5C4E5648"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24.</w:t>
      </w:r>
      <w:r w:rsidRPr="000C0842">
        <w:rPr>
          <w:rFonts w:eastAsia="SimSun"/>
          <w:sz w:val="24"/>
          <w:szCs w:val="24"/>
          <w:lang w:val="en-GB"/>
        </w:rPr>
        <w:tab/>
      </w:r>
      <w:r w:rsidRPr="000C0842">
        <w:rPr>
          <w:rFonts w:eastAsia="SimSun" w:hint="eastAsia"/>
          <w:sz w:val="24"/>
          <w:szCs w:val="24"/>
          <w:lang w:val="en-GB"/>
        </w:rPr>
        <w:t>是否愿意提供关于《昆蒙框架》行动</w:t>
      </w:r>
      <w:r w:rsidRPr="000C0842">
        <w:rPr>
          <w:rFonts w:eastAsia="SimSun"/>
          <w:sz w:val="24"/>
          <w:szCs w:val="24"/>
          <w:lang w:val="en-GB"/>
        </w:rPr>
        <w:t>目标</w:t>
      </w:r>
      <w:r w:rsidRPr="000C0842">
        <w:rPr>
          <w:rFonts w:eastAsia="SimSun"/>
          <w:sz w:val="24"/>
          <w:szCs w:val="24"/>
          <w:lang w:val="en-GB"/>
        </w:rPr>
        <w:t>15</w:t>
      </w:r>
      <w:r w:rsidRPr="000C0842">
        <w:rPr>
          <w:rFonts w:eastAsia="SimSun" w:hint="eastAsia"/>
          <w:sz w:val="24"/>
          <w:szCs w:val="24"/>
          <w:lang w:val="en-GB"/>
        </w:rPr>
        <w:t>的报告或信息</w:t>
      </w:r>
      <w:r w:rsidRPr="000C0842">
        <w:rPr>
          <w:rFonts w:eastAsia="SimSun"/>
          <w:sz w:val="24"/>
          <w:szCs w:val="24"/>
          <w:lang w:val="en-GB"/>
        </w:rPr>
        <w:t>？如果是，</w:t>
      </w:r>
      <w:r w:rsidRPr="000C0842">
        <w:rPr>
          <w:rFonts w:eastAsia="SimSun" w:hint="eastAsia"/>
          <w:sz w:val="24"/>
          <w:szCs w:val="24"/>
          <w:lang w:val="en-GB"/>
        </w:rPr>
        <w:t>内容和方式</w:t>
      </w:r>
      <w:r w:rsidRPr="000C0842">
        <w:rPr>
          <w:rFonts w:eastAsia="SimSun"/>
          <w:sz w:val="24"/>
          <w:szCs w:val="24"/>
          <w:lang w:val="en-GB"/>
        </w:rPr>
        <w:t>是什么？</w:t>
      </w:r>
    </w:p>
    <w:p w14:paraId="4450F95F" w14:textId="77777777"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z w:val="24"/>
          <w:szCs w:val="24"/>
          <w:lang w:val="en-GB"/>
        </w:rPr>
      </w:pPr>
      <w:r w:rsidRPr="000C0842">
        <w:rPr>
          <w:rFonts w:eastAsia="SimSun"/>
          <w:sz w:val="24"/>
          <w:szCs w:val="24"/>
          <w:lang w:val="en-GB"/>
        </w:rPr>
        <w:t>25.</w:t>
      </w:r>
      <w:r w:rsidRPr="000C0842">
        <w:rPr>
          <w:rFonts w:eastAsia="SimSun"/>
          <w:sz w:val="24"/>
          <w:szCs w:val="24"/>
          <w:lang w:val="en-GB"/>
        </w:rPr>
        <w:tab/>
      </w:r>
      <w:r w:rsidRPr="000C0842">
        <w:rPr>
          <w:rFonts w:eastAsia="SimSun"/>
          <w:sz w:val="24"/>
          <w:szCs w:val="24"/>
          <w:lang w:val="en-GB"/>
        </w:rPr>
        <w:t>是否跟踪</w:t>
      </w:r>
      <w:r w:rsidRPr="000C0842">
        <w:rPr>
          <w:rFonts w:eastAsia="SimSun" w:hint="eastAsia"/>
          <w:sz w:val="24"/>
          <w:szCs w:val="24"/>
          <w:lang w:val="en-GB"/>
        </w:rPr>
        <w:t>监测</w:t>
      </w:r>
      <w:r w:rsidRPr="000C0842">
        <w:rPr>
          <w:rFonts w:eastAsia="SimSun"/>
          <w:sz w:val="24"/>
          <w:szCs w:val="24"/>
          <w:lang w:val="en-GB"/>
        </w:rPr>
        <w:t>承诺的进展</w:t>
      </w:r>
      <w:r w:rsidRPr="000C0842">
        <w:rPr>
          <w:rFonts w:eastAsia="SimSun" w:hint="eastAsia"/>
          <w:sz w:val="24"/>
          <w:szCs w:val="24"/>
          <w:lang w:val="en-GB"/>
        </w:rPr>
        <w:t>情况</w:t>
      </w:r>
      <w:r w:rsidRPr="000C0842">
        <w:rPr>
          <w:rFonts w:eastAsia="SimSun"/>
          <w:sz w:val="24"/>
          <w:szCs w:val="24"/>
          <w:lang w:val="en-GB"/>
        </w:rPr>
        <w:t>？如果</w:t>
      </w:r>
      <w:r w:rsidRPr="000C0842">
        <w:rPr>
          <w:rFonts w:eastAsia="SimSun" w:hint="eastAsia"/>
          <w:sz w:val="24"/>
          <w:szCs w:val="24"/>
          <w:lang w:val="en-GB"/>
        </w:rPr>
        <w:t>回答“</w:t>
      </w:r>
      <w:r w:rsidRPr="000C0842">
        <w:rPr>
          <w:rFonts w:eastAsia="SimSun"/>
          <w:sz w:val="24"/>
          <w:szCs w:val="24"/>
          <w:lang w:val="en-GB"/>
        </w:rPr>
        <w:t>是</w:t>
      </w:r>
      <w:r w:rsidRPr="000C0842">
        <w:rPr>
          <w:rFonts w:eastAsia="SimSun" w:hint="eastAsia"/>
          <w:sz w:val="24"/>
          <w:szCs w:val="24"/>
          <w:lang w:val="en-GB"/>
        </w:rPr>
        <w:t>”：</w:t>
      </w:r>
    </w:p>
    <w:p w14:paraId="717B9CF5" w14:textId="77777777" w:rsidR="000A776A" w:rsidRPr="000C0842" w:rsidRDefault="000A776A">
      <w:pPr>
        <w:numPr>
          <w:ilvl w:val="0"/>
          <w:numId w:val="182"/>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根据所做承诺跟踪监测进展情况的</w:t>
      </w:r>
      <w:r w:rsidRPr="000C0842">
        <w:rPr>
          <w:rFonts w:eastAsia="SimSun"/>
          <w:sz w:val="24"/>
          <w:szCs w:val="24"/>
        </w:rPr>
        <w:t>形式</w:t>
      </w:r>
      <w:r w:rsidRPr="000C0842">
        <w:rPr>
          <w:rFonts w:eastAsia="SimSun" w:hint="eastAsia"/>
          <w:sz w:val="24"/>
          <w:szCs w:val="24"/>
        </w:rPr>
        <w:t>（例如在线或印刷</w:t>
      </w:r>
      <w:r w:rsidRPr="000C0842">
        <w:rPr>
          <w:rFonts w:eastAsia="SimSun"/>
          <w:sz w:val="24"/>
          <w:szCs w:val="24"/>
        </w:rPr>
        <w:t>出版物</w:t>
      </w:r>
      <w:r w:rsidRPr="000C0842">
        <w:rPr>
          <w:rFonts w:eastAsia="SimSun" w:hint="eastAsia"/>
          <w:sz w:val="24"/>
          <w:szCs w:val="24"/>
        </w:rPr>
        <w:t>）、</w:t>
      </w:r>
      <w:r w:rsidRPr="000C0842">
        <w:rPr>
          <w:rFonts w:eastAsia="SimSun"/>
          <w:sz w:val="24"/>
          <w:szCs w:val="24"/>
        </w:rPr>
        <w:t>频率和公开性。</w:t>
      </w:r>
    </w:p>
    <w:p w14:paraId="2E414EFA" w14:textId="77777777" w:rsidR="000A776A" w:rsidRPr="000C0842" w:rsidRDefault="000A776A">
      <w:pPr>
        <w:numPr>
          <w:ilvl w:val="0"/>
          <w:numId w:val="182"/>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sz w:val="24"/>
          <w:szCs w:val="24"/>
        </w:rPr>
        <w:t>如果有，</w:t>
      </w:r>
      <w:r w:rsidRPr="000C0842">
        <w:rPr>
          <w:rFonts w:eastAsia="SimSun" w:hint="eastAsia"/>
          <w:sz w:val="24"/>
          <w:szCs w:val="24"/>
        </w:rPr>
        <w:t>请</w:t>
      </w:r>
      <w:r w:rsidRPr="000C0842">
        <w:rPr>
          <w:rFonts w:eastAsia="SimSun"/>
          <w:sz w:val="24"/>
          <w:szCs w:val="24"/>
        </w:rPr>
        <w:t>提供一个网址</w:t>
      </w:r>
      <w:r w:rsidRPr="000C0842">
        <w:rPr>
          <w:rFonts w:eastAsia="SimSun" w:hint="eastAsia"/>
          <w:sz w:val="24"/>
          <w:szCs w:val="24"/>
        </w:rPr>
        <w:t>（</w:t>
      </w:r>
      <w:r w:rsidRPr="000C0842">
        <w:rPr>
          <w:rFonts w:eastAsia="SimSun"/>
          <w:sz w:val="24"/>
          <w:szCs w:val="24"/>
        </w:rPr>
        <w:t>可选</w:t>
      </w:r>
      <w:r w:rsidRPr="000C0842">
        <w:rPr>
          <w:rFonts w:eastAsia="SimSun" w:hint="eastAsia"/>
          <w:sz w:val="24"/>
          <w:szCs w:val="24"/>
        </w:rPr>
        <w:t>）。</w:t>
      </w:r>
    </w:p>
    <w:p w14:paraId="1A7F9CEC" w14:textId="437D7772" w:rsidR="000A776A" w:rsidRPr="000C0842" w:rsidRDefault="000A776A" w:rsidP="000A776A">
      <w:pPr>
        <w:tabs>
          <w:tab w:val="clear" w:pos="567"/>
          <w:tab w:val="clear" w:pos="1134"/>
          <w:tab w:val="clear" w:pos="1701"/>
          <w:tab w:val="clear" w:pos="2268"/>
        </w:tabs>
        <w:spacing w:before="120" w:after="120" w:line="240" w:lineRule="atLeast"/>
        <w:ind w:left="490"/>
        <w:jc w:val="left"/>
        <w:rPr>
          <w:rFonts w:eastAsia="SimSun"/>
          <w:snapToGrid w:val="0"/>
          <w:kern w:val="22"/>
          <w:sz w:val="24"/>
          <w:szCs w:val="18"/>
          <w:lang w:val="en-GB"/>
        </w:rPr>
      </w:pPr>
      <w:r w:rsidRPr="000C0842">
        <w:rPr>
          <w:rFonts w:eastAsia="SimSun"/>
          <w:sz w:val="24"/>
          <w:szCs w:val="24"/>
          <w:lang w:val="en-GB"/>
        </w:rPr>
        <w:t>26.</w:t>
      </w:r>
      <w:r w:rsidRPr="000C0842">
        <w:rPr>
          <w:rFonts w:eastAsia="SimSun"/>
          <w:sz w:val="24"/>
          <w:szCs w:val="24"/>
          <w:lang w:val="en-GB"/>
        </w:rPr>
        <w:tab/>
      </w:r>
      <w:r w:rsidRPr="000C0842">
        <w:rPr>
          <w:rFonts w:eastAsia="SimSun" w:hint="eastAsia"/>
          <w:sz w:val="24"/>
          <w:szCs w:val="24"/>
          <w:lang w:val="en-GB"/>
        </w:rPr>
        <w:t>为</w:t>
      </w:r>
      <w:r w:rsidRPr="000C0842">
        <w:rPr>
          <w:rFonts w:eastAsia="SimSun"/>
          <w:sz w:val="24"/>
          <w:szCs w:val="24"/>
          <w:lang w:val="en-GB"/>
        </w:rPr>
        <w:t>有效履行承诺</w:t>
      </w:r>
      <w:r w:rsidRPr="000C0842">
        <w:rPr>
          <w:rFonts w:eastAsia="SimSun" w:hint="eastAsia"/>
          <w:sz w:val="24"/>
          <w:szCs w:val="24"/>
          <w:lang w:val="en-GB"/>
        </w:rPr>
        <w:t>并对《昆蒙框架》，</w:t>
      </w:r>
      <w:r w:rsidRPr="000C0842">
        <w:rPr>
          <w:rFonts w:eastAsia="SimSun"/>
          <w:sz w:val="24"/>
          <w:szCs w:val="24"/>
          <w:lang w:val="en-GB"/>
        </w:rPr>
        <w:t>包括</w:t>
      </w:r>
      <w:r w:rsidRPr="000C0842">
        <w:rPr>
          <w:rFonts w:eastAsia="SimSun" w:hint="eastAsia"/>
          <w:sz w:val="24"/>
          <w:szCs w:val="24"/>
          <w:lang w:val="en-GB"/>
        </w:rPr>
        <w:t>其</w:t>
      </w:r>
      <w:r w:rsidRPr="000C0842">
        <w:rPr>
          <w:rFonts w:eastAsia="SimSun"/>
          <w:sz w:val="24"/>
          <w:szCs w:val="24"/>
          <w:lang w:val="en-GB"/>
        </w:rPr>
        <w:t>C</w:t>
      </w:r>
      <w:r w:rsidRPr="000C0842">
        <w:rPr>
          <w:rFonts w:eastAsia="SimSun" w:hint="eastAsia"/>
          <w:sz w:val="24"/>
          <w:szCs w:val="24"/>
          <w:lang w:val="en-GB"/>
        </w:rPr>
        <w:t>部分、行动目标和长期目标以及</w:t>
      </w:r>
      <w:r w:rsidRPr="000C0842">
        <w:rPr>
          <w:rFonts w:eastAsia="SimSun"/>
          <w:sz w:val="24"/>
          <w:szCs w:val="24"/>
          <w:lang w:val="en-GB"/>
        </w:rPr>
        <w:t>其他决定</w:t>
      </w:r>
      <w:r w:rsidRPr="000C0842">
        <w:rPr>
          <w:rFonts w:eastAsia="SimSun" w:hint="eastAsia"/>
          <w:sz w:val="24"/>
          <w:szCs w:val="24"/>
          <w:lang w:val="en-GB"/>
        </w:rPr>
        <w:t>（例如《</w:t>
      </w:r>
      <w:r w:rsidRPr="000C0842">
        <w:rPr>
          <w:rFonts w:eastAsia="SimSun" w:hint="eastAsia"/>
          <w:sz w:val="24"/>
          <w:szCs w:val="24"/>
          <w:lang w:val="en-GB"/>
        </w:rPr>
        <w:t>2023-2030</w:t>
      </w:r>
      <w:r w:rsidRPr="000C0842">
        <w:rPr>
          <w:rFonts w:eastAsia="SimSun" w:hint="eastAsia"/>
          <w:sz w:val="24"/>
          <w:szCs w:val="24"/>
          <w:lang w:val="en-GB"/>
        </w:rPr>
        <w:t>年</w:t>
      </w:r>
      <w:r w:rsidRPr="000C0842">
        <w:rPr>
          <w:rFonts w:eastAsia="SimSun"/>
          <w:sz w:val="24"/>
          <w:szCs w:val="24"/>
          <w:lang w:val="en-GB"/>
        </w:rPr>
        <w:t>性别</w:t>
      </w:r>
      <w:r w:rsidRPr="000C0842">
        <w:rPr>
          <w:rFonts w:eastAsia="SimSun" w:hint="eastAsia"/>
          <w:sz w:val="24"/>
          <w:szCs w:val="24"/>
          <w:lang w:val="en-GB"/>
        </w:rPr>
        <w:t>平等</w:t>
      </w:r>
      <w:r w:rsidRPr="000C0842">
        <w:rPr>
          <w:rFonts w:eastAsia="SimSun"/>
          <w:sz w:val="24"/>
          <w:szCs w:val="24"/>
          <w:lang w:val="en-GB"/>
        </w:rPr>
        <w:t>行动计划</w:t>
      </w:r>
      <w:r w:rsidRPr="000C0842">
        <w:rPr>
          <w:rFonts w:eastAsia="SimSun" w:hint="eastAsia"/>
          <w:sz w:val="24"/>
          <w:szCs w:val="24"/>
          <w:lang w:val="en-GB"/>
        </w:rPr>
        <w:t>》）</w:t>
      </w:r>
      <w:r w:rsidRPr="000C0842">
        <w:rPr>
          <w:rFonts w:eastAsia="SimSun"/>
          <w:sz w:val="24"/>
          <w:szCs w:val="24"/>
          <w:vertAlign w:val="superscript"/>
          <w:lang w:val="en-GB"/>
        </w:rPr>
        <w:footnoteReference w:id="432"/>
      </w:r>
      <w:r w:rsidRPr="000C0842">
        <w:rPr>
          <w:rFonts w:eastAsia="SimSun" w:hint="eastAsia"/>
          <w:sz w:val="24"/>
          <w:szCs w:val="24"/>
          <w:lang w:val="en-GB"/>
        </w:rPr>
        <w:t>作出贡献而</w:t>
      </w:r>
      <w:r w:rsidRPr="000C0842">
        <w:rPr>
          <w:rFonts w:eastAsia="SimSun"/>
          <w:sz w:val="24"/>
          <w:szCs w:val="24"/>
          <w:lang w:val="en-GB"/>
        </w:rPr>
        <w:t>应对挑战和机遇的潜在方法</w:t>
      </w:r>
      <w:r w:rsidR="00997EE8" w:rsidRPr="000C0842">
        <w:rPr>
          <w:rFonts w:eastAsia="SimSun" w:hint="eastAsia"/>
          <w:sz w:val="24"/>
          <w:szCs w:val="24"/>
          <w:lang w:val="en-GB"/>
        </w:rPr>
        <w:t>（</w:t>
      </w:r>
      <w:r w:rsidRPr="000C0842">
        <w:rPr>
          <w:rFonts w:eastAsia="SimSun"/>
          <w:sz w:val="24"/>
          <w:szCs w:val="24"/>
          <w:lang w:val="en-GB"/>
        </w:rPr>
        <w:t>可选</w:t>
      </w:r>
      <w:r w:rsidR="00997EE8" w:rsidRPr="000C0842">
        <w:rPr>
          <w:rFonts w:eastAsia="SimSun" w:hint="eastAsia"/>
          <w:sz w:val="24"/>
          <w:szCs w:val="24"/>
          <w:lang w:val="en-GB"/>
        </w:rPr>
        <w:t>）</w:t>
      </w:r>
      <w:r w:rsidRPr="000C0842">
        <w:rPr>
          <w:rFonts w:eastAsia="SimSun"/>
          <w:sz w:val="24"/>
          <w:szCs w:val="24"/>
          <w:lang w:val="en-GB"/>
        </w:rPr>
        <w:t>。</w:t>
      </w:r>
    </w:p>
    <w:p w14:paraId="076E66C8" w14:textId="77777777" w:rsidR="000A776A" w:rsidRPr="000C0842" w:rsidRDefault="000A776A" w:rsidP="00893A90">
      <w:pPr>
        <w:keepNext/>
        <w:tabs>
          <w:tab w:val="clear" w:pos="567"/>
          <w:tab w:val="clear" w:pos="1134"/>
          <w:tab w:val="clear" w:pos="1701"/>
          <w:tab w:val="clear" w:pos="2268"/>
        </w:tabs>
        <w:adjustRightInd w:val="0"/>
        <w:snapToGrid w:val="0"/>
        <w:spacing w:before="240" w:line="240" w:lineRule="atLeast"/>
        <w:ind w:firstLine="490"/>
        <w:rPr>
          <w:rFonts w:eastAsia="SimSun"/>
          <w:b/>
          <w:bCs/>
          <w:sz w:val="24"/>
          <w:szCs w:val="24"/>
          <w:lang w:val="en-GB"/>
        </w:rPr>
      </w:pPr>
      <w:r w:rsidRPr="000C0842">
        <w:rPr>
          <w:rFonts w:eastAsia="SimSun"/>
          <w:b/>
          <w:bCs/>
          <w:sz w:val="24"/>
          <w:szCs w:val="24"/>
          <w:lang w:val="en-GB"/>
        </w:rPr>
        <w:t>附件</w:t>
      </w:r>
      <w:r w:rsidRPr="000C0842">
        <w:rPr>
          <w:rFonts w:eastAsia="SimSun" w:hint="eastAsia"/>
          <w:b/>
          <w:bCs/>
          <w:sz w:val="24"/>
          <w:szCs w:val="24"/>
          <w:lang w:val="en-GB"/>
        </w:rPr>
        <w:t>三</w:t>
      </w:r>
    </w:p>
    <w:p w14:paraId="3169CA8B" w14:textId="77777777" w:rsidR="000A776A" w:rsidRPr="000C0842" w:rsidRDefault="000A776A" w:rsidP="00893A90">
      <w:pPr>
        <w:keepNext/>
        <w:tabs>
          <w:tab w:val="clear" w:pos="567"/>
          <w:tab w:val="clear" w:pos="1134"/>
          <w:tab w:val="clear" w:pos="1701"/>
          <w:tab w:val="clear" w:pos="2268"/>
        </w:tabs>
        <w:adjustRightInd w:val="0"/>
        <w:snapToGrid w:val="0"/>
        <w:spacing w:after="120" w:line="240" w:lineRule="atLeast"/>
        <w:ind w:left="490"/>
        <w:rPr>
          <w:rFonts w:eastAsia="SimSun"/>
          <w:szCs w:val="24"/>
          <w:lang w:val="en-GB"/>
        </w:rPr>
      </w:pPr>
      <w:r w:rsidRPr="000C0842">
        <w:rPr>
          <w:rFonts w:eastAsia="SimSun"/>
          <w:b/>
          <w:bCs/>
          <w:sz w:val="24"/>
          <w:szCs w:val="24"/>
          <w:lang w:val="en-GB"/>
        </w:rPr>
        <w:t>编</w:t>
      </w:r>
      <w:r w:rsidRPr="000C0842">
        <w:rPr>
          <w:rFonts w:eastAsia="SimSun" w:hint="eastAsia"/>
          <w:b/>
          <w:bCs/>
          <w:sz w:val="24"/>
          <w:szCs w:val="24"/>
          <w:lang w:val="en-GB"/>
        </w:rPr>
        <w:t>写《</w:t>
      </w:r>
      <w:r w:rsidRPr="000C0842">
        <w:rPr>
          <w:rFonts w:eastAsia="SimSun"/>
          <w:b/>
          <w:bCs/>
          <w:sz w:val="24"/>
          <w:szCs w:val="24"/>
          <w:lang w:val="en-GB"/>
        </w:rPr>
        <w:t>昆明</w:t>
      </w:r>
      <w:r w:rsidRPr="000C0842">
        <w:rPr>
          <w:rFonts w:eastAsia="SimSun"/>
          <w:b/>
          <w:bCs/>
          <w:sz w:val="24"/>
          <w:szCs w:val="24"/>
          <w:lang w:val="en-GB"/>
        </w:rPr>
        <w:t>-</w:t>
      </w:r>
      <w:r w:rsidRPr="000C0842">
        <w:rPr>
          <w:rFonts w:eastAsia="SimSun"/>
          <w:b/>
          <w:bCs/>
          <w:sz w:val="24"/>
          <w:szCs w:val="24"/>
          <w:lang w:val="en-GB"/>
        </w:rPr>
        <w:t>蒙特利尔全球生物多样性框架</w:t>
      </w:r>
      <w:r w:rsidRPr="000C0842">
        <w:rPr>
          <w:rFonts w:eastAsia="SimSun" w:hint="eastAsia"/>
          <w:b/>
          <w:bCs/>
          <w:sz w:val="24"/>
          <w:szCs w:val="24"/>
          <w:lang w:val="en-GB"/>
        </w:rPr>
        <w:t>》</w:t>
      </w:r>
      <w:r w:rsidRPr="000C0842">
        <w:rPr>
          <w:rFonts w:eastAsia="SimSun"/>
          <w:b/>
          <w:bCs/>
          <w:sz w:val="24"/>
          <w:szCs w:val="24"/>
          <w:lang w:val="en-GB"/>
        </w:rPr>
        <w:t>集体</w:t>
      </w:r>
      <w:r w:rsidRPr="000C0842">
        <w:rPr>
          <w:rFonts w:eastAsia="SimSun" w:hint="eastAsia"/>
          <w:b/>
          <w:bCs/>
          <w:sz w:val="24"/>
          <w:szCs w:val="24"/>
          <w:lang w:val="en-GB"/>
        </w:rPr>
        <w:t>执行进度</w:t>
      </w:r>
      <w:r w:rsidRPr="000C0842">
        <w:rPr>
          <w:rFonts w:eastAsia="SimSun"/>
          <w:b/>
          <w:bCs/>
          <w:sz w:val="24"/>
          <w:szCs w:val="24"/>
          <w:lang w:val="en-GB"/>
        </w:rPr>
        <w:t>全球报告的</w:t>
      </w:r>
      <w:r w:rsidRPr="000C0842">
        <w:rPr>
          <w:rFonts w:eastAsia="SimSun" w:hint="eastAsia"/>
          <w:b/>
          <w:bCs/>
          <w:sz w:val="24"/>
          <w:szCs w:val="24"/>
          <w:lang w:val="en-GB"/>
        </w:rPr>
        <w:t>特设</w:t>
      </w:r>
      <w:r w:rsidRPr="000C0842">
        <w:rPr>
          <w:rFonts w:eastAsia="SimSun"/>
          <w:b/>
          <w:bCs/>
          <w:sz w:val="24"/>
          <w:szCs w:val="24"/>
          <w:lang w:val="en-GB"/>
        </w:rPr>
        <w:t>科</w:t>
      </w:r>
      <w:r w:rsidRPr="000C0842">
        <w:rPr>
          <w:rFonts w:eastAsia="SimSun" w:hint="eastAsia"/>
          <w:b/>
          <w:bCs/>
          <w:sz w:val="24"/>
          <w:szCs w:val="24"/>
          <w:lang w:val="en-GB"/>
        </w:rPr>
        <w:t>学和技术</w:t>
      </w:r>
      <w:r w:rsidRPr="000C0842">
        <w:rPr>
          <w:rFonts w:eastAsia="SimSun"/>
          <w:b/>
          <w:bCs/>
          <w:sz w:val="24"/>
          <w:szCs w:val="24"/>
          <w:lang w:val="en-GB"/>
        </w:rPr>
        <w:t>咨询小组的职权范围</w:t>
      </w:r>
    </w:p>
    <w:p w14:paraId="428BFFB4" w14:textId="77777777" w:rsidR="000A776A" w:rsidRPr="000C0842" w:rsidRDefault="000A776A">
      <w:pPr>
        <w:numPr>
          <w:ilvl w:val="3"/>
          <w:numId w:val="176"/>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GB"/>
        </w:rPr>
      </w:pPr>
      <w:r w:rsidRPr="000C0842">
        <w:rPr>
          <w:rFonts w:eastAsia="SimSun"/>
          <w:sz w:val="24"/>
          <w:szCs w:val="24"/>
          <w:lang w:val="en-GB"/>
        </w:rPr>
        <w:t>编写</w:t>
      </w:r>
      <w:r w:rsidRPr="000C0842">
        <w:rPr>
          <w:rFonts w:eastAsia="SimSun" w:hint="eastAsia"/>
          <w:sz w:val="24"/>
          <w:szCs w:val="24"/>
          <w:lang w:val="en-GB"/>
        </w:rPr>
        <w:t>《</w:t>
      </w:r>
      <w:r w:rsidRPr="000C0842">
        <w:rPr>
          <w:rFonts w:eastAsia="SimSun"/>
          <w:sz w:val="24"/>
          <w:szCs w:val="24"/>
          <w:lang w:val="en-GB"/>
        </w:rPr>
        <w:t>昆明</w:t>
      </w:r>
      <w:r w:rsidRPr="000C0842">
        <w:rPr>
          <w:rFonts w:eastAsia="SimSun"/>
          <w:sz w:val="24"/>
          <w:szCs w:val="24"/>
          <w:lang w:val="en-GB"/>
        </w:rPr>
        <w:t>-</w:t>
      </w:r>
      <w:r w:rsidRPr="000C0842">
        <w:rPr>
          <w:rFonts w:eastAsia="SimSun"/>
          <w:sz w:val="24"/>
          <w:szCs w:val="24"/>
          <w:lang w:val="en-GB"/>
        </w:rPr>
        <w:t>蒙特利尔全球生物多样性框架</w:t>
      </w:r>
      <w:r w:rsidRPr="000C0842">
        <w:rPr>
          <w:rFonts w:eastAsia="SimSun" w:hint="eastAsia"/>
          <w:sz w:val="24"/>
          <w:szCs w:val="24"/>
          <w:lang w:val="en-GB"/>
        </w:rPr>
        <w:t>》</w:t>
      </w:r>
      <w:r w:rsidRPr="000C0842">
        <w:rPr>
          <w:rFonts w:eastAsia="SimSun"/>
          <w:sz w:val="24"/>
          <w:szCs w:val="24"/>
          <w:lang w:val="en-GB"/>
        </w:rPr>
        <w:t>集体执行进度全球报告的特设科学和技术咨询小组应支持科学、技术和工艺咨询附属机构为编写执行问题附属机构执行《昆蒙框架》包括执行手段的集体进度全球报告提供科技和工艺投入。</w:t>
      </w:r>
    </w:p>
    <w:p w14:paraId="0FDD61A1" w14:textId="77777777" w:rsidR="000A776A" w:rsidRPr="000C0842" w:rsidRDefault="000A776A">
      <w:pPr>
        <w:numPr>
          <w:ilvl w:val="3"/>
          <w:numId w:val="176"/>
        </w:numPr>
        <w:tabs>
          <w:tab w:val="clear" w:pos="567"/>
          <w:tab w:val="clear" w:pos="1134"/>
          <w:tab w:val="clear" w:pos="1701"/>
          <w:tab w:val="clear" w:pos="2268"/>
        </w:tabs>
        <w:adjustRightInd w:val="0"/>
        <w:snapToGrid w:val="0"/>
        <w:spacing w:before="120" w:after="120" w:line="240" w:lineRule="atLeast"/>
        <w:ind w:left="490" w:firstLine="0"/>
        <w:rPr>
          <w:rFonts w:eastAsia="SimSun"/>
          <w:sz w:val="24"/>
          <w:szCs w:val="24"/>
          <w:lang w:val="en-GB"/>
        </w:rPr>
      </w:pPr>
      <w:r w:rsidRPr="000C0842">
        <w:rPr>
          <w:rFonts w:eastAsia="SimSun" w:hint="eastAsia"/>
          <w:sz w:val="24"/>
          <w:szCs w:val="24"/>
          <w:lang w:val="en-GB"/>
        </w:rPr>
        <w:t>咨询小组应监督和指导汇编、分析、综合相关科技和工艺信息，供科学、技术和工艺咨询附属机构在根据本决定第</w:t>
      </w:r>
      <w:r w:rsidRPr="000C0842">
        <w:rPr>
          <w:rFonts w:hint="eastAsia"/>
          <w:sz w:val="24"/>
          <w:szCs w:val="24"/>
          <w:lang w:val="en-GB"/>
        </w:rPr>
        <w:t>18</w:t>
      </w:r>
      <w:r w:rsidRPr="000C0842">
        <w:rPr>
          <w:rFonts w:eastAsia="SimSun" w:hint="eastAsia"/>
          <w:sz w:val="24"/>
          <w:szCs w:val="24"/>
          <w:lang w:val="en-GB"/>
        </w:rPr>
        <w:t>段所列来源为依据编写全球报告的科学和技术内容时参考。咨询小组的</w:t>
      </w:r>
      <w:r w:rsidRPr="000C0842">
        <w:rPr>
          <w:rFonts w:eastAsia="SimSun"/>
          <w:sz w:val="24"/>
          <w:szCs w:val="24"/>
          <w:lang w:val="en-GB"/>
        </w:rPr>
        <w:t>具体任务是：</w:t>
      </w:r>
      <w:r w:rsidRPr="000C0842">
        <w:rPr>
          <w:rFonts w:eastAsia="SimSun"/>
          <w:sz w:val="24"/>
          <w:szCs w:val="24"/>
          <w:lang w:val="en-GB"/>
        </w:rPr>
        <w:t xml:space="preserve">      </w:t>
      </w:r>
    </w:p>
    <w:p w14:paraId="3AF70AAC" w14:textId="77777777" w:rsidR="000A776A" w:rsidRPr="000C0842" w:rsidRDefault="000A776A">
      <w:pPr>
        <w:numPr>
          <w:ilvl w:val="0"/>
          <w:numId w:val="177"/>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为全球报告草案所拟科技和工艺投入提供咨询；</w:t>
      </w:r>
    </w:p>
    <w:p w14:paraId="32613044" w14:textId="77777777" w:rsidR="000A776A" w:rsidRPr="000C0842" w:rsidRDefault="000A776A">
      <w:pPr>
        <w:numPr>
          <w:ilvl w:val="0"/>
          <w:numId w:val="177"/>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hint="eastAsia"/>
          <w:sz w:val="24"/>
          <w:szCs w:val="24"/>
          <w:lang w:val="en-GB"/>
        </w:rPr>
        <w:t>为</w:t>
      </w:r>
      <w:r w:rsidRPr="000C0842">
        <w:rPr>
          <w:rFonts w:eastAsia="SimSun"/>
          <w:sz w:val="24"/>
          <w:szCs w:val="24"/>
          <w:lang w:val="en-GB"/>
        </w:rPr>
        <w:t>全球报告中使用《</w:t>
      </w:r>
      <w:r w:rsidRPr="000C0842">
        <w:rPr>
          <w:rFonts w:eastAsia="SimSun" w:hint="eastAsia"/>
          <w:sz w:val="24"/>
          <w:szCs w:val="24"/>
          <w:lang w:val="en-GB"/>
        </w:rPr>
        <w:t>昆明</w:t>
      </w:r>
      <w:r w:rsidRPr="000C0842">
        <w:rPr>
          <w:rFonts w:eastAsia="SimSun" w:hint="eastAsia"/>
          <w:sz w:val="24"/>
          <w:szCs w:val="24"/>
          <w:lang w:val="en-GB"/>
        </w:rPr>
        <w:t>-</w:t>
      </w:r>
      <w:r w:rsidRPr="000C0842">
        <w:rPr>
          <w:rFonts w:eastAsia="SimSun" w:hint="eastAsia"/>
          <w:sz w:val="24"/>
          <w:szCs w:val="24"/>
          <w:lang w:val="en-GB"/>
        </w:rPr>
        <w:t>蒙特利尔全球生物多样性</w:t>
      </w:r>
      <w:r w:rsidRPr="000C0842">
        <w:rPr>
          <w:rFonts w:eastAsia="SimSun"/>
          <w:sz w:val="24"/>
          <w:szCs w:val="24"/>
          <w:lang w:val="en-GB"/>
        </w:rPr>
        <w:t>框架》的监测框架</w:t>
      </w:r>
      <w:r w:rsidRPr="000C0842">
        <w:rPr>
          <w:rFonts w:eastAsia="SimSun"/>
          <w:sz w:val="24"/>
          <w:szCs w:val="24"/>
          <w:vertAlign w:val="superscript"/>
          <w:lang w:val="en-GB"/>
        </w:rPr>
        <w:footnoteReference w:id="433"/>
      </w:r>
      <w:r w:rsidRPr="000C0842">
        <w:rPr>
          <w:rFonts w:eastAsia="SimSun"/>
          <w:sz w:val="24"/>
          <w:szCs w:val="24"/>
          <w:lang w:val="en-GB"/>
        </w:rPr>
        <w:t>指标提供咨询</w:t>
      </w:r>
      <w:r w:rsidRPr="000C0842">
        <w:rPr>
          <w:rFonts w:eastAsia="SimSun" w:hint="eastAsia"/>
          <w:sz w:val="24"/>
          <w:szCs w:val="24"/>
          <w:lang w:val="en-GB"/>
        </w:rPr>
        <w:t>；</w:t>
      </w:r>
    </w:p>
    <w:p w14:paraId="55857AFE" w14:textId="77777777" w:rsidR="000A776A" w:rsidRPr="000C0842" w:rsidRDefault="000A776A">
      <w:pPr>
        <w:numPr>
          <w:ilvl w:val="0"/>
          <w:numId w:val="177"/>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确保全球报告草案及其相关产品的科技健全性。</w:t>
      </w:r>
    </w:p>
    <w:p w14:paraId="7CCC3763"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3.</w:t>
      </w:r>
      <w:r w:rsidRPr="000C0842">
        <w:rPr>
          <w:rFonts w:eastAsia="SimSun"/>
          <w:sz w:val="24"/>
          <w:szCs w:val="24"/>
          <w:lang w:val="en-GB"/>
        </w:rPr>
        <w:tab/>
      </w:r>
      <w:r w:rsidRPr="000C0842">
        <w:rPr>
          <w:rFonts w:ascii="SimSun" w:eastAsia="SimSun" w:hAnsi="SimSun" w:cs="SimSun" w:hint="eastAsia"/>
          <w:sz w:val="24"/>
          <w:szCs w:val="24"/>
          <w:lang w:val="en-GB"/>
        </w:rPr>
        <w:t>咨询小组应</w:t>
      </w:r>
      <w:r w:rsidRPr="000C0842">
        <w:rPr>
          <w:rFonts w:eastAsia="SimSun"/>
          <w:sz w:val="24"/>
          <w:szCs w:val="24"/>
          <w:lang w:val="en-GB"/>
        </w:rPr>
        <w:t>：</w:t>
      </w:r>
    </w:p>
    <w:p w14:paraId="4175DE5B" w14:textId="77777777" w:rsidR="000A776A" w:rsidRPr="000C0842" w:rsidRDefault="000A776A">
      <w:pPr>
        <w:numPr>
          <w:ilvl w:val="0"/>
          <w:numId w:val="178"/>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根据本决定，编写并向科学、技术和工艺咨询附属机构提交一份内容大纲和关键问题，</w:t>
      </w:r>
      <w:r w:rsidRPr="000C0842">
        <w:rPr>
          <w:rFonts w:eastAsia="SimSun" w:hint="eastAsia"/>
          <w:sz w:val="24"/>
          <w:szCs w:val="24"/>
          <w:lang w:val="en-GB"/>
        </w:rPr>
        <w:t>作为</w:t>
      </w:r>
      <w:r w:rsidRPr="000C0842">
        <w:rPr>
          <w:rFonts w:eastAsia="SimSun"/>
          <w:sz w:val="24"/>
          <w:szCs w:val="24"/>
          <w:lang w:val="en-GB"/>
        </w:rPr>
        <w:t>全球报告的科学和技术问题构架；</w:t>
      </w:r>
    </w:p>
    <w:p w14:paraId="61E0199B" w14:textId="77777777" w:rsidR="000A776A" w:rsidRPr="000C0842" w:rsidRDefault="000A776A">
      <w:pPr>
        <w:numPr>
          <w:ilvl w:val="0"/>
          <w:numId w:val="178"/>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根据本决定所</w:t>
      </w:r>
      <w:r w:rsidRPr="000C0842">
        <w:rPr>
          <w:rFonts w:eastAsia="SimSun" w:hint="eastAsia"/>
          <w:sz w:val="24"/>
          <w:szCs w:val="24"/>
          <w:lang w:val="en-GB"/>
        </w:rPr>
        <w:t>述</w:t>
      </w:r>
      <w:r w:rsidRPr="000C0842">
        <w:rPr>
          <w:rFonts w:eastAsia="SimSun"/>
          <w:sz w:val="24"/>
          <w:szCs w:val="24"/>
          <w:lang w:val="en-GB"/>
        </w:rPr>
        <w:t>编写全球报告草案相关章节的内容；</w:t>
      </w:r>
    </w:p>
    <w:p w14:paraId="6D433343"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sz w:val="24"/>
          <w:szCs w:val="24"/>
          <w:lang w:val="en-GB"/>
        </w:rPr>
      </w:pPr>
      <w:r w:rsidRPr="000C0842">
        <w:rPr>
          <w:rFonts w:hint="eastAsia"/>
          <w:sz w:val="24"/>
          <w:szCs w:val="24"/>
          <w:lang w:val="en-GB"/>
        </w:rPr>
        <w:t>4.</w:t>
      </w:r>
      <w:r w:rsidRPr="000C0842">
        <w:rPr>
          <w:rFonts w:eastAsia="Times New Roman"/>
          <w:sz w:val="24"/>
          <w:szCs w:val="24"/>
          <w:lang w:val="en-GB"/>
        </w:rPr>
        <w:tab/>
      </w:r>
      <w:r w:rsidRPr="000C0842">
        <w:rPr>
          <w:rFonts w:ascii="SimSun" w:eastAsia="SimSun" w:hAnsi="SimSun" w:cs="SimSun" w:hint="eastAsia"/>
          <w:sz w:val="24"/>
          <w:szCs w:val="24"/>
          <w:lang w:val="en-GB"/>
        </w:rPr>
        <w:t>咨询</w:t>
      </w:r>
      <w:r w:rsidRPr="000C0842">
        <w:rPr>
          <w:rFonts w:eastAsia="SimSun"/>
          <w:sz w:val="24"/>
          <w:szCs w:val="24"/>
          <w:lang w:val="en-GB"/>
        </w:rPr>
        <w:t>小组还应促进本决定所述</w:t>
      </w:r>
      <w:r w:rsidRPr="000C0842">
        <w:rPr>
          <w:rFonts w:eastAsia="SimSun" w:hint="eastAsia"/>
          <w:sz w:val="24"/>
          <w:szCs w:val="24"/>
          <w:lang w:val="en-GB"/>
        </w:rPr>
        <w:t>非正式</w:t>
      </w:r>
      <w:r w:rsidRPr="000C0842">
        <w:rPr>
          <w:rFonts w:eastAsia="SimSun"/>
          <w:sz w:val="24"/>
          <w:szCs w:val="24"/>
          <w:lang w:val="en-GB"/>
        </w:rPr>
        <w:t>技术对话。</w:t>
      </w:r>
    </w:p>
    <w:p w14:paraId="46127704" w14:textId="77777777" w:rsidR="000A776A" w:rsidRPr="000C0842" w:rsidRDefault="000A776A" w:rsidP="000A776A">
      <w:pPr>
        <w:tabs>
          <w:tab w:val="clear" w:pos="567"/>
          <w:tab w:val="clear" w:pos="1134"/>
          <w:tab w:val="clear" w:pos="1701"/>
          <w:tab w:val="clear" w:pos="2268"/>
          <w:tab w:val="left" w:pos="993"/>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5.</w:t>
      </w:r>
      <w:r w:rsidRPr="000C0842">
        <w:rPr>
          <w:rFonts w:eastAsia="SimSun"/>
          <w:sz w:val="24"/>
          <w:szCs w:val="24"/>
          <w:lang w:val="en-GB"/>
        </w:rPr>
        <w:t xml:space="preserve"> </w:t>
      </w:r>
      <w:r w:rsidRPr="000C0842">
        <w:rPr>
          <w:rFonts w:eastAsia="SimSun"/>
          <w:sz w:val="24"/>
          <w:szCs w:val="24"/>
          <w:lang w:val="en-GB"/>
        </w:rPr>
        <w:tab/>
      </w:r>
      <w:r w:rsidRPr="000C0842">
        <w:rPr>
          <w:rFonts w:eastAsia="SimSun" w:hint="eastAsia"/>
          <w:sz w:val="24"/>
          <w:szCs w:val="24"/>
          <w:lang w:val="en-GB"/>
        </w:rPr>
        <w:t xml:space="preserve">   </w:t>
      </w:r>
      <w:r w:rsidRPr="000C0842">
        <w:rPr>
          <w:rFonts w:eastAsia="SimSun"/>
          <w:sz w:val="24"/>
          <w:szCs w:val="24"/>
          <w:lang w:val="en-GB"/>
        </w:rPr>
        <w:t>小组应由缔约方提名的</w:t>
      </w:r>
      <w:r w:rsidRPr="000C0842">
        <w:rPr>
          <w:rFonts w:eastAsia="SimSun"/>
          <w:sz w:val="24"/>
          <w:szCs w:val="24"/>
          <w:lang w:val="en-GB"/>
        </w:rPr>
        <w:t>15</w:t>
      </w:r>
      <w:r w:rsidRPr="000C0842">
        <w:rPr>
          <w:rFonts w:eastAsia="SimSun"/>
          <w:sz w:val="24"/>
          <w:szCs w:val="24"/>
          <w:lang w:val="en-GB"/>
        </w:rPr>
        <w:t>名专家组成，可包括来自相关学术和研究机构的专家，以及观察员提名的</w:t>
      </w:r>
      <w:r w:rsidRPr="000C0842">
        <w:rPr>
          <w:rFonts w:eastAsia="Times New Roman"/>
          <w:sz w:val="24"/>
          <w:szCs w:val="24"/>
          <w:lang w:val="en-GB"/>
        </w:rPr>
        <w:t>10</w:t>
      </w:r>
      <w:r w:rsidRPr="000C0842">
        <w:rPr>
          <w:rFonts w:eastAsia="SimSun"/>
          <w:sz w:val="24"/>
          <w:szCs w:val="24"/>
          <w:lang w:val="en-GB"/>
        </w:rPr>
        <w:t>名代表，其中</w:t>
      </w:r>
      <w:r w:rsidRPr="000C0842">
        <w:rPr>
          <w:rFonts w:eastAsia="Times New Roman"/>
          <w:sz w:val="24"/>
          <w:szCs w:val="24"/>
          <w:lang w:val="en-GB"/>
        </w:rPr>
        <w:t>5</w:t>
      </w:r>
      <w:r w:rsidRPr="000C0842">
        <w:rPr>
          <w:rFonts w:eastAsia="SimSun"/>
          <w:sz w:val="24"/>
          <w:szCs w:val="24"/>
          <w:lang w:val="en-GB"/>
        </w:rPr>
        <w:t>名来自土著人民和</w:t>
      </w:r>
      <w:r w:rsidRPr="000C0842">
        <w:rPr>
          <w:rFonts w:eastAsia="SimSun" w:hint="eastAsia"/>
          <w:sz w:val="24"/>
          <w:szCs w:val="24"/>
          <w:lang w:val="en-GB"/>
        </w:rPr>
        <w:t>地方</w:t>
      </w:r>
      <w:r w:rsidRPr="000C0842">
        <w:rPr>
          <w:rFonts w:eastAsia="SimSun"/>
          <w:sz w:val="24"/>
          <w:szCs w:val="24"/>
          <w:lang w:val="en-GB"/>
        </w:rPr>
        <w:t>社区、妇女和青年团体，同时适当考虑公平的区域代表性</w:t>
      </w:r>
      <w:r w:rsidRPr="000C0842">
        <w:rPr>
          <w:rFonts w:eastAsia="SimSun" w:hint="eastAsia"/>
          <w:sz w:val="24"/>
          <w:szCs w:val="24"/>
          <w:lang w:val="en-GB"/>
        </w:rPr>
        <w:t>、</w:t>
      </w:r>
      <w:r w:rsidRPr="000C0842">
        <w:rPr>
          <w:rFonts w:eastAsia="SimSun"/>
          <w:sz w:val="24"/>
          <w:szCs w:val="24"/>
          <w:lang w:val="en-GB"/>
        </w:rPr>
        <w:t>性别平衡</w:t>
      </w:r>
      <w:r w:rsidRPr="000C0842">
        <w:rPr>
          <w:rFonts w:eastAsia="SimSun" w:hint="eastAsia"/>
          <w:sz w:val="24"/>
          <w:szCs w:val="24"/>
          <w:lang w:val="en-GB"/>
        </w:rPr>
        <w:t>和不同技术专门领域的代表性，确保平衡兼顾《昆蒙框架》的长期目标和行动目标所涉所有方面的专门知识</w:t>
      </w:r>
      <w:r w:rsidRPr="000C0842">
        <w:rPr>
          <w:rFonts w:eastAsia="SimSun"/>
          <w:sz w:val="24"/>
          <w:szCs w:val="24"/>
          <w:lang w:val="en-GB"/>
        </w:rPr>
        <w:t>。</w:t>
      </w:r>
      <w:r w:rsidRPr="000C0842">
        <w:rPr>
          <w:rFonts w:eastAsia="SimSun" w:hint="eastAsia"/>
          <w:sz w:val="24"/>
          <w:szCs w:val="24"/>
          <w:lang w:val="en-GB"/>
        </w:rPr>
        <w:t>科学、技术和工艺咨询附属</w:t>
      </w:r>
      <w:r w:rsidRPr="000C0842">
        <w:rPr>
          <w:rFonts w:eastAsia="SimSun"/>
          <w:sz w:val="24"/>
          <w:szCs w:val="24"/>
          <w:lang w:val="en-GB"/>
        </w:rPr>
        <w:t>机构主席团应在</w:t>
      </w:r>
      <w:r w:rsidRPr="000C0842">
        <w:rPr>
          <w:rFonts w:eastAsia="SimSun" w:hint="eastAsia"/>
          <w:sz w:val="24"/>
          <w:szCs w:val="24"/>
          <w:lang w:val="en-GB"/>
        </w:rPr>
        <w:t>生物多样性公约</w:t>
      </w:r>
      <w:r w:rsidRPr="000C0842">
        <w:rPr>
          <w:rFonts w:eastAsia="SimSun"/>
          <w:sz w:val="24"/>
          <w:szCs w:val="24"/>
          <w:lang w:val="en-GB"/>
        </w:rPr>
        <w:t>秘书处的支持下，从缔约方和观察员提交的提名中挑选专家。</w:t>
      </w:r>
    </w:p>
    <w:p w14:paraId="4D6CC106"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6.</w:t>
      </w:r>
      <w:r w:rsidRPr="000C0842">
        <w:rPr>
          <w:rFonts w:eastAsia="SimSun"/>
          <w:sz w:val="24"/>
          <w:szCs w:val="24"/>
          <w:lang w:val="en-GB"/>
        </w:rPr>
        <w:tab/>
      </w:r>
      <w:r w:rsidRPr="000C0842">
        <w:rPr>
          <w:rFonts w:eastAsia="SimSun"/>
          <w:sz w:val="24"/>
          <w:szCs w:val="24"/>
          <w:lang w:val="en-GB"/>
        </w:rPr>
        <w:t>除其他外，可从具备以下条件</w:t>
      </w:r>
      <w:r w:rsidRPr="000C0842">
        <w:rPr>
          <w:rFonts w:eastAsia="SimSun" w:hint="eastAsia"/>
          <w:sz w:val="24"/>
          <w:szCs w:val="24"/>
          <w:lang w:val="en-GB"/>
        </w:rPr>
        <w:t>被提名</w:t>
      </w:r>
      <w:r w:rsidRPr="000C0842">
        <w:rPr>
          <w:rFonts w:eastAsia="SimSun"/>
          <w:sz w:val="24"/>
          <w:szCs w:val="24"/>
          <w:lang w:val="en-GB"/>
        </w:rPr>
        <w:t>人员中挑选专家：</w:t>
      </w:r>
    </w:p>
    <w:p w14:paraId="6035E496" w14:textId="77777777" w:rsidR="000A776A" w:rsidRPr="000C0842" w:rsidRDefault="000A776A">
      <w:pPr>
        <w:numPr>
          <w:ilvl w:val="0"/>
          <w:numId w:val="179"/>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有生物多样性现状和趋势分析、生物多样性指标</w:t>
      </w:r>
      <w:r w:rsidRPr="000C0842">
        <w:rPr>
          <w:rFonts w:eastAsia="SimSun" w:hint="eastAsia"/>
          <w:sz w:val="24"/>
          <w:szCs w:val="24"/>
          <w:lang w:val="en-GB"/>
        </w:rPr>
        <w:t>以及</w:t>
      </w:r>
      <w:r w:rsidRPr="000C0842">
        <w:rPr>
          <w:rFonts w:eastAsia="SimSun"/>
          <w:sz w:val="24"/>
          <w:szCs w:val="24"/>
          <w:lang w:val="en-GB"/>
        </w:rPr>
        <w:t>生物多样性社会和文化方面科技和工艺出版物记录或专长；</w:t>
      </w:r>
    </w:p>
    <w:p w14:paraId="0E8F2D6E" w14:textId="77777777" w:rsidR="000A776A" w:rsidRPr="000C0842" w:rsidRDefault="000A776A">
      <w:pPr>
        <w:numPr>
          <w:ilvl w:val="0"/>
          <w:numId w:val="179"/>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有《昆蒙框架》长期目标和行动目标相关领域的专长和经验；</w:t>
      </w:r>
    </w:p>
    <w:p w14:paraId="25CE8DC2" w14:textId="77777777" w:rsidR="000A776A" w:rsidRPr="000C0842" w:rsidRDefault="000A776A">
      <w:pPr>
        <w:numPr>
          <w:ilvl w:val="0"/>
          <w:numId w:val="179"/>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显示了解《公约》和其他生物多样性相关国际科技评估进程；</w:t>
      </w:r>
    </w:p>
    <w:p w14:paraId="0021192E" w14:textId="77777777" w:rsidR="000A776A" w:rsidRPr="000C0842" w:rsidRDefault="000A776A">
      <w:pPr>
        <w:numPr>
          <w:ilvl w:val="0"/>
          <w:numId w:val="179"/>
        </w:numPr>
        <w:tabs>
          <w:tab w:val="clear" w:pos="567"/>
          <w:tab w:val="clear" w:pos="1134"/>
          <w:tab w:val="clear" w:pos="1701"/>
          <w:tab w:val="clear" w:pos="2268"/>
        </w:tabs>
        <w:adjustRightInd w:val="0"/>
        <w:snapToGrid w:val="0"/>
        <w:spacing w:before="120" w:after="120" w:line="240" w:lineRule="atLeast"/>
        <w:ind w:left="490" w:firstLine="490"/>
        <w:rPr>
          <w:rFonts w:eastAsia="SimSun"/>
          <w:sz w:val="24"/>
          <w:szCs w:val="24"/>
          <w:lang w:val="en-GB"/>
        </w:rPr>
      </w:pPr>
      <w:r w:rsidRPr="000C0842">
        <w:rPr>
          <w:rFonts w:eastAsia="SimSun"/>
          <w:sz w:val="24"/>
          <w:szCs w:val="24"/>
          <w:lang w:val="en-GB"/>
        </w:rPr>
        <w:t>关于《公约》三个目标的知识和</w:t>
      </w:r>
      <w:r w:rsidRPr="000C0842">
        <w:rPr>
          <w:rFonts w:eastAsia="SimSun" w:hint="eastAsia"/>
          <w:sz w:val="24"/>
          <w:szCs w:val="24"/>
          <w:lang w:val="en-GB"/>
        </w:rPr>
        <w:t>视角以及</w:t>
      </w:r>
      <w:r w:rsidRPr="000C0842">
        <w:rPr>
          <w:rFonts w:eastAsia="SimSun"/>
          <w:sz w:val="24"/>
          <w:szCs w:val="24"/>
          <w:lang w:val="en-GB"/>
        </w:rPr>
        <w:t>传统知识，例如土著人民和</w:t>
      </w:r>
      <w:r w:rsidRPr="000C0842">
        <w:rPr>
          <w:rFonts w:eastAsia="SimSun" w:hint="eastAsia"/>
          <w:sz w:val="24"/>
          <w:szCs w:val="24"/>
          <w:lang w:val="en-GB"/>
        </w:rPr>
        <w:t>地方</w:t>
      </w:r>
      <w:r w:rsidRPr="000C0842">
        <w:rPr>
          <w:rFonts w:eastAsia="SimSun"/>
          <w:sz w:val="24"/>
          <w:szCs w:val="24"/>
          <w:lang w:val="en-GB"/>
        </w:rPr>
        <w:t>社区、妇女和青年所拥有的知识和见解。</w:t>
      </w:r>
    </w:p>
    <w:p w14:paraId="10CFBB0D"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7.</w:t>
      </w:r>
      <w:r w:rsidRPr="000C0842">
        <w:rPr>
          <w:rFonts w:eastAsia="SimSun"/>
          <w:sz w:val="24"/>
          <w:szCs w:val="24"/>
          <w:lang w:val="en-GB"/>
        </w:rPr>
        <w:tab/>
      </w:r>
      <w:r w:rsidRPr="000C0842">
        <w:rPr>
          <w:rFonts w:eastAsia="SimSun" w:hint="eastAsia"/>
          <w:sz w:val="24"/>
          <w:szCs w:val="24"/>
          <w:lang w:val="en-GB"/>
        </w:rPr>
        <w:t>咨询</w:t>
      </w:r>
      <w:r w:rsidRPr="000C0842">
        <w:rPr>
          <w:rFonts w:eastAsia="SimSun"/>
          <w:sz w:val="24"/>
          <w:szCs w:val="24"/>
          <w:lang w:val="en-GB"/>
        </w:rPr>
        <w:t>小组将从选定的专家中选出两名共同主席，一名来自发达国家，一名来自发展中国家。</w:t>
      </w:r>
    </w:p>
    <w:p w14:paraId="0C47A430"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8.</w:t>
      </w:r>
      <w:r w:rsidRPr="000C0842">
        <w:rPr>
          <w:rFonts w:eastAsia="SimSun"/>
          <w:sz w:val="24"/>
          <w:szCs w:val="24"/>
          <w:lang w:val="en-GB"/>
        </w:rPr>
        <w:tab/>
      </w:r>
      <w:r w:rsidRPr="000C0842">
        <w:rPr>
          <w:rFonts w:eastAsia="SimSun" w:hint="eastAsia"/>
          <w:sz w:val="24"/>
          <w:szCs w:val="24"/>
          <w:lang w:val="en-GB"/>
        </w:rPr>
        <w:t>科学、技术和工艺咨询附属</w:t>
      </w:r>
      <w:r w:rsidRPr="000C0842">
        <w:rPr>
          <w:rFonts w:eastAsia="SimSun"/>
          <w:sz w:val="24"/>
          <w:szCs w:val="24"/>
          <w:lang w:val="en-GB"/>
        </w:rPr>
        <w:t>机构主席、执行问题附属机构主席、</w:t>
      </w:r>
      <w:r w:rsidRPr="000C0842">
        <w:rPr>
          <w:rFonts w:eastAsia="SimSun"/>
          <w:sz w:val="24"/>
          <w:szCs w:val="24"/>
        </w:rPr>
        <w:t>关于土著人民和地方社区的</w:t>
      </w:r>
      <w:r w:rsidRPr="000C0842">
        <w:rPr>
          <w:rFonts w:eastAsia="SimSun" w:hint="eastAsia"/>
          <w:sz w:val="24"/>
          <w:szCs w:val="24"/>
          <w:lang w:val="en-GB"/>
        </w:rPr>
        <w:t>生物多样性</w:t>
      </w:r>
      <w:r w:rsidRPr="000C0842">
        <w:rPr>
          <w:rFonts w:eastAsia="SimSun"/>
          <w:sz w:val="24"/>
          <w:szCs w:val="24"/>
          <w:lang w:val="en-GB"/>
        </w:rPr>
        <w:t>公约第</w:t>
      </w:r>
      <w:r w:rsidRPr="000C0842">
        <w:rPr>
          <w:rFonts w:eastAsia="Times New Roman"/>
          <w:sz w:val="24"/>
          <w:szCs w:val="24"/>
          <w:lang w:val="en-GB"/>
        </w:rPr>
        <w:t xml:space="preserve"> 8(j)</w:t>
      </w:r>
      <w:r w:rsidRPr="000C0842">
        <w:rPr>
          <w:rFonts w:eastAsia="SimSun"/>
          <w:sz w:val="24"/>
          <w:szCs w:val="24"/>
          <w:lang w:val="en-GB"/>
        </w:rPr>
        <w:t>条和相关条款</w:t>
      </w:r>
      <w:r w:rsidRPr="000C0842">
        <w:rPr>
          <w:rFonts w:eastAsia="SimSun" w:hint="eastAsia"/>
          <w:sz w:val="24"/>
          <w:szCs w:val="24"/>
          <w:lang w:val="en-GB"/>
        </w:rPr>
        <w:t>附属机构</w:t>
      </w:r>
      <w:r w:rsidRPr="000C0842">
        <w:rPr>
          <w:rFonts w:eastAsia="SimSun"/>
          <w:sz w:val="24"/>
          <w:szCs w:val="24"/>
          <w:lang w:val="en-GB"/>
        </w:rPr>
        <w:t>可作为当然成员酌情参加</w:t>
      </w:r>
      <w:r w:rsidRPr="000C0842">
        <w:rPr>
          <w:rFonts w:eastAsia="SimSun" w:hint="eastAsia"/>
          <w:sz w:val="24"/>
          <w:szCs w:val="24"/>
          <w:lang w:val="en-GB"/>
        </w:rPr>
        <w:t>咨询</w:t>
      </w:r>
      <w:r w:rsidRPr="000C0842">
        <w:rPr>
          <w:rFonts w:eastAsia="SimSun"/>
          <w:sz w:val="24"/>
          <w:szCs w:val="24"/>
          <w:lang w:val="en-GB"/>
        </w:rPr>
        <w:t>小组会议。</w:t>
      </w:r>
      <w:r w:rsidRPr="000C0842">
        <w:rPr>
          <w:rFonts w:eastAsia="SimSun" w:hint="eastAsia"/>
          <w:sz w:val="24"/>
          <w:szCs w:val="24"/>
          <w:lang w:val="en-GB"/>
        </w:rPr>
        <w:t>咨询</w:t>
      </w:r>
      <w:r w:rsidRPr="000C0842">
        <w:rPr>
          <w:rFonts w:eastAsia="SimSun"/>
          <w:sz w:val="24"/>
          <w:szCs w:val="24"/>
          <w:lang w:val="en-GB"/>
        </w:rPr>
        <w:t>小组可酌情邀请其他专家并适当考虑到公平的区域代表性，</w:t>
      </w:r>
      <w:r w:rsidRPr="000C0842">
        <w:rPr>
          <w:rFonts w:eastAsia="SimSun" w:hint="eastAsia"/>
          <w:sz w:val="24"/>
          <w:szCs w:val="24"/>
          <w:lang w:val="en-GB"/>
        </w:rPr>
        <w:t>包括发展中国家的代表性，</w:t>
      </w:r>
      <w:r w:rsidRPr="000C0842">
        <w:rPr>
          <w:rFonts w:eastAsia="SimSun"/>
          <w:sz w:val="24"/>
          <w:szCs w:val="24"/>
          <w:lang w:val="en-GB"/>
        </w:rPr>
        <w:t>就与职权范围有关的具体问题贡献专长和经验。</w:t>
      </w:r>
    </w:p>
    <w:p w14:paraId="33728BB4"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9.</w:t>
      </w:r>
      <w:r w:rsidRPr="000C0842">
        <w:rPr>
          <w:rFonts w:eastAsia="SimSun"/>
          <w:sz w:val="24"/>
          <w:szCs w:val="24"/>
          <w:lang w:val="en-GB"/>
        </w:rPr>
        <w:tab/>
      </w:r>
      <w:r w:rsidRPr="000C0842">
        <w:rPr>
          <w:rFonts w:eastAsia="SimSun" w:hint="eastAsia"/>
          <w:sz w:val="24"/>
          <w:szCs w:val="24"/>
          <w:lang w:val="en-GB"/>
        </w:rPr>
        <w:t>咨询</w:t>
      </w:r>
      <w:r w:rsidRPr="000C0842">
        <w:rPr>
          <w:rFonts w:eastAsia="SimSun"/>
          <w:sz w:val="24"/>
          <w:szCs w:val="24"/>
          <w:lang w:val="en-GB"/>
        </w:rPr>
        <w:t>小组应主要以电子方式开展工作，并在资源允许和可能的情况下，在闭会期间至少举行两次面对面会议。</w:t>
      </w:r>
    </w:p>
    <w:p w14:paraId="4C664240"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10.</w:t>
      </w:r>
      <w:r w:rsidRPr="000C0842">
        <w:rPr>
          <w:rFonts w:eastAsia="SimSun"/>
          <w:sz w:val="24"/>
          <w:szCs w:val="24"/>
          <w:lang w:val="en-GB"/>
        </w:rPr>
        <w:tab/>
      </w:r>
      <w:r w:rsidRPr="000C0842">
        <w:rPr>
          <w:rFonts w:eastAsia="SimSun" w:hint="eastAsia"/>
          <w:sz w:val="24"/>
          <w:szCs w:val="24"/>
          <w:lang w:val="en-GB"/>
        </w:rPr>
        <w:t>咨询</w:t>
      </w:r>
      <w:r w:rsidRPr="000C0842">
        <w:rPr>
          <w:rFonts w:eastAsia="SimSun"/>
          <w:sz w:val="24"/>
          <w:szCs w:val="24"/>
          <w:lang w:val="en-GB"/>
        </w:rPr>
        <w:t>小组成立后，应向</w:t>
      </w:r>
      <w:r w:rsidRPr="000C0842">
        <w:rPr>
          <w:rFonts w:eastAsia="SimSun" w:hint="eastAsia"/>
          <w:sz w:val="24"/>
          <w:szCs w:val="24"/>
          <w:lang w:val="en-GB"/>
        </w:rPr>
        <w:t>科学、技术和工艺咨询附属</w:t>
      </w:r>
      <w:r w:rsidRPr="000C0842">
        <w:rPr>
          <w:rFonts w:eastAsia="SimSun"/>
          <w:sz w:val="24"/>
          <w:szCs w:val="24"/>
          <w:lang w:val="en-GB"/>
        </w:rPr>
        <w:t>机构主席团和缔约方大会主席团通报工作。</w:t>
      </w:r>
    </w:p>
    <w:p w14:paraId="0A0876B5"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11.</w:t>
      </w:r>
      <w:r w:rsidRPr="000C0842">
        <w:rPr>
          <w:rFonts w:eastAsia="SimSun"/>
          <w:sz w:val="24"/>
          <w:szCs w:val="24"/>
          <w:lang w:val="en-GB"/>
        </w:rPr>
        <w:tab/>
      </w:r>
      <w:r w:rsidRPr="000C0842">
        <w:rPr>
          <w:rFonts w:eastAsia="SimSun" w:hint="eastAsia"/>
          <w:sz w:val="24"/>
          <w:szCs w:val="24"/>
          <w:lang w:val="en-GB"/>
        </w:rPr>
        <w:t>咨询</w:t>
      </w:r>
      <w:r w:rsidRPr="000C0842">
        <w:rPr>
          <w:rFonts w:eastAsia="SimSun"/>
          <w:sz w:val="24"/>
          <w:szCs w:val="24"/>
          <w:lang w:val="en-GB"/>
        </w:rPr>
        <w:t>小组工作计划的时间表应遵循执行问题附属机构为全球审查制定的程序，同时注意到全球报告应分别</w:t>
      </w:r>
      <w:r w:rsidRPr="000C0842">
        <w:rPr>
          <w:rFonts w:eastAsia="SimSun" w:hint="eastAsia"/>
          <w:sz w:val="24"/>
          <w:szCs w:val="24"/>
          <w:lang w:val="en-GB"/>
        </w:rPr>
        <w:t>及时</w:t>
      </w:r>
      <w:r w:rsidRPr="000C0842">
        <w:rPr>
          <w:rFonts w:eastAsia="SimSun"/>
          <w:sz w:val="24"/>
          <w:szCs w:val="24"/>
          <w:lang w:val="en-GB"/>
        </w:rPr>
        <w:t>定稿</w:t>
      </w:r>
      <w:r w:rsidRPr="000C0842">
        <w:rPr>
          <w:rFonts w:eastAsia="SimSun" w:hint="eastAsia"/>
          <w:sz w:val="24"/>
          <w:szCs w:val="24"/>
          <w:lang w:val="en-GB"/>
        </w:rPr>
        <w:t>，供</w:t>
      </w:r>
      <w:r w:rsidRPr="000C0842">
        <w:rPr>
          <w:rFonts w:eastAsia="SimSun"/>
          <w:sz w:val="24"/>
          <w:szCs w:val="24"/>
          <w:lang w:val="en-GB"/>
        </w:rPr>
        <w:t>缔约方大会第十七届和第十九届会议审议。</w:t>
      </w:r>
    </w:p>
    <w:p w14:paraId="01BEAEFC" w14:textId="77777777" w:rsidR="000A776A" w:rsidRPr="000C0842" w:rsidRDefault="000A776A" w:rsidP="000A776A">
      <w:pPr>
        <w:tabs>
          <w:tab w:val="clear" w:pos="567"/>
          <w:tab w:val="clear" w:pos="1134"/>
          <w:tab w:val="clear" w:pos="1701"/>
          <w:tab w:val="clear" w:pos="2268"/>
        </w:tabs>
        <w:adjustRightInd w:val="0"/>
        <w:snapToGrid w:val="0"/>
        <w:spacing w:before="120" w:after="120" w:line="240" w:lineRule="atLeast"/>
        <w:ind w:left="490"/>
        <w:rPr>
          <w:rFonts w:eastAsia="SimSun"/>
          <w:sz w:val="24"/>
          <w:szCs w:val="24"/>
          <w:lang w:val="en-GB"/>
        </w:rPr>
      </w:pPr>
      <w:r w:rsidRPr="000C0842">
        <w:rPr>
          <w:rFonts w:eastAsia="SimSun" w:hint="eastAsia"/>
          <w:sz w:val="24"/>
          <w:szCs w:val="24"/>
          <w:lang w:val="en-GB"/>
        </w:rPr>
        <w:t>12.</w:t>
      </w:r>
      <w:r w:rsidRPr="000C0842">
        <w:rPr>
          <w:rFonts w:eastAsia="SimSun"/>
          <w:sz w:val="24"/>
          <w:szCs w:val="24"/>
          <w:lang w:val="en-GB"/>
        </w:rPr>
        <w:tab/>
      </w:r>
      <w:r w:rsidRPr="000C0842">
        <w:rPr>
          <w:rFonts w:eastAsia="SimSun" w:hint="eastAsia"/>
          <w:sz w:val="24"/>
          <w:szCs w:val="24"/>
          <w:lang w:val="en-GB"/>
        </w:rPr>
        <w:t>咨询</w:t>
      </w:r>
      <w:r w:rsidRPr="000C0842">
        <w:rPr>
          <w:rFonts w:eastAsia="SimSun"/>
          <w:sz w:val="24"/>
          <w:szCs w:val="24"/>
          <w:lang w:val="en-GB"/>
        </w:rPr>
        <w:t>小组应在缔约方大会第十七届会议之前举行的会议上向科学、技术和工艺咨询附属机构报告其工作。</w:t>
      </w:r>
      <w:r w:rsidRPr="000C0842">
        <w:rPr>
          <w:rFonts w:eastAsia="SimSun" w:hint="eastAsia"/>
          <w:sz w:val="24"/>
          <w:szCs w:val="24"/>
          <w:lang w:val="en-GB"/>
        </w:rPr>
        <w:t xml:space="preserve"> </w:t>
      </w:r>
    </w:p>
    <w:p w14:paraId="615480DC" w14:textId="77777777" w:rsidR="000C41A3" w:rsidRPr="000C0842" w:rsidRDefault="000C41A3">
      <w:pPr>
        <w:tabs>
          <w:tab w:val="clear" w:pos="567"/>
          <w:tab w:val="clear" w:pos="1134"/>
          <w:tab w:val="clear" w:pos="1701"/>
          <w:tab w:val="clear" w:pos="2268"/>
        </w:tabs>
        <w:jc w:val="left"/>
        <w:rPr>
          <w:rFonts w:ascii="SimSun" w:eastAsia="SimSun" w:hAnsi="SimSun" w:cs="SimSun"/>
          <w:b/>
          <w:sz w:val="24"/>
          <w:szCs w:val="24"/>
          <w:lang w:val="en-GB"/>
        </w:rPr>
      </w:pPr>
      <w:r w:rsidRPr="000C0842">
        <w:rPr>
          <w:rFonts w:ascii="SimSun" w:eastAsia="SimSun" w:hAnsi="SimSun" w:cs="SimSun"/>
          <w:b/>
          <w:sz w:val="24"/>
          <w:szCs w:val="24"/>
          <w:lang w:val="en-GB"/>
        </w:rPr>
        <w:br w:type="page"/>
      </w:r>
    </w:p>
    <w:p w14:paraId="732ADA7A" w14:textId="26CB53A4" w:rsidR="000A776A" w:rsidRPr="000C0842" w:rsidRDefault="000A776A" w:rsidP="000C41A3">
      <w:pPr>
        <w:keepNext/>
        <w:keepLines/>
        <w:tabs>
          <w:tab w:val="clear" w:pos="567"/>
          <w:tab w:val="clear" w:pos="1134"/>
          <w:tab w:val="clear" w:pos="1701"/>
          <w:tab w:val="clear" w:pos="2268"/>
        </w:tabs>
        <w:spacing w:before="240"/>
        <w:ind w:firstLine="490"/>
        <w:rPr>
          <w:rFonts w:eastAsia="SimSun"/>
          <w:lang w:val="en-GB"/>
        </w:rPr>
      </w:pPr>
      <w:r w:rsidRPr="000C0842">
        <w:rPr>
          <w:rFonts w:ascii="SimSun" w:eastAsia="SimSun" w:hAnsi="SimSun" w:cs="SimSun" w:hint="eastAsia"/>
          <w:b/>
          <w:sz w:val="24"/>
          <w:szCs w:val="24"/>
          <w:lang w:val="en-GB"/>
        </w:rPr>
        <w:t xml:space="preserve">附件四  </w:t>
      </w:r>
    </w:p>
    <w:p w14:paraId="4E0C7AAA" w14:textId="0A631F6D" w:rsidR="000A776A" w:rsidRPr="000C0842" w:rsidRDefault="000A776A" w:rsidP="000C41A3">
      <w:pPr>
        <w:keepLines/>
        <w:tabs>
          <w:tab w:val="clear" w:pos="567"/>
          <w:tab w:val="clear" w:pos="1134"/>
          <w:tab w:val="clear" w:pos="1701"/>
          <w:tab w:val="clear" w:pos="2268"/>
        </w:tabs>
        <w:spacing w:after="120"/>
        <w:ind w:left="490"/>
        <w:rPr>
          <w:b/>
          <w:bCs/>
          <w:sz w:val="24"/>
          <w:szCs w:val="24"/>
          <w:lang w:val="en-GB"/>
        </w:rPr>
      </w:pPr>
      <w:r w:rsidRPr="000C0842">
        <w:rPr>
          <w:rFonts w:ascii="SimSun" w:eastAsia="SimSun" w:hAnsi="SimSun" w:cs="SimSun" w:hint="eastAsia"/>
          <w:b/>
          <w:sz w:val="24"/>
          <w:szCs w:val="24"/>
        </w:rPr>
        <w:t>缔约方大会第十七届会议对</w:t>
      </w:r>
      <w:r w:rsidRPr="000C0842">
        <w:rPr>
          <w:rFonts w:eastAsia="SimSun"/>
          <w:b/>
          <w:bCs/>
          <w:sz w:val="24"/>
          <w:szCs w:val="24"/>
          <w:lang w:val="en-GB"/>
        </w:rPr>
        <w:t>《</w:t>
      </w:r>
      <w:r w:rsidRPr="000C0842">
        <w:rPr>
          <w:rFonts w:eastAsia="SimSun" w:hint="eastAsia"/>
          <w:b/>
          <w:bCs/>
          <w:sz w:val="24"/>
          <w:szCs w:val="24"/>
          <w:lang w:val="en-GB"/>
        </w:rPr>
        <w:t>昆明</w:t>
      </w:r>
      <w:r w:rsidRPr="000C0842">
        <w:rPr>
          <w:rFonts w:eastAsia="SimSun" w:hint="eastAsia"/>
          <w:b/>
          <w:bCs/>
          <w:sz w:val="24"/>
          <w:szCs w:val="24"/>
          <w:lang w:val="en-GB"/>
        </w:rPr>
        <w:t>-</w:t>
      </w:r>
      <w:r w:rsidRPr="000C0842">
        <w:rPr>
          <w:rFonts w:eastAsia="SimSun" w:hint="eastAsia"/>
          <w:b/>
          <w:bCs/>
          <w:sz w:val="24"/>
          <w:szCs w:val="24"/>
          <w:lang w:val="en-GB"/>
        </w:rPr>
        <w:t>蒙特利尔全球生物多样性</w:t>
      </w:r>
      <w:r w:rsidRPr="000C0842">
        <w:rPr>
          <w:rFonts w:eastAsia="SimSun"/>
          <w:b/>
          <w:bCs/>
          <w:sz w:val="24"/>
          <w:szCs w:val="24"/>
          <w:lang w:val="en-GB"/>
        </w:rPr>
        <w:t>框架》集体执行进度全球</w:t>
      </w:r>
      <w:r w:rsidRPr="000C0842">
        <w:rPr>
          <w:rFonts w:eastAsia="SimSun" w:hint="eastAsia"/>
          <w:b/>
          <w:bCs/>
          <w:sz w:val="24"/>
          <w:szCs w:val="24"/>
          <w:lang w:val="en-GB"/>
        </w:rPr>
        <w:t>审查</w:t>
      </w:r>
      <w:r w:rsidRPr="000C0842">
        <w:rPr>
          <w:rFonts w:ascii="SimSun" w:eastAsia="SimSun" w:hAnsi="SimSun" w:cs="SimSun" w:hint="eastAsia"/>
          <w:b/>
          <w:bCs/>
          <w:sz w:val="24"/>
          <w:szCs w:val="24"/>
        </w:rPr>
        <w:t>指示性时间表</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7"/>
        <w:gridCol w:w="2834"/>
      </w:tblGrid>
      <w:tr w:rsidR="000C0842" w:rsidRPr="000C0842" w14:paraId="5BB168C7" w14:textId="77777777" w:rsidTr="001F32B3">
        <w:tc>
          <w:tcPr>
            <w:tcW w:w="6237" w:type="dxa"/>
          </w:tcPr>
          <w:p w14:paraId="4FCA9C28" w14:textId="77777777" w:rsidR="000A776A" w:rsidRPr="000C0842" w:rsidRDefault="000A776A" w:rsidP="000A776A">
            <w:pPr>
              <w:keepNext/>
              <w:tabs>
                <w:tab w:val="clear" w:pos="567"/>
              </w:tabs>
              <w:spacing w:before="60" w:after="60"/>
              <w:ind w:left="36"/>
              <w:jc w:val="left"/>
              <w:rPr>
                <w:rFonts w:eastAsia="SimSun"/>
                <w:i/>
                <w:iCs/>
                <w:sz w:val="24"/>
                <w:szCs w:val="24"/>
              </w:rPr>
            </w:pPr>
            <w:r w:rsidRPr="000C0842">
              <w:rPr>
                <w:rFonts w:ascii="KaiTi" w:eastAsia="KaiTi" w:hAnsi="KaiTi" w:hint="eastAsia"/>
                <w:sz w:val="24"/>
                <w:szCs w:val="24"/>
              </w:rPr>
              <w:t>步骤</w:t>
            </w:r>
            <w:r w:rsidRPr="000C0842">
              <w:rPr>
                <w:rFonts w:ascii="KaiTi" w:eastAsia="KaiTi" w:hAnsi="KaiTi"/>
                <w:sz w:val="24"/>
                <w:szCs w:val="24"/>
              </w:rPr>
              <w:t>/</w:t>
            </w:r>
            <w:r w:rsidRPr="000C0842">
              <w:rPr>
                <w:rFonts w:ascii="KaiTi" w:eastAsia="KaiTi" w:hAnsi="KaiTi" w:hint="eastAsia"/>
                <w:sz w:val="24"/>
                <w:szCs w:val="24"/>
              </w:rPr>
              <w:t>要素</w:t>
            </w:r>
          </w:p>
        </w:tc>
        <w:tc>
          <w:tcPr>
            <w:tcW w:w="2834" w:type="dxa"/>
          </w:tcPr>
          <w:p w14:paraId="2AD5808D" w14:textId="77777777" w:rsidR="000A776A" w:rsidRPr="000C0842" w:rsidRDefault="000A776A" w:rsidP="000A776A">
            <w:pPr>
              <w:keepNext/>
              <w:tabs>
                <w:tab w:val="clear" w:pos="567"/>
              </w:tabs>
              <w:spacing w:before="60" w:after="60"/>
              <w:jc w:val="left"/>
              <w:rPr>
                <w:rFonts w:eastAsia="SimSun"/>
                <w:i/>
                <w:iCs/>
                <w:sz w:val="24"/>
                <w:szCs w:val="24"/>
              </w:rPr>
            </w:pPr>
            <w:r w:rsidRPr="000C0842">
              <w:rPr>
                <w:rFonts w:ascii="KaiTi" w:eastAsia="KaiTi" w:hAnsi="KaiTi" w:hint="eastAsia"/>
                <w:sz w:val="24"/>
                <w:szCs w:val="24"/>
              </w:rPr>
              <w:t>估计日期</w:t>
            </w:r>
          </w:p>
        </w:tc>
      </w:tr>
      <w:tr w:rsidR="000C0842" w:rsidRPr="000C0842" w14:paraId="61DC0F1D" w14:textId="77777777" w:rsidTr="001F32B3">
        <w:tc>
          <w:tcPr>
            <w:tcW w:w="9071" w:type="dxa"/>
            <w:gridSpan w:val="2"/>
          </w:tcPr>
          <w:p w14:paraId="400D860A" w14:textId="77777777" w:rsidR="000A776A" w:rsidRPr="000C0842" w:rsidRDefault="000A776A" w:rsidP="000A776A">
            <w:pPr>
              <w:tabs>
                <w:tab w:val="clear" w:pos="567"/>
              </w:tabs>
              <w:spacing w:before="60" w:after="60"/>
              <w:jc w:val="left"/>
              <w:rPr>
                <w:rFonts w:eastAsia="SimSun"/>
                <w:bCs/>
                <w:i/>
                <w:iCs/>
                <w:sz w:val="24"/>
                <w:szCs w:val="24"/>
              </w:rPr>
            </w:pPr>
            <w:r w:rsidRPr="000C0842">
              <w:rPr>
                <w:rFonts w:ascii="KaiTi" w:eastAsia="KaiTi" w:hAnsi="KaiTi"/>
                <w:sz w:val="24"/>
                <w:szCs w:val="24"/>
              </w:rPr>
              <w:t>步</w:t>
            </w:r>
            <w:r w:rsidRPr="000C0842">
              <w:rPr>
                <w:rFonts w:eastAsia="KaiTi"/>
                <w:sz w:val="24"/>
                <w:szCs w:val="24"/>
              </w:rPr>
              <w:t>骤</w:t>
            </w:r>
            <w:r w:rsidRPr="000C0842">
              <w:rPr>
                <w:rFonts w:eastAsia="KaiTi"/>
                <w:sz w:val="24"/>
                <w:szCs w:val="24"/>
              </w:rPr>
              <w:t>1</w:t>
            </w:r>
            <w:r w:rsidRPr="000C0842">
              <w:rPr>
                <w:rFonts w:eastAsia="KaiTi"/>
                <w:sz w:val="24"/>
                <w:szCs w:val="24"/>
              </w:rPr>
              <w:t>：</w:t>
            </w:r>
            <w:r w:rsidRPr="000C0842">
              <w:rPr>
                <w:rFonts w:ascii="KaiTi" w:eastAsia="KaiTi" w:hAnsi="KaiTi"/>
                <w:sz w:val="24"/>
                <w:szCs w:val="24"/>
              </w:rPr>
              <w:t>为全球报告制定附加说明的大纲</w:t>
            </w:r>
            <w:r w:rsidRPr="000C0842">
              <w:rPr>
                <w:rFonts w:ascii="KaiTi" w:eastAsia="KaiTi" w:hAnsi="KaiTi" w:hint="eastAsia"/>
                <w:sz w:val="24"/>
                <w:szCs w:val="24"/>
              </w:rPr>
              <w:t>（</w:t>
            </w:r>
            <w:r w:rsidRPr="000C0842">
              <w:rPr>
                <w:rFonts w:eastAsia="KaiTi"/>
                <w:sz w:val="24"/>
                <w:szCs w:val="24"/>
              </w:rPr>
              <w:t>准备</w:t>
            </w:r>
            <w:r w:rsidRPr="000C0842">
              <w:rPr>
                <w:rFonts w:ascii="KaiTi" w:eastAsia="KaiTi" w:hAnsi="KaiTi"/>
                <w:sz w:val="24"/>
                <w:szCs w:val="24"/>
              </w:rPr>
              <w:t>阶段</w:t>
            </w:r>
            <w:r w:rsidRPr="000C0842">
              <w:rPr>
                <w:rFonts w:ascii="KaiTi" w:eastAsia="KaiTi" w:hAnsi="KaiTi" w:hint="eastAsia"/>
                <w:sz w:val="24"/>
                <w:szCs w:val="24"/>
              </w:rPr>
              <w:t>）</w:t>
            </w:r>
          </w:p>
        </w:tc>
      </w:tr>
      <w:tr w:rsidR="000C0842" w:rsidRPr="000C0842" w14:paraId="4A72DDA5" w14:textId="77777777" w:rsidTr="001F32B3">
        <w:tc>
          <w:tcPr>
            <w:tcW w:w="6237" w:type="dxa"/>
          </w:tcPr>
          <w:p w14:paraId="523CB170" w14:textId="77777777" w:rsidR="000A776A" w:rsidRPr="000C0842" w:rsidRDefault="000A776A" w:rsidP="000A776A">
            <w:pPr>
              <w:tabs>
                <w:tab w:val="clear" w:pos="567"/>
              </w:tabs>
              <w:spacing w:before="60" w:after="60"/>
              <w:ind w:left="36"/>
              <w:jc w:val="left"/>
              <w:rPr>
                <w:rFonts w:eastAsia="SimSun"/>
                <w:sz w:val="24"/>
                <w:szCs w:val="24"/>
              </w:rPr>
            </w:pPr>
            <w:bookmarkStart w:id="127" w:name="_1fob9te" w:colFirst="0" w:colLast="0"/>
            <w:bookmarkEnd w:id="127"/>
            <w:r w:rsidRPr="000C0842">
              <w:rPr>
                <w:rFonts w:eastAsia="SimSun"/>
                <w:sz w:val="24"/>
                <w:szCs w:val="24"/>
              </w:rPr>
              <w:t>设立</w:t>
            </w:r>
            <w:r w:rsidRPr="000C0842">
              <w:rPr>
                <w:rFonts w:eastAsia="SimSun"/>
                <w:sz w:val="24"/>
                <w:szCs w:val="24"/>
                <w:lang w:val="en-GB"/>
              </w:rPr>
              <w:t>《</w:t>
            </w:r>
            <w:r w:rsidRPr="000C0842">
              <w:rPr>
                <w:rFonts w:eastAsia="SimSun" w:hint="eastAsia"/>
                <w:sz w:val="24"/>
                <w:szCs w:val="24"/>
                <w:lang w:val="en-GB"/>
              </w:rPr>
              <w:t>昆明</w:t>
            </w:r>
            <w:r w:rsidRPr="000C0842">
              <w:rPr>
                <w:rFonts w:eastAsia="SimSun" w:hint="eastAsia"/>
                <w:sz w:val="24"/>
                <w:szCs w:val="24"/>
                <w:lang w:val="en-GB"/>
              </w:rPr>
              <w:t>-</w:t>
            </w:r>
            <w:r w:rsidRPr="000C0842">
              <w:rPr>
                <w:rFonts w:eastAsia="SimSun" w:hint="eastAsia"/>
                <w:sz w:val="24"/>
                <w:szCs w:val="24"/>
                <w:lang w:val="en-GB"/>
              </w:rPr>
              <w:t>蒙特利尔全球生物多样性</w:t>
            </w:r>
            <w:r w:rsidRPr="000C0842">
              <w:rPr>
                <w:rFonts w:eastAsia="SimSun"/>
                <w:sz w:val="24"/>
                <w:szCs w:val="24"/>
                <w:lang w:val="en-GB"/>
              </w:rPr>
              <w:t>框架》集体执行进度全球报告</w:t>
            </w:r>
            <w:r w:rsidRPr="000C0842">
              <w:rPr>
                <w:rFonts w:eastAsia="SimSun"/>
                <w:sz w:val="24"/>
                <w:szCs w:val="24"/>
              </w:rPr>
              <w:t>特设科技咨询小组</w:t>
            </w:r>
          </w:p>
        </w:tc>
        <w:tc>
          <w:tcPr>
            <w:tcW w:w="2834" w:type="dxa"/>
          </w:tcPr>
          <w:p w14:paraId="7D6FF0B9"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2025</w:t>
            </w:r>
            <w:r w:rsidRPr="000C0842">
              <w:rPr>
                <w:rFonts w:eastAsia="SimSun"/>
                <w:sz w:val="24"/>
                <w:szCs w:val="24"/>
              </w:rPr>
              <w:t>年</w:t>
            </w:r>
            <w:r w:rsidRPr="000C0842">
              <w:rPr>
                <w:rFonts w:eastAsia="SimSun" w:hint="eastAsia"/>
                <w:sz w:val="24"/>
                <w:szCs w:val="24"/>
              </w:rPr>
              <w:t>4</w:t>
            </w:r>
            <w:r w:rsidRPr="000C0842">
              <w:rPr>
                <w:rFonts w:eastAsia="SimSun"/>
                <w:sz w:val="24"/>
                <w:szCs w:val="24"/>
              </w:rPr>
              <w:t>月</w:t>
            </w:r>
          </w:p>
        </w:tc>
      </w:tr>
      <w:tr w:rsidR="000C0842" w:rsidRPr="000C0842" w14:paraId="35107699" w14:textId="77777777" w:rsidTr="001F32B3">
        <w:tc>
          <w:tcPr>
            <w:tcW w:w="6237" w:type="dxa"/>
          </w:tcPr>
          <w:p w14:paraId="33ADE745" w14:textId="42FB7E5E"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 xml:space="preserve"> </w:t>
            </w:r>
            <w:r w:rsidRPr="000C0842">
              <w:rPr>
                <w:rFonts w:eastAsia="SimSun"/>
                <w:sz w:val="24"/>
                <w:szCs w:val="24"/>
              </w:rPr>
              <w:t>负责编写《昆明</w:t>
            </w:r>
            <w:r w:rsidRPr="000C0842">
              <w:rPr>
                <w:rFonts w:eastAsia="SimSun"/>
                <w:sz w:val="24"/>
                <w:szCs w:val="24"/>
              </w:rPr>
              <w:t>-</w:t>
            </w:r>
            <w:r w:rsidRPr="000C0842">
              <w:rPr>
                <w:rFonts w:eastAsia="SimSun"/>
                <w:sz w:val="24"/>
                <w:szCs w:val="24"/>
              </w:rPr>
              <w:t>蒙特利尔全球生物多样性框架》集体执行进度全球报告特设科学和技术咨询小组就全球报告附加说明</w:t>
            </w:r>
            <w:r w:rsidRPr="000C0842">
              <w:rPr>
                <w:rFonts w:eastAsia="SimSun" w:hint="eastAsia"/>
                <w:sz w:val="24"/>
                <w:szCs w:val="24"/>
              </w:rPr>
              <w:t>大纲</w:t>
            </w:r>
            <w:r w:rsidRPr="000C0842">
              <w:rPr>
                <w:rFonts w:eastAsia="SimSun"/>
                <w:sz w:val="24"/>
                <w:szCs w:val="24"/>
              </w:rPr>
              <w:t>的科学、技术和工艺方面提供指导</w:t>
            </w:r>
            <w:r w:rsidR="00997EE8" w:rsidRPr="000C0842">
              <w:rPr>
                <w:rFonts w:eastAsia="SimSun" w:hint="eastAsia"/>
                <w:sz w:val="24"/>
                <w:szCs w:val="24"/>
              </w:rPr>
              <w:t>（</w:t>
            </w:r>
            <w:r w:rsidRPr="000C0842">
              <w:rPr>
                <w:rFonts w:eastAsia="SimSun" w:hint="eastAsia"/>
                <w:sz w:val="24"/>
                <w:szCs w:val="24"/>
              </w:rPr>
              <w:t>在线</w:t>
            </w:r>
            <w:r w:rsidRPr="000C0842">
              <w:rPr>
                <w:rFonts w:eastAsia="SimSun"/>
                <w:sz w:val="24"/>
                <w:szCs w:val="24"/>
              </w:rPr>
              <w:t>会议</w:t>
            </w:r>
            <w:r w:rsidR="00997EE8" w:rsidRPr="000C0842">
              <w:rPr>
                <w:rFonts w:eastAsia="SimSun" w:hint="eastAsia"/>
                <w:sz w:val="24"/>
                <w:szCs w:val="24"/>
              </w:rPr>
              <w:t>）</w:t>
            </w:r>
          </w:p>
        </w:tc>
        <w:tc>
          <w:tcPr>
            <w:tcW w:w="2834" w:type="dxa"/>
          </w:tcPr>
          <w:p w14:paraId="318E2439"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2025</w:t>
            </w:r>
            <w:r w:rsidRPr="000C0842">
              <w:rPr>
                <w:rFonts w:eastAsia="SimSun"/>
                <w:sz w:val="24"/>
                <w:szCs w:val="24"/>
              </w:rPr>
              <w:t>年</w:t>
            </w:r>
            <w:r w:rsidRPr="000C0842">
              <w:rPr>
                <w:rFonts w:eastAsia="SimSun" w:hint="eastAsia"/>
                <w:sz w:val="24"/>
                <w:szCs w:val="24"/>
              </w:rPr>
              <w:t>5</w:t>
            </w:r>
            <w:r w:rsidRPr="000C0842">
              <w:rPr>
                <w:rFonts w:eastAsia="SimSun"/>
                <w:sz w:val="24"/>
                <w:szCs w:val="24"/>
              </w:rPr>
              <w:t>月至</w:t>
            </w:r>
            <w:r w:rsidRPr="000C0842">
              <w:rPr>
                <w:rFonts w:eastAsia="SimSun" w:hint="eastAsia"/>
                <w:sz w:val="24"/>
                <w:szCs w:val="24"/>
              </w:rPr>
              <w:t>6</w:t>
            </w:r>
            <w:r w:rsidRPr="000C0842">
              <w:rPr>
                <w:rFonts w:eastAsia="SimSun"/>
                <w:sz w:val="24"/>
                <w:szCs w:val="24"/>
              </w:rPr>
              <w:t>月</w:t>
            </w:r>
          </w:p>
        </w:tc>
      </w:tr>
      <w:tr w:rsidR="000C0842" w:rsidRPr="000C0842" w14:paraId="5350D110" w14:textId="77777777" w:rsidTr="001F32B3">
        <w:tc>
          <w:tcPr>
            <w:tcW w:w="6237" w:type="dxa"/>
          </w:tcPr>
          <w:p w14:paraId="53A2A7E5"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提供全球报告附加说明的大纲</w:t>
            </w:r>
            <w:r w:rsidRPr="000C0842">
              <w:rPr>
                <w:rFonts w:eastAsia="SimSun" w:hint="eastAsia"/>
                <w:sz w:val="24"/>
                <w:szCs w:val="24"/>
              </w:rPr>
              <w:t>，</w:t>
            </w:r>
            <w:r w:rsidRPr="000C0842">
              <w:rPr>
                <w:rFonts w:eastAsia="SimSun"/>
                <w:sz w:val="24"/>
                <w:szCs w:val="24"/>
              </w:rPr>
              <w:t>供科学、技术和工艺咨询附属机构同行</w:t>
            </w:r>
            <w:r w:rsidRPr="000C0842">
              <w:rPr>
                <w:rFonts w:eastAsia="SimSun" w:hint="eastAsia"/>
                <w:sz w:val="24"/>
                <w:szCs w:val="24"/>
              </w:rPr>
              <w:t>评议</w:t>
            </w:r>
            <w:r w:rsidRPr="000C0842">
              <w:rPr>
                <w:rFonts w:eastAsia="SimSun"/>
                <w:sz w:val="24"/>
                <w:szCs w:val="24"/>
              </w:rPr>
              <w:t>和审议</w:t>
            </w:r>
          </w:p>
        </w:tc>
        <w:tc>
          <w:tcPr>
            <w:tcW w:w="2834" w:type="dxa"/>
          </w:tcPr>
          <w:p w14:paraId="220FCDA4"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2025</w:t>
            </w:r>
            <w:r w:rsidRPr="000C0842">
              <w:rPr>
                <w:rFonts w:eastAsia="SimSun"/>
                <w:sz w:val="24"/>
                <w:szCs w:val="24"/>
              </w:rPr>
              <w:t>年</w:t>
            </w:r>
            <w:r w:rsidRPr="000C0842">
              <w:rPr>
                <w:rFonts w:eastAsia="SimSun" w:hint="eastAsia"/>
                <w:sz w:val="24"/>
                <w:szCs w:val="24"/>
              </w:rPr>
              <w:t>8</w:t>
            </w:r>
            <w:r w:rsidRPr="000C0842">
              <w:rPr>
                <w:rFonts w:eastAsia="SimSun"/>
                <w:sz w:val="24"/>
                <w:szCs w:val="24"/>
              </w:rPr>
              <w:t>月</w:t>
            </w:r>
          </w:p>
        </w:tc>
      </w:tr>
      <w:tr w:rsidR="000C0842" w:rsidRPr="000C0842" w14:paraId="6D0109E6" w14:textId="77777777" w:rsidTr="001F32B3">
        <w:tc>
          <w:tcPr>
            <w:tcW w:w="6237" w:type="dxa"/>
          </w:tcPr>
          <w:p w14:paraId="5E712D66"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hint="eastAsia"/>
                <w:sz w:val="24"/>
                <w:szCs w:val="24"/>
              </w:rPr>
              <w:t>举行</w:t>
            </w:r>
            <w:r w:rsidRPr="000C0842">
              <w:rPr>
                <w:rFonts w:eastAsia="SimSun"/>
                <w:sz w:val="24"/>
                <w:szCs w:val="24"/>
              </w:rPr>
              <w:t>次区域和</w:t>
            </w:r>
            <w:r w:rsidRPr="000C0842">
              <w:rPr>
                <w:rFonts w:eastAsia="SimSun"/>
                <w:sz w:val="24"/>
                <w:szCs w:val="24"/>
              </w:rPr>
              <w:t>/</w:t>
            </w:r>
            <w:r w:rsidRPr="000C0842">
              <w:rPr>
                <w:rFonts w:eastAsia="SimSun"/>
                <w:sz w:val="24"/>
                <w:szCs w:val="24"/>
              </w:rPr>
              <w:t>或区域对话以及可能的区域间对话，视可用资源情况而定</w:t>
            </w:r>
          </w:p>
        </w:tc>
        <w:tc>
          <w:tcPr>
            <w:tcW w:w="2834" w:type="dxa"/>
          </w:tcPr>
          <w:p w14:paraId="36E7930C"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2025</w:t>
            </w:r>
            <w:r w:rsidRPr="000C0842">
              <w:rPr>
                <w:rFonts w:eastAsia="SimSun"/>
                <w:sz w:val="24"/>
                <w:szCs w:val="24"/>
              </w:rPr>
              <w:t>年</w:t>
            </w:r>
            <w:r w:rsidRPr="000C0842">
              <w:rPr>
                <w:rFonts w:eastAsia="SimSun" w:hint="eastAsia"/>
                <w:sz w:val="24"/>
                <w:szCs w:val="24"/>
              </w:rPr>
              <w:t>5</w:t>
            </w:r>
            <w:r w:rsidRPr="000C0842">
              <w:rPr>
                <w:rFonts w:eastAsia="SimSun"/>
                <w:sz w:val="24"/>
                <w:szCs w:val="24"/>
              </w:rPr>
              <w:t>月至</w:t>
            </w:r>
            <w:r w:rsidRPr="000C0842">
              <w:rPr>
                <w:rFonts w:eastAsia="SimSun"/>
                <w:sz w:val="24"/>
                <w:szCs w:val="24"/>
              </w:rPr>
              <w:t>1</w:t>
            </w:r>
            <w:r w:rsidRPr="000C0842">
              <w:rPr>
                <w:rFonts w:eastAsia="SimSun" w:hint="eastAsia"/>
                <w:sz w:val="24"/>
                <w:szCs w:val="24"/>
              </w:rPr>
              <w:t>2</w:t>
            </w:r>
            <w:r w:rsidRPr="000C0842">
              <w:rPr>
                <w:rFonts w:eastAsia="SimSun"/>
                <w:sz w:val="24"/>
                <w:szCs w:val="24"/>
              </w:rPr>
              <w:t>月</w:t>
            </w:r>
          </w:p>
        </w:tc>
      </w:tr>
      <w:tr w:rsidR="000C0842" w:rsidRPr="000C0842" w14:paraId="7D734C6A" w14:textId="77777777" w:rsidTr="001F32B3">
        <w:tc>
          <w:tcPr>
            <w:tcW w:w="6237" w:type="dxa"/>
          </w:tcPr>
          <w:p w14:paraId="5BE5B4E3"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科学、技术和工艺咨询附属机构就</w:t>
            </w:r>
            <w:r w:rsidRPr="000C0842">
              <w:rPr>
                <w:rFonts w:eastAsia="SimSun" w:hint="eastAsia"/>
                <w:sz w:val="24"/>
                <w:szCs w:val="24"/>
              </w:rPr>
              <w:t>全球</w:t>
            </w:r>
            <w:r w:rsidRPr="000C0842">
              <w:rPr>
                <w:rFonts w:eastAsia="SimSun"/>
                <w:sz w:val="24"/>
                <w:szCs w:val="24"/>
              </w:rPr>
              <w:t>报告的科学投入提供咨询意见，包括全球报告附加说明的大纲</w:t>
            </w:r>
          </w:p>
        </w:tc>
        <w:tc>
          <w:tcPr>
            <w:tcW w:w="2834" w:type="dxa"/>
          </w:tcPr>
          <w:p w14:paraId="16595DE1" w14:textId="77777777" w:rsidR="000A776A" w:rsidRPr="000C0842" w:rsidRDefault="000A776A" w:rsidP="000A776A">
            <w:pPr>
              <w:tabs>
                <w:tab w:val="clear" w:pos="567"/>
              </w:tabs>
              <w:spacing w:before="60" w:after="60"/>
              <w:ind w:left="39"/>
              <w:jc w:val="left"/>
              <w:rPr>
                <w:rFonts w:eastAsia="SimSun"/>
                <w:bCs/>
                <w:sz w:val="24"/>
                <w:szCs w:val="24"/>
              </w:rPr>
            </w:pPr>
            <w:r w:rsidRPr="000C0842">
              <w:rPr>
                <w:rFonts w:eastAsia="SimSun"/>
                <w:bCs/>
                <w:sz w:val="24"/>
                <w:szCs w:val="24"/>
              </w:rPr>
              <w:t>2025</w:t>
            </w:r>
            <w:r w:rsidRPr="000C0842">
              <w:rPr>
                <w:rFonts w:eastAsia="SimSun"/>
                <w:bCs/>
                <w:sz w:val="24"/>
                <w:szCs w:val="24"/>
              </w:rPr>
              <w:t>年</w:t>
            </w:r>
            <w:r w:rsidRPr="000C0842">
              <w:rPr>
                <w:rFonts w:eastAsia="SimSun"/>
                <w:bCs/>
                <w:sz w:val="24"/>
                <w:szCs w:val="24"/>
              </w:rPr>
              <w:t>10</w:t>
            </w:r>
            <w:r w:rsidRPr="000C0842">
              <w:rPr>
                <w:rFonts w:eastAsia="SimSun"/>
                <w:bCs/>
                <w:sz w:val="24"/>
                <w:szCs w:val="24"/>
              </w:rPr>
              <w:t>月</w:t>
            </w:r>
          </w:p>
        </w:tc>
      </w:tr>
      <w:tr w:rsidR="000C0842" w:rsidRPr="000C0842" w14:paraId="10D94A0B" w14:textId="77777777" w:rsidTr="001F32B3">
        <w:tc>
          <w:tcPr>
            <w:tcW w:w="6237" w:type="dxa"/>
          </w:tcPr>
          <w:p w14:paraId="4B4769E1"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hint="eastAsia"/>
                <w:sz w:val="24"/>
                <w:szCs w:val="24"/>
              </w:rPr>
              <w:t>关于土著人民和地方社区的</w:t>
            </w:r>
            <w:r w:rsidRPr="000C0842">
              <w:rPr>
                <w:rFonts w:eastAsia="SimSun"/>
                <w:sz w:val="24"/>
                <w:szCs w:val="24"/>
              </w:rPr>
              <w:t>生物多样性公约第</w:t>
            </w:r>
            <w:r w:rsidRPr="000C0842">
              <w:rPr>
                <w:rFonts w:eastAsia="SimSun"/>
                <w:sz w:val="24"/>
                <w:szCs w:val="24"/>
              </w:rPr>
              <w:t>8 (j)</w:t>
            </w:r>
            <w:r w:rsidRPr="000C0842">
              <w:rPr>
                <w:rFonts w:eastAsia="SimSun"/>
                <w:sz w:val="24"/>
                <w:szCs w:val="24"/>
              </w:rPr>
              <w:t>条及相关条款问题</w:t>
            </w:r>
            <w:r w:rsidRPr="000C0842">
              <w:rPr>
                <w:rFonts w:eastAsia="SimSun" w:hint="eastAsia"/>
                <w:sz w:val="24"/>
                <w:szCs w:val="24"/>
              </w:rPr>
              <w:t>附属机构</w:t>
            </w:r>
            <w:r w:rsidRPr="000C0842">
              <w:rPr>
                <w:rFonts w:eastAsia="SimSun"/>
                <w:sz w:val="24"/>
                <w:szCs w:val="24"/>
              </w:rPr>
              <w:t>为报告提供关于传统知识投入的</w:t>
            </w:r>
            <w:r w:rsidRPr="000C0842">
              <w:rPr>
                <w:rFonts w:eastAsia="SimSun" w:hint="eastAsia"/>
                <w:sz w:val="24"/>
                <w:szCs w:val="24"/>
              </w:rPr>
              <w:t>咨询意见</w:t>
            </w:r>
          </w:p>
        </w:tc>
        <w:tc>
          <w:tcPr>
            <w:tcW w:w="2834" w:type="dxa"/>
          </w:tcPr>
          <w:p w14:paraId="0DB5C1D2" w14:textId="77777777" w:rsidR="000A776A" w:rsidRPr="000C0842" w:rsidRDefault="000A776A" w:rsidP="000A776A">
            <w:pPr>
              <w:tabs>
                <w:tab w:val="clear" w:pos="567"/>
              </w:tabs>
              <w:spacing w:before="60" w:after="60"/>
              <w:ind w:left="39"/>
              <w:jc w:val="left"/>
              <w:rPr>
                <w:rFonts w:eastAsia="SimSun"/>
                <w:bCs/>
                <w:sz w:val="24"/>
                <w:szCs w:val="24"/>
              </w:rPr>
            </w:pPr>
            <w:r w:rsidRPr="000C0842">
              <w:rPr>
                <w:rFonts w:eastAsia="SimSun"/>
                <w:bCs/>
                <w:sz w:val="24"/>
                <w:szCs w:val="24"/>
              </w:rPr>
              <w:t>2025</w:t>
            </w:r>
            <w:r w:rsidRPr="000C0842">
              <w:rPr>
                <w:rFonts w:eastAsia="SimSun"/>
                <w:bCs/>
                <w:sz w:val="24"/>
                <w:szCs w:val="24"/>
              </w:rPr>
              <w:t>年</w:t>
            </w:r>
            <w:r w:rsidRPr="000C0842">
              <w:rPr>
                <w:rFonts w:eastAsia="SimSun"/>
                <w:bCs/>
                <w:sz w:val="24"/>
                <w:szCs w:val="24"/>
              </w:rPr>
              <w:t>10</w:t>
            </w:r>
            <w:r w:rsidRPr="000C0842">
              <w:rPr>
                <w:rFonts w:eastAsia="SimSun"/>
                <w:bCs/>
                <w:sz w:val="24"/>
                <w:szCs w:val="24"/>
              </w:rPr>
              <w:t>月</w:t>
            </w:r>
          </w:p>
        </w:tc>
      </w:tr>
      <w:tr w:rsidR="000C0842" w:rsidRPr="000C0842" w14:paraId="6C106AE7" w14:textId="77777777" w:rsidTr="001F32B3">
        <w:tc>
          <w:tcPr>
            <w:tcW w:w="9071" w:type="dxa"/>
            <w:gridSpan w:val="2"/>
          </w:tcPr>
          <w:p w14:paraId="7AFA36AC" w14:textId="77777777" w:rsidR="000A776A" w:rsidRPr="000C0842" w:rsidRDefault="000A776A" w:rsidP="000A776A">
            <w:pPr>
              <w:tabs>
                <w:tab w:val="clear" w:pos="567"/>
              </w:tabs>
              <w:spacing w:before="60" w:after="60"/>
              <w:ind w:left="36"/>
              <w:jc w:val="left"/>
              <w:rPr>
                <w:rFonts w:eastAsia="SimSun"/>
                <w:bCs/>
                <w:i/>
                <w:iCs/>
                <w:sz w:val="24"/>
                <w:szCs w:val="24"/>
              </w:rPr>
            </w:pPr>
            <w:r w:rsidRPr="000C0842">
              <w:rPr>
                <w:rFonts w:ascii="KaiTi" w:eastAsia="KaiTi" w:hAnsi="KaiTi"/>
                <w:sz w:val="24"/>
                <w:szCs w:val="24"/>
              </w:rPr>
              <w:t>步骤2：</w:t>
            </w:r>
            <w:r w:rsidRPr="000C0842">
              <w:rPr>
                <w:rFonts w:ascii="KaiTi" w:eastAsia="KaiTi" w:hAnsi="KaiTi" w:hint="eastAsia"/>
                <w:sz w:val="24"/>
                <w:szCs w:val="24"/>
              </w:rPr>
              <w:t>完成全球</w:t>
            </w:r>
            <w:r w:rsidRPr="000C0842">
              <w:rPr>
                <w:rFonts w:ascii="KaiTi" w:eastAsia="KaiTi" w:hAnsi="KaiTi"/>
                <w:sz w:val="24"/>
                <w:szCs w:val="24"/>
              </w:rPr>
              <w:t>报告初稿</w:t>
            </w:r>
          </w:p>
        </w:tc>
      </w:tr>
      <w:tr w:rsidR="000C0842" w:rsidRPr="000C0842" w14:paraId="6C866784" w14:textId="77777777" w:rsidTr="001F32B3">
        <w:tc>
          <w:tcPr>
            <w:tcW w:w="6237" w:type="dxa"/>
          </w:tcPr>
          <w:p w14:paraId="4CE21B06" w14:textId="77777777" w:rsidR="000A776A" w:rsidRPr="000C0842" w:rsidRDefault="000A776A" w:rsidP="000A776A">
            <w:pPr>
              <w:tabs>
                <w:tab w:val="clear" w:pos="567"/>
              </w:tabs>
              <w:spacing w:before="60" w:after="60"/>
              <w:ind w:left="36"/>
              <w:jc w:val="left"/>
              <w:rPr>
                <w:rFonts w:eastAsia="SimSun"/>
                <w:spacing w:val="-20"/>
                <w:sz w:val="24"/>
                <w:szCs w:val="24"/>
              </w:rPr>
            </w:pPr>
            <w:r w:rsidRPr="000C0842">
              <w:rPr>
                <w:rFonts w:eastAsia="SimSun"/>
                <w:spacing w:val="-20"/>
                <w:sz w:val="24"/>
                <w:szCs w:val="24"/>
              </w:rPr>
              <w:t>编写报告所有章节的扩展大纲以及报告</w:t>
            </w:r>
            <w:r w:rsidRPr="000C0842">
              <w:rPr>
                <w:rFonts w:eastAsia="SimSun" w:hint="eastAsia"/>
                <w:spacing w:val="-20"/>
                <w:sz w:val="24"/>
                <w:szCs w:val="24"/>
              </w:rPr>
              <w:t>导言（</w:t>
            </w:r>
            <w:r w:rsidRPr="000C0842">
              <w:rPr>
                <w:rFonts w:eastAsia="SimSun"/>
                <w:spacing w:val="-20"/>
                <w:sz w:val="24"/>
                <w:szCs w:val="24"/>
              </w:rPr>
              <w:t>第</w:t>
            </w:r>
            <w:r w:rsidRPr="000C0842">
              <w:rPr>
                <w:rFonts w:eastAsia="SimSun"/>
                <w:spacing w:val="-20"/>
                <w:sz w:val="24"/>
                <w:szCs w:val="24"/>
              </w:rPr>
              <w:t>1</w:t>
            </w:r>
            <w:r w:rsidRPr="000C0842">
              <w:rPr>
                <w:rFonts w:eastAsia="SimSun"/>
                <w:spacing w:val="-20"/>
                <w:sz w:val="24"/>
                <w:szCs w:val="24"/>
              </w:rPr>
              <w:t>节</w:t>
            </w:r>
            <w:r w:rsidRPr="000C0842">
              <w:rPr>
                <w:rFonts w:eastAsia="SimSun" w:hint="eastAsia"/>
                <w:spacing w:val="-20"/>
                <w:sz w:val="24"/>
                <w:szCs w:val="24"/>
              </w:rPr>
              <w:t>）</w:t>
            </w:r>
            <w:r w:rsidRPr="000C0842">
              <w:rPr>
                <w:rFonts w:eastAsia="SimSun"/>
                <w:spacing w:val="-20"/>
                <w:sz w:val="24"/>
                <w:szCs w:val="24"/>
              </w:rPr>
              <w:t>和生物多样性现状和趋势的简明科技综述</w:t>
            </w:r>
            <w:r w:rsidRPr="000C0842">
              <w:rPr>
                <w:rFonts w:eastAsia="SimSun" w:hint="eastAsia"/>
                <w:spacing w:val="-20"/>
                <w:sz w:val="24"/>
                <w:szCs w:val="24"/>
              </w:rPr>
              <w:t>（</w:t>
            </w:r>
            <w:r w:rsidRPr="000C0842">
              <w:rPr>
                <w:rFonts w:eastAsia="SimSun"/>
                <w:spacing w:val="-20"/>
                <w:sz w:val="24"/>
                <w:szCs w:val="24"/>
              </w:rPr>
              <w:t>第</w:t>
            </w:r>
            <w:r w:rsidRPr="000C0842">
              <w:rPr>
                <w:rFonts w:eastAsia="SimSun"/>
                <w:spacing w:val="-20"/>
                <w:sz w:val="24"/>
                <w:szCs w:val="24"/>
              </w:rPr>
              <w:t>2</w:t>
            </w:r>
            <w:r w:rsidRPr="000C0842">
              <w:rPr>
                <w:rFonts w:eastAsia="SimSun"/>
                <w:spacing w:val="-20"/>
                <w:sz w:val="24"/>
                <w:szCs w:val="24"/>
              </w:rPr>
              <w:t>节</w:t>
            </w:r>
            <w:r w:rsidRPr="000C0842">
              <w:rPr>
                <w:rFonts w:eastAsia="SimSun" w:hint="eastAsia"/>
                <w:spacing w:val="-20"/>
                <w:sz w:val="24"/>
                <w:szCs w:val="24"/>
              </w:rPr>
              <w:t>）</w:t>
            </w:r>
            <w:r w:rsidRPr="000C0842">
              <w:rPr>
                <w:rFonts w:eastAsia="SimSun"/>
                <w:spacing w:val="-20"/>
                <w:sz w:val="24"/>
                <w:szCs w:val="24"/>
              </w:rPr>
              <w:t>草案</w:t>
            </w:r>
          </w:p>
        </w:tc>
        <w:tc>
          <w:tcPr>
            <w:tcW w:w="2834" w:type="dxa"/>
          </w:tcPr>
          <w:p w14:paraId="19339FCE"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1</w:t>
            </w:r>
            <w:r w:rsidRPr="000C0842">
              <w:rPr>
                <w:rFonts w:eastAsia="SimSun"/>
                <w:sz w:val="24"/>
                <w:szCs w:val="24"/>
              </w:rPr>
              <w:t>月至</w:t>
            </w:r>
            <w:r w:rsidRPr="000C0842">
              <w:rPr>
                <w:rFonts w:eastAsia="SimSun"/>
                <w:sz w:val="24"/>
                <w:szCs w:val="24"/>
              </w:rPr>
              <w:t>2</w:t>
            </w:r>
            <w:r w:rsidRPr="000C0842">
              <w:rPr>
                <w:rFonts w:eastAsia="SimSun"/>
                <w:sz w:val="24"/>
                <w:szCs w:val="24"/>
              </w:rPr>
              <w:t>月</w:t>
            </w:r>
          </w:p>
        </w:tc>
      </w:tr>
      <w:tr w:rsidR="000C0842" w:rsidRPr="000C0842" w14:paraId="19D66762" w14:textId="77777777" w:rsidTr="001F32B3">
        <w:tc>
          <w:tcPr>
            <w:tcW w:w="6237" w:type="dxa"/>
          </w:tcPr>
          <w:p w14:paraId="7B3E304E"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提交第七次国家报告的截止日期</w:t>
            </w:r>
            <w:r w:rsidRPr="000C0842">
              <w:rPr>
                <w:rFonts w:eastAsia="SimSun"/>
                <w:sz w:val="24"/>
                <w:szCs w:val="24"/>
                <w:vertAlign w:val="superscript"/>
              </w:rPr>
              <w:footnoteReference w:id="434"/>
            </w:r>
          </w:p>
        </w:tc>
        <w:tc>
          <w:tcPr>
            <w:tcW w:w="2834" w:type="dxa"/>
          </w:tcPr>
          <w:p w14:paraId="1BD01C32"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2</w:t>
            </w:r>
            <w:r w:rsidRPr="000C0842">
              <w:rPr>
                <w:rFonts w:eastAsia="SimSun"/>
                <w:sz w:val="24"/>
                <w:szCs w:val="24"/>
              </w:rPr>
              <w:t>月</w:t>
            </w:r>
            <w:r w:rsidRPr="000C0842">
              <w:rPr>
                <w:rFonts w:eastAsia="SimSun"/>
                <w:sz w:val="24"/>
                <w:szCs w:val="24"/>
              </w:rPr>
              <w:t>28</w:t>
            </w:r>
            <w:r w:rsidRPr="000C0842">
              <w:rPr>
                <w:rFonts w:eastAsia="SimSun"/>
                <w:sz w:val="24"/>
                <w:szCs w:val="24"/>
              </w:rPr>
              <w:t>日</w:t>
            </w:r>
          </w:p>
        </w:tc>
      </w:tr>
      <w:tr w:rsidR="000C0842" w:rsidRPr="000C0842" w14:paraId="5B71EA29" w14:textId="77777777" w:rsidTr="001F32B3">
        <w:tc>
          <w:tcPr>
            <w:tcW w:w="6237" w:type="dxa"/>
          </w:tcPr>
          <w:p w14:paraId="5148DD70"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咨询小组审查预稿</w:t>
            </w:r>
            <w:r w:rsidRPr="000C0842">
              <w:rPr>
                <w:rFonts w:eastAsia="SimSun" w:hint="eastAsia"/>
                <w:sz w:val="24"/>
                <w:szCs w:val="24"/>
              </w:rPr>
              <w:t>并</w:t>
            </w:r>
            <w:r w:rsidRPr="000C0842">
              <w:rPr>
                <w:rFonts w:eastAsia="SimSun"/>
                <w:sz w:val="24"/>
                <w:szCs w:val="24"/>
              </w:rPr>
              <w:t>就全球报告扩展大纲和工作计划</w:t>
            </w:r>
            <w:r w:rsidRPr="000C0842">
              <w:rPr>
                <w:rFonts w:eastAsia="SimSun" w:hint="eastAsia"/>
                <w:sz w:val="24"/>
                <w:szCs w:val="24"/>
              </w:rPr>
              <w:t>的</w:t>
            </w:r>
            <w:r w:rsidRPr="000C0842">
              <w:rPr>
                <w:rFonts w:eastAsia="SimSun"/>
                <w:sz w:val="24"/>
                <w:szCs w:val="24"/>
              </w:rPr>
              <w:t>编制提供指导</w:t>
            </w:r>
          </w:p>
        </w:tc>
        <w:tc>
          <w:tcPr>
            <w:tcW w:w="2834" w:type="dxa"/>
          </w:tcPr>
          <w:p w14:paraId="7363EC6C"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2</w:t>
            </w:r>
            <w:r w:rsidRPr="000C0842">
              <w:rPr>
                <w:rFonts w:eastAsia="SimSun"/>
                <w:sz w:val="24"/>
                <w:szCs w:val="24"/>
              </w:rPr>
              <w:t>月</w:t>
            </w:r>
            <w:r w:rsidRPr="000C0842">
              <w:rPr>
                <w:rFonts w:eastAsia="SimSun" w:hint="eastAsia"/>
                <w:sz w:val="24"/>
                <w:szCs w:val="24"/>
              </w:rPr>
              <w:t>至</w:t>
            </w:r>
            <w:r w:rsidRPr="000C0842">
              <w:rPr>
                <w:rFonts w:eastAsia="SimSun" w:hint="eastAsia"/>
                <w:sz w:val="24"/>
                <w:szCs w:val="24"/>
              </w:rPr>
              <w:t>3</w:t>
            </w:r>
            <w:r w:rsidRPr="000C0842">
              <w:rPr>
                <w:rFonts w:eastAsia="SimSun" w:hint="eastAsia"/>
                <w:sz w:val="24"/>
                <w:szCs w:val="24"/>
              </w:rPr>
              <w:t>月</w:t>
            </w:r>
          </w:p>
        </w:tc>
      </w:tr>
      <w:tr w:rsidR="000C0842" w:rsidRPr="000C0842" w14:paraId="1121D520" w14:textId="77777777" w:rsidTr="001F32B3">
        <w:tc>
          <w:tcPr>
            <w:tcW w:w="6237" w:type="dxa"/>
          </w:tcPr>
          <w:p w14:paraId="3C311BB5"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编写全球报告各章节初稿</w:t>
            </w:r>
            <w:r w:rsidRPr="000C0842">
              <w:rPr>
                <w:rFonts w:eastAsia="SimSun"/>
                <w:sz w:val="24"/>
                <w:szCs w:val="24"/>
              </w:rPr>
              <w:t xml:space="preserve"> </w:t>
            </w:r>
          </w:p>
        </w:tc>
        <w:tc>
          <w:tcPr>
            <w:tcW w:w="2834" w:type="dxa"/>
          </w:tcPr>
          <w:p w14:paraId="4300CF69"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 xml:space="preserve"> 2026</w:t>
            </w:r>
            <w:r w:rsidRPr="000C0842">
              <w:rPr>
                <w:rFonts w:eastAsia="SimSun"/>
                <w:sz w:val="24"/>
                <w:szCs w:val="24"/>
              </w:rPr>
              <w:t>年</w:t>
            </w:r>
            <w:r w:rsidRPr="000C0842">
              <w:rPr>
                <w:rFonts w:eastAsia="SimSun"/>
                <w:sz w:val="24"/>
                <w:szCs w:val="24"/>
              </w:rPr>
              <w:t>2</w:t>
            </w:r>
            <w:r w:rsidRPr="000C0842">
              <w:rPr>
                <w:rFonts w:eastAsia="SimSun"/>
                <w:sz w:val="24"/>
                <w:szCs w:val="24"/>
              </w:rPr>
              <w:t>月至</w:t>
            </w:r>
            <w:r w:rsidRPr="000C0842">
              <w:rPr>
                <w:rFonts w:eastAsia="SimSun"/>
                <w:sz w:val="24"/>
                <w:szCs w:val="24"/>
              </w:rPr>
              <w:t>5</w:t>
            </w:r>
            <w:r w:rsidRPr="000C0842">
              <w:rPr>
                <w:rFonts w:eastAsia="SimSun"/>
                <w:sz w:val="24"/>
                <w:szCs w:val="24"/>
              </w:rPr>
              <w:t>月</w:t>
            </w:r>
          </w:p>
        </w:tc>
      </w:tr>
      <w:tr w:rsidR="000C0842" w:rsidRPr="000C0842" w14:paraId="1ED9C95F" w14:textId="77777777" w:rsidTr="001F32B3">
        <w:tc>
          <w:tcPr>
            <w:tcW w:w="6237" w:type="dxa"/>
          </w:tcPr>
          <w:p w14:paraId="59F9E844"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咨询小组审查全球报告初稿的科学、技术和工艺方面</w:t>
            </w:r>
          </w:p>
        </w:tc>
        <w:tc>
          <w:tcPr>
            <w:tcW w:w="2834" w:type="dxa"/>
          </w:tcPr>
          <w:p w14:paraId="63506905"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5</w:t>
            </w:r>
            <w:r w:rsidRPr="000C0842">
              <w:rPr>
                <w:rFonts w:eastAsia="SimSun"/>
                <w:sz w:val="24"/>
                <w:szCs w:val="24"/>
              </w:rPr>
              <w:t>月</w:t>
            </w:r>
          </w:p>
        </w:tc>
      </w:tr>
      <w:tr w:rsidR="000C0842" w:rsidRPr="000C0842" w14:paraId="697A01E0" w14:textId="77777777" w:rsidTr="001F32B3">
        <w:tc>
          <w:tcPr>
            <w:tcW w:w="6237" w:type="dxa"/>
          </w:tcPr>
          <w:p w14:paraId="240F1236"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提供全球报告第二稿供</w:t>
            </w:r>
            <w:r w:rsidRPr="000C0842">
              <w:rPr>
                <w:rFonts w:eastAsia="SimSun"/>
                <w:bCs/>
                <w:sz w:val="24"/>
                <w:szCs w:val="24"/>
              </w:rPr>
              <w:t>科学、技术和工艺咨询附属机构</w:t>
            </w:r>
            <w:r w:rsidRPr="000C0842">
              <w:rPr>
                <w:rFonts w:eastAsia="SimSun"/>
                <w:sz w:val="24"/>
                <w:szCs w:val="24"/>
              </w:rPr>
              <w:t>进行同行</w:t>
            </w:r>
            <w:r w:rsidRPr="000C0842">
              <w:rPr>
                <w:rFonts w:eastAsia="SimSun" w:hint="eastAsia"/>
                <w:sz w:val="24"/>
                <w:szCs w:val="24"/>
              </w:rPr>
              <w:t>评议</w:t>
            </w:r>
            <w:r w:rsidRPr="000C0842">
              <w:rPr>
                <w:rFonts w:eastAsia="SimSun"/>
                <w:sz w:val="24"/>
                <w:szCs w:val="24"/>
              </w:rPr>
              <w:t>和审议</w:t>
            </w:r>
          </w:p>
        </w:tc>
        <w:tc>
          <w:tcPr>
            <w:tcW w:w="2834" w:type="dxa"/>
          </w:tcPr>
          <w:p w14:paraId="713A6D24"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6</w:t>
            </w:r>
            <w:r w:rsidRPr="000C0842">
              <w:rPr>
                <w:rFonts w:eastAsia="SimSun"/>
                <w:sz w:val="24"/>
                <w:szCs w:val="24"/>
              </w:rPr>
              <w:t>月</w:t>
            </w:r>
          </w:p>
        </w:tc>
      </w:tr>
      <w:tr w:rsidR="000C0842" w:rsidRPr="000C0842" w14:paraId="3624E6A1" w14:textId="77777777" w:rsidTr="001F32B3">
        <w:tc>
          <w:tcPr>
            <w:tcW w:w="6237" w:type="dxa"/>
          </w:tcPr>
          <w:p w14:paraId="08A6DBB3" w14:textId="77777777" w:rsidR="000A776A" w:rsidRPr="000C0842" w:rsidRDefault="000A776A" w:rsidP="000A776A">
            <w:pPr>
              <w:tabs>
                <w:tab w:val="clear" w:pos="567"/>
              </w:tabs>
              <w:spacing w:before="60" w:after="60"/>
              <w:ind w:left="36"/>
              <w:jc w:val="left"/>
              <w:rPr>
                <w:rFonts w:eastAsia="SimSun"/>
                <w:bCs/>
                <w:sz w:val="24"/>
                <w:szCs w:val="24"/>
              </w:rPr>
            </w:pPr>
            <w:r w:rsidRPr="000C0842">
              <w:rPr>
                <w:rFonts w:eastAsia="SimSun"/>
                <w:bCs/>
                <w:sz w:val="24"/>
                <w:szCs w:val="24"/>
              </w:rPr>
              <w:t>科学、技术和工艺咨询附属机构审查第二稿的技术方面</w:t>
            </w:r>
          </w:p>
        </w:tc>
        <w:tc>
          <w:tcPr>
            <w:tcW w:w="2834" w:type="dxa"/>
          </w:tcPr>
          <w:p w14:paraId="04471608" w14:textId="77777777" w:rsidR="000A776A" w:rsidRPr="000C0842" w:rsidRDefault="000A776A" w:rsidP="000A776A">
            <w:pPr>
              <w:tabs>
                <w:tab w:val="clear" w:pos="567"/>
              </w:tabs>
              <w:spacing w:before="60" w:after="60"/>
              <w:ind w:left="39"/>
              <w:jc w:val="left"/>
              <w:rPr>
                <w:rFonts w:eastAsia="SimSun"/>
                <w:bCs/>
                <w:sz w:val="24"/>
                <w:szCs w:val="24"/>
              </w:rPr>
            </w:pPr>
            <w:r w:rsidRPr="000C0842">
              <w:rPr>
                <w:rFonts w:eastAsia="SimSun"/>
                <w:bCs/>
                <w:sz w:val="24"/>
                <w:szCs w:val="24"/>
              </w:rPr>
              <w:t>2026</w:t>
            </w:r>
            <w:r w:rsidRPr="000C0842">
              <w:rPr>
                <w:rFonts w:eastAsia="SimSun"/>
                <w:bCs/>
                <w:sz w:val="24"/>
                <w:szCs w:val="24"/>
              </w:rPr>
              <w:t>年</w:t>
            </w:r>
            <w:r w:rsidRPr="000C0842">
              <w:rPr>
                <w:rFonts w:eastAsia="SimSun"/>
                <w:bCs/>
                <w:sz w:val="24"/>
                <w:szCs w:val="24"/>
              </w:rPr>
              <w:t>7</w:t>
            </w:r>
            <w:r w:rsidRPr="000C0842">
              <w:rPr>
                <w:rFonts w:eastAsia="SimSun"/>
                <w:bCs/>
                <w:sz w:val="24"/>
                <w:szCs w:val="24"/>
              </w:rPr>
              <w:t>月</w:t>
            </w:r>
            <w:r w:rsidRPr="000C0842">
              <w:rPr>
                <w:rFonts w:eastAsia="SimSun" w:hint="eastAsia"/>
                <w:bCs/>
                <w:sz w:val="24"/>
                <w:szCs w:val="24"/>
              </w:rPr>
              <w:t>底</w:t>
            </w:r>
          </w:p>
        </w:tc>
      </w:tr>
      <w:tr w:rsidR="000C0842" w:rsidRPr="000C0842" w14:paraId="6F09A798" w14:textId="77777777" w:rsidTr="001F32B3">
        <w:tc>
          <w:tcPr>
            <w:tcW w:w="6237" w:type="dxa"/>
          </w:tcPr>
          <w:p w14:paraId="40B09165" w14:textId="77777777" w:rsidR="000A776A" w:rsidRPr="000C0842" w:rsidRDefault="000A776A" w:rsidP="000A776A">
            <w:pPr>
              <w:tabs>
                <w:tab w:val="clear" w:pos="567"/>
              </w:tabs>
              <w:spacing w:before="60" w:after="60"/>
              <w:ind w:left="36"/>
              <w:jc w:val="left"/>
              <w:rPr>
                <w:rFonts w:eastAsia="SimSun"/>
                <w:bCs/>
                <w:sz w:val="24"/>
                <w:szCs w:val="24"/>
                <w:lang w:val="en-CA"/>
              </w:rPr>
            </w:pPr>
            <w:r w:rsidRPr="000C0842">
              <w:rPr>
                <w:rFonts w:eastAsia="SimSun"/>
                <w:bCs/>
                <w:sz w:val="24"/>
                <w:szCs w:val="24"/>
              </w:rPr>
              <w:t>在资源允许的情况下，举行非正式技术对话</w:t>
            </w:r>
          </w:p>
        </w:tc>
        <w:tc>
          <w:tcPr>
            <w:tcW w:w="2834" w:type="dxa"/>
          </w:tcPr>
          <w:p w14:paraId="50C6A08A" w14:textId="77777777" w:rsidR="000A776A" w:rsidRPr="000C0842" w:rsidRDefault="000A776A" w:rsidP="000A776A">
            <w:pPr>
              <w:tabs>
                <w:tab w:val="clear" w:pos="567"/>
              </w:tabs>
              <w:spacing w:before="60" w:after="60"/>
              <w:ind w:left="39"/>
              <w:jc w:val="left"/>
              <w:rPr>
                <w:rFonts w:eastAsia="SimSun"/>
                <w:bCs/>
                <w:sz w:val="24"/>
                <w:szCs w:val="24"/>
                <w:lang w:val="en-CA"/>
              </w:rPr>
            </w:pPr>
            <w:r w:rsidRPr="000C0842">
              <w:rPr>
                <w:rFonts w:eastAsia="SimSun"/>
                <w:bCs/>
                <w:sz w:val="24"/>
                <w:szCs w:val="24"/>
              </w:rPr>
              <w:t>2026</w:t>
            </w:r>
            <w:r w:rsidRPr="000C0842">
              <w:rPr>
                <w:rFonts w:eastAsia="SimSun"/>
                <w:bCs/>
                <w:sz w:val="24"/>
                <w:szCs w:val="24"/>
              </w:rPr>
              <w:t>年</w:t>
            </w:r>
            <w:r w:rsidRPr="000C0842">
              <w:rPr>
                <w:rFonts w:eastAsia="SimSun" w:hint="eastAsia"/>
                <w:bCs/>
                <w:sz w:val="24"/>
                <w:szCs w:val="24"/>
              </w:rPr>
              <w:t>7</w:t>
            </w:r>
            <w:r w:rsidRPr="000C0842">
              <w:rPr>
                <w:rFonts w:eastAsia="SimSun" w:hint="eastAsia"/>
                <w:bCs/>
                <w:sz w:val="24"/>
                <w:szCs w:val="24"/>
              </w:rPr>
              <w:t>月</w:t>
            </w:r>
            <w:r w:rsidRPr="000C0842">
              <w:rPr>
                <w:rFonts w:eastAsia="SimSun" w:hint="eastAsia"/>
                <w:bCs/>
                <w:sz w:val="24"/>
                <w:szCs w:val="24"/>
              </w:rPr>
              <w:t>/</w:t>
            </w:r>
            <w:r w:rsidRPr="000C0842">
              <w:rPr>
                <w:rFonts w:eastAsia="SimSun"/>
                <w:bCs/>
                <w:sz w:val="24"/>
                <w:szCs w:val="24"/>
              </w:rPr>
              <w:t>8</w:t>
            </w:r>
            <w:r w:rsidRPr="000C0842">
              <w:rPr>
                <w:rFonts w:eastAsia="SimSun"/>
                <w:bCs/>
                <w:sz w:val="24"/>
                <w:szCs w:val="24"/>
              </w:rPr>
              <w:t>月</w:t>
            </w:r>
          </w:p>
        </w:tc>
      </w:tr>
      <w:tr w:rsidR="000C0842" w:rsidRPr="000C0842" w14:paraId="1A585A53" w14:textId="77777777" w:rsidTr="001F32B3">
        <w:tc>
          <w:tcPr>
            <w:tcW w:w="6237" w:type="dxa"/>
          </w:tcPr>
          <w:p w14:paraId="606F6DC6" w14:textId="77777777" w:rsidR="000A776A" w:rsidRPr="000C0842" w:rsidRDefault="000A776A" w:rsidP="000A776A">
            <w:pPr>
              <w:tabs>
                <w:tab w:val="clear" w:pos="567"/>
              </w:tabs>
              <w:spacing w:before="60" w:after="60"/>
              <w:ind w:left="36"/>
              <w:jc w:val="left"/>
              <w:rPr>
                <w:rFonts w:eastAsia="SimSun"/>
                <w:bCs/>
                <w:sz w:val="24"/>
                <w:szCs w:val="24"/>
              </w:rPr>
            </w:pPr>
            <w:r w:rsidRPr="000C0842">
              <w:rPr>
                <w:rFonts w:eastAsia="SimSun" w:hint="eastAsia"/>
                <w:bCs/>
                <w:sz w:val="24"/>
                <w:szCs w:val="24"/>
              </w:rPr>
              <w:t>执行问题</w:t>
            </w:r>
            <w:r w:rsidRPr="000C0842">
              <w:rPr>
                <w:rFonts w:eastAsia="SimSun"/>
                <w:bCs/>
                <w:sz w:val="24"/>
                <w:szCs w:val="24"/>
              </w:rPr>
              <w:t>附属机构审查第二稿</w:t>
            </w:r>
          </w:p>
        </w:tc>
        <w:tc>
          <w:tcPr>
            <w:tcW w:w="2834" w:type="dxa"/>
          </w:tcPr>
          <w:p w14:paraId="2DD33300" w14:textId="77777777" w:rsidR="000A776A" w:rsidRPr="000C0842" w:rsidRDefault="000A776A" w:rsidP="000A776A">
            <w:pPr>
              <w:tabs>
                <w:tab w:val="clear" w:pos="567"/>
              </w:tabs>
              <w:spacing w:before="60" w:after="60"/>
              <w:ind w:left="39"/>
              <w:jc w:val="left"/>
              <w:rPr>
                <w:rFonts w:eastAsia="SimSun"/>
                <w:bCs/>
                <w:sz w:val="24"/>
                <w:szCs w:val="24"/>
              </w:rPr>
            </w:pPr>
            <w:r w:rsidRPr="000C0842">
              <w:rPr>
                <w:rFonts w:eastAsia="SimSun"/>
                <w:bCs/>
                <w:sz w:val="24"/>
                <w:szCs w:val="24"/>
              </w:rPr>
              <w:t>2026</w:t>
            </w:r>
            <w:r w:rsidRPr="000C0842">
              <w:rPr>
                <w:rFonts w:eastAsia="SimSun"/>
                <w:bCs/>
                <w:sz w:val="24"/>
                <w:szCs w:val="24"/>
              </w:rPr>
              <w:t>年</w:t>
            </w:r>
            <w:r w:rsidRPr="000C0842">
              <w:rPr>
                <w:rFonts w:eastAsia="SimSun"/>
                <w:bCs/>
                <w:sz w:val="24"/>
                <w:szCs w:val="24"/>
              </w:rPr>
              <w:t>8</w:t>
            </w:r>
            <w:r w:rsidRPr="000C0842">
              <w:rPr>
                <w:rFonts w:eastAsia="SimSun"/>
                <w:bCs/>
                <w:sz w:val="24"/>
                <w:szCs w:val="24"/>
              </w:rPr>
              <w:t>月初</w:t>
            </w:r>
          </w:p>
        </w:tc>
      </w:tr>
      <w:tr w:rsidR="000C0842" w:rsidRPr="000C0842" w14:paraId="2BD4D629" w14:textId="77777777" w:rsidTr="001F32B3">
        <w:tc>
          <w:tcPr>
            <w:tcW w:w="6237" w:type="dxa"/>
          </w:tcPr>
          <w:p w14:paraId="4A8DD507"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咨询小组为编写最后报告的科学、技术和工艺方面提供指导</w:t>
            </w:r>
          </w:p>
        </w:tc>
        <w:tc>
          <w:tcPr>
            <w:tcW w:w="2834" w:type="dxa"/>
          </w:tcPr>
          <w:p w14:paraId="3E325432" w14:textId="77777777" w:rsidR="000A776A" w:rsidRPr="000C0842" w:rsidRDefault="000A776A" w:rsidP="000A776A">
            <w:pPr>
              <w:tabs>
                <w:tab w:val="clear" w:pos="567"/>
              </w:tabs>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8</w:t>
            </w:r>
            <w:r w:rsidRPr="000C0842">
              <w:rPr>
                <w:rFonts w:eastAsia="SimSun"/>
                <w:sz w:val="24"/>
                <w:szCs w:val="24"/>
              </w:rPr>
              <w:t>月</w:t>
            </w:r>
          </w:p>
        </w:tc>
      </w:tr>
      <w:tr w:rsidR="000C0842" w:rsidRPr="000C0842" w14:paraId="76ACC32F" w14:textId="77777777" w:rsidTr="001F32B3">
        <w:tc>
          <w:tcPr>
            <w:tcW w:w="9071" w:type="dxa"/>
            <w:gridSpan w:val="2"/>
          </w:tcPr>
          <w:p w14:paraId="1F28AE20" w14:textId="77777777" w:rsidR="000A776A" w:rsidRPr="000C0842" w:rsidRDefault="000A776A" w:rsidP="000A776A">
            <w:pPr>
              <w:tabs>
                <w:tab w:val="clear" w:pos="567"/>
              </w:tabs>
              <w:spacing w:before="60" w:after="60"/>
              <w:jc w:val="left"/>
              <w:rPr>
                <w:rFonts w:eastAsia="SimSun"/>
                <w:bCs/>
                <w:i/>
                <w:iCs/>
                <w:sz w:val="24"/>
                <w:szCs w:val="24"/>
              </w:rPr>
            </w:pPr>
            <w:r w:rsidRPr="000C0842">
              <w:rPr>
                <w:rFonts w:ascii="KaiTi" w:eastAsia="KaiTi" w:hAnsi="KaiTi"/>
                <w:sz w:val="24"/>
                <w:szCs w:val="24"/>
              </w:rPr>
              <w:t>步</w:t>
            </w:r>
            <w:r w:rsidRPr="000C0842">
              <w:rPr>
                <w:rFonts w:eastAsia="KaiTi"/>
                <w:sz w:val="24"/>
                <w:szCs w:val="24"/>
              </w:rPr>
              <w:t>骤</w:t>
            </w:r>
            <w:r w:rsidRPr="000C0842">
              <w:rPr>
                <w:rFonts w:eastAsia="KaiTi"/>
                <w:sz w:val="24"/>
                <w:szCs w:val="24"/>
              </w:rPr>
              <w:t>3</w:t>
            </w:r>
            <w:r w:rsidRPr="000C0842">
              <w:rPr>
                <w:rFonts w:eastAsia="KaiTi"/>
                <w:sz w:val="24"/>
                <w:szCs w:val="24"/>
              </w:rPr>
              <w:t>：报告定</w:t>
            </w:r>
            <w:r w:rsidRPr="000C0842">
              <w:rPr>
                <w:rFonts w:ascii="KaiTi" w:eastAsia="KaiTi" w:hAnsi="KaiTi" w:hint="eastAsia"/>
                <w:sz w:val="24"/>
                <w:szCs w:val="24"/>
              </w:rPr>
              <w:t>稿</w:t>
            </w:r>
            <w:r w:rsidRPr="000C0842">
              <w:rPr>
                <w:rFonts w:ascii="KaiTi" w:eastAsia="KaiTi" w:hAnsi="KaiTi"/>
                <w:sz w:val="24"/>
                <w:szCs w:val="24"/>
              </w:rPr>
              <w:t>并为全球审查提供信息</w:t>
            </w:r>
          </w:p>
        </w:tc>
      </w:tr>
      <w:tr w:rsidR="000C0842" w:rsidRPr="000C0842" w14:paraId="7D87BAF7" w14:textId="77777777" w:rsidTr="001F32B3">
        <w:tc>
          <w:tcPr>
            <w:tcW w:w="6237" w:type="dxa"/>
          </w:tcPr>
          <w:p w14:paraId="5CC8DFCD"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报告定稿，</w:t>
            </w:r>
            <w:r w:rsidRPr="000C0842">
              <w:rPr>
                <w:rFonts w:eastAsia="SimSun" w:hint="eastAsia"/>
                <w:sz w:val="24"/>
                <w:szCs w:val="24"/>
              </w:rPr>
              <w:t>提交供</w:t>
            </w:r>
            <w:r w:rsidRPr="000C0842">
              <w:rPr>
                <w:rFonts w:eastAsia="SimSun"/>
                <w:sz w:val="24"/>
                <w:szCs w:val="24"/>
              </w:rPr>
              <w:t>翻译和</w:t>
            </w:r>
            <w:r w:rsidRPr="000C0842">
              <w:rPr>
                <w:rFonts w:eastAsia="SimSun" w:hint="eastAsia"/>
                <w:sz w:val="24"/>
                <w:szCs w:val="24"/>
              </w:rPr>
              <w:t>排版</w:t>
            </w:r>
          </w:p>
        </w:tc>
        <w:tc>
          <w:tcPr>
            <w:tcW w:w="2834" w:type="dxa"/>
          </w:tcPr>
          <w:p w14:paraId="213EB3E2" w14:textId="77777777" w:rsidR="000A776A" w:rsidRPr="000C0842" w:rsidRDefault="000A776A" w:rsidP="000A776A">
            <w:pPr>
              <w:spacing w:before="60" w:after="60"/>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8</w:t>
            </w:r>
            <w:r w:rsidRPr="000C0842">
              <w:rPr>
                <w:rFonts w:eastAsia="SimSun"/>
                <w:sz w:val="24"/>
                <w:szCs w:val="24"/>
              </w:rPr>
              <w:t>月</w:t>
            </w:r>
            <w:r w:rsidRPr="000C0842">
              <w:rPr>
                <w:rFonts w:eastAsia="SimSun"/>
                <w:sz w:val="24"/>
                <w:szCs w:val="24"/>
              </w:rPr>
              <w:t>3</w:t>
            </w:r>
            <w:r w:rsidRPr="000C0842">
              <w:rPr>
                <w:rFonts w:eastAsia="SimSun"/>
                <w:sz w:val="24"/>
                <w:szCs w:val="24"/>
              </w:rPr>
              <w:t>日至</w:t>
            </w:r>
            <w:r w:rsidRPr="000C0842">
              <w:rPr>
                <w:rFonts w:eastAsia="SimSun"/>
                <w:sz w:val="24"/>
                <w:szCs w:val="24"/>
              </w:rPr>
              <w:t>28</w:t>
            </w:r>
            <w:r w:rsidRPr="000C0842">
              <w:rPr>
                <w:rFonts w:eastAsia="SimSun"/>
                <w:sz w:val="24"/>
                <w:szCs w:val="24"/>
              </w:rPr>
              <w:t>日</w:t>
            </w:r>
          </w:p>
        </w:tc>
      </w:tr>
      <w:tr w:rsidR="000C0842" w:rsidRPr="000C0842" w14:paraId="54D9836E" w14:textId="77777777" w:rsidTr="001F32B3">
        <w:tc>
          <w:tcPr>
            <w:tcW w:w="6237" w:type="dxa"/>
          </w:tcPr>
          <w:p w14:paraId="5B1C9C13"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向缔约方和观察员提供</w:t>
            </w:r>
            <w:r w:rsidRPr="000C0842">
              <w:rPr>
                <w:rFonts w:eastAsia="SimSun" w:hint="eastAsia"/>
                <w:sz w:val="24"/>
                <w:szCs w:val="24"/>
              </w:rPr>
              <w:t>结论</w:t>
            </w:r>
          </w:p>
        </w:tc>
        <w:tc>
          <w:tcPr>
            <w:tcW w:w="2834" w:type="dxa"/>
          </w:tcPr>
          <w:p w14:paraId="739C78F7" w14:textId="77777777" w:rsidR="000A776A" w:rsidRPr="000C0842" w:rsidRDefault="000A776A" w:rsidP="000A776A">
            <w:pPr>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9</w:t>
            </w:r>
            <w:r w:rsidRPr="000C0842">
              <w:rPr>
                <w:rFonts w:eastAsia="SimSun"/>
                <w:sz w:val="24"/>
                <w:szCs w:val="24"/>
              </w:rPr>
              <w:t>月</w:t>
            </w:r>
            <w:r w:rsidRPr="000C0842">
              <w:rPr>
                <w:rFonts w:eastAsia="SimSun"/>
                <w:sz w:val="24"/>
                <w:szCs w:val="24"/>
              </w:rPr>
              <w:t>7</w:t>
            </w:r>
            <w:r w:rsidRPr="000C0842">
              <w:rPr>
                <w:rFonts w:eastAsia="SimSun"/>
                <w:sz w:val="24"/>
                <w:szCs w:val="24"/>
              </w:rPr>
              <w:t>日</w:t>
            </w:r>
          </w:p>
        </w:tc>
      </w:tr>
      <w:tr w:rsidR="000C0842" w:rsidRPr="000C0842" w14:paraId="03C28CF8" w14:textId="77777777" w:rsidTr="001F32B3">
        <w:tc>
          <w:tcPr>
            <w:tcW w:w="6237" w:type="dxa"/>
          </w:tcPr>
          <w:p w14:paraId="3793FBC9" w14:textId="77777777" w:rsidR="000A776A" w:rsidRPr="000C0842" w:rsidRDefault="000A776A" w:rsidP="000A776A">
            <w:pPr>
              <w:tabs>
                <w:tab w:val="clear" w:pos="567"/>
              </w:tabs>
              <w:spacing w:before="60" w:after="60"/>
              <w:ind w:left="36"/>
              <w:jc w:val="left"/>
              <w:rPr>
                <w:rFonts w:eastAsia="SimSun"/>
                <w:sz w:val="24"/>
                <w:szCs w:val="24"/>
              </w:rPr>
            </w:pPr>
            <w:r w:rsidRPr="000C0842">
              <w:rPr>
                <w:rFonts w:eastAsia="SimSun"/>
                <w:sz w:val="24"/>
                <w:szCs w:val="24"/>
              </w:rPr>
              <w:t>向缔约方和观察员提供报告全文</w:t>
            </w:r>
          </w:p>
        </w:tc>
        <w:tc>
          <w:tcPr>
            <w:tcW w:w="2834" w:type="dxa"/>
          </w:tcPr>
          <w:p w14:paraId="432F2C48" w14:textId="77777777" w:rsidR="000A776A" w:rsidRPr="000C0842" w:rsidRDefault="000A776A" w:rsidP="000A776A">
            <w:pPr>
              <w:spacing w:before="60" w:after="60"/>
              <w:ind w:left="39"/>
              <w:jc w:val="left"/>
              <w:rPr>
                <w:rFonts w:eastAsia="SimSun"/>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9</w:t>
            </w:r>
            <w:r w:rsidRPr="000C0842">
              <w:rPr>
                <w:rFonts w:eastAsia="SimSun"/>
                <w:sz w:val="24"/>
                <w:szCs w:val="24"/>
              </w:rPr>
              <w:t>月</w:t>
            </w:r>
            <w:r w:rsidRPr="000C0842">
              <w:rPr>
                <w:rFonts w:eastAsia="SimSun"/>
                <w:sz w:val="24"/>
                <w:szCs w:val="24"/>
              </w:rPr>
              <w:t>21</w:t>
            </w:r>
            <w:r w:rsidRPr="000C0842">
              <w:rPr>
                <w:rFonts w:eastAsia="SimSun"/>
                <w:sz w:val="24"/>
                <w:szCs w:val="24"/>
              </w:rPr>
              <w:t>日</w:t>
            </w:r>
          </w:p>
        </w:tc>
      </w:tr>
      <w:tr w:rsidR="000C0842" w:rsidRPr="000C0842" w14:paraId="036F0015" w14:textId="77777777" w:rsidTr="001F32B3">
        <w:tc>
          <w:tcPr>
            <w:tcW w:w="6237" w:type="dxa"/>
          </w:tcPr>
          <w:p w14:paraId="59A6AC28" w14:textId="77777777" w:rsidR="000A776A" w:rsidRPr="000C0842" w:rsidRDefault="000A776A" w:rsidP="000A776A">
            <w:pPr>
              <w:tabs>
                <w:tab w:val="clear" w:pos="567"/>
              </w:tabs>
              <w:spacing w:before="60" w:after="60"/>
              <w:ind w:left="36"/>
              <w:jc w:val="left"/>
              <w:rPr>
                <w:rFonts w:eastAsia="SimSun"/>
                <w:bCs/>
                <w:sz w:val="24"/>
                <w:szCs w:val="24"/>
              </w:rPr>
            </w:pPr>
            <w:r w:rsidRPr="000C0842">
              <w:rPr>
                <w:rFonts w:eastAsia="SimSun"/>
                <w:sz w:val="24"/>
                <w:szCs w:val="24"/>
              </w:rPr>
              <w:t>公布报告</w:t>
            </w:r>
          </w:p>
        </w:tc>
        <w:tc>
          <w:tcPr>
            <w:tcW w:w="2834" w:type="dxa"/>
          </w:tcPr>
          <w:p w14:paraId="6A275EDC" w14:textId="77777777" w:rsidR="000A776A" w:rsidRPr="000C0842" w:rsidRDefault="000A776A" w:rsidP="000A776A">
            <w:pPr>
              <w:spacing w:before="60" w:after="60"/>
              <w:ind w:left="39"/>
              <w:jc w:val="left"/>
              <w:rPr>
                <w:rFonts w:eastAsia="SimSun"/>
                <w:bCs/>
                <w:sz w:val="24"/>
                <w:szCs w:val="24"/>
              </w:rPr>
            </w:pPr>
            <w:r w:rsidRPr="000C0842">
              <w:rPr>
                <w:rFonts w:eastAsia="SimSun"/>
                <w:sz w:val="24"/>
                <w:szCs w:val="24"/>
              </w:rPr>
              <w:t>2026</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19</w:t>
            </w:r>
            <w:r w:rsidRPr="000C0842">
              <w:rPr>
                <w:rFonts w:eastAsia="SimSun"/>
                <w:sz w:val="24"/>
                <w:szCs w:val="24"/>
              </w:rPr>
              <w:t>日</w:t>
            </w:r>
          </w:p>
        </w:tc>
      </w:tr>
      <w:tr w:rsidR="000A776A" w:rsidRPr="000C0842" w14:paraId="60B830EA" w14:textId="77777777" w:rsidTr="001F32B3">
        <w:tc>
          <w:tcPr>
            <w:tcW w:w="6237" w:type="dxa"/>
          </w:tcPr>
          <w:p w14:paraId="5462D728" w14:textId="77777777" w:rsidR="000A776A" w:rsidRPr="000C0842" w:rsidRDefault="000A776A" w:rsidP="000A776A">
            <w:pPr>
              <w:tabs>
                <w:tab w:val="clear" w:pos="567"/>
              </w:tabs>
              <w:spacing w:before="60" w:after="60"/>
              <w:ind w:left="36"/>
              <w:jc w:val="left"/>
              <w:rPr>
                <w:rFonts w:eastAsia="SimSun"/>
                <w:bCs/>
                <w:sz w:val="24"/>
                <w:szCs w:val="24"/>
              </w:rPr>
            </w:pPr>
            <w:r w:rsidRPr="000C0842">
              <w:rPr>
                <w:rFonts w:eastAsia="SimSun"/>
                <w:bCs/>
                <w:sz w:val="24"/>
                <w:szCs w:val="24"/>
              </w:rPr>
              <w:t>缔约方大会第十七</w:t>
            </w:r>
            <w:r w:rsidRPr="000C0842">
              <w:rPr>
                <w:rFonts w:eastAsia="SimSun" w:hint="eastAsia"/>
                <w:bCs/>
                <w:sz w:val="24"/>
                <w:szCs w:val="24"/>
              </w:rPr>
              <w:t>届</w:t>
            </w:r>
            <w:r w:rsidRPr="000C0842">
              <w:rPr>
                <w:rFonts w:eastAsia="SimSun"/>
                <w:bCs/>
                <w:sz w:val="24"/>
                <w:szCs w:val="24"/>
              </w:rPr>
              <w:t>会议开展全球审查</w:t>
            </w:r>
          </w:p>
        </w:tc>
        <w:tc>
          <w:tcPr>
            <w:tcW w:w="2834" w:type="dxa"/>
          </w:tcPr>
          <w:p w14:paraId="6EE4F5D7" w14:textId="77777777" w:rsidR="000A776A" w:rsidRPr="000C0842" w:rsidRDefault="000A776A" w:rsidP="00893A90">
            <w:pPr>
              <w:tabs>
                <w:tab w:val="clear" w:pos="567"/>
              </w:tabs>
              <w:spacing w:before="60" w:after="60"/>
              <w:ind w:left="39"/>
              <w:jc w:val="left"/>
              <w:rPr>
                <w:rFonts w:eastAsia="SimSun"/>
                <w:bCs/>
                <w:spacing w:val="12"/>
                <w:sz w:val="24"/>
                <w:szCs w:val="24"/>
              </w:rPr>
            </w:pPr>
            <w:r w:rsidRPr="000C0842">
              <w:rPr>
                <w:rFonts w:eastAsia="SimSun"/>
                <w:bCs/>
                <w:spacing w:val="12"/>
                <w:sz w:val="24"/>
                <w:szCs w:val="24"/>
              </w:rPr>
              <w:t>2026</w:t>
            </w:r>
            <w:r w:rsidRPr="000C0842">
              <w:rPr>
                <w:rFonts w:eastAsia="SimSun"/>
                <w:bCs/>
                <w:spacing w:val="12"/>
                <w:sz w:val="24"/>
                <w:szCs w:val="24"/>
              </w:rPr>
              <w:t>年</w:t>
            </w:r>
            <w:r w:rsidRPr="000C0842">
              <w:rPr>
                <w:rFonts w:eastAsia="SimSun"/>
                <w:bCs/>
                <w:spacing w:val="12"/>
                <w:sz w:val="24"/>
                <w:szCs w:val="24"/>
              </w:rPr>
              <w:t>10</w:t>
            </w:r>
            <w:r w:rsidRPr="000C0842">
              <w:rPr>
                <w:rFonts w:eastAsia="SimSun"/>
                <w:bCs/>
                <w:spacing w:val="12"/>
                <w:sz w:val="24"/>
                <w:szCs w:val="24"/>
              </w:rPr>
              <w:t>月</w:t>
            </w:r>
            <w:r w:rsidRPr="000C0842">
              <w:rPr>
                <w:rFonts w:eastAsia="SimSun"/>
                <w:bCs/>
                <w:spacing w:val="12"/>
                <w:sz w:val="24"/>
                <w:szCs w:val="24"/>
              </w:rPr>
              <w:t>19</w:t>
            </w:r>
            <w:r w:rsidRPr="000C0842">
              <w:rPr>
                <w:rFonts w:eastAsia="SimSun"/>
                <w:bCs/>
                <w:spacing w:val="12"/>
                <w:sz w:val="24"/>
                <w:szCs w:val="24"/>
              </w:rPr>
              <w:t>日至</w:t>
            </w:r>
            <w:r w:rsidRPr="000C0842">
              <w:rPr>
                <w:rFonts w:eastAsia="SimSun"/>
                <w:bCs/>
                <w:spacing w:val="12"/>
                <w:sz w:val="24"/>
                <w:szCs w:val="24"/>
              </w:rPr>
              <w:t>31</w:t>
            </w:r>
            <w:r w:rsidRPr="000C0842">
              <w:rPr>
                <w:rFonts w:eastAsia="SimSun"/>
                <w:bCs/>
                <w:spacing w:val="12"/>
                <w:sz w:val="24"/>
                <w:szCs w:val="24"/>
              </w:rPr>
              <w:t>日</w:t>
            </w:r>
          </w:p>
        </w:tc>
      </w:tr>
    </w:tbl>
    <w:p w14:paraId="15396BEF" w14:textId="77777777" w:rsidR="000A776A" w:rsidRPr="000C0842" w:rsidRDefault="000A776A" w:rsidP="00F063EC">
      <w:pPr>
        <w:tabs>
          <w:tab w:val="left" w:pos="2835"/>
          <w:tab w:val="left" w:pos="3402"/>
        </w:tabs>
        <w:spacing w:after="120"/>
        <w:rPr>
          <w:rFonts w:eastAsia="SimSun"/>
        </w:rPr>
      </w:pPr>
    </w:p>
    <w:p w14:paraId="5EC1CEFE" w14:textId="38B82390" w:rsidR="000A776A" w:rsidRPr="000C0842" w:rsidRDefault="000A776A">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055AC70F" w14:textId="4917551C" w:rsidR="000A776A" w:rsidRPr="000C0842" w:rsidRDefault="000A776A" w:rsidP="002437E6">
      <w:pPr>
        <w:pStyle w:val="a1"/>
        <w:rPr>
          <w:rFonts w:hint="eastAsia"/>
          <w:lang w:eastAsia="zh-CN"/>
        </w:rPr>
      </w:pPr>
      <w:bookmarkStart w:id="128" w:name="_Toc206358230"/>
      <w:r w:rsidRPr="000C0842">
        <w:rPr>
          <w:lang w:eastAsia="zh-CN"/>
        </w:rPr>
        <w:t>16/33.</w:t>
      </w:r>
      <w:r w:rsidR="00893A90" w:rsidRPr="000C0842">
        <w:rPr>
          <w:rFonts w:hint="eastAsia"/>
          <w:lang w:eastAsia="zh-CN"/>
        </w:rPr>
        <w:t xml:space="preserve"> </w:t>
      </w:r>
      <w:r w:rsidRPr="000C0842">
        <w:rPr>
          <w:lang w:eastAsia="zh-CN"/>
        </w:rPr>
        <w:t>财务机制</w:t>
      </w:r>
      <w:bookmarkEnd w:id="128"/>
    </w:p>
    <w:p w14:paraId="069333F7" w14:textId="77777777" w:rsidR="000A776A" w:rsidRPr="000C0842" w:rsidRDefault="000A776A" w:rsidP="000C41A3">
      <w:pPr>
        <w:tabs>
          <w:tab w:val="clear" w:pos="567"/>
          <w:tab w:val="clear" w:pos="1134"/>
          <w:tab w:val="clear" w:pos="1701"/>
          <w:tab w:val="clear" w:pos="2268"/>
        </w:tabs>
        <w:spacing w:before="240" w:after="120"/>
        <w:ind w:left="490" w:firstLine="490"/>
        <w:rPr>
          <w:rFonts w:eastAsia="SimSun"/>
          <w:sz w:val="24"/>
          <w:szCs w:val="24"/>
        </w:rPr>
      </w:pPr>
      <w:r w:rsidRPr="000C0842">
        <w:rPr>
          <w:rFonts w:eastAsia="KaiTi"/>
          <w:sz w:val="24"/>
          <w:szCs w:val="24"/>
          <w:lang w:val="en-GB"/>
        </w:rPr>
        <w:t>缔约方大会</w:t>
      </w:r>
      <w:r w:rsidRPr="000C0842">
        <w:rPr>
          <w:rFonts w:eastAsia="SimSun"/>
          <w:sz w:val="24"/>
          <w:szCs w:val="24"/>
          <w:lang w:val="en-GB"/>
        </w:rPr>
        <w:t>，</w:t>
      </w:r>
      <w:r w:rsidRPr="000C0842">
        <w:rPr>
          <w:rFonts w:eastAsia="SimSun" w:hint="eastAsia"/>
          <w:sz w:val="24"/>
          <w:szCs w:val="24"/>
          <w:lang w:val="en-GB"/>
        </w:rPr>
        <w:t xml:space="preserve"> </w:t>
      </w:r>
    </w:p>
    <w:p w14:paraId="583D2FF8"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重申</w:t>
      </w:r>
      <w:r w:rsidRPr="000C0842">
        <w:rPr>
          <w:rFonts w:eastAsia="SimSun" w:hint="eastAsia"/>
          <w:sz w:val="24"/>
          <w:szCs w:val="24"/>
          <w:lang w:val="en-GB"/>
        </w:rPr>
        <w:t>应</w:t>
      </w:r>
      <w:r w:rsidRPr="000C0842">
        <w:rPr>
          <w:rFonts w:eastAsia="SimSun"/>
          <w:sz w:val="24"/>
          <w:szCs w:val="24"/>
          <w:lang w:val="en-GB"/>
        </w:rPr>
        <w:t>充分</w:t>
      </w:r>
      <w:r w:rsidRPr="000C0842">
        <w:rPr>
          <w:rFonts w:eastAsia="SimSun" w:hint="eastAsia"/>
          <w:sz w:val="24"/>
          <w:szCs w:val="24"/>
          <w:lang w:val="en-GB"/>
        </w:rPr>
        <w:t>适用</w:t>
      </w:r>
      <w:r w:rsidRPr="000C0842">
        <w:rPr>
          <w:rFonts w:eastAsia="SimSun"/>
          <w:sz w:val="24"/>
          <w:szCs w:val="24"/>
          <w:lang w:val="en-GB"/>
        </w:rPr>
        <w:t>《生物多样性公约》</w:t>
      </w:r>
      <w:r w:rsidRPr="000C0842">
        <w:rPr>
          <w:rFonts w:eastAsia="SimSun"/>
          <w:sz w:val="24"/>
          <w:szCs w:val="24"/>
          <w:vertAlign w:val="superscript"/>
          <w:lang w:val="en-GB"/>
        </w:rPr>
        <w:footnoteReference w:id="435"/>
      </w:r>
      <w:r w:rsidRPr="000C0842">
        <w:rPr>
          <w:rFonts w:eastAsia="SimSun"/>
          <w:sz w:val="24"/>
          <w:szCs w:val="24"/>
          <w:lang w:val="en-GB"/>
        </w:rPr>
        <w:t xml:space="preserve"> </w:t>
      </w:r>
      <w:r w:rsidRPr="000C0842">
        <w:rPr>
          <w:rFonts w:eastAsia="SimSun"/>
          <w:sz w:val="24"/>
          <w:szCs w:val="24"/>
          <w:lang w:val="en-GB"/>
        </w:rPr>
        <w:t>第</w:t>
      </w:r>
      <w:hyperlink r:id="rId310" w:history="1">
        <w:r w:rsidRPr="000C0842">
          <w:rPr>
            <w:rFonts w:eastAsia="SimSun"/>
            <w:sz w:val="24"/>
            <w:szCs w:val="24"/>
            <w:u w:val="single"/>
            <w:lang w:val="en-GB"/>
          </w:rPr>
          <w:t>2</w:t>
        </w:r>
        <w:r w:rsidRPr="000C0842">
          <w:rPr>
            <w:rFonts w:eastAsia="SimSun" w:hint="eastAsia"/>
            <w:sz w:val="24"/>
            <w:szCs w:val="24"/>
            <w:u w:val="single"/>
            <w:lang w:val="en-GB"/>
          </w:rPr>
          <w:t>0</w:t>
        </w:r>
      </w:hyperlink>
      <w:r w:rsidRPr="000C0842">
        <w:rPr>
          <w:rFonts w:eastAsia="SimSun"/>
          <w:sz w:val="24"/>
          <w:szCs w:val="24"/>
          <w:lang w:val="en-GB"/>
        </w:rPr>
        <w:t>条所</w:t>
      </w:r>
      <w:r w:rsidRPr="000C0842">
        <w:rPr>
          <w:rFonts w:eastAsia="SimSun" w:hint="eastAsia"/>
          <w:sz w:val="24"/>
          <w:szCs w:val="24"/>
          <w:lang w:val="en-GB"/>
        </w:rPr>
        <w:t>列</w:t>
      </w:r>
      <w:r w:rsidRPr="000C0842">
        <w:rPr>
          <w:rFonts w:eastAsia="SimSun"/>
          <w:sz w:val="24"/>
          <w:szCs w:val="24"/>
          <w:lang w:val="en-GB"/>
        </w:rPr>
        <w:t>规定，</w:t>
      </w:r>
      <w:r w:rsidRPr="000C0842">
        <w:rPr>
          <w:rFonts w:eastAsia="SimSun" w:hint="eastAsia"/>
          <w:sz w:val="24"/>
          <w:szCs w:val="24"/>
          <w:lang w:val="en-GB"/>
        </w:rPr>
        <w:t>特别是第</w:t>
      </w:r>
      <w:r w:rsidRPr="000C0842">
        <w:rPr>
          <w:rFonts w:eastAsia="SimSun" w:hint="eastAsia"/>
          <w:sz w:val="24"/>
          <w:szCs w:val="24"/>
          <w:lang w:val="en-GB"/>
        </w:rPr>
        <w:t>2</w:t>
      </w:r>
      <w:r w:rsidRPr="000C0842">
        <w:rPr>
          <w:rFonts w:eastAsia="SimSun" w:hint="eastAsia"/>
          <w:sz w:val="24"/>
          <w:szCs w:val="24"/>
          <w:lang w:val="en-GB"/>
        </w:rPr>
        <w:t>款和第</w:t>
      </w:r>
      <w:r w:rsidRPr="000C0842">
        <w:rPr>
          <w:rFonts w:eastAsia="SimSun" w:hint="eastAsia"/>
          <w:sz w:val="24"/>
          <w:szCs w:val="24"/>
          <w:lang w:val="en-GB"/>
        </w:rPr>
        <w:t>3</w:t>
      </w:r>
      <w:r w:rsidRPr="000C0842">
        <w:rPr>
          <w:rFonts w:eastAsia="SimSun" w:hint="eastAsia"/>
          <w:sz w:val="24"/>
          <w:szCs w:val="24"/>
          <w:lang w:val="en-GB"/>
        </w:rPr>
        <w:t>款，</w:t>
      </w:r>
      <w:r w:rsidRPr="000C0842">
        <w:rPr>
          <w:rFonts w:eastAsia="SimSun"/>
          <w:sz w:val="24"/>
          <w:szCs w:val="24"/>
          <w:lang w:val="en-GB"/>
        </w:rPr>
        <w:t>第</w:t>
      </w:r>
      <w:hyperlink r:id="rId311" w:history="1">
        <w:r w:rsidRPr="000C0842">
          <w:rPr>
            <w:rFonts w:eastAsia="SimSun"/>
            <w:sz w:val="24"/>
            <w:szCs w:val="24"/>
            <w:u w:val="single"/>
            <w:lang w:val="en-GB"/>
          </w:rPr>
          <w:t>2</w:t>
        </w:r>
        <w:r w:rsidRPr="000C0842">
          <w:rPr>
            <w:rFonts w:eastAsia="SimSun" w:hint="eastAsia"/>
            <w:sz w:val="24"/>
            <w:szCs w:val="24"/>
            <w:u w:val="single"/>
            <w:lang w:val="en-GB"/>
          </w:rPr>
          <w:t>1</w:t>
        </w:r>
      </w:hyperlink>
      <w:r w:rsidRPr="000C0842">
        <w:rPr>
          <w:rFonts w:eastAsia="SimSun"/>
          <w:sz w:val="24"/>
          <w:szCs w:val="24"/>
          <w:lang w:val="en-GB"/>
        </w:rPr>
        <w:t>条所</w:t>
      </w:r>
      <w:r w:rsidRPr="000C0842">
        <w:rPr>
          <w:rFonts w:eastAsia="SimSun" w:hint="eastAsia"/>
          <w:sz w:val="24"/>
          <w:szCs w:val="24"/>
          <w:lang w:val="en-GB"/>
        </w:rPr>
        <w:t>列</w:t>
      </w:r>
      <w:r w:rsidRPr="000C0842">
        <w:rPr>
          <w:rFonts w:eastAsia="SimSun"/>
          <w:sz w:val="24"/>
          <w:szCs w:val="24"/>
          <w:lang w:val="en-GB"/>
        </w:rPr>
        <w:t>规定，</w:t>
      </w:r>
      <w:r w:rsidRPr="000C0842">
        <w:rPr>
          <w:rFonts w:eastAsia="SimSun" w:hint="eastAsia"/>
          <w:sz w:val="24"/>
          <w:szCs w:val="24"/>
          <w:lang w:val="en-GB"/>
        </w:rPr>
        <w:t>特别是第</w:t>
      </w:r>
      <w:r w:rsidRPr="000C0842">
        <w:rPr>
          <w:rFonts w:eastAsia="SimSun" w:hint="eastAsia"/>
          <w:sz w:val="24"/>
          <w:szCs w:val="24"/>
          <w:lang w:val="en-GB"/>
        </w:rPr>
        <w:t>1</w:t>
      </w:r>
      <w:r w:rsidRPr="000C0842">
        <w:rPr>
          <w:rFonts w:eastAsia="SimSun" w:hint="eastAsia"/>
          <w:sz w:val="24"/>
          <w:szCs w:val="24"/>
          <w:lang w:val="en-GB"/>
        </w:rPr>
        <w:t>款和第</w:t>
      </w:r>
      <w:r w:rsidRPr="000C0842">
        <w:rPr>
          <w:rFonts w:eastAsia="SimSun" w:hint="eastAsia"/>
          <w:sz w:val="24"/>
          <w:szCs w:val="24"/>
          <w:lang w:val="en-GB"/>
        </w:rPr>
        <w:t>3</w:t>
      </w:r>
      <w:r w:rsidRPr="000C0842">
        <w:rPr>
          <w:rFonts w:eastAsia="SimSun" w:hint="eastAsia"/>
          <w:sz w:val="24"/>
          <w:szCs w:val="24"/>
          <w:lang w:val="en-GB"/>
        </w:rPr>
        <w:t>款，</w:t>
      </w:r>
      <w:r w:rsidRPr="000C0842">
        <w:rPr>
          <w:rFonts w:eastAsia="SimSun"/>
          <w:sz w:val="24"/>
          <w:szCs w:val="24"/>
          <w:lang w:val="en-GB"/>
        </w:rPr>
        <w:t>使所有符合条件的缔约方均可利用财务机制来充分执行《公约》，</w:t>
      </w:r>
    </w:p>
    <w:p w14:paraId="3E662180"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欢迎</w:t>
      </w:r>
      <w:r w:rsidRPr="000C0842">
        <w:rPr>
          <w:rFonts w:eastAsia="SimSun"/>
          <w:sz w:val="24"/>
          <w:szCs w:val="24"/>
          <w:lang w:val="en-GB"/>
        </w:rPr>
        <w:t>全球环境基金作为</w:t>
      </w:r>
      <w:r w:rsidRPr="000C0842">
        <w:rPr>
          <w:rFonts w:eastAsia="SimSun" w:hint="eastAsia"/>
          <w:sz w:val="24"/>
          <w:szCs w:val="24"/>
          <w:lang w:val="en-GB"/>
        </w:rPr>
        <w:t>临时</w:t>
      </w:r>
      <w:r w:rsidRPr="000C0842">
        <w:rPr>
          <w:rFonts w:eastAsia="SimSun"/>
          <w:sz w:val="24"/>
          <w:szCs w:val="24"/>
          <w:lang w:val="en-GB"/>
        </w:rPr>
        <w:t>和持续运行《公约》财务机制的</w:t>
      </w:r>
      <w:r w:rsidRPr="000C0842">
        <w:rPr>
          <w:rFonts w:eastAsia="SimSun" w:hint="eastAsia"/>
          <w:sz w:val="24"/>
          <w:szCs w:val="24"/>
          <w:lang w:val="en-GB"/>
        </w:rPr>
        <w:t>体制</w:t>
      </w:r>
      <w:r w:rsidRPr="000C0842">
        <w:rPr>
          <w:rFonts w:eastAsia="SimSun"/>
          <w:sz w:val="24"/>
          <w:szCs w:val="24"/>
          <w:lang w:val="en-GB"/>
        </w:rPr>
        <w:t>机构所发挥的宝贵作用，</w:t>
      </w:r>
    </w:p>
    <w:p w14:paraId="6F1FEE42"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iCs/>
          <w:sz w:val="24"/>
          <w:szCs w:val="24"/>
          <w:lang w:val="en-GB"/>
        </w:rPr>
        <w:t>重申</w:t>
      </w:r>
      <w:r w:rsidRPr="000C0842">
        <w:rPr>
          <w:rFonts w:eastAsia="SimSun"/>
          <w:iCs/>
          <w:sz w:val="24"/>
          <w:szCs w:val="24"/>
          <w:lang w:val="en-GB"/>
        </w:rPr>
        <w:t>缔约方大会在与全球环境基金理事会的谅解备忘录</w:t>
      </w:r>
      <w:r w:rsidRPr="000C0842">
        <w:rPr>
          <w:rFonts w:eastAsia="SimSun"/>
          <w:iCs/>
          <w:sz w:val="24"/>
          <w:szCs w:val="24"/>
          <w:vertAlign w:val="superscript"/>
          <w:lang w:val="en-GB"/>
        </w:rPr>
        <w:footnoteReference w:id="436"/>
      </w:r>
      <w:r w:rsidRPr="000C0842">
        <w:rPr>
          <w:rFonts w:eastAsia="SimSun" w:hint="eastAsia"/>
          <w:iCs/>
          <w:sz w:val="24"/>
          <w:szCs w:val="24"/>
          <w:lang w:val="en-GB"/>
        </w:rPr>
        <w:t>中</w:t>
      </w:r>
      <w:r w:rsidRPr="000C0842">
        <w:rPr>
          <w:rFonts w:ascii="Segoe UI" w:eastAsia="SimSun" w:hAnsi="Segoe UI" w:cs="Segoe UI"/>
          <w:sz w:val="24"/>
          <w:szCs w:val="24"/>
        </w:rPr>
        <w:t>作出的定期审查财务机制在执行《公约》方面的成效的承</w:t>
      </w:r>
      <w:r w:rsidRPr="000C0842">
        <w:rPr>
          <w:rFonts w:ascii="Microsoft YaHei" w:eastAsia="SimSun" w:hAnsi="Microsoft YaHei" w:cs="Microsoft YaHei"/>
          <w:sz w:val="24"/>
          <w:szCs w:val="24"/>
        </w:rPr>
        <w:t>诺</w:t>
      </w:r>
      <w:r w:rsidRPr="000C0842">
        <w:rPr>
          <w:rFonts w:eastAsia="SimSun"/>
          <w:iCs/>
          <w:sz w:val="24"/>
          <w:szCs w:val="24"/>
        </w:rPr>
        <w:t>，</w:t>
      </w:r>
    </w:p>
    <w:p w14:paraId="3704541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iCs/>
          <w:sz w:val="24"/>
          <w:szCs w:val="24"/>
          <w:lang w:val="en-GB"/>
        </w:rPr>
      </w:pPr>
      <w:r w:rsidRPr="000C0842">
        <w:rPr>
          <w:rFonts w:eastAsia="KaiTi"/>
          <w:iCs/>
          <w:sz w:val="24"/>
          <w:szCs w:val="24"/>
          <w:lang w:val="en-GB"/>
        </w:rPr>
        <w:t>又重申</w:t>
      </w:r>
      <w:r w:rsidRPr="000C0842">
        <w:rPr>
          <w:rFonts w:eastAsia="SimSun"/>
          <w:iCs/>
          <w:sz w:val="24"/>
          <w:szCs w:val="24"/>
          <w:lang w:val="en-GB"/>
        </w:rPr>
        <w:t>审查财务机制的</w:t>
      </w:r>
      <w:r w:rsidRPr="000C0842">
        <w:rPr>
          <w:rFonts w:eastAsia="SimSun" w:hint="eastAsia"/>
          <w:iCs/>
          <w:sz w:val="24"/>
          <w:szCs w:val="24"/>
          <w:lang w:val="en-GB"/>
        </w:rPr>
        <w:t>成效对</w:t>
      </w:r>
      <w:r w:rsidRPr="000C0842">
        <w:rPr>
          <w:rFonts w:eastAsia="SimSun"/>
          <w:iCs/>
          <w:sz w:val="24"/>
          <w:szCs w:val="24"/>
          <w:lang w:val="en-GB"/>
        </w:rPr>
        <w:t>执行《公约》及其议定书、战略和方案的重要性，</w:t>
      </w:r>
    </w:p>
    <w:p w14:paraId="3C1B9302"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z w:val="24"/>
          <w:szCs w:val="24"/>
          <w:lang w:val="en-GB"/>
        </w:rPr>
        <w:t>关切地注意到</w:t>
      </w:r>
      <w:r w:rsidRPr="000C0842">
        <w:rPr>
          <w:rFonts w:eastAsia="SimSun" w:hint="eastAsia"/>
          <w:sz w:val="24"/>
          <w:szCs w:val="24"/>
          <w:lang w:val="en-GB"/>
        </w:rPr>
        <w:t>缺少</w:t>
      </w:r>
      <w:r w:rsidRPr="000C0842">
        <w:rPr>
          <w:rFonts w:eastAsia="SimSun"/>
          <w:sz w:val="24"/>
          <w:szCs w:val="24"/>
          <w:lang w:val="en-GB"/>
        </w:rPr>
        <w:t>自愿捐款资助</w:t>
      </w:r>
      <w:r w:rsidRPr="000C0842">
        <w:rPr>
          <w:rFonts w:eastAsia="SimSun" w:hint="eastAsia"/>
          <w:sz w:val="24"/>
          <w:szCs w:val="24"/>
          <w:lang w:val="en-GB"/>
        </w:rPr>
        <w:t>执行</w:t>
      </w:r>
      <w:r w:rsidRPr="000C0842">
        <w:rPr>
          <w:rFonts w:eastAsia="SimSun"/>
          <w:sz w:val="24"/>
          <w:szCs w:val="24"/>
          <w:lang w:val="en-GB"/>
        </w:rPr>
        <w:t>对全球环境基金信托基金第九增资期执行《生物多样性公约》及其议定书所需资金数额进行全面评估的职权范围</w:t>
      </w:r>
      <w:r w:rsidRPr="000C0842">
        <w:rPr>
          <w:rFonts w:eastAsia="SimSun"/>
          <w:sz w:val="24"/>
          <w:szCs w:val="24"/>
          <w:vertAlign w:val="superscript"/>
          <w:lang w:val="en-GB"/>
        </w:rPr>
        <w:footnoteReference w:id="437"/>
      </w:r>
      <w:r w:rsidRPr="000C0842">
        <w:rPr>
          <w:rFonts w:eastAsia="SimSun" w:hint="eastAsia"/>
          <w:sz w:val="24"/>
          <w:szCs w:val="24"/>
          <w:lang w:val="en-GB"/>
        </w:rPr>
        <w:t>，</w:t>
      </w:r>
      <w:r w:rsidRPr="000C0842">
        <w:rPr>
          <w:rFonts w:eastAsia="SimSun"/>
          <w:sz w:val="24"/>
          <w:szCs w:val="24"/>
          <w:lang w:val="en-GB"/>
        </w:rPr>
        <w:t xml:space="preserve"> </w:t>
      </w:r>
      <w:r w:rsidRPr="000C0842">
        <w:rPr>
          <w:rFonts w:eastAsia="SimSun" w:hint="eastAsia"/>
          <w:sz w:val="24"/>
          <w:szCs w:val="24"/>
          <w:lang w:val="en-GB"/>
        </w:rPr>
        <w:t>致使向</w:t>
      </w:r>
      <w:r w:rsidRPr="000C0842">
        <w:rPr>
          <w:rFonts w:eastAsia="SimSun"/>
          <w:sz w:val="24"/>
          <w:szCs w:val="24"/>
          <w:lang w:val="en-GB"/>
        </w:rPr>
        <w:t>缔约方大会第十六届会议</w:t>
      </w:r>
      <w:r w:rsidRPr="000C0842">
        <w:rPr>
          <w:rFonts w:eastAsia="SimSun" w:hint="eastAsia"/>
          <w:sz w:val="24"/>
          <w:szCs w:val="24"/>
          <w:lang w:val="en-GB"/>
        </w:rPr>
        <w:t>报告供其</w:t>
      </w:r>
      <w:r w:rsidRPr="000C0842">
        <w:rPr>
          <w:rFonts w:eastAsia="SimSun"/>
          <w:sz w:val="24"/>
          <w:szCs w:val="24"/>
          <w:lang w:val="en-GB"/>
        </w:rPr>
        <w:t>审议</w:t>
      </w:r>
      <w:r w:rsidRPr="000C0842">
        <w:rPr>
          <w:rFonts w:eastAsia="SimSun" w:hint="eastAsia"/>
          <w:sz w:val="24"/>
          <w:szCs w:val="24"/>
          <w:lang w:val="en-GB"/>
        </w:rPr>
        <w:t>的活动不多</w:t>
      </w:r>
      <w:r w:rsidRPr="000C0842">
        <w:rPr>
          <w:rFonts w:eastAsia="SimSun"/>
          <w:sz w:val="24"/>
          <w:szCs w:val="24"/>
          <w:lang w:val="en-GB"/>
        </w:rPr>
        <w:t>，</w:t>
      </w:r>
    </w:p>
    <w:p w14:paraId="08E38F98"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z w:val="24"/>
          <w:szCs w:val="24"/>
          <w:lang w:val="en-GB"/>
        </w:rPr>
        <w:t>认识到</w:t>
      </w:r>
      <w:r w:rsidRPr="000C0842">
        <w:rPr>
          <w:rFonts w:eastAsia="SimSun"/>
          <w:iCs/>
          <w:sz w:val="24"/>
          <w:szCs w:val="24"/>
          <w:lang w:val="en-GB"/>
        </w:rPr>
        <w:t>《</w:t>
      </w:r>
      <w:r w:rsidRPr="000C0842">
        <w:rPr>
          <w:rFonts w:eastAsia="SimSun" w:hint="eastAsia"/>
          <w:iCs/>
          <w:sz w:val="24"/>
          <w:szCs w:val="24"/>
          <w:lang w:val="en-GB"/>
        </w:rPr>
        <w:t>昆明</w:t>
      </w:r>
      <w:r w:rsidRPr="000C0842">
        <w:rPr>
          <w:rFonts w:eastAsia="SimSun" w:hint="eastAsia"/>
          <w:iCs/>
          <w:sz w:val="24"/>
          <w:szCs w:val="24"/>
          <w:lang w:val="en-GB"/>
        </w:rPr>
        <w:t>-</w:t>
      </w:r>
      <w:r w:rsidRPr="000C0842">
        <w:rPr>
          <w:rFonts w:eastAsia="SimSun" w:hint="eastAsia"/>
          <w:iCs/>
          <w:sz w:val="24"/>
          <w:szCs w:val="24"/>
          <w:lang w:val="en-GB"/>
        </w:rPr>
        <w:t>蒙特利尔全球生物多样性</w:t>
      </w:r>
      <w:r w:rsidRPr="000C0842">
        <w:rPr>
          <w:rFonts w:eastAsia="SimSun"/>
          <w:iCs/>
          <w:sz w:val="24"/>
          <w:szCs w:val="24"/>
          <w:lang w:val="en-GB"/>
        </w:rPr>
        <w:t>框架》</w:t>
      </w:r>
      <w:r w:rsidRPr="000C0842">
        <w:rPr>
          <w:rFonts w:eastAsia="SimSun"/>
          <w:iCs/>
          <w:sz w:val="24"/>
          <w:szCs w:val="24"/>
          <w:vertAlign w:val="superscript"/>
          <w:lang w:val="en-GB"/>
        </w:rPr>
        <w:footnoteReference w:id="438"/>
      </w:r>
      <w:r w:rsidRPr="000C0842">
        <w:rPr>
          <w:rFonts w:eastAsia="SimSun"/>
          <w:iCs/>
          <w:sz w:val="24"/>
          <w:szCs w:val="24"/>
          <w:lang w:val="en-GB"/>
        </w:rPr>
        <w:t>各组成部分，包括执行（《昆蒙框架》</w:t>
      </w:r>
      <w:r w:rsidRPr="000C0842">
        <w:rPr>
          <w:rFonts w:eastAsia="SimSun"/>
          <w:iCs/>
          <w:sz w:val="24"/>
          <w:szCs w:val="24"/>
          <w:lang w:val="en-GB"/>
        </w:rPr>
        <w:t>C</w:t>
      </w:r>
      <w:r w:rsidRPr="000C0842">
        <w:rPr>
          <w:rFonts w:eastAsia="SimSun"/>
          <w:iCs/>
          <w:sz w:val="24"/>
          <w:szCs w:val="24"/>
          <w:lang w:val="en-GB"/>
        </w:rPr>
        <w:t>部分）、执行和支持机制</w:t>
      </w:r>
      <w:r w:rsidRPr="000C0842">
        <w:rPr>
          <w:rFonts w:eastAsia="SimSun" w:hint="eastAsia"/>
          <w:iCs/>
          <w:sz w:val="24"/>
          <w:szCs w:val="24"/>
          <w:lang w:val="en-GB"/>
        </w:rPr>
        <w:t>及</w:t>
      </w:r>
      <w:r w:rsidRPr="000C0842">
        <w:rPr>
          <w:rFonts w:eastAsia="SimSun"/>
          <w:iCs/>
          <w:sz w:val="24"/>
          <w:szCs w:val="24"/>
          <w:lang w:val="en-GB"/>
        </w:rPr>
        <w:t>扶持性条件（</w:t>
      </w:r>
      <w:r w:rsidRPr="000C0842">
        <w:rPr>
          <w:rFonts w:eastAsia="SimSun"/>
          <w:iCs/>
          <w:sz w:val="24"/>
          <w:szCs w:val="24"/>
          <w:lang w:val="en-GB"/>
        </w:rPr>
        <w:t>I</w:t>
      </w:r>
      <w:r w:rsidRPr="000C0842">
        <w:rPr>
          <w:rFonts w:eastAsia="SimSun"/>
          <w:iCs/>
          <w:sz w:val="24"/>
          <w:szCs w:val="24"/>
          <w:lang w:val="en-GB"/>
        </w:rPr>
        <w:t>部分）</w:t>
      </w:r>
      <w:r w:rsidRPr="000C0842">
        <w:rPr>
          <w:rFonts w:eastAsia="SimSun" w:hint="eastAsia"/>
          <w:iCs/>
          <w:sz w:val="24"/>
          <w:szCs w:val="24"/>
          <w:lang w:val="en-GB"/>
        </w:rPr>
        <w:t>和问责制</w:t>
      </w:r>
      <w:r w:rsidRPr="000C0842">
        <w:rPr>
          <w:rFonts w:eastAsia="SimSun"/>
          <w:iCs/>
          <w:sz w:val="24"/>
          <w:szCs w:val="24"/>
          <w:lang w:val="en-GB"/>
        </w:rPr>
        <w:t>和透明度（</w:t>
      </w:r>
      <w:r w:rsidRPr="000C0842">
        <w:rPr>
          <w:rFonts w:eastAsia="SimSun"/>
          <w:iCs/>
          <w:sz w:val="24"/>
          <w:szCs w:val="24"/>
          <w:lang w:val="en-GB"/>
        </w:rPr>
        <w:t>J</w:t>
      </w:r>
      <w:r w:rsidRPr="000C0842">
        <w:rPr>
          <w:rFonts w:eastAsia="SimSun"/>
          <w:iCs/>
          <w:sz w:val="24"/>
          <w:szCs w:val="24"/>
          <w:lang w:val="en-GB"/>
        </w:rPr>
        <w:t>部分）</w:t>
      </w:r>
      <w:r w:rsidRPr="000C0842">
        <w:rPr>
          <w:rFonts w:eastAsia="SimSun" w:hint="eastAsia"/>
          <w:iCs/>
          <w:sz w:val="24"/>
          <w:szCs w:val="24"/>
          <w:lang w:val="en-GB"/>
        </w:rPr>
        <w:t>，是</w:t>
      </w:r>
      <w:r w:rsidRPr="000C0842">
        <w:rPr>
          <w:rFonts w:eastAsia="SimSun"/>
          <w:iCs/>
          <w:sz w:val="24"/>
          <w:szCs w:val="24"/>
          <w:lang w:val="en-GB"/>
        </w:rPr>
        <w:t>一体</w:t>
      </w:r>
      <w:r w:rsidRPr="000C0842">
        <w:rPr>
          <w:rFonts w:eastAsia="SimSun" w:hint="eastAsia"/>
          <w:iCs/>
          <w:sz w:val="24"/>
          <w:szCs w:val="24"/>
          <w:lang w:val="en-GB"/>
        </w:rPr>
        <w:t>性而</w:t>
      </w:r>
      <w:r w:rsidRPr="000C0842">
        <w:rPr>
          <w:rFonts w:eastAsia="SimSun"/>
          <w:iCs/>
          <w:sz w:val="24"/>
          <w:szCs w:val="24"/>
          <w:lang w:val="en-GB"/>
        </w:rPr>
        <w:t>不可分割</w:t>
      </w:r>
      <w:r w:rsidRPr="000C0842">
        <w:rPr>
          <w:rFonts w:eastAsia="SimSun" w:hint="eastAsia"/>
          <w:iCs/>
          <w:sz w:val="24"/>
          <w:szCs w:val="24"/>
          <w:lang w:val="en-GB"/>
        </w:rPr>
        <w:t>的</w:t>
      </w:r>
      <w:r w:rsidRPr="000C0842">
        <w:rPr>
          <w:rFonts w:eastAsia="SimSun"/>
          <w:iCs/>
          <w:sz w:val="24"/>
          <w:szCs w:val="24"/>
          <w:lang w:val="en-GB"/>
        </w:rPr>
        <w:t>，</w:t>
      </w:r>
    </w:p>
    <w:p w14:paraId="1D0861D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关切地注意到</w:t>
      </w:r>
      <w:r w:rsidRPr="000C0842">
        <w:rPr>
          <w:rFonts w:eastAsia="SimSun" w:hint="eastAsia"/>
          <w:sz w:val="24"/>
          <w:szCs w:val="24"/>
          <w:lang w:val="en-GB"/>
        </w:rPr>
        <w:t>在全球环境基金第八增资期前半期，符合条件的缔约方没有提出支持执行</w:t>
      </w:r>
      <w:r w:rsidRPr="000C0842">
        <w:rPr>
          <w:rFonts w:eastAsia="SimSun"/>
          <w:sz w:val="24"/>
          <w:szCs w:val="24"/>
          <w:lang w:val="en-GB"/>
        </w:rPr>
        <w:t>《卡塔赫纳生物安全议定书》</w:t>
      </w:r>
      <w:r w:rsidRPr="000C0842">
        <w:rPr>
          <w:rFonts w:eastAsia="SimSun"/>
          <w:sz w:val="24"/>
          <w:szCs w:val="24"/>
          <w:vertAlign w:val="superscript"/>
          <w:lang w:val="en-GB"/>
        </w:rPr>
        <w:footnoteReference w:id="439"/>
      </w:r>
      <w:r w:rsidRPr="000C0842">
        <w:rPr>
          <w:rFonts w:eastAsia="SimSun"/>
          <w:sz w:val="24"/>
          <w:szCs w:val="24"/>
          <w:lang w:val="en-GB"/>
        </w:rPr>
        <w:t>的项目提案，</w:t>
      </w:r>
      <w:r w:rsidRPr="000C0842">
        <w:rPr>
          <w:rFonts w:eastAsia="SimSun" w:hint="eastAsia"/>
          <w:sz w:val="24"/>
          <w:szCs w:val="24"/>
          <w:lang w:val="en-GB"/>
        </w:rPr>
        <w:t>而且</w:t>
      </w:r>
      <w:r w:rsidRPr="000C0842">
        <w:rPr>
          <w:rFonts w:eastAsia="SimSun"/>
          <w:sz w:val="24"/>
          <w:szCs w:val="24"/>
          <w:lang w:val="en-GB"/>
        </w:rPr>
        <w:t>符合条件的</w:t>
      </w:r>
      <w:r w:rsidRPr="000C0842">
        <w:rPr>
          <w:rFonts w:eastAsia="SimSun" w:hint="eastAsia"/>
          <w:sz w:val="24"/>
          <w:szCs w:val="24"/>
          <w:lang w:val="en-GB"/>
        </w:rPr>
        <w:t>缔约方</w:t>
      </w:r>
      <w:r w:rsidRPr="000C0842">
        <w:rPr>
          <w:rFonts w:eastAsia="SimSun"/>
          <w:sz w:val="24"/>
          <w:szCs w:val="24"/>
        </w:rPr>
        <w:t>只</w:t>
      </w:r>
      <w:r w:rsidRPr="000C0842">
        <w:rPr>
          <w:rFonts w:eastAsia="SimSun"/>
          <w:sz w:val="24"/>
          <w:szCs w:val="24"/>
          <w:lang w:val="en-GB"/>
        </w:rPr>
        <w:t>提出</w:t>
      </w:r>
      <w:r w:rsidRPr="000C0842">
        <w:rPr>
          <w:rFonts w:eastAsia="SimSun"/>
          <w:sz w:val="24"/>
          <w:szCs w:val="24"/>
        </w:rPr>
        <w:t>三个</w:t>
      </w:r>
      <w:r w:rsidRPr="000C0842">
        <w:rPr>
          <w:rFonts w:eastAsia="SimSun"/>
          <w:sz w:val="24"/>
          <w:szCs w:val="24"/>
          <w:lang w:val="en-GB"/>
        </w:rPr>
        <w:t>支持执行《关于获取遗传资源和公正和公平分享其利用所产生惠益的名古屋议定书》</w:t>
      </w:r>
      <w:r w:rsidRPr="000C0842">
        <w:rPr>
          <w:rFonts w:eastAsia="SimSun"/>
          <w:sz w:val="24"/>
          <w:szCs w:val="24"/>
          <w:vertAlign w:val="superscript"/>
          <w:lang w:val="en-GB"/>
        </w:rPr>
        <w:footnoteReference w:id="440"/>
      </w:r>
      <w:r w:rsidRPr="000C0842">
        <w:rPr>
          <w:rFonts w:eastAsia="SimSun"/>
          <w:sz w:val="24"/>
          <w:szCs w:val="24"/>
          <w:lang w:val="en-GB"/>
        </w:rPr>
        <w:t>的项目提案，</w:t>
      </w:r>
      <w:r w:rsidRPr="000C0842">
        <w:rPr>
          <w:rFonts w:eastAsia="SimSun" w:hint="eastAsia"/>
          <w:sz w:val="24"/>
          <w:szCs w:val="24"/>
        </w:rPr>
        <w:t>又</w:t>
      </w:r>
      <w:r w:rsidRPr="000C0842">
        <w:rPr>
          <w:rFonts w:eastAsia="SimSun"/>
          <w:sz w:val="24"/>
          <w:szCs w:val="24"/>
        </w:rPr>
        <w:t>认识到需要</w:t>
      </w:r>
      <w:r w:rsidRPr="000C0842">
        <w:rPr>
          <w:rFonts w:eastAsia="SimSun" w:hint="eastAsia"/>
          <w:sz w:val="24"/>
          <w:szCs w:val="24"/>
        </w:rPr>
        <w:t>更好地了解其中的</w:t>
      </w:r>
      <w:r w:rsidRPr="000C0842">
        <w:rPr>
          <w:rFonts w:eastAsia="SimSun"/>
          <w:sz w:val="24"/>
          <w:szCs w:val="24"/>
        </w:rPr>
        <w:t>可能原因；</w:t>
      </w:r>
    </w:p>
    <w:p w14:paraId="659EEBC4"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欢迎</w:t>
      </w:r>
      <w:r w:rsidRPr="000C0842">
        <w:rPr>
          <w:rFonts w:eastAsia="SimSun"/>
          <w:sz w:val="24"/>
          <w:szCs w:val="24"/>
        </w:rPr>
        <w:t>全球环境基金</w:t>
      </w:r>
      <w:r w:rsidRPr="000C0842">
        <w:rPr>
          <w:rFonts w:eastAsia="SimSun" w:hint="eastAsia"/>
          <w:sz w:val="24"/>
          <w:szCs w:val="24"/>
        </w:rPr>
        <w:t>采取的行动，</w:t>
      </w:r>
      <w:r w:rsidRPr="000C0842">
        <w:rPr>
          <w:rFonts w:eastAsia="SimSun"/>
          <w:sz w:val="24"/>
          <w:szCs w:val="24"/>
        </w:rPr>
        <w:t>通过资助其生物多样性重点领域</w:t>
      </w:r>
      <w:r w:rsidRPr="000C0842">
        <w:rPr>
          <w:rFonts w:eastAsia="SimSun" w:hint="eastAsia"/>
          <w:sz w:val="24"/>
          <w:szCs w:val="24"/>
        </w:rPr>
        <w:t>为</w:t>
      </w:r>
      <w:r w:rsidRPr="000C0842">
        <w:rPr>
          <w:rFonts w:eastAsia="SimSun" w:hint="eastAsia"/>
          <w:sz w:val="24"/>
          <w:szCs w:val="24"/>
          <w:lang w:val="en-GB"/>
        </w:rPr>
        <w:t>符合条件的缔约方</w:t>
      </w:r>
      <w:r w:rsidRPr="000C0842">
        <w:rPr>
          <w:rFonts w:eastAsia="SimSun" w:hint="eastAsia"/>
          <w:sz w:val="24"/>
          <w:szCs w:val="24"/>
        </w:rPr>
        <w:t>提供支持</w:t>
      </w:r>
      <w:r w:rsidRPr="000C0842">
        <w:rPr>
          <w:rFonts w:eastAsia="SimSun"/>
          <w:sz w:val="24"/>
          <w:szCs w:val="24"/>
        </w:rPr>
        <w:t>，同时强调需要进一步加大资源调动力度，</w:t>
      </w:r>
      <w:r w:rsidRPr="000C0842">
        <w:rPr>
          <w:rFonts w:eastAsia="SimSun" w:hint="eastAsia"/>
          <w:sz w:val="24"/>
          <w:szCs w:val="24"/>
        </w:rPr>
        <w:t>解决</w:t>
      </w:r>
      <w:r w:rsidRPr="000C0842">
        <w:rPr>
          <w:rFonts w:eastAsia="SimSun"/>
          <w:sz w:val="24"/>
          <w:szCs w:val="24"/>
        </w:rPr>
        <w:t>发展中国家</w:t>
      </w:r>
      <w:r w:rsidRPr="000C0842">
        <w:rPr>
          <w:rFonts w:eastAsia="SimSun" w:hint="eastAsia"/>
          <w:sz w:val="24"/>
          <w:szCs w:val="24"/>
        </w:rPr>
        <w:t>缔约方</w:t>
      </w:r>
      <w:r w:rsidRPr="000C0842">
        <w:rPr>
          <w:rFonts w:eastAsia="SimSun"/>
          <w:sz w:val="24"/>
          <w:szCs w:val="24"/>
        </w:rPr>
        <w:t>的</w:t>
      </w:r>
      <w:r w:rsidRPr="000C0842">
        <w:rPr>
          <w:rFonts w:eastAsia="SimSun" w:hint="eastAsia"/>
          <w:sz w:val="24"/>
          <w:szCs w:val="24"/>
        </w:rPr>
        <w:t>困难</w:t>
      </w:r>
      <w:r w:rsidRPr="000C0842">
        <w:rPr>
          <w:rFonts w:eastAsia="SimSun"/>
          <w:sz w:val="24"/>
          <w:szCs w:val="24"/>
        </w:rPr>
        <w:t>和需求，为执行《公约》及其议定书和</w:t>
      </w:r>
      <w:r w:rsidRPr="000C0842">
        <w:rPr>
          <w:rFonts w:eastAsia="SimSun"/>
          <w:sz w:val="24"/>
          <w:szCs w:val="24"/>
          <w:lang w:val="en-GB"/>
        </w:rPr>
        <w:t>《昆蒙框架》</w:t>
      </w:r>
      <w:r w:rsidRPr="000C0842">
        <w:rPr>
          <w:rFonts w:eastAsia="SimSun"/>
          <w:sz w:val="24"/>
          <w:szCs w:val="24"/>
        </w:rPr>
        <w:t>作出贡献，</w:t>
      </w:r>
    </w:p>
    <w:p w14:paraId="1CC7BCE9"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注意到</w:t>
      </w:r>
      <w:r w:rsidRPr="000C0842">
        <w:rPr>
          <w:rFonts w:eastAsia="SimSun"/>
          <w:sz w:val="24"/>
          <w:szCs w:val="24"/>
          <w:lang w:val="en-GB"/>
        </w:rPr>
        <w:t>一些符合</w:t>
      </w:r>
      <w:r w:rsidRPr="000C0842">
        <w:rPr>
          <w:rFonts w:eastAsia="SimSun" w:hint="eastAsia"/>
          <w:sz w:val="24"/>
          <w:szCs w:val="24"/>
          <w:lang w:val="en-GB"/>
        </w:rPr>
        <w:t>条件</w:t>
      </w:r>
      <w:r w:rsidRPr="000C0842">
        <w:rPr>
          <w:rFonts w:eastAsia="SimSun"/>
          <w:sz w:val="24"/>
          <w:szCs w:val="24"/>
          <w:lang w:val="en-GB"/>
        </w:rPr>
        <w:t>的缔约方</w:t>
      </w:r>
      <w:r w:rsidRPr="000C0842">
        <w:rPr>
          <w:rFonts w:eastAsia="SimSun" w:hint="eastAsia"/>
          <w:sz w:val="24"/>
          <w:szCs w:val="24"/>
          <w:lang w:val="en-GB"/>
        </w:rPr>
        <w:t>尚未申领</w:t>
      </w:r>
      <w:r w:rsidRPr="000C0842">
        <w:rPr>
          <w:rFonts w:eastAsia="SimSun"/>
          <w:sz w:val="24"/>
          <w:szCs w:val="24"/>
          <w:lang w:val="en-GB"/>
        </w:rPr>
        <w:t>全球环境基金的资助，特别是用于修订和更新国家生物多样性战略和行动计划以及国家生物多样性融资计划使其与《昆蒙框架》保持一致</w:t>
      </w:r>
      <w:r w:rsidRPr="000C0842">
        <w:rPr>
          <w:rFonts w:eastAsia="SimSun" w:hint="eastAsia"/>
          <w:sz w:val="24"/>
          <w:szCs w:val="24"/>
          <w:lang w:val="en-GB"/>
        </w:rPr>
        <w:t>的资助</w:t>
      </w:r>
      <w:r w:rsidRPr="000C0842">
        <w:rPr>
          <w:rFonts w:eastAsia="SimSun"/>
          <w:sz w:val="24"/>
          <w:szCs w:val="24"/>
          <w:lang w:val="en-GB"/>
        </w:rPr>
        <w:t>，</w:t>
      </w:r>
    </w:p>
    <w:p w14:paraId="35A6F00A"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又</w:t>
      </w:r>
      <w:r w:rsidRPr="000C0842">
        <w:rPr>
          <w:rFonts w:eastAsia="KaiTi"/>
          <w:sz w:val="24"/>
          <w:szCs w:val="24"/>
          <w:lang w:val="en-GB"/>
        </w:rPr>
        <w:t>注意到</w:t>
      </w:r>
      <w:r w:rsidRPr="000C0842">
        <w:rPr>
          <w:rFonts w:eastAsia="SimSun"/>
          <w:sz w:val="24"/>
          <w:szCs w:val="24"/>
          <w:lang w:val="en-GB"/>
        </w:rPr>
        <w:t>全球环境基金</w:t>
      </w:r>
      <w:r w:rsidRPr="000C0842">
        <w:rPr>
          <w:rFonts w:eastAsia="SimSun" w:hint="eastAsia"/>
          <w:sz w:val="24"/>
          <w:szCs w:val="24"/>
          <w:lang w:val="en-GB"/>
        </w:rPr>
        <w:t>各</w:t>
      </w:r>
      <w:r w:rsidRPr="000C0842">
        <w:rPr>
          <w:rFonts w:eastAsia="SimSun"/>
          <w:sz w:val="24"/>
          <w:szCs w:val="24"/>
          <w:lang w:val="en-GB"/>
        </w:rPr>
        <w:t>综合方案</w:t>
      </w:r>
      <w:r w:rsidRPr="000C0842">
        <w:rPr>
          <w:rFonts w:eastAsia="SimSun" w:hint="eastAsia"/>
          <w:sz w:val="24"/>
          <w:szCs w:val="24"/>
          <w:lang w:val="en-GB"/>
        </w:rPr>
        <w:t>对实现</w:t>
      </w:r>
      <w:r w:rsidRPr="000C0842">
        <w:rPr>
          <w:rFonts w:eastAsia="SimSun"/>
          <w:sz w:val="24"/>
          <w:szCs w:val="24"/>
          <w:lang w:val="en-GB"/>
        </w:rPr>
        <w:t>《昆蒙框架》行动目标</w:t>
      </w:r>
      <w:r w:rsidRPr="000C0842">
        <w:rPr>
          <w:rFonts w:eastAsia="SimSun" w:hint="eastAsia"/>
          <w:sz w:val="24"/>
          <w:szCs w:val="24"/>
          <w:lang w:val="en-GB"/>
        </w:rPr>
        <w:t>的贡献</w:t>
      </w:r>
      <w:r w:rsidRPr="000C0842">
        <w:rPr>
          <w:rFonts w:eastAsia="SimSun"/>
          <w:sz w:val="24"/>
          <w:szCs w:val="24"/>
          <w:lang w:val="en-GB"/>
        </w:rPr>
        <w:t>，所有</w:t>
      </w:r>
      <w:r w:rsidRPr="000C0842">
        <w:rPr>
          <w:rFonts w:eastAsia="SimSun" w:hint="eastAsia"/>
          <w:sz w:val="24"/>
          <w:szCs w:val="24"/>
          <w:lang w:val="en-GB"/>
        </w:rPr>
        <w:t>这些</w:t>
      </w:r>
      <w:r w:rsidRPr="000C0842">
        <w:rPr>
          <w:rFonts w:eastAsia="SimSun"/>
          <w:sz w:val="24"/>
          <w:szCs w:val="24"/>
          <w:lang w:val="en-GB"/>
        </w:rPr>
        <w:t>方案</w:t>
      </w:r>
      <w:r w:rsidRPr="000C0842">
        <w:rPr>
          <w:rFonts w:eastAsia="SimSun" w:hint="eastAsia"/>
          <w:sz w:val="24"/>
          <w:szCs w:val="24"/>
          <w:lang w:val="en-GB"/>
        </w:rPr>
        <w:t>都对实现</w:t>
      </w:r>
      <w:r w:rsidRPr="000C0842">
        <w:rPr>
          <w:rFonts w:eastAsia="SimSun"/>
          <w:sz w:val="24"/>
          <w:szCs w:val="24"/>
          <w:lang w:val="en-GB"/>
        </w:rPr>
        <w:t>行动目标</w:t>
      </w:r>
      <w:r w:rsidRPr="000C0842">
        <w:rPr>
          <w:rFonts w:eastAsia="SimSun"/>
          <w:sz w:val="24"/>
          <w:szCs w:val="24"/>
          <w:lang w:val="en-GB"/>
        </w:rPr>
        <w:t>8</w:t>
      </w:r>
      <w:r w:rsidRPr="000C0842">
        <w:rPr>
          <w:rFonts w:eastAsia="SimSun"/>
          <w:sz w:val="24"/>
          <w:szCs w:val="24"/>
          <w:lang w:val="en-GB"/>
        </w:rPr>
        <w:t>、</w:t>
      </w:r>
      <w:r w:rsidRPr="000C0842">
        <w:rPr>
          <w:rFonts w:eastAsia="SimSun"/>
          <w:sz w:val="24"/>
          <w:szCs w:val="24"/>
          <w:lang w:val="en-GB"/>
        </w:rPr>
        <w:t>10</w:t>
      </w:r>
      <w:r w:rsidRPr="000C0842">
        <w:rPr>
          <w:rFonts w:eastAsia="SimSun"/>
          <w:sz w:val="24"/>
          <w:szCs w:val="24"/>
          <w:lang w:val="en-GB"/>
        </w:rPr>
        <w:t>、</w:t>
      </w:r>
      <w:r w:rsidRPr="000C0842">
        <w:rPr>
          <w:rFonts w:eastAsia="SimSun"/>
          <w:sz w:val="24"/>
          <w:szCs w:val="24"/>
          <w:lang w:val="en-GB"/>
        </w:rPr>
        <w:t>11</w:t>
      </w:r>
      <w:r w:rsidRPr="000C0842">
        <w:rPr>
          <w:rFonts w:eastAsia="SimSun"/>
          <w:sz w:val="24"/>
          <w:szCs w:val="24"/>
          <w:lang w:val="en-GB"/>
        </w:rPr>
        <w:t>、</w:t>
      </w:r>
      <w:r w:rsidRPr="000C0842">
        <w:rPr>
          <w:rFonts w:eastAsia="SimSun"/>
          <w:sz w:val="24"/>
          <w:szCs w:val="24"/>
          <w:lang w:val="en-GB"/>
        </w:rPr>
        <w:t>20</w:t>
      </w:r>
      <w:r w:rsidRPr="000C0842">
        <w:rPr>
          <w:rFonts w:eastAsia="SimSun" w:hint="eastAsia"/>
          <w:sz w:val="24"/>
          <w:szCs w:val="24"/>
          <w:lang w:val="en-GB"/>
        </w:rPr>
        <w:t>至</w:t>
      </w:r>
      <w:r w:rsidRPr="000C0842">
        <w:rPr>
          <w:rFonts w:eastAsia="SimSun"/>
          <w:sz w:val="24"/>
          <w:szCs w:val="24"/>
          <w:lang w:val="en-GB"/>
        </w:rPr>
        <w:t>23</w:t>
      </w:r>
      <w:r w:rsidRPr="000C0842">
        <w:rPr>
          <w:rFonts w:eastAsia="SimSun" w:hint="eastAsia"/>
          <w:sz w:val="24"/>
          <w:szCs w:val="24"/>
          <w:lang w:val="en-GB"/>
        </w:rPr>
        <w:t>有贡献</w:t>
      </w:r>
      <w:r w:rsidRPr="000C0842">
        <w:rPr>
          <w:rFonts w:eastAsia="SimSun"/>
          <w:sz w:val="24"/>
          <w:szCs w:val="24"/>
          <w:lang w:val="en-GB"/>
        </w:rPr>
        <w:t>,</w:t>
      </w:r>
    </w:p>
    <w:p w14:paraId="60538EB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欢迎</w:t>
      </w:r>
      <w:r w:rsidRPr="000C0842">
        <w:rPr>
          <w:rFonts w:eastAsia="SimSun"/>
          <w:sz w:val="24"/>
          <w:szCs w:val="24"/>
          <w:lang w:val="en-GB"/>
        </w:rPr>
        <w:t>全球环境基金的其他重点领域资源的很大一部分有助于执行《昆蒙框架》，</w:t>
      </w:r>
    </w:p>
    <w:p w14:paraId="0096EF95"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又欢迎</w:t>
      </w:r>
      <w:r w:rsidRPr="000C0842">
        <w:rPr>
          <w:rFonts w:eastAsia="SimSun"/>
          <w:sz w:val="24"/>
          <w:szCs w:val="24"/>
          <w:lang w:val="en-GB"/>
        </w:rPr>
        <w:t>全球环境基金努力利用其他生物多样性相关公约之间的协同作用，以综合方式应对多重环境挑战</w:t>
      </w:r>
      <w:r w:rsidRPr="000C0842">
        <w:rPr>
          <w:rFonts w:eastAsia="SimSun"/>
          <w:sz w:val="24"/>
          <w:szCs w:val="24"/>
          <w:lang w:val="en-GB"/>
        </w:rPr>
        <w:t>,</w:t>
      </w:r>
    </w:p>
    <w:p w14:paraId="3971C63A"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强调</w:t>
      </w:r>
      <w:r w:rsidRPr="000C0842">
        <w:rPr>
          <w:rFonts w:eastAsia="SimSun" w:hint="eastAsia"/>
          <w:sz w:val="24"/>
          <w:szCs w:val="24"/>
          <w:lang w:val="en-GB"/>
        </w:rPr>
        <w:t>土著人民和地方社区对执行《公约》的贡献，并欢迎全球环境基金目前向其提供的支持，</w:t>
      </w:r>
    </w:p>
    <w:p w14:paraId="5CCE6128"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赞赏地注意到</w:t>
      </w:r>
      <w:r w:rsidRPr="000C0842">
        <w:rPr>
          <w:rFonts w:eastAsia="SimSun"/>
          <w:sz w:val="24"/>
          <w:szCs w:val="24"/>
          <w:lang w:val="en-GB"/>
        </w:rPr>
        <w:t>全球环境基金加</w:t>
      </w:r>
      <w:r w:rsidRPr="000C0842">
        <w:rPr>
          <w:rFonts w:eastAsia="SimSun" w:hint="eastAsia"/>
          <w:sz w:val="24"/>
          <w:szCs w:val="24"/>
          <w:lang w:val="en-GB"/>
        </w:rPr>
        <w:t>大力度支持</w:t>
      </w:r>
      <w:r w:rsidRPr="000C0842">
        <w:rPr>
          <w:rFonts w:eastAsia="SimSun"/>
          <w:sz w:val="24"/>
          <w:szCs w:val="24"/>
          <w:lang w:val="en-GB"/>
        </w:rPr>
        <w:t>土著人民和地方社区</w:t>
      </w:r>
      <w:r w:rsidRPr="000C0842">
        <w:rPr>
          <w:rFonts w:eastAsia="SimSun" w:hint="eastAsia"/>
          <w:sz w:val="24"/>
          <w:szCs w:val="24"/>
          <w:lang w:val="en-GB"/>
        </w:rPr>
        <w:t>执行</w:t>
      </w:r>
      <w:r w:rsidRPr="000C0842">
        <w:rPr>
          <w:rFonts w:eastAsia="SimSun"/>
          <w:sz w:val="24"/>
          <w:szCs w:val="24"/>
          <w:lang w:val="en-GB"/>
        </w:rPr>
        <w:t>《昆蒙框架》，包括期望到</w:t>
      </w:r>
      <w:r w:rsidRPr="000C0842">
        <w:rPr>
          <w:rFonts w:eastAsia="SimSun"/>
          <w:sz w:val="24"/>
          <w:szCs w:val="24"/>
          <w:lang w:val="en-GB"/>
        </w:rPr>
        <w:t xml:space="preserve"> 2030 </w:t>
      </w:r>
      <w:r w:rsidRPr="000C0842">
        <w:rPr>
          <w:rFonts w:eastAsia="SimSun"/>
          <w:sz w:val="24"/>
          <w:szCs w:val="24"/>
          <w:lang w:val="en-GB"/>
        </w:rPr>
        <w:t>年用于这一目的方案</w:t>
      </w:r>
      <w:r w:rsidRPr="000C0842">
        <w:rPr>
          <w:rFonts w:eastAsia="SimSun" w:hint="eastAsia"/>
          <w:sz w:val="24"/>
          <w:szCs w:val="24"/>
          <w:lang w:val="en-GB"/>
        </w:rPr>
        <w:t>编制</w:t>
      </w:r>
      <w:r w:rsidRPr="000C0842">
        <w:rPr>
          <w:rFonts w:eastAsia="SimSun"/>
          <w:sz w:val="24"/>
          <w:szCs w:val="24"/>
          <w:lang w:val="en-GB"/>
        </w:rPr>
        <w:t>份额</w:t>
      </w:r>
      <w:r w:rsidRPr="000C0842">
        <w:rPr>
          <w:rFonts w:eastAsia="SimSun" w:hint="eastAsia"/>
          <w:sz w:val="24"/>
          <w:szCs w:val="24"/>
          <w:lang w:val="en-GB"/>
        </w:rPr>
        <w:t>达到</w:t>
      </w:r>
      <w:r w:rsidRPr="000C0842">
        <w:rPr>
          <w:rFonts w:eastAsia="SimSun"/>
          <w:sz w:val="24"/>
          <w:szCs w:val="24"/>
          <w:lang w:val="en-GB"/>
        </w:rPr>
        <w:t>全球生物多样性框架基金资产组合</w:t>
      </w:r>
      <w:r w:rsidRPr="000C0842">
        <w:rPr>
          <w:rFonts w:eastAsia="SimSun" w:hint="eastAsia"/>
          <w:sz w:val="24"/>
          <w:szCs w:val="24"/>
          <w:lang w:val="en-GB"/>
        </w:rPr>
        <w:t>的</w:t>
      </w:r>
      <w:r w:rsidRPr="000C0842">
        <w:rPr>
          <w:rFonts w:eastAsia="SimSun"/>
          <w:sz w:val="24"/>
          <w:szCs w:val="24"/>
          <w:lang w:val="en-GB"/>
        </w:rPr>
        <w:t>20%</w:t>
      </w:r>
      <w:r w:rsidRPr="000C0842">
        <w:rPr>
          <w:rFonts w:eastAsia="SimSun"/>
          <w:sz w:val="24"/>
          <w:szCs w:val="24"/>
          <w:lang w:val="en-GB"/>
        </w:rPr>
        <w:t>，</w:t>
      </w:r>
      <w:r w:rsidRPr="000C0842">
        <w:rPr>
          <w:rFonts w:eastAsia="SimSun" w:hint="eastAsia"/>
          <w:sz w:val="24"/>
          <w:szCs w:val="24"/>
          <w:lang w:val="en-GB"/>
        </w:rPr>
        <w:t xml:space="preserve"> </w:t>
      </w:r>
    </w:p>
    <w:p w14:paraId="747228C6"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强调</w:t>
      </w:r>
      <w:r w:rsidRPr="000C0842">
        <w:rPr>
          <w:rFonts w:eastAsia="SimSun"/>
          <w:sz w:val="24"/>
          <w:szCs w:val="24"/>
        </w:rPr>
        <w:t>继续</w:t>
      </w:r>
      <w:r w:rsidRPr="000C0842">
        <w:rPr>
          <w:rFonts w:eastAsia="SimSun" w:hint="eastAsia"/>
          <w:sz w:val="24"/>
          <w:szCs w:val="24"/>
        </w:rPr>
        <w:t>作出</w:t>
      </w:r>
      <w:r w:rsidRPr="000C0842">
        <w:rPr>
          <w:rFonts w:eastAsia="SimSun"/>
          <w:sz w:val="24"/>
          <w:szCs w:val="24"/>
        </w:rPr>
        <w:t>努力</w:t>
      </w:r>
      <w:r w:rsidRPr="000C0842">
        <w:rPr>
          <w:rFonts w:eastAsia="SimSun" w:hint="eastAsia"/>
          <w:sz w:val="24"/>
          <w:szCs w:val="24"/>
        </w:rPr>
        <w:t>，</w:t>
      </w:r>
      <w:r w:rsidRPr="000C0842">
        <w:rPr>
          <w:rFonts w:eastAsia="SimSun"/>
          <w:sz w:val="24"/>
          <w:szCs w:val="24"/>
        </w:rPr>
        <w:t>改进缔约方</w:t>
      </w:r>
      <w:r w:rsidRPr="000C0842">
        <w:rPr>
          <w:rFonts w:eastAsia="SimSun" w:hint="eastAsia"/>
          <w:sz w:val="24"/>
          <w:szCs w:val="24"/>
        </w:rPr>
        <w:t>大</w:t>
      </w:r>
      <w:r w:rsidRPr="000C0842">
        <w:rPr>
          <w:rFonts w:eastAsia="SimSun"/>
          <w:sz w:val="24"/>
          <w:szCs w:val="24"/>
        </w:rPr>
        <w:t>会向全球环境基金</w:t>
      </w:r>
      <w:r w:rsidRPr="000C0842">
        <w:rPr>
          <w:rFonts w:eastAsia="SimSun" w:hint="eastAsia"/>
          <w:sz w:val="24"/>
          <w:szCs w:val="24"/>
        </w:rPr>
        <w:t>这一</w:t>
      </w:r>
      <w:r w:rsidRPr="000C0842">
        <w:rPr>
          <w:rFonts w:eastAsia="SimSun"/>
          <w:sz w:val="24"/>
          <w:szCs w:val="24"/>
        </w:rPr>
        <w:t>临时和持续运行《公约》财务机制的体制</w:t>
      </w:r>
      <w:r w:rsidRPr="000C0842">
        <w:rPr>
          <w:rFonts w:eastAsia="SimSun" w:hint="eastAsia"/>
          <w:sz w:val="24"/>
          <w:szCs w:val="24"/>
        </w:rPr>
        <w:t>机构所</w:t>
      </w:r>
      <w:r w:rsidRPr="000C0842">
        <w:rPr>
          <w:rFonts w:eastAsia="SimSun"/>
          <w:sz w:val="24"/>
          <w:szCs w:val="24"/>
        </w:rPr>
        <w:t>提供的战略指导，</w:t>
      </w:r>
    </w:p>
    <w:p w14:paraId="5A932DB0"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认识到</w:t>
      </w:r>
      <w:r w:rsidRPr="000C0842">
        <w:rPr>
          <w:rFonts w:eastAsia="SimSun" w:hint="eastAsia"/>
          <w:sz w:val="24"/>
          <w:szCs w:val="24"/>
          <w:lang w:val="en-GB"/>
        </w:rPr>
        <w:t>由于采用资金透明分配系统，全球环境基金信托基金以可预测的方式分配全球环境基金的资源，在及时向符合条件的缔约方发放资金方面有所改进，简化全球环境基金的项目周期也可能对及时发放资金有积极影响，</w:t>
      </w:r>
    </w:p>
    <w:p w14:paraId="5B4C9938"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欢迎</w:t>
      </w:r>
      <w:r w:rsidRPr="000C0842">
        <w:rPr>
          <w:rFonts w:eastAsia="SimSun"/>
          <w:sz w:val="24"/>
          <w:szCs w:val="24"/>
          <w:lang w:val="en-GB"/>
        </w:rPr>
        <w:t>全球环境基金为支持政策协调和</w:t>
      </w:r>
      <w:r w:rsidRPr="000C0842">
        <w:rPr>
          <w:rFonts w:eastAsia="SimSun" w:hint="eastAsia"/>
          <w:sz w:val="24"/>
          <w:szCs w:val="24"/>
          <w:lang w:val="en-GB"/>
        </w:rPr>
        <w:t>简化</w:t>
      </w:r>
      <w:r w:rsidRPr="000C0842">
        <w:rPr>
          <w:rFonts w:eastAsia="SimSun"/>
          <w:sz w:val="24"/>
          <w:szCs w:val="24"/>
          <w:lang w:val="en-GB"/>
        </w:rPr>
        <w:t>措施所做的努力</w:t>
      </w:r>
      <w:r w:rsidRPr="000C0842">
        <w:rPr>
          <w:rFonts w:eastAsia="SimSun"/>
          <w:sz w:val="24"/>
          <w:szCs w:val="24"/>
          <w:lang w:val="en-GB"/>
        </w:rPr>
        <w:t>,</w:t>
      </w:r>
    </w:p>
    <w:p w14:paraId="249EE2D8"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pacing w:val="-10"/>
          <w:sz w:val="24"/>
          <w:szCs w:val="24"/>
          <w:lang w:val="en-GB"/>
        </w:rPr>
      </w:pPr>
      <w:r w:rsidRPr="000C0842">
        <w:rPr>
          <w:rFonts w:eastAsia="KaiTi" w:hint="eastAsia"/>
          <w:spacing w:val="-10"/>
          <w:sz w:val="24"/>
          <w:szCs w:val="24"/>
          <w:lang w:val="en-GB"/>
        </w:rPr>
        <w:t>认识到</w:t>
      </w:r>
      <w:r w:rsidRPr="000C0842">
        <w:rPr>
          <w:rFonts w:eastAsia="SimSun" w:hint="eastAsia"/>
          <w:spacing w:val="-10"/>
          <w:sz w:val="24"/>
          <w:szCs w:val="24"/>
          <w:lang w:val="en-GB"/>
        </w:rPr>
        <w:t>加强国家对全球环境基金支持的活动的领导权、自主权和问责制的重要性，</w:t>
      </w:r>
    </w:p>
    <w:p w14:paraId="7E7148B7"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又认识到</w:t>
      </w:r>
      <w:r w:rsidRPr="000C0842">
        <w:rPr>
          <w:rFonts w:eastAsia="SimSun" w:hint="eastAsia"/>
          <w:sz w:val="24"/>
          <w:szCs w:val="24"/>
          <w:lang w:val="en-GB"/>
        </w:rPr>
        <w:t>多年来全球环境基金已采取措施提高其报告的质量，</w:t>
      </w:r>
    </w:p>
    <w:p w14:paraId="5AFF82EC"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iCs/>
          <w:sz w:val="24"/>
          <w:szCs w:val="24"/>
        </w:rPr>
        <w:t>还认识到</w:t>
      </w:r>
      <w:r w:rsidRPr="000C0842">
        <w:rPr>
          <w:rFonts w:eastAsia="SimSun"/>
          <w:sz w:val="24"/>
          <w:szCs w:val="24"/>
        </w:rPr>
        <w:t>并</w:t>
      </w:r>
      <w:r w:rsidRPr="000C0842">
        <w:rPr>
          <w:rFonts w:eastAsia="SimSun" w:hint="eastAsia"/>
          <w:sz w:val="24"/>
          <w:szCs w:val="24"/>
        </w:rPr>
        <w:t>认为</w:t>
      </w:r>
      <w:r w:rsidRPr="000C0842">
        <w:rPr>
          <w:rFonts w:eastAsia="SimSun"/>
          <w:sz w:val="24"/>
          <w:szCs w:val="24"/>
        </w:rPr>
        <w:t>与自然和谐相处</w:t>
      </w:r>
      <w:r w:rsidRPr="000C0842">
        <w:rPr>
          <w:rFonts w:eastAsia="SimSun" w:hint="eastAsia"/>
          <w:sz w:val="24"/>
          <w:szCs w:val="24"/>
        </w:rPr>
        <w:t>，</w:t>
      </w:r>
      <w:r w:rsidRPr="000C0842">
        <w:rPr>
          <w:rFonts w:eastAsia="SimSun"/>
          <w:sz w:val="24"/>
          <w:szCs w:val="24"/>
        </w:rPr>
        <w:t>与地球母亲平衡和谐相处，</w:t>
      </w:r>
      <w:r w:rsidRPr="000C0842">
        <w:rPr>
          <w:rFonts w:eastAsia="SimSun" w:hint="eastAsia"/>
          <w:sz w:val="24"/>
          <w:szCs w:val="24"/>
        </w:rPr>
        <w:t>对于</w:t>
      </w:r>
      <w:r w:rsidRPr="000C0842">
        <w:rPr>
          <w:rFonts w:eastAsia="SimSun"/>
          <w:sz w:val="24"/>
          <w:szCs w:val="24"/>
        </w:rPr>
        <w:t>实现人类福祉、地球健康和</w:t>
      </w:r>
      <w:r w:rsidRPr="000C0842">
        <w:rPr>
          <w:rFonts w:eastAsia="SimSun" w:hint="eastAsia"/>
          <w:sz w:val="24"/>
          <w:szCs w:val="24"/>
        </w:rPr>
        <w:t>普惠</w:t>
      </w:r>
      <w:r w:rsidRPr="000C0842">
        <w:rPr>
          <w:rFonts w:eastAsia="SimSun"/>
          <w:sz w:val="24"/>
          <w:szCs w:val="24"/>
        </w:rPr>
        <w:t>经济繁荣</w:t>
      </w:r>
      <w:r w:rsidRPr="000C0842">
        <w:rPr>
          <w:rFonts w:eastAsia="SimSun" w:hint="eastAsia"/>
          <w:sz w:val="24"/>
          <w:szCs w:val="24"/>
        </w:rPr>
        <w:t>，具有重要意义，</w:t>
      </w:r>
    </w:p>
    <w:p w14:paraId="174E8E0D"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iCs/>
          <w:sz w:val="24"/>
          <w:szCs w:val="24"/>
          <w:lang w:val="en-GB"/>
        </w:rPr>
      </w:pPr>
      <w:r w:rsidRPr="000C0842">
        <w:rPr>
          <w:rFonts w:eastAsia="KaiTi" w:hint="eastAsia"/>
          <w:sz w:val="24"/>
          <w:szCs w:val="24"/>
        </w:rPr>
        <w:t>欢迎</w:t>
      </w:r>
      <w:r w:rsidRPr="000C0842">
        <w:rPr>
          <w:rFonts w:eastAsia="SimSun"/>
          <w:sz w:val="24"/>
          <w:szCs w:val="24"/>
        </w:rPr>
        <w:t>全球环境基金</w:t>
      </w:r>
      <w:r w:rsidRPr="000C0842">
        <w:rPr>
          <w:rFonts w:eastAsia="SimSun" w:hint="eastAsia"/>
          <w:sz w:val="24"/>
          <w:szCs w:val="24"/>
        </w:rPr>
        <w:t>理事会</w:t>
      </w:r>
      <w:r w:rsidRPr="000C0842">
        <w:rPr>
          <w:rFonts w:eastAsia="SimSun"/>
          <w:sz w:val="24"/>
          <w:szCs w:val="24"/>
        </w:rPr>
        <w:t>提交缔约方大会第十六</w:t>
      </w:r>
      <w:r w:rsidRPr="000C0842">
        <w:rPr>
          <w:rFonts w:eastAsia="SimSun" w:hint="eastAsia"/>
          <w:sz w:val="24"/>
          <w:szCs w:val="24"/>
        </w:rPr>
        <w:t>届</w:t>
      </w:r>
      <w:r w:rsidRPr="000C0842">
        <w:rPr>
          <w:rFonts w:eastAsia="SimSun"/>
          <w:sz w:val="24"/>
          <w:szCs w:val="24"/>
        </w:rPr>
        <w:t>会议的报告</w:t>
      </w:r>
      <w:r w:rsidRPr="000C0842">
        <w:rPr>
          <w:rFonts w:eastAsia="SimSun"/>
          <w:iCs/>
          <w:sz w:val="24"/>
          <w:szCs w:val="24"/>
          <w:vertAlign w:val="superscript"/>
        </w:rPr>
        <w:footnoteReference w:id="441"/>
      </w:r>
      <w:r w:rsidRPr="000C0842">
        <w:rPr>
          <w:rFonts w:eastAsia="SimSun" w:hint="eastAsia"/>
          <w:sz w:val="24"/>
          <w:szCs w:val="24"/>
          <w:lang w:val="en-GB"/>
        </w:rPr>
        <w:t>，</w:t>
      </w:r>
      <w:r w:rsidRPr="000C0842">
        <w:rPr>
          <w:rFonts w:eastAsia="SimSun"/>
          <w:iCs/>
          <w:sz w:val="24"/>
          <w:szCs w:val="24"/>
        </w:rPr>
        <w:t>并</w:t>
      </w:r>
      <w:r w:rsidRPr="000C0842">
        <w:rPr>
          <w:rFonts w:eastAsia="SimSun" w:hint="eastAsia"/>
          <w:iCs/>
          <w:sz w:val="24"/>
          <w:szCs w:val="24"/>
        </w:rPr>
        <w:t>表示</w:t>
      </w:r>
      <w:r w:rsidRPr="000C0842">
        <w:rPr>
          <w:rFonts w:eastAsia="SimSun"/>
          <w:iCs/>
          <w:sz w:val="24"/>
          <w:szCs w:val="24"/>
        </w:rPr>
        <w:t>注意到第六次财务机制成效审查报告</w:t>
      </w:r>
      <w:r w:rsidRPr="000C0842">
        <w:rPr>
          <w:rFonts w:eastAsia="SimSun"/>
          <w:iCs/>
          <w:sz w:val="24"/>
          <w:szCs w:val="24"/>
          <w:vertAlign w:val="superscript"/>
          <w:lang w:val="en-GB"/>
        </w:rPr>
        <w:footnoteReference w:id="442"/>
      </w:r>
      <w:r w:rsidRPr="000C0842">
        <w:rPr>
          <w:rFonts w:eastAsia="SimSun" w:hint="eastAsia"/>
          <w:iCs/>
          <w:sz w:val="24"/>
          <w:szCs w:val="24"/>
        </w:rPr>
        <w:t>；</w:t>
      </w:r>
    </w:p>
    <w:p w14:paraId="3BAC34EE" w14:textId="77777777" w:rsidR="000A776A" w:rsidRPr="000C0842" w:rsidRDefault="000A776A" w:rsidP="000A776A">
      <w:pPr>
        <w:tabs>
          <w:tab w:val="clear" w:pos="567"/>
          <w:tab w:val="clear" w:pos="1134"/>
          <w:tab w:val="clear" w:pos="1701"/>
          <w:tab w:val="clear" w:pos="2268"/>
        </w:tabs>
        <w:spacing w:before="240"/>
        <w:ind w:firstLine="490"/>
        <w:rPr>
          <w:rFonts w:eastAsia="SimSun"/>
          <w:b/>
          <w:bCs/>
          <w:sz w:val="24"/>
          <w:szCs w:val="24"/>
          <w:lang w:val="en-GB"/>
        </w:rPr>
      </w:pPr>
      <w:r w:rsidRPr="000C0842">
        <w:rPr>
          <w:rFonts w:eastAsia="SimSun" w:hint="eastAsia"/>
          <w:b/>
          <w:bCs/>
          <w:sz w:val="24"/>
          <w:szCs w:val="24"/>
          <w:lang w:val="en-GB"/>
        </w:rPr>
        <w:t>一</w:t>
      </w:r>
    </w:p>
    <w:p w14:paraId="58776EBE" w14:textId="77777777" w:rsidR="000A776A" w:rsidRPr="000C0842" w:rsidRDefault="000A776A" w:rsidP="000A776A">
      <w:pPr>
        <w:tabs>
          <w:tab w:val="clear" w:pos="567"/>
          <w:tab w:val="clear" w:pos="1134"/>
          <w:tab w:val="clear" w:pos="1701"/>
          <w:tab w:val="clear" w:pos="2268"/>
        </w:tabs>
        <w:spacing w:after="120"/>
        <w:ind w:firstLine="490"/>
        <w:rPr>
          <w:rFonts w:eastAsia="SimSun"/>
          <w:b/>
          <w:bCs/>
          <w:sz w:val="24"/>
          <w:szCs w:val="24"/>
          <w:lang w:val="en-GB"/>
        </w:rPr>
      </w:pPr>
      <w:r w:rsidRPr="000C0842">
        <w:rPr>
          <w:rFonts w:eastAsia="SimSun"/>
          <w:b/>
          <w:bCs/>
          <w:sz w:val="24"/>
          <w:szCs w:val="24"/>
          <w:lang w:val="en-GB"/>
        </w:rPr>
        <w:t>全球环境基金信托基金</w:t>
      </w:r>
    </w:p>
    <w:p w14:paraId="78E05885"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iCs/>
          <w:sz w:val="24"/>
          <w:szCs w:val="24"/>
        </w:rPr>
        <w:t>请</w:t>
      </w:r>
      <w:r w:rsidRPr="000C0842">
        <w:rPr>
          <w:rFonts w:eastAsia="SimSun" w:hint="eastAsia"/>
          <w:sz w:val="24"/>
          <w:szCs w:val="24"/>
        </w:rPr>
        <w:t>全球环境基金</w:t>
      </w:r>
      <w:r w:rsidRPr="000C0842">
        <w:rPr>
          <w:rFonts w:eastAsia="SimSun"/>
          <w:sz w:val="24"/>
          <w:szCs w:val="24"/>
        </w:rPr>
        <w:t>与</w:t>
      </w:r>
      <w:r w:rsidRPr="000C0842">
        <w:rPr>
          <w:rFonts w:eastAsia="SimSun" w:hint="eastAsia"/>
          <w:sz w:val="24"/>
          <w:szCs w:val="24"/>
        </w:rPr>
        <w:t>《生物多样性公约》</w:t>
      </w:r>
      <w:r w:rsidRPr="000C0842">
        <w:rPr>
          <w:rFonts w:eastAsia="SimSun"/>
          <w:sz w:val="24"/>
          <w:szCs w:val="24"/>
        </w:rPr>
        <w:t>执行秘书</w:t>
      </w:r>
      <w:r w:rsidRPr="000C0842">
        <w:rPr>
          <w:rFonts w:eastAsia="SimSun" w:hint="eastAsia"/>
          <w:sz w:val="24"/>
          <w:szCs w:val="24"/>
        </w:rPr>
        <w:t>协作</w:t>
      </w:r>
      <w:r w:rsidRPr="000C0842">
        <w:rPr>
          <w:rFonts w:eastAsia="SimSun"/>
          <w:sz w:val="24"/>
          <w:szCs w:val="24"/>
          <w:lang w:val="en-GB"/>
        </w:rPr>
        <w:t>，鼓励符合条件的</w:t>
      </w:r>
      <w:r w:rsidRPr="000C0842">
        <w:rPr>
          <w:rFonts w:eastAsia="SimSun" w:hint="eastAsia"/>
          <w:sz w:val="24"/>
          <w:szCs w:val="24"/>
          <w:lang w:val="en-GB"/>
        </w:rPr>
        <w:t>缔约方</w:t>
      </w:r>
      <w:r w:rsidRPr="000C0842">
        <w:rPr>
          <w:rFonts w:eastAsia="SimSun"/>
          <w:sz w:val="24"/>
          <w:szCs w:val="24"/>
          <w:lang w:val="en-GB"/>
        </w:rPr>
        <w:t>提交项目提案，以支持执行《</w:t>
      </w:r>
      <w:r w:rsidRPr="000C0842">
        <w:rPr>
          <w:rFonts w:eastAsia="SimSun" w:hint="eastAsia"/>
          <w:sz w:val="24"/>
          <w:szCs w:val="24"/>
          <w:lang w:val="en-GB"/>
        </w:rPr>
        <w:t>昆明</w:t>
      </w:r>
      <w:r w:rsidRPr="000C0842">
        <w:rPr>
          <w:rFonts w:eastAsia="SimSun" w:hint="eastAsia"/>
          <w:sz w:val="24"/>
          <w:szCs w:val="24"/>
          <w:lang w:val="en-GB"/>
        </w:rPr>
        <w:t>-</w:t>
      </w:r>
      <w:r w:rsidRPr="000C0842">
        <w:rPr>
          <w:rFonts w:eastAsia="SimSun" w:hint="eastAsia"/>
          <w:sz w:val="24"/>
          <w:szCs w:val="24"/>
          <w:lang w:val="en-GB"/>
        </w:rPr>
        <w:t>蒙特利尔全球生物多样性</w:t>
      </w:r>
      <w:r w:rsidRPr="000C0842">
        <w:rPr>
          <w:rFonts w:eastAsia="SimSun"/>
          <w:sz w:val="24"/>
          <w:szCs w:val="24"/>
          <w:lang w:val="en-GB"/>
        </w:rPr>
        <w:t>框架》</w:t>
      </w:r>
      <w:r w:rsidRPr="000C0842">
        <w:rPr>
          <w:rFonts w:eastAsia="SimSun"/>
          <w:sz w:val="24"/>
          <w:szCs w:val="24"/>
          <w:lang w:val="en-GB"/>
        </w:rPr>
        <w:t xml:space="preserve"> </w:t>
      </w:r>
      <w:r w:rsidRPr="000C0842">
        <w:rPr>
          <w:rFonts w:eastAsia="SimSun"/>
          <w:sz w:val="24"/>
          <w:szCs w:val="24"/>
          <w:lang w:val="en-GB"/>
        </w:rPr>
        <w:t>行动目标</w:t>
      </w:r>
      <w:r w:rsidRPr="000C0842">
        <w:rPr>
          <w:rFonts w:eastAsia="SimSun"/>
          <w:sz w:val="24"/>
          <w:szCs w:val="24"/>
          <w:lang w:val="en-GB"/>
        </w:rPr>
        <w:t xml:space="preserve"> 17 </w:t>
      </w:r>
      <w:r w:rsidRPr="000C0842">
        <w:rPr>
          <w:rFonts w:eastAsia="SimSun" w:hint="eastAsia"/>
          <w:sz w:val="24"/>
          <w:szCs w:val="24"/>
          <w:lang w:val="en-GB"/>
        </w:rPr>
        <w:t>和</w:t>
      </w:r>
      <w:r w:rsidRPr="000C0842">
        <w:rPr>
          <w:rFonts w:eastAsia="SimSun"/>
          <w:sz w:val="24"/>
          <w:szCs w:val="24"/>
          <w:lang w:val="en-GB"/>
        </w:rPr>
        <w:t>《卡塔赫纳</w:t>
      </w:r>
      <w:r w:rsidRPr="000C0842">
        <w:rPr>
          <w:rFonts w:eastAsia="SimSun" w:hint="eastAsia"/>
          <w:sz w:val="24"/>
          <w:szCs w:val="24"/>
          <w:lang w:val="en-GB"/>
        </w:rPr>
        <w:t>生物安全</w:t>
      </w:r>
      <w:r w:rsidRPr="000C0842">
        <w:rPr>
          <w:rFonts w:eastAsia="SimSun"/>
          <w:sz w:val="24"/>
          <w:szCs w:val="24"/>
          <w:lang w:val="en-GB"/>
        </w:rPr>
        <w:t>议定书</w:t>
      </w:r>
      <w:r w:rsidRPr="000C0842">
        <w:rPr>
          <w:rFonts w:eastAsia="SimSun" w:hint="eastAsia"/>
          <w:sz w:val="24"/>
          <w:szCs w:val="24"/>
          <w:lang w:val="en-GB"/>
        </w:rPr>
        <w:t>》的</w:t>
      </w:r>
      <w:r w:rsidRPr="000C0842">
        <w:rPr>
          <w:rFonts w:eastAsia="SimSun"/>
          <w:sz w:val="24"/>
          <w:szCs w:val="24"/>
          <w:lang w:val="en-GB"/>
        </w:rPr>
        <w:t>执行计划</w:t>
      </w:r>
      <w:r w:rsidRPr="000C0842">
        <w:rPr>
          <w:rFonts w:eastAsia="SimSun"/>
          <w:sz w:val="24"/>
          <w:szCs w:val="24"/>
          <w:vertAlign w:val="superscript"/>
          <w:lang w:val="en-GB"/>
        </w:rPr>
        <w:footnoteReference w:id="443"/>
      </w:r>
      <w:r w:rsidRPr="000C0842">
        <w:rPr>
          <w:rFonts w:eastAsia="SimSun"/>
          <w:sz w:val="24"/>
          <w:szCs w:val="24"/>
          <w:lang w:val="en-GB"/>
        </w:rPr>
        <w:t>和能力建设行动计划</w:t>
      </w:r>
      <w:r w:rsidRPr="000C0842">
        <w:rPr>
          <w:rFonts w:eastAsia="KaiTi"/>
          <w:iCs/>
          <w:sz w:val="24"/>
          <w:szCs w:val="24"/>
          <w:vertAlign w:val="superscript"/>
        </w:rPr>
        <w:footnoteReference w:id="444"/>
      </w:r>
      <w:r w:rsidRPr="000C0842">
        <w:rPr>
          <w:rFonts w:eastAsia="SimSun"/>
          <w:sz w:val="24"/>
          <w:szCs w:val="24"/>
          <w:lang w:val="en-GB"/>
        </w:rPr>
        <w:t>；</w:t>
      </w:r>
    </w:p>
    <w:p w14:paraId="51B0DCED"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iCs/>
          <w:sz w:val="24"/>
          <w:szCs w:val="24"/>
        </w:rPr>
        <w:t>邀请</w:t>
      </w:r>
      <w:r w:rsidRPr="000C0842">
        <w:rPr>
          <w:rFonts w:eastAsia="SimSun"/>
          <w:sz w:val="24"/>
          <w:szCs w:val="24"/>
          <w:lang w:val="en-GB"/>
        </w:rPr>
        <w:t>《</w:t>
      </w:r>
      <w:r w:rsidRPr="000C0842">
        <w:rPr>
          <w:rFonts w:eastAsia="SimSun"/>
          <w:iCs/>
          <w:sz w:val="24"/>
          <w:szCs w:val="24"/>
        </w:rPr>
        <w:t>卡塔赫纳议定书》相关缔约方主动</w:t>
      </w:r>
      <w:r w:rsidRPr="000C0842">
        <w:rPr>
          <w:rFonts w:eastAsia="SimSun" w:hint="eastAsia"/>
          <w:iCs/>
          <w:sz w:val="24"/>
          <w:szCs w:val="24"/>
        </w:rPr>
        <w:t>申领</w:t>
      </w:r>
      <w:r w:rsidRPr="000C0842">
        <w:rPr>
          <w:rFonts w:eastAsia="SimSun"/>
          <w:iCs/>
          <w:sz w:val="24"/>
          <w:szCs w:val="24"/>
        </w:rPr>
        <w:t>第八次增资方案</w:t>
      </w:r>
      <w:r w:rsidRPr="000C0842">
        <w:rPr>
          <w:rFonts w:eastAsia="SimSun" w:hint="eastAsia"/>
          <w:iCs/>
          <w:sz w:val="24"/>
          <w:szCs w:val="24"/>
        </w:rPr>
        <w:t>编制</w:t>
      </w:r>
      <w:r w:rsidRPr="000C0842">
        <w:rPr>
          <w:rFonts w:eastAsia="SimSun"/>
          <w:iCs/>
          <w:sz w:val="24"/>
          <w:szCs w:val="24"/>
        </w:rPr>
        <w:t>指南中</w:t>
      </w:r>
      <w:r w:rsidRPr="000C0842">
        <w:rPr>
          <w:rFonts w:eastAsia="SimSun" w:hint="eastAsia"/>
          <w:iCs/>
          <w:sz w:val="24"/>
          <w:szCs w:val="24"/>
        </w:rPr>
        <w:t>划拨给该</w:t>
      </w:r>
      <w:r w:rsidRPr="000C0842">
        <w:rPr>
          <w:rFonts w:eastAsia="SimSun"/>
          <w:iCs/>
          <w:sz w:val="24"/>
          <w:szCs w:val="24"/>
        </w:rPr>
        <w:t>《议定书》的名义</w:t>
      </w:r>
      <w:r w:rsidRPr="000C0842">
        <w:rPr>
          <w:rFonts w:eastAsia="SimSun" w:hint="eastAsia"/>
          <w:iCs/>
          <w:sz w:val="24"/>
          <w:szCs w:val="24"/>
        </w:rPr>
        <w:t>款项</w:t>
      </w:r>
      <w:r w:rsidRPr="000C0842">
        <w:rPr>
          <w:rFonts w:eastAsia="SimSun"/>
          <w:iCs/>
          <w:sz w:val="24"/>
          <w:szCs w:val="24"/>
        </w:rPr>
        <w:t>；</w:t>
      </w:r>
    </w:p>
    <w:p w14:paraId="09185E9F"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KaiTi"/>
          <w:iCs/>
          <w:sz w:val="24"/>
          <w:szCs w:val="24"/>
        </w:rPr>
      </w:pPr>
      <w:r w:rsidRPr="000C0842">
        <w:rPr>
          <w:rFonts w:eastAsia="KaiTi"/>
          <w:iCs/>
          <w:sz w:val="24"/>
          <w:szCs w:val="24"/>
        </w:rPr>
        <w:t>请</w:t>
      </w:r>
      <w:r w:rsidRPr="000C0842">
        <w:rPr>
          <w:rFonts w:eastAsia="SimSun"/>
          <w:sz w:val="24"/>
          <w:szCs w:val="24"/>
          <w:lang w:val="en-GB"/>
        </w:rPr>
        <w:t>执行秘书和全球环境基金</w:t>
      </w:r>
      <w:r w:rsidRPr="000C0842">
        <w:rPr>
          <w:rFonts w:eastAsia="SimSun" w:hint="eastAsia"/>
          <w:sz w:val="24"/>
          <w:szCs w:val="24"/>
          <w:lang w:val="en-GB"/>
        </w:rPr>
        <w:t>便利分享</w:t>
      </w:r>
      <w:r w:rsidRPr="000C0842">
        <w:rPr>
          <w:rFonts w:eastAsia="SimSun"/>
          <w:sz w:val="24"/>
          <w:szCs w:val="24"/>
          <w:lang w:val="en-GB"/>
        </w:rPr>
        <w:t>项目开发和执行</w:t>
      </w:r>
      <w:r w:rsidRPr="000C0842">
        <w:rPr>
          <w:rFonts w:eastAsia="SimSun" w:hint="eastAsia"/>
          <w:sz w:val="24"/>
          <w:szCs w:val="24"/>
          <w:lang w:val="en-GB"/>
        </w:rPr>
        <w:t>的</w:t>
      </w:r>
      <w:r w:rsidRPr="000C0842">
        <w:rPr>
          <w:rFonts w:eastAsia="SimSun"/>
          <w:sz w:val="24"/>
          <w:szCs w:val="24"/>
          <w:lang w:val="en-GB"/>
        </w:rPr>
        <w:t>经验和知识，支持执行《昆蒙框架》行动目标</w:t>
      </w:r>
      <w:r w:rsidRPr="000C0842">
        <w:rPr>
          <w:rFonts w:eastAsia="SimSun"/>
          <w:sz w:val="24"/>
          <w:szCs w:val="24"/>
          <w:lang w:val="en-GB"/>
        </w:rPr>
        <w:t xml:space="preserve"> 13</w:t>
      </w:r>
      <w:r w:rsidRPr="000C0842">
        <w:rPr>
          <w:rFonts w:eastAsia="KaiTi"/>
          <w:iCs/>
          <w:sz w:val="24"/>
          <w:szCs w:val="24"/>
        </w:rPr>
        <w:t>；</w:t>
      </w:r>
    </w:p>
    <w:p w14:paraId="06F2AA2B"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KaiTi"/>
          <w:iCs/>
          <w:sz w:val="24"/>
          <w:szCs w:val="24"/>
        </w:rPr>
      </w:pPr>
      <w:r w:rsidRPr="000C0842">
        <w:rPr>
          <w:rFonts w:eastAsia="KaiTi"/>
          <w:iCs/>
          <w:sz w:val="24"/>
          <w:szCs w:val="24"/>
        </w:rPr>
        <w:t>邀请</w:t>
      </w:r>
      <w:r w:rsidRPr="000C0842">
        <w:rPr>
          <w:rFonts w:eastAsia="SimSun"/>
          <w:sz w:val="24"/>
          <w:szCs w:val="24"/>
          <w:lang w:val="en-GB"/>
        </w:rPr>
        <w:t>《关于获取遗传资源和公正和公平分享其利用所产生惠益的名古屋议定书》相关缔约方主动</w:t>
      </w:r>
      <w:r w:rsidRPr="000C0842">
        <w:rPr>
          <w:rFonts w:eastAsia="SimSun" w:hint="eastAsia"/>
          <w:sz w:val="24"/>
          <w:szCs w:val="24"/>
          <w:lang w:val="en-GB"/>
        </w:rPr>
        <w:t>申领</w:t>
      </w:r>
      <w:r w:rsidRPr="000C0842">
        <w:rPr>
          <w:rFonts w:eastAsia="SimSun"/>
          <w:sz w:val="24"/>
          <w:szCs w:val="24"/>
          <w:lang w:val="en-GB"/>
        </w:rPr>
        <w:t>第八次增资方案</w:t>
      </w:r>
      <w:r w:rsidRPr="000C0842">
        <w:rPr>
          <w:rFonts w:eastAsia="SimSun" w:hint="eastAsia"/>
          <w:sz w:val="24"/>
          <w:szCs w:val="24"/>
          <w:lang w:val="en-GB"/>
        </w:rPr>
        <w:t>编制</w:t>
      </w:r>
      <w:r w:rsidRPr="000C0842">
        <w:rPr>
          <w:rFonts w:eastAsia="SimSun"/>
          <w:sz w:val="24"/>
          <w:szCs w:val="24"/>
          <w:lang w:val="en-GB"/>
        </w:rPr>
        <w:t>指南中</w:t>
      </w:r>
      <w:r w:rsidRPr="000C0842">
        <w:rPr>
          <w:rFonts w:eastAsia="SimSun" w:hint="eastAsia"/>
          <w:sz w:val="24"/>
          <w:szCs w:val="24"/>
          <w:lang w:val="en-GB"/>
        </w:rPr>
        <w:t>划拨给该</w:t>
      </w:r>
      <w:r w:rsidRPr="000C0842">
        <w:rPr>
          <w:rFonts w:eastAsia="SimSun"/>
          <w:sz w:val="24"/>
          <w:szCs w:val="24"/>
          <w:lang w:val="en-GB"/>
        </w:rPr>
        <w:t>《议定书》的名义</w:t>
      </w:r>
      <w:r w:rsidRPr="000C0842">
        <w:rPr>
          <w:rFonts w:eastAsia="SimSun" w:hint="eastAsia"/>
          <w:sz w:val="24"/>
          <w:szCs w:val="24"/>
          <w:lang w:val="en-GB"/>
        </w:rPr>
        <w:t>款项</w:t>
      </w:r>
      <w:r w:rsidRPr="000C0842">
        <w:rPr>
          <w:rFonts w:eastAsia="SimSun"/>
          <w:sz w:val="24"/>
          <w:szCs w:val="24"/>
          <w:lang w:val="en-GB"/>
        </w:rPr>
        <w:t>；</w:t>
      </w:r>
    </w:p>
    <w:p w14:paraId="2676F423"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iCs/>
          <w:sz w:val="24"/>
          <w:szCs w:val="24"/>
          <w:lang w:val="en-GB"/>
        </w:rPr>
      </w:pPr>
      <w:r w:rsidRPr="000C0842">
        <w:rPr>
          <w:rFonts w:ascii="KaiTi" w:eastAsia="KaiTi" w:hAnsi="KaiTi" w:hint="eastAsia"/>
          <w:iCs/>
          <w:sz w:val="24"/>
          <w:szCs w:val="24"/>
          <w:lang w:val="en-GB"/>
        </w:rPr>
        <w:t>请</w:t>
      </w:r>
      <w:r w:rsidRPr="000C0842">
        <w:rPr>
          <w:rFonts w:eastAsia="SimSun" w:hint="eastAsia"/>
          <w:iCs/>
          <w:sz w:val="24"/>
          <w:szCs w:val="24"/>
          <w:lang w:val="en-GB"/>
        </w:rPr>
        <w:t>全球环境基金与</w:t>
      </w:r>
      <w:r w:rsidRPr="000C0842">
        <w:rPr>
          <w:rFonts w:eastAsia="SimSun" w:hint="eastAsia"/>
          <w:lang w:val="en-GB"/>
        </w:rPr>
        <w:t>符合条件的</w:t>
      </w:r>
      <w:r w:rsidRPr="000C0842">
        <w:rPr>
          <w:rFonts w:eastAsia="SimSun" w:hint="eastAsia"/>
          <w:iCs/>
          <w:sz w:val="24"/>
          <w:szCs w:val="24"/>
          <w:lang w:val="en-GB"/>
        </w:rPr>
        <w:t>缔约方协作，查明议定书现有名义拨款利用不足的原因，提出解决这些问题的适当措施，以提高利用率，并在理事会提交缔约方大会的下一份报告中提供相关信息；</w:t>
      </w:r>
    </w:p>
    <w:p w14:paraId="3C80A540"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KaiTi"/>
          <w:iCs/>
          <w:sz w:val="24"/>
          <w:szCs w:val="24"/>
        </w:rPr>
      </w:pPr>
      <w:r w:rsidRPr="000C0842">
        <w:rPr>
          <w:rFonts w:ascii="KaiTi" w:eastAsia="KaiTi" w:hAnsi="KaiTi"/>
          <w:sz w:val="24"/>
          <w:szCs w:val="24"/>
          <w:lang w:val="en-GB"/>
        </w:rPr>
        <w:t>鼓励</w:t>
      </w:r>
      <w:r w:rsidRPr="000C0842">
        <w:rPr>
          <w:rFonts w:eastAsia="SimSun" w:hint="eastAsia"/>
          <w:iCs/>
          <w:sz w:val="24"/>
          <w:szCs w:val="24"/>
          <w:lang w:val="en-GB"/>
        </w:rPr>
        <w:t>全球环境</w:t>
      </w:r>
      <w:r w:rsidRPr="000C0842">
        <w:rPr>
          <w:rFonts w:eastAsia="SimSun"/>
          <w:sz w:val="24"/>
          <w:szCs w:val="24"/>
          <w:lang w:val="en-GB"/>
        </w:rPr>
        <w:t>基金继续探索可能的机会，最大限度地扩大其综合方案对执行《</w:t>
      </w:r>
      <w:r w:rsidRPr="000C0842">
        <w:rPr>
          <w:rFonts w:eastAsia="SimSun" w:hint="eastAsia"/>
          <w:sz w:val="24"/>
          <w:szCs w:val="24"/>
          <w:lang w:val="en-GB"/>
        </w:rPr>
        <w:t>昆蒙</w:t>
      </w:r>
      <w:r w:rsidRPr="000C0842">
        <w:rPr>
          <w:rFonts w:eastAsia="SimSun"/>
          <w:sz w:val="24"/>
          <w:szCs w:val="24"/>
          <w:lang w:val="en-GB"/>
        </w:rPr>
        <w:t>框架》的贡献，包括</w:t>
      </w:r>
      <w:r w:rsidRPr="000C0842">
        <w:rPr>
          <w:rFonts w:eastAsia="SimSun" w:hint="eastAsia"/>
          <w:sz w:val="24"/>
          <w:szCs w:val="24"/>
          <w:lang w:val="en-GB"/>
        </w:rPr>
        <w:t>通过对</w:t>
      </w:r>
      <w:r w:rsidRPr="000C0842">
        <w:rPr>
          <w:rFonts w:eastAsia="SimSun"/>
          <w:sz w:val="24"/>
          <w:szCs w:val="24"/>
          <w:lang w:val="en-GB"/>
        </w:rPr>
        <w:t>土著人民和地方社区、妇女和青年</w:t>
      </w:r>
      <w:r w:rsidRPr="000C0842">
        <w:rPr>
          <w:rFonts w:eastAsia="SimSun" w:hint="eastAsia"/>
          <w:sz w:val="24"/>
          <w:szCs w:val="24"/>
          <w:lang w:val="en-GB"/>
        </w:rPr>
        <w:t>的</w:t>
      </w:r>
      <w:r w:rsidRPr="000C0842">
        <w:rPr>
          <w:rFonts w:eastAsia="SimSun"/>
          <w:sz w:val="24"/>
          <w:szCs w:val="24"/>
          <w:lang w:val="en-GB"/>
        </w:rPr>
        <w:t>专项支持；</w:t>
      </w:r>
    </w:p>
    <w:p w14:paraId="2E506D7B"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KaiTi"/>
          <w:iCs/>
          <w:sz w:val="24"/>
          <w:szCs w:val="24"/>
        </w:rPr>
      </w:pPr>
      <w:r w:rsidRPr="000C0842">
        <w:rPr>
          <w:rFonts w:ascii="KaiTi" w:eastAsia="KaiTi" w:hAnsi="KaiTi"/>
          <w:sz w:val="24"/>
          <w:szCs w:val="24"/>
          <w:lang w:val="en-GB"/>
        </w:rPr>
        <w:t>鼓励</w:t>
      </w:r>
      <w:r w:rsidRPr="000C0842">
        <w:rPr>
          <w:rFonts w:eastAsia="SimSun" w:hint="eastAsia"/>
          <w:iCs/>
          <w:sz w:val="24"/>
          <w:szCs w:val="24"/>
          <w:lang w:val="en-GB"/>
        </w:rPr>
        <w:t>全球环境</w:t>
      </w:r>
      <w:r w:rsidRPr="000C0842">
        <w:rPr>
          <w:rFonts w:ascii="KaiTi" w:eastAsia="SimSun" w:hAnsi="KaiTi"/>
          <w:sz w:val="24"/>
          <w:szCs w:val="24"/>
          <w:lang w:val="en-GB"/>
        </w:rPr>
        <w:t>基金和</w:t>
      </w:r>
      <w:r w:rsidRPr="000C0842">
        <w:rPr>
          <w:rFonts w:eastAsia="SimSun" w:hint="eastAsia"/>
          <w:lang w:val="en-GB"/>
        </w:rPr>
        <w:t>符合条件的</w:t>
      </w:r>
      <w:r w:rsidRPr="000C0842">
        <w:rPr>
          <w:rFonts w:ascii="KaiTi" w:eastAsia="SimSun" w:hAnsi="KaiTi" w:hint="eastAsia"/>
          <w:sz w:val="24"/>
          <w:szCs w:val="24"/>
          <w:lang w:val="en-GB"/>
        </w:rPr>
        <w:t>缔约方</w:t>
      </w:r>
      <w:r w:rsidRPr="000C0842">
        <w:rPr>
          <w:rFonts w:ascii="KaiTi" w:eastAsia="SimSun" w:hAnsi="KaiTi"/>
          <w:sz w:val="24"/>
          <w:szCs w:val="24"/>
          <w:lang w:val="en-GB"/>
        </w:rPr>
        <w:t>保持国际水域重点领域对执行</w:t>
      </w:r>
      <w:r w:rsidRPr="000C0842">
        <w:rPr>
          <w:rFonts w:eastAsia="SimSun"/>
          <w:sz w:val="24"/>
          <w:szCs w:val="24"/>
          <w:lang w:val="en-GB"/>
        </w:rPr>
        <w:t>《昆蒙框架》的贡献，并根据国情和优先事项，将这一做法扩展到其他重点领域，包括气候变化、土地退化</w:t>
      </w:r>
      <w:r w:rsidRPr="000C0842">
        <w:rPr>
          <w:rFonts w:eastAsia="SimSun" w:hint="eastAsia"/>
          <w:sz w:val="24"/>
          <w:szCs w:val="24"/>
          <w:lang w:val="en-GB"/>
        </w:rPr>
        <w:t>、</w:t>
      </w:r>
      <w:r w:rsidRPr="000C0842">
        <w:rPr>
          <w:rFonts w:eastAsia="SimSun"/>
          <w:sz w:val="24"/>
          <w:szCs w:val="24"/>
          <w:lang w:val="en-GB"/>
        </w:rPr>
        <w:t>化学品和废物等领域；</w:t>
      </w:r>
    </w:p>
    <w:p w14:paraId="5E84CA5E"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sz w:val="24"/>
          <w:szCs w:val="24"/>
          <w:lang w:val="en-GB"/>
        </w:rPr>
        <w:t>邀请</w:t>
      </w:r>
      <w:r w:rsidRPr="000C0842">
        <w:rPr>
          <w:rFonts w:ascii="KaiTi" w:eastAsia="SimSun" w:hAnsi="KaiTi" w:hint="eastAsia"/>
          <w:sz w:val="24"/>
          <w:szCs w:val="24"/>
          <w:lang w:val="en-GB"/>
        </w:rPr>
        <w:t>发达国家缔约方和自愿承担发达国家缔约方义务的其他缔约方以及</w:t>
      </w:r>
      <w:r w:rsidRPr="000C0842">
        <w:rPr>
          <w:rFonts w:ascii="KaiTi" w:eastAsia="SimSun" w:hAnsi="KaiTi"/>
          <w:sz w:val="24"/>
          <w:szCs w:val="24"/>
          <w:lang w:val="en-GB"/>
        </w:rPr>
        <w:t>其他国家政府参与</w:t>
      </w:r>
      <w:r w:rsidRPr="000C0842">
        <w:rPr>
          <w:rFonts w:eastAsia="SimSun" w:hint="eastAsia"/>
          <w:iCs/>
          <w:sz w:val="24"/>
          <w:szCs w:val="24"/>
          <w:lang w:val="en-GB"/>
        </w:rPr>
        <w:t>全球环境</w:t>
      </w:r>
      <w:r w:rsidRPr="000C0842">
        <w:rPr>
          <w:rFonts w:ascii="KaiTi" w:eastAsia="SimSun" w:hAnsi="KaiTi"/>
          <w:sz w:val="24"/>
          <w:szCs w:val="24"/>
          <w:lang w:val="en-GB"/>
        </w:rPr>
        <w:t>基金信托基金的第九次增资</w:t>
      </w:r>
      <w:r w:rsidRPr="000C0842">
        <w:rPr>
          <w:rFonts w:eastAsia="SimSun"/>
          <w:sz w:val="24"/>
          <w:szCs w:val="24"/>
          <w:lang w:val="en-GB"/>
        </w:rPr>
        <w:t>，支持符合条件的发展中国家</w:t>
      </w:r>
      <w:r w:rsidRPr="000C0842">
        <w:rPr>
          <w:rFonts w:eastAsia="SimSun" w:hint="eastAsia"/>
          <w:sz w:val="24"/>
          <w:szCs w:val="24"/>
          <w:lang w:val="en-GB"/>
        </w:rPr>
        <w:t>缔约方</w:t>
      </w:r>
      <w:r w:rsidRPr="000C0842">
        <w:rPr>
          <w:rFonts w:eastAsia="SimSun"/>
          <w:sz w:val="24"/>
          <w:szCs w:val="24"/>
          <w:lang w:val="en-GB"/>
        </w:rPr>
        <w:t>尤其是最不发达国家和小岛屿发展中国家</w:t>
      </w:r>
      <w:r w:rsidRPr="000C0842">
        <w:rPr>
          <w:rFonts w:eastAsia="SimSun" w:hint="eastAsia"/>
          <w:sz w:val="24"/>
          <w:szCs w:val="24"/>
          <w:lang w:val="en-GB"/>
        </w:rPr>
        <w:t>和经济转型缔约方</w:t>
      </w:r>
      <w:r w:rsidRPr="000C0842">
        <w:rPr>
          <w:rFonts w:eastAsia="SimSun"/>
          <w:sz w:val="24"/>
          <w:szCs w:val="24"/>
          <w:lang w:val="en-GB"/>
        </w:rPr>
        <w:t>；</w:t>
      </w:r>
    </w:p>
    <w:p w14:paraId="27546B51"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iCs/>
          <w:sz w:val="24"/>
          <w:szCs w:val="24"/>
          <w:lang w:val="en-GB"/>
        </w:rPr>
      </w:pPr>
      <w:r w:rsidRPr="000C0842">
        <w:rPr>
          <w:rFonts w:ascii="KaiTi" w:eastAsia="KaiTi" w:hAnsi="KaiTi"/>
          <w:iCs/>
          <w:sz w:val="24"/>
          <w:szCs w:val="24"/>
          <w:lang w:val="en-GB"/>
        </w:rPr>
        <w:t>请</w:t>
      </w:r>
      <w:r w:rsidRPr="000C0842">
        <w:rPr>
          <w:rFonts w:eastAsia="SimSun"/>
          <w:iCs/>
          <w:sz w:val="24"/>
          <w:szCs w:val="24"/>
          <w:lang w:val="en-GB"/>
        </w:rPr>
        <w:t>全球环境基金及其理事会考虑如何将以地球母亲为中心的行动纳入</w:t>
      </w:r>
      <w:r w:rsidRPr="000C0842">
        <w:rPr>
          <w:rFonts w:eastAsia="SimSun" w:hint="eastAsia"/>
          <w:iCs/>
          <w:sz w:val="24"/>
          <w:szCs w:val="24"/>
          <w:lang w:val="en-GB"/>
        </w:rPr>
        <w:t>全球环境基金</w:t>
      </w:r>
      <w:r w:rsidRPr="000C0842">
        <w:rPr>
          <w:rFonts w:eastAsia="SimSun"/>
          <w:iCs/>
          <w:sz w:val="24"/>
          <w:szCs w:val="24"/>
          <w:lang w:val="en-GB"/>
        </w:rPr>
        <w:t>和全球生物多样性框架基金的方案</w:t>
      </w:r>
      <w:r w:rsidRPr="000C0842">
        <w:rPr>
          <w:rFonts w:eastAsia="SimSun" w:hint="eastAsia"/>
          <w:iCs/>
          <w:sz w:val="24"/>
          <w:szCs w:val="24"/>
          <w:lang w:val="en-GB"/>
        </w:rPr>
        <w:t>编制指南</w:t>
      </w:r>
      <w:r w:rsidRPr="000C0842">
        <w:rPr>
          <w:rFonts w:eastAsia="SimSun"/>
          <w:iCs/>
          <w:sz w:val="24"/>
          <w:szCs w:val="24"/>
          <w:lang w:val="en-GB"/>
        </w:rPr>
        <w:t>;</w:t>
      </w:r>
    </w:p>
    <w:p w14:paraId="6CA5BCDE"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iCs/>
          <w:sz w:val="24"/>
          <w:szCs w:val="24"/>
          <w:lang w:val="en-GB"/>
        </w:rPr>
        <w:t>强调</w:t>
      </w:r>
      <w:r w:rsidRPr="000C0842">
        <w:rPr>
          <w:rFonts w:eastAsia="SimSun"/>
          <w:iCs/>
          <w:sz w:val="24"/>
          <w:szCs w:val="24"/>
          <w:lang w:val="en-GB"/>
        </w:rPr>
        <w:t>必须向发展中国家</w:t>
      </w:r>
      <w:r w:rsidRPr="000C0842">
        <w:rPr>
          <w:rFonts w:eastAsia="SimSun" w:hint="eastAsia"/>
          <w:iCs/>
          <w:sz w:val="24"/>
          <w:szCs w:val="24"/>
          <w:lang w:val="en-GB"/>
        </w:rPr>
        <w:t>缔约方</w:t>
      </w:r>
      <w:r w:rsidRPr="000C0842">
        <w:rPr>
          <w:rFonts w:eastAsia="SimSun"/>
          <w:iCs/>
          <w:sz w:val="24"/>
          <w:szCs w:val="24"/>
          <w:lang w:val="en-GB"/>
        </w:rPr>
        <w:t>提供</w:t>
      </w:r>
      <w:r w:rsidRPr="000C0842">
        <w:rPr>
          <w:rFonts w:eastAsia="SimSun" w:hint="eastAsia"/>
          <w:iCs/>
          <w:sz w:val="24"/>
          <w:szCs w:val="24"/>
          <w:lang w:val="en-GB"/>
        </w:rPr>
        <w:t>适足</w:t>
      </w:r>
      <w:r w:rsidRPr="000C0842">
        <w:rPr>
          <w:rFonts w:eastAsia="SimSun"/>
          <w:iCs/>
          <w:sz w:val="24"/>
          <w:szCs w:val="24"/>
          <w:lang w:val="en-GB"/>
        </w:rPr>
        <w:t>和可预测的支持，以编写和更新国家报告、国家生物多样性战略和行动计划以及国家生物多样性融资计划或类似文</w:t>
      </w:r>
      <w:r w:rsidRPr="000C0842">
        <w:rPr>
          <w:rFonts w:eastAsia="SimSun"/>
          <w:sz w:val="24"/>
          <w:szCs w:val="24"/>
        </w:rPr>
        <w:t>书</w:t>
      </w:r>
      <w:r w:rsidRPr="000C0842">
        <w:rPr>
          <w:rFonts w:eastAsia="SimSun"/>
          <w:sz w:val="24"/>
          <w:szCs w:val="24"/>
        </w:rPr>
        <w:t>;</w:t>
      </w:r>
    </w:p>
    <w:p w14:paraId="2D4B8490" w14:textId="77777777" w:rsidR="000A776A" w:rsidRPr="000C0842" w:rsidRDefault="000A776A" w:rsidP="000A776A">
      <w:pPr>
        <w:tabs>
          <w:tab w:val="clear" w:pos="567"/>
          <w:tab w:val="clear" w:pos="1134"/>
          <w:tab w:val="clear" w:pos="1701"/>
          <w:tab w:val="clear" w:pos="2268"/>
        </w:tabs>
        <w:spacing w:before="240"/>
        <w:ind w:firstLine="490"/>
        <w:rPr>
          <w:rFonts w:eastAsia="SimSun"/>
          <w:b/>
          <w:bCs/>
          <w:sz w:val="24"/>
          <w:szCs w:val="24"/>
          <w:lang w:val="en-GB"/>
        </w:rPr>
      </w:pPr>
      <w:r w:rsidRPr="000C0842">
        <w:rPr>
          <w:rFonts w:eastAsia="SimSun" w:hint="eastAsia"/>
          <w:b/>
          <w:bCs/>
          <w:sz w:val="24"/>
          <w:szCs w:val="24"/>
          <w:lang w:val="en-GB"/>
        </w:rPr>
        <w:t>二</w:t>
      </w:r>
    </w:p>
    <w:p w14:paraId="45296227" w14:textId="77777777" w:rsidR="000A776A" w:rsidRPr="000C0842" w:rsidRDefault="000A776A" w:rsidP="000A776A">
      <w:pPr>
        <w:tabs>
          <w:tab w:val="clear" w:pos="567"/>
          <w:tab w:val="clear" w:pos="1134"/>
          <w:tab w:val="clear" w:pos="1701"/>
          <w:tab w:val="clear" w:pos="2268"/>
        </w:tabs>
        <w:spacing w:after="120"/>
        <w:ind w:firstLine="490"/>
        <w:rPr>
          <w:rFonts w:eastAsia="SimSun"/>
          <w:b/>
          <w:bCs/>
          <w:sz w:val="24"/>
          <w:szCs w:val="24"/>
          <w:lang w:val="en-GB"/>
        </w:rPr>
      </w:pPr>
      <w:r w:rsidRPr="000C0842">
        <w:rPr>
          <w:rFonts w:eastAsia="SimSun"/>
          <w:b/>
          <w:bCs/>
          <w:sz w:val="24"/>
          <w:szCs w:val="24"/>
          <w:lang w:val="en-GB"/>
        </w:rPr>
        <w:t>全球生物多样性框架基金</w:t>
      </w:r>
    </w:p>
    <w:p w14:paraId="5FA743D7"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sz w:val="24"/>
          <w:szCs w:val="24"/>
          <w:lang w:val="en-GB"/>
        </w:rPr>
        <w:t>赞赏</w:t>
      </w:r>
      <w:r w:rsidRPr="000C0842">
        <w:rPr>
          <w:rFonts w:ascii="KaiTi" w:eastAsia="SimSun" w:hAnsi="KaiTi"/>
          <w:sz w:val="24"/>
          <w:szCs w:val="24"/>
        </w:rPr>
        <w:t>全</w:t>
      </w:r>
      <w:r w:rsidRPr="000C0842">
        <w:rPr>
          <w:rFonts w:ascii="KaiTi" w:eastAsia="SimSun" w:hAnsi="KaiTi" w:hint="eastAsia"/>
          <w:sz w:val="24"/>
          <w:szCs w:val="24"/>
        </w:rPr>
        <w:t>球环境</w:t>
      </w:r>
      <w:r w:rsidRPr="000C0842">
        <w:rPr>
          <w:rFonts w:ascii="KaiTi" w:eastAsia="SimSun" w:hAnsi="KaiTi"/>
          <w:sz w:val="24"/>
          <w:szCs w:val="24"/>
        </w:rPr>
        <w:t>基金设立和运作全球生物多样性框架基金</w:t>
      </w:r>
      <w:r w:rsidRPr="000C0842">
        <w:rPr>
          <w:rFonts w:eastAsia="SimSun"/>
          <w:sz w:val="24"/>
          <w:szCs w:val="24"/>
          <w:lang w:val="en-GB"/>
        </w:rPr>
        <w:t>；</w:t>
      </w:r>
    </w:p>
    <w:p w14:paraId="2EE2687F"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rPr>
      </w:pPr>
      <w:r w:rsidRPr="000C0842">
        <w:rPr>
          <w:rFonts w:ascii="KaiTi" w:eastAsia="KaiTi" w:hAnsi="KaiTi"/>
          <w:sz w:val="24"/>
          <w:szCs w:val="24"/>
          <w:lang w:val="en-GB"/>
        </w:rPr>
        <w:t>赞赏地注意到</w:t>
      </w:r>
      <w:r w:rsidRPr="000C0842">
        <w:rPr>
          <w:rFonts w:ascii="KaiTi" w:eastAsia="SimSun" w:hAnsi="KaiTi" w:hint="eastAsia"/>
          <w:sz w:val="24"/>
          <w:szCs w:val="24"/>
          <w:lang w:val="en-GB"/>
        </w:rPr>
        <w:t>捐助国和其他政府，即奥地利、加拿大、丹麦、法国、德国、日本、卢森堡、新西兰、挪威、西班牙、大不列颠及北爱尔兰联合王国、魁北克政府，捐款为全球生物多样性框架基金注资，本决定通过时捐款额约达</w:t>
      </w:r>
      <w:r w:rsidRPr="000C0842">
        <w:rPr>
          <w:rFonts w:eastAsia="SimSun"/>
          <w:sz w:val="24"/>
          <w:szCs w:val="24"/>
          <w:lang w:val="en-GB"/>
        </w:rPr>
        <w:t>3.</w:t>
      </w:r>
      <w:r w:rsidRPr="000C0842">
        <w:rPr>
          <w:rFonts w:eastAsia="SimSun" w:hint="eastAsia"/>
          <w:sz w:val="24"/>
          <w:szCs w:val="24"/>
          <w:lang w:val="en-GB"/>
        </w:rPr>
        <w:t>82</w:t>
      </w:r>
      <w:r w:rsidRPr="000C0842">
        <w:rPr>
          <w:rFonts w:ascii="KaiTi" w:eastAsia="SimSun" w:hAnsi="KaiTi" w:hint="eastAsia"/>
          <w:sz w:val="24"/>
          <w:szCs w:val="24"/>
          <w:lang w:val="en-GB"/>
        </w:rPr>
        <w:t>亿美元</w:t>
      </w:r>
      <w:r w:rsidRPr="000C0842">
        <w:rPr>
          <w:rFonts w:eastAsia="SimSun"/>
          <w:sz w:val="24"/>
          <w:szCs w:val="24"/>
          <w:vertAlign w:val="superscript"/>
        </w:rPr>
        <w:footnoteReference w:id="445"/>
      </w:r>
      <w:r w:rsidRPr="000C0842">
        <w:rPr>
          <w:rFonts w:ascii="KaiTi" w:eastAsia="SimSun" w:hAnsi="KaiTi" w:hint="eastAsia"/>
          <w:sz w:val="24"/>
          <w:szCs w:val="24"/>
          <w:lang w:val="en-GB"/>
        </w:rPr>
        <w:t>；</w:t>
      </w:r>
    </w:p>
    <w:p w14:paraId="3ECF9E5D"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z w:val="24"/>
          <w:szCs w:val="24"/>
        </w:rPr>
        <w:t>强调</w:t>
      </w:r>
      <w:r w:rsidRPr="000C0842">
        <w:rPr>
          <w:rFonts w:eastAsia="SimSun"/>
          <w:sz w:val="24"/>
          <w:szCs w:val="24"/>
        </w:rPr>
        <w:t>需要</w:t>
      </w:r>
      <w:r w:rsidRPr="000C0842">
        <w:rPr>
          <w:rFonts w:eastAsia="SimSun" w:hint="eastAsia"/>
          <w:sz w:val="24"/>
          <w:szCs w:val="24"/>
        </w:rPr>
        <w:t>大力加强调动资源力度，以</w:t>
      </w:r>
      <w:r w:rsidRPr="000C0842">
        <w:rPr>
          <w:rFonts w:eastAsia="SimSun"/>
          <w:sz w:val="24"/>
          <w:szCs w:val="24"/>
        </w:rPr>
        <w:t>向全球生物多样性框架基金提供</w:t>
      </w:r>
      <w:r w:rsidRPr="000C0842">
        <w:rPr>
          <w:rFonts w:eastAsia="SimSun" w:hint="eastAsia"/>
          <w:sz w:val="24"/>
          <w:szCs w:val="24"/>
        </w:rPr>
        <w:t>适足</w:t>
      </w:r>
      <w:r w:rsidRPr="000C0842">
        <w:rPr>
          <w:rFonts w:eastAsia="SimSun"/>
          <w:sz w:val="24"/>
          <w:szCs w:val="24"/>
        </w:rPr>
        <w:t>和可预测的资源，</w:t>
      </w:r>
      <w:r w:rsidRPr="000C0842">
        <w:rPr>
          <w:rFonts w:eastAsia="SimSun" w:hint="eastAsia"/>
          <w:sz w:val="24"/>
          <w:szCs w:val="24"/>
        </w:rPr>
        <w:t>促进</w:t>
      </w:r>
      <w:r w:rsidRPr="000C0842">
        <w:rPr>
          <w:rFonts w:eastAsia="SimSun"/>
          <w:sz w:val="24"/>
          <w:szCs w:val="24"/>
        </w:rPr>
        <w:t>及时</w:t>
      </w:r>
      <w:r w:rsidRPr="000C0842">
        <w:rPr>
          <w:rFonts w:eastAsia="SimSun" w:hint="eastAsia"/>
          <w:sz w:val="24"/>
          <w:szCs w:val="24"/>
        </w:rPr>
        <w:t>执行《昆蒙框架》</w:t>
      </w:r>
      <w:r w:rsidRPr="000C0842">
        <w:rPr>
          <w:rFonts w:eastAsia="SimSun"/>
          <w:sz w:val="24"/>
          <w:szCs w:val="24"/>
        </w:rPr>
        <w:t>，特别是实现其</w:t>
      </w:r>
      <w:r w:rsidRPr="000C0842">
        <w:rPr>
          <w:rFonts w:eastAsia="SimSun" w:hint="eastAsia"/>
          <w:sz w:val="24"/>
          <w:szCs w:val="24"/>
        </w:rPr>
        <w:t>行动</w:t>
      </w:r>
      <w:r w:rsidRPr="000C0842">
        <w:rPr>
          <w:rFonts w:eastAsia="SimSun"/>
          <w:sz w:val="24"/>
          <w:szCs w:val="24"/>
        </w:rPr>
        <w:t>目标</w:t>
      </w:r>
      <w:r w:rsidRPr="000C0842">
        <w:rPr>
          <w:rFonts w:eastAsia="SimSun"/>
          <w:sz w:val="24"/>
          <w:szCs w:val="24"/>
        </w:rPr>
        <w:t>19;</w:t>
      </w:r>
    </w:p>
    <w:p w14:paraId="3DFB218A"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iCs/>
          <w:sz w:val="24"/>
          <w:szCs w:val="24"/>
        </w:rPr>
      </w:pPr>
      <w:r w:rsidRPr="000C0842">
        <w:rPr>
          <w:rFonts w:ascii="KaiTi" w:eastAsia="KaiTi" w:hAnsi="KaiTi"/>
          <w:sz w:val="24"/>
          <w:szCs w:val="24"/>
          <w:lang w:val="en-GB"/>
        </w:rPr>
        <w:t>邀请</w:t>
      </w:r>
      <w:r w:rsidRPr="000C0842">
        <w:rPr>
          <w:rFonts w:ascii="KaiTi" w:eastAsia="SimSun" w:hAnsi="KaiTi" w:hint="eastAsia"/>
          <w:sz w:val="24"/>
          <w:szCs w:val="24"/>
          <w:lang w:val="en-GB"/>
        </w:rPr>
        <w:t>发达国家缔约方、自愿承担发达国家缔约方义务的其他缔约方</w:t>
      </w:r>
      <w:r w:rsidRPr="000C0842">
        <w:rPr>
          <w:rFonts w:eastAsia="SimSun" w:hint="eastAsia"/>
          <w:sz w:val="24"/>
          <w:szCs w:val="24"/>
          <w:lang w:val="en-GB"/>
        </w:rPr>
        <w:t>、</w:t>
      </w:r>
      <w:r w:rsidRPr="000C0842">
        <w:rPr>
          <w:rFonts w:eastAsia="SimSun" w:hint="eastAsia"/>
          <w:iCs/>
          <w:sz w:val="24"/>
          <w:szCs w:val="24"/>
        </w:rPr>
        <w:t>其他国家、</w:t>
      </w:r>
      <w:r w:rsidRPr="000C0842">
        <w:rPr>
          <w:rFonts w:eastAsia="SimSun"/>
          <w:iCs/>
          <w:sz w:val="24"/>
          <w:szCs w:val="24"/>
        </w:rPr>
        <w:t>私营部门</w:t>
      </w:r>
      <w:r w:rsidRPr="000C0842">
        <w:rPr>
          <w:rFonts w:eastAsia="SimSun" w:hint="eastAsia"/>
          <w:iCs/>
          <w:sz w:val="24"/>
          <w:szCs w:val="24"/>
        </w:rPr>
        <w:t>和</w:t>
      </w:r>
      <w:r w:rsidRPr="000C0842">
        <w:rPr>
          <w:rFonts w:eastAsia="SimSun"/>
          <w:iCs/>
          <w:sz w:val="24"/>
          <w:szCs w:val="24"/>
        </w:rPr>
        <w:t>金融业</w:t>
      </w:r>
      <w:r w:rsidRPr="000C0842">
        <w:rPr>
          <w:rFonts w:eastAsia="SimSun" w:hint="eastAsia"/>
          <w:iCs/>
          <w:sz w:val="24"/>
          <w:szCs w:val="24"/>
        </w:rPr>
        <w:t>、</w:t>
      </w:r>
      <w:r w:rsidRPr="000C0842">
        <w:rPr>
          <w:rFonts w:eastAsia="SimSun"/>
          <w:iCs/>
          <w:sz w:val="24"/>
          <w:szCs w:val="24"/>
        </w:rPr>
        <w:t>慈善组织、非政府组织、非主权实体和其他利益攸关方向全球生物多样性框架基金捐款或</w:t>
      </w:r>
      <w:r w:rsidRPr="000C0842">
        <w:rPr>
          <w:rFonts w:eastAsia="SimSun" w:hint="eastAsia"/>
          <w:iCs/>
          <w:sz w:val="24"/>
          <w:szCs w:val="24"/>
        </w:rPr>
        <w:t>增加捐款额</w:t>
      </w:r>
      <w:r w:rsidRPr="000C0842">
        <w:rPr>
          <w:rFonts w:eastAsia="SimSun"/>
          <w:iCs/>
          <w:sz w:val="24"/>
          <w:szCs w:val="24"/>
        </w:rPr>
        <w:t>，使该基金能够继续获得</w:t>
      </w:r>
      <w:r w:rsidRPr="000C0842">
        <w:rPr>
          <w:rFonts w:eastAsia="SimSun" w:hint="eastAsia"/>
          <w:iCs/>
          <w:sz w:val="24"/>
          <w:szCs w:val="24"/>
        </w:rPr>
        <w:t>快速注资</w:t>
      </w:r>
      <w:r w:rsidRPr="000C0842">
        <w:rPr>
          <w:rFonts w:eastAsia="SimSun"/>
          <w:iCs/>
          <w:sz w:val="24"/>
          <w:szCs w:val="24"/>
        </w:rPr>
        <w:t>，</w:t>
      </w:r>
      <w:r w:rsidRPr="000C0842">
        <w:rPr>
          <w:rFonts w:eastAsia="SimSun" w:hint="eastAsia"/>
          <w:iCs/>
          <w:sz w:val="24"/>
          <w:szCs w:val="24"/>
        </w:rPr>
        <w:t>用于</w:t>
      </w:r>
      <w:r w:rsidRPr="000C0842">
        <w:rPr>
          <w:rFonts w:eastAsia="SimSun"/>
          <w:iCs/>
          <w:sz w:val="24"/>
          <w:szCs w:val="24"/>
        </w:rPr>
        <w:t>支持执行《昆蒙框架》</w:t>
      </w:r>
      <w:r w:rsidRPr="000C0842">
        <w:rPr>
          <w:rFonts w:eastAsia="SimSun" w:hint="eastAsia"/>
          <w:iCs/>
          <w:sz w:val="24"/>
          <w:szCs w:val="24"/>
        </w:rPr>
        <w:t>，</w:t>
      </w:r>
      <w:r w:rsidRPr="000C0842">
        <w:rPr>
          <w:rFonts w:eastAsia="SimSun"/>
          <w:iCs/>
          <w:sz w:val="24"/>
          <w:szCs w:val="24"/>
        </w:rPr>
        <w:t>补充现有支持</w:t>
      </w:r>
      <w:r w:rsidRPr="000C0842">
        <w:rPr>
          <w:rFonts w:eastAsia="SimSun" w:hint="eastAsia"/>
          <w:iCs/>
          <w:sz w:val="24"/>
          <w:szCs w:val="24"/>
        </w:rPr>
        <w:t>，</w:t>
      </w:r>
      <w:r w:rsidRPr="000C0842">
        <w:rPr>
          <w:rFonts w:eastAsia="SimSun"/>
          <w:iCs/>
          <w:sz w:val="24"/>
          <w:szCs w:val="24"/>
        </w:rPr>
        <w:t>扩大</w:t>
      </w:r>
      <w:r w:rsidRPr="000C0842">
        <w:rPr>
          <w:rFonts w:eastAsia="SimSun" w:hint="eastAsia"/>
          <w:iCs/>
          <w:sz w:val="24"/>
          <w:szCs w:val="24"/>
        </w:rPr>
        <w:t>融资</w:t>
      </w:r>
      <w:r w:rsidRPr="000C0842">
        <w:rPr>
          <w:rFonts w:eastAsia="SimSun"/>
          <w:iCs/>
          <w:sz w:val="24"/>
          <w:szCs w:val="24"/>
        </w:rPr>
        <w:t>规模，确保</w:t>
      </w:r>
      <w:r w:rsidRPr="000C0842">
        <w:rPr>
          <w:rFonts w:eastAsia="SimSun" w:hint="eastAsia"/>
          <w:iCs/>
          <w:sz w:val="24"/>
          <w:szCs w:val="24"/>
        </w:rPr>
        <w:t>及时执行《昆蒙框架》</w:t>
      </w:r>
      <w:r w:rsidRPr="000C0842">
        <w:rPr>
          <w:rFonts w:eastAsia="SimSun"/>
          <w:iCs/>
          <w:sz w:val="24"/>
          <w:szCs w:val="24"/>
        </w:rPr>
        <w:t>，同时考虑到需要获得充足、可预测和可及时流动的资金</w:t>
      </w:r>
      <w:r w:rsidRPr="000C0842">
        <w:rPr>
          <w:rFonts w:eastAsia="SimSun" w:hint="eastAsia"/>
          <w:iCs/>
          <w:sz w:val="24"/>
          <w:szCs w:val="24"/>
        </w:rPr>
        <w:t>，以促进实现《昆蒙框架》</w:t>
      </w:r>
      <w:r w:rsidRPr="000C0842">
        <w:rPr>
          <w:rFonts w:eastAsia="SimSun"/>
          <w:iCs/>
          <w:sz w:val="24"/>
          <w:szCs w:val="24"/>
        </w:rPr>
        <w:t>行动目标</w:t>
      </w:r>
      <w:r w:rsidRPr="000C0842">
        <w:rPr>
          <w:rFonts w:eastAsia="SimSun"/>
          <w:iCs/>
          <w:sz w:val="24"/>
          <w:szCs w:val="24"/>
        </w:rPr>
        <w:t xml:space="preserve"> 19 </w:t>
      </w:r>
      <w:r w:rsidRPr="000C0842">
        <w:rPr>
          <w:rFonts w:eastAsia="SimSun"/>
          <w:iCs/>
          <w:sz w:val="24"/>
          <w:szCs w:val="24"/>
        </w:rPr>
        <w:t>设定的宏伟量化目标；</w:t>
      </w:r>
    </w:p>
    <w:p w14:paraId="6642771C"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hint="eastAsia"/>
          <w:sz w:val="24"/>
          <w:szCs w:val="24"/>
          <w:lang w:val="en-GB"/>
        </w:rPr>
        <w:t>感到遗憾的是</w:t>
      </w:r>
      <w:r w:rsidRPr="000C0842">
        <w:rPr>
          <w:rFonts w:eastAsia="SimSun"/>
          <w:sz w:val="24"/>
          <w:szCs w:val="24"/>
        </w:rPr>
        <w:t>私营</w:t>
      </w:r>
      <w:r w:rsidRPr="000C0842">
        <w:rPr>
          <w:rFonts w:eastAsia="SimSun" w:hint="eastAsia"/>
          <w:sz w:val="24"/>
          <w:szCs w:val="24"/>
        </w:rPr>
        <w:t>部门和</w:t>
      </w:r>
      <w:r w:rsidRPr="000C0842">
        <w:rPr>
          <w:rFonts w:eastAsia="SimSun"/>
          <w:sz w:val="24"/>
          <w:szCs w:val="24"/>
        </w:rPr>
        <w:t>金融</w:t>
      </w:r>
      <w:r w:rsidRPr="000C0842">
        <w:rPr>
          <w:rFonts w:eastAsia="SimSun" w:hint="eastAsia"/>
          <w:sz w:val="24"/>
          <w:szCs w:val="24"/>
        </w:rPr>
        <w:t>业、</w:t>
      </w:r>
      <w:r w:rsidRPr="000C0842">
        <w:rPr>
          <w:rFonts w:eastAsia="SimSun"/>
          <w:sz w:val="24"/>
          <w:szCs w:val="24"/>
        </w:rPr>
        <w:t>慈善组织、非政府组织和其他</w:t>
      </w:r>
      <w:r w:rsidRPr="000C0842">
        <w:rPr>
          <w:rFonts w:eastAsia="SimSun" w:hint="eastAsia"/>
          <w:sz w:val="24"/>
          <w:szCs w:val="24"/>
        </w:rPr>
        <w:t>利益攸关方未</w:t>
      </w:r>
      <w:r w:rsidRPr="000C0842">
        <w:rPr>
          <w:rFonts w:eastAsia="SimSun"/>
          <w:sz w:val="24"/>
          <w:szCs w:val="24"/>
        </w:rPr>
        <w:t>对全球生物多样性框架基金捐款，请</w:t>
      </w:r>
      <w:r w:rsidRPr="000C0842">
        <w:rPr>
          <w:rFonts w:eastAsia="SimSun" w:hint="eastAsia"/>
          <w:sz w:val="24"/>
          <w:szCs w:val="24"/>
        </w:rPr>
        <w:t>全球环境基金和全球生物多样性框架基金理事会</w:t>
      </w:r>
      <w:r w:rsidRPr="000C0842">
        <w:rPr>
          <w:rFonts w:eastAsia="SimSun"/>
          <w:sz w:val="24"/>
          <w:szCs w:val="24"/>
        </w:rPr>
        <w:t>探索</w:t>
      </w:r>
      <w:r w:rsidRPr="000C0842">
        <w:rPr>
          <w:rFonts w:eastAsia="SimSun" w:hint="eastAsia"/>
          <w:sz w:val="24"/>
          <w:szCs w:val="24"/>
        </w:rPr>
        <w:t>办法，</w:t>
      </w:r>
      <w:r w:rsidRPr="000C0842">
        <w:rPr>
          <w:rFonts w:eastAsia="SimSun"/>
          <w:sz w:val="24"/>
          <w:szCs w:val="24"/>
        </w:rPr>
        <w:t>加强</w:t>
      </w:r>
      <w:r w:rsidRPr="000C0842">
        <w:rPr>
          <w:rFonts w:eastAsia="SimSun" w:hint="eastAsia"/>
          <w:sz w:val="24"/>
          <w:szCs w:val="24"/>
        </w:rPr>
        <w:t>资源</w:t>
      </w:r>
      <w:r w:rsidRPr="000C0842">
        <w:rPr>
          <w:rFonts w:eastAsia="SimSun"/>
          <w:sz w:val="24"/>
          <w:szCs w:val="24"/>
        </w:rPr>
        <w:t>调动</w:t>
      </w:r>
      <w:r w:rsidRPr="000C0842">
        <w:rPr>
          <w:rFonts w:eastAsia="SimSun" w:hint="eastAsia"/>
          <w:sz w:val="24"/>
          <w:szCs w:val="24"/>
        </w:rPr>
        <w:t>力度</w:t>
      </w:r>
      <w:r w:rsidRPr="000C0842">
        <w:rPr>
          <w:rFonts w:eastAsia="SimSun"/>
          <w:sz w:val="24"/>
          <w:szCs w:val="24"/>
        </w:rPr>
        <w:t>，并向缔约方</w:t>
      </w:r>
      <w:r w:rsidRPr="000C0842">
        <w:rPr>
          <w:rFonts w:eastAsia="SimSun" w:hint="eastAsia"/>
          <w:sz w:val="24"/>
          <w:szCs w:val="24"/>
        </w:rPr>
        <w:t>大会</w:t>
      </w:r>
      <w:r w:rsidRPr="000C0842">
        <w:rPr>
          <w:rFonts w:eastAsia="SimSun"/>
          <w:sz w:val="24"/>
          <w:szCs w:val="24"/>
        </w:rPr>
        <w:t>第十七届会议报告进展情况</w:t>
      </w:r>
      <w:r w:rsidRPr="000C0842">
        <w:rPr>
          <w:rFonts w:eastAsia="SimSun" w:hint="eastAsia"/>
          <w:sz w:val="24"/>
          <w:szCs w:val="24"/>
        </w:rPr>
        <w:t>；</w:t>
      </w:r>
    </w:p>
    <w:p w14:paraId="1EE04E0E" w14:textId="77777777" w:rsidR="000A776A" w:rsidRPr="000C0842" w:rsidRDefault="000A776A">
      <w:pPr>
        <w:numPr>
          <w:ilvl w:val="0"/>
          <w:numId w:val="183"/>
        </w:numPr>
        <w:tabs>
          <w:tab w:val="clear" w:pos="567"/>
          <w:tab w:val="clear" w:pos="1134"/>
          <w:tab w:val="clear" w:pos="1701"/>
          <w:tab w:val="clear" w:pos="2268"/>
        </w:tabs>
        <w:spacing w:before="120" w:after="120"/>
        <w:ind w:left="490" w:firstLine="490"/>
        <w:rPr>
          <w:rFonts w:eastAsia="SimSun"/>
          <w:lang w:val="en-GB"/>
        </w:rPr>
      </w:pPr>
      <w:r w:rsidRPr="000C0842">
        <w:rPr>
          <w:rFonts w:ascii="KaiTi" w:eastAsia="KaiTi" w:hAnsi="KaiTi" w:hint="eastAsia"/>
          <w:sz w:val="24"/>
          <w:szCs w:val="24"/>
        </w:rPr>
        <w:t>请</w:t>
      </w:r>
      <w:r w:rsidRPr="000C0842">
        <w:rPr>
          <w:rFonts w:eastAsia="SimSun" w:hint="eastAsia"/>
          <w:sz w:val="24"/>
          <w:szCs w:val="24"/>
        </w:rPr>
        <w:t>全球环境基金和全球生物多样性框架基金理事会为及时执行《昆蒙框架》探索如何提高和加强融资的可预测性，包括通过多年期认捐和考虑</w:t>
      </w:r>
      <w:r w:rsidRPr="000C0842">
        <w:rPr>
          <w:rFonts w:eastAsia="SimSun"/>
        </w:rPr>
        <w:t>自愿指示性捐款比额表</w:t>
      </w:r>
      <w:r w:rsidRPr="000C0842">
        <w:rPr>
          <w:rFonts w:eastAsia="SimSun" w:hint="eastAsia"/>
          <w:sz w:val="24"/>
          <w:szCs w:val="24"/>
        </w:rPr>
        <w:t>的机会，并就此提交报告供缔约方大会第十七届会议审议</w:t>
      </w:r>
      <w:r w:rsidRPr="000C0842">
        <w:rPr>
          <w:rFonts w:eastAsia="SimSun" w:hint="eastAsia"/>
          <w:sz w:val="24"/>
          <w:szCs w:val="24"/>
          <w:lang w:val="it-IT"/>
        </w:rPr>
        <w:t>；</w:t>
      </w:r>
    </w:p>
    <w:p w14:paraId="1E1F439C"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iCs/>
          <w:sz w:val="24"/>
          <w:szCs w:val="24"/>
        </w:rPr>
        <w:t>欢迎</w:t>
      </w:r>
      <w:r w:rsidRPr="000C0842">
        <w:rPr>
          <w:rFonts w:eastAsia="SimSun"/>
          <w:sz w:val="24"/>
          <w:szCs w:val="24"/>
        </w:rPr>
        <w:t>到</w:t>
      </w:r>
      <w:r w:rsidRPr="000C0842">
        <w:rPr>
          <w:rFonts w:eastAsia="SimSun"/>
          <w:sz w:val="24"/>
          <w:szCs w:val="24"/>
        </w:rPr>
        <w:t xml:space="preserve"> 2030 </w:t>
      </w:r>
      <w:r w:rsidRPr="000C0842">
        <w:rPr>
          <w:rFonts w:ascii="SimSun" w:eastAsia="SimSun" w:hAnsi="SimSun"/>
          <w:iCs/>
          <w:sz w:val="24"/>
          <w:szCs w:val="24"/>
        </w:rPr>
        <w:t>年</w:t>
      </w:r>
      <w:r w:rsidRPr="000C0842">
        <w:rPr>
          <w:rFonts w:ascii="SimSun" w:eastAsia="SimSun" w:hAnsi="SimSun" w:hint="eastAsia"/>
          <w:iCs/>
          <w:sz w:val="24"/>
          <w:szCs w:val="24"/>
        </w:rPr>
        <w:t>资助</w:t>
      </w:r>
      <w:r w:rsidRPr="000C0842">
        <w:rPr>
          <w:rFonts w:ascii="SimSun" w:eastAsia="SimSun" w:hAnsi="SimSun"/>
          <w:iCs/>
          <w:sz w:val="24"/>
          <w:szCs w:val="24"/>
        </w:rPr>
        <w:t>土著人民和地方社区行动</w:t>
      </w:r>
      <w:r w:rsidRPr="000C0842">
        <w:rPr>
          <w:rFonts w:ascii="SimSun" w:eastAsia="SimSun" w:hAnsi="SimSun" w:hint="eastAsia"/>
          <w:iCs/>
          <w:sz w:val="24"/>
          <w:szCs w:val="24"/>
        </w:rPr>
        <w:t>的</w:t>
      </w:r>
      <w:r w:rsidRPr="000C0842">
        <w:rPr>
          <w:rFonts w:ascii="SimSun" w:eastAsia="SimSun" w:hAnsi="SimSun"/>
          <w:iCs/>
          <w:sz w:val="24"/>
          <w:szCs w:val="24"/>
        </w:rPr>
        <w:t>方案编制份额</w:t>
      </w:r>
      <w:r w:rsidRPr="000C0842">
        <w:rPr>
          <w:rFonts w:ascii="SimSun" w:eastAsia="SimSun" w:hAnsi="SimSun" w:hint="eastAsia"/>
          <w:iCs/>
          <w:sz w:val="24"/>
          <w:szCs w:val="24"/>
        </w:rPr>
        <w:t>达到</w:t>
      </w:r>
      <w:r w:rsidRPr="000C0842">
        <w:rPr>
          <w:rFonts w:ascii="SimSun" w:eastAsia="SimSun" w:hAnsi="SimSun"/>
          <w:iCs/>
          <w:sz w:val="24"/>
          <w:szCs w:val="24"/>
        </w:rPr>
        <w:t>全球生物多样性框架基金</w:t>
      </w:r>
      <w:r w:rsidRPr="000C0842">
        <w:rPr>
          <w:rFonts w:ascii="SimSun" w:eastAsia="SimSun" w:hAnsi="SimSun" w:hint="eastAsia"/>
          <w:iCs/>
          <w:sz w:val="24"/>
          <w:szCs w:val="24"/>
        </w:rPr>
        <w:t>分配</w:t>
      </w:r>
      <w:r w:rsidRPr="000C0842">
        <w:rPr>
          <w:rFonts w:ascii="SimSun" w:eastAsia="SimSun" w:hAnsi="SimSun"/>
          <w:iCs/>
          <w:sz w:val="24"/>
          <w:szCs w:val="24"/>
        </w:rPr>
        <w:t>资源</w:t>
      </w:r>
      <w:r w:rsidRPr="000C0842">
        <w:rPr>
          <w:rFonts w:ascii="SimSun" w:eastAsia="SimSun" w:hAnsi="SimSun" w:hint="eastAsia"/>
          <w:iCs/>
          <w:sz w:val="24"/>
          <w:szCs w:val="24"/>
        </w:rPr>
        <w:t>总额的</w:t>
      </w:r>
      <w:r w:rsidRPr="000C0842">
        <w:rPr>
          <w:rFonts w:eastAsia="SimSun"/>
          <w:sz w:val="24"/>
          <w:szCs w:val="24"/>
        </w:rPr>
        <w:t>20%</w:t>
      </w:r>
      <w:r w:rsidRPr="000C0842">
        <w:rPr>
          <w:rFonts w:eastAsia="SimSun"/>
          <w:sz w:val="24"/>
          <w:szCs w:val="24"/>
        </w:rPr>
        <w:t>的</w:t>
      </w:r>
      <w:r w:rsidRPr="000C0842">
        <w:rPr>
          <w:rFonts w:eastAsia="SimSun" w:hint="eastAsia"/>
          <w:sz w:val="24"/>
          <w:szCs w:val="24"/>
        </w:rPr>
        <w:t>期望，</w:t>
      </w:r>
      <w:r w:rsidRPr="000C0842">
        <w:rPr>
          <w:rFonts w:eastAsia="SimSun"/>
          <w:sz w:val="24"/>
          <w:szCs w:val="24"/>
        </w:rPr>
        <w:t>敦促全球环境基金确保通过与土著人民和地方社区的协商与合作来设计和实施有助于</w:t>
      </w:r>
      <w:r w:rsidRPr="000C0842">
        <w:rPr>
          <w:rFonts w:eastAsia="SimSun" w:hint="eastAsia"/>
          <w:sz w:val="24"/>
          <w:szCs w:val="24"/>
        </w:rPr>
        <w:t>实现</w:t>
      </w:r>
      <w:r w:rsidRPr="000C0842">
        <w:rPr>
          <w:rFonts w:eastAsia="SimSun"/>
          <w:sz w:val="24"/>
          <w:szCs w:val="24"/>
        </w:rPr>
        <w:t>该目标的由国家驱动的项目；</w:t>
      </w:r>
    </w:p>
    <w:p w14:paraId="307166F4"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iCs/>
          <w:sz w:val="24"/>
          <w:szCs w:val="24"/>
        </w:rPr>
      </w:pPr>
      <w:r w:rsidRPr="000C0842">
        <w:rPr>
          <w:rFonts w:eastAsia="KaiTi" w:hint="eastAsia"/>
          <w:iCs/>
          <w:sz w:val="24"/>
          <w:szCs w:val="24"/>
        </w:rPr>
        <w:t>又欢迎</w:t>
      </w:r>
      <w:r w:rsidRPr="000C0842">
        <w:rPr>
          <w:rFonts w:ascii="SimSun" w:eastAsia="SimSun" w:hAnsi="SimSun" w:hint="eastAsia"/>
          <w:iCs/>
          <w:sz w:val="24"/>
          <w:szCs w:val="24"/>
        </w:rPr>
        <w:t>全球生物多样性框架基金25%</w:t>
      </w:r>
      <w:r w:rsidRPr="000C0842">
        <w:rPr>
          <w:rFonts w:eastAsia="SimSun" w:hint="eastAsia"/>
          <w:sz w:val="24"/>
          <w:szCs w:val="24"/>
        </w:rPr>
        <w:t>的资源将通过作为全球环境基金执行机构的国际金融机构进行编制</w:t>
      </w:r>
      <w:r w:rsidRPr="000C0842">
        <w:rPr>
          <w:rFonts w:eastAsia="SimSun"/>
          <w:sz w:val="24"/>
          <w:szCs w:val="24"/>
        </w:rPr>
        <w:t>;</w:t>
      </w:r>
    </w:p>
    <w:p w14:paraId="098769B9" w14:textId="77777777" w:rsidR="000A776A" w:rsidRPr="000C0842" w:rsidRDefault="000A776A" w:rsidP="000A776A">
      <w:pPr>
        <w:keepNext/>
        <w:tabs>
          <w:tab w:val="clear" w:pos="567"/>
          <w:tab w:val="clear" w:pos="1134"/>
          <w:tab w:val="clear" w:pos="1701"/>
          <w:tab w:val="clear" w:pos="2268"/>
        </w:tabs>
        <w:spacing w:before="120"/>
        <w:ind w:firstLine="490"/>
        <w:rPr>
          <w:rFonts w:eastAsia="SimSun"/>
          <w:b/>
          <w:bCs/>
          <w:sz w:val="24"/>
          <w:szCs w:val="24"/>
        </w:rPr>
      </w:pPr>
      <w:r w:rsidRPr="000C0842">
        <w:rPr>
          <w:rFonts w:eastAsia="SimSun" w:hint="eastAsia"/>
          <w:b/>
          <w:bCs/>
          <w:sz w:val="24"/>
          <w:szCs w:val="24"/>
        </w:rPr>
        <w:t>三</w:t>
      </w:r>
    </w:p>
    <w:p w14:paraId="2AEF91D6" w14:textId="77777777" w:rsidR="000A776A" w:rsidRPr="000C0842" w:rsidRDefault="000A776A" w:rsidP="000A776A">
      <w:pPr>
        <w:keepNext/>
        <w:tabs>
          <w:tab w:val="clear" w:pos="567"/>
          <w:tab w:val="clear" w:pos="1134"/>
          <w:tab w:val="clear" w:pos="1701"/>
          <w:tab w:val="clear" w:pos="2268"/>
        </w:tabs>
        <w:spacing w:after="120"/>
        <w:ind w:firstLine="490"/>
        <w:rPr>
          <w:rFonts w:eastAsia="SimSun"/>
          <w:b/>
          <w:bCs/>
          <w:sz w:val="24"/>
          <w:szCs w:val="24"/>
          <w:lang w:val="en-GB"/>
        </w:rPr>
      </w:pPr>
      <w:r w:rsidRPr="000C0842">
        <w:rPr>
          <w:rFonts w:eastAsia="SimSun" w:hint="eastAsia"/>
          <w:b/>
          <w:bCs/>
          <w:sz w:val="24"/>
          <w:szCs w:val="24"/>
          <w:lang w:val="en-GB"/>
        </w:rPr>
        <w:t>《生物多样性公约》及其议定书</w:t>
      </w:r>
      <w:r w:rsidRPr="000C0842">
        <w:rPr>
          <w:rFonts w:eastAsia="SimSun"/>
          <w:b/>
          <w:bCs/>
          <w:sz w:val="24"/>
          <w:szCs w:val="24"/>
          <w:lang w:val="en-GB"/>
        </w:rPr>
        <w:t>成果导向四年期</w:t>
      </w:r>
      <w:r w:rsidRPr="000C0842">
        <w:rPr>
          <w:rFonts w:eastAsia="SimSun" w:hint="eastAsia"/>
          <w:b/>
          <w:bCs/>
          <w:sz w:val="24"/>
          <w:szCs w:val="24"/>
          <w:lang w:val="en-GB"/>
        </w:rPr>
        <w:t>生物多样性</w:t>
      </w:r>
      <w:r w:rsidRPr="000C0842">
        <w:rPr>
          <w:rFonts w:eastAsia="SimSun"/>
          <w:b/>
          <w:bCs/>
          <w:sz w:val="24"/>
          <w:szCs w:val="24"/>
          <w:lang w:val="en-GB"/>
        </w:rPr>
        <w:t>方案重点框架</w:t>
      </w:r>
    </w:p>
    <w:p w14:paraId="43BA77FD"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iCs/>
          <w:sz w:val="24"/>
          <w:szCs w:val="24"/>
        </w:rPr>
        <w:t>通过</w:t>
      </w:r>
      <w:r w:rsidRPr="000C0842">
        <w:rPr>
          <w:rFonts w:eastAsia="SimSun"/>
          <w:sz w:val="24"/>
          <w:szCs w:val="24"/>
        </w:rPr>
        <w:t>本决定附件</w:t>
      </w:r>
      <w:r w:rsidRPr="000C0842">
        <w:rPr>
          <w:rFonts w:eastAsia="SimSun" w:hint="eastAsia"/>
          <w:sz w:val="24"/>
          <w:szCs w:val="24"/>
        </w:rPr>
        <w:t>一</w:t>
      </w:r>
      <w:r w:rsidRPr="000C0842">
        <w:rPr>
          <w:rFonts w:eastAsia="SimSun"/>
          <w:sz w:val="24"/>
          <w:szCs w:val="24"/>
        </w:rPr>
        <w:t>所载与《昆明</w:t>
      </w:r>
      <w:r w:rsidRPr="000C0842">
        <w:rPr>
          <w:rFonts w:eastAsia="SimSun"/>
          <w:sz w:val="24"/>
          <w:szCs w:val="24"/>
        </w:rPr>
        <w:t>-</w:t>
      </w:r>
      <w:r w:rsidRPr="000C0842">
        <w:rPr>
          <w:rFonts w:eastAsia="SimSun"/>
          <w:sz w:val="24"/>
          <w:szCs w:val="24"/>
        </w:rPr>
        <w:t>蒙特利尔全球生物多样性框架》相一致</w:t>
      </w:r>
      <w:r w:rsidRPr="000C0842">
        <w:rPr>
          <w:rFonts w:eastAsia="SimSun" w:hint="eastAsia"/>
          <w:sz w:val="24"/>
          <w:szCs w:val="24"/>
        </w:rPr>
        <w:t>的</w:t>
      </w:r>
      <w:r w:rsidRPr="000C0842">
        <w:rPr>
          <w:rFonts w:eastAsia="SimSun"/>
          <w:sz w:val="24"/>
          <w:szCs w:val="24"/>
          <w:lang w:val="en-GB"/>
        </w:rPr>
        <w:t>《公约》及其议定书成果导向四年期生物多样性方案重点框架</w:t>
      </w:r>
      <w:r w:rsidRPr="000C0842">
        <w:rPr>
          <w:rFonts w:eastAsia="SimSun" w:hint="eastAsia"/>
          <w:sz w:val="24"/>
          <w:szCs w:val="24"/>
        </w:rPr>
        <w:t>，</w:t>
      </w:r>
      <w:r w:rsidRPr="000C0842">
        <w:rPr>
          <w:rFonts w:eastAsia="SimSun" w:hint="eastAsia"/>
          <w:spacing w:val="-10"/>
          <w:sz w:val="24"/>
          <w:szCs w:val="24"/>
        </w:rPr>
        <w:t>作为对</w:t>
      </w:r>
      <w:r w:rsidRPr="000C0842">
        <w:rPr>
          <w:rFonts w:eastAsia="SimSun"/>
          <w:spacing w:val="-10"/>
          <w:sz w:val="24"/>
          <w:szCs w:val="24"/>
        </w:rPr>
        <w:t>全球环境</w:t>
      </w:r>
      <w:r w:rsidRPr="000C0842">
        <w:rPr>
          <w:rFonts w:eastAsia="SimSun" w:hint="eastAsia"/>
          <w:spacing w:val="-10"/>
          <w:sz w:val="24"/>
          <w:szCs w:val="24"/>
        </w:rPr>
        <w:t>环境</w:t>
      </w:r>
      <w:r w:rsidRPr="000C0842">
        <w:rPr>
          <w:rFonts w:eastAsia="SimSun"/>
          <w:spacing w:val="-10"/>
          <w:sz w:val="24"/>
          <w:szCs w:val="24"/>
        </w:rPr>
        <w:t>基金信托基金第九增资期（</w:t>
      </w:r>
      <w:r w:rsidRPr="000C0842">
        <w:rPr>
          <w:rFonts w:eastAsia="SimSun"/>
          <w:spacing w:val="-10"/>
          <w:sz w:val="24"/>
          <w:szCs w:val="24"/>
        </w:rPr>
        <w:t xml:space="preserve">2026 </w:t>
      </w:r>
      <w:r w:rsidRPr="000C0842">
        <w:rPr>
          <w:rFonts w:eastAsia="SimSun"/>
          <w:spacing w:val="-10"/>
          <w:sz w:val="24"/>
          <w:szCs w:val="24"/>
        </w:rPr>
        <w:t>年</w:t>
      </w:r>
      <w:r w:rsidRPr="000C0842">
        <w:rPr>
          <w:rFonts w:eastAsia="SimSun"/>
          <w:spacing w:val="-10"/>
          <w:sz w:val="24"/>
          <w:szCs w:val="24"/>
        </w:rPr>
        <w:t xml:space="preserve"> 7 </w:t>
      </w:r>
      <w:r w:rsidRPr="000C0842">
        <w:rPr>
          <w:rFonts w:eastAsia="SimSun"/>
          <w:spacing w:val="-10"/>
          <w:sz w:val="24"/>
          <w:szCs w:val="24"/>
        </w:rPr>
        <w:t>月至</w:t>
      </w:r>
      <w:r w:rsidRPr="000C0842">
        <w:rPr>
          <w:rFonts w:eastAsia="SimSun"/>
          <w:spacing w:val="-10"/>
          <w:sz w:val="24"/>
          <w:szCs w:val="24"/>
        </w:rPr>
        <w:t xml:space="preserve"> 2030 </w:t>
      </w:r>
      <w:r w:rsidRPr="000C0842">
        <w:rPr>
          <w:rFonts w:eastAsia="SimSun"/>
          <w:spacing w:val="-10"/>
          <w:sz w:val="24"/>
          <w:szCs w:val="24"/>
        </w:rPr>
        <w:t>年</w:t>
      </w:r>
      <w:r w:rsidRPr="000C0842">
        <w:rPr>
          <w:rFonts w:eastAsia="SimSun"/>
          <w:spacing w:val="-10"/>
          <w:sz w:val="24"/>
          <w:szCs w:val="24"/>
        </w:rPr>
        <w:t xml:space="preserve"> 6 </w:t>
      </w:r>
      <w:r w:rsidRPr="000C0842">
        <w:rPr>
          <w:rFonts w:eastAsia="SimSun"/>
          <w:spacing w:val="-10"/>
          <w:sz w:val="24"/>
          <w:szCs w:val="24"/>
        </w:rPr>
        <w:t>月）</w:t>
      </w:r>
      <w:r w:rsidRPr="000C0842">
        <w:rPr>
          <w:rFonts w:eastAsia="SimSun" w:hint="eastAsia"/>
          <w:spacing w:val="-10"/>
          <w:sz w:val="24"/>
          <w:szCs w:val="24"/>
        </w:rPr>
        <w:t>的主要指导意见</w:t>
      </w:r>
      <w:r w:rsidRPr="000C0842">
        <w:rPr>
          <w:rFonts w:eastAsia="SimSun"/>
          <w:spacing w:val="-10"/>
          <w:sz w:val="24"/>
          <w:szCs w:val="24"/>
        </w:rPr>
        <w:t>；</w:t>
      </w:r>
    </w:p>
    <w:p w14:paraId="6399F60E"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KaiTi"/>
          <w:iCs/>
          <w:sz w:val="24"/>
          <w:szCs w:val="24"/>
        </w:rPr>
      </w:pPr>
      <w:r w:rsidRPr="000C0842">
        <w:rPr>
          <w:rFonts w:eastAsia="KaiTi"/>
          <w:iCs/>
          <w:sz w:val="24"/>
          <w:szCs w:val="24"/>
          <w:lang w:val="en-GB"/>
        </w:rPr>
        <w:t>请</w:t>
      </w:r>
      <w:r w:rsidRPr="000C0842">
        <w:rPr>
          <w:rFonts w:eastAsia="SimSun"/>
          <w:iCs/>
          <w:sz w:val="24"/>
          <w:szCs w:val="24"/>
          <w:lang w:val="en-GB"/>
        </w:rPr>
        <w:t>全球环境基金在提交缔约方大会的报告中</w:t>
      </w:r>
      <w:r w:rsidRPr="000C0842">
        <w:rPr>
          <w:rFonts w:eastAsia="SimSun" w:hint="eastAsia"/>
          <w:iCs/>
          <w:sz w:val="24"/>
          <w:szCs w:val="24"/>
          <w:lang w:val="en-GB"/>
        </w:rPr>
        <w:t>提供信息，</w:t>
      </w:r>
      <w:r w:rsidRPr="000C0842">
        <w:rPr>
          <w:rFonts w:eastAsia="SimSun"/>
          <w:iCs/>
          <w:sz w:val="24"/>
          <w:szCs w:val="24"/>
          <w:lang w:val="en-GB"/>
        </w:rPr>
        <w:t>说明它如何响应</w:t>
      </w:r>
      <w:r w:rsidRPr="000C0842">
        <w:rPr>
          <w:rFonts w:eastAsia="SimSun"/>
          <w:sz w:val="24"/>
          <w:szCs w:val="24"/>
        </w:rPr>
        <w:t>成果导向四年期框架，</w:t>
      </w:r>
      <w:r w:rsidRPr="000C0842">
        <w:rPr>
          <w:rFonts w:eastAsia="SimSun" w:hint="eastAsia"/>
          <w:sz w:val="24"/>
          <w:szCs w:val="24"/>
        </w:rPr>
        <w:t>这些响应</w:t>
      </w:r>
      <w:r w:rsidRPr="000C0842">
        <w:rPr>
          <w:rFonts w:eastAsia="SimSun"/>
          <w:sz w:val="24"/>
          <w:szCs w:val="24"/>
        </w:rPr>
        <w:t>如何促进落实《昆明</w:t>
      </w:r>
      <w:r w:rsidRPr="000C0842">
        <w:rPr>
          <w:rFonts w:eastAsia="SimSun"/>
          <w:sz w:val="24"/>
          <w:szCs w:val="24"/>
        </w:rPr>
        <w:t>-</w:t>
      </w:r>
      <w:r w:rsidRPr="000C0842">
        <w:rPr>
          <w:rFonts w:eastAsia="SimSun"/>
          <w:sz w:val="24"/>
          <w:szCs w:val="24"/>
        </w:rPr>
        <w:t>蒙特利尔全球生物多样性框架》的每项行动目标</w:t>
      </w:r>
      <w:r w:rsidRPr="000C0842">
        <w:rPr>
          <w:rFonts w:eastAsia="SimSun" w:hint="eastAsia"/>
          <w:sz w:val="24"/>
          <w:szCs w:val="24"/>
        </w:rPr>
        <w:t>、</w:t>
      </w:r>
      <w:r w:rsidRPr="000C0842">
        <w:rPr>
          <w:rFonts w:eastAsia="SimSun"/>
          <w:sz w:val="24"/>
          <w:szCs w:val="24"/>
        </w:rPr>
        <w:t>执行</w:t>
      </w:r>
      <w:r w:rsidRPr="000C0842">
        <w:rPr>
          <w:rFonts w:eastAsia="SimSun" w:hint="eastAsia"/>
          <w:sz w:val="24"/>
          <w:szCs w:val="24"/>
        </w:rPr>
        <w:t>考虑因素</w:t>
      </w:r>
      <w:r w:rsidRPr="000C0842">
        <w:rPr>
          <w:rFonts w:eastAsia="SimSun"/>
          <w:sz w:val="24"/>
          <w:szCs w:val="24"/>
        </w:rPr>
        <w:t>（《昆蒙框架》</w:t>
      </w:r>
      <w:r w:rsidRPr="000C0842">
        <w:rPr>
          <w:rFonts w:eastAsia="SimSun"/>
          <w:sz w:val="24"/>
          <w:szCs w:val="24"/>
        </w:rPr>
        <w:t>C</w:t>
      </w:r>
      <w:r w:rsidRPr="000C0842">
        <w:rPr>
          <w:rFonts w:eastAsia="SimSun"/>
          <w:sz w:val="24"/>
          <w:szCs w:val="24"/>
        </w:rPr>
        <w:t>部分）和《公约》及其议定书</w:t>
      </w:r>
      <w:r w:rsidRPr="000C0842">
        <w:rPr>
          <w:rFonts w:eastAsia="SimSun" w:hint="eastAsia"/>
          <w:sz w:val="24"/>
          <w:szCs w:val="24"/>
        </w:rPr>
        <w:t>的</w:t>
      </w:r>
      <w:r w:rsidRPr="000C0842">
        <w:rPr>
          <w:rFonts w:eastAsia="SimSun"/>
          <w:sz w:val="24"/>
          <w:szCs w:val="24"/>
        </w:rPr>
        <w:t>目标；</w:t>
      </w:r>
    </w:p>
    <w:p w14:paraId="24816C6D"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鼓励</w:t>
      </w:r>
      <w:r w:rsidRPr="000C0842">
        <w:rPr>
          <w:rFonts w:eastAsia="SimSun"/>
          <w:sz w:val="24"/>
          <w:szCs w:val="24"/>
          <w:lang w:val="en-GB"/>
        </w:rPr>
        <w:t>各生物多样性相关公约的理事机构酌情在各自会议议程中列入一个常设项目，就可能支持协作、合作和协同增效的国家行动酌情提供战略建议，以便实现《</w:t>
      </w:r>
      <w:r w:rsidRPr="000C0842">
        <w:rPr>
          <w:rFonts w:eastAsia="SimSun" w:hint="eastAsia"/>
          <w:sz w:val="24"/>
          <w:szCs w:val="24"/>
          <w:lang w:val="en-GB"/>
        </w:rPr>
        <w:t>生物多样性</w:t>
      </w:r>
      <w:r w:rsidRPr="000C0842">
        <w:rPr>
          <w:rFonts w:eastAsia="SimSun"/>
          <w:sz w:val="24"/>
          <w:szCs w:val="24"/>
          <w:lang w:val="en-GB"/>
        </w:rPr>
        <w:t>公约》及其议定书的目标以及《昆蒙框架》的各项长期目标和行动目标，</w:t>
      </w:r>
      <w:r w:rsidRPr="000C0842">
        <w:rPr>
          <w:rFonts w:eastAsia="SimSun" w:hint="eastAsia"/>
          <w:sz w:val="24"/>
          <w:szCs w:val="24"/>
          <w:lang w:val="en-GB"/>
        </w:rPr>
        <w:t>所提</w:t>
      </w:r>
      <w:r w:rsidRPr="000C0842">
        <w:rPr>
          <w:rFonts w:eastAsia="SimSun"/>
          <w:sz w:val="24"/>
          <w:szCs w:val="24"/>
          <w:lang w:val="en-GB"/>
        </w:rPr>
        <w:t>建议可通过生物多样性公约缔约方大会提交全球环境基金，并请其各自的秘书处向公约执行秘书通报这些建议；</w:t>
      </w:r>
    </w:p>
    <w:p w14:paraId="1429564F"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邀请</w:t>
      </w:r>
      <w:r w:rsidRPr="000C0842">
        <w:rPr>
          <w:rFonts w:eastAsia="SimSun"/>
          <w:sz w:val="24"/>
          <w:szCs w:val="24"/>
          <w:lang w:val="en-GB"/>
        </w:rPr>
        <w:t>各生物多样性相关公约的秘书处参</w:t>
      </w:r>
      <w:r w:rsidRPr="000C0842">
        <w:rPr>
          <w:rFonts w:eastAsia="SimSun" w:hint="eastAsia"/>
          <w:sz w:val="24"/>
          <w:szCs w:val="24"/>
          <w:lang w:val="en-GB"/>
        </w:rPr>
        <w:t>加</w:t>
      </w:r>
      <w:r w:rsidRPr="000C0842">
        <w:rPr>
          <w:rFonts w:eastAsia="SimSun"/>
          <w:sz w:val="24"/>
          <w:szCs w:val="24"/>
          <w:lang w:val="en-GB"/>
        </w:rPr>
        <w:t>将由</w:t>
      </w:r>
      <w:r w:rsidRPr="000C0842">
        <w:rPr>
          <w:rFonts w:eastAsia="SimSun" w:hint="eastAsia"/>
          <w:sz w:val="24"/>
          <w:szCs w:val="24"/>
          <w:lang w:val="en-GB"/>
        </w:rPr>
        <w:t>《生物多样性公约》</w:t>
      </w:r>
      <w:r w:rsidRPr="000C0842">
        <w:rPr>
          <w:rFonts w:eastAsia="SimSun"/>
          <w:sz w:val="24"/>
          <w:szCs w:val="24"/>
          <w:lang w:val="en-GB"/>
        </w:rPr>
        <w:t>执行秘书召集的秘书处间磋商</w:t>
      </w:r>
      <w:r w:rsidRPr="000C0842">
        <w:rPr>
          <w:rFonts w:eastAsia="SimSun" w:hint="eastAsia"/>
          <w:sz w:val="24"/>
          <w:szCs w:val="24"/>
          <w:lang w:val="en-GB"/>
        </w:rPr>
        <w:t>并提供投入</w:t>
      </w:r>
      <w:r w:rsidRPr="000C0842">
        <w:rPr>
          <w:rFonts w:eastAsia="SimSun"/>
          <w:sz w:val="24"/>
          <w:szCs w:val="24"/>
          <w:lang w:val="en-GB"/>
        </w:rPr>
        <w:t>，以便</w:t>
      </w:r>
      <w:r w:rsidRPr="000C0842">
        <w:rPr>
          <w:rFonts w:eastAsia="SimSun" w:hint="eastAsia"/>
          <w:sz w:val="24"/>
          <w:szCs w:val="24"/>
          <w:lang w:val="en-GB"/>
        </w:rPr>
        <w:t>拟定《公约》</w:t>
      </w:r>
      <w:r w:rsidRPr="000C0842">
        <w:rPr>
          <w:rFonts w:eastAsia="SimSun"/>
          <w:sz w:val="24"/>
          <w:szCs w:val="24"/>
          <w:lang w:val="en-GB"/>
        </w:rPr>
        <w:t>秘书处</w:t>
      </w:r>
      <w:r w:rsidRPr="000C0842">
        <w:rPr>
          <w:rFonts w:eastAsia="SimSun" w:hint="eastAsia"/>
          <w:sz w:val="24"/>
          <w:szCs w:val="24"/>
          <w:lang w:val="en-GB"/>
        </w:rPr>
        <w:t>对</w:t>
      </w:r>
      <w:r w:rsidRPr="000C0842">
        <w:rPr>
          <w:rFonts w:eastAsia="SimSun"/>
          <w:sz w:val="24"/>
          <w:szCs w:val="24"/>
          <w:lang w:val="en-GB"/>
        </w:rPr>
        <w:t>全球环境基金信托基金第九次增资谈判</w:t>
      </w:r>
      <w:r w:rsidRPr="000C0842">
        <w:rPr>
          <w:rFonts w:eastAsia="SimSun" w:hint="eastAsia"/>
          <w:sz w:val="24"/>
          <w:szCs w:val="24"/>
          <w:lang w:val="en-GB"/>
        </w:rPr>
        <w:t>所用</w:t>
      </w:r>
      <w:r w:rsidRPr="000C0842">
        <w:rPr>
          <w:rFonts w:eastAsia="SimSun"/>
          <w:sz w:val="24"/>
          <w:szCs w:val="24"/>
          <w:lang w:val="en-GB"/>
        </w:rPr>
        <w:t>方案编制指南</w:t>
      </w:r>
      <w:r w:rsidRPr="000C0842">
        <w:rPr>
          <w:rFonts w:eastAsia="SimSun" w:hint="eastAsia"/>
          <w:sz w:val="24"/>
          <w:szCs w:val="24"/>
          <w:lang w:val="en-GB"/>
        </w:rPr>
        <w:t>草案</w:t>
      </w:r>
      <w:r w:rsidRPr="000C0842">
        <w:rPr>
          <w:rFonts w:eastAsia="SimSun"/>
          <w:sz w:val="24"/>
          <w:szCs w:val="24"/>
          <w:lang w:val="en-GB"/>
        </w:rPr>
        <w:t>和政策建议草案</w:t>
      </w:r>
      <w:r w:rsidRPr="000C0842">
        <w:rPr>
          <w:rFonts w:eastAsia="SimSun" w:hint="eastAsia"/>
          <w:sz w:val="24"/>
          <w:szCs w:val="24"/>
          <w:lang w:val="en-GB"/>
        </w:rPr>
        <w:t>的投入</w:t>
      </w:r>
      <w:r w:rsidRPr="000C0842">
        <w:rPr>
          <w:rFonts w:eastAsia="SimSun"/>
          <w:sz w:val="24"/>
          <w:szCs w:val="24"/>
          <w:lang w:val="en-GB"/>
        </w:rPr>
        <w:t>，</w:t>
      </w:r>
      <w:r w:rsidRPr="000C0842">
        <w:rPr>
          <w:rFonts w:eastAsia="SimSun" w:hint="eastAsia"/>
          <w:sz w:val="24"/>
          <w:szCs w:val="24"/>
          <w:lang w:val="en-GB"/>
        </w:rPr>
        <w:t>全球环境基金</w:t>
      </w:r>
      <w:r w:rsidRPr="000C0842">
        <w:rPr>
          <w:rFonts w:eastAsia="SimSun"/>
          <w:sz w:val="24"/>
          <w:szCs w:val="24"/>
          <w:lang w:val="en-GB"/>
        </w:rPr>
        <w:t>将根据缔约方大会与全球环境基金理事会的谅解备忘录第</w:t>
      </w:r>
      <w:r w:rsidRPr="000C0842">
        <w:rPr>
          <w:rFonts w:eastAsia="SimSun"/>
          <w:sz w:val="24"/>
          <w:szCs w:val="24"/>
          <w:lang w:val="en-GB"/>
        </w:rPr>
        <w:t xml:space="preserve"> 7 </w:t>
      </w:r>
      <w:r w:rsidRPr="000C0842">
        <w:rPr>
          <w:rFonts w:eastAsia="SimSun"/>
          <w:sz w:val="24"/>
          <w:szCs w:val="24"/>
          <w:lang w:val="en-GB"/>
        </w:rPr>
        <w:t>段参</w:t>
      </w:r>
      <w:r w:rsidRPr="000C0842">
        <w:rPr>
          <w:rFonts w:eastAsia="SimSun" w:hint="eastAsia"/>
          <w:sz w:val="24"/>
          <w:szCs w:val="24"/>
          <w:lang w:val="en-GB"/>
        </w:rPr>
        <w:t>加</w:t>
      </w:r>
      <w:r w:rsidRPr="000C0842">
        <w:rPr>
          <w:rFonts w:eastAsia="SimSun"/>
          <w:sz w:val="24"/>
          <w:szCs w:val="24"/>
          <w:lang w:val="en-GB"/>
        </w:rPr>
        <w:t>该磋商；</w:t>
      </w:r>
    </w:p>
    <w:p w14:paraId="10E0DDD5" w14:textId="77777777" w:rsidR="000A776A" w:rsidRPr="000C0842" w:rsidRDefault="000A776A" w:rsidP="000A776A">
      <w:pPr>
        <w:keepNext/>
        <w:keepLines/>
        <w:tabs>
          <w:tab w:val="clear" w:pos="567"/>
          <w:tab w:val="clear" w:pos="1134"/>
          <w:tab w:val="clear" w:pos="1701"/>
          <w:tab w:val="clear" w:pos="2268"/>
        </w:tabs>
        <w:spacing w:before="120"/>
        <w:ind w:firstLine="490"/>
        <w:rPr>
          <w:rFonts w:eastAsia="SimSun"/>
          <w:b/>
          <w:sz w:val="24"/>
          <w:szCs w:val="24"/>
          <w:lang w:val="en-GB"/>
        </w:rPr>
      </w:pPr>
      <w:r w:rsidRPr="000C0842">
        <w:rPr>
          <w:rFonts w:eastAsia="SimSun" w:hint="eastAsia"/>
          <w:b/>
          <w:sz w:val="24"/>
          <w:szCs w:val="24"/>
          <w:lang w:val="en-GB"/>
        </w:rPr>
        <w:t>四</w:t>
      </w:r>
    </w:p>
    <w:p w14:paraId="1DAAF2A6" w14:textId="77777777" w:rsidR="000A776A" w:rsidRPr="000C0842" w:rsidRDefault="000A776A" w:rsidP="000A776A">
      <w:pPr>
        <w:keepNext/>
        <w:keepLines/>
        <w:tabs>
          <w:tab w:val="clear" w:pos="567"/>
          <w:tab w:val="clear" w:pos="1134"/>
          <w:tab w:val="clear" w:pos="1701"/>
          <w:tab w:val="clear" w:pos="2268"/>
        </w:tabs>
        <w:spacing w:after="120"/>
        <w:ind w:firstLine="490"/>
        <w:rPr>
          <w:rFonts w:eastAsia="SimSun"/>
          <w:b/>
          <w:sz w:val="24"/>
          <w:szCs w:val="24"/>
          <w:lang w:val="en-GB"/>
        </w:rPr>
      </w:pPr>
      <w:r w:rsidRPr="000C0842">
        <w:rPr>
          <w:rFonts w:eastAsia="SimSun"/>
          <w:b/>
          <w:sz w:val="24"/>
          <w:szCs w:val="24"/>
          <w:lang w:val="en-GB"/>
        </w:rPr>
        <w:t>供资需求评估</w:t>
      </w:r>
    </w:p>
    <w:p w14:paraId="422B7B9C"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请</w:t>
      </w:r>
      <w:r w:rsidRPr="000C0842">
        <w:rPr>
          <w:rFonts w:eastAsia="SimSun"/>
          <w:sz w:val="24"/>
          <w:szCs w:val="24"/>
          <w:lang w:val="en-GB"/>
        </w:rPr>
        <w:t>执行秘书尽快汇编从所有符合</w:t>
      </w:r>
      <w:r w:rsidRPr="000C0842">
        <w:rPr>
          <w:rFonts w:eastAsia="SimSun" w:hint="eastAsia"/>
          <w:sz w:val="24"/>
          <w:szCs w:val="24"/>
          <w:lang w:val="en-GB"/>
        </w:rPr>
        <w:t>条件的发展中</w:t>
      </w:r>
      <w:r w:rsidRPr="000C0842">
        <w:rPr>
          <w:rFonts w:eastAsia="SimSun"/>
          <w:sz w:val="24"/>
          <w:szCs w:val="24"/>
          <w:lang w:val="en-GB"/>
        </w:rPr>
        <w:t>国家</w:t>
      </w:r>
      <w:r w:rsidRPr="000C0842">
        <w:rPr>
          <w:rFonts w:eastAsia="SimSun" w:hint="eastAsia"/>
          <w:sz w:val="24"/>
          <w:szCs w:val="24"/>
          <w:lang w:val="en-GB"/>
        </w:rPr>
        <w:t>缔约方特别是最不发达国家和小岛屿发展中国家以及经济转型</w:t>
      </w:r>
      <w:r w:rsidRPr="000C0842">
        <w:rPr>
          <w:rFonts w:eastAsia="SimSun"/>
          <w:sz w:val="24"/>
          <w:szCs w:val="24"/>
          <w:lang w:val="en-GB"/>
        </w:rPr>
        <w:t>缔约方收到的关于供资需求的信息</w:t>
      </w:r>
      <w:r w:rsidRPr="000C0842">
        <w:rPr>
          <w:rFonts w:eastAsia="SimSun" w:hint="eastAsia"/>
          <w:sz w:val="24"/>
          <w:szCs w:val="24"/>
          <w:lang w:val="en-GB"/>
        </w:rPr>
        <w:t>，转交</w:t>
      </w:r>
      <w:r w:rsidRPr="000C0842">
        <w:rPr>
          <w:rFonts w:eastAsia="SimSun"/>
          <w:sz w:val="24"/>
          <w:szCs w:val="24"/>
          <w:lang w:val="en-GB"/>
        </w:rPr>
        <w:t>全球环境基金秘书处和全球环境基金信托基金第九次增资谈判的参与方</w:t>
      </w:r>
      <w:r w:rsidRPr="000C0842">
        <w:rPr>
          <w:rFonts w:eastAsia="SimSun" w:hint="eastAsia"/>
          <w:sz w:val="24"/>
          <w:szCs w:val="24"/>
          <w:lang w:val="en-GB"/>
        </w:rPr>
        <w:t>；</w:t>
      </w:r>
    </w:p>
    <w:p w14:paraId="1931D715"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又请</w:t>
      </w:r>
      <w:r w:rsidRPr="000C0842">
        <w:rPr>
          <w:rFonts w:eastAsia="SimSun"/>
          <w:sz w:val="24"/>
          <w:szCs w:val="24"/>
          <w:lang w:val="en-GB"/>
        </w:rPr>
        <w:t>执行秘书</w:t>
      </w:r>
      <w:r w:rsidRPr="000C0842">
        <w:rPr>
          <w:rFonts w:eastAsia="SimSun" w:hint="eastAsia"/>
          <w:sz w:val="24"/>
          <w:szCs w:val="24"/>
          <w:lang w:val="en-GB"/>
        </w:rPr>
        <w:t>借鉴在执行职权范围评估在</w:t>
      </w:r>
      <w:r w:rsidRPr="000C0842">
        <w:rPr>
          <w:rFonts w:eastAsia="SimSun"/>
          <w:sz w:val="24"/>
          <w:szCs w:val="24"/>
          <w:lang w:val="en-GB"/>
        </w:rPr>
        <w:t>执行《公约》及其议定书</w:t>
      </w:r>
      <w:r w:rsidRPr="000C0842">
        <w:rPr>
          <w:rFonts w:eastAsia="SimSun" w:hint="eastAsia"/>
          <w:sz w:val="24"/>
          <w:szCs w:val="24"/>
          <w:lang w:val="en-GB"/>
        </w:rPr>
        <w:t>方面对</w:t>
      </w:r>
      <w:r w:rsidRPr="000C0842">
        <w:rPr>
          <w:rFonts w:eastAsia="SimSun"/>
          <w:sz w:val="24"/>
          <w:szCs w:val="24"/>
          <w:lang w:val="en-GB"/>
        </w:rPr>
        <w:t>全球环境基金</w:t>
      </w:r>
      <w:r w:rsidRPr="000C0842">
        <w:rPr>
          <w:rFonts w:eastAsia="SimSun" w:hint="eastAsia"/>
          <w:sz w:val="24"/>
          <w:szCs w:val="24"/>
          <w:lang w:val="en-GB"/>
        </w:rPr>
        <w:t>的资金需求的</w:t>
      </w:r>
      <w:r w:rsidRPr="000C0842">
        <w:rPr>
          <w:rFonts w:eastAsia="SimSun"/>
          <w:sz w:val="24"/>
          <w:szCs w:val="24"/>
          <w:lang w:val="en-GB"/>
        </w:rPr>
        <w:t>经验教训，拟订全球环境基金信托基金第十增资期</w:t>
      </w:r>
      <w:r w:rsidRPr="000C0842">
        <w:rPr>
          <w:rFonts w:eastAsia="SimSun" w:hint="eastAsia"/>
          <w:sz w:val="24"/>
          <w:szCs w:val="24"/>
          <w:lang w:val="en-GB"/>
        </w:rPr>
        <w:t>（</w:t>
      </w:r>
      <w:r w:rsidRPr="000C0842">
        <w:rPr>
          <w:rFonts w:eastAsia="SimSun"/>
          <w:sz w:val="24"/>
          <w:szCs w:val="24"/>
          <w:lang w:val="en-GB"/>
        </w:rPr>
        <w:t>2030</w:t>
      </w:r>
      <w:r w:rsidRPr="000C0842">
        <w:rPr>
          <w:rFonts w:eastAsia="SimSun"/>
          <w:sz w:val="24"/>
          <w:szCs w:val="24"/>
          <w:lang w:val="en-GB"/>
        </w:rPr>
        <w:t>年</w:t>
      </w:r>
      <w:r w:rsidRPr="000C0842">
        <w:rPr>
          <w:rFonts w:eastAsia="SimSun"/>
          <w:sz w:val="24"/>
          <w:szCs w:val="24"/>
          <w:lang w:val="en-GB"/>
        </w:rPr>
        <w:t>7</w:t>
      </w:r>
      <w:r w:rsidRPr="000C0842">
        <w:rPr>
          <w:rFonts w:eastAsia="SimSun"/>
          <w:sz w:val="24"/>
          <w:szCs w:val="24"/>
          <w:lang w:val="en-GB"/>
        </w:rPr>
        <w:t>月至</w:t>
      </w:r>
      <w:r w:rsidRPr="000C0842">
        <w:rPr>
          <w:rFonts w:eastAsia="SimSun"/>
          <w:sz w:val="24"/>
          <w:szCs w:val="24"/>
          <w:lang w:val="en-GB"/>
        </w:rPr>
        <w:t>2034</w:t>
      </w:r>
      <w:r w:rsidRPr="000C0842">
        <w:rPr>
          <w:rFonts w:eastAsia="SimSun"/>
          <w:sz w:val="24"/>
          <w:szCs w:val="24"/>
          <w:lang w:val="en-GB"/>
        </w:rPr>
        <w:t>年</w:t>
      </w:r>
      <w:r w:rsidRPr="000C0842">
        <w:rPr>
          <w:rFonts w:eastAsia="SimSun"/>
          <w:sz w:val="24"/>
          <w:szCs w:val="24"/>
          <w:lang w:val="en-GB"/>
        </w:rPr>
        <w:t>6</w:t>
      </w:r>
      <w:r w:rsidRPr="000C0842">
        <w:rPr>
          <w:rFonts w:eastAsia="SimSun"/>
          <w:sz w:val="24"/>
          <w:szCs w:val="24"/>
          <w:lang w:val="en-GB"/>
        </w:rPr>
        <w:t>月</w:t>
      </w:r>
      <w:r w:rsidRPr="000C0842">
        <w:rPr>
          <w:rFonts w:eastAsia="SimSun" w:hint="eastAsia"/>
          <w:sz w:val="24"/>
          <w:szCs w:val="24"/>
          <w:lang w:val="en-GB"/>
        </w:rPr>
        <w:t>）</w:t>
      </w:r>
      <w:r w:rsidRPr="000C0842">
        <w:rPr>
          <w:rFonts w:eastAsia="SimSun"/>
          <w:sz w:val="24"/>
          <w:szCs w:val="24"/>
          <w:lang w:val="en-GB"/>
        </w:rPr>
        <w:t>第五次确定供资需求的职权范围草案，供执行问题附属机构</w:t>
      </w:r>
      <w:r w:rsidRPr="000C0842">
        <w:rPr>
          <w:rFonts w:eastAsia="SimSun" w:hint="eastAsia"/>
          <w:sz w:val="24"/>
          <w:szCs w:val="24"/>
          <w:lang w:val="en-GB"/>
        </w:rPr>
        <w:t>在</w:t>
      </w:r>
      <w:r w:rsidRPr="000C0842">
        <w:rPr>
          <w:rFonts w:eastAsia="SimSun"/>
          <w:sz w:val="24"/>
          <w:szCs w:val="24"/>
          <w:lang w:val="en-GB"/>
        </w:rPr>
        <w:t>缔约方</w:t>
      </w:r>
      <w:r w:rsidRPr="000C0842">
        <w:rPr>
          <w:rFonts w:eastAsia="SimSun" w:hint="eastAsia"/>
          <w:sz w:val="24"/>
          <w:szCs w:val="24"/>
          <w:lang w:val="en-GB"/>
        </w:rPr>
        <w:t>大会</w:t>
      </w:r>
      <w:r w:rsidRPr="000C0842">
        <w:rPr>
          <w:rFonts w:eastAsia="SimSun"/>
          <w:sz w:val="24"/>
          <w:szCs w:val="24"/>
          <w:lang w:val="en-GB"/>
        </w:rPr>
        <w:t>第十七届会议</w:t>
      </w:r>
      <w:r w:rsidRPr="000C0842">
        <w:rPr>
          <w:rFonts w:eastAsia="SimSun" w:hint="eastAsia"/>
          <w:sz w:val="24"/>
          <w:szCs w:val="24"/>
          <w:lang w:val="en-GB"/>
        </w:rPr>
        <w:t>之前举行的一次会议上</w:t>
      </w:r>
      <w:r w:rsidRPr="000C0842">
        <w:rPr>
          <w:rFonts w:eastAsia="SimSun"/>
          <w:sz w:val="24"/>
          <w:szCs w:val="24"/>
          <w:lang w:val="en-GB"/>
        </w:rPr>
        <w:t>审议；</w:t>
      </w:r>
    </w:p>
    <w:p w14:paraId="2814F814" w14:textId="77777777" w:rsidR="000A776A" w:rsidRPr="000C0842" w:rsidRDefault="000A776A" w:rsidP="000A776A">
      <w:pPr>
        <w:keepNext/>
        <w:keepLines/>
        <w:tabs>
          <w:tab w:val="clear" w:pos="567"/>
          <w:tab w:val="clear" w:pos="1134"/>
          <w:tab w:val="clear" w:pos="1701"/>
          <w:tab w:val="clear" w:pos="2268"/>
        </w:tabs>
        <w:spacing w:before="120"/>
        <w:ind w:firstLine="490"/>
        <w:rPr>
          <w:rFonts w:eastAsia="SimSun"/>
          <w:b/>
          <w:sz w:val="24"/>
          <w:szCs w:val="24"/>
          <w:lang w:val="en-GB"/>
        </w:rPr>
      </w:pPr>
      <w:r w:rsidRPr="000C0842">
        <w:rPr>
          <w:rFonts w:eastAsia="SimSun" w:hint="eastAsia"/>
          <w:b/>
          <w:sz w:val="24"/>
          <w:szCs w:val="24"/>
          <w:lang w:val="en-GB"/>
        </w:rPr>
        <w:t>五</w:t>
      </w:r>
    </w:p>
    <w:p w14:paraId="477DDAA0" w14:textId="77777777" w:rsidR="000A776A" w:rsidRPr="000C0842" w:rsidRDefault="000A776A" w:rsidP="000A776A">
      <w:pPr>
        <w:keepNext/>
        <w:keepLines/>
        <w:tabs>
          <w:tab w:val="clear" w:pos="567"/>
          <w:tab w:val="clear" w:pos="1134"/>
          <w:tab w:val="clear" w:pos="1701"/>
          <w:tab w:val="clear" w:pos="2268"/>
        </w:tabs>
        <w:spacing w:after="120"/>
        <w:ind w:firstLine="490"/>
        <w:rPr>
          <w:rFonts w:eastAsia="SimSun"/>
          <w:b/>
          <w:sz w:val="24"/>
          <w:szCs w:val="24"/>
          <w:lang w:val="en-GB"/>
        </w:rPr>
      </w:pPr>
      <w:r w:rsidRPr="000C0842">
        <w:rPr>
          <w:rFonts w:eastAsia="SimSun"/>
          <w:b/>
          <w:sz w:val="24"/>
          <w:szCs w:val="24"/>
          <w:lang w:val="en-GB"/>
        </w:rPr>
        <w:t>对全球环境基金的</w:t>
      </w:r>
      <w:r w:rsidRPr="000C0842">
        <w:rPr>
          <w:rFonts w:eastAsia="SimSun" w:hint="eastAsia"/>
          <w:b/>
          <w:sz w:val="24"/>
          <w:szCs w:val="24"/>
          <w:lang w:val="en-GB"/>
        </w:rPr>
        <w:t>补充</w:t>
      </w:r>
      <w:r w:rsidRPr="000C0842">
        <w:rPr>
          <w:rFonts w:eastAsia="SimSun"/>
          <w:b/>
          <w:sz w:val="24"/>
          <w:szCs w:val="24"/>
          <w:lang w:val="en-GB"/>
        </w:rPr>
        <w:t>指导</w:t>
      </w:r>
      <w:r w:rsidRPr="000C0842">
        <w:rPr>
          <w:rFonts w:eastAsia="SimSun" w:hint="eastAsia"/>
          <w:b/>
          <w:sz w:val="24"/>
          <w:szCs w:val="24"/>
          <w:lang w:val="en-GB"/>
        </w:rPr>
        <w:t>意见</w:t>
      </w:r>
    </w:p>
    <w:p w14:paraId="42391147"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表示注意</w:t>
      </w:r>
      <w:r w:rsidRPr="000C0842">
        <w:rPr>
          <w:rFonts w:eastAsia="KaiTi"/>
          <w:sz w:val="24"/>
          <w:szCs w:val="24"/>
          <w:lang w:val="en-GB"/>
        </w:rPr>
        <w:t>到</w:t>
      </w:r>
      <w:hyperlink r:id="rId312" w:history="1">
        <w:r w:rsidRPr="000C0842">
          <w:rPr>
            <w:rFonts w:eastAsia="SimSun"/>
            <w:sz w:val="24"/>
            <w:szCs w:val="24"/>
            <w:u w:val="single"/>
            <w:lang w:val="en-GB"/>
          </w:rPr>
          <w:t>CBD/COP/16/6/Add.1</w:t>
        </w:r>
      </w:hyperlink>
      <w:r w:rsidRPr="000C0842">
        <w:rPr>
          <w:rFonts w:eastAsia="SimSun"/>
          <w:sz w:val="24"/>
          <w:szCs w:val="24"/>
          <w:lang w:val="en-GB"/>
        </w:rPr>
        <w:t>号文件附件所载</w:t>
      </w:r>
      <w:r w:rsidRPr="000C0842">
        <w:rPr>
          <w:rFonts w:eastAsia="SimSun" w:hint="eastAsia"/>
          <w:sz w:val="24"/>
          <w:szCs w:val="24"/>
          <w:lang w:val="en-GB"/>
        </w:rPr>
        <w:t>经合并的先前</w:t>
      </w:r>
      <w:r w:rsidRPr="000C0842">
        <w:rPr>
          <w:rFonts w:eastAsia="SimSun"/>
          <w:sz w:val="24"/>
          <w:szCs w:val="24"/>
          <w:lang w:val="en-GB"/>
        </w:rPr>
        <w:t>对全球环境基金的指导意见；</w:t>
      </w:r>
    </w:p>
    <w:p w14:paraId="2258B2E0"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rPr>
        <w:t>通过</w:t>
      </w:r>
      <w:r w:rsidRPr="000C0842">
        <w:rPr>
          <w:rFonts w:eastAsia="SimSun"/>
          <w:sz w:val="24"/>
          <w:szCs w:val="24"/>
        </w:rPr>
        <w:t>本决定附件二所载对全球环境基金的补充指导意见，并请全球环境基金理事会在其提交缔约方大会的报告中列入信息，说明这些补充指导意见的实施情况；</w:t>
      </w:r>
    </w:p>
    <w:p w14:paraId="3FD30C4C"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请</w:t>
      </w:r>
      <w:r w:rsidRPr="000C0842">
        <w:rPr>
          <w:rFonts w:eastAsia="SimSun"/>
          <w:sz w:val="24"/>
          <w:szCs w:val="24"/>
        </w:rPr>
        <w:t>执行问题附属机构在公约缔约方大会第十七届会议之前举行的一次会议上审议根据</w:t>
      </w:r>
      <w:hyperlink r:id="rId313" w:history="1">
        <w:r w:rsidRPr="000C0842">
          <w:rPr>
            <w:rFonts w:eastAsia="SimSun"/>
            <w:sz w:val="24"/>
            <w:szCs w:val="24"/>
            <w:u w:val="single"/>
          </w:rPr>
          <w:t>CBD/COP/16/</w:t>
        </w:r>
        <w:r w:rsidRPr="000C0842">
          <w:rPr>
            <w:rFonts w:eastAsia="SimSun" w:hint="eastAsia"/>
            <w:sz w:val="24"/>
            <w:szCs w:val="24"/>
            <w:u w:val="single"/>
          </w:rPr>
          <w:t>6</w:t>
        </w:r>
        <w:r w:rsidRPr="000C0842">
          <w:rPr>
            <w:rFonts w:eastAsia="SimSun"/>
            <w:sz w:val="24"/>
            <w:szCs w:val="24"/>
            <w:u w:val="single"/>
          </w:rPr>
          <w:t>/Rev.1</w:t>
        </w:r>
      </w:hyperlink>
      <w:r w:rsidRPr="000C0842">
        <w:rPr>
          <w:rFonts w:eastAsia="SimSun"/>
          <w:sz w:val="24"/>
          <w:szCs w:val="24"/>
        </w:rPr>
        <w:t>号文件</w:t>
      </w:r>
      <w:r w:rsidRPr="000C0842">
        <w:rPr>
          <w:rFonts w:eastAsia="SimSun" w:hint="eastAsia"/>
          <w:sz w:val="24"/>
          <w:szCs w:val="24"/>
        </w:rPr>
        <w:t>附件</w:t>
      </w:r>
      <w:r w:rsidRPr="000C0842">
        <w:rPr>
          <w:rFonts w:eastAsia="SimSun"/>
          <w:sz w:val="24"/>
          <w:szCs w:val="24"/>
        </w:rPr>
        <w:t>所载第</w:t>
      </w:r>
      <w:hyperlink r:id="rId314" w:history="1">
        <w:r w:rsidRPr="000C0842">
          <w:rPr>
            <w:rFonts w:eastAsia="SimSun"/>
            <w:sz w:val="24"/>
            <w:szCs w:val="24"/>
            <w:u w:val="single"/>
          </w:rPr>
          <w:t>4/4</w:t>
        </w:r>
      </w:hyperlink>
      <w:r w:rsidRPr="000C0842">
        <w:rPr>
          <w:rFonts w:eastAsia="SimSun"/>
          <w:sz w:val="24"/>
          <w:szCs w:val="24"/>
        </w:rPr>
        <w:t>号建议拟订的</w:t>
      </w:r>
      <w:r w:rsidRPr="000C0842">
        <w:rPr>
          <w:rFonts w:eastAsia="SimSun" w:hint="eastAsia"/>
          <w:sz w:val="24"/>
          <w:szCs w:val="24"/>
        </w:rPr>
        <w:t>补充</w:t>
      </w:r>
      <w:r w:rsidRPr="000C0842">
        <w:rPr>
          <w:rFonts w:eastAsia="SimSun"/>
          <w:sz w:val="24"/>
          <w:szCs w:val="24"/>
        </w:rPr>
        <w:t>指导意见</w:t>
      </w:r>
      <w:r w:rsidRPr="000C0842">
        <w:rPr>
          <w:rFonts w:eastAsia="SimSun" w:hint="eastAsia"/>
          <w:sz w:val="24"/>
          <w:szCs w:val="24"/>
        </w:rPr>
        <w:t>要素</w:t>
      </w:r>
      <w:r w:rsidRPr="000C0842">
        <w:rPr>
          <w:rFonts w:eastAsia="SimSun"/>
          <w:sz w:val="24"/>
          <w:szCs w:val="24"/>
        </w:rPr>
        <w:t>草案</w:t>
      </w:r>
      <w:r w:rsidRPr="000C0842">
        <w:rPr>
          <w:rFonts w:eastAsia="SimSun" w:hint="eastAsia"/>
          <w:sz w:val="24"/>
          <w:szCs w:val="24"/>
        </w:rPr>
        <w:t>和提交</w:t>
      </w:r>
      <w:r w:rsidRPr="000C0842">
        <w:rPr>
          <w:rFonts w:eastAsia="SimSun"/>
          <w:sz w:val="24"/>
          <w:szCs w:val="24"/>
        </w:rPr>
        <w:t>缔约方会议第十六届会议的补充案文提案</w:t>
      </w:r>
      <w:r w:rsidRPr="000C0842">
        <w:rPr>
          <w:rFonts w:eastAsia="SimSun"/>
          <w:sz w:val="24"/>
          <w:szCs w:val="24"/>
          <w:vertAlign w:val="superscript"/>
        </w:rPr>
        <w:footnoteReference w:id="446"/>
      </w:r>
      <w:r w:rsidRPr="000C0842">
        <w:rPr>
          <w:rFonts w:eastAsia="SimSun"/>
          <w:sz w:val="24"/>
          <w:szCs w:val="24"/>
        </w:rPr>
        <w:t>；</w:t>
      </w:r>
    </w:p>
    <w:p w14:paraId="1E8BA00B"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rPr>
        <w:t>回顾</w:t>
      </w:r>
      <w:r w:rsidRPr="000C0842">
        <w:rPr>
          <w:rFonts w:eastAsia="SimSun" w:hint="eastAsia"/>
          <w:sz w:val="24"/>
          <w:szCs w:val="24"/>
        </w:rPr>
        <w:t>缔约方大会</w:t>
      </w:r>
      <w:r w:rsidRPr="000C0842">
        <w:rPr>
          <w:rFonts w:eastAsia="SimSun"/>
          <w:sz w:val="24"/>
          <w:szCs w:val="24"/>
          <w:lang w:val="en-GB"/>
        </w:rPr>
        <w:t>2014</w:t>
      </w:r>
      <w:r w:rsidRPr="000C0842">
        <w:rPr>
          <w:rFonts w:eastAsia="SimSun"/>
          <w:sz w:val="24"/>
          <w:szCs w:val="24"/>
          <w:lang w:val="en-GB"/>
        </w:rPr>
        <w:t>年</w:t>
      </w: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17</w:t>
      </w:r>
      <w:r w:rsidRPr="000C0842">
        <w:rPr>
          <w:rFonts w:eastAsia="SimSun"/>
          <w:sz w:val="24"/>
          <w:szCs w:val="24"/>
          <w:lang w:val="en-GB"/>
        </w:rPr>
        <w:t>日第</w:t>
      </w:r>
      <w:hyperlink r:id="rId315" w:history="1">
        <w:r w:rsidRPr="000C0842">
          <w:rPr>
            <w:rFonts w:eastAsia="SimSun"/>
            <w:sz w:val="24"/>
            <w:szCs w:val="24"/>
            <w:u w:val="single"/>
            <w:lang w:val="en-GB"/>
          </w:rPr>
          <w:t>XII/30</w:t>
        </w:r>
      </w:hyperlink>
      <w:r w:rsidRPr="000C0842">
        <w:rPr>
          <w:rFonts w:eastAsia="SimSun"/>
          <w:sz w:val="24"/>
          <w:szCs w:val="24"/>
          <w:lang w:val="en-GB"/>
        </w:rPr>
        <w:t>号决定的第</w:t>
      </w:r>
      <w:r w:rsidRPr="000C0842">
        <w:rPr>
          <w:rFonts w:eastAsia="SimSun"/>
          <w:sz w:val="24"/>
          <w:szCs w:val="24"/>
          <w:lang w:val="en-GB"/>
        </w:rPr>
        <w:t>2</w:t>
      </w:r>
      <w:r w:rsidRPr="000C0842">
        <w:rPr>
          <w:rFonts w:eastAsia="SimSun"/>
          <w:sz w:val="24"/>
          <w:szCs w:val="24"/>
          <w:lang w:val="en-GB"/>
        </w:rPr>
        <w:t>、第</w:t>
      </w:r>
      <w:r w:rsidRPr="000C0842">
        <w:rPr>
          <w:rFonts w:eastAsia="SimSun"/>
          <w:sz w:val="24"/>
          <w:szCs w:val="24"/>
          <w:lang w:val="en-GB"/>
        </w:rPr>
        <w:t>3</w:t>
      </w:r>
      <w:r w:rsidRPr="000C0842">
        <w:rPr>
          <w:rFonts w:eastAsia="SimSun"/>
          <w:sz w:val="24"/>
          <w:szCs w:val="24"/>
          <w:lang w:val="en-GB"/>
        </w:rPr>
        <w:t>和第</w:t>
      </w:r>
      <w:r w:rsidRPr="000C0842">
        <w:rPr>
          <w:rFonts w:eastAsia="SimSun"/>
          <w:sz w:val="24"/>
          <w:szCs w:val="24"/>
          <w:lang w:val="en-GB"/>
        </w:rPr>
        <w:t>4</w:t>
      </w:r>
      <w:r w:rsidRPr="000C0842">
        <w:rPr>
          <w:rFonts w:eastAsia="SimSun"/>
          <w:sz w:val="24"/>
          <w:szCs w:val="24"/>
          <w:lang w:val="en-GB"/>
        </w:rPr>
        <w:t>段，请执行秘书</w:t>
      </w:r>
      <w:r w:rsidRPr="000C0842">
        <w:rPr>
          <w:rFonts w:eastAsia="SimSun" w:hint="eastAsia"/>
          <w:sz w:val="24"/>
          <w:szCs w:val="24"/>
          <w:lang w:val="en-GB"/>
        </w:rPr>
        <w:t>保持</w:t>
      </w:r>
      <w:r w:rsidRPr="000C0842">
        <w:rPr>
          <w:rFonts w:eastAsia="SimSun"/>
          <w:sz w:val="24"/>
          <w:szCs w:val="24"/>
          <w:lang w:val="en-GB"/>
        </w:rPr>
        <w:t>与</w:t>
      </w:r>
      <w:r w:rsidRPr="000C0842">
        <w:rPr>
          <w:rFonts w:eastAsia="SimSun" w:hint="eastAsia"/>
          <w:sz w:val="24"/>
          <w:szCs w:val="24"/>
          <w:lang w:val="en-GB"/>
        </w:rPr>
        <w:t>各</w:t>
      </w:r>
      <w:r w:rsidRPr="000C0842">
        <w:rPr>
          <w:rFonts w:eastAsia="SimSun"/>
          <w:sz w:val="24"/>
          <w:szCs w:val="24"/>
          <w:lang w:val="en-GB"/>
        </w:rPr>
        <w:t>生物多样性</w:t>
      </w:r>
      <w:r w:rsidRPr="000C0842">
        <w:rPr>
          <w:rFonts w:eastAsia="SimSun" w:hint="eastAsia"/>
          <w:sz w:val="24"/>
          <w:szCs w:val="24"/>
          <w:lang w:val="en-GB"/>
        </w:rPr>
        <w:t>相关</w:t>
      </w:r>
      <w:r w:rsidRPr="000C0842">
        <w:rPr>
          <w:rFonts w:eastAsia="SimSun"/>
          <w:sz w:val="24"/>
          <w:szCs w:val="24"/>
          <w:lang w:val="en-GB"/>
        </w:rPr>
        <w:t>公约和全球环境基金</w:t>
      </w:r>
      <w:r w:rsidRPr="000C0842">
        <w:rPr>
          <w:rFonts w:eastAsia="SimSun" w:hint="eastAsia"/>
          <w:sz w:val="24"/>
          <w:szCs w:val="24"/>
          <w:lang w:val="en-GB"/>
        </w:rPr>
        <w:t>的</w:t>
      </w:r>
      <w:r w:rsidRPr="000C0842">
        <w:rPr>
          <w:rFonts w:eastAsia="SimSun"/>
          <w:sz w:val="24"/>
          <w:szCs w:val="24"/>
          <w:lang w:val="en-GB"/>
        </w:rPr>
        <w:t>联络，探讨全球环境基金</w:t>
      </w:r>
      <w:r w:rsidRPr="000C0842">
        <w:rPr>
          <w:rFonts w:eastAsia="SimSun" w:hint="eastAsia"/>
          <w:sz w:val="24"/>
          <w:szCs w:val="24"/>
          <w:lang w:val="en-GB"/>
        </w:rPr>
        <w:t>如何加强对各国</w:t>
      </w:r>
      <w:r w:rsidRPr="000C0842">
        <w:rPr>
          <w:rFonts w:eastAsia="SimSun"/>
          <w:sz w:val="24"/>
          <w:szCs w:val="24"/>
          <w:lang w:val="en-GB"/>
        </w:rPr>
        <w:t>执行</w:t>
      </w:r>
      <w:r w:rsidRPr="000C0842">
        <w:rPr>
          <w:rFonts w:eastAsia="SimSun" w:hint="eastAsia"/>
          <w:sz w:val="24"/>
          <w:szCs w:val="24"/>
          <w:lang w:val="en-GB"/>
        </w:rPr>
        <w:t>各</w:t>
      </w:r>
      <w:r w:rsidRPr="000C0842">
        <w:rPr>
          <w:rFonts w:eastAsia="SimSun"/>
          <w:sz w:val="24"/>
          <w:szCs w:val="24"/>
          <w:lang w:val="en-GB"/>
        </w:rPr>
        <w:t>生物多样性</w:t>
      </w:r>
      <w:r w:rsidRPr="000C0842">
        <w:rPr>
          <w:rFonts w:eastAsia="SimSun" w:hint="eastAsia"/>
          <w:sz w:val="24"/>
          <w:szCs w:val="24"/>
          <w:lang w:val="en-GB"/>
        </w:rPr>
        <w:t>相关公约的活动的支持力度</w:t>
      </w:r>
      <w:r w:rsidRPr="000C0842">
        <w:rPr>
          <w:rFonts w:eastAsia="SimSun"/>
          <w:sz w:val="24"/>
          <w:szCs w:val="24"/>
          <w:lang w:val="en-GB"/>
        </w:rPr>
        <w:t>；</w:t>
      </w:r>
    </w:p>
    <w:p w14:paraId="6D879711"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请</w:t>
      </w:r>
      <w:r w:rsidRPr="000C0842">
        <w:rPr>
          <w:rFonts w:eastAsia="SimSun"/>
          <w:sz w:val="24"/>
          <w:szCs w:val="24"/>
          <w:lang w:val="en-GB"/>
        </w:rPr>
        <w:t>全球环境</w:t>
      </w:r>
      <w:r w:rsidRPr="000C0842">
        <w:rPr>
          <w:rFonts w:eastAsia="SimSun" w:hint="eastAsia"/>
          <w:sz w:val="24"/>
          <w:szCs w:val="24"/>
          <w:lang w:val="en-GB"/>
        </w:rPr>
        <w:t>基金</w:t>
      </w:r>
      <w:r w:rsidRPr="000C0842">
        <w:rPr>
          <w:rFonts w:eastAsia="SimSun"/>
          <w:sz w:val="24"/>
          <w:szCs w:val="24"/>
          <w:lang w:val="en-GB"/>
        </w:rPr>
        <w:t>继续支持与土著人民和地方社区、妇女和青年的伙伴关系，承认和宣传它们对于落实《昆蒙框架》行动目标的贡献；</w:t>
      </w:r>
    </w:p>
    <w:p w14:paraId="05BB558D"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又请</w:t>
      </w:r>
      <w:r w:rsidRPr="000C0842">
        <w:rPr>
          <w:rFonts w:eastAsia="SimSun"/>
          <w:sz w:val="24"/>
          <w:szCs w:val="24"/>
          <w:lang w:val="en-GB"/>
        </w:rPr>
        <w:t>全球环境基金向缔约方大会通报</w:t>
      </w:r>
      <w:r w:rsidRPr="000C0842">
        <w:rPr>
          <w:rFonts w:eastAsia="SimSun" w:hint="eastAsia"/>
          <w:sz w:val="24"/>
          <w:szCs w:val="24"/>
          <w:lang w:val="en-GB"/>
        </w:rPr>
        <w:t>它</w:t>
      </w:r>
      <w:r w:rsidRPr="000C0842">
        <w:rPr>
          <w:rFonts w:eastAsia="SimSun"/>
          <w:sz w:val="24"/>
          <w:szCs w:val="24"/>
          <w:lang w:val="en-GB"/>
        </w:rPr>
        <w:t>是如何考虑《公约》</w:t>
      </w:r>
      <w:r w:rsidRPr="000C0842">
        <w:rPr>
          <w:rFonts w:eastAsia="SimSun" w:hint="eastAsia"/>
          <w:sz w:val="24"/>
          <w:szCs w:val="24"/>
          <w:lang w:val="en-GB"/>
        </w:rPr>
        <w:t>下</w:t>
      </w:r>
      <w:r w:rsidRPr="000C0842">
        <w:rPr>
          <w:rFonts w:eastAsia="SimSun"/>
          <w:sz w:val="24"/>
          <w:szCs w:val="24"/>
          <w:lang w:val="en-GB"/>
        </w:rPr>
        <w:t>开发的生物多样性融资机制保障措施自愿准则的，</w:t>
      </w:r>
      <w:r w:rsidRPr="000C0842">
        <w:rPr>
          <w:rFonts w:eastAsia="SimSun" w:hint="eastAsia"/>
          <w:sz w:val="24"/>
          <w:szCs w:val="24"/>
          <w:lang w:val="en-GB"/>
        </w:rPr>
        <w:t>在这方面</w:t>
      </w:r>
      <w:r w:rsidRPr="000C0842">
        <w:rPr>
          <w:rFonts w:eastAsia="SimSun"/>
          <w:sz w:val="24"/>
          <w:szCs w:val="24"/>
          <w:lang w:val="en-GB"/>
        </w:rPr>
        <w:t>回顾</w:t>
      </w:r>
      <w:r w:rsidRPr="000C0842">
        <w:rPr>
          <w:rFonts w:eastAsia="SimSun"/>
          <w:sz w:val="24"/>
          <w:szCs w:val="24"/>
          <w:lang w:val="en-GB"/>
        </w:rPr>
        <w:t>2018</w:t>
      </w:r>
      <w:r w:rsidRPr="000C0842">
        <w:rPr>
          <w:rFonts w:eastAsia="SimSun"/>
          <w:sz w:val="24"/>
          <w:szCs w:val="24"/>
          <w:lang w:val="en-GB"/>
        </w:rPr>
        <w:t>年</w:t>
      </w:r>
      <w:r w:rsidRPr="000C0842">
        <w:rPr>
          <w:rFonts w:eastAsia="SimSun"/>
          <w:sz w:val="24"/>
          <w:szCs w:val="24"/>
          <w:lang w:val="en-GB"/>
        </w:rPr>
        <w:t>11</w:t>
      </w:r>
      <w:r w:rsidRPr="000C0842">
        <w:rPr>
          <w:rFonts w:eastAsia="SimSun"/>
          <w:sz w:val="24"/>
          <w:szCs w:val="24"/>
          <w:lang w:val="en-GB"/>
        </w:rPr>
        <w:t>月</w:t>
      </w:r>
      <w:r w:rsidRPr="000C0842">
        <w:rPr>
          <w:rFonts w:eastAsia="SimSun"/>
          <w:sz w:val="24"/>
          <w:szCs w:val="24"/>
          <w:lang w:val="en-GB"/>
        </w:rPr>
        <w:t>29</w:t>
      </w:r>
      <w:r w:rsidRPr="000C0842">
        <w:rPr>
          <w:rFonts w:eastAsia="SimSun"/>
          <w:sz w:val="24"/>
          <w:szCs w:val="24"/>
          <w:lang w:val="en-GB"/>
        </w:rPr>
        <w:t>日第</w:t>
      </w:r>
      <w:hyperlink r:id="rId316" w:history="1">
        <w:r w:rsidRPr="000C0842">
          <w:rPr>
            <w:rFonts w:eastAsia="SimSun"/>
            <w:sz w:val="24"/>
            <w:szCs w:val="24"/>
            <w:u w:val="single"/>
            <w:lang w:val="en-GB"/>
          </w:rPr>
          <w:t>14/15</w:t>
        </w:r>
      </w:hyperlink>
      <w:r w:rsidRPr="000C0842">
        <w:rPr>
          <w:rFonts w:eastAsia="SimSun"/>
          <w:sz w:val="24"/>
          <w:szCs w:val="24"/>
          <w:lang w:val="en-GB"/>
        </w:rPr>
        <w:t>号决定第</w:t>
      </w:r>
      <w:r w:rsidRPr="000C0842">
        <w:rPr>
          <w:rFonts w:eastAsia="SimSun"/>
          <w:sz w:val="24"/>
          <w:szCs w:val="24"/>
          <w:lang w:val="en-GB"/>
        </w:rPr>
        <w:t>6</w:t>
      </w:r>
      <w:r w:rsidRPr="000C0842">
        <w:rPr>
          <w:rFonts w:eastAsia="SimSun"/>
          <w:sz w:val="24"/>
          <w:szCs w:val="24"/>
          <w:lang w:val="en-GB"/>
        </w:rPr>
        <w:t>段；</w:t>
      </w:r>
    </w:p>
    <w:p w14:paraId="7ECDA4C3"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lang w:val="en-GB"/>
        </w:rPr>
        <w:t>还</w:t>
      </w:r>
      <w:r w:rsidRPr="000C0842">
        <w:rPr>
          <w:rFonts w:eastAsia="KaiTi"/>
          <w:sz w:val="24"/>
          <w:szCs w:val="24"/>
          <w:lang w:val="en-GB"/>
        </w:rPr>
        <w:t>请</w:t>
      </w:r>
      <w:r w:rsidRPr="000C0842">
        <w:rPr>
          <w:rFonts w:eastAsia="SimSun"/>
          <w:sz w:val="24"/>
          <w:szCs w:val="24"/>
          <w:lang w:val="en-GB"/>
        </w:rPr>
        <w:t>全球环境基金探讨如何进一步改进土著人民和地方社区、妇女和青年</w:t>
      </w:r>
      <w:r w:rsidRPr="000C0842">
        <w:rPr>
          <w:rFonts w:eastAsia="SimSun" w:hint="eastAsia"/>
          <w:sz w:val="24"/>
          <w:szCs w:val="24"/>
          <w:lang w:val="en-GB"/>
        </w:rPr>
        <w:t>的直接融资，便利他们</w:t>
      </w:r>
      <w:r w:rsidRPr="000C0842">
        <w:rPr>
          <w:rFonts w:eastAsia="SimSun"/>
          <w:sz w:val="24"/>
          <w:szCs w:val="24"/>
          <w:lang w:val="en-GB"/>
        </w:rPr>
        <w:t>获得和增加</w:t>
      </w:r>
      <w:r w:rsidRPr="000C0842">
        <w:rPr>
          <w:rFonts w:eastAsia="SimSun" w:hint="eastAsia"/>
          <w:sz w:val="24"/>
          <w:szCs w:val="24"/>
          <w:lang w:val="en-GB"/>
        </w:rPr>
        <w:t>资金，</w:t>
      </w:r>
      <w:r w:rsidRPr="000C0842">
        <w:rPr>
          <w:rFonts w:eastAsia="SimSun"/>
          <w:sz w:val="24"/>
          <w:szCs w:val="24"/>
        </w:rPr>
        <w:t>确保这些资源支持他们的权利和知识体系</w:t>
      </w:r>
      <w:r w:rsidRPr="000C0842">
        <w:rPr>
          <w:rFonts w:eastAsia="SimSun"/>
          <w:sz w:val="24"/>
          <w:szCs w:val="24"/>
          <w:lang w:val="en-GB"/>
        </w:rPr>
        <w:t>；</w:t>
      </w:r>
    </w:p>
    <w:p w14:paraId="3236C2EE" w14:textId="77777777" w:rsidR="000A776A" w:rsidRPr="000C0842" w:rsidRDefault="000A776A" w:rsidP="000A776A">
      <w:pPr>
        <w:keepNext/>
        <w:keepLines/>
        <w:tabs>
          <w:tab w:val="clear" w:pos="567"/>
          <w:tab w:val="clear" w:pos="1134"/>
          <w:tab w:val="clear" w:pos="1701"/>
          <w:tab w:val="clear" w:pos="2268"/>
        </w:tabs>
        <w:spacing w:before="120"/>
        <w:ind w:firstLine="490"/>
        <w:rPr>
          <w:rFonts w:eastAsia="SimSun"/>
          <w:b/>
          <w:sz w:val="24"/>
          <w:szCs w:val="24"/>
        </w:rPr>
      </w:pPr>
      <w:r w:rsidRPr="000C0842">
        <w:rPr>
          <w:rFonts w:eastAsia="SimSun" w:hint="eastAsia"/>
          <w:b/>
          <w:sz w:val="24"/>
          <w:szCs w:val="24"/>
        </w:rPr>
        <w:t>六</w:t>
      </w:r>
    </w:p>
    <w:p w14:paraId="79E0E220" w14:textId="77777777" w:rsidR="000A776A" w:rsidRPr="000C0842" w:rsidRDefault="000A776A" w:rsidP="000A776A">
      <w:pPr>
        <w:keepNext/>
        <w:keepLines/>
        <w:tabs>
          <w:tab w:val="clear" w:pos="567"/>
          <w:tab w:val="clear" w:pos="1134"/>
          <w:tab w:val="clear" w:pos="1701"/>
          <w:tab w:val="clear" w:pos="2268"/>
        </w:tabs>
        <w:spacing w:after="120"/>
        <w:ind w:firstLine="490"/>
        <w:rPr>
          <w:rFonts w:eastAsia="SimSun"/>
          <w:b/>
          <w:sz w:val="24"/>
          <w:szCs w:val="24"/>
          <w:lang w:val="en-GB"/>
        </w:rPr>
      </w:pPr>
      <w:r w:rsidRPr="000C0842">
        <w:rPr>
          <w:rFonts w:eastAsia="SimSun"/>
          <w:b/>
          <w:sz w:val="24"/>
          <w:szCs w:val="24"/>
          <w:lang w:val="en-GB"/>
        </w:rPr>
        <w:t>审查财务机制的</w:t>
      </w:r>
      <w:r w:rsidRPr="000C0842">
        <w:rPr>
          <w:rFonts w:eastAsia="SimSun" w:hint="eastAsia"/>
          <w:b/>
          <w:sz w:val="24"/>
          <w:szCs w:val="24"/>
          <w:lang w:val="en-GB"/>
        </w:rPr>
        <w:t>成效</w:t>
      </w:r>
    </w:p>
    <w:p w14:paraId="434FD245"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请</w:t>
      </w:r>
      <w:r w:rsidRPr="000C0842">
        <w:rPr>
          <w:rFonts w:eastAsia="SimSun" w:hint="eastAsia"/>
          <w:sz w:val="24"/>
          <w:szCs w:val="24"/>
        </w:rPr>
        <w:t>全球环境基金继续加强努力，调动资源支持执行《公约》及其议定书，特别是《昆蒙框架》，包括为此调动发达国家缔约方、自愿承担发达国家缔约方义务的其他缔约方、其他国家以及多边开发银行、私营部门和慈善组织等其他来源的自愿捐款，还可借助可持续融资工具，以期提高资金流动的可预测性、充足性和及时性，为缩小生物多样性融资缺口作出贡献；</w:t>
      </w:r>
    </w:p>
    <w:p w14:paraId="68428997"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又请</w:t>
      </w:r>
      <w:r w:rsidRPr="000C0842">
        <w:rPr>
          <w:rFonts w:eastAsia="SimSun"/>
          <w:sz w:val="24"/>
          <w:szCs w:val="24"/>
        </w:rPr>
        <w:t>全球环境基金：</w:t>
      </w:r>
    </w:p>
    <w:p w14:paraId="5BA54E9B"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进一步提高所有</w:t>
      </w:r>
      <w:r w:rsidRPr="000C0842">
        <w:rPr>
          <w:rFonts w:eastAsia="SimSun" w:hint="eastAsia"/>
          <w:lang w:val="en-GB"/>
        </w:rPr>
        <w:t>符合条件的</w:t>
      </w:r>
      <w:r w:rsidRPr="000C0842">
        <w:rPr>
          <w:rFonts w:ascii="SimSun" w:eastAsia="SimSun" w:hAnsi="SimSun" w:cs="SimSun" w:hint="eastAsia"/>
          <w:sz w:val="24"/>
          <w:szCs w:val="24"/>
          <w:lang w:val="en-GB"/>
        </w:rPr>
        <w:t>缔约方特别是最不发达国家和小岛屿发展中国家的项目周期的灵活性，并考虑到</w:t>
      </w:r>
      <w:r w:rsidRPr="000C0842">
        <w:rPr>
          <w:rFonts w:eastAsia="SimSun"/>
          <w:sz w:val="24"/>
          <w:szCs w:val="24"/>
          <w:lang w:val="en-GB"/>
        </w:rPr>
        <w:t>《公约》第</w:t>
      </w:r>
      <w:hyperlink r:id="rId317" w:history="1">
        <w:r w:rsidRPr="000C0842">
          <w:rPr>
            <w:rFonts w:eastAsia="SimSun"/>
            <w:sz w:val="24"/>
            <w:szCs w:val="24"/>
            <w:u w:val="single"/>
            <w:lang w:val="en-GB"/>
          </w:rPr>
          <w:t>20</w:t>
        </w:r>
      </w:hyperlink>
      <w:r w:rsidRPr="000C0842">
        <w:rPr>
          <w:rFonts w:eastAsia="SimSun"/>
          <w:sz w:val="24"/>
          <w:szCs w:val="24"/>
          <w:lang w:val="en-GB"/>
        </w:rPr>
        <w:t>条第</w:t>
      </w:r>
      <w:r w:rsidRPr="000C0842">
        <w:rPr>
          <w:rFonts w:eastAsia="SimSun"/>
          <w:sz w:val="24"/>
          <w:szCs w:val="24"/>
          <w:lang w:val="en-GB"/>
        </w:rPr>
        <w:t>7</w:t>
      </w:r>
      <w:r w:rsidRPr="000C0842">
        <w:rPr>
          <w:rFonts w:eastAsia="SimSun"/>
          <w:sz w:val="24"/>
          <w:szCs w:val="24"/>
          <w:lang w:val="en-GB"/>
        </w:rPr>
        <w:t>款</w:t>
      </w:r>
      <w:r w:rsidRPr="000C0842">
        <w:rPr>
          <w:rFonts w:ascii="SimSun" w:eastAsia="SimSun" w:hAnsi="SimSun" w:cs="SimSun" w:hint="eastAsia"/>
          <w:sz w:val="24"/>
          <w:szCs w:val="24"/>
          <w:lang w:val="en-GB"/>
        </w:rPr>
        <w:t>所述环境最脆弱国家；</w:t>
      </w:r>
    </w:p>
    <w:p w14:paraId="6FC56799"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考虑加大对持续性方案办法和能力建设的支持力度；</w:t>
      </w:r>
    </w:p>
    <w:p w14:paraId="032449E1"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继续加强国家和地方自主权，包括为此解决对业务联络员的能力支持，审查执行机构的作用，同时考虑扩大其基础，以促进发展中国家国内实体更直接的参与；</w:t>
      </w:r>
    </w:p>
    <w:p w14:paraId="2232E26E"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进一步探讨方式方法，提高《卡塔赫纳议定书》和《名古屋议定书》下活动供资程序的成效，鼓励各国</w:t>
      </w:r>
      <w:bookmarkStart w:id="129" w:name="_Hlk178458300"/>
      <w:r w:rsidRPr="000C0842">
        <w:rPr>
          <w:rFonts w:ascii="SimSun" w:eastAsia="SimSun" w:hAnsi="SimSun" w:cs="SimSun" w:hint="eastAsia"/>
          <w:sz w:val="24"/>
          <w:szCs w:val="24"/>
          <w:lang w:val="en-GB"/>
        </w:rPr>
        <w:t>加以利用；</w:t>
      </w:r>
      <w:r w:rsidRPr="000C0842">
        <w:rPr>
          <w:rFonts w:eastAsia="Times New Roman"/>
          <w:sz w:val="24"/>
          <w:szCs w:val="24"/>
          <w:lang w:val="en-GB"/>
        </w:rPr>
        <w:t xml:space="preserve"> </w:t>
      </w:r>
    </w:p>
    <w:bookmarkEnd w:id="129"/>
    <w:p w14:paraId="15255774"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进一步促进对土著人民和地方社区的支持，包括通过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5498BE2D" w14:textId="77777777" w:rsidR="000A776A" w:rsidRPr="000C0842" w:rsidRDefault="000A776A">
      <w:pPr>
        <w:numPr>
          <w:ilvl w:val="0"/>
          <w:numId w:val="189"/>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继续加强与民间社会组织、妇女和青年、土著人民和地方社区、私营部门、慈善组织和保护组织以及其他主要利益攸关方团体的有效接触，从而有助于以全政府和全社会的办法执行《昆蒙框架》；</w:t>
      </w:r>
    </w:p>
    <w:p w14:paraId="02C4B7AB" w14:textId="77777777" w:rsidR="000A776A" w:rsidRPr="000C0842" w:rsidRDefault="000A776A">
      <w:pPr>
        <w:numPr>
          <w:ilvl w:val="0"/>
          <w:numId w:val="194"/>
        </w:numPr>
        <w:tabs>
          <w:tab w:val="clear" w:pos="567"/>
          <w:tab w:val="clear" w:pos="1134"/>
          <w:tab w:val="clear" w:pos="1701"/>
          <w:tab w:val="clear" w:pos="2268"/>
        </w:tabs>
        <w:spacing w:before="120" w:after="120"/>
        <w:ind w:left="490" w:firstLine="490"/>
        <w:rPr>
          <w:rFonts w:eastAsia="SimSun"/>
          <w:sz w:val="24"/>
          <w:szCs w:val="24"/>
        </w:rPr>
      </w:pPr>
      <w:r w:rsidRPr="000C0842">
        <w:rPr>
          <w:rFonts w:ascii="KaiTi" w:eastAsia="KaiTi" w:hAnsi="KaiTi" w:hint="eastAsia"/>
          <w:sz w:val="24"/>
          <w:szCs w:val="24"/>
        </w:rPr>
        <w:t>还</w:t>
      </w:r>
      <w:r w:rsidRPr="000C0842">
        <w:rPr>
          <w:rFonts w:ascii="KaiTi" w:eastAsia="KaiTi" w:hAnsi="KaiTi"/>
          <w:sz w:val="24"/>
          <w:szCs w:val="24"/>
        </w:rPr>
        <w:t>请</w:t>
      </w:r>
      <w:r w:rsidRPr="000C0842">
        <w:rPr>
          <w:rFonts w:eastAsia="SimSun"/>
          <w:sz w:val="24"/>
          <w:szCs w:val="24"/>
        </w:rPr>
        <w:t>全球环境基金：</w:t>
      </w:r>
      <w:r w:rsidRPr="000C0842">
        <w:rPr>
          <w:rFonts w:eastAsia="SimSun"/>
          <w:sz w:val="24"/>
          <w:szCs w:val="24"/>
        </w:rPr>
        <w:t xml:space="preserve"> </w:t>
      </w:r>
    </w:p>
    <w:p w14:paraId="4FC6BD23" w14:textId="77777777" w:rsidR="000A776A" w:rsidRPr="000C0842" w:rsidRDefault="000A776A">
      <w:pPr>
        <w:numPr>
          <w:ilvl w:val="0"/>
          <w:numId w:val="190"/>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考虑将其信托基金第九次增资的成果衡量框架、年度绩效审查和国家群组战略评价中的执行成果与多边环境协定的目标（诸如《公约》目标）挂钩；</w:t>
      </w:r>
      <w:r w:rsidRPr="000C0842">
        <w:rPr>
          <w:rFonts w:eastAsia="Times New Roman"/>
          <w:sz w:val="24"/>
          <w:szCs w:val="24"/>
          <w:lang w:val="en-GB"/>
        </w:rPr>
        <w:t xml:space="preserve"> </w:t>
      </w:r>
    </w:p>
    <w:p w14:paraId="1652D364" w14:textId="77777777" w:rsidR="000A776A" w:rsidRPr="000C0842" w:rsidRDefault="000A776A">
      <w:pPr>
        <w:numPr>
          <w:ilvl w:val="0"/>
          <w:numId w:val="190"/>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加强努力</w:t>
      </w:r>
      <w:bookmarkStart w:id="130" w:name="_Hlk178456944"/>
      <w:r w:rsidRPr="000C0842">
        <w:rPr>
          <w:rFonts w:ascii="SimSun" w:eastAsia="SimSun" w:hAnsi="SimSun" w:cs="SimSun" w:hint="eastAsia"/>
          <w:sz w:val="24"/>
          <w:szCs w:val="24"/>
          <w:lang w:val="en-GB"/>
        </w:rPr>
        <w:t>满足其当前所有报告要求，并在这方面纳入其在《公约》之外资助的生物多样性项目的有关信息，并纳入其对缔约方大会根据缔约方大会与全球环境基金理事会之间的谅解备忘录所做需求评估作出回应的有关信息，使缔约方大会能够提高其指导意见的质量</w:t>
      </w:r>
      <w:bookmarkEnd w:id="130"/>
      <w:r w:rsidRPr="000C0842">
        <w:rPr>
          <w:rFonts w:ascii="SimSun" w:eastAsia="SimSun" w:hAnsi="SimSun" w:cs="SimSun" w:hint="eastAsia"/>
          <w:sz w:val="24"/>
          <w:szCs w:val="24"/>
          <w:lang w:val="en-GB"/>
        </w:rPr>
        <w:t>；</w:t>
      </w:r>
    </w:p>
    <w:p w14:paraId="02846E7C" w14:textId="77777777" w:rsidR="000A776A" w:rsidRPr="000C0842" w:rsidRDefault="000A776A">
      <w:pPr>
        <w:numPr>
          <w:ilvl w:val="0"/>
          <w:numId w:val="190"/>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sz w:val="24"/>
          <w:szCs w:val="24"/>
          <w:lang w:val="en-GB"/>
        </w:rPr>
        <w:t>确保向缔约方大会提交的报告中列有关于土著人民和地方社区的数据，特别是可获得的分类数据；</w:t>
      </w:r>
    </w:p>
    <w:p w14:paraId="2D8F45A4" w14:textId="77777777" w:rsidR="000A776A" w:rsidRPr="000C0842" w:rsidRDefault="000A776A">
      <w:pPr>
        <w:numPr>
          <w:ilvl w:val="0"/>
          <w:numId w:val="190"/>
        </w:numPr>
        <w:tabs>
          <w:tab w:val="clear" w:pos="567"/>
          <w:tab w:val="clear" w:pos="1134"/>
          <w:tab w:val="clear" w:pos="1701"/>
          <w:tab w:val="clear" w:pos="2268"/>
        </w:tabs>
        <w:spacing w:before="120" w:after="120"/>
        <w:ind w:left="490" w:firstLine="490"/>
        <w:rPr>
          <w:rFonts w:eastAsia="Times New Roman"/>
          <w:sz w:val="24"/>
          <w:szCs w:val="24"/>
          <w:lang w:val="en-GB"/>
        </w:rPr>
      </w:pPr>
      <w:r w:rsidRPr="000C0842">
        <w:rPr>
          <w:rFonts w:ascii="SimSun" w:eastAsia="SimSun" w:hAnsi="SimSun" w:cs="SimSun" w:hint="eastAsia"/>
          <w:sz w:val="24"/>
          <w:szCs w:val="24"/>
          <w:lang w:val="en-GB"/>
        </w:rPr>
        <w:t>探索其他方案编制模式、程序和进程，促进和加快获得开展扶持活动所需的更多财务资源；</w:t>
      </w:r>
      <w:r w:rsidRPr="000C0842">
        <w:rPr>
          <w:rFonts w:eastAsia="Times New Roman"/>
          <w:sz w:val="24"/>
          <w:szCs w:val="24"/>
          <w:lang w:val="en-GB"/>
        </w:rPr>
        <w:t xml:space="preserve"> </w:t>
      </w:r>
    </w:p>
    <w:p w14:paraId="6C6F8011"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rPr>
        <w:t>36.</w:t>
      </w:r>
      <w:r w:rsidRPr="000C0842">
        <w:rPr>
          <w:rFonts w:eastAsia="KaiTi"/>
          <w:sz w:val="24"/>
          <w:szCs w:val="24"/>
        </w:rPr>
        <w:tab/>
      </w:r>
      <w:r w:rsidRPr="000C0842">
        <w:rPr>
          <w:rFonts w:eastAsia="KaiTi"/>
          <w:sz w:val="24"/>
          <w:szCs w:val="24"/>
        </w:rPr>
        <w:t>请</w:t>
      </w:r>
      <w:r w:rsidRPr="000C0842">
        <w:rPr>
          <w:rFonts w:eastAsia="SimSun"/>
          <w:sz w:val="24"/>
          <w:szCs w:val="24"/>
        </w:rPr>
        <w:t>全球环境基金理事会探讨加强其成员内部和成员之间公平地域代表性</w:t>
      </w:r>
      <w:r w:rsidRPr="000C0842">
        <w:rPr>
          <w:rFonts w:eastAsia="SimSun" w:hint="eastAsia"/>
          <w:sz w:val="24"/>
          <w:szCs w:val="24"/>
        </w:rPr>
        <w:t>的方式方法</w:t>
      </w:r>
      <w:r w:rsidRPr="000C0842">
        <w:rPr>
          <w:rFonts w:eastAsia="SimSun"/>
          <w:sz w:val="24"/>
          <w:szCs w:val="24"/>
        </w:rPr>
        <w:t>，包括</w:t>
      </w:r>
      <w:r w:rsidRPr="000C0842">
        <w:rPr>
          <w:rFonts w:eastAsia="SimSun" w:hint="eastAsia"/>
          <w:sz w:val="24"/>
          <w:szCs w:val="24"/>
        </w:rPr>
        <w:t>为此</w:t>
      </w:r>
      <w:r w:rsidRPr="000C0842">
        <w:rPr>
          <w:rFonts w:eastAsia="SimSun"/>
          <w:sz w:val="24"/>
          <w:szCs w:val="24"/>
        </w:rPr>
        <w:t>适当考虑第六次财务机制成效审查报告中概述的内容；</w:t>
      </w:r>
    </w:p>
    <w:p w14:paraId="0C90F4B4" w14:textId="77777777" w:rsidR="000A776A" w:rsidRPr="000C0842" w:rsidRDefault="000A776A">
      <w:pPr>
        <w:numPr>
          <w:ilvl w:val="0"/>
          <w:numId w:val="192"/>
        </w:numPr>
        <w:tabs>
          <w:tab w:val="clear" w:pos="567"/>
          <w:tab w:val="clear" w:pos="1134"/>
          <w:tab w:val="clear" w:pos="1701"/>
          <w:tab w:val="clear" w:pos="2268"/>
        </w:tabs>
        <w:spacing w:before="120" w:after="120"/>
        <w:ind w:left="490" w:firstLine="490"/>
        <w:rPr>
          <w:sz w:val="24"/>
          <w:szCs w:val="24"/>
          <w:lang w:val="en-GB"/>
        </w:rPr>
      </w:pPr>
      <w:r w:rsidRPr="000C0842">
        <w:rPr>
          <w:rFonts w:eastAsia="KaiTi" w:hint="eastAsia"/>
          <w:sz w:val="24"/>
          <w:szCs w:val="24"/>
        </w:rPr>
        <w:t>又请</w:t>
      </w:r>
      <w:r w:rsidRPr="000C0842">
        <w:rPr>
          <w:rFonts w:eastAsia="SimSun"/>
          <w:sz w:val="24"/>
          <w:szCs w:val="24"/>
        </w:rPr>
        <w:t>全球环境基金理事会确保土著人民、地方社区、妇女和青年有效</w:t>
      </w:r>
      <w:r w:rsidRPr="000C0842">
        <w:rPr>
          <w:rFonts w:ascii="SimSun" w:eastAsia="Times New Roman" w:hAnsi="SimSun" w:cs="SimSun"/>
          <w:sz w:val="24"/>
          <w:szCs w:val="24"/>
          <w:lang w:val="en-GB"/>
        </w:rPr>
        <w:t>参与决策，因为他们对保护和可持续利用生物多样性</w:t>
      </w:r>
      <w:r w:rsidRPr="000C0842">
        <w:rPr>
          <w:rFonts w:ascii="SimSun" w:eastAsia="SimSun" w:hAnsi="SimSun" w:cs="SimSun" w:hint="eastAsia"/>
          <w:sz w:val="24"/>
          <w:szCs w:val="24"/>
          <w:lang w:val="en-GB"/>
        </w:rPr>
        <w:t>有</w:t>
      </w:r>
      <w:r w:rsidRPr="000C0842">
        <w:rPr>
          <w:rFonts w:ascii="SimSun" w:eastAsia="Times New Roman" w:hAnsi="SimSun" w:cs="SimSun"/>
          <w:sz w:val="24"/>
          <w:szCs w:val="24"/>
          <w:lang w:val="en-GB"/>
        </w:rPr>
        <w:t>贡献；</w:t>
      </w:r>
    </w:p>
    <w:p w14:paraId="30085FDA"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rPr>
        <w:t>38.</w:t>
      </w:r>
      <w:r w:rsidRPr="000C0842">
        <w:rPr>
          <w:rFonts w:eastAsia="KaiTi"/>
          <w:sz w:val="24"/>
          <w:szCs w:val="24"/>
        </w:rPr>
        <w:tab/>
      </w:r>
      <w:r w:rsidRPr="000C0842">
        <w:rPr>
          <w:rFonts w:eastAsia="KaiTi" w:hint="eastAsia"/>
          <w:sz w:val="24"/>
          <w:szCs w:val="24"/>
        </w:rPr>
        <w:t>邀请</w:t>
      </w:r>
      <w:r w:rsidRPr="000C0842">
        <w:rPr>
          <w:rFonts w:eastAsia="SimSun"/>
          <w:sz w:val="24"/>
          <w:szCs w:val="24"/>
        </w:rPr>
        <w:t>全球环境基金</w:t>
      </w:r>
      <w:r w:rsidRPr="000C0842">
        <w:rPr>
          <w:rFonts w:eastAsia="SimSun" w:hint="eastAsia"/>
          <w:sz w:val="24"/>
          <w:szCs w:val="24"/>
        </w:rPr>
        <w:t>成员国大会在全球环境基金信托基金第九次增资的背景下，根据其理事会关于第</w:t>
      </w:r>
      <w:r w:rsidRPr="000C0842">
        <w:rPr>
          <w:rFonts w:eastAsia="SimSun" w:hint="eastAsia"/>
          <w:sz w:val="24"/>
          <w:szCs w:val="24"/>
        </w:rPr>
        <w:t>36</w:t>
      </w:r>
      <w:r w:rsidRPr="000C0842">
        <w:rPr>
          <w:rFonts w:eastAsia="SimSun" w:hint="eastAsia"/>
          <w:sz w:val="24"/>
          <w:szCs w:val="24"/>
        </w:rPr>
        <w:t>和第</w:t>
      </w:r>
      <w:r w:rsidRPr="000C0842">
        <w:rPr>
          <w:rFonts w:eastAsia="SimSun" w:hint="eastAsia"/>
          <w:sz w:val="24"/>
          <w:szCs w:val="24"/>
        </w:rPr>
        <w:t>37</w:t>
      </w:r>
      <w:r w:rsidRPr="000C0842">
        <w:rPr>
          <w:rFonts w:eastAsia="SimSun" w:hint="eastAsia"/>
          <w:sz w:val="24"/>
          <w:szCs w:val="24"/>
        </w:rPr>
        <w:t>段的建议，考虑对其治理进行改革；</w:t>
      </w:r>
      <w:r w:rsidRPr="000C0842">
        <w:rPr>
          <w:rFonts w:eastAsia="SimSun"/>
          <w:sz w:val="24"/>
          <w:szCs w:val="24"/>
        </w:rPr>
        <w:t xml:space="preserve"> </w:t>
      </w:r>
    </w:p>
    <w:p w14:paraId="4C520C74" w14:textId="77777777" w:rsidR="000A776A" w:rsidRPr="000C0842" w:rsidRDefault="000A776A" w:rsidP="000A776A">
      <w:pPr>
        <w:tabs>
          <w:tab w:val="clear" w:pos="567"/>
          <w:tab w:val="clear" w:pos="1134"/>
          <w:tab w:val="clear" w:pos="1701"/>
          <w:tab w:val="clear" w:pos="2268"/>
        </w:tabs>
        <w:spacing w:before="120" w:after="120"/>
        <w:ind w:left="490" w:firstLine="490"/>
        <w:jc w:val="left"/>
        <w:rPr>
          <w:rFonts w:ascii="SimSun" w:eastAsia="SimSun" w:hAnsi="SimSun" w:cs="SimSun"/>
          <w:sz w:val="24"/>
          <w:szCs w:val="24"/>
          <w:lang w:val="en-GB"/>
        </w:rPr>
      </w:pPr>
      <w:r w:rsidRPr="000C0842">
        <w:rPr>
          <w:rFonts w:eastAsia="KaiTi" w:hint="eastAsia"/>
          <w:sz w:val="24"/>
          <w:szCs w:val="24"/>
        </w:rPr>
        <w:t>39.</w:t>
      </w:r>
      <w:r w:rsidRPr="000C0842">
        <w:rPr>
          <w:rFonts w:eastAsia="KaiTi"/>
          <w:sz w:val="24"/>
          <w:szCs w:val="24"/>
        </w:rPr>
        <w:tab/>
      </w:r>
      <w:r w:rsidRPr="000C0842">
        <w:rPr>
          <w:rFonts w:eastAsia="KaiTi"/>
          <w:sz w:val="24"/>
          <w:szCs w:val="24"/>
        </w:rPr>
        <w:t>请</w:t>
      </w:r>
      <w:r w:rsidRPr="000C0842">
        <w:rPr>
          <w:rFonts w:eastAsia="SimSun"/>
          <w:sz w:val="24"/>
          <w:szCs w:val="24"/>
        </w:rPr>
        <w:t>全球环境基金和绿色气候基金秘书处根据各自任务授权保持联络</w:t>
      </w:r>
      <w:r w:rsidRPr="000C0842">
        <w:rPr>
          <w:rFonts w:ascii="SimSun" w:eastAsia="SimSun" w:hAnsi="SimSun" w:cs="SimSun" w:hint="eastAsia"/>
          <w:sz w:val="24"/>
          <w:szCs w:val="24"/>
          <w:lang w:val="en-GB"/>
        </w:rPr>
        <w:t>，通过《</w:t>
      </w:r>
      <w:r w:rsidRPr="000C0842">
        <w:rPr>
          <w:rFonts w:eastAsia="SimSun"/>
          <w:sz w:val="24"/>
          <w:szCs w:val="24"/>
        </w:rPr>
        <w:t>绿色气候基金与全球环境基金之间互补性、一致性与合作的长期愿景</w:t>
      </w:r>
      <w:r w:rsidRPr="000C0842">
        <w:rPr>
          <w:rFonts w:eastAsia="SimSun"/>
          <w:sz w:val="24"/>
          <w:szCs w:val="24"/>
          <w:lang w:val="en-GB"/>
        </w:rPr>
        <w:t>》等</w:t>
      </w:r>
      <w:r w:rsidRPr="000C0842">
        <w:rPr>
          <w:rFonts w:eastAsia="SimSun" w:hint="eastAsia"/>
          <w:sz w:val="24"/>
          <w:szCs w:val="24"/>
          <w:lang w:val="en-GB"/>
        </w:rPr>
        <w:t>安排</w:t>
      </w:r>
      <w:r w:rsidRPr="000C0842">
        <w:rPr>
          <w:rFonts w:eastAsia="SimSun"/>
          <w:sz w:val="24"/>
          <w:szCs w:val="24"/>
          <w:lang w:val="en-GB"/>
        </w:rPr>
        <w:t>，</w:t>
      </w:r>
      <w:r w:rsidRPr="000C0842">
        <w:rPr>
          <w:rFonts w:ascii="SimSun" w:eastAsia="SimSun" w:hAnsi="SimSun" w:cs="SimSun" w:hint="eastAsia"/>
          <w:sz w:val="24"/>
          <w:szCs w:val="24"/>
          <w:lang w:val="en-GB"/>
        </w:rPr>
        <w:t>加强合作和对《公约》的支持</w:t>
      </w:r>
      <w:r w:rsidRPr="000C0842">
        <w:rPr>
          <w:rFonts w:eastAsia="SimSun"/>
          <w:sz w:val="24"/>
          <w:szCs w:val="24"/>
          <w:lang w:val="en-GB"/>
        </w:rPr>
        <w:t>力度；</w:t>
      </w:r>
    </w:p>
    <w:p w14:paraId="02B4AB51"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hint="eastAsia"/>
          <w:sz w:val="24"/>
          <w:szCs w:val="24"/>
          <w:lang w:val="en-GB"/>
        </w:rPr>
        <w:t>40.</w:t>
      </w:r>
      <w:r w:rsidRPr="000C0842">
        <w:rPr>
          <w:rFonts w:eastAsia="KaiTi"/>
          <w:sz w:val="24"/>
          <w:szCs w:val="24"/>
          <w:lang w:val="en-GB"/>
        </w:rPr>
        <w:tab/>
      </w:r>
      <w:r w:rsidRPr="000C0842">
        <w:rPr>
          <w:rFonts w:eastAsia="KaiTi"/>
          <w:sz w:val="24"/>
          <w:szCs w:val="24"/>
          <w:lang w:val="en-GB"/>
        </w:rPr>
        <w:t>请</w:t>
      </w:r>
      <w:r w:rsidRPr="000C0842">
        <w:rPr>
          <w:rFonts w:eastAsia="SimSun"/>
          <w:sz w:val="24"/>
          <w:szCs w:val="24"/>
          <w:lang w:val="en-GB"/>
        </w:rPr>
        <w:t>执行秘书拟订第七次</w:t>
      </w:r>
      <w:r w:rsidRPr="000C0842">
        <w:rPr>
          <w:rFonts w:eastAsia="SimSun" w:hint="eastAsia"/>
          <w:sz w:val="24"/>
          <w:szCs w:val="24"/>
          <w:lang w:val="en-GB"/>
        </w:rPr>
        <w:t>四年期</w:t>
      </w:r>
      <w:r w:rsidRPr="000C0842">
        <w:rPr>
          <w:rFonts w:eastAsia="SimSun"/>
          <w:sz w:val="24"/>
          <w:szCs w:val="24"/>
          <w:lang w:val="en-GB"/>
        </w:rPr>
        <w:t>财务机制</w:t>
      </w:r>
      <w:r w:rsidRPr="000C0842">
        <w:rPr>
          <w:rFonts w:eastAsia="SimSun" w:hint="eastAsia"/>
          <w:sz w:val="24"/>
          <w:szCs w:val="24"/>
          <w:lang w:val="en-GB"/>
        </w:rPr>
        <w:t>成效</w:t>
      </w:r>
      <w:r w:rsidRPr="000C0842">
        <w:rPr>
          <w:rFonts w:eastAsia="SimSun"/>
          <w:sz w:val="24"/>
          <w:szCs w:val="24"/>
          <w:lang w:val="en-GB"/>
        </w:rPr>
        <w:t>审查的职权范围草案，</w:t>
      </w:r>
      <w:r w:rsidRPr="000C0842">
        <w:rPr>
          <w:rFonts w:eastAsia="SimSun" w:hint="eastAsia"/>
          <w:sz w:val="24"/>
          <w:szCs w:val="24"/>
          <w:lang w:val="en-GB"/>
        </w:rPr>
        <w:t>考虑到本决定附件三所述要点汇编并</w:t>
      </w:r>
      <w:r w:rsidRPr="000C0842">
        <w:rPr>
          <w:rFonts w:eastAsia="SimSun"/>
          <w:sz w:val="24"/>
          <w:szCs w:val="24"/>
          <w:lang w:val="en-GB"/>
        </w:rPr>
        <w:t>确保在审查中考虑到土著人民和地方社区、妇女和青年的意见以及可能对其权利造成的影响，供执行问题附属机构</w:t>
      </w:r>
      <w:r w:rsidRPr="000C0842">
        <w:rPr>
          <w:rFonts w:eastAsia="SimSun" w:hint="eastAsia"/>
          <w:sz w:val="24"/>
          <w:szCs w:val="24"/>
          <w:lang w:val="en-GB"/>
        </w:rPr>
        <w:t>在</w:t>
      </w:r>
      <w:r w:rsidRPr="000C0842">
        <w:rPr>
          <w:rFonts w:eastAsia="SimSun"/>
          <w:sz w:val="24"/>
          <w:szCs w:val="24"/>
          <w:lang w:val="en-GB"/>
        </w:rPr>
        <w:t>缔约方</w:t>
      </w:r>
      <w:r w:rsidRPr="000C0842">
        <w:rPr>
          <w:rFonts w:eastAsia="SimSun" w:hint="eastAsia"/>
          <w:sz w:val="24"/>
          <w:szCs w:val="24"/>
          <w:lang w:val="en-GB"/>
        </w:rPr>
        <w:t>大会</w:t>
      </w:r>
      <w:r w:rsidRPr="000C0842">
        <w:rPr>
          <w:rFonts w:eastAsia="SimSun"/>
          <w:sz w:val="24"/>
          <w:szCs w:val="24"/>
          <w:lang w:val="en-GB"/>
        </w:rPr>
        <w:t>第十七届会议</w:t>
      </w:r>
      <w:r w:rsidRPr="000C0842">
        <w:rPr>
          <w:rFonts w:eastAsia="SimSun" w:hint="eastAsia"/>
          <w:sz w:val="24"/>
          <w:szCs w:val="24"/>
          <w:lang w:val="en-GB"/>
        </w:rPr>
        <w:t>之前举行的一次会议上审议，然后供第十七届大会</w:t>
      </w:r>
      <w:r w:rsidRPr="000C0842">
        <w:rPr>
          <w:rFonts w:eastAsia="SimSun"/>
          <w:sz w:val="24"/>
          <w:szCs w:val="24"/>
          <w:lang w:val="en-GB"/>
        </w:rPr>
        <w:t>审议。</w:t>
      </w:r>
    </w:p>
    <w:p w14:paraId="681CE87D"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SimSun" w:hint="eastAsia"/>
          <w:sz w:val="24"/>
          <w:szCs w:val="24"/>
        </w:rPr>
        <w:t>41</w:t>
      </w:r>
      <w:r w:rsidRPr="000C0842">
        <w:rPr>
          <w:rFonts w:eastAsia="SimSun"/>
          <w:sz w:val="24"/>
          <w:szCs w:val="24"/>
        </w:rPr>
        <w:t>.</w:t>
      </w:r>
      <w:r w:rsidRPr="000C0842">
        <w:rPr>
          <w:rFonts w:eastAsia="SimSun"/>
          <w:sz w:val="24"/>
          <w:szCs w:val="24"/>
        </w:rPr>
        <w:tab/>
      </w:r>
      <w:r w:rsidRPr="000C0842">
        <w:rPr>
          <w:rFonts w:ascii="KaiTi" w:eastAsia="KaiTi" w:hAnsi="KaiTi" w:hint="eastAsia"/>
          <w:sz w:val="24"/>
          <w:szCs w:val="24"/>
        </w:rPr>
        <w:t>又</w:t>
      </w:r>
      <w:r w:rsidRPr="000C0842">
        <w:rPr>
          <w:rFonts w:ascii="KaiTi" w:eastAsia="KaiTi" w:hAnsi="KaiTi"/>
          <w:sz w:val="24"/>
          <w:szCs w:val="24"/>
        </w:rPr>
        <w:t>请</w:t>
      </w:r>
      <w:r w:rsidRPr="000C0842">
        <w:rPr>
          <w:rFonts w:eastAsia="SimSun"/>
          <w:sz w:val="24"/>
          <w:szCs w:val="24"/>
        </w:rPr>
        <w:t>执行秘书委托</w:t>
      </w:r>
      <w:r w:rsidRPr="000C0842">
        <w:rPr>
          <w:rFonts w:eastAsia="SimSun" w:hint="eastAsia"/>
          <w:sz w:val="24"/>
          <w:szCs w:val="24"/>
        </w:rPr>
        <w:t>进行</w:t>
      </w:r>
      <w:r w:rsidRPr="000C0842">
        <w:rPr>
          <w:rFonts w:eastAsia="SimSun"/>
          <w:sz w:val="24"/>
          <w:szCs w:val="24"/>
        </w:rPr>
        <w:t>一项研究，将全球环境基金与其他相关多边环境协定的财务机制或类似工具进行</w:t>
      </w:r>
      <w:r w:rsidRPr="000C0842">
        <w:rPr>
          <w:rFonts w:eastAsia="SimSun" w:hint="eastAsia"/>
          <w:sz w:val="24"/>
          <w:szCs w:val="24"/>
        </w:rPr>
        <w:t>对照</w:t>
      </w:r>
      <w:r w:rsidRPr="000C0842">
        <w:rPr>
          <w:rFonts w:eastAsia="SimSun"/>
          <w:sz w:val="24"/>
          <w:szCs w:val="24"/>
        </w:rPr>
        <w:t>，包括供资模式和财务</w:t>
      </w:r>
      <w:r w:rsidRPr="000C0842">
        <w:rPr>
          <w:rFonts w:eastAsia="SimSun" w:hint="eastAsia"/>
          <w:sz w:val="24"/>
          <w:szCs w:val="24"/>
        </w:rPr>
        <w:t>执行情况</w:t>
      </w:r>
      <w:r w:rsidRPr="000C0842">
        <w:rPr>
          <w:rFonts w:eastAsia="SimSun"/>
          <w:sz w:val="24"/>
          <w:szCs w:val="24"/>
        </w:rPr>
        <w:t>、供资标准和程序、获取和支付模式、监测和</w:t>
      </w:r>
      <w:r w:rsidRPr="000C0842">
        <w:rPr>
          <w:rFonts w:eastAsia="SimSun" w:hint="eastAsia"/>
          <w:sz w:val="24"/>
          <w:szCs w:val="24"/>
        </w:rPr>
        <w:t>评价</w:t>
      </w:r>
      <w:r w:rsidRPr="000C0842">
        <w:rPr>
          <w:rFonts w:eastAsia="SimSun"/>
          <w:sz w:val="24"/>
          <w:szCs w:val="24"/>
        </w:rPr>
        <w:t>、治理、业务的成本效益以及法律性质</w:t>
      </w:r>
      <w:r w:rsidRPr="000C0842">
        <w:rPr>
          <w:rFonts w:eastAsia="SimSun" w:hint="eastAsia"/>
          <w:sz w:val="24"/>
          <w:szCs w:val="24"/>
        </w:rPr>
        <w:t>，以</w:t>
      </w:r>
      <w:r w:rsidRPr="000C0842">
        <w:rPr>
          <w:rFonts w:ascii="Arial" w:eastAsia="SimSun" w:hAnsi="Arial" w:cs="Arial"/>
          <w:sz w:val="24"/>
          <w:szCs w:val="24"/>
          <w:shd w:val="clear" w:color="auto" w:fill="FFFFFF"/>
        </w:rPr>
        <w:t>在缔约方大会第十八</w:t>
      </w:r>
      <w:r w:rsidRPr="000C0842">
        <w:rPr>
          <w:rFonts w:ascii="Arial" w:eastAsia="SimSun" w:hAnsi="Arial" w:cs="Arial" w:hint="eastAsia"/>
          <w:sz w:val="24"/>
          <w:szCs w:val="24"/>
          <w:shd w:val="clear" w:color="auto" w:fill="FFFFFF"/>
        </w:rPr>
        <w:t>届</w:t>
      </w:r>
      <w:r w:rsidRPr="000C0842">
        <w:rPr>
          <w:rFonts w:ascii="Arial" w:eastAsia="SimSun" w:hAnsi="Arial" w:cs="Arial"/>
          <w:sz w:val="24"/>
          <w:szCs w:val="24"/>
          <w:shd w:val="clear" w:color="auto" w:fill="FFFFFF"/>
        </w:rPr>
        <w:t>会议之前</w:t>
      </w:r>
      <w:r w:rsidRPr="000C0842">
        <w:rPr>
          <w:rFonts w:ascii="Arial" w:eastAsia="SimSun" w:hAnsi="Arial" w:cs="Arial" w:hint="eastAsia"/>
          <w:sz w:val="24"/>
          <w:szCs w:val="24"/>
          <w:shd w:val="clear" w:color="auto" w:fill="FFFFFF"/>
        </w:rPr>
        <w:t>为执行问题</w:t>
      </w:r>
      <w:r w:rsidRPr="000C0842">
        <w:rPr>
          <w:rFonts w:ascii="Arial" w:eastAsia="SimSun" w:hAnsi="Arial" w:cs="Arial"/>
          <w:sz w:val="24"/>
          <w:szCs w:val="24"/>
          <w:shd w:val="clear" w:color="auto" w:fill="FFFFFF"/>
        </w:rPr>
        <w:t>附属机构的</w:t>
      </w:r>
      <w:r w:rsidRPr="000C0842">
        <w:rPr>
          <w:rFonts w:ascii="Arial" w:eastAsia="SimSun" w:hAnsi="Arial" w:cs="Arial" w:hint="eastAsia"/>
          <w:sz w:val="24"/>
          <w:szCs w:val="24"/>
          <w:shd w:val="clear" w:color="auto" w:fill="FFFFFF"/>
        </w:rPr>
        <w:t>讨论提供信息</w:t>
      </w:r>
      <w:r w:rsidRPr="000C0842">
        <w:rPr>
          <w:rFonts w:eastAsia="SimSun" w:hint="eastAsia"/>
          <w:sz w:val="24"/>
          <w:szCs w:val="24"/>
        </w:rPr>
        <w:t>。</w:t>
      </w:r>
    </w:p>
    <w:p w14:paraId="380FE7BE" w14:textId="77777777" w:rsidR="000A776A" w:rsidRPr="000C0842" w:rsidRDefault="000A776A" w:rsidP="00DB1FDC">
      <w:pPr>
        <w:keepNext/>
        <w:keepLines/>
        <w:suppressLineNumbers/>
        <w:tabs>
          <w:tab w:val="clear" w:pos="567"/>
          <w:tab w:val="clear" w:pos="1134"/>
          <w:tab w:val="clear" w:pos="1701"/>
          <w:tab w:val="clear" w:pos="2268"/>
        </w:tabs>
        <w:suppressAutoHyphens/>
        <w:adjustRightInd w:val="0"/>
        <w:snapToGrid w:val="0"/>
        <w:spacing w:before="360"/>
        <w:ind w:firstLine="490"/>
        <w:rPr>
          <w:rFonts w:eastAsia="SimSun"/>
          <w:b/>
          <w:bCs/>
          <w:iCs/>
          <w:snapToGrid w:val="0"/>
          <w:kern w:val="22"/>
          <w:sz w:val="24"/>
          <w:szCs w:val="24"/>
          <w:lang w:val="en-GB"/>
        </w:rPr>
      </w:pPr>
      <w:r w:rsidRPr="000C0842">
        <w:rPr>
          <w:rFonts w:eastAsia="SimSun"/>
          <w:b/>
          <w:bCs/>
          <w:iCs/>
          <w:snapToGrid w:val="0"/>
          <w:kern w:val="22"/>
          <w:sz w:val="24"/>
          <w:szCs w:val="24"/>
          <w:lang w:val="en-GB"/>
        </w:rPr>
        <w:t>附件</w:t>
      </w:r>
      <w:r w:rsidRPr="000C0842">
        <w:rPr>
          <w:rFonts w:eastAsia="SimSun" w:hint="eastAsia"/>
          <w:b/>
          <w:bCs/>
          <w:iCs/>
          <w:snapToGrid w:val="0"/>
          <w:kern w:val="22"/>
          <w:sz w:val="24"/>
          <w:szCs w:val="24"/>
          <w:lang w:val="en-GB"/>
        </w:rPr>
        <w:t>一</w:t>
      </w:r>
    </w:p>
    <w:p w14:paraId="553A36D1" w14:textId="77777777" w:rsidR="000A776A" w:rsidRPr="000C0842" w:rsidRDefault="000A776A" w:rsidP="00DB1FDC">
      <w:pPr>
        <w:keepNext/>
        <w:keepLines/>
        <w:suppressLineNumbers/>
        <w:tabs>
          <w:tab w:val="clear" w:pos="567"/>
          <w:tab w:val="clear" w:pos="1134"/>
          <w:tab w:val="clear" w:pos="1701"/>
          <w:tab w:val="clear" w:pos="2268"/>
        </w:tabs>
        <w:suppressAutoHyphens/>
        <w:adjustRightInd w:val="0"/>
        <w:snapToGrid w:val="0"/>
        <w:spacing w:after="120"/>
        <w:ind w:left="490"/>
        <w:rPr>
          <w:rFonts w:eastAsia="SimSun"/>
          <w:b/>
          <w:bCs/>
          <w:iCs/>
          <w:snapToGrid w:val="0"/>
          <w:kern w:val="22"/>
          <w:sz w:val="24"/>
          <w:szCs w:val="24"/>
          <w:lang w:val="en-GB"/>
        </w:rPr>
      </w:pPr>
      <w:r w:rsidRPr="000C0842">
        <w:rPr>
          <w:rFonts w:eastAsia="SimSun"/>
          <w:b/>
          <w:bCs/>
          <w:iCs/>
          <w:snapToGrid w:val="0"/>
          <w:kern w:val="22"/>
          <w:sz w:val="24"/>
          <w:szCs w:val="24"/>
          <w:lang w:val="en-GB"/>
        </w:rPr>
        <w:t>全球环境基金信托基金第九增资期（</w:t>
      </w:r>
      <w:r w:rsidRPr="000C0842">
        <w:rPr>
          <w:rFonts w:eastAsia="SimSun"/>
          <w:b/>
          <w:bCs/>
          <w:iCs/>
          <w:snapToGrid w:val="0"/>
          <w:kern w:val="22"/>
          <w:sz w:val="24"/>
          <w:szCs w:val="24"/>
          <w:lang w:val="en-GB"/>
        </w:rPr>
        <w:t xml:space="preserve">2026-2030 </w:t>
      </w:r>
      <w:r w:rsidRPr="000C0842">
        <w:rPr>
          <w:rFonts w:eastAsia="SimSun"/>
          <w:b/>
          <w:bCs/>
          <w:iCs/>
          <w:snapToGrid w:val="0"/>
          <w:kern w:val="22"/>
          <w:sz w:val="24"/>
          <w:szCs w:val="24"/>
          <w:lang w:val="en-GB"/>
        </w:rPr>
        <w:t>年）《生物多样性公约》</w:t>
      </w:r>
      <w:r w:rsidRPr="000C0842">
        <w:rPr>
          <w:rFonts w:eastAsia="SimSun" w:hint="eastAsia"/>
          <w:b/>
          <w:bCs/>
          <w:iCs/>
          <w:snapToGrid w:val="0"/>
          <w:kern w:val="22"/>
          <w:sz w:val="24"/>
          <w:szCs w:val="24"/>
          <w:lang w:val="en-GB"/>
        </w:rPr>
        <w:t>及其议定书</w:t>
      </w:r>
      <w:r w:rsidRPr="000C0842">
        <w:rPr>
          <w:rFonts w:eastAsia="SimSun"/>
          <w:b/>
          <w:bCs/>
          <w:iCs/>
          <w:snapToGrid w:val="0"/>
          <w:kern w:val="22"/>
          <w:sz w:val="24"/>
          <w:szCs w:val="24"/>
          <w:lang w:val="en-GB"/>
        </w:rPr>
        <w:t>成果导向四年期</w:t>
      </w:r>
      <w:r w:rsidRPr="000C0842">
        <w:rPr>
          <w:rFonts w:eastAsia="SimSun" w:hint="eastAsia"/>
          <w:b/>
          <w:bCs/>
          <w:iCs/>
          <w:snapToGrid w:val="0"/>
          <w:kern w:val="22"/>
          <w:sz w:val="24"/>
          <w:szCs w:val="24"/>
          <w:lang w:val="en-GB"/>
        </w:rPr>
        <w:t>生物多样性</w:t>
      </w:r>
      <w:r w:rsidRPr="000C0842">
        <w:rPr>
          <w:rFonts w:eastAsia="SimSun"/>
          <w:b/>
          <w:bCs/>
          <w:iCs/>
          <w:snapToGrid w:val="0"/>
          <w:kern w:val="22"/>
          <w:sz w:val="24"/>
          <w:szCs w:val="24"/>
          <w:lang w:val="en-GB"/>
        </w:rPr>
        <w:t>方案重点框架</w:t>
      </w:r>
    </w:p>
    <w:p w14:paraId="3555E51D" w14:textId="77777777" w:rsidR="000A776A" w:rsidRPr="000C0842" w:rsidRDefault="000A776A" w:rsidP="000A776A">
      <w:pPr>
        <w:keepNext/>
        <w:tabs>
          <w:tab w:val="clear" w:pos="567"/>
          <w:tab w:val="clear" w:pos="1134"/>
          <w:tab w:val="clear" w:pos="1701"/>
          <w:tab w:val="clear" w:pos="2268"/>
        </w:tabs>
        <w:spacing w:before="120" w:after="120"/>
        <w:rPr>
          <w:rFonts w:eastAsia="SimSun"/>
          <w:b/>
          <w:bCs/>
          <w:sz w:val="24"/>
          <w:szCs w:val="24"/>
        </w:rPr>
      </w:pPr>
      <w:r w:rsidRPr="000C0842">
        <w:rPr>
          <w:rFonts w:eastAsia="SimSun"/>
          <w:b/>
          <w:bCs/>
          <w:sz w:val="24"/>
          <w:szCs w:val="24"/>
        </w:rPr>
        <w:t>一</w:t>
      </w:r>
      <w:r w:rsidRPr="000C0842">
        <w:rPr>
          <w:rFonts w:eastAsia="SimSun"/>
          <w:b/>
          <w:bCs/>
          <w:sz w:val="24"/>
          <w:szCs w:val="24"/>
        </w:rPr>
        <w:t>.</w:t>
      </w:r>
      <w:r w:rsidRPr="000C0842">
        <w:rPr>
          <w:rFonts w:eastAsia="SimSun"/>
          <w:b/>
          <w:bCs/>
          <w:sz w:val="24"/>
          <w:szCs w:val="24"/>
        </w:rPr>
        <w:tab/>
      </w:r>
      <w:r w:rsidRPr="000C0842">
        <w:rPr>
          <w:rFonts w:eastAsia="SimSun"/>
          <w:b/>
          <w:bCs/>
          <w:sz w:val="24"/>
          <w:szCs w:val="24"/>
        </w:rPr>
        <w:t>目标</w:t>
      </w:r>
    </w:p>
    <w:p w14:paraId="3B4366AC" w14:textId="77777777" w:rsidR="000A776A" w:rsidRPr="000C0842" w:rsidRDefault="000A776A">
      <w:pPr>
        <w:pStyle w:val="Para1"/>
        <w:numPr>
          <w:ilvl w:val="0"/>
          <w:numId w:val="243"/>
        </w:numPr>
        <w:tabs>
          <w:tab w:val="clear" w:pos="567"/>
          <w:tab w:val="clear" w:pos="1134"/>
          <w:tab w:val="clear" w:pos="1701"/>
          <w:tab w:val="clear" w:pos="2268"/>
        </w:tabs>
        <w:ind w:left="490" w:firstLine="0"/>
        <w:rPr>
          <w:rFonts w:eastAsia="SimSun"/>
          <w:sz w:val="24"/>
          <w:szCs w:val="24"/>
          <w:lang w:val="en-GB"/>
        </w:rPr>
      </w:pPr>
      <w:r w:rsidRPr="000C0842">
        <w:rPr>
          <w:rFonts w:eastAsia="SimSun"/>
          <w:sz w:val="24"/>
          <w:szCs w:val="24"/>
        </w:rPr>
        <w:t>本成果导向四年期</w:t>
      </w:r>
      <w:r w:rsidRPr="000C0842">
        <w:rPr>
          <w:rFonts w:eastAsia="SimSun" w:hint="eastAsia"/>
          <w:sz w:val="24"/>
          <w:szCs w:val="24"/>
        </w:rPr>
        <w:t>生物多样性</w:t>
      </w:r>
      <w:r w:rsidRPr="000C0842">
        <w:rPr>
          <w:rFonts w:eastAsia="SimSun"/>
          <w:sz w:val="24"/>
          <w:szCs w:val="24"/>
        </w:rPr>
        <w:t>方案重点框架为全球环境基金信托基金第九增资期（</w:t>
      </w:r>
      <w:r w:rsidRPr="000C0842">
        <w:rPr>
          <w:rFonts w:eastAsia="SimSun"/>
          <w:sz w:val="24"/>
          <w:szCs w:val="24"/>
        </w:rPr>
        <w:t xml:space="preserve">2026-2030 </w:t>
      </w:r>
      <w:r w:rsidRPr="000C0842">
        <w:rPr>
          <w:rFonts w:eastAsia="SimSun"/>
          <w:sz w:val="24"/>
          <w:szCs w:val="24"/>
        </w:rPr>
        <w:t>年）提供有关《生物多样性公约》</w:t>
      </w:r>
      <w:r w:rsidRPr="000C0842">
        <w:rPr>
          <w:sz w:val="24"/>
          <w:szCs w:val="24"/>
          <w:vertAlign w:val="superscript"/>
        </w:rPr>
        <w:footnoteReference w:id="447"/>
      </w:r>
      <w:r w:rsidRPr="000C0842">
        <w:rPr>
          <w:rFonts w:eastAsia="SimSun"/>
          <w:sz w:val="24"/>
          <w:szCs w:val="24"/>
        </w:rPr>
        <w:t>及其议定书的指导。</w:t>
      </w:r>
      <w:r w:rsidRPr="000C0842">
        <w:rPr>
          <w:rFonts w:eastAsia="SimSun"/>
          <w:sz w:val="24"/>
          <w:szCs w:val="24"/>
          <w:lang w:val="en-GB"/>
        </w:rPr>
        <w:t xml:space="preserve"> </w:t>
      </w:r>
    </w:p>
    <w:p w14:paraId="23C6A5DC"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本框架由公约缔约方大会提供，</w:t>
      </w:r>
      <w:r w:rsidRPr="000C0842">
        <w:rPr>
          <w:rFonts w:eastAsia="SimSun" w:hint="eastAsia"/>
          <w:sz w:val="24"/>
          <w:szCs w:val="24"/>
        </w:rPr>
        <w:t>供全球环境基金</w:t>
      </w:r>
      <w:r w:rsidRPr="000C0842">
        <w:rPr>
          <w:rFonts w:eastAsia="SimSun"/>
          <w:sz w:val="24"/>
          <w:szCs w:val="24"/>
        </w:rPr>
        <w:t>秘书处和增资谈判参与方在确定全球环境基金信托基金第九次增资的方案规划指南和政策建议时</w:t>
      </w:r>
      <w:r w:rsidRPr="000C0842">
        <w:rPr>
          <w:rFonts w:eastAsia="SimSun" w:hint="eastAsia"/>
          <w:sz w:val="24"/>
          <w:szCs w:val="24"/>
        </w:rPr>
        <w:t>使用</w:t>
      </w:r>
      <w:r w:rsidRPr="000C0842">
        <w:rPr>
          <w:rFonts w:eastAsia="SimSun"/>
          <w:sz w:val="24"/>
          <w:szCs w:val="24"/>
        </w:rPr>
        <w:t>。</w:t>
      </w:r>
    </w:p>
    <w:p w14:paraId="16D5A671"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本框架</w:t>
      </w:r>
      <w:r w:rsidRPr="000C0842">
        <w:rPr>
          <w:rFonts w:eastAsia="SimSun" w:hint="eastAsia"/>
          <w:sz w:val="24"/>
          <w:szCs w:val="24"/>
        </w:rPr>
        <w:t>也</w:t>
      </w:r>
      <w:r w:rsidRPr="000C0842">
        <w:rPr>
          <w:rFonts w:eastAsia="SimSun"/>
          <w:sz w:val="24"/>
          <w:szCs w:val="24"/>
        </w:rPr>
        <w:t>是</w:t>
      </w:r>
      <w:r w:rsidRPr="000C0842">
        <w:rPr>
          <w:rFonts w:eastAsia="SimSun" w:hint="eastAsia"/>
          <w:sz w:val="24"/>
          <w:szCs w:val="24"/>
        </w:rPr>
        <w:t>结合</w:t>
      </w:r>
      <w:r w:rsidRPr="000C0842">
        <w:rPr>
          <w:rFonts w:eastAsia="SimSun"/>
          <w:sz w:val="24"/>
          <w:szCs w:val="24"/>
        </w:rPr>
        <w:t>全球环境基金为实现全球环境基金惠益提供资源的任务，</w:t>
      </w:r>
      <w:r w:rsidRPr="000C0842">
        <w:rPr>
          <w:rFonts w:eastAsia="SimSun" w:hint="eastAsia"/>
          <w:sz w:val="24"/>
          <w:szCs w:val="24"/>
        </w:rPr>
        <w:t>以及</w:t>
      </w:r>
      <w:r w:rsidRPr="000C0842">
        <w:rPr>
          <w:rFonts w:eastAsia="SimSun"/>
          <w:sz w:val="24"/>
          <w:szCs w:val="24"/>
        </w:rPr>
        <w:t>缔约方大会与全球环境基金理事会之间的谅解备忘录为全球环境基金规定</w:t>
      </w:r>
      <w:r w:rsidRPr="000C0842">
        <w:rPr>
          <w:rFonts w:eastAsia="SimSun" w:hint="eastAsia"/>
          <w:sz w:val="24"/>
          <w:szCs w:val="24"/>
        </w:rPr>
        <w:t>的</w:t>
      </w:r>
      <w:r w:rsidRPr="000C0842">
        <w:rPr>
          <w:rFonts w:eastAsia="SimSun"/>
          <w:sz w:val="24"/>
          <w:szCs w:val="24"/>
        </w:rPr>
        <w:t>任务提供</w:t>
      </w:r>
      <w:r w:rsidRPr="000C0842">
        <w:rPr>
          <w:rFonts w:eastAsia="SimSun" w:hint="eastAsia"/>
          <w:sz w:val="24"/>
          <w:szCs w:val="24"/>
        </w:rPr>
        <w:t>的</w:t>
      </w:r>
      <w:r w:rsidRPr="000C0842">
        <w:rPr>
          <w:rFonts w:eastAsia="SimSun"/>
          <w:sz w:val="24"/>
          <w:szCs w:val="24"/>
          <w:vertAlign w:val="superscript"/>
        </w:rPr>
        <w:footnoteReference w:id="448"/>
      </w:r>
      <w:r w:rsidRPr="000C0842">
        <w:rPr>
          <w:rFonts w:eastAsia="SimSun"/>
          <w:sz w:val="24"/>
          <w:szCs w:val="24"/>
        </w:rPr>
        <w:t>。</w:t>
      </w:r>
    </w:p>
    <w:p w14:paraId="1D5EF566"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pacing w:val="-10"/>
          <w:sz w:val="24"/>
          <w:szCs w:val="24"/>
        </w:rPr>
        <w:t>本框架利用《公约》及其</w:t>
      </w:r>
      <w:r w:rsidRPr="000C0842">
        <w:rPr>
          <w:rFonts w:eastAsia="SimSun" w:hint="eastAsia"/>
          <w:spacing w:val="-10"/>
          <w:sz w:val="24"/>
          <w:szCs w:val="24"/>
        </w:rPr>
        <w:t>各项</w:t>
      </w:r>
      <w:r w:rsidRPr="000C0842">
        <w:rPr>
          <w:rFonts w:eastAsia="SimSun"/>
          <w:spacing w:val="-10"/>
          <w:sz w:val="24"/>
          <w:szCs w:val="24"/>
        </w:rPr>
        <w:t>议定书和《昆明</w:t>
      </w:r>
      <w:r w:rsidRPr="000C0842">
        <w:rPr>
          <w:rFonts w:eastAsia="SimSun"/>
          <w:spacing w:val="-10"/>
          <w:sz w:val="24"/>
          <w:szCs w:val="24"/>
        </w:rPr>
        <w:t>-</w:t>
      </w:r>
      <w:r w:rsidRPr="000C0842">
        <w:rPr>
          <w:rFonts w:eastAsia="SimSun"/>
          <w:spacing w:val="-10"/>
          <w:sz w:val="24"/>
          <w:szCs w:val="24"/>
        </w:rPr>
        <w:t>蒙特利尔全球生物多样性框架》</w:t>
      </w:r>
      <w:r w:rsidRPr="000C0842">
        <w:rPr>
          <w:rFonts w:eastAsia="SimSun"/>
          <w:spacing w:val="-10"/>
          <w:sz w:val="24"/>
          <w:szCs w:val="24"/>
          <w:vertAlign w:val="superscript"/>
        </w:rPr>
        <w:footnoteReference w:id="449"/>
      </w:r>
      <w:r w:rsidRPr="000C0842">
        <w:rPr>
          <w:rFonts w:eastAsia="SimSun"/>
          <w:sz w:val="24"/>
          <w:szCs w:val="24"/>
        </w:rPr>
        <w:t>来确定《公约》财务机制的战略重点，预计全球环境基金将通过其第九增资期的方案编制指南来落实这些战略重点。</w:t>
      </w:r>
      <w:r w:rsidRPr="000C0842">
        <w:rPr>
          <w:rFonts w:eastAsia="SimSun"/>
          <w:sz w:val="24"/>
          <w:szCs w:val="24"/>
        </w:rPr>
        <w:t xml:space="preserve"> </w:t>
      </w:r>
    </w:p>
    <w:p w14:paraId="5EF9144F"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本框架确认，应将《昆明</w:t>
      </w:r>
      <w:r w:rsidRPr="000C0842">
        <w:rPr>
          <w:rFonts w:eastAsia="SimSun"/>
          <w:sz w:val="24"/>
          <w:szCs w:val="24"/>
        </w:rPr>
        <w:t>-</w:t>
      </w:r>
      <w:r w:rsidRPr="000C0842">
        <w:rPr>
          <w:rFonts w:eastAsia="SimSun"/>
          <w:sz w:val="24"/>
          <w:szCs w:val="24"/>
        </w:rPr>
        <w:t>蒙特利尔全球生物多样性框架》作为</w:t>
      </w:r>
      <w:r w:rsidRPr="000C0842">
        <w:rPr>
          <w:rFonts w:eastAsia="SimSun"/>
          <w:sz w:val="24"/>
          <w:szCs w:val="24"/>
        </w:rPr>
        <w:t xml:space="preserve"> </w:t>
      </w:r>
      <w:r w:rsidRPr="000C0842">
        <w:rPr>
          <w:rFonts w:eastAsia="SimSun" w:hint="eastAsia"/>
          <w:sz w:val="24"/>
          <w:szCs w:val="24"/>
        </w:rPr>
        <w:t>至</w:t>
      </w:r>
      <w:r w:rsidRPr="000C0842">
        <w:rPr>
          <w:rFonts w:eastAsia="SimSun"/>
          <w:sz w:val="24"/>
          <w:szCs w:val="24"/>
        </w:rPr>
        <w:t xml:space="preserve">2030 </w:t>
      </w:r>
      <w:r w:rsidRPr="000C0842">
        <w:rPr>
          <w:rFonts w:eastAsia="SimSun"/>
          <w:sz w:val="24"/>
          <w:szCs w:val="24"/>
        </w:rPr>
        <w:t>年执行《公约》及其议定书的战略计划。</w:t>
      </w:r>
    </w:p>
    <w:p w14:paraId="148CF4C4"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特别是，《昆明</w:t>
      </w:r>
      <w:r w:rsidRPr="000C0842">
        <w:rPr>
          <w:rFonts w:eastAsia="SimSun"/>
          <w:sz w:val="24"/>
          <w:szCs w:val="24"/>
        </w:rPr>
        <w:t>-</w:t>
      </w:r>
      <w:r w:rsidRPr="000C0842">
        <w:rPr>
          <w:rFonts w:eastAsia="SimSun"/>
          <w:sz w:val="24"/>
          <w:szCs w:val="24"/>
        </w:rPr>
        <w:t>蒙特利尔全球生物多样性框架》的长期目标和行动目标为本四年期框架的成果指明了方向，同时铭记第九增资期将涵盖截至</w:t>
      </w:r>
      <w:r w:rsidRPr="000C0842">
        <w:rPr>
          <w:rFonts w:eastAsia="SimSun"/>
          <w:sz w:val="24"/>
          <w:szCs w:val="24"/>
        </w:rPr>
        <w:t>2030</w:t>
      </w:r>
      <w:r w:rsidRPr="000C0842">
        <w:rPr>
          <w:rFonts w:eastAsia="SimSun"/>
          <w:sz w:val="24"/>
          <w:szCs w:val="24"/>
        </w:rPr>
        <w:t>年实现行动目标最后期限之前的四年期，并认识到全球环境基金在设计和执行第九次增资的方案编制指南和政策建议时，应以平衡的方式对待《公约》三个目标中的每一个目标。</w:t>
      </w:r>
    </w:p>
    <w:p w14:paraId="7E96C36A"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hint="eastAsia"/>
          <w:sz w:val="24"/>
          <w:szCs w:val="24"/>
        </w:rPr>
        <w:t>本</w:t>
      </w:r>
      <w:r w:rsidRPr="000C0842">
        <w:rPr>
          <w:rFonts w:eastAsia="SimSun"/>
          <w:sz w:val="24"/>
          <w:szCs w:val="24"/>
        </w:rPr>
        <w:t>框架</w:t>
      </w:r>
      <w:r w:rsidRPr="000C0842">
        <w:rPr>
          <w:rFonts w:eastAsia="SimSun" w:hint="eastAsia"/>
          <w:sz w:val="24"/>
          <w:szCs w:val="24"/>
        </w:rPr>
        <w:t>认识到</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蒙特利尔全球生物多样性框架》各组成部分的</w:t>
      </w:r>
      <w:r w:rsidRPr="000C0842">
        <w:rPr>
          <w:rFonts w:eastAsia="SimSun" w:hint="eastAsia"/>
          <w:sz w:val="24"/>
          <w:szCs w:val="24"/>
        </w:rPr>
        <w:t>一体</w:t>
      </w:r>
      <w:r w:rsidRPr="000C0842">
        <w:rPr>
          <w:rFonts w:eastAsia="SimSun"/>
          <w:sz w:val="24"/>
          <w:szCs w:val="24"/>
        </w:rPr>
        <w:t>性和不可分割性，其中包括</w:t>
      </w:r>
      <w:r w:rsidRPr="000C0842">
        <w:rPr>
          <w:rFonts w:eastAsia="SimSun" w:hint="eastAsia"/>
          <w:sz w:val="24"/>
          <w:szCs w:val="24"/>
        </w:rPr>
        <w:t>关于执行</w:t>
      </w:r>
      <w:r w:rsidRPr="000C0842">
        <w:rPr>
          <w:rFonts w:eastAsia="SimSun"/>
          <w:sz w:val="24"/>
          <w:szCs w:val="24"/>
        </w:rPr>
        <w:t>《昆蒙框架》</w:t>
      </w:r>
      <w:r w:rsidRPr="000C0842">
        <w:rPr>
          <w:rFonts w:eastAsia="SimSun" w:hint="eastAsia"/>
          <w:sz w:val="24"/>
          <w:szCs w:val="24"/>
        </w:rPr>
        <w:t>的</w:t>
      </w:r>
      <w:r w:rsidRPr="000C0842">
        <w:rPr>
          <w:rFonts w:eastAsia="SimSun"/>
          <w:sz w:val="24"/>
          <w:szCs w:val="24"/>
        </w:rPr>
        <w:t>考虑因素（《昆蒙框架》</w:t>
      </w:r>
      <w:r w:rsidRPr="000C0842">
        <w:rPr>
          <w:rFonts w:eastAsia="SimSun"/>
          <w:sz w:val="24"/>
          <w:szCs w:val="24"/>
        </w:rPr>
        <w:t xml:space="preserve">C </w:t>
      </w:r>
      <w:r w:rsidRPr="000C0842">
        <w:rPr>
          <w:rFonts w:eastAsia="SimSun" w:hint="eastAsia"/>
          <w:sz w:val="24"/>
          <w:szCs w:val="24"/>
        </w:rPr>
        <w:t>部分</w:t>
      </w:r>
      <w:r w:rsidRPr="000C0842">
        <w:rPr>
          <w:rFonts w:eastAsia="SimSun"/>
          <w:sz w:val="24"/>
          <w:szCs w:val="24"/>
        </w:rPr>
        <w:t>）、执行和支持机制及有利条件（</w:t>
      </w:r>
      <w:r w:rsidRPr="000C0842">
        <w:rPr>
          <w:rFonts w:eastAsia="SimSun"/>
          <w:sz w:val="24"/>
          <w:szCs w:val="24"/>
        </w:rPr>
        <w:t xml:space="preserve">I </w:t>
      </w:r>
      <w:r w:rsidRPr="000C0842">
        <w:rPr>
          <w:rFonts w:eastAsia="SimSun" w:hint="eastAsia"/>
          <w:sz w:val="24"/>
          <w:szCs w:val="24"/>
        </w:rPr>
        <w:t>部分</w:t>
      </w:r>
      <w:r w:rsidRPr="000C0842">
        <w:rPr>
          <w:rFonts w:eastAsia="SimSun"/>
          <w:sz w:val="24"/>
          <w:szCs w:val="24"/>
        </w:rPr>
        <w:t>）以及</w:t>
      </w:r>
      <w:r w:rsidRPr="000C0842">
        <w:rPr>
          <w:rFonts w:eastAsia="SimSun" w:hint="eastAsia"/>
          <w:sz w:val="24"/>
          <w:szCs w:val="24"/>
        </w:rPr>
        <w:t>问责制</w:t>
      </w:r>
      <w:r w:rsidRPr="000C0842">
        <w:rPr>
          <w:rFonts w:eastAsia="SimSun"/>
          <w:sz w:val="24"/>
          <w:szCs w:val="24"/>
        </w:rPr>
        <w:t>和透明度（</w:t>
      </w:r>
      <w:r w:rsidRPr="000C0842">
        <w:rPr>
          <w:rFonts w:eastAsia="SimSun"/>
          <w:sz w:val="24"/>
          <w:szCs w:val="24"/>
        </w:rPr>
        <w:t xml:space="preserve">J </w:t>
      </w:r>
      <w:r w:rsidRPr="000C0842">
        <w:rPr>
          <w:rFonts w:eastAsia="SimSun" w:hint="eastAsia"/>
          <w:sz w:val="24"/>
          <w:szCs w:val="24"/>
        </w:rPr>
        <w:t>部分</w:t>
      </w:r>
      <w:r w:rsidRPr="000C0842">
        <w:rPr>
          <w:rFonts w:eastAsia="SimSun"/>
          <w:sz w:val="24"/>
          <w:szCs w:val="24"/>
        </w:rPr>
        <w:t>），</w:t>
      </w:r>
      <w:r w:rsidRPr="000C0842">
        <w:rPr>
          <w:rFonts w:eastAsia="SimSun" w:hint="eastAsia"/>
          <w:sz w:val="24"/>
          <w:szCs w:val="24"/>
        </w:rPr>
        <w:t>并认识到</w:t>
      </w:r>
      <w:r w:rsidRPr="000C0842">
        <w:rPr>
          <w:rFonts w:eastAsia="SimSun"/>
          <w:sz w:val="24"/>
          <w:szCs w:val="24"/>
        </w:rPr>
        <w:t>全球生物多样性框架基金的运作及其对全球环境基金</w:t>
      </w:r>
      <w:r w:rsidRPr="000C0842">
        <w:rPr>
          <w:rFonts w:eastAsia="SimSun" w:hint="eastAsia"/>
          <w:sz w:val="24"/>
          <w:szCs w:val="24"/>
        </w:rPr>
        <w:t>为</w:t>
      </w:r>
      <w:r w:rsidRPr="000C0842">
        <w:rPr>
          <w:rFonts w:eastAsia="SimSun"/>
          <w:sz w:val="24"/>
          <w:szCs w:val="24"/>
        </w:rPr>
        <w:t>执行《昆明</w:t>
      </w:r>
      <w:r w:rsidRPr="000C0842">
        <w:rPr>
          <w:rFonts w:eastAsia="SimSun"/>
          <w:sz w:val="24"/>
          <w:szCs w:val="24"/>
        </w:rPr>
        <w:t>-</w:t>
      </w:r>
      <w:r w:rsidRPr="000C0842">
        <w:rPr>
          <w:rFonts w:eastAsia="SimSun"/>
          <w:sz w:val="24"/>
          <w:szCs w:val="24"/>
        </w:rPr>
        <w:t>蒙特利尔全球生物多样性框架》</w:t>
      </w:r>
      <w:r w:rsidRPr="000C0842">
        <w:rPr>
          <w:rFonts w:eastAsia="SimSun" w:hint="eastAsia"/>
          <w:sz w:val="24"/>
          <w:szCs w:val="24"/>
        </w:rPr>
        <w:t>所提供协助</w:t>
      </w:r>
      <w:r w:rsidRPr="000C0842">
        <w:rPr>
          <w:rFonts w:eastAsia="SimSun"/>
          <w:sz w:val="24"/>
          <w:szCs w:val="24"/>
        </w:rPr>
        <w:t>的</w:t>
      </w:r>
      <w:r w:rsidRPr="000C0842">
        <w:rPr>
          <w:rFonts w:eastAsia="SimSun" w:hint="eastAsia"/>
          <w:sz w:val="24"/>
          <w:szCs w:val="24"/>
        </w:rPr>
        <w:t>辅助作用</w:t>
      </w:r>
      <w:r w:rsidRPr="000C0842">
        <w:rPr>
          <w:rFonts w:eastAsia="SimSun"/>
          <w:sz w:val="24"/>
          <w:szCs w:val="24"/>
        </w:rPr>
        <w:t>。</w:t>
      </w:r>
      <w:r w:rsidRPr="000C0842">
        <w:rPr>
          <w:rFonts w:eastAsia="SimSun" w:hint="eastAsia"/>
          <w:sz w:val="24"/>
          <w:szCs w:val="24"/>
        </w:rPr>
        <w:t xml:space="preserve"> </w:t>
      </w:r>
    </w:p>
    <w:p w14:paraId="78D3ACE5"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认识到《昆明</w:t>
      </w:r>
      <w:r w:rsidRPr="000C0842">
        <w:rPr>
          <w:rFonts w:eastAsia="SimSun"/>
          <w:sz w:val="24"/>
          <w:szCs w:val="24"/>
        </w:rPr>
        <w:t>-</w:t>
      </w:r>
      <w:r w:rsidRPr="000C0842">
        <w:rPr>
          <w:rFonts w:eastAsia="SimSun"/>
          <w:sz w:val="24"/>
          <w:szCs w:val="24"/>
        </w:rPr>
        <w:t>蒙特利尔全球生物多样性框架》对所有生物多样性相关公约和其他多边环境协定都具有重要意义，本框架力求推动实施补充措施，有可能增进《生物多样性公约》及其议定书以及与《昆明</w:t>
      </w:r>
      <w:r w:rsidRPr="000C0842">
        <w:rPr>
          <w:rFonts w:eastAsia="SimSun"/>
          <w:sz w:val="24"/>
          <w:szCs w:val="24"/>
        </w:rPr>
        <w:t>-</w:t>
      </w:r>
      <w:r w:rsidRPr="000C0842">
        <w:rPr>
          <w:rFonts w:eastAsia="SimSun"/>
          <w:sz w:val="24"/>
          <w:szCs w:val="24"/>
        </w:rPr>
        <w:t>蒙特利尔全球生物多样性框架》和全球环境基金任务相关的其他生物多样性相关公约、多边环境协定和框架之间的方案协同作用和效率</w:t>
      </w:r>
      <w:r w:rsidRPr="000C0842">
        <w:rPr>
          <w:rFonts w:eastAsia="SimSun" w:hint="eastAsia"/>
          <w:sz w:val="24"/>
          <w:szCs w:val="24"/>
        </w:rPr>
        <w:t>，同时认识到有必要大力提高其透明度和报告工作</w:t>
      </w:r>
      <w:r w:rsidRPr="000C0842">
        <w:rPr>
          <w:rFonts w:eastAsia="SimSun"/>
          <w:sz w:val="24"/>
          <w:szCs w:val="24"/>
        </w:rPr>
        <w:t>。</w:t>
      </w:r>
    </w:p>
    <w:p w14:paraId="6B9CC2E7" w14:textId="77777777" w:rsidR="000A776A" w:rsidRPr="000C0842" w:rsidRDefault="000A776A" w:rsidP="000A776A">
      <w:pPr>
        <w:keepNext/>
        <w:tabs>
          <w:tab w:val="clear" w:pos="567"/>
          <w:tab w:val="clear" w:pos="1134"/>
          <w:tab w:val="clear" w:pos="1701"/>
          <w:tab w:val="clear" w:pos="2268"/>
        </w:tabs>
        <w:spacing w:before="120" w:after="120"/>
        <w:rPr>
          <w:rFonts w:eastAsia="SimSun"/>
          <w:b/>
          <w:bCs/>
          <w:sz w:val="24"/>
          <w:szCs w:val="24"/>
        </w:rPr>
      </w:pPr>
      <w:r w:rsidRPr="000C0842">
        <w:rPr>
          <w:rFonts w:eastAsia="SimSun" w:hint="eastAsia"/>
          <w:b/>
          <w:bCs/>
          <w:sz w:val="24"/>
          <w:szCs w:val="24"/>
        </w:rPr>
        <w:t>二</w:t>
      </w:r>
      <w:r w:rsidRPr="000C0842">
        <w:rPr>
          <w:rFonts w:eastAsia="SimSun"/>
          <w:b/>
          <w:bCs/>
          <w:sz w:val="24"/>
          <w:szCs w:val="24"/>
        </w:rPr>
        <w:t>.</w:t>
      </w:r>
      <w:r w:rsidRPr="000C0842">
        <w:rPr>
          <w:rFonts w:eastAsia="SimSun"/>
          <w:b/>
          <w:bCs/>
          <w:sz w:val="24"/>
          <w:szCs w:val="24"/>
        </w:rPr>
        <w:tab/>
      </w:r>
      <w:r w:rsidRPr="000C0842">
        <w:rPr>
          <w:rFonts w:eastAsia="SimSun"/>
          <w:b/>
          <w:bCs/>
          <w:sz w:val="24"/>
          <w:szCs w:val="24"/>
        </w:rPr>
        <w:t>要素</w:t>
      </w:r>
    </w:p>
    <w:p w14:paraId="77EDFF8A"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sz w:val="24"/>
          <w:szCs w:val="24"/>
        </w:rPr>
        <w:t xml:space="preserve">2026-2030 </w:t>
      </w:r>
      <w:r w:rsidRPr="000C0842">
        <w:rPr>
          <w:rFonts w:eastAsia="SimSun"/>
          <w:sz w:val="24"/>
          <w:szCs w:val="24"/>
        </w:rPr>
        <w:t>年</w:t>
      </w:r>
      <w:r w:rsidRPr="000C0842">
        <w:rPr>
          <w:rFonts w:eastAsia="SimSun"/>
          <w:iCs/>
          <w:sz w:val="24"/>
          <w:szCs w:val="24"/>
        </w:rPr>
        <w:t>成果导向四年期</w:t>
      </w:r>
      <w:r w:rsidRPr="000C0842">
        <w:rPr>
          <w:rFonts w:eastAsia="SimSun" w:hint="eastAsia"/>
          <w:iCs/>
          <w:sz w:val="24"/>
          <w:szCs w:val="24"/>
        </w:rPr>
        <w:t>生物多样性</w:t>
      </w:r>
      <w:r w:rsidRPr="000C0842">
        <w:rPr>
          <w:rFonts w:eastAsia="SimSun"/>
          <w:iCs/>
          <w:sz w:val="24"/>
          <w:szCs w:val="24"/>
        </w:rPr>
        <w:t>方案重点框架</w:t>
      </w:r>
      <w:r w:rsidRPr="000C0842">
        <w:rPr>
          <w:rFonts w:eastAsia="SimSun"/>
          <w:sz w:val="24"/>
          <w:szCs w:val="24"/>
        </w:rPr>
        <w:t>包含《</w:t>
      </w:r>
      <w:r w:rsidRPr="000C0842">
        <w:rPr>
          <w:rFonts w:eastAsia="SimSun" w:hint="eastAsia"/>
          <w:sz w:val="24"/>
          <w:szCs w:val="24"/>
        </w:rPr>
        <w:t>生物多样性</w:t>
      </w:r>
      <w:r w:rsidRPr="000C0842">
        <w:rPr>
          <w:rFonts w:eastAsia="SimSun"/>
          <w:sz w:val="24"/>
          <w:szCs w:val="24"/>
        </w:rPr>
        <w:t>公约》及其议定书下的以下要素，将为其提供有效的执行支助：</w:t>
      </w:r>
    </w:p>
    <w:p w14:paraId="0071596E"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hint="eastAsia"/>
          <w:bCs/>
          <w:iCs/>
          <w:sz w:val="24"/>
          <w:szCs w:val="24"/>
        </w:rPr>
        <w:t>平衡兼顾地</w:t>
      </w:r>
      <w:r w:rsidRPr="000C0842">
        <w:rPr>
          <w:rFonts w:eastAsia="SimSun"/>
          <w:bCs/>
          <w:iCs/>
          <w:sz w:val="24"/>
          <w:szCs w:val="24"/>
        </w:rPr>
        <w:t>落实</w:t>
      </w:r>
      <w:r w:rsidRPr="000C0842">
        <w:rPr>
          <w:rFonts w:eastAsia="SimSun"/>
          <w:bCs/>
          <w:iCs/>
          <w:sz w:val="24"/>
          <w:szCs w:val="24"/>
          <w:lang w:val="en-CA"/>
        </w:rPr>
        <w:t>《公约》的三个目标</w:t>
      </w:r>
      <w:r w:rsidRPr="000C0842">
        <w:rPr>
          <w:rFonts w:eastAsia="SimSun"/>
          <w:iCs/>
          <w:sz w:val="24"/>
          <w:szCs w:val="24"/>
        </w:rPr>
        <w:t>；</w:t>
      </w:r>
    </w:p>
    <w:p w14:paraId="17809406"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iCs/>
          <w:sz w:val="24"/>
          <w:szCs w:val="24"/>
        </w:rPr>
      </w:pPr>
      <w:r w:rsidRPr="000C0842">
        <w:rPr>
          <w:rFonts w:eastAsia="SimSun"/>
          <w:iCs/>
          <w:sz w:val="24"/>
          <w:szCs w:val="24"/>
        </w:rPr>
        <w:t>《昆明</w:t>
      </w:r>
      <w:r w:rsidRPr="000C0842">
        <w:rPr>
          <w:rFonts w:eastAsia="SimSun"/>
          <w:iCs/>
          <w:sz w:val="24"/>
          <w:szCs w:val="24"/>
        </w:rPr>
        <w:t>-</w:t>
      </w:r>
      <w:r w:rsidRPr="000C0842">
        <w:rPr>
          <w:rFonts w:eastAsia="SimSun"/>
          <w:iCs/>
          <w:sz w:val="24"/>
          <w:szCs w:val="24"/>
        </w:rPr>
        <w:t>蒙特利尔全球生物多样性框架》，包括对力求实现的成果进行界定的每一</w:t>
      </w:r>
      <w:r w:rsidRPr="000C0842">
        <w:rPr>
          <w:rFonts w:eastAsia="SimSun" w:hint="eastAsia"/>
          <w:iCs/>
          <w:sz w:val="24"/>
          <w:szCs w:val="24"/>
        </w:rPr>
        <w:t>项</w:t>
      </w:r>
      <w:r w:rsidRPr="000C0842">
        <w:rPr>
          <w:rFonts w:eastAsia="SimSun"/>
          <w:iCs/>
          <w:sz w:val="24"/>
          <w:szCs w:val="24"/>
        </w:rPr>
        <w:t>长期目标和行动目标；</w:t>
      </w:r>
    </w:p>
    <w:p w14:paraId="3ABB7376"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iCs/>
          <w:sz w:val="24"/>
          <w:szCs w:val="24"/>
        </w:rPr>
      </w:pPr>
      <w:r w:rsidRPr="000C0842">
        <w:rPr>
          <w:rFonts w:eastAsia="SimSun"/>
          <w:sz w:val="24"/>
          <w:szCs w:val="24"/>
          <w:lang w:val="en-GB"/>
        </w:rPr>
        <w:t>国家生物多样性战略和行动计划</w:t>
      </w:r>
      <w:r w:rsidRPr="000C0842">
        <w:rPr>
          <w:rFonts w:eastAsia="SimSun" w:hint="eastAsia"/>
          <w:sz w:val="24"/>
          <w:szCs w:val="24"/>
          <w:lang w:val="en-GB"/>
        </w:rPr>
        <w:t>，包括国家生物多样性目标</w:t>
      </w:r>
      <w:r w:rsidRPr="000C0842">
        <w:rPr>
          <w:rFonts w:eastAsia="SimSun"/>
          <w:iCs/>
          <w:sz w:val="24"/>
          <w:szCs w:val="24"/>
        </w:rPr>
        <w:t>；</w:t>
      </w:r>
      <w:r w:rsidRPr="000C0842">
        <w:rPr>
          <w:rFonts w:eastAsia="SimSun"/>
          <w:iCs/>
          <w:sz w:val="24"/>
          <w:szCs w:val="24"/>
        </w:rPr>
        <w:t xml:space="preserve"> </w:t>
      </w:r>
    </w:p>
    <w:p w14:paraId="44494D92"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iCs/>
          <w:sz w:val="24"/>
          <w:szCs w:val="24"/>
        </w:rPr>
      </w:pPr>
      <w:r w:rsidRPr="000C0842">
        <w:rPr>
          <w:rFonts w:eastAsia="SimSun"/>
          <w:sz w:val="24"/>
          <w:szCs w:val="24"/>
          <w:lang w:val="en-GB"/>
        </w:rPr>
        <w:t>国家生物多样性融资计划</w:t>
      </w:r>
      <w:r w:rsidRPr="000C0842">
        <w:rPr>
          <w:rFonts w:eastAsia="SimSun" w:hint="eastAsia"/>
          <w:sz w:val="24"/>
          <w:szCs w:val="24"/>
          <w:lang w:val="en-GB"/>
        </w:rPr>
        <w:t>或类似工具</w:t>
      </w:r>
      <w:r w:rsidRPr="000C0842">
        <w:rPr>
          <w:rFonts w:eastAsia="SimSun"/>
          <w:iCs/>
          <w:sz w:val="24"/>
          <w:szCs w:val="24"/>
        </w:rPr>
        <w:t>；</w:t>
      </w:r>
    </w:p>
    <w:p w14:paraId="4B31B826"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bCs/>
          <w:iCs/>
          <w:sz w:val="24"/>
          <w:szCs w:val="24"/>
        </w:rPr>
        <w:t>在《公约》下通过的加强《昆明</w:t>
      </w:r>
      <w:r w:rsidRPr="000C0842">
        <w:rPr>
          <w:rFonts w:eastAsia="SimSun"/>
          <w:bCs/>
          <w:iCs/>
          <w:sz w:val="24"/>
          <w:szCs w:val="24"/>
        </w:rPr>
        <w:t>-</w:t>
      </w:r>
      <w:r w:rsidRPr="000C0842">
        <w:rPr>
          <w:rFonts w:eastAsia="SimSun"/>
          <w:bCs/>
          <w:iCs/>
          <w:sz w:val="24"/>
          <w:szCs w:val="24"/>
        </w:rPr>
        <w:t>蒙特利尔全球生物多样性框架》执行手段的机制</w:t>
      </w:r>
      <w:r w:rsidRPr="000C0842">
        <w:rPr>
          <w:rFonts w:eastAsia="SimSun" w:hint="eastAsia"/>
          <w:bCs/>
          <w:iCs/>
          <w:sz w:val="24"/>
          <w:szCs w:val="24"/>
        </w:rPr>
        <w:t>和战略，</w:t>
      </w:r>
      <w:r w:rsidRPr="000C0842">
        <w:rPr>
          <w:rFonts w:eastAsia="SimSun"/>
          <w:bCs/>
          <w:iCs/>
          <w:sz w:val="24"/>
          <w:szCs w:val="24"/>
        </w:rPr>
        <w:t>特别是以下各项机制</w:t>
      </w:r>
      <w:r w:rsidRPr="000C0842">
        <w:rPr>
          <w:rFonts w:eastAsia="SimSun" w:hint="eastAsia"/>
          <w:bCs/>
          <w:iCs/>
          <w:sz w:val="24"/>
          <w:szCs w:val="24"/>
        </w:rPr>
        <w:t>下符合条件的活动</w:t>
      </w:r>
      <w:r w:rsidRPr="000C0842">
        <w:rPr>
          <w:rFonts w:eastAsia="SimSun"/>
          <w:bCs/>
          <w:iCs/>
          <w:sz w:val="24"/>
          <w:szCs w:val="24"/>
          <w:lang w:val="en-CA"/>
        </w:rPr>
        <w:t>：</w:t>
      </w:r>
    </w:p>
    <w:p w14:paraId="4D72690A"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rFonts w:eastAsia="SimSun"/>
          <w:bCs/>
          <w:iCs/>
          <w:sz w:val="24"/>
          <w:szCs w:val="24"/>
          <w:lang w:val="en-GB"/>
        </w:rPr>
      </w:pPr>
      <w:r w:rsidRPr="000C0842">
        <w:rPr>
          <w:rFonts w:eastAsia="SimSun"/>
          <w:bCs/>
          <w:iCs/>
          <w:sz w:val="24"/>
          <w:szCs w:val="24"/>
          <w:lang w:val="en-GB"/>
        </w:rPr>
        <w:t>(</w:t>
      </w:r>
      <w:r w:rsidRPr="000C0842">
        <w:rPr>
          <w:rFonts w:eastAsia="SimSun"/>
          <w:bCs/>
          <w:iCs/>
          <w:sz w:val="24"/>
          <w:szCs w:val="24"/>
          <w:lang w:val="en-GB"/>
        </w:rPr>
        <w:t>一</w:t>
      </w:r>
      <w:r w:rsidRPr="000C0842">
        <w:rPr>
          <w:rFonts w:eastAsia="SimSun"/>
          <w:bCs/>
          <w:iCs/>
          <w:sz w:val="24"/>
          <w:szCs w:val="24"/>
          <w:lang w:val="en-GB"/>
        </w:rPr>
        <w:t>)</w:t>
      </w:r>
      <w:r w:rsidRPr="000C0842">
        <w:rPr>
          <w:rFonts w:eastAsia="SimSun"/>
          <w:bCs/>
          <w:iCs/>
          <w:sz w:val="24"/>
          <w:szCs w:val="24"/>
          <w:lang w:val="en-GB"/>
        </w:rPr>
        <w:tab/>
      </w:r>
      <w:r w:rsidRPr="000C0842">
        <w:rPr>
          <w:rFonts w:eastAsia="SimSun" w:hint="eastAsia"/>
          <w:bCs/>
          <w:iCs/>
          <w:sz w:val="24"/>
          <w:szCs w:val="24"/>
          <w:lang w:val="en-GB"/>
        </w:rPr>
        <w:t>2025-2030</w:t>
      </w:r>
      <w:r w:rsidRPr="000C0842">
        <w:rPr>
          <w:rFonts w:eastAsia="SimSun" w:hint="eastAsia"/>
          <w:bCs/>
          <w:iCs/>
          <w:sz w:val="24"/>
          <w:szCs w:val="24"/>
          <w:lang w:val="en-GB"/>
        </w:rPr>
        <w:t>年</w:t>
      </w:r>
      <w:r w:rsidRPr="000C0842">
        <w:rPr>
          <w:rFonts w:eastAsia="SimSun"/>
          <w:bCs/>
          <w:iCs/>
          <w:sz w:val="24"/>
          <w:szCs w:val="24"/>
          <w:lang w:val="en-GB"/>
        </w:rPr>
        <w:t>资源调动战略</w:t>
      </w:r>
      <w:r w:rsidRPr="000C0842">
        <w:rPr>
          <w:rFonts w:eastAsia="SimSun"/>
          <w:bCs/>
          <w:iCs/>
          <w:sz w:val="24"/>
          <w:szCs w:val="24"/>
          <w:vertAlign w:val="superscript"/>
          <w:lang w:val="en-GB"/>
        </w:rPr>
        <w:footnoteReference w:id="450"/>
      </w:r>
      <w:r w:rsidRPr="000C0842">
        <w:rPr>
          <w:rFonts w:eastAsia="SimSun"/>
          <w:bCs/>
          <w:iCs/>
          <w:sz w:val="24"/>
          <w:szCs w:val="24"/>
          <w:lang w:val="en-GB"/>
        </w:rPr>
        <w:t>；</w:t>
      </w:r>
    </w:p>
    <w:p w14:paraId="3934794D"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rFonts w:eastAsia="SimSun"/>
          <w:bCs/>
          <w:iCs/>
          <w:sz w:val="24"/>
          <w:szCs w:val="24"/>
          <w:lang w:val="en-GB"/>
        </w:rPr>
      </w:pPr>
      <w:r w:rsidRPr="000C0842">
        <w:rPr>
          <w:rFonts w:eastAsia="SimSun"/>
          <w:bCs/>
          <w:iCs/>
          <w:sz w:val="24"/>
          <w:szCs w:val="24"/>
          <w:lang w:val="en-GB"/>
        </w:rPr>
        <w:t>(</w:t>
      </w:r>
      <w:r w:rsidRPr="000C0842">
        <w:rPr>
          <w:rFonts w:eastAsia="SimSun"/>
          <w:bCs/>
          <w:iCs/>
          <w:sz w:val="24"/>
          <w:szCs w:val="24"/>
          <w:lang w:val="en-GB"/>
        </w:rPr>
        <w:t>二</w:t>
      </w:r>
      <w:r w:rsidRPr="000C0842">
        <w:rPr>
          <w:rFonts w:eastAsia="SimSun"/>
          <w:bCs/>
          <w:iCs/>
          <w:sz w:val="24"/>
          <w:szCs w:val="24"/>
          <w:lang w:val="en-GB"/>
        </w:rPr>
        <w:t>)</w:t>
      </w:r>
      <w:r w:rsidRPr="000C0842">
        <w:rPr>
          <w:rFonts w:eastAsia="SimSun"/>
          <w:bCs/>
          <w:iCs/>
          <w:sz w:val="24"/>
          <w:szCs w:val="24"/>
          <w:lang w:val="en-GB"/>
        </w:rPr>
        <w:tab/>
      </w:r>
      <w:r w:rsidRPr="000C0842">
        <w:rPr>
          <w:rFonts w:eastAsia="SimSun"/>
          <w:sz w:val="24"/>
          <w:szCs w:val="24"/>
          <w:lang w:val="en-GB"/>
        </w:rPr>
        <w:t>能力建设和发展的长期战略框架</w:t>
      </w:r>
      <w:r w:rsidRPr="000C0842">
        <w:rPr>
          <w:rFonts w:eastAsia="SimSun"/>
          <w:bCs/>
          <w:iCs/>
          <w:sz w:val="24"/>
          <w:szCs w:val="24"/>
          <w:vertAlign w:val="superscript"/>
          <w:lang w:val="en-GB"/>
        </w:rPr>
        <w:footnoteReference w:id="451"/>
      </w:r>
      <w:r w:rsidRPr="000C0842">
        <w:rPr>
          <w:rFonts w:eastAsia="SimSun"/>
          <w:bCs/>
          <w:iCs/>
          <w:sz w:val="24"/>
          <w:szCs w:val="24"/>
          <w:lang w:val="en-GB"/>
        </w:rPr>
        <w:t>；</w:t>
      </w:r>
    </w:p>
    <w:p w14:paraId="2D1E628E"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rFonts w:eastAsia="SimSun"/>
          <w:bCs/>
          <w:iCs/>
          <w:sz w:val="24"/>
          <w:szCs w:val="24"/>
          <w:lang w:val="en-GB"/>
        </w:rPr>
      </w:pPr>
      <w:r w:rsidRPr="000C0842">
        <w:rPr>
          <w:rFonts w:eastAsia="SimSun"/>
          <w:bCs/>
          <w:iCs/>
          <w:sz w:val="24"/>
          <w:szCs w:val="24"/>
          <w:lang w:val="en-GB"/>
        </w:rPr>
        <w:t>(</w:t>
      </w:r>
      <w:r w:rsidRPr="000C0842">
        <w:rPr>
          <w:rFonts w:eastAsia="SimSun" w:hint="eastAsia"/>
          <w:bCs/>
          <w:iCs/>
          <w:sz w:val="24"/>
          <w:szCs w:val="24"/>
          <w:lang w:val="en-GB"/>
        </w:rPr>
        <w:t>三</w:t>
      </w:r>
      <w:r w:rsidRPr="000C0842">
        <w:rPr>
          <w:rFonts w:eastAsia="SimSun"/>
          <w:bCs/>
          <w:iCs/>
          <w:sz w:val="24"/>
          <w:szCs w:val="24"/>
          <w:lang w:val="en-GB"/>
        </w:rPr>
        <w:t>)</w:t>
      </w:r>
      <w:r w:rsidRPr="000C0842">
        <w:rPr>
          <w:rFonts w:eastAsia="SimSun"/>
          <w:bCs/>
          <w:iCs/>
          <w:sz w:val="24"/>
          <w:szCs w:val="24"/>
          <w:lang w:val="en-GB"/>
        </w:rPr>
        <w:tab/>
      </w:r>
      <w:r w:rsidRPr="000C0842">
        <w:rPr>
          <w:rFonts w:eastAsia="SimSun"/>
          <w:bCs/>
          <w:iCs/>
          <w:sz w:val="24"/>
          <w:szCs w:val="24"/>
          <w:lang w:val="en-GB"/>
        </w:rPr>
        <w:t>支持《</w:t>
      </w:r>
      <w:r w:rsidRPr="000C0842">
        <w:rPr>
          <w:rFonts w:eastAsia="SimSun"/>
          <w:bCs/>
          <w:iCs/>
          <w:sz w:val="24"/>
          <w:szCs w:val="24"/>
        </w:rPr>
        <w:t>昆明</w:t>
      </w:r>
      <w:r w:rsidRPr="000C0842">
        <w:rPr>
          <w:rFonts w:eastAsia="SimSun"/>
          <w:bCs/>
          <w:iCs/>
          <w:sz w:val="24"/>
          <w:szCs w:val="24"/>
        </w:rPr>
        <w:t>-</w:t>
      </w:r>
      <w:r w:rsidRPr="000C0842">
        <w:rPr>
          <w:rFonts w:eastAsia="SimSun"/>
          <w:bCs/>
          <w:iCs/>
          <w:sz w:val="24"/>
          <w:szCs w:val="24"/>
        </w:rPr>
        <w:t>蒙特利尔全球生物多样性</w:t>
      </w:r>
      <w:r w:rsidRPr="000C0842">
        <w:rPr>
          <w:rFonts w:eastAsia="SimSun"/>
          <w:bCs/>
          <w:iCs/>
          <w:sz w:val="24"/>
          <w:szCs w:val="24"/>
          <w:lang w:val="en-GB"/>
        </w:rPr>
        <w:t>框架》执行的知识管理战略</w:t>
      </w:r>
      <w:r w:rsidRPr="000C0842">
        <w:rPr>
          <w:rFonts w:eastAsia="SimSun"/>
          <w:bCs/>
          <w:iCs/>
          <w:sz w:val="24"/>
          <w:szCs w:val="24"/>
          <w:vertAlign w:val="superscript"/>
          <w:lang w:val="en-GB"/>
        </w:rPr>
        <w:footnoteReference w:id="452"/>
      </w:r>
      <w:r w:rsidRPr="000C0842">
        <w:rPr>
          <w:rFonts w:eastAsia="SimSun"/>
          <w:sz w:val="24"/>
          <w:szCs w:val="24"/>
          <w:lang w:val="en-GB"/>
        </w:rPr>
        <w:t xml:space="preserve"> </w:t>
      </w:r>
      <w:r w:rsidRPr="000C0842">
        <w:rPr>
          <w:rFonts w:eastAsia="SimSun" w:hint="eastAsia"/>
          <w:sz w:val="24"/>
          <w:szCs w:val="24"/>
          <w:lang w:val="en-GB"/>
        </w:rPr>
        <w:t>；</w:t>
      </w:r>
    </w:p>
    <w:p w14:paraId="01B7A46D"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bCs/>
          <w:iCs/>
          <w:sz w:val="24"/>
          <w:szCs w:val="24"/>
        </w:rPr>
        <w:t>《公约》下通过的支持有效和全面</w:t>
      </w:r>
      <w:r w:rsidRPr="000C0842">
        <w:rPr>
          <w:rFonts w:eastAsia="SimSun" w:hint="eastAsia"/>
          <w:bCs/>
          <w:iCs/>
          <w:sz w:val="24"/>
          <w:szCs w:val="24"/>
        </w:rPr>
        <w:t>执行</w:t>
      </w:r>
      <w:r w:rsidRPr="000C0842">
        <w:rPr>
          <w:rFonts w:eastAsia="SimSun"/>
          <w:bCs/>
          <w:iCs/>
          <w:sz w:val="24"/>
          <w:szCs w:val="24"/>
        </w:rPr>
        <w:t>《昆明</w:t>
      </w:r>
      <w:r w:rsidRPr="000C0842">
        <w:rPr>
          <w:rFonts w:eastAsia="SimSun"/>
          <w:bCs/>
          <w:iCs/>
          <w:sz w:val="24"/>
          <w:szCs w:val="24"/>
        </w:rPr>
        <w:t>-</w:t>
      </w:r>
      <w:r w:rsidRPr="000C0842">
        <w:rPr>
          <w:rFonts w:eastAsia="SimSun"/>
          <w:bCs/>
          <w:iCs/>
          <w:sz w:val="24"/>
          <w:szCs w:val="24"/>
        </w:rPr>
        <w:t>蒙特利尔全球生物多样性框架》行动计划</w:t>
      </w:r>
      <w:r w:rsidRPr="000C0842">
        <w:rPr>
          <w:rFonts w:eastAsia="SimSun" w:hint="eastAsia"/>
          <w:bCs/>
          <w:iCs/>
          <w:sz w:val="24"/>
          <w:szCs w:val="24"/>
        </w:rPr>
        <w:t>下符合资助条件的活动</w:t>
      </w:r>
      <w:r w:rsidRPr="000C0842">
        <w:rPr>
          <w:rFonts w:eastAsia="SimSun"/>
          <w:bCs/>
          <w:iCs/>
          <w:sz w:val="24"/>
          <w:szCs w:val="24"/>
        </w:rPr>
        <w:t>，包括：</w:t>
      </w:r>
    </w:p>
    <w:p w14:paraId="7D2B9DF8"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bCs/>
          <w:iCs/>
          <w:sz w:val="24"/>
          <w:szCs w:val="24"/>
          <w:vertAlign w:val="superscript"/>
          <w:lang w:val="en-GB"/>
        </w:rPr>
      </w:pPr>
      <w:r w:rsidRPr="000C0842">
        <w:rPr>
          <w:rFonts w:eastAsia="SimSun"/>
          <w:bCs/>
          <w:iCs/>
          <w:sz w:val="24"/>
          <w:szCs w:val="24"/>
          <w:lang w:val="en-GB"/>
        </w:rPr>
        <w:t>(</w:t>
      </w:r>
      <w:r w:rsidRPr="000C0842">
        <w:rPr>
          <w:rFonts w:eastAsia="SimSun"/>
          <w:bCs/>
          <w:iCs/>
          <w:sz w:val="24"/>
          <w:szCs w:val="24"/>
          <w:lang w:val="en-GB"/>
        </w:rPr>
        <w:t>一</w:t>
      </w:r>
      <w:r w:rsidRPr="000C0842">
        <w:rPr>
          <w:rFonts w:eastAsia="SimSun"/>
          <w:bCs/>
          <w:iCs/>
          <w:sz w:val="24"/>
          <w:szCs w:val="24"/>
          <w:lang w:val="en-GB"/>
        </w:rPr>
        <w:t>)</w:t>
      </w:r>
      <w:r w:rsidRPr="000C0842">
        <w:rPr>
          <w:rFonts w:eastAsia="SimSun"/>
          <w:bCs/>
          <w:iCs/>
          <w:sz w:val="24"/>
          <w:szCs w:val="24"/>
          <w:lang w:val="en-GB"/>
        </w:rPr>
        <w:tab/>
      </w:r>
      <w:r w:rsidRPr="000C0842">
        <w:rPr>
          <w:rFonts w:eastAsia="SimSun" w:hint="eastAsia"/>
          <w:bCs/>
          <w:iCs/>
          <w:sz w:val="24"/>
          <w:szCs w:val="24"/>
          <w:lang w:val="en-GB"/>
        </w:rPr>
        <w:t xml:space="preserve"> </w:t>
      </w:r>
      <w:r w:rsidRPr="000C0842">
        <w:rPr>
          <w:rFonts w:eastAsia="SimSun"/>
          <w:bCs/>
          <w:iCs/>
          <w:sz w:val="24"/>
          <w:szCs w:val="24"/>
          <w:lang w:val="en-GB"/>
        </w:rPr>
        <w:t>次国家政府、城市和其他地方当局生物多样性行动计划</w:t>
      </w:r>
      <w:r w:rsidRPr="000C0842">
        <w:rPr>
          <w:rFonts w:eastAsia="SimSun" w:hint="eastAsia"/>
          <w:bCs/>
          <w:iCs/>
          <w:sz w:val="24"/>
          <w:szCs w:val="24"/>
          <w:lang w:val="en-GB"/>
        </w:rPr>
        <w:t>（</w:t>
      </w:r>
      <w:r w:rsidRPr="000C0842">
        <w:rPr>
          <w:rFonts w:eastAsia="SimSun"/>
          <w:bCs/>
          <w:iCs/>
          <w:sz w:val="24"/>
          <w:szCs w:val="24"/>
          <w:lang w:val="en-GB"/>
        </w:rPr>
        <w:t>2023–2030</w:t>
      </w:r>
      <w:r w:rsidRPr="000C0842">
        <w:rPr>
          <w:rFonts w:eastAsia="SimSun"/>
          <w:bCs/>
          <w:iCs/>
          <w:sz w:val="24"/>
          <w:szCs w:val="24"/>
          <w:lang w:val="en-GB"/>
        </w:rPr>
        <w:t>年</w:t>
      </w:r>
      <w:r w:rsidRPr="000C0842">
        <w:rPr>
          <w:rFonts w:eastAsia="SimSun" w:hint="eastAsia"/>
          <w:bCs/>
          <w:iCs/>
          <w:sz w:val="24"/>
          <w:szCs w:val="24"/>
          <w:lang w:val="en-GB"/>
        </w:rPr>
        <w:t>）</w:t>
      </w:r>
      <w:r w:rsidRPr="000C0842">
        <w:rPr>
          <w:rFonts w:eastAsia="SimSun"/>
          <w:bCs/>
          <w:iCs/>
          <w:sz w:val="24"/>
          <w:szCs w:val="24"/>
          <w:vertAlign w:val="superscript"/>
          <w:lang w:val="en-GB"/>
        </w:rPr>
        <w:footnoteReference w:id="453"/>
      </w:r>
      <w:r w:rsidRPr="000C0842">
        <w:rPr>
          <w:rFonts w:eastAsia="Times New Roman"/>
          <w:bCs/>
          <w:iCs/>
          <w:sz w:val="24"/>
          <w:szCs w:val="24"/>
          <w:vertAlign w:val="superscript"/>
          <w:lang w:val="en-GB"/>
        </w:rPr>
        <w:t xml:space="preserve"> </w:t>
      </w:r>
      <w:r w:rsidRPr="000C0842">
        <w:rPr>
          <w:rFonts w:eastAsia="SimSun"/>
          <w:bCs/>
          <w:iCs/>
          <w:sz w:val="24"/>
          <w:szCs w:val="24"/>
          <w:lang w:val="en-GB"/>
        </w:rPr>
        <w:t>；</w:t>
      </w:r>
    </w:p>
    <w:p w14:paraId="0D583207"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rFonts w:eastAsia="SimSun"/>
          <w:bCs/>
          <w:iCs/>
          <w:sz w:val="24"/>
          <w:szCs w:val="24"/>
          <w:lang w:val="en-GB"/>
        </w:rPr>
      </w:pPr>
      <w:r w:rsidRPr="000C0842">
        <w:rPr>
          <w:rFonts w:eastAsia="SimSun"/>
          <w:bCs/>
          <w:iCs/>
          <w:sz w:val="24"/>
          <w:szCs w:val="24"/>
          <w:lang w:val="en-GB"/>
        </w:rPr>
        <w:t>(</w:t>
      </w:r>
      <w:r w:rsidRPr="000C0842">
        <w:rPr>
          <w:rFonts w:eastAsia="SimSun"/>
          <w:bCs/>
          <w:iCs/>
          <w:sz w:val="24"/>
          <w:szCs w:val="24"/>
          <w:lang w:val="en-GB"/>
        </w:rPr>
        <w:t>二</w:t>
      </w:r>
      <w:r w:rsidRPr="000C0842">
        <w:rPr>
          <w:rFonts w:eastAsia="SimSun"/>
          <w:bCs/>
          <w:iCs/>
          <w:sz w:val="24"/>
          <w:szCs w:val="24"/>
          <w:lang w:val="en-GB"/>
        </w:rPr>
        <w:t>)</w:t>
      </w:r>
      <w:r w:rsidRPr="000C0842">
        <w:rPr>
          <w:rFonts w:eastAsia="SimSun"/>
          <w:bCs/>
          <w:iCs/>
          <w:sz w:val="24"/>
          <w:szCs w:val="24"/>
          <w:lang w:val="en-GB"/>
        </w:rPr>
        <w:tab/>
      </w:r>
      <w:r w:rsidRPr="000C0842">
        <w:rPr>
          <w:rFonts w:eastAsia="SimSun"/>
          <w:bCs/>
          <w:iCs/>
          <w:sz w:val="24"/>
          <w:szCs w:val="24"/>
          <w:lang w:val="en-GB"/>
        </w:rPr>
        <w:t>性别平等行动计划（</w:t>
      </w:r>
      <w:r w:rsidRPr="000C0842">
        <w:rPr>
          <w:rFonts w:eastAsia="SimSun"/>
          <w:bCs/>
          <w:iCs/>
          <w:sz w:val="24"/>
          <w:szCs w:val="24"/>
          <w:lang w:val="en-GB"/>
        </w:rPr>
        <w:t>2023–2030</w:t>
      </w:r>
      <w:r w:rsidRPr="000C0842">
        <w:rPr>
          <w:rFonts w:eastAsia="SimSun"/>
          <w:bCs/>
          <w:iCs/>
          <w:sz w:val="24"/>
          <w:szCs w:val="24"/>
          <w:lang w:val="en-GB"/>
        </w:rPr>
        <w:t>年）</w:t>
      </w:r>
      <w:r w:rsidRPr="000C0842">
        <w:rPr>
          <w:rFonts w:eastAsia="SimSun"/>
          <w:bCs/>
          <w:iCs/>
          <w:sz w:val="24"/>
          <w:szCs w:val="24"/>
          <w:vertAlign w:val="superscript"/>
          <w:lang w:val="en-GB"/>
        </w:rPr>
        <w:footnoteReference w:id="454"/>
      </w:r>
      <w:r w:rsidRPr="000C0842">
        <w:rPr>
          <w:rFonts w:eastAsia="SimSun"/>
          <w:bCs/>
          <w:iCs/>
          <w:sz w:val="24"/>
          <w:szCs w:val="24"/>
          <w:lang w:val="en-GB"/>
        </w:rPr>
        <w:t>；</w:t>
      </w:r>
    </w:p>
    <w:p w14:paraId="0B83F590" w14:textId="77777777" w:rsidR="000A776A" w:rsidRPr="000C0842" w:rsidRDefault="000A776A" w:rsidP="000A776A">
      <w:pPr>
        <w:tabs>
          <w:tab w:val="clear" w:pos="567"/>
          <w:tab w:val="clear" w:pos="1134"/>
          <w:tab w:val="clear" w:pos="1701"/>
          <w:tab w:val="clear" w:pos="2268"/>
        </w:tabs>
        <w:snapToGrid w:val="0"/>
        <w:spacing w:before="120" w:after="120"/>
        <w:ind w:left="1959" w:hanging="490"/>
        <w:rPr>
          <w:rFonts w:eastAsia="SimSun"/>
          <w:b/>
          <w:bCs/>
          <w:iCs/>
          <w:snapToGrid w:val="0"/>
          <w:kern w:val="22"/>
          <w:sz w:val="24"/>
          <w:szCs w:val="24"/>
          <w:lang w:val="en-GB"/>
        </w:rPr>
      </w:pPr>
      <w:r w:rsidRPr="000C0842">
        <w:rPr>
          <w:rFonts w:eastAsia="SimSun"/>
          <w:bCs/>
          <w:iCs/>
          <w:sz w:val="24"/>
          <w:szCs w:val="24"/>
          <w:lang w:val="en-GB"/>
        </w:rPr>
        <w:t>(</w:t>
      </w:r>
      <w:r w:rsidRPr="000C0842">
        <w:rPr>
          <w:rFonts w:eastAsia="SimSun"/>
          <w:bCs/>
          <w:iCs/>
          <w:sz w:val="24"/>
          <w:szCs w:val="24"/>
          <w:lang w:val="en-GB"/>
        </w:rPr>
        <w:t>三</w:t>
      </w:r>
      <w:r w:rsidRPr="000C0842">
        <w:rPr>
          <w:rFonts w:eastAsia="SimSun"/>
          <w:bCs/>
          <w:iCs/>
          <w:sz w:val="24"/>
          <w:szCs w:val="24"/>
          <w:lang w:val="en-GB"/>
        </w:rPr>
        <w:t>)</w:t>
      </w:r>
      <w:r w:rsidRPr="000C0842">
        <w:rPr>
          <w:rFonts w:eastAsia="SimSun"/>
          <w:bCs/>
          <w:iCs/>
          <w:sz w:val="24"/>
          <w:szCs w:val="24"/>
          <w:lang w:val="en-GB"/>
        </w:rPr>
        <w:tab/>
      </w:r>
      <w:r w:rsidRPr="000C0842">
        <w:rPr>
          <w:rFonts w:eastAsia="SimSun"/>
          <w:bCs/>
          <w:iCs/>
          <w:sz w:val="24"/>
          <w:szCs w:val="24"/>
          <w:lang w:val="en-GB"/>
        </w:rPr>
        <w:t>生物多样性和健康全球行动计划</w:t>
      </w:r>
      <w:r w:rsidRPr="000C0842">
        <w:rPr>
          <w:rFonts w:eastAsia="SimSun"/>
          <w:bCs/>
          <w:iCs/>
          <w:sz w:val="24"/>
          <w:szCs w:val="24"/>
          <w:vertAlign w:val="superscript"/>
          <w:lang w:val="en-GB"/>
        </w:rPr>
        <w:footnoteReference w:id="455"/>
      </w:r>
      <w:r w:rsidRPr="000C0842">
        <w:rPr>
          <w:rFonts w:eastAsia="SimSun" w:hint="eastAsia"/>
          <w:bCs/>
          <w:iCs/>
          <w:sz w:val="24"/>
          <w:szCs w:val="24"/>
          <w:lang w:val="en-GB"/>
        </w:rPr>
        <w:t>。</w:t>
      </w:r>
    </w:p>
    <w:p w14:paraId="60703F92"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bCs/>
          <w:iCs/>
          <w:sz w:val="24"/>
          <w:szCs w:val="24"/>
        </w:rPr>
        <w:t>《昆明</w:t>
      </w:r>
      <w:r w:rsidRPr="000C0842">
        <w:rPr>
          <w:rFonts w:eastAsia="SimSun"/>
          <w:bCs/>
          <w:iCs/>
          <w:sz w:val="24"/>
          <w:szCs w:val="24"/>
        </w:rPr>
        <w:t>-</w:t>
      </w:r>
      <w:r w:rsidRPr="000C0842">
        <w:rPr>
          <w:rFonts w:eastAsia="SimSun"/>
          <w:bCs/>
          <w:iCs/>
          <w:sz w:val="24"/>
          <w:szCs w:val="24"/>
        </w:rPr>
        <w:t>蒙特利尔全球生物多样性框架》的监测框架</w:t>
      </w:r>
      <w:r w:rsidRPr="000C0842">
        <w:rPr>
          <w:rFonts w:eastAsia="SimSun"/>
          <w:bCs/>
          <w:iCs/>
          <w:sz w:val="24"/>
          <w:szCs w:val="24"/>
          <w:vertAlign w:val="superscript"/>
        </w:rPr>
        <w:footnoteReference w:id="456"/>
      </w:r>
      <w:r w:rsidRPr="000C0842">
        <w:rPr>
          <w:rFonts w:eastAsia="SimSun"/>
          <w:bCs/>
          <w:iCs/>
          <w:sz w:val="24"/>
          <w:szCs w:val="24"/>
        </w:rPr>
        <w:t>及强化多层面规划、监测、报告和审查方法</w:t>
      </w:r>
      <w:r w:rsidRPr="000C0842">
        <w:rPr>
          <w:rFonts w:eastAsia="SimSun"/>
          <w:bCs/>
          <w:iCs/>
          <w:sz w:val="24"/>
          <w:szCs w:val="24"/>
          <w:vertAlign w:val="superscript"/>
        </w:rPr>
        <w:footnoteReference w:id="457"/>
      </w:r>
      <w:r w:rsidRPr="000C0842">
        <w:rPr>
          <w:rFonts w:eastAsia="SimSun"/>
          <w:bCs/>
          <w:iCs/>
          <w:sz w:val="24"/>
          <w:szCs w:val="24"/>
        </w:rPr>
        <w:t>；</w:t>
      </w:r>
    </w:p>
    <w:p w14:paraId="4D43AEF6"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bCs/>
          <w:iCs/>
          <w:sz w:val="24"/>
          <w:szCs w:val="24"/>
        </w:rPr>
        <w:t>《卡塔赫纳生物安全议定书》</w:t>
      </w:r>
      <w:r w:rsidRPr="000C0842">
        <w:rPr>
          <w:rFonts w:eastAsia="SimSun"/>
          <w:bCs/>
          <w:iCs/>
          <w:sz w:val="24"/>
          <w:szCs w:val="24"/>
          <w:vertAlign w:val="superscript"/>
        </w:rPr>
        <w:footnoteReference w:id="458"/>
      </w:r>
      <w:r w:rsidRPr="000C0842">
        <w:rPr>
          <w:rFonts w:eastAsia="SimSun"/>
          <w:bCs/>
          <w:iCs/>
          <w:sz w:val="24"/>
          <w:szCs w:val="24"/>
        </w:rPr>
        <w:t>的执行计划</w:t>
      </w:r>
      <w:r w:rsidRPr="000C0842">
        <w:rPr>
          <w:rFonts w:eastAsia="SimSun"/>
          <w:bCs/>
          <w:iCs/>
          <w:sz w:val="24"/>
          <w:szCs w:val="24"/>
          <w:vertAlign w:val="superscript"/>
        </w:rPr>
        <w:footnoteReference w:id="459"/>
      </w:r>
      <w:r w:rsidRPr="000C0842">
        <w:rPr>
          <w:rFonts w:eastAsia="SimSun"/>
          <w:bCs/>
          <w:iCs/>
          <w:sz w:val="24"/>
          <w:szCs w:val="24"/>
        </w:rPr>
        <w:t>和能力建设行动计划</w:t>
      </w:r>
      <w:r w:rsidRPr="000C0842">
        <w:rPr>
          <w:rFonts w:eastAsia="SimSun"/>
          <w:bCs/>
          <w:iCs/>
          <w:sz w:val="24"/>
          <w:szCs w:val="24"/>
          <w:vertAlign w:val="superscript"/>
        </w:rPr>
        <w:footnoteReference w:id="460"/>
      </w:r>
      <w:r w:rsidRPr="000C0842">
        <w:rPr>
          <w:rFonts w:eastAsia="SimSun"/>
          <w:bCs/>
          <w:iCs/>
          <w:sz w:val="24"/>
          <w:szCs w:val="24"/>
        </w:rPr>
        <w:t>；</w:t>
      </w:r>
    </w:p>
    <w:p w14:paraId="389BF4ED"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bCs/>
          <w:iCs/>
          <w:sz w:val="24"/>
          <w:szCs w:val="24"/>
        </w:rPr>
      </w:pPr>
      <w:r w:rsidRPr="000C0842">
        <w:rPr>
          <w:rFonts w:eastAsia="SimSun"/>
          <w:bCs/>
          <w:iCs/>
          <w:sz w:val="24"/>
          <w:szCs w:val="24"/>
        </w:rPr>
        <w:t>《关于获取遗传资源和公正和公平分享其利用所产生惠益的名古屋议定书</w:t>
      </w:r>
      <w:r w:rsidRPr="000C0842">
        <w:rPr>
          <w:rFonts w:eastAsia="SimSun"/>
          <w:bCs/>
          <w:iCs/>
          <w:sz w:val="24"/>
          <w:szCs w:val="24"/>
          <w:vertAlign w:val="superscript"/>
        </w:rPr>
        <w:footnoteReference w:id="461"/>
      </w:r>
      <w:r w:rsidRPr="000C0842">
        <w:rPr>
          <w:rFonts w:eastAsia="SimSun"/>
          <w:bCs/>
          <w:iCs/>
          <w:sz w:val="24"/>
          <w:szCs w:val="24"/>
        </w:rPr>
        <w:t>能力建设和发展行动计划</w:t>
      </w:r>
      <w:r w:rsidRPr="000C0842">
        <w:rPr>
          <w:rFonts w:eastAsia="SimSun" w:hint="eastAsia"/>
          <w:bCs/>
          <w:iCs/>
          <w:sz w:val="24"/>
          <w:szCs w:val="24"/>
        </w:rPr>
        <w:t>》</w:t>
      </w:r>
      <w:r w:rsidRPr="000C0842">
        <w:rPr>
          <w:rFonts w:eastAsia="SimSun"/>
          <w:bCs/>
          <w:iCs/>
          <w:sz w:val="24"/>
          <w:szCs w:val="24"/>
          <w:vertAlign w:val="superscript"/>
        </w:rPr>
        <w:footnoteReference w:id="462"/>
      </w:r>
      <w:r w:rsidRPr="000C0842">
        <w:rPr>
          <w:rFonts w:eastAsia="SimSun"/>
          <w:bCs/>
          <w:iCs/>
          <w:sz w:val="24"/>
          <w:szCs w:val="24"/>
        </w:rPr>
        <w:t>；</w:t>
      </w:r>
    </w:p>
    <w:p w14:paraId="520FEE9B" w14:textId="77777777" w:rsidR="000A776A" w:rsidRPr="000C0842" w:rsidRDefault="000A776A">
      <w:pPr>
        <w:numPr>
          <w:ilvl w:val="0"/>
          <w:numId w:val="197"/>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bCs/>
          <w:iCs/>
          <w:sz w:val="24"/>
          <w:szCs w:val="24"/>
        </w:rPr>
        <w:t>附文一和附文二分别</w:t>
      </w:r>
      <w:r w:rsidRPr="000C0842">
        <w:rPr>
          <w:rFonts w:eastAsia="SimSun" w:hint="eastAsia"/>
          <w:bCs/>
          <w:iCs/>
          <w:sz w:val="24"/>
          <w:szCs w:val="24"/>
        </w:rPr>
        <w:t>所载</w:t>
      </w:r>
      <w:r w:rsidRPr="000C0842">
        <w:rPr>
          <w:rFonts w:eastAsia="SimSun"/>
          <w:bCs/>
          <w:iCs/>
          <w:sz w:val="24"/>
          <w:szCs w:val="24"/>
        </w:rPr>
        <w:t>作为卡塔赫纳议定书缔约方会议的缔约方大会第十一次会议</w:t>
      </w:r>
      <w:r w:rsidRPr="000C0842">
        <w:rPr>
          <w:rFonts w:eastAsia="SimSun" w:hint="eastAsia"/>
          <w:bCs/>
          <w:iCs/>
          <w:sz w:val="24"/>
          <w:szCs w:val="24"/>
        </w:rPr>
        <w:t>和</w:t>
      </w:r>
      <w:r w:rsidRPr="000C0842">
        <w:rPr>
          <w:rFonts w:eastAsia="SimSun"/>
          <w:bCs/>
          <w:iCs/>
          <w:sz w:val="24"/>
          <w:szCs w:val="24"/>
        </w:rPr>
        <w:t>作为名古屋议定书缔约方会议的缔约方大会第五次会议通过的关于支</w:t>
      </w:r>
      <w:r w:rsidRPr="000C0842">
        <w:rPr>
          <w:rFonts w:eastAsia="SimSun"/>
          <w:kern w:val="2"/>
          <w:sz w:val="24"/>
          <w:szCs w:val="24"/>
          <w14:ligatures w14:val="standardContextual"/>
        </w:rPr>
        <w:t>持执行两项议定书的方案优先事项指南</w:t>
      </w:r>
      <w:r w:rsidRPr="000C0842">
        <w:rPr>
          <w:rFonts w:eastAsia="SimSun" w:hint="eastAsia"/>
          <w:kern w:val="2"/>
          <w:sz w:val="24"/>
          <w:szCs w:val="24"/>
          <w14:ligatures w14:val="standardContextual"/>
        </w:rPr>
        <w:t>。</w:t>
      </w:r>
    </w:p>
    <w:p w14:paraId="4841873A" w14:textId="77777777" w:rsidR="000A776A" w:rsidRPr="000C0842" w:rsidRDefault="000A776A" w:rsidP="000A776A">
      <w:pPr>
        <w:keepNext/>
        <w:tabs>
          <w:tab w:val="clear" w:pos="567"/>
          <w:tab w:val="clear" w:pos="1134"/>
          <w:tab w:val="clear" w:pos="1701"/>
          <w:tab w:val="clear" w:pos="2268"/>
        </w:tabs>
        <w:spacing w:before="120" w:after="120"/>
        <w:rPr>
          <w:rFonts w:eastAsia="SimSun"/>
          <w:b/>
          <w:bCs/>
          <w:sz w:val="24"/>
          <w:szCs w:val="24"/>
        </w:rPr>
      </w:pPr>
      <w:r w:rsidRPr="000C0842">
        <w:rPr>
          <w:rFonts w:eastAsia="SimSun" w:hint="eastAsia"/>
          <w:b/>
          <w:bCs/>
          <w:sz w:val="24"/>
          <w:szCs w:val="24"/>
        </w:rPr>
        <w:t>三</w:t>
      </w:r>
      <w:r w:rsidRPr="000C0842">
        <w:rPr>
          <w:rFonts w:eastAsia="SimSun"/>
          <w:b/>
          <w:bCs/>
          <w:sz w:val="24"/>
          <w:szCs w:val="24"/>
        </w:rPr>
        <w:t>.</w:t>
      </w:r>
      <w:r w:rsidRPr="000C0842">
        <w:rPr>
          <w:rFonts w:eastAsia="SimSun"/>
          <w:b/>
          <w:bCs/>
          <w:sz w:val="24"/>
          <w:szCs w:val="24"/>
        </w:rPr>
        <w:tab/>
      </w:r>
      <w:r w:rsidRPr="000C0842">
        <w:rPr>
          <w:rFonts w:eastAsia="SimSun"/>
          <w:b/>
          <w:bCs/>
          <w:sz w:val="24"/>
          <w:szCs w:val="24"/>
        </w:rPr>
        <w:t>战略考虑</w:t>
      </w:r>
    </w:p>
    <w:p w14:paraId="14ED8A86"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kern w:val="2"/>
          <w:sz w:val="24"/>
          <w:szCs w:val="24"/>
          <w14:ligatures w14:val="standardContextual"/>
        </w:rPr>
      </w:pPr>
      <w:r w:rsidRPr="000C0842">
        <w:rPr>
          <w:rFonts w:eastAsia="SimSun"/>
          <w:kern w:val="2"/>
          <w:sz w:val="24"/>
          <w:szCs w:val="24"/>
          <w14:ligatures w14:val="standardContextual"/>
        </w:rPr>
        <w:t>全球环境基金</w:t>
      </w:r>
      <w:r w:rsidRPr="000C0842">
        <w:rPr>
          <w:rFonts w:eastAsia="SimSun" w:hint="eastAsia"/>
          <w:kern w:val="2"/>
          <w:sz w:val="24"/>
          <w:szCs w:val="24"/>
          <w14:ligatures w14:val="standardContextual"/>
        </w:rPr>
        <w:t>信托基金</w:t>
      </w:r>
      <w:r w:rsidRPr="000C0842">
        <w:rPr>
          <w:rFonts w:eastAsia="SimSun"/>
          <w:kern w:val="2"/>
          <w:sz w:val="24"/>
          <w:szCs w:val="24"/>
          <w14:ligatures w14:val="standardContextual"/>
        </w:rPr>
        <w:t>第九次增资的方案编制指南和政策建议与《</w:t>
      </w:r>
      <w:r w:rsidRPr="000C0842">
        <w:rPr>
          <w:rFonts w:eastAsia="SimSun"/>
          <w:sz w:val="24"/>
          <w:szCs w:val="24"/>
        </w:rPr>
        <w:t>生物多样性公约</w:t>
      </w:r>
      <w:r w:rsidRPr="000C0842">
        <w:rPr>
          <w:rFonts w:eastAsia="SimSun"/>
          <w:kern w:val="2"/>
          <w:sz w:val="24"/>
          <w:szCs w:val="24"/>
          <w14:ligatures w14:val="standardContextual"/>
        </w:rPr>
        <w:t>》及其议定书以及《公约》第</w:t>
      </w:r>
      <w:hyperlink r:id="rId318" w:history="1">
        <w:r w:rsidRPr="000C0842">
          <w:rPr>
            <w:rFonts w:eastAsia="SimSun"/>
            <w:kern w:val="2"/>
            <w:sz w:val="24"/>
            <w:szCs w:val="24"/>
            <w:u w:val="single"/>
            <w14:ligatures w14:val="standardContextual"/>
          </w:rPr>
          <w:t>21</w:t>
        </w:r>
      </w:hyperlink>
      <w:r w:rsidRPr="000C0842">
        <w:rPr>
          <w:rFonts w:eastAsia="SimSun"/>
          <w:kern w:val="2"/>
          <w:sz w:val="24"/>
          <w:szCs w:val="24"/>
          <w14:ligatures w14:val="standardContextual"/>
        </w:rPr>
        <w:t>条设立、由全球环境基金根据《公约》第</w:t>
      </w:r>
      <w:hyperlink r:id="rId319" w:history="1">
        <w:r w:rsidRPr="000C0842">
          <w:rPr>
            <w:rFonts w:eastAsia="SimSun"/>
            <w:kern w:val="2"/>
            <w:sz w:val="24"/>
            <w:szCs w:val="24"/>
            <w:u w:val="single"/>
            <w14:ligatures w14:val="standardContextual"/>
          </w:rPr>
          <w:t>39</w:t>
        </w:r>
      </w:hyperlink>
      <w:r w:rsidRPr="000C0842">
        <w:rPr>
          <w:rFonts w:eastAsia="SimSun"/>
          <w:kern w:val="2"/>
          <w:sz w:val="24"/>
          <w:szCs w:val="24"/>
          <w14:ligatures w14:val="standardContextual"/>
        </w:rPr>
        <w:t>条</w:t>
      </w:r>
      <w:r w:rsidRPr="000C0842">
        <w:rPr>
          <w:rFonts w:eastAsia="SimSun" w:hint="eastAsia"/>
          <w:kern w:val="2"/>
          <w:sz w:val="24"/>
          <w:szCs w:val="24"/>
          <w14:ligatures w14:val="standardContextual"/>
        </w:rPr>
        <w:t>临时和持续运行</w:t>
      </w:r>
      <w:r w:rsidRPr="000C0842">
        <w:rPr>
          <w:rFonts w:eastAsia="SimSun"/>
          <w:kern w:val="2"/>
          <w:sz w:val="24"/>
          <w:szCs w:val="24"/>
          <w14:ligatures w14:val="standardContextual"/>
        </w:rPr>
        <w:t>的财务机制有关，应该：</w:t>
      </w:r>
    </w:p>
    <w:p w14:paraId="77E7F0F9"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以充分透明和包容的方式制定，以便确保以因地制宜和国家驱动的方式制定全球环境基金</w:t>
      </w:r>
      <w:r w:rsidRPr="000C0842">
        <w:rPr>
          <w:rFonts w:eastAsia="SimSun" w:hint="eastAsia"/>
          <w:kern w:val="2"/>
          <w:sz w:val="24"/>
          <w:szCs w:val="24"/>
          <w14:ligatures w14:val="standardContextual"/>
        </w:rPr>
        <w:t>信托基金</w:t>
      </w:r>
      <w:r w:rsidRPr="000C0842">
        <w:rPr>
          <w:rFonts w:eastAsia="SimSun"/>
          <w:kern w:val="2"/>
          <w:sz w:val="24"/>
          <w:szCs w:val="24"/>
          <w14:ligatures w14:val="standardContextual"/>
        </w:rPr>
        <w:t>第九增资</w:t>
      </w:r>
      <w:r w:rsidRPr="000C0842">
        <w:rPr>
          <w:rFonts w:eastAsia="SimSun" w:hint="eastAsia"/>
          <w:kern w:val="2"/>
          <w:sz w:val="24"/>
          <w:szCs w:val="24"/>
          <w14:ligatures w14:val="standardContextual"/>
        </w:rPr>
        <w:t>期</w:t>
      </w:r>
      <w:r w:rsidRPr="000C0842">
        <w:rPr>
          <w:rFonts w:eastAsia="SimSun"/>
          <w:kern w:val="2"/>
          <w:sz w:val="24"/>
          <w:szCs w:val="24"/>
          <w14:ligatures w14:val="standardContextual"/>
        </w:rPr>
        <w:t>资助的支持生物多样性目标的项目，应对</w:t>
      </w:r>
      <w:r w:rsidRPr="000C0842">
        <w:rPr>
          <w:rFonts w:eastAsia="SimSun" w:hint="eastAsia"/>
          <w:kern w:val="2"/>
          <w:sz w:val="24"/>
          <w:szCs w:val="24"/>
          <w14:ligatures w14:val="standardContextual"/>
        </w:rPr>
        <w:t>符合条件的缔约方</w:t>
      </w:r>
      <w:r w:rsidRPr="000C0842">
        <w:rPr>
          <w:rFonts w:eastAsia="SimSun"/>
          <w:kern w:val="2"/>
          <w:sz w:val="24"/>
          <w:szCs w:val="24"/>
          <w14:ligatures w14:val="standardContextual"/>
        </w:rPr>
        <w:t>查明的优先需求；</w:t>
      </w:r>
    </w:p>
    <w:p w14:paraId="18146670"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支持快速、有效执行《</w:t>
      </w:r>
      <w:r w:rsidRPr="000C0842">
        <w:rPr>
          <w:rFonts w:eastAsia="SimSun" w:hint="eastAsia"/>
          <w:kern w:val="2"/>
          <w:sz w:val="24"/>
          <w:szCs w:val="24"/>
          <w14:ligatures w14:val="standardContextual"/>
        </w:rPr>
        <w:t>昆明</w:t>
      </w:r>
      <w:r w:rsidRPr="000C0842">
        <w:rPr>
          <w:rFonts w:eastAsia="SimSun" w:hint="eastAsia"/>
          <w:kern w:val="2"/>
          <w:sz w:val="24"/>
          <w:szCs w:val="24"/>
          <w14:ligatures w14:val="standardContextual"/>
        </w:rPr>
        <w:t>-</w:t>
      </w:r>
      <w:r w:rsidRPr="000C0842">
        <w:rPr>
          <w:rFonts w:eastAsia="SimSun" w:hint="eastAsia"/>
          <w:kern w:val="2"/>
          <w:sz w:val="24"/>
          <w:szCs w:val="24"/>
          <w14:ligatures w14:val="standardContextual"/>
        </w:rPr>
        <w:t>蒙特利尔全球生物多样性</w:t>
      </w:r>
      <w:r w:rsidRPr="000C0842">
        <w:rPr>
          <w:rFonts w:eastAsia="SimSun"/>
          <w:kern w:val="2"/>
          <w:sz w:val="24"/>
          <w:szCs w:val="24"/>
          <w14:ligatures w14:val="standardContextual"/>
        </w:rPr>
        <w:t>框架》，包括为此促进加大力度调动资源，其中包括全球环境基金的供资，为所有</w:t>
      </w:r>
      <w:r w:rsidRPr="000C0842">
        <w:rPr>
          <w:rFonts w:eastAsia="SimSun" w:hint="eastAsia"/>
          <w:kern w:val="2"/>
          <w:sz w:val="24"/>
          <w:szCs w:val="24"/>
          <w14:ligatures w14:val="standardContextual"/>
        </w:rPr>
        <w:t>符合条件</w:t>
      </w:r>
      <w:r w:rsidRPr="000C0842">
        <w:rPr>
          <w:rFonts w:eastAsia="SimSun"/>
          <w:kern w:val="2"/>
          <w:sz w:val="24"/>
          <w:szCs w:val="24"/>
          <w14:ligatures w14:val="standardContextual"/>
        </w:rPr>
        <w:t>通过《公约》及公约缔约方大会确定的《公约》及其议定书财务机制获得支持的</w:t>
      </w:r>
      <w:r w:rsidRPr="000C0842">
        <w:rPr>
          <w:rFonts w:eastAsia="SimSun" w:hint="eastAsia"/>
          <w:kern w:val="2"/>
          <w:sz w:val="24"/>
          <w:szCs w:val="24"/>
          <w14:ligatures w14:val="standardContextual"/>
        </w:rPr>
        <w:t>发展中国家缔约方特别是最不发达国家和小岛屿发展中国家以及经济转型缔约方</w:t>
      </w:r>
      <w:r w:rsidRPr="000C0842">
        <w:rPr>
          <w:rFonts w:eastAsia="SimSun"/>
          <w:kern w:val="2"/>
          <w:sz w:val="24"/>
          <w:szCs w:val="24"/>
          <w14:ligatures w14:val="standardContextual"/>
        </w:rPr>
        <w:t>提供充足、可预测、</w:t>
      </w:r>
      <w:r w:rsidRPr="000C0842">
        <w:rPr>
          <w:rFonts w:eastAsia="SimSun"/>
          <w:kern w:val="2"/>
          <w:sz w:val="24"/>
          <w:szCs w:val="24"/>
          <w14:ligatures w14:val="standardContextual"/>
        </w:rPr>
        <w:t xml:space="preserve"> </w:t>
      </w:r>
      <w:r w:rsidRPr="000C0842">
        <w:rPr>
          <w:rFonts w:eastAsia="SimSun"/>
          <w:kern w:val="2"/>
          <w:sz w:val="24"/>
          <w:szCs w:val="24"/>
          <w14:ligatures w14:val="standardContextual"/>
        </w:rPr>
        <w:t>可持续、及时和可获取的资金。虽然这种资金可由全球环境基金主要通过专用于生物多样性重点领域的方案编制指南下进行拨款提供给符合条件的缔约方，</w:t>
      </w:r>
      <w:r w:rsidRPr="000C0842">
        <w:rPr>
          <w:rFonts w:eastAsia="SimSun" w:hint="eastAsia"/>
          <w:kern w:val="2"/>
          <w:sz w:val="24"/>
          <w:szCs w:val="24"/>
          <w14:ligatures w14:val="standardContextual"/>
        </w:rPr>
        <w:t>但</w:t>
      </w:r>
      <w:r w:rsidRPr="000C0842">
        <w:rPr>
          <w:rFonts w:eastAsia="SimSun"/>
          <w:kern w:val="2"/>
          <w:sz w:val="24"/>
          <w:szCs w:val="24"/>
          <w14:ligatures w14:val="standardContextual"/>
        </w:rPr>
        <w:t>其他重点领域和全球方案也可产生生物多样性</w:t>
      </w:r>
      <w:r w:rsidRPr="000C0842">
        <w:rPr>
          <w:rFonts w:eastAsia="SimSun" w:hint="eastAsia"/>
          <w:kern w:val="2"/>
          <w:sz w:val="24"/>
          <w:szCs w:val="24"/>
          <w14:ligatures w14:val="standardContextual"/>
        </w:rPr>
        <w:t>附带</w:t>
      </w:r>
      <w:r w:rsidRPr="000C0842">
        <w:rPr>
          <w:rFonts w:eastAsia="SimSun"/>
          <w:kern w:val="2"/>
          <w:sz w:val="24"/>
          <w:szCs w:val="24"/>
          <w14:ligatures w14:val="standardContextual"/>
        </w:rPr>
        <w:t>效益；还可通过综合方案提供，同时</w:t>
      </w:r>
      <w:r w:rsidRPr="000C0842">
        <w:rPr>
          <w:rFonts w:eastAsia="SimSun" w:hint="eastAsia"/>
          <w:kern w:val="2"/>
          <w:sz w:val="24"/>
          <w:szCs w:val="24"/>
          <w14:ligatures w14:val="standardContextual"/>
        </w:rPr>
        <w:t>强调</w:t>
      </w:r>
      <w:r w:rsidRPr="000C0842">
        <w:rPr>
          <w:rFonts w:eastAsia="SimSun"/>
          <w:kern w:val="2"/>
          <w:sz w:val="24"/>
          <w:szCs w:val="24"/>
          <w14:ligatures w14:val="standardContextual"/>
        </w:rPr>
        <w:t>有必要简化方案编制和审批流程，从而能够及时支付资金；</w:t>
      </w:r>
    </w:p>
    <w:p w14:paraId="61AA9267"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利用全球环境基金</w:t>
      </w:r>
      <w:r w:rsidRPr="000C0842">
        <w:rPr>
          <w:rFonts w:eastAsia="SimSun" w:hint="eastAsia"/>
          <w:kern w:val="2"/>
          <w:sz w:val="24"/>
          <w:szCs w:val="24"/>
          <w14:ligatures w14:val="standardContextual"/>
        </w:rPr>
        <w:t>信托基金</w:t>
      </w:r>
      <w:r w:rsidRPr="000C0842">
        <w:rPr>
          <w:rFonts w:eastAsia="SimSun"/>
          <w:kern w:val="2"/>
          <w:sz w:val="24"/>
          <w:szCs w:val="24"/>
          <w14:ligatures w14:val="standardContextual"/>
        </w:rPr>
        <w:t>第八次增资和全球生物多样性框架基金提供的支持</w:t>
      </w:r>
      <w:r w:rsidRPr="000C0842">
        <w:rPr>
          <w:rFonts w:eastAsia="SimSun" w:hint="eastAsia"/>
          <w:kern w:val="2"/>
          <w:sz w:val="24"/>
          <w:szCs w:val="24"/>
          <w14:ligatures w14:val="standardContextual"/>
        </w:rPr>
        <w:t>再接再厉</w:t>
      </w:r>
      <w:r w:rsidRPr="000C0842">
        <w:rPr>
          <w:rFonts w:eastAsia="SimSun"/>
          <w:kern w:val="2"/>
          <w:sz w:val="24"/>
          <w:szCs w:val="24"/>
          <w14:ligatures w14:val="standardContextual"/>
        </w:rPr>
        <w:t>；</w:t>
      </w:r>
    </w:p>
    <w:p w14:paraId="67BF70B4"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考虑到与国家生物多样性战略和行动计划中规定的国家驱动方案和优先事项的一致性和协同作用，以支持《昆蒙框架》的实施；</w:t>
      </w:r>
    </w:p>
    <w:p w14:paraId="365389D3"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hint="eastAsia"/>
          <w:kern w:val="2"/>
          <w:sz w:val="24"/>
          <w:szCs w:val="24"/>
          <w14:ligatures w14:val="standardContextual"/>
        </w:rPr>
        <w:t>促使</w:t>
      </w:r>
      <w:r w:rsidRPr="000C0842">
        <w:rPr>
          <w:rFonts w:eastAsia="SimSun"/>
          <w:kern w:val="2"/>
          <w:sz w:val="24"/>
          <w:szCs w:val="24"/>
          <w14:ligatures w14:val="standardContextual"/>
        </w:rPr>
        <w:t>符合条件的</w:t>
      </w:r>
      <w:r w:rsidRPr="000C0842">
        <w:rPr>
          <w:rFonts w:eastAsia="SimSun" w:hint="eastAsia"/>
          <w:kern w:val="2"/>
          <w:sz w:val="24"/>
          <w:szCs w:val="24"/>
          <w14:ligatures w14:val="standardContextual"/>
        </w:rPr>
        <w:t>缔约方</w:t>
      </w:r>
      <w:r w:rsidRPr="000C0842">
        <w:rPr>
          <w:rFonts w:eastAsia="SimSun"/>
          <w:kern w:val="2"/>
          <w:sz w:val="24"/>
          <w:szCs w:val="24"/>
          <w14:ligatures w14:val="standardContextual"/>
        </w:rPr>
        <w:t>参与支持国家资源调动以及国家生物多样性融资计划的制定</w:t>
      </w:r>
      <w:r w:rsidRPr="000C0842">
        <w:rPr>
          <w:rFonts w:eastAsia="SimSun" w:hint="eastAsia"/>
          <w:kern w:val="2"/>
          <w:sz w:val="24"/>
          <w:szCs w:val="24"/>
          <w14:ligatures w14:val="standardContextual"/>
        </w:rPr>
        <w:t>、</w:t>
      </w:r>
      <w:r w:rsidRPr="000C0842">
        <w:rPr>
          <w:rFonts w:eastAsia="SimSun"/>
          <w:kern w:val="2"/>
          <w:sz w:val="24"/>
          <w:szCs w:val="24"/>
          <w14:ligatures w14:val="standardContextual"/>
        </w:rPr>
        <w:t>实施</w:t>
      </w:r>
      <w:r w:rsidRPr="000C0842">
        <w:rPr>
          <w:rFonts w:eastAsia="SimSun" w:hint="eastAsia"/>
          <w:kern w:val="2"/>
          <w:sz w:val="24"/>
          <w:szCs w:val="24"/>
          <w14:ligatures w14:val="standardContextual"/>
        </w:rPr>
        <w:t>和更新</w:t>
      </w:r>
      <w:r w:rsidRPr="000C0842">
        <w:rPr>
          <w:rFonts w:eastAsia="SimSun"/>
          <w:kern w:val="2"/>
          <w:sz w:val="24"/>
          <w:szCs w:val="24"/>
          <w14:ligatures w14:val="standardContextual"/>
        </w:rPr>
        <w:t>；</w:t>
      </w:r>
    </w:p>
    <w:p w14:paraId="3DDB34BA"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hint="eastAsia"/>
          <w:kern w:val="2"/>
          <w:sz w:val="24"/>
          <w:szCs w:val="24"/>
          <w14:ligatures w14:val="standardContextual"/>
        </w:rPr>
        <w:t>推动</w:t>
      </w:r>
      <w:r w:rsidRPr="000C0842">
        <w:rPr>
          <w:rFonts w:eastAsia="SimSun"/>
          <w:kern w:val="2"/>
          <w:sz w:val="24"/>
          <w:szCs w:val="24"/>
          <w14:ligatures w14:val="standardContextual"/>
        </w:rPr>
        <w:t>实现全球环境惠益和可持续发展道路，确保保护和可持续利用生物多样性，公正和公平地分享利用遗传资源所产生的惠益，同时实现碳中和和无污染，为此鼓励在国家驱动的优先事项和方案范围内实现全球环境基金在生物多样性、土地退化、国际水域、减缓和适应气候变化、化学品和废物等重点领域及其综合方案之间的一致性和协同增效；</w:t>
      </w:r>
    </w:p>
    <w:p w14:paraId="1D828B94"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反映在国家生物多样性战略和行动计划背景下，执行与生物多样性有关的公约和多边环境协定可有助于实现《生物多样性公约》及其议定书的目标以及《昆蒙框架》的目标和行动目标的事实；</w:t>
      </w:r>
    </w:p>
    <w:p w14:paraId="34317599"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促进执行《生物多样性公约》三个目标、全球环境基金所服务的其他公约的相关目标以及其他生物多样性相关公约和多边协定的目标之间的合作与互补，同时</w:t>
      </w:r>
      <w:r w:rsidRPr="000C0842">
        <w:rPr>
          <w:rFonts w:eastAsia="SimSun" w:hint="eastAsia"/>
          <w:kern w:val="2"/>
          <w:sz w:val="24"/>
          <w:szCs w:val="24"/>
          <w14:ligatures w14:val="standardContextual"/>
        </w:rPr>
        <w:t>考虑到协同增效并</w:t>
      </w:r>
      <w:r w:rsidRPr="000C0842">
        <w:rPr>
          <w:rFonts w:eastAsia="SimSun"/>
          <w:kern w:val="2"/>
          <w:sz w:val="24"/>
          <w:szCs w:val="24"/>
          <w14:ligatures w14:val="standardContextual"/>
        </w:rPr>
        <w:t>认识到这些文书对《公约》及其议定书和《</w:t>
      </w:r>
      <w:r w:rsidRPr="000C0842">
        <w:rPr>
          <w:rFonts w:eastAsia="SimSun" w:hint="eastAsia"/>
          <w:kern w:val="2"/>
          <w:sz w:val="24"/>
          <w:szCs w:val="24"/>
          <w14:ligatures w14:val="standardContextual"/>
        </w:rPr>
        <w:t>昆蒙框架</w:t>
      </w:r>
      <w:r w:rsidRPr="000C0842">
        <w:rPr>
          <w:rFonts w:eastAsia="SimSun"/>
          <w:kern w:val="2"/>
          <w:sz w:val="24"/>
          <w:szCs w:val="24"/>
          <w14:ligatures w14:val="standardContextual"/>
        </w:rPr>
        <w:t>》的目标的重要贡献以及对其自身目标的互惠贡献；</w:t>
      </w:r>
    </w:p>
    <w:p w14:paraId="68793756"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加强全球环境基金的努力，动员所有利益攸关方，包括私营部门、土著人民和地方社区、妇女和青年，并与之互动；</w:t>
      </w:r>
    </w:p>
    <w:p w14:paraId="0D4CC665"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kern w:val="2"/>
          <w:sz w:val="24"/>
          <w:szCs w:val="24"/>
          <w14:ligatures w14:val="standardContextual"/>
        </w:rPr>
        <w:t>考虑到跨界、多国、区域和全球项目可为实现《</w:t>
      </w:r>
      <w:r w:rsidRPr="000C0842">
        <w:rPr>
          <w:rFonts w:eastAsia="SimSun" w:hint="eastAsia"/>
          <w:kern w:val="2"/>
          <w:sz w:val="24"/>
          <w:szCs w:val="24"/>
          <w14:ligatures w14:val="standardContextual"/>
        </w:rPr>
        <w:t>生物多样性</w:t>
      </w:r>
      <w:r w:rsidRPr="000C0842">
        <w:rPr>
          <w:rFonts w:eastAsia="SimSun"/>
          <w:kern w:val="2"/>
          <w:sz w:val="24"/>
          <w:szCs w:val="24"/>
          <w14:ligatures w14:val="standardContextual"/>
        </w:rPr>
        <w:t>公约》及其议定书和《昆蒙框架》的目标</w:t>
      </w:r>
      <w:r w:rsidRPr="000C0842">
        <w:rPr>
          <w:rFonts w:eastAsia="SimSun" w:hint="eastAsia"/>
          <w:kern w:val="2"/>
          <w:sz w:val="24"/>
          <w:szCs w:val="24"/>
          <w14:ligatures w14:val="standardContextual"/>
        </w:rPr>
        <w:t>作</w:t>
      </w:r>
      <w:r w:rsidRPr="000C0842">
        <w:rPr>
          <w:rFonts w:eastAsia="SimSun"/>
          <w:kern w:val="2"/>
          <w:sz w:val="24"/>
          <w:szCs w:val="24"/>
          <w14:ligatures w14:val="standardContextual"/>
        </w:rPr>
        <w:t>出重要贡献，包括为执行在《公约》及其议定书下通过的全球倡议以及利用生物多样性相关公约和多边协定的贡献的跨界、多国、区域和全球倡议</w:t>
      </w:r>
      <w:r w:rsidRPr="000C0842">
        <w:rPr>
          <w:rFonts w:eastAsia="SimSun" w:hint="eastAsia"/>
          <w:kern w:val="2"/>
          <w:sz w:val="24"/>
          <w:szCs w:val="24"/>
          <w14:ligatures w14:val="standardContextual"/>
        </w:rPr>
        <w:t>作</w:t>
      </w:r>
      <w:r w:rsidRPr="000C0842">
        <w:rPr>
          <w:rFonts w:eastAsia="SimSun"/>
          <w:kern w:val="2"/>
          <w:sz w:val="24"/>
          <w:szCs w:val="24"/>
          <w14:ligatures w14:val="standardContextual"/>
        </w:rPr>
        <w:t>出重要贡献。</w:t>
      </w:r>
    </w:p>
    <w:p w14:paraId="5563D699" w14:textId="77777777" w:rsidR="000A776A" w:rsidRPr="000C0842" w:rsidRDefault="000A776A">
      <w:pPr>
        <w:numPr>
          <w:ilvl w:val="0"/>
          <w:numId w:val="196"/>
        </w:numPr>
        <w:tabs>
          <w:tab w:val="clear" w:pos="567"/>
          <w:tab w:val="clear" w:pos="1134"/>
          <w:tab w:val="clear" w:pos="1701"/>
          <w:tab w:val="clear" w:pos="2268"/>
        </w:tabs>
        <w:spacing w:before="120" w:after="120" w:line="240" w:lineRule="atLeast"/>
        <w:ind w:left="490" w:firstLine="490"/>
        <w:rPr>
          <w:rFonts w:eastAsia="SimSun"/>
          <w:kern w:val="2"/>
          <w:sz w:val="24"/>
          <w:szCs w:val="24"/>
          <w14:ligatures w14:val="standardContextual"/>
        </w:rPr>
      </w:pPr>
      <w:r w:rsidRPr="000C0842">
        <w:rPr>
          <w:rFonts w:eastAsia="SimSun" w:hint="eastAsia"/>
          <w:kern w:val="2"/>
          <w:sz w:val="24"/>
          <w:szCs w:val="24"/>
          <w14:ligatures w14:val="standardContextual"/>
        </w:rPr>
        <w:t>酌情推广和执行基于自然的解决方案和</w:t>
      </w:r>
      <w:r w:rsidRPr="000C0842">
        <w:rPr>
          <w:rFonts w:eastAsia="SimSun" w:hint="eastAsia"/>
          <w:kern w:val="2"/>
          <w:sz w:val="24"/>
          <w:szCs w:val="24"/>
          <w14:ligatures w14:val="standardContextual"/>
        </w:rPr>
        <w:t>/</w:t>
      </w:r>
      <w:r w:rsidRPr="000C0842">
        <w:rPr>
          <w:rFonts w:eastAsia="SimSun" w:hint="eastAsia"/>
          <w:kern w:val="2"/>
          <w:sz w:val="24"/>
          <w:szCs w:val="24"/>
          <w14:ligatures w14:val="standardContextual"/>
        </w:rPr>
        <w:t>或基于生态系统的方法</w:t>
      </w:r>
      <w:r w:rsidRPr="000C0842">
        <w:rPr>
          <w:rFonts w:eastAsia="SimSun"/>
          <w:sz w:val="24"/>
          <w:szCs w:val="24"/>
          <w:vertAlign w:val="superscript"/>
        </w:rPr>
        <w:footnoteReference w:id="463"/>
      </w:r>
      <w:r w:rsidRPr="000C0842">
        <w:rPr>
          <w:rFonts w:eastAsia="SimSun" w:hint="eastAsia"/>
          <w:kern w:val="2"/>
          <w:sz w:val="24"/>
          <w:szCs w:val="24"/>
          <w14:ligatures w14:val="standardContextual"/>
        </w:rPr>
        <w:t>。</w:t>
      </w:r>
    </w:p>
    <w:p w14:paraId="722C977A"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kern w:val="2"/>
          <w:sz w:val="24"/>
          <w:szCs w:val="24"/>
          <w14:ligatures w14:val="standardContextual"/>
        </w:rPr>
      </w:pPr>
      <w:r w:rsidRPr="000C0842">
        <w:rPr>
          <w:rFonts w:eastAsia="SimSun"/>
          <w:kern w:val="2"/>
          <w:sz w:val="24"/>
          <w:szCs w:val="24"/>
          <w14:ligatures w14:val="standardContextual"/>
        </w:rPr>
        <w:t>全球环境基金</w:t>
      </w:r>
      <w:r w:rsidRPr="000C0842">
        <w:rPr>
          <w:rFonts w:eastAsia="SimSun" w:hint="eastAsia"/>
          <w:kern w:val="2"/>
          <w:sz w:val="24"/>
          <w:szCs w:val="24"/>
          <w14:ligatures w14:val="standardContextual"/>
        </w:rPr>
        <w:t>信托基金</w:t>
      </w:r>
      <w:r w:rsidRPr="000C0842">
        <w:rPr>
          <w:rFonts w:eastAsia="SimSun"/>
          <w:kern w:val="2"/>
          <w:sz w:val="24"/>
          <w:szCs w:val="24"/>
          <w14:ligatures w14:val="standardContextual"/>
        </w:rPr>
        <w:t>第九次增资的成果和指标以及相关监测进程应能有效评估方案编制对实现《公约》三个目标、执行其议定书和《昆蒙框架》的贡献，包括通过衡量全球环境基金所有相关活动对生物多样性的</w:t>
      </w:r>
      <w:r w:rsidRPr="000C0842">
        <w:rPr>
          <w:rFonts w:eastAsia="SimSun" w:hint="eastAsia"/>
          <w:kern w:val="2"/>
          <w:sz w:val="24"/>
          <w:szCs w:val="24"/>
          <w14:ligatures w14:val="standardContextual"/>
        </w:rPr>
        <w:t>附带效益</w:t>
      </w:r>
      <w:r w:rsidRPr="000C0842">
        <w:rPr>
          <w:rFonts w:eastAsia="SimSun"/>
          <w:kern w:val="2"/>
          <w:sz w:val="24"/>
          <w:szCs w:val="24"/>
          <w14:ligatures w14:val="standardContextual"/>
        </w:rPr>
        <w:t>进行评估。</w:t>
      </w:r>
    </w:p>
    <w:p w14:paraId="33BC12BD"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kern w:val="2"/>
          <w:sz w:val="24"/>
          <w:szCs w:val="24"/>
          <w14:ligatures w14:val="standardContextual"/>
        </w:rPr>
      </w:pPr>
      <w:r w:rsidRPr="000C0842">
        <w:rPr>
          <w:rFonts w:eastAsia="SimSun"/>
          <w:kern w:val="2"/>
          <w:sz w:val="24"/>
          <w:szCs w:val="24"/>
          <w14:ligatures w14:val="standardContextual"/>
        </w:rPr>
        <w:t>全球环境基金</w:t>
      </w:r>
      <w:r w:rsidRPr="000C0842">
        <w:rPr>
          <w:rFonts w:eastAsia="SimSun" w:hint="eastAsia"/>
          <w:kern w:val="2"/>
          <w:sz w:val="24"/>
          <w:szCs w:val="24"/>
          <w14:ligatures w14:val="standardContextual"/>
        </w:rPr>
        <w:t>应在信托基金</w:t>
      </w:r>
      <w:r w:rsidRPr="000C0842">
        <w:rPr>
          <w:rFonts w:eastAsia="SimSun"/>
          <w:kern w:val="2"/>
          <w:sz w:val="24"/>
          <w:szCs w:val="24"/>
          <w14:ligatures w14:val="standardContextual"/>
        </w:rPr>
        <w:t>第九增资期：</w:t>
      </w:r>
    </w:p>
    <w:p w14:paraId="5127BA65"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(a)</w:t>
      </w:r>
      <w:r w:rsidRPr="000C0842">
        <w:rPr>
          <w:rFonts w:eastAsia="SimSun"/>
          <w:kern w:val="2"/>
          <w:sz w:val="24"/>
          <w:szCs w:val="24"/>
          <w14:ligatures w14:val="standardContextual"/>
        </w:rPr>
        <w:tab/>
      </w:r>
      <w:r w:rsidRPr="000C0842">
        <w:rPr>
          <w:rFonts w:eastAsia="SimSun"/>
          <w:kern w:val="2"/>
          <w:sz w:val="24"/>
          <w:szCs w:val="24"/>
          <w14:ligatures w14:val="standardContextual"/>
        </w:rPr>
        <w:t>确保向符合条件的</w:t>
      </w:r>
      <w:r w:rsidRPr="000C0842">
        <w:rPr>
          <w:rFonts w:eastAsia="SimSun" w:hint="eastAsia"/>
          <w:kern w:val="2"/>
          <w:sz w:val="24"/>
          <w:szCs w:val="24"/>
          <w14:ligatures w14:val="standardContextual"/>
        </w:rPr>
        <w:t>缔约方</w:t>
      </w:r>
      <w:r w:rsidRPr="000C0842">
        <w:rPr>
          <w:rFonts w:eastAsia="SimSun"/>
          <w:kern w:val="2"/>
          <w:sz w:val="24"/>
          <w:szCs w:val="24"/>
          <w14:ligatures w14:val="standardContextual"/>
        </w:rPr>
        <w:t>提供的资金额度与《昆蒙框架》的宏大目标以及</w:t>
      </w:r>
      <w:r w:rsidRPr="000C0842">
        <w:rPr>
          <w:rFonts w:eastAsia="SimSun" w:hint="eastAsia"/>
          <w:kern w:val="2"/>
          <w:sz w:val="24"/>
          <w:szCs w:val="24"/>
          <w14:ligatures w14:val="standardContextual"/>
        </w:rPr>
        <w:t>这些缔约方</w:t>
      </w:r>
      <w:r w:rsidRPr="000C0842">
        <w:rPr>
          <w:rFonts w:eastAsia="SimSun"/>
          <w:kern w:val="2"/>
          <w:sz w:val="24"/>
          <w:szCs w:val="24"/>
          <w14:ligatures w14:val="standardContextual"/>
        </w:rPr>
        <w:t>的需求和面临的挑战相称；</w:t>
      </w:r>
    </w:p>
    <w:p w14:paraId="7C269772"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(b)</w:t>
      </w:r>
      <w:r w:rsidRPr="000C0842">
        <w:rPr>
          <w:rFonts w:eastAsia="SimSun"/>
          <w:kern w:val="2"/>
          <w:sz w:val="24"/>
          <w:szCs w:val="24"/>
          <w14:ligatures w14:val="standardContextual"/>
        </w:rPr>
        <w:tab/>
      </w:r>
      <w:r w:rsidRPr="000C0842">
        <w:rPr>
          <w:rFonts w:eastAsia="SimSun"/>
          <w:kern w:val="2"/>
          <w:sz w:val="24"/>
          <w:szCs w:val="24"/>
          <w14:ligatures w14:val="standardContextual"/>
        </w:rPr>
        <w:t>探讨如何</w:t>
      </w:r>
      <w:r w:rsidRPr="000C0842">
        <w:rPr>
          <w:rFonts w:eastAsia="SimSun" w:hint="eastAsia"/>
          <w:kern w:val="2"/>
          <w:sz w:val="24"/>
          <w:szCs w:val="24"/>
          <w14:ligatures w14:val="standardContextual"/>
        </w:rPr>
        <w:t>继续</w:t>
      </w:r>
      <w:r w:rsidRPr="000C0842">
        <w:rPr>
          <w:rFonts w:eastAsia="SimSun"/>
          <w:kern w:val="2"/>
          <w:sz w:val="24"/>
          <w:szCs w:val="24"/>
          <w14:ligatures w14:val="standardContextual"/>
        </w:rPr>
        <w:t>使符合条件的</w:t>
      </w:r>
      <w:r w:rsidRPr="000C0842">
        <w:rPr>
          <w:rFonts w:eastAsia="SimSun" w:hint="eastAsia"/>
          <w:kern w:val="2"/>
          <w:sz w:val="24"/>
          <w:szCs w:val="24"/>
          <w14:ligatures w14:val="standardContextual"/>
        </w:rPr>
        <w:t>缔约方</w:t>
      </w:r>
      <w:r w:rsidRPr="000C0842">
        <w:rPr>
          <w:rFonts w:eastAsia="SimSun"/>
          <w:kern w:val="2"/>
          <w:sz w:val="24"/>
          <w:szCs w:val="24"/>
          <w14:ligatures w14:val="standardContextual"/>
        </w:rPr>
        <w:t>更容易获得资金；</w:t>
      </w:r>
    </w:p>
    <w:p w14:paraId="6F8CD9B0"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 xml:space="preserve">(c) </w:t>
      </w:r>
      <w:r w:rsidRPr="000C0842">
        <w:rPr>
          <w:rFonts w:eastAsia="SimSun"/>
          <w:kern w:val="2"/>
          <w:sz w:val="24"/>
          <w:szCs w:val="24"/>
          <w14:ligatures w14:val="standardContextual"/>
        </w:rPr>
        <w:tab/>
      </w:r>
      <w:r w:rsidRPr="000C0842">
        <w:rPr>
          <w:rFonts w:eastAsia="SimSun"/>
          <w:kern w:val="2"/>
          <w:sz w:val="24"/>
          <w:szCs w:val="24"/>
          <w14:ligatures w14:val="standardContextual"/>
        </w:rPr>
        <w:t>探讨如何</w:t>
      </w:r>
      <w:r w:rsidRPr="000C0842">
        <w:rPr>
          <w:rFonts w:eastAsia="SimSun" w:hint="eastAsia"/>
          <w:kern w:val="2"/>
          <w:sz w:val="24"/>
          <w:szCs w:val="24"/>
          <w14:ligatures w14:val="standardContextual"/>
        </w:rPr>
        <w:t>进一步</w:t>
      </w:r>
      <w:r w:rsidRPr="000C0842">
        <w:rPr>
          <w:rFonts w:eastAsia="SimSun"/>
          <w:kern w:val="2"/>
          <w:sz w:val="24"/>
          <w:szCs w:val="24"/>
          <w14:ligatures w14:val="standardContextual"/>
        </w:rPr>
        <w:t>支持和改善体现传统生活方式并拥有与保护生物多样性和可持续利用其组成部分相关的传统知识、创新和做法的土著人民和地方社区直接获得资金的机会，并支持妇女和青年促进生物多样性的活动和举措；</w:t>
      </w:r>
    </w:p>
    <w:p w14:paraId="098816B9"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(d)</w:t>
      </w:r>
      <w:r w:rsidRPr="000C0842">
        <w:rPr>
          <w:rFonts w:eastAsia="SimSun"/>
          <w:kern w:val="2"/>
          <w:sz w:val="24"/>
          <w:szCs w:val="24"/>
          <w14:ligatures w14:val="standardContextual"/>
        </w:rPr>
        <w:tab/>
      </w:r>
      <w:r w:rsidRPr="000C0842">
        <w:rPr>
          <w:rFonts w:eastAsia="SimSun"/>
          <w:kern w:val="2"/>
          <w:sz w:val="24"/>
          <w:szCs w:val="24"/>
          <w14:ligatures w14:val="standardContextual"/>
        </w:rPr>
        <w:t>为符合条件的缔约方</w:t>
      </w:r>
      <w:r w:rsidRPr="000C0842">
        <w:rPr>
          <w:rFonts w:eastAsia="SimSun" w:hint="eastAsia"/>
          <w:kern w:val="2"/>
          <w:sz w:val="24"/>
          <w:szCs w:val="24"/>
          <w14:ligatures w14:val="standardContextual"/>
        </w:rPr>
        <w:t>提供能力建设和支持，</w:t>
      </w:r>
      <w:r w:rsidRPr="000C0842">
        <w:rPr>
          <w:rFonts w:eastAsia="SimSun"/>
          <w:kern w:val="2"/>
          <w:sz w:val="24"/>
          <w:szCs w:val="24"/>
          <w14:ligatures w14:val="standardContextual"/>
        </w:rPr>
        <w:t>以支持土著人民和地方社区、妇女和青年充分获得有效的代表性并参与</w:t>
      </w:r>
      <w:r w:rsidRPr="000C0842">
        <w:rPr>
          <w:rFonts w:eastAsia="SimSun" w:hint="eastAsia"/>
          <w:kern w:val="2"/>
          <w:sz w:val="24"/>
          <w:szCs w:val="24"/>
          <w14:ligatures w14:val="standardContextual"/>
        </w:rPr>
        <w:t>《昆蒙框架》</w:t>
      </w:r>
      <w:r w:rsidRPr="000C0842">
        <w:rPr>
          <w:rFonts w:eastAsia="SimSun"/>
          <w:kern w:val="2"/>
          <w:sz w:val="24"/>
          <w:szCs w:val="24"/>
          <w14:ligatures w14:val="standardContextual"/>
        </w:rPr>
        <w:t>的实施；</w:t>
      </w:r>
    </w:p>
    <w:p w14:paraId="44DC6C55"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(e)</w:t>
      </w:r>
      <w:r w:rsidRPr="000C0842">
        <w:rPr>
          <w:rFonts w:eastAsia="SimSun"/>
          <w:kern w:val="2"/>
          <w:sz w:val="24"/>
          <w:szCs w:val="24"/>
          <w14:ligatures w14:val="standardContextual"/>
        </w:rPr>
        <w:tab/>
      </w:r>
      <w:r w:rsidRPr="000C0842">
        <w:rPr>
          <w:rFonts w:eastAsia="SimSun"/>
          <w:kern w:val="2"/>
          <w:sz w:val="24"/>
          <w:szCs w:val="24"/>
          <w14:ligatures w14:val="standardContextual"/>
        </w:rPr>
        <w:t>与多边开发银行及其他公共和私营金融机构进一步互动和合作，以</w:t>
      </w:r>
      <w:r w:rsidRPr="000C0842">
        <w:rPr>
          <w:rFonts w:eastAsia="SimSun" w:hint="eastAsia"/>
          <w:kern w:val="2"/>
          <w:sz w:val="24"/>
          <w:szCs w:val="24"/>
          <w14:ligatures w14:val="standardContextual"/>
        </w:rPr>
        <w:t>促进将</w:t>
      </w:r>
      <w:r w:rsidRPr="000C0842">
        <w:rPr>
          <w:rFonts w:eastAsia="SimSun"/>
          <w:kern w:val="2"/>
          <w:sz w:val="24"/>
          <w:szCs w:val="24"/>
          <w14:ligatures w14:val="standardContextual"/>
        </w:rPr>
        <w:t>《公约》及其议定书的目标、</w:t>
      </w:r>
      <w:r w:rsidRPr="000C0842">
        <w:rPr>
          <w:rFonts w:eastAsia="SimSun" w:hint="eastAsia"/>
          <w:kern w:val="2"/>
          <w:sz w:val="24"/>
          <w:szCs w:val="24"/>
          <w14:ligatures w14:val="standardContextual"/>
        </w:rPr>
        <w:t>《昆蒙框架》</w:t>
      </w:r>
      <w:r w:rsidRPr="000C0842">
        <w:rPr>
          <w:rFonts w:eastAsia="SimSun"/>
          <w:kern w:val="2"/>
          <w:sz w:val="24"/>
          <w:szCs w:val="24"/>
          <w14:ligatures w14:val="standardContextual"/>
        </w:rPr>
        <w:t>的</w:t>
      </w:r>
      <w:r w:rsidRPr="000C0842">
        <w:rPr>
          <w:rFonts w:eastAsia="SimSun" w:hint="eastAsia"/>
          <w:kern w:val="2"/>
          <w:sz w:val="24"/>
          <w:szCs w:val="24"/>
          <w14:ligatures w14:val="standardContextual"/>
        </w:rPr>
        <w:t>长期</w:t>
      </w:r>
      <w:r w:rsidRPr="000C0842">
        <w:rPr>
          <w:rFonts w:eastAsia="SimSun"/>
          <w:kern w:val="2"/>
          <w:sz w:val="24"/>
          <w:szCs w:val="24"/>
          <w14:ligatures w14:val="standardContextual"/>
        </w:rPr>
        <w:t>目标和行动目标以及其他与生物多样性有关的公约和多边环境协定的贡献纳入其活动，并</w:t>
      </w:r>
      <w:r w:rsidRPr="000C0842">
        <w:rPr>
          <w:rFonts w:eastAsia="SimSun" w:hint="eastAsia"/>
          <w:kern w:val="2"/>
          <w:sz w:val="24"/>
          <w:szCs w:val="24"/>
          <w14:ligatures w14:val="standardContextual"/>
        </w:rPr>
        <w:t>鼓励这些机构</w:t>
      </w:r>
      <w:r w:rsidRPr="000C0842">
        <w:rPr>
          <w:rFonts w:eastAsia="SimSun"/>
          <w:kern w:val="2"/>
          <w:sz w:val="24"/>
          <w:szCs w:val="24"/>
          <w14:ligatures w14:val="standardContextual"/>
        </w:rPr>
        <w:t>报告有助于实现这些目标的供资情况；</w:t>
      </w:r>
    </w:p>
    <w:p w14:paraId="5734CA66" w14:textId="77777777" w:rsidR="000A776A" w:rsidRPr="000C0842" w:rsidRDefault="000A776A" w:rsidP="000A776A">
      <w:pPr>
        <w:tabs>
          <w:tab w:val="clear" w:pos="567"/>
          <w:tab w:val="clear" w:pos="1134"/>
          <w:tab w:val="clear" w:pos="1701"/>
          <w:tab w:val="clear" w:pos="2268"/>
        </w:tabs>
        <w:snapToGrid w:val="0"/>
        <w:spacing w:before="120" w:after="120"/>
        <w:ind w:left="490" w:firstLine="490"/>
        <w:rPr>
          <w:rFonts w:eastAsia="SimSun"/>
          <w:kern w:val="2"/>
          <w:sz w:val="24"/>
          <w:szCs w:val="24"/>
          <w14:ligatures w14:val="standardContextual"/>
        </w:rPr>
      </w:pPr>
      <w:r w:rsidRPr="000C0842">
        <w:rPr>
          <w:rFonts w:eastAsia="SimSun"/>
          <w:kern w:val="2"/>
          <w:sz w:val="24"/>
          <w:szCs w:val="24"/>
          <w14:ligatures w14:val="standardContextual"/>
        </w:rPr>
        <w:t>(f)</w:t>
      </w:r>
      <w:r w:rsidRPr="000C0842">
        <w:rPr>
          <w:rFonts w:eastAsia="SimSun"/>
          <w:kern w:val="2"/>
          <w:sz w:val="24"/>
          <w:szCs w:val="24"/>
          <w14:ligatures w14:val="standardContextual"/>
        </w:rPr>
        <w:tab/>
      </w:r>
      <w:r w:rsidRPr="000C0842">
        <w:rPr>
          <w:rFonts w:eastAsia="SimSun"/>
          <w:kern w:val="2"/>
          <w:sz w:val="24"/>
          <w:szCs w:val="24"/>
          <w14:ligatures w14:val="standardContextual"/>
        </w:rPr>
        <w:t>继续加强其治理政策和执行伙伴应遵守的标准，以提高其交付可持续成果的效率和成效。</w:t>
      </w:r>
    </w:p>
    <w:p w14:paraId="1F459CE0" w14:textId="77777777" w:rsidR="000A776A" w:rsidRPr="000C0842" w:rsidRDefault="000A776A" w:rsidP="000A776A">
      <w:pPr>
        <w:keepNext/>
        <w:tabs>
          <w:tab w:val="clear" w:pos="567"/>
          <w:tab w:val="clear" w:pos="1134"/>
          <w:tab w:val="clear" w:pos="1701"/>
          <w:tab w:val="clear" w:pos="2268"/>
        </w:tabs>
        <w:spacing w:before="120" w:after="120"/>
        <w:rPr>
          <w:rFonts w:eastAsia="SimSun"/>
          <w:b/>
          <w:bCs/>
          <w:sz w:val="24"/>
          <w:szCs w:val="24"/>
        </w:rPr>
      </w:pPr>
      <w:r w:rsidRPr="000C0842">
        <w:rPr>
          <w:rFonts w:eastAsia="SimSun" w:hint="eastAsia"/>
          <w:b/>
          <w:bCs/>
          <w:sz w:val="24"/>
          <w:szCs w:val="24"/>
        </w:rPr>
        <w:t>四</w:t>
      </w:r>
      <w:r w:rsidRPr="000C0842">
        <w:rPr>
          <w:rFonts w:eastAsia="SimSun"/>
          <w:b/>
          <w:bCs/>
          <w:sz w:val="24"/>
          <w:szCs w:val="24"/>
        </w:rPr>
        <w:t>.</w:t>
      </w:r>
      <w:r w:rsidRPr="000C0842">
        <w:rPr>
          <w:rFonts w:eastAsia="SimSun"/>
          <w:b/>
          <w:bCs/>
          <w:sz w:val="24"/>
          <w:szCs w:val="24"/>
        </w:rPr>
        <w:tab/>
      </w:r>
      <w:r w:rsidRPr="000C0842">
        <w:rPr>
          <w:rFonts w:eastAsia="SimSun"/>
          <w:b/>
          <w:bCs/>
          <w:sz w:val="24"/>
          <w:szCs w:val="24"/>
        </w:rPr>
        <w:t>报告</w:t>
      </w:r>
    </w:p>
    <w:p w14:paraId="4C9FED7B" w14:textId="77777777" w:rsidR="000A776A" w:rsidRPr="000C0842" w:rsidRDefault="000A776A" w:rsidP="000A776A">
      <w:pPr>
        <w:numPr>
          <w:ilvl w:val="0"/>
          <w:numId w:val="1"/>
        </w:numPr>
        <w:tabs>
          <w:tab w:val="clear" w:pos="567"/>
          <w:tab w:val="clear" w:pos="1134"/>
          <w:tab w:val="clear" w:pos="1701"/>
          <w:tab w:val="clear" w:pos="2268"/>
        </w:tabs>
        <w:spacing w:before="120" w:after="120"/>
        <w:ind w:left="490" w:firstLine="0"/>
        <w:rPr>
          <w:rFonts w:eastAsia="SimSun"/>
          <w:bCs/>
          <w:iCs/>
          <w:sz w:val="24"/>
          <w:szCs w:val="24"/>
          <w:lang w:val="en-GB"/>
        </w:rPr>
      </w:pPr>
      <w:r w:rsidRPr="000C0842">
        <w:rPr>
          <w:rFonts w:eastAsia="SimSun"/>
          <w:kern w:val="2"/>
          <w:sz w:val="24"/>
          <w:szCs w:val="24"/>
          <w14:ligatures w14:val="standardContextual"/>
        </w:rPr>
        <w:t>信托基金第九次增资结束后，全球环境基金</w:t>
      </w:r>
      <w:r w:rsidRPr="000C0842">
        <w:rPr>
          <w:rFonts w:eastAsia="SimSun" w:hint="eastAsia"/>
          <w:kern w:val="2"/>
          <w:sz w:val="24"/>
          <w:szCs w:val="24"/>
          <w14:ligatures w14:val="standardContextual"/>
        </w:rPr>
        <w:t>理事会</w:t>
      </w:r>
      <w:r w:rsidRPr="000C0842">
        <w:rPr>
          <w:rFonts w:eastAsia="SimSun"/>
          <w:kern w:val="2"/>
          <w:sz w:val="24"/>
          <w:szCs w:val="24"/>
          <w14:ligatures w14:val="standardContextual"/>
        </w:rPr>
        <w:t>将在其向缔约方大会提交的报告中</w:t>
      </w:r>
      <w:r w:rsidRPr="000C0842">
        <w:rPr>
          <w:rFonts w:eastAsia="SimSun" w:hint="eastAsia"/>
          <w:kern w:val="2"/>
          <w:sz w:val="24"/>
          <w:szCs w:val="24"/>
          <w14:ligatures w14:val="standardContextual"/>
        </w:rPr>
        <w:t>说明</w:t>
      </w:r>
      <w:r w:rsidRPr="000C0842">
        <w:rPr>
          <w:rFonts w:eastAsia="SimSun"/>
          <w:kern w:val="2"/>
          <w:sz w:val="24"/>
          <w:szCs w:val="24"/>
          <w14:ligatures w14:val="standardContextual"/>
        </w:rPr>
        <w:t>第九次增资如何响应成果导向的四年期方案优先事项框架，如何通过其方案编制指南的</w:t>
      </w:r>
      <w:r w:rsidRPr="000C0842">
        <w:rPr>
          <w:rFonts w:eastAsia="SimSun" w:hint="eastAsia"/>
          <w:kern w:val="2"/>
          <w:sz w:val="24"/>
          <w:szCs w:val="24"/>
          <w14:ligatures w14:val="standardContextual"/>
        </w:rPr>
        <w:t>要素</w:t>
      </w:r>
      <w:r w:rsidRPr="000C0842">
        <w:rPr>
          <w:rFonts w:eastAsia="SimSun"/>
          <w:kern w:val="2"/>
          <w:sz w:val="24"/>
          <w:szCs w:val="24"/>
          <w14:ligatures w14:val="standardContextual"/>
        </w:rPr>
        <w:t>促进</w:t>
      </w:r>
      <w:r w:rsidRPr="000C0842">
        <w:rPr>
          <w:rFonts w:eastAsia="SimSun" w:hint="eastAsia"/>
          <w:kern w:val="2"/>
          <w:sz w:val="24"/>
          <w:szCs w:val="24"/>
          <w14:ligatures w14:val="standardContextual"/>
        </w:rPr>
        <w:t>执行</w:t>
      </w:r>
      <w:r w:rsidRPr="000C0842">
        <w:rPr>
          <w:rFonts w:eastAsia="SimSun"/>
          <w:kern w:val="2"/>
          <w:sz w:val="24"/>
          <w:szCs w:val="24"/>
          <w14:ligatures w14:val="standardContextual"/>
        </w:rPr>
        <w:t>《公约》及其议定书、《昆明</w:t>
      </w:r>
      <w:r w:rsidRPr="000C0842">
        <w:rPr>
          <w:rFonts w:eastAsia="SimSun"/>
          <w:kern w:val="2"/>
          <w:sz w:val="24"/>
          <w:szCs w:val="24"/>
          <w14:ligatures w14:val="standardContextual"/>
        </w:rPr>
        <w:t>-</w:t>
      </w:r>
      <w:r w:rsidRPr="000C0842">
        <w:rPr>
          <w:rFonts w:eastAsia="SimSun"/>
          <w:kern w:val="2"/>
          <w:sz w:val="24"/>
          <w:szCs w:val="24"/>
          <w14:ligatures w14:val="standardContextual"/>
        </w:rPr>
        <w:t>蒙特利尔全球生物多样性框架》的</w:t>
      </w:r>
      <w:r w:rsidRPr="000C0842">
        <w:rPr>
          <w:rFonts w:eastAsia="SimSun" w:hint="eastAsia"/>
          <w:kern w:val="2"/>
          <w:sz w:val="24"/>
          <w:szCs w:val="24"/>
          <w14:ligatures w14:val="standardContextual"/>
        </w:rPr>
        <w:t>每项长期</w:t>
      </w:r>
      <w:r w:rsidRPr="000C0842">
        <w:rPr>
          <w:rFonts w:eastAsia="SimSun"/>
          <w:kern w:val="2"/>
          <w:sz w:val="24"/>
          <w:szCs w:val="24"/>
          <w14:ligatures w14:val="standardContextual"/>
        </w:rPr>
        <w:t>目标和行动目标以及</w:t>
      </w:r>
      <w:r w:rsidRPr="000C0842">
        <w:rPr>
          <w:rFonts w:eastAsia="SimSun" w:hint="eastAsia"/>
          <w:kern w:val="2"/>
          <w:sz w:val="24"/>
          <w:szCs w:val="24"/>
          <w14:ligatures w14:val="standardContextual"/>
        </w:rPr>
        <w:t>《昆蒙框架》的</w:t>
      </w:r>
      <w:r w:rsidRPr="000C0842">
        <w:rPr>
          <w:rFonts w:eastAsia="SimSun"/>
          <w:kern w:val="2"/>
          <w:sz w:val="24"/>
          <w:szCs w:val="24"/>
          <w14:ligatures w14:val="standardContextual"/>
        </w:rPr>
        <w:t>监测框架</w:t>
      </w:r>
      <w:r w:rsidRPr="000C0842">
        <w:rPr>
          <w:rFonts w:eastAsia="SimSun"/>
          <w:kern w:val="2"/>
          <w:sz w:val="24"/>
          <w:szCs w:val="24"/>
          <w:vertAlign w:val="superscript"/>
          <w14:ligatures w14:val="standardContextual"/>
        </w:rPr>
        <w:footnoteReference w:id="464"/>
      </w:r>
      <w:r w:rsidRPr="000C0842">
        <w:rPr>
          <w:rFonts w:eastAsia="SimSun"/>
          <w:kern w:val="2"/>
          <w:sz w:val="24"/>
          <w:szCs w:val="24"/>
          <w14:ligatures w14:val="standardContextual"/>
        </w:rPr>
        <w:t>。</w:t>
      </w:r>
    </w:p>
    <w:p w14:paraId="267EFCF6" w14:textId="77777777" w:rsidR="000A776A" w:rsidRPr="000C0842" w:rsidRDefault="000A776A" w:rsidP="00C10708">
      <w:pPr>
        <w:keepNext/>
        <w:keepLines/>
        <w:suppressLineNumbers/>
        <w:tabs>
          <w:tab w:val="clear" w:pos="567"/>
          <w:tab w:val="clear" w:pos="1134"/>
          <w:tab w:val="clear" w:pos="1701"/>
          <w:tab w:val="clear" w:pos="2268"/>
        </w:tabs>
        <w:suppressAutoHyphens/>
        <w:adjustRightInd w:val="0"/>
        <w:snapToGrid w:val="0"/>
        <w:spacing w:before="240"/>
        <w:ind w:firstLine="490"/>
        <w:rPr>
          <w:rFonts w:eastAsia="SimSun"/>
          <w:b/>
          <w:bCs/>
          <w:iCs/>
          <w:sz w:val="24"/>
          <w:szCs w:val="24"/>
        </w:rPr>
      </w:pPr>
      <w:bookmarkStart w:id="131" w:name="_Hlk163323785"/>
      <w:r w:rsidRPr="000C0842">
        <w:rPr>
          <w:rFonts w:eastAsia="SimSun"/>
          <w:b/>
          <w:bCs/>
          <w:iCs/>
          <w:snapToGrid w:val="0"/>
          <w:kern w:val="22"/>
          <w:sz w:val="24"/>
          <w:szCs w:val="24"/>
          <w:lang w:val="en-GB"/>
        </w:rPr>
        <w:t>附文</w:t>
      </w:r>
      <w:r w:rsidRPr="000C0842">
        <w:rPr>
          <w:rFonts w:eastAsia="SimSun" w:hint="eastAsia"/>
          <w:b/>
          <w:bCs/>
          <w:iCs/>
          <w:snapToGrid w:val="0"/>
          <w:kern w:val="22"/>
          <w:sz w:val="24"/>
          <w:szCs w:val="24"/>
          <w:lang w:val="en-GB"/>
        </w:rPr>
        <w:t>一</w:t>
      </w:r>
    </w:p>
    <w:p w14:paraId="70BB26BB" w14:textId="77777777" w:rsidR="000A776A" w:rsidRPr="000C0842" w:rsidRDefault="000A776A" w:rsidP="00C10708">
      <w:pPr>
        <w:keepNext/>
        <w:keepLines/>
        <w:tabs>
          <w:tab w:val="clear" w:pos="567"/>
          <w:tab w:val="clear" w:pos="1134"/>
          <w:tab w:val="clear" w:pos="1701"/>
          <w:tab w:val="clear" w:pos="2268"/>
        </w:tabs>
        <w:spacing w:after="120"/>
        <w:ind w:left="490"/>
        <w:rPr>
          <w:rFonts w:eastAsia="SimSun"/>
          <w:b/>
          <w:bCs/>
          <w:i/>
          <w:iCs/>
          <w:caps/>
          <w:sz w:val="24"/>
          <w:szCs w:val="24"/>
        </w:rPr>
      </w:pPr>
      <w:r w:rsidRPr="000C0842">
        <w:rPr>
          <w:rFonts w:eastAsia="SimSun"/>
          <w:b/>
          <w:bCs/>
          <w:iCs/>
          <w:sz w:val="24"/>
          <w:szCs w:val="24"/>
          <w:lang w:val="en-GB"/>
        </w:rPr>
        <w:t>支持执行《</w:t>
      </w:r>
      <w:r w:rsidRPr="000C0842">
        <w:rPr>
          <w:rFonts w:eastAsia="SimSun"/>
          <w:b/>
          <w:bCs/>
          <w:sz w:val="24"/>
          <w:szCs w:val="24"/>
          <w:lang w:val="en-GB"/>
        </w:rPr>
        <w:t>卡塔赫纳生物安全议定书</w:t>
      </w:r>
      <w:r w:rsidRPr="000C0842">
        <w:rPr>
          <w:rFonts w:eastAsia="SimSun"/>
          <w:b/>
          <w:bCs/>
          <w:iCs/>
          <w:sz w:val="24"/>
          <w:szCs w:val="24"/>
          <w:lang w:val="en-GB"/>
        </w:rPr>
        <w:t>》的全球环境基金信托基金第九增资期（</w:t>
      </w:r>
      <w:r w:rsidRPr="000C0842">
        <w:rPr>
          <w:rFonts w:eastAsia="SimSun"/>
          <w:b/>
          <w:bCs/>
          <w:caps/>
          <w:snapToGrid w:val="0"/>
          <w:sz w:val="24"/>
          <w:szCs w:val="24"/>
          <w:lang w:val="en-GB"/>
        </w:rPr>
        <w:t>2026</w:t>
      </w:r>
      <w:r w:rsidRPr="000C0842">
        <w:rPr>
          <w:rFonts w:eastAsia="SimSun"/>
          <w:b/>
          <w:bCs/>
          <w:iCs/>
          <w:caps/>
          <w:sz w:val="24"/>
          <w:szCs w:val="24"/>
          <w:lang w:val="en-GB"/>
        </w:rPr>
        <w:t>–</w:t>
      </w:r>
      <w:r w:rsidRPr="000C0842">
        <w:rPr>
          <w:rFonts w:eastAsia="SimSun"/>
          <w:b/>
          <w:bCs/>
          <w:caps/>
          <w:snapToGrid w:val="0"/>
          <w:sz w:val="24"/>
          <w:szCs w:val="24"/>
          <w:lang w:val="en-GB"/>
        </w:rPr>
        <w:t>2030</w:t>
      </w:r>
      <w:r w:rsidRPr="000C0842">
        <w:rPr>
          <w:rFonts w:eastAsia="SimSun"/>
          <w:b/>
          <w:bCs/>
          <w:iCs/>
          <w:sz w:val="24"/>
          <w:szCs w:val="24"/>
          <w:lang w:val="en-GB"/>
        </w:rPr>
        <w:t>年）</w:t>
      </w:r>
      <w:r w:rsidRPr="000C0842">
        <w:rPr>
          <w:rFonts w:eastAsia="SimSun" w:hint="eastAsia"/>
          <w:b/>
          <w:bCs/>
          <w:iCs/>
          <w:sz w:val="24"/>
          <w:szCs w:val="24"/>
          <w:lang w:val="en-GB"/>
        </w:rPr>
        <w:t>《生物多样性公约》</w:t>
      </w:r>
      <w:r w:rsidRPr="000C0842">
        <w:rPr>
          <w:rFonts w:eastAsia="SimSun"/>
          <w:b/>
          <w:bCs/>
          <w:iCs/>
          <w:sz w:val="24"/>
          <w:szCs w:val="24"/>
          <w:lang w:val="en-GB"/>
        </w:rPr>
        <w:t>成果导向四年期</w:t>
      </w:r>
      <w:r w:rsidRPr="000C0842">
        <w:rPr>
          <w:rFonts w:eastAsia="SimSun" w:hint="eastAsia"/>
          <w:b/>
          <w:bCs/>
          <w:iCs/>
          <w:sz w:val="24"/>
          <w:szCs w:val="24"/>
          <w:lang w:val="en-GB"/>
        </w:rPr>
        <w:t>生物多样性</w:t>
      </w:r>
      <w:r w:rsidRPr="000C0842">
        <w:rPr>
          <w:rFonts w:eastAsia="SimSun"/>
          <w:b/>
          <w:bCs/>
          <w:iCs/>
          <w:sz w:val="24"/>
          <w:szCs w:val="24"/>
          <w:lang w:val="en-GB"/>
        </w:rPr>
        <w:t>方案重点框架的补充内容</w:t>
      </w:r>
    </w:p>
    <w:p w14:paraId="56C9CB12"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napToGrid w:val="0"/>
          <w:kern w:val="22"/>
          <w:sz w:val="24"/>
          <w:szCs w:val="24"/>
          <w:lang w:val="en-GB"/>
        </w:rPr>
      </w:pPr>
      <w:r w:rsidRPr="000C0842">
        <w:rPr>
          <w:rFonts w:eastAsia="SimSun"/>
          <w:iCs/>
          <w:sz w:val="24"/>
          <w:szCs w:val="24"/>
          <w:lang w:val="en-GB"/>
        </w:rPr>
        <w:t>支持执行《</w:t>
      </w:r>
      <w:r w:rsidRPr="000C0842">
        <w:rPr>
          <w:rFonts w:eastAsia="SimSun"/>
          <w:sz w:val="24"/>
          <w:szCs w:val="24"/>
          <w:lang w:val="en-GB"/>
        </w:rPr>
        <w:t>卡塔赫纳生物安全议定书</w:t>
      </w:r>
      <w:r w:rsidRPr="000C0842">
        <w:rPr>
          <w:rFonts w:eastAsia="SimSun"/>
          <w:iCs/>
          <w:sz w:val="24"/>
          <w:szCs w:val="24"/>
          <w:lang w:val="en-GB"/>
        </w:rPr>
        <w:t>》</w:t>
      </w:r>
      <w:r w:rsidRPr="000C0842">
        <w:rPr>
          <w:rFonts w:eastAsia="SimSun"/>
          <w:iCs/>
          <w:sz w:val="24"/>
          <w:szCs w:val="24"/>
          <w:vertAlign w:val="superscript"/>
          <w:lang w:val="en-GB"/>
        </w:rPr>
        <w:footnoteReference w:id="465"/>
      </w:r>
      <w:r w:rsidRPr="000C0842">
        <w:rPr>
          <w:rFonts w:eastAsia="SimSun"/>
          <w:iCs/>
          <w:sz w:val="24"/>
          <w:szCs w:val="24"/>
          <w:lang w:val="en-GB"/>
        </w:rPr>
        <w:t>的全球环境基金信托基金第九增资期（</w:t>
      </w:r>
      <w:r w:rsidRPr="000C0842">
        <w:rPr>
          <w:rFonts w:eastAsia="SimSun"/>
          <w:caps/>
          <w:snapToGrid w:val="0"/>
          <w:sz w:val="24"/>
          <w:szCs w:val="24"/>
          <w:lang w:val="en-GB"/>
        </w:rPr>
        <w:t>2026</w:t>
      </w:r>
      <w:r w:rsidRPr="000C0842">
        <w:rPr>
          <w:rFonts w:eastAsia="SimSun"/>
          <w:iCs/>
          <w:caps/>
          <w:sz w:val="24"/>
          <w:szCs w:val="24"/>
          <w:lang w:val="en-GB"/>
        </w:rPr>
        <w:t>–</w:t>
      </w:r>
      <w:r w:rsidRPr="000C0842">
        <w:rPr>
          <w:rFonts w:eastAsia="SimSun"/>
          <w:caps/>
          <w:snapToGrid w:val="0"/>
          <w:sz w:val="24"/>
          <w:szCs w:val="24"/>
          <w:lang w:val="en-GB"/>
        </w:rPr>
        <w:t>2030</w:t>
      </w:r>
      <w:r w:rsidRPr="000C0842">
        <w:rPr>
          <w:rFonts w:eastAsia="SimSun"/>
          <w:iCs/>
          <w:sz w:val="24"/>
          <w:szCs w:val="24"/>
          <w:lang w:val="en-GB"/>
        </w:rPr>
        <w:t>年）成果导向四年期方案重点框架内容由</w:t>
      </w:r>
      <w:r w:rsidRPr="000C0842">
        <w:rPr>
          <w:rFonts w:eastAsia="SimSun"/>
          <w:snapToGrid w:val="0"/>
          <w:kern w:val="22"/>
          <w:sz w:val="24"/>
          <w:szCs w:val="24"/>
          <w:lang w:val="en-GB"/>
        </w:rPr>
        <w:t>作为</w:t>
      </w:r>
      <w:r w:rsidRPr="000C0842">
        <w:rPr>
          <w:rFonts w:eastAsia="SimSun"/>
          <w:sz w:val="24"/>
          <w:szCs w:val="24"/>
          <w:lang w:val="en-GB"/>
        </w:rPr>
        <w:t>议定书缔约方会议的缔约方大会第十一次会议通过，</w:t>
      </w:r>
      <w:r w:rsidRPr="000C0842">
        <w:rPr>
          <w:rFonts w:eastAsia="SimSun" w:hint="eastAsia"/>
          <w:sz w:val="24"/>
          <w:szCs w:val="24"/>
          <w:lang w:val="en-GB"/>
        </w:rPr>
        <w:t>要素包括</w:t>
      </w:r>
      <w:r w:rsidRPr="000C0842">
        <w:rPr>
          <w:rFonts w:eastAsia="SimSun"/>
          <w:snapToGrid w:val="0"/>
          <w:kern w:val="22"/>
          <w:sz w:val="24"/>
          <w:szCs w:val="24"/>
          <w:lang w:val="en-GB"/>
        </w:rPr>
        <w:t>：</w:t>
      </w:r>
      <w:r w:rsidRPr="000C0842">
        <w:rPr>
          <w:rFonts w:eastAsia="SimSun"/>
          <w:snapToGrid w:val="0"/>
          <w:kern w:val="22"/>
          <w:sz w:val="24"/>
          <w:szCs w:val="24"/>
          <w:lang w:val="en-GB"/>
        </w:rPr>
        <w:t xml:space="preserve"> </w:t>
      </w:r>
    </w:p>
    <w:p w14:paraId="16804430" w14:textId="77777777" w:rsidR="000A776A" w:rsidRPr="000C0842" w:rsidRDefault="000A776A">
      <w:pPr>
        <w:numPr>
          <w:ilvl w:val="0"/>
          <w:numId w:val="184"/>
        </w:numPr>
        <w:tabs>
          <w:tab w:val="clear" w:pos="567"/>
          <w:tab w:val="clear" w:pos="1134"/>
          <w:tab w:val="clear" w:pos="1701"/>
          <w:tab w:val="clear" w:pos="2268"/>
        </w:tabs>
        <w:spacing w:before="120" w:after="120"/>
        <w:rPr>
          <w:rFonts w:eastAsia="Times New Roman"/>
          <w:snapToGrid w:val="0"/>
          <w:sz w:val="24"/>
          <w:szCs w:val="24"/>
          <w:lang w:val="en-GB"/>
        </w:rPr>
      </w:pPr>
      <w:r w:rsidRPr="000C0842">
        <w:rPr>
          <w:rFonts w:ascii="SimSun" w:eastAsia="SimSun" w:hAnsi="SimSun" w:cs="SimSun" w:hint="eastAsia"/>
          <w:snapToGrid w:val="0"/>
          <w:sz w:val="24"/>
          <w:szCs w:val="24"/>
          <w:lang w:val="en-GB"/>
        </w:rPr>
        <w:t>加强对《卡塔赫纳议定书》的专项供资，以支持符合条件的缔约方执行《议定书》，包括其执行计划</w:t>
      </w:r>
      <w:r w:rsidRPr="000C0842">
        <w:rPr>
          <w:rFonts w:eastAsia="SimSun"/>
          <w:snapToGrid w:val="0"/>
          <w:sz w:val="24"/>
          <w:szCs w:val="24"/>
          <w:vertAlign w:val="superscript"/>
          <w:lang w:val="en-GB"/>
        </w:rPr>
        <w:footnoteReference w:id="466"/>
      </w:r>
      <w:r w:rsidRPr="000C0842">
        <w:rPr>
          <w:rFonts w:ascii="SimSun" w:eastAsia="SimSun" w:hAnsi="SimSun" w:cs="SimSun" w:hint="eastAsia"/>
          <w:snapToGrid w:val="0"/>
          <w:sz w:val="24"/>
          <w:szCs w:val="24"/>
          <w:lang w:val="en-GB"/>
        </w:rPr>
        <w:t>和能力建设行动计划</w:t>
      </w:r>
      <w:r w:rsidRPr="000C0842">
        <w:rPr>
          <w:rFonts w:eastAsia="SimSun"/>
          <w:snapToGrid w:val="0"/>
          <w:sz w:val="24"/>
          <w:szCs w:val="24"/>
          <w:vertAlign w:val="superscript"/>
          <w:lang w:val="en-GB"/>
        </w:rPr>
        <w:footnoteReference w:id="467"/>
      </w:r>
      <w:r w:rsidRPr="000C0842">
        <w:rPr>
          <w:rFonts w:ascii="SimSun" w:eastAsia="SimSun" w:hAnsi="SimSun" w:cs="SimSun" w:hint="eastAsia"/>
          <w:snapToGrid w:val="0"/>
          <w:sz w:val="24"/>
          <w:szCs w:val="24"/>
          <w:lang w:val="en-GB"/>
        </w:rPr>
        <w:t>；</w:t>
      </w:r>
    </w:p>
    <w:p w14:paraId="51C4A653" w14:textId="77777777" w:rsidR="000A776A" w:rsidRPr="000C0842" w:rsidRDefault="000A776A">
      <w:pPr>
        <w:numPr>
          <w:ilvl w:val="0"/>
          <w:numId w:val="184"/>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根据符合条件的缔约方的明确要求，继续支持它们在以下领域开展活动：</w:t>
      </w:r>
    </w:p>
    <w:p w14:paraId="002DA389" w14:textId="77777777" w:rsidR="000A776A" w:rsidRPr="000C0842" w:rsidRDefault="000A776A">
      <w:pPr>
        <w:numPr>
          <w:ilvl w:val="0"/>
          <w:numId w:val="185"/>
        </w:numPr>
        <w:tabs>
          <w:tab w:val="clear" w:pos="567"/>
          <w:tab w:val="clear" w:pos="1134"/>
          <w:tab w:val="clear" w:pos="1701"/>
          <w:tab w:val="clear" w:pos="2268"/>
        </w:tabs>
        <w:spacing w:before="120" w:after="120"/>
        <w:rPr>
          <w:rFonts w:ascii="SimSun" w:eastAsia="SimSun" w:hAnsi="SimSun" w:cs="SimSun"/>
          <w:snapToGrid w:val="0"/>
          <w:kern w:val="22"/>
          <w:sz w:val="24"/>
          <w:szCs w:val="24"/>
          <w:lang w:val="en-GB"/>
        </w:rPr>
      </w:pPr>
      <w:r w:rsidRPr="000C0842">
        <w:rPr>
          <w:rFonts w:ascii="SimSun" w:eastAsia="SimSun" w:hAnsi="SimSun" w:cs="SimSun" w:hint="eastAsia"/>
          <w:snapToGrid w:val="0"/>
          <w:kern w:val="22"/>
          <w:sz w:val="24"/>
          <w:szCs w:val="24"/>
          <w:lang w:val="en-GB"/>
        </w:rPr>
        <w:t>制定和实施执行《卡塔赫纳议定书》的法律、行政和其他措施；</w:t>
      </w:r>
    </w:p>
    <w:p w14:paraId="71E76907"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风险评估和风险管理；</w:t>
      </w:r>
    </w:p>
    <w:p w14:paraId="55B51C77"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检测和识别改性活生物体；</w:t>
      </w:r>
    </w:p>
    <w:p w14:paraId="2011F140"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公众意识、教育和参与；</w:t>
      </w:r>
    </w:p>
    <w:p w14:paraId="6B60ECEE"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社会经济因素；</w:t>
      </w:r>
    </w:p>
    <w:p w14:paraId="006E47A6"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赔偿责任和补救；</w:t>
      </w:r>
    </w:p>
    <w:p w14:paraId="21BF4F0C"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国家报告、信息共享和生物安全信息交换所；</w:t>
      </w:r>
    </w:p>
    <w:p w14:paraId="43484B7D"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知识分享和技术转让；</w:t>
      </w:r>
    </w:p>
    <w:p w14:paraId="4784CE5E" w14:textId="77777777" w:rsidR="000A776A" w:rsidRPr="000C0842" w:rsidRDefault="000A776A">
      <w:pPr>
        <w:numPr>
          <w:ilvl w:val="0"/>
          <w:numId w:val="185"/>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执行行动计划以遵守《卡塔赫纳议定书》。</w:t>
      </w:r>
    </w:p>
    <w:p w14:paraId="4CEDC71C" w14:textId="77777777" w:rsidR="000A776A" w:rsidRPr="000C0842" w:rsidRDefault="000A776A" w:rsidP="00C10708">
      <w:pPr>
        <w:keepNext/>
        <w:keepLines/>
        <w:suppressLineNumbers/>
        <w:tabs>
          <w:tab w:val="clear" w:pos="567"/>
          <w:tab w:val="clear" w:pos="1134"/>
          <w:tab w:val="clear" w:pos="1701"/>
          <w:tab w:val="clear" w:pos="2268"/>
        </w:tabs>
        <w:suppressAutoHyphens/>
        <w:adjustRightInd w:val="0"/>
        <w:snapToGrid w:val="0"/>
        <w:spacing w:before="240"/>
        <w:ind w:firstLine="490"/>
        <w:rPr>
          <w:rFonts w:eastAsia="SimSun"/>
          <w:b/>
          <w:bCs/>
          <w:iCs/>
          <w:sz w:val="24"/>
          <w:szCs w:val="24"/>
        </w:rPr>
      </w:pPr>
      <w:r w:rsidRPr="000C0842">
        <w:rPr>
          <w:rFonts w:eastAsia="SimSun"/>
          <w:b/>
          <w:bCs/>
          <w:iCs/>
          <w:snapToGrid w:val="0"/>
          <w:kern w:val="22"/>
          <w:sz w:val="24"/>
          <w:szCs w:val="24"/>
          <w:lang w:val="en-GB"/>
        </w:rPr>
        <w:t>附文</w:t>
      </w:r>
      <w:r w:rsidRPr="000C0842">
        <w:rPr>
          <w:rFonts w:eastAsia="SimSun" w:hint="eastAsia"/>
          <w:b/>
          <w:bCs/>
          <w:iCs/>
          <w:snapToGrid w:val="0"/>
          <w:kern w:val="22"/>
          <w:sz w:val="24"/>
          <w:szCs w:val="24"/>
          <w:lang w:val="en-GB"/>
        </w:rPr>
        <w:t>二</w:t>
      </w:r>
    </w:p>
    <w:p w14:paraId="58FC6AA4" w14:textId="77777777" w:rsidR="000A776A" w:rsidRPr="000C0842" w:rsidRDefault="000A776A" w:rsidP="00C10708">
      <w:pPr>
        <w:keepNext/>
        <w:keepLines/>
        <w:tabs>
          <w:tab w:val="clear" w:pos="567"/>
          <w:tab w:val="clear" w:pos="1134"/>
          <w:tab w:val="clear" w:pos="1701"/>
          <w:tab w:val="clear" w:pos="2268"/>
        </w:tabs>
        <w:spacing w:after="120"/>
        <w:ind w:left="490"/>
        <w:rPr>
          <w:rFonts w:eastAsia="SimSun"/>
          <w:b/>
          <w:bCs/>
          <w:iCs/>
          <w:snapToGrid w:val="0"/>
          <w:sz w:val="24"/>
          <w:szCs w:val="24"/>
        </w:rPr>
      </w:pPr>
      <w:r w:rsidRPr="000C0842">
        <w:rPr>
          <w:rFonts w:eastAsia="SimSun"/>
          <w:b/>
          <w:bCs/>
          <w:iCs/>
          <w:sz w:val="24"/>
          <w:szCs w:val="24"/>
          <w:lang w:val="en-GB"/>
        </w:rPr>
        <w:t>支持执行《</w:t>
      </w:r>
      <w:r w:rsidRPr="000C0842">
        <w:rPr>
          <w:rFonts w:eastAsia="SimSun"/>
          <w:b/>
          <w:bCs/>
          <w:sz w:val="24"/>
          <w:szCs w:val="24"/>
          <w:lang w:val="en-GB"/>
        </w:rPr>
        <w:t>关于获取遗传资源和公正和公平分享其利用所产生惠益的名古屋议定书</w:t>
      </w:r>
      <w:r w:rsidRPr="000C0842">
        <w:rPr>
          <w:rFonts w:eastAsia="SimSun"/>
          <w:b/>
          <w:bCs/>
          <w:iCs/>
          <w:sz w:val="24"/>
          <w:szCs w:val="24"/>
          <w:lang w:val="en-GB"/>
        </w:rPr>
        <w:t>》的全球环境基金信托基金第九增资期（</w:t>
      </w:r>
      <w:r w:rsidRPr="000C0842">
        <w:rPr>
          <w:rFonts w:eastAsia="SimSun"/>
          <w:b/>
          <w:bCs/>
          <w:caps/>
          <w:snapToGrid w:val="0"/>
          <w:sz w:val="24"/>
          <w:szCs w:val="24"/>
          <w:lang w:val="en-GB"/>
        </w:rPr>
        <w:t>2026</w:t>
      </w:r>
      <w:r w:rsidRPr="000C0842">
        <w:rPr>
          <w:rFonts w:eastAsia="SimSun"/>
          <w:b/>
          <w:bCs/>
          <w:iCs/>
          <w:caps/>
          <w:sz w:val="24"/>
          <w:szCs w:val="24"/>
          <w:lang w:val="en-GB"/>
        </w:rPr>
        <w:t>–</w:t>
      </w:r>
      <w:r w:rsidRPr="000C0842">
        <w:rPr>
          <w:rFonts w:eastAsia="SimSun"/>
          <w:b/>
          <w:bCs/>
          <w:caps/>
          <w:snapToGrid w:val="0"/>
          <w:sz w:val="24"/>
          <w:szCs w:val="24"/>
          <w:lang w:val="en-GB"/>
        </w:rPr>
        <w:t>2030</w:t>
      </w:r>
      <w:r w:rsidRPr="000C0842">
        <w:rPr>
          <w:rFonts w:eastAsia="SimSun"/>
          <w:b/>
          <w:bCs/>
          <w:iCs/>
          <w:sz w:val="24"/>
          <w:szCs w:val="24"/>
          <w:lang w:val="en-GB"/>
        </w:rPr>
        <w:t>年）</w:t>
      </w:r>
      <w:r w:rsidRPr="000C0842">
        <w:rPr>
          <w:rFonts w:eastAsia="SimSun" w:hint="eastAsia"/>
          <w:b/>
          <w:bCs/>
          <w:iCs/>
          <w:sz w:val="24"/>
          <w:szCs w:val="24"/>
          <w:lang w:val="en-GB"/>
        </w:rPr>
        <w:t>《生物多样性公约》</w:t>
      </w:r>
      <w:r w:rsidRPr="000C0842">
        <w:rPr>
          <w:rFonts w:eastAsia="SimSun"/>
          <w:b/>
          <w:bCs/>
          <w:iCs/>
          <w:sz w:val="24"/>
          <w:szCs w:val="24"/>
          <w:lang w:val="en-GB"/>
        </w:rPr>
        <w:t>成果导向四年期</w:t>
      </w:r>
      <w:r w:rsidRPr="000C0842">
        <w:rPr>
          <w:rFonts w:eastAsia="SimSun" w:hint="eastAsia"/>
          <w:b/>
          <w:bCs/>
          <w:iCs/>
          <w:sz w:val="24"/>
          <w:szCs w:val="24"/>
          <w:lang w:val="en-GB"/>
        </w:rPr>
        <w:t>生物多样性</w:t>
      </w:r>
      <w:r w:rsidRPr="000C0842">
        <w:rPr>
          <w:rFonts w:eastAsia="SimSun"/>
          <w:b/>
          <w:bCs/>
          <w:iCs/>
          <w:sz w:val="24"/>
          <w:szCs w:val="24"/>
          <w:lang w:val="en-GB"/>
        </w:rPr>
        <w:t>方案重点框架的补充内容</w:t>
      </w:r>
    </w:p>
    <w:p w14:paraId="6693FDE0"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napToGrid w:val="0"/>
          <w:kern w:val="22"/>
          <w:sz w:val="24"/>
          <w:szCs w:val="24"/>
          <w:lang w:val="en-GB"/>
        </w:rPr>
      </w:pPr>
      <w:r w:rsidRPr="000C0842">
        <w:rPr>
          <w:rFonts w:eastAsia="SimSun"/>
          <w:iCs/>
          <w:sz w:val="24"/>
          <w:szCs w:val="24"/>
          <w:lang w:val="en-GB"/>
        </w:rPr>
        <w:t>支持执行《</w:t>
      </w:r>
      <w:r w:rsidRPr="000C0842">
        <w:rPr>
          <w:rFonts w:eastAsia="SimSun"/>
          <w:sz w:val="24"/>
          <w:szCs w:val="24"/>
          <w:lang w:val="en-GB"/>
        </w:rPr>
        <w:t>关于获取遗传资源和公正和公平分享其利用所产生惠益的</w:t>
      </w:r>
      <w:r w:rsidRPr="000C0842">
        <w:rPr>
          <w:rFonts w:eastAsia="SimSun"/>
          <w:iCs/>
          <w:sz w:val="24"/>
          <w:szCs w:val="24"/>
          <w:lang w:val="en-GB"/>
        </w:rPr>
        <w:t>名古屋议定书》</w:t>
      </w:r>
      <w:r w:rsidRPr="000C0842">
        <w:rPr>
          <w:rFonts w:eastAsia="SimSun"/>
          <w:iCs/>
          <w:sz w:val="24"/>
          <w:szCs w:val="24"/>
          <w:vertAlign w:val="superscript"/>
          <w:lang w:val="en-GB"/>
        </w:rPr>
        <w:footnoteReference w:id="468"/>
      </w:r>
      <w:r w:rsidRPr="000C0842">
        <w:rPr>
          <w:rFonts w:eastAsia="SimSun"/>
          <w:iCs/>
          <w:sz w:val="24"/>
          <w:szCs w:val="24"/>
          <w:lang w:val="en-GB"/>
        </w:rPr>
        <w:t>的全球环境基金信托基金第九增资期（</w:t>
      </w:r>
      <w:r w:rsidRPr="000C0842">
        <w:rPr>
          <w:rFonts w:eastAsia="SimSun"/>
          <w:caps/>
          <w:snapToGrid w:val="0"/>
          <w:sz w:val="24"/>
          <w:szCs w:val="24"/>
          <w:lang w:val="en-GB"/>
        </w:rPr>
        <w:t>2026</w:t>
      </w:r>
      <w:r w:rsidRPr="000C0842">
        <w:rPr>
          <w:rFonts w:eastAsia="SimSun"/>
          <w:iCs/>
          <w:caps/>
          <w:sz w:val="24"/>
          <w:szCs w:val="24"/>
          <w:lang w:val="en-GB"/>
        </w:rPr>
        <w:t>–</w:t>
      </w:r>
      <w:r w:rsidRPr="000C0842">
        <w:rPr>
          <w:rFonts w:eastAsia="SimSun"/>
          <w:caps/>
          <w:snapToGrid w:val="0"/>
          <w:sz w:val="24"/>
          <w:szCs w:val="24"/>
          <w:lang w:val="en-GB"/>
        </w:rPr>
        <w:t>2030</w:t>
      </w:r>
      <w:r w:rsidRPr="000C0842">
        <w:rPr>
          <w:rFonts w:eastAsia="SimSun"/>
          <w:iCs/>
          <w:sz w:val="24"/>
          <w:szCs w:val="24"/>
          <w:lang w:val="en-GB"/>
        </w:rPr>
        <w:t>年）成果导向四年期方案重点框架内容由</w:t>
      </w:r>
      <w:r w:rsidRPr="000C0842">
        <w:rPr>
          <w:rFonts w:eastAsia="SimSun"/>
          <w:snapToGrid w:val="0"/>
          <w:kern w:val="22"/>
          <w:sz w:val="24"/>
          <w:szCs w:val="24"/>
          <w:lang w:val="en-GB"/>
        </w:rPr>
        <w:t>作为</w:t>
      </w:r>
      <w:r w:rsidRPr="000C0842">
        <w:rPr>
          <w:rFonts w:eastAsia="SimSun"/>
          <w:sz w:val="24"/>
          <w:szCs w:val="24"/>
          <w:lang w:val="en-GB"/>
        </w:rPr>
        <w:t>议定书缔约方会议的缔约方大会第五次会议通过，</w:t>
      </w:r>
      <w:r w:rsidRPr="000C0842">
        <w:rPr>
          <w:rFonts w:eastAsia="SimSun" w:hint="eastAsia"/>
          <w:iCs/>
          <w:sz w:val="24"/>
          <w:szCs w:val="24"/>
          <w:lang w:val="en-GB"/>
        </w:rPr>
        <w:t>要素包括</w:t>
      </w:r>
      <w:r w:rsidRPr="000C0842">
        <w:rPr>
          <w:rFonts w:eastAsia="SimSun"/>
          <w:iCs/>
          <w:sz w:val="24"/>
          <w:szCs w:val="24"/>
          <w:lang w:val="en-GB"/>
        </w:rPr>
        <w:t>：</w:t>
      </w:r>
      <w:r w:rsidRPr="000C0842">
        <w:rPr>
          <w:rFonts w:eastAsia="SimSun"/>
          <w:snapToGrid w:val="0"/>
          <w:kern w:val="22"/>
          <w:sz w:val="24"/>
          <w:szCs w:val="24"/>
          <w:lang w:val="en-GB"/>
        </w:rPr>
        <w:t xml:space="preserve"> </w:t>
      </w:r>
    </w:p>
    <w:p w14:paraId="567F7495" w14:textId="77777777" w:rsidR="000A776A" w:rsidRPr="000C0842" w:rsidRDefault="000A776A">
      <w:pPr>
        <w:numPr>
          <w:ilvl w:val="0"/>
          <w:numId w:val="186"/>
        </w:numPr>
        <w:tabs>
          <w:tab w:val="clear" w:pos="567"/>
          <w:tab w:val="clear" w:pos="1134"/>
          <w:tab w:val="clear" w:pos="1701"/>
          <w:tab w:val="clear" w:pos="2268"/>
        </w:tabs>
        <w:spacing w:before="120" w:after="120"/>
        <w:rPr>
          <w:rFonts w:eastAsia="Times New Roman"/>
          <w:snapToGrid w:val="0"/>
          <w:sz w:val="24"/>
          <w:szCs w:val="24"/>
          <w:lang w:val="en-GB"/>
        </w:rPr>
      </w:pPr>
      <w:r w:rsidRPr="000C0842">
        <w:rPr>
          <w:rFonts w:ascii="SimSun" w:eastAsia="SimSun" w:hAnsi="SimSun" w:cs="SimSun" w:hint="eastAsia"/>
          <w:snapToGrid w:val="0"/>
          <w:sz w:val="24"/>
          <w:szCs w:val="24"/>
          <w:lang w:val="en-GB"/>
        </w:rPr>
        <w:t>支持符合条件的缔约方执行《名古屋议定书能力建设和发展行动计划》，并为其提供充足的资金</w:t>
      </w:r>
      <w:r w:rsidRPr="000C0842">
        <w:rPr>
          <w:rFonts w:eastAsia="SimSun"/>
          <w:snapToGrid w:val="0"/>
          <w:sz w:val="24"/>
          <w:szCs w:val="24"/>
          <w:vertAlign w:val="superscript"/>
          <w:lang w:val="en-GB"/>
        </w:rPr>
        <w:footnoteReference w:id="469"/>
      </w:r>
      <w:r w:rsidRPr="000C0842">
        <w:rPr>
          <w:rFonts w:ascii="SimSun" w:eastAsia="SimSun" w:hAnsi="SimSun" w:cs="SimSun" w:hint="eastAsia"/>
          <w:snapToGrid w:val="0"/>
          <w:sz w:val="24"/>
          <w:szCs w:val="24"/>
          <w:lang w:val="en-GB"/>
        </w:rPr>
        <w:t>；</w:t>
      </w:r>
      <w:r w:rsidRPr="000C0842">
        <w:rPr>
          <w:rFonts w:eastAsia="Times New Roman" w:hint="eastAsia"/>
          <w:snapToGrid w:val="0"/>
          <w:sz w:val="24"/>
          <w:szCs w:val="24"/>
          <w:lang w:val="en-GB"/>
        </w:rPr>
        <w:t xml:space="preserve">  </w:t>
      </w:r>
    </w:p>
    <w:p w14:paraId="72A85BC8" w14:textId="77777777" w:rsidR="000A776A" w:rsidRPr="000C0842" w:rsidRDefault="000A776A">
      <w:pPr>
        <w:numPr>
          <w:ilvl w:val="0"/>
          <w:numId w:val="186"/>
        </w:numPr>
        <w:tabs>
          <w:tab w:val="clear" w:pos="567"/>
          <w:tab w:val="clear" w:pos="1134"/>
          <w:tab w:val="clear" w:pos="1701"/>
          <w:tab w:val="clear" w:pos="2268"/>
        </w:tabs>
        <w:spacing w:before="120" w:after="120"/>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继续支持符合条件的缔约方在以下领域开展活动：</w:t>
      </w:r>
    </w:p>
    <w:p w14:paraId="3FD5F7D3" w14:textId="77777777" w:rsidR="000A776A" w:rsidRPr="000C0842" w:rsidRDefault="000A776A">
      <w:pPr>
        <w:numPr>
          <w:ilvl w:val="0"/>
          <w:numId w:val="187"/>
        </w:numPr>
        <w:tabs>
          <w:tab w:val="clear" w:pos="567"/>
          <w:tab w:val="clear" w:pos="1134"/>
          <w:tab w:val="clear" w:pos="1701"/>
          <w:tab w:val="clear" w:pos="2268"/>
        </w:tabs>
        <w:spacing w:before="120" w:after="120"/>
        <w:ind w:left="2016"/>
        <w:rPr>
          <w:rFonts w:ascii="SimSun" w:eastAsia="SimSun" w:hAnsi="SimSun" w:cs="SimSun"/>
          <w:snapToGrid w:val="0"/>
          <w:kern w:val="22"/>
          <w:sz w:val="24"/>
          <w:szCs w:val="24"/>
          <w:lang w:val="en-GB"/>
        </w:rPr>
      </w:pPr>
      <w:r w:rsidRPr="000C0842">
        <w:rPr>
          <w:rFonts w:ascii="SimSun" w:eastAsia="SimSun" w:hAnsi="SimSun" w:cs="SimSun" w:hint="eastAsia"/>
          <w:snapToGrid w:val="0"/>
          <w:kern w:val="22"/>
          <w:sz w:val="24"/>
          <w:szCs w:val="24"/>
          <w:lang w:val="en-GB"/>
        </w:rPr>
        <w:t>支持执行《名古屋议定书》的持续能力建设和发展的具体优先事项；</w:t>
      </w:r>
    </w:p>
    <w:p w14:paraId="0E913059" w14:textId="77777777" w:rsidR="000A776A" w:rsidRPr="000C0842" w:rsidRDefault="000A776A">
      <w:pPr>
        <w:numPr>
          <w:ilvl w:val="0"/>
          <w:numId w:val="187"/>
        </w:numPr>
        <w:tabs>
          <w:tab w:val="clear" w:pos="567"/>
          <w:tab w:val="clear" w:pos="1134"/>
          <w:tab w:val="clear" w:pos="1701"/>
          <w:tab w:val="clear" w:pos="2268"/>
        </w:tabs>
        <w:spacing w:before="120" w:after="120"/>
        <w:ind w:left="2016"/>
        <w:rPr>
          <w:rFonts w:eastAsia="Times New Roman"/>
          <w:snapToGrid w:val="0"/>
          <w:kern w:val="22"/>
          <w:sz w:val="24"/>
          <w:szCs w:val="24"/>
          <w:lang w:val="en-GB"/>
        </w:rPr>
      </w:pPr>
      <w:r w:rsidRPr="000C0842">
        <w:rPr>
          <w:rFonts w:ascii="SimSun" w:eastAsia="SimSun" w:hAnsi="SimSun" w:cs="SimSun" w:hint="eastAsia"/>
          <w:snapToGrid w:val="0"/>
          <w:kern w:val="22"/>
          <w:sz w:val="24"/>
          <w:szCs w:val="24"/>
          <w:lang w:val="en-GB"/>
        </w:rPr>
        <w:t>将获取遗传资源和与遗传资源相关的传统知识和分享其利用所产生惠益纳入与生物多样性和可持续发展相关的政策和活动并使其主流化；</w:t>
      </w:r>
    </w:p>
    <w:p w14:paraId="72F87FE0" w14:textId="77777777" w:rsidR="000A776A" w:rsidRPr="000C0842" w:rsidRDefault="000A776A">
      <w:pPr>
        <w:numPr>
          <w:ilvl w:val="0"/>
          <w:numId w:val="187"/>
        </w:numPr>
        <w:tabs>
          <w:tab w:val="clear" w:pos="567"/>
          <w:tab w:val="clear" w:pos="1134"/>
          <w:tab w:val="clear" w:pos="1701"/>
          <w:tab w:val="clear" w:pos="2268"/>
        </w:tabs>
        <w:spacing w:before="120" w:after="120"/>
        <w:ind w:left="2016"/>
        <w:rPr>
          <w:rFonts w:eastAsia="SimSun"/>
          <w:iCs/>
          <w:snapToGrid w:val="0"/>
          <w:kern w:val="22"/>
          <w:sz w:val="24"/>
          <w:szCs w:val="24"/>
        </w:rPr>
      </w:pPr>
      <w:r w:rsidRPr="000C0842">
        <w:rPr>
          <w:rFonts w:ascii="SimSun" w:eastAsia="SimSun" w:hAnsi="SimSun" w:cs="SimSun" w:hint="eastAsia"/>
          <w:snapToGrid w:val="0"/>
          <w:kern w:val="22"/>
          <w:sz w:val="24"/>
          <w:szCs w:val="24"/>
          <w:lang w:val="en-GB"/>
        </w:rPr>
        <w:t>发展管理、监测和评价国家获取和惠益分享框架的长期机构能力。</w:t>
      </w:r>
    </w:p>
    <w:bookmarkEnd w:id="131"/>
    <w:p w14:paraId="424EA165" w14:textId="77777777" w:rsidR="000A776A" w:rsidRPr="000C0842" w:rsidRDefault="000A776A" w:rsidP="000A776A">
      <w:pPr>
        <w:keepNext/>
        <w:keepLines/>
        <w:tabs>
          <w:tab w:val="clear" w:pos="567"/>
          <w:tab w:val="clear" w:pos="1134"/>
          <w:tab w:val="clear" w:pos="1701"/>
          <w:tab w:val="clear" w:pos="2268"/>
        </w:tabs>
        <w:spacing w:before="120" w:after="120"/>
        <w:ind w:firstLine="490"/>
        <w:rPr>
          <w:rFonts w:eastAsia="SimSun"/>
          <w:b/>
          <w:sz w:val="24"/>
          <w:szCs w:val="24"/>
          <w:lang w:val="en-GB" w:bidi="ar-SY"/>
        </w:rPr>
      </w:pPr>
    </w:p>
    <w:p w14:paraId="5D92849E" w14:textId="77777777" w:rsidR="000A776A" w:rsidRPr="000C0842" w:rsidRDefault="000A776A" w:rsidP="0012108A">
      <w:pPr>
        <w:keepNext/>
        <w:keepLines/>
        <w:tabs>
          <w:tab w:val="clear" w:pos="567"/>
          <w:tab w:val="clear" w:pos="1134"/>
          <w:tab w:val="clear" w:pos="1701"/>
          <w:tab w:val="clear" w:pos="2268"/>
        </w:tabs>
        <w:spacing w:before="120"/>
        <w:ind w:firstLine="490"/>
        <w:rPr>
          <w:rFonts w:eastAsia="SimSun"/>
          <w:b/>
          <w:sz w:val="24"/>
          <w:szCs w:val="24"/>
          <w:lang w:val="en-GB" w:bidi="ar-SY"/>
        </w:rPr>
      </w:pPr>
      <w:r w:rsidRPr="000C0842">
        <w:rPr>
          <w:rFonts w:eastAsia="SimSun" w:hint="eastAsia"/>
          <w:b/>
          <w:sz w:val="24"/>
          <w:szCs w:val="24"/>
          <w:lang w:val="en-GB" w:bidi="ar-SY"/>
        </w:rPr>
        <w:t>附件二</w:t>
      </w:r>
    </w:p>
    <w:p w14:paraId="58F694F0" w14:textId="77777777" w:rsidR="000A776A" w:rsidRPr="000C0842" w:rsidRDefault="000A776A" w:rsidP="0012108A">
      <w:pPr>
        <w:keepNext/>
        <w:keepLines/>
        <w:tabs>
          <w:tab w:val="clear" w:pos="567"/>
          <w:tab w:val="clear" w:pos="1134"/>
          <w:tab w:val="clear" w:pos="1701"/>
          <w:tab w:val="clear" w:pos="2268"/>
        </w:tabs>
        <w:ind w:firstLine="490"/>
        <w:rPr>
          <w:rFonts w:eastAsia="SimSun"/>
          <w:b/>
          <w:sz w:val="24"/>
          <w:szCs w:val="24"/>
          <w:lang w:val="en-GB"/>
        </w:rPr>
      </w:pPr>
      <w:r w:rsidRPr="000C0842">
        <w:rPr>
          <w:rFonts w:eastAsia="SimSun" w:hint="eastAsia"/>
          <w:b/>
          <w:sz w:val="24"/>
          <w:szCs w:val="24"/>
          <w:lang w:val="en-GB"/>
        </w:rPr>
        <w:t>对全球环境基金的补充指导意见</w:t>
      </w:r>
      <w:r w:rsidRPr="000C0842">
        <w:rPr>
          <w:rFonts w:eastAsia="SimSun" w:hint="eastAsia"/>
          <w:b/>
          <w:sz w:val="24"/>
          <w:szCs w:val="24"/>
          <w:lang w:val="en-GB"/>
        </w:rPr>
        <w:t xml:space="preserve"> </w:t>
      </w:r>
    </w:p>
    <w:p w14:paraId="06BC987A" w14:textId="77777777" w:rsidR="000A776A" w:rsidRPr="000C0842" w:rsidRDefault="000A776A" w:rsidP="000A776A">
      <w:pPr>
        <w:tabs>
          <w:tab w:val="clear" w:pos="567"/>
          <w:tab w:val="clear" w:pos="1134"/>
          <w:tab w:val="clear" w:pos="1701"/>
          <w:tab w:val="clear" w:pos="2268"/>
        </w:tabs>
        <w:spacing w:before="120" w:after="120"/>
        <w:ind w:left="490" w:firstLine="490"/>
        <w:rPr>
          <w:rFonts w:ascii="SimSun" w:eastAsia="SimSun" w:hAnsi="SimSun" w:cs="Microsoft YaHei"/>
          <w:snapToGrid w:val="0"/>
          <w:kern w:val="22"/>
          <w:sz w:val="24"/>
          <w:szCs w:val="24"/>
        </w:rPr>
      </w:pPr>
      <w:r w:rsidRPr="000C0842">
        <w:rPr>
          <w:rFonts w:ascii="SimSun" w:eastAsia="SimSun" w:hAnsi="SimSun" w:cs="Microsoft YaHei" w:hint="eastAsia"/>
          <w:snapToGrid w:val="0"/>
          <w:kern w:val="22"/>
          <w:sz w:val="24"/>
          <w:szCs w:val="24"/>
        </w:rPr>
        <w:t>缔约方大会：</w:t>
      </w:r>
    </w:p>
    <w:p w14:paraId="0C323945" w14:textId="77777777" w:rsidR="000A776A" w:rsidRPr="000C0842" w:rsidRDefault="000A776A" w:rsidP="000A776A">
      <w:pPr>
        <w:tabs>
          <w:tab w:val="clear" w:pos="567"/>
          <w:tab w:val="clear" w:pos="1134"/>
          <w:tab w:val="clear" w:pos="1701"/>
          <w:tab w:val="clear" w:pos="2268"/>
        </w:tabs>
        <w:spacing w:before="120" w:after="120"/>
        <w:ind w:left="490"/>
        <w:rPr>
          <w:rFonts w:ascii="SimSun" w:eastAsia="KaiTi" w:hAnsi="SimSun"/>
          <w:snapToGrid w:val="0"/>
          <w:kern w:val="22"/>
          <w:sz w:val="24"/>
          <w:szCs w:val="24"/>
        </w:rPr>
      </w:pPr>
      <w:r w:rsidRPr="000C0842">
        <w:rPr>
          <w:rFonts w:ascii="SimSun" w:eastAsia="KaiTi" w:hAnsi="SimSun" w:hint="eastAsia"/>
          <w:snapToGrid w:val="0"/>
          <w:kern w:val="22"/>
          <w:sz w:val="24"/>
          <w:szCs w:val="24"/>
        </w:rPr>
        <w:t>生物多样性与健康</w:t>
      </w:r>
    </w:p>
    <w:p w14:paraId="7DCBC156"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lang w:val="en-GB"/>
        </w:rPr>
      </w:pPr>
      <w:r w:rsidRPr="000C0842">
        <w:rPr>
          <w:rFonts w:eastAsia="SimSun" w:hint="eastAsia"/>
          <w:iCs/>
          <w:sz w:val="24"/>
          <w:szCs w:val="24"/>
          <w:lang w:val="en-GB"/>
        </w:rPr>
        <w:t>请全球环境基金应要求向所有</w:t>
      </w:r>
      <w:r w:rsidRPr="000C0842">
        <w:rPr>
          <w:rFonts w:eastAsia="SimSun"/>
          <w:kern w:val="2"/>
          <w:sz w:val="24"/>
          <w:szCs w:val="24"/>
          <w14:ligatures w14:val="standardContextual"/>
        </w:rPr>
        <w:t>符合条件的</w:t>
      </w:r>
      <w:r w:rsidRPr="000C0842">
        <w:rPr>
          <w:rFonts w:eastAsia="SimSun" w:hint="eastAsia"/>
          <w:kern w:val="2"/>
          <w:sz w:val="24"/>
          <w:szCs w:val="24"/>
          <w14:ligatures w14:val="standardContextual"/>
        </w:rPr>
        <w:t>缔约方</w:t>
      </w:r>
      <w:r w:rsidRPr="000C0842">
        <w:rPr>
          <w:rFonts w:ascii="SimSun" w:eastAsia="SimSun" w:hAnsi="SimSun" w:hint="eastAsia"/>
          <w:snapToGrid w:val="0"/>
          <w:kern w:val="22"/>
          <w:sz w:val="24"/>
          <w:szCs w:val="24"/>
          <w:lang w:val="en-GB"/>
        </w:rPr>
        <w:t>，包括向符合条件的能力建设和发展活动提供财务援助，用于国家、次国家和区域执行《生物多样性和健康全球行动计划》</w:t>
      </w:r>
      <w:r w:rsidRPr="000C0842">
        <w:rPr>
          <w:rFonts w:eastAsia="SimSun"/>
          <w:snapToGrid w:val="0"/>
          <w:kern w:val="22"/>
          <w:sz w:val="24"/>
          <w:szCs w:val="24"/>
          <w:vertAlign w:val="superscript"/>
          <w:lang w:val="en-GB"/>
        </w:rPr>
        <w:footnoteReference w:id="470"/>
      </w:r>
      <w:r w:rsidRPr="000C0842">
        <w:rPr>
          <w:rFonts w:ascii="SimSun" w:eastAsia="SimSun" w:hAnsi="SimSun" w:hint="eastAsia"/>
          <w:snapToGrid w:val="0"/>
          <w:kern w:val="22"/>
          <w:sz w:val="24"/>
          <w:szCs w:val="24"/>
          <w:lang w:val="en-GB"/>
        </w:rPr>
        <w:t xml:space="preserve">的项目。 </w:t>
      </w:r>
    </w:p>
    <w:p w14:paraId="0CC50611" w14:textId="77777777" w:rsidR="000A776A" w:rsidRPr="000C0842" w:rsidRDefault="000A776A" w:rsidP="000A776A">
      <w:pPr>
        <w:spacing w:before="120" w:after="120"/>
        <w:ind w:left="490"/>
        <w:rPr>
          <w:rFonts w:ascii="SimSun" w:eastAsia="KaiTi" w:hAnsi="SimSun"/>
          <w:snapToGrid w:val="0"/>
          <w:kern w:val="22"/>
          <w:sz w:val="24"/>
          <w:szCs w:val="24"/>
        </w:rPr>
      </w:pPr>
      <w:r w:rsidRPr="000C0842">
        <w:rPr>
          <w:rFonts w:ascii="SimSun" w:eastAsia="KaiTi" w:hAnsi="SimSun" w:hint="eastAsia"/>
          <w:snapToGrid w:val="0"/>
          <w:kern w:val="22"/>
          <w:sz w:val="24"/>
          <w:szCs w:val="24"/>
        </w:rPr>
        <w:t>国家生物多样性战略和行动计划</w:t>
      </w:r>
    </w:p>
    <w:p w14:paraId="7D867D88"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eastAsia="SimSun"/>
          <w:iCs/>
          <w:sz w:val="24"/>
          <w:szCs w:val="24"/>
          <w:lang w:val="en-GB"/>
        </w:rPr>
      </w:pPr>
      <w:r w:rsidRPr="000C0842">
        <w:rPr>
          <w:rFonts w:eastAsia="SimSun" w:hint="eastAsia"/>
          <w:iCs/>
          <w:sz w:val="24"/>
          <w:szCs w:val="24"/>
          <w:lang w:val="en-GB"/>
        </w:rPr>
        <w:t>请全球环境基金及其执行机构根据请求及时向所有符合条件的缔约方提供符合国情和需求的支持，使其能够修订或更新国家生物多样性战略和行动计划。</w:t>
      </w:r>
    </w:p>
    <w:p w14:paraId="2B8AD5ED" w14:textId="77777777" w:rsidR="000A776A" w:rsidRPr="000C0842" w:rsidRDefault="000A776A" w:rsidP="000A776A">
      <w:pPr>
        <w:spacing w:before="120" w:after="120"/>
        <w:ind w:left="490"/>
        <w:rPr>
          <w:rFonts w:ascii="SimSun" w:eastAsia="KaiTi" w:hAnsi="SimSun"/>
          <w:snapToGrid w:val="0"/>
          <w:kern w:val="22"/>
          <w:sz w:val="24"/>
          <w:szCs w:val="24"/>
        </w:rPr>
      </w:pPr>
      <w:r w:rsidRPr="000C0842">
        <w:rPr>
          <w:rFonts w:ascii="SimSun" w:eastAsia="KaiTi" w:hAnsi="SimSun" w:hint="eastAsia"/>
          <w:snapToGrid w:val="0"/>
          <w:kern w:val="22"/>
          <w:sz w:val="24"/>
          <w:szCs w:val="24"/>
        </w:rPr>
        <w:t>信息交换所机制</w:t>
      </w:r>
    </w:p>
    <w:p w14:paraId="083DA0F8"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lang w:val="en-GB"/>
        </w:rPr>
      </w:pPr>
      <w:r w:rsidRPr="000C0842">
        <w:rPr>
          <w:rFonts w:ascii="SimSun" w:eastAsia="SimSun" w:hAnsi="SimSun"/>
          <w:snapToGrid w:val="0"/>
          <w:kern w:val="22"/>
          <w:sz w:val="24"/>
          <w:szCs w:val="24"/>
        </w:rPr>
        <w:t>请</w:t>
      </w:r>
      <w:r w:rsidRPr="000C0842">
        <w:rPr>
          <w:rFonts w:ascii="SimSun" w:eastAsia="SimSun" w:hAnsi="SimSun" w:cs="SimSun" w:hint="eastAsia"/>
          <w:snapToGrid w:val="0"/>
          <w:kern w:val="22"/>
          <w:sz w:val="24"/>
          <w:szCs w:val="24"/>
        </w:rPr>
        <w:t>全球环境基金根据其任务授权</w:t>
      </w:r>
      <w:r w:rsidRPr="000C0842">
        <w:rPr>
          <w:rFonts w:ascii="SimSun" w:eastAsia="SimSun" w:hAnsi="SimSun" w:cs="SimSun" w:hint="eastAsia"/>
          <w:sz w:val="24"/>
          <w:szCs w:val="24"/>
          <w:lang w:val="en-GB"/>
        </w:rPr>
        <w:t>，考虑发展中国家缔约方，</w:t>
      </w:r>
      <w:r w:rsidRPr="000C0842">
        <w:rPr>
          <w:rFonts w:eastAsia="SimSun" w:hint="eastAsia"/>
          <w:iCs/>
          <w:sz w:val="24"/>
          <w:szCs w:val="24"/>
          <w:lang w:val="en-GB"/>
        </w:rPr>
        <w:t>特别是最不发达国小岛屿发展中国家以及经济转型国家缔约方的供资申请</w:t>
      </w:r>
      <w:r w:rsidRPr="000C0842">
        <w:rPr>
          <w:rFonts w:ascii="SimSun" w:eastAsia="SimSun" w:hAnsi="SimSun" w:cs="SimSun" w:hint="eastAsia"/>
          <w:sz w:val="24"/>
          <w:szCs w:val="24"/>
          <w:lang w:val="en-GB"/>
        </w:rPr>
        <w:t>，使其能够实施信息交换所机制</w:t>
      </w:r>
      <w:r w:rsidRPr="000C0842">
        <w:rPr>
          <w:rFonts w:eastAsia="Times New Roman"/>
          <w:sz w:val="24"/>
          <w:szCs w:val="24"/>
          <w:lang w:val="en-GB"/>
        </w:rPr>
        <w:t>2024-2030</w:t>
      </w:r>
      <w:r w:rsidRPr="000C0842">
        <w:rPr>
          <w:rFonts w:ascii="SimSun" w:eastAsia="SimSun" w:hAnsi="SimSun" w:cs="SimSun" w:hint="eastAsia"/>
          <w:sz w:val="24"/>
          <w:szCs w:val="24"/>
          <w:lang w:val="en-GB"/>
        </w:rPr>
        <w:t>年期间的工作方案。</w:t>
      </w:r>
    </w:p>
    <w:p w14:paraId="3F550297" w14:textId="77777777" w:rsidR="000A776A" w:rsidRPr="000C0842" w:rsidRDefault="000A776A" w:rsidP="000A776A">
      <w:pPr>
        <w:spacing w:before="120" w:after="120"/>
        <w:ind w:left="490"/>
        <w:rPr>
          <w:rFonts w:ascii="SimSun" w:eastAsia="KaiTi" w:hAnsi="SimSun"/>
          <w:snapToGrid w:val="0"/>
          <w:kern w:val="22"/>
          <w:sz w:val="24"/>
          <w:szCs w:val="24"/>
        </w:rPr>
      </w:pPr>
      <w:r w:rsidRPr="000C0842">
        <w:rPr>
          <w:rFonts w:ascii="SimSun" w:eastAsia="KaiTi" w:hAnsi="SimSun" w:hint="eastAsia"/>
          <w:snapToGrid w:val="0"/>
          <w:kern w:val="22"/>
          <w:sz w:val="24"/>
          <w:szCs w:val="24"/>
        </w:rPr>
        <w:t>知识管理</w:t>
      </w:r>
    </w:p>
    <w:p w14:paraId="3B51330C"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rPr>
      </w:pPr>
      <w:r w:rsidRPr="000C0842">
        <w:rPr>
          <w:rFonts w:ascii="SimSun" w:eastAsia="SimSun" w:hAnsi="SimSun" w:cs="SimSun" w:hint="eastAsia"/>
          <w:snapToGrid w:val="0"/>
          <w:kern w:val="22"/>
          <w:sz w:val="24"/>
          <w:szCs w:val="24"/>
        </w:rPr>
        <w:t>请全球环境基金根据其任务授权</w:t>
      </w:r>
      <w:r w:rsidRPr="000C0842">
        <w:rPr>
          <w:rFonts w:ascii="SimSun" w:eastAsia="Times New Roman" w:hAnsi="SimSun" w:hint="eastAsia"/>
          <w:snapToGrid w:val="0"/>
          <w:kern w:val="22"/>
          <w:sz w:val="24"/>
          <w:szCs w:val="24"/>
          <w:lang w:val="en-GB"/>
        </w:rPr>
        <w:t>，为国家驱动项目中的知识管理提供支持</w:t>
      </w:r>
      <w:r w:rsidRPr="000C0842">
        <w:rPr>
          <w:rFonts w:ascii="SimSun" w:eastAsia="SimSun" w:hAnsi="SimSun" w:cs="SimSun" w:hint="eastAsia"/>
          <w:snapToGrid w:val="0"/>
          <w:kern w:val="22"/>
          <w:sz w:val="24"/>
          <w:szCs w:val="24"/>
          <w:lang w:val="en-GB"/>
        </w:rPr>
        <w:t>。</w:t>
      </w:r>
    </w:p>
    <w:p w14:paraId="3520252F" w14:textId="77777777" w:rsidR="000A776A" w:rsidRPr="000C0842" w:rsidRDefault="000A776A" w:rsidP="000A776A">
      <w:pPr>
        <w:spacing w:before="120" w:after="120"/>
        <w:ind w:left="490"/>
        <w:rPr>
          <w:rFonts w:ascii="SimSun" w:eastAsia="SimSun" w:hAnsi="SimSun"/>
          <w:b/>
          <w:bCs/>
          <w:snapToGrid w:val="0"/>
          <w:kern w:val="22"/>
          <w:sz w:val="24"/>
          <w:szCs w:val="24"/>
        </w:rPr>
      </w:pPr>
      <w:r w:rsidRPr="000C0842">
        <w:rPr>
          <w:rFonts w:ascii="SimSun" w:eastAsia="KaiTi" w:hAnsi="SimSun" w:hint="eastAsia"/>
          <w:snapToGrid w:val="0"/>
          <w:kern w:val="22"/>
          <w:sz w:val="24"/>
          <w:szCs w:val="24"/>
        </w:rPr>
        <w:t>能力建设和发展、科技合作和技术转让</w:t>
      </w:r>
    </w:p>
    <w:p w14:paraId="2D3F3D0A"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ascii="SimSun" w:eastAsia="SimSun" w:hAnsi="SimSun" w:cs="SimSun"/>
          <w:snapToGrid w:val="0"/>
          <w:kern w:val="22"/>
          <w:sz w:val="24"/>
          <w:szCs w:val="24"/>
        </w:rPr>
      </w:pPr>
      <w:r w:rsidRPr="000C0842">
        <w:rPr>
          <w:rFonts w:ascii="SimSun" w:eastAsia="SimSun" w:hAnsi="SimSun" w:cs="SimSun" w:hint="eastAsia"/>
          <w:snapToGrid w:val="0"/>
          <w:kern w:val="22"/>
          <w:sz w:val="24"/>
          <w:szCs w:val="24"/>
        </w:rPr>
        <w:t>请全球环境基金，包括通过全球生物多样性框架基金，根据其授权任务，继续支持符合条件的缔约方国家驱动项目，包括科技合作、技术转让和能力建设，以执行《昆明-蒙特利尔全球生物多样性框架》</w:t>
      </w:r>
      <w:r w:rsidRPr="000C0842">
        <w:rPr>
          <w:rFonts w:eastAsia="SimSun"/>
          <w:snapToGrid w:val="0"/>
          <w:kern w:val="22"/>
          <w:sz w:val="24"/>
          <w:szCs w:val="24"/>
          <w:vertAlign w:val="superscript"/>
        </w:rPr>
        <w:footnoteReference w:id="471"/>
      </w:r>
      <w:r w:rsidRPr="000C0842">
        <w:rPr>
          <w:rFonts w:ascii="SimSun" w:eastAsia="SimSun" w:hAnsi="SimSun" w:cs="SimSun" w:hint="eastAsia"/>
          <w:snapToGrid w:val="0"/>
          <w:kern w:val="22"/>
          <w:sz w:val="24"/>
          <w:szCs w:val="24"/>
        </w:rPr>
        <w:t>；</w:t>
      </w:r>
    </w:p>
    <w:p w14:paraId="6E156E9D" w14:textId="77777777" w:rsidR="000A776A" w:rsidRPr="000C0842" w:rsidRDefault="000A776A">
      <w:pPr>
        <w:numPr>
          <w:ilvl w:val="0"/>
          <w:numId w:val="188"/>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rPr>
      </w:pPr>
      <w:r w:rsidRPr="000C0842">
        <w:rPr>
          <w:rFonts w:ascii="SimSun" w:eastAsia="SimSun" w:hAnsi="SimSun" w:cs="SimSun" w:hint="eastAsia"/>
          <w:snapToGrid w:val="0"/>
          <w:kern w:val="22"/>
          <w:sz w:val="24"/>
          <w:szCs w:val="24"/>
        </w:rPr>
        <w:t>还请全球环境基金，包括通过全球生物多样性框架基金，根据各自的任务规定，并邀请昆明生物多样性基金和其他基金，作为国家驱动项目的一部分，酌情支持发展中国家缔约方，特别是最不发达国家和小岛屿发展中国家，以及经济转型缔约方</w:t>
      </w:r>
      <w:r w:rsidRPr="000C0842">
        <w:rPr>
          <w:rFonts w:ascii="SimSun" w:eastAsia="SimSun" w:hAnsi="SimSun" w:hint="eastAsia"/>
          <w:snapToGrid w:val="0"/>
          <w:kern w:val="22"/>
          <w:sz w:val="24"/>
          <w:szCs w:val="24"/>
        </w:rPr>
        <w:t>的区域和次区域科技合作支持中心的运作和符合条件的活动。</w:t>
      </w:r>
    </w:p>
    <w:p w14:paraId="47416FE6" w14:textId="77777777" w:rsidR="000A776A" w:rsidRPr="000C0842" w:rsidRDefault="000A776A" w:rsidP="000A776A">
      <w:pPr>
        <w:spacing w:before="120" w:after="120"/>
        <w:ind w:left="490"/>
        <w:rPr>
          <w:rFonts w:ascii="SimSun" w:eastAsia="SimSun" w:hAnsi="SimSun"/>
          <w:b/>
          <w:bCs/>
          <w:snapToGrid w:val="0"/>
          <w:kern w:val="22"/>
          <w:sz w:val="24"/>
          <w:szCs w:val="24"/>
        </w:rPr>
      </w:pPr>
      <w:r w:rsidRPr="000C0842">
        <w:rPr>
          <w:rFonts w:ascii="SimSun" w:eastAsia="KaiTi" w:hAnsi="SimSun" w:hint="eastAsia"/>
          <w:snapToGrid w:val="0"/>
          <w:kern w:val="22"/>
          <w:sz w:val="24"/>
          <w:szCs w:val="24"/>
        </w:rPr>
        <w:t>《昆明</w:t>
      </w:r>
      <w:r w:rsidRPr="000C0842">
        <w:rPr>
          <w:rFonts w:ascii="SimSun" w:eastAsia="KaiTi" w:hAnsi="SimSun" w:hint="eastAsia"/>
          <w:snapToGrid w:val="0"/>
          <w:kern w:val="22"/>
          <w:sz w:val="24"/>
          <w:szCs w:val="24"/>
        </w:rPr>
        <w:t>-</w:t>
      </w:r>
      <w:r w:rsidRPr="000C0842">
        <w:rPr>
          <w:rFonts w:ascii="SimSun" w:eastAsia="KaiTi" w:hAnsi="SimSun" w:hint="eastAsia"/>
          <w:snapToGrid w:val="0"/>
          <w:kern w:val="22"/>
          <w:sz w:val="24"/>
          <w:szCs w:val="24"/>
        </w:rPr>
        <w:t>蒙特利尔全球生物多样性框架》的监测框架</w:t>
      </w:r>
    </w:p>
    <w:p w14:paraId="346EB5EE" w14:textId="77777777" w:rsidR="000A776A" w:rsidRPr="000C0842" w:rsidRDefault="000A776A" w:rsidP="000A776A">
      <w:pPr>
        <w:tabs>
          <w:tab w:val="clear" w:pos="567"/>
          <w:tab w:val="clear" w:pos="1134"/>
          <w:tab w:val="clear" w:pos="1701"/>
          <w:tab w:val="clear" w:pos="2268"/>
        </w:tabs>
        <w:spacing w:before="120" w:after="120"/>
        <w:ind w:left="490" w:firstLine="490"/>
        <w:rPr>
          <w:rFonts w:eastAsia="SimSun"/>
          <w:snapToGrid w:val="0"/>
          <w:kern w:val="22"/>
          <w:sz w:val="24"/>
          <w:szCs w:val="24"/>
        </w:rPr>
      </w:pPr>
      <w:r w:rsidRPr="000C0842">
        <w:rPr>
          <w:rFonts w:eastAsia="SimSun"/>
          <w:snapToGrid w:val="0"/>
          <w:kern w:val="22"/>
          <w:sz w:val="24"/>
          <w:szCs w:val="24"/>
        </w:rPr>
        <w:t>7.</w:t>
      </w:r>
      <w:r w:rsidRPr="000C0842">
        <w:rPr>
          <w:rFonts w:eastAsia="SimSun"/>
          <w:snapToGrid w:val="0"/>
          <w:kern w:val="22"/>
          <w:sz w:val="24"/>
          <w:szCs w:val="24"/>
        </w:rPr>
        <w:tab/>
      </w:r>
      <w:r w:rsidRPr="000C0842">
        <w:rPr>
          <w:rFonts w:eastAsia="SimSun"/>
          <w:snapToGrid w:val="0"/>
          <w:kern w:val="22"/>
          <w:sz w:val="24"/>
          <w:szCs w:val="24"/>
        </w:rPr>
        <w:t>请全球环境基金应</w:t>
      </w:r>
      <w:r w:rsidRPr="000C0842">
        <w:rPr>
          <w:rFonts w:eastAsia="SimSun" w:hint="eastAsia"/>
          <w:snapToGrid w:val="0"/>
          <w:kern w:val="22"/>
          <w:sz w:val="24"/>
          <w:szCs w:val="24"/>
        </w:rPr>
        <w:t>所有</w:t>
      </w:r>
      <w:r w:rsidRPr="000C0842">
        <w:rPr>
          <w:rFonts w:eastAsia="SimSun"/>
          <w:snapToGrid w:val="0"/>
          <w:kern w:val="22"/>
          <w:sz w:val="24"/>
          <w:szCs w:val="24"/>
        </w:rPr>
        <w:t>符合条件的</w:t>
      </w:r>
      <w:r w:rsidRPr="000C0842">
        <w:rPr>
          <w:rFonts w:eastAsia="SimSun" w:hint="eastAsia"/>
          <w:snapToGrid w:val="0"/>
          <w:kern w:val="22"/>
          <w:sz w:val="24"/>
          <w:szCs w:val="24"/>
        </w:rPr>
        <w:t>缔约方，特别是最不发达国家和小岛屿发展中国家</w:t>
      </w:r>
      <w:r w:rsidRPr="000C0842">
        <w:rPr>
          <w:rFonts w:eastAsia="SimSun"/>
          <w:snapToGrid w:val="0"/>
          <w:kern w:val="22"/>
          <w:sz w:val="24"/>
          <w:szCs w:val="24"/>
        </w:rPr>
        <w:t>请求</w:t>
      </w:r>
      <w:r w:rsidRPr="000C0842">
        <w:rPr>
          <w:rFonts w:eastAsia="SimSun" w:hint="eastAsia"/>
          <w:snapToGrid w:val="0"/>
          <w:kern w:val="22"/>
          <w:sz w:val="24"/>
          <w:szCs w:val="24"/>
        </w:rPr>
        <w:t>并</w:t>
      </w:r>
      <w:r w:rsidRPr="000C0842">
        <w:rPr>
          <w:rFonts w:eastAsia="SimSun"/>
          <w:snapToGrid w:val="0"/>
          <w:kern w:val="22"/>
          <w:sz w:val="24"/>
          <w:szCs w:val="24"/>
        </w:rPr>
        <w:t>根据其任务规定，提供充足、及时和可预测的</w:t>
      </w:r>
      <w:r w:rsidRPr="000C0842">
        <w:rPr>
          <w:rFonts w:eastAsia="SimSun" w:hint="eastAsia"/>
          <w:snapToGrid w:val="0"/>
          <w:kern w:val="22"/>
          <w:sz w:val="24"/>
          <w:szCs w:val="24"/>
        </w:rPr>
        <w:t>资金</w:t>
      </w:r>
      <w:r w:rsidRPr="000C0842">
        <w:rPr>
          <w:rFonts w:eastAsia="SimSun"/>
          <w:snapToGrid w:val="0"/>
          <w:kern w:val="22"/>
          <w:sz w:val="24"/>
          <w:szCs w:val="24"/>
        </w:rPr>
        <w:t>，</w:t>
      </w:r>
      <w:r w:rsidRPr="000C0842">
        <w:rPr>
          <w:rFonts w:eastAsia="SimSun" w:hint="eastAsia"/>
          <w:snapToGrid w:val="0"/>
          <w:kern w:val="22"/>
          <w:sz w:val="24"/>
          <w:szCs w:val="24"/>
        </w:rPr>
        <w:t>包括通过能力建设和发展来开发和实施</w:t>
      </w:r>
      <w:r w:rsidRPr="000C0842">
        <w:rPr>
          <w:rFonts w:eastAsia="SimSun"/>
          <w:snapToGrid w:val="0"/>
          <w:kern w:val="22"/>
          <w:sz w:val="24"/>
          <w:szCs w:val="24"/>
        </w:rPr>
        <w:t>国家生物多样性监测系统，以支持缔约方的报告工作。</w:t>
      </w:r>
    </w:p>
    <w:p w14:paraId="16462A1B" w14:textId="77777777" w:rsidR="000A776A" w:rsidRPr="000C0842" w:rsidRDefault="000A776A" w:rsidP="000A776A">
      <w:pPr>
        <w:spacing w:before="120" w:after="120"/>
        <w:ind w:left="490"/>
        <w:rPr>
          <w:rFonts w:ascii="SimSun" w:eastAsia="SimSun" w:hAnsi="SimSun"/>
          <w:b/>
          <w:bCs/>
          <w:snapToGrid w:val="0"/>
          <w:kern w:val="22"/>
          <w:sz w:val="24"/>
          <w:szCs w:val="24"/>
        </w:rPr>
      </w:pPr>
      <w:r w:rsidRPr="000C0842">
        <w:rPr>
          <w:rFonts w:ascii="SimSun" w:eastAsia="KaiTi" w:hAnsi="SimSun" w:hint="eastAsia"/>
          <w:snapToGrid w:val="0"/>
          <w:kern w:val="22"/>
          <w:sz w:val="24"/>
          <w:szCs w:val="24"/>
        </w:rPr>
        <w:t>《卡塔赫纳生物安全议定书》</w:t>
      </w:r>
    </w:p>
    <w:p w14:paraId="1CC9FB98"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rPr>
      </w:pPr>
      <w:r w:rsidRPr="000C0842">
        <w:rPr>
          <w:rFonts w:ascii="SimSun" w:eastAsia="SimSun" w:hAnsi="SimSun" w:hint="eastAsia"/>
          <w:snapToGrid w:val="0"/>
          <w:kern w:val="22"/>
          <w:sz w:val="24"/>
          <w:szCs w:val="24"/>
        </w:rPr>
        <w:t>请全球环境基金并邀请其他相关基金继续向缔约方提供资金，支持与生物安全信息交换所和国家生物安全网站有关的活动。</w:t>
      </w:r>
    </w:p>
    <w:p w14:paraId="0BC5A906"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rPr>
      </w:pPr>
      <w:r w:rsidRPr="000C0842">
        <w:rPr>
          <w:rFonts w:ascii="SimSun" w:eastAsia="SimSun" w:hAnsi="SimSun" w:hint="eastAsia"/>
          <w:snapToGrid w:val="0"/>
          <w:kern w:val="22"/>
          <w:sz w:val="24"/>
          <w:szCs w:val="24"/>
        </w:rPr>
        <w:t>请全球环境基金向符合条件的缔约方提供援助，迅速提供必要规模的实施手段，以覆盖所需援助的范围和速度，包括加强检测和识别改性活生物体的基础设施，建立区域验室网络，开展能力建设活动，以及开发或获取经认证的参考资料，并敦 促缔约方向全球环境基金提交这方面的适当建议，以便为这些活动提供支持</w:t>
      </w:r>
      <w:r w:rsidRPr="000C0842">
        <w:rPr>
          <w:rFonts w:ascii="SimSun" w:eastAsia="SimSun" w:hAnsi="SimSun" w:cs="SimSun" w:hint="eastAsia"/>
          <w:snapToGrid w:val="0"/>
          <w:kern w:val="22"/>
          <w:sz w:val="24"/>
          <w:szCs w:val="24"/>
          <w:lang w:val="en-GB"/>
        </w:rPr>
        <w:t>。</w:t>
      </w:r>
    </w:p>
    <w:p w14:paraId="38F20480"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Times New Roman" w:hAnsi="SimSun"/>
          <w:snapToGrid w:val="0"/>
          <w:kern w:val="22"/>
          <w:sz w:val="24"/>
          <w:szCs w:val="24"/>
          <w:lang w:val="en-GB"/>
        </w:rPr>
      </w:pPr>
      <w:r w:rsidRPr="000C0842">
        <w:rPr>
          <w:rFonts w:ascii="SimSun" w:eastAsia="SimSun" w:hAnsi="SimSun" w:hint="eastAsia"/>
          <w:snapToGrid w:val="0"/>
          <w:kern w:val="22"/>
          <w:sz w:val="24"/>
          <w:szCs w:val="24"/>
        </w:rPr>
        <w:t>又请全球环境基金</w:t>
      </w:r>
      <w:r w:rsidRPr="000C0842">
        <w:rPr>
          <w:rFonts w:eastAsia="SimSun"/>
          <w:snapToGrid w:val="0"/>
          <w:kern w:val="22"/>
          <w:sz w:val="24"/>
          <w:szCs w:val="24"/>
          <w:vertAlign w:val="superscript"/>
        </w:rPr>
        <w:footnoteReference w:id="472"/>
      </w:r>
      <w:r w:rsidRPr="000C0842">
        <w:rPr>
          <w:rFonts w:ascii="SimSun" w:eastAsia="SimSun" w:hAnsi="SimSun" w:cs="SimSun" w:hint="eastAsia"/>
          <w:snapToGrid w:val="0"/>
          <w:kern w:val="22"/>
          <w:sz w:val="24"/>
          <w:szCs w:val="24"/>
          <w:lang w:val="en-GB"/>
        </w:rPr>
        <w:t>：</w:t>
      </w:r>
    </w:p>
    <w:p w14:paraId="37A37A9E" w14:textId="77777777" w:rsidR="000A776A" w:rsidRPr="000C0842" w:rsidRDefault="000A776A">
      <w:pPr>
        <w:numPr>
          <w:ilvl w:val="0"/>
          <w:numId w:val="191"/>
        </w:numPr>
        <w:tabs>
          <w:tab w:val="clear" w:pos="567"/>
          <w:tab w:val="clear" w:pos="1134"/>
          <w:tab w:val="clear" w:pos="1701"/>
          <w:tab w:val="clear" w:pos="2268"/>
        </w:tabs>
        <w:spacing w:before="120" w:after="120"/>
        <w:rPr>
          <w:rFonts w:ascii="SimSun" w:eastAsia="SimSun" w:hAnsi="SimSun" w:cs="SimSun"/>
          <w:snapToGrid w:val="0"/>
          <w:kern w:val="22"/>
          <w:sz w:val="24"/>
          <w:szCs w:val="24"/>
          <w:lang w:val="en-GB"/>
        </w:rPr>
      </w:pPr>
      <w:r w:rsidRPr="000C0842">
        <w:rPr>
          <w:rFonts w:ascii="SimSun" w:eastAsia="SimSun" w:hAnsi="SimSun" w:cs="SimSun"/>
          <w:snapToGrid w:val="0"/>
          <w:kern w:val="22"/>
          <w:sz w:val="24"/>
          <w:szCs w:val="24"/>
          <w:lang w:val="en-GB"/>
        </w:rPr>
        <w:t>及时提供资金，支持符合条件的缔约方根据《卡塔赫纳</w:t>
      </w:r>
      <w:r w:rsidRPr="000C0842">
        <w:rPr>
          <w:rFonts w:ascii="SimSun" w:eastAsia="SimSun" w:hAnsi="SimSun" w:cs="SimSun" w:hint="eastAsia"/>
          <w:snapToGrid w:val="0"/>
          <w:kern w:val="22"/>
          <w:sz w:val="24"/>
          <w:szCs w:val="24"/>
          <w:lang w:val="en-GB"/>
        </w:rPr>
        <w:t>生物安全</w:t>
      </w:r>
      <w:r w:rsidRPr="000C0842">
        <w:rPr>
          <w:rFonts w:ascii="SimSun" w:eastAsia="SimSun" w:hAnsi="SimSun" w:cs="SimSun"/>
          <w:snapToGrid w:val="0"/>
          <w:kern w:val="22"/>
          <w:sz w:val="24"/>
          <w:szCs w:val="24"/>
          <w:lang w:val="en-GB"/>
        </w:rPr>
        <w:t>议定书》</w:t>
      </w:r>
      <w:r w:rsidRPr="000C0842">
        <w:rPr>
          <w:rFonts w:eastAsia="SimSun"/>
          <w:snapToGrid w:val="0"/>
          <w:kern w:val="22"/>
          <w:sz w:val="24"/>
          <w:szCs w:val="24"/>
          <w:vertAlign w:val="superscript"/>
          <w:lang w:val="en-GB"/>
        </w:rPr>
        <w:footnoteReference w:id="473"/>
      </w:r>
      <w:r w:rsidRPr="000C0842">
        <w:rPr>
          <w:rFonts w:ascii="SimSun" w:eastAsia="SimSun" w:hAnsi="SimSun" w:cs="SimSun"/>
          <w:snapToGrid w:val="0"/>
          <w:kern w:val="22"/>
          <w:sz w:val="24"/>
          <w:szCs w:val="24"/>
          <w:lang w:val="en-GB"/>
        </w:rPr>
        <w:t>编写和提交第五次国家报告</w:t>
      </w:r>
      <w:r w:rsidRPr="000C0842">
        <w:rPr>
          <w:rFonts w:ascii="SimSun" w:eastAsia="SimSun" w:hAnsi="SimSun" w:cs="SimSun" w:hint="eastAsia"/>
          <w:snapToGrid w:val="0"/>
          <w:kern w:val="22"/>
          <w:sz w:val="24"/>
          <w:szCs w:val="24"/>
          <w:lang w:val="en-GB"/>
        </w:rPr>
        <w:t>；</w:t>
      </w:r>
    </w:p>
    <w:p w14:paraId="15A3CA41" w14:textId="77777777" w:rsidR="000A776A" w:rsidRPr="000C0842" w:rsidRDefault="000A776A">
      <w:pPr>
        <w:numPr>
          <w:ilvl w:val="0"/>
          <w:numId w:val="191"/>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rPr>
      </w:pPr>
      <w:r w:rsidRPr="000C0842">
        <w:rPr>
          <w:rFonts w:ascii="SimSun" w:eastAsia="SimSun" w:hAnsi="SimSun" w:cs="SimSun" w:hint="eastAsia"/>
          <w:snapToGrid w:val="0"/>
          <w:kern w:val="22"/>
          <w:sz w:val="24"/>
          <w:szCs w:val="24"/>
          <w:lang w:val="en-GB"/>
        </w:rPr>
        <w:t>进一步探讨改革其业务的方式</w:t>
      </w:r>
      <w:r w:rsidRPr="000C0842">
        <w:rPr>
          <w:rFonts w:eastAsia="SimSun" w:hint="eastAsia"/>
          <w:snapToGrid w:val="0"/>
          <w:kern w:val="22"/>
          <w:sz w:val="24"/>
          <w:szCs w:val="24"/>
        </w:rPr>
        <w:t>，包括通过考虑为支持执行《卡塔赫纳议定</w:t>
      </w:r>
      <w:r w:rsidRPr="000C0842">
        <w:rPr>
          <w:rFonts w:eastAsia="SimSun" w:hint="eastAsia"/>
          <w:snapToGrid w:val="0"/>
          <w:kern w:val="22"/>
          <w:sz w:val="24"/>
          <w:szCs w:val="24"/>
        </w:rPr>
        <w:t xml:space="preserve"> </w:t>
      </w:r>
      <w:r w:rsidRPr="000C0842">
        <w:rPr>
          <w:rFonts w:eastAsia="SimSun" w:hint="eastAsia"/>
          <w:snapToGrid w:val="0"/>
          <w:kern w:val="22"/>
          <w:sz w:val="24"/>
          <w:szCs w:val="24"/>
        </w:rPr>
        <w:t>书》提供专项资金以及利用全球和区域项目，使其能够有效履行《议定书》财务机制的运作职责，并将这些事项报告生物多样性公约缔约方大会第十七届会议；</w:t>
      </w:r>
    </w:p>
    <w:p w14:paraId="4792E4B2" w14:textId="77777777" w:rsidR="000A776A" w:rsidRPr="000C0842" w:rsidRDefault="000A776A">
      <w:pPr>
        <w:numPr>
          <w:ilvl w:val="0"/>
          <w:numId w:val="191"/>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rPr>
      </w:pPr>
      <w:r w:rsidRPr="000C0842">
        <w:rPr>
          <w:rFonts w:ascii="SimSun" w:eastAsia="SimSun" w:hAnsi="SimSun" w:hint="eastAsia"/>
          <w:snapToGrid w:val="0"/>
          <w:kern w:val="22"/>
          <w:sz w:val="24"/>
          <w:szCs w:val="24"/>
        </w:rPr>
        <w:t>审议建立一个独立生物安全融资窗口的相关性，供作为卡塔赫纳议定书缔约方会议的缔约方大会第十二次会议审议；</w:t>
      </w:r>
    </w:p>
    <w:p w14:paraId="695C6CA2" w14:textId="77777777" w:rsidR="000A776A" w:rsidRPr="000C0842" w:rsidRDefault="000A776A">
      <w:pPr>
        <w:numPr>
          <w:ilvl w:val="0"/>
          <w:numId w:val="191"/>
        </w:numPr>
        <w:tabs>
          <w:tab w:val="clear" w:pos="567"/>
          <w:tab w:val="clear" w:pos="1134"/>
          <w:tab w:val="clear" w:pos="1701"/>
          <w:tab w:val="clear" w:pos="2268"/>
        </w:tabs>
        <w:spacing w:before="120" w:after="120"/>
        <w:ind w:left="490" w:firstLine="490"/>
        <w:rPr>
          <w:rFonts w:ascii="SimSun" w:eastAsia="SimSun" w:hAnsi="SimSun" w:cs="SimSun"/>
          <w:snapToGrid w:val="0"/>
          <w:kern w:val="22"/>
          <w:sz w:val="24"/>
          <w:szCs w:val="24"/>
          <w:lang w:val="en-GB"/>
        </w:rPr>
      </w:pPr>
      <w:r w:rsidRPr="000C0842">
        <w:rPr>
          <w:rFonts w:ascii="SimSun" w:eastAsia="SimSun" w:hAnsi="SimSun" w:cs="SimSun"/>
          <w:snapToGrid w:val="0"/>
          <w:kern w:val="22"/>
          <w:sz w:val="24"/>
          <w:szCs w:val="24"/>
          <w:lang w:val="en-GB"/>
        </w:rPr>
        <w:t>简化提交生物安全项目提案的程序；</w:t>
      </w:r>
      <w:r w:rsidRPr="000C0842">
        <w:rPr>
          <w:rFonts w:ascii="SimSun" w:eastAsia="SimSun" w:hAnsi="SimSun" w:cs="SimSun" w:hint="eastAsia"/>
          <w:snapToGrid w:val="0"/>
          <w:kern w:val="22"/>
          <w:sz w:val="24"/>
          <w:szCs w:val="24"/>
          <w:lang w:val="en-GB"/>
        </w:rPr>
        <w:t xml:space="preserve"> </w:t>
      </w:r>
    </w:p>
    <w:p w14:paraId="19C0793E" w14:textId="77777777" w:rsidR="000A776A" w:rsidRPr="000C0842" w:rsidRDefault="000A776A">
      <w:pPr>
        <w:numPr>
          <w:ilvl w:val="0"/>
          <w:numId w:val="191"/>
        </w:numPr>
        <w:tabs>
          <w:tab w:val="clear" w:pos="567"/>
          <w:tab w:val="clear" w:pos="1134"/>
          <w:tab w:val="clear" w:pos="1701"/>
          <w:tab w:val="clear" w:pos="2268"/>
        </w:tabs>
        <w:spacing w:before="120" w:after="120"/>
        <w:ind w:left="490" w:firstLine="490"/>
        <w:rPr>
          <w:rFonts w:ascii="SimSun" w:eastAsia="SimSun" w:hAnsi="SimSun" w:cs="SimSun"/>
          <w:snapToGrid w:val="0"/>
          <w:kern w:val="22"/>
          <w:sz w:val="24"/>
          <w:szCs w:val="24"/>
          <w:lang w:val="en-GB"/>
        </w:rPr>
      </w:pPr>
      <w:r w:rsidRPr="000C0842">
        <w:rPr>
          <w:rFonts w:ascii="SimSun" w:eastAsia="SimSun" w:hAnsi="SimSun" w:cs="SimSun"/>
          <w:snapToGrid w:val="0"/>
          <w:kern w:val="22"/>
          <w:sz w:val="24"/>
          <w:szCs w:val="24"/>
          <w:lang w:val="en-GB"/>
        </w:rPr>
        <w:t>促进生物安全项目设计方面的能力建设活动，包括通过网络研讨会；</w:t>
      </w:r>
    </w:p>
    <w:p w14:paraId="07F7F2B4" w14:textId="77777777" w:rsidR="000A776A" w:rsidRPr="000C0842" w:rsidRDefault="000A776A" w:rsidP="000A776A">
      <w:pPr>
        <w:keepNext/>
        <w:spacing w:before="120" w:after="120"/>
        <w:ind w:left="490"/>
        <w:rPr>
          <w:rFonts w:ascii="SimSun" w:eastAsia="KaiTi" w:hAnsi="SimSun"/>
          <w:snapToGrid w:val="0"/>
          <w:kern w:val="22"/>
          <w:sz w:val="24"/>
          <w:szCs w:val="24"/>
        </w:rPr>
      </w:pPr>
      <w:r w:rsidRPr="000C0842">
        <w:rPr>
          <w:rFonts w:ascii="SimSun" w:eastAsia="KaiTi" w:hAnsi="SimSun" w:hint="eastAsia"/>
          <w:snapToGrid w:val="0"/>
          <w:kern w:val="22"/>
          <w:sz w:val="24"/>
          <w:szCs w:val="24"/>
        </w:rPr>
        <w:t>《</w:t>
      </w:r>
      <w:r w:rsidRPr="000C0842">
        <w:rPr>
          <w:rFonts w:eastAsia="KaiTi"/>
          <w:sz w:val="24"/>
          <w:szCs w:val="24"/>
        </w:rPr>
        <w:t>关于获取遗传资源和公正和公平分享其利用所产生惠益的名古屋议定</w:t>
      </w:r>
      <w:r w:rsidRPr="000C0842">
        <w:rPr>
          <w:rFonts w:ascii="SimSun" w:eastAsia="KaiTi" w:hAnsi="SimSun" w:cs="SimSun" w:hint="eastAsia"/>
          <w:sz w:val="24"/>
          <w:szCs w:val="24"/>
        </w:rPr>
        <w:t>书</w:t>
      </w:r>
      <w:r w:rsidRPr="000C0842">
        <w:rPr>
          <w:rFonts w:ascii="SimSun" w:eastAsia="KaiTi" w:hAnsi="SimSun" w:hint="eastAsia"/>
          <w:snapToGrid w:val="0"/>
          <w:kern w:val="22"/>
          <w:sz w:val="24"/>
          <w:szCs w:val="24"/>
        </w:rPr>
        <w:t>》</w:t>
      </w:r>
      <w:r w:rsidRPr="000C0842">
        <w:rPr>
          <w:rFonts w:eastAsia="KaiTi"/>
          <w:snapToGrid w:val="0"/>
          <w:kern w:val="22"/>
          <w:sz w:val="24"/>
          <w:szCs w:val="24"/>
          <w:vertAlign w:val="superscript"/>
        </w:rPr>
        <w:footnoteReference w:id="474"/>
      </w:r>
    </w:p>
    <w:p w14:paraId="4E269930"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lang w:val="en-GB"/>
        </w:rPr>
      </w:pPr>
      <w:r w:rsidRPr="000C0842">
        <w:rPr>
          <w:rFonts w:ascii="SimSun" w:eastAsia="SimSun" w:hAnsi="SimSun" w:hint="eastAsia"/>
          <w:snapToGrid w:val="0"/>
          <w:kern w:val="22"/>
          <w:sz w:val="24"/>
          <w:szCs w:val="24"/>
          <w:lang w:val="en-GB"/>
        </w:rPr>
        <w:t>请全球环境基金加强专项供资支持符合条件的缔约方执行《</w:t>
      </w:r>
      <w:r w:rsidRPr="000C0842">
        <w:rPr>
          <w:rFonts w:eastAsia="SimSun"/>
          <w:sz w:val="24"/>
          <w:szCs w:val="24"/>
        </w:rPr>
        <w:t>关于获取遗传资源和公正和公平分享其利用所产生惠益的名古屋议定</w:t>
      </w:r>
      <w:r w:rsidRPr="000C0842">
        <w:rPr>
          <w:rFonts w:ascii="SimSun" w:eastAsia="SimSun" w:hAnsi="SimSun" w:cs="SimSun" w:hint="eastAsia"/>
          <w:sz w:val="24"/>
          <w:szCs w:val="24"/>
        </w:rPr>
        <w:t>书</w:t>
      </w:r>
      <w:r w:rsidRPr="000C0842">
        <w:rPr>
          <w:rFonts w:ascii="SimSun" w:eastAsia="SimSun" w:hAnsi="SimSun" w:hint="eastAsia"/>
          <w:snapToGrid w:val="0"/>
          <w:kern w:val="22"/>
          <w:sz w:val="24"/>
          <w:szCs w:val="24"/>
          <w:lang w:val="en-GB"/>
        </w:rPr>
        <w:t>》</w:t>
      </w:r>
      <w:r w:rsidRPr="000C0842">
        <w:rPr>
          <w:rFonts w:eastAsia="SimSun"/>
          <w:snapToGrid w:val="0"/>
          <w:kern w:val="22"/>
          <w:sz w:val="24"/>
          <w:szCs w:val="24"/>
          <w:vertAlign w:val="superscript"/>
          <w:lang w:val="en-GB"/>
        </w:rPr>
        <w:footnoteReference w:id="475"/>
      </w:r>
      <w:r w:rsidRPr="000C0842">
        <w:rPr>
          <w:rFonts w:ascii="SimSun" w:eastAsia="SimSun" w:hAnsi="SimSun" w:hint="eastAsia"/>
          <w:snapToGrid w:val="0"/>
          <w:kern w:val="22"/>
          <w:sz w:val="24"/>
          <w:szCs w:val="24"/>
          <w:lang w:val="en-GB"/>
        </w:rPr>
        <w:t>；</w:t>
      </w:r>
    </w:p>
    <w:p w14:paraId="39CFB050"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lang w:val="en-GB"/>
        </w:rPr>
      </w:pPr>
      <w:r w:rsidRPr="000C0842">
        <w:rPr>
          <w:rFonts w:ascii="SimSun" w:eastAsia="SimSun" w:hAnsi="SimSun" w:hint="eastAsia"/>
          <w:snapToGrid w:val="0"/>
          <w:kern w:val="22"/>
          <w:sz w:val="24"/>
          <w:szCs w:val="24"/>
          <w:lang w:val="en-GB"/>
        </w:rPr>
        <w:t>又请全球环境基金及其执行机构及时推动相关进程，确保向提交背书函的缔约方提供支持，帮助它们编写第一次国家报告；</w:t>
      </w:r>
    </w:p>
    <w:p w14:paraId="6FABB9C9" w14:textId="77777777" w:rsidR="000A776A" w:rsidRPr="000C0842" w:rsidRDefault="000A776A">
      <w:pPr>
        <w:numPr>
          <w:ilvl w:val="0"/>
          <w:numId w:val="193"/>
        </w:numPr>
        <w:tabs>
          <w:tab w:val="clear" w:pos="567"/>
          <w:tab w:val="clear" w:pos="1134"/>
          <w:tab w:val="clear" w:pos="1701"/>
          <w:tab w:val="clear" w:pos="2268"/>
        </w:tabs>
        <w:spacing w:before="120" w:after="120"/>
        <w:ind w:left="490" w:firstLine="490"/>
        <w:rPr>
          <w:rFonts w:ascii="SimSun" w:eastAsia="SimSun" w:hAnsi="SimSun"/>
          <w:snapToGrid w:val="0"/>
          <w:kern w:val="22"/>
          <w:sz w:val="24"/>
          <w:szCs w:val="24"/>
          <w:lang w:val="en-GB"/>
        </w:rPr>
      </w:pPr>
      <w:r w:rsidRPr="000C0842">
        <w:rPr>
          <w:rFonts w:ascii="SimSun" w:eastAsia="SimSun" w:hAnsi="SimSun" w:hint="eastAsia"/>
          <w:snapToGrid w:val="0"/>
          <w:kern w:val="22"/>
          <w:sz w:val="24"/>
          <w:szCs w:val="24"/>
          <w:lang w:val="en-GB"/>
        </w:rPr>
        <w:t>还请全球环境基金审查支持执行</w:t>
      </w:r>
      <w:r w:rsidRPr="000C0842">
        <w:rPr>
          <w:rFonts w:ascii="SimSun" w:eastAsia="SimSun" w:hAnsi="SimSun" w:hint="eastAsia"/>
          <w:snapToGrid w:val="0"/>
          <w:kern w:val="22"/>
          <w:sz w:val="24"/>
          <w:szCs w:val="24"/>
        </w:rPr>
        <w:t>《</w:t>
      </w:r>
      <w:r w:rsidRPr="000C0842">
        <w:rPr>
          <w:rFonts w:ascii="SimSun" w:eastAsia="SimSun" w:hAnsi="SimSun"/>
          <w:snapToGrid w:val="0"/>
          <w:kern w:val="22"/>
          <w:sz w:val="24"/>
          <w:szCs w:val="24"/>
          <w:lang w:val="en-GB"/>
        </w:rPr>
        <w:t>名古屋议定</w:t>
      </w:r>
      <w:r w:rsidRPr="000C0842">
        <w:rPr>
          <w:rFonts w:ascii="SimSun" w:eastAsia="SimSun" w:hAnsi="SimSun" w:cs="SimSun" w:hint="eastAsia"/>
          <w:snapToGrid w:val="0"/>
          <w:kern w:val="22"/>
          <w:sz w:val="24"/>
          <w:szCs w:val="24"/>
          <w:lang w:val="en-GB"/>
        </w:rPr>
        <w:t>书</w:t>
      </w:r>
      <w:r w:rsidRPr="000C0842">
        <w:rPr>
          <w:rFonts w:ascii="SimSun" w:eastAsia="SimSun" w:hAnsi="SimSun" w:hint="eastAsia"/>
          <w:snapToGrid w:val="0"/>
          <w:kern w:val="22"/>
          <w:sz w:val="24"/>
          <w:szCs w:val="24"/>
        </w:rPr>
        <w:t>》</w:t>
      </w:r>
      <w:r w:rsidRPr="000C0842">
        <w:rPr>
          <w:rFonts w:ascii="SimSun" w:eastAsia="SimSun" w:hAnsi="SimSun" w:hint="eastAsia"/>
          <w:snapToGrid w:val="0"/>
          <w:kern w:val="22"/>
          <w:sz w:val="24"/>
          <w:szCs w:val="24"/>
          <w:lang w:val="en-GB"/>
        </w:rPr>
        <w:t>的备选方案，使全球环境基金能够最有效地履行其职责，临时和持续运行《议定书》财务机制，并就此事项项缔约方大会第十七届会议提交报告。</w:t>
      </w:r>
    </w:p>
    <w:p w14:paraId="5CC2E074" w14:textId="77777777" w:rsidR="000A776A" w:rsidRPr="000C0842" w:rsidRDefault="000A776A" w:rsidP="009942F9">
      <w:pPr>
        <w:tabs>
          <w:tab w:val="clear" w:pos="567"/>
          <w:tab w:val="clear" w:pos="1134"/>
          <w:tab w:val="clear" w:pos="1701"/>
          <w:tab w:val="clear" w:pos="2268"/>
        </w:tabs>
        <w:spacing w:before="240"/>
        <w:ind w:left="490"/>
        <w:rPr>
          <w:rFonts w:eastAsia="SimSun"/>
          <w:b/>
          <w:bCs/>
          <w:sz w:val="24"/>
          <w:szCs w:val="24"/>
        </w:rPr>
      </w:pPr>
      <w:r w:rsidRPr="000C0842">
        <w:rPr>
          <w:rFonts w:eastAsia="SimSun" w:hint="eastAsia"/>
          <w:b/>
          <w:bCs/>
          <w:sz w:val="24"/>
          <w:szCs w:val="24"/>
        </w:rPr>
        <w:t>附件三</w:t>
      </w:r>
    </w:p>
    <w:p w14:paraId="3B29A280" w14:textId="77777777" w:rsidR="000A776A" w:rsidRPr="000C0842" w:rsidRDefault="000A776A" w:rsidP="009942F9">
      <w:pPr>
        <w:tabs>
          <w:tab w:val="clear" w:pos="567"/>
          <w:tab w:val="clear" w:pos="1134"/>
          <w:tab w:val="clear" w:pos="1701"/>
          <w:tab w:val="clear" w:pos="2268"/>
        </w:tabs>
        <w:spacing w:after="120"/>
        <w:ind w:left="490"/>
        <w:rPr>
          <w:rFonts w:eastAsia="SimSun"/>
          <w:b/>
          <w:bCs/>
          <w:sz w:val="24"/>
          <w:szCs w:val="24"/>
        </w:rPr>
      </w:pPr>
      <w:r w:rsidRPr="000C0842">
        <w:rPr>
          <w:rFonts w:eastAsia="SimSun" w:hint="eastAsia"/>
          <w:b/>
          <w:bCs/>
          <w:sz w:val="24"/>
          <w:szCs w:val="24"/>
        </w:rPr>
        <w:t>评估全球环境</w:t>
      </w:r>
      <w:r w:rsidRPr="000C0842">
        <w:rPr>
          <w:rFonts w:ascii="SimSun" w:eastAsia="SimSun" w:hAnsi="SimSun" w:hint="eastAsia"/>
          <w:b/>
          <w:bCs/>
          <w:snapToGrid w:val="0"/>
          <w:kern w:val="22"/>
          <w:sz w:val="24"/>
          <w:szCs w:val="24"/>
          <w:lang w:val="en-GB"/>
        </w:rPr>
        <w:t>基金</w:t>
      </w:r>
      <w:r w:rsidRPr="000C0842">
        <w:rPr>
          <w:rFonts w:eastAsia="SimSun" w:hint="eastAsia"/>
          <w:b/>
          <w:bCs/>
          <w:sz w:val="24"/>
          <w:szCs w:val="24"/>
        </w:rPr>
        <w:t>的有效性和改革的可能要点</w:t>
      </w:r>
    </w:p>
    <w:p w14:paraId="474BD29B" w14:textId="77777777" w:rsidR="000A776A" w:rsidRPr="000C0842" w:rsidRDefault="000A776A" w:rsidP="000A776A">
      <w:pPr>
        <w:tabs>
          <w:tab w:val="clear" w:pos="567"/>
          <w:tab w:val="clear" w:pos="1134"/>
          <w:tab w:val="clear" w:pos="1701"/>
          <w:tab w:val="clear" w:pos="2268"/>
        </w:tabs>
        <w:spacing w:before="120" w:after="120"/>
        <w:ind w:left="490"/>
        <w:rPr>
          <w:rFonts w:ascii="KaiTi" w:eastAsia="KaiTi" w:hAnsi="KaiTi"/>
          <w:sz w:val="24"/>
          <w:szCs w:val="24"/>
        </w:rPr>
      </w:pPr>
      <w:r w:rsidRPr="000C0842">
        <w:rPr>
          <w:rFonts w:ascii="KaiTi" w:eastAsia="KaiTi" w:hAnsi="KaiTi"/>
          <w:sz w:val="24"/>
          <w:szCs w:val="24"/>
        </w:rPr>
        <w:t>注</w:t>
      </w:r>
      <w:r w:rsidRPr="000C0842">
        <w:rPr>
          <w:rFonts w:ascii="KaiTi" w:eastAsia="KaiTi" w:hAnsi="KaiTi" w:hint="eastAsia"/>
          <w:sz w:val="24"/>
          <w:szCs w:val="24"/>
        </w:rPr>
        <w:t>：</w:t>
      </w:r>
      <w:r w:rsidRPr="000C0842">
        <w:rPr>
          <w:rFonts w:ascii="KaiTi" w:eastAsia="KaiTi" w:hAnsi="KaiTi"/>
          <w:sz w:val="24"/>
          <w:szCs w:val="24"/>
        </w:rPr>
        <w:t>以下要点由资源</w:t>
      </w:r>
      <w:r w:rsidRPr="000C0842">
        <w:rPr>
          <w:rFonts w:ascii="KaiTi" w:eastAsia="KaiTi" w:hAnsi="KaiTi" w:hint="eastAsia"/>
          <w:sz w:val="24"/>
          <w:szCs w:val="24"/>
        </w:rPr>
        <w:t>调动</w:t>
      </w:r>
      <w:r w:rsidRPr="000C0842">
        <w:rPr>
          <w:rFonts w:ascii="KaiTi" w:eastAsia="KaiTi" w:hAnsi="KaiTi"/>
          <w:sz w:val="24"/>
          <w:szCs w:val="24"/>
        </w:rPr>
        <w:t>问题咨询委员会汇编，随后由资源</w:t>
      </w:r>
      <w:r w:rsidRPr="000C0842">
        <w:rPr>
          <w:rFonts w:ascii="KaiTi" w:eastAsia="KaiTi" w:hAnsi="KaiTi" w:hint="eastAsia"/>
          <w:sz w:val="24"/>
          <w:szCs w:val="24"/>
        </w:rPr>
        <w:t>调动</w:t>
      </w:r>
      <w:r w:rsidRPr="000C0842">
        <w:rPr>
          <w:rFonts w:ascii="KaiTi" w:eastAsia="KaiTi" w:hAnsi="KaiTi"/>
          <w:sz w:val="24"/>
          <w:szCs w:val="24"/>
        </w:rPr>
        <w:t>问题联络小组在缔约方大会第十六</w:t>
      </w:r>
      <w:r w:rsidRPr="000C0842">
        <w:rPr>
          <w:rFonts w:ascii="KaiTi" w:eastAsia="KaiTi" w:hAnsi="KaiTi" w:hint="eastAsia"/>
          <w:sz w:val="24"/>
          <w:szCs w:val="24"/>
        </w:rPr>
        <w:t>届</w:t>
      </w:r>
      <w:r w:rsidRPr="000C0842">
        <w:rPr>
          <w:rFonts w:ascii="KaiTi" w:eastAsia="KaiTi" w:hAnsi="KaiTi"/>
          <w:sz w:val="24"/>
          <w:szCs w:val="24"/>
        </w:rPr>
        <w:t>会议期间汇编，</w:t>
      </w:r>
      <w:r w:rsidRPr="000C0842">
        <w:rPr>
          <w:rFonts w:ascii="KaiTi" w:eastAsia="KaiTi" w:hAnsi="KaiTi" w:hint="eastAsia"/>
          <w:sz w:val="24"/>
          <w:szCs w:val="24"/>
        </w:rPr>
        <w:t>目的是</w:t>
      </w:r>
      <w:r w:rsidRPr="000C0842">
        <w:rPr>
          <w:rFonts w:ascii="KaiTi" w:eastAsia="KaiTi" w:hAnsi="KaiTi"/>
          <w:sz w:val="24"/>
          <w:szCs w:val="24"/>
        </w:rPr>
        <w:t>收集缔约方的</w:t>
      </w:r>
      <w:r w:rsidRPr="000C0842">
        <w:rPr>
          <w:rFonts w:ascii="KaiTi" w:eastAsia="KaiTi" w:hAnsi="KaiTi" w:hint="eastAsia"/>
          <w:sz w:val="24"/>
          <w:szCs w:val="24"/>
        </w:rPr>
        <w:t>所有</w:t>
      </w:r>
      <w:r w:rsidRPr="000C0842">
        <w:rPr>
          <w:rFonts w:ascii="KaiTi" w:eastAsia="KaiTi" w:hAnsi="KaiTi"/>
          <w:sz w:val="24"/>
          <w:szCs w:val="24"/>
        </w:rPr>
        <w:t>意见，以便为</w:t>
      </w:r>
      <w:r w:rsidRPr="000C0842">
        <w:rPr>
          <w:rFonts w:ascii="KaiTi" w:eastAsia="KaiTi" w:hAnsi="KaiTi" w:hint="eastAsia"/>
          <w:sz w:val="24"/>
          <w:szCs w:val="24"/>
        </w:rPr>
        <w:t>所</w:t>
      </w:r>
      <w:r w:rsidRPr="000C0842">
        <w:rPr>
          <w:rFonts w:ascii="KaiTi" w:eastAsia="KaiTi" w:hAnsi="KaiTi"/>
          <w:sz w:val="24"/>
          <w:szCs w:val="24"/>
        </w:rPr>
        <w:t>述工作提供信息。</w:t>
      </w:r>
      <w:r w:rsidRPr="000C0842">
        <w:rPr>
          <w:rFonts w:ascii="KaiTi" w:eastAsia="KaiTi" w:hAnsi="KaiTi" w:hint="eastAsia"/>
          <w:sz w:val="24"/>
          <w:szCs w:val="24"/>
        </w:rPr>
        <w:t>这些要点未经</w:t>
      </w:r>
      <w:r w:rsidRPr="000C0842">
        <w:rPr>
          <w:rFonts w:ascii="KaiTi" w:eastAsia="KaiTi" w:hAnsi="KaiTi"/>
          <w:sz w:val="24"/>
          <w:szCs w:val="24"/>
        </w:rPr>
        <w:t>谈判。</w:t>
      </w:r>
    </w:p>
    <w:p w14:paraId="42DB5070" w14:textId="77777777" w:rsidR="000A776A" w:rsidRPr="000C0842" w:rsidRDefault="000A776A">
      <w:pPr>
        <w:numPr>
          <w:ilvl w:val="0"/>
          <w:numId w:val="195"/>
        </w:numPr>
        <w:tabs>
          <w:tab w:val="clear" w:pos="567"/>
          <w:tab w:val="clear" w:pos="1134"/>
          <w:tab w:val="clear" w:pos="1701"/>
          <w:tab w:val="clear" w:pos="2268"/>
        </w:tabs>
        <w:spacing w:before="120" w:after="120"/>
        <w:ind w:left="0" w:firstLine="490"/>
        <w:rPr>
          <w:rFonts w:eastAsia="SimSun"/>
          <w:sz w:val="24"/>
          <w:szCs w:val="24"/>
        </w:rPr>
      </w:pPr>
      <w:r w:rsidRPr="000C0842">
        <w:rPr>
          <w:rFonts w:eastAsia="SimSun" w:hint="eastAsia"/>
          <w:sz w:val="24"/>
          <w:szCs w:val="24"/>
        </w:rPr>
        <w:t>信息</w:t>
      </w:r>
      <w:r w:rsidRPr="000C0842">
        <w:rPr>
          <w:rFonts w:ascii="SimSun" w:eastAsia="SimSun" w:hAnsi="SimSun" w:hint="eastAsia"/>
          <w:snapToGrid w:val="0"/>
          <w:kern w:val="22"/>
          <w:sz w:val="24"/>
          <w:szCs w:val="24"/>
          <w:lang w:val="en-GB"/>
        </w:rPr>
        <w:t>来源</w:t>
      </w:r>
      <w:r w:rsidRPr="000C0842">
        <w:rPr>
          <w:rFonts w:eastAsia="SimSun" w:hint="eastAsia"/>
          <w:sz w:val="24"/>
          <w:szCs w:val="24"/>
        </w:rPr>
        <w:t>可能包括但不限于：</w:t>
      </w:r>
    </w:p>
    <w:p w14:paraId="72A9A124" w14:textId="77777777" w:rsidR="000A776A" w:rsidRPr="000C0842" w:rsidRDefault="000A776A">
      <w:pPr>
        <w:numPr>
          <w:ilvl w:val="0"/>
          <w:numId w:val="198"/>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根据</w:t>
      </w:r>
      <w:r w:rsidRPr="000C0842">
        <w:rPr>
          <w:rFonts w:eastAsia="SimSun"/>
          <w:sz w:val="24"/>
          <w:szCs w:val="24"/>
        </w:rPr>
        <w:t>1996</w:t>
      </w:r>
      <w:r w:rsidRPr="000C0842">
        <w:rPr>
          <w:rFonts w:eastAsia="SimSun" w:hint="eastAsia"/>
          <w:sz w:val="24"/>
          <w:szCs w:val="24"/>
        </w:rPr>
        <w:t>年</w:t>
      </w:r>
      <w:r w:rsidRPr="000C0842">
        <w:rPr>
          <w:rFonts w:eastAsia="SimSun"/>
          <w:sz w:val="24"/>
          <w:szCs w:val="24"/>
        </w:rPr>
        <w:t>11</w:t>
      </w:r>
      <w:r w:rsidRPr="000C0842">
        <w:rPr>
          <w:rFonts w:eastAsia="SimSun" w:hint="eastAsia"/>
          <w:sz w:val="24"/>
          <w:szCs w:val="24"/>
        </w:rPr>
        <w:t>月</w:t>
      </w:r>
      <w:r w:rsidRPr="000C0842">
        <w:rPr>
          <w:rFonts w:eastAsia="SimSun"/>
          <w:sz w:val="24"/>
          <w:szCs w:val="24"/>
        </w:rPr>
        <w:t>15</w:t>
      </w:r>
      <w:r w:rsidRPr="000C0842">
        <w:rPr>
          <w:rFonts w:eastAsia="SimSun" w:hint="eastAsia"/>
          <w:sz w:val="24"/>
          <w:szCs w:val="24"/>
        </w:rPr>
        <w:t>日第</w:t>
      </w:r>
      <w:r w:rsidRPr="000C0842">
        <w:rPr>
          <w:rFonts w:eastAsia="SimSun"/>
          <w:sz w:val="24"/>
          <w:szCs w:val="24"/>
        </w:rPr>
        <w:t xml:space="preserve"> III/8 </w:t>
      </w:r>
      <w:r w:rsidRPr="000C0842">
        <w:rPr>
          <w:rFonts w:eastAsia="SimSun" w:hint="eastAsia"/>
          <w:sz w:val="24"/>
          <w:szCs w:val="24"/>
        </w:rPr>
        <w:t>号决定附件所载公约缔约方大会与全球环境基金理事会之间的谅解备忘录审查财务机制在执行《公约》方面的有效性；</w:t>
      </w:r>
    </w:p>
    <w:p w14:paraId="7097D4B7" w14:textId="77777777" w:rsidR="000A776A" w:rsidRPr="000C0842" w:rsidRDefault="000A776A">
      <w:pPr>
        <w:numPr>
          <w:ilvl w:val="0"/>
          <w:numId w:val="198"/>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z w:val="24"/>
          <w:szCs w:val="24"/>
        </w:rPr>
        <w:t>全球环境基金理事会向缔约方大会提交的报告；</w:t>
      </w:r>
    </w:p>
    <w:p w14:paraId="0BC86D64" w14:textId="77777777" w:rsidR="000A776A" w:rsidRPr="000C0842" w:rsidRDefault="000A776A">
      <w:pPr>
        <w:numPr>
          <w:ilvl w:val="0"/>
          <w:numId w:val="198"/>
        </w:numPr>
        <w:tabs>
          <w:tab w:val="clear" w:pos="567"/>
          <w:tab w:val="clear" w:pos="1134"/>
          <w:tab w:val="clear" w:pos="1701"/>
          <w:tab w:val="clear" w:pos="2268"/>
        </w:tabs>
        <w:spacing w:before="120" w:after="120"/>
        <w:ind w:left="490" w:firstLine="490"/>
        <w:rPr>
          <w:rFonts w:eastAsia="SimSun"/>
          <w:sz w:val="24"/>
          <w:szCs w:val="24"/>
        </w:rPr>
      </w:pPr>
      <w:r w:rsidRPr="000C0842">
        <w:rPr>
          <w:rFonts w:eastAsia="SimSun" w:hint="eastAsia"/>
          <w:spacing w:val="-10"/>
          <w:sz w:val="24"/>
          <w:szCs w:val="24"/>
        </w:rPr>
        <w:t>相关国际金融机制的经验和教训；</w:t>
      </w:r>
    </w:p>
    <w:p w14:paraId="23194103" w14:textId="77777777" w:rsidR="000A776A" w:rsidRPr="000C0842" w:rsidRDefault="000A776A" w:rsidP="000A776A">
      <w:pPr>
        <w:tabs>
          <w:tab w:val="clear" w:pos="567"/>
          <w:tab w:val="clear" w:pos="1134"/>
          <w:tab w:val="clear" w:pos="1701"/>
          <w:tab w:val="clear" w:pos="2268"/>
        </w:tabs>
        <w:spacing w:before="120" w:after="120"/>
        <w:ind w:firstLine="490"/>
        <w:rPr>
          <w:rFonts w:ascii="KaiTi" w:eastAsia="KaiTi" w:hAnsi="KaiTi"/>
          <w:sz w:val="24"/>
          <w:szCs w:val="24"/>
        </w:rPr>
      </w:pPr>
      <w:r w:rsidRPr="000C0842">
        <w:rPr>
          <w:rFonts w:ascii="KaiTi" w:eastAsia="KaiTi" w:hAnsi="KaiTi" w:hint="eastAsia"/>
          <w:sz w:val="24"/>
          <w:szCs w:val="24"/>
        </w:rPr>
        <w:t>范围</w:t>
      </w:r>
    </w:p>
    <w:p w14:paraId="1ADFE5F6" w14:textId="77777777" w:rsidR="000A776A" w:rsidRPr="000C0842" w:rsidRDefault="000A776A">
      <w:pPr>
        <w:numPr>
          <w:ilvl w:val="0"/>
          <w:numId w:val="195"/>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hint="eastAsia"/>
          <w:sz w:val="24"/>
          <w:szCs w:val="24"/>
        </w:rPr>
        <w:t>评估将包括对全球环境基金和其他相关多边环境协定的财务机制进行比较，后者除其他外，</w:t>
      </w:r>
      <w:r w:rsidRPr="000C0842">
        <w:rPr>
          <w:rFonts w:ascii="SimSun" w:eastAsia="SimSun" w:hAnsi="SimSun" w:hint="eastAsia"/>
          <w:snapToGrid w:val="0"/>
          <w:kern w:val="22"/>
          <w:sz w:val="24"/>
          <w:szCs w:val="24"/>
          <w:lang w:val="en-GB"/>
        </w:rPr>
        <w:t>包括</w:t>
      </w:r>
      <w:r w:rsidRPr="000C0842">
        <w:rPr>
          <w:rFonts w:eastAsia="SimSun" w:hint="eastAsia"/>
          <w:sz w:val="24"/>
          <w:szCs w:val="24"/>
        </w:rPr>
        <w:t>全球保护基金、适应基金、应对损失和损害基金；</w:t>
      </w:r>
    </w:p>
    <w:p w14:paraId="1A85C7FD" w14:textId="77777777" w:rsidR="000A776A" w:rsidRPr="000C0842" w:rsidRDefault="000A776A">
      <w:pPr>
        <w:numPr>
          <w:ilvl w:val="0"/>
          <w:numId w:val="195"/>
        </w:numPr>
        <w:tabs>
          <w:tab w:val="clear" w:pos="567"/>
          <w:tab w:val="clear" w:pos="1134"/>
          <w:tab w:val="clear" w:pos="1701"/>
          <w:tab w:val="clear" w:pos="2268"/>
        </w:tabs>
        <w:spacing w:before="120" w:after="120"/>
        <w:ind w:left="490" w:firstLine="0"/>
        <w:rPr>
          <w:rFonts w:eastAsia="SimSun"/>
          <w:sz w:val="24"/>
          <w:szCs w:val="24"/>
        </w:rPr>
      </w:pPr>
      <w:r w:rsidRPr="000C0842">
        <w:rPr>
          <w:rFonts w:eastAsia="SimSun" w:hint="eastAsia"/>
          <w:sz w:val="24"/>
          <w:szCs w:val="24"/>
        </w:rPr>
        <w:t>需要</w:t>
      </w:r>
      <w:r w:rsidRPr="000C0842">
        <w:rPr>
          <w:rFonts w:ascii="SimSun" w:eastAsia="SimSun" w:hAnsi="SimSun" w:hint="eastAsia"/>
          <w:snapToGrid w:val="0"/>
          <w:kern w:val="22"/>
          <w:sz w:val="24"/>
          <w:szCs w:val="24"/>
          <w:lang w:val="en-GB"/>
        </w:rPr>
        <w:t>考虑</w:t>
      </w:r>
      <w:r w:rsidRPr="000C0842">
        <w:rPr>
          <w:rFonts w:eastAsia="SimSun" w:hint="eastAsia"/>
          <w:sz w:val="24"/>
          <w:szCs w:val="24"/>
        </w:rPr>
        <w:t>的要素如下：</w:t>
      </w:r>
    </w:p>
    <w:p w14:paraId="1956028A"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ascii="SimSun" w:eastAsia="SimSun" w:hAnsi="SimSun"/>
          <w:snapToGrid w:val="0"/>
          <w:kern w:val="22"/>
          <w:sz w:val="24"/>
          <w:szCs w:val="24"/>
          <w:lang w:val="en-GB"/>
        </w:rPr>
      </w:pPr>
      <w:r w:rsidRPr="000C0842">
        <w:rPr>
          <w:rFonts w:eastAsia="SimSun" w:hint="eastAsia"/>
          <w:sz w:val="24"/>
          <w:szCs w:val="24"/>
        </w:rPr>
        <w:t>捐助</w:t>
      </w:r>
      <w:r w:rsidRPr="000C0842">
        <w:rPr>
          <w:rFonts w:ascii="SimSun" w:eastAsia="SimSun" w:hAnsi="SimSun" w:hint="eastAsia"/>
          <w:snapToGrid w:val="0"/>
          <w:kern w:val="22"/>
          <w:sz w:val="24"/>
          <w:szCs w:val="24"/>
          <w:lang w:val="en-GB"/>
        </w:rPr>
        <w:t>群；</w:t>
      </w:r>
    </w:p>
    <w:p w14:paraId="13AC2281"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法律性质；</w:t>
      </w:r>
    </w:p>
    <w:p w14:paraId="4DB47572"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供资方式和财务执行情况；</w:t>
      </w:r>
    </w:p>
    <w:p w14:paraId="1F0A744D"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供资标准和程序，包括项目周期考虑因素；</w:t>
      </w:r>
    </w:p>
    <w:p w14:paraId="6F1C784D"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ascii="SimSun" w:eastAsia="SimSun" w:hAnsi="SimSun"/>
          <w:snapToGrid w:val="0"/>
          <w:kern w:val="22"/>
          <w:sz w:val="24"/>
          <w:szCs w:val="24"/>
          <w:lang w:val="en-GB"/>
        </w:rPr>
      </w:pPr>
      <w:r w:rsidRPr="000C0842">
        <w:rPr>
          <w:rFonts w:eastAsia="SimSun" w:hint="eastAsia"/>
          <w:sz w:val="24"/>
          <w:szCs w:val="24"/>
        </w:rPr>
        <w:t>资</w:t>
      </w:r>
      <w:r w:rsidRPr="000C0842">
        <w:rPr>
          <w:rFonts w:ascii="SimSun" w:eastAsia="SimSun" w:hAnsi="SimSun" w:hint="eastAsia"/>
          <w:snapToGrid w:val="0"/>
          <w:kern w:val="22"/>
          <w:sz w:val="24"/>
          <w:szCs w:val="24"/>
          <w:lang w:val="en-GB"/>
        </w:rPr>
        <w:t>金获取和发放模式（例如直接拨款和</w:t>
      </w:r>
      <w:r w:rsidRPr="000C0842">
        <w:rPr>
          <w:rFonts w:ascii="SimSun" w:eastAsia="SimSun" w:hAnsi="SimSun"/>
          <w:snapToGrid w:val="0"/>
          <w:kern w:val="22"/>
          <w:sz w:val="24"/>
          <w:szCs w:val="24"/>
          <w:lang w:val="en-GB"/>
        </w:rPr>
        <w:t>/</w:t>
      </w:r>
      <w:r w:rsidRPr="000C0842">
        <w:rPr>
          <w:rFonts w:ascii="SimSun" w:eastAsia="SimSun" w:hAnsi="SimSun" w:hint="eastAsia"/>
          <w:snapToGrid w:val="0"/>
          <w:kern w:val="22"/>
          <w:sz w:val="24"/>
          <w:szCs w:val="24"/>
          <w:lang w:val="en-GB"/>
        </w:rPr>
        <w:t>或基于项目发放），包括以土著人民和地方社区、妇女和青年为对象的获取和发放；</w:t>
      </w:r>
    </w:p>
    <w:p w14:paraId="32400302"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治理，包括理事会的组成和受托人安排；</w:t>
      </w:r>
    </w:p>
    <w:p w14:paraId="5CC01FE4"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基金理事机构与多边环境协定各自的缔约方大会之间的关系；</w:t>
      </w:r>
    </w:p>
    <w:p w14:paraId="5194688F"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ascii="SimSun" w:eastAsia="SimSun" w:hAnsi="SimSun"/>
          <w:snapToGrid w:val="0"/>
          <w:kern w:val="22"/>
          <w:sz w:val="24"/>
          <w:szCs w:val="24"/>
          <w:lang w:val="en-GB"/>
        </w:rPr>
      </w:pPr>
      <w:r w:rsidRPr="000C0842">
        <w:rPr>
          <w:rFonts w:eastAsia="SimSun" w:hint="eastAsia"/>
          <w:sz w:val="24"/>
          <w:szCs w:val="24"/>
        </w:rPr>
        <w:t>透明</w:t>
      </w:r>
      <w:r w:rsidRPr="000C0842">
        <w:rPr>
          <w:rFonts w:ascii="SimSun" w:eastAsia="SimSun" w:hAnsi="SimSun" w:hint="eastAsia"/>
          <w:snapToGrid w:val="0"/>
          <w:kern w:val="22"/>
          <w:sz w:val="24"/>
          <w:szCs w:val="24"/>
          <w:lang w:val="en-GB"/>
        </w:rPr>
        <w:t>度、监测、报告和评估；</w:t>
      </w:r>
    </w:p>
    <w:p w14:paraId="457C2405"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认证程序和执行机构的作用；</w:t>
      </w:r>
    </w:p>
    <w:p w14:paraId="467EA723"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运营成本效益；</w:t>
      </w:r>
    </w:p>
    <w:p w14:paraId="03DEC2F5" w14:textId="77777777" w:rsidR="000A776A" w:rsidRPr="000C0842" w:rsidRDefault="000A776A">
      <w:pPr>
        <w:numPr>
          <w:ilvl w:val="0"/>
          <w:numId w:val="199"/>
        </w:numPr>
        <w:tabs>
          <w:tab w:val="clear" w:pos="567"/>
          <w:tab w:val="clear" w:pos="1134"/>
          <w:tab w:val="clear" w:pos="1701"/>
          <w:tab w:val="clear" w:pos="2268"/>
        </w:tabs>
        <w:spacing w:before="120" w:after="120" w:line="240" w:lineRule="atLeast"/>
        <w:ind w:left="490" w:firstLine="490"/>
        <w:jc w:val="left"/>
        <w:rPr>
          <w:rFonts w:eastAsia="SimSun"/>
          <w:sz w:val="24"/>
          <w:szCs w:val="24"/>
        </w:rPr>
      </w:pPr>
      <w:r w:rsidRPr="000C0842">
        <w:rPr>
          <w:rFonts w:eastAsia="SimSun" w:hint="eastAsia"/>
          <w:sz w:val="24"/>
          <w:szCs w:val="24"/>
        </w:rPr>
        <w:t>融资</w:t>
      </w:r>
      <w:r w:rsidRPr="000C0842">
        <w:rPr>
          <w:rFonts w:ascii="SimSun" w:eastAsia="SimSun" w:hAnsi="SimSun" w:hint="eastAsia"/>
          <w:snapToGrid w:val="0"/>
          <w:kern w:val="22"/>
          <w:sz w:val="24"/>
          <w:szCs w:val="24"/>
          <w:lang w:val="en-GB"/>
        </w:rPr>
        <w:t>工</w:t>
      </w:r>
      <w:r w:rsidRPr="000C0842">
        <w:rPr>
          <w:rFonts w:eastAsia="SimSun" w:hint="eastAsia"/>
          <w:sz w:val="24"/>
          <w:szCs w:val="24"/>
        </w:rPr>
        <w:t>具的建立和运行成本。</w:t>
      </w:r>
    </w:p>
    <w:p w14:paraId="13E9F14C" w14:textId="77777777" w:rsidR="000A776A" w:rsidRPr="000C0842" w:rsidRDefault="000A776A" w:rsidP="000A776A">
      <w:pPr>
        <w:suppressLineNumbers/>
        <w:tabs>
          <w:tab w:val="clear" w:pos="567"/>
          <w:tab w:val="clear" w:pos="1134"/>
          <w:tab w:val="clear" w:pos="1701"/>
          <w:tab w:val="clear" w:pos="2268"/>
        </w:tabs>
        <w:suppressAutoHyphens/>
        <w:spacing w:before="120" w:after="120"/>
        <w:ind w:left="490" w:firstLine="490"/>
        <w:rPr>
          <w:b/>
          <w:iCs/>
          <w:snapToGrid w:val="0"/>
          <w:kern w:val="22"/>
          <w:sz w:val="24"/>
        </w:rPr>
      </w:pPr>
    </w:p>
    <w:p w14:paraId="0B39205C" w14:textId="67455BBE" w:rsidR="000A776A" w:rsidRPr="000C0842" w:rsidRDefault="000A776A">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719F566C" w14:textId="1CC5ABF2" w:rsidR="00F05AB2" w:rsidRPr="000C0842" w:rsidRDefault="00F05AB2" w:rsidP="002437E6">
      <w:pPr>
        <w:pStyle w:val="a1"/>
        <w:rPr>
          <w:rFonts w:hint="eastAsia"/>
          <w:lang w:eastAsia="zh-CN"/>
        </w:rPr>
      </w:pPr>
      <w:bookmarkStart w:id="132" w:name="_Toc206358231"/>
      <w:r w:rsidRPr="000C0842">
        <w:rPr>
          <w:rFonts w:hint="eastAsia"/>
          <w:lang w:eastAsia="zh-CN"/>
        </w:rPr>
        <w:t>16/34.</w:t>
      </w:r>
      <w:r w:rsidR="00AB1E26" w:rsidRPr="000C0842">
        <w:rPr>
          <w:rFonts w:hint="eastAsia"/>
          <w:lang w:eastAsia="zh-CN"/>
        </w:rPr>
        <w:t xml:space="preserve"> </w:t>
      </w:r>
      <w:r w:rsidRPr="000C0842">
        <w:rPr>
          <w:rFonts w:hint="eastAsia"/>
          <w:lang w:eastAsia="zh-CN"/>
        </w:rPr>
        <w:t>资源调动</w:t>
      </w:r>
      <w:bookmarkEnd w:id="132"/>
    </w:p>
    <w:p w14:paraId="08C36C2B" w14:textId="77777777" w:rsidR="00F05AB2" w:rsidRPr="000C0842" w:rsidRDefault="00F05AB2" w:rsidP="00F05AB2">
      <w:pPr>
        <w:tabs>
          <w:tab w:val="clear" w:pos="567"/>
          <w:tab w:val="clear" w:pos="1134"/>
          <w:tab w:val="clear" w:pos="1701"/>
          <w:tab w:val="clear" w:pos="2268"/>
        </w:tabs>
        <w:adjustRightInd w:val="0"/>
        <w:snapToGrid w:val="0"/>
        <w:spacing w:before="240" w:after="120"/>
        <w:ind w:left="490" w:firstLine="490"/>
        <w:rPr>
          <w:rFonts w:eastAsia="SimSun"/>
          <w:sz w:val="24"/>
          <w:szCs w:val="24"/>
          <w:lang w:val="en-CA"/>
        </w:rPr>
      </w:pPr>
      <w:r w:rsidRPr="000C0842">
        <w:rPr>
          <w:rFonts w:eastAsia="KaiTi"/>
          <w:sz w:val="24"/>
          <w:szCs w:val="24"/>
          <w:lang w:val="en-CA"/>
        </w:rPr>
        <w:t>缔约方大会</w:t>
      </w:r>
      <w:r w:rsidRPr="000C0842">
        <w:rPr>
          <w:rFonts w:eastAsia="SimSun"/>
          <w:sz w:val="24"/>
          <w:szCs w:val="24"/>
          <w:lang w:val="en-CA"/>
        </w:rPr>
        <w:t>，</w:t>
      </w:r>
    </w:p>
    <w:p w14:paraId="4C1955B5" w14:textId="5BB3CBD9"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回顾</w:t>
      </w:r>
      <w:r w:rsidRPr="000C0842">
        <w:rPr>
          <w:rFonts w:eastAsia="SimSun"/>
          <w:sz w:val="24"/>
          <w:szCs w:val="24"/>
          <w:lang w:val="en-CA"/>
        </w:rPr>
        <w:t>为提供和调动所有来源的资源</w:t>
      </w:r>
      <w:r w:rsidRPr="000C0842">
        <w:rPr>
          <w:rFonts w:eastAsia="SimSun" w:hint="eastAsia"/>
          <w:sz w:val="24"/>
          <w:szCs w:val="24"/>
          <w:lang w:val="en-CA"/>
        </w:rPr>
        <w:t>提供</w:t>
      </w:r>
      <w:r w:rsidRPr="000C0842">
        <w:rPr>
          <w:rFonts w:eastAsia="SimSun"/>
          <w:sz w:val="24"/>
          <w:szCs w:val="24"/>
          <w:lang w:val="en-CA"/>
        </w:rPr>
        <w:t>依据</w:t>
      </w:r>
      <w:r w:rsidRPr="000C0842">
        <w:rPr>
          <w:rFonts w:eastAsia="SimSun" w:hint="eastAsia"/>
          <w:sz w:val="24"/>
          <w:szCs w:val="24"/>
          <w:lang w:val="en-CA"/>
        </w:rPr>
        <w:t>的</w:t>
      </w:r>
      <w:r w:rsidRPr="000C0842">
        <w:rPr>
          <w:rFonts w:eastAsia="SimSun"/>
          <w:sz w:val="24"/>
          <w:szCs w:val="24"/>
          <w:lang w:val="en-CA"/>
        </w:rPr>
        <w:t>《</w:t>
      </w:r>
      <w:r w:rsidRPr="000C0842">
        <w:rPr>
          <w:rFonts w:eastAsia="SimSun" w:hint="eastAsia"/>
          <w:sz w:val="24"/>
          <w:szCs w:val="24"/>
          <w:lang w:val="en-CA"/>
        </w:rPr>
        <w:t>生物多样性</w:t>
      </w:r>
      <w:r w:rsidRPr="000C0842">
        <w:rPr>
          <w:rFonts w:eastAsia="SimSun"/>
          <w:sz w:val="24"/>
          <w:szCs w:val="24"/>
          <w:lang w:val="en-CA"/>
        </w:rPr>
        <w:t>公约》</w:t>
      </w:r>
      <w:r w:rsidRPr="000C0842">
        <w:rPr>
          <w:rFonts w:eastAsia="SimSun"/>
          <w:sz w:val="24"/>
          <w:szCs w:val="24"/>
          <w:vertAlign w:val="superscript"/>
          <w:lang w:val="en-CA"/>
        </w:rPr>
        <w:footnoteReference w:id="476"/>
      </w:r>
      <w:r w:rsidRPr="000C0842">
        <w:rPr>
          <w:rFonts w:eastAsia="SimSun"/>
          <w:sz w:val="24"/>
          <w:szCs w:val="24"/>
          <w:lang w:val="en-CA"/>
        </w:rPr>
        <w:t>第</w:t>
      </w:r>
      <w:r w:rsidRPr="000C0842">
        <w:rPr>
          <w:rFonts w:eastAsia="SimSun"/>
          <w:sz w:val="24"/>
          <w:szCs w:val="24"/>
          <w:lang w:val="en-CA"/>
        </w:rPr>
        <w:t xml:space="preserve"> </w:t>
      </w:r>
      <w:hyperlink r:id="rId320" w:history="1">
        <w:r w:rsidRPr="000C0842">
          <w:rPr>
            <w:rStyle w:val="Hyperlink"/>
            <w:rFonts w:eastAsia="SimSun"/>
            <w:color w:val="auto"/>
            <w:sz w:val="24"/>
            <w:szCs w:val="24"/>
            <w:lang w:val="en-CA"/>
          </w:rPr>
          <w:t xml:space="preserve">20 </w:t>
        </w:r>
      </w:hyperlink>
      <w:r w:rsidRPr="000C0842">
        <w:rPr>
          <w:rFonts w:eastAsia="SimSun"/>
          <w:sz w:val="24"/>
          <w:szCs w:val="24"/>
          <w:lang w:val="en-CA"/>
        </w:rPr>
        <w:t>条以及第</w:t>
      </w:r>
      <w:r w:rsidRPr="000C0842">
        <w:rPr>
          <w:rFonts w:eastAsia="SimSun"/>
          <w:sz w:val="24"/>
          <w:szCs w:val="24"/>
          <w:lang w:val="en-CA"/>
        </w:rPr>
        <w:t xml:space="preserve"> </w:t>
      </w:r>
      <w:hyperlink r:id="rId321" w:history="1">
        <w:r w:rsidRPr="000C0842">
          <w:rPr>
            <w:rStyle w:val="Hyperlink"/>
            <w:rFonts w:eastAsia="SimSun"/>
            <w:color w:val="auto"/>
            <w:sz w:val="24"/>
            <w:szCs w:val="24"/>
            <w:lang w:val="en-CA"/>
          </w:rPr>
          <w:t>11</w:t>
        </w:r>
      </w:hyperlink>
      <w:r w:rsidRPr="000C0842">
        <w:rPr>
          <w:rFonts w:eastAsia="SimSun" w:hint="eastAsia"/>
          <w:sz w:val="24"/>
          <w:szCs w:val="24"/>
          <w:lang w:val="en-CA"/>
        </w:rPr>
        <w:t>条</w:t>
      </w:r>
      <w:r w:rsidRPr="000C0842">
        <w:rPr>
          <w:rFonts w:eastAsia="SimSun"/>
          <w:sz w:val="24"/>
          <w:szCs w:val="24"/>
          <w:lang w:val="en-CA"/>
        </w:rPr>
        <w:t>和</w:t>
      </w:r>
      <w:r w:rsidRPr="000C0842">
        <w:rPr>
          <w:rFonts w:eastAsia="SimSun" w:hint="eastAsia"/>
          <w:sz w:val="24"/>
          <w:szCs w:val="24"/>
          <w:lang w:val="en-CA"/>
        </w:rPr>
        <w:t>第</w:t>
      </w:r>
      <w:r w:rsidRPr="000C0842">
        <w:rPr>
          <w:rFonts w:eastAsia="SimSun"/>
          <w:sz w:val="24"/>
          <w:szCs w:val="24"/>
          <w:lang w:val="en-CA"/>
        </w:rPr>
        <w:t xml:space="preserve"> </w:t>
      </w:r>
      <w:hyperlink r:id="rId322" w:history="1">
        <w:r w:rsidRPr="000C0842">
          <w:rPr>
            <w:rStyle w:val="Hyperlink"/>
            <w:rFonts w:eastAsia="SimSun"/>
            <w:color w:val="auto"/>
            <w:sz w:val="24"/>
            <w:szCs w:val="24"/>
            <w:lang w:val="en-CA"/>
          </w:rPr>
          <w:t>21</w:t>
        </w:r>
      </w:hyperlink>
      <w:r w:rsidRPr="000C0842">
        <w:rPr>
          <w:rFonts w:eastAsia="SimSun"/>
          <w:sz w:val="24"/>
          <w:szCs w:val="24"/>
          <w:lang w:val="en-CA"/>
        </w:rPr>
        <w:t xml:space="preserve"> </w:t>
      </w:r>
      <w:r w:rsidRPr="000C0842">
        <w:rPr>
          <w:rFonts w:eastAsia="SimSun"/>
          <w:sz w:val="24"/>
          <w:szCs w:val="24"/>
          <w:lang w:val="en-CA"/>
        </w:rPr>
        <w:t>条在这方面的相关性，</w:t>
      </w:r>
    </w:p>
    <w:p w14:paraId="02F9E16A"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hint="eastAsia"/>
          <w:sz w:val="24"/>
          <w:szCs w:val="24"/>
          <w:lang w:val="en-CA"/>
        </w:rPr>
        <w:t>又</w:t>
      </w:r>
      <w:r w:rsidRPr="000C0842">
        <w:rPr>
          <w:rFonts w:eastAsia="KaiTi"/>
          <w:sz w:val="24"/>
          <w:szCs w:val="24"/>
          <w:lang w:val="en-CA"/>
        </w:rPr>
        <w:t>回顾</w:t>
      </w:r>
      <w:r w:rsidRPr="000C0842">
        <w:rPr>
          <w:rFonts w:eastAsia="SimSun"/>
          <w:sz w:val="24"/>
          <w:szCs w:val="24"/>
          <w:lang w:val="en-CA"/>
        </w:rPr>
        <w:t>《昆明</w:t>
      </w:r>
      <w:r w:rsidRPr="000C0842">
        <w:rPr>
          <w:rFonts w:eastAsia="SimSun"/>
          <w:sz w:val="24"/>
          <w:szCs w:val="24"/>
          <w:lang w:val="en-CA"/>
        </w:rPr>
        <w:t>-</w:t>
      </w:r>
      <w:r w:rsidRPr="000C0842">
        <w:rPr>
          <w:rFonts w:eastAsia="SimSun"/>
          <w:sz w:val="24"/>
          <w:szCs w:val="24"/>
          <w:lang w:val="en-CA"/>
        </w:rPr>
        <w:t>蒙特利尔全球生物多样性框架》</w:t>
      </w:r>
      <w:r w:rsidRPr="000C0842">
        <w:rPr>
          <w:rFonts w:eastAsia="SimSun"/>
          <w:sz w:val="24"/>
          <w:szCs w:val="24"/>
          <w:vertAlign w:val="superscript"/>
          <w:lang w:val="en-CA"/>
        </w:rPr>
        <w:footnoteReference w:id="477"/>
      </w:r>
      <w:r w:rsidRPr="000C0842">
        <w:rPr>
          <w:rFonts w:eastAsia="SimSun"/>
          <w:sz w:val="24"/>
          <w:szCs w:val="24"/>
          <w:lang w:val="en-CA"/>
        </w:rPr>
        <w:t>，包括其</w:t>
      </w:r>
      <w:r w:rsidRPr="000C0842">
        <w:rPr>
          <w:rFonts w:eastAsia="SimSun"/>
          <w:sz w:val="24"/>
          <w:szCs w:val="24"/>
          <w:lang w:val="en-CA"/>
        </w:rPr>
        <w:t>C</w:t>
      </w:r>
      <w:r w:rsidRPr="000C0842">
        <w:rPr>
          <w:rFonts w:eastAsia="SimSun"/>
          <w:sz w:val="24"/>
          <w:szCs w:val="24"/>
          <w:lang w:val="en-CA"/>
        </w:rPr>
        <w:t>部分、长期目标</w:t>
      </w:r>
      <w:r w:rsidRPr="000C0842">
        <w:rPr>
          <w:rFonts w:eastAsia="SimSun"/>
          <w:sz w:val="24"/>
          <w:szCs w:val="24"/>
          <w:lang w:val="en-CA"/>
        </w:rPr>
        <w:t xml:space="preserve"> D </w:t>
      </w:r>
      <w:r w:rsidRPr="000C0842">
        <w:rPr>
          <w:rFonts w:eastAsia="SimSun"/>
          <w:sz w:val="24"/>
          <w:szCs w:val="24"/>
          <w:lang w:val="en-CA"/>
        </w:rPr>
        <w:t>和行动目标</w:t>
      </w:r>
      <w:r w:rsidRPr="000C0842">
        <w:rPr>
          <w:rFonts w:eastAsia="SimSun"/>
          <w:sz w:val="24"/>
          <w:szCs w:val="24"/>
          <w:lang w:val="en-CA"/>
        </w:rPr>
        <w:t xml:space="preserve"> 19</w:t>
      </w:r>
      <w:r w:rsidRPr="000C0842">
        <w:rPr>
          <w:rFonts w:eastAsia="SimSun"/>
          <w:sz w:val="24"/>
          <w:szCs w:val="24"/>
          <w:lang w:val="en-CA"/>
        </w:rPr>
        <w:t>，以及长期目标</w:t>
      </w:r>
      <w:r w:rsidRPr="000C0842">
        <w:rPr>
          <w:rFonts w:eastAsia="SimSun"/>
          <w:sz w:val="24"/>
          <w:szCs w:val="24"/>
          <w:lang w:val="en-CA"/>
        </w:rPr>
        <w:t xml:space="preserve"> C </w:t>
      </w:r>
      <w:r w:rsidRPr="000C0842">
        <w:rPr>
          <w:rFonts w:eastAsia="SimSun"/>
          <w:sz w:val="24"/>
          <w:szCs w:val="24"/>
          <w:lang w:val="en-CA"/>
        </w:rPr>
        <w:t>和行动目标</w:t>
      </w:r>
      <w:r w:rsidRPr="000C0842">
        <w:rPr>
          <w:rFonts w:eastAsia="SimSun"/>
          <w:sz w:val="24"/>
          <w:szCs w:val="24"/>
          <w:lang w:val="en-CA"/>
        </w:rPr>
        <w:t xml:space="preserve"> </w:t>
      </w:r>
      <w:r w:rsidRPr="000C0842">
        <w:rPr>
          <w:rFonts w:eastAsia="SimSun" w:hint="eastAsia"/>
          <w:sz w:val="24"/>
          <w:szCs w:val="24"/>
          <w:lang w:val="en-CA"/>
        </w:rPr>
        <w:t>13</w:t>
      </w:r>
      <w:r w:rsidRPr="000C0842">
        <w:rPr>
          <w:rFonts w:eastAsia="SimSun" w:hint="eastAsia"/>
          <w:sz w:val="24"/>
          <w:szCs w:val="24"/>
          <w:lang w:val="en-CA"/>
        </w:rPr>
        <w:t>至</w:t>
      </w:r>
      <w:r w:rsidRPr="000C0842">
        <w:rPr>
          <w:rFonts w:eastAsia="SimSun"/>
          <w:sz w:val="24"/>
          <w:szCs w:val="24"/>
          <w:lang w:val="en-CA"/>
        </w:rPr>
        <w:t>16</w:t>
      </w:r>
      <w:r w:rsidRPr="000C0842">
        <w:rPr>
          <w:rFonts w:eastAsia="SimSun"/>
          <w:sz w:val="24"/>
          <w:szCs w:val="24"/>
          <w:lang w:val="en-CA"/>
        </w:rPr>
        <w:t>、</w:t>
      </w:r>
      <w:r w:rsidRPr="000C0842">
        <w:rPr>
          <w:rFonts w:eastAsia="SimSun"/>
          <w:sz w:val="24"/>
          <w:szCs w:val="24"/>
          <w:lang w:val="en-CA"/>
        </w:rPr>
        <w:t xml:space="preserve"> 18 </w:t>
      </w:r>
      <w:r w:rsidRPr="000C0842">
        <w:rPr>
          <w:rFonts w:eastAsia="SimSun"/>
          <w:sz w:val="24"/>
          <w:szCs w:val="24"/>
          <w:lang w:val="en-CA"/>
        </w:rPr>
        <w:t>和</w:t>
      </w:r>
      <w:r w:rsidRPr="000C0842">
        <w:rPr>
          <w:rFonts w:eastAsia="SimSun"/>
          <w:sz w:val="24"/>
          <w:szCs w:val="24"/>
          <w:lang w:val="en-CA"/>
        </w:rPr>
        <w:t>20</w:t>
      </w:r>
      <w:r w:rsidRPr="000C0842">
        <w:rPr>
          <w:rFonts w:eastAsia="SimSun"/>
          <w:sz w:val="24"/>
          <w:szCs w:val="24"/>
          <w:lang w:val="en-CA"/>
        </w:rPr>
        <w:t>，</w:t>
      </w:r>
      <w:r w:rsidRPr="000C0842">
        <w:rPr>
          <w:rFonts w:eastAsia="SimSun"/>
          <w:sz w:val="24"/>
          <w:szCs w:val="24"/>
        </w:rPr>
        <w:t>强调生物多样性主流化对于加强资源调动和有效高效利用资源</w:t>
      </w:r>
      <w:r w:rsidRPr="000C0842">
        <w:rPr>
          <w:rFonts w:eastAsia="SimSun" w:hint="eastAsia"/>
          <w:sz w:val="24"/>
          <w:szCs w:val="24"/>
        </w:rPr>
        <w:t>，</w:t>
      </w:r>
      <w:r w:rsidRPr="000C0842">
        <w:rPr>
          <w:rFonts w:eastAsia="SimSun"/>
          <w:sz w:val="24"/>
          <w:szCs w:val="24"/>
        </w:rPr>
        <w:t>支持生物多样性保护和可持续利用的重要性</w:t>
      </w:r>
      <w:r w:rsidRPr="000C0842">
        <w:rPr>
          <w:rFonts w:eastAsia="SimSun"/>
          <w:sz w:val="24"/>
          <w:szCs w:val="24"/>
          <w:lang w:val="en-CA"/>
        </w:rPr>
        <w:t>，</w:t>
      </w:r>
    </w:p>
    <w:p w14:paraId="47495F1F"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震惊</w:t>
      </w:r>
      <w:r w:rsidRPr="000C0842">
        <w:rPr>
          <w:rFonts w:eastAsia="KaiTi" w:hint="eastAsia"/>
          <w:sz w:val="24"/>
          <w:szCs w:val="24"/>
          <w:lang w:val="en-CA"/>
        </w:rPr>
        <w:t>地看到</w:t>
      </w:r>
      <w:r w:rsidRPr="000C0842">
        <w:rPr>
          <w:rFonts w:eastAsia="SimSun"/>
          <w:sz w:val="24"/>
          <w:szCs w:val="24"/>
          <w:lang w:val="en-CA"/>
        </w:rPr>
        <w:t>生物多样性持续丧失对自然和人类福祉构成威胁，</w:t>
      </w:r>
      <w:r w:rsidRPr="000C0842">
        <w:rPr>
          <w:rFonts w:eastAsia="SimSun"/>
          <w:sz w:val="24"/>
          <w:szCs w:val="24"/>
        </w:rPr>
        <w:t>强调</w:t>
      </w:r>
      <w:r w:rsidRPr="000C0842">
        <w:rPr>
          <w:rFonts w:eastAsia="SimSun"/>
          <w:sz w:val="24"/>
          <w:szCs w:val="24"/>
          <w:lang w:val="en-CA"/>
        </w:rPr>
        <w:t>必须紧急调动更多的国内和国际、公共和私人等各种来源的财务资源，</w:t>
      </w:r>
      <w:r w:rsidRPr="000C0842">
        <w:rPr>
          <w:rFonts w:eastAsia="SimSun" w:hint="eastAsia"/>
          <w:sz w:val="24"/>
          <w:szCs w:val="24"/>
          <w:lang w:val="en-CA"/>
        </w:rPr>
        <w:t>弥合</w:t>
      </w:r>
      <w:r w:rsidRPr="000C0842">
        <w:rPr>
          <w:rFonts w:eastAsia="SimSun"/>
          <w:sz w:val="24"/>
          <w:szCs w:val="24"/>
          <w:lang w:val="en-CA"/>
        </w:rPr>
        <w:t>生物多样性资金缺口，并及时提供充足和可预测的资源，用于有效执行《昆蒙框架》，</w:t>
      </w:r>
    </w:p>
    <w:p w14:paraId="64D30A45"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认识到</w:t>
      </w:r>
      <w:r w:rsidRPr="000C0842">
        <w:rPr>
          <w:rFonts w:eastAsia="SimSun"/>
          <w:sz w:val="24"/>
          <w:szCs w:val="24"/>
        </w:rPr>
        <w:t>生物多样性发展融资有所增加，同时也承认在实现</w:t>
      </w:r>
      <w:r w:rsidRPr="000C0842">
        <w:rPr>
          <w:rFonts w:eastAsia="SimSun"/>
          <w:sz w:val="24"/>
          <w:szCs w:val="24"/>
          <w:lang w:val="en-CA"/>
        </w:rPr>
        <w:t>《昆蒙框架》</w:t>
      </w:r>
      <w:r w:rsidRPr="000C0842">
        <w:rPr>
          <w:rFonts w:eastAsia="SimSun"/>
          <w:sz w:val="24"/>
          <w:szCs w:val="24"/>
        </w:rPr>
        <w:t>行动目标</w:t>
      </w:r>
      <w:r w:rsidRPr="000C0842">
        <w:rPr>
          <w:rFonts w:eastAsia="SimSun"/>
          <w:sz w:val="24"/>
          <w:szCs w:val="24"/>
        </w:rPr>
        <w:t xml:space="preserve"> 19(a)</w:t>
      </w:r>
      <w:r w:rsidRPr="000C0842">
        <w:rPr>
          <w:rFonts w:eastAsia="SimSun"/>
          <w:sz w:val="24"/>
          <w:szCs w:val="24"/>
        </w:rPr>
        <w:t>方面仍存在巨大</w:t>
      </w:r>
      <w:r w:rsidRPr="000C0842">
        <w:rPr>
          <w:rFonts w:eastAsia="SimSun" w:hint="eastAsia"/>
          <w:sz w:val="24"/>
          <w:szCs w:val="24"/>
        </w:rPr>
        <w:t>缺口</w:t>
      </w:r>
      <w:r w:rsidRPr="000C0842">
        <w:rPr>
          <w:rFonts w:eastAsia="SimSun"/>
          <w:sz w:val="24"/>
          <w:szCs w:val="24"/>
        </w:rPr>
        <w:t>，</w:t>
      </w:r>
    </w:p>
    <w:p w14:paraId="0F3DDA07"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回顾</w:t>
      </w:r>
      <w:r w:rsidRPr="000C0842">
        <w:rPr>
          <w:rFonts w:eastAsia="SimSun" w:hint="eastAsia"/>
          <w:sz w:val="24"/>
          <w:szCs w:val="24"/>
        </w:rPr>
        <w:t>其</w:t>
      </w:r>
      <w:r w:rsidRPr="000C0842">
        <w:rPr>
          <w:rFonts w:eastAsia="SimSun"/>
          <w:sz w:val="24"/>
          <w:szCs w:val="24"/>
          <w:lang w:val="en-CA"/>
        </w:rPr>
        <w:t>2022</w:t>
      </w:r>
      <w:r w:rsidRPr="000C0842">
        <w:rPr>
          <w:rFonts w:eastAsia="SimSun"/>
          <w:sz w:val="24"/>
          <w:szCs w:val="24"/>
          <w:lang w:val="en-CA"/>
        </w:rPr>
        <w:t>年</w:t>
      </w:r>
      <w:r w:rsidRPr="000C0842">
        <w:rPr>
          <w:rFonts w:eastAsia="SimSun"/>
          <w:sz w:val="24"/>
          <w:szCs w:val="24"/>
          <w:lang w:val="en-CA"/>
        </w:rPr>
        <w:t>12</w:t>
      </w:r>
      <w:r w:rsidRPr="000C0842">
        <w:rPr>
          <w:rFonts w:eastAsia="SimSun"/>
          <w:sz w:val="24"/>
          <w:szCs w:val="24"/>
          <w:lang w:val="en-CA"/>
        </w:rPr>
        <w:t>月</w:t>
      </w:r>
      <w:r w:rsidRPr="000C0842">
        <w:rPr>
          <w:rFonts w:eastAsia="SimSun"/>
          <w:sz w:val="24"/>
          <w:szCs w:val="24"/>
          <w:lang w:val="en-CA"/>
        </w:rPr>
        <w:t>19</w:t>
      </w:r>
      <w:r w:rsidRPr="000C0842">
        <w:rPr>
          <w:rFonts w:eastAsia="SimSun"/>
          <w:sz w:val="24"/>
          <w:szCs w:val="24"/>
          <w:lang w:val="en-CA"/>
        </w:rPr>
        <w:t>日第</w:t>
      </w:r>
      <w:r w:rsidRPr="000C0842">
        <w:rPr>
          <w:rFonts w:eastAsia="SimSun"/>
          <w:sz w:val="24"/>
          <w:szCs w:val="24"/>
          <w:lang w:val="en-CA"/>
        </w:rPr>
        <w:t xml:space="preserve"> </w:t>
      </w:r>
      <w:hyperlink r:id="rId323" w:history="1">
        <w:r w:rsidRPr="000C0842">
          <w:rPr>
            <w:rFonts w:eastAsia="SimSun"/>
            <w:sz w:val="24"/>
            <w:szCs w:val="24"/>
            <w:u w:val="single"/>
            <w:lang w:val="en-CA"/>
          </w:rPr>
          <w:t>15/7</w:t>
        </w:r>
      </w:hyperlink>
      <w:r w:rsidRPr="000C0842">
        <w:rPr>
          <w:rFonts w:eastAsia="SimSun"/>
          <w:sz w:val="24"/>
          <w:szCs w:val="24"/>
          <w:lang w:val="en-CA"/>
        </w:rPr>
        <w:t xml:space="preserve"> </w:t>
      </w:r>
      <w:r w:rsidRPr="000C0842">
        <w:rPr>
          <w:rFonts w:eastAsia="SimSun"/>
          <w:sz w:val="24"/>
          <w:szCs w:val="24"/>
          <w:lang w:val="en-CA"/>
        </w:rPr>
        <w:t>号决定和资源调动战略（</w:t>
      </w:r>
      <w:r w:rsidRPr="000C0842">
        <w:rPr>
          <w:rFonts w:eastAsia="SimSun"/>
          <w:sz w:val="24"/>
          <w:szCs w:val="24"/>
          <w:lang w:val="en-CA"/>
        </w:rPr>
        <w:t xml:space="preserve">2023-2024 </w:t>
      </w:r>
      <w:r w:rsidRPr="000C0842">
        <w:rPr>
          <w:rFonts w:eastAsia="SimSun"/>
          <w:sz w:val="24"/>
          <w:szCs w:val="24"/>
          <w:lang w:val="en-CA"/>
        </w:rPr>
        <w:t>年）</w:t>
      </w:r>
      <w:r w:rsidRPr="000C0842">
        <w:rPr>
          <w:rFonts w:eastAsia="SimSun" w:hint="eastAsia"/>
          <w:sz w:val="24"/>
          <w:szCs w:val="24"/>
          <w:lang w:val="en-CA"/>
        </w:rPr>
        <w:t>的</w:t>
      </w:r>
      <w:r w:rsidRPr="000C0842">
        <w:rPr>
          <w:rFonts w:eastAsia="SimSun"/>
          <w:sz w:val="24"/>
          <w:szCs w:val="24"/>
          <w:lang w:val="en-CA"/>
        </w:rPr>
        <w:t>通过，</w:t>
      </w:r>
    </w:p>
    <w:p w14:paraId="52E1F3AB"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欢迎</w:t>
      </w:r>
      <w:r w:rsidRPr="000C0842">
        <w:rPr>
          <w:rFonts w:eastAsia="SimSun"/>
          <w:sz w:val="24"/>
          <w:szCs w:val="24"/>
          <w:lang w:val="en-CA"/>
        </w:rPr>
        <w:t>全球环境基金设立全球生物多样性框架基金</w:t>
      </w:r>
      <w:r w:rsidRPr="000C0842">
        <w:rPr>
          <w:rFonts w:eastAsia="SimSun" w:hint="eastAsia"/>
          <w:sz w:val="24"/>
          <w:szCs w:val="24"/>
          <w:lang w:val="en-CA"/>
        </w:rPr>
        <w:t>和迄今为止向该基金提供的捐款，同时承认迫切需要扩大捐款规模，帮助实现《昆蒙框架》行动目标</w:t>
      </w:r>
      <w:r w:rsidRPr="000C0842">
        <w:rPr>
          <w:rFonts w:eastAsia="SimSun" w:hint="eastAsia"/>
          <w:sz w:val="24"/>
          <w:szCs w:val="24"/>
          <w:lang w:val="en-CA"/>
        </w:rPr>
        <w:t xml:space="preserve"> 19(a)</w:t>
      </w:r>
      <w:r w:rsidRPr="000C0842">
        <w:rPr>
          <w:rFonts w:eastAsia="SimSun" w:hint="eastAsia"/>
          <w:sz w:val="24"/>
          <w:szCs w:val="24"/>
          <w:lang w:val="en-CA"/>
        </w:rPr>
        <w:t>，</w:t>
      </w:r>
    </w:p>
    <w:p w14:paraId="414DB8A5"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hint="eastAsia"/>
          <w:sz w:val="24"/>
          <w:szCs w:val="24"/>
        </w:rPr>
        <w:t>考虑到</w:t>
      </w:r>
      <w:r w:rsidRPr="000C0842">
        <w:rPr>
          <w:rFonts w:eastAsia="SimSun" w:hint="eastAsia"/>
          <w:sz w:val="24"/>
          <w:szCs w:val="24"/>
        </w:rPr>
        <w:t>其</w:t>
      </w:r>
      <w:r w:rsidRPr="000C0842">
        <w:rPr>
          <w:rFonts w:eastAsia="SimSun"/>
          <w:sz w:val="24"/>
          <w:szCs w:val="24"/>
        </w:rPr>
        <w:t>2024</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w:t>
      </w:r>
      <w:r w:rsidRPr="000C0842">
        <w:rPr>
          <w:rFonts w:eastAsia="SimSun" w:hint="eastAsia"/>
          <w:sz w:val="24"/>
          <w:szCs w:val="24"/>
          <w:lang w:val="en-CA"/>
        </w:rPr>
        <w:t>第</w:t>
      </w:r>
      <w:r w:rsidRPr="000C0842">
        <w:rPr>
          <w:rFonts w:eastAsia="SimSun" w:hint="eastAsia"/>
          <w:sz w:val="24"/>
          <w:szCs w:val="24"/>
          <w:lang w:val="en-CA"/>
        </w:rPr>
        <w:t xml:space="preserve"> </w:t>
      </w:r>
      <w:hyperlink r:id="rId324" w:history="1">
        <w:r w:rsidRPr="000C0842">
          <w:rPr>
            <w:rFonts w:eastAsia="SimSun" w:hint="eastAsia"/>
            <w:sz w:val="24"/>
            <w:szCs w:val="24"/>
            <w:u w:val="single"/>
            <w:lang w:val="en-CA"/>
          </w:rPr>
          <w:t>16/2</w:t>
        </w:r>
      </w:hyperlink>
      <w:r w:rsidRPr="000C0842">
        <w:rPr>
          <w:rFonts w:eastAsia="SimSun" w:hint="eastAsia"/>
          <w:sz w:val="24"/>
          <w:szCs w:val="24"/>
          <w:lang w:val="en-CA"/>
        </w:rPr>
        <w:t>号决定，其中根据</w:t>
      </w:r>
      <w:r w:rsidRPr="000C0842">
        <w:rPr>
          <w:rFonts w:eastAsia="SimSun" w:hint="eastAsia"/>
          <w:sz w:val="24"/>
          <w:szCs w:val="24"/>
          <w:lang w:val="en-CA"/>
        </w:rPr>
        <w:t>2022</w:t>
      </w:r>
      <w:r w:rsidRPr="000C0842">
        <w:rPr>
          <w:rFonts w:eastAsia="SimSun" w:hint="eastAsia"/>
          <w:sz w:val="24"/>
          <w:szCs w:val="24"/>
          <w:lang w:val="en-CA"/>
        </w:rPr>
        <w:t>年</w:t>
      </w:r>
      <w:r w:rsidRPr="000C0842">
        <w:rPr>
          <w:rFonts w:eastAsia="SimSun" w:hint="eastAsia"/>
          <w:sz w:val="24"/>
          <w:szCs w:val="24"/>
          <w:lang w:val="en-CA"/>
        </w:rPr>
        <w:t>12</w:t>
      </w:r>
      <w:r w:rsidRPr="000C0842">
        <w:rPr>
          <w:rFonts w:eastAsia="SimSun" w:hint="eastAsia"/>
          <w:sz w:val="24"/>
          <w:szCs w:val="24"/>
          <w:lang w:val="en-CA"/>
        </w:rPr>
        <w:t>月</w:t>
      </w:r>
      <w:r w:rsidRPr="000C0842">
        <w:rPr>
          <w:rFonts w:eastAsia="SimSun" w:hint="eastAsia"/>
          <w:sz w:val="24"/>
          <w:szCs w:val="24"/>
          <w:lang w:val="en-CA"/>
        </w:rPr>
        <w:t>19</w:t>
      </w:r>
      <w:r w:rsidRPr="000C0842">
        <w:rPr>
          <w:rFonts w:eastAsia="SimSun" w:hint="eastAsia"/>
          <w:sz w:val="24"/>
          <w:szCs w:val="24"/>
          <w:lang w:val="en-CA"/>
        </w:rPr>
        <w:t>日第</w:t>
      </w:r>
      <w:r w:rsidRPr="000C0842">
        <w:rPr>
          <w:rFonts w:eastAsia="SimSun" w:hint="eastAsia"/>
          <w:sz w:val="24"/>
          <w:szCs w:val="24"/>
          <w:lang w:val="en-CA"/>
        </w:rPr>
        <w:t xml:space="preserve"> </w:t>
      </w:r>
      <w:hyperlink r:id="rId325" w:history="1">
        <w:r w:rsidRPr="000C0842">
          <w:rPr>
            <w:rFonts w:eastAsia="SimSun" w:hint="eastAsia"/>
            <w:sz w:val="24"/>
            <w:szCs w:val="24"/>
            <w:u w:val="single"/>
            <w:lang w:val="en-CA"/>
          </w:rPr>
          <w:t>15/9</w:t>
        </w:r>
      </w:hyperlink>
      <w:r w:rsidRPr="000C0842">
        <w:rPr>
          <w:rFonts w:eastAsia="SimSun" w:hint="eastAsia"/>
          <w:sz w:val="24"/>
          <w:szCs w:val="24"/>
          <w:lang w:val="en-CA"/>
        </w:rPr>
        <w:t xml:space="preserve"> </w:t>
      </w:r>
      <w:r w:rsidRPr="000C0842">
        <w:rPr>
          <w:rFonts w:eastAsia="SimSun" w:hint="eastAsia"/>
          <w:sz w:val="24"/>
          <w:szCs w:val="24"/>
          <w:lang w:val="en-CA"/>
        </w:rPr>
        <w:t>号决定启动</w:t>
      </w:r>
      <w:r w:rsidRPr="000C0842">
        <w:rPr>
          <w:rFonts w:eastAsia="SimSun"/>
          <w:sz w:val="24"/>
          <w:szCs w:val="24"/>
        </w:rPr>
        <w:t>公正和公平分享利用遗传资源数字序列信息所产生惠益卡利基</w:t>
      </w:r>
      <w:r w:rsidRPr="000C0842">
        <w:rPr>
          <w:rFonts w:ascii="SimSun" w:eastAsia="SimSun" w:hAnsi="SimSun" w:cs="SimSun" w:hint="eastAsia"/>
          <w:sz w:val="24"/>
          <w:szCs w:val="24"/>
        </w:rPr>
        <w:t>金</w:t>
      </w:r>
      <w:r w:rsidRPr="000C0842">
        <w:rPr>
          <w:rFonts w:eastAsia="SimSun" w:hint="eastAsia"/>
          <w:sz w:val="24"/>
          <w:szCs w:val="24"/>
          <w:lang w:val="en-CA"/>
        </w:rPr>
        <w:t>，</w:t>
      </w:r>
      <w:r w:rsidRPr="000C0842">
        <w:rPr>
          <w:rFonts w:eastAsia="SimSun"/>
          <w:sz w:val="24"/>
          <w:szCs w:val="24"/>
        </w:rPr>
        <w:t>作为遗传资源数字序列信息全球基</w:t>
      </w:r>
      <w:r w:rsidRPr="000C0842">
        <w:rPr>
          <w:rFonts w:ascii="SimSun" w:eastAsia="SimSun" w:hAnsi="SimSun" w:cs="SimSun" w:hint="eastAsia"/>
          <w:sz w:val="24"/>
          <w:szCs w:val="24"/>
        </w:rPr>
        <w:t>金，</w:t>
      </w:r>
    </w:p>
    <w:p w14:paraId="5DB15D65"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注意到</w:t>
      </w:r>
      <w:r w:rsidRPr="000C0842">
        <w:rPr>
          <w:rFonts w:eastAsia="SimSun"/>
          <w:sz w:val="24"/>
          <w:szCs w:val="24"/>
        </w:rPr>
        <w:t>正在努力加快国际金融结构的改革，强调必须确保改革有助于缩小生物多样性融资</w:t>
      </w:r>
      <w:r w:rsidRPr="000C0842">
        <w:rPr>
          <w:rFonts w:eastAsia="SimSun" w:hint="eastAsia"/>
          <w:sz w:val="24"/>
          <w:szCs w:val="24"/>
        </w:rPr>
        <w:t>缺口</w:t>
      </w:r>
      <w:r w:rsidRPr="000C0842">
        <w:rPr>
          <w:rFonts w:eastAsia="SimSun"/>
          <w:sz w:val="24"/>
          <w:szCs w:val="24"/>
        </w:rPr>
        <w:t>，</w:t>
      </w:r>
    </w:p>
    <w:p w14:paraId="7858C228"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hint="eastAsia"/>
          <w:sz w:val="24"/>
          <w:szCs w:val="24"/>
        </w:rPr>
        <w:t>强调</w:t>
      </w:r>
      <w:r w:rsidRPr="000C0842">
        <w:rPr>
          <w:rFonts w:eastAsia="SimSun" w:hint="eastAsia"/>
          <w:sz w:val="24"/>
          <w:szCs w:val="24"/>
        </w:rPr>
        <w:t>基于证据的对话的重要性和评估现有融资机制的经验教训的必要性，以便指导生物多样性融资的政策决定，</w:t>
      </w:r>
    </w:p>
    <w:p w14:paraId="001D69E7"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sz w:val="24"/>
          <w:szCs w:val="24"/>
        </w:rPr>
        <w:t>注意到</w:t>
      </w:r>
      <w:r w:rsidRPr="000C0842">
        <w:rPr>
          <w:rFonts w:eastAsia="SimSun"/>
          <w:sz w:val="24"/>
          <w:szCs w:val="24"/>
        </w:rPr>
        <w:t>优化生物多样性和气候危机融资的附带效益和协同作用的益处，同时认识到需要根据相关多边环境协定的任务规定，提高其透明度、报告和问责制，</w:t>
      </w:r>
      <w:r w:rsidRPr="000C0842">
        <w:rPr>
          <w:rFonts w:eastAsia="SimSun"/>
          <w:sz w:val="24"/>
          <w:szCs w:val="24"/>
        </w:rPr>
        <w:t xml:space="preserve"> </w:t>
      </w:r>
    </w:p>
    <w:p w14:paraId="03746FA7"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hint="eastAsia"/>
          <w:sz w:val="24"/>
          <w:szCs w:val="24"/>
        </w:rPr>
        <w:t>承认</w:t>
      </w:r>
      <w:r w:rsidRPr="000C0842">
        <w:rPr>
          <w:rFonts w:eastAsia="SimSun" w:hint="eastAsia"/>
          <w:sz w:val="24"/>
          <w:szCs w:val="24"/>
        </w:rPr>
        <w:t>及时进行审议对设计有效、全面和持久解决方案以弥合生物多样性资金缺口的益处，</w:t>
      </w:r>
    </w:p>
    <w:p w14:paraId="24EC1E02"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hint="eastAsia"/>
          <w:sz w:val="24"/>
          <w:szCs w:val="24"/>
        </w:rPr>
        <w:t>认识到</w:t>
      </w:r>
      <w:r w:rsidRPr="000C0842">
        <w:rPr>
          <w:rFonts w:eastAsia="SimSun" w:hint="eastAsia"/>
          <w:sz w:val="24"/>
          <w:szCs w:val="24"/>
        </w:rPr>
        <w:t>由于生物多样性融资格局的复杂性和碎片化，需要采取统筹办法来增强所有来源的融资的互补性和效力，以可预测的方式扩大其规模，</w:t>
      </w:r>
    </w:p>
    <w:p w14:paraId="1147E764"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rPr>
      </w:pPr>
      <w:r w:rsidRPr="000C0842">
        <w:rPr>
          <w:rFonts w:eastAsia="KaiTi" w:hint="eastAsia"/>
          <w:sz w:val="24"/>
          <w:szCs w:val="24"/>
        </w:rPr>
        <w:t>又</w:t>
      </w:r>
      <w:r w:rsidRPr="000C0842">
        <w:rPr>
          <w:rFonts w:eastAsia="KaiTi"/>
          <w:sz w:val="24"/>
          <w:szCs w:val="24"/>
        </w:rPr>
        <w:t>认识到</w:t>
      </w:r>
      <w:r w:rsidRPr="000C0842">
        <w:rPr>
          <w:rFonts w:eastAsia="SimSun"/>
          <w:sz w:val="24"/>
          <w:szCs w:val="24"/>
        </w:rPr>
        <w:t>尽管土著人民和地方社区、妇女和青年代表在执行《公约》及其议定书和实现《昆蒙框架》方面发挥着重要作用，但他们往往缺乏获得生物多样性融资的适当途径，</w:t>
      </w:r>
    </w:p>
    <w:p w14:paraId="0E849E84"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KaiTi"/>
          <w:sz w:val="24"/>
          <w:szCs w:val="24"/>
        </w:rPr>
      </w:pPr>
      <w:r w:rsidRPr="000C0842">
        <w:rPr>
          <w:rFonts w:eastAsia="KaiTi"/>
          <w:sz w:val="24"/>
          <w:szCs w:val="24"/>
        </w:rPr>
        <w:t>重申</w:t>
      </w:r>
      <w:r w:rsidRPr="000C0842">
        <w:rPr>
          <w:rFonts w:eastAsia="SimSun"/>
          <w:sz w:val="24"/>
          <w:szCs w:val="24"/>
        </w:rPr>
        <w:t>为执行《公约》及其议定书以及实现《昆蒙框架》的长期目标和行动目标而提供和调动所有来源的资源时，应遵循基于人权和促进性别平等的</w:t>
      </w:r>
      <w:r w:rsidRPr="000C0842">
        <w:rPr>
          <w:rFonts w:eastAsia="SimSun" w:hint="eastAsia"/>
          <w:sz w:val="24"/>
          <w:szCs w:val="24"/>
        </w:rPr>
        <w:t>办法</w:t>
      </w:r>
      <w:r w:rsidRPr="000C0842">
        <w:rPr>
          <w:rFonts w:eastAsia="SimSun"/>
          <w:sz w:val="24"/>
          <w:szCs w:val="24"/>
        </w:rPr>
        <w:t>，</w:t>
      </w:r>
    </w:p>
    <w:p w14:paraId="10C1EC1C"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回顾</w:t>
      </w:r>
      <w:r w:rsidRPr="000C0842">
        <w:rPr>
          <w:rFonts w:eastAsia="SimSun"/>
          <w:sz w:val="24"/>
          <w:szCs w:val="24"/>
          <w:lang w:val="en-CA"/>
        </w:rPr>
        <w:t>第</w:t>
      </w:r>
      <w:hyperlink r:id="rId326" w:history="1">
        <w:r w:rsidRPr="000C0842">
          <w:rPr>
            <w:rFonts w:eastAsia="SimSun"/>
            <w:sz w:val="24"/>
            <w:szCs w:val="24"/>
            <w:u w:val="single"/>
            <w:lang w:val="en-CA"/>
          </w:rPr>
          <w:t>15/7</w:t>
        </w:r>
      </w:hyperlink>
      <w:r w:rsidRPr="000C0842">
        <w:rPr>
          <w:rFonts w:eastAsia="SimSun"/>
          <w:sz w:val="24"/>
          <w:szCs w:val="24"/>
          <w:lang w:val="en-CA"/>
        </w:rPr>
        <w:t>号决定第</w:t>
      </w:r>
      <w:r w:rsidRPr="000C0842">
        <w:rPr>
          <w:rFonts w:eastAsia="SimSun"/>
          <w:sz w:val="24"/>
          <w:szCs w:val="24"/>
          <w:lang w:val="en-CA"/>
        </w:rPr>
        <w:t>40</w:t>
      </w:r>
      <w:r w:rsidRPr="000C0842">
        <w:rPr>
          <w:rFonts w:eastAsia="SimSun" w:hint="eastAsia"/>
          <w:sz w:val="24"/>
          <w:szCs w:val="24"/>
          <w:lang w:val="en-CA"/>
        </w:rPr>
        <w:t>段</w:t>
      </w:r>
      <w:r w:rsidRPr="000C0842">
        <w:rPr>
          <w:rFonts w:eastAsia="SimSun"/>
          <w:sz w:val="24"/>
          <w:szCs w:val="24"/>
          <w:lang w:val="en-CA"/>
        </w:rPr>
        <w:t>至第</w:t>
      </w:r>
      <w:r w:rsidRPr="000C0842">
        <w:rPr>
          <w:rFonts w:eastAsia="SimSun"/>
          <w:sz w:val="24"/>
          <w:szCs w:val="24"/>
          <w:lang w:val="en-CA"/>
        </w:rPr>
        <w:t>43</w:t>
      </w:r>
      <w:r w:rsidRPr="000C0842">
        <w:rPr>
          <w:rFonts w:eastAsia="SimSun"/>
          <w:sz w:val="24"/>
          <w:szCs w:val="24"/>
          <w:lang w:val="en-CA"/>
        </w:rPr>
        <w:t>段和附件二，赞赏地注意到资源调动咨询委员会的工作，</w:t>
      </w:r>
      <w:r w:rsidRPr="000C0842">
        <w:rPr>
          <w:rFonts w:eastAsia="SimSun" w:hint="eastAsia"/>
          <w:sz w:val="24"/>
          <w:szCs w:val="24"/>
          <w:lang w:val="en-CA"/>
        </w:rPr>
        <w:t>注意到</w:t>
      </w:r>
      <w:r w:rsidRPr="000C0842">
        <w:rPr>
          <w:rFonts w:eastAsia="SimSun" w:hint="eastAsia"/>
          <w:sz w:val="24"/>
          <w:szCs w:val="24"/>
          <w:lang w:val="en-CA"/>
        </w:rPr>
        <w:t>2024</w:t>
      </w:r>
      <w:r w:rsidRPr="000C0842">
        <w:rPr>
          <w:rFonts w:eastAsia="SimSun" w:hint="eastAsia"/>
          <w:sz w:val="24"/>
          <w:szCs w:val="24"/>
          <w:lang w:val="en-CA"/>
        </w:rPr>
        <w:t>年</w:t>
      </w:r>
      <w:r w:rsidRPr="000C0842">
        <w:rPr>
          <w:rFonts w:eastAsia="SimSun" w:hint="eastAsia"/>
          <w:sz w:val="24"/>
          <w:szCs w:val="24"/>
          <w:lang w:val="en-CA"/>
        </w:rPr>
        <w:t>5</w:t>
      </w:r>
      <w:r w:rsidRPr="000C0842">
        <w:rPr>
          <w:rFonts w:eastAsia="SimSun" w:hint="eastAsia"/>
          <w:sz w:val="24"/>
          <w:szCs w:val="24"/>
          <w:lang w:val="en-CA"/>
        </w:rPr>
        <w:t>月</w:t>
      </w:r>
      <w:r w:rsidRPr="000C0842">
        <w:rPr>
          <w:rFonts w:eastAsia="SimSun" w:hint="eastAsia"/>
          <w:sz w:val="24"/>
          <w:szCs w:val="24"/>
          <w:lang w:val="en-CA"/>
        </w:rPr>
        <w:t>29</w:t>
      </w:r>
      <w:r w:rsidRPr="000C0842">
        <w:rPr>
          <w:rFonts w:eastAsia="SimSun" w:hint="eastAsia"/>
          <w:sz w:val="24"/>
          <w:szCs w:val="24"/>
          <w:lang w:val="en-CA"/>
        </w:rPr>
        <w:t>日执行问题附属机构第</w:t>
      </w:r>
      <w:hyperlink r:id="rId327" w:history="1">
        <w:r w:rsidRPr="000C0842">
          <w:rPr>
            <w:rFonts w:eastAsia="SimSun" w:hint="eastAsia"/>
            <w:sz w:val="24"/>
            <w:szCs w:val="24"/>
            <w:u w:val="single"/>
            <w:lang w:val="en-CA"/>
          </w:rPr>
          <w:t>4/3</w:t>
        </w:r>
      </w:hyperlink>
      <w:r w:rsidRPr="000C0842">
        <w:rPr>
          <w:rFonts w:eastAsia="SimSun" w:hint="eastAsia"/>
          <w:sz w:val="24"/>
          <w:szCs w:val="24"/>
          <w:lang w:val="en-CA"/>
        </w:rPr>
        <w:t>号建议附件二确定的自愿行动和关于探讨生物多样性融资格局的资料文件</w:t>
      </w:r>
      <w:r w:rsidRPr="000C0842">
        <w:rPr>
          <w:rFonts w:eastAsia="Times New Roman"/>
          <w:snapToGrid w:val="0"/>
          <w:kern w:val="22"/>
          <w:sz w:val="24"/>
          <w:szCs w:val="24"/>
          <w:vertAlign w:val="superscript"/>
          <w:lang w:val="en-GB"/>
        </w:rPr>
        <w:footnoteReference w:id="478"/>
      </w:r>
      <w:r w:rsidRPr="000C0842">
        <w:rPr>
          <w:rFonts w:eastAsia="SimSun" w:hint="eastAsia"/>
          <w:sz w:val="24"/>
          <w:szCs w:val="24"/>
          <w:lang w:val="en-CA"/>
        </w:rPr>
        <w:t>所载的结论意见可改善生物多样性融资格局，</w:t>
      </w:r>
    </w:p>
    <w:p w14:paraId="7A8BA833"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KaiTi"/>
          <w:sz w:val="24"/>
          <w:szCs w:val="24"/>
          <w:lang w:val="en-CA"/>
        </w:rPr>
        <w:t>感谢</w:t>
      </w:r>
      <w:r w:rsidRPr="000C0842">
        <w:rPr>
          <w:rFonts w:eastAsia="SimSun"/>
          <w:sz w:val="24"/>
          <w:szCs w:val="24"/>
          <w:lang w:val="en-CA"/>
        </w:rPr>
        <w:t>刚果民主共和国政府和哥伦比亚政府</w:t>
      </w:r>
      <w:r w:rsidRPr="000C0842">
        <w:rPr>
          <w:rFonts w:eastAsia="SimSun" w:hint="eastAsia"/>
          <w:sz w:val="24"/>
          <w:szCs w:val="24"/>
          <w:lang w:val="en-CA"/>
        </w:rPr>
        <w:t>分别</w:t>
      </w:r>
      <w:r w:rsidRPr="000C0842">
        <w:rPr>
          <w:rFonts w:eastAsia="SimSun"/>
          <w:sz w:val="24"/>
          <w:szCs w:val="24"/>
          <w:lang w:val="en-CA"/>
        </w:rPr>
        <w:t>主办</w:t>
      </w:r>
      <w:r w:rsidRPr="000C0842">
        <w:rPr>
          <w:rFonts w:eastAsia="SimSun" w:hint="eastAsia"/>
          <w:sz w:val="24"/>
          <w:szCs w:val="24"/>
          <w:lang w:val="en-CA"/>
        </w:rPr>
        <w:t>第二次和第三次</w:t>
      </w:r>
      <w:r w:rsidRPr="000C0842">
        <w:rPr>
          <w:rFonts w:eastAsia="SimSun"/>
          <w:sz w:val="24"/>
          <w:szCs w:val="24"/>
          <w:lang w:val="en-CA"/>
        </w:rPr>
        <w:t>咨询委员会会议，感谢欧洲联盟和大不列颠及北爱尔兰联合王国政府提供的资助，</w:t>
      </w:r>
    </w:p>
    <w:p w14:paraId="5AC0B3A9"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敦促</w:t>
      </w:r>
      <w:r w:rsidRPr="000C0842">
        <w:rPr>
          <w:rFonts w:eastAsia="SimSun"/>
          <w:sz w:val="24"/>
          <w:szCs w:val="24"/>
          <w:lang w:val="en-GB"/>
        </w:rPr>
        <w:t>缔约方继续并加强努力，根据《</w:t>
      </w:r>
      <w:r w:rsidRPr="000C0842">
        <w:rPr>
          <w:rFonts w:eastAsia="SimSun" w:hint="eastAsia"/>
          <w:sz w:val="24"/>
          <w:szCs w:val="24"/>
          <w:lang w:val="en-GB"/>
        </w:rPr>
        <w:t>生物多样性</w:t>
      </w:r>
      <w:r w:rsidRPr="000C0842">
        <w:rPr>
          <w:rFonts w:eastAsia="SimSun"/>
          <w:sz w:val="24"/>
          <w:szCs w:val="24"/>
          <w:lang w:val="en-GB"/>
        </w:rPr>
        <w:t>公约》第</w:t>
      </w:r>
      <w:hyperlink r:id="rId328" w:history="1">
        <w:r w:rsidRPr="000C0842">
          <w:rPr>
            <w:rFonts w:eastAsia="SimSun"/>
            <w:sz w:val="24"/>
            <w:szCs w:val="24"/>
            <w:u w:val="single"/>
            <w:lang w:val="en-GB"/>
          </w:rPr>
          <w:t>20</w:t>
        </w:r>
      </w:hyperlink>
      <w:r w:rsidRPr="000C0842">
        <w:rPr>
          <w:rFonts w:eastAsia="SimSun"/>
          <w:sz w:val="24"/>
          <w:szCs w:val="24"/>
          <w:lang w:val="en-GB"/>
        </w:rPr>
        <w:t>条</w:t>
      </w:r>
      <w:r w:rsidRPr="000C0842">
        <w:rPr>
          <w:rFonts w:eastAsia="SimSun" w:hint="eastAsia"/>
          <w:sz w:val="24"/>
          <w:szCs w:val="24"/>
          <w:lang w:val="en-GB"/>
        </w:rPr>
        <w:t>以</w:t>
      </w:r>
      <w:r w:rsidRPr="000C0842">
        <w:rPr>
          <w:rFonts w:eastAsia="SimSun"/>
          <w:sz w:val="24"/>
          <w:szCs w:val="24"/>
          <w:lang w:val="en-GB"/>
        </w:rPr>
        <w:t>有效、及时和易于获得的方式逐步大幅增加所有来源的财务资金量，包括国内、国际、公共和私人资源，以实现《</w:t>
      </w:r>
      <w:r w:rsidRPr="000C0842">
        <w:rPr>
          <w:rFonts w:eastAsia="SimSun" w:hint="eastAsia"/>
          <w:sz w:val="24"/>
          <w:szCs w:val="24"/>
          <w:lang w:val="en-GB"/>
        </w:rPr>
        <w:t>昆明</w:t>
      </w:r>
      <w:r w:rsidRPr="000C0842">
        <w:rPr>
          <w:rFonts w:eastAsia="SimSun" w:hint="eastAsia"/>
          <w:sz w:val="24"/>
          <w:szCs w:val="24"/>
          <w:lang w:val="en-GB"/>
        </w:rPr>
        <w:t>-</w:t>
      </w:r>
      <w:r w:rsidRPr="000C0842">
        <w:rPr>
          <w:rFonts w:eastAsia="SimSun" w:hint="eastAsia"/>
          <w:sz w:val="24"/>
          <w:szCs w:val="24"/>
          <w:lang w:val="en-GB"/>
        </w:rPr>
        <w:t>蒙特利尔全球生物多样性</w:t>
      </w:r>
      <w:r w:rsidRPr="000C0842">
        <w:rPr>
          <w:rFonts w:eastAsia="SimSun"/>
          <w:sz w:val="24"/>
          <w:szCs w:val="24"/>
          <w:lang w:val="en-GB"/>
        </w:rPr>
        <w:t>框架》行动目标</w:t>
      </w:r>
      <w:r w:rsidRPr="000C0842">
        <w:rPr>
          <w:rFonts w:eastAsia="SimSun"/>
          <w:sz w:val="24"/>
          <w:szCs w:val="24"/>
          <w:lang w:val="en-GB"/>
        </w:rPr>
        <w:t>19</w:t>
      </w:r>
      <w:r w:rsidRPr="000C0842">
        <w:rPr>
          <w:rFonts w:eastAsia="SimSun"/>
          <w:sz w:val="24"/>
          <w:szCs w:val="24"/>
          <w:lang w:val="en-GB"/>
        </w:rPr>
        <w:t>，即到</w:t>
      </w:r>
      <w:r w:rsidRPr="000C0842">
        <w:rPr>
          <w:rFonts w:eastAsia="SimSun"/>
          <w:sz w:val="24"/>
          <w:szCs w:val="24"/>
          <w:lang w:val="en-GB"/>
        </w:rPr>
        <w:t>2030</w:t>
      </w:r>
      <w:r w:rsidRPr="000C0842">
        <w:rPr>
          <w:rFonts w:eastAsia="SimSun"/>
          <w:sz w:val="24"/>
          <w:szCs w:val="24"/>
          <w:lang w:val="en-GB"/>
        </w:rPr>
        <w:t>年每年至少</w:t>
      </w:r>
      <w:r w:rsidRPr="000C0842">
        <w:rPr>
          <w:rFonts w:eastAsia="SimSun" w:hint="eastAsia"/>
          <w:sz w:val="24"/>
          <w:szCs w:val="24"/>
          <w:lang w:val="en-GB"/>
        </w:rPr>
        <w:t>调动</w:t>
      </w:r>
      <w:r w:rsidRPr="000C0842">
        <w:rPr>
          <w:rFonts w:eastAsia="SimSun"/>
          <w:sz w:val="24"/>
          <w:szCs w:val="24"/>
          <w:lang w:val="en-GB"/>
        </w:rPr>
        <w:t>2,000</w:t>
      </w:r>
      <w:r w:rsidRPr="000C0842">
        <w:rPr>
          <w:rFonts w:eastAsia="SimSun"/>
          <w:sz w:val="24"/>
          <w:szCs w:val="24"/>
          <w:lang w:val="en-GB"/>
        </w:rPr>
        <w:t>亿美元；</w:t>
      </w:r>
    </w:p>
    <w:p w14:paraId="2DB937AF"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iCs/>
          <w:sz w:val="24"/>
          <w:szCs w:val="24"/>
        </w:rPr>
        <w:t>敦促</w:t>
      </w:r>
      <w:r w:rsidRPr="000C0842">
        <w:rPr>
          <w:rFonts w:eastAsia="SimSun"/>
          <w:sz w:val="24"/>
          <w:szCs w:val="24"/>
        </w:rPr>
        <w:t>发达国家</w:t>
      </w:r>
      <w:r w:rsidRPr="000C0842">
        <w:rPr>
          <w:rFonts w:eastAsia="SimSun" w:hint="eastAsia"/>
          <w:sz w:val="24"/>
          <w:szCs w:val="24"/>
        </w:rPr>
        <w:t>缔约方</w:t>
      </w:r>
      <w:r w:rsidRPr="000C0842">
        <w:rPr>
          <w:rFonts w:eastAsia="SimSun"/>
          <w:sz w:val="24"/>
          <w:szCs w:val="24"/>
        </w:rPr>
        <w:t>和自愿承担发达国家缔约方义务的</w:t>
      </w:r>
      <w:r w:rsidRPr="000C0842">
        <w:rPr>
          <w:rFonts w:eastAsia="SimSun" w:hint="eastAsia"/>
          <w:sz w:val="24"/>
          <w:szCs w:val="24"/>
        </w:rPr>
        <w:t>缔约方</w:t>
      </w:r>
      <w:r w:rsidRPr="000C0842">
        <w:rPr>
          <w:rFonts w:eastAsia="SimSun"/>
          <w:sz w:val="24"/>
          <w:szCs w:val="24"/>
        </w:rPr>
        <w:t>继续</w:t>
      </w:r>
      <w:r w:rsidRPr="000C0842">
        <w:rPr>
          <w:rFonts w:eastAsia="SimSun" w:hint="eastAsia"/>
          <w:sz w:val="24"/>
          <w:szCs w:val="24"/>
        </w:rPr>
        <w:t>和</w:t>
      </w:r>
      <w:r w:rsidRPr="000C0842">
        <w:rPr>
          <w:rFonts w:eastAsia="SimSun"/>
          <w:sz w:val="24"/>
          <w:szCs w:val="24"/>
        </w:rPr>
        <w:t>加强努力，增加流向发展中国家</w:t>
      </w:r>
      <w:r w:rsidRPr="000C0842">
        <w:rPr>
          <w:rFonts w:eastAsia="SimSun" w:hint="eastAsia"/>
          <w:sz w:val="24"/>
          <w:szCs w:val="24"/>
        </w:rPr>
        <w:t>缔约方</w:t>
      </w:r>
      <w:r w:rsidRPr="000C0842">
        <w:rPr>
          <w:rFonts w:eastAsia="SimSun"/>
          <w:sz w:val="24"/>
          <w:szCs w:val="24"/>
        </w:rPr>
        <w:t>特别是最不发达国家和小岛屿发展中国家以及经济转型</w:t>
      </w:r>
      <w:r w:rsidRPr="000C0842">
        <w:rPr>
          <w:rFonts w:eastAsia="SimSun" w:hint="eastAsia"/>
          <w:sz w:val="24"/>
          <w:szCs w:val="24"/>
        </w:rPr>
        <w:t>缔约方</w:t>
      </w:r>
      <w:r w:rsidRPr="000C0842">
        <w:rPr>
          <w:rFonts w:eastAsia="SimSun"/>
          <w:sz w:val="24"/>
          <w:szCs w:val="24"/>
        </w:rPr>
        <w:t>的生物多样性国际资金总额，包括官方发展援助，到</w:t>
      </w:r>
      <w:r w:rsidRPr="000C0842">
        <w:rPr>
          <w:rFonts w:eastAsia="SimSun"/>
          <w:sz w:val="24"/>
          <w:szCs w:val="24"/>
        </w:rPr>
        <w:t xml:space="preserve"> 2025 </w:t>
      </w:r>
      <w:r w:rsidRPr="000C0842">
        <w:rPr>
          <w:rFonts w:eastAsia="SimSun"/>
          <w:sz w:val="24"/>
          <w:szCs w:val="24"/>
        </w:rPr>
        <w:t>年每年至少</w:t>
      </w:r>
      <w:r w:rsidRPr="000C0842">
        <w:rPr>
          <w:rFonts w:eastAsia="SimSun" w:hint="eastAsia"/>
          <w:sz w:val="24"/>
          <w:szCs w:val="24"/>
        </w:rPr>
        <w:t>调动</w:t>
      </w:r>
      <w:r w:rsidRPr="000C0842">
        <w:rPr>
          <w:rFonts w:eastAsia="SimSun"/>
          <w:sz w:val="24"/>
          <w:szCs w:val="24"/>
        </w:rPr>
        <w:t xml:space="preserve"> 200 </w:t>
      </w:r>
      <w:r w:rsidRPr="000C0842">
        <w:rPr>
          <w:rFonts w:eastAsia="SimSun"/>
          <w:sz w:val="24"/>
          <w:szCs w:val="24"/>
        </w:rPr>
        <w:t>亿美元，到</w:t>
      </w:r>
      <w:r w:rsidRPr="000C0842">
        <w:rPr>
          <w:rFonts w:eastAsia="SimSun"/>
          <w:sz w:val="24"/>
          <w:szCs w:val="24"/>
        </w:rPr>
        <w:t xml:space="preserve"> 2030 </w:t>
      </w:r>
      <w:r w:rsidRPr="000C0842">
        <w:rPr>
          <w:rFonts w:eastAsia="SimSun"/>
          <w:sz w:val="24"/>
          <w:szCs w:val="24"/>
        </w:rPr>
        <w:t>年每年至少</w:t>
      </w:r>
      <w:r w:rsidRPr="000C0842">
        <w:rPr>
          <w:rFonts w:eastAsia="SimSun" w:hint="eastAsia"/>
          <w:sz w:val="24"/>
          <w:szCs w:val="24"/>
        </w:rPr>
        <w:t>调动</w:t>
      </w:r>
      <w:r w:rsidRPr="000C0842">
        <w:rPr>
          <w:rFonts w:eastAsia="SimSun"/>
          <w:sz w:val="24"/>
          <w:szCs w:val="24"/>
        </w:rPr>
        <w:t xml:space="preserve"> 300 </w:t>
      </w:r>
      <w:r w:rsidRPr="000C0842">
        <w:rPr>
          <w:rFonts w:eastAsia="SimSun"/>
          <w:sz w:val="24"/>
          <w:szCs w:val="24"/>
        </w:rPr>
        <w:t>亿美元，实现</w:t>
      </w:r>
      <w:r w:rsidRPr="000C0842">
        <w:rPr>
          <w:rFonts w:eastAsia="SimSun" w:hint="eastAsia"/>
          <w:sz w:val="24"/>
          <w:szCs w:val="24"/>
        </w:rPr>
        <w:t>《昆蒙框架》</w:t>
      </w:r>
      <w:r w:rsidRPr="000C0842">
        <w:rPr>
          <w:rFonts w:eastAsia="SimSun"/>
          <w:sz w:val="24"/>
          <w:szCs w:val="24"/>
        </w:rPr>
        <w:t>行动目标</w:t>
      </w:r>
      <w:r w:rsidRPr="000C0842">
        <w:rPr>
          <w:rFonts w:eastAsia="SimSun"/>
          <w:sz w:val="24"/>
          <w:szCs w:val="24"/>
        </w:rPr>
        <w:t xml:space="preserve"> 19(a)</w:t>
      </w:r>
      <w:r w:rsidRPr="000C0842">
        <w:rPr>
          <w:rFonts w:eastAsia="SimSun"/>
          <w:sz w:val="24"/>
          <w:szCs w:val="24"/>
          <w:lang w:val="en-GB"/>
        </w:rPr>
        <w:t>；</w:t>
      </w:r>
    </w:p>
    <w:p w14:paraId="3599ED85"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iCs/>
          <w:sz w:val="24"/>
          <w:szCs w:val="24"/>
        </w:rPr>
        <w:t>敦促</w:t>
      </w:r>
      <w:r w:rsidRPr="000C0842">
        <w:rPr>
          <w:rFonts w:eastAsia="SimSun"/>
          <w:sz w:val="24"/>
          <w:szCs w:val="24"/>
        </w:rPr>
        <w:t>缔约方继续</w:t>
      </w:r>
      <w:r w:rsidRPr="000C0842">
        <w:rPr>
          <w:rFonts w:eastAsia="SimSun" w:hint="eastAsia"/>
          <w:sz w:val="24"/>
          <w:szCs w:val="24"/>
        </w:rPr>
        <w:t>和</w:t>
      </w:r>
      <w:r w:rsidRPr="000C0842">
        <w:rPr>
          <w:rFonts w:eastAsia="SimSun"/>
          <w:sz w:val="24"/>
          <w:szCs w:val="24"/>
        </w:rPr>
        <w:t>加强努力实现</w:t>
      </w:r>
      <w:r w:rsidRPr="000C0842">
        <w:rPr>
          <w:rFonts w:eastAsia="SimSun" w:hint="eastAsia"/>
          <w:sz w:val="24"/>
          <w:szCs w:val="24"/>
        </w:rPr>
        <w:t>《昆蒙框架》</w:t>
      </w:r>
      <w:r w:rsidRPr="000C0842">
        <w:rPr>
          <w:rFonts w:eastAsia="SimSun"/>
          <w:sz w:val="24"/>
          <w:szCs w:val="24"/>
        </w:rPr>
        <w:t>行动目标</w:t>
      </w:r>
      <w:r w:rsidRPr="000C0842">
        <w:rPr>
          <w:rFonts w:eastAsia="SimSun"/>
          <w:sz w:val="24"/>
          <w:szCs w:val="24"/>
        </w:rPr>
        <w:t>18</w:t>
      </w:r>
      <w:r w:rsidRPr="000C0842">
        <w:rPr>
          <w:rFonts w:eastAsia="SimSun"/>
          <w:sz w:val="24"/>
          <w:szCs w:val="24"/>
        </w:rPr>
        <w:t>，以相称、恰当、公正、有效和公平的方式</w:t>
      </w:r>
      <w:r w:rsidRPr="000C0842">
        <w:rPr>
          <w:rFonts w:eastAsia="SimSun" w:hint="eastAsia"/>
          <w:sz w:val="24"/>
          <w:szCs w:val="24"/>
        </w:rPr>
        <w:t>消除</w:t>
      </w:r>
      <w:r w:rsidRPr="000C0842">
        <w:rPr>
          <w:rFonts w:eastAsia="SimSun"/>
          <w:sz w:val="24"/>
          <w:szCs w:val="24"/>
        </w:rPr>
        <w:t>、逐步</w:t>
      </w:r>
      <w:r w:rsidRPr="000C0842">
        <w:rPr>
          <w:rFonts w:eastAsia="SimSun" w:hint="eastAsia"/>
          <w:sz w:val="24"/>
          <w:szCs w:val="24"/>
        </w:rPr>
        <w:t>淘汰</w:t>
      </w:r>
      <w:r w:rsidRPr="000C0842">
        <w:rPr>
          <w:rFonts w:eastAsia="SimSun"/>
          <w:sz w:val="24"/>
          <w:szCs w:val="24"/>
        </w:rPr>
        <w:t>或改革对生物多样性有害的激励措施，包括各种补贴，首先从最有害的激励措施和补贴入手，到</w:t>
      </w:r>
      <w:r w:rsidRPr="000C0842">
        <w:rPr>
          <w:rFonts w:eastAsia="SimSun"/>
          <w:sz w:val="24"/>
          <w:szCs w:val="24"/>
        </w:rPr>
        <w:t>2030</w:t>
      </w:r>
      <w:r w:rsidRPr="000C0842">
        <w:rPr>
          <w:rFonts w:eastAsia="SimSun"/>
          <w:sz w:val="24"/>
          <w:szCs w:val="24"/>
        </w:rPr>
        <w:t>年每年至少大幅和逐步减少</w:t>
      </w:r>
      <w:r w:rsidRPr="000C0842">
        <w:rPr>
          <w:rFonts w:eastAsia="SimSun"/>
          <w:sz w:val="24"/>
          <w:szCs w:val="24"/>
        </w:rPr>
        <w:t>5,000</w:t>
      </w:r>
      <w:r w:rsidRPr="000C0842">
        <w:rPr>
          <w:rFonts w:eastAsia="SimSun"/>
          <w:sz w:val="24"/>
          <w:szCs w:val="24"/>
        </w:rPr>
        <w:t>亿美元，并</w:t>
      </w:r>
      <w:r w:rsidRPr="000C0842">
        <w:rPr>
          <w:rFonts w:eastAsia="SimSun" w:hint="eastAsia"/>
          <w:sz w:val="24"/>
          <w:szCs w:val="24"/>
        </w:rPr>
        <w:t>为</w:t>
      </w:r>
      <w:r w:rsidRPr="000C0842">
        <w:rPr>
          <w:rFonts w:eastAsia="SimSun"/>
          <w:sz w:val="24"/>
          <w:szCs w:val="24"/>
        </w:rPr>
        <w:t>保护和可持续利用生物多样性</w:t>
      </w:r>
      <w:r w:rsidRPr="000C0842">
        <w:rPr>
          <w:rFonts w:eastAsia="SimSun" w:hint="eastAsia"/>
          <w:sz w:val="24"/>
          <w:szCs w:val="24"/>
        </w:rPr>
        <w:t>扩大有益</w:t>
      </w:r>
      <w:r w:rsidRPr="000C0842">
        <w:rPr>
          <w:rFonts w:eastAsia="SimSun"/>
          <w:sz w:val="24"/>
          <w:szCs w:val="24"/>
        </w:rPr>
        <w:t>激励措施；</w:t>
      </w:r>
    </w:p>
    <w:p w14:paraId="6D39E2F4"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KaiTi"/>
          <w:sz w:val="24"/>
          <w:szCs w:val="24"/>
        </w:rPr>
      </w:pPr>
      <w:r w:rsidRPr="000C0842">
        <w:rPr>
          <w:rFonts w:eastAsia="KaiTi"/>
          <w:iCs/>
          <w:sz w:val="24"/>
          <w:szCs w:val="24"/>
        </w:rPr>
        <w:t>通过</w:t>
      </w:r>
      <w:r w:rsidRPr="000C0842">
        <w:rPr>
          <w:rFonts w:eastAsia="SimSun" w:hint="eastAsia"/>
          <w:iCs/>
          <w:sz w:val="24"/>
          <w:szCs w:val="24"/>
        </w:rPr>
        <w:t>本决定</w:t>
      </w:r>
      <w:r w:rsidRPr="000C0842">
        <w:rPr>
          <w:rFonts w:eastAsia="SimSun"/>
          <w:sz w:val="24"/>
          <w:szCs w:val="24"/>
        </w:rPr>
        <w:t>附件一</w:t>
      </w:r>
      <w:r w:rsidRPr="000C0842">
        <w:rPr>
          <w:rFonts w:eastAsia="SimSun" w:hint="eastAsia"/>
          <w:sz w:val="24"/>
          <w:szCs w:val="24"/>
        </w:rPr>
        <w:t>所载</w:t>
      </w:r>
      <w:r w:rsidRPr="000C0842">
        <w:rPr>
          <w:rFonts w:eastAsia="SimSun"/>
          <w:sz w:val="24"/>
          <w:szCs w:val="24"/>
        </w:rPr>
        <w:t xml:space="preserve"> 2025</w:t>
      </w:r>
      <w:r w:rsidRPr="000C0842">
        <w:rPr>
          <w:rFonts w:ascii="SimSun" w:eastAsia="SimSun" w:hAnsi="SimSun"/>
          <w:sz w:val="24"/>
          <w:szCs w:val="24"/>
        </w:rPr>
        <w:t>-</w:t>
      </w:r>
      <w:r w:rsidRPr="000C0842">
        <w:rPr>
          <w:rFonts w:eastAsia="SimSun"/>
          <w:sz w:val="24"/>
          <w:szCs w:val="24"/>
        </w:rPr>
        <w:t xml:space="preserve">2030 </w:t>
      </w:r>
      <w:r w:rsidRPr="000C0842">
        <w:rPr>
          <w:rFonts w:eastAsia="SimSun"/>
          <w:sz w:val="24"/>
          <w:szCs w:val="24"/>
        </w:rPr>
        <w:t>年资源</w:t>
      </w:r>
      <w:r w:rsidRPr="000C0842">
        <w:rPr>
          <w:rFonts w:eastAsia="SimSun" w:hint="eastAsia"/>
          <w:sz w:val="24"/>
          <w:szCs w:val="24"/>
        </w:rPr>
        <w:t>调动</w:t>
      </w:r>
      <w:r w:rsidRPr="000C0842">
        <w:rPr>
          <w:rFonts w:eastAsia="SimSun"/>
          <w:sz w:val="24"/>
          <w:szCs w:val="24"/>
        </w:rPr>
        <w:t>战略；</w:t>
      </w:r>
    </w:p>
    <w:p w14:paraId="60C48A19"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napToGrid w:val="0"/>
          <w:kern w:val="22"/>
          <w:sz w:val="24"/>
          <w:szCs w:val="24"/>
        </w:rPr>
      </w:pPr>
      <w:r w:rsidRPr="000C0842">
        <w:rPr>
          <w:rFonts w:eastAsia="KaiTi"/>
          <w:sz w:val="24"/>
          <w:szCs w:val="24"/>
          <w:lang w:val="en-GB"/>
        </w:rPr>
        <w:t>鼓励</w:t>
      </w:r>
      <w:r w:rsidRPr="000C0842">
        <w:rPr>
          <w:rFonts w:eastAsia="SimSun"/>
          <w:snapToGrid w:val="0"/>
          <w:kern w:val="22"/>
          <w:sz w:val="24"/>
          <w:szCs w:val="24"/>
        </w:rPr>
        <w:t>所有缔约方、其他国家政府、组织、多边开发银行、私营部门和其他利益攸关方</w:t>
      </w:r>
      <w:r w:rsidRPr="000C0842">
        <w:rPr>
          <w:rFonts w:eastAsia="SimSun" w:hint="eastAsia"/>
          <w:snapToGrid w:val="0"/>
          <w:kern w:val="22"/>
          <w:sz w:val="24"/>
          <w:szCs w:val="24"/>
        </w:rPr>
        <w:t>灵活使用资源调动</w:t>
      </w:r>
      <w:r w:rsidRPr="000C0842">
        <w:rPr>
          <w:rFonts w:eastAsia="SimSun"/>
          <w:snapToGrid w:val="0"/>
          <w:kern w:val="22"/>
          <w:sz w:val="24"/>
          <w:szCs w:val="24"/>
        </w:rPr>
        <w:t>战略，从所有来源调动新的和</w:t>
      </w:r>
      <w:r w:rsidRPr="000C0842">
        <w:rPr>
          <w:rFonts w:eastAsia="SimSun" w:hint="eastAsia"/>
          <w:snapToGrid w:val="0"/>
          <w:kern w:val="22"/>
          <w:sz w:val="24"/>
          <w:szCs w:val="24"/>
        </w:rPr>
        <w:t>额外</w:t>
      </w:r>
      <w:r w:rsidRPr="000C0842">
        <w:rPr>
          <w:rFonts w:eastAsia="SimSun"/>
          <w:snapToGrid w:val="0"/>
          <w:kern w:val="22"/>
          <w:sz w:val="24"/>
          <w:szCs w:val="24"/>
        </w:rPr>
        <w:t>资源，并调整资金流，以执行《公约》及其议定书，实现与其雄心相</w:t>
      </w:r>
      <w:r w:rsidRPr="000C0842">
        <w:rPr>
          <w:rFonts w:eastAsia="SimSun" w:hint="eastAsia"/>
          <w:snapToGrid w:val="0"/>
          <w:kern w:val="22"/>
          <w:sz w:val="24"/>
          <w:szCs w:val="24"/>
        </w:rPr>
        <w:t>匹配的</w:t>
      </w:r>
      <w:r w:rsidRPr="000C0842">
        <w:rPr>
          <w:rFonts w:eastAsia="SimSun"/>
          <w:snapToGrid w:val="0"/>
          <w:kern w:val="22"/>
          <w:sz w:val="24"/>
          <w:szCs w:val="24"/>
        </w:rPr>
        <w:t>《昆蒙框架》长期目标和行动目标；</w:t>
      </w:r>
    </w:p>
    <w:p w14:paraId="6EF2CACE"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iCs/>
          <w:sz w:val="24"/>
          <w:szCs w:val="24"/>
        </w:rPr>
        <w:t>强调</w:t>
      </w:r>
      <w:r w:rsidRPr="000C0842">
        <w:rPr>
          <w:rFonts w:eastAsia="SimSun"/>
          <w:sz w:val="24"/>
          <w:szCs w:val="24"/>
        </w:rPr>
        <w:t>资源调动战略的</w:t>
      </w:r>
      <w:r w:rsidRPr="000C0842">
        <w:rPr>
          <w:rFonts w:eastAsia="SimSun" w:hint="eastAsia"/>
          <w:sz w:val="24"/>
          <w:szCs w:val="24"/>
        </w:rPr>
        <w:t>执行</w:t>
      </w:r>
      <w:r w:rsidRPr="000C0842">
        <w:rPr>
          <w:rFonts w:eastAsia="SimSun"/>
          <w:sz w:val="24"/>
          <w:szCs w:val="24"/>
        </w:rPr>
        <w:t>应与《昆蒙框架》</w:t>
      </w:r>
      <w:r w:rsidRPr="000C0842">
        <w:rPr>
          <w:rFonts w:eastAsia="SimSun"/>
          <w:sz w:val="24"/>
          <w:szCs w:val="24"/>
        </w:rPr>
        <w:t xml:space="preserve"> C </w:t>
      </w:r>
      <w:r w:rsidRPr="000C0842">
        <w:rPr>
          <w:rFonts w:eastAsia="SimSun"/>
          <w:sz w:val="24"/>
          <w:szCs w:val="24"/>
        </w:rPr>
        <w:t>部分</w:t>
      </w:r>
      <w:r w:rsidRPr="000C0842">
        <w:rPr>
          <w:rFonts w:eastAsia="SimSun" w:hint="eastAsia"/>
          <w:sz w:val="24"/>
          <w:szCs w:val="24"/>
        </w:rPr>
        <w:t>所列执行工作</w:t>
      </w:r>
      <w:r w:rsidRPr="000C0842">
        <w:rPr>
          <w:rFonts w:eastAsia="SimSun"/>
          <w:sz w:val="24"/>
          <w:szCs w:val="24"/>
        </w:rPr>
        <w:t>考虑因素相一致，同时考虑到各国的国情和优先事项，</w:t>
      </w:r>
      <w:r w:rsidRPr="000C0842">
        <w:rPr>
          <w:rFonts w:eastAsia="SimSun" w:hint="eastAsia"/>
          <w:sz w:val="24"/>
          <w:szCs w:val="24"/>
        </w:rPr>
        <w:t>并</w:t>
      </w:r>
      <w:r w:rsidRPr="000C0842">
        <w:rPr>
          <w:rFonts w:eastAsia="SimSun"/>
          <w:sz w:val="24"/>
          <w:szCs w:val="24"/>
        </w:rPr>
        <w:t>明确</w:t>
      </w:r>
      <w:r w:rsidRPr="000C0842">
        <w:rPr>
          <w:rFonts w:eastAsia="SimSun" w:hint="eastAsia"/>
          <w:sz w:val="24"/>
          <w:szCs w:val="24"/>
        </w:rPr>
        <w:t>指出战略的</w:t>
      </w:r>
      <w:r w:rsidRPr="000C0842">
        <w:rPr>
          <w:rFonts w:eastAsia="SimSun"/>
          <w:sz w:val="24"/>
          <w:szCs w:val="24"/>
        </w:rPr>
        <w:t>目的是鼓励采取行动</w:t>
      </w:r>
      <w:r w:rsidRPr="000C0842">
        <w:rPr>
          <w:rFonts w:eastAsia="SimSun" w:hint="eastAsia"/>
          <w:sz w:val="24"/>
          <w:szCs w:val="24"/>
        </w:rPr>
        <w:t>而</w:t>
      </w:r>
      <w:r w:rsidRPr="000C0842">
        <w:rPr>
          <w:rFonts w:eastAsia="SimSun"/>
          <w:sz w:val="24"/>
          <w:szCs w:val="24"/>
        </w:rPr>
        <w:t>不影响现有的义务和任务；</w:t>
      </w:r>
      <w:r w:rsidRPr="000C0842">
        <w:rPr>
          <w:rFonts w:eastAsia="SimSun"/>
          <w:sz w:val="24"/>
          <w:szCs w:val="24"/>
        </w:rPr>
        <w:t xml:space="preserve"> </w:t>
      </w:r>
    </w:p>
    <w:p w14:paraId="735B25FD"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z w:val="24"/>
          <w:szCs w:val="24"/>
        </w:rPr>
        <w:t>回顾</w:t>
      </w:r>
      <w:r w:rsidRPr="000C0842">
        <w:rPr>
          <w:rFonts w:eastAsia="SimSun"/>
          <w:sz w:val="24"/>
          <w:szCs w:val="24"/>
        </w:rPr>
        <w:t>其</w:t>
      </w:r>
      <w:r w:rsidRPr="000C0842">
        <w:rPr>
          <w:rFonts w:eastAsia="SimSun" w:hint="eastAsia"/>
          <w:sz w:val="24"/>
          <w:szCs w:val="24"/>
        </w:rPr>
        <w:t>已</w:t>
      </w:r>
      <w:r w:rsidRPr="000C0842">
        <w:rPr>
          <w:rFonts w:eastAsia="SimSun"/>
          <w:sz w:val="24"/>
          <w:szCs w:val="24"/>
        </w:rPr>
        <w:t>决定从第十七届会议开始，在每届会议上通过全球盘点不断审查资源调动战略的执行情况</w:t>
      </w:r>
      <w:r w:rsidRPr="000C0842">
        <w:rPr>
          <w:rFonts w:eastAsia="SimSun"/>
          <w:sz w:val="24"/>
          <w:szCs w:val="24"/>
          <w:vertAlign w:val="superscript"/>
        </w:rPr>
        <w:footnoteReference w:id="479"/>
      </w:r>
      <w:r w:rsidRPr="000C0842">
        <w:rPr>
          <w:rFonts w:eastAsia="SimSun"/>
          <w:sz w:val="24"/>
          <w:szCs w:val="24"/>
        </w:rPr>
        <w:t>，建立一个迭代进程，便利进一步调整战略和相关体制安排，为支持</w:t>
      </w:r>
      <w:r w:rsidRPr="000C0842">
        <w:rPr>
          <w:rFonts w:eastAsia="SimSun" w:hint="eastAsia"/>
          <w:sz w:val="24"/>
          <w:szCs w:val="24"/>
        </w:rPr>
        <w:t>直至</w:t>
      </w:r>
      <w:r w:rsidRPr="000C0842">
        <w:rPr>
          <w:rFonts w:eastAsia="SimSun"/>
          <w:sz w:val="24"/>
          <w:szCs w:val="24"/>
        </w:rPr>
        <w:t>2030</w:t>
      </w:r>
      <w:r w:rsidRPr="000C0842">
        <w:rPr>
          <w:rFonts w:eastAsia="SimSun"/>
          <w:sz w:val="24"/>
          <w:szCs w:val="24"/>
        </w:rPr>
        <w:t>年</w:t>
      </w:r>
      <w:r w:rsidRPr="000C0842">
        <w:rPr>
          <w:rFonts w:eastAsia="SimSun" w:hint="eastAsia"/>
          <w:sz w:val="24"/>
          <w:szCs w:val="24"/>
        </w:rPr>
        <w:t>的</w:t>
      </w:r>
      <w:r w:rsidRPr="000C0842">
        <w:rPr>
          <w:rFonts w:eastAsia="SimSun"/>
          <w:sz w:val="24"/>
          <w:szCs w:val="24"/>
        </w:rPr>
        <w:t>《昆蒙框架》</w:t>
      </w:r>
      <w:r w:rsidRPr="000C0842">
        <w:rPr>
          <w:rFonts w:eastAsia="SimSun" w:hint="eastAsia"/>
          <w:sz w:val="24"/>
          <w:szCs w:val="24"/>
        </w:rPr>
        <w:t>的</w:t>
      </w:r>
      <w:r w:rsidRPr="000C0842">
        <w:rPr>
          <w:rFonts w:eastAsia="SimSun"/>
          <w:sz w:val="24"/>
          <w:szCs w:val="24"/>
        </w:rPr>
        <w:t>执行</w:t>
      </w:r>
      <w:r w:rsidRPr="000C0842">
        <w:rPr>
          <w:rFonts w:eastAsia="SimSun" w:hint="eastAsia"/>
          <w:sz w:val="24"/>
          <w:szCs w:val="24"/>
        </w:rPr>
        <w:t>工作</w:t>
      </w:r>
      <w:r w:rsidRPr="000C0842">
        <w:rPr>
          <w:rFonts w:eastAsia="SimSun"/>
          <w:sz w:val="24"/>
          <w:szCs w:val="24"/>
        </w:rPr>
        <w:t>及时调动资源</w:t>
      </w:r>
      <w:r w:rsidRPr="000C0842">
        <w:rPr>
          <w:rFonts w:eastAsia="SimSun"/>
          <w:sz w:val="24"/>
          <w:szCs w:val="24"/>
          <w:vertAlign w:val="superscript"/>
        </w:rPr>
        <w:footnoteReference w:id="480"/>
      </w:r>
      <w:r w:rsidRPr="000C0842">
        <w:rPr>
          <w:rFonts w:eastAsia="SimSun"/>
          <w:sz w:val="24"/>
          <w:szCs w:val="24"/>
        </w:rPr>
        <w:t>；</w:t>
      </w:r>
    </w:p>
    <w:p w14:paraId="0ACD3D25"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z w:val="24"/>
          <w:szCs w:val="24"/>
        </w:rPr>
        <w:t>邀请</w:t>
      </w:r>
      <w:r w:rsidRPr="000C0842">
        <w:rPr>
          <w:rFonts w:eastAsia="SimSun"/>
          <w:sz w:val="24"/>
          <w:szCs w:val="24"/>
        </w:rPr>
        <w:t>缔约方</w:t>
      </w:r>
      <w:r w:rsidRPr="000C0842">
        <w:rPr>
          <w:rFonts w:eastAsia="SimSun" w:hint="eastAsia"/>
          <w:sz w:val="24"/>
          <w:szCs w:val="24"/>
        </w:rPr>
        <w:t>、</w:t>
      </w:r>
      <w:r w:rsidRPr="000C0842">
        <w:rPr>
          <w:rFonts w:eastAsia="SimSun"/>
          <w:sz w:val="24"/>
          <w:szCs w:val="24"/>
        </w:rPr>
        <w:t>土著人民和地方社区、</w:t>
      </w:r>
      <w:r w:rsidRPr="000C0842">
        <w:rPr>
          <w:rFonts w:eastAsia="SimSun" w:hint="eastAsia"/>
          <w:sz w:val="24"/>
          <w:szCs w:val="24"/>
        </w:rPr>
        <w:t>次</w:t>
      </w:r>
      <w:r w:rsidRPr="000C0842">
        <w:rPr>
          <w:rFonts w:eastAsia="SimSun"/>
          <w:sz w:val="24"/>
          <w:szCs w:val="24"/>
        </w:rPr>
        <w:t>国家政府、城市和其他地方当局、政府间组织、其他多边环境协定、非政府组织、妇女</w:t>
      </w:r>
      <w:r w:rsidRPr="000C0842">
        <w:rPr>
          <w:rFonts w:eastAsia="SimSun" w:hint="eastAsia"/>
          <w:sz w:val="24"/>
          <w:szCs w:val="24"/>
        </w:rPr>
        <w:t>和</w:t>
      </w:r>
      <w:r w:rsidRPr="000C0842">
        <w:rPr>
          <w:rFonts w:eastAsia="SimSun"/>
          <w:sz w:val="24"/>
          <w:szCs w:val="24"/>
        </w:rPr>
        <w:t>青年</w:t>
      </w:r>
      <w:r w:rsidRPr="000C0842">
        <w:rPr>
          <w:rFonts w:eastAsia="SimSun" w:hint="eastAsia"/>
          <w:sz w:val="24"/>
          <w:szCs w:val="24"/>
        </w:rPr>
        <w:t>代表</w:t>
      </w:r>
      <w:r w:rsidRPr="000C0842">
        <w:rPr>
          <w:rFonts w:eastAsia="SimSun"/>
          <w:sz w:val="24"/>
          <w:szCs w:val="24"/>
        </w:rPr>
        <w:t>、研究组织、</w:t>
      </w:r>
      <w:r w:rsidRPr="000C0842">
        <w:rPr>
          <w:rFonts w:eastAsia="SimSun" w:hint="eastAsia"/>
          <w:sz w:val="24"/>
          <w:szCs w:val="24"/>
        </w:rPr>
        <w:t>企业</w:t>
      </w:r>
      <w:r w:rsidRPr="000C0842">
        <w:rPr>
          <w:rFonts w:eastAsia="SimSun"/>
          <w:sz w:val="24"/>
          <w:szCs w:val="24"/>
        </w:rPr>
        <w:t>和金融界以及与生物多样性有关或依赖生物多样性的部门的代表，根据</w:t>
      </w:r>
      <w:r w:rsidRPr="000C0842">
        <w:rPr>
          <w:rFonts w:eastAsia="SimSun"/>
          <w:sz w:val="24"/>
          <w:szCs w:val="24"/>
        </w:rPr>
        <w:t xml:space="preserve"> 2022 </w:t>
      </w:r>
      <w:r w:rsidRPr="000C0842">
        <w:rPr>
          <w:rFonts w:eastAsia="SimSun"/>
          <w:sz w:val="24"/>
          <w:szCs w:val="24"/>
        </w:rPr>
        <w:t>年</w:t>
      </w:r>
      <w:r w:rsidRPr="000C0842">
        <w:rPr>
          <w:rFonts w:eastAsia="SimSun"/>
          <w:sz w:val="24"/>
          <w:szCs w:val="24"/>
        </w:rPr>
        <w:t xml:space="preserve"> 12 </w:t>
      </w:r>
      <w:r w:rsidRPr="000C0842">
        <w:rPr>
          <w:rFonts w:eastAsia="SimSun"/>
          <w:sz w:val="24"/>
          <w:szCs w:val="24"/>
        </w:rPr>
        <w:t>月</w:t>
      </w:r>
      <w:r w:rsidRPr="000C0842">
        <w:rPr>
          <w:rFonts w:eastAsia="SimSun"/>
          <w:sz w:val="24"/>
          <w:szCs w:val="24"/>
        </w:rPr>
        <w:t xml:space="preserve"> 19 </w:t>
      </w:r>
      <w:r w:rsidRPr="000C0842">
        <w:rPr>
          <w:rFonts w:eastAsia="SimSun"/>
          <w:sz w:val="24"/>
          <w:szCs w:val="24"/>
        </w:rPr>
        <w:t>日第</w:t>
      </w:r>
      <w:r w:rsidRPr="000C0842">
        <w:rPr>
          <w:rFonts w:eastAsia="SimSun"/>
          <w:sz w:val="24"/>
          <w:szCs w:val="24"/>
        </w:rPr>
        <w:t xml:space="preserve"> </w:t>
      </w:r>
      <w:hyperlink r:id="rId329" w:history="1">
        <w:r w:rsidRPr="000C0842">
          <w:rPr>
            <w:rFonts w:eastAsia="SimSun"/>
            <w:sz w:val="24"/>
            <w:szCs w:val="24"/>
            <w:u w:val="single"/>
          </w:rPr>
          <w:t>15/6</w:t>
        </w:r>
      </w:hyperlink>
      <w:r w:rsidRPr="000C0842">
        <w:rPr>
          <w:rFonts w:eastAsia="SimSun"/>
          <w:sz w:val="24"/>
          <w:szCs w:val="24"/>
        </w:rPr>
        <w:t xml:space="preserve"> </w:t>
      </w:r>
      <w:r w:rsidRPr="000C0842">
        <w:rPr>
          <w:rFonts w:eastAsia="SimSun"/>
          <w:sz w:val="24"/>
          <w:szCs w:val="24"/>
        </w:rPr>
        <w:t>号决定提供相关信息，包括关于良好做法、创新、挑战和经验教训的信息，以支持上述审查工作</w:t>
      </w:r>
      <w:r w:rsidRPr="000C0842">
        <w:rPr>
          <w:rFonts w:eastAsia="SimSun"/>
          <w:sz w:val="24"/>
          <w:szCs w:val="24"/>
          <w:lang w:val="en-GB"/>
        </w:rPr>
        <w:t>；</w:t>
      </w:r>
    </w:p>
    <w:p w14:paraId="7EAF6D02" w14:textId="1B1C2EEE"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GB"/>
        </w:rPr>
        <w:t>敦促</w:t>
      </w:r>
      <w:r w:rsidRPr="000C0842">
        <w:rPr>
          <w:rFonts w:eastAsia="SimSun"/>
          <w:sz w:val="24"/>
          <w:szCs w:val="24"/>
          <w:lang w:val="en-GB"/>
        </w:rPr>
        <w:t>缔约方、私营部门、金融机构和多边开发银行根据</w:t>
      </w:r>
      <w:r w:rsidRPr="000C0842">
        <w:rPr>
          <w:rFonts w:eastAsia="SimSun"/>
          <w:sz w:val="24"/>
          <w:szCs w:val="24"/>
          <w:lang w:val="en-GB"/>
        </w:rPr>
        <w:t>2014</w:t>
      </w:r>
      <w:r w:rsidRPr="000C0842">
        <w:rPr>
          <w:rFonts w:eastAsia="SimSun"/>
          <w:sz w:val="24"/>
          <w:szCs w:val="24"/>
          <w:lang w:val="en-GB"/>
        </w:rPr>
        <w:t>年</w:t>
      </w: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17</w:t>
      </w:r>
      <w:r w:rsidRPr="000C0842">
        <w:rPr>
          <w:rFonts w:eastAsia="SimSun"/>
          <w:sz w:val="24"/>
          <w:szCs w:val="24"/>
          <w:lang w:val="en-GB"/>
        </w:rPr>
        <w:t>日第</w:t>
      </w:r>
      <w:hyperlink r:id="rId330" w:history="1">
        <w:r w:rsidRPr="000C0842">
          <w:rPr>
            <w:rFonts w:eastAsia="SimSun"/>
            <w:sz w:val="24"/>
            <w:szCs w:val="24"/>
            <w:u w:val="single"/>
            <w:lang w:val="en-GB"/>
          </w:rPr>
          <w:t>XII/3</w:t>
        </w:r>
      </w:hyperlink>
      <w:r w:rsidRPr="000C0842">
        <w:rPr>
          <w:rFonts w:eastAsia="SimSun"/>
          <w:sz w:val="24"/>
          <w:szCs w:val="24"/>
          <w:lang w:val="en-GB"/>
        </w:rPr>
        <w:t>号决定附件三</w:t>
      </w:r>
      <w:r w:rsidRPr="000C0842">
        <w:rPr>
          <w:rFonts w:eastAsia="SimSun" w:hint="eastAsia"/>
          <w:sz w:val="24"/>
          <w:szCs w:val="24"/>
          <w:lang w:val="en-GB"/>
        </w:rPr>
        <w:t>所载</w:t>
      </w:r>
      <w:r w:rsidRPr="000C0842">
        <w:rPr>
          <w:rFonts w:eastAsia="SimSun"/>
          <w:sz w:val="24"/>
          <w:szCs w:val="24"/>
          <w:lang w:val="en-GB"/>
        </w:rPr>
        <w:t>生物多样性融资机制的保障措施自愿准则和</w:t>
      </w:r>
      <w:r w:rsidRPr="000C0842">
        <w:rPr>
          <w:rFonts w:eastAsia="SimSun"/>
          <w:sz w:val="24"/>
          <w:szCs w:val="24"/>
          <w:lang w:val="en-GB"/>
        </w:rPr>
        <w:t>2018</w:t>
      </w:r>
      <w:r w:rsidRPr="000C0842">
        <w:rPr>
          <w:rFonts w:eastAsia="SimSun"/>
          <w:sz w:val="24"/>
          <w:szCs w:val="24"/>
          <w:lang w:val="en-GB"/>
        </w:rPr>
        <w:t>年</w:t>
      </w:r>
      <w:r w:rsidRPr="000C0842">
        <w:rPr>
          <w:rFonts w:eastAsia="SimSun"/>
          <w:sz w:val="24"/>
          <w:szCs w:val="24"/>
          <w:lang w:val="en-GB"/>
        </w:rPr>
        <w:t>11</w:t>
      </w:r>
      <w:r w:rsidRPr="000C0842">
        <w:rPr>
          <w:rFonts w:eastAsia="SimSun"/>
          <w:sz w:val="24"/>
          <w:szCs w:val="24"/>
          <w:lang w:val="en-GB"/>
        </w:rPr>
        <w:t>月</w:t>
      </w:r>
      <w:r w:rsidRPr="000C0842">
        <w:rPr>
          <w:rFonts w:eastAsia="SimSun"/>
          <w:sz w:val="24"/>
          <w:szCs w:val="24"/>
          <w:lang w:val="en-GB"/>
        </w:rPr>
        <w:t>29</w:t>
      </w:r>
      <w:r w:rsidRPr="000C0842">
        <w:rPr>
          <w:rFonts w:eastAsia="SimSun"/>
          <w:sz w:val="24"/>
          <w:szCs w:val="24"/>
          <w:lang w:val="en-GB"/>
        </w:rPr>
        <w:t>日第</w:t>
      </w:r>
      <w:hyperlink r:id="rId331" w:history="1">
        <w:r w:rsidRPr="000C0842">
          <w:rPr>
            <w:rFonts w:eastAsia="SimSun"/>
            <w:sz w:val="24"/>
            <w:szCs w:val="24"/>
            <w:u w:val="single"/>
            <w:lang w:val="en-GB"/>
          </w:rPr>
          <w:t>14/15</w:t>
        </w:r>
      </w:hyperlink>
      <w:r w:rsidRPr="000C0842">
        <w:rPr>
          <w:rFonts w:eastAsia="SimSun"/>
          <w:sz w:val="24"/>
          <w:szCs w:val="24"/>
          <w:lang w:val="en-GB"/>
        </w:rPr>
        <w:t>号决定，颁布和实施社会和环境保障措施，并采用基于人权的办法制定或推广生物多样性和融资工具，特别是创新性计划；</w:t>
      </w:r>
    </w:p>
    <w:p w14:paraId="2AF5EB40"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iCs/>
          <w:snapToGrid w:val="0"/>
          <w:kern w:val="22"/>
          <w:sz w:val="24"/>
          <w:szCs w:val="24"/>
        </w:rPr>
        <w:t>鼓励</w:t>
      </w:r>
      <w:r w:rsidRPr="000C0842">
        <w:rPr>
          <w:rFonts w:eastAsia="SimSun"/>
          <w:snapToGrid w:val="0"/>
          <w:kern w:val="22"/>
          <w:sz w:val="24"/>
          <w:szCs w:val="24"/>
        </w:rPr>
        <w:t>缔约方根据</w:t>
      </w:r>
      <w:r w:rsidRPr="000C0842">
        <w:rPr>
          <w:rFonts w:eastAsia="SimSun" w:hint="eastAsia"/>
          <w:snapToGrid w:val="0"/>
          <w:kern w:val="22"/>
          <w:sz w:val="24"/>
          <w:szCs w:val="24"/>
        </w:rPr>
        <w:t>其</w:t>
      </w:r>
      <w:r w:rsidRPr="000C0842">
        <w:rPr>
          <w:rFonts w:eastAsia="SimSun"/>
          <w:snapToGrid w:val="0"/>
          <w:kern w:val="22"/>
          <w:sz w:val="24"/>
          <w:szCs w:val="24"/>
        </w:rPr>
        <w:t>国家生物多样性战略和行动计划</w:t>
      </w:r>
      <w:r w:rsidRPr="000C0842">
        <w:rPr>
          <w:rFonts w:eastAsia="SimSun" w:hint="eastAsia"/>
          <w:snapToGrid w:val="0"/>
          <w:kern w:val="22"/>
          <w:sz w:val="24"/>
          <w:szCs w:val="24"/>
        </w:rPr>
        <w:t>以及对</w:t>
      </w:r>
      <w:r w:rsidRPr="000C0842">
        <w:rPr>
          <w:rFonts w:eastAsia="SimSun"/>
          <w:snapToGrid w:val="0"/>
          <w:kern w:val="22"/>
          <w:sz w:val="24"/>
          <w:szCs w:val="24"/>
        </w:rPr>
        <w:t>生物多样性支出和资金需求的</w:t>
      </w:r>
      <w:r w:rsidRPr="000C0842">
        <w:rPr>
          <w:rFonts w:eastAsia="SimSun" w:hint="eastAsia"/>
          <w:snapToGrid w:val="0"/>
          <w:kern w:val="22"/>
          <w:sz w:val="24"/>
          <w:szCs w:val="24"/>
        </w:rPr>
        <w:t>评估</w:t>
      </w:r>
      <w:r w:rsidRPr="000C0842">
        <w:rPr>
          <w:rFonts w:eastAsia="SimSun"/>
          <w:snapToGrid w:val="0"/>
          <w:kern w:val="22"/>
          <w:sz w:val="24"/>
          <w:szCs w:val="24"/>
        </w:rPr>
        <w:t>，制定、更新和执行国家生物多样性融资计划或类似工具，以充分和及时调动国内、国际、公共和私人资金，有效</w:t>
      </w:r>
      <w:r w:rsidRPr="000C0842">
        <w:rPr>
          <w:rFonts w:eastAsia="SimSun" w:hint="eastAsia"/>
          <w:snapToGrid w:val="0"/>
          <w:kern w:val="22"/>
          <w:sz w:val="24"/>
          <w:szCs w:val="24"/>
        </w:rPr>
        <w:t>执行</w:t>
      </w:r>
      <w:r w:rsidRPr="000C0842">
        <w:rPr>
          <w:rFonts w:eastAsia="SimSun"/>
          <w:snapToGrid w:val="0"/>
          <w:kern w:val="22"/>
          <w:sz w:val="24"/>
          <w:szCs w:val="24"/>
        </w:rPr>
        <w:t>《昆蒙框架》；</w:t>
      </w:r>
    </w:p>
    <w:p w14:paraId="374EC41A"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napToGrid w:val="0"/>
          <w:kern w:val="22"/>
          <w:sz w:val="24"/>
          <w:szCs w:val="24"/>
        </w:rPr>
      </w:pPr>
      <w:r w:rsidRPr="000C0842">
        <w:rPr>
          <w:rFonts w:eastAsia="KaiTi"/>
          <w:iCs/>
          <w:sz w:val="24"/>
          <w:szCs w:val="24"/>
        </w:rPr>
        <w:t>鼓励</w:t>
      </w:r>
      <w:r w:rsidRPr="000C0842">
        <w:rPr>
          <w:rFonts w:eastAsia="SimSun"/>
          <w:sz w:val="24"/>
          <w:szCs w:val="24"/>
        </w:rPr>
        <w:t>发达国家缔约方在其国家财政计划或类似文书中反映它们对发展中国家缔约方执行《公约》的</w:t>
      </w:r>
      <w:r w:rsidRPr="000C0842">
        <w:rPr>
          <w:rFonts w:eastAsia="SimSun" w:hint="eastAsia"/>
          <w:sz w:val="24"/>
          <w:szCs w:val="24"/>
        </w:rPr>
        <w:t>资金</w:t>
      </w:r>
      <w:r w:rsidRPr="000C0842">
        <w:rPr>
          <w:rFonts w:eastAsia="SimSun"/>
          <w:sz w:val="24"/>
          <w:szCs w:val="24"/>
        </w:rPr>
        <w:t>贡献；</w:t>
      </w:r>
    </w:p>
    <w:p w14:paraId="63C5E8B8"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napToGrid w:val="0"/>
          <w:kern w:val="22"/>
          <w:sz w:val="24"/>
          <w:szCs w:val="24"/>
          <w:lang w:val="en-GB"/>
        </w:rPr>
      </w:pPr>
      <w:r w:rsidRPr="000C0842">
        <w:rPr>
          <w:rFonts w:eastAsia="KaiTi"/>
          <w:snapToGrid w:val="0"/>
          <w:kern w:val="22"/>
          <w:sz w:val="24"/>
          <w:szCs w:val="24"/>
          <w:lang w:val="en-GB"/>
        </w:rPr>
        <w:t>鼓励</w:t>
      </w:r>
      <w:r w:rsidRPr="000C0842">
        <w:rPr>
          <w:rFonts w:eastAsia="SimSun"/>
          <w:snapToGrid w:val="0"/>
          <w:kern w:val="22"/>
          <w:sz w:val="24"/>
          <w:szCs w:val="24"/>
          <w:lang w:val="en-GB"/>
        </w:rPr>
        <w:t>发展中国家缔约方酌情在其国家生物多样性融资计划中提供信息，说明为执行国家生物多样性战略和行动计划所需要、已获得和使用的</w:t>
      </w:r>
      <w:r w:rsidRPr="000C0842">
        <w:rPr>
          <w:rFonts w:eastAsia="SimSun" w:hint="eastAsia"/>
          <w:snapToGrid w:val="0"/>
          <w:kern w:val="22"/>
          <w:sz w:val="24"/>
          <w:szCs w:val="24"/>
          <w:lang w:val="en-GB"/>
        </w:rPr>
        <w:t>资金</w:t>
      </w:r>
      <w:r w:rsidRPr="000C0842">
        <w:rPr>
          <w:rFonts w:eastAsia="SimSun"/>
          <w:snapToGrid w:val="0"/>
          <w:kern w:val="22"/>
          <w:sz w:val="24"/>
          <w:szCs w:val="24"/>
          <w:lang w:val="en-GB"/>
        </w:rPr>
        <w:t>支持、技术开发和转让以及能力建设支助的情况；</w:t>
      </w:r>
    </w:p>
    <w:p w14:paraId="3A7DBB6D"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napToGrid w:val="0"/>
          <w:kern w:val="22"/>
          <w:sz w:val="24"/>
          <w:szCs w:val="24"/>
          <w:lang w:val="en-GB"/>
        </w:rPr>
        <w:t>鼓励</w:t>
      </w:r>
      <w:r w:rsidRPr="000C0842">
        <w:rPr>
          <w:rFonts w:eastAsia="SimSun"/>
          <w:snapToGrid w:val="0"/>
          <w:kern w:val="22"/>
          <w:sz w:val="24"/>
          <w:szCs w:val="24"/>
          <w:lang w:val="en-GB"/>
        </w:rPr>
        <w:t>所有缔约方并邀请其他国家政府在制定、更新或执行国家生物多样性战略和行动计划、国家目标以及国家生物多样性融资计划或类似文书时，考虑到资源调</w:t>
      </w:r>
      <w:r w:rsidRPr="000C0842">
        <w:rPr>
          <w:rFonts w:eastAsia="SimSun" w:hint="eastAsia"/>
          <w:snapToGrid w:val="0"/>
          <w:kern w:val="22"/>
          <w:sz w:val="24"/>
          <w:szCs w:val="24"/>
          <w:lang w:val="en-GB"/>
        </w:rPr>
        <w:t>动</w:t>
      </w:r>
      <w:r w:rsidRPr="000C0842">
        <w:rPr>
          <w:rFonts w:eastAsia="SimSun"/>
          <w:snapToGrid w:val="0"/>
          <w:kern w:val="22"/>
          <w:sz w:val="24"/>
          <w:szCs w:val="24"/>
          <w:lang w:val="en-GB"/>
        </w:rPr>
        <w:t>战略；</w:t>
      </w:r>
    </w:p>
    <w:p w14:paraId="048C239C"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hint="eastAsia"/>
          <w:sz w:val="24"/>
          <w:szCs w:val="24"/>
          <w:lang w:val="en-GB"/>
        </w:rPr>
        <w:t>确认</w:t>
      </w:r>
      <w:r w:rsidRPr="000C0842">
        <w:rPr>
          <w:rFonts w:eastAsia="SimSun"/>
          <w:sz w:val="24"/>
          <w:szCs w:val="24"/>
        </w:rPr>
        <w:t>所有行为体正在努力加强、简化和改革现有生物多样性融资工具并利用它们之间的协同作用，以期</w:t>
      </w:r>
      <w:r w:rsidRPr="000C0842">
        <w:rPr>
          <w:rFonts w:eastAsia="SimSun" w:hint="eastAsia"/>
          <w:sz w:val="24"/>
          <w:szCs w:val="24"/>
        </w:rPr>
        <w:t>弥合</w:t>
      </w:r>
      <w:r w:rsidRPr="000C0842">
        <w:rPr>
          <w:rFonts w:eastAsia="SimSun"/>
          <w:sz w:val="24"/>
          <w:szCs w:val="24"/>
        </w:rPr>
        <w:t>生物多样性</w:t>
      </w:r>
      <w:r w:rsidRPr="000C0842">
        <w:rPr>
          <w:rFonts w:eastAsia="SimSun" w:hint="eastAsia"/>
          <w:sz w:val="24"/>
          <w:szCs w:val="24"/>
        </w:rPr>
        <w:t>资金缺口</w:t>
      </w:r>
      <w:r w:rsidRPr="000C0842">
        <w:rPr>
          <w:rFonts w:eastAsia="SimSun"/>
          <w:sz w:val="24"/>
          <w:szCs w:val="24"/>
        </w:rPr>
        <w:t>；</w:t>
      </w:r>
    </w:p>
    <w:p w14:paraId="0F3ED770"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bookmarkStart w:id="133" w:name="_Hlk181531969"/>
      <w:r w:rsidRPr="000C0842">
        <w:rPr>
          <w:rFonts w:eastAsia="KaiTi" w:hint="eastAsia"/>
          <w:sz w:val="24"/>
          <w:szCs w:val="24"/>
          <w:lang w:val="en-GB"/>
        </w:rPr>
        <w:t>认识到</w:t>
      </w:r>
      <w:r w:rsidRPr="000C0842">
        <w:rPr>
          <w:rFonts w:ascii="SimSun" w:eastAsia="SimSun" w:hAnsi="SimSun" w:hint="eastAsia"/>
          <w:sz w:val="24"/>
          <w:szCs w:val="24"/>
          <w:lang w:val="en-GB"/>
        </w:rPr>
        <w:t>其他</w:t>
      </w:r>
      <w:r w:rsidRPr="000C0842">
        <w:rPr>
          <w:rFonts w:eastAsia="SimSun"/>
          <w:sz w:val="24"/>
          <w:szCs w:val="24"/>
          <w:lang w:val="en-GB"/>
        </w:rPr>
        <w:t>里约公约</w:t>
      </w:r>
      <w:r w:rsidRPr="000C0842">
        <w:rPr>
          <w:rFonts w:eastAsia="SimSun" w:hint="eastAsia"/>
          <w:sz w:val="24"/>
          <w:szCs w:val="24"/>
          <w:lang w:val="en-GB"/>
        </w:rPr>
        <w:t>和</w:t>
      </w:r>
      <w:r w:rsidRPr="000C0842">
        <w:rPr>
          <w:rFonts w:eastAsia="SimSun"/>
          <w:sz w:val="24"/>
          <w:szCs w:val="24"/>
          <w:lang w:val="en-GB"/>
        </w:rPr>
        <w:t>其他全球生物多样性相关公约和多边协定也</w:t>
      </w:r>
      <w:r w:rsidRPr="000C0842">
        <w:rPr>
          <w:rFonts w:eastAsia="SimSun" w:hint="eastAsia"/>
          <w:sz w:val="24"/>
          <w:szCs w:val="24"/>
          <w:lang w:val="en-GB"/>
        </w:rPr>
        <w:t>通过了</w:t>
      </w:r>
      <w:r w:rsidRPr="000C0842">
        <w:rPr>
          <w:rFonts w:eastAsia="SimSun"/>
          <w:sz w:val="24"/>
          <w:szCs w:val="24"/>
          <w:lang w:val="en-GB"/>
        </w:rPr>
        <w:t>资源调动战略，鼓励在执行这些战略时加强合作和协同</w:t>
      </w:r>
      <w:r w:rsidRPr="000C0842">
        <w:rPr>
          <w:rFonts w:eastAsia="SimSun" w:hint="eastAsia"/>
          <w:sz w:val="24"/>
          <w:szCs w:val="24"/>
        </w:rPr>
        <w:t>作用</w:t>
      </w:r>
      <w:r w:rsidRPr="000C0842">
        <w:rPr>
          <w:rFonts w:eastAsia="SimSun"/>
          <w:sz w:val="24"/>
          <w:szCs w:val="24"/>
        </w:rPr>
        <w:t>，深信有必要按照多边环境协定的</w:t>
      </w:r>
      <w:r w:rsidRPr="000C0842">
        <w:rPr>
          <w:rFonts w:eastAsia="SimSun" w:hint="eastAsia"/>
          <w:sz w:val="24"/>
          <w:szCs w:val="24"/>
        </w:rPr>
        <w:t>各自</w:t>
      </w:r>
      <w:r w:rsidRPr="000C0842">
        <w:rPr>
          <w:rFonts w:eastAsia="SimSun"/>
          <w:sz w:val="24"/>
          <w:szCs w:val="24"/>
        </w:rPr>
        <w:t>任务规定，作为优化</w:t>
      </w:r>
      <w:r w:rsidRPr="000C0842">
        <w:rPr>
          <w:rFonts w:eastAsia="SimSun" w:hint="eastAsia"/>
          <w:sz w:val="24"/>
          <w:szCs w:val="24"/>
        </w:rPr>
        <w:t>附带效益</w:t>
      </w:r>
      <w:r w:rsidRPr="000C0842">
        <w:rPr>
          <w:rFonts w:eastAsia="SimSun"/>
          <w:sz w:val="24"/>
          <w:szCs w:val="24"/>
        </w:rPr>
        <w:t>和协同</w:t>
      </w:r>
      <w:r w:rsidRPr="000C0842">
        <w:rPr>
          <w:rFonts w:eastAsia="SimSun" w:hint="eastAsia"/>
          <w:sz w:val="24"/>
          <w:szCs w:val="24"/>
        </w:rPr>
        <w:t>作用</w:t>
      </w:r>
      <w:r w:rsidRPr="000C0842">
        <w:rPr>
          <w:rFonts w:eastAsia="SimSun"/>
          <w:sz w:val="24"/>
          <w:szCs w:val="24"/>
        </w:rPr>
        <w:t>努力的一部分，大幅提高财</w:t>
      </w:r>
      <w:r w:rsidRPr="000C0842">
        <w:rPr>
          <w:rFonts w:eastAsia="SimSun" w:hint="eastAsia"/>
          <w:sz w:val="24"/>
          <w:szCs w:val="24"/>
        </w:rPr>
        <w:t>务</w:t>
      </w:r>
      <w:r w:rsidRPr="000C0842">
        <w:rPr>
          <w:rFonts w:eastAsia="SimSun"/>
          <w:sz w:val="24"/>
          <w:szCs w:val="24"/>
        </w:rPr>
        <w:t>捐助的</w:t>
      </w:r>
      <w:r w:rsidRPr="000C0842">
        <w:rPr>
          <w:rFonts w:eastAsia="SimSun" w:hint="eastAsia"/>
          <w:sz w:val="24"/>
          <w:szCs w:val="24"/>
        </w:rPr>
        <w:t>核算</w:t>
      </w:r>
      <w:r w:rsidRPr="000C0842">
        <w:rPr>
          <w:rFonts w:eastAsia="SimSun"/>
          <w:sz w:val="24"/>
          <w:szCs w:val="24"/>
        </w:rPr>
        <w:t>和报告透明</w:t>
      </w:r>
      <w:r w:rsidRPr="000C0842">
        <w:rPr>
          <w:rFonts w:ascii="SimSun" w:eastAsia="SimSun" w:hAnsi="SimSun" w:cs="SimSun" w:hint="eastAsia"/>
          <w:sz w:val="24"/>
          <w:szCs w:val="24"/>
        </w:rPr>
        <w:t>度</w:t>
      </w:r>
      <w:r w:rsidRPr="000C0842">
        <w:rPr>
          <w:rFonts w:eastAsia="SimSun"/>
          <w:sz w:val="24"/>
          <w:szCs w:val="24"/>
        </w:rPr>
        <w:t>；</w:t>
      </w:r>
    </w:p>
    <w:p w14:paraId="78DBAD44"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napToGrid w:val="0"/>
          <w:kern w:val="22"/>
          <w:sz w:val="24"/>
          <w:szCs w:val="24"/>
          <w:lang w:val="en-GB"/>
        </w:rPr>
      </w:pPr>
      <w:r w:rsidRPr="000C0842">
        <w:rPr>
          <w:rFonts w:eastAsia="KaiTi" w:hint="eastAsia"/>
          <w:kern w:val="22"/>
          <w:sz w:val="24"/>
          <w:szCs w:val="24"/>
          <w:lang w:val="en-GB"/>
        </w:rPr>
        <w:t>呼吁</w:t>
      </w:r>
      <w:r w:rsidRPr="000C0842">
        <w:rPr>
          <w:rFonts w:eastAsia="SimSun"/>
          <w:kern w:val="22"/>
          <w:sz w:val="24"/>
          <w:szCs w:val="24"/>
          <w:lang w:val="en-GB"/>
        </w:rPr>
        <w:t>发达国家</w:t>
      </w:r>
      <w:r w:rsidRPr="000C0842">
        <w:rPr>
          <w:rFonts w:eastAsia="SimSun" w:hint="eastAsia"/>
          <w:kern w:val="22"/>
          <w:sz w:val="24"/>
          <w:szCs w:val="24"/>
          <w:lang w:val="en-GB"/>
        </w:rPr>
        <w:t>缔约方</w:t>
      </w:r>
      <w:r w:rsidRPr="000C0842">
        <w:rPr>
          <w:rFonts w:eastAsia="SimSun"/>
          <w:kern w:val="22"/>
          <w:sz w:val="24"/>
          <w:szCs w:val="24"/>
          <w:lang w:val="en-GB"/>
        </w:rPr>
        <w:t>和自愿承担发达国家缔约方义务的缔约方并邀请其他国家政府以及私营部门和慈善组织等非主权捐助方向全球生物多样性框架基金提供或增加捐款；</w:t>
      </w:r>
    </w:p>
    <w:p w14:paraId="1E92F1C8"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eastAsia="KaiTi"/>
          <w:sz w:val="24"/>
          <w:szCs w:val="24"/>
          <w:lang w:val="en-CA"/>
        </w:rPr>
        <w:t>呼吁</w:t>
      </w:r>
      <w:r w:rsidRPr="000C0842">
        <w:rPr>
          <w:rFonts w:eastAsia="SimSun"/>
          <w:sz w:val="24"/>
          <w:szCs w:val="24"/>
          <w:lang w:val="en-CA"/>
        </w:rPr>
        <w:t>缔约方和其他相关行为体改善土著人民和地方社区、妇女和青年获取和增加财务资源的渠道，以执行《昆蒙框架》；</w:t>
      </w:r>
    </w:p>
    <w:p w14:paraId="065244AD"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GB"/>
        </w:rPr>
      </w:pPr>
      <w:r w:rsidRPr="000C0842">
        <w:rPr>
          <w:rFonts w:ascii="KaiTi" w:eastAsia="KaiTi" w:hAnsi="KaiTi"/>
          <w:kern w:val="22"/>
          <w:sz w:val="24"/>
          <w:szCs w:val="24"/>
          <w:lang w:val="en-GB"/>
        </w:rPr>
        <w:t>注意</w:t>
      </w:r>
      <w:r w:rsidRPr="000C0842">
        <w:rPr>
          <w:rFonts w:eastAsia="KaiTi"/>
          <w:kern w:val="22"/>
          <w:sz w:val="24"/>
          <w:szCs w:val="24"/>
          <w:lang w:val="en-GB"/>
        </w:rPr>
        <w:t>到</w:t>
      </w:r>
      <w:r w:rsidRPr="000C0842">
        <w:rPr>
          <w:rFonts w:eastAsia="SimSun"/>
          <w:kern w:val="22"/>
          <w:sz w:val="24"/>
          <w:szCs w:val="24"/>
          <w:lang w:val="en-GB"/>
        </w:rPr>
        <w:t>没有</w:t>
      </w:r>
      <w:r w:rsidRPr="000C0842">
        <w:rPr>
          <w:rFonts w:eastAsia="SimSun" w:hint="eastAsia"/>
          <w:kern w:val="22"/>
          <w:sz w:val="24"/>
          <w:szCs w:val="24"/>
          <w:lang w:val="en-GB"/>
        </w:rPr>
        <w:t>任何</w:t>
      </w:r>
      <w:r w:rsidRPr="000C0842">
        <w:rPr>
          <w:rFonts w:eastAsia="SimSun"/>
          <w:kern w:val="22"/>
          <w:sz w:val="24"/>
          <w:szCs w:val="24"/>
          <w:lang w:val="en-GB"/>
        </w:rPr>
        <w:t>缔约方</w:t>
      </w:r>
      <w:r w:rsidRPr="000C0842">
        <w:rPr>
          <w:rFonts w:eastAsia="SimSun" w:hint="eastAsia"/>
          <w:kern w:val="22"/>
          <w:sz w:val="24"/>
          <w:szCs w:val="24"/>
          <w:lang w:val="en-GB"/>
        </w:rPr>
        <w:t>按照第</w:t>
      </w:r>
      <w:r w:rsidRPr="000C0842">
        <w:rPr>
          <w:rFonts w:eastAsia="SimSun" w:hint="eastAsia"/>
          <w:kern w:val="22"/>
          <w:sz w:val="24"/>
          <w:szCs w:val="24"/>
          <w:lang w:val="en-GB"/>
        </w:rPr>
        <w:t>20</w:t>
      </w:r>
      <w:r w:rsidRPr="000C0842">
        <w:rPr>
          <w:rFonts w:eastAsia="SimSun" w:hint="eastAsia"/>
          <w:kern w:val="22"/>
          <w:sz w:val="24"/>
          <w:szCs w:val="24"/>
          <w:lang w:val="en-GB"/>
        </w:rPr>
        <w:t>条</w:t>
      </w:r>
      <w:r w:rsidRPr="000C0842">
        <w:rPr>
          <w:rFonts w:eastAsia="SimSun"/>
          <w:kern w:val="22"/>
          <w:sz w:val="24"/>
          <w:szCs w:val="24"/>
          <w:lang w:val="en-GB"/>
        </w:rPr>
        <w:t>对执行秘书根据</w:t>
      </w:r>
      <w:r w:rsidRPr="000C0842">
        <w:rPr>
          <w:rFonts w:eastAsia="SimSun"/>
          <w:sz w:val="24"/>
          <w:szCs w:val="24"/>
          <w:lang w:val="en-GB"/>
        </w:rPr>
        <w:t>第</w:t>
      </w:r>
      <w:hyperlink r:id="rId332" w:history="1">
        <w:r w:rsidRPr="000C0842">
          <w:rPr>
            <w:rFonts w:eastAsia="SimSun"/>
            <w:sz w:val="24"/>
            <w:szCs w:val="24"/>
            <w:u w:val="single"/>
            <w:lang w:val="en-GB"/>
          </w:rPr>
          <w:t>15/7</w:t>
        </w:r>
      </w:hyperlink>
      <w:r w:rsidRPr="000C0842">
        <w:rPr>
          <w:rFonts w:eastAsia="SimSun"/>
          <w:sz w:val="24"/>
          <w:szCs w:val="24"/>
          <w:lang w:val="en-GB"/>
        </w:rPr>
        <w:t>号决定第</w:t>
      </w:r>
      <w:r w:rsidRPr="000C0842">
        <w:rPr>
          <w:rFonts w:eastAsia="SimSun"/>
          <w:sz w:val="24"/>
          <w:szCs w:val="24"/>
          <w:lang w:val="en-GB"/>
        </w:rPr>
        <w:t>47</w:t>
      </w:r>
      <w:r w:rsidRPr="000C0842">
        <w:rPr>
          <w:rFonts w:eastAsia="SimSun" w:hint="eastAsia"/>
          <w:sz w:val="24"/>
          <w:szCs w:val="24"/>
          <w:lang w:val="en-GB"/>
        </w:rPr>
        <w:t>(b)</w:t>
      </w:r>
      <w:r w:rsidRPr="000C0842">
        <w:rPr>
          <w:rFonts w:eastAsia="SimSun" w:hint="eastAsia"/>
          <w:sz w:val="24"/>
          <w:szCs w:val="24"/>
          <w:lang w:val="en-GB"/>
        </w:rPr>
        <w:t>分</w:t>
      </w:r>
      <w:r w:rsidRPr="000C0842">
        <w:rPr>
          <w:rFonts w:eastAsia="SimSun"/>
          <w:sz w:val="24"/>
          <w:szCs w:val="24"/>
          <w:lang w:val="en-GB"/>
        </w:rPr>
        <w:t>段发出的通知</w:t>
      </w:r>
      <w:r w:rsidRPr="000C0842">
        <w:rPr>
          <w:rFonts w:eastAsia="SimSun"/>
          <w:sz w:val="24"/>
          <w:szCs w:val="24"/>
          <w:vertAlign w:val="superscript"/>
          <w:lang w:val="en-GB"/>
        </w:rPr>
        <w:footnoteReference w:id="481"/>
      </w:r>
      <w:r w:rsidRPr="000C0842">
        <w:rPr>
          <w:rFonts w:eastAsia="SimSun"/>
          <w:sz w:val="24"/>
          <w:szCs w:val="24"/>
          <w:lang w:val="en-GB"/>
        </w:rPr>
        <w:t>作出回应，在这方面，请执行秘书考虑发出新一轮通知的最佳周期，供</w:t>
      </w:r>
      <w:r w:rsidRPr="000C0842">
        <w:rPr>
          <w:rFonts w:eastAsia="SimSun" w:hint="eastAsia"/>
          <w:sz w:val="24"/>
          <w:szCs w:val="24"/>
          <w:lang w:val="en-GB"/>
        </w:rPr>
        <w:t>执行问题附属机构第六次</w:t>
      </w:r>
      <w:r w:rsidRPr="000C0842">
        <w:rPr>
          <w:rFonts w:eastAsia="SimSun"/>
          <w:sz w:val="24"/>
          <w:szCs w:val="24"/>
          <w:lang w:val="en-GB"/>
        </w:rPr>
        <w:t>会议审议；</w:t>
      </w:r>
    </w:p>
    <w:p w14:paraId="1D214B1C"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kern w:val="22"/>
          <w:sz w:val="24"/>
          <w:szCs w:val="24"/>
        </w:rPr>
      </w:pPr>
      <w:r w:rsidRPr="000C0842">
        <w:rPr>
          <w:rFonts w:ascii="KaiTi" w:eastAsia="KaiTi" w:hAnsi="KaiTi" w:hint="eastAsia"/>
          <w:kern w:val="22"/>
          <w:sz w:val="24"/>
          <w:szCs w:val="24"/>
          <w:lang w:val="en-GB"/>
        </w:rPr>
        <w:t>决定</w:t>
      </w:r>
      <w:r w:rsidRPr="000C0842">
        <w:rPr>
          <w:rFonts w:ascii="KaiTi" w:eastAsia="SimSun" w:hAnsi="KaiTi" w:hint="eastAsia"/>
          <w:kern w:val="22"/>
          <w:sz w:val="24"/>
          <w:szCs w:val="24"/>
          <w:lang w:val="en-GB"/>
        </w:rPr>
        <w:t>通过以下方式</w:t>
      </w:r>
      <w:r w:rsidRPr="000C0842">
        <w:rPr>
          <w:rFonts w:eastAsia="SimSun"/>
          <w:kern w:val="22"/>
          <w:sz w:val="24"/>
          <w:szCs w:val="24"/>
          <w:lang w:val="en-GB"/>
        </w:rPr>
        <w:t>执行《公约》第</w:t>
      </w:r>
      <w:hyperlink r:id="rId333" w:history="1">
        <w:r w:rsidRPr="000C0842">
          <w:rPr>
            <w:rFonts w:eastAsia="SimSun" w:hint="eastAsia"/>
            <w:kern w:val="22"/>
            <w:sz w:val="24"/>
            <w:szCs w:val="24"/>
            <w:u w:val="single"/>
            <w:lang w:val="en-GB"/>
          </w:rPr>
          <w:t>21</w:t>
        </w:r>
      </w:hyperlink>
      <w:r w:rsidRPr="000C0842">
        <w:rPr>
          <w:rFonts w:eastAsia="SimSun"/>
          <w:kern w:val="22"/>
          <w:sz w:val="24"/>
          <w:szCs w:val="24"/>
          <w:lang w:val="en-GB"/>
        </w:rPr>
        <w:t>条和第</w:t>
      </w:r>
      <w:hyperlink r:id="rId334" w:history="1">
        <w:r w:rsidRPr="000C0842">
          <w:rPr>
            <w:rFonts w:eastAsia="SimSun" w:hint="eastAsia"/>
            <w:kern w:val="22"/>
            <w:sz w:val="24"/>
            <w:szCs w:val="24"/>
            <w:u w:val="single"/>
            <w:lang w:val="en-GB"/>
          </w:rPr>
          <w:t>39</w:t>
        </w:r>
      </w:hyperlink>
      <w:r w:rsidRPr="000C0842">
        <w:rPr>
          <w:rFonts w:eastAsia="SimSun"/>
          <w:kern w:val="22"/>
          <w:sz w:val="24"/>
          <w:szCs w:val="24"/>
          <w:lang w:val="en-GB"/>
        </w:rPr>
        <w:t>条，</w:t>
      </w:r>
      <w:r w:rsidRPr="000C0842">
        <w:rPr>
          <w:rFonts w:eastAsia="SimSun" w:hint="eastAsia"/>
          <w:kern w:val="22"/>
          <w:sz w:val="24"/>
          <w:szCs w:val="24"/>
          <w:lang w:val="en-GB"/>
        </w:rPr>
        <w:t>到</w:t>
      </w:r>
      <w:r w:rsidRPr="000C0842">
        <w:rPr>
          <w:rFonts w:eastAsia="SimSun"/>
          <w:kern w:val="22"/>
          <w:sz w:val="24"/>
          <w:szCs w:val="24"/>
          <w:lang w:val="en-GB"/>
        </w:rPr>
        <w:t>2030</w:t>
      </w:r>
      <w:r w:rsidRPr="000C0842">
        <w:rPr>
          <w:rFonts w:eastAsia="SimSun"/>
          <w:kern w:val="22"/>
          <w:sz w:val="24"/>
          <w:szCs w:val="24"/>
          <w:lang w:val="en-GB"/>
        </w:rPr>
        <w:t>年</w:t>
      </w:r>
      <w:r w:rsidRPr="000C0842">
        <w:rPr>
          <w:rFonts w:eastAsia="SimSun" w:hint="eastAsia"/>
          <w:kern w:val="22"/>
          <w:sz w:val="24"/>
          <w:szCs w:val="24"/>
          <w:lang w:val="en-GB"/>
        </w:rPr>
        <w:t>弥合</w:t>
      </w:r>
      <w:r w:rsidRPr="000C0842">
        <w:rPr>
          <w:rFonts w:eastAsia="SimSun"/>
          <w:kern w:val="22"/>
          <w:sz w:val="24"/>
          <w:szCs w:val="24"/>
          <w:lang w:val="en-GB"/>
        </w:rPr>
        <w:t>全球生物多样性资金缺口</w:t>
      </w:r>
      <w:r w:rsidRPr="000C0842">
        <w:rPr>
          <w:rFonts w:eastAsia="SimSun"/>
          <w:kern w:val="22"/>
          <w:sz w:val="24"/>
          <w:szCs w:val="24"/>
        </w:rPr>
        <w:t>：</w:t>
      </w:r>
    </w:p>
    <w:p w14:paraId="214B35BC" w14:textId="77777777" w:rsidR="00F05AB2" w:rsidRPr="000C0842" w:rsidRDefault="00F05AB2" w:rsidP="00F05AB2">
      <w:pPr>
        <w:tabs>
          <w:tab w:val="clear" w:pos="567"/>
          <w:tab w:val="clear" w:pos="1134"/>
          <w:tab w:val="clear" w:pos="1701"/>
          <w:tab w:val="clear" w:pos="2268"/>
        </w:tabs>
        <w:spacing w:before="120" w:after="120"/>
        <w:ind w:left="490"/>
        <w:rPr>
          <w:rFonts w:eastAsia="SimSun"/>
          <w:kern w:val="22"/>
          <w:sz w:val="24"/>
          <w:szCs w:val="24"/>
        </w:rPr>
      </w:pPr>
      <w:r w:rsidRPr="000C0842">
        <w:rPr>
          <w:rFonts w:eastAsia="SimSun"/>
          <w:kern w:val="22"/>
          <w:sz w:val="24"/>
          <w:szCs w:val="24"/>
        </w:rPr>
        <w:tab/>
      </w:r>
      <w:r w:rsidRPr="000C0842">
        <w:rPr>
          <w:rFonts w:eastAsia="SimSun" w:hint="eastAsia"/>
          <w:kern w:val="22"/>
          <w:sz w:val="24"/>
          <w:szCs w:val="24"/>
        </w:rPr>
        <w:t>(a)</w:t>
      </w:r>
      <w:r w:rsidRPr="000C0842">
        <w:rPr>
          <w:rFonts w:ascii="Arial" w:eastAsia="SimSun" w:hAnsi="Arial" w:cs="Arial"/>
          <w:sz w:val="27"/>
          <w:szCs w:val="27"/>
          <w:shd w:val="clear" w:color="auto" w:fill="FFFFFF"/>
        </w:rPr>
        <w:t xml:space="preserve"> </w:t>
      </w:r>
      <w:r w:rsidRPr="000C0842">
        <w:rPr>
          <w:rFonts w:ascii="Arial" w:eastAsia="SimSun" w:hAnsi="Arial" w:cs="Arial"/>
          <w:sz w:val="27"/>
          <w:szCs w:val="27"/>
          <w:shd w:val="clear" w:color="auto" w:fill="FFFFFF"/>
        </w:rPr>
        <w:tab/>
      </w:r>
      <w:r w:rsidRPr="000C0842">
        <w:rPr>
          <w:rFonts w:ascii="Arial" w:eastAsia="SimSun" w:hAnsi="Arial" w:cs="Arial" w:hint="eastAsia"/>
          <w:sz w:val="24"/>
          <w:szCs w:val="24"/>
          <w:shd w:val="clear" w:color="auto" w:fill="FFFFFF"/>
        </w:rPr>
        <w:t>设立</w:t>
      </w:r>
      <w:r w:rsidRPr="000C0842">
        <w:rPr>
          <w:rFonts w:eastAsia="SimSun" w:hint="eastAsia"/>
          <w:sz w:val="24"/>
          <w:szCs w:val="24"/>
        </w:rPr>
        <w:t>《公约》第</w:t>
      </w:r>
      <w:hyperlink r:id="rId335" w:history="1">
        <w:r w:rsidRPr="000C0842">
          <w:rPr>
            <w:rFonts w:eastAsia="SimSun" w:hint="eastAsia"/>
            <w:sz w:val="24"/>
            <w:szCs w:val="24"/>
            <w:u w:val="single"/>
          </w:rPr>
          <w:t>21</w:t>
        </w:r>
      </w:hyperlink>
      <w:r w:rsidRPr="000C0842">
        <w:rPr>
          <w:rFonts w:eastAsia="SimSun" w:hint="eastAsia"/>
          <w:sz w:val="24"/>
          <w:szCs w:val="24"/>
        </w:rPr>
        <w:t>条设想的财务机制长期安排；</w:t>
      </w:r>
    </w:p>
    <w:p w14:paraId="5D59287D" w14:textId="77777777" w:rsidR="00F05AB2" w:rsidRPr="000C0842" w:rsidRDefault="00F05AB2" w:rsidP="00F05AB2">
      <w:pPr>
        <w:tabs>
          <w:tab w:val="clear" w:pos="567"/>
          <w:tab w:val="clear" w:pos="1134"/>
          <w:tab w:val="clear" w:pos="1701"/>
          <w:tab w:val="clear" w:pos="2268"/>
        </w:tabs>
        <w:spacing w:before="120" w:after="120"/>
        <w:ind w:left="490"/>
        <w:rPr>
          <w:rFonts w:eastAsia="SimSun"/>
          <w:kern w:val="22"/>
          <w:sz w:val="24"/>
          <w:szCs w:val="24"/>
        </w:rPr>
      </w:pPr>
      <w:r w:rsidRPr="000C0842">
        <w:rPr>
          <w:rFonts w:eastAsia="SimSun"/>
          <w:kern w:val="22"/>
          <w:sz w:val="24"/>
          <w:szCs w:val="24"/>
        </w:rPr>
        <w:tab/>
      </w:r>
      <w:r w:rsidRPr="000C0842">
        <w:rPr>
          <w:rFonts w:eastAsia="SimSun" w:hint="eastAsia"/>
          <w:sz w:val="24"/>
          <w:szCs w:val="24"/>
          <w:lang w:val="en-GB"/>
        </w:rPr>
        <w:t>(b)</w:t>
      </w:r>
      <w:r w:rsidRPr="000C0842">
        <w:rPr>
          <w:rFonts w:eastAsia="SimSun"/>
          <w:sz w:val="24"/>
          <w:szCs w:val="24"/>
          <w:lang w:val="en-GB"/>
        </w:rPr>
        <w:tab/>
      </w:r>
      <w:r w:rsidRPr="000C0842">
        <w:rPr>
          <w:rFonts w:eastAsia="SimSun"/>
          <w:kern w:val="22"/>
          <w:sz w:val="24"/>
          <w:szCs w:val="24"/>
        </w:rPr>
        <w:t>评估和</w:t>
      </w:r>
      <w:r w:rsidRPr="000C0842">
        <w:rPr>
          <w:rFonts w:eastAsia="SimSun" w:hint="eastAsia"/>
          <w:kern w:val="22"/>
          <w:sz w:val="24"/>
          <w:szCs w:val="24"/>
        </w:rPr>
        <w:t>改进</w:t>
      </w:r>
      <w:r w:rsidRPr="000C0842">
        <w:rPr>
          <w:rFonts w:eastAsia="SimSun"/>
          <w:kern w:val="22"/>
          <w:sz w:val="24"/>
          <w:szCs w:val="24"/>
        </w:rPr>
        <w:t>所有来源资金的</w:t>
      </w:r>
      <w:r w:rsidRPr="000C0842">
        <w:rPr>
          <w:rFonts w:eastAsia="SimSun" w:hint="eastAsia"/>
          <w:kern w:val="22"/>
          <w:sz w:val="24"/>
          <w:szCs w:val="24"/>
        </w:rPr>
        <w:t>调动；</w:t>
      </w:r>
    </w:p>
    <w:p w14:paraId="40733048"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kern w:val="22"/>
          <w:sz w:val="24"/>
          <w:szCs w:val="24"/>
        </w:rPr>
      </w:pPr>
      <w:r w:rsidRPr="000C0842">
        <w:rPr>
          <w:rFonts w:eastAsia="KaiTi" w:hint="eastAsia"/>
          <w:sz w:val="24"/>
          <w:szCs w:val="24"/>
          <w:lang w:val="en-GB"/>
        </w:rPr>
        <w:t>确认</w:t>
      </w:r>
      <w:r w:rsidRPr="000C0842">
        <w:rPr>
          <w:rFonts w:eastAsia="SimSun" w:hint="eastAsia"/>
          <w:sz w:val="24"/>
          <w:szCs w:val="24"/>
          <w:lang w:val="en-GB"/>
        </w:rPr>
        <w:t>除资源调集战略外</w:t>
      </w:r>
      <w:r w:rsidRPr="000C0842">
        <w:rPr>
          <w:rFonts w:eastAsia="SimSun" w:hint="eastAsia"/>
          <w:kern w:val="22"/>
          <w:sz w:val="24"/>
          <w:szCs w:val="24"/>
        </w:rPr>
        <w:t>，下文概述的行动也有助于弥合全球生物多样性资金缺口：</w:t>
      </w:r>
    </w:p>
    <w:p w14:paraId="1E101113" w14:textId="77777777" w:rsidR="00F05AB2" w:rsidRPr="000C0842" w:rsidRDefault="00F05AB2">
      <w:pPr>
        <w:numPr>
          <w:ilvl w:val="0"/>
          <w:numId w:val="204"/>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加强全球生物多样性融资领域各种工具之间的协调、互补性和有利条件，以便利用协同作用，例如与多边开发银行的协同作用；</w:t>
      </w:r>
    </w:p>
    <w:p w14:paraId="696BD45A" w14:textId="77777777" w:rsidR="00F05AB2" w:rsidRPr="000C0842" w:rsidRDefault="00F05AB2">
      <w:pPr>
        <w:numPr>
          <w:ilvl w:val="0"/>
          <w:numId w:val="204"/>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建立和加强根据《昆蒙框架》从所有来源调动财务资源的能力；</w:t>
      </w:r>
    </w:p>
    <w:p w14:paraId="68BE615A" w14:textId="77777777" w:rsidR="00F05AB2" w:rsidRPr="000C0842" w:rsidRDefault="00F05AB2">
      <w:pPr>
        <w:numPr>
          <w:ilvl w:val="0"/>
          <w:numId w:val="204"/>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加强从全球生物多样性融资领域所调动资源的有效性、监测、透明度和问责制；</w:t>
      </w:r>
    </w:p>
    <w:p w14:paraId="6AA99FAC" w14:textId="77777777" w:rsidR="00F05AB2" w:rsidRPr="000C0842" w:rsidRDefault="00F05AB2">
      <w:pPr>
        <w:numPr>
          <w:ilvl w:val="0"/>
          <w:numId w:val="204"/>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根据已确定的需求和优先事项，加强向发展中国家缔约方特别是最不发达国家和小岛屿发展中国家以及经济转型国家缔约方提供及时和易于获得的资金支持，以执行《公约》并酌情执行其议定书；</w:t>
      </w:r>
    </w:p>
    <w:p w14:paraId="085F6B7F" w14:textId="77777777" w:rsidR="00F05AB2" w:rsidRPr="000C0842" w:rsidRDefault="00F05AB2">
      <w:pPr>
        <w:numPr>
          <w:ilvl w:val="0"/>
          <w:numId w:val="204"/>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按照国家法律和监管框架，加强向土著人民和地方社区提供及时和易于获得的财务支持，以执行《公约》并酌情执行其议定书；</w:t>
      </w:r>
    </w:p>
    <w:p w14:paraId="4FAB8ABA"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lang w:val="en-GB"/>
        </w:rPr>
      </w:pPr>
      <w:r w:rsidRPr="000C0842">
        <w:rPr>
          <w:rFonts w:eastAsia="KaiTi" w:hint="eastAsia"/>
          <w:sz w:val="24"/>
          <w:lang w:val="en-GB"/>
        </w:rPr>
        <w:t>又确认</w:t>
      </w:r>
      <w:r w:rsidRPr="000C0842">
        <w:rPr>
          <w:rFonts w:eastAsia="SimSun" w:hint="eastAsia"/>
          <w:sz w:val="24"/>
          <w:lang w:val="en-GB"/>
        </w:rPr>
        <w:t>可委托一个或多个新的、经过改革的或现有的实体来负责《公约》第</w:t>
      </w:r>
      <w:hyperlink r:id="rId336" w:history="1">
        <w:r w:rsidRPr="000C0842">
          <w:rPr>
            <w:rFonts w:eastAsia="SimSun" w:hint="eastAsia"/>
            <w:sz w:val="24"/>
            <w:u w:val="single"/>
            <w:lang w:val="en-GB"/>
          </w:rPr>
          <w:t>21</w:t>
        </w:r>
      </w:hyperlink>
      <w:r w:rsidRPr="000C0842">
        <w:rPr>
          <w:rFonts w:eastAsia="SimSun" w:hint="eastAsia"/>
          <w:sz w:val="24"/>
          <w:szCs w:val="24"/>
          <w:lang w:val="en-GB"/>
        </w:rPr>
        <w:t>条设想的财务机制的运行</w:t>
      </w:r>
      <w:r w:rsidRPr="000C0842">
        <w:rPr>
          <w:rFonts w:eastAsia="SimSun" w:hint="eastAsia"/>
          <w:sz w:val="24"/>
          <w:lang w:val="en-GB"/>
        </w:rPr>
        <w:t>，这些实体将构成一个至少符合下列标准的机构：</w:t>
      </w:r>
    </w:p>
    <w:p w14:paraId="02F5E621" w14:textId="77777777" w:rsidR="00F05AB2" w:rsidRPr="000C0842" w:rsidRDefault="00F05AB2">
      <w:pPr>
        <w:numPr>
          <w:ilvl w:val="0"/>
          <w:numId w:val="205"/>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其职能是执行《公约》及其议定书；</w:t>
      </w:r>
    </w:p>
    <w:p w14:paraId="2E8A2A53" w14:textId="77777777" w:rsidR="00F05AB2" w:rsidRPr="000C0842" w:rsidRDefault="00F05AB2">
      <w:pPr>
        <w:numPr>
          <w:ilvl w:val="0"/>
          <w:numId w:val="205"/>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受缔约方大会的领导和指导并对其负责；</w:t>
      </w:r>
    </w:p>
    <w:p w14:paraId="05867DB0" w14:textId="77777777" w:rsidR="00F05AB2" w:rsidRPr="000C0842" w:rsidRDefault="00F05AB2">
      <w:pPr>
        <w:numPr>
          <w:ilvl w:val="0"/>
          <w:numId w:val="205"/>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在</w:t>
      </w:r>
      <w:r w:rsidRPr="000C0842">
        <w:rPr>
          <w:rFonts w:eastAsia="SimSun"/>
          <w:sz w:val="24"/>
          <w:lang w:val="en-GB"/>
        </w:rPr>
        <w:t>一个</w:t>
      </w:r>
      <w:r w:rsidRPr="000C0842">
        <w:rPr>
          <w:rFonts w:eastAsia="SimSun" w:hint="eastAsia"/>
          <w:sz w:val="24"/>
          <w:lang w:val="en-GB"/>
        </w:rPr>
        <w:t>民主和透明治理体系内运行，确保是一个公正、</w:t>
      </w:r>
      <w:r w:rsidRPr="000C0842">
        <w:rPr>
          <w:rFonts w:eastAsia="SimSun"/>
          <w:sz w:val="24"/>
          <w:lang w:val="en-GB"/>
        </w:rPr>
        <w:t>公平、</w:t>
      </w:r>
      <w:r w:rsidRPr="000C0842">
        <w:rPr>
          <w:rFonts w:eastAsia="SimSun" w:hint="eastAsia"/>
          <w:sz w:val="24"/>
          <w:lang w:val="en-GB"/>
        </w:rPr>
        <w:t>包容、</w:t>
      </w:r>
      <w:r w:rsidRPr="000C0842">
        <w:rPr>
          <w:rFonts w:eastAsia="SimSun"/>
          <w:sz w:val="24"/>
          <w:lang w:val="en-GB"/>
        </w:rPr>
        <w:t>高效</w:t>
      </w:r>
      <w:r w:rsidRPr="000C0842">
        <w:rPr>
          <w:rFonts w:eastAsia="SimSun" w:hint="eastAsia"/>
          <w:sz w:val="24"/>
          <w:lang w:val="en-GB"/>
        </w:rPr>
        <w:t>率</w:t>
      </w:r>
      <w:r w:rsidRPr="000C0842">
        <w:rPr>
          <w:rFonts w:eastAsia="SimSun"/>
          <w:sz w:val="24"/>
          <w:lang w:val="en-GB"/>
        </w:rPr>
        <w:t>和有代表性的</w:t>
      </w:r>
      <w:r w:rsidRPr="000C0842">
        <w:rPr>
          <w:rFonts w:eastAsia="SimSun" w:hint="eastAsia"/>
          <w:sz w:val="24"/>
          <w:lang w:val="en-GB"/>
        </w:rPr>
        <w:t>机构；</w:t>
      </w:r>
    </w:p>
    <w:p w14:paraId="139070A7" w14:textId="77777777" w:rsidR="00F05AB2" w:rsidRPr="000C0842" w:rsidRDefault="00F05AB2">
      <w:pPr>
        <w:numPr>
          <w:ilvl w:val="0"/>
          <w:numId w:val="205"/>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以公正、及时、简化、公平、包容和不歧视的方式服务所有符合条件的《公约》缔约方；</w:t>
      </w:r>
    </w:p>
    <w:p w14:paraId="273E747C"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lang w:val="en-GB"/>
        </w:rPr>
      </w:pPr>
      <w:r w:rsidRPr="000C0842">
        <w:rPr>
          <w:rFonts w:eastAsia="KaiTi"/>
          <w:sz w:val="24"/>
          <w:szCs w:val="24"/>
        </w:rPr>
        <w:t>决定</w:t>
      </w:r>
      <w:r w:rsidRPr="000C0842">
        <w:rPr>
          <w:rFonts w:eastAsia="SimSun"/>
          <w:sz w:val="24"/>
          <w:szCs w:val="24"/>
        </w:rPr>
        <w:t>根据以下初步路线图建立一个闭会期间进程</w:t>
      </w:r>
      <w:r w:rsidRPr="000C0842">
        <w:rPr>
          <w:rFonts w:eastAsia="SimSun"/>
          <w:sz w:val="24"/>
          <w:lang w:val="en-GB"/>
        </w:rPr>
        <w:t>，执行第</w:t>
      </w:r>
      <w:r w:rsidRPr="000C0842">
        <w:rPr>
          <w:rFonts w:eastAsia="SimSun"/>
          <w:sz w:val="24"/>
          <w:lang w:val="en-GB"/>
        </w:rPr>
        <w:t>19</w:t>
      </w:r>
      <w:r w:rsidRPr="000C0842">
        <w:rPr>
          <w:rFonts w:eastAsia="SimSun" w:hint="eastAsia"/>
          <w:sz w:val="24"/>
          <w:lang w:val="en-GB"/>
        </w:rPr>
        <w:t>(a)</w:t>
      </w:r>
      <w:r w:rsidRPr="000C0842">
        <w:rPr>
          <w:rFonts w:eastAsia="SimSun" w:hint="eastAsia"/>
          <w:sz w:val="24"/>
          <w:lang w:val="en-GB"/>
        </w:rPr>
        <w:t>分</w:t>
      </w:r>
      <w:r w:rsidRPr="000C0842">
        <w:rPr>
          <w:rFonts w:eastAsia="SimSun"/>
          <w:sz w:val="24"/>
          <w:lang w:val="en-GB"/>
        </w:rPr>
        <w:t>段规定的任务</w:t>
      </w:r>
      <w:r w:rsidRPr="000C0842">
        <w:rPr>
          <w:rFonts w:eastAsia="SimSun"/>
          <w:sz w:val="24"/>
          <w:lang w:val="en-GB"/>
        </w:rPr>
        <w:t>:</w:t>
      </w:r>
    </w:p>
    <w:p w14:paraId="22078D45" w14:textId="77777777" w:rsidR="00F05AB2" w:rsidRPr="000C0842" w:rsidRDefault="00F05AB2">
      <w:pPr>
        <w:numPr>
          <w:ilvl w:val="0"/>
          <w:numId w:val="206"/>
        </w:numPr>
        <w:tabs>
          <w:tab w:val="clear" w:pos="567"/>
          <w:tab w:val="clear" w:pos="1134"/>
          <w:tab w:val="clear" w:pos="1701"/>
          <w:tab w:val="clear" w:pos="2268"/>
        </w:tabs>
        <w:spacing w:before="120" w:after="120" w:line="240" w:lineRule="atLeast"/>
        <w:ind w:left="490" w:firstLine="490"/>
        <w:jc w:val="left"/>
        <w:rPr>
          <w:rFonts w:eastAsia="SimSun"/>
          <w:sz w:val="24"/>
        </w:rPr>
      </w:pPr>
      <w:r w:rsidRPr="000C0842">
        <w:rPr>
          <w:rFonts w:eastAsia="SimSun" w:hint="eastAsia"/>
          <w:sz w:val="24"/>
          <w:lang w:val="en-GB"/>
        </w:rPr>
        <w:t>到</w:t>
      </w:r>
      <w:r w:rsidRPr="000C0842">
        <w:rPr>
          <w:rFonts w:eastAsia="SimSun"/>
          <w:sz w:val="24"/>
          <w:lang w:val="en-GB"/>
        </w:rPr>
        <w:t>缔约方大会第十七</w:t>
      </w:r>
      <w:r w:rsidRPr="000C0842">
        <w:rPr>
          <w:rFonts w:eastAsia="SimSun" w:hint="eastAsia"/>
          <w:sz w:val="24"/>
          <w:lang w:val="en-GB"/>
        </w:rPr>
        <w:t>届</w:t>
      </w:r>
      <w:r w:rsidRPr="000C0842">
        <w:rPr>
          <w:rFonts w:eastAsia="SimSun"/>
          <w:sz w:val="24"/>
          <w:lang w:val="en-GB"/>
        </w:rPr>
        <w:t>会议</w:t>
      </w:r>
      <w:r w:rsidRPr="000C0842">
        <w:rPr>
          <w:rFonts w:eastAsia="SimSun" w:hint="eastAsia"/>
          <w:sz w:val="24"/>
          <w:lang w:val="en-GB"/>
        </w:rPr>
        <w:t>时</w:t>
      </w:r>
      <w:r w:rsidRPr="000C0842">
        <w:rPr>
          <w:rFonts w:eastAsia="SimSun"/>
          <w:sz w:val="24"/>
        </w:rPr>
        <w:t>运行财务机制的体制</w:t>
      </w:r>
      <w:r w:rsidRPr="000C0842">
        <w:rPr>
          <w:rFonts w:eastAsia="SimSun" w:hint="eastAsia"/>
          <w:sz w:val="24"/>
        </w:rPr>
        <w:t>机构的</w:t>
      </w:r>
      <w:r w:rsidRPr="000C0842">
        <w:rPr>
          <w:rFonts w:eastAsia="SimSun"/>
          <w:sz w:val="24"/>
        </w:rPr>
        <w:t>标准</w:t>
      </w:r>
      <w:r w:rsidRPr="000C0842">
        <w:rPr>
          <w:rFonts w:eastAsia="SimSun" w:hint="eastAsia"/>
          <w:sz w:val="24"/>
        </w:rPr>
        <w:t>得到进一步拟定</w:t>
      </w:r>
      <w:r w:rsidRPr="000C0842">
        <w:rPr>
          <w:rFonts w:eastAsia="SimSun"/>
          <w:sz w:val="24"/>
        </w:rPr>
        <w:t>，同时考虑到</w:t>
      </w:r>
      <w:r w:rsidRPr="000C0842">
        <w:rPr>
          <w:rFonts w:eastAsia="SimSun" w:hint="eastAsia"/>
          <w:sz w:val="24"/>
        </w:rPr>
        <w:t>本决定</w:t>
      </w:r>
      <w:r w:rsidRPr="000C0842">
        <w:rPr>
          <w:rFonts w:eastAsia="SimSun"/>
          <w:sz w:val="24"/>
        </w:rPr>
        <w:t>附件二</w:t>
      </w:r>
      <w:r w:rsidRPr="000C0842">
        <w:rPr>
          <w:rFonts w:eastAsia="SimSun" w:hint="eastAsia"/>
          <w:sz w:val="24"/>
        </w:rPr>
        <w:t>所载意见汇编；</w:t>
      </w:r>
    </w:p>
    <w:p w14:paraId="16C349D7" w14:textId="77777777" w:rsidR="00F05AB2" w:rsidRPr="000C0842" w:rsidRDefault="00F05AB2">
      <w:pPr>
        <w:numPr>
          <w:ilvl w:val="0"/>
          <w:numId w:val="206"/>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到缔约方大会第十八届会议时或在该届会议上：</w:t>
      </w:r>
    </w:p>
    <w:p w14:paraId="5CF4724E" w14:textId="77777777" w:rsidR="00F05AB2" w:rsidRPr="000C0842" w:rsidRDefault="00F05AB2">
      <w:pPr>
        <w:numPr>
          <w:ilvl w:val="0"/>
          <w:numId w:val="209"/>
        </w:numPr>
        <w:tabs>
          <w:tab w:val="clear" w:pos="567"/>
          <w:tab w:val="clear" w:pos="1134"/>
          <w:tab w:val="clear" w:pos="1701"/>
          <w:tab w:val="clear" w:pos="2268"/>
        </w:tabs>
        <w:spacing w:before="120" w:after="120" w:line="240" w:lineRule="atLeast"/>
        <w:ind w:left="2160" w:hanging="720"/>
        <w:jc w:val="left"/>
        <w:rPr>
          <w:rFonts w:eastAsia="Times New Roman"/>
          <w:sz w:val="24"/>
          <w:szCs w:val="24"/>
        </w:rPr>
      </w:pPr>
      <w:r w:rsidRPr="000C0842">
        <w:rPr>
          <w:rFonts w:eastAsia="SimSun"/>
          <w:sz w:val="24"/>
          <w:szCs w:val="24"/>
        </w:rPr>
        <w:t>酌情对现有相关财务实体进行改革以符合上文</w:t>
      </w:r>
      <w:r w:rsidRPr="000C0842">
        <w:rPr>
          <w:rFonts w:eastAsia="SimSun"/>
          <w:sz w:val="24"/>
          <w:szCs w:val="24"/>
        </w:rPr>
        <w:t>(a)</w:t>
      </w:r>
      <w:r w:rsidRPr="000C0842">
        <w:rPr>
          <w:rFonts w:eastAsia="SimSun"/>
          <w:sz w:val="24"/>
          <w:szCs w:val="24"/>
        </w:rPr>
        <w:t>分段所述标准的情况进行一次审查</w:t>
      </w:r>
      <w:r w:rsidRPr="000C0842">
        <w:rPr>
          <w:rFonts w:eastAsia="Times New Roman"/>
          <w:sz w:val="24"/>
          <w:szCs w:val="24"/>
        </w:rPr>
        <w:t xml:space="preserve"> </w:t>
      </w:r>
      <w:r w:rsidRPr="000C0842">
        <w:rPr>
          <w:rFonts w:eastAsia="SimSun"/>
          <w:sz w:val="24"/>
          <w:szCs w:val="24"/>
          <w:vertAlign w:val="superscript"/>
        </w:rPr>
        <w:footnoteReference w:id="482"/>
      </w:r>
      <w:r w:rsidRPr="000C0842">
        <w:rPr>
          <w:rFonts w:eastAsia="SimSun"/>
          <w:sz w:val="24"/>
          <w:szCs w:val="24"/>
        </w:rPr>
        <w:t>，</w:t>
      </w:r>
    </w:p>
    <w:p w14:paraId="28D1F2D4" w14:textId="77777777" w:rsidR="00F05AB2" w:rsidRPr="000C0842" w:rsidRDefault="00F05AB2">
      <w:pPr>
        <w:numPr>
          <w:ilvl w:val="0"/>
          <w:numId w:val="209"/>
        </w:numPr>
        <w:tabs>
          <w:tab w:val="clear" w:pos="567"/>
          <w:tab w:val="clear" w:pos="1134"/>
          <w:tab w:val="clear" w:pos="1701"/>
          <w:tab w:val="clear" w:pos="2268"/>
        </w:tabs>
        <w:spacing w:before="120" w:after="120" w:line="240" w:lineRule="atLeast"/>
        <w:ind w:left="2160" w:hanging="720"/>
        <w:jc w:val="left"/>
        <w:rPr>
          <w:rFonts w:eastAsia="Times New Roman"/>
          <w:sz w:val="24"/>
          <w:szCs w:val="24"/>
        </w:rPr>
      </w:pPr>
      <w:r w:rsidRPr="000C0842">
        <w:rPr>
          <w:rFonts w:ascii="SimSun" w:eastAsia="SimSun" w:hAnsi="SimSun" w:cs="SimSun" w:hint="eastAsia"/>
          <w:sz w:val="24"/>
          <w:szCs w:val="24"/>
        </w:rPr>
        <w:t>作出一项</w:t>
      </w:r>
      <w:r w:rsidRPr="000C0842">
        <w:rPr>
          <w:rFonts w:ascii="SimSun" w:eastAsia="SimSun" w:hAnsi="SimSun" w:cs="SimSun"/>
          <w:sz w:val="24"/>
          <w:szCs w:val="24"/>
        </w:rPr>
        <w:t>决定</w:t>
      </w:r>
      <w:r w:rsidRPr="000C0842">
        <w:rPr>
          <w:rFonts w:ascii="SimSun" w:eastAsia="SimSun" w:hAnsi="SimSun" w:cs="SimSun" w:hint="eastAsia"/>
          <w:sz w:val="24"/>
          <w:szCs w:val="24"/>
        </w:rPr>
        <w:t>，或者</w:t>
      </w:r>
      <w:r w:rsidRPr="000C0842">
        <w:rPr>
          <w:rFonts w:ascii="SimSun" w:eastAsia="SimSun" w:hAnsi="SimSun" w:cs="SimSun"/>
          <w:sz w:val="24"/>
          <w:szCs w:val="24"/>
        </w:rPr>
        <w:t>建立一个</w:t>
      </w:r>
      <w:r w:rsidRPr="000C0842">
        <w:rPr>
          <w:rFonts w:ascii="SimSun" w:eastAsia="SimSun" w:hAnsi="SimSun" w:cs="SimSun" w:hint="eastAsia"/>
          <w:sz w:val="24"/>
          <w:szCs w:val="24"/>
        </w:rPr>
        <w:t>运行</w:t>
      </w:r>
      <w:r w:rsidRPr="000C0842">
        <w:rPr>
          <w:rFonts w:ascii="SimSun" w:eastAsia="SimSun" w:hAnsi="SimSun" w:cs="SimSun"/>
          <w:sz w:val="24"/>
          <w:szCs w:val="24"/>
        </w:rPr>
        <w:t>财务机制</w:t>
      </w:r>
      <w:r w:rsidRPr="000C0842">
        <w:rPr>
          <w:rFonts w:ascii="SimSun" w:eastAsia="SimSun" w:hAnsi="SimSun" w:cs="SimSun" w:hint="eastAsia"/>
          <w:sz w:val="24"/>
          <w:szCs w:val="24"/>
        </w:rPr>
        <w:t>的新实体</w:t>
      </w:r>
      <w:r w:rsidRPr="000C0842">
        <w:rPr>
          <w:rFonts w:ascii="SimSun" w:eastAsia="SimSun" w:hAnsi="SimSun" w:cs="SimSun"/>
          <w:sz w:val="24"/>
          <w:szCs w:val="24"/>
        </w:rPr>
        <w:t>，</w:t>
      </w:r>
      <w:r w:rsidRPr="000C0842">
        <w:rPr>
          <w:rFonts w:ascii="SimSun" w:eastAsia="SimSun" w:hAnsi="SimSun" w:cs="SimSun" w:hint="eastAsia"/>
          <w:sz w:val="24"/>
          <w:szCs w:val="24"/>
        </w:rPr>
        <w:t>可以</w:t>
      </w:r>
      <w:r w:rsidRPr="000C0842">
        <w:rPr>
          <w:rFonts w:ascii="SimSun" w:eastAsia="SimSun" w:hAnsi="SimSun" w:cs="SimSun"/>
          <w:sz w:val="24"/>
          <w:szCs w:val="24"/>
        </w:rPr>
        <w:t>是单独</w:t>
      </w:r>
      <w:r w:rsidRPr="000C0842">
        <w:rPr>
          <w:rFonts w:ascii="SimSun" w:eastAsia="SimSun" w:hAnsi="SimSun" w:cs="SimSun" w:hint="eastAsia"/>
          <w:sz w:val="24"/>
          <w:szCs w:val="24"/>
        </w:rPr>
        <w:t>运行，也可以</w:t>
      </w:r>
      <w:r w:rsidRPr="000C0842">
        <w:rPr>
          <w:rFonts w:ascii="SimSun" w:eastAsia="SimSun" w:hAnsi="SimSun" w:cs="SimSun"/>
          <w:sz w:val="24"/>
          <w:szCs w:val="24"/>
        </w:rPr>
        <w:t>与</w:t>
      </w:r>
      <w:r w:rsidRPr="000C0842">
        <w:rPr>
          <w:rFonts w:ascii="SimSun" w:eastAsia="SimSun" w:hAnsi="SimSun" w:cs="SimSun" w:hint="eastAsia"/>
          <w:sz w:val="24"/>
          <w:szCs w:val="24"/>
        </w:rPr>
        <w:t>一个或多个现有</w:t>
      </w:r>
      <w:r w:rsidRPr="000C0842">
        <w:rPr>
          <w:rFonts w:ascii="SimSun" w:eastAsia="SimSun" w:hAnsi="SimSun" w:cs="SimSun"/>
          <w:sz w:val="24"/>
          <w:szCs w:val="24"/>
        </w:rPr>
        <w:t>实体一起</w:t>
      </w:r>
      <w:r w:rsidRPr="000C0842">
        <w:rPr>
          <w:rFonts w:ascii="SimSun" w:eastAsia="SimSun" w:hAnsi="SimSun" w:cs="SimSun" w:hint="eastAsia"/>
          <w:sz w:val="24"/>
          <w:szCs w:val="24"/>
        </w:rPr>
        <w:t>运行</w:t>
      </w:r>
      <w:r w:rsidRPr="000C0842">
        <w:rPr>
          <w:rFonts w:ascii="SimSun" w:eastAsia="SimSun" w:hAnsi="SimSun" w:cs="SimSun"/>
          <w:sz w:val="24"/>
          <w:szCs w:val="24"/>
        </w:rPr>
        <w:t>，</w:t>
      </w:r>
      <w:r w:rsidRPr="000C0842">
        <w:rPr>
          <w:rFonts w:ascii="SimSun" w:eastAsia="SimSun" w:hAnsi="SimSun" w:cs="SimSun" w:hint="eastAsia"/>
          <w:sz w:val="24"/>
          <w:szCs w:val="24"/>
        </w:rPr>
        <w:t>或者</w:t>
      </w:r>
      <w:r w:rsidRPr="000C0842">
        <w:rPr>
          <w:rFonts w:ascii="SimSun" w:eastAsia="SimSun" w:hAnsi="SimSun" w:cs="SimSun"/>
          <w:sz w:val="24"/>
          <w:szCs w:val="24"/>
        </w:rPr>
        <w:t>确认</w:t>
      </w:r>
      <w:r w:rsidRPr="000C0842">
        <w:rPr>
          <w:rFonts w:ascii="SimSun" w:eastAsia="SimSun" w:hAnsi="SimSun" w:cs="SimSun" w:hint="eastAsia"/>
          <w:sz w:val="24"/>
          <w:szCs w:val="24"/>
        </w:rPr>
        <w:t>由一个或多个</w:t>
      </w:r>
      <w:r w:rsidRPr="000C0842">
        <w:rPr>
          <w:rFonts w:ascii="SimSun" w:eastAsia="SimSun" w:hAnsi="SimSun" w:cs="SimSun"/>
          <w:sz w:val="24"/>
          <w:szCs w:val="24"/>
        </w:rPr>
        <w:t>现有实体承担该职责</w:t>
      </w:r>
      <w:r w:rsidRPr="000C0842">
        <w:rPr>
          <w:rFonts w:eastAsia="Times New Roman"/>
          <w:sz w:val="24"/>
          <w:szCs w:val="24"/>
        </w:rPr>
        <w:t xml:space="preserve">; </w:t>
      </w:r>
    </w:p>
    <w:p w14:paraId="195D765A" w14:textId="77777777" w:rsidR="00F05AB2" w:rsidRPr="000C0842" w:rsidRDefault="00F05AB2">
      <w:pPr>
        <w:numPr>
          <w:ilvl w:val="0"/>
          <w:numId w:val="209"/>
        </w:numPr>
        <w:tabs>
          <w:tab w:val="clear" w:pos="567"/>
          <w:tab w:val="clear" w:pos="1134"/>
          <w:tab w:val="clear" w:pos="1701"/>
          <w:tab w:val="clear" w:pos="2268"/>
        </w:tabs>
        <w:spacing w:before="120" w:after="120" w:line="240" w:lineRule="atLeast"/>
        <w:ind w:left="2160" w:hanging="720"/>
        <w:jc w:val="left"/>
        <w:rPr>
          <w:rFonts w:eastAsia="Times New Roman"/>
          <w:sz w:val="24"/>
          <w:szCs w:val="24"/>
        </w:rPr>
      </w:pPr>
      <w:r w:rsidRPr="000C0842">
        <w:rPr>
          <w:rFonts w:eastAsia="SimSun"/>
          <w:sz w:val="24"/>
          <w:szCs w:val="24"/>
        </w:rPr>
        <w:t>酌情建立一个休会期间进程，根据上文</w:t>
      </w:r>
      <w:r w:rsidRPr="000C0842">
        <w:rPr>
          <w:rFonts w:eastAsia="SimSun"/>
          <w:sz w:val="24"/>
          <w:szCs w:val="24"/>
        </w:rPr>
        <w:t>(a)</w:t>
      </w:r>
      <w:r w:rsidRPr="000C0842">
        <w:rPr>
          <w:rFonts w:eastAsia="SimSun"/>
          <w:sz w:val="24"/>
          <w:szCs w:val="24"/>
        </w:rPr>
        <w:t>分段所述标准制定新实体的职权范围和模式；</w:t>
      </w:r>
    </w:p>
    <w:p w14:paraId="31920B2D" w14:textId="77777777" w:rsidR="00F05AB2" w:rsidRPr="000C0842" w:rsidRDefault="00F05AB2">
      <w:pPr>
        <w:numPr>
          <w:ilvl w:val="0"/>
          <w:numId w:val="209"/>
        </w:numPr>
        <w:tabs>
          <w:tab w:val="clear" w:pos="567"/>
          <w:tab w:val="clear" w:pos="1134"/>
          <w:tab w:val="clear" w:pos="1701"/>
          <w:tab w:val="clear" w:pos="2268"/>
        </w:tabs>
        <w:spacing w:before="120" w:after="120" w:line="240" w:lineRule="atLeast"/>
        <w:ind w:left="2160" w:hanging="720"/>
        <w:jc w:val="left"/>
        <w:rPr>
          <w:rFonts w:eastAsia="SimSun"/>
          <w:sz w:val="24"/>
          <w:lang w:val="en-GB"/>
        </w:rPr>
      </w:pPr>
      <w:r w:rsidRPr="000C0842">
        <w:rPr>
          <w:rFonts w:eastAsia="SimSun"/>
          <w:sz w:val="24"/>
          <w:szCs w:val="24"/>
        </w:rPr>
        <w:t>按照</w:t>
      </w:r>
      <w:r w:rsidRPr="000C0842">
        <w:rPr>
          <w:rFonts w:eastAsia="SimSun"/>
          <w:sz w:val="24"/>
          <w:szCs w:val="24"/>
        </w:rPr>
        <w:t>2022</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19</w:t>
      </w:r>
      <w:r w:rsidRPr="000C0842">
        <w:rPr>
          <w:rFonts w:eastAsia="SimSun"/>
          <w:sz w:val="24"/>
          <w:szCs w:val="24"/>
        </w:rPr>
        <w:t>日第</w:t>
      </w:r>
      <w:hyperlink r:id="rId337" w:history="1">
        <w:r w:rsidRPr="000C0842">
          <w:rPr>
            <w:rFonts w:eastAsia="SimSun" w:hint="eastAsia"/>
            <w:sz w:val="24"/>
            <w:szCs w:val="24"/>
            <w:u w:val="single"/>
          </w:rPr>
          <w:t>15/7</w:t>
        </w:r>
      </w:hyperlink>
      <w:r w:rsidRPr="000C0842">
        <w:rPr>
          <w:rFonts w:eastAsia="SimSun"/>
          <w:sz w:val="24"/>
          <w:szCs w:val="24"/>
        </w:rPr>
        <w:t>号和第</w:t>
      </w:r>
      <w:hyperlink r:id="rId338" w:history="1">
        <w:r w:rsidRPr="000C0842">
          <w:rPr>
            <w:rFonts w:eastAsia="SimSun" w:hint="eastAsia"/>
            <w:sz w:val="24"/>
            <w:szCs w:val="24"/>
            <w:u w:val="single"/>
          </w:rPr>
          <w:t>15/15</w:t>
        </w:r>
      </w:hyperlink>
      <w:r w:rsidRPr="000C0842">
        <w:rPr>
          <w:rFonts w:eastAsia="SimSun"/>
          <w:sz w:val="24"/>
          <w:szCs w:val="24"/>
        </w:rPr>
        <w:t>号决定的</w:t>
      </w:r>
      <w:r w:rsidRPr="000C0842">
        <w:rPr>
          <w:rFonts w:eastAsia="SimSun" w:hint="eastAsia"/>
          <w:sz w:val="24"/>
          <w:szCs w:val="24"/>
        </w:rPr>
        <w:t>规定</w:t>
      </w:r>
      <w:r w:rsidRPr="000C0842">
        <w:rPr>
          <w:rFonts w:eastAsia="SimSun"/>
          <w:sz w:val="24"/>
          <w:szCs w:val="24"/>
        </w:rPr>
        <w:t>，对全球生物多样性框架基金的运行和业绩进行盘点审查；</w:t>
      </w:r>
    </w:p>
    <w:p w14:paraId="4AC384D4" w14:textId="77777777" w:rsidR="00F05AB2" w:rsidRPr="000C0842" w:rsidRDefault="00F05AB2">
      <w:pPr>
        <w:numPr>
          <w:ilvl w:val="0"/>
          <w:numId w:val="206"/>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如果</w:t>
      </w:r>
      <w:r w:rsidRPr="000C0842">
        <w:rPr>
          <w:rFonts w:eastAsia="SimSun"/>
          <w:sz w:val="24"/>
          <w:lang w:val="en-GB"/>
        </w:rPr>
        <w:t>缔约方大会第十</w:t>
      </w:r>
      <w:r w:rsidRPr="000C0842">
        <w:rPr>
          <w:rFonts w:eastAsia="SimSun" w:hint="eastAsia"/>
          <w:sz w:val="24"/>
          <w:lang w:val="en-GB"/>
        </w:rPr>
        <w:t>八届</w:t>
      </w:r>
      <w:r w:rsidRPr="000C0842">
        <w:rPr>
          <w:rFonts w:eastAsia="SimSun"/>
          <w:sz w:val="24"/>
          <w:lang w:val="en-GB"/>
        </w:rPr>
        <w:t>会议</w:t>
      </w:r>
      <w:r w:rsidRPr="000C0842">
        <w:rPr>
          <w:rFonts w:eastAsia="SimSun" w:hint="eastAsia"/>
          <w:sz w:val="24"/>
          <w:lang w:val="en-GB"/>
        </w:rPr>
        <w:t>决定建立一个新实体，新实体最迟应于</w:t>
      </w:r>
      <w:r w:rsidRPr="000C0842">
        <w:rPr>
          <w:rFonts w:eastAsia="SimSun"/>
          <w:sz w:val="24"/>
          <w:lang w:val="en-GB"/>
        </w:rPr>
        <w:t>第十</w:t>
      </w:r>
      <w:r w:rsidRPr="000C0842">
        <w:rPr>
          <w:rFonts w:eastAsia="SimSun" w:hint="eastAsia"/>
          <w:sz w:val="24"/>
          <w:lang w:val="en-GB"/>
        </w:rPr>
        <w:t>九届</w:t>
      </w:r>
      <w:r w:rsidRPr="000C0842">
        <w:rPr>
          <w:rFonts w:eastAsia="SimSun"/>
          <w:sz w:val="24"/>
          <w:lang w:val="en-GB"/>
        </w:rPr>
        <w:t>会议</w:t>
      </w:r>
      <w:r w:rsidRPr="000C0842">
        <w:rPr>
          <w:rFonts w:eastAsia="SimSun" w:hint="eastAsia"/>
          <w:sz w:val="24"/>
          <w:lang w:val="en-GB"/>
        </w:rPr>
        <w:t>开始运行</w:t>
      </w:r>
      <w:r w:rsidRPr="000C0842">
        <w:rPr>
          <w:rFonts w:eastAsia="SimSun"/>
          <w:sz w:val="24"/>
          <w:lang w:val="en-GB"/>
        </w:rPr>
        <w:t>；</w:t>
      </w:r>
    </w:p>
    <w:p w14:paraId="49CB9DCB" w14:textId="77777777" w:rsidR="00F05AB2" w:rsidRPr="000C0842" w:rsidRDefault="00F05AB2">
      <w:pPr>
        <w:numPr>
          <w:ilvl w:val="0"/>
          <w:numId w:val="206"/>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考虑到上文</w:t>
      </w:r>
      <w:r w:rsidRPr="000C0842">
        <w:rPr>
          <w:rFonts w:eastAsia="SimSun" w:hint="eastAsia"/>
          <w:sz w:val="24"/>
          <w:lang w:val="en-GB"/>
        </w:rPr>
        <w:t>(b)</w:t>
      </w:r>
      <w:r w:rsidRPr="000C0842">
        <w:rPr>
          <w:rFonts w:eastAsia="SimSun" w:hint="eastAsia"/>
          <w:sz w:val="24"/>
          <w:lang w:val="en-GB"/>
        </w:rPr>
        <w:t>和</w:t>
      </w:r>
      <w:r w:rsidRPr="000C0842">
        <w:rPr>
          <w:rFonts w:eastAsia="SimSun" w:hint="eastAsia"/>
          <w:sz w:val="24"/>
          <w:lang w:val="en-GB"/>
        </w:rPr>
        <w:t>(c)</w:t>
      </w:r>
      <w:r w:rsidRPr="000C0842">
        <w:rPr>
          <w:rFonts w:eastAsia="SimSun" w:hint="eastAsia"/>
          <w:sz w:val="24"/>
          <w:lang w:val="en-GB"/>
        </w:rPr>
        <w:t>分段，</w:t>
      </w:r>
      <w:r w:rsidRPr="000C0842">
        <w:rPr>
          <w:rFonts w:eastAsia="SimSun"/>
          <w:sz w:val="24"/>
          <w:lang w:val="en-GB"/>
        </w:rPr>
        <w:t>缔约方大会</w:t>
      </w:r>
      <w:r w:rsidRPr="000C0842">
        <w:rPr>
          <w:rFonts w:eastAsia="SimSun" w:hint="eastAsia"/>
          <w:sz w:val="24"/>
          <w:lang w:val="en-GB"/>
        </w:rPr>
        <w:t>最迟应于</w:t>
      </w:r>
      <w:r w:rsidRPr="000C0842">
        <w:rPr>
          <w:rFonts w:eastAsia="SimSun"/>
          <w:sz w:val="24"/>
          <w:lang w:val="en-GB"/>
        </w:rPr>
        <w:t>第十九</w:t>
      </w:r>
      <w:r w:rsidRPr="000C0842">
        <w:rPr>
          <w:rFonts w:eastAsia="SimSun" w:hint="eastAsia"/>
          <w:sz w:val="24"/>
          <w:lang w:val="en-GB"/>
        </w:rPr>
        <w:t>届</w:t>
      </w:r>
      <w:r w:rsidRPr="000C0842">
        <w:rPr>
          <w:rFonts w:eastAsia="SimSun"/>
          <w:sz w:val="24"/>
          <w:lang w:val="en-GB"/>
        </w:rPr>
        <w:t>会议</w:t>
      </w:r>
      <w:r w:rsidRPr="000C0842">
        <w:rPr>
          <w:rFonts w:eastAsia="SimSun" w:hint="eastAsia"/>
          <w:sz w:val="24"/>
          <w:lang w:val="en-GB"/>
        </w:rPr>
        <w:t>确立长期运行财务机制的体制机构；</w:t>
      </w:r>
    </w:p>
    <w:p w14:paraId="23715A5A"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lang w:val="en-GB"/>
        </w:rPr>
      </w:pPr>
      <w:r w:rsidRPr="000C0842">
        <w:rPr>
          <w:rFonts w:eastAsia="KaiTi"/>
          <w:sz w:val="24"/>
          <w:szCs w:val="24"/>
        </w:rPr>
        <w:t>又决定</w:t>
      </w:r>
      <w:r w:rsidRPr="000C0842">
        <w:rPr>
          <w:rFonts w:eastAsia="SimSun"/>
          <w:sz w:val="24"/>
        </w:rPr>
        <w:t>建立一个闭会期间进程</w:t>
      </w:r>
      <w:r w:rsidRPr="000C0842">
        <w:rPr>
          <w:rFonts w:eastAsia="SimSun"/>
          <w:sz w:val="24"/>
          <w:lang w:val="en-GB"/>
        </w:rPr>
        <w:t>，</w:t>
      </w:r>
      <w:r w:rsidRPr="000C0842">
        <w:rPr>
          <w:rFonts w:eastAsia="SimSun" w:hint="eastAsia"/>
          <w:sz w:val="24"/>
          <w:lang w:val="en-GB"/>
        </w:rPr>
        <w:t>按照列出每</w:t>
      </w:r>
      <w:r w:rsidRPr="000C0842">
        <w:rPr>
          <w:rFonts w:eastAsia="SimSun"/>
          <w:sz w:val="24"/>
        </w:rPr>
        <w:t>阶段具体交付成果的</w:t>
      </w:r>
      <w:r w:rsidRPr="000C0842">
        <w:rPr>
          <w:rFonts w:eastAsia="SimSun" w:hint="eastAsia"/>
          <w:sz w:val="24"/>
        </w:rPr>
        <w:t>以下</w:t>
      </w:r>
      <w:r w:rsidRPr="000C0842">
        <w:rPr>
          <w:rFonts w:eastAsia="SimSun"/>
          <w:sz w:val="24"/>
          <w:lang w:val="en-GB"/>
        </w:rPr>
        <w:t>初步路线图，及时执行</w:t>
      </w:r>
      <w:r w:rsidRPr="000C0842">
        <w:rPr>
          <w:rFonts w:eastAsia="SimSun" w:hint="eastAsia"/>
          <w:sz w:val="24"/>
          <w:lang w:val="en-GB"/>
        </w:rPr>
        <w:t>上文</w:t>
      </w:r>
      <w:r w:rsidRPr="000C0842">
        <w:rPr>
          <w:rFonts w:eastAsia="SimSun"/>
          <w:sz w:val="24"/>
          <w:lang w:val="en-GB"/>
        </w:rPr>
        <w:t>第</w:t>
      </w:r>
      <w:r w:rsidRPr="000C0842">
        <w:rPr>
          <w:rFonts w:eastAsia="SimSun"/>
          <w:sz w:val="24"/>
          <w:lang w:val="en-GB"/>
        </w:rPr>
        <w:t xml:space="preserve">19(b) </w:t>
      </w:r>
      <w:r w:rsidRPr="000C0842">
        <w:rPr>
          <w:rFonts w:eastAsia="SimSun" w:hint="eastAsia"/>
          <w:sz w:val="24"/>
          <w:lang w:val="en-GB"/>
        </w:rPr>
        <w:t>分</w:t>
      </w:r>
      <w:r w:rsidRPr="000C0842">
        <w:rPr>
          <w:rFonts w:eastAsia="SimSun"/>
          <w:sz w:val="24"/>
          <w:lang w:val="en-GB"/>
        </w:rPr>
        <w:t>段规定的任务：</w:t>
      </w:r>
      <w:r w:rsidRPr="000C0842">
        <w:rPr>
          <w:rFonts w:eastAsia="SimSun"/>
          <w:sz w:val="24"/>
          <w:lang w:val="en-GB"/>
        </w:rPr>
        <w:t xml:space="preserve"> </w:t>
      </w:r>
    </w:p>
    <w:p w14:paraId="4EA3EDDC" w14:textId="77777777" w:rsidR="00F05AB2" w:rsidRPr="000C0842" w:rsidRDefault="00F05AB2">
      <w:pPr>
        <w:numPr>
          <w:ilvl w:val="0"/>
          <w:numId w:val="207"/>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lang w:val="en-GB"/>
        </w:rPr>
        <w:t>到</w:t>
      </w:r>
      <w:r w:rsidRPr="000C0842">
        <w:rPr>
          <w:rFonts w:eastAsia="SimSun"/>
          <w:sz w:val="24"/>
          <w:lang w:val="en-GB"/>
        </w:rPr>
        <w:t>缔约方大会第十七届会议</w:t>
      </w:r>
      <w:r w:rsidRPr="000C0842">
        <w:rPr>
          <w:rFonts w:eastAsia="SimSun" w:hint="eastAsia"/>
          <w:sz w:val="24"/>
          <w:lang w:val="en-GB"/>
        </w:rPr>
        <w:t>时</w:t>
      </w:r>
      <w:r w:rsidRPr="000C0842">
        <w:rPr>
          <w:rFonts w:eastAsia="SimSun"/>
          <w:sz w:val="24"/>
          <w:lang w:val="en-GB"/>
        </w:rPr>
        <w:t>，</w:t>
      </w:r>
      <w:r w:rsidRPr="000C0842">
        <w:rPr>
          <w:rFonts w:eastAsia="SimSun" w:hint="eastAsia"/>
          <w:sz w:val="24"/>
          <w:lang w:val="en-GB"/>
        </w:rPr>
        <w:t>找到</w:t>
      </w:r>
      <w:r w:rsidRPr="000C0842">
        <w:rPr>
          <w:rFonts w:eastAsia="SimSun"/>
          <w:sz w:val="24"/>
          <w:lang w:val="en-GB"/>
        </w:rPr>
        <w:t>阻碍全球生物多样性融资</w:t>
      </w:r>
      <w:r w:rsidRPr="000C0842">
        <w:rPr>
          <w:rFonts w:eastAsia="SimSun" w:hint="eastAsia"/>
          <w:sz w:val="24"/>
          <w:lang w:val="en-GB"/>
        </w:rPr>
        <w:t>成效</w:t>
      </w:r>
      <w:r w:rsidRPr="000C0842">
        <w:rPr>
          <w:rFonts w:eastAsia="SimSun"/>
          <w:sz w:val="24"/>
          <w:lang w:val="en-GB"/>
        </w:rPr>
        <w:t>的</w:t>
      </w:r>
      <w:r w:rsidRPr="000C0842">
        <w:rPr>
          <w:rFonts w:eastAsia="SimSun" w:hint="eastAsia"/>
          <w:sz w:val="24"/>
          <w:lang w:val="en-GB"/>
        </w:rPr>
        <w:t>要</w:t>
      </w:r>
      <w:r w:rsidRPr="000C0842">
        <w:rPr>
          <w:rFonts w:eastAsia="SimSun"/>
          <w:sz w:val="24"/>
          <w:lang w:val="en-GB"/>
        </w:rPr>
        <w:t>素，</w:t>
      </w:r>
      <w:r w:rsidRPr="000C0842">
        <w:rPr>
          <w:rFonts w:eastAsia="SimSun" w:hint="eastAsia"/>
          <w:sz w:val="24"/>
          <w:lang w:val="en-GB"/>
        </w:rPr>
        <w:t>并</w:t>
      </w:r>
      <w:r w:rsidRPr="000C0842">
        <w:rPr>
          <w:rFonts w:eastAsia="SimSun"/>
          <w:sz w:val="24"/>
          <w:lang w:val="en-GB"/>
        </w:rPr>
        <w:t>在此基础上</w:t>
      </w:r>
      <w:r w:rsidRPr="000C0842">
        <w:rPr>
          <w:rFonts w:eastAsia="SimSun" w:hint="eastAsia"/>
          <w:sz w:val="24"/>
          <w:lang w:val="en-GB"/>
        </w:rPr>
        <w:t>提出</w:t>
      </w:r>
      <w:r w:rsidRPr="000C0842">
        <w:rPr>
          <w:rFonts w:eastAsia="SimSun"/>
          <w:sz w:val="24"/>
          <w:lang w:val="en-GB"/>
        </w:rPr>
        <w:t>进一步加强全球生物多样性融资</w:t>
      </w:r>
      <w:r w:rsidRPr="000C0842">
        <w:rPr>
          <w:rFonts w:eastAsia="SimSun" w:hint="eastAsia"/>
          <w:sz w:val="24"/>
          <w:lang w:val="en-GB"/>
        </w:rPr>
        <w:t>成效</w:t>
      </w:r>
      <w:r w:rsidRPr="000C0842">
        <w:rPr>
          <w:rFonts w:eastAsia="SimSun"/>
          <w:sz w:val="24"/>
          <w:lang w:val="en-GB"/>
        </w:rPr>
        <w:t>的</w:t>
      </w:r>
      <w:r w:rsidRPr="000C0842">
        <w:rPr>
          <w:rFonts w:eastAsia="SimSun" w:hint="eastAsia"/>
          <w:sz w:val="24"/>
          <w:lang w:val="en-GB"/>
        </w:rPr>
        <w:t>要</w:t>
      </w:r>
      <w:r w:rsidRPr="000C0842">
        <w:rPr>
          <w:rFonts w:eastAsia="SimSun"/>
          <w:sz w:val="24"/>
          <w:lang w:val="en-GB"/>
        </w:rPr>
        <w:t>素；</w:t>
      </w:r>
    </w:p>
    <w:p w14:paraId="01E8EF7C" w14:textId="77777777" w:rsidR="00F05AB2" w:rsidRPr="000C0842" w:rsidRDefault="00F05AB2">
      <w:pPr>
        <w:numPr>
          <w:ilvl w:val="0"/>
          <w:numId w:val="207"/>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hint="eastAsia"/>
          <w:sz w:val="24"/>
        </w:rPr>
        <w:t>到</w:t>
      </w:r>
      <w:r w:rsidRPr="000C0842">
        <w:rPr>
          <w:rFonts w:eastAsia="SimSun"/>
          <w:sz w:val="24"/>
        </w:rPr>
        <w:t>缔约方大会第十八届会议</w:t>
      </w:r>
      <w:r w:rsidRPr="000C0842">
        <w:rPr>
          <w:rFonts w:eastAsia="SimSun" w:hint="eastAsia"/>
          <w:sz w:val="24"/>
        </w:rPr>
        <w:t>时或在该届会议上：</w:t>
      </w:r>
    </w:p>
    <w:p w14:paraId="6038245D" w14:textId="77777777" w:rsidR="00F05AB2" w:rsidRPr="000C0842" w:rsidRDefault="00F05AB2">
      <w:pPr>
        <w:numPr>
          <w:ilvl w:val="0"/>
          <w:numId w:val="210"/>
        </w:numPr>
        <w:tabs>
          <w:tab w:val="clear" w:pos="567"/>
          <w:tab w:val="clear" w:pos="1134"/>
          <w:tab w:val="clear" w:pos="1701"/>
          <w:tab w:val="clear" w:pos="2268"/>
        </w:tabs>
        <w:spacing w:before="120" w:after="120" w:line="240" w:lineRule="atLeast"/>
        <w:ind w:left="2160" w:hanging="720"/>
        <w:jc w:val="left"/>
        <w:rPr>
          <w:rFonts w:eastAsia="SimSun"/>
          <w:sz w:val="24"/>
          <w:szCs w:val="24"/>
          <w:lang w:val="en-GB"/>
        </w:rPr>
      </w:pPr>
      <w:r w:rsidRPr="000C0842">
        <w:rPr>
          <w:rFonts w:eastAsia="SimSun" w:hint="eastAsia"/>
          <w:sz w:val="24"/>
          <w:szCs w:val="24"/>
        </w:rPr>
        <w:t>找到</w:t>
      </w:r>
      <w:r w:rsidRPr="000C0842">
        <w:rPr>
          <w:rFonts w:eastAsia="SimSun"/>
          <w:sz w:val="24"/>
          <w:szCs w:val="24"/>
        </w:rPr>
        <w:t>并实施加强全球生物多样性融资的措施，</w:t>
      </w:r>
      <w:r w:rsidRPr="000C0842">
        <w:rPr>
          <w:rFonts w:eastAsia="SimSun" w:hint="eastAsia"/>
          <w:sz w:val="24"/>
          <w:szCs w:val="24"/>
        </w:rPr>
        <w:t>以便</w:t>
      </w:r>
      <w:r w:rsidRPr="000C0842">
        <w:rPr>
          <w:rFonts w:eastAsia="SimSun"/>
          <w:sz w:val="24"/>
          <w:szCs w:val="24"/>
        </w:rPr>
        <w:t>从所有来源调动新的</w:t>
      </w:r>
      <w:r w:rsidRPr="000C0842">
        <w:rPr>
          <w:rFonts w:eastAsia="SimSun" w:hint="eastAsia"/>
          <w:sz w:val="24"/>
          <w:szCs w:val="24"/>
        </w:rPr>
        <w:t>和</w:t>
      </w:r>
      <w:r w:rsidRPr="000C0842">
        <w:rPr>
          <w:rFonts w:eastAsia="SimSun"/>
          <w:sz w:val="24"/>
          <w:szCs w:val="24"/>
        </w:rPr>
        <w:t>额外资源；</w:t>
      </w:r>
    </w:p>
    <w:p w14:paraId="64D7E617" w14:textId="2E463E9B" w:rsidR="00F05AB2" w:rsidRPr="000C0842" w:rsidRDefault="00F05AB2">
      <w:pPr>
        <w:numPr>
          <w:ilvl w:val="0"/>
          <w:numId w:val="210"/>
        </w:numPr>
        <w:tabs>
          <w:tab w:val="clear" w:pos="567"/>
          <w:tab w:val="clear" w:pos="1134"/>
          <w:tab w:val="clear" w:pos="1701"/>
          <w:tab w:val="clear" w:pos="2268"/>
        </w:tabs>
        <w:spacing w:before="120" w:after="120" w:line="240" w:lineRule="atLeast"/>
        <w:ind w:left="2160" w:hanging="720"/>
        <w:jc w:val="left"/>
        <w:rPr>
          <w:rFonts w:eastAsia="SimSun"/>
          <w:sz w:val="24"/>
        </w:rPr>
      </w:pPr>
      <w:r w:rsidRPr="000C0842">
        <w:rPr>
          <w:rFonts w:eastAsia="SimSun"/>
          <w:sz w:val="24"/>
          <w:szCs w:val="24"/>
        </w:rPr>
        <w:t>评估现有相关金融工具和</w:t>
      </w:r>
      <w:r w:rsidR="00E43413" w:rsidRPr="000C0842">
        <w:rPr>
          <w:rFonts w:eastAsia="SimSun" w:hint="eastAsia"/>
          <w:sz w:val="24"/>
          <w:szCs w:val="24"/>
        </w:rPr>
        <w:t>（</w:t>
      </w:r>
      <w:r w:rsidRPr="000C0842">
        <w:rPr>
          <w:rFonts w:eastAsia="SimSun"/>
          <w:sz w:val="24"/>
          <w:szCs w:val="24"/>
        </w:rPr>
        <w:t>或</w:t>
      </w:r>
      <w:r w:rsidR="00E43413" w:rsidRPr="000C0842">
        <w:rPr>
          <w:rFonts w:eastAsia="SimSun" w:hint="eastAsia"/>
          <w:sz w:val="24"/>
          <w:szCs w:val="24"/>
        </w:rPr>
        <w:t>）</w:t>
      </w:r>
      <w:r w:rsidRPr="000C0842">
        <w:rPr>
          <w:rFonts w:eastAsia="SimSun"/>
          <w:sz w:val="24"/>
          <w:szCs w:val="24"/>
        </w:rPr>
        <w:t>实体在执行《昆蒙框架》特别是行动目标</w:t>
      </w:r>
      <w:r w:rsidRPr="000C0842">
        <w:rPr>
          <w:rFonts w:eastAsia="SimSun"/>
          <w:sz w:val="24"/>
          <w:szCs w:val="24"/>
        </w:rPr>
        <w:t>19(a)</w:t>
      </w:r>
      <w:r w:rsidRPr="000C0842">
        <w:rPr>
          <w:rFonts w:eastAsia="SimSun"/>
          <w:sz w:val="24"/>
          <w:szCs w:val="24"/>
        </w:rPr>
        <w:t>方面的</w:t>
      </w:r>
      <w:r w:rsidRPr="000C0842">
        <w:rPr>
          <w:rFonts w:eastAsia="SimSun" w:hint="eastAsia"/>
          <w:sz w:val="24"/>
          <w:szCs w:val="24"/>
        </w:rPr>
        <w:t>业绩</w:t>
      </w:r>
      <w:r w:rsidRPr="000C0842">
        <w:rPr>
          <w:rFonts w:eastAsia="SimSun"/>
          <w:sz w:val="24"/>
          <w:szCs w:val="24"/>
          <w:vertAlign w:val="superscript"/>
        </w:rPr>
        <w:footnoteReference w:id="483"/>
      </w:r>
      <w:r w:rsidRPr="000C0842">
        <w:rPr>
          <w:rFonts w:eastAsia="SimSun"/>
          <w:sz w:val="24"/>
          <w:szCs w:val="24"/>
        </w:rPr>
        <w:t>；</w:t>
      </w:r>
    </w:p>
    <w:p w14:paraId="49A2FD30" w14:textId="77777777" w:rsidR="00F05AB2" w:rsidRPr="000C0842" w:rsidRDefault="00F05AB2">
      <w:pPr>
        <w:numPr>
          <w:ilvl w:val="0"/>
          <w:numId w:val="207"/>
        </w:numPr>
        <w:tabs>
          <w:tab w:val="clear" w:pos="567"/>
          <w:tab w:val="clear" w:pos="1134"/>
          <w:tab w:val="clear" w:pos="1701"/>
          <w:tab w:val="clear" w:pos="2268"/>
        </w:tabs>
        <w:spacing w:before="120" w:after="120" w:line="240" w:lineRule="atLeast"/>
        <w:ind w:left="490" w:firstLine="490"/>
        <w:jc w:val="left"/>
        <w:rPr>
          <w:rFonts w:eastAsia="SimSun"/>
          <w:lang w:val="en-GB"/>
        </w:rPr>
      </w:pPr>
      <w:r w:rsidRPr="000C0842">
        <w:rPr>
          <w:rFonts w:eastAsia="SimSun"/>
          <w:sz w:val="24"/>
        </w:rPr>
        <w:t>在缔约方大会第十九届会议</w:t>
      </w:r>
      <w:r w:rsidRPr="000C0842">
        <w:rPr>
          <w:rFonts w:eastAsia="SimSun" w:hint="eastAsia"/>
          <w:sz w:val="24"/>
        </w:rPr>
        <w:t>上</w:t>
      </w:r>
      <w:r w:rsidRPr="000C0842">
        <w:rPr>
          <w:rFonts w:eastAsia="SimSun"/>
          <w:sz w:val="24"/>
        </w:rPr>
        <w:t>将加强生物多样性融资所需</w:t>
      </w:r>
      <w:r w:rsidRPr="000C0842">
        <w:rPr>
          <w:rFonts w:eastAsia="SimSun" w:hint="eastAsia"/>
          <w:sz w:val="24"/>
        </w:rPr>
        <w:t>的一组</w:t>
      </w:r>
      <w:r w:rsidRPr="000C0842">
        <w:rPr>
          <w:rFonts w:eastAsia="SimSun"/>
          <w:sz w:val="24"/>
        </w:rPr>
        <w:t>措施纳入资源调动战略</w:t>
      </w:r>
      <w:r w:rsidRPr="000C0842">
        <w:rPr>
          <w:rFonts w:eastAsia="SimSun"/>
          <w:sz w:val="24"/>
          <w:lang w:val="en-GB"/>
        </w:rPr>
        <w:t>；</w:t>
      </w:r>
    </w:p>
    <w:p w14:paraId="0CD7E572"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rPr>
      </w:pPr>
      <w:r w:rsidRPr="000C0842">
        <w:rPr>
          <w:rFonts w:eastAsia="KaiTi"/>
          <w:sz w:val="24"/>
        </w:rPr>
        <w:t>请</w:t>
      </w:r>
      <w:r w:rsidRPr="000C0842">
        <w:rPr>
          <w:rFonts w:eastAsia="SimSun" w:hint="eastAsia"/>
          <w:sz w:val="24"/>
        </w:rPr>
        <w:t>执行问题附属机构在缔约方大会第十七届会议之前审议上文第</w:t>
      </w:r>
      <w:r w:rsidRPr="000C0842">
        <w:rPr>
          <w:rFonts w:eastAsia="SimSun" w:hint="eastAsia"/>
          <w:sz w:val="24"/>
        </w:rPr>
        <w:t xml:space="preserve"> 22(a)</w:t>
      </w:r>
      <w:r w:rsidRPr="000C0842">
        <w:rPr>
          <w:rFonts w:eastAsia="SimSun" w:hint="eastAsia"/>
          <w:sz w:val="24"/>
        </w:rPr>
        <w:t>和</w:t>
      </w:r>
      <w:r w:rsidRPr="000C0842">
        <w:rPr>
          <w:rFonts w:eastAsia="SimSun" w:hint="eastAsia"/>
          <w:sz w:val="24"/>
        </w:rPr>
        <w:t xml:space="preserve"> 23(a)</w:t>
      </w:r>
      <w:r w:rsidRPr="000C0842">
        <w:rPr>
          <w:rFonts w:eastAsia="SimSun" w:hint="eastAsia"/>
          <w:sz w:val="24"/>
        </w:rPr>
        <w:t>分段所述要素，进一步讨论扩大捐助方基础的机会，拟定一项决定草案，并向第十七届会议报告进展情况；</w:t>
      </w:r>
    </w:p>
    <w:p w14:paraId="5189F312"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rPr>
      </w:pPr>
      <w:r w:rsidRPr="000C0842">
        <w:rPr>
          <w:rFonts w:eastAsia="KaiTi"/>
          <w:sz w:val="24"/>
        </w:rPr>
        <w:t>请</w:t>
      </w:r>
      <w:r w:rsidRPr="000C0842">
        <w:rPr>
          <w:rFonts w:eastAsia="SimSun"/>
          <w:sz w:val="24"/>
        </w:rPr>
        <w:t>执行秘书支持上文第</w:t>
      </w:r>
      <w:r w:rsidRPr="000C0842">
        <w:rPr>
          <w:rFonts w:eastAsia="SimSun"/>
          <w:sz w:val="24"/>
        </w:rPr>
        <w:t>24</w:t>
      </w:r>
      <w:r w:rsidRPr="000C0842">
        <w:rPr>
          <w:rFonts w:eastAsia="SimSun"/>
          <w:sz w:val="24"/>
        </w:rPr>
        <w:t>段所述执行问题附属机构的工作，特别是：</w:t>
      </w:r>
    </w:p>
    <w:p w14:paraId="343EDD45" w14:textId="77777777" w:rsidR="00F05AB2" w:rsidRPr="000C0842" w:rsidRDefault="00F05AB2">
      <w:pPr>
        <w:numPr>
          <w:ilvl w:val="0"/>
          <w:numId w:val="208"/>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sz w:val="24"/>
          <w:lang w:val="en-GB"/>
        </w:rPr>
        <w:t>根据上文第</w:t>
      </w:r>
      <w:r w:rsidRPr="000C0842">
        <w:rPr>
          <w:rFonts w:eastAsia="SimSun"/>
          <w:sz w:val="24"/>
          <w:lang w:val="en-GB"/>
        </w:rPr>
        <w:t>7</w:t>
      </w:r>
      <w:r w:rsidRPr="000C0842">
        <w:rPr>
          <w:rFonts w:eastAsia="SimSun"/>
          <w:sz w:val="24"/>
          <w:lang w:val="en-GB"/>
        </w:rPr>
        <w:t>段，编写便利审查资源调动战略执行情况的文件，包括关于进一步调整战略和相关体制安排机会的建议草案内容</w:t>
      </w:r>
      <w:r w:rsidRPr="000C0842">
        <w:rPr>
          <w:rFonts w:eastAsia="SimSun" w:hint="eastAsia"/>
          <w:sz w:val="24"/>
          <w:lang w:val="en-GB"/>
        </w:rPr>
        <w:t>；</w:t>
      </w:r>
    </w:p>
    <w:p w14:paraId="6ABB70D6" w14:textId="77777777" w:rsidR="00F05AB2" w:rsidRPr="000C0842" w:rsidRDefault="00F05AB2">
      <w:pPr>
        <w:numPr>
          <w:ilvl w:val="0"/>
          <w:numId w:val="208"/>
        </w:numPr>
        <w:tabs>
          <w:tab w:val="clear" w:pos="567"/>
          <w:tab w:val="clear" w:pos="1134"/>
          <w:tab w:val="clear" w:pos="1701"/>
          <w:tab w:val="clear" w:pos="2268"/>
        </w:tabs>
        <w:spacing w:before="120" w:after="120" w:line="240" w:lineRule="atLeast"/>
        <w:ind w:left="490" w:firstLine="490"/>
        <w:jc w:val="left"/>
        <w:rPr>
          <w:rFonts w:eastAsia="SimSun"/>
          <w:sz w:val="24"/>
          <w:lang w:val="en-GB"/>
        </w:rPr>
      </w:pPr>
      <w:r w:rsidRPr="000C0842">
        <w:rPr>
          <w:rFonts w:eastAsia="SimSun"/>
          <w:sz w:val="24"/>
        </w:rPr>
        <w:t>委托开展一项研究，以确定加强跟踪生物多样性资金各种来源的机会</w:t>
      </w:r>
      <w:r w:rsidRPr="000C0842">
        <w:rPr>
          <w:rFonts w:eastAsia="SimSun"/>
          <w:sz w:val="24"/>
          <w:szCs w:val="24"/>
          <w:vertAlign w:val="superscript"/>
        </w:rPr>
        <w:footnoteReference w:id="484"/>
      </w:r>
      <w:r w:rsidRPr="000C0842">
        <w:rPr>
          <w:rFonts w:eastAsia="SimSun" w:hint="eastAsia"/>
          <w:sz w:val="24"/>
        </w:rPr>
        <w:t>；</w:t>
      </w:r>
    </w:p>
    <w:p w14:paraId="33E4BA9A" w14:textId="77777777" w:rsidR="00F05AB2" w:rsidRPr="000C0842" w:rsidRDefault="00F05AB2">
      <w:pPr>
        <w:numPr>
          <w:ilvl w:val="0"/>
          <w:numId w:val="211"/>
        </w:num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rPr>
        <w:t>又请</w:t>
      </w:r>
      <w:r w:rsidRPr="000C0842">
        <w:rPr>
          <w:rFonts w:eastAsia="SimSun"/>
          <w:sz w:val="24"/>
        </w:rPr>
        <w:t>执行秘书在资源允许的情况下</w:t>
      </w:r>
      <w:r w:rsidRPr="000C0842">
        <w:rPr>
          <w:rFonts w:eastAsia="SimSun" w:hint="eastAsia"/>
          <w:sz w:val="24"/>
          <w:szCs w:val="24"/>
          <w:lang w:val="en-CA"/>
        </w:rPr>
        <w:t>：</w:t>
      </w:r>
    </w:p>
    <w:p w14:paraId="68D77F42" w14:textId="77777777" w:rsidR="00F05AB2" w:rsidRPr="000C0842" w:rsidRDefault="00F05AB2" w:rsidP="00F05AB2">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 xml:space="preserve">(a)   </w:t>
      </w:r>
      <w:r w:rsidRPr="000C0842">
        <w:rPr>
          <w:rFonts w:eastAsia="SimSun" w:hint="eastAsia"/>
          <w:sz w:val="24"/>
          <w:szCs w:val="24"/>
          <w:lang w:val="en-CA"/>
        </w:rPr>
        <w:t>提供便利与</w:t>
      </w:r>
      <w:r w:rsidRPr="000C0842">
        <w:rPr>
          <w:rFonts w:eastAsia="SimSun"/>
          <w:sz w:val="24"/>
          <w:szCs w:val="24"/>
          <w:lang w:val="en-CA"/>
        </w:rPr>
        <w:t>发达国家和发展中国家环境和财政部长</w:t>
      </w:r>
      <w:r w:rsidRPr="000C0842">
        <w:rPr>
          <w:rFonts w:eastAsia="SimSun" w:hint="eastAsia"/>
          <w:sz w:val="24"/>
          <w:szCs w:val="24"/>
          <w:lang w:val="en-CA"/>
        </w:rPr>
        <w:t>举行一次</w:t>
      </w:r>
      <w:r w:rsidRPr="000C0842">
        <w:rPr>
          <w:rFonts w:eastAsia="SimSun"/>
          <w:sz w:val="24"/>
          <w:szCs w:val="24"/>
          <w:lang w:val="en-CA"/>
        </w:rPr>
        <w:t>国际对话，加快实现</w:t>
      </w:r>
      <w:r w:rsidRPr="000C0842">
        <w:rPr>
          <w:rFonts w:eastAsia="SimSun" w:hint="eastAsia"/>
          <w:sz w:val="24"/>
          <w:szCs w:val="24"/>
          <w:lang w:val="en-CA"/>
        </w:rPr>
        <w:t>《昆蒙框架》</w:t>
      </w:r>
      <w:r w:rsidRPr="000C0842">
        <w:rPr>
          <w:rFonts w:eastAsia="SimSun"/>
          <w:sz w:val="24"/>
          <w:szCs w:val="24"/>
          <w:lang w:val="en-CA"/>
        </w:rPr>
        <w:t>行动目标</w:t>
      </w:r>
      <w:r w:rsidRPr="000C0842">
        <w:rPr>
          <w:rFonts w:eastAsia="SimSun"/>
          <w:sz w:val="24"/>
          <w:szCs w:val="24"/>
          <w:lang w:val="en-CA"/>
        </w:rPr>
        <w:t>19</w:t>
      </w:r>
      <w:r w:rsidRPr="000C0842">
        <w:rPr>
          <w:rFonts w:eastAsia="SimSun"/>
          <w:sz w:val="24"/>
          <w:szCs w:val="24"/>
          <w:lang w:val="en-CA"/>
        </w:rPr>
        <w:t>；</w:t>
      </w:r>
    </w:p>
    <w:p w14:paraId="2E39F499" w14:textId="77777777" w:rsidR="00F05AB2" w:rsidRPr="000C0842" w:rsidRDefault="00F05AB2" w:rsidP="00F05AB2">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SimSun"/>
          <w:sz w:val="24"/>
          <w:szCs w:val="24"/>
          <w:lang w:val="en-CA"/>
        </w:rPr>
        <w:t xml:space="preserve">(b)   </w:t>
      </w:r>
      <w:r w:rsidRPr="000C0842">
        <w:rPr>
          <w:rFonts w:eastAsia="SimSun"/>
          <w:sz w:val="24"/>
          <w:szCs w:val="24"/>
          <w:lang w:val="en-CA"/>
        </w:rPr>
        <w:t>委托或与相关国际机构一道开展以下研究：</w:t>
      </w:r>
      <w:r w:rsidRPr="000C0842">
        <w:rPr>
          <w:rFonts w:eastAsia="SimSun"/>
          <w:sz w:val="24"/>
          <w:szCs w:val="24"/>
          <w:lang w:val="en-CA"/>
        </w:rPr>
        <w:t xml:space="preserve"> </w:t>
      </w:r>
    </w:p>
    <w:p w14:paraId="00696176" w14:textId="77777777" w:rsidR="00F05AB2" w:rsidRPr="000C0842" w:rsidRDefault="00F05AB2">
      <w:pPr>
        <w:numPr>
          <w:ilvl w:val="0"/>
          <w:numId w:val="212"/>
        </w:numPr>
        <w:tabs>
          <w:tab w:val="clear" w:pos="567"/>
          <w:tab w:val="clear" w:pos="1134"/>
          <w:tab w:val="clear" w:pos="1701"/>
          <w:tab w:val="clear" w:pos="2268"/>
        </w:tabs>
        <w:spacing w:before="120" w:after="120"/>
        <w:ind w:left="2160" w:hanging="720"/>
        <w:rPr>
          <w:rFonts w:eastAsia="SimSun"/>
          <w:sz w:val="24"/>
          <w:szCs w:val="24"/>
          <w:lang w:val="en-CA"/>
        </w:rPr>
      </w:pPr>
      <w:r w:rsidRPr="000C0842">
        <w:rPr>
          <w:rFonts w:eastAsia="SimSun"/>
          <w:sz w:val="24"/>
          <w:szCs w:val="24"/>
          <w:lang w:val="en-CA"/>
        </w:rPr>
        <w:t>债务可持续性与执行《公约》之间的关系；</w:t>
      </w:r>
    </w:p>
    <w:p w14:paraId="65CC911B" w14:textId="6BC8949B" w:rsidR="00F05AB2" w:rsidRPr="000C0842" w:rsidRDefault="00F05AB2">
      <w:pPr>
        <w:numPr>
          <w:ilvl w:val="0"/>
          <w:numId w:val="212"/>
        </w:numPr>
        <w:tabs>
          <w:tab w:val="clear" w:pos="567"/>
          <w:tab w:val="clear" w:pos="1134"/>
          <w:tab w:val="clear" w:pos="1701"/>
          <w:tab w:val="clear" w:pos="2268"/>
        </w:tabs>
        <w:spacing w:before="120" w:after="120"/>
        <w:ind w:left="2160" w:hanging="720"/>
        <w:rPr>
          <w:rFonts w:eastAsia="SimSun"/>
          <w:sz w:val="24"/>
          <w:szCs w:val="24"/>
          <w:lang w:val="en-CA"/>
        </w:rPr>
      </w:pPr>
      <w:r w:rsidRPr="000C0842">
        <w:rPr>
          <w:rFonts w:eastAsia="SimSun"/>
          <w:sz w:val="24"/>
          <w:szCs w:val="24"/>
          <w:lang w:val="en-CA"/>
        </w:rPr>
        <w:t>第</w:t>
      </w:r>
      <w:hyperlink r:id="rId339" w:history="1">
        <w:r w:rsidRPr="000C0842">
          <w:rPr>
            <w:rFonts w:eastAsia="SimSun"/>
            <w:sz w:val="24"/>
            <w:szCs w:val="24"/>
            <w:u w:val="single"/>
            <w:lang w:val="en-CA"/>
          </w:rPr>
          <w:t>XII/3</w:t>
        </w:r>
      </w:hyperlink>
      <w:r w:rsidRPr="000C0842">
        <w:rPr>
          <w:rFonts w:eastAsia="SimSun"/>
          <w:sz w:val="24"/>
          <w:szCs w:val="24"/>
          <w:lang w:val="en-CA"/>
        </w:rPr>
        <w:t>号和第</w:t>
      </w:r>
      <w:hyperlink r:id="rId340" w:history="1">
        <w:r w:rsidRPr="000C0842">
          <w:rPr>
            <w:rFonts w:eastAsia="SimSun"/>
            <w:sz w:val="24"/>
            <w:szCs w:val="24"/>
            <w:u w:val="single"/>
            <w:lang w:val="en-CA"/>
          </w:rPr>
          <w:t>14/15</w:t>
        </w:r>
      </w:hyperlink>
      <w:r w:rsidRPr="000C0842">
        <w:rPr>
          <w:rFonts w:eastAsia="SimSun"/>
          <w:sz w:val="24"/>
          <w:szCs w:val="24"/>
          <w:lang w:val="en-CA"/>
        </w:rPr>
        <w:t>号决定中通过的生物多样性融资机制保障措施</w:t>
      </w:r>
      <w:r w:rsidRPr="000C0842">
        <w:rPr>
          <w:rFonts w:eastAsia="SimSun" w:hint="eastAsia"/>
          <w:sz w:val="24"/>
          <w:szCs w:val="24"/>
          <w:lang w:val="en-CA"/>
        </w:rPr>
        <w:t>指导意见</w:t>
      </w:r>
      <w:r w:rsidRPr="000C0842">
        <w:rPr>
          <w:rFonts w:eastAsia="SimSun"/>
          <w:sz w:val="24"/>
          <w:szCs w:val="24"/>
          <w:lang w:val="en-CA"/>
        </w:rPr>
        <w:t>的实施情况，确定良好做法和经验教训以及更好地实施</w:t>
      </w:r>
      <w:r w:rsidRPr="000C0842">
        <w:rPr>
          <w:rFonts w:eastAsia="SimSun" w:hint="eastAsia"/>
          <w:sz w:val="24"/>
          <w:szCs w:val="24"/>
          <w:lang w:val="en-CA"/>
        </w:rPr>
        <w:t>指导意见</w:t>
      </w:r>
      <w:r w:rsidRPr="000C0842">
        <w:rPr>
          <w:rFonts w:eastAsia="SimSun"/>
          <w:sz w:val="24"/>
          <w:szCs w:val="24"/>
          <w:lang w:val="en-CA"/>
        </w:rPr>
        <w:t>的机会；</w:t>
      </w:r>
    </w:p>
    <w:p w14:paraId="73E79D36" w14:textId="77777777" w:rsidR="00F05AB2" w:rsidRPr="000C0842" w:rsidRDefault="00F05AB2">
      <w:pPr>
        <w:numPr>
          <w:ilvl w:val="0"/>
          <w:numId w:val="212"/>
        </w:numPr>
        <w:tabs>
          <w:tab w:val="clear" w:pos="567"/>
          <w:tab w:val="clear" w:pos="1134"/>
          <w:tab w:val="clear" w:pos="1701"/>
          <w:tab w:val="clear" w:pos="2268"/>
        </w:tabs>
        <w:spacing w:before="120" w:after="120"/>
        <w:ind w:left="2160" w:hanging="720"/>
        <w:rPr>
          <w:rFonts w:eastAsia="SimSun"/>
          <w:sz w:val="20"/>
          <w:szCs w:val="24"/>
          <w:lang w:val="en-CA"/>
        </w:rPr>
      </w:pPr>
      <w:r w:rsidRPr="000C0842">
        <w:rPr>
          <w:rFonts w:eastAsia="SimSun"/>
          <w:sz w:val="24"/>
          <w:szCs w:val="24"/>
          <w:lang w:val="en-CA"/>
        </w:rPr>
        <w:t>生物多样性与气候融资之间的关系；</w:t>
      </w:r>
    </w:p>
    <w:p w14:paraId="17871821" w14:textId="77777777" w:rsidR="00F05AB2" w:rsidRPr="000C0842" w:rsidRDefault="00F05AB2" w:rsidP="00F05AB2">
      <w:pPr>
        <w:tabs>
          <w:tab w:val="clear" w:pos="567"/>
          <w:tab w:val="clear" w:pos="1134"/>
          <w:tab w:val="clear" w:pos="1701"/>
          <w:tab w:val="clear" w:pos="2268"/>
        </w:tabs>
        <w:spacing w:before="120" w:after="120"/>
        <w:ind w:left="490" w:firstLine="490"/>
        <w:rPr>
          <w:rFonts w:eastAsia="SimSun"/>
          <w:kern w:val="2"/>
          <w:sz w:val="24"/>
          <w:szCs w:val="24"/>
          <w14:ligatures w14:val="standardContextual"/>
        </w:rPr>
      </w:pPr>
      <w:r w:rsidRPr="000C0842">
        <w:rPr>
          <w:rFonts w:eastAsia="SimSun"/>
          <w:sz w:val="24"/>
          <w:szCs w:val="24"/>
          <w:lang w:val="en-CA"/>
        </w:rPr>
        <w:t xml:space="preserve">(c)  </w:t>
      </w:r>
      <w:r w:rsidRPr="000C0842">
        <w:rPr>
          <w:rFonts w:eastAsia="SimSun"/>
          <w:sz w:val="24"/>
          <w:szCs w:val="24"/>
          <w:lang w:val="en-CA"/>
        </w:rPr>
        <w:t>根据</w:t>
      </w:r>
      <w:r w:rsidRPr="000C0842">
        <w:rPr>
          <w:rFonts w:eastAsia="SimSun" w:hint="eastAsia"/>
          <w:sz w:val="24"/>
          <w:szCs w:val="24"/>
          <w:lang w:val="en-CA"/>
        </w:rPr>
        <w:t>支持执行《昆蒙框架》的</w:t>
      </w:r>
      <w:r w:rsidRPr="000C0842">
        <w:rPr>
          <w:rFonts w:eastAsia="SimSun"/>
          <w:sz w:val="24"/>
          <w:szCs w:val="24"/>
          <w:lang w:val="en-CA"/>
        </w:rPr>
        <w:t>知识管理战略</w:t>
      </w:r>
      <w:r w:rsidRPr="000C0842">
        <w:rPr>
          <w:rFonts w:eastAsia="SimSun"/>
          <w:sz w:val="24"/>
          <w:szCs w:val="24"/>
          <w:vertAlign w:val="superscript"/>
          <w:lang w:val="en-CA"/>
        </w:rPr>
        <w:footnoteReference w:id="485"/>
      </w:r>
      <w:r w:rsidRPr="000C0842">
        <w:rPr>
          <w:rFonts w:eastAsia="SimSun"/>
          <w:sz w:val="24"/>
          <w:szCs w:val="24"/>
          <w:lang w:val="en-CA"/>
        </w:rPr>
        <w:t>，在信息交换所机制中纳入一个平台，</w:t>
      </w:r>
      <w:r w:rsidRPr="000C0842">
        <w:rPr>
          <w:rFonts w:eastAsia="SimSun" w:hint="eastAsia"/>
          <w:sz w:val="24"/>
          <w:szCs w:val="24"/>
          <w:lang w:val="en-CA"/>
        </w:rPr>
        <w:t>用于</w:t>
      </w:r>
      <w:r w:rsidRPr="000C0842">
        <w:rPr>
          <w:rFonts w:eastAsia="SimSun"/>
          <w:sz w:val="24"/>
          <w:szCs w:val="24"/>
          <w:lang w:val="en-CA"/>
        </w:rPr>
        <w:t>交流执行《昆蒙框架》特别</w:t>
      </w:r>
      <w:r w:rsidRPr="000C0842">
        <w:rPr>
          <w:rFonts w:eastAsia="SimSun" w:hint="eastAsia"/>
          <w:sz w:val="24"/>
          <w:szCs w:val="24"/>
          <w:lang w:val="en-CA"/>
        </w:rPr>
        <w:t>是</w:t>
      </w:r>
      <w:r w:rsidRPr="000C0842">
        <w:rPr>
          <w:rFonts w:eastAsia="SimSun"/>
          <w:sz w:val="24"/>
          <w:szCs w:val="24"/>
          <w:lang w:val="en-CA"/>
        </w:rPr>
        <w:t>长期目标</w:t>
      </w:r>
      <w:r w:rsidRPr="000C0842">
        <w:rPr>
          <w:rFonts w:eastAsia="SimSun"/>
          <w:sz w:val="24"/>
          <w:szCs w:val="24"/>
          <w:lang w:val="en-CA"/>
        </w:rPr>
        <w:t xml:space="preserve"> D </w:t>
      </w:r>
      <w:r w:rsidRPr="000C0842">
        <w:rPr>
          <w:rFonts w:eastAsia="SimSun"/>
          <w:sz w:val="24"/>
          <w:szCs w:val="24"/>
          <w:lang w:val="en-CA"/>
        </w:rPr>
        <w:t>和行动目标</w:t>
      </w:r>
      <w:r w:rsidRPr="000C0842">
        <w:rPr>
          <w:rFonts w:eastAsia="SimSun"/>
          <w:sz w:val="24"/>
          <w:szCs w:val="24"/>
          <w:lang w:val="en-CA"/>
        </w:rPr>
        <w:t xml:space="preserve"> 14</w:t>
      </w:r>
      <w:r w:rsidRPr="000C0842">
        <w:rPr>
          <w:rFonts w:eastAsia="SimSun"/>
          <w:sz w:val="24"/>
          <w:szCs w:val="24"/>
          <w:lang w:val="en-CA"/>
        </w:rPr>
        <w:t>、</w:t>
      </w:r>
      <w:r w:rsidRPr="000C0842">
        <w:rPr>
          <w:rFonts w:eastAsia="SimSun"/>
          <w:sz w:val="24"/>
          <w:szCs w:val="24"/>
          <w:lang w:val="en-CA"/>
        </w:rPr>
        <w:t>15</w:t>
      </w:r>
      <w:r w:rsidRPr="000C0842">
        <w:rPr>
          <w:rFonts w:eastAsia="SimSun"/>
          <w:sz w:val="24"/>
          <w:szCs w:val="24"/>
          <w:lang w:val="en-CA"/>
        </w:rPr>
        <w:t>、</w:t>
      </w:r>
      <w:r w:rsidRPr="000C0842">
        <w:rPr>
          <w:rFonts w:eastAsia="SimSun"/>
          <w:sz w:val="24"/>
          <w:szCs w:val="24"/>
          <w:lang w:val="en-CA"/>
        </w:rPr>
        <w:t xml:space="preserve">18 </w:t>
      </w:r>
      <w:r w:rsidRPr="000C0842">
        <w:rPr>
          <w:rFonts w:eastAsia="SimSun"/>
          <w:sz w:val="24"/>
          <w:szCs w:val="24"/>
          <w:lang w:val="en-CA"/>
        </w:rPr>
        <w:t>和</w:t>
      </w:r>
      <w:r w:rsidRPr="000C0842">
        <w:rPr>
          <w:rFonts w:eastAsia="SimSun"/>
          <w:sz w:val="24"/>
          <w:szCs w:val="24"/>
          <w:lang w:val="en-CA"/>
        </w:rPr>
        <w:t xml:space="preserve"> 19 </w:t>
      </w:r>
      <w:r w:rsidRPr="000C0842">
        <w:rPr>
          <w:rFonts w:eastAsia="SimSun"/>
          <w:sz w:val="24"/>
          <w:szCs w:val="24"/>
          <w:lang w:val="en-CA"/>
        </w:rPr>
        <w:t>以及资源调动战略方面的最佳做法和经验教训</w:t>
      </w:r>
      <w:r w:rsidRPr="000C0842">
        <w:rPr>
          <w:rFonts w:eastAsia="SimSun" w:hint="eastAsia"/>
          <w:sz w:val="24"/>
          <w:szCs w:val="24"/>
          <w:lang w:val="en-CA"/>
        </w:rPr>
        <w:t>的信息</w:t>
      </w:r>
      <w:r w:rsidRPr="000C0842">
        <w:rPr>
          <w:rFonts w:eastAsia="SimSun"/>
          <w:sz w:val="24"/>
          <w:szCs w:val="24"/>
          <w:lang w:val="en-CA"/>
        </w:rPr>
        <w:t>。</w:t>
      </w:r>
    </w:p>
    <w:p w14:paraId="30F14050" w14:textId="77777777" w:rsidR="00F05AB2" w:rsidRPr="000C0842" w:rsidRDefault="00F05AB2" w:rsidP="00992156">
      <w:pPr>
        <w:keepNext/>
        <w:tabs>
          <w:tab w:val="clear" w:pos="567"/>
          <w:tab w:val="clear" w:pos="1134"/>
          <w:tab w:val="clear" w:pos="1701"/>
          <w:tab w:val="clear" w:pos="2268"/>
        </w:tabs>
        <w:spacing w:before="240"/>
        <w:ind w:firstLine="490"/>
        <w:jc w:val="left"/>
        <w:rPr>
          <w:rFonts w:eastAsia="SimSun"/>
          <w:b/>
          <w:bCs/>
          <w:kern w:val="2"/>
          <w:sz w:val="24"/>
          <w:szCs w:val="24"/>
        </w:rPr>
      </w:pPr>
      <w:r w:rsidRPr="000C0842">
        <w:rPr>
          <w:rFonts w:eastAsia="SimSun" w:hint="eastAsia"/>
          <w:b/>
          <w:bCs/>
          <w:kern w:val="2"/>
          <w:sz w:val="24"/>
          <w:szCs w:val="24"/>
        </w:rPr>
        <w:t>附件一</w:t>
      </w:r>
    </w:p>
    <w:p w14:paraId="323D0213" w14:textId="77777777" w:rsidR="00F05AB2" w:rsidRPr="000C0842" w:rsidRDefault="00F05AB2" w:rsidP="00992156">
      <w:pPr>
        <w:keepNext/>
        <w:tabs>
          <w:tab w:val="clear" w:pos="567"/>
          <w:tab w:val="clear" w:pos="1134"/>
          <w:tab w:val="clear" w:pos="1701"/>
          <w:tab w:val="clear" w:pos="2268"/>
        </w:tabs>
        <w:adjustRightInd w:val="0"/>
        <w:snapToGrid w:val="0"/>
        <w:spacing w:after="120"/>
        <w:ind w:left="490"/>
        <w:jc w:val="left"/>
        <w:rPr>
          <w:rFonts w:eastAsia="SimSun"/>
          <w:kern w:val="2"/>
          <w:sz w:val="24"/>
          <w:szCs w:val="24"/>
        </w:rPr>
      </w:pPr>
      <w:r w:rsidRPr="000C0842">
        <w:rPr>
          <w:rFonts w:eastAsia="SimSun"/>
          <w:b/>
          <w:bCs/>
          <w:kern w:val="2"/>
          <w:sz w:val="24"/>
          <w:szCs w:val="24"/>
        </w:rPr>
        <w:t>2025-2030</w:t>
      </w:r>
      <w:r w:rsidRPr="000C0842">
        <w:rPr>
          <w:rFonts w:eastAsia="SimSun" w:hint="eastAsia"/>
          <w:b/>
          <w:bCs/>
          <w:kern w:val="2"/>
          <w:sz w:val="24"/>
          <w:szCs w:val="24"/>
        </w:rPr>
        <w:t>年资源调动战略</w:t>
      </w:r>
    </w:p>
    <w:p w14:paraId="6985518A"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jc w:val="left"/>
        <w:rPr>
          <w:rFonts w:eastAsia="SimSun"/>
          <w:b/>
          <w:bCs/>
          <w:kern w:val="2"/>
          <w:sz w:val="24"/>
          <w:szCs w:val="24"/>
        </w:rPr>
      </w:pPr>
      <w:r w:rsidRPr="000C0842">
        <w:rPr>
          <w:rFonts w:eastAsia="SimSun" w:hint="eastAsia"/>
          <w:b/>
          <w:bCs/>
          <w:kern w:val="2"/>
          <w:sz w:val="24"/>
          <w:szCs w:val="24"/>
        </w:rPr>
        <w:t>一</w:t>
      </w:r>
      <w:r w:rsidRPr="000C0842">
        <w:rPr>
          <w:rFonts w:eastAsia="SimSun"/>
          <w:b/>
          <w:bCs/>
          <w:kern w:val="2"/>
          <w:sz w:val="24"/>
          <w:szCs w:val="24"/>
        </w:rPr>
        <w:t>.</w:t>
      </w:r>
      <w:r w:rsidRPr="000C0842">
        <w:rPr>
          <w:rFonts w:eastAsia="SimSun"/>
          <w:b/>
          <w:bCs/>
          <w:kern w:val="2"/>
          <w:sz w:val="24"/>
          <w:szCs w:val="24"/>
        </w:rPr>
        <w:tab/>
      </w:r>
      <w:r w:rsidRPr="000C0842">
        <w:rPr>
          <w:rFonts w:eastAsia="SimSun" w:hint="eastAsia"/>
          <w:b/>
          <w:bCs/>
          <w:kern w:val="2"/>
          <w:sz w:val="24"/>
          <w:szCs w:val="24"/>
        </w:rPr>
        <w:t>目的</w:t>
      </w:r>
    </w:p>
    <w:p w14:paraId="3A9615A4" w14:textId="77777777" w:rsidR="00F05AB2" w:rsidRPr="000C0842" w:rsidRDefault="00F05AB2">
      <w:pPr>
        <w:numPr>
          <w:ilvl w:val="0"/>
          <w:numId w:val="200"/>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本战略旨在促进资源调动以执行《生物多样性公约》</w:t>
      </w:r>
      <w:r w:rsidRPr="000C0842">
        <w:rPr>
          <w:rFonts w:eastAsia="SimSun"/>
          <w:sz w:val="24"/>
          <w:szCs w:val="24"/>
          <w:vertAlign w:val="superscript"/>
          <w:lang w:val="en-CA"/>
        </w:rPr>
        <w:footnoteReference w:id="486"/>
      </w:r>
      <w:r w:rsidRPr="000C0842">
        <w:rPr>
          <w:rFonts w:eastAsia="SimSun" w:hint="eastAsia"/>
          <w:sz w:val="24"/>
          <w:szCs w:val="24"/>
          <w:lang w:val="en-CA"/>
        </w:rPr>
        <w:t>及其议定书，平衡实现《公约》的三个目标，根据《生物多样性公约》第</w:t>
      </w:r>
      <w:hyperlink r:id="rId341" w:history="1">
        <w:r w:rsidRPr="000C0842">
          <w:rPr>
            <w:rFonts w:eastAsia="SimSun"/>
            <w:sz w:val="24"/>
            <w:szCs w:val="24"/>
            <w:u w:val="single"/>
            <w:lang w:val="en-CA"/>
          </w:rPr>
          <w:t>20</w:t>
        </w:r>
      </w:hyperlink>
      <w:r w:rsidRPr="000C0842">
        <w:rPr>
          <w:rFonts w:eastAsia="SimSun" w:hint="eastAsia"/>
          <w:sz w:val="24"/>
          <w:szCs w:val="24"/>
          <w:lang w:val="en-CA"/>
        </w:rPr>
        <w:t>条，通过有效、及时和易于获得的方式大幅和逐步增加所有来源的财务资源，包括国内和国际、公共和私人资源，到</w:t>
      </w:r>
      <w:r w:rsidRPr="000C0842">
        <w:rPr>
          <w:rFonts w:eastAsia="SimSun"/>
          <w:sz w:val="24"/>
          <w:szCs w:val="24"/>
          <w:lang w:val="en-CA"/>
        </w:rPr>
        <w:t>2030</w:t>
      </w:r>
      <w:r w:rsidRPr="000C0842">
        <w:rPr>
          <w:rFonts w:eastAsia="SimSun" w:hint="eastAsia"/>
          <w:sz w:val="24"/>
          <w:szCs w:val="24"/>
          <w:lang w:val="en-CA"/>
        </w:rPr>
        <w:t>年每年至少调动</w:t>
      </w:r>
      <w:r w:rsidRPr="000C0842">
        <w:rPr>
          <w:rFonts w:eastAsia="SimSun"/>
          <w:sz w:val="24"/>
          <w:szCs w:val="24"/>
          <w:lang w:val="en-CA"/>
        </w:rPr>
        <w:t>2</w:t>
      </w:r>
      <w:r w:rsidRPr="000C0842">
        <w:rPr>
          <w:rFonts w:eastAsia="SimSun" w:hint="eastAsia"/>
          <w:sz w:val="24"/>
          <w:szCs w:val="24"/>
          <w:lang w:val="en-CA"/>
        </w:rPr>
        <w:t>,</w:t>
      </w:r>
      <w:r w:rsidRPr="000C0842">
        <w:rPr>
          <w:rFonts w:eastAsia="SimSun"/>
          <w:sz w:val="24"/>
          <w:szCs w:val="24"/>
          <w:lang w:val="en-CA"/>
        </w:rPr>
        <w:t>000</w:t>
      </w:r>
      <w:r w:rsidRPr="000C0842">
        <w:rPr>
          <w:rFonts w:eastAsia="SimSun" w:hint="eastAsia"/>
          <w:sz w:val="24"/>
          <w:szCs w:val="24"/>
          <w:lang w:val="en-CA"/>
        </w:rPr>
        <w:t>亿美元，以执行国家生物多样性战略和行动计划。本战略还旨在促进执行《昆明</w:t>
      </w:r>
      <w:r w:rsidRPr="000C0842">
        <w:rPr>
          <w:rFonts w:eastAsia="SimSun"/>
          <w:sz w:val="24"/>
          <w:szCs w:val="24"/>
          <w:lang w:val="en-CA"/>
        </w:rPr>
        <w:t>-</w:t>
      </w:r>
      <w:r w:rsidRPr="000C0842">
        <w:rPr>
          <w:rFonts w:eastAsia="SimSun" w:hint="eastAsia"/>
          <w:sz w:val="24"/>
          <w:szCs w:val="24"/>
          <w:lang w:val="en-CA"/>
        </w:rPr>
        <w:t>蒙特利尔全球生物多样性框架》</w:t>
      </w:r>
      <w:r w:rsidRPr="000C0842">
        <w:rPr>
          <w:rFonts w:eastAsia="SimSun"/>
          <w:sz w:val="24"/>
          <w:szCs w:val="24"/>
          <w:vertAlign w:val="superscript"/>
          <w:lang w:val="en-CA"/>
        </w:rPr>
        <w:footnoteReference w:id="487"/>
      </w:r>
      <w:r w:rsidRPr="000C0842">
        <w:rPr>
          <w:rFonts w:eastAsia="SimSun" w:hint="eastAsia"/>
          <w:sz w:val="24"/>
          <w:szCs w:val="24"/>
          <w:lang w:val="en-CA"/>
        </w:rPr>
        <w:t>，包括使财政和资金流与《昆蒙框架》的长期目标和行动目标相一致，鼓励私营部门逐步减少其对生物多样性的消极影响，增加其积极影响。</w:t>
      </w:r>
    </w:p>
    <w:p w14:paraId="2AC90DBF" w14:textId="77777777" w:rsidR="00F05AB2" w:rsidRPr="000C0842" w:rsidRDefault="00F05AB2">
      <w:pPr>
        <w:numPr>
          <w:ilvl w:val="0"/>
          <w:numId w:val="200"/>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因此本战略将为缔约方和其他各级行为体调动与《昆蒙框架》的雄心相称的充足资源提供坚实的基础。本战略建立在</w:t>
      </w:r>
      <w:smartTag w:uri="urn:schemas-microsoft-com:office:smarttags" w:element="chsdate">
        <w:smartTagPr>
          <w:attr w:name="IsROCDate" w:val="False"/>
          <w:attr w:name="IsLunarDate" w:val="False"/>
          <w:attr w:name="Day" w:val="19"/>
          <w:attr w:name="Month" w:val="12"/>
          <w:attr w:name="Year" w:val="2022"/>
        </w:smartTagPr>
        <w:r w:rsidRPr="000C0842">
          <w:rPr>
            <w:rFonts w:eastAsia="SimSun"/>
            <w:sz w:val="24"/>
            <w:szCs w:val="24"/>
            <w:lang w:val="en-CA"/>
          </w:rPr>
          <w:t>2022</w:t>
        </w:r>
        <w:r w:rsidRPr="000C0842">
          <w:rPr>
            <w:rFonts w:eastAsia="SimSun" w:hint="eastAsia"/>
            <w:sz w:val="24"/>
            <w:szCs w:val="24"/>
            <w:lang w:val="en-CA"/>
          </w:rPr>
          <w:t>年</w:t>
        </w:r>
        <w:r w:rsidRPr="000C0842">
          <w:rPr>
            <w:rFonts w:eastAsia="SimSun"/>
            <w:sz w:val="24"/>
            <w:szCs w:val="24"/>
            <w:lang w:val="en-CA"/>
          </w:rPr>
          <w:t>12</w:t>
        </w:r>
        <w:r w:rsidRPr="000C0842">
          <w:rPr>
            <w:rFonts w:eastAsia="SimSun" w:hint="eastAsia"/>
            <w:sz w:val="24"/>
            <w:szCs w:val="24"/>
            <w:lang w:val="en-CA"/>
          </w:rPr>
          <w:t>月</w:t>
        </w:r>
        <w:r w:rsidRPr="000C0842">
          <w:rPr>
            <w:rFonts w:eastAsia="SimSun"/>
            <w:sz w:val="24"/>
            <w:szCs w:val="24"/>
            <w:lang w:val="en-CA"/>
          </w:rPr>
          <w:t>19</w:t>
        </w:r>
        <w:r w:rsidRPr="000C0842">
          <w:rPr>
            <w:rFonts w:eastAsia="SimSun" w:hint="eastAsia"/>
            <w:sz w:val="24"/>
            <w:szCs w:val="24"/>
            <w:lang w:val="en-CA"/>
          </w:rPr>
          <w:t>日</w:t>
        </w:r>
      </w:smartTag>
      <w:r w:rsidRPr="000C0842">
        <w:rPr>
          <w:rFonts w:eastAsia="SimSun" w:hint="eastAsia"/>
          <w:sz w:val="24"/>
          <w:szCs w:val="24"/>
          <w:lang w:val="en-CA"/>
        </w:rPr>
        <w:t>第</w:t>
      </w:r>
      <w:hyperlink r:id="rId342" w:history="1">
        <w:r w:rsidRPr="000C0842">
          <w:rPr>
            <w:rFonts w:eastAsia="SimSun"/>
            <w:sz w:val="24"/>
            <w:szCs w:val="24"/>
            <w:u w:val="single"/>
            <w:lang w:val="en-CA"/>
          </w:rPr>
          <w:t>15/7</w:t>
        </w:r>
      </w:hyperlink>
      <w:r w:rsidRPr="000C0842">
        <w:rPr>
          <w:rFonts w:eastAsia="SimSun" w:hint="eastAsia"/>
          <w:sz w:val="24"/>
          <w:szCs w:val="24"/>
          <w:lang w:val="en-CA"/>
        </w:rPr>
        <w:t>号决定附件一所载第一阶段（</w:t>
      </w:r>
      <w:r w:rsidRPr="000C0842">
        <w:rPr>
          <w:rFonts w:eastAsia="SimSun"/>
          <w:sz w:val="24"/>
          <w:szCs w:val="24"/>
          <w:lang w:val="en-CA"/>
        </w:rPr>
        <w:t>2023-2024</w:t>
      </w:r>
      <w:r w:rsidRPr="000C0842">
        <w:rPr>
          <w:rFonts w:eastAsia="SimSun" w:hint="eastAsia"/>
          <w:sz w:val="24"/>
          <w:szCs w:val="24"/>
          <w:lang w:val="en-CA"/>
        </w:rPr>
        <w:t>年）的基础上，该阶段旨在能够快速启动资源调动，为执行《昆蒙框架》扩大和调整资源。本战略提供了一个灵活的框架，各国不妨根据不同的发展水平和具体国情加以调整。本战略的任何内容均不得解释为修改缔约方在《公约》或其议定书或任何其他国际协定下的权利和义务。</w:t>
      </w:r>
    </w:p>
    <w:p w14:paraId="7E2111B4" w14:textId="77777777" w:rsidR="00F05AB2" w:rsidRPr="000C0842" w:rsidRDefault="00F05AB2">
      <w:pPr>
        <w:numPr>
          <w:ilvl w:val="0"/>
          <w:numId w:val="200"/>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本战略的指导方针是：</w:t>
      </w:r>
    </w:p>
    <w:p w14:paraId="55B124DE" w14:textId="738354DC" w:rsidR="00F05AB2" w:rsidRPr="000C0842" w:rsidRDefault="00F05AB2" w:rsidP="00F05AB2">
      <w:pPr>
        <w:tabs>
          <w:tab w:val="clear" w:pos="567"/>
          <w:tab w:val="clear" w:pos="1134"/>
          <w:tab w:val="clear" w:pos="1701"/>
          <w:tab w:val="clear" w:pos="2268"/>
        </w:tabs>
        <w:adjustRightInd w:val="0"/>
        <w:snapToGrid w:val="0"/>
        <w:spacing w:before="120" w:after="120"/>
        <w:ind w:left="980"/>
        <w:jc w:val="left"/>
        <w:rPr>
          <w:rFonts w:eastAsia="SimSun"/>
          <w:sz w:val="24"/>
          <w:szCs w:val="24"/>
          <w:lang w:val="en-CA"/>
        </w:rPr>
      </w:pPr>
      <w:r w:rsidRPr="000C0842">
        <w:rPr>
          <w:rFonts w:eastAsia="SimSun"/>
          <w:sz w:val="24"/>
          <w:szCs w:val="24"/>
          <w:lang w:val="en-CA"/>
        </w:rPr>
        <w:t>(a)</w:t>
      </w:r>
      <w:r w:rsidRPr="000C0842">
        <w:rPr>
          <w:rFonts w:eastAsia="SimSun"/>
          <w:sz w:val="24"/>
          <w:szCs w:val="24"/>
          <w:lang w:val="en-CA"/>
        </w:rPr>
        <w:tab/>
      </w:r>
      <w:r w:rsidRPr="000C0842">
        <w:rPr>
          <w:rFonts w:eastAsia="SimSun" w:hint="eastAsia"/>
          <w:sz w:val="24"/>
          <w:szCs w:val="24"/>
          <w:lang w:val="en-CA"/>
        </w:rPr>
        <w:t>《公约》第</w:t>
      </w:r>
      <w:hyperlink r:id="rId343" w:history="1">
        <w:r w:rsidRPr="000C0842">
          <w:rPr>
            <w:rFonts w:eastAsia="SimSun"/>
            <w:sz w:val="24"/>
            <w:szCs w:val="24"/>
            <w:u w:val="single"/>
            <w:lang w:val="en-CA"/>
          </w:rPr>
          <w:t>20</w:t>
        </w:r>
      </w:hyperlink>
      <w:r w:rsidRPr="000C0842">
        <w:rPr>
          <w:rFonts w:eastAsia="SimSun" w:hint="eastAsia"/>
          <w:sz w:val="24"/>
          <w:szCs w:val="24"/>
          <w:lang w:val="en-CA"/>
        </w:rPr>
        <w:t>条、第</w:t>
      </w:r>
      <w:hyperlink r:id="rId344" w:history="1">
        <w:r w:rsidRPr="000C0842">
          <w:rPr>
            <w:rFonts w:eastAsia="SimSun"/>
            <w:sz w:val="24"/>
            <w:szCs w:val="24"/>
            <w:u w:val="single"/>
            <w:lang w:val="en-CA"/>
          </w:rPr>
          <w:t>21</w:t>
        </w:r>
      </w:hyperlink>
      <w:r w:rsidRPr="000C0842">
        <w:rPr>
          <w:rFonts w:eastAsia="SimSun" w:hint="eastAsia"/>
          <w:sz w:val="24"/>
          <w:szCs w:val="24"/>
          <w:lang w:val="en-CA"/>
        </w:rPr>
        <w:t>条和第</w:t>
      </w:r>
      <w:hyperlink r:id="rId345" w:history="1">
        <w:r w:rsidRPr="000C0842">
          <w:rPr>
            <w:rStyle w:val="Hyperlink"/>
            <w:rFonts w:eastAsia="SimSun"/>
            <w:color w:val="auto"/>
            <w:sz w:val="24"/>
            <w:szCs w:val="24"/>
            <w:lang w:val="en-CA"/>
          </w:rPr>
          <w:t>11</w:t>
        </w:r>
      </w:hyperlink>
      <w:r w:rsidRPr="000C0842">
        <w:rPr>
          <w:rFonts w:eastAsia="SimSun" w:hint="eastAsia"/>
          <w:sz w:val="24"/>
          <w:szCs w:val="24"/>
          <w:lang w:val="en-CA"/>
        </w:rPr>
        <w:t>条；</w:t>
      </w:r>
    </w:p>
    <w:p w14:paraId="07E049DE" w14:textId="77777777" w:rsidR="00F05AB2" w:rsidRPr="000C0842" w:rsidRDefault="00F05AB2">
      <w:pPr>
        <w:numPr>
          <w:ilvl w:val="0"/>
          <w:numId w:val="202"/>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《昆明</w:t>
      </w:r>
      <w:r w:rsidRPr="000C0842">
        <w:rPr>
          <w:rFonts w:eastAsia="SimSun"/>
          <w:sz w:val="24"/>
          <w:szCs w:val="24"/>
          <w:lang w:val="en-CA"/>
        </w:rPr>
        <w:t>-</w:t>
      </w:r>
      <w:r w:rsidRPr="000C0842">
        <w:rPr>
          <w:rFonts w:eastAsia="SimSun" w:hint="eastAsia"/>
          <w:sz w:val="24"/>
          <w:szCs w:val="24"/>
          <w:lang w:val="en-CA"/>
        </w:rPr>
        <w:t>蒙特利尔全球生物多样性框架》，包括其</w:t>
      </w:r>
      <w:r w:rsidRPr="000C0842">
        <w:rPr>
          <w:rFonts w:eastAsia="SimSun"/>
          <w:sz w:val="24"/>
          <w:szCs w:val="24"/>
          <w:lang w:val="en-CA"/>
        </w:rPr>
        <w:t>C</w:t>
      </w:r>
      <w:r w:rsidRPr="000C0842">
        <w:rPr>
          <w:rFonts w:eastAsia="SimSun" w:hint="eastAsia"/>
          <w:sz w:val="24"/>
          <w:szCs w:val="24"/>
          <w:lang w:val="en-CA"/>
        </w:rPr>
        <w:t>部分、长期目标</w:t>
      </w:r>
      <w:r w:rsidRPr="000C0842">
        <w:rPr>
          <w:rFonts w:eastAsia="SimSun"/>
          <w:sz w:val="24"/>
          <w:szCs w:val="24"/>
          <w:lang w:val="en-CA"/>
        </w:rPr>
        <w:t>D</w:t>
      </w:r>
      <w:r w:rsidRPr="000C0842">
        <w:rPr>
          <w:rFonts w:eastAsia="SimSun" w:hint="eastAsia"/>
          <w:sz w:val="24"/>
          <w:szCs w:val="24"/>
          <w:lang w:val="en-CA"/>
        </w:rPr>
        <w:t>和行动目标</w:t>
      </w:r>
      <w:r w:rsidRPr="000C0842">
        <w:rPr>
          <w:rFonts w:eastAsia="SimSun"/>
          <w:sz w:val="24"/>
          <w:szCs w:val="24"/>
          <w:lang w:val="en-CA"/>
        </w:rPr>
        <w:t>19</w:t>
      </w:r>
      <w:r w:rsidRPr="000C0842">
        <w:rPr>
          <w:rFonts w:eastAsia="SimSun" w:hint="eastAsia"/>
          <w:sz w:val="24"/>
          <w:szCs w:val="24"/>
          <w:lang w:val="en-CA"/>
        </w:rPr>
        <w:t>，以及长期目标</w:t>
      </w:r>
      <w:r w:rsidRPr="000C0842">
        <w:rPr>
          <w:rFonts w:eastAsia="SimSun"/>
          <w:sz w:val="24"/>
          <w:szCs w:val="24"/>
          <w:lang w:val="en-CA"/>
        </w:rPr>
        <w:t>C</w:t>
      </w:r>
      <w:r w:rsidRPr="000C0842">
        <w:rPr>
          <w:rFonts w:eastAsia="SimSun" w:hint="eastAsia"/>
          <w:sz w:val="24"/>
          <w:szCs w:val="24"/>
          <w:lang w:val="en-CA"/>
        </w:rPr>
        <w:t>和行动目标</w:t>
      </w:r>
      <w:r w:rsidRPr="000C0842">
        <w:rPr>
          <w:rFonts w:eastAsia="SimSun"/>
          <w:sz w:val="24"/>
          <w:szCs w:val="24"/>
          <w:lang w:val="en-CA"/>
        </w:rPr>
        <w:t>13</w:t>
      </w:r>
      <w:r w:rsidRPr="000C0842">
        <w:rPr>
          <w:rFonts w:eastAsia="SimSun" w:hint="eastAsia"/>
          <w:sz w:val="24"/>
          <w:szCs w:val="24"/>
          <w:lang w:val="en-CA"/>
        </w:rPr>
        <w:t>至</w:t>
      </w:r>
      <w:r w:rsidRPr="000C0842">
        <w:rPr>
          <w:rFonts w:eastAsia="SimSun"/>
          <w:sz w:val="24"/>
          <w:szCs w:val="24"/>
          <w:lang w:val="en-CA"/>
        </w:rPr>
        <w:t>16</w:t>
      </w:r>
      <w:r w:rsidRPr="000C0842">
        <w:rPr>
          <w:rFonts w:eastAsia="SimSun" w:hint="eastAsia"/>
          <w:sz w:val="24"/>
          <w:szCs w:val="24"/>
          <w:lang w:val="en-CA"/>
        </w:rPr>
        <w:t>、</w:t>
      </w:r>
      <w:r w:rsidRPr="000C0842">
        <w:rPr>
          <w:rFonts w:eastAsia="SimSun"/>
          <w:sz w:val="24"/>
          <w:szCs w:val="24"/>
          <w:lang w:val="en-CA"/>
        </w:rPr>
        <w:t>18</w:t>
      </w:r>
      <w:r w:rsidRPr="000C0842">
        <w:rPr>
          <w:rFonts w:eastAsia="SimSun" w:hint="eastAsia"/>
          <w:sz w:val="24"/>
          <w:szCs w:val="24"/>
          <w:lang w:val="en-CA"/>
        </w:rPr>
        <w:t>和</w:t>
      </w:r>
      <w:r w:rsidRPr="000C0842">
        <w:rPr>
          <w:rFonts w:eastAsia="SimSun"/>
          <w:sz w:val="24"/>
          <w:szCs w:val="24"/>
          <w:lang w:val="en-CA"/>
        </w:rPr>
        <w:t>20</w:t>
      </w:r>
      <w:r w:rsidRPr="000C0842">
        <w:rPr>
          <w:rFonts w:eastAsia="SimSun" w:hint="eastAsia"/>
          <w:sz w:val="24"/>
          <w:szCs w:val="24"/>
          <w:lang w:val="en-CA"/>
        </w:rPr>
        <w:t>；</w:t>
      </w:r>
    </w:p>
    <w:p w14:paraId="427E8EBC" w14:textId="77777777" w:rsidR="00F05AB2" w:rsidRPr="000C0842" w:rsidRDefault="00F05AB2">
      <w:pPr>
        <w:numPr>
          <w:ilvl w:val="0"/>
          <w:numId w:val="202"/>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需要</w:t>
      </w:r>
      <w:r w:rsidRPr="000C0842">
        <w:rPr>
          <w:rFonts w:eastAsia="SimSun" w:hint="eastAsia"/>
          <w:sz w:val="24"/>
          <w:szCs w:val="24"/>
        </w:rPr>
        <w:t>根据《公约》第</w:t>
      </w:r>
      <w:hyperlink r:id="rId346" w:history="1">
        <w:r w:rsidRPr="000C0842">
          <w:rPr>
            <w:rFonts w:eastAsia="SimSun"/>
            <w:sz w:val="24"/>
            <w:szCs w:val="24"/>
            <w:u w:val="single"/>
          </w:rPr>
          <w:t>20</w:t>
        </w:r>
      </w:hyperlink>
      <w:r w:rsidRPr="000C0842">
        <w:rPr>
          <w:rFonts w:eastAsia="SimSun" w:hint="eastAsia"/>
          <w:sz w:val="24"/>
          <w:szCs w:val="24"/>
        </w:rPr>
        <w:t>条，</w:t>
      </w:r>
      <w:r w:rsidRPr="000C0842">
        <w:rPr>
          <w:rFonts w:eastAsia="SimSun" w:hint="eastAsia"/>
          <w:sz w:val="24"/>
          <w:szCs w:val="24"/>
          <w:lang w:val="en-CA"/>
        </w:rPr>
        <w:t>广泛利用各种金融工具和机制来大幅和逐步增加所有来源的资金水平；</w:t>
      </w:r>
    </w:p>
    <w:p w14:paraId="0C3687E9" w14:textId="77777777" w:rsidR="00F05AB2" w:rsidRPr="000C0842" w:rsidRDefault="00F05AB2">
      <w:pPr>
        <w:numPr>
          <w:ilvl w:val="0"/>
          <w:numId w:val="202"/>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需要立即、有效调动资源，同时保持对财务资源需求的长期愿景；</w:t>
      </w:r>
    </w:p>
    <w:p w14:paraId="23089F4F" w14:textId="77777777" w:rsidR="00F05AB2" w:rsidRPr="000C0842" w:rsidRDefault="00F05AB2">
      <w:pPr>
        <w:numPr>
          <w:ilvl w:val="0"/>
          <w:numId w:val="202"/>
        </w:numPr>
        <w:tabs>
          <w:tab w:val="clear" w:pos="567"/>
          <w:tab w:val="clear" w:pos="1134"/>
          <w:tab w:val="clear" w:pos="1701"/>
          <w:tab w:val="clear" w:pos="2268"/>
        </w:tabs>
        <w:adjustRightInd w:val="0"/>
        <w:snapToGrid w:val="0"/>
        <w:spacing w:before="120" w:after="120"/>
        <w:ind w:left="490" w:firstLine="490"/>
        <w:jc w:val="left"/>
        <w:rPr>
          <w:rFonts w:eastAsia="SimSun"/>
          <w:spacing w:val="-10"/>
          <w:sz w:val="24"/>
          <w:szCs w:val="24"/>
          <w:lang w:val="en-CA"/>
        </w:rPr>
      </w:pPr>
      <w:r w:rsidRPr="000C0842">
        <w:rPr>
          <w:rFonts w:eastAsia="SimSun" w:hint="eastAsia"/>
          <w:spacing w:val="-10"/>
          <w:sz w:val="24"/>
          <w:szCs w:val="24"/>
          <w:lang w:val="en-CA"/>
        </w:rPr>
        <w:t>所有缔约方、土著人民和地方社区、妇女和青年及其他利益攸关方需要全面、公正、及时、包容、简化和公平地获得所有资金来源渠道，包括以非市场方法。</w:t>
      </w:r>
    </w:p>
    <w:p w14:paraId="1CD44CE1"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jc w:val="left"/>
        <w:rPr>
          <w:rFonts w:eastAsia="SimSun"/>
          <w:b/>
          <w:bCs/>
          <w:kern w:val="2"/>
          <w:sz w:val="24"/>
          <w:szCs w:val="24"/>
        </w:rPr>
      </w:pPr>
      <w:r w:rsidRPr="000C0842">
        <w:rPr>
          <w:rFonts w:eastAsia="SimSun" w:hint="eastAsia"/>
          <w:b/>
          <w:bCs/>
          <w:kern w:val="2"/>
          <w:sz w:val="24"/>
          <w:szCs w:val="24"/>
        </w:rPr>
        <w:t>二</w:t>
      </w:r>
      <w:r w:rsidRPr="000C0842">
        <w:rPr>
          <w:rFonts w:eastAsia="SimSun"/>
          <w:b/>
          <w:bCs/>
          <w:kern w:val="2"/>
          <w:sz w:val="24"/>
          <w:szCs w:val="24"/>
        </w:rPr>
        <w:t>.</w:t>
      </w:r>
      <w:r w:rsidRPr="000C0842">
        <w:rPr>
          <w:rFonts w:eastAsia="SimSun"/>
          <w:b/>
          <w:bCs/>
          <w:kern w:val="2"/>
          <w:sz w:val="24"/>
          <w:szCs w:val="24"/>
        </w:rPr>
        <w:tab/>
      </w:r>
      <w:r w:rsidRPr="000C0842">
        <w:rPr>
          <w:rFonts w:eastAsia="SimSun" w:hint="eastAsia"/>
          <w:b/>
          <w:bCs/>
          <w:kern w:val="2"/>
          <w:sz w:val="24"/>
          <w:szCs w:val="24"/>
        </w:rPr>
        <w:t>扶持行动</w:t>
      </w:r>
    </w:p>
    <w:p w14:paraId="1796098A" w14:textId="77777777" w:rsidR="00F05AB2" w:rsidRPr="000C0842" w:rsidRDefault="00F05AB2">
      <w:pPr>
        <w:numPr>
          <w:ilvl w:val="0"/>
          <w:numId w:val="200"/>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可为本战略采取以下扶持行动：</w:t>
      </w:r>
    </w:p>
    <w:p w14:paraId="71F8B6A4" w14:textId="77777777" w:rsidR="00F05AB2" w:rsidRPr="000C0842" w:rsidRDefault="00F05AB2">
      <w:pPr>
        <w:numPr>
          <w:ilvl w:val="0"/>
          <w:numId w:val="20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更新和执行国家生物多样性战略和行动计划以及国家目标，包括推行国家生物多样性战略和行动计划加速器伙伴关系和类似举措；</w:t>
      </w:r>
    </w:p>
    <w:p w14:paraId="6D83A4AA" w14:textId="77777777" w:rsidR="00F05AB2" w:rsidRPr="000C0842" w:rsidRDefault="00F05AB2">
      <w:pPr>
        <w:numPr>
          <w:ilvl w:val="0"/>
          <w:numId w:val="201"/>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根据国家需求、优先事项和国情，制定、更新和执行国家生物多样性融资计划或类似工具，以便大幅增加从所有来源调动的资金，改进供资需求、缺口和优先事项信息库；</w:t>
      </w:r>
    </w:p>
    <w:p w14:paraId="6E510DF5"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sz w:val="24"/>
          <w:szCs w:val="24"/>
          <w:lang w:val="en-CA"/>
        </w:rPr>
        <w:t>(c)</w:t>
      </w:r>
      <w:r w:rsidRPr="000C0842">
        <w:rPr>
          <w:rFonts w:eastAsia="SimSun"/>
          <w:sz w:val="24"/>
          <w:szCs w:val="24"/>
          <w:lang w:val="en-CA"/>
        </w:rPr>
        <w:tab/>
      </w:r>
      <w:r w:rsidRPr="000C0842">
        <w:rPr>
          <w:rFonts w:eastAsia="SimSun" w:hint="eastAsia"/>
          <w:sz w:val="24"/>
          <w:szCs w:val="24"/>
          <w:lang w:val="en-CA"/>
        </w:rPr>
        <w:t>根据各自的任务，加强与其他里约公约和其他全球生物多样性相关公约和多边环境协定的合作和协同作用；</w:t>
      </w:r>
    </w:p>
    <w:p w14:paraId="3691681D"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增加对联合国开发计划署生物多样性融资倡议和其他相关倡议的财务支持，促进资源调动，包括为此执行国家生物多样性融资计划；</w:t>
      </w:r>
    </w:p>
    <w:p w14:paraId="035400F9"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优化包容性利益攸关方伙伴关系；</w:t>
      </w:r>
    </w:p>
    <w:p w14:paraId="48B5FB2A"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根据《公约》第</w:t>
      </w:r>
      <w:r w:rsidRPr="000C0842">
        <w:rPr>
          <w:rFonts w:eastAsia="SimSun"/>
          <w:sz w:val="24"/>
          <w:szCs w:val="24"/>
          <w:lang w:val="en-CA"/>
        </w:rPr>
        <w:t>16</w:t>
      </w:r>
      <w:r w:rsidRPr="000C0842">
        <w:rPr>
          <w:rFonts w:eastAsia="SimSun" w:hint="eastAsia"/>
          <w:sz w:val="24"/>
          <w:szCs w:val="24"/>
          <w:lang w:val="en-CA"/>
        </w:rPr>
        <w:t>条，开展能力建设和发展、科技合作和技术转让，支持缔约方在国家生物多样性战略和行动计划中确定的执行《昆蒙框架》的优先事项；</w:t>
      </w:r>
    </w:p>
    <w:p w14:paraId="087168A2"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确保所有缔约方，特别是发展中国家缔约方，尤其是最不发达国家和小岛屿发展中国家以及经济转型国家能够公平、负担得起和及时地获得资金并开展能力建设；</w:t>
      </w:r>
    </w:p>
    <w:p w14:paraId="01C7C853"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确保土著人民和地方社区、妇女、青年以及其他利益攸关方及时获得财务资源并开展能力建设；</w:t>
      </w:r>
    </w:p>
    <w:p w14:paraId="685CD7D7"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CA"/>
        </w:rPr>
      </w:pPr>
      <w:r w:rsidRPr="000C0842">
        <w:rPr>
          <w:rFonts w:eastAsia="SimSun" w:hint="eastAsia"/>
          <w:sz w:val="24"/>
          <w:szCs w:val="24"/>
          <w:lang w:val="en-CA"/>
        </w:rPr>
        <w:t>鼓励多边开发银行并酌情鼓励其他致力于环境和社会保障措施以及制定和完善用于以协调的方式跟踪、披露和报告其生物多样性投资和影响的共同方法、原则和准则的国家和国际金融机构，根据各自的任务规定，以支持实现可持续发展和消除贫困的方式，继续并尽可能加强这项工作；</w:t>
      </w:r>
    </w:p>
    <w:p w14:paraId="4CD13C15" w14:textId="77777777" w:rsidR="00F05AB2" w:rsidRPr="000C0842" w:rsidRDefault="00F05AB2">
      <w:pPr>
        <w:numPr>
          <w:ilvl w:val="0"/>
          <w:numId w:val="203"/>
        </w:numPr>
        <w:tabs>
          <w:tab w:val="clear" w:pos="567"/>
          <w:tab w:val="clear" w:pos="1134"/>
          <w:tab w:val="clear" w:pos="1701"/>
          <w:tab w:val="clear" w:pos="2268"/>
        </w:tabs>
        <w:adjustRightInd w:val="0"/>
        <w:snapToGrid w:val="0"/>
        <w:spacing w:before="120" w:after="120"/>
        <w:ind w:left="490" w:firstLine="490"/>
        <w:jc w:val="left"/>
        <w:rPr>
          <w:rFonts w:eastAsia="SimSun"/>
          <w:kern w:val="2"/>
          <w:sz w:val="24"/>
          <w:szCs w:val="24"/>
        </w:rPr>
      </w:pPr>
      <w:r w:rsidRPr="000C0842">
        <w:rPr>
          <w:rFonts w:eastAsia="SimSun" w:hint="eastAsia"/>
          <w:sz w:val="24"/>
          <w:szCs w:val="24"/>
          <w:lang w:val="en-CA"/>
        </w:rPr>
        <w:t>酌情鼓励国家和国际金融机构，包括国家中央银行和其他监管机构，根据各自任务规定，以支持实现可持续发展和消除贫困的方式，确定和评估与生物多样性相关的机遇、挑战、金融风险和影响；</w:t>
      </w:r>
    </w:p>
    <w:p w14:paraId="11FACE78" w14:textId="77777777" w:rsidR="00F05AB2" w:rsidRPr="000C0842" w:rsidRDefault="00F05AB2">
      <w:pPr>
        <w:numPr>
          <w:ilvl w:val="0"/>
          <w:numId w:val="203"/>
        </w:num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hint="eastAsia"/>
          <w:kern w:val="2"/>
          <w:sz w:val="24"/>
          <w:szCs w:val="24"/>
        </w:rPr>
        <w:t>酌情考虑制定和应用与金融相关的生物多样性分类标准；</w:t>
      </w:r>
    </w:p>
    <w:p w14:paraId="5DCF8717" w14:textId="77777777" w:rsidR="00F05AB2" w:rsidRPr="000C0842" w:rsidRDefault="00F05AB2">
      <w:pPr>
        <w:numPr>
          <w:ilvl w:val="0"/>
          <w:numId w:val="203"/>
        </w:num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hint="eastAsia"/>
          <w:kern w:val="2"/>
          <w:sz w:val="24"/>
          <w:szCs w:val="24"/>
        </w:rPr>
        <w:t>确保土著人民和地方社区、妇女和青年在决策中的充分、公平、包容、有效和促进性别平等的代表权和参与权。</w:t>
      </w:r>
    </w:p>
    <w:p w14:paraId="7D7E71B7" w14:textId="77777777" w:rsidR="00F05AB2" w:rsidRPr="000C0842" w:rsidRDefault="00F05AB2" w:rsidP="00F05AB2">
      <w:pPr>
        <w:tabs>
          <w:tab w:val="clear" w:pos="567"/>
          <w:tab w:val="clear" w:pos="1134"/>
          <w:tab w:val="clear" w:pos="1701"/>
          <w:tab w:val="clear" w:pos="2268"/>
        </w:tabs>
        <w:spacing w:before="120" w:after="120"/>
        <w:jc w:val="left"/>
        <w:rPr>
          <w:rFonts w:eastAsia="SimSun"/>
          <w:b/>
          <w:bCs/>
          <w:kern w:val="2"/>
          <w:sz w:val="24"/>
          <w:szCs w:val="24"/>
        </w:rPr>
      </w:pPr>
      <w:r w:rsidRPr="000C0842">
        <w:rPr>
          <w:rFonts w:eastAsia="SimSun" w:hint="eastAsia"/>
          <w:b/>
          <w:bCs/>
          <w:kern w:val="2"/>
          <w:sz w:val="24"/>
          <w:szCs w:val="24"/>
        </w:rPr>
        <w:t>三</w:t>
      </w:r>
      <w:r w:rsidRPr="000C0842">
        <w:rPr>
          <w:rFonts w:eastAsia="SimSun"/>
          <w:b/>
          <w:bCs/>
          <w:kern w:val="2"/>
          <w:sz w:val="24"/>
          <w:szCs w:val="24"/>
        </w:rPr>
        <w:t>.</w:t>
      </w:r>
      <w:r w:rsidRPr="000C0842">
        <w:rPr>
          <w:rFonts w:eastAsia="SimSun"/>
          <w:b/>
          <w:bCs/>
          <w:kern w:val="2"/>
          <w:sz w:val="24"/>
          <w:szCs w:val="24"/>
        </w:rPr>
        <w:tab/>
      </w:r>
      <w:r w:rsidRPr="000C0842">
        <w:rPr>
          <w:rFonts w:eastAsia="SimSun" w:hint="eastAsia"/>
          <w:b/>
          <w:bCs/>
          <w:kern w:val="2"/>
          <w:sz w:val="24"/>
          <w:szCs w:val="24"/>
        </w:rPr>
        <w:t>目标和行动</w:t>
      </w:r>
    </w:p>
    <w:p w14:paraId="76DD7D0D" w14:textId="77777777" w:rsidR="00F05AB2" w:rsidRPr="000C0842" w:rsidRDefault="00F05AB2" w:rsidP="00F05AB2">
      <w:pPr>
        <w:tabs>
          <w:tab w:val="clear" w:pos="567"/>
          <w:tab w:val="clear" w:pos="1134"/>
          <w:tab w:val="clear" w:pos="1701"/>
          <w:tab w:val="clear" w:pos="2268"/>
        </w:tabs>
        <w:adjustRightInd w:val="0"/>
        <w:snapToGrid w:val="0"/>
        <w:spacing w:before="120" w:after="120"/>
        <w:jc w:val="left"/>
        <w:rPr>
          <w:rFonts w:eastAsia="SimSun"/>
          <w:b/>
          <w:bCs/>
          <w:kern w:val="2"/>
          <w:sz w:val="24"/>
          <w:szCs w:val="24"/>
        </w:rPr>
      </w:pPr>
      <w:r w:rsidRPr="000C0842">
        <w:rPr>
          <w:rFonts w:eastAsia="SimSun"/>
          <w:b/>
          <w:bCs/>
          <w:kern w:val="2"/>
          <w:sz w:val="24"/>
          <w:szCs w:val="24"/>
        </w:rPr>
        <w:t>A.</w:t>
      </w:r>
      <w:r w:rsidRPr="000C0842">
        <w:rPr>
          <w:rFonts w:eastAsia="SimSun"/>
          <w:b/>
          <w:bCs/>
          <w:kern w:val="2"/>
          <w:sz w:val="24"/>
          <w:szCs w:val="24"/>
        </w:rPr>
        <w:tab/>
      </w:r>
      <w:r w:rsidRPr="000C0842">
        <w:rPr>
          <w:rFonts w:eastAsia="SimSun" w:hint="eastAsia"/>
          <w:b/>
          <w:bCs/>
          <w:kern w:val="2"/>
          <w:sz w:val="24"/>
          <w:szCs w:val="24"/>
        </w:rPr>
        <w:t>增加与生物多样性相关的国际资金流动和所有来源的财务资源</w:t>
      </w:r>
    </w:p>
    <w:p w14:paraId="2A135A6E" w14:textId="77777777" w:rsidR="00F05AB2" w:rsidRPr="000C0842" w:rsidRDefault="00F05AB2" w:rsidP="00F05AB2">
      <w:pPr>
        <w:tabs>
          <w:tab w:val="clear" w:pos="567"/>
          <w:tab w:val="clear" w:pos="1134"/>
          <w:tab w:val="clear" w:pos="1701"/>
          <w:tab w:val="clear" w:pos="2268"/>
        </w:tabs>
        <w:adjustRightInd w:val="0"/>
        <w:snapToGrid w:val="0"/>
        <w:spacing w:before="120" w:after="120"/>
        <w:jc w:val="left"/>
        <w:rPr>
          <w:rFonts w:eastAsia="SimSun"/>
          <w:b/>
          <w:bCs/>
          <w:kern w:val="2"/>
          <w:sz w:val="24"/>
          <w:szCs w:val="24"/>
        </w:rPr>
      </w:pPr>
      <w:r w:rsidRPr="000C0842">
        <w:rPr>
          <w:rFonts w:eastAsia="SimSun"/>
          <w:b/>
          <w:bCs/>
          <w:kern w:val="2"/>
          <w:sz w:val="24"/>
          <w:szCs w:val="24"/>
        </w:rPr>
        <w:t>1.</w:t>
      </w:r>
      <w:r w:rsidRPr="000C0842">
        <w:rPr>
          <w:rFonts w:eastAsia="SimSun"/>
          <w:b/>
          <w:bCs/>
          <w:kern w:val="2"/>
          <w:sz w:val="24"/>
          <w:szCs w:val="24"/>
        </w:rPr>
        <w:tab/>
      </w:r>
      <w:r w:rsidRPr="000C0842">
        <w:rPr>
          <w:rFonts w:eastAsia="SimSun" w:hint="eastAsia"/>
          <w:b/>
          <w:bCs/>
          <w:kern w:val="2"/>
          <w:sz w:val="24"/>
          <w:szCs w:val="24"/>
        </w:rPr>
        <w:t>新的和额外资源</w:t>
      </w:r>
    </w:p>
    <w:p w14:paraId="4380E76E" w14:textId="26859806" w:rsidR="00F05AB2" w:rsidRPr="000C0842" w:rsidRDefault="00F05AB2">
      <w:pPr>
        <w:numPr>
          <w:ilvl w:val="0"/>
          <w:numId w:val="200"/>
        </w:numPr>
        <w:tabs>
          <w:tab w:val="clear" w:pos="567"/>
          <w:tab w:val="clear" w:pos="1134"/>
          <w:tab w:val="clear" w:pos="1701"/>
          <w:tab w:val="clear" w:pos="2268"/>
        </w:tabs>
        <w:adjustRightInd w:val="0"/>
        <w:snapToGrid w:val="0"/>
        <w:spacing w:before="120" w:after="120"/>
        <w:ind w:left="490" w:firstLine="490"/>
        <w:jc w:val="left"/>
        <w:rPr>
          <w:rFonts w:eastAsia="SimSun"/>
          <w:kern w:val="2"/>
          <w:sz w:val="24"/>
          <w:szCs w:val="24"/>
        </w:rPr>
      </w:pPr>
      <w:r w:rsidRPr="000C0842">
        <w:rPr>
          <w:rFonts w:eastAsia="SimSun" w:hint="eastAsia"/>
          <w:kern w:val="2"/>
          <w:sz w:val="24"/>
          <w:szCs w:val="24"/>
        </w:rPr>
        <w:t>为实现《昆蒙框架》行动目标</w:t>
      </w:r>
      <w:r w:rsidRPr="000C0842">
        <w:rPr>
          <w:rFonts w:eastAsia="SimSun"/>
          <w:kern w:val="2"/>
          <w:sz w:val="24"/>
          <w:szCs w:val="24"/>
        </w:rPr>
        <w:t>19(a)</w:t>
      </w:r>
      <w:r w:rsidRPr="000C0842">
        <w:rPr>
          <w:rFonts w:eastAsia="SimSun" w:hint="eastAsia"/>
          <w:kern w:val="2"/>
          <w:sz w:val="24"/>
          <w:szCs w:val="24"/>
        </w:rPr>
        <w:t>而调动新的和额外资源，特别是通过以下方式：</w:t>
      </w:r>
    </w:p>
    <w:p w14:paraId="433B4D03"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(a)    </w:t>
      </w:r>
      <w:r w:rsidRPr="000C0842">
        <w:rPr>
          <w:rFonts w:eastAsia="SimSun" w:hint="eastAsia"/>
          <w:kern w:val="2"/>
          <w:sz w:val="24"/>
          <w:szCs w:val="24"/>
        </w:rPr>
        <w:t>发达国家缔约方根据《公约》第</w:t>
      </w:r>
      <w:hyperlink r:id="rId347" w:history="1">
        <w:r w:rsidRPr="000C0842">
          <w:rPr>
            <w:rFonts w:eastAsia="SimSun"/>
            <w:kern w:val="2"/>
            <w:sz w:val="24"/>
            <w:szCs w:val="24"/>
            <w:u w:val="single"/>
          </w:rPr>
          <w:t>20</w:t>
        </w:r>
      </w:hyperlink>
      <w:r w:rsidRPr="000C0842">
        <w:rPr>
          <w:rFonts w:eastAsia="SimSun" w:hint="eastAsia"/>
          <w:kern w:val="2"/>
          <w:sz w:val="24"/>
          <w:szCs w:val="24"/>
        </w:rPr>
        <w:t>条履行义务提供新的和额外资源；</w:t>
      </w:r>
    </w:p>
    <w:p w14:paraId="55065510"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(b)   </w:t>
      </w:r>
      <w:r w:rsidRPr="000C0842">
        <w:rPr>
          <w:rFonts w:eastAsia="SimSun" w:hint="eastAsia"/>
          <w:kern w:val="2"/>
          <w:sz w:val="24"/>
          <w:szCs w:val="24"/>
        </w:rPr>
        <w:t>其他缔约方根据《公约》第</w:t>
      </w:r>
      <w:r w:rsidRPr="000C0842">
        <w:rPr>
          <w:rFonts w:eastAsia="SimSun"/>
          <w:kern w:val="2"/>
          <w:sz w:val="24"/>
          <w:szCs w:val="24"/>
        </w:rPr>
        <w:t xml:space="preserve"> </w:t>
      </w:r>
      <w:hyperlink r:id="rId348" w:history="1">
        <w:r w:rsidRPr="000C0842">
          <w:rPr>
            <w:rFonts w:eastAsia="SimSun"/>
            <w:kern w:val="2"/>
            <w:sz w:val="24"/>
            <w:szCs w:val="24"/>
            <w:u w:val="single"/>
          </w:rPr>
          <w:t>20</w:t>
        </w:r>
      </w:hyperlink>
      <w:r w:rsidRPr="000C0842">
        <w:rPr>
          <w:rFonts w:eastAsia="SimSun"/>
          <w:kern w:val="2"/>
          <w:sz w:val="24"/>
          <w:szCs w:val="24"/>
        </w:rPr>
        <w:t xml:space="preserve"> </w:t>
      </w:r>
      <w:r w:rsidRPr="000C0842">
        <w:rPr>
          <w:rFonts w:eastAsia="SimSun" w:hint="eastAsia"/>
          <w:kern w:val="2"/>
          <w:sz w:val="24"/>
          <w:szCs w:val="24"/>
        </w:rPr>
        <w:t>条考虑自愿承担发达国家缔约方的义务；</w:t>
      </w:r>
    </w:p>
    <w:p w14:paraId="6EFA3302"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(c)    </w:t>
      </w:r>
      <w:r w:rsidRPr="000C0842">
        <w:rPr>
          <w:rFonts w:eastAsia="SimSun" w:hint="eastAsia"/>
          <w:kern w:val="2"/>
          <w:sz w:val="24"/>
          <w:szCs w:val="24"/>
        </w:rPr>
        <w:t>其他国家政府考虑增加其国际生物多样性供资，包括酌情通过全球环境基金增加供资；</w:t>
      </w:r>
    </w:p>
    <w:p w14:paraId="0F83B8A9"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(d)    </w:t>
      </w:r>
      <w:r w:rsidRPr="000C0842">
        <w:rPr>
          <w:rFonts w:eastAsia="SimSun" w:hint="eastAsia"/>
          <w:kern w:val="2"/>
          <w:sz w:val="24"/>
          <w:szCs w:val="24"/>
        </w:rPr>
        <w:t>多边开发银行和其他相关国际金融机构根据各自任务规定，以支持实现可持续发展和消除贫困的方式，增加对其投资组合的投资，以促进实现《公约》及其议定书的目标以及《昆蒙框架》的长期目标和行动目标；</w:t>
      </w:r>
    </w:p>
    <w:p w14:paraId="4B4FD248"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(e)    </w:t>
      </w:r>
      <w:r w:rsidRPr="000C0842">
        <w:rPr>
          <w:rFonts w:eastAsia="SimSun" w:hint="eastAsia"/>
          <w:kern w:val="2"/>
          <w:sz w:val="24"/>
          <w:szCs w:val="24"/>
        </w:rPr>
        <w:t>根据第</w:t>
      </w:r>
      <w:r w:rsidRPr="000C0842">
        <w:rPr>
          <w:rFonts w:eastAsia="SimSun"/>
          <w:kern w:val="2"/>
          <w:sz w:val="24"/>
          <w:szCs w:val="24"/>
        </w:rPr>
        <w:t xml:space="preserve"> </w:t>
      </w:r>
      <w:hyperlink r:id="rId349" w:history="1">
        <w:r w:rsidRPr="000C0842">
          <w:rPr>
            <w:rFonts w:eastAsia="SimSun"/>
            <w:kern w:val="2"/>
            <w:sz w:val="24"/>
            <w:szCs w:val="24"/>
            <w:u w:val="single"/>
          </w:rPr>
          <w:t>15/7</w:t>
        </w:r>
      </w:hyperlink>
      <w:r w:rsidRPr="000C0842">
        <w:rPr>
          <w:rFonts w:eastAsia="SimSun"/>
          <w:kern w:val="2"/>
          <w:sz w:val="24"/>
          <w:szCs w:val="24"/>
        </w:rPr>
        <w:t xml:space="preserve"> </w:t>
      </w:r>
      <w:r w:rsidRPr="000C0842">
        <w:rPr>
          <w:rFonts w:eastAsia="SimSun" w:hint="eastAsia"/>
          <w:kern w:val="2"/>
          <w:sz w:val="24"/>
          <w:szCs w:val="24"/>
        </w:rPr>
        <w:t>号决定，持续、迅速和稳健地为全球环境基金下的全球生物多样性框架基金注资。</w:t>
      </w:r>
    </w:p>
    <w:p w14:paraId="5042F869" w14:textId="77777777" w:rsidR="00F05AB2" w:rsidRPr="000C0842" w:rsidRDefault="00F05AB2" w:rsidP="001C4882">
      <w:pPr>
        <w:tabs>
          <w:tab w:val="clear" w:pos="567"/>
          <w:tab w:val="clear" w:pos="1134"/>
          <w:tab w:val="clear" w:pos="1701"/>
          <w:tab w:val="clear" w:pos="2268"/>
        </w:tabs>
        <w:spacing w:before="120" w:after="120"/>
        <w:ind w:firstLine="490"/>
        <w:jc w:val="left"/>
        <w:rPr>
          <w:rFonts w:eastAsia="SimSun"/>
          <w:spacing w:val="-20"/>
          <w:kern w:val="2"/>
          <w:sz w:val="24"/>
          <w:szCs w:val="24"/>
        </w:rPr>
      </w:pPr>
      <w:r w:rsidRPr="000C0842">
        <w:rPr>
          <w:rFonts w:eastAsia="SimSun"/>
          <w:kern w:val="2"/>
          <w:sz w:val="24"/>
          <w:szCs w:val="24"/>
        </w:rPr>
        <w:t xml:space="preserve">        6.    </w:t>
      </w:r>
      <w:r w:rsidRPr="000C0842">
        <w:rPr>
          <w:rFonts w:eastAsia="SimSun"/>
          <w:kern w:val="2"/>
          <w:sz w:val="24"/>
          <w:szCs w:val="24"/>
        </w:rPr>
        <w:tab/>
      </w:r>
      <w:r w:rsidRPr="000C0842">
        <w:rPr>
          <w:rFonts w:eastAsia="SimSun" w:hint="eastAsia"/>
          <w:spacing w:val="-20"/>
          <w:kern w:val="2"/>
          <w:sz w:val="24"/>
          <w:szCs w:val="24"/>
        </w:rPr>
        <w:t>通过以下方式进一步从所有来源调动新的和额外资源，以实现行动目标</w:t>
      </w:r>
      <w:r w:rsidRPr="000C0842">
        <w:rPr>
          <w:rFonts w:eastAsia="SimSun"/>
          <w:spacing w:val="-20"/>
          <w:kern w:val="2"/>
          <w:sz w:val="24"/>
          <w:szCs w:val="24"/>
        </w:rPr>
        <w:t>19</w:t>
      </w:r>
      <w:r w:rsidRPr="000C0842">
        <w:rPr>
          <w:rFonts w:eastAsia="SimSun" w:hint="eastAsia"/>
          <w:spacing w:val="-20"/>
          <w:kern w:val="2"/>
          <w:sz w:val="24"/>
          <w:szCs w:val="24"/>
        </w:rPr>
        <w:t>：</w:t>
      </w:r>
    </w:p>
    <w:p w14:paraId="3440AF55"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(a)   </w:t>
      </w:r>
      <w:r w:rsidRPr="000C0842">
        <w:rPr>
          <w:rFonts w:eastAsia="SimSun" w:hint="eastAsia"/>
          <w:kern w:val="2"/>
          <w:sz w:val="24"/>
          <w:szCs w:val="24"/>
        </w:rPr>
        <w:t>进一步激励和增加具有环境和社会保障的创新计划</w:t>
      </w:r>
      <w:r w:rsidRPr="000C0842">
        <w:rPr>
          <w:rFonts w:eastAsia="SimSun"/>
          <w:kern w:val="2"/>
          <w:sz w:val="24"/>
          <w:szCs w:val="24"/>
          <w:vertAlign w:val="superscript"/>
        </w:rPr>
        <w:footnoteReference w:id="488"/>
      </w:r>
      <w:r w:rsidRPr="000C0842">
        <w:rPr>
          <w:rFonts w:eastAsia="SimSun" w:hint="eastAsia"/>
          <w:kern w:val="2"/>
          <w:sz w:val="24"/>
          <w:szCs w:val="24"/>
        </w:rPr>
        <w:t>，包括制定准则和分享良好做法；</w:t>
      </w:r>
    </w:p>
    <w:p w14:paraId="30932BE4"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(b)   </w:t>
      </w:r>
      <w:r w:rsidRPr="000C0842">
        <w:rPr>
          <w:rFonts w:eastAsia="SimSun" w:hint="eastAsia"/>
          <w:kern w:val="2"/>
          <w:sz w:val="24"/>
          <w:szCs w:val="24"/>
        </w:rPr>
        <w:t>使用公正和公平分享利用遗传资源数字序列信息所生产惠益的多边机制</w:t>
      </w:r>
      <w:r w:rsidRPr="000C0842">
        <w:rPr>
          <w:rFonts w:eastAsia="SimSun"/>
          <w:kern w:val="2"/>
          <w:sz w:val="24"/>
          <w:szCs w:val="24"/>
          <w:vertAlign w:val="superscript"/>
        </w:rPr>
        <w:footnoteReference w:id="489"/>
      </w:r>
      <w:r w:rsidRPr="000C0842">
        <w:rPr>
          <w:rFonts w:eastAsia="SimSun" w:hint="eastAsia"/>
          <w:kern w:val="2"/>
          <w:sz w:val="24"/>
          <w:szCs w:val="24"/>
        </w:rPr>
        <w:t>；</w:t>
      </w:r>
    </w:p>
    <w:p w14:paraId="1907A5C5"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(c)   </w:t>
      </w:r>
      <w:r w:rsidRPr="000C0842">
        <w:rPr>
          <w:rFonts w:eastAsia="SimSun" w:hint="eastAsia"/>
          <w:kern w:val="2"/>
          <w:sz w:val="24"/>
          <w:szCs w:val="24"/>
        </w:rPr>
        <w:t>根据《昆蒙框架》行动目标</w:t>
      </w:r>
      <w:r w:rsidRPr="000C0842">
        <w:rPr>
          <w:rFonts w:eastAsia="SimSun"/>
          <w:kern w:val="2"/>
          <w:sz w:val="24"/>
          <w:szCs w:val="24"/>
        </w:rPr>
        <w:t>19(c)</w:t>
      </w:r>
      <w:r w:rsidRPr="000C0842">
        <w:rPr>
          <w:rFonts w:eastAsia="SimSun" w:hint="eastAsia"/>
          <w:kern w:val="2"/>
          <w:sz w:val="24"/>
          <w:szCs w:val="24"/>
        </w:rPr>
        <w:t>，并在具有环境和社会保障的情况下，利用国际私人融资，促进混合融资，实施调动新的和额外资源的战略，并鼓励私营部门为生物多样性投资，包括通过影响力基金和其他工具；</w:t>
      </w:r>
    </w:p>
    <w:p w14:paraId="556F252C"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(d)   </w:t>
      </w:r>
      <w:r w:rsidRPr="000C0842">
        <w:rPr>
          <w:rFonts w:eastAsia="SimSun" w:hint="eastAsia"/>
          <w:kern w:val="2"/>
          <w:sz w:val="24"/>
          <w:szCs w:val="24"/>
        </w:rPr>
        <w:t>改善基于生物多样性的可持续活动、产品和服务的市场准入，加强生物多样性的保护和可持续利用；</w:t>
      </w:r>
    </w:p>
    <w:p w14:paraId="23F1E213"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kern w:val="2"/>
          <w:sz w:val="24"/>
          <w:szCs w:val="24"/>
        </w:rPr>
        <w:t xml:space="preserve">(e)   </w:t>
      </w:r>
      <w:r w:rsidRPr="000C0842">
        <w:rPr>
          <w:rFonts w:eastAsia="SimSun" w:hint="eastAsia"/>
          <w:kern w:val="2"/>
          <w:sz w:val="24"/>
          <w:szCs w:val="24"/>
        </w:rPr>
        <w:t>根据《昆蒙框架》行动目标</w:t>
      </w:r>
      <w:r w:rsidRPr="000C0842">
        <w:rPr>
          <w:rFonts w:eastAsia="SimSun"/>
          <w:kern w:val="2"/>
          <w:sz w:val="24"/>
          <w:szCs w:val="24"/>
        </w:rPr>
        <w:t>19(f</w:t>
      </w:r>
      <w:r w:rsidRPr="000C0842">
        <w:rPr>
          <w:rFonts w:eastAsia="SimSun" w:hint="eastAsia"/>
          <w:kern w:val="2"/>
          <w:sz w:val="24"/>
          <w:szCs w:val="24"/>
        </w:rPr>
        <w:t>)</w:t>
      </w:r>
      <w:r w:rsidRPr="000C0842">
        <w:rPr>
          <w:rFonts w:eastAsia="SimSun"/>
          <w:kern w:val="2"/>
          <w:sz w:val="24"/>
          <w:szCs w:val="24"/>
        </w:rPr>
        <w:t xml:space="preserve"> </w:t>
      </w:r>
      <w:r w:rsidRPr="000C0842">
        <w:rPr>
          <w:rFonts w:eastAsia="SimSun" w:hint="eastAsia"/>
          <w:kern w:val="2"/>
          <w:sz w:val="24"/>
          <w:szCs w:val="24"/>
        </w:rPr>
        <w:t>，加强集体行动的作用，包括土著人民和地方社区的集体行动、以地球母亲为中心行动</w:t>
      </w:r>
      <w:r w:rsidRPr="000C0842">
        <w:rPr>
          <w:rFonts w:eastAsia="SimSun"/>
          <w:kern w:val="2"/>
          <w:sz w:val="24"/>
          <w:szCs w:val="24"/>
          <w:vertAlign w:val="superscript"/>
        </w:rPr>
        <w:footnoteReference w:id="490"/>
      </w:r>
      <w:r w:rsidRPr="000C0842">
        <w:rPr>
          <w:rFonts w:eastAsia="SimSun" w:hint="eastAsia"/>
          <w:kern w:val="2"/>
          <w:sz w:val="24"/>
          <w:szCs w:val="24"/>
        </w:rPr>
        <w:t>和非市场办法，包括基于社区的自然资源管理和民间社会旨在保护和可持续利用生物多样性的合作和团结，为此考虑为这些行动和办法提供或扩大国际财务支持；</w:t>
      </w:r>
    </w:p>
    <w:p w14:paraId="117ACB9F"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kern w:val="2"/>
          <w:sz w:val="24"/>
          <w:szCs w:val="24"/>
        </w:rPr>
      </w:pPr>
      <w:r w:rsidRPr="000C0842">
        <w:rPr>
          <w:rFonts w:eastAsia="SimSun" w:hint="eastAsia"/>
          <w:kern w:val="2"/>
          <w:sz w:val="24"/>
          <w:szCs w:val="24"/>
        </w:rPr>
        <w:t>(f)</w:t>
      </w:r>
      <w:r w:rsidRPr="000C0842">
        <w:rPr>
          <w:rFonts w:eastAsia="SimSun"/>
          <w:kern w:val="2"/>
          <w:sz w:val="24"/>
          <w:szCs w:val="24"/>
        </w:rPr>
        <w:t xml:space="preserve">    </w:t>
      </w:r>
      <w:r w:rsidRPr="000C0842">
        <w:rPr>
          <w:rFonts w:eastAsia="SimSun" w:hint="eastAsia"/>
          <w:kern w:val="2"/>
          <w:sz w:val="24"/>
          <w:szCs w:val="24"/>
        </w:rPr>
        <w:t>加强执行关于获取遗传资源和公正公平分享其利用所产生惠益的协定，包括酌情采取多边方式，同时注意到这些协定的独特目标。</w:t>
      </w:r>
    </w:p>
    <w:p w14:paraId="2EE248A3"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hanging="490"/>
        <w:jc w:val="left"/>
        <w:rPr>
          <w:rFonts w:eastAsia="SimSun"/>
          <w:b/>
          <w:bCs/>
          <w:sz w:val="24"/>
          <w:szCs w:val="24"/>
        </w:rPr>
      </w:pPr>
      <w:r w:rsidRPr="000C0842">
        <w:rPr>
          <w:rFonts w:eastAsia="SimSun"/>
          <w:b/>
          <w:bCs/>
          <w:sz w:val="24"/>
          <w:szCs w:val="24"/>
          <w:lang w:val="en-GB"/>
        </w:rPr>
        <w:t>2.</w:t>
      </w:r>
      <w:r w:rsidRPr="000C0842">
        <w:rPr>
          <w:rFonts w:eastAsia="SimSun"/>
          <w:b/>
          <w:bCs/>
          <w:sz w:val="24"/>
          <w:szCs w:val="24"/>
          <w:lang w:val="en-GB"/>
        </w:rPr>
        <w:tab/>
      </w:r>
      <w:r w:rsidRPr="000C0842">
        <w:rPr>
          <w:rFonts w:eastAsia="SimSun" w:hint="eastAsia"/>
          <w:b/>
          <w:bCs/>
          <w:sz w:val="24"/>
          <w:szCs w:val="24"/>
          <w:lang w:val="en-GB"/>
        </w:rPr>
        <w:t>确定、消除、逐步淘汰或改革对生物多样性有害的资金流动，</w:t>
      </w:r>
      <w:r w:rsidRPr="000C0842">
        <w:rPr>
          <w:rFonts w:eastAsia="SimSun" w:hint="eastAsia"/>
          <w:b/>
          <w:bCs/>
          <w:sz w:val="24"/>
          <w:szCs w:val="24"/>
        </w:rPr>
        <w:t>并使其逐步与《昆明</w:t>
      </w:r>
      <w:r w:rsidRPr="000C0842">
        <w:rPr>
          <w:rFonts w:eastAsia="SimSun"/>
          <w:b/>
          <w:bCs/>
          <w:sz w:val="24"/>
          <w:szCs w:val="24"/>
        </w:rPr>
        <w:t>-</w:t>
      </w:r>
      <w:r w:rsidRPr="000C0842">
        <w:rPr>
          <w:rFonts w:eastAsia="SimSun" w:hint="eastAsia"/>
          <w:b/>
          <w:bCs/>
          <w:sz w:val="24"/>
          <w:szCs w:val="24"/>
        </w:rPr>
        <w:t>蒙特利尔全球生物多样性框架》的长期目标和行动目标相一致</w:t>
      </w:r>
    </w:p>
    <w:p w14:paraId="3A095FB2" w14:textId="77777777" w:rsidR="00F05AB2" w:rsidRPr="000C0842" w:rsidRDefault="00F05AB2" w:rsidP="001C488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rPr>
      </w:pPr>
      <w:r w:rsidRPr="000C0842">
        <w:rPr>
          <w:rFonts w:eastAsia="SimSun"/>
          <w:sz w:val="24"/>
          <w:szCs w:val="24"/>
          <w:lang w:val="en-GB"/>
        </w:rPr>
        <w:t>8.</w:t>
      </w:r>
      <w:r w:rsidRPr="000C0842">
        <w:rPr>
          <w:rFonts w:eastAsia="SimSun"/>
          <w:sz w:val="24"/>
          <w:szCs w:val="24"/>
          <w:lang w:val="en-CA"/>
        </w:rPr>
        <w:t xml:space="preserve">    </w:t>
      </w:r>
      <w:r w:rsidRPr="000C0842">
        <w:rPr>
          <w:rFonts w:eastAsia="SimSun" w:hint="eastAsia"/>
          <w:sz w:val="24"/>
          <w:szCs w:val="24"/>
        </w:rPr>
        <w:t>可以通过以下方式确定、消除、逐步淘汰或改革对生物多样性</w:t>
      </w:r>
      <w:r w:rsidRPr="000C0842">
        <w:rPr>
          <w:rFonts w:eastAsia="SimSun" w:hint="eastAsia"/>
          <w:sz w:val="24"/>
          <w:szCs w:val="24"/>
          <w:lang w:val="en-GB"/>
        </w:rPr>
        <w:t>有害的</w:t>
      </w:r>
      <w:r w:rsidRPr="000C0842">
        <w:rPr>
          <w:rFonts w:eastAsia="SimSun" w:hint="eastAsia"/>
          <w:sz w:val="24"/>
          <w:szCs w:val="24"/>
        </w:rPr>
        <w:t>公共和私人资金流动，并逐步使其与《昆蒙框架》的长期目标和行动目标相一致：</w:t>
      </w:r>
      <w:r w:rsidRPr="000C0842">
        <w:rPr>
          <w:rFonts w:eastAsia="SimSun"/>
          <w:sz w:val="24"/>
          <w:szCs w:val="24"/>
        </w:rPr>
        <w:t xml:space="preserve"> </w:t>
      </w:r>
    </w:p>
    <w:p w14:paraId="14A8F846"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SimSun"/>
          <w:sz w:val="24"/>
          <w:szCs w:val="24"/>
        </w:rPr>
        <w:t xml:space="preserve">(a)   </w:t>
      </w:r>
      <w:r w:rsidRPr="000C0842">
        <w:rPr>
          <w:rFonts w:eastAsia="SimSun" w:hint="eastAsia"/>
          <w:sz w:val="24"/>
          <w:szCs w:val="24"/>
        </w:rPr>
        <w:t>将生物多样性纳入发展合作的主流，为此尽可能鼓励发展合作机构和银行、多边开发银行、国际金融机构和慈善组织根据各自的任务规定，调整其投资组合和做法，以便根据《昆蒙框架》行动目标</w:t>
      </w:r>
      <w:r w:rsidRPr="000C0842">
        <w:rPr>
          <w:rFonts w:eastAsia="SimSun"/>
          <w:sz w:val="24"/>
          <w:szCs w:val="24"/>
        </w:rPr>
        <w:t>14</w:t>
      </w:r>
      <w:r w:rsidRPr="000C0842">
        <w:rPr>
          <w:rFonts w:eastAsia="SimSun" w:hint="eastAsia"/>
          <w:sz w:val="24"/>
          <w:szCs w:val="24"/>
        </w:rPr>
        <w:t>，以支持实现可持续发展包括消除贫困的努力的方式，逐步调整其资金流动；</w:t>
      </w:r>
      <w:r w:rsidRPr="000C0842">
        <w:rPr>
          <w:rFonts w:eastAsia="SimSun"/>
          <w:sz w:val="24"/>
          <w:szCs w:val="24"/>
        </w:rPr>
        <w:t xml:space="preserve"> </w:t>
      </w:r>
    </w:p>
    <w:p w14:paraId="31494948"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sz w:val="24"/>
          <w:szCs w:val="24"/>
        </w:rPr>
      </w:pPr>
      <w:r w:rsidRPr="000C0842">
        <w:rPr>
          <w:rFonts w:eastAsia="SimSun"/>
          <w:sz w:val="24"/>
          <w:szCs w:val="24"/>
        </w:rPr>
        <w:t xml:space="preserve">(b)   </w:t>
      </w:r>
      <w:r w:rsidRPr="000C0842">
        <w:rPr>
          <w:rFonts w:eastAsia="SimSun" w:hint="eastAsia"/>
          <w:sz w:val="24"/>
          <w:szCs w:val="24"/>
        </w:rPr>
        <w:t>鼓励和扶持国际企业，特别是大型跨国公司和金融机构，按照《昆蒙框架》行动目标</w:t>
      </w:r>
      <w:r w:rsidRPr="000C0842">
        <w:rPr>
          <w:rFonts w:eastAsia="SimSun"/>
          <w:sz w:val="24"/>
          <w:szCs w:val="24"/>
        </w:rPr>
        <w:t>15</w:t>
      </w:r>
      <w:r w:rsidRPr="000C0842">
        <w:rPr>
          <w:rFonts w:eastAsia="SimSun" w:hint="eastAsia"/>
          <w:sz w:val="24"/>
          <w:szCs w:val="24"/>
        </w:rPr>
        <w:t>，以适度和灵活的方式，包括通过与自然相关的披露框架和报告标准</w:t>
      </w:r>
      <w:r w:rsidRPr="000C0842">
        <w:rPr>
          <w:rFonts w:eastAsia="SimSun"/>
          <w:sz w:val="24"/>
          <w:szCs w:val="24"/>
          <w:vertAlign w:val="superscript"/>
        </w:rPr>
        <w:footnoteReference w:id="491"/>
      </w:r>
      <w:r w:rsidRPr="000C0842">
        <w:rPr>
          <w:rFonts w:eastAsia="SimSun" w:hint="eastAsia"/>
          <w:sz w:val="24"/>
          <w:szCs w:val="24"/>
        </w:rPr>
        <w:t>，定期监测、评估和透明地披露其对生物多样性的风险、依赖性和影响；</w:t>
      </w:r>
    </w:p>
    <w:p w14:paraId="638D1D4E" w14:textId="77777777" w:rsidR="00F05AB2" w:rsidRPr="000C0842" w:rsidRDefault="00F05AB2" w:rsidP="00F05AB2">
      <w:pPr>
        <w:tabs>
          <w:tab w:val="clear" w:pos="567"/>
          <w:tab w:val="clear" w:pos="1134"/>
          <w:tab w:val="clear" w:pos="1701"/>
          <w:tab w:val="clear" w:pos="2268"/>
        </w:tabs>
        <w:spacing w:before="120" w:after="120"/>
        <w:ind w:left="490" w:firstLine="490"/>
        <w:jc w:val="left"/>
        <w:rPr>
          <w:rFonts w:eastAsia="SimSun"/>
          <w:i/>
          <w:iCs/>
          <w:sz w:val="24"/>
          <w:szCs w:val="24"/>
          <w:lang w:val="en-GB"/>
        </w:rPr>
      </w:pPr>
      <w:r w:rsidRPr="000C0842">
        <w:rPr>
          <w:rFonts w:eastAsia="SimSun"/>
          <w:sz w:val="24"/>
          <w:szCs w:val="24"/>
        </w:rPr>
        <w:t xml:space="preserve">(c)    </w:t>
      </w:r>
      <w:r w:rsidRPr="000C0842">
        <w:rPr>
          <w:rFonts w:eastAsia="SimSun" w:hint="eastAsia"/>
          <w:sz w:val="24"/>
          <w:szCs w:val="24"/>
        </w:rPr>
        <w:t>根据《昆蒙框架》行动目标</w:t>
      </w:r>
      <w:r w:rsidRPr="000C0842">
        <w:rPr>
          <w:rFonts w:eastAsia="SimSun"/>
          <w:sz w:val="24"/>
          <w:szCs w:val="24"/>
        </w:rPr>
        <w:t>18</w:t>
      </w:r>
      <w:r w:rsidRPr="000C0842">
        <w:rPr>
          <w:rFonts w:eastAsia="SimSun" w:hint="eastAsia"/>
          <w:sz w:val="24"/>
          <w:szCs w:val="24"/>
        </w:rPr>
        <w:t>，在国际层面对有害生物多样性的激励措施包括补贴采取有效行动</w:t>
      </w:r>
      <w:r w:rsidRPr="000C0842">
        <w:rPr>
          <w:rFonts w:eastAsia="SimSun" w:hint="eastAsia"/>
          <w:sz w:val="24"/>
          <w:szCs w:val="24"/>
          <w:lang w:val="en-CA"/>
        </w:rPr>
        <w:t>；</w:t>
      </w:r>
    </w:p>
    <w:p w14:paraId="37AA247C"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hanging="490"/>
        <w:jc w:val="left"/>
        <w:rPr>
          <w:rFonts w:eastAsia="SimSun"/>
          <w:b/>
          <w:bCs/>
          <w:sz w:val="24"/>
          <w:szCs w:val="24"/>
          <w:lang w:val="en-GB"/>
        </w:rPr>
      </w:pPr>
      <w:r w:rsidRPr="000C0842">
        <w:rPr>
          <w:rFonts w:eastAsia="SimSun"/>
          <w:b/>
          <w:bCs/>
          <w:sz w:val="24"/>
          <w:szCs w:val="24"/>
          <w:lang w:val="en-GB"/>
        </w:rPr>
        <w:t>3.</w:t>
      </w:r>
      <w:r w:rsidRPr="000C0842">
        <w:rPr>
          <w:rFonts w:eastAsia="SimSun"/>
          <w:b/>
          <w:bCs/>
          <w:sz w:val="24"/>
          <w:szCs w:val="24"/>
          <w:lang w:val="en-GB"/>
        </w:rPr>
        <w:tab/>
      </w:r>
      <w:r w:rsidRPr="000C0842">
        <w:rPr>
          <w:rFonts w:eastAsia="SimSun" w:hint="eastAsia"/>
          <w:b/>
          <w:bCs/>
          <w:sz w:val="24"/>
          <w:szCs w:val="24"/>
          <w:lang w:val="en-GB"/>
        </w:rPr>
        <w:t>提高资源提供和使用的吸收率、可获性、效力、效率、透明度和问责制</w:t>
      </w:r>
    </w:p>
    <w:p w14:paraId="15467926" w14:textId="77777777" w:rsidR="00F05AB2" w:rsidRPr="000C0842" w:rsidRDefault="00F05AB2" w:rsidP="001C488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9.   </w:t>
      </w:r>
      <w:r w:rsidRPr="000C0842">
        <w:rPr>
          <w:rFonts w:eastAsia="SimSun" w:hint="eastAsia"/>
          <w:sz w:val="24"/>
          <w:szCs w:val="24"/>
          <w:lang w:val="en-GB"/>
        </w:rPr>
        <w:t>可</w:t>
      </w:r>
      <w:r w:rsidRPr="000C0842">
        <w:rPr>
          <w:rFonts w:eastAsia="SimSun" w:hint="eastAsia"/>
          <w:sz w:val="24"/>
          <w:szCs w:val="24"/>
        </w:rPr>
        <w:t>通过以下方式加强资源提供和使用的吸收率、可获性、效力、效率、透明度和问责制</w:t>
      </w:r>
      <w:r w:rsidRPr="000C0842">
        <w:rPr>
          <w:rFonts w:eastAsia="SimSun" w:hint="eastAsia"/>
          <w:sz w:val="24"/>
          <w:szCs w:val="24"/>
          <w:lang w:val="en-GB"/>
        </w:rPr>
        <w:t>：</w:t>
      </w:r>
    </w:p>
    <w:p w14:paraId="4BA260F3"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(a)</w:t>
      </w:r>
      <w:r w:rsidRPr="000C0842">
        <w:rPr>
          <w:rFonts w:eastAsia="SimSun"/>
          <w:sz w:val="24"/>
          <w:szCs w:val="24"/>
          <w:lang w:val="en-GB"/>
        </w:rPr>
        <w:tab/>
      </w:r>
      <w:r w:rsidRPr="000C0842">
        <w:rPr>
          <w:rFonts w:eastAsia="SimSun" w:hint="eastAsia"/>
          <w:sz w:val="24"/>
          <w:szCs w:val="24"/>
          <w:lang w:val="en-GB"/>
        </w:rPr>
        <w:t>全球环境基金继续采取行动改进其业务和资金获取模式；</w:t>
      </w:r>
    </w:p>
    <w:p w14:paraId="2F6E2252"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(b)</w:t>
      </w:r>
      <w:r w:rsidRPr="000C0842">
        <w:rPr>
          <w:rFonts w:eastAsia="SimSun"/>
          <w:sz w:val="24"/>
          <w:szCs w:val="24"/>
          <w:lang w:val="en-GB"/>
        </w:rPr>
        <w:tab/>
      </w:r>
      <w:r w:rsidRPr="000C0842">
        <w:rPr>
          <w:rFonts w:eastAsia="SimSun" w:hint="eastAsia"/>
          <w:sz w:val="24"/>
          <w:szCs w:val="24"/>
          <w:lang w:val="en-GB"/>
        </w:rPr>
        <w:t>简化国际金融机构包括多边开发银行和慈善组织的生物多样性供资方式，特别是针对土著人民和地方社区、妇女和青年的供资；</w:t>
      </w:r>
    </w:p>
    <w:p w14:paraId="2F2767AD"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(c)</w:t>
      </w:r>
      <w:r w:rsidRPr="000C0842">
        <w:rPr>
          <w:rFonts w:eastAsia="SimSun"/>
          <w:sz w:val="24"/>
          <w:szCs w:val="24"/>
          <w:lang w:val="en-GB"/>
        </w:rPr>
        <w:tab/>
      </w:r>
      <w:r w:rsidRPr="000C0842">
        <w:rPr>
          <w:rFonts w:eastAsia="SimSun" w:hint="eastAsia"/>
          <w:sz w:val="24"/>
          <w:szCs w:val="24"/>
          <w:lang w:val="en-GB"/>
        </w:rPr>
        <w:t>加强各级与生物多样性相关的公共和私人国际融资的透明度、问责制、监测、评估和透明披露；</w:t>
      </w:r>
    </w:p>
    <w:p w14:paraId="15C1210E"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(d)</w:t>
      </w:r>
      <w:r w:rsidRPr="000C0842">
        <w:rPr>
          <w:rFonts w:eastAsia="SimSun"/>
          <w:sz w:val="24"/>
          <w:szCs w:val="24"/>
          <w:lang w:val="en-GB"/>
        </w:rPr>
        <w:tab/>
      </w:r>
      <w:r w:rsidRPr="000C0842">
        <w:rPr>
          <w:rFonts w:eastAsia="SimSun" w:hint="eastAsia"/>
          <w:sz w:val="24"/>
          <w:szCs w:val="24"/>
          <w:lang w:val="en-GB"/>
        </w:rPr>
        <w:t>利用和扩大项目开发和融资的协同作用和互补性，包括针对可持续发展目标的融资，特别是针对生物多样性和气候危机的融资，同时提高报告的透明度，以便根据《昆蒙框架》行动目标</w:t>
      </w:r>
      <w:r w:rsidRPr="000C0842">
        <w:rPr>
          <w:rFonts w:eastAsia="SimSun"/>
          <w:sz w:val="24"/>
          <w:szCs w:val="24"/>
          <w:lang w:val="en-GB"/>
        </w:rPr>
        <w:t xml:space="preserve"> 19(e)</w:t>
      </w:r>
      <w:r w:rsidRPr="000C0842">
        <w:rPr>
          <w:rFonts w:eastAsia="SimSun" w:hint="eastAsia"/>
          <w:sz w:val="24"/>
          <w:szCs w:val="24"/>
          <w:lang w:val="en-GB"/>
        </w:rPr>
        <w:t>，优化国际资金来源之间的生物多样性附带效益和协同作用；</w:t>
      </w:r>
    </w:p>
    <w:p w14:paraId="2D1DDB52"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(e)</w:t>
      </w:r>
      <w:r w:rsidRPr="000C0842">
        <w:rPr>
          <w:rFonts w:eastAsia="SimSun"/>
          <w:sz w:val="24"/>
          <w:szCs w:val="24"/>
          <w:lang w:val="en-GB"/>
        </w:rPr>
        <w:tab/>
      </w:r>
      <w:r w:rsidRPr="000C0842">
        <w:rPr>
          <w:rFonts w:eastAsia="SimSun" w:hint="eastAsia"/>
          <w:sz w:val="24"/>
          <w:szCs w:val="24"/>
          <w:lang w:val="en-GB"/>
        </w:rPr>
        <w:t>将更多可迅速获得的国际资源用于区域、国家和地方各级的主要执行伙伴，特别是土著人民和地方社区、妇女和青年，促进伙伴关系，提高公众认识和促进性别平等，确保社区参与和实地成果，包括酌情采取集体行动、</w:t>
      </w:r>
      <w:r w:rsidRPr="000C0842">
        <w:rPr>
          <w:rFonts w:eastAsia="SimSun"/>
          <w:sz w:val="24"/>
          <w:szCs w:val="24"/>
          <w:lang w:val="en-GB"/>
        </w:rPr>
        <w:t xml:space="preserve"> </w:t>
      </w:r>
      <w:r w:rsidRPr="000C0842">
        <w:rPr>
          <w:rFonts w:eastAsia="SimSun" w:hint="eastAsia"/>
          <w:sz w:val="24"/>
          <w:szCs w:val="24"/>
          <w:lang w:val="en-GB"/>
        </w:rPr>
        <w:t>以地球母亲为中心的方法和非市场方法；</w:t>
      </w:r>
      <w:r w:rsidRPr="000C0842">
        <w:rPr>
          <w:rFonts w:eastAsia="SimSun"/>
          <w:sz w:val="24"/>
          <w:szCs w:val="24"/>
          <w:lang w:val="en-GB"/>
        </w:rPr>
        <w:t xml:space="preserve"> </w:t>
      </w:r>
    </w:p>
    <w:p w14:paraId="6D73AC55"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(f)</w:t>
      </w:r>
      <w:r w:rsidRPr="000C0842">
        <w:rPr>
          <w:rFonts w:eastAsia="SimSun"/>
          <w:sz w:val="24"/>
          <w:szCs w:val="24"/>
          <w:lang w:val="en-GB"/>
        </w:rPr>
        <w:tab/>
      </w:r>
      <w:r w:rsidRPr="000C0842">
        <w:rPr>
          <w:rFonts w:eastAsia="SimSun" w:hint="eastAsia"/>
          <w:sz w:val="24"/>
          <w:szCs w:val="24"/>
          <w:lang w:val="en-GB"/>
        </w:rPr>
        <w:t>加强缔约方、土著人民和地方社区、妇女、青年和其他利益攸关方的自主权和获得资金的能力；</w:t>
      </w:r>
    </w:p>
    <w:p w14:paraId="09A72707"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(g)</w:t>
      </w:r>
      <w:r w:rsidRPr="000C0842">
        <w:rPr>
          <w:rFonts w:eastAsia="SimSun"/>
          <w:sz w:val="24"/>
          <w:szCs w:val="24"/>
          <w:lang w:val="en-GB"/>
        </w:rPr>
        <w:tab/>
      </w:r>
      <w:r w:rsidRPr="000C0842">
        <w:rPr>
          <w:rFonts w:eastAsia="SimSun" w:hint="eastAsia"/>
          <w:sz w:val="24"/>
          <w:szCs w:val="24"/>
          <w:lang w:val="en-GB"/>
        </w:rPr>
        <w:t>鼓励联合国发展系统根据需要进一步加强联合国国家工作队的能力，以便应要求支持方案国将国家生物多样性战略和行动计划以及其他国家生物多样性规划</w:t>
      </w:r>
      <w:r w:rsidRPr="000C0842">
        <w:rPr>
          <w:rFonts w:eastAsia="SimSun"/>
          <w:sz w:val="24"/>
          <w:szCs w:val="24"/>
          <w:lang w:val="en-GB"/>
        </w:rPr>
        <w:t xml:space="preserve"> </w:t>
      </w:r>
      <w:r w:rsidRPr="000C0842">
        <w:rPr>
          <w:rFonts w:eastAsia="SimSun" w:hint="eastAsia"/>
          <w:sz w:val="24"/>
          <w:szCs w:val="24"/>
          <w:lang w:val="en-GB"/>
        </w:rPr>
        <w:t>文书中确定的优先事项纳入联合国可持续发展合作框架；</w:t>
      </w:r>
    </w:p>
    <w:p w14:paraId="6C90EB9E"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 xml:space="preserve">(h)    </w:t>
      </w:r>
      <w:r w:rsidRPr="000C0842">
        <w:rPr>
          <w:rFonts w:eastAsia="SimSun" w:hint="eastAsia"/>
          <w:sz w:val="24"/>
          <w:szCs w:val="24"/>
          <w:lang w:val="en-GB"/>
        </w:rPr>
        <w:t>酌情利用国际融资带动国内公共和私人生物多样性融资，包括支持执行国家生物多样性融资计划。</w:t>
      </w:r>
    </w:p>
    <w:p w14:paraId="0EABEF75"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ind w:left="490" w:hanging="490"/>
        <w:jc w:val="left"/>
        <w:rPr>
          <w:rFonts w:eastAsia="SimSun"/>
          <w:b/>
          <w:bCs/>
          <w:sz w:val="24"/>
          <w:szCs w:val="24"/>
          <w:lang w:val="en-GB"/>
        </w:rPr>
      </w:pPr>
      <w:r w:rsidRPr="000C0842">
        <w:rPr>
          <w:rFonts w:eastAsia="SimSun"/>
          <w:b/>
          <w:bCs/>
          <w:sz w:val="24"/>
          <w:szCs w:val="24"/>
          <w:lang w:val="en-GB"/>
        </w:rPr>
        <w:t>B.</w:t>
      </w:r>
      <w:r w:rsidRPr="000C0842">
        <w:rPr>
          <w:rFonts w:eastAsia="SimSun"/>
          <w:b/>
          <w:bCs/>
          <w:sz w:val="24"/>
          <w:szCs w:val="24"/>
          <w:lang w:val="en-GB"/>
        </w:rPr>
        <w:tab/>
      </w:r>
      <w:r w:rsidRPr="000C0842">
        <w:rPr>
          <w:rFonts w:eastAsia="SimSun" w:hint="eastAsia"/>
          <w:b/>
          <w:bCs/>
          <w:sz w:val="24"/>
          <w:szCs w:val="24"/>
          <w:lang w:val="en-GB"/>
        </w:rPr>
        <w:t>大幅增加从所有来源调动的国内资源</w:t>
      </w:r>
    </w:p>
    <w:p w14:paraId="750E1412"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ind w:left="490" w:hanging="490"/>
        <w:jc w:val="left"/>
        <w:rPr>
          <w:rFonts w:eastAsia="SimSun"/>
          <w:b/>
          <w:bCs/>
          <w:sz w:val="24"/>
          <w:szCs w:val="24"/>
          <w:lang w:val="en-GB"/>
        </w:rPr>
      </w:pPr>
      <w:r w:rsidRPr="000C0842">
        <w:rPr>
          <w:rFonts w:eastAsia="SimSun"/>
          <w:b/>
          <w:bCs/>
          <w:sz w:val="24"/>
          <w:szCs w:val="24"/>
          <w:lang w:val="en-GB"/>
        </w:rPr>
        <w:t>1.</w:t>
      </w:r>
      <w:r w:rsidRPr="000C0842">
        <w:rPr>
          <w:rFonts w:eastAsia="SimSun"/>
          <w:b/>
          <w:bCs/>
          <w:sz w:val="24"/>
          <w:szCs w:val="24"/>
          <w:lang w:val="en-GB"/>
        </w:rPr>
        <w:tab/>
      </w:r>
      <w:r w:rsidRPr="000C0842">
        <w:rPr>
          <w:rFonts w:eastAsia="SimSun" w:hint="eastAsia"/>
          <w:b/>
          <w:bCs/>
          <w:sz w:val="24"/>
          <w:szCs w:val="24"/>
          <w:lang w:val="en-GB"/>
        </w:rPr>
        <w:t>新的和额外资源</w:t>
      </w:r>
    </w:p>
    <w:p w14:paraId="3824FC10" w14:textId="77777777" w:rsidR="00F05AB2" w:rsidRPr="000C0842" w:rsidRDefault="00F05AB2" w:rsidP="001C488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10.</w:t>
      </w:r>
      <w:r w:rsidRPr="000C0842">
        <w:rPr>
          <w:rFonts w:eastAsia="SimSun"/>
          <w:sz w:val="24"/>
          <w:szCs w:val="24"/>
          <w:lang w:val="en-GB"/>
        </w:rPr>
        <w:tab/>
      </w:r>
      <w:r w:rsidRPr="000C0842">
        <w:rPr>
          <w:rFonts w:eastAsia="SimSun" w:hint="eastAsia"/>
          <w:sz w:val="24"/>
          <w:szCs w:val="24"/>
          <w:lang w:val="en-GB"/>
        </w:rPr>
        <w:t>根据《昆蒙框架》行动目标</w:t>
      </w:r>
      <w:r w:rsidRPr="000C0842">
        <w:rPr>
          <w:rFonts w:eastAsia="SimSun"/>
          <w:sz w:val="24"/>
          <w:szCs w:val="24"/>
          <w:lang w:val="en-GB"/>
        </w:rPr>
        <w:t xml:space="preserve"> 19(b)</w:t>
      </w:r>
      <w:r w:rsidRPr="000C0842">
        <w:rPr>
          <w:rFonts w:eastAsia="SimSun" w:hint="eastAsia"/>
          <w:sz w:val="24"/>
          <w:szCs w:val="24"/>
          <w:lang w:val="en-GB"/>
        </w:rPr>
        <w:t>调动新的和额外资源，以大幅增加国内资源调动，具体做法是：</w:t>
      </w:r>
    </w:p>
    <w:p w14:paraId="7DE6BFA9"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(a)</w:t>
      </w:r>
      <w:r w:rsidRPr="000C0842">
        <w:rPr>
          <w:rFonts w:eastAsia="SimSun"/>
          <w:sz w:val="24"/>
          <w:szCs w:val="24"/>
          <w:lang w:val="en-GB"/>
        </w:rPr>
        <w:tab/>
      </w:r>
      <w:r w:rsidRPr="000C0842">
        <w:rPr>
          <w:rFonts w:eastAsia="SimSun" w:hint="eastAsia"/>
          <w:sz w:val="24"/>
          <w:szCs w:val="24"/>
          <w:lang w:val="en-GB"/>
        </w:rPr>
        <w:t>各缔约方承诺根据其能力，按照《公约》第</w:t>
      </w:r>
      <w:r w:rsidRPr="000C0842">
        <w:rPr>
          <w:rFonts w:eastAsia="SimSun"/>
          <w:sz w:val="24"/>
          <w:szCs w:val="24"/>
          <w:lang w:val="en-GB"/>
        </w:rPr>
        <w:t xml:space="preserve"> </w:t>
      </w:r>
      <w:hyperlink r:id="rId350" w:history="1">
        <w:r w:rsidRPr="000C0842">
          <w:rPr>
            <w:rFonts w:eastAsia="SimSun"/>
            <w:sz w:val="24"/>
            <w:szCs w:val="24"/>
            <w:u w:val="single"/>
            <w:lang w:val="en-GB"/>
          </w:rPr>
          <w:t>20</w:t>
        </w:r>
      </w:hyperlink>
      <w:r w:rsidRPr="000C0842">
        <w:rPr>
          <w:rFonts w:eastAsia="SimSun"/>
          <w:sz w:val="24"/>
          <w:szCs w:val="24"/>
          <w:lang w:val="en-GB"/>
        </w:rPr>
        <w:t xml:space="preserve"> </w:t>
      </w:r>
      <w:r w:rsidRPr="000C0842">
        <w:rPr>
          <w:rFonts w:eastAsia="SimSun" w:hint="eastAsia"/>
          <w:sz w:val="24"/>
          <w:szCs w:val="24"/>
          <w:lang w:val="en-GB"/>
        </w:rPr>
        <w:t>条的规定，根据其国家计划、优先事项和方案，为旨在实现《公约》目标的国家活动提供财务支持和奖励；</w:t>
      </w:r>
    </w:p>
    <w:p w14:paraId="1853AC09"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(b)    </w:t>
      </w:r>
      <w:r w:rsidRPr="000C0842">
        <w:rPr>
          <w:rFonts w:eastAsia="SimSun" w:hint="eastAsia"/>
          <w:sz w:val="24"/>
          <w:szCs w:val="24"/>
          <w:lang w:val="en-GB"/>
        </w:rPr>
        <w:t>其他国家政府考虑增加其国内生物多样性资金；</w:t>
      </w:r>
    </w:p>
    <w:p w14:paraId="5CFB8FA3"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(c)</w:t>
      </w:r>
      <w:r w:rsidRPr="000C0842">
        <w:rPr>
          <w:rFonts w:eastAsia="SimSun"/>
          <w:sz w:val="24"/>
          <w:szCs w:val="24"/>
          <w:lang w:val="en-GB"/>
        </w:rPr>
        <w:tab/>
      </w:r>
      <w:r w:rsidRPr="000C0842">
        <w:rPr>
          <w:rFonts w:eastAsia="SimSun" w:hint="eastAsia"/>
          <w:sz w:val="24"/>
          <w:szCs w:val="24"/>
          <w:lang w:val="en-GB"/>
        </w:rPr>
        <w:t>私人金融行为体包括慈善机构考虑增加其国内生物多样性资金；</w:t>
      </w:r>
    </w:p>
    <w:p w14:paraId="39C24D29" w14:textId="77777777" w:rsidR="00F05AB2" w:rsidRPr="000C0842" w:rsidRDefault="00F05AB2" w:rsidP="001C488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11.   </w:t>
      </w:r>
      <w:r w:rsidRPr="000C0842">
        <w:rPr>
          <w:rFonts w:eastAsia="SimSun" w:hint="eastAsia"/>
          <w:sz w:val="24"/>
          <w:szCs w:val="24"/>
          <w:lang w:val="en-GB"/>
        </w:rPr>
        <w:t>可通过以下方法进一步调动新的和额外资源：</w:t>
      </w:r>
      <w:r w:rsidRPr="000C0842">
        <w:rPr>
          <w:rFonts w:eastAsia="SimSun"/>
          <w:sz w:val="24"/>
          <w:szCs w:val="24"/>
          <w:lang w:val="en-GB"/>
        </w:rPr>
        <w:t xml:space="preserve"> </w:t>
      </w:r>
    </w:p>
    <w:p w14:paraId="6E16FBC7"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(a)     </w:t>
      </w:r>
      <w:r w:rsidRPr="000C0842">
        <w:rPr>
          <w:rFonts w:eastAsia="SimSun" w:hint="eastAsia"/>
          <w:sz w:val="24"/>
          <w:szCs w:val="24"/>
          <w:lang w:val="en-GB"/>
        </w:rPr>
        <w:t>根据《昆蒙框架》行动目标</w:t>
      </w:r>
      <w:r w:rsidRPr="000C0842">
        <w:rPr>
          <w:rFonts w:eastAsia="SimSun"/>
          <w:sz w:val="24"/>
          <w:szCs w:val="24"/>
          <w:lang w:val="en-GB"/>
        </w:rPr>
        <w:t xml:space="preserve"> 19(e)</w:t>
      </w:r>
      <w:r w:rsidRPr="000C0842">
        <w:rPr>
          <w:rFonts w:eastAsia="SimSun" w:hint="eastAsia"/>
          <w:sz w:val="24"/>
          <w:szCs w:val="24"/>
          <w:lang w:val="en-GB"/>
        </w:rPr>
        <w:t>，优化针对生物多样性和气候危机的融资的附带效益和协同作用；</w:t>
      </w:r>
    </w:p>
    <w:p w14:paraId="02C5F1FD"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(b)     </w:t>
      </w:r>
      <w:r w:rsidRPr="000C0842">
        <w:rPr>
          <w:rFonts w:eastAsia="SimSun" w:hint="eastAsia"/>
          <w:sz w:val="24"/>
          <w:szCs w:val="24"/>
          <w:lang w:val="en-GB"/>
        </w:rPr>
        <w:t>根据《昆蒙框架》行动目标</w:t>
      </w:r>
      <w:r w:rsidRPr="000C0842">
        <w:rPr>
          <w:rFonts w:eastAsia="SimSun"/>
          <w:sz w:val="24"/>
          <w:szCs w:val="24"/>
          <w:lang w:val="en-GB"/>
        </w:rPr>
        <w:t>18</w:t>
      </w:r>
      <w:r w:rsidRPr="000C0842">
        <w:rPr>
          <w:rFonts w:eastAsia="SimSun" w:hint="eastAsia"/>
          <w:sz w:val="24"/>
          <w:szCs w:val="24"/>
          <w:lang w:val="en-GB"/>
        </w:rPr>
        <w:t>，扩大保护和可持续利用生物多样性的积极激励措施；</w:t>
      </w:r>
    </w:p>
    <w:p w14:paraId="7EE13193"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(c)    </w:t>
      </w:r>
      <w:r w:rsidRPr="000C0842">
        <w:rPr>
          <w:rFonts w:eastAsia="SimSun" w:hint="eastAsia"/>
          <w:sz w:val="24"/>
          <w:szCs w:val="24"/>
          <w:lang w:val="en-GB"/>
        </w:rPr>
        <w:t>根据《昆蒙框架》行动目标</w:t>
      </w:r>
      <w:r w:rsidRPr="000C0842">
        <w:rPr>
          <w:rFonts w:eastAsia="SimSun"/>
          <w:sz w:val="24"/>
          <w:szCs w:val="24"/>
          <w:lang w:val="en-GB"/>
        </w:rPr>
        <w:t xml:space="preserve"> 19(c)</w:t>
      </w:r>
      <w:r w:rsidRPr="000C0842">
        <w:rPr>
          <w:rFonts w:eastAsia="SimSun" w:hint="eastAsia"/>
          <w:sz w:val="24"/>
          <w:szCs w:val="24"/>
          <w:lang w:val="en-GB"/>
        </w:rPr>
        <w:t>，在有环境和社会保障的情况下，通过利用私人资金、促进混合融资、实施新的和额外资源筹集战略，鼓励私营部门，包括慈善部门投资于生物多样性，包括通过影响力基金和其他工具，并酌情通过伙伴关系，大幅增加用于生物多样性的国内私人资金，包括来自慈善组织的资金；</w:t>
      </w:r>
    </w:p>
    <w:p w14:paraId="2037DD3A"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(d)    </w:t>
      </w:r>
      <w:r w:rsidRPr="000C0842">
        <w:rPr>
          <w:rFonts w:eastAsia="SimSun" w:hint="eastAsia"/>
          <w:sz w:val="24"/>
          <w:szCs w:val="24"/>
          <w:lang w:val="en-GB"/>
        </w:rPr>
        <w:t>根据《昆蒙框架》行动目标</w:t>
      </w:r>
      <w:r w:rsidRPr="000C0842">
        <w:rPr>
          <w:rFonts w:eastAsia="SimSun"/>
          <w:sz w:val="24"/>
          <w:szCs w:val="24"/>
          <w:lang w:val="en-GB"/>
        </w:rPr>
        <w:t xml:space="preserve"> 19(d)</w:t>
      </w:r>
      <w:r w:rsidRPr="000C0842">
        <w:rPr>
          <w:rFonts w:eastAsia="SimSun" w:hint="eastAsia"/>
          <w:sz w:val="24"/>
          <w:szCs w:val="24"/>
          <w:lang w:val="en-GB"/>
        </w:rPr>
        <w:t>，激励具有环境和社会保障的创新计划；</w:t>
      </w:r>
    </w:p>
    <w:p w14:paraId="1A2EB830"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(e)    </w:t>
      </w:r>
      <w:r w:rsidRPr="000C0842">
        <w:rPr>
          <w:rFonts w:eastAsia="SimSun" w:hint="eastAsia"/>
          <w:sz w:val="24"/>
          <w:szCs w:val="24"/>
          <w:lang w:val="en-GB"/>
        </w:rPr>
        <w:t>根据《昆蒙框架》行动目标</w:t>
      </w:r>
      <w:r w:rsidRPr="000C0842">
        <w:rPr>
          <w:rFonts w:eastAsia="SimSun"/>
          <w:sz w:val="24"/>
          <w:szCs w:val="24"/>
          <w:lang w:val="en-GB"/>
        </w:rPr>
        <w:t>19(f</w:t>
      </w:r>
      <w:r w:rsidRPr="000C0842">
        <w:rPr>
          <w:rFonts w:eastAsia="SimSun" w:hint="eastAsia"/>
          <w:sz w:val="24"/>
          <w:szCs w:val="24"/>
          <w:lang w:val="en-GB"/>
        </w:rPr>
        <w:t>)</w:t>
      </w:r>
      <w:r w:rsidRPr="000C0842">
        <w:rPr>
          <w:rFonts w:eastAsia="SimSun" w:hint="eastAsia"/>
          <w:sz w:val="24"/>
          <w:szCs w:val="24"/>
          <w:lang w:val="en-GB"/>
        </w:rPr>
        <w:t>，加强集体行动的作用，包括土著人民和地方社区、妇女和青年的集体行动，以地球母亲为中心的行动和非市场方法，根据国家法律和具体情况，酌情考虑采取以下行动：</w:t>
      </w:r>
    </w:p>
    <w:p w14:paraId="0D5CD32C" w14:textId="77777777" w:rsidR="00F05AB2" w:rsidRPr="000C0842" w:rsidRDefault="00F05AB2">
      <w:pPr>
        <w:numPr>
          <w:ilvl w:val="0"/>
          <w:numId w:val="213"/>
        </w:numPr>
        <w:tabs>
          <w:tab w:val="clear" w:pos="567"/>
          <w:tab w:val="clear" w:pos="1134"/>
          <w:tab w:val="clear" w:pos="1701"/>
          <w:tab w:val="clear" w:pos="2268"/>
        </w:tabs>
        <w:adjustRightInd w:val="0"/>
        <w:spacing w:before="120" w:after="120" w:line="240" w:lineRule="atLeast"/>
        <w:ind w:left="2160" w:hanging="720"/>
        <w:jc w:val="left"/>
        <w:rPr>
          <w:rFonts w:eastAsia="SimSun"/>
          <w:sz w:val="24"/>
          <w:szCs w:val="24"/>
          <w:lang w:val="en-GB"/>
        </w:rPr>
      </w:pPr>
      <w:r w:rsidRPr="000C0842">
        <w:rPr>
          <w:rFonts w:eastAsia="SimSun" w:hint="eastAsia"/>
          <w:sz w:val="24"/>
          <w:szCs w:val="24"/>
          <w:lang w:val="en-GB"/>
        </w:rPr>
        <w:t>以这些行动和方法为基础，制定和执行保护、可持续利用和恢复生物多样性的政策手段；</w:t>
      </w:r>
    </w:p>
    <w:p w14:paraId="3D1DE845" w14:textId="77777777" w:rsidR="00F05AB2" w:rsidRPr="000C0842" w:rsidRDefault="00F05AB2">
      <w:pPr>
        <w:numPr>
          <w:ilvl w:val="0"/>
          <w:numId w:val="213"/>
        </w:numPr>
        <w:tabs>
          <w:tab w:val="clear" w:pos="567"/>
          <w:tab w:val="clear" w:pos="1134"/>
          <w:tab w:val="clear" w:pos="1701"/>
          <w:tab w:val="clear" w:pos="2268"/>
        </w:tabs>
        <w:adjustRightInd w:val="0"/>
        <w:spacing w:before="120" w:after="120" w:line="240" w:lineRule="atLeast"/>
        <w:ind w:left="2160" w:hanging="720"/>
        <w:jc w:val="left"/>
        <w:rPr>
          <w:rFonts w:eastAsia="SimSun"/>
          <w:sz w:val="24"/>
          <w:szCs w:val="24"/>
          <w:lang w:val="en-GB"/>
        </w:rPr>
      </w:pPr>
      <w:r w:rsidRPr="000C0842">
        <w:rPr>
          <w:rFonts w:eastAsia="SimSun" w:hint="eastAsia"/>
          <w:sz w:val="24"/>
          <w:szCs w:val="24"/>
          <w:lang w:val="en-GB"/>
        </w:rPr>
        <w:t>将这些行动和方法纳入各项措施和框架，促进可持续生产和消费模式，为实现可持续发展目标</w:t>
      </w:r>
      <w:r w:rsidRPr="000C0842">
        <w:rPr>
          <w:rFonts w:eastAsia="SimSun"/>
          <w:sz w:val="24"/>
          <w:szCs w:val="24"/>
          <w:lang w:val="en-GB"/>
        </w:rPr>
        <w:t>12</w:t>
      </w:r>
      <w:r w:rsidRPr="000C0842">
        <w:rPr>
          <w:rFonts w:eastAsia="SimSun" w:hint="eastAsia"/>
          <w:sz w:val="24"/>
          <w:szCs w:val="24"/>
          <w:lang w:val="en-GB"/>
        </w:rPr>
        <w:t>作出贡献；</w:t>
      </w:r>
    </w:p>
    <w:p w14:paraId="3F647C21" w14:textId="77777777" w:rsidR="00F05AB2" w:rsidRPr="000C0842" w:rsidRDefault="00F05AB2">
      <w:pPr>
        <w:numPr>
          <w:ilvl w:val="0"/>
          <w:numId w:val="213"/>
        </w:numPr>
        <w:tabs>
          <w:tab w:val="clear" w:pos="567"/>
          <w:tab w:val="clear" w:pos="1134"/>
          <w:tab w:val="clear" w:pos="1701"/>
          <w:tab w:val="clear" w:pos="2268"/>
        </w:tabs>
        <w:adjustRightInd w:val="0"/>
        <w:spacing w:before="120" w:after="120" w:line="240" w:lineRule="atLeast"/>
        <w:ind w:left="2160" w:hanging="720"/>
        <w:jc w:val="left"/>
        <w:rPr>
          <w:rFonts w:eastAsia="SimSun"/>
          <w:sz w:val="24"/>
          <w:szCs w:val="24"/>
          <w:lang w:val="en-GB"/>
        </w:rPr>
      </w:pPr>
      <w:r w:rsidRPr="000C0842">
        <w:rPr>
          <w:rFonts w:eastAsia="SimSun" w:hint="eastAsia"/>
          <w:sz w:val="24"/>
          <w:szCs w:val="24"/>
          <w:lang w:val="en-GB"/>
        </w:rPr>
        <w:t>加强不同的价值体系，包括与地球母亲平衡和谐共处的价值体系；</w:t>
      </w:r>
    </w:p>
    <w:p w14:paraId="0CFAC865" w14:textId="77777777" w:rsidR="00F05AB2" w:rsidRPr="000C0842" w:rsidRDefault="00F05AB2">
      <w:pPr>
        <w:numPr>
          <w:ilvl w:val="0"/>
          <w:numId w:val="213"/>
        </w:numPr>
        <w:tabs>
          <w:tab w:val="clear" w:pos="567"/>
          <w:tab w:val="clear" w:pos="1134"/>
          <w:tab w:val="clear" w:pos="1701"/>
          <w:tab w:val="clear" w:pos="2268"/>
        </w:tabs>
        <w:adjustRightInd w:val="0"/>
        <w:spacing w:before="120" w:after="120" w:line="240" w:lineRule="atLeast"/>
        <w:ind w:left="2160" w:hanging="720"/>
        <w:jc w:val="left"/>
        <w:rPr>
          <w:rFonts w:eastAsia="SimSun"/>
          <w:sz w:val="24"/>
          <w:szCs w:val="24"/>
          <w:lang w:val="en-GB"/>
        </w:rPr>
      </w:pPr>
      <w:r w:rsidRPr="000C0842">
        <w:rPr>
          <w:rFonts w:eastAsia="SimSun" w:hint="eastAsia"/>
          <w:sz w:val="24"/>
          <w:szCs w:val="24"/>
          <w:lang w:val="en-GB"/>
        </w:rPr>
        <w:t>为承认自然的权利和地球母亲的权利的国家加强这些权利；</w:t>
      </w:r>
    </w:p>
    <w:p w14:paraId="0BE68C55" w14:textId="77777777" w:rsidR="00F05AB2" w:rsidRPr="000C0842" w:rsidRDefault="00F05AB2" w:rsidP="00F05AB2">
      <w:pPr>
        <w:tabs>
          <w:tab w:val="clear" w:pos="567"/>
          <w:tab w:val="clear" w:pos="1134"/>
          <w:tab w:val="clear" w:pos="1701"/>
          <w:tab w:val="clear" w:pos="2268"/>
        </w:tabs>
        <w:adjustRightInd w:val="0"/>
        <w:snapToGrid w:val="0"/>
        <w:spacing w:before="120" w:after="120"/>
        <w:ind w:left="490" w:firstLine="490"/>
        <w:jc w:val="left"/>
        <w:rPr>
          <w:rFonts w:eastAsia="SimSun"/>
          <w:sz w:val="24"/>
          <w:szCs w:val="24"/>
          <w:lang w:val="en-GB"/>
        </w:rPr>
      </w:pPr>
      <w:r w:rsidRPr="000C0842">
        <w:rPr>
          <w:rFonts w:eastAsia="SimSun"/>
          <w:sz w:val="24"/>
          <w:szCs w:val="24"/>
          <w:lang w:val="en-GB"/>
        </w:rPr>
        <w:t xml:space="preserve">(f)    </w:t>
      </w:r>
      <w:r w:rsidRPr="000C0842">
        <w:rPr>
          <w:rFonts w:eastAsia="SimSun" w:hint="eastAsia"/>
          <w:sz w:val="24"/>
          <w:szCs w:val="24"/>
          <w:lang w:val="en-GB"/>
        </w:rPr>
        <w:t>在国家和次国家各级大幅增加使用基于自然的解决方案和</w:t>
      </w:r>
      <w:r w:rsidRPr="000C0842">
        <w:rPr>
          <w:rFonts w:eastAsia="SimSun"/>
          <w:sz w:val="24"/>
          <w:szCs w:val="24"/>
          <w:lang w:val="en-GB"/>
        </w:rPr>
        <w:t>/</w:t>
      </w:r>
      <w:r w:rsidRPr="000C0842">
        <w:rPr>
          <w:rFonts w:eastAsia="SimSun" w:hint="eastAsia"/>
          <w:sz w:val="24"/>
          <w:szCs w:val="24"/>
          <w:lang w:val="en-GB"/>
        </w:rPr>
        <w:t>或基于生态系统的方法，并提供环境和社会保障</w:t>
      </w:r>
      <w:r w:rsidRPr="000C0842">
        <w:rPr>
          <w:rFonts w:eastAsia="SimSun"/>
          <w:sz w:val="24"/>
          <w:szCs w:val="24"/>
          <w:vertAlign w:val="superscript"/>
        </w:rPr>
        <w:footnoteReference w:id="492"/>
      </w:r>
      <w:r w:rsidRPr="000C0842">
        <w:rPr>
          <w:rFonts w:eastAsia="SimSun" w:hint="eastAsia"/>
          <w:sz w:val="24"/>
          <w:szCs w:val="24"/>
          <w:lang w:val="en-GB"/>
        </w:rPr>
        <w:t>。</w:t>
      </w:r>
      <w:r w:rsidRPr="000C0842">
        <w:rPr>
          <w:rFonts w:eastAsia="SimSun"/>
          <w:sz w:val="24"/>
          <w:szCs w:val="24"/>
          <w:lang w:val="en-GB"/>
        </w:rPr>
        <w:tab/>
      </w:r>
    </w:p>
    <w:p w14:paraId="26A250DA"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line="240" w:lineRule="atLeast"/>
        <w:ind w:left="490" w:hanging="490"/>
        <w:jc w:val="left"/>
        <w:rPr>
          <w:rFonts w:eastAsia="SimSun"/>
          <w:b/>
          <w:bCs/>
          <w:sz w:val="24"/>
          <w:szCs w:val="24"/>
          <w:lang w:val="en-GB"/>
        </w:rPr>
      </w:pPr>
      <w:r w:rsidRPr="000C0842">
        <w:rPr>
          <w:rFonts w:eastAsia="SimSun"/>
          <w:b/>
          <w:bCs/>
          <w:sz w:val="24"/>
          <w:szCs w:val="24"/>
          <w:lang w:val="en-GB"/>
        </w:rPr>
        <w:t>2.</w:t>
      </w:r>
      <w:r w:rsidRPr="000C0842">
        <w:rPr>
          <w:rFonts w:eastAsia="SimSun"/>
          <w:b/>
          <w:bCs/>
          <w:sz w:val="24"/>
          <w:szCs w:val="24"/>
          <w:lang w:val="en-GB"/>
        </w:rPr>
        <w:tab/>
      </w:r>
      <w:r w:rsidRPr="000C0842">
        <w:rPr>
          <w:rFonts w:eastAsia="SimSun" w:hint="eastAsia"/>
          <w:b/>
          <w:bCs/>
          <w:sz w:val="24"/>
          <w:szCs w:val="24"/>
          <w:lang w:val="en-GB"/>
        </w:rPr>
        <w:t>确定、消除、逐步淘汰和改革对生物多样性有害的资金流动，</w:t>
      </w:r>
      <w:r w:rsidRPr="000C0842">
        <w:rPr>
          <w:rFonts w:eastAsia="SimSun" w:hint="eastAsia"/>
          <w:b/>
          <w:bCs/>
          <w:sz w:val="24"/>
          <w:szCs w:val="24"/>
        </w:rPr>
        <w:t>并使其逐步与《昆明</w:t>
      </w:r>
      <w:r w:rsidRPr="000C0842">
        <w:rPr>
          <w:rFonts w:eastAsia="SimSun"/>
          <w:b/>
          <w:bCs/>
          <w:sz w:val="24"/>
          <w:szCs w:val="24"/>
        </w:rPr>
        <w:t>-</w:t>
      </w:r>
      <w:r w:rsidRPr="000C0842">
        <w:rPr>
          <w:rFonts w:eastAsia="SimSun" w:hint="eastAsia"/>
          <w:b/>
          <w:bCs/>
          <w:sz w:val="24"/>
          <w:szCs w:val="24"/>
        </w:rPr>
        <w:t>蒙特利尔全球生物多样性框架》的长期目标和行动目标相一致</w:t>
      </w:r>
    </w:p>
    <w:p w14:paraId="3C0488F9" w14:textId="77777777" w:rsidR="00F05AB2" w:rsidRPr="000C0842" w:rsidRDefault="00F05AB2" w:rsidP="001C488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CA"/>
        </w:rPr>
      </w:pPr>
      <w:r w:rsidRPr="000C0842">
        <w:rPr>
          <w:rFonts w:eastAsia="SimSun"/>
          <w:sz w:val="24"/>
          <w:szCs w:val="24"/>
          <w:lang w:val="en-GB"/>
        </w:rPr>
        <w:t>12.</w:t>
      </w:r>
      <w:r w:rsidRPr="000C0842">
        <w:rPr>
          <w:rFonts w:eastAsia="SimSun"/>
          <w:sz w:val="24"/>
          <w:szCs w:val="24"/>
          <w:lang w:val="en-CA"/>
        </w:rPr>
        <w:tab/>
      </w:r>
      <w:r w:rsidRPr="000C0842">
        <w:rPr>
          <w:rFonts w:eastAsia="SimSun" w:hint="eastAsia"/>
          <w:sz w:val="24"/>
          <w:szCs w:val="24"/>
          <w:lang w:val="en-GB"/>
        </w:rPr>
        <w:t>通过以下方式确定</w:t>
      </w:r>
      <w:r w:rsidRPr="000C0842">
        <w:rPr>
          <w:rFonts w:eastAsia="SimSun" w:hint="eastAsia"/>
          <w:sz w:val="24"/>
          <w:szCs w:val="24"/>
          <w:lang w:val="en-CA"/>
        </w:rPr>
        <w:t>、消除、逐步淘汰或改革对生物多样性</w:t>
      </w:r>
      <w:r w:rsidRPr="000C0842">
        <w:rPr>
          <w:rFonts w:eastAsia="SimSun" w:hint="eastAsia"/>
          <w:sz w:val="24"/>
          <w:szCs w:val="24"/>
          <w:lang w:val="en-GB"/>
        </w:rPr>
        <w:t>有害的</w:t>
      </w:r>
      <w:r w:rsidRPr="000C0842">
        <w:rPr>
          <w:rFonts w:eastAsia="SimSun" w:hint="eastAsia"/>
          <w:sz w:val="24"/>
          <w:szCs w:val="24"/>
          <w:lang w:val="en-CA"/>
        </w:rPr>
        <w:t>资金流动，并使其逐步与《昆蒙框架》的长期目标和行动目标相一致：</w:t>
      </w:r>
    </w:p>
    <w:p w14:paraId="150780C4"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(a)</w:t>
      </w:r>
      <w:r w:rsidRPr="000C0842">
        <w:rPr>
          <w:rFonts w:eastAsia="SimSun"/>
          <w:sz w:val="24"/>
          <w:szCs w:val="24"/>
          <w:lang w:val="en-GB"/>
        </w:rPr>
        <w:tab/>
      </w:r>
      <w:r w:rsidRPr="000C0842">
        <w:rPr>
          <w:rFonts w:eastAsia="SimSun" w:hint="eastAsia"/>
          <w:sz w:val="24"/>
          <w:szCs w:val="24"/>
          <w:lang w:val="en-GB"/>
        </w:rPr>
        <w:t>将生物多样性纳入公共预算的主流，逐步使所有相关公共活动以及财政和资金流动与《公约》的目标和《昆蒙框架》的长期目标和行动目标相一致；</w:t>
      </w:r>
    </w:p>
    <w:p w14:paraId="5BE39D8B"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(b)</w:t>
      </w:r>
      <w:r w:rsidRPr="000C0842">
        <w:rPr>
          <w:rFonts w:eastAsia="SimSun"/>
          <w:sz w:val="24"/>
          <w:szCs w:val="24"/>
          <w:lang w:val="en-GB"/>
        </w:rPr>
        <w:tab/>
      </w:r>
      <w:r w:rsidRPr="000C0842">
        <w:rPr>
          <w:rFonts w:eastAsia="SimSun" w:hint="eastAsia"/>
          <w:sz w:val="24"/>
          <w:szCs w:val="24"/>
          <w:lang w:val="en-GB"/>
        </w:rPr>
        <w:t>将生物多样性纳入私营部门的主流，逐步使所有相关私人活动以及财政和资金流动与《公约》的目标和《昆蒙框架》的长期目标和行动目标相一致；</w:t>
      </w:r>
    </w:p>
    <w:p w14:paraId="461FBC21"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(c)</w:t>
      </w:r>
      <w:r w:rsidRPr="000C0842">
        <w:rPr>
          <w:rFonts w:eastAsia="SimSun"/>
          <w:sz w:val="24"/>
          <w:szCs w:val="24"/>
          <w:lang w:val="en-GB"/>
        </w:rPr>
        <w:tab/>
      </w:r>
      <w:r w:rsidRPr="000C0842">
        <w:rPr>
          <w:rFonts w:eastAsia="SimSun" w:hint="eastAsia"/>
          <w:sz w:val="24"/>
          <w:szCs w:val="24"/>
          <w:lang w:val="en-GB"/>
        </w:rPr>
        <w:t>酌情将生物多样性纳入国家中央银行和其他监管机构的政策主流，同时考虑到相关的不同任务规定；</w:t>
      </w:r>
    </w:p>
    <w:p w14:paraId="4A8127A3" w14:textId="3C9052DF"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(d)</w:t>
      </w:r>
      <w:r w:rsidRPr="000C0842">
        <w:rPr>
          <w:rFonts w:eastAsia="SimSun"/>
          <w:sz w:val="24"/>
          <w:szCs w:val="24"/>
          <w:lang w:val="en-GB"/>
        </w:rPr>
        <w:tab/>
      </w:r>
      <w:r w:rsidRPr="000C0842">
        <w:rPr>
          <w:rFonts w:eastAsia="SimSun" w:hint="eastAsia"/>
          <w:sz w:val="24"/>
          <w:szCs w:val="24"/>
          <w:lang w:val="en-GB"/>
        </w:rPr>
        <w:t>根据《昆蒙框架》行动目标</w:t>
      </w:r>
      <w:r w:rsidRPr="000C0842">
        <w:rPr>
          <w:rFonts w:eastAsia="SimSun"/>
          <w:sz w:val="24"/>
          <w:szCs w:val="24"/>
          <w:lang w:val="en-GB"/>
        </w:rPr>
        <w:t xml:space="preserve"> 18</w:t>
      </w:r>
      <w:r w:rsidRPr="000C0842">
        <w:rPr>
          <w:rFonts w:eastAsia="SimSun" w:hint="eastAsia"/>
          <w:sz w:val="24"/>
          <w:szCs w:val="24"/>
          <w:lang w:val="en-GB"/>
        </w:rPr>
        <w:t>，对有害生物多样性的激励措施包括补贴采取有效的国内行动</w:t>
      </w:r>
      <w:r w:rsidRPr="000C0842">
        <w:rPr>
          <w:rFonts w:eastAsia="SimSun"/>
          <w:sz w:val="24"/>
          <w:szCs w:val="24"/>
          <w:lang w:val="en-GB"/>
        </w:rPr>
        <w:t xml:space="preserve"> </w:t>
      </w:r>
      <w:r w:rsidRPr="000C0842">
        <w:rPr>
          <w:rFonts w:eastAsia="SimSun" w:hint="eastAsia"/>
          <w:sz w:val="24"/>
          <w:szCs w:val="24"/>
          <w:lang w:val="en-GB"/>
        </w:rPr>
        <w:t>，同时考虑到</w:t>
      </w:r>
      <w:r w:rsidRPr="000C0842">
        <w:rPr>
          <w:rFonts w:eastAsia="SimSun"/>
          <w:sz w:val="24"/>
          <w:szCs w:val="24"/>
          <w:lang w:val="en-GB"/>
        </w:rPr>
        <w:t xml:space="preserve"> 2014 </w:t>
      </w:r>
      <w:r w:rsidRPr="000C0842">
        <w:rPr>
          <w:rFonts w:eastAsia="SimSun" w:hint="eastAsia"/>
          <w:sz w:val="24"/>
          <w:szCs w:val="24"/>
          <w:lang w:val="en-GB"/>
        </w:rPr>
        <w:t>年</w:t>
      </w:r>
      <w:r w:rsidRPr="000C0842">
        <w:rPr>
          <w:rFonts w:eastAsia="SimSun"/>
          <w:sz w:val="24"/>
          <w:szCs w:val="24"/>
          <w:lang w:val="en-GB"/>
        </w:rPr>
        <w:t xml:space="preserve"> 10 </w:t>
      </w:r>
      <w:r w:rsidRPr="000C0842">
        <w:rPr>
          <w:rFonts w:eastAsia="SimSun" w:hint="eastAsia"/>
          <w:sz w:val="24"/>
          <w:szCs w:val="24"/>
          <w:lang w:val="en-GB"/>
        </w:rPr>
        <w:t>月</w:t>
      </w:r>
      <w:r w:rsidRPr="000C0842">
        <w:rPr>
          <w:rFonts w:eastAsia="SimSun"/>
          <w:sz w:val="24"/>
          <w:szCs w:val="24"/>
          <w:lang w:val="en-GB"/>
        </w:rPr>
        <w:t xml:space="preserve"> 17 </w:t>
      </w:r>
      <w:r w:rsidRPr="000C0842">
        <w:rPr>
          <w:rFonts w:eastAsia="SimSun" w:hint="eastAsia"/>
          <w:sz w:val="24"/>
          <w:szCs w:val="24"/>
          <w:lang w:val="en-GB"/>
        </w:rPr>
        <w:t>日第</w:t>
      </w:r>
      <w:r w:rsidRPr="000C0842">
        <w:rPr>
          <w:rFonts w:eastAsia="SimSun"/>
          <w:sz w:val="24"/>
          <w:szCs w:val="24"/>
          <w:lang w:val="en-GB"/>
        </w:rPr>
        <w:t xml:space="preserve"> </w:t>
      </w:r>
      <w:hyperlink r:id="rId351" w:history="1">
        <w:r w:rsidRPr="000C0842">
          <w:rPr>
            <w:rFonts w:eastAsia="SimSun"/>
            <w:sz w:val="24"/>
            <w:szCs w:val="24"/>
            <w:u w:val="single"/>
            <w:lang w:val="en-GB"/>
          </w:rPr>
          <w:t>XII/3</w:t>
        </w:r>
      </w:hyperlink>
      <w:r w:rsidRPr="000C0842">
        <w:rPr>
          <w:rFonts w:eastAsia="SimSun"/>
          <w:sz w:val="24"/>
          <w:szCs w:val="24"/>
          <w:lang w:val="en-GB"/>
        </w:rPr>
        <w:t xml:space="preserve"> </w:t>
      </w:r>
      <w:r w:rsidRPr="000C0842">
        <w:rPr>
          <w:rFonts w:eastAsia="SimSun" w:hint="eastAsia"/>
          <w:sz w:val="24"/>
          <w:szCs w:val="24"/>
          <w:lang w:val="en-GB"/>
        </w:rPr>
        <w:t>号决定通过的指导意见；</w:t>
      </w:r>
    </w:p>
    <w:p w14:paraId="57DA7666"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(e)</w:t>
      </w:r>
      <w:r w:rsidRPr="000C0842">
        <w:rPr>
          <w:rFonts w:eastAsia="SimSun"/>
          <w:sz w:val="24"/>
          <w:szCs w:val="24"/>
          <w:lang w:val="en-GB"/>
        </w:rPr>
        <w:tab/>
      </w:r>
      <w:r w:rsidRPr="000C0842">
        <w:rPr>
          <w:rFonts w:eastAsia="SimSun" w:hint="eastAsia"/>
          <w:sz w:val="24"/>
          <w:szCs w:val="24"/>
          <w:lang w:val="en-GB"/>
        </w:rPr>
        <w:t>鼓励和扶持国内企业，特别是确保大公司和金融机构根据《全球生物多样性框架》</w:t>
      </w:r>
      <w:r w:rsidRPr="000C0842">
        <w:rPr>
          <w:rFonts w:eastAsia="SimSun"/>
          <w:sz w:val="24"/>
          <w:szCs w:val="24"/>
          <w:lang w:val="en-GB"/>
        </w:rPr>
        <w:t xml:space="preserve"> </w:t>
      </w:r>
      <w:r w:rsidRPr="000C0842">
        <w:rPr>
          <w:rFonts w:eastAsia="SimSun" w:hint="eastAsia"/>
          <w:sz w:val="24"/>
          <w:szCs w:val="24"/>
          <w:lang w:val="en-GB"/>
        </w:rPr>
        <w:t>行动目标</w:t>
      </w:r>
      <w:r w:rsidRPr="000C0842">
        <w:rPr>
          <w:rFonts w:eastAsia="SimSun"/>
          <w:sz w:val="24"/>
          <w:szCs w:val="24"/>
          <w:lang w:val="en-GB"/>
        </w:rPr>
        <w:t xml:space="preserve"> 15</w:t>
      </w:r>
      <w:r w:rsidRPr="000C0842">
        <w:rPr>
          <w:rFonts w:eastAsia="SimSun" w:hint="eastAsia"/>
          <w:sz w:val="24"/>
          <w:szCs w:val="24"/>
          <w:lang w:val="en-GB"/>
        </w:rPr>
        <w:t>，定期监测、评估和透明地披露其对生物多样性的风险、依赖程度和影响，包括通过与自然相关的披露框架和报告标准</w:t>
      </w:r>
      <w:r w:rsidRPr="000C0842">
        <w:rPr>
          <w:rFonts w:eastAsia="SimSun"/>
          <w:sz w:val="24"/>
          <w:szCs w:val="24"/>
          <w:vertAlign w:val="superscript"/>
        </w:rPr>
        <w:footnoteReference w:id="493"/>
      </w:r>
      <w:r w:rsidRPr="000C0842">
        <w:rPr>
          <w:rFonts w:eastAsia="SimSun"/>
          <w:sz w:val="24"/>
          <w:szCs w:val="24"/>
          <w:lang w:val="en-GB"/>
        </w:rPr>
        <w:t xml:space="preserve"> </w:t>
      </w:r>
      <w:r w:rsidRPr="000C0842">
        <w:rPr>
          <w:rFonts w:eastAsia="SimSun" w:hint="eastAsia"/>
          <w:sz w:val="24"/>
          <w:szCs w:val="24"/>
          <w:lang w:val="en-GB"/>
        </w:rPr>
        <w:t>；</w:t>
      </w:r>
    </w:p>
    <w:p w14:paraId="72FD0D41" w14:textId="77777777" w:rsidR="00F05AB2" w:rsidRPr="000C0842" w:rsidRDefault="00F05AB2" w:rsidP="00F05AB2">
      <w:pPr>
        <w:keepNext/>
        <w:tabs>
          <w:tab w:val="clear" w:pos="567"/>
          <w:tab w:val="clear" w:pos="1134"/>
          <w:tab w:val="clear" w:pos="1701"/>
          <w:tab w:val="clear" w:pos="2268"/>
        </w:tabs>
        <w:adjustRightInd w:val="0"/>
        <w:snapToGrid w:val="0"/>
        <w:spacing w:before="120" w:after="120" w:line="240" w:lineRule="atLeast"/>
        <w:ind w:left="490" w:hanging="490"/>
        <w:jc w:val="left"/>
        <w:rPr>
          <w:rFonts w:eastAsia="SimSun"/>
          <w:b/>
          <w:bCs/>
          <w:sz w:val="24"/>
          <w:szCs w:val="24"/>
          <w:lang w:val="en-GB"/>
        </w:rPr>
      </w:pPr>
      <w:r w:rsidRPr="000C0842">
        <w:rPr>
          <w:rFonts w:eastAsia="SimSun"/>
          <w:b/>
          <w:bCs/>
          <w:sz w:val="24"/>
          <w:szCs w:val="24"/>
          <w:lang w:val="en-GB"/>
        </w:rPr>
        <w:t>3.</w:t>
      </w:r>
      <w:r w:rsidRPr="000C0842">
        <w:rPr>
          <w:rFonts w:eastAsia="SimSun"/>
          <w:b/>
          <w:bCs/>
          <w:sz w:val="24"/>
          <w:szCs w:val="24"/>
          <w:lang w:val="en-GB"/>
        </w:rPr>
        <w:tab/>
      </w:r>
      <w:r w:rsidRPr="000C0842">
        <w:rPr>
          <w:rFonts w:eastAsia="SimSun" w:hint="eastAsia"/>
          <w:b/>
          <w:bCs/>
          <w:sz w:val="24"/>
          <w:szCs w:val="24"/>
          <w:lang w:val="en-GB"/>
        </w:rPr>
        <w:t>提高资源提供和使用的吸收率、可获性、效力、效率、透明度和问责制</w:t>
      </w:r>
    </w:p>
    <w:p w14:paraId="70F26D86" w14:textId="77777777" w:rsidR="00F05AB2" w:rsidRPr="000C0842" w:rsidRDefault="00F05AB2" w:rsidP="001C488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13.</w:t>
      </w:r>
      <w:r w:rsidRPr="000C0842">
        <w:rPr>
          <w:rFonts w:eastAsia="SimSun"/>
          <w:sz w:val="24"/>
          <w:szCs w:val="24"/>
          <w:lang w:val="en-GB"/>
        </w:rPr>
        <w:tab/>
      </w:r>
      <w:r w:rsidRPr="000C0842">
        <w:rPr>
          <w:rFonts w:eastAsia="SimSun" w:hint="eastAsia"/>
          <w:sz w:val="24"/>
          <w:szCs w:val="24"/>
          <w:lang w:val="en-GB"/>
        </w:rPr>
        <w:t>可</w:t>
      </w:r>
      <w:r w:rsidRPr="000C0842">
        <w:rPr>
          <w:rFonts w:eastAsia="SimSun" w:hint="eastAsia"/>
          <w:sz w:val="24"/>
          <w:szCs w:val="24"/>
        </w:rPr>
        <w:t>通过以下方式加强资源提供和使用的吸收率、可获性、效力、效率、透明度和问责制</w:t>
      </w:r>
      <w:r w:rsidRPr="000C0842">
        <w:rPr>
          <w:rFonts w:eastAsia="SimSun" w:hint="eastAsia"/>
          <w:sz w:val="24"/>
          <w:szCs w:val="24"/>
          <w:lang w:val="en-GB"/>
        </w:rPr>
        <w:t>：</w:t>
      </w:r>
    </w:p>
    <w:p w14:paraId="1F6091B6"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(a)</w:t>
      </w:r>
      <w:r w:rsidRPr="000C0842">
        <w:rPr>
          <w:rFonts w:eastAsia="SimSun"/>
          <w:sz w:val="24"/>
          <w:szCs w:val="24"/>
          <w:lang w:val="en-GB"/>
        </w:rPr>
        <w:tab/>
      </w:r>
      <w:r w:rsidRPr="000C0842">
        <w:rPr>
          <w:rFonts w:eastAsia="SimSun" w:hint="eastAsia"/>
          <w:sz w:val="24"/>
          <w:szCs w:val="24"/>
          <w:lang w:val="en-GB"/>
        </w:rPr>
        <w:t>使生物多样性政策与国家发展计划相一致，确保国家和次国家各级的自主权；</w:t>
      </w:r>
    </w:p>
    <w:p w14:paraId="56C2B979"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(b)</w:t>
      </w:r>
      <w:r w:rsidRPr="000C0842">
        <w:rPr>
          <w:rFonts w:eastAsia="SimSun"/>
          <w:sz w:val="24"/>
          <w:szCs w:val="24"/>
          <w:lang w:val="en-GB"/>
        </w:rPr>
        <w:tab/>
      </w:r>
      <w:r w:rsidRPr="000C0842">
        <w:rPr>
          <w:rFonts w:eastAsia="SimSun" w:hint="eastAsia"/>
          <w:sz w:val="24"/>
          <w:szCs w:val="24"/>
          <w:lang w:val="en-GB"/>
        </w:rPr>
        <w:t>加强能力建设和发展、技术援助和技术合作，促进财务规划和资源的有效利用和管理；</w:t>
      </w:r>
    </w:p>
    <w:p w14:paraId="0752464E"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Sun"/>
          <w:sz w:val="24"/>
          <w:szCs w:val="24"/>
          <w:lang w:val="en-GB"/>
        </w:rPr>
      </w:pPr>
      <w:r w:rsidRPr="000C0842">
        <w:rPr>
          <w:rFonts w:eastAsia="SimSun"/>
          <w:sz w:val="24"/>
          <w:szCs w:val="24"/>
          <w:lang w:val="en-GB"/>
        </w:rPr>
        <w:t>(c)</w:t>
      </w:r>
      <w:r w:rsidRPr="000C0842">
        <w:rPr>
          <w:rFonts w:eastAsia="SimSun"/>
          <w:sz w:val="24"/>
          <w:szCs w:val="24"/>
          <w:lang w:val="en-GB"/>
        </w:rPr>
        <w:tab/>
      </w:r>
      <w:r w:rsidRPr="000C0842">
        <w:rPr>
          <w:rFonts w:eastAsia="SimSun" w:hint="eastAsia"/>
          <w:sz w:val="24"/>
          <w:szCs w:val="24"/>
          <w:lang w:val="en-GB"/>
        </w:rPr>
        <w:t>改进资源提供和使用的透明度和问责制的国家监测系统；</w:t>
      </w:r>
    </w:p>
    <w:p w14:paraId="7A5FCEA9" w14:textId="77777777" w:rsidR="00F05AB2" w:rsidRPr="000C0842" w:rsidRDefault="00F05AB2" w:rsidP="00F05AB2">
      <w:pPr>
        <w:tabs>
          <w:tab w:val="clear" w:pos="567"/>
          <w:tab w:val="clear" w:pos="1134"/>
          <w:tab w:val="clear" w:pos="1701"/>
          <w:tab w:val="clear" w:pos="2268"/>
        </w:tabs>
        <w:adjustRightInd w:val="0"/>
        <w:snapToGrid w:val="0"/>
        <w:spacing w:before="120" w:after="120" w:line="240" w:lineRule="atLeast"/>
        <w:ind w:left="490" w:firstLine="490"/>
        <w:jc w:val="left"/>
        <w:rPr>
          <w:rFonts w:eastAsia="SimHei"/>
          <w:b/>
          <w:bCs/>
          <w:sz w:val="24"/>
          <w:szCs w:val="24"/>
        </w:rPr>
      </w:pPr>
      <w:r w:rsidRPr="000C0842">
        <w:rPr>
          <w:rFonts w:eastAsia="SimSun"/>
          <w:bCs/>
          <w:sz w:val="24"/>
          <w:szCs w:val="24"/>
        </w:rPr>
        <w:t>(d)</w:t>
      </w:r>
      <w:r w:rsidRPr="000C0842">
        <w:rPr>
          <w:rFonts w:eastAsia="SimSun"/>
          <w:bCs/>
          <w:sz w:val="24"/>
          <w:szCs w:val="24"/>
        </w:rPr>
        <w:tab/>
      </w:r>
      <w:r w:rsidRPr="000C0842">
        <w:rPr>
          <w:rFonts w:eastAsia="SimSun" w:hint="eastAsia"/>
          <w:bCs/>
          <w:sz w:val="24"/>
          <w:szCs w:val="24"/>
        </w:rPr>
        <w:t>优化国内资金来源之间的附带效益和协同作用，包括用于其他可持续发展目标特别是生物多样性和气候危机的资金。</w:t>
      </w:r>
      <w:r w:rsidRPr="000C0842">
        <w:rPr>
          <w:rFonts w:eastAsia="SimHei"/>
          <w:bCs/>
          <w:sz w:val="24"/>
          <w:szCs w:val="24"/>
        </w:rPr>
        <w:t xml:space="preserve"> </w:t>
      </w:r>
    </w:p>
    <w:p w14:paraId="2B9979C8" w14:textId="77777777" w:rsidR="00F05AB2" w:rsidRPr="000C0842" w:rsidRDefault="00F05AB2" w:rsidP="00617A6E">
      <w:pPr>
        <w:keepNext/>
        <w:keepLines/>
        <w:tabs>
          <w:tab w:val="clear" w:pos="567"/>
          <w:tab w:val="clear" w:pos="1134"/>
          <w:tab w:val="clear" w:pos="1701"/>
          <w:tab w:val="clear" w:pos="2268"/>
          <w:tab w:val="left" w:pos="2835"/>
          <w:tab w:val="left" w:pos="3402"/>
        </w:tabs>
        <w:spacing w:before="240" w:after="120" w:line="240" w:lineRule="atLeast"/>
        <w:ind w:left="490"/>
        <w:jc w:val="left"/>
        <w:rPr>
          <w:rFonts w:ascii="Times New Roman Bold" w:eastAsia="SimSun" w:hAnsi="Times New Roman Bold" w:hint="eastAsia"/>
          <w:b/>
          <w:sz w:val="24"/>
          <w:szCs w:val="24"/>
        </w:rPr>
      </w:pPr>
      <w:r w:rsidRPr="000C0842">
        <w:rPr>
          <w:rFonts w:eastAsia="SimSun" w:hint="eastAsia"/>
          <w:b/>
          <w:sz w:val="24"/>
          <w:szCs w:val="24"/>
          <w:lang w:val="zh-CN"/>
        </w:rPr>
        <w:t>附件二</w:t>
      </w:r>
    </w:p>
    <w:p w14:paraId="39E1AC26" w14:textId="77777777" w:rsidR="00F05AB2" w:rsidRPr="000C0842" w:rsidRDefault="00F05AB2" w:rsidP="00F05AB2">
      <w:pPr>
        <w:keepNext/>
        <w:keepLines/>
        <w:tabs>
          <w:tab w:val="left" w:pos="2835"/>
          <w:tab w:val="left" w:pos="3402"/>
        </w:tabs>
        <w:spacing w:before="120" w:after="120" w:line="240" w:lineRule="atLeast"/>
        <w:ind w:left="490"/>
        <w:jc w:val="left"/>
        <w:rPr>
          <w:rFonts w:eastAsia="SimSun"/>
          <w:b/>
          <w:szCs w:val="24"/>
          <w:lang w:val="en-GB"/>
        </w:rPr>
      </w:pPr>
      <w:r w:rsidRPr="000C0842">
        <w:rPr>
          <w:rFonts w:ascii="KaiTi" w:eastAsia="KaiTi" w:hint="eastAsia"/>
          <w:bCs/>
          <w:szCs w:val="24"/>
          <w:lang w:val="zh-CN"/>
        </w:rPr>
        <w:t>注</w:t>
      </w:r>
      <w:r w:rsidRPr="000C0842">
        <w:rPr>
          <w:rFonts w:ascii="SimSun" w:eastAsia="SimSun" w:hint="eastAsia"/>
          <w:bCs/>
          <w:szCs w:val="24"/>
        </w:rPr>
        <w:t>：</w:t>
      </w:r>
      <w:r w:rsidRPr="000C0842">
        <w:rPr>
          <w:rFonts w:ascii="KaiTi" w:eastAsia="KaiTi" w:hint="eastAsia"/>
          <w:bCs/>
          <w:sz w:val="24"/>
          <w:szCs w:val="24"/>
          <w:lang w:val="zh-CN"/>
        </w:rPr>
        <w:t>以下要点由资源调动咨询委员会汇编</w:t>
      </w:r>
      <w:r w:rsidRPr="000C0842">
        <w:rPr>
          <w:rFonts w:ascii="KaiTi" w:eastAsia="KaiTi" w:hint="eastAsia"/>
          <w:bCs/>
          <w:sz w:val="24"/>
          <w:szCs w:val="24"/>
        </w:rPr>
        <w:t>，</w:t>
      </w:r>
      <w:r w:rsidRPr="000C0842">
        <w:rPr>
          <w:rFonts w:ascii="KaiTi" w:eastAsia="KaiTi" w:hint="eastAsia"/>
          <w:bCs/>
          <w:sz w:val="24"/>
          <w:szCs w:val="24"/>
          <w:lang w:val="zh-CN"/>
        </w:rPr>
        <w:t>随后由资源调动联络小组在缔约方大会第十六届会议期间汇编</w:t>
      </w:r>
      <w:r w:rsidRPr="000C0842">
        <w:rPr>
          <w:rFonts w:ascii="KaiTi" w:eastAsia="KaiTi" w:hint="eastAsia"/>
          <w:bCs/>
          <w:sz w:val="24"/>
          <w:szCs w:val="24"/>
        </w:rPr>
        <w:t>，</w:t>
      </w:r>
      <w:r w:rsidRPr="000C0842">
        <w:rPr>
          <w:rFonts w:ascii="KaiTi" w:eastAsia="KaiTi" w:hint="eastAsia"/>
          <w:bCs/>
          <w:sz w:val="24"/>
          <w:szCs w:val="24"/>
          <w:lang w:val="zh-CN"/>
        </w:rPr>
        <w:t>以期全面收集缔约方的意见</w:t>
      </w:r>
      <w:r w:rsidRPr="000C0842">
        <w:rPr>
          <w:rFonts w:ascii="KaiTi" w:eastAsia="KaiTi" w:hint="eastAsia"/>
          <w:bCs/>
          <w:sz w:val="24"/>
          <w:szCs w:val="24"/>
        </w:rPr>
        <w:t>，</w:t>
      </w:r>
      <w:r w:rsidRPr="000C0842">
        <w:rPr>
          <w:rFonts w:ascii="KaiTi" w:eastAsia="KaiTi" w:hint="eastAsia"/>
          <w:bCs/>
          <w:sz w:val="24"/>
          <w:szCs w:val="24"/>
          <w:lang w:val="zh-CN"/>
        </w:rPr>
        <w:t>供上述工作参考。</w:t>
      </w:r>
      <w:r w:rsidRPr="000C0842">
        <w:rPr>
          <w:rFonts w:ascii="KaiTi" w:eastAsia="KaiTi" w:hint="eastAsia"/>
          <w:bCs/>
          <w:szCs w:val="24"/>
          <w:lang w:val="zh-CN"/>
        </w:rPr>
        <w:t>这些要点未经谈判</w:t>
      </w:r>
      <w:r w:rsidRPr="000C0842">
        <w:rPr>
          <w:rFonts w:ascii="KaiTi" w:eastAsia="KaiTi" w:hint="eastAsia"/>
          <w:b/>
          <w:szCs w:val="24"/>
          <w:lang w:val="zh-CN"/>
        </w:rPr>
        <w:t>。</w:t>
      </w:r>
    </w:p>
    <w:p w14:paraId="2195F404" w14:textId="77777777" w:rsidR="00F05AB2" w:rsidRPr="000C0842" w:rsidRDefault="00F05AB2" w:rsidP="00F05AB2">
      <w:pPr>
        <w:tabs>
          <w:tab w:val="clear" w:pos="567"/>
          <w:tab w:val="clear" w:pos="1134"/>
          <w:tab w:val="clear" w:pos="1701"/>
          <w:tab w:val="clear" w:pos="2268"/>
        </w:tabs>
        <w:spacing w:before="240" w:after="120" w:line="240" w:lineRule="atLeast"/>
        <w:ind w:left="490" w:hanging="490"/>
        <w:rPr>
          <w:rFonts w:eastAsia="SimSun"/>
          <w:b/>
          <w:bCs/>
          <w:sz w:val="24"/>
          <w:szCs w:val="24"/>
        </w:rPr>
      </w:pPr>
      <w:r w:rsidRPr="000C0842">
        <w:rPr>
          <w:rFonts w:eastAsia="SimSun"/>
          <w:b/>
          <w:bCs/>
          <w:sz w:val="24"/>
          <w:szCs w:val="24"/>
        </w:rPr>
        <w:tab/>
      </w:r>
      <w:r w:rsidRPr="000C0842">
        <w:rPr>
          <w:rFonts w:eastAsia="SimSun" w:hint="eastAsia"/>
          <w:b/>
          <w:sz w:val="24"/>
          <w:szCs w:val="24"/>
          <w:lang w:val="zh-CN"/>
        </w:rPr>
        <w:t>致力于加强全球生物多样性融资：</w:t>
      </w:r>
      <w:r w:rsidRPr="000C0842">
        <w:rPr>
          <w:rFonts w:eastAsia="SimSun" w:hint="eastAsia"/>
          <w:b/>
          <w:bCs/>
          <w:sz w:val="24"/>
          <w:szCs w:val="24"/>
        </w:rPr>
        <w:t>开发生物多样性融资工具的可能标准</w:t>
      </w:r>
    </w:p>
    <w:p w14:paraId="10BEF880"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与当前生物多样性融资格局相比具有附加值和互补性。</w:t>
      </w:r>
    </w:p>
    <w:p w14:paraId="094FFF13"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可获得新的、额外的、可预测的、充足和及时的融资。</w:t>
      </w:r>
    </w:p>
    <w:p w14:paraId="5CF934B2"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旨在从所有来源调动资源的捐助者基础。</w:t>
      </w:r>
    </w:p>
    <w:p w14:paraId="5F6784BA"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ascii="KaiTi" w:eastAsia="KaiTi" w:hAnsi="KaiTi"/>
          <w:spacing w:val="-10"/>
          <w:sz w:val="24"/>
          <w:szCs w:val="24"/>
        </w:rPr>
      </w:pPr>
      <w:r w:rsidRPr="000C0842">
        <w:rPr>
          <w:rFonts w:eastAsia="SimSun"/>
          <w:spacing w:val="-10"/>
          <w:sz w:val="24"/>
          <w:szCs w:val="24"/>
        </w:rPr>
        <w:t>源</w:t>
      </w:r>
      <w:r w:rsidRPr="000C0842">
        <w:rPr>
          <w:rFonts w:eastAsia="SimSun" w:hint="eastAsia"/>
          <w:spacing w:val="-10"/>
          <w:sz w:val="24"/>
          <w:szCs w:val="24"/>
        </w:rPr>
        <w:t>自</w:t>
      </w:r>
      <w:r w:rsidRPr="000C0842">
        <w:rPr>
          <w:rFonts w:eastAsia="SimSun"/>
          <w:spacing w:val="-10"/>
          <w:sz w:val="24"/>
          <w:szCs w:val="24"/>
        </w:rPr>
        <w:t>2024</w:t>
      </w:r>
      <w:r w:rsidRPr="000C0842">
        <w:rPr>
          <w:rFonts w:eastAsia="SimSun"/>
          <w:spacing w:val="-10"/>
          <w:sz w:val="24"/>
          <w:szCs w:val="24"/>
        </w:rPr>
        <w:t>年</w:t>
      </w:r>
      <w:r w:rsidRPr="000C0842">
        <w:rPr>
          <w:rFonts w:eastAsia="SimSun"/>
          <w:spacing w:val="-10"/>
          <w:sz w:val="24"/>
          <w:szCs w:val="24"/>
        </w:rPr>
        <w:t>11</w:t>
      </w:r>
      <w:r w:rsidRPr="000C0842">
        <w:rPr>
          <w:rFonts w:eastAsia="SimSun"/>
          <w:spacing w:val="-10"/>
          <w:sz w:val="24"/>
          <w:szCs w:val="24"/>
        </w:rPr>
        <w:t>月</w:t>
      </w:r>
      <w:r w:rsidRPr="000C0842">
        <w:rPr>
          <w:rFonts w:eastAsia="SimSun"/>
          <w:spacing w:val="-10"/>
          <w:sz w:val="24"/>
          <w:szCs w:val="24"/>
        </w:rPr>
        <w:t>1</w:t>
      </w:r>
      <w:r w:rsidRPr="000C0842">
        <w:rPr>
          <w:rFonts w:eastAsia="SimSun"/>
          <w:spacing w:val="-10"/>
          <w:sz w:val="24"/>
          <w:szCs w:val="24"/>
        </w:rPr>
        <w:t>日关于遗传资源数字序列信息的第</w:t>
      </w:r>
      <w:hyperlink r:id="rId352" w:history="1">
        <w:r w:rsidRPr="000C0842">
          <w:rPr>
            <w:rFonts w:eastAsia="SimSun"/>
            <w:spacing w:val="-10"/>
            <w:sz w:val="24"/>
            <w:szCs w:val="24"/>
            <w:u w:val="single"/>
          </w:rPr>
          <w:t>16/2</w:t>
        </w:r>
      </w:hyperlink>
      <w:r w:rsidRPr="000C0842">
        <w:rPr>
          <w:rFonts w:eastAsia="SimSun"/>
          <w:spacing w:val="-10"/>
          <w:sz w:val="24"/>
          <w:szCs w:val="24"/>
        </w:rPr>
        <w:t>号决定的任何考虑因素</w:t>
      </w:r>
      <w:r w:rsidRPr="000C0842">
        <w:rPr>
          <w:rFonts w:ascii="KaiTi" w:eastAsia="SimSun" w:hAnsi="KaiTi" w:hint="eastAsia"/>
          <w:spacing w:val="-10"/>
          <w:sz w:val="24"/>
          <w:szCs w:val="24"/>
        </w:rPr>
        <w:t>。</w:t>
      </w:r>
    </w:p>
    <w:p w14:paraId="215BBB46"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符合《生物多样性公约》</w:t>
      </w:r>
      <w:r w:rsidRPr="000C0842">
        <w:rPr>
          <w:rFonts w:eastAsia="SimSun"/>
          <w:sz w:val="24"/>
          <w:szCs w:val="24"/>
          <w:vertAlign w:val="superscript"/>
        </w:rPr>
        <w:footnoteReference w:id="494"/>
      </w:r>
      <w:r w:rsidRPr="000C0842">
        <w:rPr>
          <w:rFonts w:eastAsia="SimSun" w:hint="eastAsia"/>
          <w:sz w:val="24"/>
          <w:szCs w:val="24"/>
        </w:rPr>
        <w:t>及其议定书的目标、原则和规定。</w:t>
      </w:r>
    </w:p>
    <w:p w14:paraId="572C2EE4"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符合《昆明</w:t>
      </w:r>
      <w:r w:rsidRPr="000C0842">
        <w:rPr>
          <w:rFonts w:eastAsia="SimSun"/>
          <w:sz w:val="24"/>
          <w:szCs w:val="24"/>
        </w:rPr>
        <w:t>-</w:t>
      </w:r>
      <w:r w:rsidRPr="000C0842">
        <w:rPr>
          <w:rFonts w:eastAsia="SimSun" w:hint="eastAsia"/>
          <w:sz w:val="24"/>
          <w:szCs w:val="24"/>
        </w:rPr>
        <w:t>蒙特利尔全球生物多样性框架》</w:t>
      </w:r>
      <w:r w:rsidRPr="000C0842">
        <w:rPr>
          <w:rFonts w:eastAsia="SimSun"/>
          <w:sz w:val="24"/>
          <w:szCs w:val="24"/>
          <w:vertAlign w:val="superscript"/>
        </w:rPr>
        <w:footnoteReference w:id="495"/>
      </w:r>
      <w:r w:rsidRPr="000C0842">
        <w:rPr>
          <w:rFonts w:eastAsia="SimSun" w:hint="eastAsia"/>
          <w:sz w:val="24"/>
          <w:szCs w:val="24"/>
        </w:rPr>
        <w:t>。</w:t>
      </w:r>
    </w:p>
    <w:p w14:paraId="550FBF16"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受公约缔约方大会的领导并对其负责。</w:t>
      </w:r>
    </w:p>
    <w:p w14:paraId="58229C29"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公平、透明、包容和参与式方法。</w:t>
      </w:r>
    </w:p>
    <w:p w14:paraId="42CDC3AF"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公平、高效和具有代表性的治理结构，包括通过土著人民和地方社区的充分和有效参与。</w:t>
      </w:r>
    </w:p>
    <w:p w14:paraId="6AD8F4E7"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向发展中国家缔约方特别是最不发达国家和小岛屿发展中国家以及经济转型国家提供资金，满足其需求和优先事项。</w:t>
      </w:r>
    </w:p>
    <w:p w14:paraId="20382414"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直接拨款和</w:t>
      </w:r>
      <w:r w:rsidRPr="000C0842">
        <w:rPr>
          <w:rFonts w:eastAsia="SimSun"/>
          <w:sz w:val="24"/>
          <w:szCs w:val="24"/>
        </w:rPr>
        <w:t>/</w:t>
      </w:r>
      <w:r w:rsidRPr="000C0842">
        <w:rPr>
          <w:rFonts w:eastAsia="SimSun" w:hint="eastAsia"/>
          <w:sz w:val="24"/>
          <w:szCs w:val="24"/>
        </w:rPr>
        <w:t>或基于项目的发放。</w:t>
      </w:r>
    </w:p>
    <w:p w14:paraId="24CCC4F2"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对国家执行机构的依赖性。</w:t>
      </w:r>
    </w:p>
    <w:p w14:paraId="5EAC3BCC"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相关的受援国当局参与和介入资金分配过程的所有步骤，包括项目制定和执行。</w:t>
      </w:r>
    </w:p>
    <w:p w14:paraId="107EF0AE"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承认土著人民和地方社区、妇女和青年所起作用的价值，包括为其提供直接参与融资的机会。</w:t>
      </w:r>
    </w:p>
    <w:p w14:paraId="70E40871"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具备申诉和补救机制。</w:t>
      </w:r>
    </w:p>
    <w:p w14:paraId="7724D0F5"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24"/>
          <w:szCs w:val="24"/>
        </w:rPr>
      </w:pPr>
      <w:r w:rsidRPr="000C0842">
        <w:rPr>
          <w:rFonts w:eastAsia="SimSun" w:hint="eastAsia"/>
          <w:sz w:val="24"/>
          <w:szCs w:val="24"/>
        </w:rPr>
        <w:t>与全球生物多样性框架基金及其日落条款的关系。</w:t>
      </w:r>
    </w:p>
    <w:bookmarkEnd w:id="133"/>
    <w:p w14:paraId="5A713539"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18"/>
          <w:szCs w:val="18"/>
        </w:rPr>
      </w:pPr>
      <w:r w:rsidRPr="000C0842">
        <w:rPr>
          <w:rFonts w:eastAsia="SimSun" w:hint="eastAsia"/>
          <w:sz w:val="24"/>
          <w:szCs w:val="24"/>
        </w:rPr>
        <w:t>受托人接受问责并遵守理事机构的决定。</w:t>
      </w:r>
    </w:p>
    <w:p w14:paraId="4413AD0A"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 w:val="18"/>
          <w:szCs w:val="18"/>
        </w:rPr>
      </w:pPr>
      <w:r w:rsidRPr="000C0842">
        <w:rPr>
          <w:rFonts w:eastAsia="SimSun" w:hint="eastAsia"/>
          <w:sz w:val="24"/>
          <w:szCs w:val="24"/>
        </w:rPr>
        <w:t>能够利用支持生物多样性行动和支持应对其他相关环境挑战的行动之间的协同作用。</w:t>
      </w:r>
    </w:p>
    <w:p w14:paraId="41E23099" w14:textId="77777777" w:rsidR="00F05AB2" w:rsidRPr="000C0842" w:rsidRDefault="00F05AB2">
      <w:pPr>
        <w:numPr>
          <w:ilvl w:val="0"/>
          <w:numId w:val="8"/>
        </w:numPr>
        <w:tabs>
          <w:tab w:val="clear" w:pos="567"/>
          <w:tab w:val="clear" w:pos="1134"/>
          <w:tab w:val="clear" w:pos="1701"/>
          <w:tab w:val="clear" w:pos="2268"/>
          <w:tab w:val="num" w:pos="360"/>
        </w:tabs>
        <w:spacing w:before="120" w:after="120"/>
        <w:ind w:left="490" w:firstLine="0"/>
        <w:rPr>
          <w:rFonts w:eastAsia="SimSun"/>
          <w:szCs w:val="24"/>
        </w:rPr>
      </w:pPr>
      <w:r w:rsidRPr="000C0842">
        <w:rPr>
          <w:rFonts w:eastAsia="SimSun" w:hint="eastAsia"/>
          <w:sz w:val="24"/>
          <w:szCs w:val="24"/>
        </w:rPr>
        <w:t>为集体行动提供资金，包括为土著人民和地方社区的集体行动、以地球母亲为中心的行动以及采取非市场化方法的行动提供资金。</w:t>
      </w:r>
    </w:p>
    <w:p w14:paraId="1D6F40DD" w14:textId="77777777" w:rsidR="00F05AB2" w:rsidRPr="000C0842" w:rsidRDefault="00F05AB2" w:rsidP="00F05AB2">
      <w:pPr>
        <w:spacing w:before="120"/>
        <w:ind w:left="567" w:firstLine="567"/>
        <w:jc w:val="center"/>
        <w:rPr>
          <w:rFonts w:eastAsia="SimSun"/>
          <w:kern w:val="22"/>
          <w:sz w:val="21"/>
          <w:szCs w:val="24"/>
        </w:rPr>
      </w:pPr>
    </w:p>
    <w:p w14:paraId="6ADD83E1" w14:textId="508EFAAE" w:rsidR="00F05AB2" w:rsidRPr="000C0842" w:rsidRDefault="00F05AB2">
      <w:pPr>
        <w:tabs>
          <w:tab w:val="clear" w:pos="567"/>
          <w:tab w:val="clear" w:pos="1134"/>
          <w:tab w:val="clear" w:pos="1701"/>
          <w:tab w:val="clear" w:pos="2268"/>
        </w:tabs>
        <w:jc w:val="left"/>
        <w:rPr>
          <w:rFonts w:eastAsia="SimSun"/>
          <w:sz w:val="24"/>
          <w:szCs w:val="24"/>
        </w:rPr>
      </w:pPr>
      <w:r w:rsidRPr="000C0842">
        <w:rPr>
          <w:rFonts w:eastAsia="SimSun"/>
          <w:sz w:val="24"/>
          <w:szCs w:val="24"/>
        </w:rPr>
        <w:br w:type="page"/>
      </w:r>
    </w:p>
    <w:p w14:paraId="69FC6729" w14:textId="357EE7C5" w:rsidR="002B3E30" w:rsidRPr="000C0842" w:rsidRDefault="002B3E30" w:rsidP="002437E6">
      <w:pPr>
        <w:pStyle w:val="a1"/>
        <w:rPr>
          <w:rFonts w:hint="eastAsia"/>
          <w:lang w:eastAsia="zh-CN"/>
        </w:rPr>
      </w:pPr>
      <w:bookmarkStart w:id="134" w:name="_Toc206358232"/>
      <w:r w:rsidRPr="000C0842">
        <w:rPr>
          <w:rFonts w:hint="eastAsia"/>
          <w:lang w:eastAsia="zh-CN"/>
        </w:rPr>
        <w:t>16/35.</w:t>
      </w:r>
      <w:r w:rsidR="00617A6E" w:rsidRPr="000C0842">
        <w:rPr>
          <w:rFonts w:hint="eastAsia"/>
          <w:lang w:eastAsia="zh-CN"/>
        </w:rPr>
        <w:t xml:space="preserve"> </w:t>
      </w:r>
      <w:r w:rsidRPr="000C0842">
        <w:rPr>
          <w:lang w:eastAsia="zh-CN"/>
        </w:rPr>
        <w:t>与其他公约和国际组织的合作</w:t>
      </w:r>
      <w:bookmarkEnd w:id="134"/>
    </w:p>
    <w:p w14:paraId="130E866F" w14:textId="77777777" w:rsidR="002B3E30" w:rsidRPr="000C0842" w:rsidRDefault="002B3E30" w:rsidP="001C4882">
      <w:pPr>
        <w:tabs>
          <w:tab w:val="clear" w:pos="567"/>
          <w:tab w:val="clear" w:pos="1134"/>
          <w:tab w:val="clear" w:pos="1701"/>
          <w:tab w:val="clear" w:pos="2268"/>
        </w:tabs>
        <w:snapToGrid w:val="0"/>
        <w:spacing w:before="240" w:after="120"/>
        <w:ind w:left="490" w:firstLine="490"/>
        <w:rPr>
          <w:rFonts w:eastAsia="KaiTi"/>
          <w:iCs/>
          <w:sz w:val="24"/>
          <w:szCs w:val="24"/>
        </w:rPr>
      </w:pPr>
      <w:r w:rsidRPr="000C0842">
        <w:rPr>
          <w:rFonts w:eastAsia="KaiTi"/>
          <w:iCs/>
          <w:sz w:val="24"/>
          <w:szCs w:val="24"/>
        </w:rPr>
        <w:t>缔约方大会，</w:t>
      </w:r>
    </w:p>
    <w:p w14:paraId="2F481170" w14:textId="77777777" w:rsidR="002B3E30" w:rsidRPr="000C0842" w:rsidRDefault="002B3E30" w:rsidP="002B3E30">
      <w:pPr>
        <w:tabs>
          <w:tab w:val="clear" w:pos="567"/>
          <w:tab w:val="clear" w:pos="1134"/>
          <w:tab w:val="clear" w:pos="1701"/>
          <w:tab w:val="clear" w:pos="2268"/>
        </w:tabs>
        <w:spacing w:before="120" w:after="120"/>
        <w:ind w:left="490" w:firstLine="490"/>
        <w:rPr>
          <w:i/>
          <w:sz w:val="24"/>
          <w:szCs w:val="24"/>
          <w:lang w:val="en-CA"/>
        </w:rPr>
      </w:pPr>
      <w:r w:rsidRPr="000C0842">
        <w:rPr>
          <w:rFonts w:eastAsia="KaiTi"/>
          <w:sz w:val="24"/>
          <w:szCs w:val="24"/>
          <w:lang w:val="en-CA"/>
        </w:rPr>
        <w:t>回顾</w:t>
      </w:r>
      <w:r w:rsidRPr="000C0842">
        <w:rPr>
          <w:rFonts w:eastAsia="SimSun"/>
          <w:sz w:val="24"/>
          <w:szCs w:val="24"/>
          <w:lang w:val="en-CA"/>
        </w:rPr>
        <w:t>《关于环境与发展的里约宣言》</w:t>
      </w:r>
      <w:r w:rsidRPr="000C0842">
        <w:rPr>
          <w:rFonts w:eastAsia="SimSun"/>
          <w:sz w:val="24"/>
          <w:szCs w:val="24"/>
          <w:vertAlign w:val="superscript"/>
          <w:lang w:val="en-CA"/>
        </w:rPr>
        <w:footnoteReference w:id="496"/>
      </w:r>
      <w:r w:rsidRPr="000C0842">
        <w:rPr>
          <w:rFonts w:eastAsia="SimSun"/>
          <w:sz w:val="24"/>
          <w:szCs w:val="24"/>
          <w:lang w:val="en-CA"/>
        </w:rPr>
        <w:t>,</w:t>
      </w:r>
    </w:p>
    <w:p w14:paraId="7AD1C99B"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又回顾</w:t>
      </w:r>
      <w:r w:rsidRPr="000C0842">
        <w:rPr>
          <w:rFonts w:eastAsia="KaiTi" w:hint="eastAsia"/>
          <w:sz w:val="24"/>
          <w:szCs w:val="24"/>
          <w:lang w:val="en-CA"/>
        </w:rPr>
        <w:t>其</w:t>
      </w:r>
      <w:r w:rsidRPr="000C0842">
        <w:rPr>
          <w:rFonts w:eastAsia="SimSun"/>
          <w:sz w:val="24"/>
          <w:szCs w:val="24"/>
          <w:lang w:val="en-CA"/>
        </w:rPr>
        <w:t>2016</w:t>
      </w:r>
      <w:r w:rsidRPr="000C0842">
        <w:rPr>
          <w:rFonts w:eastAsia="SimSun"/>
          <w:sz w:val="24"/>
          <w:szCs w:val="24"/>
          <w:lang w:val="en-CA"/>
        </w:rPr>
        <w:t>年</w:t>
      </w:r>
      <w:r w:rsidRPr="000C0842">
        <w:rPr>
          <w:rFonts w:eastAsia="SimSun"/>
          <w:sz w:val="24"/>
          <w:szCs w:val="24"/>
          <w:lang w:val="en-CA"/>
        </w:rPr>
        <w:t>12</w:t>
      </w:r>
      <w:r w:rsidRPr="000C0842">
        <w:rPr>
          <w:rFonts w:eastAsia="SimSun"/>
          <w:sz w:val="24"/>
          <w:szCs w:val="24"/>
          <w:lang w:val="en-CA"/>
        </w:rPr>
        <w:t>月</w:t>
      </w:r>
      <w:r w:rsidRPr="000C0842">
        <w:rPr>
          <w:rFonts w:eastAsia="SimSun"/>
          <w:sz w:val="24"/>
          <w:szCs w:val="24"/>
          <w:lang w:val="en-CA"/>
        </w:rPr>
        <w:t>17</w:t>
      </w:r>
      <w:r w:rsidRPr="000C0842">
        <w:rPr>
          <w:rFonts w:eastAsia="SimSun"/>
          <w:sz w:val="24"/>
          <w:szCs w:val="24"/>
          <w:lang w:val="en-CA"/>
        </w:rPr>
        <w:t>日第</w:t>
      </w:r>
      <w:hyperlink r:id="rId353" w:history="1">
        <w:r w:rsidRPr="000C0842">
          <w:rPr>
            <w:rFonts w:eastAsia="SimSun"/>
            <w:sz w:val="24"/>
            <w:szCs w:val="24"/>
            <w:u w:val="single"/>
            <w:lang w:val="en-CA"/>
          </w:rPr>
          <w:t>XIII/24</w:t>
        </w:r>
      </w:hyperlink>
      <w:r w:rsidRPr="000C0842">
        <w:rPr>
          <w:rFonts w:eastAsia="SimSun"/>
          <w:sz w:val="24"/>
          <w:szCs w:val="24"/>
          <w:lang w:val="en-CA"/>
        </w:rPr>
        <w:t>号、</w:t>
      </w:r>
      <w:r w:rsidRPr="000C0842">
        <w:rPr>
          <w:rFonts w:eastAsia="SimSun"/>
          <w:sz w:val="24"/>
          <w:szCs w:val="24"/>
          <w:lang w:val="en-CA"/>
        </w:rPr>
        <w:t>2018</w:t>
      </w:r>
      <w:r w:rsidRPr="000C0842">
        <w:rPr>
          <w:rFonts w:eastAsia="SimSun"/>
          <w:sz w:val="24"/>
          <w:szCs w:val="24"/>
          <w:lang w:val="en-CA"/>
        </w:rPr>
        <w:t>年</w:t>
      </w:r>
      <w:r w:rsidRPr="000C0842">
        <w:rPr>
          <w:rFonts w:eastAsia="SimSun"/>
          <w:sz w:val="24"/>
          <w:szCs w:val="24"/>
          <w:lang w:val="en-CA"/>
        </w:rPr>
        <w:t>11</w:t>
      </w:r>
      <w:r w:rsidRPr="000C0842">
        <w:rPr>
          <w:rFonts w:eastAsia="SimSun"/>
          <w:sz w:val="24"/>
          <w:szCs w:val="24"/>
          <w:lang w:val="en-CA"/>
        </w:rPr>
        <w:t>月</w:t>
      </w:r>
      <w:r w:rsidRPr="000C0842">
        <w:rPr>
          <w:rFonts w:eastAsia="SimSun"/>
          <w:sz w:val="24"/>
          <w:szCs w:val="24"/>
          <w:lang w:val="en-CA"/>
        </w:rPr>
        <w:t>29</w:t>
      </w:r>
      <w:r w:rsidRPr="000C0842">
        <w:rPr>
          <w:rFonts w:eastAsia="SimSun"/>
          <w:sz w:val="24"/>
          <w:szCs w:val="24"/>
          <w:lang w:val="en-CA"/>
        </w:rPr>
        <w:t>日第</w:t>
      </w:r>
      <w:hyperlink r:id="rId354" w:history="1">
        <w:r w:rsidRPr="000C0842">
          <w:rPr>
            <w:rFonts w:eastAsia="SimSun"/>
            <w:sz w:val="24"/>
            <w:szCs w:val="24"/>
            <w:u w:val="single"/>
            <w:lang w:val="en-CA"/>
          </w:rPr>
          <w:t>14/30</w:t>
        </w:r>
      </w:hyperlink>
      <w:r w:rsidRPr="000C0842">
        <w:rPr>
          <w:rFonts w:eastAsia="SimSun"/>
          <w:sz w:val="24"/>
          <w:szCs w:val="24"/>
          <w:lang w:val="en-CA"/>
        </w:rPr>
        <w:t>号以及</w:t>
      </w:r>
      <w:r w:rsidRPr="000C0842">
        <w:rPr>
          <w:rFonts w:eastAsia="SimSun"/>
          <w:sz w:val="24"/>
          <w:szCs w:val="24"/>
          <w:lang w:val="en-CA"/>
        </w:rPr>
        <w:t>2022</w:t>
      </w:r>
      <w:r w:rsidRPr="000C0842">
        <w:rPr>
          <w:rFonts w:eastAsia="SimSun"/>
          <w:sz w:val="24"/>
          <w:szCs w:val="24"/>
          <w:lang w:val="en-CA"/>
        </w:rPr>
        <w:t>年</w:t>
      </w:r>
      <w:r w:rsidRPr="000C0842">
        <w:rPr>
          <w:rFonts w:eastAsia="SimSun"/>
          <w:sz w:val="24"/>
          <w:szCs w:val="24"/>
          <w:lang w:val="en-CA"/>
        </w:rPr>
        <w:t>12</w:t>
      </w:r>
      <w:r w:rsidRPr="000C0842">
        <w:rPr>
          <w:rFonts w:eastAsia="SimSun"/>
          <w:sz w:val="24"/>
          <w:szCs w:val="24"/>
          <w:lang w:val="en-CA"/>
        </w:rPr>
        <w:t>月</w:t>
      </w:r>
      <w:r w:rsidRPr="000C0842">
        <w:rPr>
          <w:rFonts w:eastAsia="SimSun"/>
          <w:sz w:val="24"/>
          <w:szCs w:val="24"/>
          <w:lang w:val="en-CA"/>
        </w:rPr>
        <w:t>19</w:t>
      </w:r>
      <w:r w:rsidRPr="000C0842">
        <w:rPr>
          <w:rFonts w:eastAsia="SimSun"/>
          <w:sz w:val="24"/>
          <w:szCs w:val="24"/>
          <w:lang w:val="en-CA"/>
        </w:rPr>
        <w:t>日第</w:t>
      </w:r>
      <w:hyperlink r:id="rId355" w:history="1">
        <w:r w:rsidRPr="000C0842">
          <w:rPr>
            <w:rFonts w:eastAsia="SimSun"/>
            <w:sz w:val="24"/>
            <w:szCs w:val="24"/>
            <w:u w:val="single"/>
            <w:lang w:val="en-CA"/>
          </w:rPr>
          <w:t>15/4</w:t>
        </w:r>
      </w:hyperlink>
      <w:r w:rsidRPr="000C0842">
        <w:rPr>
          <w:rFonts w:eastAsia="SimSun"/>
          <w:sz w:val="24"/>
          <w:szCs w:val="24"/>
          <w:lang w:val="en-CA"/>
        </w:rPr>
        <w:t>和第</w:t>
      </w:r>
      <w:hyperlink r:id="rId356" w:history="1">
        <w:r w:rsidRPr="000C0842">
          <w:rPr>
            <w:rFonts w:eastAsia="SimSun"/>
            <w:sz w:val="24"/>
            <w:szCs w:val="24"/>
            <w:u w:val="single"/>
            <w:lang w:val="en-CA"/>
          </w:rPr>
          <w:t>15/13</w:t>
        </w:r>
      </w:hyperlink>
      <w:r w:rsidRPr="000C0842">
        <w:rPr>
          <w:rFonts w:eastAsia="SimSun"/>
          <w:sz w:val="24"/>
          <w:szCs w:val="24"/>
          <w:lang w:val="en-CA"/>
        </w:rPr>
        <w:t>号决定，</w:t>
      </w:r>
    </w:p>
    <w:p w14:paraId="5D3029EE"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表示注意到</w:t>
      </w:r>
      <w:r w:rsidRPr="000C0842">
        <w:rPr>
          <w:rFonts w:eastAsia="SimSun"/>
          <w:sz w:val="24"/>
          <w:szCs w:val="24"/>
          <w:lang w:val="en-CA"/>
        </w:rPr>
        <w:t>联合国环境规划署环境大会第六届会议的成果以及将一个关于与多边环境协定合作的项目列入其议程，</w:t>
      </w:r>
    </w:p>
    <w:p w14:paraId="1BC57B96"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注意到</w:t>
      </w:r>
      <w:r w:rsidRPr="000C0842">
        <w:rPr>
          <w:rFonts w:eastAsia="SimSun"/>
          <w:sz w:val="24"/>
          <w:szCs w:val="24"/>
          <w:lang w:val="en-CA"/>
        </w:rPr>
        <w:t>联合国环境管理小组在促进联合国全系统对《</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w:t>
      </w:r>
      <w:r w:rsidRPr="000C0842">
        <w:rPr>
          <w:rFonts w:eastAsia="SimSun"/>
          <w:sz w:val="24"/>
          <w:szCs w:val="24"/>
          <w:lang w:val="en-CA"/>
        </w:rPr>
        <w:t>框架》</w:t>
      </w:r>
      <w:r w:rsidRPr="000C0842">
        <w:rPr>
          <w:rFonts w:eastAsia="SimSun"/>
          <w:sz w:val="24"/>
          <w:szCs w:val="24"/>
          <w:vertAlign w:val="superscript"/>
          <w:lang w:val="en-CA"/>
        </w:rPr>
        <w:footnoteReference w:id="497"/>
      </w:r>
      <w:r w:rsidRPr="000C0842">
        <w:rPr>
          <w:rFonts w:eastAsia="SimSun"/>
          <w:sz w:val="24"/>
          <w:szCs w:val="24"/>
          <w:lang w:val="en-CA"/>
        </w:rPr>
        <w:t>作出贡献方面的工作，</w:t>
      </w:r>
      <w:r w:rsidRPr="000C0842">
        <w:rPr>
          <w:rFonts w:eastAsia="SimSun"/>
          <w:sz w:val="24"/>
          <w:szCs w:val="24"/>
          <w:lang w:val="en-CA"/>
        </w:rPr>
        <w:t xml:space="preserve"> </w:t>
      </w:r>
    </w:p>
    <w:p w14:paraId="0222E118"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又注意到</w:t>
      </w:r>
      <w:r w:rsidRPr="000C0842">
        <w:rPr>
          <w:rFonts w:eastAsia="SimSun"/>
          <w:sz w:val="24"/>
          <w:szCs w:val="24"/>
          <w:lang w:val="en-CA"/>
        </w:rPr>
        <w:t>联合国粮食及农业组织、世界卫生组织、世界动物卫生组织和联合国环境规划署为支持在各级执行和监测《昆蒙框架》而开展的工作，包括在联合国生态系统恢复十年和</w:t>
      </w:r>
      <w:r w:rsidRPr="000C0842">
        <w:rPr>
          <w:rFonts w:eastAsia="SimSun"/>
          <w:sz w:val="24"/>
          <w:szCs w:val="24"/>
          <w:lang w:val="en-CA"/>
        </w:rPr>
        <w:t>“</w:t>
      </w:r>
      <w:r w:rsidRPr="000C0842">
        <w:rPr>
          <w:rFonts w:eastAsia="SimSun"/>
          <w:sz w:val="24"/>
          <w:szCs w:val="24"/>
          <w:lang w:val="en-CA"/>
        </w:rPr>
        <w:t>同一健康</w:t>
      </w:r>
      <w:r w:rsidRPr="000C0842">
        <w:rPr>
          <w:rFonts w:eastAsia="SimSun"/>
          <w:sz w:val="24"/>
          <w:szCs w:val="24"/>
          <w:lang w:val="en-CA"/>
        </w:rPr>
        <w:t>”</w:t>
      </w:r>
      <w:r w:rsidRPr="000C0842">
        <w:rPr>
          <w:rFonts w:eastAsia="SimSun"/>
          <w:sz w:val="24"/>
          <w:szCs w:val="24"/>
          <w:lang w:val="en-CA"/>
        </w:rPr>
        <w:t>方法的范围内开展的工作，</w:t>
      </w:r>
    </w:p>
    <w:p w14:paraId="0F2200A8"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还注意到</w:t>
      </w:r>
      <w:r w:rsidRPr="000C0842">
        <w:rPr>
          <w:rFonts w:eastAsia="SimSun"/>
          <w:sz w:val="24"/>
          <w:szCs w:val="24"/>
          <w:lang w:val="en-CA"/>
        </w:rPr>
        <w:t>联合国教育、科学及文化组织的人与生物圈方案以及根据该方案提名的生物圈保护区在执行《昆蒙框架》和以科学为依据加强人与环境之间关系方面的相关性，</w:t>
      </w:r>
    </w:p>
    <w:p w14:paraId="267FE395" w14:textId="3FE64D18"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回顾</w:t>
      </w:r>
      <w:r w:rsidRPr="000C0842">
        <w:rPr>
          <w:rFonts w:eastAsia="SimSun"/>
          <w:sz w:val="24"/>
          <w:szCs w:val="24"/>
          <w:lang w:val="en-CA"/>
        </w:rPr>
        <w:t>023</w:t>
      </w:r>
      <w:r w:rsidRPr="000C0842">
        <w:rPr>
          <w:rFonts w:eastAsia="SimSun"/>
          <w:sz w:val="24"/>
          <w:szCs w:val="24"/>
          <w:lang w:val="en-CA"/>
        </w:rPr>
        <w:t>年</w:t>
      </w:r>
      <w:r w:rsidRPr="000C0842">
        <w:rPr>
          <w:rFonts w:eastAsia="SimSun"/>
          <w:sz w:val="24"/>
          <w:szCs w:val="24"/>
          <w:lang w:val="en-CA"/>
        </w:rPr>
        <w:t>9</w:t>
      </w:r>
      <w:r w:rsidRPr="000C0842">
        <w:rPr>
          <w:rFonts w:eastAsia="SimSun"/>
          <w:sz w:val="24"/>
          <w:szCs w:val="24"/>
          <w:lang w:val="en-CA"/>
        </w:rPr>
        <w:t>月</w:t>
      </w:r>
      <w:r w:rsidRPr="000C0842">
        <w:rPr>
          <w:rFonts w:eastAsia="SimSun"/>
          <w:sz w:val="24"/>
          <w:szCs w:val="24"/>
          <w:lang w:val="en-CA"/>
        </w:rPr>
        <w:t>1</w:t>
      </w:r>
      <w:r w:rsidRPr="000C0842">
        <w:rPr>
          <w:rFonts w:eastAsia="SimSun"/>
          <w:sz w:val="24"/>
          <w:szCs w:val="24"/>
          <w:lang w:val="en-CA"/>
        </w:rPr>
        <w:t>日</w:t>
      </w:r>
      <w:r w:rsidR="00617A6E" w:rsidRPr="000C0842">
        <w:rPr>
          <w:rFonts w:eastAsia="SimSun" w:hint="eastAsia"/>
          <w:sz w:val="24"/>
          <w:szCs w:val="24"/>
          <w:lang w:val="en-CA"/>
        </w:rPr>
        <w:t>联合国大会</w:t>
      </w:r>
      <w:r w:rsidRPr="000C0842">
        <w:rPr>
          <w:rFonts w:eastAsia="SimSun"/>
          <w:sz w:val="24"/>
          <w:szCs w:val="24"/>
          <w:lang w:val="en-CA"/>
        </w:rPr>
        <w:t>第</w:t>
      </w:r>
      <w:hyperlink r:id="rId357" w:history="1">
        <w:r w:rsidRPr="000C0842">
          <w:rPr>
            <w:rFonts w:eastAsia="SimSun"/>
            <w:sz w:val="24"/>
            <w:szCs w:val="24"/>
            <w:u w:val="single"/>
            <w:lang w:val="en-CA"/>
          </w:rPr>
          <w:t>77/334</w:t>
        </w:r>
      </w:hyperlink>
      <w:r w:rsidRPr="000C0842">
        <w:rPr>
          <w:rFonts w:eastAsia="SimSun"/>
          <w:sz w:val="24"/>
          <w:szCs w:val="24"/>
          <w:lang w:val="en-CA"/>
        </w:rPr>
        <w:t>号决议，欢迎秘书长制定联合国全系统水和环境卫生战略，以加强全系统水行动与依赖水资源和与水有关生态系统的部门间的协调和政策一致性，</w:t>
      </w:r>
    </w:p>
    <w:p w14:paraId="30B33AC2" w14:textId="2457538F" w:rsidR="002B3E30" w:rsidRPr="000C0842" w:rsidRDefault="002B3E30" w:rsidP="002B3E30">
      <w:pPr>
        <w:tabs>
          <w:tab w:val="clear" w:pos="567"/>
          <w:tab w:val="clear" w:pos="1134"/>
          <w:tab w:val="clear" w:pos="1701"/>
          <w:tab w:val="clear" w:pos="2268"/>
        </w:tabs>
        <w:spacing w:before="120" w:after="120"/>
        <w:ind w:left="490" w:firstLine="490"/>
        <w:rPr>
          <w:rFonts w:eastAsia="KaiTi"/>
          <w:sz w:val="24"/>
          <w:szCs w:val="24"/>
          <w:lang w:val="en-CA"/>
        </w:rPr>
      </w:pPr>
      <w:r w:rsidRPr="000C0842">
        <w:rPr>
          <w:rFonts w:eastAsia="Times New Roman"/>
          <w:vertAlign w:val="superscript"/>
          <w:lang w:val="en-GB"/>
        </w:rPr>
        <w:t xml:space="preserve"> </w:t>
      </w:r>
      <w:r w:rsidRPr="000C0842">
        <w:rPr>
          <w:rFonts w:eastAsia="KaiTi" w:hint="eastAsia"/>
          <w:sz w:val="24"/>
          <w:szCs w:val="24"/>
          <w:lang w:val="en-CA"/>
        </w:rPr>
        <w:t>鼓励</w:t>
      </w:r>
      <w:r w:rsidRPr="000C0842">
        <w:rPr>
          <w:rFonts w:eastAsia="SimSun" w:hint="eastAsia"/>
          <w:sz w:val="24"/>
          <w:szCs w:val="24"/>
          <w:lang w:val="en-CA"/>
        </w:rPr>
        <w:t>生物多样性和生态系统服务政府间科学与政策平台、政府间气候变化专门委员会、《联合国关于在发生严重干旱和</w:t>
      </w:r>
      <w:r w:rsidRPr="000C0842">
        <w:rPr>
          <w:rFonts w:eastAsia="SimSun" w:hint="eastAsia"/>
          <w:sz w:val="24"/>
          <w:szCs w:val="24"/>
          <w:lang w:val="en-CA"/>
        </w:rPr>
        <w:t>/</w:t>
      </w:r>
      <w:r w:rsidRPr="000C0842">
        <w:rPr>
          <w:rFonts w:eastAsia="SimSun" w:hint="eastAsia"/>
          <w:sz w:val="24"/>
          <w:szCs w:val="24"/>
          <w:lang w:val="en-CA"/>
        </w:rPr>
        <w:t>或荒漠化的国家特别是在非洲防治荒漠化的公约》</w:t>
      </w:r>
      <w:r w:rsidRPr="000C0842">
        <w:rPr>
          <w:rFonts w:eastAsia="SimSun"/>
          <w:sz w:val="24"/>
          <w:szCs w:val="24"/>
          <w:vertAlign w:val="superscript"/>
          <w:lang w:val="en-CA"/>
        </w:rPr>
        <w:footnoteReference w:id="498"/>
      </w:r>
      <w:r w:rsidRPr="000C0842">
        <w:rPr>
          <w:rFonts w:eastAsia="SimSun" w:hint="eastAsia"/>
          <w:sz w:val="24"/>
          <w:szCs w:val="24"/>
          <w:lang w:val="en-CA"/>
        </w:rPr>
        <w:t>科学与政策联系平台之间进一步协作，</w:t>
      </w:r>
      <w:r w:rsidRPr="000C0842">
        <w:rPr>
          <w:rFonts w:eastAsia="SimSun" w:hint="eastAsia"/>
          <w:sz w:val="24"/>
          <w:szCs w:val="24"/>
          <w:lang w:val="en-CA"/>
        </w:rPr>
        <w:t xml:space="preserve"> </w:t>
      </w:r>
    </w:p>
    <w:p w14:paraId="66E202E2"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欢迎</w:t>
      </w:r>
      <w:r w:rsidRPr="000C0842">
        <w:rPr>
          <w:rFonts w:eastAsia="SimSun"/>
          <w:sz w:val="24"/>
          <w:szCs w:val="24"/>
        </w:rPr>
        <w:t>联合国气候变化框架公约</w:t>
      </w:r>
      <w:r w:rsidRPr="000C0842">
        <w:rPr>
          <w:rFonts w:eastAsia="SimSun"/>
          <w:sz w:val="24"/>
          <w:szCs w:val="24"/>
          <w:vertAlign w:val="superscript"/>
          <w:lang w:val="en-CA"/>
        </w:rPr>
        <w:footnoteReference w:id="499"/>
      </w:r>
      <w:r w:rsidRPr="000C0842">
        <w:rPr>
          <w:rFonts w:eastAsia="SimSun"/>
          <w:sz w:val="24"/>
          <w:szCs w:val="24"/>
        </w:rPr>
        <w:t>缔约方大会第二十八届会议和作为巴黎协定缔约方会议的公约缔约方大会第五次会议</w:t>
      </w:r>
      <w:r w:rsidRPr="000C0842">
        <w:rPr>
          <w:rFonts w:eastAsia="SimSun"/>
          <w:sz w:val="24"/>
          <w:szCs w:val="24"/>
          <w:vertAlign w:val="superscript"/>
          <w:lang w:val="en-CA"/>
        </w:rPr>
        <w:footnoteReference w:id="500"/>
      </w:r>
      <w:r w:rsidRPr="000C0842">
        <w:rPr>
          <w:rFonts w:eastAsia="SimSun"/>
          <w:sz w:val="24"/>
          <w:szCs w:val="24"/>
        </w:rPr>
        <w:t>的成果，包括关于第一次全球盘点成果，特别是关于养护、保护和恢复自然与生态系统对于落实《巴黎协定》的重要性的第</w:t>
      </w:r>
      <w:r w:rsidRPr="000C0842">
        <w:rPr>
          <w:rFonts w:eastAsia="SimSun"/>
          <w:sz w:val="24"/>
          <w:szCs w:val="24"/>
        </w:rPr>
        <w:t xml:space="preserve"> </w:t>
      </w:r>
      <w:hyperlink r:id="rId358" w:history="1">
        <w:r w:rsidRPr="000C0842">
          <w:rPr>
            <w:rFonts w:eastAsia="SimSun"/>
            <w:sz w:val="24"/>
            <w:szCs w:val="24"/>
            <w:u w:val="single"/>
          </w:rPr>
          <w:t>1/CMA.5</w:t>
        </w:r>
      </w:hyperlink>
      <w:r w:rsidRPr="000C0842">
        <w:rPr>
          <w:rFonts w:eastAsia="SimSun"/>
          <w:sz w:val="24"/>
          <w:szCs w:val="24"/>
        </w:rPr>
        <w:t xml:space="preserve"> </w:t>
      </w:r>
      <w:r w:rsidRPr="000C0842">
        <w:rPr>
          <w:rFonts w:eastAsia="SimSun"/>
          <w:sz w:val="24"/>
          <w:szCs w:val="24"/>
        </w:rPr>
        <w:t>号决定，</w:t>
      </w:r>
    </w:p>
    <w:p w14:paraId="07959336" w14:textId="71A46AC1" w:rsidR="002B3E30" w:rsidRPr="000C0842" w:rsidRDefault="00617A6E"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hint="eastAsia"/>
          <w:sz w:val="24"/>
          <w:szCs w:val="24"/>
          <w:lang w:val="en-CA"/>
        </w:rPr>
        <w:t>认识到</w:t>
      </w:r>
      <w:r w:rsidR="002B3E30" w:rsidRPr="000C0842">
        <w:rPr>
          <w:rFonts w:eastAsia="SimSun"/>
          <w:sz w:val="24"/>
          <w:szCs w:val="24"/>
          <w:lang w:val="en-CA"/>
        </w:rPr>
        <w:t>区域战略、框架、计划和举措对执行《昆蒙框架》的贡献，</w:t>
      </w:r>
    </w:p>
    <w:p w14:paraId="103D42CE" w14:textId="77777777" w:rsidR="002B3E30" w:rsidRPr="000C0842" w:rsidRDefault="002B3E30" w:rsidP="002B3E30">
      <w:pPr>
        <w:tabs>
          <w:tab w:val="clear" w:pos="567"/>
          <w:tab w:val="clear" w:pos="1134"/>
          <w:tab w:val="clear" w:pos="1701"/>
          <w:tab w:val="clear" w:pos="2268"/>
        </w:tabs>
        <w:spacing w:line="276" w:lineRule="auto"/>
        <w:ind w:left="490"/>
        <w:rPr>
          <w:rFonts w:eastAsia="SimSun"/>
          <w:sz w:val="24"/>
          <w:szCs w:val="24"/>
          <w:lang w:val="en-CA"/>
        </w:rPr>
      </w:pPr>
      <w:r w:rsidRPr="000C0842">
        <w:rPr>
          <w:rFonts w:eastAsia="KaiTi"/>
          <w:sz w:val="24"/>
          <w:szCs w:val="24"/>
          <w:lang w:val="en-CA"/>
        </w:rPr>
        <w:tab/>
      </w:r>
      <w:r w:rsidRPr="000C0842">
        <w:rPr>
          <w:rFonts w:eastAsia="KaiTi"/>
          <w:sz w:val="24"/>
          <w:szCs w:val="24"/>
          <w:lang w:val="en-CA"/>
        </w:rPr>
        <w:t>强调</w:t>
      </w:r>
      <w:r w:rsidRPr="000C0842">
        <w:rPr>
          <w:rFonts w:eastAsia="SimSun"/>
          <w:sz w:val="24"/>
          <w:szCs w:val="24"/>
          <w:lang w:val="en-CA"/>
        </w:rPr>
        <w:t>必须加强所有相关公约、组织和倡议之间的合作和协同</w:t>
      </w:r>
      <w:r w:rsidRPr="000C0842">
        <w:rPr>
          <w:rFonts w:eastAsia="SimSun" w:hint="eastAsia"/>
          <w:sz w:val="24"/>
          <w:szCs w:val="24"/>
          <w:lang w:val="en-CA"/>
        </w:rPr>
        <w:t>增效</w:t>
      </w:r>
      <w:r w:rsidRPr="000C0842">
        <w:rPr>
          <w:rFonts w:eastAsia="SimSun"/>
          <w:sz w:val="24"/>
          <w:szCs w:val="24"/>
          <w:lang w:val="en-CA"/>
        </w:rPr>
        <w:t>，尊重其各自的任务授权，并在土著人民和地方社区、妇女和青年的充分有效参与下，根据《昆蒙框架》的</w:t>
      </w:r>
      <w:r w:rsidRPr="000C0842">
        <w:rPr>
          <w:rFonts w:eastAsia="SimSun"/>
          <w:sz w:val="24"/>
          <w:szCs w:val="24"/>
          <w:lang w:val="en-CA"/>
        </w:rPr>
        <w:t>2030</w:t>
      </w:r>
      <w:r w:rsidRPr="000C0842">
        <w:rPr>
          <w:rFonts w:eastAsia="SimSun"/>
          <w:sz w:val="24"/>
          <w:szCs w:val="24"/>
          <w:lang w:val="en-CA"/>
        </w:rPr>
        <w:t>年使命和《</w:t>
      </w:r>
      <w:r w:rsidRPr="000C0842">
        <w:rPr>
          <w:rFonts w:eastAsia="SimSun" w:hint="eastAsia"/>
          <w:sz w:val="24"/>
          <w:szCs w:val="24"/>
          <w:lang w:val="en-CA"/>
        </w:rPr>
        <w:t>生物多样性</w:t>
      </w:r>
      <w:r w:rsidRPr="000C0842">
        <w:rPr>
          <w:rFonts w:eastAsia="SimSun"/>
          <w:sz w:val="24"/>
          <w:szCs w:val="24"/>
          <w:lang w:val="en-CA"/>
        </w:rPr>
        <w:t>公约》</w:t>
      </w:r>
      <w:r w:rsidRPr="000C0842">
        <w:rPr>
          <w:rFonts w:eastAsia="SimSun"/>
          <w:sz w:val="24"/>
          <w:szCs w:val="24"/>
          <w:vertAlign w:val="superscript"/>
          <w:lang w:val="en-CA"/>
        </w:rPr>
        <w:footnoteReference w:id="501"/>
      </w:r>
      <w:r w:rsidRPr="000C0842">
        <w:rPr>
          <w:rFonts w:eastAsia="SimSun"/>
          <w:sz w:val="24"/>
          <w:szCs w:val="24"/>
          <w:lang w:val="en-CA"/>
        </w:rPr>
        <w:t>及其议定书，促进和监测《昆蒙框架》的执行进度，查明实现全球生物多样</w:t>
      </w:r>
      <w:r w:rsidRPr="000C0842">
        <w:rPr>
          <w:rFonts w:eastAsia="SimSun" w:hint="eastAsia"/>
          <w:sz w:val="24"/>
          <w:szCs w:val="24"/>
          <w:lang w:val="en-CA"/>
        </w:rPr>
        <w:t>性</w:t>
      </w:r>
      <w:r w:rsidRPr="000C0842">
        <w:rPr>
          <w:rFonts w:eastAsia="SimSun"/>
          <w:sz w:val="24"/>
          <w:szCs w:val="24"/>
          <w:lang w:val="en-CA"/>
        </w:rPr>
        <w:t>目标的共同挑战和解决方案，</w:t>
      </w:r>
    </w:p>
    <w:p w14:paraId="1938978E"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表示注意到</w:t>
      </w:r>
      <w:r w:rsidRPr="000C0842">
        <w:rPr>
          <w:rFonts w:eastAsia="SimSun"/>
          <w:sz w:val="24"/>
          <w:szCs w:val="24"/>
        </w:rPr>
        <w:t>土著问题常设论坛和非洲人后裔常设论坛在生物多样性和传统知识相关议题上</w:t>
      </w:r>
      <w:r w:rsidRPr="000C0842">
        <w:rPr>
          <w:rFonts w:eastAsia="SimSun" w:hint="eastAsia"/>
          <w:sz w:val="24"/>
          <w:szCs w:val="24"/>
        </w:rPr>
        <w:t>开展的重要工作</w:t>
      </w:r>
      <w:r w:rsidRPr="000C0842">
        <w:rPr>
          <w:rFonts w:eastAsia="SimSun"/>
          <w:sz w:val="24"/>
          <w:szCs w:val="24"/>
        </w:rPr>
        <w:t>，</w:t>
      </w:r>
    </w:p>
    <w:p w14:paraId="2B1AD756"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rPr>
      </w:pPr>
      <w:r w:rsidRPr="000C0842">
        <w:rPr>
          <w:rFonts w:eastAsia="KaiTi"/>
          <w:sz w:val="24"/>
          <w:szCs w:val="24"/>
        </w:rPr>
        <w:t>强调</w:t>
      </w:r>
      <w:r w:rsidRPr="000C0842">
        <w:rPr>
          <w:rFonts w:eastAsia="SimSun"/>
          <w:sz w:val="24"/>
          <w:szCs w:val="24"/>
        </w:rPr>
        <w:t>《昆蒙框架》到</w:t>
      </w:r>
      <w:r w:rsidRPr="000C0842">
        <w:rPr>
          <w:rFonts w:eastAsia="SimSun"/>
          <w:sz w:val="24"/>
          <w:szCs w:val="24"/>
        </w:rPr>
        <w:t xml:space="preserve"> 2030 </w:t>
      </w:r>
      <w:r w:rsidRPr="000C0842">
        <w:rPr>
          <w:rFonts w:eastAsia="SimSun"/>
          <w:sz w:val="24"/>
          <w:szCs w:val="24"/>
        </w:rPr>
        <w:t>年制止和扭转生物多样性丧失的长期目标和行动目标，以及到</w:t>
      </w:r>
      <w:r w:rsidRPr="000C0842">
        <w:rPr>
          <w:rFonts w:eastAsia="SimSun"/>
          <w:sz w:val="24"/>
          <w:szCs w:val="24"/>
        </w:rPr>
        <w:t xml:space="preserve"> 2050 </w:t>
      </w:r>
      <w:r w:rsidRPr="000C0842">
        <w:rPr>
          <w:rFonts w:eastAsia="SimSun"/>
          <w:sz w:val="24"/>
          <w:szCs w:val="24"/>
        </w:rPr>
        <w:t>年与自然和谐相处的愿景，以此支持养护、保护和恢复自然和所有生态系统的完整性，其中包括发挥温室气体沉降和储存作用的生态系统的完整性，</w:t>
      </w:r>
    </w:p>
    <w:p w14:paraId="3FC3D349"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赞赏地注意到</w:t>
      </w:r>
      <w:r w:rsidRPr="000C0842">
        <w:rPr>
          <w:rFonts w:eastAsia="SimSun"/>
          <w:sz w:val="24"/>
          <w:szCs w:val="24"/>
          <w:lang w:val="en-CA"/>
        </w:rPr>
        <w:t>瑞士政府提供的支持和联合国环境规划署在伯尔尼进程、在组织关于生物多样性相关公约之间合作执行《昆蒙框架》和后续活动的伯尔尼第三次会议中发挥的领导作用，</w:t>
      </w:r>
    </w:p>
    <w:p w14:paraId="568D7794"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sz w:val="24"/>
          <w:szCs w:val="24"/>
          <w:lang w:val="en-CA"/>
        </w:rPr>
      </w:pPr>
      <w:r w:rsidRPr="000C0842">
        <w:rPr>
          <w:rFonts w:eastAsia="KaiTi"/>
          <w:sz w:val="24"/>
          <w:szCs w:val="24"/>
          <w:lang w:val="en-CA"/>
        </w:rPr>
        <w:t>又赞赏地注意到</w:t>
      </w:r>
      <w:r w:rsidRPr="000C0842">
        <w:rPr>
          <w:rFonts w:eastAsia="SimSun"/>
          <w:sz w:val="24"/>
          <w:szCs w:val="24"/>
          <w:lang w:val="en-CA"/>
        </w:rPr>
        <w:t>伯尔尼第三次会议共同主席的工作以及公约缔约方、各多边环境协定秘书处、相关组织和利益攸关方的代表的积极参与，</w:t>
      </w:r>
    </w:p>
    <w:p w14:paraId="0C313D5D"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bCs/>
          <w:sz w:val="24"/>
          <w:szCs w:val="24"/>
          <w:lang w:val="en-CA"/>
        </w:rPr>
        <w:t>1.</w:t>
      </w:r>
      <w:r w:rsidRPr="000C0842">
        <w:rPr>
          <w:rFonts w:eastAsia="KaiTi"/>
          <w:bCs/>
          <w:sz w:val="24"/>
          <w:szCs w:val="24"/>
          <w:lang w:val="en-CA"/>
        </w:rPr>
        <w:tab/>
      </w:r>
      <w:r w:rsidRPr="000C0842">
        <w:rPr>
          <w:rFonts w:eastAsia="KaiTi"/>
          <w:bCs/>
          <w:sz w:val="24"/>
          <w:szCs w:val="24"/>
          <w:lang w:val="en-CA"/>
        </w:rPr>
        <w:t>欢迎</w:t>
      </w:r>
      <w:r w:rsidRPr="000C0842">
        <w:rPr>
          <w:rFonts w:eastAsia="SimSun"/>
          <w:bCs/>
          <w:sz w:val="24"/>
          <w:szCs w:val="24"/>
          <w:lang w:val="en-CA"/>
        </w:rPr>
        <w:t>其他公约和组织的理事机构</w:t>
      </w:r>
      <w:r w:rsidRPr="000C0842">
        <w:rPr>
          <w:rFonts w:eastAsia="SimSun"/>
          <w:bCs/>
          <w:sz w:val="24"/>
          <w:szCs w:val="24"/>
          <w:lang w:val="en-GB"/>
        </w:rPr>
        <w:t>根据缔约方大会第</w:t>
      </w:r>
      <w:hyperlink r:id="rId359" w:history="1">
        <w:r w:rsidRPr="000C0842">
          <w:rPr>
            <w:rFonts w:eastAsia="SimSun"/>
            <w:bCs/>
            <w:sz w:val="24"/>
            <w:szCs w:val="24"/>
            <w:u w:val="single"/>
            <w:lang w:val="en-GB"/>
          </w:rPr>
          <w:t>15/13</w:t>
        </w:r>
      </w:hyperlink>
      <w:r w:rsidRPr="000C0842">
        <w:rPr>
          <w:rFonts w:eastAsia="SimSun"/>
          <w:bCs/>
          <w:sz w:val="24"/>
          <w:szCs w:val="24"/>
          <w:lang w:val="en-GB"/>
        </w:rPr>
        <w:t>号决定第</w:t>
      </w:r>
      <w:r w:rsidRPr="000C0842">
        <w:rPr>
          <w:rFonts w:eastAsia="SimSun"/>
          <w:bCs/>
          <w:sz w:val="24"/>
          <w:szCs w:val="24"/>
          <w:lang w:val="en-GB"/>
        </w:rPr>
        <w:t>4</w:t>
      </w:r>
      <w:r w:rsidRPr="000C0842">
        <w:rPr>
          <w:rFonts w:eastAsia="SimSun"/>
          <w:bCs/>
          <w:sz w:val="24"/>
          <w:szCs w:val="24"/>
          <w:lang w:val="en-GB"/>
        </w:rPr>
        <w:t>段做出</w:t>
      </w:r>
      <w:r w:rsidRPr="000C0842">
        <w:rPr>
          <w:rFonts w:eastAsia="SimSun"/>
          <w:bCs/>
          <w:sz w:val="24"/>
          <w:szCs w:val="24"/>
          <w:lang w:val="en-CA"/>
        </w:rPr>
        <w:t>承认、欢迎或认可《昆明</w:t>
      </w:r>
      <w:r w:rsidRPr="000C0842">
        <w:rPr>
          <w:rFonts w:eastAsia="SimSun"/>
          <w:bCs/>
          <w:sz w:val="24"/>
          <w:szCs w:val="24"/>
          <w:lang w:val="en-CA"/>
        </w:rPr>
        <w:t>-</w:t>
      </w:r>
      <w:r w:rsidRPr="000C0842">
        <w:rPr>
          <w:rFonts w:eastAsia="SimSun"/>
          <w:bCs/>
          <w:sz w:val="24"/>
          <w:szCs w:val="24"/>
          <w:lang w:val="en-CA"/>
        </w:rPr>
        <w:t>蒙特利尔全球生物多样性框架》的</w:t>
      </w:r>
      <w:r w:rsidRPr="000C0842">
        <w:rPr>
          <w:rFonts w:eastAsia="SimSun"/>
          <w:bCs/>
          <w:sz w:val="24"/>
          <w:szCs w:val="24"/>
          <w:lang w:val="en-GB"/>
        </w:rPr>
        <w:t>决定</w:t>
      </w:r>
      <w:r w:rsidRPr="000C0842">
        <w:rPr>
          <w:rFonts w:eastAsia="SimSun"/>
          <w:sz w:val="24"/>
          <w:szCs w:val="24"/>
          <w:vertAlign w:val="superscript"/>
          <w:lang w:val="en-CA"/>
        </w:rPr>
        <w:footnoteReference w:id="502"/>
      </w:r>
      <w:r w:rsidRPr="000C0842">
        <w:rPr>
          <w:rFonts w:eastAsia="SimSun"/>
          <w:bCs/>
          <w:sz w:val="24"/>
          <w:szCs w:val="24"/>
          <w:lang w:val="en-GB"/>
        </w:rPr>
        <w:t>，</w:t>
      </w:r>
      <w:r w:rsidRPr="000C0842">
        <w:rPr>
          <w:rFonts w:eastAsia="SimSun"/>
          <w:bCs/>
          <w:sz w:val="24"/>
          <w:szCs w:val="24"/>
          <w:lang w:val="en-CA"/>
        </w:rPr>
        <w:t>以及使其战略和行动计划与《昆蒙框架》保持一致，并鼓励其他公约和组织的理事机构也这样做；</w:t>
      </w:r>
      <w:r w:rsidRPr="000C0842">
        <w:rPr>
          <w:rFonts w:eastAsia="SimSun"/>
          <w:bCs/>
          <w:sz w:val="24"/>
          <w:szCs w:val="24"/>
          <w:lang w:val="en-CA"/>
        </w:rPr>
        <w:t xml:space="preserve"> </w:t>
      </w:r>
    </w:p>
    <w:p w14:paraId="580BCF08"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bCs/>
          <w:sz w:val="24"/>
          <w:szCs w:val="24"/>
          <w:lang w:val="en-CA"/>
        </w:rPr>
        <w:t>2.</w:t>
      </w:r>
      <w:r w:rsidRPr="000C0842">
        <w:rPr>
          <w:rFonts w:eastAsia="KaiTi"/>
          <w:bCs/>
          <w:sz w:val="24"/>
          <w:szCs w:val="24"/>
          <w:lang w:val="en-CA"/>
        </w:rPr>
        <w:tab/>
      </w:r>
      <w:r w:rsidRPr="000C0842">
        <w:rPr>
          <w:rFonts w:eastAsia="KaiTi"/>
          <w:bCs/>
          <w:sz w:val="24"/>
          <w:szCs w:val="24"/>
          <w:lang w:val="en-CA"/>
        </w:rPr>
        <w:t>赞赏地注意到</w:t>
      </w:r>
      <w:r w:rsidRPr="000C0842">
        <w:rPr>
          <w:rFonts w:eastAsia="SimSun"/>
          <w:bCs/>
          <w:sz w:val="24"/>
          <w:szCs w:val="24"/>
          <w:lang w:val="en-GB"/>
        </w:rPr>
        <w:t>联合国各实体、其他政府间协定和进程以及国际组织对制定生物多样性工具、指南和《昆蒙框架》的贡献；</w:t>
      </w:r>
    </w:p>
    <w:p w14:paraId="5812533A"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bCs/>
          <w:sz w:val="24"/>
          <w:szCs w:val="24"/>
          <w:lang w:val="en-CA"/>
        </w:rPr>
        <w:t>3.</w:t>
      </w:r>
      <w:r w:rsidRPr="000C0842">
        <w:rPr>
          <w:rFonts w:eastAsia="KaiTi"/>
          <w:bCs/>
          <w:sz w:val="24"/>
          <w:szCs w:val="24"/>
          <w:lang w:val="en-CA"/>
        </w:rPr>
        <w:tab/>
        <w:t xml:space="preserve"> </w:t>
      </w:r>
      <w:r w:rsidRPr="000C0842">
        <w:rPr>
          <w:rFonts w:eastAsia="KaiTi"/>
          <w:bCs/>
          <w:sz w:val="24"/>
          <w:szCs w:val="24"/>
          <w:lang w:val="en-GB"/>
        </w:rPr>
        <w:t>表示注意到</w:t>
      </w:r>
      <w:r w:rsidRPr="000C0842">
        <w:rPr>
          <w:rFonts w:eastAsia="SimSun"/>
          <w:bCs/>
          <w:sz w:val="24"/>
          <w:szCs w:val="24"/>
          <w:lang w:val="en-CA"/>
        </w:rPr>
        <w:t>伯尔尼</w:t>
      </w:r>
      <w:r w:rsidRPr="000C0842">
        <w:rPr>
          <w:rFonts w:eastAsia="SimSun"/>
          <w:bCs/>
          <w:sz w:val="24"/>
          <w:szCs w:val="24"/>
          <w:lang w:val="en-GB"/>
        </w:rPr>
        <w:t>第三次</w:t>
      </w:r>
      <w:r w:rsidRPr="000C0842">
        <w:rPr>
          <w:rFonts w:eastAsia="SimSun"/>
          <w:bCs/>
          <w:sz w:val="24"/>
          <w:szCs w:val="24"/>
          <w:lang w:val="en-CA"/>
        </w:rPr>
        <w:t>会议的成果，认为这是对有效执行《昆蒙框架》的重要贡献；</w:t>
      </w:r>
    </w:p>
    <w:p w14:paraId="520FB26F"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bCs/>
          <w:sz w:val="24"/>
          <w:szCs w:val="24"/>
          <w:lang w:val="en-CA"/>
        </w:rPr>
        <w:t>4.</w:t>
      </w:r>
      <w:r w:rsidRPr="000C0842">
        <w:rPr>
          <w:rFonts w:eastAsia="KaiTi"/>
          <w:bCs/>
          <w:sz w:val="24"/>
          <w:szCs w:val="24"/>
          <w:lang w:val="en-CA"/>
        </w:rPr>
        <w:tab/>
      </w:r>
      <w:r w:rsidRPr="000C0842">
        <w:rPr>
          <w:rFonts w:eastAsia="KaiTi"/>
          <w:bCs/>
          <w:sz w:val="24"/>
          <w:szCs w:val="24"/>
          <w:lang w:val="en-CA"/>
        </w:rPr>
        <w:t>注意到</w:t>
      </w:r>
      <w:r w:rsidRPr="000C0842">
        <w:rPr>
          <w:rFonts w:eastAsia="SimSun"/>
          <w:bCs/>
          <w:sz w:val="24"/>
          <w:szCs w:val="24"/>
          <w:lang w:val="en-CA"/>
        </w:rPr>
        <w:t>里约三公约联合联络小组和生物多样性相关公约联络小组为加强各公约之间的合作和协同增效所做的工作；</w:t>
      </w:r>
    </w:p>
    <w:p w14:paraId="3F3D2869"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bCs/>
          <w:sz w:val="24"/>
          <w:szCs w:val="24"/>
          <w:lang w:val="en-CA"/>
        </w:rPr>
        <w:t>5.</w:t>
      </w:r>
      <w:r w:rsidRPr="000C0842">
        <w:rPr>
          <w:rFonts w:eastAsia="KaiTi"/>
          <w:bCs/>
          <w:sz w:val="24"/>
          <w:szCs w:val="24"/>
          <w:lang w:val="en-CA"/>
        </w:rPr>
        <w:tab/>
      </w:r>
      <w:r w:rsidRPr="000C0842">
        <w:rPr>
          <w:rFonts w:eastAsia="KaiTi"/>
          <w:bCs/>
          <w:sz w:val="24"/>
          <w:szCs w:val="24"/>
          <w:lang w:val="en-CA"/>
        </w:rPr>
        <w:t>邀请</w:t>
      </w:r>
      <w:r w:rsidRPr="000C0842">
        <w:rPr>
          <w:rFonts w:eastAsia="SimSun"/>
          <w:bCs/>
          <w:spacing w:val="4"/>
          <w:sz w:val="24"/>
          <w:szCs w:val="24"/>
          <w:lang w:val="en-CA"/>
        </w:rPr>
        <w:t>里约三公约的缔约方根据国家具体情况和优先事项，加强在执行每项公约方面的协同</w:t>
      </w:r>
      <w:r w:rsidRPr="000C0842">
        <w:rPr>
          <w:rFonts w:eastAsia="SimSun" w:hint="eastAsia"/>
          <w:bCs/>
          <w:spacing w:val="4"/>
          <w:sz w:val="24"/>
          <w:szCs w:val="24"/>
          <w:lang w:val="en-CA"/>
        </w:rPr>
        <w:t>增效</w:t>
      </w:r>
      <w:r w:rsidRPr="000C0842">
        <w:rPr>
          <w:rFonts w:eastAsia="SimSun"/>
          <w:bCs/>
          <w:spacing w:val="4"/>
          <w:sz w:val="24"/>
          <w:szCs w:val="24"/>
          <w:lang w:val="en-CA"/>
        </w:rPr>
        <w:t>与合作；</w:t>
      </w:r>
    </w:p>
    <w:p w14:paraId="2844270D"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pacing w:val="4"/>
          <w:sz w:val="24"/>
          <w:szCs w:val="24"/>
          <w:lang w:val="en-GB"/>
        </w:rPr>
      </w:pPr>
      <w:r w:rsidRPr="000C0842">
        <w:rPr>
          <w:rFonts w:eastAsia="KaiTi"/>
          <w:bCs/>
          <w:spacing w:val="4"/>
          <w:sz w:val="24"/>
          <w:szCs w:val="24"/>
          <w:lang w:val="en-CA"/>
        </w:rPr>
        <w:t>6.</w:t>
      </w:r>
      <w:r w:rsidRPr="000C0842">
        <w:rPr>
          <w:rFonts w:eastAsia="KaiTi"/>
          <w:bCs/>
          <w:spacing w:val="4"/>
          <w:sz w:val="24"/>
          <w:szCs w:val="24"/>
          <w:lang w:val="en-CA"/>
        </w:rPr>
        <w:tab/>
      </w:r>
      <w:r w:rsidRPr="000C0842">
        <w:rPr>
          <w:rFonts w:eastAsia="KaiTi"/>
          <w:bCs/>
          <w:sz w:val="24"/>
          <w:szCs w:val="24"/>
          <w:lang w:val="en-CA"/>
        </w:rPr>
        <w:t>邀请</w:t>
      </w:r>
      <w:r w:rsidRPr="000C0842">
        <w:rPr>
          <w:rFonts w:eastAsia="SimSun"/>
          <w:bCs/>
          <w:sz w:val="24"/>
          <w:szCs w:val="24"/>
          <w:lang w:val="en-CA"/>
        </w:rPr>
        <w:t>联合国粮食及农业组织和联合国环境规划署与里约三公约和其他相关伙伴</w:t>
      </w:r>
      <w:r w:rsidRPr="000C0842">
        <w:rPr>
          <w:rFonts w:eastAsia="SimSun" w:hint="eastAsia"/>
          <w:bCs/>
          <w:sz w:val="24"/>
          <w:szCs w:val="24"/>
          <w:lang w:val="en-CA"/>
        </w:rPr>
        <w:t>协作</w:t>
      </w:r>
      <w:r w:rsidRPr="000C0842">
        <w:rPr>
          <w:rFonts w:eastAsia="SimSun"/>
          <w:bCs/>
          <w:sz w:val="24"/>
          <w:szCs w:val="24"/>
          <w:lang w:val="en-CA"/>
        </w:rPr>
        <w:t>，与缔约方、其他国家政府、土著人民和地方社区</w:t>
      </w:r>
      <w:r w:rsidRPr="000C0842">
        <w:rPr>
          <w:rFonts w:eastAsia="SimSun"/>
          <w:bCs/>
          <w:sz w:val="24"/>
          <w:szCs w:val="24"/>
          <w:lang w:val="en-GB"/>
        </w:rPr>
        <w:t>、妇女和青年团体、残疾人以及相关利益攸关方协商，</w:t>
      </w:r>
      <w:r w:rsidRPr="000C0842">
        <w:rPr>
          <w:rFonts w:eastAsia="SimSun"/>
          <w:bCs/>
          <w:spacing w:val="4"/>
          <w:sz w:val="24"/>
          <w:szCs w:val="24"/>
          <w:lang w:val="en-GB"/>
        </w:rPr>
        <w:t>继续执行《昆蒙框架》，包括通过行动目标</w:t>
      </w:r>
      <w:r w:rsidRPr="000C0842">
        <w:rPr>
          <w:rFonts w:eastAsia="SimSun"/>
          <w:bCs/>
          <w:spacing w:val="4"/>
          <w:sz w:val="24"/>
          <w:szCs w:val="24"/>
          <w:lang w:val="en-GB"/>
        </w:rPr>
        <w:t>2</w:t>
      </w:r>
      <w:r w:rsidRPr="000C0842">
        <w:rPr>
          <w:rFonts w:eastAsia="SimSun"/>
          <w:bCs/>
          <w:spacing w:val="4"/>
          <w:sz w:val="24"/>
          <w:szCs w:val="24"/>
          <w:lang w:val="en-GB"/>
        </w:rPr>
        <w:t>的路线图</w:t>
      </w:r>
      <w:r w:rsidRPr="000C0842">
        <w:rPr>
          <w:rFonts w:eastAsia="SimSun"/>
          <w:bCs/>
          <w:sz w:val="24"/>
          <w:szCs w:val="24"/>
          <w:vertAlign w:val="superscript"/>
          <w:lang w:val="en-CA"/>
        </w:rPr>
        <w:footnoteReference w:id="503"/>
      </w:r>
      <w:r w:rsidRPr="000C0842">
        <w:rPr>
          <w:rFonts w:eastAsia="SimSun"/>
          <w:bCs/>
          <w:spacing w:val="4"/>
          <w:sz w:val="24"/>
          <w:szCs w:val="24"/>
          <w:lang w:val="en-GB"/>
        </w:rPr>
        <w:t>；</w:t>
      </w:r>
    </w:p>
    <w:p w14:paraId="599AEE92"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hint="eastAsia"/>
          <w:bCs/>
          <w:sz w:val="24"/>
          <w:szCs w:val="24"/>
          <w:lang w:val="en-CA"/>
        </w:rPr>
        <w:t>7</w:t>
      </w:r>
      <w:r w:rsidRPr="000C0842">
        <w:rPr>
          <w:rFonts w:eastAsia="KaiTi"/>
          <w:bCs/>
          <w:sz w:val="24"/>
          <w:szCs w:val="24"/>
          <w:lang w:val="en-CA"/>
        </w:rPr>
        <w:t>.</w:t>
      </w:r>
      <w:r w:rsidRPr="000C0842">
        <w:rPr>
          <w:rFonts w:eastAsia="KaiTi"/>
          <w:bCs/>
          <w:sz w:val="24"/>
          <w:szCs w:val="24"/>
          <w:lang w:val="en-CA"/>
        </w:rPr>
        <w:tab/>
      </w:r>
      <w:r w:rsidRPr="000C0842">
        <w:rPr>
          <w:rFonts w:eastAsia="KaiTi"/>
          <w:bCs/>
          <w:sz w:val="24"/>
          <w:szCs w:val="24"/>
          <w:lang w:val="en-CA"/>
        </w:rPr>
        <w:t>邀请</w:t>
      </w:r>
      <w:r w:rsidRPr="000C0842">
        <w:rPr>
          <w:rFonts w:eastAsia="SimSun" w:hint="eastAsia"/>
          <w:bCs/>
          <w:sz w:val="24"/>
          <w:szCs w:val="24"/>
          <w:lang w:val="en-CA"/>
        </w:rPr>
        <w:t>作为</w:t>
      </w:r>
      <w:r w:rsidRPr="000C0842">
        <w:rPr>
          <w:rFonts w:eastAsia="SimSun"/>
          <w:bCs/>
          <w:sz w:val="24"/>
          <w:szCs w:val="24"/>
          <w:lang w:val="en-CA"/>
        </w:rPr>
        <w:t>联合国森林论坛成员的缔约方酌情考虑调整其国家生物多样性战略和行动计划中与森林有关的承诺和行动，并酌情调整对</w:t>
      </w:r>
      <w:r w:rsidRPr="000C0842">
        <w:rPr>
          <w:rFonts w:eastAsia="SimSun"/>
          <w:bCs/>
          <w:sz w:val="24"/>
          <w:szCs w:val="24"/>
          <w:lang w:val="en-CA"/>
        </w:rPr>
        <w:t>2017-2030</w:t>
      </w:r>
      <w:r w:rsidRPr="000C0842">
        <w:rPr>
          <w:rFonts w:eastAsia="SimSun"/>
          <w:bCs/>
          <w:sz w:val="24"/>
          <w:szCs w:val="24"/>
          <w:lang w:val="en-CA"/>
        </w:rPr>
        <w:t>年联合国森林战略计划</w:t>
      </w:r>
      <w:r w:rsidRPr="000C0842">
        <w:rPr>
          <w:rFonts w:eastAsia="SimSun"/>
          <w:sz w:val="24"/>
          <w:szCs w:val="24"/>
          <w:vertAlign w:val="superscript"/>
          <w:lang w:val="en-CA"/>
        </w:rPr>
        <w:footnoteReference w:id="504"/>
      </w:r>
      <w:r w:rsidRPr="000C0842">
        <w:rPr>
          <w:rFonts w:eastAsia="SimSun"/>
          <w:bCs/>
          <w:sz w:val="24"/>
          <w:szCs w:val="24"/>
          <w:lang w:val="en-CA"/>
        </w:rPr>
        <w:t>的自愿国家贡献；</w:t>
      </w:r>
    </w:p>
    <w:p w14:paraId="27BF3081"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KaiTi" w:hint="eastAsia"/>
          <w:bCs/>
          <w:sz w:val="24"/>
          <w:szCs w:val="24"/>
          <w:lang w:val="en-CA"/>
        </w:rPr>
        <w:t>8</w:t>
      </w:r>
      <w:r w:rsidRPr="000C0842">
        <w:rPr>
          <w:rFonts w:eastAsia="KaiTi"/>
          <w:bCs/>
          <w:sz w:val="24"/>
          <w:szCs w:val="24"/>
          <w:lang w:val="en-CA"/>
        </w:rPr>
        <w:t>.</w:t>
      </w:r>
      <w:r w:rsidRPr="000C0842">
        <w:rPr>
          <w:rFonts w:eastAsia="KaiTi"/>
          <w:bCs/>
          <w:sz w:val="24"/>
          <w:szCs w:val="24"/>
          <w:lang w:val="en-CA"/>
        </w:rPr>
        <w:tab/>
      </w:r>
      <w:r w:rsidRPr="000C0842">
        <w:rPr>
          <w:rFonts w:eastAsia="KaiTi"/>
          <w:bCs/>
          <w:sz w:val="24"/>
          <w:szCs w:val="24"/>
          <w:lang w:val="en-GB"/>
        </w:rPr>
        <w:t>邀请</w:t>
      </w:r>
      <w:r w:rsidRPr="000C0842">
        <w:rPr>
          <w:rFonts w:eastAsia="SimSun"/>
          <w:bCs/>
          <w:sz w:val="24"/>
          <w:szCs w:val="24"/>
          <w:lang w:val="en-CA"/>
        </w:rPr>
        <w:t>缔约方酌情考虑在其国家生物多样性战略和行动计划中调整《水行动议程》所载与水有关的自愿承诺和行动，该议程是</w:t>
      </w:r>
      <w:r w:rsidRPr="000C0842">
        <w:rPr>
          <w:rFonts w:eastAsia="SimSun"/>
          <w:bCs/>
          <w:sz w:val="24"/>
          <w:szCs w:val="24"/>
          <w:lang w:val="en-CA"/>
        </w:rPr>
        <w:t>2018-2028</w:t>
      </w:r>
      <w:r w:rsidRPr="000C0842">
        <w:rPr>
          <w:rFonts w:eastAsia="SimSun"/>
          <w:bCs/>
          <w:sz w:val="24"/>
          <w:szCs w:val="24"/>
          <w:lang w:val="en-CA"/>
        </w:rPr>
        <w:t>年联合国</w:t>
      </w:r>
      <w:r w:rsidRPr="000C0842">
        <w:rPr>
          <w:rFonts w:eastAsia="SimSun"/>
          <w:bCs/>
          <w:sz w:val="24"/>
          <w:szCs w:val="24"/>
          <w:lang w:val="en-CA"/>
        </w:rPr>
        <w:t>“</w:t>
      </w:r>
      <w:r w:rsidRPr="000C0842">
        <w:rPr>
          <w:rFonts w:eastAsia="SimSun"/>
          <w:bCs/>
          <w:sz w:val="24"/>
          <w:szCs w:val="24"/>
          <w:lang w:val="en-CA"/>
        </w:rPr>
        <w:t>水促进可持续发展</w:t>
      </w:r>
      <w:r w:rsidRPr="000C0842">
        <w:rPr>
          <w:rFonts w:eastAsia="SimSun"/>
          <w:bCs/>
          <w:sz w:val="24"/>
          <w:szCs w:val="24"/>
          <w:lang w:val="en-CA"/>
        </w:rPr>
        <w:t>”</w:t>
      </w:r>
      <w:r w:rsidRPr="000C0842">
        <w:rPr>
          <w:rFonts w:eastAsia="SimSun"/>
          <w:bCs/>
          <w:sz w:val="24"/>
          <w:szCs w:val="24"/>
          <w:lang w:val="en-CA"/>
        </w:rPr>
        <w:t>国际行动十年目标执行情况中期全面审查会议启动的；</w:t>
      </w:r>
    </w:p>
    <w:p w14:paraId="6CB49A0E" w14:textId="77777777"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SimSun" w:hint="eastAsia"/>
          <w:bCs/>
          <w:sz w:val="24"/>
          <w:szCs w:val="24"/>
          <w:lang w:val="en-CA"/>
        </w:rPr>
        <w:t>9</w:t>
      </w:r>
      <w:r w:rsidRPr="000C0842">
        <w:rPr>
          <w:rFonts w:eastAsia="SimSun"/>
          <w:bCs/>
          <w:sz w:val="24"/>
          <w:szCs w:val="24"/>
          <w:lang w:val="en-CA"/>
        </w:rPr>
        <w:t xml:space="preserve">   </w:t>
      </w:r>
      <w:r w:rsidRPr="000C0842">
        <w:rPr>
          <w:rFonts w:eastAsia="STKaiti"/>
          <w:bCs/>
          <w:sz w:val="24"/>
          <w:szCs w:val="24"/>
        </w:rPr>
        <w:t>欢迎</w:t>
      </w:r>
      <w:r w:rsidRPr="000C0842">
        <w:rPr>
          <w:rFonts w:eastAsia="SimSun"/>
          <w:bCs/>
          <w:sz w:val="24"/>
          <w:szCs w:val="24"/>
        </w:rPr>
        <w:t>《生物多样性公约》和《关于特别是作为水禽栖息地的国际重要湿地公约》</w:t>
      </w:r>
      <w:r w:rsidRPr="000C0842">
        <w:rPr>
          <w:rFonts w:eastAsia="SimSun"/>
          <w:sz w:val="24"/>
          <w:szCs w:val="24"/>
          <w:vertAlign w:val="superscript"/>
          <w:lang w:val="en-CA"/>
        </w:rPr>
        <w:footnoteReference w:id="505"/>
      </w:r>
      <w:r w:rsidRPr="000C0842">
        <w:rPr>
          <w:rFonts w:eastAsia="SimSun"/>
          <w:bCs/>
          <w:sz w:val="24"/>
          <w:szCs w:val="24"/>
        </w:rPr>
        <w:t>的第六个联合工作计划（</w:t>
      </w:r>
      <w:r w:rsidRPr="000C0842">
        <w:rPr>
          <w:rFonts w:eastAsia="SimSun"/>
          <w:bCs/>
          <w:sz w:val="24"/>
          <w:szCs w:val="24"/>
        </w:rPr>
        <w:t xml:space="preserve">2024--2030 </w:t>
      </w:r>
      <w:r w:rsidRPr="000C0842">
        <w:rPr>
          <w:rFonts w:eastAsia="SimSun"/>
          <w:bCs/>
          <w:sz w:val="24"/>
          <w:szCs w:val="24"/>
        </w:rPr>
        <w:t>年）</w:t>
      </w:r>
      <w:r w:rsidRPr="000C0842">
        <w:rPr>
          <w:rFonts w:eastAsia="SimSun"/>
          <w:sz w:val="24"/>
          <w:szCs w:val="24"/>
          <w:vertAlign w:val="superscript"/>
          <w:lang w:val="en-CA"/>
        </w:rPr>
        <w:footnoteReference w:id="506"/>
      </w:r>
      <w:r w:rsidRPr="000C0842">
        <w:rPr>
          <w:rFonts w:eastAsia="SimSun"/>
          <w:bCs/>
          <w:sz w:val="24"/>
          <w:szCs w:val="24"/>
        </w:rPr>
        <w:t>；</w:t>
      </w:r>
    </w:p>
    <w:p w14:paraId="6786F914" w14:textId="6943BA4B"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lang w:val="en-CA"/>
        </w:rPr>
      </w:pPr>
      <w:r w:rsidRPr="000C0842">
        <w:rPr>
          <w:rFonts w:eastAsia="SimSun" w:hint="eastAsia"/>
          <w:bCs/>
          <w:sz w:val="24"/>
          <w:szCs w:val="24"/>
          <w:lang w:val="en-CA"/>
        </w:rPr>
        <w:t>10</w:t>
      </w:r>
      <w:r w:rsidRPr="000C0842">
        <w:rPr>
          <w:rFonts w:eastAsia="SimSun"/>
          <w:bCs/>
          <w:sz w:val="24"/>
          <w:szCs w:val="24"/>
          <w:lang w:val="en-CA"/>
        </w:rPr>
        <w:t>.</w:t>
      </w:r>
      <w:r w:rsidRPr="000C0842">
        <w:rPr>
          <w:rFonts w:eastAsia="SimSun"/>
          <w:bCs/>
          <w:sz w:val="24"/>
          <w:szCs w:val="24"/>
          <w:lang w:val="en-CA"/>
        </w:rPr>
        <w:tab/>
      </w:r>
      <w:r w:rsidRPr="000C0842">
        <w:rPr>
          <w:rFonts w:eastAsia="KaiTi"/>
          <w:bCs/>
          <w:sz w:val="24"/>
          <w:szCs w:val="24"/>
          <w:lang w:val="en-CA"/>
        </w:rPr>
        <w:t xml:space="preserve"> </w:t>
      </w:r>
      <w:r w:rsidRPr="000C0842">
        <w:rPr>
          <w:rFonts w:eastAsia="KaiTi"/>
          <w:bCs/>
          <w:sz w:val="24"/>
          <w:szCs w:val="24"/>
          <w:lang w:val="en-GB"/>
        </w:rPr>
        <w:t>邀请</w:t>
      </w:r>
      <w:r w:rsidRPr="000C0842">
        <w:rPr>
          <w:rFonts w:eastAsia="SimSun"/>
          <w:bCs/>
          <w:sz w:val="24"/>
          <w:szCs w:val="24"/>
          <w:lang w:val="en-CA"/>
        </w:rPr>
        <w:t>联合国环境规划署继续支持生物多样性相关公约和相关多边环境协定之间的合作与协作，为切实有效地执行《生物多样性公约》及其议定书和《昆蒙框架》</w:t>
      </w:r>
      <w:r w:rsidR="001A5C0A" w:rsidRPr="000C0842">
        <w:rPr>
          <w:rFonts w:eastAsia="SimSun"/>
          <w:bCs/>
          <w:sz w:val="24"/>
          <w:szCs w:val="24"/>
          <w:lang w:val="en-CA"/>
        </w:rPr>
        <w:t>作</w:t>
      </w:r>
      <w:r w:rsidRPr="000C0842">
        <w:rPr>
          <w:rFonts w:eastAsia="SimSun"/>
          <w:bCs/>
          <w:sz w:val="24"/>
          <w:szCs w:val="24"/>
          <w:lang w:val="en-CA"/>
        </w:rPr>
        <w:t>出贡献；</w:t>
      </w:r>
    </w:p>
    <w:p w14:paraId="400E66FB" w14:textId="4E5315F3"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rPr>
      </w:pPr>
      <w:r w:rsidRPr="000C0842">
        <w:rPr>
          <w:rFonts w:eastAsia="SimSun" w:hint="eastAsia"/>
          <w:bCs/>
          <w:sz w:val="24"/>
          <w:szCs w:val="24"/>
          <w:lang w:val="en-CA"/>
        </w:rPr>
        <w:t>11</w:t>
      </w:r>
      <w:r w:rsidRPr="000C0842">
        <w:rPr>
          <w:rFonts w:eastAsia="SimSun"/>
          <w:bCs/>
          <w:sz w:val="24"/>
          <w:szCs w:val="24"/>
          <w:lang w:val="en-CA"/>
        </w:rPr>
        <w:t xml:space="preserve">.  </w:t>
      </w:r>
      <w:r w:rsidRPr="000C0842">
        <w:rPr>
          <w:rFonts w:eastAsia="STKaiti"/>
          <w:bCs/>
          <w:sz w:val="24"/>
          <w:szCs w:val="24"/>
          <w:lang w:val="en-CA"/>
        </w:rPr>
        <w:t>又邀请</w:t>
      </w:r>
      <w:r w:rsidRPr="000C0842">
        <w:rPr>
          <w:rFonts w:eastAsia="SimSun"/>
          <w:bCs/>
          <w:sz w:val="24"/>
          <w:szCs w:val="24"/>
        </w:rPr>
        <w:t>联合国环境规划署</w:t>
      </w:r>
      <w:r w:rsidRPr="000C0842">
        <w:rPr>
          <w:rFonts w:eastAsia="SimSun" w:hint="eastAsia"/>
          <w:bCs/>
          <w:sz w:val="24"/>
          <w:szCs w:val="24"/>
        </w:rPr>
        <w:t>继续</w:t>
      </w:r>
      <w:r w:rsidRPr="000C0842">
        <w:rPr>
          <w:rFonts w:eastAsia="SimSun"/>
          <w:bCs/>
          <w:sz w:val="24"/>
          <w:szCs w:val="24"/>
        </w:rPr>
        <w:t>环境法治</w:t>
      </w:r>
      <w:r w:rsidRPr="000C0842">
        <w:rPr>
          <w:rFonts w:eastAsia="SimSun" w:hint="eastAsia"/>
          <w:bCs/>
          <w:sz w:val="24"/>
          <w:szCs w:val="24"/>
        </w:rPr>
        <w:t>的</w:t>
      </w:r>
      <w:r w:rsidRPr="000C0842">
        <w:rPr>
          <w:rFonts w:eastAsia="SimSun"/>
          <w:bCs/>
          <w:sz w:val="24"/>
          <w:szCs w:val="24"/>
        </w:rPr>
        <w:t>工作，同时充分考虑到《昆蒙框架》</w:t>
      </w:r>
      <w:r w:rsidRPr="000C0842">
        <w:rPr>
          <w:rFonts w:eastAsia="SimSun"/>
          <w:bCs/>
          <w:sz w:val="24"/>
          <w:szCs w:val="24"/>
        </w:rPr>
        <w:t xml:space="preserve">C </w:t>
      </w:r>
      <w:r w:rsidRPr="000C0842">
        <w:rPr>
          <w:rFonts w:eastAsia="SimSun"/>
          <w:bCs/>
          <w:sz w:val="24"/>
          <w:szCs w:val="24"/>
        </w:rPr>
        <w:t>部分所述不同价值体系，包括对于承认这些权利的国家而言在与地球母亲平衡和谐相处背景下的自然的权利和地球母亲的权利</w:t>
      </w:r>
      <w:r w:rsidRPr="000C0842">
        <w:rPr>
          <w:rFonts w:eastAsia="SimSun"/>
          <w:bCs/>
          <w:sz w:val="24"/>
          <w:szCs w:val="24"/>
          <w:vertAlign w:val="superscript"/>
        </w:rPr>
        <w:footnoteReference w:id="507"/>
      </w:r>
      <w:r w:rsidR="005C4768" w:rsidRPr="000C0842">
        <w:rPr>
          <w:rFonts w:eastAsia="SimSun"/>
          <w:bCs/>
          <w:sz w:val="24"/>
          <w:szCs w:val="24"/>
        </w:rPr>
        <w:t>；</w:t>
      </w:r>
    </w:p>
    <w:p w14:paraId="0391888C" w14:textId="5FD344E2" w:rsidR="002B3E30" w:rsidRPr="000C0842" w:rsidRDefault="002B3E30" w:rsidP="002B3E30">
      <w:pPr>
        <w:tabs>
          <w:tab w:val="clear" w:pos="567"/>
          <w:tab w:val="clear" w:pos="1134"/>
          <w:tab w:val="clear" w:pos="1701"/>
          <w:tab w:val="clear" w:pos="2268"/>
        </w:tabs>
        <w:spacing w:before="120" w:after="120"/>
        <w:ind w:left="490" w:firstLine="490"/>
        <w:rPr>
          <w:rFonts w:eastAsia="SimSun"/>
          <w:bCs/>
          <w:sz w:val="24"/>
          <w:szCs w:val="24"/>
        </w:rPr>
      </w:pPr>
      <w:r w:rsidRPr="000C0842">
        <w:rPr>
          <w:rFonts w:eastAsia="SimSun" w:hint="eastAsia"/>
          <w:bCs/>
          <w:sz w:val="24"/>
          <w:szCs w:val="24"/>
        </w:rPr>
        <w:t xml:space="preserve">12. </w:t>
      </w:r>
      <w:r w:rsidRPr="000C0842">
        <w:rPr>
          <w:rFonts w:ascii="KaiTi" w:eastAsia="KaiTi" w:hAnsi="KaiTi" w:hint="eastAsia"/>
          <w:bCs/>
          <w:sz w:val="24"/>
          <w:szCs w:val="24"/>
        </w:rPr>
        <w:t>还</w:t>
      </w:r>
      <w:r w:rsidR="00617A6E" w:rsidRPr="000C0842">
        <w:rPr>
          <w:rFonts w:ascii="KaiTi" w:eastAsia="KaiTi" w:hAnsi="KaiTi" w:hint="eastAsia"/>
          <w:bCs/>
          <w:sz w:val="24"/>
          <w:szCs w:val="24"/>
        </w:rPr>
        <w:t>邀</w:t>
      </w:r>
      <w:r w:rsidRPr="000C0842">
        <w:rPr>
          <w:rFonts w:ascii="KaiTi" w:eastAsia="KaiTi" w:hAnsi="KaiTi" w:hint="eastAsia"/>
          <w:bCs/>
          <w:sz w:val="24"/>
          <w:szCs w:val="24"/>
        </w:rPr>
        <w:t>请</w:t>
      </w:r>
      <w:r w:rsidRPr="000C0842">
        <w:rPr>
          <w:rFonts w:eastAsia="SimSun" w:hint="eastAsia"/>
          <w:bCs/>
          <w:sz w:val="24"/>
          <w:szCs w:val="24"/>
        </w:rPr>
        <w:t>联合国环境规划署促进与其他公约秘书处和联合国环境署交流有关倡议和经验的信息，以支持提高不同价值体系、其他知识体系的知名度和传播，与自然和谐相处，并为承认这些体系和知识体系的国家提供与地球母亲、自然权利和地球母亲权利平衡和谐相处的机会，并促进在缔约方大会第十七届会议上就这些议题开展联合互动对话；</w:t>
      </w:r>
    </w:p>
    <w:p w14:paraId="013022C7"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bCs/>
          <w:sz w:val="24"/>
          <w:lang w:val="en-CA"/>
        </w:rPr>
        <w:t>1</w:t>
      </w:r>
      <w:r w:rsidRPr="000C0842">
        <w:rPr>
          <w:rFonts w:eastAsia="SimSun" w:hint="eastAsia"/>
          <w:bCs/>
          <w:sz w:val="24"/>
          <w:lang w:val="en-CA"/>
        </w:rPr>
        <w:t>3</w:t>
      </w:r>
      <w:r w:rsidRPr="000C0842">
        <w:rPr>
          <w:rFonts w:eastAsia="SimSun"/>
          <w:bCs/>
          <w:sz w:val="24"/>
          <w:lang w:val="en-CA"/>
        </w:rPr>
        <w:t>.</w:t>
      </w:r>
      <w:r w:rsidRPr="000C0842">
        <w:rPr>
          <w:rFonts w:eastAsia="SimSun"/>
          <w:bCs/>
          <w:sz w:val="24"/>
          <w:lang w:val="en-CA"/>
        </w:rPr>
        <w:tab/>
      </w:r>
      <w:r w:rsidRPr="000C0842">
        <w:rPr>
          <w:rFonts w:eastAsia="KaiTi"/>
          <w:bCs/>
          <w:sz w:val="24"/>
          <w:lang w:val="zh-CN"/>
        </w:rPr>
        <w:t>邀请</w:t>
      </w:r>
      <w:r w:rsidRPr="000C0842">
        <w:rPr>
          <w:rFonts w:eastAsia="SimSun"/>
          <w:bCs/>
          <w:sz w:val="24"/>
          <w:lang w:val="zh-CN"/>
        </w:rPr>
        <w:t>缔约方审议伯尔尼第三次会议的报告</w:t>
      </w:r>
      <w:r w:rsidRPr="000C0842">
        <w:rPr>
          <w:rFonts w:eastAsia="SimSun"/>
          <w:sz w:val="24"/>
          <w:szCs w:val="24"/>
          <w:vertAlign w:val="superscript"/>
          <w:lang w:val="en-CA"/>
        </w:rPr>
        <w:footnoteReference w:id="508"/>
      </w:r>
      <w:r w:rsidRPr="000C0842">
        <w:rPr>
          <w:rFonts w:eastAsia="SimSun"/>
          <w:bCs/>
          <w:sz w:val="24"/>
          <w:lang w:val="en-CA"/>
        </w:rPr>
        <w:t>；</w:t>
      </w:r>
    </w:p>
    <w:p w14:paraId="2EB2DD73"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SimSun"/>
          <w:sz w:val="24"/>
          <w:szCs w:val="24"/>
          <w:lang w:val="en-CA"/>
        </w:rPr>
        <w:t>1</w:t>
      </w:r>
      <w:r w:rsidRPr="000C0842">
        <w:rPr>
          <w:rFonts w:eastAsia="SimSun" w:hint="eastAsia"/>
          <w:sz w:val="24"/>
          <w:szCs w:val="24"/>
          <w:lang w:val="en-CA"/>
        </w:rPr>
        <w:t>4</w:t>
      </w:r>
      <w:r w:rsidRPr="000C0842">
        <w:rPr>
          <w:rFonts w:eastAsia="SimSun"/>
          <w:sz w:val="24"/>
          <w:szCs w:val="24"/>
          <w:lang w:val="en-CA"/>
        </w:rPr>
        <w:t>.</w:t>
      </w:r>
      <w:r w:rsidRPr="000C0842">
        <w:rPr>
          <w:rFonts w:eastAsia="SimSun"/>
          <w:sz w:val="24"/>
          <w:szCs w:val="24"/>
          <w:lang w:val="en-CA"/>
        </w:rPr>
        <w:tab/>
      </w:r>
      <w:r w:rsidRPr="000C0842">
        <w:rPr>
          <w:rFonts w:eastAsia="KaiTi"/>
          <w:sz w:val="24"/>
          <w:szCs w:val="24"/>
          <w:lang w:val="zh-CN"/>
        </w:rPr>
        <w:t>鼓励</w:t>
      </w:r>
      <w:r w:rsidRPr="000C0842">
        <w:rPr>
          <w:rFonts w:eastAsia="SimSun"/>
          <w:sz w:val="24"/>
          <w:szCs w:val="24"/>
          <w:lang w:val="zh-CN"/>
        </w:rPr>
        <w:t>缔约方依照国家优先事项和国情</w:t>
      </w:r>
      <w:r w:rsidRPr="000C0842">
        <w:rPr>
          <w:rFonts w:eastAsia="SimSun"/>
          <w:sz w:val="24"/>
          <w:szCs w:val="24"/>
          <w:lang w:val="en-CA"/>
        </w:rPr>
        <w:t>，</w:t>
      </w:r>
      <w:r w:rsidRPr="000C0842">
        <w:rPr>
          <w:rFonts w:eastAsia="SimSun"/>
          <w:sz w:val="24"/>
          <w:szCs w:val="24"/>
          <w:lang w:val="zh-CN"/>
        </w:rPr>
        <w:t>提高对其正在进行的国家生物多样性战略和行动计划的更新或修订进程的认识</w:t>
      </w:r>
      <w:r w:rsidRPr="000C0842">
        <w:rPr>
          <w:rFonts w:eastAsia="SimSun"/>
          <w:sz w:val="24"/>
          <w:szCs w:val="24"/>
          <w:lang w:val="en-CA"/>
        </w:rPr>
        <w:t>，</w:t>
      </w:r>
      <w:r w:rsidRPr="000C0842">
        <w:rPr>
          <w:rFonts w:eastAsia="SimSun"/>
          <w:sz w:val="24"/>
          <w:szCs w:val="24"/>
          <w:lang w:val="zh-CN"/>
        </w:rPr>
        <w:t>这些战略和行动计划涵盖各个国家政策和规划进程</w:t>
      </w:r>
      <w:r w:rsidRPr="000C0842">
        <w:rPr>
          <w:rFonts w:eastAsia="SimSun" w:hint="eastAsia"/>
          <w:sz w:val="24"/>
          <w:szCs w:val="24"/>
          <w:lang w:val="zh-CN"/>
        </w:rPr>
        <w:t>，</w:t>
      </w:r>
      <w:r w:rsidRPr="000C0842">
        <w:rPr>
          <w:rFonts w:eastAsia="SimSun"/>
          <w:sz w:val="24"/>
          <w:szCs w:val="24"/>
          <w:lang w:val="zh-CN"/>
        </w:rPr>
        <w:t>包括消除贫困在内的可持续发展战略和与执行其他多边环境协定相关的政策文书</w:t>
      </w:r>
      <w:r w:rsidRPr="000C0842">
        <w:rPr>
          <w:rFonts w:eastAsia="SimSun"/>
          <w:sz w:val="24"/>
          <w:szCs w:val="24"/>
          <w:lang w:val="en-CA"/>
        </w:rPr>
        <w:t>；</w:t>
      </w:r>
      <w:r w:rsidRPr="000C0842">
        <w:rPr>
          <w:rFonts w:eastAsia="SimSun"/>
          <w:kern w:val="22"/>
          <w:sz w:val="24"/>
          <w:szCs w:val="24"/>
          <w:lang w:val="en-CA"/>
        </w:rPr>
        <w:t xml:space="preserve"> </w:t>
      </w:r>
    </w:p>
    <w:p w14:paraId="1EE63E40"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
          <w:sz w:val="24"/>
          <w:szCs w:val="24"/>
          <w:lang w:val="en-CA"/>
        </w:rPr>
      </w:pPr>
      <w:r w:rsidRPr="000C0842">
        <w:rPr>
          <w:rFonts w:eastAsia="SimSun"/>
          <w:sz w:val="24"/>
          <w:szCs w:val="24"/>
          <w:lang w:val="en-CA"/>
        </w:rPr>
        <w:t>1</w:t>
      </w:r>
      <w:r w:rsidRPr="000C0842">
        <w:rPr>
          <w:rFonts w:eastAsia="SimSun" w:hint="eastAsia"/>
          <w:sz w:val="24"/>
          <w:szCs w:val="24"/>
          <w:lang w:val="en-CA"/>
        </w:rPr>
        <w:t>5</w:t>
      </w:r>
      <w:r w:rsidRPr="000C0842">
        <w:rPr>
          <w:rFonts w:eastAsia="SimSun"/>
          <w:sz w:val="24"/>
          <w:szCs w:val="24"/>
          <w:lang w:val="en-CA"/>
        </w:rPr>
        <w:t>.</w:t>
      </w:r>
      <w:r w:rsidRPr="000C0842">
        <w:rPr>
          <w:rFonts w:eastAsia="SimSun"/>
          <w:sz w:val="24"/>
          <w:szCs w:val="24"/>
          <w:lang w:val="en-CA"/>
        </w:rPr>
        <w:tab/>
      </w:r>
      <w:r w:rsidRPr="000C0842">
        <w:rPr>
          <w:rFonts w:eastAsia="KaiTi"/>
          <w:sz w:val="24"/>
          <w:szCs w:val="24"/>
          <w:lang w:val="zh-CN"/>
        </w:rPr>
        <w:t>又鼓励</w:t>
      </w:r>
      <w:r w:rsidRPr="000C0842">
        <w:rPr>
          <w:rFonts w:eastAsia="SimSun"/>
          <w:sz w:val="24"/>
          <w:szCs w:val="24"/>
          <w:lang w:val="zh-CN"/>
        </w:rPr>
        <w:t>缔约方在执行《公约》及其议定书时</w:t>
      </w:r>
      <w:r w:rsidRPr="000C0842">
        <w:rPr>
          <w:rFonts w:eastAsia="SimSun"/>
          <w:sz w:val="24"/>
          <w:szCs w:val="24"/>
          <w:lang w:val="en-CA"/>
        </w:rPr>
        <w:t>，</w:t>
      </w:r>
      <w:r w:rsidRPr="000C0842">
        <w:rPr>
          <w:rFonts w:eastAsia="SimSun"/>
          <w:sz w:val="24"/>
          <w:szCs w:val="24"/>
          <w:lang w:val="zh-CN"/>
        </w:rPr>
        <w:t>加强对协同增效、合作或协作产生的潜在效益的认识和理解</w:t>
      </w:r>
      <w:r w:rsidRPr="000C0842">
        <w:rPr>
          <w:rFonts w:eastAsia="SimSun"/>
          <w:sz w:val="24"/>
          <w:szCs w:val="24"/>
          <w:lang w:val="en-CA"/>
        </w:rPr>
        <w:t>，</w:t>
      </w:r>
      <w:r w:rsidRPr="000C0842">
        <w:rPr>
          <w:rFonts w:eastAsia="SimSun"/>
          <w:sz w:val="24"/>
          <w:szCs w:val="24"/>
          <w:lang w:val="zh-CN"/>
        </w:rPr>
        <w:t>包括酌情加大力度使用、收集和分享良好做法并促进信息交流</w:t>
      </w:r>
      <w:r w:rsidRPr="000C0842">
        <w:rPr>
          <w:rFonts w:eastAsia="SimSun"/>
          <w:sz w:val="24"/>
          <w:szCs w:val="24"/>
          <w:lang w:val="en-CA"/>
        </w:rPr>
        <w:t>；</w:t>
      </w:r>
    </w:p>
    <w:p w14:paraId="01EEE872"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bCs/>
          <w:sz w:val="24"/>
          <w:lang w:val="en-CA"/>
        </w:rPr>
        <w:t>1</w:t>
      </w:r>
      <w:r w:rsidRPr="000C0842">
        <w:rPr>
          <w:rFonts w:eastAsia="SimSun" w:hint="eastAsia"/>
          <w:bCs/>
          <w:sz w:val="24"/>
          <w:lang w:val="en-CA"/>
        </w:rPr>
        <w:t>6</w:t>
      </w:r>
      <w:r w:rsidRPr="000C0842">
        <w:rPr>
          <w:rFonts w:eastAsia="SimSun"/>
          <w:bCs/>
          <w:sz w:val="24"/>
          <w:lang w:val="en-CA"/>
        </w:rPr>
        <w:t>.</w:t>
      </w:r>
      <w:r w:rsidRPr="000C0842">
        <w:rPr>
          <w:rFonts w:eastAsia="SimSun"/>
          <w:bCs/>
          <w:sz w:val="24"/>
          <w:lang w:val="en-CA"/>
        </w:rPr>
        <w:tab/>
      </w:r>
      <w:r w:rsidRPr="000C0842">
        <w:rPr>
          <w:rFonts w:eastAsia="KaiTi"/>
          <w:bCs/>
          <w:sz w:val="24"/>
          <w:lang w:val="zh-CN"/>
        </w:rPr>
        <w:t>邀请</w:t>
      </w:r>
      <w:r w:rsidRPr="000C0842">
        <w:rPr>
          <w:rFonts w:eastAsia="SimSun"/>
          <w:bCs/>
          <w:sz w:val="24"/>
          <w:lang w:val="zh-CN"/>
        </w:rPr>
        <w:t>缔约方和其他国家政府依照第</w:t>
      </w:r>
      <w:hyperlink r:id="rId360" w:history="1">
        <w:r w:rsidRPr="000C0842">
          <w:rPr>
            <w:rFonts w:eastAsia="SimSun"/>
            <w:bCs/>
            <w:sz w:val="24"/>
            <w:u w:val="single"/>
            <w:lang w:val="en-CA"/>
          </w:rPr>
          <w:t>XIII/24</w:t>
        </w:r>
      </w:hyperlink>
      <w:r w:rsidRPr="000C0842">
        <w:rPr>
          <w:rFonts w:eastAsia="SimSun"/>
          <w:bCs/>
          <w:sz w:val="24"/>
          <w:lang w:val="zh-CN"/>
        </w:rPr>
        <w:t>号决定规定的在国家一级采取行动的</w:t>
      </w:r>
      <w:r w:rsidRPr="000C0842">
        <w:rPr>
          <w:rFonts w:eastAsia="SimSun" w:hint="eastAsia"/>
          <w:bCs/>
          <w:sz w:val="24"/>
          <w:lang w:val="zh-CN"/>
        </w:rPr>
        <w:t>备选方案</w:t>
      </w:r>
      <w:r w:rsidRPr="000C0842">
        <w:rPr>
          <w:rFonts w:eastAsia="SimSun"/>
          <w:bCs/>
          <w:sz w:val="24"/>
          <w:lang w:val="en-CA"/>
        </w:rPr>
        <w:t>，</w:t>
      </w:r>
      <w:r w:rsidRPr="000C0842">
        <w:rPr>
          <w:rFonts w:eastAsia="SimSun"/>
          <w:bCs/>
          <w:sz w:val="24"/>
          <w:lang w:val="zh-CN"/>
        </w:rPr>
        <w:t>依照其国情和优先事项</w:t>
      </w:r>
      <w:r w:rsidRPr="000C0842">
        <w:rPr>
          <w:rFonts w:eastAsia="SimSun"/>
          <w:bCs/>
          <w:sz w:val="24"/>
          <w:lang w:val="en-CA"/>
        </w:rPr>
        <w:t>，</w:t>
      </w:r>
      <w:r w:rsidRPr="000C0842">
        <w:rPr>
          <w:rFonts w:eastAsia="SimSun"/>
          <w:bCs/>
          <w:sz w:val="24"/>
          <w:lang w:val="zh-CN"/>
        </w:rPr>
        <w:t>继续增强各项生物多样性相关公约之间的协同增效</w:t>
      </w:r>
      <w:r w:rsidRPr="000C0842">
        <w:rPr>
          <w:rFonts w:eastAsia="SimSun"/>
          <w:bCs/>
          <w:sz w:val="24"/>
          <w:lang w:val="en-CA"/>
        </w:rPr>
        <w:t>；</w:t>
      </w:r>
    </w:p>
    <w:p w14:paraId="4558084F"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bCs/>
          <w:sz w:val="24"/>
          <w:lang w:val="en-CA"/>
        </w:rPr>
        <w:t>1</w:t>
      </w:r>
      <w:r w:rsidRPr="000C0842">
        <w:rPr>
          <w:rFonts w:eastAsia="SimSun" w:hint="eastAsia"/>
          <w:bCs/>
          <w:sz w:val="24"/>
          <w:lang w:val="en-CA"/>
        </w:rPr>
        <w:t>7</w:t>
      </w:r>
      <w:r w:rsidRPr="000C0842">
        <w:rPr>
          <w:rFonts w:eastAsia="SimSun"/>
          <w:bCs/>
          <w:sz w:val="24"/>
          <w:lang w:val="en-CA"/>
        </w:rPr>
        <w:t>.</w:t>
      </w:r>
      <w:r w:rsidRPr="000C0842">
        <w:rPr>
          <w:rFonts w:eastAsia="SimSun"/>
          <w:bCs/>
          <w:sz w:val="24"/>
          <w:lang w:val="en-CA"/>
        </w:rPr>
        <w:tab/>
      </w:r>
      <w:r w:rsidRPr="000C0842">
        <w:rPr>
          <w:rFonts w:eastAsia="KaiTi"/>
          <w:bCs/>
          <w:sz w:val="24"/>
          <w:lang w:val="zh-CN"/>
        </w:rPr>
        <w:t>呼吁</w:t>
      </w:r>
      <w:r w:rsidRPr="000C0842">
        <w:rPr>
          <w:rFonts w:eastAsia="SimSun"/>
          <w:bCs/>
          <w:sz w:val="24"/>
          <w:lang w:val="zh-CN"/>
        </w:rPr>
        <w:t>缔约方根据国家优先事项和国情</w:t>
      </w:r>
      <w:r w:rsidRPr="000C0842">
        <w:rPr>
          <w:rFonts w:eastAsia="SimSun"/>
          <w:bCs/>
          <w:sz w:val="24"/>
          <w:lang w:val="en-CA"/>
        </w:rPr>
        <w:t>，</w:t>
      </w:r>
      <w:r w:rsidRPr="000C0842">
        <w:rPr>
          <w:rFonts w:eastAsia="SimSun"/>
          <w:bCs/>
          <w:sz w:val="24"/>
          <w:lang w:val="zh-CN"/>
        </w:rPr>
        <w:t>建立有效的国家、区域和地区协调进程、机制或方法</w:t>
      </w:r>
      <w:r w:rsidRPr="000C0842">
        <w:rPr>
          <w:rFonts w:eastAsia="SimSun"/>
          <w:bCs/>
          <w:sz w:val="24"/>
          <w:lang w:val="en-CA"/>
        </w:rPr>
        <w:t>，</w:t>
      </w:r>
      <w:r w:rsidRPr="000C0842">
        <w:rPr>
          <w:rFonts w:eastAsia="SimSun"/>
          <w:bCs/>
          <w:sz w:val="24"/>
          <w:lang w:val="zh-CN"/>
        </w:rPr>
        <w:t>以支持《生物多样性公约》及其议定书的国家联络点与其他公约和与执行《昆蒙框架》相关的国际进程的国家联络点之间进行密切</w:t>
      </w:r>
      <w:r w:rsidRPr="000C0842">
        <w:rPr>
          <w:rFonts w:eastAsia="SimSun" w:hint="eastAsia"/>
          <w:bCs/>
          <w:sz w:val="24"/>
          <w:lang w:val="zh-CN"/>
        </w:rPr>
        <w:t>协作</w:t>
      </w:r>
      <w:r w:rsidRPr="000C0842">
        <w:rPr>
          <w:rFonts w:eastAsia="SimSun"/>
          <w:bCs/>
          <w:sz w:val="24"/>
          <w:lang w:val="en-CA"/>
        </w:rPr>
        <w:t>，</w:t>
      </w:r>
      <w:r w:rsidRPr="000C0842">
        <w:rPr>
          <w:rFonts w:eastAsia="SimSun"/>
          <w:bCs/>
          <w:sz w:val="24"/>
          <w:lang w:val="zh-CN"/>
        </w:rPr>
        <w:t>同时不损害各公约的具体目标和</w:t>
      </w:r>
      <w:r w:rsidRPr="000C0842">
        <w:rPr>
          <w:rFonts w:eastAsia="SimSun" w:hint="eastAsia"/>
          <w:bCs/>
          <w:sz w:val="24"/>
          <w:lang w:val="zh-CN"/>
        </w:rPr>
        <w:t>授权</w:t>
      </w:r>
      <w:r w:rsidRPr="000C0842">
        <w:rPr>
          <w:rFonts w:eastAsia="SimSun"/>
          <w:bCs/>
          <w:sz w:val="24"/>
          <w:lang w:val="zh-CN"/>
        </w:rPr>
        <w:t>并遵守其独立和自主性</w:t>
      </w:r>
      <w:r w:rsidRPr="000C0842">
        <w:rPr>
          <w:rFonts w:eastAsia="SimSun"/>
          <w:bCs/>
          <w:sz w:val="24"/>
          <w:lang w:val="en-CA"/>
        </w:rPr>
        <w:t>；</w:t>
      </w:r>
    </w:p>
    <w:p w14:paraId="5D43AB4F"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bCs/>
          <w:sz w:val="24"/>
          <w:lang w:val="en-CA"/>
        </w:rPr>
        <w:t>1</w:t>
      </w:r>
      <w:r w:rsidRPr="000C0842">
        <w:rPr>
          <w:rFonts w:eastAsia="SimSun" w:hint="eastAsia"/>
          <w:bCs/>
          <w:sz w:val="24"/>
          <w:lang w:val="en-CA"/>
        </w:rPr>
        <w:t>8</w:t>
      </w:r>
      <w:r w:rsidRPr="000C0842">
        <w:rPr>
          <w:rFonts w:eastAsia="SimSun"/>
          <w:bCs/>
          <w:sz w:val="24"/>
          <w:lang w:val="en-CA"/>
        </w:rPr>
        <w:t>.</w:t>
      </w:r>
      <w:r w:rsidRPr="000C0842">
        <w:rPr>
          <w:rFonts w:eastAsia="SimSun"/>
          <w:bCs/>
          <w:sz w:val="24"/>
          <w:lang w:val="en-CA"/>
        </w:rPr>
        <w:tab/>
      </w:r>
      <w:r w:rsidRPr="000C0842">
        <w:rPr>
          <w:rFonts w:eastAsia="KaiTi"/>
          <w:bCs/>
          <w:sz w:val="24"/>
          <w:lang w:val="zh-CN"/>
        </w:rPr>
        <w:t>鼓励</w:t>
      </w:r>
      <w:r w:rsidRPr="000C0842">
        <w:rPr>
          <w:rFonts w:eastAsia="SimSun"/>
          <w:bCs/>
          <w:sz w:val="24"/>
          <w:lang w:val="zh-CN"/>
        </w:rPr>
        <w:t>缔约方通过全政府和全社会办法加强合作</w:t>
      </w:r>
      <w:r w:rsidRPr="000C0842">
        <w:rPr>
          <w:rFonts w:eastAsia="SimSun"/>
          <w:bCs/>
          <w:sz w:val="24"/>
          <w:lang w:val="en-CA"/>
        </w:rPr>
        <w:t>，</w:t>
      </w:r>
      <w:r w:rsidRPr="000C0842">
        <w:rPr>
          <w:rFonts w:eastAsia="SimSun"/>
          <w:bCs/>
          <w:sz w:val="24"/>
          <w:lang w:val="zh-CN"/>
        </w:rPr>
        <w:t>包括促进国家以下各级和地方政府积极参与和加强能力</w:t>
      </w:r>
      <w:r w:rsidRPr="000C0842">
        <w:rPr>
          <w:rFonts w:eastAsia="SimSun"/>
          <w:bCs/>
          <w:sz w:val="24"/>
          <w:lang w:val="en-CA"/>
        </w:rPr>
        <w:t>，</w:t>
      </w:r>
      <w:r w:rsidRPr="000C0842">
        <w:rPr>
          <w:rFonts w:eastAsia="SimSun"/>
          <w:bCs/>
          <w:sz w:val="24"/>
          <w:lang w:val="zh-CN"/>
        </w:rPr>
        <w:t>以促进在国家层面有效和高效执行《公约》、其他多边环境协定和《昆蒙框架》</w:t>
      </w:r>
      <w:r w:rsidRPr="000C0842">
        <w:rPr>
          <w:rFonts w:eastAsia="SimSun"/>
          <w:bCs/>
          <w:sz w:val="24"/>
          <w:lang w:val="en-CA"/>
        </w:rPr>
        <w:t>；</w:t>
      </w:r>
    </w:p>
    <w:p w14:paraId="080FDE61"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hint="eastAsia"/>
          <w:bCs/>
          <w:sz w:val="24"/>
          <w:lang w:val="en-CA"/>
        </w:rPr>
        <w:t>19</w:t>
      </w:r>
      <w:r w:rsidRPr="000C0842">
        <w:rPr>
          <w:rFonts w:eastAsia="SimSun"/>
          <w:bCs/>
          <w:sz w:val="24"/>
          <w:lang w:val="en-CA"/>
        </w:rPr>
        <w:t>.</w:t>
      </w:r>
      <w:r w:rsidRPr="000C0842">
        <w:rPr>
          <w:rFonts w:eastAsia="SimSun"/>
          <w:bCs/>
          <w:sz w:val="24"/>
          <w:lang w:val="en-CA"/>
        </w:rPr>
        <w:tab/>
      </w:r>
      <w:r w:rsidRPr="000C0842">
        <w:rPr>
          <w:rFonts w:eastAsia="KaiTi"/>
          <w:bCs/>
          <w:sz w:val="24"/>
          <w:lang w:val="zh-CN"/>
        </w:rPr>
        <w:t>邀请</w:t>
      </w:r>
      <w:r w:rsidRPr="000C0842">
        <w:rPr>
          <w:rFonts w:eastAsia="SimSun"/>
          <w:bCs/>
          <w:sz w:val="24"/>
          <w:lang w:val="zh-CN"/>
        </w:rPr>
        <w:t>化学品和废物公约</w:t>
      </w:r>
      <w:r w:rsidRPr="000C0842">
        <w:rPr>
          <w:rFonts w:eastAsia="SimSun"/>
          <w:bCs/>
          <w:sz w:val="24"/>
          <w:vertAlign w:val="superscript"/>
          <w:lang w:val="zh-CN"/>
        </w:rPr>
        <w:footnoteReference w:id="509"/>
      </w:r>
      <w:r w:rsidRPr="000C0842">
        <w:rPr>
          <w:rFonts w:eastAsia="SimSun"/>
          <w:bCs/>
          <w:sz w:val="24"/>
          <w:lang w:val="zh-CN"/>
        </w:rPr>
        <w:t>、联合国粮食及农业组织以及其他相关公约和组织</w:t>
      </w:r>
      <w:r w:rsidRPr="000C0842">
        <w:rPr>
          <w:rFonts w:eastAsia="SimSun"/>
          <w:bCs/>
          <w:sz w:val="24"/>
        </w:rPr>
        <w:t>，包括</w:t>
      </w:r>
      <w:r w:rsidRPr="000C0842">
        <w:rPr>
          <w:rFonts w:eastAsia="SimSun" w:hint="eastAsia"/>
          <w:bCs/>
          <w:sz w:val="24"/>
        </w:rPr>
        <w:t>“</w:t>
      </w:r>
      <w:r w:rsidRPr="000C0842">
        <w:rPr>
          <w:rFonts w:eastAsia="SimSun"/>
          <w:bCs/>
          <w:sz w:val="24"/>
        </w:rPr>
        <w:t>全球化学品框架</w:t>
      </w:r>
      <w:r w:rsidRPr="000C0842">
        <w:rPr>
          <w:rFonts w:eastAsia="SimSun"/>
          <w:bCs/>
          <w:sz w:val="24"/>
        </w:rPr>
        <w:t xml:space="preserve"> — </w:t>
      </w:r>
      <w:r w:rsidRPr="000C0842">
        <w:rPr>
          <w:rFonts w:eastAsia="SimSun"/>
          <w:bCs/>
          <w:sz w:val="24"/>
        </w:rPr>
        <w:t>实现一个没有化学品和废物危害的地球</w:t>
      </w:r>
      <w:r w:rsidRPr="000C0842">
        <w:rPr>
          <w:rFonts w:eastAsia="SimSun" w:hint="eastAsia"/>
          <w:bCs/>
          <w:sz w:val="24"/>
        </w:rPr>
        <w:t>”</w:t>
      </w:r>
      <w:r w:rsidRPr="000C0842">
        <w:rPr>
          <w:rFonts w:eastAsia="SimSun" w:hint="eastAsia"/>
          <w:bCs/>
          <w:sz w:val="24"/>
          <w:lang w:val="zh-CN"/>
        </w:rPr>
        <w:t>，与</w:t>
      </w:r>
      <w:r w:rsidRPr="000C0842">
        <w:rPr>
          <w:rFonts w:eastAsia="SimSun"/>
          <w:bCs/>
          <w:sz w:val="24"/>
          <w:lang w:val="zh-CN"/>
        </w:rPr>
        <w:t>缔约方、其他国家政府、土著人民和地方社区以及相关利益攸关方协商</w:t>
      </w:r>
      <w:r w:rsidRPr="000C0842">
        <w:rPr>
          <w:rFonts w:eastAsia="SimSun"/>
          <w:bCs/>
          <w:sz w:val="24"/>
          <w:lang w:val="en-CA"/>
        </w:rPr>
        <w:t>，</w:t>
      </w:r>
      <w:r w:rsidRPr="000C0842">
        <w:rPr>
          <w:rFonts w:eastAsia="SimSun" w:hint="eastAsia"/>
          <w:bCs/>
          <w:sz w:val="24"/>
          <w:lang w:val="zh-CN"/>
        </w:rPr>
        <w:t>就</w:t>
      </w:r>
      <w:r w:rsidRPr="000C0842">
        <w:rPr>
          <w:rFonts w:eastAsia="SimSun"/>
          <w:bCs/>
          <w:sz w:val="24"/>
          <w:lang w:val="zh-CN"/>
        </w:rPr>
        <w:t>实现</w:t>
      </w:r>
      <w:r w:rsidRPr="000C0842">
        <w:rPr>
          <w:rFonts w:eastAsia="SimSun" w:hint="eastAsia"/>
          <w:bCs/>
          <w:sz w:val="24"/>
          <w:lang w:val="zh-CN"/>
        </w:rPr>
        <w:t>将污染</w:t>
      </w:r>
      <w:r w:rsidRPr="000C0842">
        <w:rPr>
          <w:rFonts w:eastAsia="SimSun"/>
          <w:bCs/>
          <w:sz w:val="24"/>
          <w:lang w:val="zh-CN"/>
        </w:rPr>
        <w:t>减</w:t>
      </w:r>
      <w:r w:rsidRPr="000C0842">
        <w:rPr>
          <w:rFonts w:eastAsia="SimSun" w:hint="eastAsia"/>
          <w:bCs/>
          <w:sz w:val="24"/>
          <w:lang w:val="zh-CN"/>
        </w:rPr>
        <w:t>至</w:t>
      </w:r>
      <w:r w:rsidRPr="000C0842">
        <w:rPr>
          <w:rFonts w:eastAsia="SimSun"/>
          <w:bCs/>
          <w:sz w:val="24"/>
          <w:lang w:val="zh-CN"/>
        </w:rPr>
        <w:t>不对生物多样性造成损害</w:t>
      </w:r>
      <w:r w:rsidRPr="000C0842">
        <w:rPr>
          <w:rFonts w:eastAsia="SimSun" w:hint="eastAsia"/>
          <w:bCs/>
          <w:sz w:val="24"/>
          <w:lang w:val="zh-CN"/>
        </w:rPr>
        <w:t>的水平</w:t>
      </w:r>
      <w:r w:rsidRPr="000C0842">
        <w:rPr>
          <w:rFonts w:eastAsia="SimSun"/>
          <w:bCs/>
          <w:sz w:val="24"/>
          <w:lang w:val="zh-CN"/>
        </w:rPr>
        <w:t>的《昆蒙框架》行动目标</w:t>
      </w:r>
      <w:r w:rsidRPr="000C0842">
        <w:rPr>
          <w:rFonts w:eastAsia="SimSun"/>
          <w:bCs/>
          <w:sz w:val="24"/>
          <w:lang w:val="en-CA"/>
        </w:rPr>
        <w:t>7</w:t>
      </w:r>
      <w:r w:rsidRPr="000C0842">
        <w:rPr>
          <w:rFonts w:eastAsia="SimSun" w:hint="eastAsia"/>
          <w:bCs/>
          <w:sz w:val="24"/>
          <w:lang w:val="en-CA"/>
        </w:rPr>
        <w:t>，</w:t>
      </w:r>
      <w:r w:rsidRPr="000C0842">
        <w:rPr>
          <w:rFonts w:eastAsia="SimSun"/>
          <w:bCs/>
          <w:sz w:val="24"/>
          <w:lang w:val="zh-CN"/>
        </w:rPr>
        <w:t>酌情与里约三公约协作</w:t>
      </w:r>
      <w:r w:rsidRPr="000C0842">
        <w:rPr>
          <w:rFonts w:eastAsia="SimSun"/>
          <w:bCs/>
          <w:sz w:val="24"/>
          <w:lang w:val="en-CA"/>
        </w:rPr>
        <w:t>；</w:t>
      </w:r>
    </w:p>
    <w:p w14:paraId="63D2D932"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lang w:val="en-CA"/>
        </w:rPr>
      </w:pPr>
      <w:r w:rsidRPr="000C0842">
        <w:rPr>
          <w:rFonts w:eastAsia="SimSun"/>
          <w:bCs/>
          <w:sz w:val="24"/>
          <w:lang w:val="en-CA"/>
        </w:rPr>
        <w:t>2</w:t>
      </w:r>
      <w:r w:rsidRPr="000C0842">
        <w:rPr>
          <w:rFonts w:eastAsia="SimSun" w:hint="eastAsia"/>
          <w:bCs/>
          <w:sz w:val="24"/>
          <w:lang w:val="en-CA"/>
        </w:rPr>
        <w:t>0</w:t>
      </w:r>
      <w:r w:rsidRPr="000C0842">
        <w:rPr>
          <w:rFonts w:eastAsia="SimSun"/>
          <w:bCs/>
          <w:sz w:val="24"/>
          <w:lang w:val="en-CA"/>
        </w:rPr>
        <w:t>.</w:t>
      </w:r>
      <w:r w:rsidRPr="000C0842">
        <w:rPr>
          <w:rFonts w:eastAsia="SimSun"/>
          <w:b/>
          <w:bCs/>
          <w:sz w:val="24"/>
          <w:lang w:val="en-CA"/>
        </w:rPr>
        <w:tab/>
      </w:r>
      <w:r w:rsidRPr="000C0842">
        <w:rPr>
          <w:rFonts w:eastAsia="KaiTi"/>
          <w:bCs/>
          <w:sz w:val="24"/>
          <w:lang w:val="zh-CN"/>
        </w:rPr>
        <w:t>邀请</w:t>
      </w:r>
      <w:r w:rsidRPr="000C0842">
        <w:rPr>
          <w:rFonts w:eastAsia="SimSun"/>
          <w:bCs/>
          <w:sz w:val="24"/>
          <w:lang w:val="zh-CN"/>
        </w:rPr>
        <w:t>联合国人权事务高级专员办事处制定</w:t>
      </w:r>
      <w:r w:rsidRPr="000C0842">
        <w:rPr>
          <w:rFonts w:eastAsia="SimSun" w:hint="eastAsia"/>
          <w:bCs/>
          <w:sz w:val="24"/>
          <w:lang w:val="zh-CN"/>
        </w:rPr>
        <w:t>关于通过基于人权</w:t>
      </w:r>
      <w:r w:rsidRPr="000C0842">
        <w:rPr>
          <w:rFonts w:eastAsia="SimSun"/>
          <w:bCs/>
          <w:sz w:val="24"/>
          <w:lang w:val="zh-CN"/>
        </w:rPr>
        <w:t>的方法执行《昆蒙框架》的工具和指导意见，并向秘书处通报取得的成果</w:t>
      </w:r>
      <w:r w:rsidRPr="000C0842">
        <w:rPr>
          <w:rFonts w:eastAsia="SimSun"/>
          <w:bCs/>
          <w:sz w:val="24"/>
          <w:lang w:val="en-CA"/>
        </w:rPr>
        <w:t>；</w:t>
      </w:r>
    </w:p>
    <w:p w14:paraId="2AE34894"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rPr>
      </w:pPr>
      <w:r w:rsidRPr="000C0842">
        <w:rPr>
          <w:rFonts w:eastAsia="SimSun"/>
          <w:bCs/>
          <w:sz w:val="24"/>
        </w:rPr>
        <w:t>2</w:t>
      </w:r>
      <w:r w:rsidRPr="000C0842">
        <w:rPr>
          <w:rFonts w:eastAsia="SimSun" w:hint="eastAsia"/>
          <w:bCs/>
          <w:sz w:val="24"/>
        </w:rPr>
        <w:t>1</w:t>
      </w:r>
      <w:r w:rsidRPr="000C0842">
        <w:rPr>
          <w:rFonts w:eastAsia="SimSun"/>
          <w:bCs/>
          <w:sz w:val="24"/>
        </w:rPr>
        <w:t>.</w:t>
      </w:r>
      <w:r w:rsidRPr="000C0842">
        <w:rPr>
          <w:rFonts w:eastAsia="SimSun"/>
          <w:bCs/>
          <w:sz w:val="24"/>
        </w:rPr>
        <w:tab/>
      </w:r>
      <w:r w:rsidRPr="000C0842">
        <w:rPr>
          <w:rFonts w:ascii="KaiTi" w:eastAsia="KaiTi" w:hAnsi="KaiTi"/>
          <w:bCs/>
          <w:sz w:val="24"/>
        </w:rPr>
        <w:t>邀请</w:t>
      </w:r>
      <w:r w:rsidRPr="000C0842">
        <w:rPr>
          <w:rFonts w:eastAsia="SimSun"/>
          <w:bCs/>
          <w:sz w:val="24"/>
        </w:rPr>
        <w:t>缔约方</w:t>
      </w:r>
      <w:r w:rsidRPr="000C0842">
        <w:rPr>
          <w:rFonts w:eastAsia="SimSun" w:hint="eastAsia"/>
          <w:bCs/>
          <w:sz w:val="24"/>
        </w:rPr>
        <w:t>按照</w:t>
      </w:r>
      <w:r w:rsidRPr="000C0842">
        <w:rPr>
          <w:rFonts w:eastAsia="SimSun"/>
          <w:bCs/>
          <w:sz w:val="24"/>
        </w:rPr>
        <w:t>《昆蒙框架》</w:t>
      </w:r>
      <w:r w:rsidRPr="000C0842">
        <w:rPr>
          <w:rFonts w:eastAsia="SimSun" w:hint="eastAsia"/>
          <w:bCs/>
          <w:sz w:val="24"/>
        </w:rPr>
        <w:t>各项行动</w:t>
      </w:r>
      <w:r w:rsidRPr="000C0842">
        <w:rPr>
          <w:rFonts w:eastAsia="SimSun"/>
          <w:bCs/>
          <w:sz w:val="24"/>
        </w:rPr>
        <w:t>目标</w:t>
      </w:r>
      <w:r w:rsidRPr="000C0842">
        <w:rPr>
          <w:rFonts w:eastAsia="SimSun" w:hint="eastAsia"/>
          <w:bCs/>
          <w:sz w:val="24"/>
        </w:rPr>
        <w:t>，</w:t>
      </w:r>
      <w:r w:rsidRPr="000C0842">
        <w:rPr>
          <w:rFonts w:eastAsia="SimSun"/>
          <w:bCs/>
          <w:sz w:val="24"/>
        </w:rPr>
        <w:t>通过其他联合国机构</w:t>
      </w:r>
      <w:r w:rsidRPr="000C0842">
        <w:rPr>
          <w:rFonts w:eastAsia="SimSun" w:hint="eastAsia"/>
          <w:bCs/>
          <w:sz w:val="24"/>
        </w:rPr>
        <w:t>的</w:t>
      </w:r>
      <w:r w:rsidRPr="000C0842">
        <w:rPr>
          <w:rFonts w:eastAsia="SimSun"/>
          <w:bCs/>
          <w:sz w:val="24"/>
        </w:rPr>
        <w:t>现有方案、项目和活动之间的信息交流促进协同</w:t>
      </w:r>
      <w:r w:rsidRPr="000C0842">
        <w:rPr>
          <w:rFonts w:eastAsia="SimSun" w:hint="eastAsia"/>
          <w:bCs/>
          <w:sz w:val="24"/>
        </w:rPr>
        <w:t>增效</w:t>
      </w:r>
      <w:r w:rsidRPr="000C0842">
        <w:rPr>
          <w:rFonts w:eastAsia="SimSun"/>
          <w:bCs/>
          <w:sz w:val="24"/>
        </w:rPr>
        <w:t>，共同进一步加强和</w:t>
      </w:r>
      <w:r w:rsidRPr="000C0842">
        <w:rPr>
          <w:rFonts w:eastAsia="SimSun" w:hint="eastAsia"/>
          <w:bCs/>
          <w:sz w:val="24"/>
        </w:rPr>
        <w:t>精简在</w:t>
      </w:r>
      <w:r w:rsidRPr="000C0842">
        <w:rPr>
          <w:rFonts w:eastAsia="SimSun"/>
          <w:bCs/>
          <w:sz w:val="24"/>
        </w:rPr>
        <w:t>《公约》</w:t>
      </w:r>
      <w:r w:rsidRPr="000C0842">
        <w:rPr>
          <w:rFonts w:eastAsia="SimSun" w:hint="eastAsia"/>
          <w:bCs/>
          <w:sz w:val="24"/>
        </w:rPr>
        <w:t>的</w:t>
      </w:r>
      <w:r w:rsidRPr="000C0842">
        <w:rPr>
          <w:rFonts w:eastAsia="SimSun"/>
          <w:bCs/>
          <w:sz w:val="24"/>
        </w:rPr>
        <w:t>海洋和沿海生物多样性工作方案</w:t>
      </w:r>
      <w:r w:rsidRPr="000C0842">
        <w:rPr>
          <w:rFonts w:eastAsia="SimSun"/>
          <w:bCs/>
          <w:sz w:val="24"/>
          <w:vertAlign w:val="superscript"/>
          <w:lang w:val="en-CA"/>
        </w:rPr>
        <w:footnoteReference w:id="510"/>
      </w:r>
      <w:r w:rsidRPr="000C0842">
        <w:rPr>
          <w:rFonts w:eastAsia="SimSun"/>
          <w:bCs/>
          <w:sz w:val="24"/>
        </w:rPr>
        <w:t>下的贡献；</w:t>
      </w:r>
      <w:r w:rsidRPr="000C0842">
        <w:rPr>
          <w:rFonts w:eastAsia="SimSun"/>
          <w:bCs/>
          <w:sz w:val="24"/>
        </w:rPr>
        <w:t xml:space="preserve"> </w:t>
      </w:r>
    </w:p>
    <w:p w14:paraId="6C642171"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bCs/>
          <w:sz w:val="24"/>
        </w:rPr>
      </w:pPr>
      <w:r w:rsidRPr="000C0842">
        <w:rPr>
          <w:rFonts w:eastAsia="SimSun"/>
          <w:bCs/>
          <w:sz w:val="24"/>
        </w:rPr>
        <w:t>2</w:t>
      </w:r>
      <w:r w:rsidRPr="000C0842">
        <w:rPr>
          <w:rFonts w:eastAsia="SimSun" w:hint="eastAsia"/>
          <w:bCs/>
          <w:sz w:val="24"/>
        </w:rPr>
        <w:t>2</w:t>
      </w:r>
      <w:r w:rsidRPr="000C0842">
        <w:rPr>
          <w:rFonts w:eastAsia="SimSun"/>
          <w:bCs/>
          <w:sz w:val="24"/>
        </w:rPr>
        <w:t xml:space="preserve">. </w:t>
      </w:r>
      <w:r w:rsidRPr="000C0842">
        <w:rPr>
          <w:rFonts w:ascii="KaiTi" w:eastAsia="KaiTi" w:hAnsi="KaiTi" w:hint="eastAsia"/>
          <w:bCs/>
          <w:sz w:val="24"/>
        </w:rPr>
        <w:t>又</w:t>
      </w:r>
      <w:r w:rsidRPr="000C0842">
        <w:rPr>
          <w:rFonts w:ascii="KaiTi" w:eastAsia="KaiTi" w:hAnsi="KaiTi"/>
          <w:bCs/>
          <w:sz w:val="24"/>
        </w:rPr>
        <w:t>邀请</w:t>
      </w:r>
      <w:r w:rsidRPr="000C0842">
        <w:rPr>
          <w:rFonts w:eastAsia="SimSun"/>
          <w:bCs/>
          <w:sz w:val="24"/>
        </w:rPr>
        <w:t>缔约方根据《昆蒙框架》</w:t>
      </w:r>
      <w:r w:rsidRPr="000C0842">
        <w:rPr>
          <w:rFonts w:eastAsia="SimSun" w:hint="eastAsia"/>
          <w:bCs/>
          <w:sz w:val="24"/>
        </w:rPr>
        <w:t>执行</w:t>
      </w:r>
      <w:r w:rsidRPr="000C0842">
        <w:rPr>
          <w:rFonts w:eastAsia="SimSun"/>
          <w:bCs/>
          <w:sz w:val="24"/>
        </w:rPr>
        <w:t>生物多样性促进粮食和营养</w:t>
      </w:r>
      <w:r w:rsidRPr="000C0842">
        <w:rPr>
          <w:rFonts w:eastAsia="SimSun" w:hint="eastAsia"/>
          <w:bCs/>
          <w:sz w:val="24"/>
        </w:rPr>
        <w:t>国际倡议</w:t>
      </w:r>
      <w:r w:rsidRPr="000C0842">
        <w:rPr>
          <w:rFonts w:eastAsia="SimSun"/>
          <w:sz w:val="24"/>
          <w:szCs w:val="24"/>
          <w:vertAlign w:val="superscript"/>
          <w:lang w:val="en-CA"/>
        </w:rPr>
        <w:footnoteReference w:id="511"/>
      </w:r>
      <w:r w:rsidRPr="000C0842">
        <w:rPr>
          <w:rFonts w:eastAsia="SimSun"/>
          <w:bCs/>
          <w:sz w:val="24"/>
        </w:rPr>
        <w:t>，并与联合国粮食及农业组织合作，制定实施该倡议的行动计划；</w:t>
      </w:r>
    </w:p>
    <w:p w14:paraId="5863D76C" w14:textId="77777777" w:rsidR="002B3E30" w:rsidRPr="000C0842" w:rsidRDefault="002B3E30" w:rsidP="002B3E30">
      <w:pPr>
        <w:tabs>
          <w:tab w:val="clear" w:pos="567"/>
          <w:tab w:val="clear" w:pos="1134"/>
          <w:tab w:val="clear" w:pos="1701"/>
          <w:tab w:val="clear" w:pos="2268"/>
        </w:tabs>
        <w:snapToGrid w:val="0"/>
        <w:spacing w:before="120" w:after="120"/>
        <w:ind w:left="490" w:firstLine="490"/>
        <w:rPr>
          <w:rFonts w:eastAsia="SimSun"/>
          <w:smallCaps/>
          <w:sz w:val="24"/>
          <w:szCs w:val="24"/>
          <w:lang w:val="en-CA"/>
        </w:rPr>
      </w:pPr>
      <w:r w:rsidRPr="000C0842">
        <w:rPr>
          <w:rFonts w:eastAsia="SimSun"/>
          <w:smallCaps/>
          <w:sz w:val="24"/>
          <w:szCs w:val="24"/>
          <w:lang w:val="en-CA"/>
        </w:rPr>
        <w:t>2</w:t>
      </w:r>
      <w:r w:rsidRPr="000C0842">
        <w:rPr>
          <w:rFonts w:eastAsia="SimSun" w:hint="eastAsia"/>
          <w:smallCaps/>
          <w:sz w:val="24"/>
          <w:szCs w:val="24"/>
          <w:lang w:val="en-CA"/>
        </w:rPr>
        <w:t>3</w:t>
      </w:r>
      <w:r w:rsidRPr="000C0842">
        <w:rPr>
          <w:rFonts w:eastAsia="SimSun"/>
          <w:smallCaps/>
          <w:sz w:val="24"/>
          <w:szCs w:val="24"/>
          <w:lang w:val="en-CA"/>
        </w:rPr>
        <w:t>.</w:t>
      </w:r>
      <w:r w:rsidRPr="000C0842">
        <w:rPr>
          <w:rFonts w:eastAsia="SimSun"/>
          <w:smallCaps/>
          <w:sz w:val="24"/>
          <w:szCs w:val="24"/>
          <w:lang w:val="en-CA"/>
        </w:rPr>
        <w:tab/>
      </w:r>
      <w:r w:rsidRPr="000C0842">
        <w:rPr>
          <w:rFonts w:eastAsia="KaiTi"/>
          <w:smallCaps/>
          <w:sz w:val="24"/>
          <w:szCs w:val="24"/>
          <w:lang w:val="en-CA"/>
        </w:rPr>
        <w:t>请</w:t>
      </w:r>
      <w:r w:rsidRPr="000C0842">
        <w:rPr>
          <w:rFonts w:eastAsia="SimSun"/>
          <w:smallCaps/>
          <w:sz w:val="24"/>
          <w:szCs w:val="24"/>
          <w:lang w:val="en-CA"/>
        </w:rPr>
        <w:t>执行秘书</w:t>
      </w:r>
      <w:r w:rsidRPr="000C0842">
        <w:rPr>
          <w:rFonts w:eastAsia="SimSun" w:hint="eastAsia"/>
          <w:smallCaps/>
          <w:sz w:val="24"/>
          <w:szCs w:val="24"/>
          <w:lang w:val="en-CA"/>
        </w:rPr>
        <w:t>在资源允许的情况下</w:t>
      </w:r>
      <w:r w:rsidRPr="000C0842">
        <w:rPr>
          <w:rFonts w:eastAsia="SimSun"/>
          <w:smallCaps/>
          <w:sz w:val="24"/>
          <w:szCs w:val="24"/>
          <w:lang w:val="en-CA"/>
        </w:rPr>
        <w:t>：</w:t>
      </w:r>
    </w:p>
    <w:p w14:paraId="094C2F51" w14:textId="77777777" w:rsidR="002B3E30" w:rsidRPr="000C0842" w:rsidRDefault="002B3E30">
      <w:pPr>
        <w:numPr>
          <w:ilvl w:val="0"/>
          <w:numId w:val="214"/>
        </w:numPr>
        <w:tabs>
          <w:tab w:val="clear" w:pos="567"/>
          <w:tab w:val="clear" w:pos="1134"/>
          <w:tab w:val="clear" w:pos="1701"/>
          <w:tab w:val="clear" w:pos="2268"/>
        </w:tabs>
        <w:adjustRightInd w:val="0"/>
        <w:snapToGrid w:val="0"/>
        <w:spacing w:before="120" w:after="120"/>
        <w:ind w:left="490" w:firstLine="490"/>
        <w:rPr>
          <w:rFonts w:eastAsia="SimSun"/>
          <w:smallCaps/>
          <w:sz w:val="24"/>
          <w:szCs w:val="24"/>
          <w:lang w:val="en-CA"/>
        </w:rPr>
      </w:pPr>
      <w:r w:rsidRPr="000C0842">
        <w:rPr>
          <w:rFonts w:eastAsia="SimSun"/>
          <w:smallCaps/>
          <w:sz w:val="24"/>
          <w:szCs w:val="24"/>
          <w:lang w:val="en-CA"/>
        </w:rPr>
        <w:t>继续与其他公约秘书处和联合国环境规划署合作，酌情支持落实《昆蒙框架》具体行动目标；</w:t>
      </w:r>
    </w:p>
    <w:p w14:paraId="4ABFEB2D" w14:textId="77777777"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sz w:val="24"/>
          <w:szCs w:val="24"/>
          <w:lang w:val="en-CA"/>
        </w:rPr>
      </w:pPr>
      <w:r w:rsidRPr="000C0842">
        <w:rPr>
          <w:rFonts w:eastAsia="SimSun" w:hint="eastAsia"/>
          <w:sz w:val="24"/>
          <w:szCs w:val="24"/>
          <w:lang w:val="en-CA"/>
        </w:rPr>
        <w:t>(b)</w:t>
      </w:r>
      <w:r w:rsidRPr="000C0842">
        <w:rPr>
          <w:rFonts w:eastAsia="SimSun"/>
          <w:sz w:val="24"/>
          <w:szCs w:val="24"/>
          <w:lang w:val="en-CA"/>
        </w:rPr>
        <w:tab/>
      </w:r>
      <w:r w:rsidRPr="000C0842">
        <w:rPr>
          <w:rFonts w:eastAsia="SimSun" w:hint="eastAsia"/>
          <w:sz w:val="24"/>
          <w:szCs w:val="24"/>
          <w:lang w:val="en-CA"/>
        </w:rPr>
        <w:t xml:space="preserve"> </w:t>
      </w:r>
      <w:r w:rsidRPr="000C0842">
        <w:rPr>
          <w:rFonts w:eastAsia="SimSun"/>
          <w:sz w:val="24"/>
          <w:szCs w:val="24"/>
          <w:lang w:val="en-CA"/>
        </w:rPr>
        <w:t>通过里约</w:t>
      </w:r>
      <w:r w:rsidRPr="000C0842">
        <w:rPr>
          <w:rFonts w:eastAsia="SimSun" w:hint="eastAsia"/>
          <w:sz w:val="24"/>
          <w:szCs w:val="24"/>
          <w:lang w:val="en-CA"/>
        </w:rPr>
        <w:t>三</w:t>
      </w:r>
      <w:r w:rsidRPr="000C0842">
        <w:rPr>
          <w:rFonts w:eastAsia="SimSun"/>
          <w:sz w:val="24"/>
          <w:szCs w:val="24"/>
          <w:lang w:val="en-CA"/>
        </w:rPr>
        <w:t>公约联合联络小组等方式，并根据联络小组职权范围和工作方法，继续与</w:t>
      </w:r>
      <w:r w:rsidRPr="000C0842">
        <w:rPr>
          <w:rFonts w:eastAsia="SimSun" w:hint="eastAsia"/>
          <w:sz w:val="24"/>
          <w:szCs w:val="24"/>
          <w:lang w:val="en-CA"/>
        </w:rPr>
        <w:t>《</w:t>
      </w:r>
      <w:r w:rsidRPr="000C0842">
        <w:rPr>
          <w:rFonts w:eastAsia="SimSun"/>
          <w:sz w:val="24"/>
          <w:szCs w:val="24"/>
          <w:lang w:val="en-CA"/>
        </w:rPr>
        <w:t>联合国气候变化框架公约</w:t>
      </w:r>
      <w:r w:rsidRPr="000C0842">
        <w:rPr>
          <w:rFonts w:eastAsia="SimSun" w:hint="eastAsia"/>
          <w:sz w:val="24"/>
          <w:szCs w:val="24"/>
          <w:lang w:val="en-CA"/>
        </w:rPr>
        <w:t>》</w:t>
      </w:r>
      <w:r w:rsidRPr="000C0842">
        <w:rPr>
          <w:rFonts w:eastAsia="SimSun"/>
          <w:sz w:val="24"/>
          <w:szCs w:val="24"/>
          <w:lang w:val="en-CA"/>
        </w:rPr>
        <w:t>和</w:t>
      </w:r>
      <w:r w:rsidRPr="000C0842">
        <w:rPr>
          <w:rFonts w:eastAsia="SimSun" w:hint="eastAsia"/>
          <w:sz w:val="24"/>
          <w:szCs w:val="24"/>
          <w:lang w:val="en-CA"/>
        </w:rPr>
        <w:t>《</w:t>
      </w:r>
      <w:r w:rsidRPr="000C0842">
        <w:rPr>
          <w:rFonts w:eastAsia="SimSun"/>
          <w:sz w:val="24"/>
          <w:szCs w:val="24"/>
        </w:rPr>
        <w:t>联合国关于在发生严重干旱和</w:t>
      </w:r>
      <w:r w:rsidRPr="000C0842">
        <w:rPr>
          <w:rFonts w:eastAsia="SimSun"/>
          <w:sz w:val="24"/>
          <w:szCs w:val="24"/>
        </w:rPr>
        <w:t>/</w:t>
      </w:r>
      <w:r w:rsidRPr="000C0842">
        <w:rPr>
          <w:rFonts w:eastAsia="SimSun"/>
          <w:sz w:val="24"/>
          <w:szCs w:val="24"/>
        </w:rPr>
        <w:t>或荒漠化的国家特别是在非洲防治荒漠化的公约</w:t>
      </w:r>
      <w:r w:rsidRPr="000C0842">
        <w:rPr>
          <w:rFonts w:eastAsia="SimSun" w:hint="eastAsia"/>
          <w:sz w:val="24"/>
          <w:szCs w:val="24"/>
          <w:lang w:val="en-CA"/>
        </w:rPr>
        <w:t>》的</w:t>
      </w:r>
      <w:r w:rsidRPr="000C0842">
        <w:rPr>
          <w:rFonts w:eastAsia="SimSun"/>
          <w:sz w:val="24"/>
          <w:szCs w:val="24"/>
          <w:lang w:val="en-CA"/>
        </w:rPr>
        <w:t>秘书处协作，</w:t>
      </w:r>
      <w:r w:rsidRPr="000C0842">
        <w:rPr>
          <w:rFonts w:eastAsia="SimSun" w:hint="eastAsia"/>
          <w:sz w:val="24"/>
          <w:szCs w:val="24"/>
          <w:lang w:val="en-CA"/>
        </w:rPr>
        <w:t>查明合作机会，包括探讨制定一个里约三公约联合工作方案的可能性，</w:t>
      </w:r>
      <w:r w:rsidRPr="000C0842">
        <w:rPr>
          <w:rFonts w:eastAsia="SimSun"/>
          <w:sz w:val="24"/>
          <w:szCs w:val="24"/>
        </w:rPr>
        <w:t>根据</w:t>
      </w:r>
      <w:r w:rsidRPr="000C0842">
        <w:rPr>
          <w:rFonts w:eastAsia="SimSun"/>
          <w:sz w:val="24"/>
          <w:szCs w:val="24"/>
        </w:rPr>
        <w:t>2024</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日第</w:t>
      </w:r>
      <w:hyperlink r:id="rId361" w:history="1">
        <w:r w:rsidRPr="000C0842">
          <w:rPr>
            <w:rFonts w:eastAsia="SimSun"/>
            <w:sz w:val="24"/>
            <w:szCs w:val="24"/>
            <w:u w:val="single"/>
          </w:rPr>
          <w:t>16/22</w:t>
        </w:r>
      </w:hyperlink>
      <w:r w:rsidRPr="000C0842">
        <w:rPr>
          <w:rFonts w:eastAsia="SimSun"/>
          <w:sz w:val="24"/>
          <w:szCs w:val="24"/>
        </w:rPr>
        <w:t>号决定</w:t>
      </w:r>
      <w:r w:rsidRPr="000C0842">
        <w:rPr>
          <w:rFonts w:eastAsia="SimSun" w:hint="eastAsia"/>
          <w:sz w:val="24"/>
          <w:szCs w:val="24"/>
        </w:rPr>
        <w:t>，</w:t>
      </w:r>
      <w:r w:rsidRPr="000C0842">
        <w:rPr>
          <w:rFonts w:eastAsia="SimSun" w:hint="eastAsia"/>
          <w:sz w:val="24"/>
          <w:szCs w:val="24"/>
          <w:lang w:val="en-CA"/>
        </w:rPr>
        <w:t>由科学、技术和工艺咨询附属机构在缔约方大会第十七届会议之前的一次会议以及缔约方大会第十七届会议审议</w:t>
      </w:r>
      <w:r w:rsidRPr="000C0842">
        <w:rPr>
          <w:rFonts w:eastAsia="SimSun"/>
          <w:sz w:val="24"/>
          <w:szCs w:val="24"/>
          <w:lang w:val="en-CA"/>
        </w:rPr>
        <w:t>；</w:t>
      </w:r>
      <w:r w:rsidRPr="000C0842">
        <w:rPr>
          <w:rFonts w:eastAsia="SimSun"/>
          <w:sz w:val="24"/>
          <w:szCs w:val="24"/>
          <w:lang w:val="en-CA"/>
        </w:rPr>
        <w:t xml:space="preserve"> </w:t>
      </w:r>
      <w:r w:rsidRPr="000C0842">
        <w:rPr>
          <w:rFonts w:eastAsia="SimSun"/>
          <w:sz w:val="24"/>
          <w:szCs w:val="24"/>
          <w:lang w:val="en-CA"/>
        </w:rPr>
        <w:tab/>
      </w:r>
    </w:p>
    <w:p w14:paraId="3FADF264" w14:textId="77777777" w:rsidR="002B3E30" w:rsidRPr="000C0842" w:rsidRDefault="002B3E30">
      <w:pPr>
        <w:numPr>
          <w:ilvl w:val="0"/>
          <w:numId w:val="215"/>
        </w:numPr>
        <w:tabs>
          <w:tab w:val="clear" w:pos="567"/>
          <w:tab w:val="clear" w:pos="1134"/>
          <w:tab w:val="clear" w:pos="1701"/>
          <w:tab w:val="clear" w:pos="2268"/>
        </w:tabs>
        <w:adjustRightInd w:val="0"/>
        <w:snapToGrid w:val="0"/>
        <w:spacing w:before="120" w:after="120"/>
        <w:ind w:left="490" w:firstLine="490"/>
        <w:rPr>
          <w:rFonts w:eastAsia="SimSun"/>
          <w:smallCaps/>
          <w:sz w:val="24"/>
          <w:szCs w:val="24"/>
          <w:lang w:val="en-CA"/>
        </w:rPr>
      </w:pPr>
      <w:r w:rsidRPr="000C0842">
        <w:rPr>
          <w:rFonts w:eastAsia="SimSun"/>
          <w:smallCaps/>
          <w:sz w:val="24"/>
          <w:szCs w:val="24"/>
          <w:lang w:val="en-CA"/>
        </w:rPr>
        <w:t>继续与生物多样性相关公约、化学品和废物公约、多边环境协定、其他公约和相关科学政策机构合作，包括通过联合活动，同时尊重各自的具体任务授权；</w:t>
      </w:r>
    </w:p>
    <w:p w14:paraId="0F38C664" w14:textId="77777777" w:rsidR="002B3E30" w:rsidRPr="000C0842" w:rsidRDefault="002B3E30">
      <w:pPr>
        <w:numPr>
          <w:ilvl w:val="0"/>
          <w:numId w:val="215"/>
        </w:numPr>
        <w:tabs>
          <w:tab w:val="clear" w:pos="567"/>
          <w:tab w:val="clear" w:pos="1134"/>
          <w:tab w:val="clear" w:pos="1701"/>
          <w:tab w:val="clear" w:pos="2268"/>
        </w:tabs>
        <w:adjustRightInd w:val="0"/>
        <w:snapToGrid w:val="0"/>
        <w:spacing w:before="120" w:after="120"/>
        <w:ind w:left="490" w:firstLine="490"/>
        <w:rPr>
          <w:rFonts w:eastAsia="SimSun"/>
          <w:smallCaps/>
          <w:sz w:val="24"/>
          <w:szCs w:val="24"/>
          <w:lang w:val="en-CA"/>
        </w:rPr>
      </w:pPr>
      <w:r w:rsidRPr="000C0842">
        <w:rPr>
          <w:rFonts w:eastAsia="SimSun"/>
          <w:smallCaps/>
          <w:sz w:val="24"/>
          <w:szCs w:val="24"/>
          <w:lang w:val="en-CA"/>
        </w:rPr>
        <w:t>加强与联合国森林论坛和国际热带木材组织等其他相关组织的</w:t>
      </w:r>
      <w:r w:rsidRPr="000C0842">
        <w:rPr>
          <w:rFonts w:eastAsia="SimSun" w:hint="eastAsia"/>
          <w:smallCaps/>
          <w:sz w:val="24"/>
          <w:szCs w:val="24"/>
          <w:lang w:val="en-CA"/>
        </w:rPr>
        <w:t>协作</w:t>
      </w:r>
      <w:r w:rsidRPr="000C0842">
        <w:rPr>
          <w:rFonts w:eastAsia="SimSun"/>
          <w:smallCaps/>
          <w:sz w:val="24"/>
          <w:szCs w:val="24"/>
          <w:lang w:val="en-CA"/>
        </w:rPr>
        <w:t>以及森林合作伙伴关系内的</w:t>
      </w:r>
      <w:r w:rsidRPr="000C0842">
        <w:rPr>
          <w:rFonts w:eastAsia="SimSun" w:hint="eastAsia"/>
          <w:smallCaps/>
          <w:sz w:val="24"/>
          <w:szCs w:val="24"/>
          <w:lang w:val="en-CA"/>
        </w:rPr>
        <w:t>协作</w:t>
      </w:r>
      <w:r w:rsidRPr="000C0842">
        <w:rPr>
          <w:rFonts w:eastAsia="SimSun"/>
          <w:smallCaps/>
          <w:sz w:val="24"/>
          <w:szCs w:val="24"/>
          <w:lang w:val="en-CA"/>
        </w:rPr>
        <w:t>，支持协调一致地执行</w:t>
      </w:r>
      <w:r w:rsidRPr="000C0842">
        <w:rPr>
          <w:rFonts w:eastAsia="SimSun"/>
          <w:smallCaps/>
          <w:sz w:val="24"/>
          <w:szCs w:val="24"/>
          <w:lang w:val="en-CA"/>
        </w:rPr>
        <w:t>2017-2030</w:t>
      </w:r>
      <w:r w:rsidRPr="000C0842">
        <w:rPr>
          <w:rFonts w:eastAsia="SimSun"/>
          <w:smallCaps/>
          <w:sz w:val="24"/>
          <w:szCs w:val="24"/>
          <w:lang w:val="en-CA"/>
        </w:rPr>
        <w:t>年联合国森林战略计划、《公约》和《昆蒙框架》；</w:t>
      </w:r>
    </w:p>
    <w:p w14:paraId="101F9890" w14:textId="48109468" w:rsidR="002B3E30" w:rsidRPr="000C0842" w:rsidRDefault="002B3E30" w:rsidP="002B3E30">
      <w:pPr>
        <w:tabs>
          <w:tab w:val="clear" w:pos="567"/>
          <w:tab w:val="clear" w:pos="1134"/>
          <w:tab w:val="clear" w:pos="1701"/>
          <w:tab w:val="clear" w:pos="2268"/>
        </w:tabs>
        <w:adjustRightInd w:val="0"/>
        <w:snapToGrid w:val="0"/>
        <w:spacing w:before="120" w:after="120"/>
        <w:ind w:left="490" w:firstLine="490"/>
        <w:rPr>
          <w:rFonts w:eastAsia="SimSun"/>
          <w:smallCaps/>
          <w:sz w:val="24"/>
          <w:szCs w:val="24"/>
          <w:lang w:val="en-CA"/>
        </w:rPr>
      </w:pPr>
      <w:r w:rsidRPr="000C0842">
        <w:rPr>
          <w:rFonts w:eastAsia="SimSun" w:hint="eastAsia"/>
          <w:smallCaps/>
          <w:sz w:val="24"/>
          <w:szCs w:val="24"/>
          <w:lang w:val="en-CA"/>
        </w:rPr>
        <w:t>(</w:t>
      </w:r>
      <w:r w:rsidRPr="000C0842">
        <w:rPr>
          <w:rFonts w:eastAsia="SimSun" w:hint="eastAsia"/>
          <w:sz w:val="24"/>
          <w:szCs w:val="24"/>
          <w:lang w:val="en-CA"/>
        </w:rPr>
        <w:t>e</w:t>
      </w:r>
      <w:r w:rsidRPr="000C0842">
        <w:rPr>
          <w:rFonts w:eastAsia="SimSun" w:hint="eastAsia"/>
          <w:smallCaps/>
          <w:sz w:val="24"/>
          <w:szCs w:val="24"/>
          <w:lang w:val="en-CA"/>
        </w:rPr>
        <w:t>)</w:t>
      </w:r>
      <w:r w:rsidRPr="000C0842">
        <w:rPr>
          <w:rFonts w:eastAsia="SimSun"/>
          <w:smallCaps/>
          <w:sz w:val="24"/>
          <w:szCs w:val="24"/>
          <w:lang w:val="en-CA"/>
        </w:rPr>
        <w:tab/>
      </w:r>
      <w:r w:rsidRPr="000C0842">
        <w:rPr>
          <w:rFonts w:eastAsia="SimSun"/>
          <w:smallCaps/>
          <w:sz w:val="24"/>
          <w:szCs w:val="24"/>
          <w:lang w:val="en-CA"/>
        </w:rPr>
        <w:t>在缔约方大会第十七届会议之前举行的一次会议上，向执行问题附属机构报告支持执行《公约》和《昆蒙框架》的上述合作活动</w:t>
      </w:r>
      <w:r w:rsidRPr="000C0842">
        <w:rPr>
          <w:rFonts w:eastAsia="SimSun" w:hint="eastAsia"/>
          <w:smallCaps/>
          <w:sz w:val="24"/>
          <w:szCs w:val="24"/>
          <w:lang w:val="en-CA"/>
        </w:rPr>
        <w:t>。</w:t>
      </w:r>
    </w:p>
    <w:p w14:paraId="3F1A35F2" w14:textId="77777777" w:rsidR="002B3E30" w:rsidRPr="000C0842" w:rsidRDefault="002B3E30">
      <w:pPr>
        <w:tabs>
          <w:tab w:val="clear" w:pos="567"/>
          <w:tab w:val="clear" w:pos="1134"/>
          <w:tab w:val="clear" w:pos="1701"/>
          <w:tab w:val="clear" w:pos="2268"/>
        </w:tabs>
        <w:jc w:val="left"/>
        <w:rPr>
          <w:rFonts w:eastAsia="SimSun"/>
          <w:smallCaps/>
          <w:sz w:val="24"/>
          <w:szCs w:val="24"/>
          <w:lang w:val="en-CA"/>
        </w:rPr>
      </w:pPr>
      <w:r w:rsidRPr="000C0842">
        <w:rPr>
          <w:rFonts w:eastAsia="SimSun"/>
          <w:smallCaps/>
          <w:sz w:val="24"/>
          <w:szCs w:val="24"/>
          <w:lang w:val="en-CA"/>
        </w:rPr>
        <w:br w:type="page"/>
      </w:r>
    </w:p>
    <w:p w14:paraId="3BE9661B" w14:textId="27086CFB" w:rsidR="00295B59" w:rsidRPr="000C0842" w:rsidRDefault="00295B59" w:rsidP="002437E6">
      <w:pPr>
        <w:pStyle w:val="a1"/>
        <w:rPr>
          <w:rFonts w:hint="eastAsia"/>
          <w:b w:val="0"/>
          <w:bCs/>
          <w:lang w:eastAsia="zh-CN"/>
        </w:rPr>
      </w:pPr>
      <w:bookmarkStart w:id="135" w:name="_Toc206358233"/>
      <w:r w:rsidRPr="000C0842">
        <w:rPr>
          <w:lang w:eastAsia="zh-CN"/>
        </w:rPr>
        <w:t>16/36.</w:t>
      </w:r>
      <w:r w:rsidR="00187494" w:rsidRPr="000C0842">
        <w:rPr>
          <w:rFonts w:hint="eastAsia"/>
          <w:lang w:eastAsia="zh-CN"/>
        </w:rPr>
        <w:t xml:space="preserve"> </w:t>
      </w:r>
      <w:r w:rsidRPr="000C0842">
        <w:rPr>
          <w:lang w:eastAsia="zh-CN"/>
        </w:rPr>
        <w:t>缔约方大会多年期工作方案</w:t>
      </w:r>
      <w:bookmarkEnd w:id="135"/>
    </w:p>
    <w:p w14:paraId="03FEF6CC" w14:textId="0949A863" w:rsidR="00295B59" w:rsidRPr="000C0842" w:rsidRDefault="00295B59" w:rsidP="00187494">
      <w:pPr>
        <w:suppressLineNumbers/>
        <w:tabs>
          <w:tab w:val="clear" w:pos="567"/>
          <w:tab w:val="clear" w:pos="1134"/>
          <w:tab w:val="clear" w:pos="1701"/>
          <w:tab w:val="clear" w:pos="2268"/>
        </w:tabs>
        <w:suppressAutoHyphens/>
        <w:adjustRightInd w:val="0"/>
        <w:snapToGrid w:val="0"/>
        <w:spacing w:before="240" w:after="120"/>
        <w:ind w:left="490" w:firstLine="490"/>
        <w:rPr>
          <w:rFonts w:eastAsia="SimSun"/>
          <w:kern w:val="22"/>
          <w:sz w:val="24"/>
          <w:szCs w:val="24"/>
        </w:rPr>
      </w:pPr>
      <w:r w:rsidRPr="000C0842">
        <w:rPr>
          <w:rFonts w:eastAsia="KaiTi"/>
          <w:iCs/>
          <w:kern w:val="22"/>
          <w:sz w:val="24"/>
          <w:szCs w:val="24"/>
          <w:lang w:val="en-GB"/>
        </w:rPr>
        <w:t>缔约方大会，</w:t>
      </w:r>
      <w:r w:rsidRPr="000C0842">
        <w:rPr>
          <w:rFonts w:eastAsia="SimSun"/>
          <w:kern w:val="22"/>
          <w:sz w:val="24"/>
          <w:szCs w:val="24"/>
        </w:rPr>
        <w:t xml:space="preserve"> </w:t>
      </w:r>
    </w:p>
    <w:p w14:paraId="674EB38B" w14:textId="77777777" w:rsidR="00295B59" w:rsidRPr="000C0842" w:rsidRDefault="00295B59" w:rsidP="00187494">
      <w:pPr>
        <w:suppressLineNumbers/>
        <w:tabs>
          <w:tab w:val="clear" w:pos="567"/>
          <w:tab w:val="clear" w:pos="1134"/>
          <w:tab w:val="clear" w:pos="1701"/>
          <w:tab w:val="clear" w:pos="2268"/>
        </w:tabs>
        <w:suppressAutoHyphens/>
        <w:adjustRightInd w:val="0"/>
        <w:snapToGrid w:val="0"/>
        <w:spacing w:before="120" w:after="120"/>
        <w:ind w:left="490" w:firstLine="490"/>
        <w:rPr>
          <w:rFonts w:eastAsia="SimSun"/>
          <w:kern w:val="22"/>
          <w:sz w:val="24"/>
          <w:szCs w:val="24"/>
          <w:lang w:val="en-GB"/>
        </w:rPr>
      </w:pPr>
      <w:r w:rsidRPr="000C0842">
        <w:rPr>
          <w:rFonts w:eastAsia="SimSun"/>
          <w:kern w:val="22"/>
          <w:sz w:val="24"/>
          <w:szCs w:val="24"/>
        </w:rPr>
        <w:t>1.</w:t>
      </w:r>
      <w:r w:rsidRPr="000C0842">
        <w:rPr>
          <w:rFonts w:eastAsia="SimSun"/>
          <w:kern w:val="22"/>
          <w:sz w:val="24"/>
          <w:szCs w:val="24"/>
        </w:rPr>
        <w:tab/>
      </w:r>
      <w:r w:rsidRPr="000C0842">
        <w:rPr>
          <w:rFonts w:eastAsia="KaiTi"/>
          <w:iCs/>
          <w:kern w:val="22"/>
          <w:sz w:val="24"/>
          <w:szCs w:val="24"/>
        </w:rPr>
        <w:t>请</w:t>
      </w:r>
      <w:r w:rsidRPr="000C0842">
        <w:rPr>
          <w:rFonts w:eastAsia="SimSun"/>
          <w:kern w:val="22"/>
          <w:sz w:val="24"/>
          <w:szCs w:val="24"/>
          <w:lang w:val="en-GB"/>
        </w:rPr>
        <w:t>《生物多样性公约》</w:t>
      </w:r>
      <w:r w:rsidRPr="000C0842">
        <w:rPr>
          <w:rFonts w:eastAsia="SimSun"/>
          <w:sz w:val="24"/>
          <w:szCs w:val="24"/>
          <w:vertAlign w:val="superscript"/>
        </w:rPr>
        <w:footnoteReference w:id="512"/>
      </w:r>
      <w:r w:rsidRPr="000C0842">
        <w:rPr>
          <w:rFonts w:eastAsia="SimSun"/>
          <w:kern w:val="22"/>
          <w:sz w:val="24"/>
          <w:szCs w:val="24"/>
          <w:lang w:val="en-GB"/>
        </w:rPr>
        <w:t>执行秘书在主席团的指导下编写问题清单，供第十七</w:t>
      </w:r>
      <w:r w:rsidRPr="000C0842">
        <w:rPr>
          <w:rFonts w:eastAsia="SimSun" w:hint="eastAsia"/>
          <w:kern w:val="22"/>
          <w:sz w:val="24"/>
          <w:szCs w:val="24"/>
          <w:lang w:val="en-GB"/>
        </w:rPr>
        <w:t>届</w:t>
      </w:r>
      <w:r w:rsidRPr="000C0842">
        <w:rPr>
          <w:rFonts w:eastAsia="SimSun"/>
          <w:kern w:val="22"/>
          <w:sz w:val="24"/>
          <w:szCs w:val="24"/>
          <w:lang w:val="en-GB"/>
        </w:rPr>
        <w:t>会议审议</w:t>
      </w:r>
      <w:r w:rsidRPr="000C0842">
        <w:rPr>
          <w:rFonts w:eastAsia="SimSun" w:hint="eastAsia"/>
          <w:kern w:val="22"/>
          <w:sz w:val="24"/>
          <w:szCs w:val="24"/>
          <w:lang w:val="en-GB"/>
        </w:rPr>
        <w:t>；</w:t>
      </w:r>
    </w:p>
    <w:p w14:paraId="514AC79E" w14:textId="45D0BBFF" w:rsidR="00295B59" w:rsidRPr="000C0842" w:rsidRDefault="00295B59" w:rsidP="00187494">
      <w:pPr>
        <w:suppressLineNumbers/>
        <w:tabs>
          <w:tab w:val="clear" w:pos="567"/>
          <w:tab w:val="clear" w:pos="1134"/>
          <w:tab w:val="clear" w:pos="1701"/>
          <w:tab w:val="clear" w:pos="2268"/>
        </w:tabs>
        <w:suppressAutoHyphens/>
        <w:adjustRightInd w:val="0"/>
        <w:snapToGrid w:val="0"/>
        <w:spacing w:before="120" w:after="120"/>
        <w:ind w:left="490" w:firstLine="490"/>
        <w:rPr>
          <w:rFonts w:eastAsia="SimSun"/>
          <w:kern w:val="22"/>
          <w:sz w:val="24"/>
          <w:szCs w:val="24"/>
        </w:rPr>
      </w:pPr>
      <w:r w:rsidRPr="000C0842">
        <w:rPr>
          <w:rFonts w:eastAsia="SimSun"/>
          <w:kern w:val="22"/>
          <w:sz w:val="24"/>
          <w:szCs w:val="24"/>
          <w:lang w:val="en-GB"/>
        </w:rPr>
        <w:t>2</w:t>
      </w:r>
      <w:r w:rsidRPr="000C0842">
        <w:rPr>
          <w:rFonts w:eastAsia="SimSun"/>
          <w:i/>
          <w:iCs/>
          <w:kern w:val="22"/>
          <w:sz w:val="24"/>
          <w:szCs w:val="24"/>
          <w:lang w:val="en-GB"/>
        </w:rPr>
        <w:t>.</w:t>
      </w:r>
      <w:r w:rsidRPr="000C0842">
        <w:rPr>
          <w:rFonts w:eastAsia="SimSun"/>
          <w:i/>
          <w:iCs/>
          <w:kern w:val="22"/>
          <w:sz w:val="24"/>
          <w:szCs w:val="24"/>
          <w:lang w:val="en-GB"/>
        </w:rPr>
        <w:tab/>
      </w:r>
      <w:r w:rsidRPr="000C0842">
        <w:rPr>
          <w:rFonts w:eastAsia="KaiTi"/>
          <w:iCs/>
          <w:kern w:val="22"/>
          <w:sz w:val="24"/>
          <w:szCs w:val="24"/>
          <w:lang w:val="en-GB"/>
        </w:rPr>
        <w:t>决定</w:t>
      </w:r>
      <w:r w:rsidRPr="000C0842">
        <w:rPr>
          <w:rFonts w:eastAsia="SimSun"/>
          <w:kern w:val="22"/>
          <w:sz w:val="24"/>
          <w:szCs w:val="24"/>
          <w:lang w:val="en-GB"/>
        </w:rPr>
        <w:t>在其第十七届</w:t>
      </w:r>
      <w:r w:rsidRPr="000C0842">
        <w:rPr>
          <w:rFonts w:eastAsia="SimSun"/>
          <w:kern w:val="22"/>
          <w:sz w:val="24"/>
          <w:szCs w:val="24"/>
        </w:rPr>
        <w:t>会议审查和更新</w:t>
      </w:r>
      <w:r w:rsidRPr="000C0842">
        <w:rPr>
          <w:rFonts w:eastAsia="SimSun" w:hint="eastAsia"/>
          <w:kern w:val="22"/>
          <w:sz w:val="24"/>
          <w:szCs w:val="24"/>
        </w:rPr>
        <w:t>到</w:t>
      </w:r>
      <w:r w:rsidRPr="000C0842">
        <w:rPr>
          <w:rFonts w:eastAsia="SimSun"/>
          <w:kern w:val="22"/>
          <w:sz w:val="24"/>
          <w:szCs w:val="24"/>
        </w:rPr>
        <w:t>2030</w:t>
      </w:r>
      <w:r w:rsidRPr="000C0842">
        <w:rPr>
          <w:rFonts w:eastAsia="SimSun"/>
          <w:kern w:val="22"/>
          <w:sz w:val="24"/>
          <w:szCs w:val="24"/>
        </w:rPr>
        <w:t>年</w:t>
      </w:r>
      <w:r w:rsidR="005C0484" w:rsidRPr="000C0842">
        <w:rPr>
          <w:rFonts w:eastAsia="SimSun" w:hint="eastAsia"/>
          <w:kern w:val="22"/>
          <w:sz w:val="24"/>
          <w:szCs w:val="24"/>
        </w:rPr>
        <w:t>的</w:t>
      </w:r>
      <w:r w:rsidRPr="000C0842">
        <w:rPr>
          <w:rFonts w:eastAsia="SimSun"/>
          <w:kern w:val="22"/>
          <w:sz w:val="24"/>
          <w:szCs w:val="24"/>
        </w:rPr>
        <w:t>多年期工作方案。</w:t>
      </w:r>
    </w:p>
    <w:bookmarkEnd w:id="95"/>
    <w:bookmarkEnd w:id="103"/>
    <w:p w14:paraId="6268E30E" w14:textId="176B08B6" w:rsidR="004E50B1" w:rsidRPr="000C0842" w:rsidRDefault="004E50B1" w:rsidP="002437E6">
      <w:pPr>
        <w:pStyle w:val="a"/>
        <w:rPr>
          <w:rStyle w:val="ReportL1"/>
          <w:rFonts w:hint="eastAsia"/>
          <w:b/>
        </w:rPr>
      </w:pPr>
      <w:r w:rsidRPr="000C0842">
        <w:br w:type="page"/>
      </w:r>
      <w:bookmarkStart w:id="136" w:name="_Toc206341494"/>
      <w:bookmarkStart w:id="137" w:name="_Toc206358234"/>
      <w:r w:rsidR="00D54633" w:rsidRPr="000C0842">
        <w:rPr>
          <w:rStyle w:val="ReportL1"/>
          <w:b/>
        </w:rPr>
        <w:t>会议记录</w:t>
      </w:r>
      <w:bookmarkEnd w:id="136"/>
      <w:bookmarkEnd w:id="137"/>
    </w:p>
    <w:p w14:paraId="1DFA427C" w14:textId="3294E631" w:rsidR="00BE4712" w:rsidRPr="000C0842" w:rsidRDefault="00BE4712" w:rsidP="004E5EE5">
      <w:pPr>
        <w:pStyle w:val="a1"/>
        <w:rPr>
          <w:rFonts w:hint="eastAsia"/>
          <w:lang w:eastAsia="zh-CN"/>
        </w:rPr>
      </w:pPr>
      <w:bookmarkStart w:id="138" w:name="_Toc206358235"/>
      <w:r w:rsidRPr="000C0842">
        <w:rPr>
          <w:lang w:eastAsia="zh-CN"/>
        </w:rPr>
        <w:t>背景</w:t>
      </w:r>
      <w:bookmarkEnd w:id="138"/>
    </w:p>
    <w:p w14:paraId="24D54F30" w14:textId="1B7AE6FC"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生物多样性公约缔约方大会第十六届会议</w:t>
      </w:r>
      <w:r w:rsidR="00706419" w:rsidRPr="000C0842">
        <w:rPr>
          <w:rFonts w:eastAsia="SimSun"/>
          <w:sz w:val="24"/>
          <w:szCs w:val="24"/>
        </w:rPr>
        <w:t>与</w:t>
      </w:r>
      <w:r w:rsidRPr="000C0842">
        <w:rPr>
          <w:rFonts w:eastAsia="SimSun"/>
          <w:sz w:val="24"/>
          <w:szCs w:val="24"/>
        </w:rPr>
        <w:t>作为卡塔赫纳生物安全议定书缔约方会议的缔约方大会第十一次会议和作为关于获取遗传资源和公正和公平分享其利用所产生惠益的名古屋议定书缔约方会议的缔约方大会第五次会议同时</w:t>
      </w:r>
      <w:r w:rsidR="00706419" w:rsidRPr="000C0842">
        <w:rPr>
          <w:rFonts w:eastAsia="SimSun"/>
          <w:sz w:val="24"/>
          <w:szCs w:val="24"/>
        </w:rPr>
        <w:t>举行</w:t>
      </w:r>
      <w:r w:rsidRPr="000C0842">
        <w:rPr>
          <w:rFonts w:eastAsia="SimSun"/>
          <w:sz w:val="24"/>
          <w:szCs w:val="24"/>
        </w:rPr>
        <w:t>。</w:t>
      </w:r>
      <w:r w:rsidR="00706419" w:rsidRPr="000C0842">
        <w:rPr>
          <w:rFonts w:eastAsia="SimSun"/>
          <w:sz w:val="24"/>
          <w:szCs w:val="24"/>
        </w:rPr>
        <w:t>第十六届会议于</w:t>
      </w:r>
      <w:r w:rsidR="00706419" w:rsidRPr="000C0842">
        <w:rPr>
          <w:rFonts w:eastAsia="SimSun"/>
          <w:sz w:val="24"/>
          <w:szCs w:val="24"/>
        </w:rPr>
        <w:t>2024</w:t>
      </w:r>
      <w:r w:rsidR="00706419" w:rsidRPr="000C0842">
        <w:rPr>
          <w:rFonts w:eastAsia="SimSun"/>
          <w:sz w:val="24"/>
          <w:szCs w:val="24"/>
        </w:rPr>
        <w:t>年</w:t>
      </w:r>
      <w:r w:rsidR="00706419" w:rsidRPr="000C0842">
        <w:rPr>
          <w:rFonts w:eastAsia="SimSun"/>
          <w:sz w:val="24"/>
          <w:szCs w:val="24"/>
        </w:rPr>
        <w:t>10</w:t>
      </w:r>
      <w:r w:rsidR="00706419" w:rsidRPr="000C0842">
        <w:rPr>
          <w:rFonts w:eastAsia="SimSun"/>
          <w:sz w:val="24"/>
          <w:szCs w:val="24"/>
        </w:rPr>
        <w:t>月</w:t>
      </w:r>
      <w:r w:rsidR="00706419" w:rsidRPr="000C0842">
        <w:rPr>
          <w:rFonts w:eastAsia="SimSun"/>
          <w:sz w:val="24"/>
          <w:szCs w:val="24"/>
        </w:rPr>
        <w:t>21</w:t>
      </w:r>
      <w:r w:rsidR="00706419" w:rsidRPr="000C0842">
        <w:rPr>
          <w:rFonts w:eastAsia="SimSun"/>
          <w:sz w:val="24"/>
          <w:szCs w:val="24"/>
        </w:rPr>
        <w:t>日在哥伦比亚卡利开幕，但因法定人数不足，于</w:t>
      </w:r>
      <w:r w:rsidR="00706419" w:rsidRPr="000C0842">
        <w:rPr>
          <w:rFonts w:eastAsia="SimSun"/>
          <w:sz w:val="24"/>
          <w:szCs w:val="24"/>
        </w:rPr>
        <w:t>2024</w:t>
      </w:r>
      <w:r w:rsidR="00706419" w:rsidRPr="000C0842">
        <w:rPr>
          <w:rFonts w:eastAsia="SimSun"/>
          <w:sz w:val="24"/>
          <w:szCs w:val="24"/>
        </w:rPr>
        <w:t>年</w:t>
      </w:r>
      <w:r w:rsidR="00706419" w:rsidRPr="000C0842">
        <w:rPr>
          <w:rFonts w:eastAsia="SimSun"/>
          <w:sz w:val="24"/>
          <w:szCs w:val="24"/>
        </w:rPr>
        <w:t>11</w:t>
      </w:r>
      <w:r w:rsidR="00706419" w:rsidRPr="000C0842">
        <w:rPr>
          <w:rFonts w:eastAsia="SimSun"/>
          <w:sz w:val="24"/>
          <w:szCs w:val="24"/>
        </w:rPr>
        <w:t>月</w:t>
      </w:r>
      <w:r w:rsidR="00706419" w:rsidRPr="000C0842">
        <w:rPr>
          <w:rFonts w:eastAsia="SimSun"/>
          <w:sz w:val="24"/>
          <w:szCs w:val="24"/>
        </w:rPr>
        <w:t>2</w:t>
      </w:r>
      <w:r w:rsidR="00706419" w:rsidRPr="000C0842">
        <w:rPr>
          <w:rFonts w:eastAsia="SimSun"/>
          <w:sz w:val="24"/>
          <w:szCs w:val="24"/>
        </w:rPr>
        <w:t>日上午暂停，未能在全体会议审议所有项目。因此，第一次续会于</w:t>
      </w:r>
      <w:r w:rsidR="00706419" w:rsidRPr="000C0842">
        <w:rPr>
          <w:rFonts w:eastAsia="SimSun"/>
          <w:sz w:val="24"/>
          <w:szCs w:val="24"/>
        </w:rPr>
        <w:t>2024</w:t>
      </w:r>
      <w:r w:rsidR="00706419" w:rsidRPr="000C0842">
        <w:rPr>
          <w:rFonts w:eastAsia="SimSun"/>
          <w:sz w:val="24"/>
          <w:szCs w:val="24"/>
        </w:rPr>
        <w:t>年</w:t>
      </w:r>
      <w:r w:rsidR="00706419" w:rsidRPr="000C0842">
        <w:rPr>
          <w:rFonts w:eastAsia="SimSun"/>
          <w:sz w:val="24"/>
          <w:szCs w:val="24"/>
        </w:rPr>
        <w:t>12</w:t>
      </w:r>
      <w:r w:rsidR="00706419" w:rsidRPr="000C0842">
        <w:rPr>
          <w:rFonts w:eastAsia="SimSun"/>
          <w:sz w:val="24"/>
          <w:szCs w:val="24"/>
        </w:rPr>
        <w:t>月</w:t>
      </w:r>
      <w:r w:rsidR="00706419" w:rsidRPr="000C0842">
        <w:rPr>
          <w:rFonts w:eastAsia="SimSun"/>
          <w:sz w:val="24"/>
          <w:szCs w:val="24"/>
        </w:rPr>
        <w:t>3</w:t>
      </w:r>
      <w:r w:rsidR="00706419" w:rsidRPr="000C0842">
        <w:rPr>
          <w:rFonts w:eastAsia="SimSun"/>
          <w:sz w:val="24"/>
          <w:szCs w:val="24"/>
        </w:rPr>
        <w:t>日至</w:t>
      </w:r>
      <w:r w:rsidR="00706419" w:rsidRPr="000C0842">
        <w:rPr>
          <w:rFonts w:eastAsia="SimSun"/>
          <w:sz w:val="24"/>
          <w:szCs w:val="24"/>
        </w:rPr>
        <w:t>6</w:t>
      </w:r>
      <w:r w:rsidR="00706419" w:rsidRPr="000C0842">
        <w:rPr>
          <w:rFonts w:eastAsia="SimSun"/>
          <w:sz w:val="24"/>
          <w:szCs w:val="24"/>
        </w:rPr>
        <w:t>日以默许程序在线举行，审议与预算有关的决定</w:t>
      </w:r>
      <w:r w:rsidR="00E43413" w:rsidRPr="000C0842">
        <w:rPr>
          <w:rFonts w:eastAsia="SimSun" w:hint="eastAsia"/>
          <w:sz w:val="24"/>
          <w:szCs w:val="24"/>
        </w:rPr>
        <w:t>（</w:t>
      </w:r>
      <w:r w:rsidR="00706419" w:rsidRPr="000C0842">
        <w:rPr>
          <w:rFonts w:eastAsia="SimSun"/>
          <w:sz w:val="24"/>
          <w:szCs w:val="24"/>
        </w:rPr>
        <w:t>见下文项目</w:t>
      </w:r>
      <w:r w:rsidR="00706419" w:rsidRPr="000C0842">
        <w:rPr>
          <w:rFonts w:eastAsia="SimSun"/>
          <w:sz w:val="24"/>
          <w:szCs w:val="24"/>
        </w:rPr>
        <w:t>7</w:t>
      </w:r>
      <w:r w:rsidR="00E43413" w:rsidRPr="000C0842">
        <w:rPr>
          <w:rFonts w:eastAsia="SimSun" w:hint="eastAsia"/>
          <w:sz w:val="24"/>
          <w:szCs w:val="24"/>
        </w:rPr>
        <w:t>）</w:t>
      </w:r>
      <w:r w:rsidR="00706419" w:rsidRPr="000C0842">
        <w:rPr>
          <w:rFonts w:eastAsia="SimSun"/>
          <w:sz w:val="24"/>
          <w:szCs w:val="24"/>
        </w:rPr>
        <w:t>，第二次续会于</w:t>
      </w:r>
      <w:r w:rsidR="00706419" w:rsidRPr="000C0842">
        <w:rPr>
          <w:rFonts w:eastAsia="SimSun"/>
          <w:sz w:val="24"/>
          <w:szCs w:val="24"/>
        </w:rPr>
        <w:t>2025</w:t>
      </w:r>
      <w:r w:rsidR="00706419" w:rsidRPr="000C0842">
        <w:rPr>
          <w:rFonts w:eastAsia="SimSun"/>
          <w:sz w:val="24"/>
          <w:szCs w:val="24"/>
        </w:rPr>
        <w:t>年</w:t>
      </w:r>
      <w:r w:rsidR="00706419" w:rsidRPr="000C0842">
        <w:rPr>
          <w:rFonts w:eastAsia="SimSun"/>
          <w:sz w:val="24"/>
          <w:szCs w:val="24"/>
        </w:rPr>
        <w:t>2</w:t>
      </w:r>
      <w:r w:rsidR="00706419" w:rsidRPr="000C0842">
        <w:rPr>
          <w:rFonts w:eastAsia="SimSun"/>
          <w:sz w:val="24"/>
          <w:szCs w:val="24"/>
        </w:rPr>
        <w:t>月</w:t>
      </w:r>
      <w:r w:rsidR="00706419" w:rsidRPr="000C0842">
        <w:rPr>
          <w:rFonts w:eastAsia="SimSun"/>
          <w:sz w:val="24"/>
          <w:szCs w:val="24"/>
        </w:rPr>
        <w:t>25</w:t>
      </w:r>
      <w:r w:rsidR="00706419" w:rsidRPr="000C0842">
        <w:rPr>
          <w:rFonts w:eastAsia="SimSun"/>
          <w:sz w:val="24"/>
          <w:szCs w:val="24"/>
        </w:rPr>
        <w:t>日至</w:t>
      </w:r>
      <w:r w:rsidR="00706419" w:rsidRPr="000C0842">
        <w:rPr>
          <w:rFonts w:eastAsia="SimSun"/>
          <w:sz w:val="24"/>
          <w:szCs w:val="24"/>
        </w:rPr>
        <w:t>27</w:t>
      </w:r>
      <w:r w:rsidR="00706419" w:rsidRPr="000C0842">
        <w:rPr>
          <w:rFonts w:eastAsia="SimSun"/>
          <w:sz w:val="24"/>
          <w:szCs w:val="24"/>
        </w:rPr>
        <w:t>日在罗马面对面举行，审议所有剩余项目</w:t>
      </w:r>
      <w:r w:rsidR="00E43413" w:rsidRPr="000C0842">
        <w:rPr>
          <w:rFonts w:eastAsia="SimSun" w:hint="eastAsia"/>
          <w:sz w:val="24"/>
          <w:szCs w:val="24"/>
        </w:rPr>
        <w:t>（</w:t>
      </w:r>
      <w:r w:rsidR="00706419" w:rsidRPr="000C0842">
        <w:rPr>
          <w:rFonts w:eastAsia="SimSun"/>
          <w:sz w:val="24"/>
          <w:szCs w:val="24"/>
        </w:rPr>
        <w:t>见下文项目</w:t>
      </w:r>
      <w:r w:rsidR="00706419" w:rsidRPr="000C0842">
        <w:rPr>
          <w:rFonts w:eastAsia="SimSun"/>
          <w:sz w:val="24"/>
          <w:szCs w:val="24"/>
        </w:rPr>
        <w:t>1</w:t>
      </w:r>
      <w:r w:rsidR="005F76B5" w:rsidRPr="000C0842">
        <w:rPr>
          <w:rFonts w:eastAsia="SimSun" w:hint="eastAsia"/>
          <w:sz w:val="24"/>
          <w:szCs w:val="24"/>
        </w:rPr>
        <w:t>至</w:t>
      </w:r>
      <w:r w:rsidR="00706419" w:rsidRPr="000C0842">
        <w:rPr>
          <w:rFonts w:eastAsia="SimSun"/>
          <w:sz w:val="24"/>
          <w:szCs w:val="24"/>
        </w:rPr>
        <w:t>3</w:t>
      </w:r>
      <w:r w:rsidR="00706419" w:rsidRPr="000C0842">
        <w:rPr>
          <w:rFonts w:eastAsia="SimSun"/>
          <w:sz w:val="24"/>
          <w:szCs w:val="24"/>
        </w:rPr>
        <w:t>、</w:t>
      </w:r>
      <w:r w:rsidR="00706419" w:rsidRPr="000C0842">
        <w:rPr>
          <w:rFonts w:eastAsia="SimSun"/>
          <w:sz w:val="24"/>
          <w:szCs w:val="24"/>
        </w:rPr>
        <w:t>7</w:t>
      </w:r>
      <w:r w:rsidR="00706419" w:rsidRPr="000C0842">
        <w:rPr>
          <w:rFonts w:eastAsia="SimSun"/>
          <w:sz w:val="24"/>
          <w:szCs w:val="24"/>
        </w:rPr>
        <w:t>、</w:t>
      </w:r>
      <w:r w:rsidR="00706419" w:rsidRPr="000C0842">
        <w:rPr>
          <w:rFonts w:eastAsia="SimSun"/>
          <w:sz w:val="24"/>
          <w:szCs w:val="24"/>
        </w:rPr>
        <w:t>10</w:t>
      </w:r>
      <w:r w:rsidR="00706419" w:rsidRPr="000C0842">
        <w:rPr>
          <w:rFonts w:eastAsia="SimSun"/>
          <w:sz w:val="24"/>
          <w:szCs w:val="24"/>
        </w:rPr>
        <w:t>、</w:t>
      </w:r>
      <w:r w:rsidR="00706419" w:rsidRPr="000C0842">
        <w:rPr>
          <w:rFonts w:eastAsia="SimSun"/>
          <w:sz w:val="24"/>
          <w:szCs w:val="24"/>
        </w:rPr>
        <w:t>11</w:t>
      </w:r>
      <w:r w:rsidR="00706419" w:rsidRPr="000C0842">
        <w:rPr>
          <w:rFonts w:eastAsia="SimSun"/>
          <w:sz w:val="24"/>
          <w:szCs w:val="24"/>
        </w:rPr>
        <w:t>、</w:t>
      </w:r>
      <w:r w:rsidR="00706419" w:rsidRPr="000C0842">
        <w:rPr>
          <w:rFonts w:eastAsia="SimSun"/>
          <w:sz w:val="24"/>
          <w:szCs w:val="24"/>
        </w:rPr>
        <w:t>13</w:t>
      </w:r>
      <w:r w:rsidR="00156176" w:rsidRPr="000C0842">
        <w:rPr>
          <w:rFonts w:eastAsia="SimSun" w:hint="eastAsia"/>
          <w:sz w:val="24"/>
          <w:szCs w:val="24"/>
        </w:rPr>
        <w:t>、</w:t>
      </w:r>
      <w:r w:rsidR="00706419" w:rsidRPr="000C0842">
        <w:rPr>
          <w:rFonts w:eastAsia="SimSun"/>
          <w:sz w:val="24"/>
          <w:szCs w:val="24"/>
        </w:rPr>
        <w:t>28</w:t>
      </w:r>
      <w:r w:rsidR="005F76B5" w:rsidRPr="000C0842">
        <w:rPr>
          <w:rFonts w:eastAsia="SimSun" w:hint="eastAsia"/>
          <w:sz w:val="24"/>
          <w:szCs w:val="24"/>
        </w:rPr>
        <w:t>至</w:t>
      </w:r>
      <w:r w:rsidR="00706419" w:rsidRPr="000C0842">
        <w:rPr>
          <w:rFonts w:eastAsia="SimSun"/>
          <w:sz w:val="24"/>
          <w:szCs w:val="24"/>
        </w:rPr>
        <w:t>31</w:t>
      </w:r>
      <w:r w:rsidR="00E43413" w:rsidRPr="000C0842">
        <w:rPr>
          <w:rFonts w:eastAsia="SimSun" w:hint="eastAsia"/>
          <w:sz w:val="24"/>
          <w:szCs w:val="24"/>
        </w:rPr>
        <w:t>）</w:t>
      </w:r>
      <w:r w:rsidR="00706419" w:rsidRPr="000C0842">
        <w:rPr>
          <w:rFonts w:eastAsia="SimSun"/>
          <w:sz w:val="24"/>
          <w:szCs w:val="24"/>
        </w:rPr>
        <w:t>。</w:t>
      </w:r>
    </w:p>
    <w:p w14:paraId="264BAA7F" w14:textId="2D1AF6C3"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0"/>
          <w:attr w:name="IsLunarDate" w:val="False"/>
          <w:attr w:name="IsROCDate" w:val="False"/>
        </w:smartTagPr>
        <w:r w:rsidRPr="000C0842">
          <w:rPr>
            <w:sz w:val="24"/>
            <w:szCs w:val="24"/>
          </w:rPr>
          <w:t>2024</w:t>
        </w:r>
        <w:r w:rsidRPr="000C0842">
          <w:rPr>
            <w:rFonts w:eastAsia="SimSun"/>
            <w:sz w:val="24"/>
            <w:szCs w:val="24"/>
          </w:rPr>
          <w:t>年</w:t>
        </w:r>
        <w:r w:rsidRPr="000C0842">
          <w:rPr>
            <w:sz w:val="24"/>
            <w:szCs w:val="24"/>
          </w:rPr>
          <w:t>10</w:t>
        </w:r>
        <w:r w:rsidRPr="000C0842">
          <w:rPr>
            <w:rFonts w:eastAsia="SimSun"/>
            <w:sz w:val="24"/>
            <w:szCs w:val="24"/>
          </w:rPr>
          <w:t>月</w:t>
        </w:r>
        <w:r w:rsidRPr="000C0842">
          <w:rPr>
            <w:sz w:val="24"/>
            <w:szCs w:val="24"/>
          </w:rPr>
          <w:t>20</w:t>
        </w:r>
        <w:r w:rsidRPr="000C0842">
          <w:rPr>
            <w:rFonts w:eastAsia="SimSun"/>
            <w:sz w:val="24"/>
            <w:szCs w:val="24"/>
          </w:rPr>
          <w:t>日</w:t>
        </w:r>
      </w:smartTag>
      <w:r w:rsidR="00706419" w:rsidRPr="000C0842">
        <w:rPr>
          <w:rFonts w:eastAsia="SimSun"/>
          <w:sz w:val="24"/>
          <w:szCs w:val="24"/>
        </w:rPr>
        <w:t>第十六届</w:t>
      </w:r>
      <w:r w:rsidRPr="000C0842">
        <w:rPr>
          <w:rFonts w:eastAsia="SimSun"/>
          <w:sz w:val="24"/>
          <w:szCs w:val="24"/>
        </w:rPr>
        <w:t>会议举行开幕式</w:t>
      </w:r>
      <w:r w:rsidR="00FD1861" w:rsidRPr="000C0842">
        <w:rPr>
          <w:rFonts w:eastAsia="SimSun" w:hint="eastAsia"/>
          <w:sz w:val="24"/>
          <w:szCs w:val="24"/>
        </w:rPr>
        <w:t>。开幕式上进行了文化表演，</w:t>
      </w:r>
      <w:r w:rsidRPr="000C0842">
        <w:rPr>
          <w:rFonts w:eastAsia="SimSun"/>
          <w:sz w:val="24"/>
          <w:szCs w:val="24"/>
        </w:rPr>
        <w:t>以下人士</w:t>
      </w:r>
      <w:r w:rsidR="008D5986" w:rsidRPr="000C0842">
        <w:rPr>
          <w:rFonts w:eastAsia="SimSun" w:hint="eastAsia"/>
          <w:sz w:val="24"/>
          <w:szCs w:val="24"/>
        </w:rPr>
        <w:t>发表了</w:t>
      </w:r>
      <w:r w:rsidR="00FD1861" w:rsidRPr="000C0842">
        <w:rPr>
          <w:rFonts w:eastAsia="SimSun"/>
          <w:sz w:val="24"/>
          <w:szCs w:val="24"/>
        </w:rPr>
        <w:t>致辞</w:t>
      </w:r>
      <w:r w:rsidR="00405EC3" w:rsidRPr="000C0842">
        <w:rPr>
          <w:rStyle w:val="FootnoteReference"/>
          <w:sz w:val="24"/>
          <w:szCs w:val="24"/>
        </w:rPr>
        <w:footnoteReference w:id="513"/>
      </w:r>
      <w:r w:rsidRPr="000C0842">
        <w:rPr>
          <w:rFonts w:eastAsia="SimSun"/>
          <w:sz w:val="24"/>
          <w:szCs w:val="24"/>
        </w:rPr>
        <w:t>：哥伦比亚总统古斯塔沃</w:t>
      </w:r>
      <w:r w:rsidR="005045AF" w:rsidRPr="000C0842">
        <w:rPr>
          <w:rFonts w:eastAsia="SimSun"/>
          <w:sz w:val="24"/>
          <w:szCs w:val="24"/>
        </w:rPr>
        <w:t>·</w:t>
      </w:r>
      <w:r w:rsidRPr="000C0842">
        <w:rPr>
          <w:rFonts w:eastAsia="SimSun"/>
          <w:sz w:val="24"/>
          <w:szCs w:val="24"/>
        </w:rPr>
        <w:t>佩德罗</w:t>
      </w:r>
      <w:r w:rsidRPr="000C0842">
        <w:rPr>
          <w:rFonts w:eastAsia="SimSun"/>
          <w:sz w:val="24"/>
          <w:szCs w:val="24"/>
        </w:rPr>
        <w:t>·</w:t>
      </w:r>
      <w:r w:rsidRPr="000C0842">
        <w:rPr>
          <w:rFonts w:eastAsia="SimSun"/>
          <w:sz w:val="24"/>
          <w:szCs w:val="24"/>
        </w:rPr>
        <w:t>乌雷戈、联合国秘书长安东尼奥</w:t>
      </w:r>
      <w:r w:rsidRPr="000C0842">
        <w:rPr>
          <w:rFonts w:eastAsiaTheme="majorEastAsia"/>
          <w:sz w:val="24"/>
          <w:szCs w:val="24"/>
        </w:rPr>
        <w:t>·</w:t>
      </w:r>
      <w:r w:rsidRPr="000C0842">
        <w:rPr>
          <w:rFonts w:eastAsia="SimSun"/>
          <w:sz w:val="24"/>
          <w:szCs w:val="24"/>
        </w:rPr>
        <w:t>古特雷斯、中国生态环境部部长兼缔约方大会第十五届会议主席黄润秋、哥伦比亚环境与可持续发展部部长玛丽亚</w:t>
      </w:r>
      <w:r w:rsidRPr="000C0842">
        <w:rPr>
          <w:rFonts w:eastAsia="SimSun"/>
          <w:sz w:val="24"/>
          <w:szCs w:val="24"/>
        </w:rPr>
        <w:t>·</w:t>
      </w:r>
      <w:r w:rsidRPr="000C0842">
        <w:rPr>
          <w:rFonts w:eastAsia="SimSun"/>
          <w:sz w:val="24"/>
          <w:szCs w:val="24"/>
        </w:rPr>
        <w:t>苏珊娜</w:t>
      </w:r>
      <w:r w:rsidRPr="000C0842">
        <w:rPr>
          <w:rFonts w:eastAsia="SimSun"/>
          <w:sz w:val="24"/>
          <w:szCs w:val="24"/>
        </w:rPr>
        <w:t>·</w:t>
      </w:r>
      <w:r w:rsidRPr="000C0842">
        <w:rPr>
          <w:rFonts w:eastAsia="SimSun"/>
          <w:sz w:val="24"/>
          <w:szCs w:val="24"/>
        </w:rPr>
        <w:t>穆罕默德</w:t>
      </w:r>
      <w:r w:rsidRPr="000C0842">
        <w:rPr>
          <w:rFonts w:eastAsiaTheme="minorEastAsia"/>
          <w:sz w:val="24"/>
          <w:szCs w:val="24"/>
        </w:rPr>
        <w:t>·</w:t>
      </w:r>
      <w:r w:rsidRPr="000C0842">
        <w:rPr>
          <w:rFonts w:eastAsia="SimSun"/>
          <w:sz w:val="24"/>
          <w:szCs w:val="24"/>
        </w:rPr>
        <w:t>冈萨雷斯、考卡山谷省省长迪莉安</w:t>
      </w:r>
      <w:r w:rsidRPr="000C0842">
        <w:rPr>
          <w:rFonts w:eastAsia="SimSun"/>
          <w:sz w:val="24"/>
          <w:szCs w:val="24"/>
        </w:rPr>
        <w:t>·</w:t>
      </w:r>
      <w:r w:rsidRPr="000C0842">
        <w:rPr>
          <w:rFonts w:eastAsia="SimSun"/>
          <w:sz w:val="24"/>
          <w:szCs w:val="24"/>
        </w:rPr>
        <w:t>弗朗西斯卡</w:t>
      </w:r>
      <w:r w:rsidRPr="000C0842">
        <w:rPr>
          <w:rFonts w:eastAsia="SimSun"/>
          <w:sz w:val="24"/>
          <w:szCs w:val="24"/>
        </w:rPr>
        <w:t>·</w:t>
      </w:r>
      <w:r w:rsidRPr="000C0842">
        <w:rPr>
          <w:rFonts w:eastAsia="SimSun"/>
          <w:sz w:val="24"/>
          <w:szCs w:val="24"/>
        </w:rPr>
        <w:t>托罗</w:t>
      </w:r>
      <w:r w:rsidRPr="000C0842">
        <w:rPr>
          <w:rFonts w:eastAsia="SimSun"/>
          <w:sz w:val="24"/>
          <w:szCs w:val="24"/>
        </w:rPr>
        <w:t>·</w:t>
      </w:r>
      <w:r w:rsidRPr="000C0842">
        <w:rPr>
          <w:rFonts w:eastAsia="SimSun"/>
          <w:sz w:val="24"/>
          <w:szCs w:val="24"/>
        </w:rPr>
        <w:t>托雷斯、卡利市市长阿尔瓦罗</w:t>
      </w:r>
      <w:r w:rsidRPr="000C0842">
        <w:rPr>
          <w:rFonts w:eastAsia="SimSun"/>
          <w:sz w:val="24"/>
          <w:szCs w:val="24"/>
        </w:rPr>
        <w:t>·</w:t>
      </w:r>
      <w:r w:rsidRPr="000C0842">
        <w:rPr>
          <w:rFonts w:eastAsia="SimSun"/>
          <w:sz w:val="24"/>
          <w:szCs w:val="24"/>
        </w:rPr>
        <w:t>亚历杭德罗</w:t>
      </w:r>
      <w:r w:rsidRPr="000C0842">
        <w:rPr>
          <w:rFonts w:eastAsia="SimSun"/>
          <w:sz w:val="24"/>
          <w:szCs w:val="24"/>
        </w:rPr>
        <w:t>·</w:t>
      </w:r>
      <w:r w:rsidRPr="000C0842">
        <w:rPr>
          <w:rFonts w:eastAsia="SimSun"/>
          <w:sz w:val="24"/>
          <w:szCs w:val="24"/>
        </w:rPr>
        <w:t>埃德尔</w:t>
      </w:r>
      <w:r w:rsidRPr="000C0842">
        <w:rPr>
          <w:rFonts w:eastAsia="SimSun"/>
          <w:sz w:val="24"/>
          <w:szCs w:val="24"/>
        </w:rPr>
        <w:t>·</w:t>
      </w:r>
      <w:r w:rsidRPr="000C0842">
        <w:rPr>
          <w:rFonts w:eastAsia="SimSun"/>
          <w:sz w:val="24"/>
          <w:szCs w:val="24"/>
        </w:rPr>
        <w:t>加尔塞斯。</w:t>
      </w:r>
    </w:p>
    <w:p w14:paraId="3FD89D9B" w14:textId="3832DA36" w:rsidR="00BE4712" w:rsidRPr="000C0842" w:rsidRDefault="00BE4712" w:rsidP="004E5EE5">
      <w:pPr>
        <w:pStyle w:val="a1"/>
        <w:rPr>
          <w:rFonts w:hint="eastAsia"/>
          <w:b w:val="0"/>
          <w:bCs/>
          <w:lang w:eastAsia="zh-CN"/>
        </w:rPr>
      </w:pPr>
      <w:bookmarkStart w:id="139" w:name="_Toc206358236"/>
      <w:r w:rsidRPr="000C0842">
        <w:rPr>
          <w:lang w:eastAsia="zh-CN"/>
        </w:rPr>
        <w:t>与会情况</w:t>
      </w:r>
      <w:bookmarkEnd w:id="139"/>
    </w:p>
    <w:p w14:paraId="74232A7B" w14:textId="6D84CB77" w:rsidR="00BE4712" w:rsidRPr="000C0842" w:rsidRDefault="00D54633">
      <w:pPr>
        <w:pStyle w:val="ListParagraph"/>
        <w:numPr>
          <w:ilvl w:val="0"/>
          <w:numId w:val="244"/>
        </w:numPr>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180</w:t>
      </w:r>
      <w:r w:rsidRPr="000C0842">
        <w:rPr>
          <w:rFonts w:eastAsia="SimSun"/>
          <w:sz w:val="24"/>
          <w:szCs w:val="24"/>
        </w:rPr>
        <w:t>个缔约方和</w:t>
      </w:r>
      <w:r w:rsidRPr="000C0842">
        <w:rPr>
          <w:rFonts w:eastAsia="SimSun"/>
          <w:sz w:val="24"/>
          <w:szCs w:val="24"/>
        </w:rPr>
        <w:t>2</w:t>
      </w:r>
      <w:r w:rsidRPr="000C0842">
        <w:rPr>
          <w:rFonts w:eastAsia="SimSun"/>
          <w:sz w:val="24"/>
          <w:szCs w:val="24"/>
        </w:rPr>
        <w:t>个非缔约方出席了会议</w:t>
      </w:r>
      <w:r w:rsidRPr="000C0842">
        <w:rPr>
          <w:rStyle w:val="FootnoteReference"/>
          <w:rFonts w:eastAsia="SimSun"/>
          <w:sz w:val="24"/>
          <w:szCs w:val="24"/>
        </w:rPr>
        <w:footnoteReference w:id="514"/>
      </w:r>
      <w:r w:rsidRPr="000C0842">
        <w:rPr>
          <w:rFonts w:eastAsia="SimSun"/>
          <w:sz w:val="24"/>
          <w:szCs w:val="24"/>
        </w:rPr>
        <w:t>。</w:t>
      </w:r>
    </w:p>
    <w:p w14:paraId="1C3B1E40" w14:textId="572CD218" w:rsidR="00BE4712" w:rsidRPr="000C0842" w:rsidRDefault="00BE4712" w:rsidP="008D5986">
      <w:pPr>
        <w:pStyle w:val="a1"/>
        <w:ind w:left="0"/>
        <w:rPr>
          <w:rFonts w:hint="eastAsia"/>
          <w:lang w:eastAsia="zh-CN"/>
        </w:rPr>
      </w:pPr>
      <w:bookmarkStart w:id="140" w:name="_Toc206358237"/>
      <w:r w:rsidRPr="000C0842">
        <w:rPr>
          <w:lang w:eastAsia="zh-CN"/>
        </w:rPr>
        <w:t>项目</w:t>
      </w:r>
      <w:r w:rsidRPr="000C0842">
        <w:rPr>
          <w:lang w:eastAsia="zh-CN"/>
        </w:rPr>
        <w:t>1</w:t>
      </w:r>
      <w:r w:rsidR="00516794" w:rsidRPr="000C0842">
        <w:rPr>
          <w:lang w:eastAsia="zh-CN"/>
        </w:rPr>
        <w:br/>
      </w:r>
      <w:r w:rsidRPr="000C0842">
        <w:rPr>
          <w:lang w:eastAsia="zh-CN"/>
        </w:rPr>
        <w:t>会议开幕</w:t>
      </w:r>
      <w:bookmarkEnd w:id="140"/>
    </w:p>
    <w:p w14:paraId="23044170" w14:textId="6F962FC7"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1"/>
          <w:attr w:name="IsLunarDate" w:val="False"/>
          <w:attr w:name="IsROCDate" w:val="False"/>
        </w:smartTagPr>
        <w:r w:rsidRPr="000C0842">
          <w:rPr>
            <w:sz w:val="24"/>
            <w:szCs w:val="24"/>
          </w:rPr>
          <w:t>2024</w:t>
        </w:r>
        <w:r w:rsidRPr="000C0842">
          <w:rPr>
            <w:rFonts w:eastAsia="SimSun"/>
            <w:sz w:val="24"/>
            <w:szCs w:val="24"/>
          </w:rPr>
          <w:t>年</w:t>
        </w:r>
        <w:r w:rsidRPr="000C0842">
          <w:rPr>
            <w:sz w:val="24"/>
            <w:szCs w:val="24"/>
          </w:rPr>
          <w:t>10</w:t>
        </w:r>
        <w:r w:rsidRPr="000C0842">
          <w:rPr>
            <w:rFonts w:eastAsia="SimSun"/>
            <w:sz w:val="24"/>
            <w:szCs w:val="24"/>
          </w:rPr>
          <w:t>月</w:t>
        </w:r>
        <w:r w:rsidRPr="000C0842">
          <w:rPr>
            <w:sz w:val="24"/>
            <w:szCs w:val="24"/>
          </w:rPr>
          <w:t>21</w:t>
        </w:r>
        <w:r w:rsidRPr="000C0842">
          <w:rPr>
            <w:rFonts w:eastAsia="SimSun"/>
            <w:sz w:val="24"/>
            <w:szCs w:val="24"/>
          </w:rPr>
          <w:t>日</w:t>
        </w:r>
      </w:smartTag>
      <w:r w:rsidRPr="000C0842">
        <w:rPr>
          <w:rFonts w:eastAsia="SimSun"/>
          <w:sz w:val="24"/>
          <w:szCs w:val="24"/>
        </w:rPr>
        <w:t>缔约方大会与作为卡塔赫纳议定书缔约方会议的缔约方大会和作为名古屋议定书缔约方会议的缔约方大会联合举行第</w:t>
      </w:r>
      <w:r w:rsidRPr="000C0842">
        <w:rPr>
          <w:sz w:val="24"/>
          <w:szCs w:val="24"/>
        </w:rPr>
        <w:t>1</w:t>
      </w:r>
      <w:r w:rsidRPr="000C0842">
        <w:rPr>
          <w:rFonts w:eastAsia="SimSun"/>
          <w:sz w:val="24"/>
          <w:szCs w:val="24"/>
        </w:rPr>
        <w:t>场全体会议。</w:t>
      </w:r>
    </w:p>
    <w:p w14:paraId="754F2466" w14:textId="717121B1"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上午</w:t>
      </w:r>
      <w:r w:rsidRPr="000C0842">
        <w:rPr>
          <w:sz w:val="24"/>
          <w:szCs w:val="24"/>
        </w:rPr>
        <w:t>9</w:t>
      </w:r>
      <w:r w:rsidRPr="000C0842">
        <w:rPr>
          <w:rFonts w:eastAsia="SimSun"/>
          <w:sz w:val="24"/>
          <w:szCs w:val="24"/>
        </w:rPr>
        <w:t>时</w:t>
      </w:r>
      <w:r w:rsidRPr="000C0842">
        <w:rPr>
          <w:sz w:val="24"/>
          <w:szCs w:val="24"/>
        </w:rPr>
        <w:t>30</w:t>
      </w:r>
      <w:r w:rsidRPr="000C0842">
        <w:rPr>
          <w:rFonts w:eastAsia="SimSun"/>
          <w:sz w:val="24"/>
          <w:szCs w:val="24"/>
        </w:rPr>
        <w:t>分，</w:t>
      </w:r>
      <w:r w:rsidR="00706419" w:rsidRPr="000C0842">
        <w:rPr>
          <w:rFonts w:eastAsia="SimSun"/>
          <w:sz w:val="24"/>
          <w:szCs w:val="24"/>
        </w:rPr>
        <w:t>第十五届会议</w:t>
      </w:r>
      <w:r w:rsidRPr="000C0842">
        <w:rPr>
          <w:rFonts w:eastAsia="SimSun"/>
          <w:sz w:val="24"/>
          <w:szCs w:val="24"/>
        </w:rPr>
        <w:t>主席宣布会议开幕。他在</w:t>
      </w:r>
      <w:r w:rsidR="00FD1861" w:rsidRPr="000C0842">
        <w:rPr>
          <w:rFonts w:eastAsia="SimSun"/>
          <w:sz w:val="24"/>
          <w:szCs w:val="24"/>
        </w:rPr>
        <w:t>致辞</w:t>
      </w:r>
      <w:r w:rsidRPr="000C0842">
        <w:rPr>
          <w:rFonts w:eastAsia="SimSun"/>
          <w:sz w:val="24"/>
          <w:szCs w:val="24"/>
        </w:rPr>
        <w:t>中称《昆明</w:t>
      </w:r>
      <w:r w:rsidRPr="000C0842">
        <w:rPr>
          <w:sz w:val="24"/>
          <w:szCs w:val="24"/>
        </w:rPr>
        <w:t>-</w:t>
      </w:r>
      <w:r w:rsidRPr="000C0842">
        <w:rPr>
          <w:rFonts w:eastAsia="SimSun"/>
          <w:sz w:val="24"/>
          <w:szCs w:val="24"/>
        </w:rPr>
        <w:t>蒙特利尔全球生物多样性框架》是全球生物多样性保护的新里程碑。其价值不仅在于雄心勃勃的目标和务实的解决方案，还在于其实施的力度和有效性。将承诺转化为实践需要加强合作，合理分配和有效利用资源，制定和实施严格的法律和建议，推进创新措施并加强生物多样性在所有部门的主流化。</w:t>
      </w:r>
      <w:r w:rsidR="00706419" w:rsidRPr="000C0842">
        <w:rPr>
          <w:rFonts w:eastAsia="SimSun"/>
          <w:sz w:val="24"/>
          <w:szCs w:val="24"/>
        </w:rPr>
        <w:t>第十六届</w:t>
      </w:r>
      <w:r w:rsidRPr="000C0842">
        <w:rPr>
          <w:rFonts w:eastAsia="SimSun"/>
          <w:sz w:val="24"/>
          <w:szCs w:val="24"/>
        </w:rPr>
        <w:t>会议提供了机遇，可以审查执行进展情况，分析面临的挑战并提出解决办法，特别是针对</w:t>
      </w:r>
      <w:r w:rsidR="00706419" w:rsidRPr="000C0842">
        <w:rPr>
          <w:rFonts w:eastAsia="SimSun"/>
          <w:sz w:val="24"/>
          <w:szCs w:val="24"/>
        </w:rPr>
        <w:t>遗传资源</w:t>
      </w:r>
      <w:r w:rsidRPr="000C0842">
        <w:rPr>
          <w:rFonts w:eastAsia="SimSun"/>
          <w:sz w:val="24"/>
          <w:szCs w:val="24"/>
        </w:rPr>
        <w:t>数字序列信息、</w:t>
      </w:r>
      <w:r w:rsidR="00706419" w:rsidRPr="000C0842">
        <w:rPr>
          <w:rFonts w:eastAsia="SimSun"/>
          <w:sz w:val="24"/>
          <w:szCs w:val="24"/>
        </w:rPr>
        <w:t>执行</w:t>
      </w:r>
      <w:r w:rsidRPr="000C0842">
        <w:rPr>
          <w:rFonts w:eastAsia="SimSun"/>
          <w:sz w:val="24"/>
          <w:szCs w:val="24"/>
        </w:rPr>
        <w:t>监测和资源调动等难题。他呼吁缔约方表现出必要的团结和灵活性，以便就关键问题达成共识，调动所需资源并采取实际行动。</w:t>
      </w:r>
    </w:p>
    <w:p w14:paraId="78345E87" w14:textId="27FD2082"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公约执行秘书</w:t>
      </w:r>
      <w:r w:rsidR="008D5986" w:rsidRPr="000C0842">
        <w:rPr>
          <w:rFonts w:eastAsia="SimSun"/>
          <w:sz w:val="24"/>
          <w:szCs w:val="24"/>
        </w:rPr>
        <w:t>阿斯特丽德</w:t>
      </w:r>
      <w:r w:rsidR="008D5986" w:rsidRPr="000C0842">
        <w:rPr>
          <w:rFonts w:eastAsia="SimSun"/>
          <w:sz w:val="24"/>
          <w:szCs w:val="24"/>
        </w:rPr>
        <w:t>·</w:t>
      </w:r>
      <w:r w:rsidR="008D5986" w:rsidRPr="000C0842">
        <w:rPr>
          <w:rFonts w:eastAsia="SimSun"/>
          <w:sz w:val="24"/>
          <w:szCs w:val="24"/>
        </w:rPr>
        <w:t>肖梅克</w:t>
      </w:r>
      <w:r w:rsidRPr="000C0842">
        <w:rPr>
          <w:rFonts w:eastAsia="SimSun"/>
          <w:sz w:val="24"/>
          <w:szCs w:val="24"/>
        </w:rPr>
        <w:t>和</w:t>
      </w:r>
      <w:r w:rsidR="00706419" w:rsidRPr="000C0842">
        <w:rPr>
          <w:rFonts w:eastAsia="SimSun"/>
          <w:sz w:val="24"/>
          <w:szCs w:val="24"/>
        </w:rPr>
        <w:t>缔约方大会第十六届会议</w:t>
      </w:r>
      <w:r w:rsidRPr="000C0842">
        <w:rPr>
          <w:rFonts w:eastAsia="SimSun"/>
          <w:sz w:val="24"/>
          <w:szCs w:val="24"/>
        </w:rPr>
        <w:t>新任主席</w:t>
      </w:r>
      <w:r w:rsidR="00706419" w:rsidRPr="000C0842">
        <w:rPr>
          <w:rFonts w:eastAsia="SimSun"/>
          <w:sz w:val="24"/>
          <w:szCs w:val="24"/>
        </w:rPr>
        <w:t>哥伦比亚环境与可持续发展部部长做了开幕发言</w:t>
      </w:r>
      <w:r w:rsidRPr="000C0842">
        <w:rPr>
          <w:rFonts w:eastAsia="SimSun"/>
          <w:sz w:val="24"/>
          <w:szCs w:val="24"/>
        </w:rPr>
        <w:t>。</w:t>
      </w:r>
    </w:p>
    <w:p w14:paraId="0C1B5C74" w14:textId="3462831C" w:rsidR="00BE4712" w:rsidRPr="000C0842" w:rsidRDefault="00BE4712">
      <w:pPr>
        <w:pStyle w:val="ListParagraph"/>
        <w:numPr>
          <w:ilvl w:val="0"/>
          <w:numId w:val="244"/>
        </w:numPr>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执行秘书欢迎与会者并感谢许多捐助者使发展中国家缔约方及土著人民和地方社区的代表能够参加会议，这次会议应在</w:t>
      </w:r>
      <w:r w:rsidR="008D5986" w:rsidRPr="000C0842">
        <w:rPr>
          <w:rFonts w:eastAsia="SimSun"/>
          <w:sz w:val="24"/>
          <w:szCs w:val="24"/>
        </w:rPr>
        <w:t>上次会议</w:t>
      </w:r>
      <w:r w:rsidRPr="000C0842">
        <w:rPr>
          <w:rFonts w:eastAsia="SimSun"/>
          <w:sz w:val="24"/>
          <w:szCs w:val="24"/>
        </w:rPr>
        <w:t>成功交付</w:t>
      </w:r>
      <w:r w:rsidR="0003491F" w:rsidRPr="000C0842">
        <w:rPr>
          <w:rFonts w:eastAsia="SimSun"/>
          <w:sz w:val="24"/>
          <w:szCs w:val="24"/>
        </w:rPr>
        <w:t>《昆蒙框架》</w:t>
      </w:r>
      <w:r w:rsidRPr="000C0842">
        <w:rPr>
          <w:rFonts w:eastAsia="SimSun"/>
          <w:sz w:val="24"/>
          <w:szCs w:val="24"/>
        </w:rPr>
        <w:t>的基础上再接再厉。这是迄今规模最大的一次会议，表明各方更加认识到要扭转生物多样性的丧失需要对此给予紧急关注，而高级别会议将带来前所未有的政治资本，这在很大程度上得归功于哥伦比亚政府进行的广泛外交接触。</w:t>
      </w:r>
    </w:p>
    <w:p w14:paraId="10B687EA" w14:textId="29867210"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当前的全球危机，包括生物多样性的丧失，正在加剧冲突、流离失所和健康状况恶化等人类危机，因此缔约方的行动对人类的未来至关重要。有待会议采取的重要步骤中，有四项措施尤为突出：</w:t>
      </w:r>
      <w:r w:rsidR="008F4E60" w:rsidRPr="000C0842">
        <w:rPr>
          <w:rFonts w:eastAsia="SimSun" w:hint="eastAsia"/>
          <w:sz w:val="24"/>
          <w:szCs w:val="24"/>
        </w:rPr>
        <w:t>使</w:t>
      </w:r>
      <w:r w:rsidRPr="000C0842">
        <w:rPr>
          <w:rFonts w:eastAsia="SimSun"/>
          <w:sz w:val="24"/>
          <w:szCs w:val="24"/>
        </w:rPr>
        <w:t>国家规划与</w:t>
      </w:r>
      <w:r w:rsidR="0003491F" w:rsidRPr="000C0842">
        <w:rPr>
          <w:rFonts w:eastAsia="SimSun"/>
          <w:sz w:val="24"/>
          <w:szCs w:val="24"/>
        </w:rPr>
        <w:t>《昆蒙框架》</w:t>
      </w:r>
      <w:r w:rsidRPr="000C0842">
        <w:rPr>
          <w:rFonts w:eastAsia="SimSun"/>
          <w:sz w:val="24"/>
          <w:szCs w:val="24"/>
        </w:rPr>
        <w:t>保持一致，并制定衡量</w:t>
      </w:r>
      <w:r w:rsidR="00706419" w:rsidRPr="000C0842">
        <w:rPr>
          <w:rFonts w:eastAsia="SimSun"/>
          <w:sz w:val="24"/>
          <w:szCs w:val="24"/>
        </w:rPr>
        <w:t>其</w:t>
      </w:r>
      <w:r w:rsidRPr="000C0842">
        <w:rPr>
          <w:sz w:val="24"/>
          <w:szCs w:val="24"/>
        </w:rPr>
        <w:t>23</w:t>
      </w:r>
      <w:r w:rsidRPr="000C0842">
        <w:rPr>
          <w:rFonts w:eastAsia="SimSun"/>
          <w:sz w:val="24"/>
          <w:szCs w:val="24"/>
        </w:rPr>
        <w:t>个行动目标进展情况的标准；承认土著人民和地方社区在《公约》机构运作中的作用；资源调动和迫切需要在执行手段上取得进展；</w:t>
      </w:r>
      <w:r w:rsidR="00706419" w:rsidRPr="000C0842">
        <w:rPr>
          <w:rFonts w:eastAsia="SimSun"/>
          <w:sz w:val="24"/>
          <w:szCs w:val="24"/>
        </w:rPr>
        <w:t>公正和公平分享利用</w:t>
      </w:r>
      <w:r w:rsidRPr="000C0842">
        <w:rPr>
          <w:rFonts w:eastAsia="SimSun"/>
          <w:sz w:val="24"/>
          <w:szCs w:val="24"/>
        </w:rPr>
        <w:t>遗传资源数字序列信息</w:t>
      </w:r>
      <w:r w:rsidR="00706419" w:rsidRPr="000C0842">
        <w:rPr>
          <w:rFonts w:eastAsia="SimSun"/>
          <w:sz w:val="24"/>
          <w:szCs w:val="24"/>
        </w:rPr>
        <w:t>所产生惠益的</w:t>
      </w:r>
      <w:r w:rsidRPr="000C0842">
        <w:rPr>
          <w:rFonts w:eastAsia="SimSun"/>
          <w:sz w:val="24"/>
          <w:szCs w:val="24"/>
        </w:rPr>
        <w:t>多边机制包括全球基金的运作。迫切需要解决悬而未决的问题并采取措施，使生物多样性</w:t>
      </w:r>
      <w:r w:rsidR="008F4E60" w:rsidRPr="000C0842">
        <w:rPr>
          <w:rFonts w:eastAsia="SimSun" w:hint="eastAsia"/>
          <w:sz w:val="24"/>
          <w:szCs w:val="24"/>
        </w:rPr>
        <w:t>上的</w:t>
      </w:r>
      <w:r w:rsidRPr="000C0842">
        <w:rPr>
          <w:rFonts w:eastAsia="SimSun"/>
          <w:sz w:val="24"/>
          <w:szCs w:val="24"/>
        </w:rPr>
        <w:t>统一行动成为可能。</w:t>
      </w:r>
    </w:p>
    <w:p w14:paraId="4588D135" w14:textId="74AA64A8"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新任主席在</w:t>
      </w:r>
      <w:r w:rsidR="00FD1861" w:rsidRPr="000C0842">
        <w:rPr>
          <w:rFonts w:eastAsia="SimSun"/>
          <w:sz w:val="24"/>
          <w:szCs w:val="24"/>
        </w:rPr>
        <w:t>致辞</w:t>
      </w:r>
      <w:r w:rsidRPr="000C0842">
        <w:rPr>
          <w:rFonts w:eastAsia="SimSun"/>
          <w:sz w:val="24"/>
          <w:szCs w:val="24"/>
        </w:rPr>
        <w:t>中强调，</w:t>
      </w:r>
      <w:r w:rsidR="00977E8C" w:rsidRPr="000C0842">
        <w:rPr>
          <w:rFonts w:eastAsia="SimSun" w:hint="eastAsia"/>
          <w:sz w:val="24"/>
          <w:szCs w:val="24"/>
        </w:rPr>
        <w:t>执行</w:t>
      </w:r>
      <w:r w:rsidR="0003491F" w:rsidRPr="000C0842">
        <w:rPr>
          <w:rFonts w:eastAsia="SimSun"/>
          <w:sz w:val="24"/>
          <w:szCs w:val="24"/>
        </w:rPr>
        <w:t>《昆蒙框架》</w:t>
      </w:r>
      <w:r w:rsidRPr="000C0842">
        <w:rPr>
          <w:rFonts w:eastAsia="SimSun"/>
          <w:sz w:val="24"/>
          <w:szCs w:val="24"/>
        </w:rPr>
        <w:t>需要全政府和全社会办法来保护、养护和恢复自然。彻底改变人类与自然和生态系统的联系与能源转型和其他全球倡议</w:t>
      </w:r>
      <w:r w:rsidR="00977E8C" w:rsidRPr="000C0842">
        <w:rPr>
          <w:rFonts w:eastAsia="SimSun" w:hint="eastAsia"/>
          <w:sz w:val="24"/>
          <w:szCs w:val="24"/>
        </w:rPr>
        <w:t>同样</w:t>
      </w:r>
      <w:r w:rsidRPr="000C0842">
        <w:rPr>
          <w:rFonts w:eastAsia="SimSun"/>
          <w:sz w:val="24"/>
          <w:szCs w:val="24"/>
        </w:rPr>
        <w:t>重要，这些举措有助于创造共同目标、建设和平与安全并促进多边主义。在组织本次会议时，哥伦比亚政府努力营造一种政治环境，使所有利益攸关方都能</w:t>
      </w:r>
      <w:r w:rsidR="008D71BD" w:rsidRPr="000C0842">
        <w:rPr>
          <w:rFonts w:eastAsia="SimSun" w:hint="eastAsia"/>
          <w:sz w:val="24"/>
          <w:szCs w:val="24"/>
          <w:lang w:val="zh-CN"/>
        </w:rPr>
        <w:t>越来越</w:t>
      </w:r>
      <w:r w:rsidRPr="000C0842">
        <w:rPr>
          <w:rFonts w:eastAsia="SimSun"/>
          <w:sz w:val="24"/>
          <w:szCs w:val="24"/>
          <w:lang w:val="zh-CN"/>
        </w:rPr>
        <w:t>认识到，在透明度、愿意妥协、承认共同责任和履行承诺的基础上，全球治理有了新的可能性。鉴于地球迫切需要复原，缔约方应关注实质性问题</w:t>
      </w:r>
      <w:r w:rsidR="00977E8C" w:rsidRPr="000C0842">
        <w:rPr>
          <w:rFonts w:eastAsia="SimSun" w:hint="eastAsia"/>
          <w:sz w:val="24"/>
          <w:szCs w:val="24"/>
          <w:lang w:val="zh-CN"/>
        </w:rPr>
        <w:t>，</w:t>
      </w:r>
      <w:r w:rsidRPr="000C0842">
        <w:rPr>
          <w:rFonts w:eastAsia="SimSun"/>
          <w:sz w:val="24"/>
          <w:szCs w:val="24"/>
          <w:lang w:val="zh-CN"/>
        </w:rPr>
        <w:t>寻求解决方案</w:t>
      </w:r>
      <w:r w:rsidR="00977E8C" w:rsidRPr="000C0842">
        <w:rPr>
          <w:rFonts w:eastAsia="SimSun" w:hint="eastAsia"/>
          <w:sz w:val="24"/>
          <w:szCs w:val="24"/>
          <w:lang w:val="zh-CN"/>
        </w:rPr>
        <w:t>，</w:t>
      </w:r>
      <w:r w:rsidRPr="000C0842">
        <w:rPr>
          <w:rFonts w:eastAsia="SimSun"/>
          <w:sz w:val="24"/>
          <w:szCs w:val="24"/>
          <w:lang w:val="zh-CN"/>
        </w:rPr>
        <w:t>避免过分关注谈判方法。会议的成功取决于就</w:t>
      </w:r>
      <w:r w:rsidR="00706419" w:rsidRPr="000C0842">
        <w:rPr>
          <w:rFonts w:eastAsia="SimSun"/>
          <w:sz w:val="24"/>
          <w:szCs w:val="24"/>
          <w:lang w:val="zh-CN"/>
        </w:rPr>
        <w:t>以下</w:t>
      </w:r>
      <w:r w:rsidRPr="000C0842">
        <w:rPr>
          <w:rFonts w:eastAsia="SimSun"/>
          <w:sz w:val="24"/>
          <w:szCs w:val="24"/>
          <w:lang w:val="zh-CN"/>
        </w:rPr>
        <w:t>关键项目达成一致：</w:t>
      </w:r>
      <w:r w:rsidR="00977E8C" w:rsidRPr="000C0842">
        <w:rPr>
          <w:rFonts w:eastAsia="SimSun" w:hint="eastAsia"/>
          <w:sz w:val="24"/>
          <w:szCs w:val="24"/>
          <w:lang w:val="zh-CN"/>
        </w:rPr>
        <w:t>一个</w:t>
      </w:r>
      <w:r w:rsidR="008E2157" w:rsidRPr="000C0842">
        <w:rPr>
          <w:rFonts w:eastAsia="SimSun" w:hint="eastAsia"/>
          <w:sz w:val="24"/>
          <w:szCs w:val="24"/>
          <w:lang w:val="zh-CN"/>
        </w:rPr>
        <w:t>承认</w:t>
      </w:r>
      <w:r w:rsidRPr="000C0842">
        <w:rPr>
          <w:rFonts w:eastAsia="SimSun"/>
          <w:sz w:val="24"/>
          <w:szCs w:val="24"/>
          <w:lang w:val="zh-CN"/>
        </w:rPr>
        <w:t>土著人民和地方社区在应对生物多样性危机方面的知识、经验和作用</w:t>
      </w:r>
      <w:r w:rsidR="008E2157" w:rsidRPr="000C0842">
        <w:rPr>
          <w:rFonts w:eastAsia="SimSun" w:hint="eastAsia"/>
          <w:sz w:val="24"/>
          <w:szCs w:val="24"/>
          <w:lang w:val="zh-CN"/>
        </w:rPr>
        <w:t>的</w:t>
      </w:r>
      <w:r w:rsidR="008E2157" w:rsidRPr="000C0842">
        <w:rPr>
          <w:rFonts w:eastAsia="SimSun"/>
          <w:sz w:val="24"/>
          <w:szCs w:val="24"/>
          <w:lang w:val="zh-CN"/>
        </w:rPr>
        <w:t>土著人民和地方社区工作方案</w:t>
      </w:r>
      <w:r w:rsidR="00706419" w:rsidRPr="000C0842">
        <w:rPr>
          <w:rFonts w:eastAsia="SimSun"/>
          <w:sz w:val="24"/>
          <w:szCs w:val="24"/>
          <w:lang w:val="zh-CN"/>
        </w:rPr>
        <w:t>；</w:t>
      </w:r>
      <w:r w:rsidR="00977E8C" w:rsidRPr="000C0842">
        <w:rPr>
          <w:rFonts w:eastAsia="SimSun" w:hint="eastAsia"/>
          <w:sz w:val="24"/>
          <w:szCs w:val="24"/>
          <w:lang w:val="zh-CN"/>
        </w:rPr>
        <w:t>一项关于</w:t>
      </w:r>
      <w:r w:rsidR="00706419" w:rsidRPr="000C0842">
        <w:rPr>
          <w:rFonts w:eastAsia="SimSun"/>
          <w:sz w:val="24"/>
          <w:szCs w:val="24"/>
          <w:lang w:val="zh-CN"/>
        </w:rPr>
        <w:t>遗传资源</w:t>
      </w:r>
      <w:r w:rsidRPr="000C0842">
        <w:rPr>
          <w:rFonts w:eastAsia="SimSun"/>
          <w:sz w:val="24"/>
          <w:szCs w:val="24"/>
          <w:lang w:val="zh-CN"/>
        </w:rPr>
        <w:t>数字</w:t>
      </w:r>
      <w:r w:rsidR="00706419" w:rsidRPr="000C0842">
        <w:rPr>
          <w:rFonts w:eastAsia="SimSun"/>
          <w:sz w:val="24"/>
          <w:szCs w:val="24"/>
          <w:lang w:val="zh-CN"/>
        </w:rPr>
        <w:t>序列</w:t>
      </w:r>
      <w:r w:rsidRPr="000C0842">
        <w:rPr>
          <w:rFonts w:eastAsia="SimSun"/>
          <w:sz w:val="24"/>
          <w:szCs w:val="24"/>
          <w:lang w:val="zh-CN"/>
        </w:rPr>
        <w:t>信息</w:t>
      </w:r>
      <w:r w:rsidR="00977E8C" w:rsidRPr="000C0842">
        <w:rPr>
          <w:rFonts w:eastAsia="SimSun" w:hint="eastAsia"/>
          <w:sz w:val="24"/>
          <w:szCs w:val="24"/>
          <w:lang w:val="zh-CN"/>
        </w:rPr>
        <w:t>的</w:t>
      </w:r>
      <w:r w:rsidRPr="000C0842">
        <w:rPr>
          <w:rFonts w:eastAsia="SimSun"/>
          <w:sz w:val="24"/>
          <w:szCs w:val="24"/>
          <w:lang w:val="zh-CN"/>
        </w:rPr>
        <w:t>决定，</w:t>
      </w:r>
      <w:r w:rsidR="008E2157" w:rsidRPr="000C0842">
        <w:rPr>
          <w:rFonts w:eastAsia="SimSun" w:hint="eastAsia"/>
          <w:sz w:val="24"/>
          <w:szCs w:val="24"/>
          <w:lang w:val="zh-CN"/>
        </w:rPr>
        <w:t>这项决定</w:t>
      </w:r>
      <w:r w:rsidRPr="000C0842">
        <w:rPr>
          <w:rFonts w:eastAsia="SimSun"/>
          <w:sz w:val="24"/>
          <w:szCs w:val="24"/>
          <w:lang w:val="zh-CN"/>
        </w:rPr>
        <w:t>不仅对《公约》至关重要，而且在气候变化</w:t>
      </w:r>
      <w:r w:rsidR="008E2157" w:rsidRPr="000C0842">
        <w:rPr>
          <w:rFonts w:eastAsia="SimSun"/>
          <w:sz w:val="24"/>
          <w:szCs w:val="24"/>
          <w:lang w:val="zh-CN"/>
        </w:rPr>
        <w:t>等相关领域也具有示范作用；</w:t>
      </w:r>
      <w:r w:rsidRPr="000C0842">
        <w:rPr>
          <w:rFonts w:eastAsia="SimSun"/>
          <w:sz w:val="24"/>
          <w:szCs w:val="24"/>
          <w:lang w:val="zh-CN"/>
        </w:rPr>
        <w:t>调动实现</w:t>
      </w:r>
      <w:r w:rsidR="0003491F" w:rsidRPr="000C0842">
        <w:rPr>
          <w:rFonts w:eastAsia="SimSun"/>
          <w:sz w:val="24"/>
          <w:szCs w:val="24"/>
          <w:lang w:val="zh-CN"/>
        </w:rPr>
        <w:t>《昆蒙框架》</w:t>
      </w:r>
      <w:r w:rsidRPr="000C0842">
        <w:rPr>
          <w:rFonts w:eastAsia="SimSun"/>
          <w:sz w:val="24"/>
          <w:szCs w:val="24"/>
          <w:lang w:val="zh-CN"/>
        </w:rPr>
        <w:t>各行动目标所需资金和资源</w:t>
      </w:r>
      <w:r w:rsidR="008E2157" w:rsidRPr="000C0842">
        <w:rPr>
          <w:rFonts w:eastAsia="SimSun" w:hint="eastAsia"/>
          <w:sz w:val="24"/>
          <w:szCs w:val="24"/>
          <w:lang w:val="zh-CN"/>
        </w:rPr>
        <w:t>；一个基于</w:t>
      </w:r>
      <w:r w:rsidRPr="000C0842">
        <w:rPr>
          <w:rFonts w:eastAsia="SimSun"/>
          <w:sz w:val="24"/>
          <w:szCs w:val="24"/>
          <w:lang w:val="zh-CN"/>
        </w:rPr>
        <w:t>商定参数</w:t>
      </w:r>
      <w:r w:rsidR="008E2157" w:rsidRPr="000C0842">
        <w:rPr>
          <w:rFonts w:eastAsia="SimSun" w:hint="eastAsia"/>
          <w:sz w:val="24"/>
          <w:szCs w:val="24"/>
          <w:lang w:val="zh-CN"/>
        </w:rPr>
        <w:t>的</w:t>
      </w:r>
      <w:r w:rsidRPr="000C0842">
        <w:rPr>
          <w:rFonts w:eastAsia="SimSun"/>
          <w:sz w:val="24"/>
          <w:szCs w:val="24"/>
          <w:lang w:val="zh-CN"/>
        </w:rPr>
        <w:t>监测系统</w:t>
      </w:r>
      <w:r w:rsidR="008E2157" w:rsidRPr="000C0842">
        <w:rPr>
          <w:rFonts w:eastAsia="SimSun" w:hint="eastAsia"/>
          <w:sz w:val="24"/>
          <w:szCs w:val="24"/>
          <w:lang w:val="zh-CN"/>
        </w:rPr>
        <w:t>；对</w:t>
      </w:r>
      <w:r w:rsidRPr="000C0842">
        <w:rPr>
          <w:rFonts w:eastAsia="SimSun"/>
          <w:sz w:val="24"/>
          <w:szCs w:val="24"/>
          <w:lang w:val="zh-CN"/>
        </w:rPr>
        <w:t>《公约》及其议定书下各项进程的</w:t>
      </w:r>
      <w:r w:rsidR="008E2157" w:rsidRPr="000C0842">
        <w:rPr>
          <w:rFonts w:eastAsia="SimSun" w:hint="eastAsia"/>
          <w:sz w:val="24"/>
          <w:szCs w:val="24"/>
          <w:lang w:val="zh-CN"/>
        </w:rPr>
        <w:t>成效进行一次审查</w:t>
      </w:r>
      <w:r w:rsidRPr="000C0842">
        <w:rPr>
          <w:rFonts w:eastAsia="SimSun"/>
          <w:sz w:val="24"/>
          <w:szCs w:val="24"/>
          <w:lang w:val="zh-CN"/>
        </w:rPr>
        <w:t>，</w:t>
      </w:r>
      <w:r w:rsidR="008E2157" w:rsidRPr="000C0842">
        <w:rPr>
          <w:rFonts w:eastAsia="SimSun" w:hint="eastAsia"/>
          <w:sz w:val="24"/>
          <w:szCs w:val="24"/>
          <w:lang w:val="zh-CN"/>
        </w:rPr>
        <w:t>这次审查</w:t>
      </w:r>
      <w:r w:rsidRPr="000C0842">
        <w:rPr>
          <w:rFonts w:eastAsia="SimSun"/>
          <w:sz w:val="24"/>
          <w:szCs w:val="24"/>
          <w:lang w:val="zh-CN"/>
        </w:rPr>
        <w:t>将有助于提升《公约》和</w:t>
      </w:r>
      <w:r w:rsidR="0003491F" w:rsidRPr="000C0842">
        <w:rPr>
          <w:rFonts w:eastAsia="SimSun"/>
          <w:sz w:val="24"/>
          <w:szCs w:val="24"/>
          <w:lang w:val="zh-CN"/>
        </w:rPr>
        <w:t>《昆蒙框架》</w:t>
      </w:r>
      <w:r w:rsidRPr="000C0842">
        <w:rPr>
          <w:rFonts w:eastAsia="SimSun"/>
          <w:sz w:val="24"/>
          <w:szCs w:val="24"/>
          <w:lang w:val="zh-CN"/>
        </w:rPr>
        <w:t>的影响力并确保以负责任和可问责的方式采取行动。</w:t>
      </w:r>
    </w:p>
    <w:p w14:paraId="59FC931F" w14:textId="77777777" w:rsidR="00141995" w:rsidRPr="000C0842" w:rsidRDefault="00141995" w:rsidP="00612F03">
      <w:pPr>
        <w:pStyle w:val="CBDNormalNoNumber"/>
        <w:keepNext/>
        <w:tabs>
          <w:tab w:val="clear" w:pos="567"/>
          <w:tab w:val="clear" w:pos="1134"/>
          <w:tab w:val="clear" w:pos="1701"/>
          <w:tab w:val="clear" w:pos="2268"/>
          <w:tab w:val="clear" w:pos="2835"/>
          <w:tab w:val="clear" w:pos="3402"/>
        </w:tabs>
        <w:ind w:left="490"/>
        <w:rPr>
          <w:i/>
          <w:sz w:val="24"/>
          <w:szCs w:val="24"/>
          <w:lang w:val="en-CA" w:eastAsia="zh-CN"/>
        </w:rPr>
      </w:pPr>
      <w:bookmarkStart w:id="141" w:name="_Hlk191390283"/>
      <w:r w:rsidRPr="000C0842">
        <w:rPr>
          <w:rFonts w:ascii="KaiTi" w:eastAsia="KaiTi" w:hint="eastAsia"/>
          <w:sz w:val="24"/>
          <w:szCs w:val="24"/>
          <w:lang w:val="zh-CN" w:eastAsia="zh-CN"/>
        </w:rPr>
        <w:t>续会</w:t>
      </w:r>
    </w:p>
    <w:bookmarkEnd w:id="141"/>
    <w:p w14:paraId="49A4FFBA" w14:textId="4EA44904" w:rsidR="00141995" w:rsidRPr="000C0842" w:rsidRDefault="002456DD" w:rsidP="00141995">
      <w:pPr>
        <w:pStyle w:val="ListParagraph"/>
        <w:tabs>
          <w:tab w:val="clear" w:pos="567"/>
          <w:tab w:val="clear" w:pos="1134"/>
          <w:tab w:val="clear" w:pos="1701"/>
          <w:tab w:val="clear" w:pos="2268"/>
        </w:tabs>
        <w:spacing w:before="120" w:after="120"/>
        <w:ind w:left="490" w:firstLine="0"/>
        <w:contextualSpacing w:val="0"/>
        <w:rPr>
          <w:rFonts w:eastAsia="SimSun"/>
          <w:spacing w:val="-20"/>
          <w:sz w:val="24"/>
          <w:szCs w:val="24"/>
        </w:rPr>
      </w:pPr>
      <w:r w:rsidRPr="000C0842">
        <w:rPr>
          <w:rFonts w:eastAsia="SimSun" w:hint="eastAsia"/>
          <w:spacing w:val="-20"/>
          <w:sz w:val="24"/>
          <w:szCs w:val="24"/>
        </w:rPr>
        <w:t>主席在</w:t>
      </w:r>
      <w:r w:rsidR="00141995" w:rsidRPr="000C0842">
        <w:rPr>
          <w:rFonts w:eastAsia="SimSun"/>
          <w:spacing w:val="-20"/>
          <w:sz w:val="24"/>
          <w:szCs w:val="24"/>
        </w:rPr>
        <w:t>2025</w:t>
      </w:r>
      <w:r w:rsidR="00141995" w:rsidRPr="000C0842">
        <w:rPr>
          <w:rFonts w:eastAsia="SimSun" w:hint="eastAsia"/>
          <w:spacing w:val="-20"/>
          <w:sz w:val="24"/>
          <w:szCs w:val="24"/>
        </w:rPr>
        <w:t>年</w:t>
      </w:r>
      <w:r w:rsidR="00141995" w:rsidRPr="000C0842">
        <w:rPr>
          <w:rFonts w:eastAsia="SimSun"/>
          <w:spacing w:val="-20"/>
          <w:sz w:val="24"/>
          <w:szCs w:val="24"/>
        </w:rPr>
        <w:t>2</w:t>
      </w:r>
      <w:r w:rsidR="00141995" w:rsidRPr="000C0842">
        <w:rPr>
          <w:rFonts w:eastAsia="SimSun" w:hint="eastAsia"/>
          <w:spacing w:val="-20"/>
          <w:sz w:val="24"/>
          <w:szCs w:val="24"/>
        </w:rPr>
        <w:t>月</w:t>
      </w:r>
      <w:r w:rsidR="00141995" w:rsidRPr="000C0842">
        <w:rPr>
          <w:rFonts w:eastAsia="SimSun"/>
          <w:spacing w:val="-20"/>
          <w:sz w:val="24"/>
          <w:szCs w:val="24"/>
        </w:rPr>
        <w:t>25</w:t>
      </w:r>
      <w:r w:rsidR="00141995" w:rsidRPr="000C0842">
        <w:rPr>
          <w:rFonts w:eastAsia="SimSun" w:hint="eastAsia"/>
          <w:spacing w:val="-20"/>
          <w:sz w:val="24"/>
          <w:szCs w:val="24"/>
        </w:rPr>
        <w:t>日上午</w:t>
      </w:r>
      <w:r w:rsidR="00141995" w:rsidRPr="000C0842">
        <w:rPr>
          <w:rFonts w:eastAsia="SimSun"/>
          <w:spacing w:val="-20"/>
          <w:sz w:val="24"/>
          <w:szCs w:val="24"/>
        </w:rPr>
        <w:t>10</w:t>
      </w:r>
      <w:r w:rsidR="00141995" w:rsidRPr="000C0842">
        <w:rPr>
          <w:rFonts w:eastAsia="SimSun" w:hint="eastAsia"/>
          <w:spacing w:val="-20"/>
          <w:sz w:val="24"/>
          <w:szCs w:val="24"/>
        </w:rPr>
        <w:t>时</w:t>
      </w:r>
      <w:r w:rsidR="00141995" w:rsidRPr="000C0842">
        <w:rPr>
          <w:rFonts w:eastAsia="SimSun"/>
          <w:spacing w:val="-20"/>
          <w:sz w:val="24"/>
          <w:szCs w:val="24"/>
        </w:rPr>
        <w:t>10</w:t>
      </w:r>
      <w:r w:rsidR="00141995" w:rsidRPr="000C0842">
        <w:rPr>
          <w:rFonts w:eastAsia="SimSun" w:hint="eastAsia"/>
          <w:spacing w:val="-20"/>
          <w:sz w:val="24"/>
          <w:szCs w:val="24"/>
        </w:rPr>
        <w:t>分第</w:t>
      </w:r>
      <w:r w:rsidR="00141995" w:rsidRPr="000C0842">
        <w:rPr>
          <w:rFonts w:eastAsia="SimSun"/>
          <w:spacing w:val="-20"/>
          <w:sz w:val="24"/>
          <w:szCs w:val="24"/>
        </w:rPr>
        <w:t>7</w:t>
      </w:r>
      <w:r w:rsidR="00141995" w:rsidRPr="000C0842">
        <w:rPr>
          <w:rFonts w:eastAsia="SimSun" w:hint="eastAsia"/>
          <w:spacing w:val="-20"/>
          <w:sz w:val="24"/>
          <w:szCs w:val="24"/>
        </w:rPr>
        <w:t>场全体会议</w:t>
      </w:r>
      <w:r w:rsidRPr="000C0842">
        <w:rPr>
          <w:rFonts w:eastAsia="SimSun" w:hint="eastAsia"/>
          <w:spacing w:val="-20"/>
          <w:sz w:val="24"/>
          <w:szCs w:val="24"/>
        </w:rPr>
        <w:t>上</w:t>
      </w:r>
      <w:r w:rsidR="00141995" w:rsidRPr="000C0842">
        <w:rPr>
          <w:rFonts w:eastAsia="SimSun" w:hint="eastAsia"/>
          <w:spacing w:val="-20"/>
          <w:sz w:val="24"/>
          <w:szCs w:val="24"/>
        </w:rPr>
        <w:t>宣布第二次续会开幕</w:t>
      </w:r>
      <w:r w:rsidR="00141995" w:rsidRPr="000C0842">
        <w:rPr>
          <w:rFonts w:eastAsia="SimSun"/>
          <w:spacing w:val="-20"/>
          <w:sz w:val="24"/>
          <w:vertAlign w:val="superscript"/>
        </w:rPr>
        <w:footnoteReference w:id="515"/>
      </w:r>
      <w:r w:rsidR="00612F03" w:rsidRPr="000C0842">
        <w:rPr>
          <w:rFonts w:eastAsia="SimSun" w:hint="eastAsia"/>
          <w:spacing w:val="-20"/>
          <w:sz w:val="24"/>
          <w:szCs w:val="24"/>
        </w:rPr>
        <w:t>。</w:t>
      </w:r>
    </w:p>
    <w:p w14:paraId="59F358E3" w14:textId="5B8AF52A"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主席、执行秘书</w:t>
      </w:r>
      <w:r w:rsidR="002456DD" w:rsidRPr="000C0842">
        <w:rPr>
          <w:rFonts w:eastAsia="SimSun" w:hint="eastAsia"/>
          <w:sz w:val="24"/>
          <w:szCs w:val="24"/>
        </w:rPr>
        <w:t>致开幕词，</w:t>
      </w:r>
      <w:r w:rsidRPr="000C0842">
        <w:rPr>
          <w:rFonts w:eastAsia="SimSun" w:hint="eastAsia"/>
          <w:sz w:val="24"/>
          <w:szCs w:val="24"/>
        </w:rPr>
        <w:t>联合国环境规划署（环境署）副执行主任</w:t>
      </w:r>
      <w:r w:rsidRPr="000C0842">
        <w:rPr>
          <w:rFonts w:eastAsia="SimSun"/>
          <w:sz w:val="24"/>
          <w:szCs w:val="24"/>
        </w:rPr>
        <w:t>Elizabeth Mrema</w:t>
      </w:r>
      <w:r w:rsidRPr="000C0842">
        <w:rPr>
          <w:rFonts w:eastAsia="SimSun" w:hint="eastAsia"/>
          <w:sz w:val="24"/>
          <w:szCs w:val="24"/>
        </w:rPr>
        <w:t>代表秘书长致开幕词。</w:t>
      </w:r>
    </w:p>
    <w:p w14:paraId="67A5DFE5" w14:textId="5F977D2F"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主席首先感谢各国代表同意召开第二次续会。她强调了缔约方大会第十五届会议批准的国际公共政策以及随后在卡利和此后开展的工作的重要性，这些工作旨在实现她所称的人类在二十一世纪最重要的目标，即人类维持地球生命的集体能力。她呼吁各国代表向利益攸关方传达这样的信息：尽管全球存在着紧张局势、有限的财政空间和武装冲突，但</w:t>
      </w:r>
      <w:r w:rsidR="002B3EB2" w:rsidRPr="000C0842">
        <w:rPr>
          <w:rFonts w:eastAsia="SimSun" w:hint="eastAsia"/>
          <w:sz w:val="24"/>
          <w:szCs w:val="24"/>
        </w:rPr>
        <w:t>有可能进行</w:t>
      </w:r>
      <w:r w:rsidRPr="000C0842">
        <w:rPr>
          <w:rFonts w:eastAsia="SimSun" w:hint="eastAsia"/>
          <w:sz w:val="24"/>
          <w:szCs w:val="24"/>
        </w:rPr>
        <w:t>合作，尊重生命和自然，这是世界各国人民共同的价值观。除了技术决策外，还需要政治决策，以创造所需的能力、超越过时的体制结构</w:t>
      </w:r>
      <w:r w:rsidR="002B3EB2" w:rsidRPr="000C0842">
        <w:rPr>
          <w:rFonts w:eastAsia="SimSun" w:hint="eastAsia"/>
          <w:sz w:val="24"/>
          <w:szCs w:val="24"/>
        </w:rPr>
        <w:t>，</w:t>
      </w:r>
      <w:r w:rsidRPr="000C0842">
        <w:rPr>
          <w:rFonts w:eastAsia="SimSun" w:hint="eastAsia"/>
          <w:sz w:val="24"/>
          <w:szCs w:val="24"/>
        </w:rPr>
        <w:t>激发创造能力，想象建设更好的事物。她承认自卡利会议以来看到包括部长级磋商在内的高级别政治参与，敦促各国代表抓住机会，塑造一个手段与目的相匹配的未来，从而表明多边主义可以提供解决这场危机所需的解决方案。她回顾了</w:t>
      </w:r>
      <w:r w:rsidR="002B3EB2" w:rsidRPr="000C0842">
        <w:rPr>
          <w:rFonts w:eastAsia="SimSun" w:hint="eastAsia"/>
          <w:sz w:val="24"/>
          <w:szCs w:val="24"/>
        </w:rPr>
        <w:t>伊尼里达花（</w:t>
      </w:r>
      <w:r w:rsidRPr="000C0842">
        <w:rPr>
          <w:rFonts w:eastAsia="SimSun"/>
          <w:sz w:val="24"/>
          <w:szCs w:val="24"/>
        </w:rPr>
        <w:t>Inirida</w:t>
      </w:r>
      <w:r w:rsidR="002B3EB2" w:rsidRPr="000C0842">
        <w:rPr>
          <w:rFonts w:eastAsia="SimSun" w:hint="eastAsia"/>
          <w:sz w:val="24"/>
          <w:szCs w:val="24"/>
        </w:rPr>
        <w:t>）</w:t>
      </w:r>
      <w:r w:rsidRPr="000C0842">
        <w:rPr>
          <w:rFonts w:eastAsia="SimSun" w:hint="eastAsia"/>
          <w:sz w:val="24"/>
          <w:szCs w:val="24"/>
        </w:rPr>
        <w:t>，它是第十六届会议的象征，提醒人们坚韧不拔和克服障碍的潜力，她邀请各国代表在接下来的三天里尽最大努力，实现与自然和平相处的会议目标。</w:t>
      </w:r>
    </w:p>
    <w:p w14:paraId="618B2F74" w14:textId="5BBFC433"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环境署副执行主任指出，随着生物多样性濒临灭绝，生命的基础正在瓦解，但</w:t>
      </w:r>
      <w:r w:rsidR="00D77C2B" w:rsidRPr="000C0842">
        <w:rPr>
          <w:rFonts w:eastAsia="SimSun" w:hint="eastAsia"/>
          <w:sz w:val="24"/>
          <w:szCs w:val="24"/>
        </w:rPr>
        <w:t>《昆蒙框架》</w:t>
      </w:r>
      <w:r w:rsidRPr="000C0842">
        <w:rPr>
          <w:rFonts w:eastAsia="SimSun" w:hint="eastAsia"/>
          <w:sz w:val="24"/>
          <w:szCs w:val="24"/>
        </w:rPr>
        <w:t>是一项拯救人类免于自身造成的危机的计划。在卡利，各国代表在实现</w:t>
      </w:r>
      <w:r w:rsidR="00D77C2B" w:rsidRPr="000C0842">
        <w:rPr>
          <w:rFonts w:eastAsia="SimSun" w:hint="eastAsia"/>
          <w:sz w:val="24"/>
          <w:szCs w:val="24"/>
        </w:rPr>
        <w:t>《昆蒙框架》</w:t>
      </w:r>
      <w:r w:rsidRPr="000C0842">
        <w:rPr>
          <w:rFonts w:eastAsia="SimSun" w:hint="eastAsia"/>
          <w:sz w:val="24"/>
          <w:szCs w:val="24"/>
        </w:rPr>
        <w:t>方面取得了重要进展，但为使其能得到全面实施，仍有许多工作要做。随着世界接近危险的临界点，现在必须就如何落实生物多样性融资承诺以及如何监测</w:t>
      </w:r>
      <w:r w:rsidR="00D77C2B" w:rsidRPr="000C0842">
        <w:rPr>
          <w:rFonts w:eastAsia="SimSun" w:hint="eastAsia"/>
          <w:sz w:val="24"/>
          <w:szCs w:val="24"/>
        </w:rPr>
        <w:t>《昆蒙框架》</w:t>
      </w:r>
      <w:r w:rsidRPr="000C0842">
        <w:rPr>
          <w:rFonts w:eastAsia="SimSun" w:hint="eastAsia"/>
          <w:sz w:val="24"/>
          <w:szCs w:val="24"/>
        </w:rPr>
        <w:t>的实施达成一致。成功需要问责，行动需要资金，因此，所有缔约方都必须认识到，如果谈判失败，人人皆输。没有一个国家能够幸免于这场危机，也没有一个国家能够独自解决这一危机。多边主义是唯一的希望，因此，呼吁所有缔约方尽一切努力找到共同点并寻求解决方案，因为大自然不能等待。</w:t>
      </w:r>
    </w:p>
    <w:p w14:paraId="518AEEEB" w14:textId="17996330"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执行秘书欢迎各国代表来到罗马，并感谢他们根据默许程序通过预算，使秘书处能够推展许多分配给它的任务。她感谢支持全面参与会议的许多捐助方，特别是奥地利、芬兰、德国和日本在</w:t>
      </w:r>
      <w:r w:rsidRPr="000C0842">
        <w:rPr>
          <w:rFonts w:eastAsia="SimSun"/>
          <w:sz w:val="24"/>
          <w:szCs w:val="24"/>
        </w:rPr>
        <w:t>2025</w:t>
      </w:r>
      <w:r w:rsidRPr="000C0842">
        <w:rPr>
          <w:rFonts w:eastAsia="SimSun" w:hint="eastAsia"/>
          <w:sz w:val="24"/>
          <w:szCs w:val="24"/>
        </w:rPr>
        <w:t>年提供的额外捐款。卡利会议见证了为促进生物多样性发动的前所未有的全社会动员，利益攸关方现在期待着缔约方做出对其未来至关重要的决定。除其他事项外，缔约方需要最终确定其符合</w:t>
      </w:r>
      <w:r w:rsidR="00D77C2B" w:rsidRPr="000C0842">
        <w:rPr>
          <w:rFonts w:eastAsia="SimSun" w:hint="eastAsia"/>
          <w:sz w:val="24"/>
          <w:szCs w:val="24"/>
        </w:rPr>
        <w:t>《昆蒙框架》</w:t>
      </w:r>
      <w:r w:rsidRPr="000C0842">
        <w:rPr>
          <w:rFonts w:eastAsia="SimSun" w:hint="eastAsia"/>
          <w:sz w:val="24"/>
          <w:szCs w:val="24"/>
        </w:rPr>
        <w:t>的国家生物多样性战略和行动计划；迄今为止，已有</w:t>
      </w:r>
      <w:r w:rsidRPr="000C0842">
        <w:rPr>
          <w:rFonts w:eastAsia="SimSun"/>
          <w:sz w:val="24"/>
          <w:szCs w:val="24"/>
        </w:rPr>
        <w:t>46</w:t>
      </w:r>
      <w:r w:rsidRPr="000C0842">
        <w:rPr>
          <w:rFonts w:eastAsia="SimSun" w:hint="eastAsia"/>
          <w:sz w:val="24"/>
          <w:szCs w:val="24"/>
        </w:rPr>
        <w:t>个缔约方提交了它们更新后的战略和行动计划，她敦促其他缔约方加快努力。第十六届会议的工作也必须完成，她强调，这项工作不涉及新的承诺，而是就如何落实已作出的承诺达成一致。自卡利会议以来，生物多样性和生态系统服务政府间科学</w:t>
      </w:r>
      <w:r w:rsidR="00464A48" w:rsidRPr="000C0842">
        <w:rPr>
          <w:rFonts w:eastAsia="SimSun" w:hint="eastAsia"/>
          <w:sz w:val="24"/>
          <w:szCs w:val="24"/>
        </w:rPr>
        <w:t>与</w:t>
      </w:r>
      <w:r w:rsidRPr="000C0842">
        <w:rPr>
          <w:rFonts w:eastAsia="SimSun" w:hint="eastAsia"/>
          <w:sz w:val="24"/>
          <w:szCs w:val="24"/>
        </w:rPr>
        <w:t>政策平台通过了两项开创性的评估，强调采取行动制止和扭转生物多样性的丧失和促进</w:t>
      </w:r>
      <w:r w:rsidR="00464A48" w:rsidRPr="000C0842">
        <w:rPr>
          <w:rFonts w:eastAsia="SimSun" w:hint="eastAsia"/>
          <w:sz w:val="24"/>
          <w:szCs w:val="24"/>
        </w:rPr>
        <w:t>转型</w:t>
      </w:r>
      <w:r w:rsidRPr="000C0842">
        <w:rPr>
          <w:rFonts w:eastAsia="SimSun" w:hint="eastAsia"/>
          <w:sz w:val="24"/>
          <w:szCs w:val="24"/>
        </w:rPr>
        <w:t>变革而同时创造重大商业机会的紧迫性。因此，她呼吁缔约方给</w:t>
      </w:r>
      <w:r w:rsidR="00D77C2B" w:rsidRPr="000C0842">
        <w:rPr>
          <w:rFonts w:eastAsia="SimSun" w:hint="eastAsia"/>
          <w:sz w:val="24"/>
          <w:szCs w:val="24"/>
        </w:rPr>
        <w:t>《昆蒙框架》</w:t>
      </w:r>
      <w:r w:rsidRPr="000C0842">
        <w:rPr>
          <w:rFonts w:eastAsia="SimSun" w:hint="eastAsia"/>
          <w:sz w:val="24"/>
          <w:szCs w:val="24"/>
        </w:rPr>
        <w:t>一个实现其目标的机会，并在承认存在不同的观点、责任和能力的同时，团结</w:t>
      </w:r>
      <w:r w:rsidR="00464A48" w:rsidRPr="000C0842">
        <w:rPr>
          <w:rFonts w:eastAsia="SimSun" w:hint="eastAsia"/>
          <w:sz w:val="24"/>
          <w:szCs w:val="24"/>
        </w:rPr>
        <w:t>行动</w:t>
      </w:r>
      <w:r w:rsidRPr="000C0842">
        <w:rPr>
          <w:rFonts w:eastAsia="SimSun" w:hint="eastAsia"/>
          <w:sz w:val="24"/>
          <w:szCs w:val="24"/>
        </w:rPr>
        <w:t>，发出</w:t>
      </w:r>
      <w:r w:rsidR="00464A48" w:rsidRPr="000C0842">
        <w:rPr>
          <w:rFonts w:eastAsia="SimSun" w:hint="eastAsia"/>
          <w:sz w:val="24"/>
          <w:szCs w:val="24"/>
        </w:rPr>
        <w:t>一个</w:t>
      </w:r>
      <w:r w:rsidRPr="000C0842">
        <w:rPr>
          <w:rFonts w:eastAsia="SimSun" w:hint="eastAsia"/>
          <w:sz w:val="24"/>
          <w:szCs w:val="24"/>
        </w:rPr>
        <w:t>明确的信息，</w:t>
      </w:r>
      <w:r w:rsidR="00464A48" w:rsidRPr="000C0842">
        <w:rPr>
          <w:rFonts w:eastAsia="SimSun" w:hint="eastAsia"/>
          <w:sz w:val="24"/>
          <w:szCs w:val="24"/>
        </w:rPr>
        <w:t>即</w:t>
      </w:r>
      <w:r w:rsidRPr="000C0842">
        <w:rPr>
          <w:rFonts w:eastAsia="SimSun" w:hint="eastAsia"/>
          <w:sz w:val="24"/>
          <w:szCs w:val="24"/>
        </w:rPr>
        <w:t>多边主义是唯一的前进道路。</w:t>
      </w:r>
    </w:p>
    <w:p w14:paraId="2CCEB6BF" w14:textId="6A68C4AD" w:rsidR="00BE4712" w:rsidRPr="000C0842" w:rsidRDefault="00BE4712" w:rsidP="004E5EE5">
      <w:pPr>
        <w:pStyle w:val="a1"/>
        <w:ind w:left="0"/>
        <w:rPr>
          <w:rFonts w:ascii="SimSun" w:hAnsi="SimSun"/>
          <w:caps/>
          <w:szCs w:val="24"/>
          <w:lang w:eastAsia="zh-CN"/>
        </w:rPr>
      </w:pPr>
      <w:bookmarkStart w:id="142" w:name="_Toc206358238"/>
      <w:r w:rsidRPr="000C0842">
        <w:rPr>
          <w:lang w:eastAsia="zh-CN"/>
        </w:rPr>
        <w:t>项目</w:t>
      </w:r>
      <w:r w:rsidRPr="000C0842">
        <w:rPr>
          <w:lang w:eastAsia="zh-CN"/>
        </w:rPr>
        <w:t>2</w:t>
      </w:r>
      <w:r w:rsidRPr="000C0842">
        <w:rPr>
          <w:lang w:eastAsia="zh-CN"/>
        </w:rPr>
        <w:br/>
      </w:r>
      <w:r w:rsidRPr="000C0842">
        <w:rPr>
          <w:lang w:eastAsia="zh-CN"/>
        </w:rPr>
        <w:t>组织事项</w:t>
      </w:r>
      <w:bookmarkEnd w:id="142"/>
    </w:p>
    <w:p w14:paraId="114584B9" w14:textId="7590B668"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pacing w:val="12"/>
          <w:sz w:val="24"/>
          <w:szCs w:val="24"/>
          <w:lang w:val="zh-CN"/>
        </w:rPr>
        <w:t>缔约方大会第</w:t>
      </w:r>
      <w:r w:rsidRPr="000C0842">
        <w:rPr>
          <w:spacing w:val="12"/>
          <w:sz w:val="24"/>
          <w:szCs w:val="24"/>
          <w:lang w:val="zh-CN"/>
        </w:rPr>
        <w:t>1</w:t>
      </w:r>
      <w:r w:rsidRPr="000C0842">
        <w:rPr>
          <w:rFonts w:eastAsia="SimSun"/>
          <w:spacing w:val="12"/>
          <w:sz w:val="24"/>
          <w:szCs w:val="24"/>
          <w:lang w:val="zh-CN"/>
        </w:rPr>
        <w:t>场</w:t>
      </w:r>
      <w:r w:rsidR="00145B68" w:rsidRPr="000C0842">
        <w:rPr>
          <w:rFonts w:eastAsia="SimSun"/>
          <w:spacing w:val="12"/>
          <w:sz w:val="24"/>
          <w:szCs w:val="24"/>
          <w:lang w:val="zh-CN"/>
        </w:rPr>
        <w:t>全体</w:t>
      </w:r>
      <w:r w:rsidRPr="000C0842">
        <w:rPr>
          <w:rFonts w:eastAsia="SimSun"/>
          <w:spacing w:val="12"/>
          <w:sz w:val="24"/>
          <w:szCs w:val="24"/>
          <w:lang w:val="zh-CN"/>
        </w:rPr>
        <w:t>会议审议了议程项目</w:t>
      </w:r>
      <w:r w:rsidRPr="000C0842">
        <w:rPr>
          <w:spacing w:val="12"/>
          <w:sz w:val="24"/>
          <w:szCs w:val="24"/>
          <w:lang w:val="zh-CN"/>
        </w:rPr>
        <w:t>2</w:t>
      </w:r>
      <w:r w:rsidRPr="000C0842">
        <w:rPr>
          <w:rFonts w:eastAsia="SimSun"/>
          <w:spacing w:val="12"/>
          <w:sz w:val="24"/>
          <w:szCs w:val="24"/>
          <w:lang w:val="zh-CN"/>
        </w:rPr>
        <w:t>。</w:t>
      </w:r>
      <w:r w:rsidR="00DF247C" w:rsidRPr="000C0842">
        <w:rPr>
          <w:rFonts w:eastAsia="SimSun" w:hint="eastAsia"/>
          <w:spacing w:val="12"/>
          <w:sz w:val="24"/>
          <w:szCs w:val="24"/>
          <w:lang w:val="zh-CN"/>
        </w:rPr>
        <w:t>缔约方大会</w:t>
      </w:r>
      <w:r w:rsidR="008B3463" w:rsidRPr="000C0842">
        <w:rPr>
          <w:rFonts w:eastAsia="SimSun"/>
          <w:spacing w:val="12"/>
          <w:sz w:val="24"/>
          <w:szCs w:val="24"/>
          <w:lang w:val="zh-CN"/>
        </w:rPr>
        <w:t>收到</w:t>
      </w:r>
      <w:r w:rsidRPr="000C0842">
        <w:rPr>
          <w:rFonts w:eastAsia="SimSun"/>
          <w:spacing w:val="12"/>
          <w:sz w:val="24"/>
          <w:szCs w:val="24"/>
          <w:lang w:val="zh-CN"/>
        </w:rPr>
        <w:t>一份临时议程</w:t>
      </w:r>
      <w:r w:rsidR="00516794" w:rsidRPr="000C0842">
        <w:rPr>
          <w:spacing w:val="8"/>
          <w:sz w:val="24"/>
          <w:szCs w:val="24"/>
          <w:vertAlign w:val="superscript"/>
        </w:rPr>
        <w:footnoteReference w:id="516"/>
      </w:r>
      <w:r w:rsidR="00516794" w:rsidRPr="000C0842">
        <w:rPr>
          <w:rFonts w:eastAsia="SimSun" w:hint="eastAsia"/>
          <w:spacing w:val="8"/>
          <w:sz w:val="24"/>
          <w:szCs w:val="24"/>
          <w:lang w:val="zh-CN"/>
        </w:rPr>
        <w:t xml:space="preserve"> </w:t>
      </w:r>
      <w:r w:rsidR="00E02803" w:rsidRPr="000C0842">
        <w:rPr>
          <w:rFonts w:eastAsia="SimSun" w:hint="eastAsia"/>
          <w:spacing w:val="8"/>
          <w:sz w:val="24"/>
          <w:szCs w:val="24"/>
          <w:lang w:val="zh-CN"/>
        </w:rPr>
        <w:t>、</w:t>
      </w:r>
      <w:r w:rsidRPr="000C0842">
        <w:rPr>
          <w:rFonts w:eastAsia="SimSun"/>
          <w:sz w:val="24"/>
          <w:szCs w:val="24"/>
          <w:lang w:val="zh-CN"/>
        </w:rPr>
        <w:t>一份附加说明的临时议程</w:t>
      </w:r>
      <w:r w:rsidRPr="000C0842">
        <w:rPr>
          <w:sz w:val="24"/>
          <w:szCs w:val="24"/>
          <w:vertAlign w:val="superscript"/>
        </w:rPr>
        <w:footnoteReference w:id="517"/>
      </w:r>
      <w:r w:rsidR="00972E98" w:rsidRPr="000C0842">
        <w:rPr>
          <w:rFonts w:eastAsia="SimSun" w:hint="eastAsia"/>
          <w:sz w:val="24"/>
          <w:szCs w:val="24"/>
          <w:lang w:val="zh-CN"/>
        </w:rPr>
        <w:t xml:space="preserve"> </w:t>
      </w:r>
      <w:r w:rsidRPr="000C0842">
        <w:rPr>
          <w:rFonts w:eastAsia="SimSun"/>
          <w:sz w:val="24"/>
          <w:szCs w:val="24"/>
          <w:lang w:val="zh-CN"/>
        </w:rPr>
        <w:t>和一份拟议工作安排</w:t>
      </w:r>
      <w:r w:rsidR="00516794" w:rsidRPr="000C0842">
        <w:rPr>
          <w:rStyle w:val="FootnoteReference"/>
          <w:sz w:val="24"/>
          <w:szCs w:val="24"/>
          <w:lang w:val="zh-CN"/>
        </w:rPr>
        <w:footnoteReference w:id="518"/>
      </w:r>
      <w:r w:rsidR="00516794" w:rsidRPr="000C0842">
        <w:rPr>
          <w:rFonts w:eastAsia="SimSun" w:hint="eastAsia"/>
          <w:sz w:val="24"/>
          <w:szCs w:val="24"/>
          <w:lang w:val="zh-CN"/>
        </w:rPr>
        <w:t xml:space="preserve"> </w:t>
      </w:r>
      <w:r w:rsidR="00E02803" w:rsidRPr="000C0842">
        <w:rPr>
          <w:rFonts w:eastAsia="SimSun" w:hint="eastAsia"/>
          <w:sz w:val="24"/>
          <w:szCs w:val="24"/>
          <w:lang w:val="zh-CN"/>
        </w:rPr>
        <w:t>。</w:t>
      </w:r>
      <w:r w:rsidRPr="000C0842">
        <w:rPr>
          <w:rFonts w:eastAsia="SimSun"/>
          <w:sz w:val="24"/>
          <w:szCs w:val="24"/>
          <w:lang w:val="zh-CN"/>
        </w:rPr>
        <w:t>此外，还就项目</w:t>
      </w:r>
      <w:r w:rsidRPr="000C0842">
        <w:rPr>
          <w:sz w:val="24"/>
          <w:szCs w:val="24"/>
          <w:lang w:val="zh-CN"/>
        </w:rPr>
        <w:t>2</w:t>
      </w:r>
      <w:r w:rsidR="00145B68" w:rsidRPr="000C0842">
        <w:rPr>
          <w:rFonts w:eastAsia="SimSun"/>
          <w:sz w:val="24"/>
          <w:szCs w:val="24"/>
          <w:lang w:val="zh-CN"/>
        </w:rPr>
        <w:t>印发</w:t>
      </w:r>
      <w:r w:rsidRPr="000C0842">
        <w:rPr>
          <w:rFonts w:eastAsia="SimSun"/>
          <w:sz w:val="24"/>
          <w:szCs w:val="24"/>
          <w:lang w:val="zh-CN"/>
        </w:rPr>
        <w:t>了一份关于选举缔约方大会副主席和政府间附属机构主席</w:t>
      </w:r>
      <w:r w:rsidR="00DF247C" w:rsidRPr="000C0842">
        <w:rPr>
          <w:rFonts w:eastAsia="SimSun" w:hint="eastAsia"/>
          <w:sz w:val="24"/>
          <w:szCs w:val="24"/>
          <w:lang w:val="zh-CN"/>
        </w:rPr>
        <w:t>以补空缺</w:t>
      </w:r>
      <w:r w:rsidRPr="000C0842">
        <w:rPr>
          <w:rFonts w:eastAsia="SimSun"/>
          <w:sz w:val="24"/>
          <w:szCs w:val="24"/>
          <w:lang w:val="zh-CN"/>
        </w:rPr>
        <w:t>的程序的资料文件</w:t>
      </w:r>
      <w:r w:rsidR="00516794" w:rsidRPr="000C0842">
        <w:rPr>
          <w:rStyle w:val="FootnoteReference"/>
          <w:sz w:val="24"/>
          <w:szCs w:val="24"/>
          <w:lang w:val="zh-CN"/>
        </w:rPr>
        <w:footnoteReference w:id="519"/>
      </w:r>
      <w:r w:rsidR="00E02803" w:rsidRPr="000C0842">
        <w:rPr>
          <w:rFonts w:eastAsia="SimSun" w:hint="eastAsia"/>
          <w:sz w:val="24"/>
          <w:szCs w:val="24"/>
          <w:lang w:val="zh-CN"/>
        </w:rPr>
        <w:t>。</w:t>
      </w:r>
    </w:p>
    <w:p w14:paraId="33015DB0" w14:textId="77777777" w:rsidR="00BE4712" w:rsidRPr="000C0842" w:rsidRDefault="00BE4712" w:rsidP="006F6EAC">
      <w:pPr>
        <w:keepNext/>
        <w:tabs>
          <w:tab w:val="clear" w:pos="567"/>
          <w:tab w:val="clear" w:pos="1134"/>
          <w:tab w:val="clear" w:pos="1701"/>
          <w:tab w:val="clear" w:pos="2268"/>
        </w:tabs>
        <w:topLinePunct/>
        <w:spacing w:after="120"/>
        <w:ind w:left="490"/>
        <w:rPr>
          <w:rFonts w:eastAsia="KaiTi"/>
          <w:i/>
          <w:sz w:val="24"/>
          <w:szCs w:val="24"/>
        </w:rPr>
      </w:pPr>
      <w:r w:rsidRPr="000C0842">
        <w:rPr>
          <w:rFonts w:eastAsia="KaiTi"/>
          <w:sz w:val="24"/>
          <w:szCs w:val="24"/>
          <w:lang w:val="zh-CN"/>
        </w:rPr>
        <w:t>选举主席</w:t>
      </w:r>
    </w:p>
    <w:p w14:paraId="5673F06B" w14:textId="18DE33F3"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val="zh-CN"/>
        </w:rPr>
      </w:pPr>
      <w:bookmarkStart w:id="143" w:name="_Hlk180476741"/>
      <w:r w:rsidRPr="000C0842">
        <w:rPr>
          <w:rFonts w:eastAsia="SimSun"/>
          <w:sz w:val="24"/>
          <w:szCs w:val="24"/>
          <w:lang w:val="zh-CN"/>
        </w:rPr>
        <w:t>根据缔约方大会会议议事规则第</w:t>
      </w:r>
      <w:r w:rsidRPr="000C0842">
        <w:rPr>
          <w:sz w:val="24"/>
          <w:szCs w:val="24"/>
          <w:lang w:val="zh-CN"/>
        </w:rPr>
        <w:t>21</w:t>
      </w:r>
      <w:r w:rsidRPr="000C0842">
        <w:rPr>
          <w:rFonts w:eastAsia="SimSun"/>
          <w:sz w:val="24"/>
          <w:szCs w:val="24"/>
          <w:lang w:val="zh-CN"/>
        </w:rPr>
        <w:t>条，缔约方大会以鼓掌方式选举哥伦比亚环境</w:t>
      </w:r>
      <w:r w:rsidR="00706419" w:rsidRPr="000C0842">
        <w:rPr>
          <w:rFonts w:eastAsia="SimSun"/>
          <w:sz w:val="24"/>
          <w:szCs w:val="24"/>
          <w:lang w:val="zh-CN"/>
        </w:rPr>
        <w:t>与</w:t>
      </w:r>
      <w:r w:rsidRPr="000C0842">
        <w:rPr>
          <w:rFonts w:eastAsia="SimSun"/>
          <w:sz w:val="24"/>
          <w:szCs w:val="24"/>
          <w:lang w:val="zh-CN"/>
        </w:rPr>
        <w:t>可持续发展部长为第十六届会议主席。</w:t>
      </w:r>
    </w:p>
    <w:bookmarkEnd w:id="143"/>
    <w:p w14:paraId="38DB1DA7" w14:textId="77777777" w:rsidR="00BE4712" w:rsidRPr="000C0842" w:rsidRDefault="00BE4712" w:rsidP="006F6EAC">
      <w:pPr>
        <w:keepNext/>
        <w:tabs>
          <w:tab w:val="clear" w:pos="567"/>
          <w:tab w:val="clear" w:pos="1134"/>
          <w:tab w:val="clear" w:pos="1701"/>
          <w:tab w:val="clear" w:pos="2268"/>
        </w:tabs>
        <w:topLinePunct/>
        <w:spacing w:after="120"/>
        <w:ind w:left="490"/>
        <w:rPr>
          <w:rFonts w:eastAsia="Times New Roman"/>
          <w:b/>
          <w:bCs/>
          <w:kern w:val="22"/>
          <w:sz w:val="24"/>
          <w:szCs w:val="24"/>
        </w:rPr>
      </w:pPr>
      <w:r w:rsidRPr="000C0842">
        <w:rPr>
          <w:rFonts w:eastAsia="KaiTi"/>
          <w:sz w:val="24"/>
          <w:szCs w:val="24"/>
          <w:lang w:val="zh-CN"/>
        </w:rPr>
        <w:t>选举副主席</w:t>
      </w:r>
    </w:p>
    <w:p w14:paraId="490D4EE8" w14:textId="0F35185D"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根据议事规则第</w:t>
      </w:r>
      <w:r w:rsidRPr="000C0842">
        <w:rPr>
          <w:sz w:val="24"/>
          <w:szCs w:val="24"/>
        </w:rPr>
        <w:t>21</w:t>
      </w:r>
      <w:r w:rsidRPr="000C0842">
        <w:rPr>
          <w:rFonts w:eastAsia="SimSun"/>
          <w:sz w:val="24"/>
          <w:szCs w:val="24"/>
        </w:rPr>
        <w:t>条，缔约方大会第十五届会议选举</w:t>
      </w:r>
      <w:r w:rsidRPr="000C0842">
        <w:rPr>
          <w:sz w:val="24"/>
          <w:szCs w:val="24"/>
        </w:rPr>
        <w:t>10</w:t>
      </w:r>
      <w:r w:rsidRPr="000C0842">
        <w:rPr>
          <w:rFonts w:eastAsia="SimSun"/>
          <w:sz w:val="24"/>
          <w:szCs w:val="24"/>
        </w:rPr>
        <w:t>名副主席，任期至第十</w:t>
      </w:r>
      <w:r w:rsidR="00DF247C" w:rsidRPr="000C0842">
        <w:rPr>
          <w:rFonts w:eastAsia="SimSun" w:hint="eastAsia"/>
          <w:sz w:val="24"/>
          <w:szCs w:val="24"/>
        </w:rPr>
        <w:t>六</w:t>
      </w:r>
      <w:r w:rsidRPr="000C0842">
        <w:rPr>
          <w:rFonts w:eastAsia="SimSun"/>
          <w:sz w:val="24"/>
          <w:szCs w:val="24"/>
        </w:rPr>
        <w:t>届会议结束。嗣后有关缔约方更换了一名主席团成员。</w:t>
      </w:r>
      <w:r w:rsidRPr="000C0842">
        <w:rPr>
          <w:rFonts w:eastAsia="SimSun"/>
          <w:sz w:val="24"/>
          <w:szCs w:val="24"/>
          <w:lang w:val="zh-CN"/>
        </w:rPr>
        <w:t>下列代表担任缔约方大会第十</w:t>
      </w:r>
      <w:r w:rsidR="00C31F41" w:rsidRPr="000C0842">
        <w:rPr>
          <w:rFonts w:eastAsia="SimSun"/>
          <w:sz w:val="24"/>
          <w:szCs w:val="24"/>
          <w:lang w:val="zh-CN"/>
        </w:rPr>
        <w:t>六</w:t>
      </w:r>
      <w:r w:rsidRPr="000C0842">
        <w:rPr>
          <w:rFonts w:eastAsia="SimSun"/>
          <w:sz w:val="24"/>
          <w:szCs w:val="24"/>
          <w:lang w:val="zh-CN"/>
        </w:rPr>
        <w:t>届会议的副主席</w:t>
      </w:r>
      <w:r w:rsidRPr="000C0842">
        <w:rPr>
          <w:rFonts w:eastAsia="SimSun"/>
          <w:sz w:val="24"/>
          <w:szCs w:val="24"/>
        </w:rPr>
        <w:t>：</w:t>
      </w:r>
    </w:p>
    <w:p w14:paraId="1E98FFD0"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Khangeziwe Mabuza</w:t>
      </w:r>
      <w:r w:rsidRPr="000C0842">
        <w:rPr>
          <w:rFonts w:eastAsia="SimSun"/>
          <w:sz w:val="24"/>
          <w:szCs w:val="24"/>
          <w:lang w:eastAsia="zh-CN"/>
        </w:rPr>
        <w:t>（</w:t>
      </w:r>
      <w:r w:rsidRPr="000C0842">
        <w:rPr>
          <w:rFonts w:eastAsia="SimSun"/>
          <w:sz w:val="24"/>
          <w:szCs w:val="24"/>
          <w:lang w:val="es-ES" w:eastAsia="zh-CN"/>
        </w:rPr>
        <w:t>斯威士兰</w:t>
      </w:r>
      <w:r w:rsidRPr="000C0842">
        <w:rPr>
          <w:rFonts w:eastAsia="SimSun"/>
          <w:sz w:val="24"/>
          <w:szCs w:val="24"/>
          <w:lang w:eastAsia="zh-CN"/>
        </w:rPr>
        <w:t>）</w:t>
      </w:r>
      <w:r w:rsidRPr="000C0842">
        <w:rPr>
          <w:rStyle w:val="FootnoteReference"/>
          <w:rFonts w:eastAsia="Times New Roman"/>
          <w:sz w:val="24"/>
          <w:szCs w:val="24"/>
          <w:lang w:eastAsia="zh-CN"/>
        </w:rPr>
        <w:footnoteReference w:id="520"/>
      </w:r>
    </w:p>
    <w:p w14:paraId="6E9A86C2"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Abderahmane Zino Izourar</w:t>
      </w:r>
      <w:r w:rsidRPr="000C0842">
        <w:rPr>
          <w:rFonts w:eastAsia="SimSun"/>
          <w:sz w:val="24"/>
          <w:szCs w:val="24"/>
          <w:lang w:eastAsia="zh-CN"/>
        </w:rPr>
        <w:t>（阿尔及利亚）</w:t>
      </w:r>
    </w:p>
    <w:p w14:paraId="3930A328"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Krishneel Nand</w:t>
      </w:r>
      <w:r w:rsidRPr="000C0842">
        <w:rPr>
          <w:rFonts w:eastAsia="SimSun"/>
          <w:sz w:val="24"/>
          <w:szCs w:val="24"/>
          <w:lang w:eastAsia="zh-CN"/>
        </w:rPr>
        <w:t>（斐济）</w:t>
      </w:r>
    </w:p>
    <w:p w14:paraId="19F017EA"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Somaly Chan</w:t>
      </w:r>
      <w:r w:rsidRPr="000C0842">
        <w:rPr>
          <w:rFonts w:eastAsia="SimSun"/>
          <w:sz w:val="24"/>
          <w:szCs w:val="24"/>
          <w:lang w:eastAsia="zh-CN"/>
        </w:rPr>
        <w:t>（柬埔寨）</w:t>
      </w:r>
    </w:p>
    <w:p w14:paraId="2AD23271"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Teona Karchava</w:t>
      </w:r>
      <w:r w:rsidRPr="000C0842">
        <w:rPr>
          <w:rFonts w:eastAsia="SimSun"/>
          <w:sz w:val="24"/>
          <w:szCs w:val="24"/>
          <w:lang w:eastAsia="zh-CN"/>
        </w:rPr>
        <w:t>（格鲁吉亚）</w:t>
      </w:r>
    </w:p>
    <w:p w14:paraId="5CE5E8FF"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Angela Lozan</w:t>
      </w:r>
      <w:r w:rsidRPr="000C0842">
        <w:rPr>
          <w:rFonts w:eastAsia="SimSun"/>
          <w:sz w:val="24"/>
          <w:szCs w:val="24"/>
          <w:lang w:eastAsia="zh-CN"/>
        </w:rPr>
        <w:t>（摩尔多瓦共和国）</w:t>
      </w:r>
    </w:p>
    <w:p w14:paraId="7B287791"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Gillian Guthrie</w:t>
      </w:r>
      <w:r w:rsidRPr="000C0842">
        <w:rPr>
          <w:rFonts w:eastAsia="SimSun"/>
          <w:sz w:val="24"/>
          <w:szCs w:val="24"/>
          <w:lang w:eastAsia="zh-CN"/>
        </w:rPr>
        <w:t>（牙买加）</w:t>
      </w:r>
    </w:p>
    <w:p w14:paraId="5A7FFC52"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María Teresa Becerra Ramírez</w:t>
      </w:r>
      <w:r w:rsidRPr="000C0842">
        <w:rPr>
          <w:rFonts w:eastAsia="SimSun"/>
          <w:sz w:val="24"/>
          <w:szCs w:val="24"/>
          <w:lang w:eastAsia="zh-CN"/>
        </w:rPr>
        <w:t>（</w:t>
      </w:r>
      <w:r w:rsidRPr="000C0842">
        <w:rPr>
          <w:rFonts w:eastAsia="SimSun"/>
          <w:sz w:val="24"/>
          <w:szCs w:val="24"/>
          <w:lang w:val="es-ES" w:eastAsia="zh-CN"/>
        </w:rPr>
        <w:t>哥伦比亚</w:t>
      </w:r>
      <w:r w:rsidRPr="000C0842">
        <w:rPr>
          <w:rFonts w:eastAsia="SimSun"/>
          <w:sz w:val="24"/>
          <w:szCs w:val="24"/>
          <w:lang w:eastAsia="zh-CN"/>
        </w:rPr>
        <w:t>）</w:t>
      </w:r>
    </w:p>
    <w:p w14:paraId="7AFFBF5C"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Eric Schauls</w:t>
      </w:r>
      <w:r w:rsidRPr="000C0842">
        <w:rPr>
          <w:rFonts w:eastAsia="SimSun"/>
          <w:sz w:val="24"/>
          <w:szCs w:val="24"/>
          <w:lang w:eastAsia="zh-CN"/>
        </w:rPr>
        <w:t>（卢森堡）</w:t>
      </w:r>
    </w:p>
    <w:p w14:paraId="405D2A01" w14:textId="77777777" w:rsidR="00BE4712" w:rsidRPr="000C0842" w:rsidRDefault="00BE4712" w:rsidP="009B73F7">
      <w:pPr>
        <w:pStyle w:val="CBDNormalNumber"/>
        <w:tabs>
          <w:tab w:val="clear" w:pos="567"/>
          <w:tab w:val="clear" w:pos="1134"/>
          <w:tab w:val="clear" w:pos="1701"/>
          <w:tab w:val="clear" w:pos="2268"/>
        </w:tabs>
        <w:ind w:left="979"/>
        <w:rPr>
          <w:rFonts w:eastAsia="Times New Roman"/>
          <w:sz w:val="24"/>
          <w:szCs w:val="24"/>
          <w:lang w:eastAsia="zh-CN"/>
        </w:rPr>
      </w:pPr>
      <w:r w:rsidRPr="000C0842">
        <w:rPr>
          <w:rFonts w:eastAsia="Times New Roman"/>
          <w:sz w:val="24"/>
          <w:szCs w:val="24"/>
          <w:lang w:eastAsia="zh-CN"/>
        </w:rPr>
        <w:t>Norbert Bärlocher</w:t>
      </w:r>
      <w:r w:rsidRPr="000C0842">
        <w:rPr>
          <w:rFonts w:eastAsia="SimSun"/>
          <w:sz w:val="24"/>
          <w:szCs w:val="24"/>
          <w:lang w:eastAsia="zh-CN"/>
        </w:rPr>
        <w:t>（瑞士）</w:t>
      </w:r>
    </w:p>
    <w:p w14:paraId="51212C53" w14:textId="651CC17E"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缔约方大会根据主席团的提议，决定由</w:t>
      </w:r>
      <w:r w:rsidRPr="000C0842">
        <w:rPr>
          <w:sz w:val="24"/>
          <w:szCs w:val="24"/>
        </w:rPr>
        <w:t>Chan</w:t>
      </w:r>
      <w:r w:rsidRPr="000C0842">
        <w:rPr>
          <w:rFonts w:eastAsia="SimSun"/>
          <w:sz w:val="24"/>
          <w:szCs w:val="24"/>
        </w:rPr>
        <w:t>女士担任本届会议的报告员。</w:t>
      </w:r>
    </w:p>
    <w:p w14:paraId="00AE3C54" w14:textId="20F5609E" w:rsidR="00BE4712" w:rsidRPr="000C0842" w:rsidRDefault="006A71A9" w:rsidP="00D93575">
      <w:pPr>
        <w:pStyle w:val="ListParagraph"/>
        <w:tabs>
          <w:tab w:val="clear" w:pos="567"/>
          <w:tab w:val="clear" w:pos="1134"/>
          <w:tab w:val="clear" w:pos="1701"/>
          <w:tab w:val="clear" w:pos="2268"/>
        </w:tabs>
        <w:spacing w:before="120" w:after="120"/>
        <w:ind w:left="490" w:firstLine="0"/>
        <w:contextualSpacing w:val="0"/>
        <w:rPr>
          <w:rFonts w:eastAsia="SimSun"/>
          <w:szCs w:val="24"/>
        </w:rPr>
      </w:pPr>
      <w:r w:rsidRPr="000C0842">
        <w:rPr>
          <w:rFonts w:eastAsia="SimSun" w:hint="eastAsia"/>
          <w:sz w:val="24"/>
          <w:szCs w:val="24"/>
          <w:lang w:val="zh-CN"/>
        </w:rPr>
        <w:t>2024</w:t>
      </w:r>
      <w:r w:rsidRPr="000C0842">
        <w:rPr>
          <w:rFonts w:eastAsia="SimSun" w:hint="eastAsia"/>
          <w:sz w:val="24"/>
          <w:szCs w:val="24"/>
          <w:lang w:val="zh-CN"/>
        </w:rPr>
        <w:t>年</w:t>
      </w:r>
      <w:r w:rsidR="00C31F41" w:rsidRPr="000C0842">
        <w:rPr>
          <w:rFonts w:eastAsia="SimSun"/>
          <w:sz w:val="24"/>
          <w:szCs w:val="24"/>
          <w:lang w:val="zh-CN"/>
        </w:rPr>
        <w:t>10</w:t>
      </w:r>
      <w:r w:rsidR="00C31F41" w:rsidRPr="000C0842">
        <w:rPr>
          <w:rFonts w:eastAsia="SimSun"/>
          <w:sz w:val="24"/>
          <w:szCs w:val="24"/>
          <w:lang w:val="zh-CN"/>
        </w:rPr>
        <w:t>月</w:t>
      </w:r>
      <w:r w:rsidR="00C31F41" w:rsidRPr="000C0842">
        <w:rPr>
          <w:rFonts w:eastAsia="SimSun"/>
          <w:sz w:val="24"/>
          <w:szCs w:val="24"/>
          <w:lang w:val="zh-CN"/>
        </w:rPr>
        <w:t>30</w:t>
      </w:r>
      <w:r w:rsidR="00C31F41" w:rsidRPr="000C0842">
        <w:rPr>
          <w:rFonts w:eastAsia="SimSun"/>
          <w:sz w:val="24"/>
          <w:szCs w:val="24"/>
          <w:lang w:val="zh-CN"/>
        </w:rPr>
        <w:t>日，</w:t>
      </w:r>
      <w:r w:rsidRPr="000C0842">
        <w:rPr>
          <w:rFonts w:eastAsia="SimSun"/>
          <w:sz w:val="24"/>
          <w:szCs w:val="24"/>
          <w:lang w:val="zh-CN"/>
        </w:rPr>
        <w:t>缔约方大会</w:t>
      </w:r>
      <w:r w:rsidR="00C31F41" w:rsidRPr="000C0842">
        <w:rPr>
          <w:rFonts w:eastAsia="SimSun"/>
          <w:sz w:val="24"/>
          <w:szCs w:val="24"/>
          <w:lang w:val="zh-CN"/>
        </w:rPr>
        <w:t>第</w:t>
      </w:r>
      <w:r w:rsidR="00C31F41" w:rsidRPr="000C0842">
        <w:rPr>
          <w:rFonts w:eastAsia="SimSun"/>
          <w:sz w:val="24"/>
          <w:szCs w:val="24"/>
          <w:lang w:val="zh-CN"/>
        </w:rPr>
        <w:t>3</w:t>
      </w:r>
      <w:r w:rsidR="00C31F41" w:rsidRPr="000C0842">
        <w:rPr>
          <w:rFonts w:eastAsia="SimSun"/>
          <w:sz w:val="24"/>
          <w:szCs w:val="24"/>
          <w:lang w:val="zh-CN"/>
        </w:rPr>
        <w:t>场全体会议</w:t>
      </w:r>
      <w:r w:rsidR="00BE4712" w:rsidRPr="000C0842">
        <w:rPr>
          <w:rFonts w:eastAsia="SimSun"/>
          <w:sz w:val="24"/>
          <w:szCs w:val="24"/>
          <w:lang w:val="zh-CN"/>
        </w:rPr>
        <w:t>根据议事规则第</w:t>
      </w:r>
      <w:r w:rsidR="00BE4712" w:rsidRPr="000C0842">
        <w:rPr>
          <w:rFonts w:eastAsia="SimSun"/>
          <w:sz w:val="24"/>
          <w:szCs w:val="24"/>
          <w:lang w:val="zh-CN"/>
        </w:rPr>
        <w:t>21</w:t>
      </w:r>
      <w:r w:rsidR="00BE4712" w:rsidRPr="000C0842">
        <w:rPr>
          <w:rFonts w:eastAsia="SimSun"/>
          <w:sz w:val="24"/>
          <w:szCs w:val="24"/>
          <w:lang w:val="zh-CN"/>
        </w:rPr>
        <w:t>条选出以下代表担任主席团成员，任期自</w:t>
      </w:r>
      <w:r w:rsidR="00C31F41" w:rsidRPr="000C0842">
        <w:rPr>
          <w:rFonts w:eastAsia="SimSun"/>
          <w:sz w:val="24"/>
          <w:szCs w:val="24"/>
          <w:lang w:val="zh-CN"/>
        </w:rPr>
        <w:t>第十六</w:t>
      </w:r>
      <w:r w:rsidR="00145B68" w:rsidRPr="000C0842">
        <w:rPr>
          <w:rFonts w:eastAsia="SimSun"/>
          <w:sz w:val="24"/>
          <w:szCs w:val="24"/>
          <w:lang w:val="zh-CN"/>
        </w:rPr>
        <w:t>届</w:t>
      </w:r>
      <w:r w:rsidR="00BE4712" w:rsidRPr="000C0842">
        <w:rPr>
          <w:rFonts w:eastAsia="SimSun"/>
          <w:sz w:val="24"/>
          <w:szCs w:val="24"/>
          <w:lang w:val="zh-CN"/>
        </w:rPr>
        <w:t>会议闭幕时开始：</w:t>
      </w:r>
    </w:p>
    <w:p w14:paraId="374D23A1"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eastAsia="zh-CN"/>
        </w:rPr>
        <w:t>Joséphine Thérèse Babette Beyala Epse Eloundou</w:t>
      </w:r>
      <w:r w:rsidRPr="000C0842">
        <w:rPr>
          <w:rFonts w:eastAsia="SimSun"/>
          <w:sz w:val="24"/>
          <w:szCs w:val="24"/>
          <w:lang w:eastAsia="zh-CN"/>
        </w:rPr>
        <w:t>（</w:t>
      </w:r>
      <w:r w:rsidRPr="000C0842">
        <w:rPr>
          <w:rFonts w:eastAsia="SimSun"/>
          <w:sz w:val="24"/>
          <w:szCs w:val="24"/>
          <w:lang w:val="zh-CN" w:eastAsia="zh-CN"/>
        </w:rPr>
        <w:t>喀麦隆</w:t>
      </w:r>
      <w:r w:rsidRPr="000C0842">
        <w:rPr>
          <w:rFonts w:eastAsia="SimSun"/>
          <w:sz w:val="24"/>
          <w:szCs w:val="24"/>
          <w:lang w:eastAsia="zh-CN"/>
        </w:rPr>
        <w:t>）</w:t>
      </w:r>
    </w:p>
    <w:p w14:paraId="255CAB69"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Jonas Komi Anthé</w:t>
      </w:r>
      <w:r w:rsidRPr="000C0842">
        <w:rPr>
          <w:rFonts w:eastAsia="SimSun"/>
          <w:sz w:val="24"/>
          <w:szCs w:val="24"/>
          <w:lang w:val="pt-BR" w:eastAsia="zh-CN"/>
        </w:rPr>
        <w:t>（</w:t>
      </w:r>
      <w:r w:rsidRPr="000C0842">
        <w:rPr>
          <w:rFonts w:eastAsia="SimSun"/>
          <w:sz w:val="24"/>
          <w:szCs w:val="24"/>
          <w:lang w:val="zh-CN" w:eastAsia="zh-CN"/>
        </w:rPr>
        <w:t>多哥</w:t>
      </w:r>
      <w:r w:rsidRPr="000C0842">
        <w:rPr>
          <w:rFonts w:eastAsia="SimSun"/>
          <w:sz w:val="24"/>
          <w:szCs w:val="24"/>
          <w:lang w:val="pt-BR" w:eastAsia="zh-CN"/>
        </w:rPr>
        <w:t>）</w:t>
      </w:r>
    </w:p>
    <w:p w14:paraId="6F28AADE"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Bilal Qteshat</w:t>
      </w:r>
      <w:r w:rsidRPr="000C0842">
        <w:rPr>
          <w:rFonts w:eastAsia="SimSun"/>
          <w:sz w:val="24"/>
          <w:szCs w:val="24"/>
          <w:lang w:val="pt-BR" w:eastAsia="zh-CN"/>
        </w:rPr>
        <w:t>（</w:t>
      </w:r>
      <w:r w:rsidRPr="000C0842">
        <w:rPr>
          <w:rFonts w:eastAsia="SimSun"/>
          <w:sz w:val="24"/>
          <w:szCs w:val="24"/>
          <w:lang w:val="zh-CN" w:eastAsia="zh-CN"/>
        </w:rPr>
        <w:t>约旦</w:t>
      </w:r>
      <w:r w:rsidRPr="000C0842">
        <w:rPr>
          <w:rFonts w:eastAsia="SimSun"/>
          <w:sz w:val="24"/>
          <w:szCs w:val="24"/>
          <w:lang w:val="pt-BR" w:eastAsia="zh-CN"/>
        </w:rPr>
        <w:t>）</w:t>
      </w:r>
    </w:p>
    <w:p w14:paraId="062FEAAE"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Illam Atho Mohamed</w:t>
      </w:r>
      <w:r w:rsidRPr="000C0842">
        <w:rPr>
          <w:rFonts w:eastAsia="SimSun"/>
          <w:sz w:val="24"/>
          <w:szCs w:val="24"/>
          <w:lang w:val="pt-BR" w:eastAsia="zh-CN"/>
        </w:rPr>
        <w:t>（</w:t>
      </w:r>
      <w:r w:rsidRPr="000C0842">
        <w:rPr>
          <w:rFonts w:eastAsia="SimSun"/>
          <w:sz w:val="24"/>
          <w:szCs w:val="24"/>
          <w:lang w:val="zh-CN" w:eastAsia="zh-CN"/>
        </w:rPr>
        <w:t>马尔代夫</w:t>
      </w:r>
      <w:r w:rsidRPr="000C0842">
        <w:rPr>
          <w:rFonts w:eastAsia="SimSun"/>
          <w:sz w:val="24"/>
          <w:szCs w:val="24"/>
          <w:lang w:val="pt-BR" w:eastAsia="zh-CN"/>
        </w:rPr>
        <w:t>）</w:t>
      </w:r>
    </w:p>
    <w:p w14:paraId="774ADB91"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Adla Kahrić</w:t>
      </w:r>
      <w:r w:rsidRPr="000C0842">
        <w:rPr>
          <w:rFonts w:eastAsia="SimSun"/>
          <w:sz w:val="24"/>
          <w:szCs w:val="24"/>
          <w:lang w:val="pt-BR" w:eastAsia="zh-CN"/>
        </w:rPr>
        <w:t>（</w:t>
      </w:r>
      <w:r w:rsidRPr="000C0842">
        <w:rPr>
          <w:rFonts w:eastAsia="SimSun"/>
          <w:sz w:val="24"/>
          <w:szCs w:val="24"/>
          <w:lang w:val="zh-CN" w:eastAsia="zh-CN"/>
        </w:rPr>
        <w:t>波斯尼亚和黑塞哥维那</w:t>
      </w:r>
      <w:r w:rsidRPr="000C0842">
        <w:rPr>
          <w:rFonts w:eastAsia="SimSun"/>
          <w:sz w:val="24"/>
          <w:szCs w:val="24"/>
          <w:lang w:val="pt-BR" w:eastAsia="zh-CN"/>
        </w:rPr>
        <w:t>）</w:t>
      </w:r>
    </w:p>
    <w:p w14:paraId="0DD63906"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Jakhongir Talipov</w:t>
      </w:r>
      <w:r w:rsidRPr="000C0842">
        <w:rPr>
          <w:rFonts w:eastAsia="SimSun"/>
          <w:sz w:val="24"/>
          <w:szCs w:val="24"/>
          <w:lang w:val="pt-BR" w:eastAsia="zh-CN"/>
        </w:rPr>
        <w:t>（</w:t>
      </w:r>
      <w:r w:rsidRPr="000C0842">
        <w:rPr>
          <w:rFonts w:eastAsia="SimSun"/>
          <w:sz w:val="24"/>
          <w:szCs w:val="24"/>
          <w:lang w:val="zh-CN" w:eastAsia="zh-CN"/>
        </w:rPr>
        <w:t>乌兹别克斯坦</w:t>
      </w:r>
      <w:r w:rsidRPr="000C0842">
        <w:rPr>
          <w:rFonts w:eastAsia="SimSun"/>
          <w:sz w:val="24"/>
          <w:szCs w:val="24"/>
          <w:lang w:val="pt-BR" w:eastAsia="zh-CN"/>
        </w:rPr>
        <w:t>）</w:t>
      </w:r>
    </w:p>
    <w:p w14:paraId="6E564BA8"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Corina Sarli</w:t>
      </w:r>
      <w:r w:rsidRPr="000C0842">
        <w:rPr>
          <w:rFonts w:eastAsia="SimSun"/>
          <w:sz w:val="24"/>
          <w:szCs w:val="24"/>
          <w:lang w:val="pt-BR" w:eastAsia="zh-CN"/>
        </w:rPr>
        <w:t>（</w:t>
      </w:r>
      <w:r w:rsidRPr="000C0842">
        <w:rPr>
          <w:rFonts w:eastAsia="SimSun"/>
          <w:sz w:val="24"/>
          <w:szCs w:val="24"/>
          <w:lang w:val="zh-CN" w:eastAsia="zh-CN"/>
        </w:rPr>
        <w:t>阿根廷</w:t>
      </w:r>
      <w:r w:rsidRPr="000C0842">
        <w:rPr>
          <w:rFonts w:eastAsia="SimSun"/>
          <w:sz w:val="24"/>
          <w:szCs w:val="24"/>
          <w:lang w:val="pt-BR" w:eastAsia="zh-CN"/>
        </w:rPr>
        <w:t>）</w:t>
      </w:r>
    </w:p>
    <w:p w14:paraId="7FA159DF"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Gillian Guthrie</w:t>
      </w:r>
      <w:r w:rsidRPr="000C0842">
        <w:rPr>
          <w:rFonts w:eastAsia="SimSun"/>
          <w:sz w:val="24"/>
          <w:szCs w:val="24"/>
          <w:lang w:val="pt-BR" w:eastAsia="zh-CN"/>
        </w:rPr>
        <w:t>（</w:t>
      </w:r>
      <w:r w:rsidRPr="000C0842">
        <w:rPr>
          <w:rFonts w:eastAsia="SimSun"/>
          <w:sz w:val="24"/>
          <w:szCs w:val="24"/>
          <w:lang w:val="zh-CN" w:eastAsia="zh-CN"/>
        </w:rPr>
        <w:t>牙买加</w:t>
      </w:r>
      <w:r w:rsidRPr="000C0842">
        <w:rPr>
          <w:rFonts w:eastAsia="SimSun"/>
          <w:sz w:val="24"/>
          <w:szCs w:val="24"/>
          <w:lang w:val="pt-BR" w:eastAsia="zh-CN"/>
        </w:rPr>
        <w:t>）</w:t>
      </w:r>
    </w:p>
    <w:p w14:paraId="6C01CB4D"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szCs w:val="24"/>
          <w:lang w:val="pt-BR" w:eastAsia="zh-CN"/>
        </w:rPr>
      </w:pPr>
      <w:r w:rsidRPr="000C0842">
        <w:rPr>
          <w:rFonts w:eastAsia="SimSun"/>
          <w:sz w:val="24"/>
          <w:szCs w:val="24"/>
          <w:lang w:val="pt-BR" w:eastAsia="zh-CN"/>
        </w:rPr>
        <w:t>Gaute Hanssen</w:t>
      </w:r>
      <w:r w:rsidRPr="000C0842">
        <w:rPr>
          <w:rFonts w:eastAsia="SimSun"/>
          <w:sz w:val="24"/>
          <w:szCs w:val="24"/>
          <w:lang w:val="pt-BR" w:eastAsia="zh-CN"/>
        </w:rPr>
        <w:t>（</w:t>
      </w:r>
      <w:r w:rsidRPr="000C0842">
        <w:rPr>
          <w:rFonts w:eastAsia="SimSun"/>
          <w:sz w:val="24"/>
          <w:szCs w:val="24"/>
          <w:lang w:val="zh-CN" w:eastAsia="zh-CN"/>
        </w:rPr>
        <w:t>挪威</w:t>
      </w:r>
      <w:r w:rsidRPr="000C0842">
        <w:rPr>
          <w:rFonts w:eastAsia="SimSun"/>
          <w:sz w:val="24"/>
          <w:szCs w:val="24"/>
          <w:lang w:val="pt-BR" w:eastAsia="zh-CN"/>
        </w:rPr>
        <w:t>）</w:t>
      </w:r>
    </w:p>
    <w:p w14:paraId="1BE13C97" w14:textId="77777777" w:rsidR="00BE4712" w:rsidRPr="000C0842"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0C0842">
        <w:rPr>
          <w:rFonts w:eastAsia="SimSun"/>
          <w:sz w:val="24"/>
          <w:szCs w:val="24"/>
          <w:lang w:val="pt-BR" w:eastAsia="zh-CN"/>
        </w:rPr>
        <w:t>Eric Schauls</w:t>
      </w:r>
      <w:r w:rsidRPr="000C0842">
        <w:rPr>
          <w:rFonts w:eastAsia="SimSun"/>
          <w:sz w:val="24"/>
          <w:szCs w:val="24"/>
          <w:lang w:val="pt-BR" w:eastAsia="zh-CN"/>
        </w:rPr>
        <w:t>（</w:t>
      </w:r>
      <w:r w:rsidRPr="000C0842">
        <w:rPr>
          <w:rFonts w:eastAsia="SimSun"/>
          <w:sz w:val="24"/>
          <w:szCs w:val="24"/>
          <w:lang w:val="zh-CN" w:eastAsia="zh-CN"/>
        </w:rPr>
        <w:t>卢森堡</w:t>
      </w:r>
      <w:r w:rsidRPr="000C0842">
        <w:rPr>
          <w:rFonts w:eastAsia="SimSun"/>
          <w:sz w:val="24"/>
          <w:szCs w:val="24"/>
          <w:lang w:val="pt-BR" w:eastAsia="zh-CN"/>
        </w:rPr>
        <w:t>）</w:t>
      </w:r>
    </w:p>
    <w:p w14:paraId="2ADE2AD3" w14:textId="1F579709" w:rsidR="00BE4712" w:rsidRPr="000C0842" w:rsidRDefault="00BE4712" w:rsidP="00B33106">
      <w:pPr>
        <w:keepNext/>
        <w:tabs>
          <w:tab w:val="clear" w:pos="567"/>
          <w:tab w:val="clear" w:pos="1134"/>
          <w:tab w:val="clear" w:pos="1701"/>
          <w:tab w:val="clear" w:pos="2268"/>
        </w:tabs>
        <w:topLinePunct/>
        <w:spacing w:after="120"/>
        <w:ind w:left="490"/>
        <w:rPr>
          <w:rFonts w:eastAsia="Times New Roman"/>
          <w:sz w:val="24"/>
          <w:szCs w:val="24"/>
          <w:lang w:val="pt-BR"/>
        </w:rPr>
      </w:pPr>
      <w:r w:rsidRPr="000C0842">
        <w:rPr>
          <w:rFonts w:eastAsia="KaiTi"/>
          <w:sz w:val="24"/>
          <w:szCs w:val="24"/>
          <w:lang w:val="zh-CN"/>
        </w:rPr>
        <w:t>选举</w:t>
      </w:r>
      <w:r w:rsidR="0098736A" w:rsidRPr="000C0842">
        <w:rPr>
          <w:rFonts w:eastAsia="KaiTi"/>
          <w:sz w:val="24"/>
          <w:szCs w:val="24"/>
          <w:lang w:val="zh-CN"/>
        </w:rPr>
        <w:t>各</w:t>
      </w:r>
      <w:r w:rsidRPr="000C0842">
        <w:rPr>
          <w:rFonts w:eastAsia="KaiTi"/>
          <w:sz w:val="24"/>
          <w:szCs w:val="24"/>
          <w:lang w:val="zh-CN"/>
        </w:rPr>
        <w:t>附属机构和其他会议的主席团成员</w:t>
      </w:r>
    </w:p>
    <w:p w14:paraId="281D9C72" w14:textId="707B3407" w:rsidR="00BE4712" w:rsidRPr="000C0842" w:rsidRDefault="006A71A9"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hint="eastAsia"/>
          <w:sz w:val="24"/>
          <w:szCs w:val="24"/>
        </w:rPr>
        <w:t>2024</w:t>
      </w:r>
      <w:r w:rsidRPr="000C0842">
        <w:rPr>
          <w:rFonts w:hint="eastAsia"/>
          <w:sz w:val="24"/>
          <w:szCs w:val="24"/>
        </w:rPr>
        <w:t>年</w:t>
      </w:r>
      <w:r w:rsidR="00BE4712" w:rsidRPr="000C0842">
        <w:rPr>
          <w:sz w:val="24"/>
          <w:szCs w:val="24"/>
        </w:rPr>
        <w:t>10</w:t>
      </w:r>
      <w:r w:rsidR="00BE4712" w:rsidRPr="000C0842">
        <w:rPr>
          <w:rFonts w:eastAsia="SimSun"/>
          <w:sz w:val="24"/>
          <w:szCs w:val="24"/>
        </w:rPr>
        <w:t>月</w:t>
      </w:r>
      <w:r w:rsidR="00BE4712" w:rsidRPr="000C0842">
        <w:rPr>
          <w:sz w:val="24"/>
          <w:szCs w:val="24"/>
        </w:rPr>
        <w:t>25</w:t>
      </w:r>
      <w:r w:rsidR="00BE4712" w:rsidRPr="000C0842">
        <w:rPr>
          <w:rFonts w:eastAsia="SimSun"/>
          <w:sz w:val="24"/>
          <w:szCs w:val="24"/>
        </w:rPr>
        <w:t>日缔约方大会第</w:t>
      </w:r>
      <w:r w:rsidR="00BE4712" w:rsidRPr="000C0842">
        <w:rPr>
          <w:sz w:val="24"/>
          <w:szCs w:val="24"/>
        </w:rPr>
        <w:t>2</w:t>
      </w:r>
      <w:r w:rsidR="00BE4712" w:rsidRPr="000C0842">
        <w:rPr>
          <w:rFonts w:eastAsia="SimSun"/>
          <w:sz w:val="24"/>
          <w:szCs w:val="24"/>
        </w:rPr>
        <w:t>场全体会议以鼓掌方式选举</w:t>
      </w:r>
      <w:r w:rsidR="00C31F41" w:rsidRPr="000C0842">
        <w:rPr>
          <w:rFonts w:eastAsia="SimSun"/>
          <w:sz w:val="24"/>
          <w:szCs w:val="24"/>
        </w:rPr>
        <w:t>Jean Bruno Mikissa</w:t>
      </w:r>
      <w:r w:rsidR="00BE4712" w:rsidRPr="000C0842">
        <w:rPr>
          <w:rFonts w:eastAsia="SimSun"/>
          <w:sz w:val="24"/>
          <w:szCs w:val="24"/>
        </w:rPr>
        <w:t>（加蓬）为科学、技术和工艺咨询附属机构主席，任期至缔约方</w:t>
      </w:r>
      <w:r w:rsidR="00145B68" w:rsidRPr="000C0842">
        <w:rPr>
          <w:rFonts w:eastAsia="SimSun"/>
          <w:sz w:val="24"/>
          <w:szCs w:val="24"/>
        </w:rPr>
        <w:t>大会</w:t>
      </w:r>
      <w:r w:rsidR="00BE4712" w:rsidRPr="000C0842">
        <w:rPr>
          <w:rFonts w:eastAsia="SimSun"/>
          <w:sz w:val="24"/>
          <w:szCs w:val="24"/>
        </w:rPr>
        <w:t>第十七</w:t>
      </w:r>
      <w:r w:rsidR="00145B68" w:rsidRPr="000C0842">
        <w:rPr>
          <w:rFonts w:eastAsia="SimSun"/>
          <w:sz w:val="24"/>
          <w:szCs w:val="24"/>
        </w:rPr>
        <w:t>届</w:t>
      </w:r>
      <w:r w:rsidR="00BE4712" w:rsidRPr="000C0842">
        <w:rPr>
          <w:rFonts w:eastAsia="SimSun"/>
          <w:sz w:val="24"/>
          <w:szCs w:val="24"/>
        </w:rPr>
        <w:t>会议。</w:t>
      </w:r>
    </w:p>
    <w:p w14:paraId="1307994F" w14:textId="5EB7C1D3"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w:t>
      </w:r>
      <w:r w:rsidR="003F0FB0" w:rsidRPr="000C0842">
        <w:rPr>
          <w:rFonts w:eastAsia="SimSun"/>
          <w:sz w:val="24"/>
          <w:szCs w:val="24"/>
        </w:rPr>
        <w:t>在这场</w:t>
      </w:r>
      <w:r w:rsidR="00AC0179" w:rsidRPr="000C0842">
        <w:rPr>
          <w:rFonts w:eastAsia="SimSun" w:hint="eastAsia"/>
          <w:sz w:val="24"/>
          <w:szCs w:val="24"/>
        </w:rPr>
        <w:t>全体</w:t>
      </w:r>
      <w:r w:rsidRPr="000C0842">
        <w:rPr>
          <w:rFonts w:eastAsia="SimSun"/>
          <w:sz w:val="24"/>
          <w:szCs w:val="24"/>
        </w:rPr>
        <w:t>会议还以鼓掌方式选举</w:t>
      </w:r>
      <w:r w:rsidRPr="000C0842">
        <w:rPr>
          <w:sz w:val="24"/>
          <w:szCs w:val="24"/>
        </w:rPr>
        <w:t>Clarissa Souza Della Nina</w:t>
      </w:r>
      <w:r w:rsidRPr="000C0842">
        <w:rPr>
          <w:rFonts w:eastAsia="SimSun"/>
          <w:sz w:val="24"/>
          <w:szCs w:val="24"/>
        </w:rPr>
        <w:t>（巴西）为执行问题附属机构主席，任期至缔约方</w:t>
      </w:r>
      <w:r w:rsidR="00145B68" w:rsidRPr="000C0842">
        <w:rPr>
          <w:rFonts w:eastAsia="SimSun"/>
          <w:sz w:val="24"/>
          <w:szCs w:val="24"/>
        </w:rPr>
        <w:t>大会</w:t>
      </w:r>
      <w:r w:rsidRPr="000C0842">
        <w:rPr>
          <w:rFonts w:eastAsia="SimSun"/>
          <w:sz w:val="24"/>
          <w:szCs w:val="24"/>
        </w:rPr>
        <w:t>第十七</w:t>
      </w:r>
      <w:r w:rsidR="00145B68" w:rsidRPr="000C0842">
        <w:rPr>
          <w:rFonts w:eastAsia="SimSun"/>
          <w:sz w:val="24"/>
          <w:szCs w:val="24"/>
        </w:rPr>
        <w:t>届</w:t>
      </w:r>
      <w:r w:rsidRPr="000C0842">
        <w:rPr>
          <w:rFonts w:eastAsia="SimSun"/>
          <w:sz w:val="24"/>
          <w:szCs w:val="24"/>
        </w:rPr>
        <w:t>会议。</w:t>
      </w:r>
    </w:p>
    <w:p w14:paraId="259121A6" w14:textId="77777777" w:rsidR="00BE4712" w:rsidRPr="000C0842" w:rsidRDefault="00BE4712" w:rsidP="00B33106">
      <w:pPr>
        <w:keepNext/>
        <w:tabs>
          <w:tab w:val="clear" w:pos="567"/>
          <w:tab w:val="clear" w:pos="1134"/>
          <w:tab w:val="clear" w:pos="1701"/>
          <w:tab w:val="clear" w:pos="2268"/>
        </w:tabs>
        <w:topLinePunct/>
        <w:spacing w:after="120"/>
        <w:ind w:left="490"/>
        <w:rPr>
          <w:rFonts w:eastAsia="Times New Roman"/>
          <w:sz w:val="24"/>
          <w:szCs w:val="24"/>
        </w:rPr>
      </w:pPr>
      <w:r w:rsidRPr="000C0842">
        <w:rPr>
          <w:rFonts w:eastAsia="KaiTi"/>
          <w:sz w:val="24"/>
          <w:szCs w:val="24"/>
          <w:lang w:val="zh-CN"/>
        </w:rPr>
        <w:t>通过议程</w:t>
      </w:r>
    </w:p>
    <w:p w14:paraId="4BC4AEC0" w14:textId="3BAB5FBA"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b/>
          <w:bCs/>
          <w:sz w:val="24"/>
          <w:szCs w:val="24"/>
        </w:rPr>
      </w:pPr>
      <w:r w:rsidRPr="000C0842">
        <w:rPr>
          <w:rFonts w:eastAsia="SimSun"/>
          <w:sz w:val="24"/>
          <w:szCs w:val="24"/>
        </w:rPr>
        <w:t>缔约方大会第</w:t>
      </w:r>
      <w:r w:rsidRPr="000C0842">
        <w:rPr>
          <w:sz w:val="24"/>
          <w:szCs w:val="24"/>
        </w:rPr>
        <w:t>1</w:t>
      </w:r>
      <w:r w:rsidRPr="000C0842">
        <w:rPr>
          <w:rFonts w:eastAsia="SimSun"/>
          <w:sz w:val="24"/>
          <w:szCs w:val="24"/>
        </w:rPr>
        <w:t>场全体会议以</w:t>
      </w:r>
      <w:r w:rsidR="00405EC3" w:rsidRPr="000C0842">
        <w:rPr>
          <w:rFonts w:eastAsia="SimSun" w:hint="eastAsia"/>
          <w:sz w:val="24"/>
          <w:szCs w:val="24"/>
        </w:rPr>
        <w:t>秘书处</w:t>
      </w:r>
      <w:r w:rsidRPr="000C0842">
        <w:rPr>
          <w:rFonts w:eastAsia="SimSun"/>
          <w:sz w:val="24"/>
          <w:szCs w:val="24"/>
        </w:rPr>
        <w:t>与主席团协商编写的临时议程为基础通过了以下议程：</w:t>
      </w:r>
    </w:p>
    <w:p w14:paraId="5370E699"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会议开幕。</w:t>
      </w:r>
    </w:p>
    <w:p w14:paraId="2D4B562C"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组织事项。</w:t>
      </w:r>
    </w:p>
    <w:p w14:paraId="3E35A09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关于缔约方大会第十六届会议代表的全权证书的报告。</w:t>
      </w:r>
    </w:p>
    <w:p w14:paraId="2A5F7D94"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未决问题。</w:t>
      </w:r>
    </w:p>
    <w:p w14:paraId="2C6168B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缔约方大会今后会议的日期和地点。</w:t>
      </w:r>
    </w:p>
    <w:p w14:paraId="2FFBE990"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闭会期间会议和区域筹备会议的报告。</w:t>
      </w:r>
    </w:p>
    <w:p w14:paraId="6E3BF70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《公约》的行政管理和信托基金的预算。</w:t>
      </w:r>
    </w:p>
    <w:p w14:paraId="0D81A157"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缔约方根据《昆明</w:t>
      </w:r>
      <w:r w:rsidRPr="000C0842">
        <w:rPr>
          <w:rFonts w:eastAsia="Times New Roman"/>
          <w:sz w:val="24"/>
          <w:szCs w:val="24"/>
          <w:lang w:eastAsia="zh-CN"/>
        </w:rPr>
        <w:t>-</w:t>
      </w:r>
      <w:r w:rsidRPr="000C0842">
        <w:rPr>
          <w:rFonts w:eastAsia="SimSun"/>
          <w:sz w:val="24"/>
          <w:szCs w:val="24"/>
          <w:lang w:eastAsia="zh-CN"/>
        </w:rPr>
        <w:t>蒙特利尔全球生物多样性框架》制订目标和更新国家生物多样性战略和行动计划的进展情况。</w:t>
      </w:r>
    </w:p>
    <w:p w14:paraId="41174492"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遗传资源数字序列信息。</w:t>
      </w:r>
    </w:p>
    <w:p w14:paraId="34AE7732"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规划、监测、报告和审查机制。</w:t>
      </w:r>
    </w:p>
    <w:p w14:paraId="241F910F"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资源调动和财务机制。</w:t>
      </w:r>
    </w:p>
    <w:p w14:paraId="6A0CA265"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能力建设和发展、科技合作、信息交换所机制和知识管理。</w:t>
      </w:r>
    </w:p>
    <w:p w14:paraId="01BEF482"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与国际组织和根据其他公约建立的机构的合作。</w:t>
      </w:r>
    </w:p>
    <w:p w14:paraId="15B6BD5A"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第</w:t>
      </w:r>
      <w:r w:rsidRPr="000C0842">
        <w:rPr>
          <w:rFonts w:eastAsia="Times New Roman"/>
          <w:sz w:val="24"/>
          <w:szCs w:val="24"/>
          <w:lang w:eastAsia="zh-CN"/>
        </w:rPr>
        <w:t>8(j)</w:t>
      </w:r>
      <w:r w:rsidRPr="000C0842">
        <w:rPr>
          <w:rFonts w:eastAsia="SimSun"/>
          <w:sz w:val="24"/>
          <w:szCs w:val="24"/>
          <w:lang w:eastAsia="zh-CN"/>
        </w:rPr>
        <w:t>条和相关条款的执行。</w:t>
      </w:r>
    </w:p>
    <w:p w14:paraId="1E8AD9E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传播、教育和公众意识。</w:t>
      </w:r>
    </w:p>
    <w:p w14:paraId="4FD7145E"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用于支持执行《昆明</w:t>
      </w:r>
      <w:r w:rsidRPr="000C0842">
        <w:rPr>
          <w:rFonts w:eastAsia="Times New Roman"/>
          <w:sz w:val="24"/>
          <w:szCs w:val="24"/>
          <w:lang w:eastAsia="zh-CN"/>
        </w:rPr>
        <w:t>-</w:t>
      </w:r>
      <w:r w:rsidRPr="000C0842">
        <w:rPr>
          <w:rFonts w:eastAsia="SimSun"/>
          <w:sz w:val="24"/>
          <w:szCs w:val="24"/>
          <w:lang w:eastAsia="zh-CN"/>
        </w:rPr>
        <w:t>蒙特利尔全球生物多样性框架》的科技需求，包括对《公约》各项工作方案的影响。</w:t>
      </w:r>
    </w:p>
    <w:p w14:paraId="093527A1"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bookmarkStart w:id="144" w:name="OLE_LINK2"/>
      <w:r w:rsidRPr="000C0842">
        <w:rPr>
          <w:rFonts w:eastAsia="SimSun"/>
          <w:sz w:val="24"/>
          <w:szCs w:val="24"/>
          <w:lang w:eastAsia="zh-CN"/>
        </w:rPr>
        <w:t>生物多样性在部门内和部门之间的主流化</w:t>
      </w:r>
      <w:bookmarkEnd w:id="144"/>
      <w:r w:rsidRPr="000C0842">
        <w:rPr>
          <w:rFonts w:eastAsia="SimSun"/>
          <w:sz w:val="24"/>
          <w:szCs w:val="24"/>
          <w:lang w:eastAsia="zh-CN"/>
        </w:rPr>
        <w:t>。</w:t>
      </w:r>
    </w:p>
    <w:p w14:paraId="573DF7EB"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生物多样性的多种价值。</w:t>
      </w:r>
    </w:p>
    <w:p w14:paraId="7F5CE78E"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可持续的野生生物管理。</w:t>
      </w:r>
    </w:p>
    <w:p w14:paraId="2A2C3616"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海洋和沿海生物多样性以及岛屿生物多样性。</w:t>
      </w:r>
    </w:p>
    <w:p w14:paraId="7D23BB70"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外来入侵物种。</w:t>
      </w:r>
    </w:p>
    <w:p w14:paraId="5EDAA289"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生物多样性与健康。</w:t>
      </w:r>
    </w:p>
    <w:p w14:paraId="049A3C83"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植物保护。</w:t>
      </w:r>
    </w:p>
    <w:p w14:paraId="2C101FCB"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合成生物学。</w:t>
      </w:r>
    </w:p>
    <w:p w14:paraId="01A07D0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生物多样性与气候变化。</w:t>
      </w:r>
    </w:p>
    <w:p w14:paraId="04EA0816"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赔偿责任和补救（第</w:t>
      </w:r>
      <w:r w:rsidRPr="000C0842">
        <w:rPr>
          <w:rFonts w:eastAsia="Times New Roman"/>
          <w:sz w:val="24"/>
          <w:szCs w:val="24"/>
          <w:lang w:eastAsia="zh-CN"/>
        </w:rPr>
        <w:t>14</w:t>
      </w:r>
      <w:r w:rsidRPr="000C0842">
        <w:rPr>
          <w:rFonts w:eastAsia="SimSun"/>
          <w:sz w:val="24"/>
          <w:szCs w:val="24"/>
          <w:lang w:eastAsia="zh-CN"/>
        </w:rPr>
        <w:t>条第</w:t>
      </w:r>
      <w:r w:rsidRPr="000C0842">
        <w:rPr>
          <w:rFonts w:eastAsia="Times New Roman"/>
          <w:sz w:val="24"/>
          <w:szCs w:val="24"/>
          <w:lang w:eastAsia="zh-CN"/>
        </w:rPr>
        <w:t>2</w:t>
      </w:r>
      <w:r w:rsidRPr="000C0842">
        <w:rPr>
          <w:rFonts w:eastAsia="SimSun"/>
          <w:sz w:val="24"/>
          <w:szCs w:val="24"/>
          <w:lang w:eastAsia="zh-CN"/>
        </w:rPr>
        <w:t>款）。</w:t>
      </w:r>
    </w:p>
    <w:p w14:paraId="2144D57D"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审查《公约》及其议定书下各进程的功效。</w:t>
      </w:r>
    </w:p>
    <w:p w14:paraId="68BEE2CC"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缔约方大会多年期工作方案。</w:t>
      </w:r>
    </w:p>
    <w:p w14:paraId="7E0FAA79"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其他事项。</w:t>
      </w:r>
    </w:p>
    <w:p w14:paraId="3A0BDDF1"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通过报告。</w:t>
      </w:r>
    </w:p>
    <w:p w14:paraId="744E354C" w14:textId="77777777" w:rsidR="00BE4712" w:rsidRPr="000C0842" w:rsidRDefault="00BE4712">
      <w:pPr>
        <w:pStyle w:val="CBDNormalNoNumber"/>
        <w:numPr>
          <w:ilvl w:val="0"/>
          <w:numId w:val="7"/>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0C0842">
        <w:rPr>
          <w:rFonts w:eastAsia="SimSun"/>
          <w:sz w:val="24"/>
          <w:szCs w:val="24"/>
          <w:lang w:eastAsia="zh-CN"/>
        </w:rPr>
        <w:t>会议闭幕。</w:t>
      </w:r>
    </w:p>
    <w:p w14:paraId="775FA123" w14:textId="77777777" w:rsidR="00BE4712" w:rsidRPr="000C0842" w:rsidRDefault="00BE4712" w:rsidP="007F3579">
      <w:pPr>
        <w:keepNext/>
        <w:tabs>
          <w:tab w:val="clear" w:pos="567"/>
          <w:tab w:val="clear" w:pos="1134"/>
          <w:tab w:val="clear" w:pos="1701"/>
          <w:tab w:val="clear" w:pos="2268"/>
        </w:tabs>
        <w:spacing w:before="120" w:after="120"/>
        <w:rPr>
          <w:rFonts w:eastAsia="KaiTi"/>
          <w:snapToGrid w:val="0"/>
          <w:sz w:val="24"/>
          <w:szCs w:val="24"/>
        </w:rPr>
      </w:pPr>
      <w:r w:rsidRPr="000C0842">
        <w:rPr>
          <w:rFonts w:eastAsia="Times New Roman"/>
          <w:snapToGrid w:val="0"/>
          <w:sz w:val="24"/>
          <w:szCs w:val="24"/>
        </w:rPr>
        <w:tab/>
      </w:r>
      <w:r w:rsidRPr="000C0842">
        <w:rPr>
          <w:rFonts w:eastAsia="KaiTi"/>
          <w:snapToGrid w:val="0"/>
          <w:sz w:val="24"/>
          <w:szCs w:val="24"/>
        </w:rPr>
        <w:t>工作安排</w:t>
      </w:r>
    </w:p>
    <w:p w14:paraId="2AB5B7B9" w14:textId="1B64CE3D"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缔约方大会第</w:t>
      </w:r>
      <w:r w:rsidRPr="000C0842">
        <w:rPr>
          <w:sz w:val="24"/>
          <w:szCs w:val="24"/>
        </w:rPr>
        <w:t>1</w:t>
      </w:r>
      <w:r w:rsidRPr="000C0842">
        <w:rPr>
          <w:rFonts w:eastAsia="SimSun"/>
          <w:sz w:val="24"/>
          <w:szCs w:val="24"/>
        </w:rPr>
        <w:t>场全体会议商定按照拟议工作安排附件三的规定组织其工作。因此，缔约方大会决定设立两个工作组。第一工作组由</w:t>
      </w:r>
      <w:r w:rsidRPr="000C0842">
        <w:rPr>
          <w:sz w:val="24"/>
          <w:szCs w:val="24"/>
        </w:rPr>
        <w:t>Charlotta Sörqvist</w:t>
      </w:r>
      <w:r w:rsidRPr="000C0842">
        <w:rPr>
          <w:rFonts w:eastAsia="SimSun"/>
          <w:sz w:val="24"/>
          <w:szCs w:val="24"/>
        </w:rPr>
        <w:t>（瑞典）</w:t>
      </w:r>
      <w:r w:rsidR="00636BB9" w:rsidRPr="000C0842">
        <w:rPr>
          <w:rFonts w:eastAsia="SimSun"/>
          <w:sz w:val="24"/>
          <w:szCs w:val="24"/>
        </w:rPr>
        <w:t>担任主席，第二工作组由</w:t>
      </w:r>
      <w:r w:rsidRPr="000C0842">
        <w:rPr>
          <w:sz w:val="24"/>
          <w:szCs w:val="24"/>
        </w:rPr>
        <w:t>Hesiquio Benítez Díaz</w:t>
      </w:r>
      <w:r w:rsidRPr="000C0842">
        <w:rPr>
          <w:rFonts w:eastAsia="SimSun"/>
          <w:sz w:val="24"/>
          <w:szCs w:val="24"/>
        </w:rPr>
        <w:t>（墨西哥）担任主席。</w:t>
      </w:r>
    </w:p>
    <w:p w14:paraId="1855FF5D" w14:textId="77777777" w:rsidR="00BE4712" w:rsidRPr="000C0842" w:rsidRDefault="00BE4712" w:rsidP="006F6EAC">
      <w:pPr>
        <w:keepNext/>
        <w:tabs>
          <w:tab w:val="clear" w:pos="567"/>
          <w:tab w:val="clear" w:pos="1134"/>
          <w:tab w:val="clear" w:pos="1701"/>
          <w:tab w:val="clear" w:pos="2268"/>
        </w:tabs>
        <w:spacing w:before="120" w:after="120"/>
        <w:ind w:left="490"/>
        <w:rPr>
          <w:rFonts w:eastAsia="KaiTi"/>
          <w:snapToGrid w:val="0"/>
          <w:sz w:val="24"/>
          <w:szCs w:val="24"/>
        </w:rPr>
      </w:pPr>
      <w:r w:rsidRPr="000C0842">
        <w:rPr>
          <w:rFonts w:eastAsia="KaiTi"/>
          <w:snapToGrid w:val="0"/>
          <w:sz w:val="24"/>
          <w:szCs w:val="24"/>
        </w:rPr>
        <w:t>各会期工作组的工作</w:t>
      </w:r>
    </w:p>
    <w:p w14:paraId="78495E31" w14:textId="677E1298" w:rsidR="00B17F62" w:rsidRPr="000C0842" w:rsidRDefault="003F0FB0" w:rsidP="00630653">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2024</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21</w:t>
      </w:r>
      <w:r w:rsidRPr="000C0842">
        <w:rPr>
          <w:rFonts w:eastAsia="SimSun"/>
          <w:sz w:val="24"/>
          <w:szCs w:val="24"/>
        </w:rPr>
        <w:t>日至</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w:t>
      </w:r>
      <w:r w:rsidR="000531A4" w:rsidRPr="000C0842">
        <w:rPr>
          <w:rFonts w:eastAsia="SimSun"/>
          <w:sz w:val="24"/>
          <w:szCs w:val="24"/>
        </w:rPr>
        <w:t>第一工作组</w:t>
      </w:r>
      <w:r w:rsidRPr="000C0842">
        <w:rPr>
          <w:rFonts w:eastAsia="SimSun"/>
          <w:sz w:val="24"/>
          <w:szCs w:val="24"/>
        </w:rPr>
        <w:t>举行了</w:t>
      </w:r>
      <w:r w:rsidR="0043036E" w:rsidRPr="000C0842">
        <w:rPr>
          <w:rFonts w:eastAsia="SimSun"/>
          <w:sz w:val="24"/>
          <w:szCs w:val="24"/>
        </w:rPr>
        <w:t>6</w:t>
      </w:r>
      <w:r w:rsidRPr="000C0842">
        <w:rPr>
          <w:rFonts w:eastAsia="SimSun"/>
          <w:sz w:val="24"/>
          <w:szCs w:val="24"/>
        </w:rPr>
        <w:t>场会议，</w:t>
      </w:r>
      <w:r w:rsidRPr="000C0842">
        <w:rPr>
          <w:rFonts w:eastAsia="SimSun"/>
          <w:sz w:val="24"/>
          <w:szCs w:val="24"/>
        </w:rPr>
        <w:t>2024</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日通过报告</w:t>
      </w:r>
      <w:r w:rsidR="005F635C" w:rsidRPr="000C0842">
        <w:rPr>
          <w:rStyle w:val="FootnoteReference"/>
          <w:rFonts w:eastAsia="SimSun"/>
          <w:sz w:val="24"/>
          <w:szCs w:val="24"/>
          <w:lang w:val="en-GB"/>
        </w:rPr>
        <w:footnoteReference w:id="521"/>
      </w:r>
      <w:r w:rsidR="00E02803" w:rsidRPr="000C0842">
        <w:rPr>
          <w:rFonts w:eastAsia="SimSun" w:hint="eastAsia"/>
          <w:sz w:val="24"/>
          <w:szCs w:val="24"/>
        </w:rPr>
        <w:t>。</w:t>
      </w:r>
    </w:p>
    <w:p w14:paraId="36324D61" w14:textId="08D4C20C" w:rsidR="00BE4712" w:rsidRPr="000C0842" w:rsidRDefault="003F0FB0" w:rsidP="00630653">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2024</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21</w:t>
      </w:r>
      <w:r w:rsidRPr="000C0842">
        <w:rPr>
          <w:rFonts w:eastAsia="SimSun"/>
          <w:sz w:val="24"/>
          <w:szCs w:val="24"/>
        </w:rPr>
        <w:t>日至</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w:t>
      </w:r>
      <w:r w:rsidR="000531A4" w:rsidRPr="000C0842">
        <w:rPr>
          <w:rFonts w:eastAsia="SimSun"/>
          <w:sz w:val="24"/>
          <w:szCs w:val="24"/>
        </w:rPr>
        <w:t>第二工作组</w:t>
      </w:r>
      <w:r w:rsidRPr="000C0842">
        <w:rPr>
          <w:rFonts w:eastAsia="SimSun"/>
          <w:sz w:val="24"/>
          <w:szCs w:val="24"/>
        </w:rPr>
        <w:t>举行了</w:t>
      </w:r>
      <w:r w:rsidRPr="000C0842">
        <w:rPr>
          <w:rFonts w:eastAsia="SimSun"/>
          <w:sz w:val="24"/>
          <w:szCs w:val="24"/>
        </w:rPr>
        <w:t>12</w:t>
      </w:r>
      <w:r w:rsidR="0043036E" w:rsidRPr="000C0842">
        <w:rPr>
          <w:rFonts w:eastAsia="SimSun"/>
          <w:sz w:val="24"/>
          <w:szCs w:val="24"/>
        </w:rPr>
        <w:t>场</w:t>
      </w:r>
      <w:r w:rsidRPr="000C0842">
        <w:rPr>
          <w:rFonts w:eastAsia="SimSun"/>
          <w:sz w:val="24"/>
          <w:szCs w:val="24"/>
        </w:rPr>
        <w:t>会议，</w:t>
      </w:r>
      <w:r w:rsidRPr="000C0842">
        <w:rPr>
          <w:rFonts w:eastAsia="SimSun"/>
          <w:sz w:val="24"/>
          <w:szCs w:val="24"/>
        </w:rPr>
        <w:t>2024</w:t>
      </w:r>
      <w:r w:rsidRPr="000C0842">
        <w:rPr>
          <w:rFonts w:eastAsia="SimSun"/>
          <w:sz w:val="24"/>
          <w:szCs w:val="24"/>
        </w:rPr>
        <w:t>年</w:t>
      </w: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日通过报告</w:t>
      </w:r>
      <w:r w:rsidR="005F635C" w:rsidRPr="000C0842">
        <w:rPr>
          <w:rStyle w:val="FootnoteReference"/>
          <w:rFonts w:eastAsia="SimSun"/>
          <w:sz w:val="24"/>
          <w:szCs w:val="24"/>
          <w:lang w:val="en-GB"/>
        </w:rPr>
        <w:footnoteReference w:id="522"/>
      </w:r>
      <w:r w:rsidR="00E02803" w:rsidRPr="000C0842">
        <w:rPr>
          <w:rFonts w:eastAsia="SimSun" w:hint="eastAsia"/>
          <w:sz w:val="24"/>
          <w:szCs w:val="24"/>
        </w:rPr>
        <w:t>。</w:t>
      </w:r>
    </w:p>
    <w:p w14:paraId="42CF5DBA" w14:textId="77777777" w:rsidR="00BE4712" w:rsidRPr="000C0842" w:rsidRDefault="00BE4712" w:rsidP="00523B44">
      <w:pPr>
        <w:pStyle w:val="ListParagraph"/>
        <w:numPr>
          <w:ilvl w:val="0"/>
          <w:numId w:val="0"/>
        </w:numPr>
        <w:tabs>
          <w:tab w:val="clear" w:pos="567"/>
          <w:tab w:val="clear" w:pos="1134"/>
          <w:tab w:val="clear" w:pos="1701"/>
          <w:tab w:val="clear" w:pos="2268"/>
        </w:tabs>
        <w:spacing w:before="120" w:after="120"/>
        <w:ind w:left="490"/>
        <w:contextualSpacing w:val="0"/>
        <w:rPr>
          <w:rFonts w:eastAsia="KaiTi"/>
          <w:sz w:val="24"/>
          <w:szCs w:val="24"/>
        </w:rPr>
      </w:pPr>
      <w:r w:rsidRPr="000C0842">
        <w:rPr>
          <w:rFonts w:eastAsia="KaiTi"/>
          <w:sz w:val="24"/>
          <w:szCs w:val="24"/>
        </w:rPr>
        <w:t>第一次盘点会议</w:t>
      </w:r>
    </w:p>
    <w:p w14:paraId="284B7A18" w14:textId="59373360" w:rsidR="00BE4712" w:rsidRPr="000C0842" w:rsidRDefault="00636BB9" w:rsidP="00630653">
      <w:pPr>
        <w:pStyle w:val="ListParagraph"/>
        <w:tabs>
          <w:tab w:val="clear" w:pos="567"/>
          <w:tab w:val="clear" w:pos="1134"/>
          <w:tab w:val="clear" w:pos="1701"/>
          <w:tab w:val="clear" w:pos="2268"/>
        </w:tabs>
        <w:spacing w:before="120" w:after="120"/>
        <w:ind w:left="490" w:firstLine="0"/>
        <w:contextualSpacing w:val="0"/>
        <w:rPr>
          <w:snapToGrid w:val="0"/>
          <w:sz w:val="24"/>
          <w:szCs w:val="24"/>
        </w:rPr>
      </w:pPr>
      <w:r w:rsidRPr="000C0842">
        <w:rPr>
          <w:rFonts w:eastAsia="SimSun"/>
          <w:sz w:val="24"/>
          <w:szCs w:val="24"/>
        </w:rPr>
        <w:t>缔约方大会</w:t>
      </w:r>
      <w:r w:rsidR="00BE4712" w:rsidRPr="000C0842">
        <w:rPr>
          <w:rFonts w:eastAsia="SimSun"/>
          <w:sz w:val="24"/>
          <w:szCs w:val="24"/>
        </w:rPr>
        <w:t>第</w:t>
      </w:r>
      <w:r w:rsidR="00BE4712" w:rsidRPr="000C0842">
        <w:rPr>
          <w:sz w:val="24"/>
          <w:szCs w:val="24"/>
        </w:rPr>
        <w:t>2</w:t>
      </w:r>
      <w:r w:rsidR="00BE4712" w:rsidRPr="000C0842">
        <w:rPr>
          <w:rFonts w:eastAsia="SimSun"/>
          <w:sz w:val="24"/>
          <w:szCs w:val="24"/>
        </w:rPr>
        <w:t>场全体会议</w:t>
      </w:r>
      <w:r w:rsidR="00C62887" w:rsidRPr="000C0842">
        <w:rPr>
          <w:rFonts w:eastAsia="SimSun" w:hint="eastAsia"/>
          <w:sz w:val="24"/>
          <w:szCs w:val="24"/>
        </w:rPr>
        <w:t>利用部分时间</w:t>
      </w:r>
      <w:r w:rsidR="00BE4712" w:rsidRPr="000C0842">
        <w:rPr>
          <w:rFonts w:eastAsia="SimSun"/>
          <w:sz w:val="24"/>
          <w:szCs w:val="24"/>
        </w:rPr>
        <w:t>与作为卡塔赫纳议定书缔约方会议的缔约</w:t>
      </w:r>
      <w:r w:rsidR="00BE4712" w:rsidRPr="000C0842">
        <w:rPr>
          <w:rFonts w:eastAsia="SimSun"/>
          <w:snapToGrid w:val="0"/>
          <w:sz w:val="24"/>
          <w:szCs w:val="24"/>
        </w:rPr>
        <w:t>方大会和作为名古屋议定书缔约</w:t>
      </w:r>
      <w:r w:rsidRPr="000C0842">
        <w:rPr>
          <w:rFonts w:eastAsia="SimSun"/>
          <w:snapToGrid w:val="0"/>
          <w:sz w:val="24"/>
          <w:szCs w:val="24"/>
        </w:rPr>
        <w:t>方</w:t>
      </w:r>
      <w:r w:rsidR="00BE4712" w:rsidRPr="000C0842">
        <w:rPr>
          <w:rFonts w:eastAsia="SimSun"/>
          <w:snapToGrid w:val="0"/>
          <w:sz w:val="24"/>
          <w:szCs w:val="24"/>
        </w:rPr>
        <w:t>会议的缔约方大会联合举行</w:t>
      </w:r>
      <w:r w:rsidR="00C62887" w:rsidRPr="000C0842">
        <w:rPr>
          <w:rFonts w:eastAsia="SimSun" w:hint="eastAsia"/>
          <w:snapToGrid w:val="0"/>
          <w:sz w:val="24"/>
          <w:szCs w:val="24"/>
        </w:rPr>
        <w:t>了</w:t>
      </w:r>
      <w:r w:rsidR="00BE4712" w:rsidRPr="000C0842">
        <w:rPr>
          <w:rFonts w:eastAsia="SimSun"/>
          <w:snapToGrid w:val="0"/>
          <w:sz w:val="24"/>
          <w:szCs w:val="24"/>
        </w:rPr>
        <w:t>盘点</w:t>
      </w:r>
      <w:r w:rsidR="00AC0179" w:rsidRPr="000C0842">
        <w:rPr>
          <w:rFonts w:eastAsia="SimSun" w:hint="eastAsia"/>
          <w:snapToGrid w:val="0"/>
          <w:sz w:val="24"/>
          <w:szCs w:val="24"/>
        </w:rPr>
        <w:t>会议，</w:t>
      </w:r>
      <w:r w:rsidR="00BE4712" w:rsidRPr="000C0842">
        <w:rPr>
          <w:rFonts w:eastAsia="SimSun"/>
          <w:snapToGrid w:val="0"/>
          <w:sz w:val="24"/>
          <w:szCs w:val="24"/>
        </w:rPr>
        <w:t>第一工作组、第二工作组和预算事项联络小组的主席</w:t>
      </w:r>
      <w:r w:rsidR="00C62887" w:rsidRPr="000C0842">
        <w:rPr>
          <w:rFonts w:eastAsia="SimSun" w:hint="eastAsia"/>
          <w:snapToGrid w:val="0"/>
          <w:sz w:val="24"/>
          <w:szCs w:val="24"/>
        </w:rPr>
        <w:t>向盘点会议</w:t>
      </w:r>
      <w:r w:rsidR="00BE4712" w:rsidRPr="000C0842">
        <w:rPr>
          <w:rFonts w:eastAsia="SimSun"/>
          <w:snapToGrid w:val="0"/>
          <w:sz w:val="24"/>
          <w:szCs w:val="24"/>
        </w:rPr>
        <w:t>报告了迄今取得的进展。</w:t>
      </w:r>
    </w:p>
    <w:p w14:paraId="7297B62B" w14:textId="5815BF1C" w:rsidR="00BE4712" w:rsidRPr="000C0842" w:rsidRDefault="00EE28F8" w:rsidP="004259FB">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下列缔约方</w:t>
      </w:r>
      <w:r w:rsidR="00BE4712" w:rsidRPr="000C0842">
        <w:rPr>
          <w:rFonts w:eastAsia="SimSun"/>
          <w:sz w:val="24"/>
          <w:szCs w:val="24"/>
        </w:rPr>
        <w:t>的代表发了言：斐济（代表出席会议的太平洋小岛屿发展中国家）、老挝人民民主共和国（代表出席会议的</w:t>
      </w:r>
      <w:r w:rsidR="00BE4712" w:rsidRPr="000C0842">
        <w:rPr>
          <w:rStyle w:val="rynqvb"/>
          <w:rFonts w:eastAsia="SimSun"/>
          <w:sz w:val="24"/>
          <w:szCs w:val="24"/>
        </w:rPr>
        <w:t>东南亚国家联盟成员国</w:t>
      </w:r>
      <w:r w:rsidR="00BE4712" w:rsidRPr="000C0842">
        <w:rPr>
          <w:rFonts w:eastAsia="SimSun"/>
          <w:sz w:val="24"/>
          <w:szCs w:val="24"/>
        </w:rPr>
        <w:t>）</w:t>
      </w:r>
      <w:r w:rsidR="00C62887" w:rsidRPr="000C0842">
        <w:rPr>
          <w:rFonts w:eastAsia="SimSun" w:hint="eastAsia"/>
          <w:sz w:val="24"/>
          <w:szCs w:val="24"/>
        </w:rPr>
        <w:t>、</w:t>
      </w:r>
      <w:r w:rsidR="00BE4712" w:rsidRPr="000C0842">
        <w:rPr>
          <w:rFonts w:eastAsia="SimSun"/>
          <w:sz w:val="24"/>
          <w:szCs w:val="24"/>
        </w:rPr>
        <w:t>俄罗斯联邦（</w:t>
      </w:r>
      <w:r w:rsidR="00DC455E" w:rsidRPr="000C0842">
        <w:rPr>
          <w:rFonts w:eastAsia="SimSun"/>
          <w:sz w:val="24"/>
          <w:szCs w:val="24"/>
        </w:rPr>
        <w:t>同时</w:t>
      </w:r>
      <w:r w:rsidR="00BE4712" w:rsidRPr="000C0842">
        <w:rPr>
          <w:rFonts w:eastAsia="SimSun"/>
          <w:sz w:val="24"/>
          <w:szCs w:val="24"/>
        </w:rPr>
        <w:t>代表巴西、中国、埃及、埃塞俄比亚、印度、伊朗伊斯兰共和国、南非、阿拉伯联合酋长国）。</w:t>
      </w:r>
    </w:p>
    <w:p w14:paraId="41348C74" w14:textId="77777777" w:rsidR="00BE4712" w:rsidRPr="000C0842" w:rsidRDefault="00BE4712" w:rsidP="006F6EAC">
      <w:pPr>
        <w:keepNext/>
        <w:tabs>
          <w:tab w:val="clear" w:pos="567"/>
          <w:tab w:val="clear" w:pos="1134"/>
          <w:tab w:val="clear" w:pos="1701"/>
          <w:tab w:val="clear" w:pos="2268"/>
        </w:tabs>
        <w:spacing w:before="120" w:after="120"/>
        <w:ind w:firstLine="490"/>
        <w:rPr>
          <w:rFonts w:eastAsia="KaiTi"/>
          <w:snapToGrid w:val="0"/>
          <w:sz w:val="24"/>
          <w:szCs w:val="24"/>
        </w:rPr>
      </w:pPr>
      <w:r w:rsidRPr="000C0842">
        <w:rPr>
          <w:rFonts w:eastAsia="KaiTi"/>
          <w:snapToGrid w:val="0"/>
          <w:sz w:val="24"/>
          <w:szCs w:val="24"/>
        </w:rPr>
        <w:t>第二次盘点会议</w:t>
      </w:r>
    </w:p>
    <w:p w14:paraId="17FD094C" w14:textId="60EA604D" w:rsidR="00BE4712" w:rsidRPr="000C0842" w:rsidRDefault="00DC455E"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sz w:val="24"/>
          <w:szCs w:val="24"/>
        </w:rPr>
        <w:t>3</w:t>
      </w:r>
      <w:r w:rsidRPr="000C0842">
        <w:rPr>
          <w:rFonts w:eastAsia="SimSun"/>
          <w:sz w:val="24"/>
          <w:szCs w:val="24"/>
        </w:rPr>
        <w:t>场全体会议</w:t>
      </w:r>
      <w:r w:rsidR="00C62887" w:rsidRPr="000C0842">
        <w:rPr>
          <w:rFonts w:eastAsia="SimSun" w:hint="eastAsia"/>
          <w:sz w:val="24"/>
          <w:szCs w:val="24"/>
        </w:rPr>
        <w:t>利用部分时间</w:t>
      </w:r>
      <w:r w:rsidRPr="000C0842">
        <w:rPr>
          <w:rFonts w:eastAsia="SimSun"/>
          <w:sz w:val="24"/>
          <w:szCs w:val="24"/>
        </w:rPr>
        <w:t>与作为卡塔赫纳议定书缔约方会议的缔约</w:t>
      </w:r>
      <w:r w:rsidRPr="000C0842">
        <w:rPr>
          <w:rFonts w:eastAsia="SimSun"/>
          <w:snapToGrid w:val="0"/>
          <w:sz w:val="24"/>
          <w:szCs w:val="24"/>
        </w:rPr>
        <w:t>方大会和作为名古屋议定书缔约方会议的缔约方大会联合举行</w:t>
      </w:r>
      <w:r w:rsidR="00C62887" w:rsidRPr="000C0842">
        <w:rPr>
          <w:rFonts w:eastAsia="SimSun" w:hint="eastAsia"/>
          <w:snapToGrid w:val="0"/>
          <w:sz w:val="24"/>
          <w:szCs w:val="24"/>
        </w:rPr>
        <w:t>了第二次</w:t>
      </w:r>
      <w:r w:rsidR="00A35A91" w:rsidRPr="000C0842">
        <w:rPr>
          <w:rFonts w:eastAsia="SimSun" w:hint="eastAsia"/>
          <w:snapToGrid w:val="0"/>
          <w:sz w:val="24"/>
          <w:szCs w:val="24"/>
        </w:rPr>
        <w:t>盘点</w:t>
      </w:r>
      <w:r w:rsidRPr="000C0842">
        <w:rPr>
          <w:rFonts w:eastAsia="SimSun"/>
          <w:snapToGrid w:val="0"/>
          <w:sz w:val="24"/>
          <w:szCs w:val="24"/>
        </w:rPr>
        <w:t>会议</w:t>
      </w:r>
      <w:r w:rsidR="00A35A91" w:rsidRPr="000C0842">
        <w:rPr>
          <w:rFonts w:eastAsia="SimSun" w:hint="eastAsia"/>
          <w:snapToGrid w:val="0"/>
          <w:sz w:val="24"/>
          <w:szCs w:val="24"/>
        </w:rPr>
        <w:t>，</w:t>
      </w:r>
      <w:r w:rsidR="00C62887" w:rsidRPr="000C0842">
        <w:rPr>
          <w:rFonts w:eastAsia="SimSun" w:hint="eastAsia"/>
          <w:snapToGrid w:val="0"/>
          <w:sz w:val="24"/>
          <w:szCs w:val="24"/>
        </w:rPr>
        <w:t>会上</w:t>
      </w:r>
      <w:r w:rsidR="00BE4712" w:rsidRPr="000C0842">
        <w:rPr>
          <w:rFonts w:eastAsia="SimSun"/>
          <w:sz w:val="24"/>
          <w:szCs w:val="24"/>
          <w:lang w:val="zh-CN"/>
        </w:rPr>
        <w:t>代表</w:t>
      </w:r>
      <w:r w:rsidRPr="000C0842">
        <w:rPr>
          <w:rFonts w:eastAsia="SimSun"/>
          <w:sz w:val="24"/>
          <w:szCs w:val="24"/>
          <w:lang w:val="zh-CN"/>
        </w:rPr>
        <w:t>们</w:t>
      </w:r>
      <w:r w:rsidR="00BE4712" w:rsidRPr="000C0842">
        <w:rPr>
          <w:rFonts w:eastAsia="SimSun"/>
          <w:sz w:val="24"/>
          <w:szCs w:val="24"/>
          <w:lang w:val="zh-CN"/>
        </w:rPr>
        <w:t>听取了主席关于高级别会议成果的报告以及第一工作组、第二工作组和预算问题联络小组主席关于迄今取得的进展的报告。</w:t>
      </w:r>
    </w:p>
    <w:p w14:paraId="615A6334" w14:textId="64587784" w:rsidR="00BE4712" w:rsidRPr="000C0842" w:rsidRDefault="00BE4712"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lang w:val="zh-CN"/>
        </w:rPr>
        <w:t>多民族玻利维亚国代表</w:t>
      </w:r>
      <w:r w:rsidRPr="000C0842">
        <w:rPr>
          <w:rFonts w:eastAsia="SimSun"/>
          <w:sz w:val="24"/>
          <w:szCs w:val="24"/>
        </w:rPr>
        <w:t>（</w:t>
      </w:r>
      <w:r w:rsidRPr="000C0842">
        <w:rPr>
          <w:rFonts w:eastAsia="SimSun"/>
          <w:sz w:val="24"/>
          <w:szCs w:val="24"/>
          <w:lang w:val="zh-CN"/>
        </w:rPr>
        <w:t>同时代表安提瓜和巴布达、巴西、库克群岛、古巴、多米尼加共和国、厄瓜多尔、斐济、危地马拉、海地、印度、印度尼西亚、基里巴斯、马来西亚、</w:t>
      </w:r>
      <w:r w:rsidR="00B17F62" w:rsidRPr="000C0842">
        <w:rPr>
          <w:rFonts w:eastAsia="SimSun"/>
          <w:sz w:val="24"/>
          <w:szCs w:val="24"/>
          <w:lang w:val="zh-CN"/>
        </w:rPr>
        <w:t>马绍尔群岛、</w:t>
      </w:r>
      <w:r w:rsidRPr="000C0842">
        <w:rPr>
          <w:rFonts w:eastAsia="SimSun"/>
          <w:sz w:val="24"/>
          <w:szCs w:val="24"/>
          <w:lang w:val="zh-CN"/>
        </w:rPr>
        <w:t>密克罗尼西亚联邦、瑙鲁、帕劳、菲律宾、所罗门群岛、汤加、瓦努阿图</w:t>
      </w:r>
      <w:r w:rsidR="00DC455E" w:rsidRPr="000C0842">
        <w:rPr>
          <w:rFonts w:eastAsia="SimSun"/>
          <w:sz w:val="24"/>
          <w:szCs w:val="24"/>
          <w:lang w:val="zh-CN"/>
        </w:rPr>
        <w:t>、</w:t>
      </w:r>
      <w:r w:rsidRPr="000C0842">
        <w:rPr>
          <w:rFonts w:eastAsia="SimSun"/>
          <w:sz w:val="24"/>
          <w:szCs w:val="24"/>
          <w:lang w:val="zh-CN"/>
        </w:rPr>
        <w:t>委内瑞拉玻利瓦尔共和国</w:t>
      </w:r>
      <w:r w:rsidR="00CC2C9B" w:rsidRPr="000C0842">
        <w:rPr>
          <w:rFonts w:eastAsia="SimSun"/>
          <w:sz w:val="24"/>
          <w:szCs w:val="24"/>
        </w:rPr>
        <w:t>和非洲国家</w:t>
      </w:r>
      <w:r w:rsidRPr="000C0842">
        <w:rPr>
          <w:rFonts w:eastAsia="SimSun"/>
          <w:sz w:val="24"/>
          <w:szCs w:val="24"/>
        </w:rPr>
        <w:t>）</w:t>
      </w:r>
      <w:r w:rsidRPr="000C0842">
        <w:rPr>
          <w:rFonts w:eastAsia="SimSun"/>
          <w:sz w:val="24"/>
          <w:szCs w:val="24"/>
          <w:lang w:val="zh-CN"/>
        </w:rPr>
        <w:t>发了言。</w:t>
      </w:r>
    </w:p>
    <w:p w14:paraId="388938F5" w14:textId="4A04D61F" w:rsidR="00B17F62" w:rsidRPr="000C0842" w:rsidRDefault="00B17F62" w:rsidP="00384A30">
      <w:pPr>
        <w:pStyle w:val="ListParagraph"/>
        <w:numPr>
          <w:ilvl w:val="0"/>
          <w:numId w:val="0"/>
        </w:numPr>
        <w:tabs>
          <w:tab w:val="clear" w:pos="567"/>
          <w:tab w:val="clear" w:pos="1134"/>
          <w:tab w:val="clear" w:pos="1701"/>
          <w:tab w:val="clear" w:pos="2268"/>
        </w:tabs>
        <w:spacing w:before="120" w:after="120"/>
        <w:ind w:left="490"/>
        <w:contextualSpacing w:val="0"/>
        <w:rPr>
          <w:rFonts w:eastAsia="KaiTi"/>
          <w:sz w:val="24"/>
          <w:szCs w:val="24"/>
          <w:lang w:val="zh-CN"/>
        </w:rPr>
      </w:pPr>
      <w:r w:rsidRPr="000C0842">
        <w:rPr>
          <w:rFonts w:eastAsia="KaiTi"/>
          <w:sz w:val="24"/>
          <w:szCs w:val="24"/>
          <w:lang w:val="zh-CN"/>
        </w:rPr>
        <w:t>代表团团长会议</w:t>
      </w:r>
    </w:p>
    <w:p w14:paraId="5CE2C3F6" w14:textId="674CFE42" w:rsidR="00B17F62" w:rsidRPr="000C0842" w:rsidRDefault="00B17F62" w:rsidP="00B17F62">
      <w:pPr>
        <w:pStyle w:val="ListParagraph"/>
        <w:tabs>
          <w:tab w:val="clear" w:pos="567"/>
          <w:tab w:val="clear" w:pos="1134"/>
          <w:tab w:val="clear" w:pos="1701"/>
          <w:tab w:val="clear" w:pos="2268"/>
        </w:tabs>
        <w:spacing w:before="120" w:after="120"/>
        <w:ind w:left="490" w:firstLine="0"/>
        <w:contextualSpacing w:val="0"/>
        <w:rPr>
          <w:rFonts w:eastAsia="KaiTi"/>
          <w:lang w:val="zh-CN"/>
        </w:rPr>
      </w:pPr>
      <w:r w:rsidRPr="000C0842">
        <w:rPr>
          <w:rFonts w:eastAsia="SimSun"/>
          <w:sz w:val="24"/>
          <w:szCs w:val="24"/>
          <w:lang w:val="zh-CN"/>
        </w:rPr>
        <w:t>11</w:t>
      </w:r>
      <w:r w:rsidRPr="000C0842">
        <w:rPr>
          <w:rFonts w:eastAsia="SimSun"/>
          <w:sz w:val="24"/>
          <w:szCs w:val="24"/>
          <w:lang w:val="zh-CN"/>
        </w:rPr>
        <w:t>月</w:t>
      </w:r>
      <w:r w:rsidRPr="000C0842">
        <w:rPr>
          <w:rFonts w:eastAsia="SimSun"/>
          <w:sz w:val="24"/>
          <w:szCs w:val="24"/>
          <w:lang w:val="zh-CN"/>
        </w:rPr>
        <w:t>1</w:t>
      </w:r>
      <w:r w:rsidRPr="000C0842">
        <w:rPr>
          <w:rFonts w:eastAsia="SimSun"/>
          <w:sz w:val="24"/>
          <w:szCs w:val="24"/>
          <w:lang w:val="zh-CN"/>
        </w:rPr>
        <w:t>日，在若干决定草案作为非正式文件</w:t>
      </w:r>
      <w:r w:rsidR="00887F40" w:rsidRPr="000C0842">
        <w:rPr>
          <w:rFonts w:eastAsia="SimSun" w:hint="eastAsia"/>
          <w:sz w:val="24"/>
          <w:szCs w:val="24"/>
          <w:lang w:val="zh-CN"/>
        </w:rPr>
        <w:t>发布</w:t>
      </w:r>
      <w:r w:rsidRPr="000C0842">
        <w:rPr>
          <w:rFonts w:eastAsia="SimSun"/>
          <w:sz w:val="24"/>
          <w:szCs w:val="24"/>
          <w:lang w:val="zh-CN"/>
        </w:rPr>
        <w:t>后，主席召开了一次闭门会议，听取各代表团团长的意见。</w:t>
      </w:r>
      <w:r w:rsidR="00C62887" w:rsidRPr="000C0842">
        <w:rPr>
          <w:rFonts w:eastAsia="SimSun" w:hint="eastAsia"/>
          <w:sz w:val="24"/>
          <w:szCs w:val="24"/>
          <w:lang w:val="zh-CN"/>
        </w:rPr>
        <w:t>随后根据</w:t>
      </w:r>
      <w:r w:rsidRPr="000C0842">
        <w:rPr>
          <w:rFonts w:eastAsia="SimSun"/>
          <w:sz w:val="24"/>
          <w:szCs w:val="24"/>
          <w:lang w:val="zh-CN"/>
        </w:rPr>
        <w:t>所表达的意见对有关决定草案</w:t>
      </w:r>
      <w:r w:rsidR="00C62887" w:rsidRPr="000C0842">
        <w:rPr>
          <w:rFonts w:eastAsia="SimSun" w:hint="eastAsia"/>
          <w:sz w:val="24"/>
          <w:szCs w:val="24"/>
          <w:lang w:val="zh-CN"/>
        </w:rPr>
        <w:t>作</w:t>
      </w:r>
      <w:r w:rsidRPr="000C0842">
        <w:rPr>
          <w:rFonts w:eastAsia="SimSun"/>
          <w:sz w:val="24"/>
          <w:szCs w:val="24"/>
          <w:lang w:val="zh-CN"/>
        </w:rPr>
        <w:t>了</w:t>
      </w:r>
      <w:r w:rsidR="00C62887" w:rsidRPr="000C0842">
        <w:rPr>
          <w:rFonts w:eastAsia="SimSun" w:hint="eastAsia"/>
          <w:sz w:val="24"/>
          <w:szCs w:val="24"/>
          <w:lang w:val="zh-CN"/>
        </w:rPr>
        <w:t>订正</w:t>
      </w:r>
      <w:r w:rsidRPr="000C0842">
        <w:rPr>
          <w:rFonts w:eastAsia="SimSun"/>
          <w:sz w:val="24"/>
          <w:szCs w:val="24"/>
          <w:lang w:val="zh-CN"/>
        </w:rPr>
        <w:t>。</w:t>
      </w:r>
    </w:p>
    <w:p w14:paraId="59100727" w14:textId="198CC8F3" w:rsidR="00B17F62" w:rsidRPr="000C0842" w:rsidRDefault="00B17F62" w:rsidP="00C62887">
      <w:pPr>
        <w:keepNext/>
        <w:tabs>
          <w:tab w:val="clear" w:pos="567"/>
          <w:tab w:val="clear" w:pos="1134"/>
          <w:tab w:val="clear" w:pos="1701"/>
          <w:tab w:val="clear" w:pos="2268"/>
        </w:tabs>
        <w:spacing w:before="120" w:after="120"/>
        <w:ind w:left="490"/>
        <w:rPr>
          <w:rFonts w:eastAsia="KaiTi"/>
          <w:sz w:val="24"/>
          <w:szCs w:val="24"/>
          <w:lang w:val="zh-CN"/>
        </w:rPr>
      </w:pPr>
      <w:r w:rsidRPr="000C0842">
        <w:rPr>
          <w:rFonts w:eastAsia="KaiTi"/>
          <w:sz w:val="24"/>
          <w:szCs w:val="24"/>
          <w:lang w:val="zh-CN"/>
        </w:rPr>
        <w:t>第一次续会</w:t>
      </w:r>
    </w:p>
    <w:p w14:paraId="6C6699F0" w14:textId="00F9D596" w:rsidR="00B17F62" w:rsidRPr="000C0842" w:rsidRDefault="00B17F62" w:rsidP="00B17F6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0C0842">
        <w:rPr>
          <w:rFonts w:eastAsia="SimSun"/>
          <w:sz w:val="24"/>
          <w:szCs w:val="24"/>
          <w:lang w:val="zh-CN"/>
        </w:rPr>
        <w:t>在第一次续会之前，秘书处发布了主席的</w:t>
      </w:r>
      <w:r w:rsidR="0085399E" w:rsidRPr="000C0842">
        <w:rPr>
          <w:rFonts w:eastAsia="SimSun" w:hint="eastAsia"/>
          <w:sz w:val="24"/>
          <w:szCs w:val="24"/>
          <w:lang w:val="zh-CN"/>
        </w:rPr>
        <w:t>启动函</w:t>
      </w:r>
      <w:r w:rsidRPr="000C0842">
        <w:rPr>
          <w:rStyle w:val="FootnoteReference"/>
          <w:snapToGrid w:val="0"/>
          <w:sz w:val="24"/>
          <w:szCs w:val="24"/>
        </w:rPr>
        <w:footnoteReference w:id="523"/>
      </w:r>
      <w:r w:rsidR="00972E98" w:rsidRPr="000C0842">
        <w:rPr>
          <w:rFonts w:eastAsia="SimSun" w:hint="eastAsia"/>
          <w:sz w:val="24"/>
          <w:szCs w:val="24"/>
          <w:lang w:val="zh-CN"/>
        </w:rPr>
        <w:t xml:space="preserve"> </w:t>
      </w:r>
      <w:r w:rsidRPr="000C0842">
        <w:rPr>
          <w:rFonts w:eastAsia="SimSun"/>
          <w:sz w:val="24"/>
          <w:szCs w:val="24"/>
          <w:lang w:val="zh-CN"/>
        </w:rPr>
        <w:t>和关于以默许程序通过两项与预算有关的决定草案</w:t>
      </w:r>
      <w:r w:rsidRPr="000C0842">
        <w:rPr>
          <w:rStyle w:val="FootnoteReference"/>
          <w:snapToGrid w:val="0"/>
          <w:sz w:val="24"/>
          <w:szCs w:val="24"/>
        </w:rPr>
        <w:footnoteReference w:id="524"/>
      </w:r>
      <w:r w:rsidR="00972E98" w:rsidRPr="000C0842">
        <w:rPr>
          <w:rFonts w:eastAsia="SimSun" w:hint="eastAsia"/>
          <w:sz w:val="24"/>
          <w:szCs w:val="24"/>
          <w:lang w:val="zh-CN"/>
        </w:rPr>
        <w:t xml:space="preserve"> </w:t>
      </w:r>
      <w:r w:rsidRPr="000C0842">
        <w:rPr>
          <w:rFonts w:eastAsia="SimSun"/>
          <w:sz w:val="24"/>
          <w:szCs w:val="24"/>
          <w:lang w:val="zh-CN"/>
        </w:rPr>
        <w:t>的情景设想说明</w:t>
      </w:r>
      <w:r w:rsidR="00972E98" w:rsidRPr="000C0842">
        <w:rPr>
          <w:rStyle w:val="FootnoteReference"/>
          <w:snapToGrid w:val="0"/>
          <w:sz w:val="24"/>
          <w:szCs w:val="24"/>
        </w:rPr>
        <w:footnoteReference w:id="525"/>
      </w:r>
      <w:r w:rsidR="00972E98" w:rsidRPr="000C0842">
        <w:rPr>
          <w:rFonts w:eastAsia="SimSun" w:hint="eastAsia"/>
          <w:sz w:val="24"/>
          <w:szCs w:val="24"/>
          <w:lang w:val="zh-CN"/>
        </w:rPr>
        <w:t xml:space="preserve"> </w:t>
      </w:r>
      <w:r w:rsidR="00E02803" w:rsidRPr="000C0842">
        <w:rPr>
          <w:rFonts w:eastAsia="SimSun" w:hint="eastAsia"/>
          <w:sz w:val="24"/>
          <w:szCs w:val="24"/>
          <w:lang w:val="zh-CN"/>
        </w:rPr>
        <w:t>。</w:t>
      </w:r>
      <w:r w:rsidRPr="000C0842">
        <w:rPr>
          <w:rFonts w:eastAsia="SimSun"/>
          <w:sz w:val="24"/>
          <w:szCs w:val="24"/>
          <w:lang w:val="zh-CN"/>
        </w:rPr>
        <w:t>默许程序的结果见下文</w:t>
      </w:r>
      <w:r w:rsidR="00C62887" w:rsidRPr="000C0842">
        <w:rPr>
          <w:rFonts w:eastAsia="SimSun" w:hint="eastAsia"/>
          <w:sz w:val="24"/>
          <w:szCs w:val="24"/>
          <w:lang w:val="zh-CN"/>
        </w:rPr>
        <w:t>项目</w:t>
      </w:r>
      <w:r w:rsidRPr="000C0842">
        <w:rPr>
          <w:rFonts w:eastAsia="SimSun"/>
          <w:sz w:val="24"/>
          <w:szCs w:val="24"/>
          <w:lang w:val="zh-CN"/>
        </w:rPr>
        <w:t>7</w:t>
      </w:r>
      <w:r w:rsidRPr="000C0842">
        <w:rPr>
          <w:rFonts w:eastAsia="SimSun"/>
          <w:sz w:val="24"/>
          <w:szCs w:val="24"/>
          <w:lang w:val="zh-CN"/>
        </w:rPr>
        <w:t>。</w:t>
      </w:r>
    </w:p>
    <w:p w14:paraId="4B12FAC0" w14:textId="7F9CB678" w:rsidR="00B17F62" w:rsidRPr="000C0842" w:rsidRDefault="00B17F62" w:rsidP="00384A30">
      <w:pPr>
        <w:tabs>
          <w:tab w:val="clear" w:pos="567"/>
          <w:tab w:val="clear" w:pos="1134"/>
          <w:tab w:val="clear" w:pos="1701"/>
          <w:tab w:val="clear" w:pos="2268"/>
        </w:tabs>
        <w:spacing w:before="120" w:after="120"/>
        <w:ind w:left="490"/>
        <w:rPr>
          <w:rFonts w:eastAsia="SimSun"/>
          <w:sz w:val="24"/>
          <w:szCs w:val="24"/>
          <w:lang w:val="zh-CN"/>
        </w:rPr>
      </w:pPr>
      <w:r w:rsidRPr="000C0842">
        <w:rPr>
          <w:rFonts w:eastAsia="KaiTi"/>
          <w:sz w:val="24"/>
          <w:szCs w:val="24"/>
          <w:lang w:val="zh-CN"/>
        </w:rPr>
        <w:t>第二次续会</w:t>
      </w:r>
    </w:p>
    <w:p w14:paraId="61BFF969" w14:textId="0DA1F893" w:rsidR="00B17F62" w:rsidRPr="000C0842" w:rsidRDefault="00547456" w:rsidP="00B17F6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0C0842">
        <w:rPr>
          <w:rFonts w:eastAsia="SimSun"/>
          <w:sz w:val="24"/>
          <w:szCs w:val="24"/>
          <w:lang w:val="zh-CN"/>
        </w:rPr>
        <w:t>缔约方大会</w:t>
      </w:r>
      <w:r w:rsidR="00B17F62" w:rsidRPr="000C0842">
        <w:rPr>
          <w:rFonts w:eastAsia="SimSun"/>
          <w:sz w:val="24"/>
          <w:szCs w:val="24"/>
          <w:lang w:val="zh-CN"/>
        </w:rPr>
        <w:t>第</w:t>
      </w:r>
      <w:r w:rsidR="00B17F62" w:rsidRPr="000C0842">
        <w:rPr>
          <w:rFonts w:eastAsia="SimSun"/>
          <w:sz w:val="24"/>
          <w:szCs w:val="24"/>
          <w:lang w:val="zh-CN"/>
        </w:rPr>
        <w:t>7</w:t>
      </w:r>
      <w:r w:rsidR="00B17F62" w:rsidRPr="000C0842">
        <w:rPr>
          <w:rFonts w:eastAsia="SimSun"/>
          <w:sz w:val="24"/>
          <w:szCs w:val="24"/>
          <w:lang w:val="zh-CN"/>
        </w:rPr>
        <w:t>场全体会议收到一份关于所有未决议程项目</w:t>
      </w:r>
      <w:r w:rsidR="00E43413" w:rsidRPr="000C0842">
        <w:rPr>
          <w:rFonts w:eastAsia="SimSun" w:hint="eastAsia"/>
          <w:sz w:val="24"/>
          <w:szCs w:val="24"/>
          <w:lang w:val="zh-CN"/>
        </w:rPr>
        <w:t>（</w:t>
      </w:r>
      <w:r w:rsidR="00B17F62" w:rsidRPr="000C0842">
        <w:rPr>
          <w:rFonts w:eastAsia="SimSun"/>
          <w:sz w:val="24"/>
          <w:szCs w:val="24"/>
          <w:lang w:val="zh-CN"/>
        </w:rPr>
        <w:t>项目</w:t>
      </w:r>
      <w:r w:rsidR="00B17F62" w:rsidRPr="000C0842">
        <w:rPr>
          <w:rFonts w:eastAsia="SimSun"/>
          <w:sz w:val="24"/>
          <w:szCs w:val="24"/>
          <w:lang w:val="zh-CN"/>
        </w:rPr>
        <w:t>10</w:t>
      </w:r>
      <w:r w:rsidR="00B17F62" w:rsidRPr="000C0842">
        <w:rPr>
          <w:rFonts w:eastAsia="SimSun"/>
          <w:sz w:val="24"/>
          <w:szCs w:val="24"/>
          <w:lang w:val="zh-CN"/>
        </w:rPr>
        <w:t>、</w:t>
      </w:r>
      <w:r w:rsidR="00B17F62" w:rsidRPr="000C0842">
        <w:rPr>
          <w:rFonts w:eastAsia="SimSun"/>
          <w:sz w:val="24"/>
          <w:szCs w:val="24"/>
          <w:lang w:val="zh-CN"/>
        </w:rPr>
        <w:t>11</w:t>
      </w:r>
      <w:r w:rsidR="00B17F62" w:rsidRPr="000C0842">
        <w:rPr>
          <w:rFonts w:eastAsia="SimSun"/>
          <w:sz w:val="24"/>
          <w:szCs w:val="24"/>
          <w:lang w:val="zh-CN"/>
        </w:rPr>
        <w:t>、</w:t>
      </w:r>
      <w:r w:rsidR="00B17F62" w:rsidRPr="000C0842">
        <w:rPr>
          <w:rFonts w:eastAsia="SimSun"/>
          <w:sz w:val="24"/>
          <w:szCs w:val="24"/>
          <w:lang w:val="zh-CN"/>
        </w:rPr>
        <w:t>13</w:t>
      </w:r>
      <w:r w:rsidR="00C62887" w:rsidRPr="000C0842">
        <w:rPr>
          <w:rFonts w:eastAsia="SimSun" w:hint="eastAsia"/>
          <w:sz w:val="24"/>
          <w:szCs w:val="24"/>
          <w:lang w:val="zh-CN"/>
        </w:rPr>
        <w:t>、</w:t>
      </w:r>
      <w:r w:rsidR="00B17F62" w:rsidRPr="000C0842">
        <w:rPr>
          <w:rFonts w:eastAsia="SimSun"/>
          <w:sz w:val="24"/>
          <w:szCs w:val="24"/>
          <w:lang w:val="zh-CN"/>
        </w:rPr>
        <w:t>28</w:t>
      </w:r>
      <w:r w:rsidR="002456EC" w:rsidRPr="000C0842">
        <w:rPr>
          <w:rFonts w:eastAsia="SimSun" w:hint="eastAsia"/>
          <w:sz w:val="24"/>
          <w:szCs w:val="24"/>
          <w:lang w:val="zh-CN"/>
        </w:rPr>
        <w:t>至</w:t>
      </w:r>
      <w:r w:rsidR="00B17F62" w:rsidRPr="000C0842">
        <w:rPr>
          <w:rFonts w:eastAsia="SimSun"/>
          <w:sz w:val="24"/>
          <w:szCs w:val="24"/>
          <w:lang w:val="zh-CN"/>
        </w:rPr>
        <w:t>31</w:t>
      </w:r>
      <w:r w:rsidR="00E43413" w:rsidRPr="000C0842">
        <w:rPr>
          <w:rFonts w:eastAsia="SimSun" w:hint="eastAsia"/>
          <w:sz w:val="24"/>
          <w:szCs w:val="24"/>
          <w:lang w:val="zh-CN"/>
        </w:rPr>
        <w:t>）</w:t>
      </w:r>
      <w:r w:rsidR="00B17F62" w:rsidRPr="000C0842">
        <w:rPr>
          <w:rFonts w:eastAsia="SimSun"/>
          <w:sz w:val="24"/>
          <w:szCs w:val="24"/>
          <w:lang w:val="zh-CN"/>
        </w:rPr>
        <w:t>的附加说明的临时议程</w:t>
      </w:r>
      <w:r w:rsidR="005F635C" w:rsidRPr="000C0842">
        <w:rPr>
          <w:rStyle w:val="FootnoteReference"/>
          <w:sz w:val="24"/>
          <w:szCs w:val="24"/>
        </w:rPr>
        <w:footnoteReference w:id="526"/>
      </w:r>
      <w:r w:rsidR="005F635C" w:rsidRPr="000C0842">
        <w:rPr>
          <w:rFonts w:eastAsia="SimSun" w:hint="eastAsia"/>
          <w:sz w:val="24"/>
          <w:szCs w:val="24"/>
          <w:lang w:val="zh-CN"/>
        </w:rPr>
        <w:t xml:space="preserve"> </w:t>
      </w:r>
      <w:r w:rsidR="00E02803" w:rsidRPr="000C0842">
        <w:rPr>
          <w:rFonts w:eastAsia="SimSun" w:hint="eastAsia"/>
          <w:sz w:val="24"/>
          <w:szCs w:val="24"/>
          <w:lang w:val="zh-CN"/>
        </w:rPr>
        <w:t>，</w:t>
      </w:r>
      <w:r w:rsidR="00B17F62" w:rsidRPr="000C0842">
        <w:rPr>
          <w:rFonts w:eastAsia="SimSun"/>
          <w:sz w:val="24"/>
          <w:szCs w:val="24"/>
          <w:lang w:val="zh-CN"/>
        </w:rPr>
        <w:t>以及一份拟议工作安排和情景设想说明</w:t>
      </w:r>
      <w:r w:rsidR="005F635C" w:rsidRPr="000C0842">
        <w:rPr>
          <w:rStyle w:val="FootnoteReference"/>
          <w:sz w:val="24"/>
          <w:szCs w:val="24"/>
        </w:rPr>
        <w:footnoteReference w:id="527"/>
      </w:r>
      <w:r w:rsidR="005F635C" w:rsidRPr="000C0842">
        <w:rPr>
          <w:rFonts w:eastAsia="SimSun" w:hint="eastAsia"/>
          <w:sz w:val="24"/>
          <w:szCs w:val="24"/>
          <w:lang w:val="zh-CN"/>
        </w:rPr>
        <w:t xml:space="preserve"> </w:t>
      </w:r>
      <w:r w:rsidR="00E02803" w:rsidRPr="000C0842">
        <w:rPr>
          <w:rFonts w:eastAsia="SimSun" w:hint="eastAsia"/>
          <w:sz w:val="24"/>
          <w:szCs w:val="24"/>
          <w:lang w:val="zh-CN"/>
        </w:rPr>
        <w:t>，</w:t>
      </w:r>
      <w:r w:rsidR="00B17F62" w:rsidRPr="000C0842">
        <w:rPr>
          <w:rFonts w:eastAsia="SimSun"/>
          <w:sz w:val="24"/>
          <w:szCs w:val="24"/>
          <w:lang w:val="zh-CN"/>
        </w:rPr>
        <w:t>这两份文件都是秘书处与主席团</w:t>
      </w:r>
      <w:r w:rsidR="00A67317" w:rsidRPr="000C0842">
        <w:rPr>
          <w:rFonts w:eastAsia="SimSun" w:hint="eastAsia"/>
          <w:sz w:val="24"/>
          <w:szCs w:val="24"/>
          <w:lang w:val="zh-CN"/>
        </w:rPr>
        <w:t>协商</w:t>
      </w:r>
      <w:r w:rsidR="00B17F62" w:rsidRPr="000C0842">
        <w:rPr>
          <w:rFonts w:eastAsia="SimSun"/>
          <w:sz w:val="24"/>
          <w:szCs w:val="24"/>
          <w:lang w:val="zh-CN"/>
        </w:rPr>
        <w:t>编制的。</w:t>
      </w:r>
    </w:p>
    <w:p w14:paraId="26115C9E" w14:textId="37A2E88D" w:rsidR="00B17F62" w:rsidRPr="000C0842" w:rsidRDefault="00B17F62"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0C0842">
        <w:rPr>
          <w:rFonts w:eastAsia="SimSun"/>
          <w:sz w:val="24"/>
          <w:szCs w:val="24"/>
          <w:lang w:val="zh-CN"/>
        </w:rPr>
        <w:t>缔约方大会</w:t>
      </w:r>
      <w:r w:rsidR="000D5A84" w:rsidRPr="000C0842">
        <w:rPr>
          <w:rFonts w:eastAsia="SimSun"/>
          <w:sz w:val="24"/>
          <w:szCs w:val="24"/>
          <w:lang w:val="zh-CN"/>
        </w:rPr>
        <w:t>核准</w:t>
      </w:r>
      <w:r w:rsidRPr="000C0842">
        <w:rPr>
          <w:rFonts w:eastAsia="SimSun"/>
          <w:sz w:val="24"/>
          <w:szCs w:val="24"/>
          <w:lang w:val="zh-CN"/>
        </w:rPr>
        <w:t>了载于</w:t>
      </w:r>
      <w:hyperlink r:id="rId362" w:history="1">
        <w:r w:rsidRPr="000C0842">
          <w:rPr>
            <w:rStyle w:val="Hyperlink"/>
            <w:rFonts w:eastAsia="SimSun"/>
            <w:color w:val="auto"/>
            <w:sz w:val="24"/>
            <w:szCs w:val="24"/>
            <w:lang w:val="zh-CN"/>
          </w:rPr>
          <w:t>CBD/COP/16/1/Add.5</w:t>
        </w:r>
      </w:hyperlink>
      <w:r w:rsidRPr="000C0842">
        <w:rPr>
          <w:rFonts w:eastAsia="SimSun"/>
          <w:sz w:val="24"/>
          <w:szCs w:val="24"/>
          <w:lang w:val="zh-CN"/>
        </w:rPr>
        <w:t>号文件第二节的拟议情景设想说明，以及载于该文件附件的拟议工作安排。</w:t>
      </w:r>
    </w:p>
    <w:p w14:paraId="6972301C" w14:textId="4D01EBF2" w:rsidR="00547456" w:rsidRPr="000C0842" w:rsidRDefault="0054745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0C0842">
        <w:rPr>
          <w:rFonts w:eastAsia="SimSun"/>
          <w:sz w:val="24"/>
          <w:szCs w:val="24"/>
          <w:lang w:val="zh-CN"/>
        </w:rPr>
        <w:t>2025</w:t>
      </w:r>
      <w:r w:rsidRPr="000C0842">
        <w:rPr>
          <w:rFonts w:eastAsia="SimSun"/>
          <w:sz w:val="24"/>
          <w:szCs w:val="24"/>
          <w:lang w:val="zh-CN"/>
        </w:rPr>
        <w:t>年</w:t>
      </w:r>
      <w:r w:rsidRPr="000C0842">
        <w:rPr>
          <w:rFonts w:eastAsia="SimSun"/>
          <w:sz w:val="24"/>
          <w:szCs w:val="24"/>
          <w:lang w:val="zh-CN"/>
        </w:rPr>
        <w:t>2</w:t>
      </w:r>
      <w:r w:rsidRPr="000C0842">
        <w:rPr>
          <w:rFonts w:eastAsia="SimSun"/>
          <w:sz w:val="24"/>
          <w:szCs w:val="24"/>
          <w:lang w:val="zh-CN"/>
        </w:rPr>
        <w:t>月</w:t>
      </w:r>
      <w:r w:rsidRPr="000C0842">
        <w:rPr>
          <w:rFonts w:eastAsia="SimSun"/>
          <w:sz w:val="24"/>
          <w:szCs w:val="24"/>
          <w:lang w:val="zh-CN"/>
        </w:rPr>
        <w:t>27</w:t>
      </w:r>
      <w:r w:rsidRPr="000C0842">
        <w:rPr>
          <w:rFonts w:eastAsia="SimSun"/>
          <w:sz w:val="24"/>
          <w:szCs w:val="24"/>
          <w:lang w:val="zh-CN"/>
        </w:rPr>
        <w:t>日缔约方大会第</w:t>
      </w:r>
      <w:r w:rsidRPr="000C0842">
        <w:rPr>
          <w:rFonts w:eastAsia="SimSun"/>
          <w:sz w:val="24"/>
          <w:szCs w:val="24"/>
          <w:lang w:val="zh-CN"/>
        </w:rPr>
        <w:t>13</w:t>
      </w:r>
      <w:r w:rsidR="00A67317" w:rsidRPr="000C0842">
        <w:rPr>
          <w:rFonts w:eastAsia="SimSun" w:hint="eastAsia"/>
          <w:sz w:val="24"/>
          <w:szCs w:val="24"/>
          <w:lang w:val="zh-CN"/>
        </w:rPr>
        <w:t>场</w:t>
      </w:r>
      <w:r w:rsidRPr="000C0842">
        <w:rPr>
          <w:rFonts w:eastAsia="SimSun"/>
          <w:sz w:val="24"/>
          <w:szCs w:val="24"/>
          <w:lang w:val="zh-CN"/>
        </w:rPr>
        <w:t>全体会议根据第</w:t>
      </w:r>
      <w:hyperlink r:id="rId363" w:history="1">
        <w:r w:rsidRPr="000C0842">
          <w:rPr>
            <w:rStyle w:val="Hyperlink"/>
            <w:rFonts w:eastAsia="SimSun"/>
            <w:color w:val="auto"/>
            <w:sz w:val="24"/>
            <w:szCs w:val="24"/>
            <w:lang w:val="zh-CN"/>
          </w:rPr>
          <w:t>16/25</w:t>
        </w:r>
      </w:hyperlink>
      <w:r w:rsidRPr="000C0842">
        <w:rPr>
          <w:rFonts w:eastAsia="SimSun"/>
          <w:sz w:val="24"/>
          <w:szCs w:val="24"/>
          <w:lang w:val="zh-CN"/>
        </w:rPr>
        <w:t>号决定</w:t>
      </w:r>
      <w:r w:rsidRPr="000C0842">
        <w:rPr>
          <w:rFonts w:eastAsia="SimSun" w:hint="eastAsia"/>
          <w:sz w:val="24"/>
          <w:szCs w:val="24"/>
          <w:lang w:val="zh-CN"/>
        </w:rPr>
        <w:t>商定</w:t>
      </w:r>
      <w:r w:rsidR="00BF5F52" w:rsidRPr="000C0842">
        <w:rPr>
          <w:rFonts w:eastAsia="SimSun" w:hint="eastAsia"/>
          <w:sz w:val="24"/>
          <w:szCs w:val="24"/>
          <w:lang w:val="zh-CN"/>
        </w:rPr>
        <w:t>延长会议时间，超过建议的</w:t>
      </w:r>
      <w:r w:rsidRPr="000C0842">
        <w:rPr>
          <w:rFonts w:eastAsia="SimSun"/>
          <w:sz w:val="24"/>
          <w:szCs w:val="24"/>
          <w:lang w:val="zh-CN"/>
        </w:rPr>
        <w:t>自当天第一次不限成员名额会议开始</w:t>
      </w:r>
      <w:r w:rsidRPr="000C0842">
        <w:rPr>
          <w:rFonts w:eastAsia="SimSun"/>
          <w:sz w:val="24"/>
          <w:szCs w:val="24"/>
          <w:lang w:val="zh-CN"/>
        </w:rPr>
        <w:t>13</w:t>
      </w:r>
      <w:r w:rsidRPr="000C0842">
        <w:rPr>
          <w:rFonts w:eastAsia="SimSun"/>
          <w:sz w:val="24"/>
          <w:szCs w:val="24"/>
          <w:lang w:val="zh-CN"/>
        </w:rPr>
        <w:t>小时</w:t>
      </w:r>
      <w:r w:rsidR="00BF5F52" w:rsidRPr="000C0842">
        <w:rPr>
          <w:rFonts w:eastAsia="SimSun" w:hint="eastAsia"/>
          <w:sz w:val="24"/>
          <w:szCs w:val="24"/>
          <w:lang w:val="zh-CN"/>
        </w:rPr>
        <w:t>的时限</w:t>
      </w:r>
      <w:r w:rsidRPr="000C0842">
        <w:rPr>
          <w:rFonts w:eastAsia="SimSun"/>
          <w:sz w:val="24"/>
          <w:szCs w:val="24"/>
          <w:lang w:val="zh-CN"/>
        </w:rPr>
        <w:t>。</w:t>
      </w:r>
    </w:p>
    <w:p w14:paraId="099642B8" w14:textId="59B490D9" w:rsidR="00BE4712" w:rsidRPr="000C0842" w:rsidRDefault="00BE4712" w:rsidP="004E5EE5">
      <w:pPr>
        <w:pStyle w:val="a1"/>
        <w:ind w:left="0"/>
        <w:rPr>
          <w:rFonts w:ascii="SimSun" w:hAnsi="SimSun"/>
          <w:szCs w:val="24"/>
          <w:lang w:eastAsia="zh-CN"/>
        </w:rPr>
      </w:pPr>
      <w:bookmarkStart w:id="145" w:name="_Toc206358239"/>
      <w:r w:rsidRPr="000C0842">
        <w:rPr>
          <w:lang w:eastAsia="zh-CN"/>
        </w:rPr>
        <w:t>项目</w:t>
      </w:r>
      <w:r w:rsidRPr="000C0842">
        <w:rPr>
          <w:lang w:eastAsia="zh-CN"/>
        </w:rPr>
        <w:t>3</w:t>
      </w:r>
      <w:r w:rsidRPr="000C0842">
        <w:rPr>
          <w:lang w:eastAsia="zh-CN"/>
        </w:rPr>
        <w:br/>
      </w:r>
      <w:r w:rsidRPr="000C0842">
        <w:rPr>
          <w:lang w:eastAsia="zh-CN"/>
        </w:rPr>
        <w:t>关于缔约方大会第十六届会议代表的全权证书的报告</w:t>
      </w:r>
      <w:bookmarkEnd w:id="145"/>
    </w:p>
    <w:p w14:paraId="648A31A2" w14:textId="382A7BCA" w:rsidR="00BE4712" w:rsidRPr="000C0842"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缔约方大会第</w:t>
      </w:r>
      <w:r w:rsidRPr="000C0842">
        <w:rPr>
          <w:sz w:val="24"/>
          <w:szCs w:val="24"/>
        </w:rPr>
        <w:t>1</w:t>
      </w:r>
      <w:r w:rsidRPr="000C0842">
        <w:rPr>
          <w:rFonts w:eastAsia="SimSun"/>
          <w:sz w:val="24"/>
          <w:szCs w:val="24"/>
        </w:rPr>
        <w:t>场全体会议注意到，根据</w:t>
      </w:r>
      <w:r w:rsidR="0059134A" w:rsidRPr="000C0842">
        <w:rPr>
          <w:rFonts w:eastAsia="SimSun"/>
          <w:sz w:val="24"/>
          <w:szCs w:val="24"/>
        </w:rPr>
        <w:t>其</w:t>
      </w:r>
      <w:r w:rsidRPr="000C0842">
        <w:rPr>
          <w:rFonts w:eastAsia="SimSun"/>
          <w:sz w:val="24"/>
          <w:szCs w:val="24"/>
        </w:rPr>
        <w:t>相关议事规则，主席团审查了获准与会的观察员名单</w:t>
      </w:r>
      <w:r w:rsidR="005F635C" w:rsidRPr="000C0842">
        <w:rPr>
          <w:rStyle w:val="FootnoteReference"/>
          <w:sz w:val="24"/>
          <w:szCs w:val="24"/>
        </w:rPr>
        <w:footnoteReference w:id="528"/>
      </w:r>
      <w:r w:rsidR="005F635C" w:rsidRPr="000C0842">
        <w:rPr>
          <w:rFonts w:eastAsia="SimSun" w:hint="eastAsia"/>
          <w:sz w:val="24"/>
          <w:szCs w:val="24"/>
        </w:rPr>
        <w:t xml:space="preserve"> </w:t>
      </w:r>
      <w:r w:rsidR="00E02803" w:rsidRPr="000C0842">
        <w:rPr>
          <w:rFonts w:eastAsia="SimSun" w:hint="eastAsia"/>
          <w:sz w:val="24"/>
          <w:szCs w:val="24"/>
        </w:rPr>
        <w:t>，</w:t>
      </w:r>
      <w:r w:rsidRPr="000C0842">
        <w:rPr>
          <w:rFonts w:eastAsia="SimSun"/>
          <w:sz w:val="24"/>
          <w:szCs w:val="24"/>
        </w:rPr>
        <w:t>并将检查代表团的全权证书，在晚些时候就此提出报告。会议还注意到主席团指定</w:t>
      </w:r>
      <w:r w:rsidRPr="000C0842">
        <w:rPr>
          <w:sz w:val="24"/>
          <w:szCs w:val="24"/>
        </w:rPr>
        <w:t>Mabuza</w:t>
      </w:r>
      <w:r w:rsidRPr="000C0842">
        <w:rPr>
          <w:rFonts w:eastAsia="SimSun"/>
          <w:sz w:val="24"/>
          <w:szCs w:val="24"/>
        </w:rPr>
        <w:t>女士担任审查全权证书的代表。</w:t>
      </w:r>
    </w:p>
    <w:p w14:paraId="249EF4D0" w14:textId="35CB0162" w:rsidR="00BE4712" w:rsidRPr="000C0842" w:rsidRDefault="00BE4712">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在第</w:t>
      </w:r>
      <w:r w:rsidRPr="000C0842">
        <w:rPr>
          <w:rFonts w:eastAsia="SimSun"/>
          <w:sz w:val="24"/>
          <w:szCs w:val="24"/>
        </w:rPr>
        <w:t>2</w:t>
      </w:r>
      <w:r w:rsidRPr="000C0842">
        <w:rPr>
          <w:rFonts w:eastAsia="SimSun"/>
          <w:sz w:val="24"/>
          <w:szCs w:val="24"/>
        </w:rPr>
        <w:t>场全体会议上，</w:t>
      </w:r>
      <w:r w:rsidRPr="000C0842">
        <w:rPr>
          <w:rFonts w:eastAsia="SimSun"/>
          <w:sz w:val="24"/>
          <w:szCs w:val="24"/>
        </w:rPr>
        <w:t>Mabuza</w:t>
      </w:r>
      <w:r w:rsidRPr="000C0842">
        <w:rPr>
          <w:rFonts w:eastAsia="SimSun"/>
          <w:sz w:val="24"/>
          <w:szCs w:val="24"/>
        </w:rPr>
        <w:t>女士报告有</w:t>
      </w:r>
      <w:r w:rsidRPr="000C0842">
        <w:rPr>
          <w:rFonts w:eastAsia="SimSun"/>
          <w:sz w:val="24"/>
          <w:szCs w:val="24"/>
        </w:rPr>
        <w:t>173</w:t>
      </w:r>
      <w:r w:rsidRPr="000C0842">
        <w:rPr>
          <w:rFonts w:eastAsia="SimSun"/>
          <w:sz w:val="24"/>
          <w:szCs w:val="24"/>
        </w:rPr>
        <w:t>个公约缔约方登记参加会议。</w:t>
      </w:r>
      <w:r w:rsidRPr="000C0842">
        <w:rPr>
          <w:rFonts w:eastAsia="SimSun"/>
          <w:sz w:val="24"/>
          <w:szCs w:val="24"/>
        </w:rPr>
        <w:t>150</w:t>
      </w:r>
      <w:r w:rsidRPr="000C0842">
        <w:rPr>
          <w:rFonts w:eastAsia="SimSun"/>
          <w:sz w:val="24"/>
          <w:szCs w:val="24"/>
        </w:rPr>
        <w:t>个登记缔约方</w:t>
      </w:r>
      <w:r w:rsidR="0093073A" w:rsidRPr="000C0842">
        <w:rPr>
          <w:rFonts w:eastAsia="SimSun" w:hint="eastAsia"/>
          <w:sz w:val="24"/>
          <w:szCs w:val="24"/>
        </w:rPr>
        <w:t>的</w:t>
      </w:r>
      <w:r w:rsidRPr="000C0842">
        <w:rPr>
          <w:rFonts w:eastAsia="SimSun"/>
          <w:sz w:val="24"/>
          <w:szCs w:val="24"/>
        </w:rPr>
        <w:t>代表</w:t>
      </w:r>
      <w:r w:rsidR="0093073A" w:rsidRPr="000C0842">
        <w:rPr>
          <w:rFonts w:eastAsia="SimSun" w:hint="eastAsia"/>
          <w:sz w:val="24"/>
          <w:szCs w:val="24"/>
        </w:rPr>
        <w:t>提交</w:t>
      </w:r>
      <w:r w:rsidR="00172CA2" w:rsidRPr="000C0842">
        <w:rPr>
          <w:rFonts w:eastAsia="SimSun" w:hint="eastAsia"/>
          <w:sz w:val="24"/>
          <w:szCs w:val="24"/>
        </w:rPr>
        <w:t>了</w:t>
      </w:r>
      <w:r w:rsidRPr="000C0842">
        <w:rPr>
          <w:rFonts w:eastAsia="SimSun"/>
          <w:sz w:val="24"/>
          <w:szCs w:val="24"/>
        </w:rPr>
        <w:t>完全</w:t>
      </w:r>
      <w:r w:rsidR="0093073A" w:rsidRPr="000C0842">
        <w:rPr>
          <w:rFonts w:eastAsia="SimSun" w:hint="eastAsia"/>
          <w:sz w:val="24"/>
          <w:szCs w:val="24"/>
        </w:rPr>
        <w:t>符合</w:t>
      </w:r>
      <w:r w:rsidRPr="000C0842">
        <w:rPr>
          <w:rFonts w:eastAsia="SimSun"/>
          <w:sz w:val="24"/>
          <w:szCs w:val="24"/>
        </w:rPr>
        <w:t>议事规则第</w:t>
      </w:r>
      <w:r w:rsidRPr="000C0842">
        <w:rPr>
          <w:rFonts w:eastAsia="SimSun"/>
          <w:sz w:val="24"/>
          <w:szCs w:val="24"/>
        </w:rPr>
        <w:t>18</w:t>
      </w:r>
      <w:r w:rsidRPr="000C0842">
        <w:rPr>
          <w:rFonts w:eastAsia="SimSun"/>
          <w:sz w:val="24"/>
          <w:szCs w:val="24"/>
        </w:rPr>
        <w:t>条</w:t>
      </w:r>
      <w:r w:rsidR="00172CA2" w:rsidRPr="000C0842">
        <w:rPr>
          <w:rFonts w:eastAsia="SimSun" w:hint="eastAsia"/>
          <w:sz w:val="24"/>
          <w:szCs w:val="24"/>
        </w:rPr>
        <w:t>的全权证书</w:t>
      </w:r>
      <w:r w:rsidRPr="000C0842">
        <w:rPr>
          <w:rFonts w:eastAsia="SimSun"/>
          <w:sz w:val="24"/>
          <w:szCs w:val="24"/>
        </w:rPr>
        <w:t>，</w:t>
      </w:r>
      <w:r w:rsidRPr="000C0842">
        <w:rPr>
          <w:rFonts w:eastAsia="SimSun"/>
          <w:sz w:val="24"/>
          <w:szCs w:val="24"/>
        </w:rPr>
        <w:t>1</w:t>
      </w:r>
      <w:r w:rsidRPr="000C0842">
        <w:rPr>
          <w:rFonts w:eastAsia="SimSun"/>
          <w:sz w:val="24"/>
          <w:szCs w:val="24"/>
        </w:rPr>
        <w:t>个登记缔约方</w:t>
      </w:r>
      <w:r w:rsidR="0093073A" w:rsidRPr="000C0842">
        <w:rPr>
          <w:rFonts w:eastAsia="SimSun" w:hint="eastAsia"/>
          <w:sz w:val="24"/>
          <w:szCs w:val="24"/>
        </w:rPr>
        <w:t>的</w:t>
      </w:r>
      <w:r w:rsidRPr="000C0842">
        <w:rPr>
          <w:rFonts w:eastAsia="SimSun"/>
          <w:sz w:val="24"/>
          <w:szCs w:val="24"/>
        </w:rPr>
        <w:t>代表提交</w:t>
      </w:r>
      <w:r w:rsidR="0093073A" w:rsidRPr="000C0842">
        <w:rPr>
          <w:rFonts w:eastAsia="SimSun" w:hint="eastAsia"/>
          <w:sz w:val="24"/>
          <w:szCs w:val="24"/>
        </w:rPr>
        <w:t>的全权证书</w:t>
      </w:r>
      <w:r w:rsidRPr="000C0842">
        <w:rPr>
          <w:rFonts w:eastAsia="SimSun"/>
          <w:sz w:val="24"/>
          <w:szCs w:val="24"/>
        </w:rPr>
        <w:t>不完全符合议事规则。</w:t>
      </w:r>
      <w:r w:rsidRPr="000C0842">
        <w:rPr>
          <w:rFonts w:eastAsia="SimSun"/>
          <w:sz w:val="24"/>
          <w:szCs w:val="24"/>
        </w:rPr>
        <w:t>22</w:t>
      </w:r>
      <w:r w:rsidRPr="000C0842">
        <w:rPr>
          <w:rFonts w:eastAsia="SimSun"/>
          <w:sz w:val="24"/>
          <w:szCs w:val="24"/>
        </w:rPr>
        <w:t>个登记缔约方</w:t>
      </w:r>
      <w:r w:rsidR="0093073A" w:rsidRPr="000C0842">
        <w:rPr>
          <w:rFonts w:eastAsia="SimSun" w:hint="eastAsia"/>
          <w:sz w:val="24"/>
          <w:szCs w:val="24"/>
        </w:rPr>
        <w:t>的</w:t>
      </w:r>
      <w:r w:rsidRPr="000C0842">
        <w:rPr>
          <w:rFonts w:eastAsia="SimSun"/>
          <w:sz w:val="24"/>
          <w:szCs w:val="24"/>
        </w:rPr>
        <w:t>代表尚未提交全权证书。</w:t>
      </w:r>
    </w:p>
    <w:p w14:paraId="024E5389" w14:textId="1CE7BBCC"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在第</w:t>
      </w:r>
      <w:r w:rsidRPr="000C0842">
        <w:rPr>
          <w:rFonts w:eastAsia="SimSun"/>
          <w:sz w:val="24"/>
          <w:szCs w:val="24"/>
        </w:rPr>
        <w:t>3</w:t>
      </w:r>
      <w:r w:rsidRPr="000C0842">
        <w:rPr>
          <w:rFonts w:eastAsia="SimSun"/>
          <w:sz w:val="24"/>
          <w:szCs w:val="24"/>
        </w:rPr>
        <w:t>场全体会议上，</w:t>
      </w:r>
      <w:r w:rsidRPr="000C0842">
        <w:rPr>
          <w:rFonts w:eastAsia="SimSun"/>
          <w:sz w:val="24"/>
          <w:szCs w:val="24"/>
        </w:rPr>
        <w:t>Mabuza</w:t>
      </w:r>
      <w:r w:rsidRPr="000C0842">
        <w:rPr>
          <w:rFonts w:eastAsia="SimSun"/>
          <w:sz w:val="24"/>
          <w:szCs w:val="24"/>
        </w:rPr>
        <w:t>女士报告</w:t>
      </w:r>
      <w:r w:rsidR="0093073A" w:rsidRPr="000C0842">
        <w:rPr>
          <w:rFonts w:eastAsia="SimSun" w:hint="eastAsia"/>
          <w:sz w:val="24"/>
          <w:szCs w:val="24"/>
        </w:rPr>
        <w:t>有</w:t>
      </w:r>
      <w:r w:rsidRPr="000C0842">
        <w:rPr>
          <w:rFonts w:eastAsia="SimSun"/>
          <w:sz w:val="24"/>
          <w:szCs w:val="24"/>
        </w:rPr>
        <w:t>180</w:t>
      </w:r>
      <w:r w:rsidRPr="000C0842">
        <w:rPr>
          <w:rFonts w:eastAsia="SimSun"/>
          <w:sz w:val="24"/>
          <w:szCs w:val="24"/>
        </w:rPr>
        <w:t>个公约缔约方登记出席会议。</w:t>
      </w:r>
      <w:r w:rsidRPr="000C0842">
        <w:rPr>
          <w:rFonts w:eastAsia="SimSun"/>
          <w:sz w:val="24"/>
          <w:szCs w:val="24"/>
        </w:rPr>
        <w:t>160</w:t>
      </w:r>
      <w:r w:rsidRPr="000C0842">
        <w:rPr>
          <w:rFonts w:eastAsia="SimSun"/>
          <w:sz w:val="24"/>
          <w:szCs w:val="24"/>
        </w:rPr>
        <w:t>个登记缔约方的代表</w:t>
      </w:r>
      <w:r w:rsidR="0093073A" w:rsidRPr="000C0842">
        <w:rPr>
          <w:rFonts w:eastAsia="SimSun" w:hint="eastAsia"/>
          <w:sz w:val="24"/>
          <w:szCs w:val="24"/>
        </w:rPr>
        <w:t>提交</w:t>
      </w:r>
      <w:r w:rsidR="00172CA2" w:rsidRPr="000C0842">
        <w:rPr>
          <w:rFonts w:eastAsia="SimSun" w:hint="eastAsia"/>
          <w:sz w:val="24"/>
          <w:szCs w:val="24"/>
        </w:rPr>
        <w:t>了</w:t>
      </w:r>
      <w:r w:rsidRPr="000C0842">
        <w:rPr>
          <w:rFonts w:eastAsia="SimSun"/>
          <w:sz w:val="24"/>
          <w:szCs w:val="24"/>
        </w:rPr>
        <w:t>完全</w:t>
      </w:r>
      <w:r w:rsidR="0093073A" w:rsidRPr="000C0842">
        <w:rPr>
          <w:rFonts w:eastAsia="SimSun" w:hint="eastAsia"/>
          <w:sz w:val="24"/>
          <w:szCs w:val="24"/>
        </w:rPr>
        <w:t>符合</w:t>
      </w:r>
      <w:r w:rsidRPr="000C0842">
        <w:rPr>
          <w:rFonts w:eastAsia="SimSun"/>
          <w:sz w:val="24"/>
          <w:szCs w:val="24"/>
        </w:rPr>
        <w:t>议事规则第</w:t>
      </w:r>
      <w:r w:rsidRPr="000C0842">
        <w:rPr>
          <w:rFonts w:eastAsia="SimSun"/>
          <w:sz w:val="24"/>
          <w:szCs w:val="24"/>
        </w:rPr>
        <w:t>18</w:t>
      </w:r>
      <w:r w:rsidRPr="000C0842">
        <w:rPr>
          <w:rFonts w:eastAsia="SimSun"/>
          <w:sz w:val="24"/>
          <w:szCs w:val="24"/>
        </w:rPr>
        <w:t>条</w:t>
      </w:r>
      <w:r w:rsidR="00172CA2" w:rsidRPr="000C0842">
        <w:rPr>
          <w:rFonts w:eastAsia="SimSun" w:hint="eastAsia"/>
          <w:sz w:val="24"/>
          <w:szCs w:val="24"/>
        </w:rPr>
        <w:t>的全权证书</w:t>
      </w:r>
      <w:r w:rsidRPr="000C0842">
        <w:rPr>
          <w:rFonts w:eastAsia="SimSun"/>
          <w:sz w:val="24"/>
          <w:szCs w:val="24"/>
        </w:rPr>
        <w:t>，</w:t>
      </w:r>
      <w:r w:rsidRPr="000C0842">
        <w:rPr>
          <w:rFonts w:eastAsia="SimSun"/>
          <w:sz w:val="24"/>
          <w:szCs w:val="24"/>
        </w:rPr>
        <w:t>1</w:t>
      </w:r>
      <w:r w:rsidRPr="000C0842">
        <w:rPr>
          <w:rFonts w:eastAsia="SimSun"/>
          <w:sz w:val="24"/>
          <w:szCs w:val="24"/>
        </w:rPr>
        <w:t>个登记缔约方的代表提交的全权证书不完全合规。</w:t>
      </w:r>
      <w:r w:rsidRPr="000C0842">
        <w:rPr>
          <w:rFonts w:eastAsia="SimSun"/>
          <w:sz w:val="24"/>
          <w:szCs w:val="24"/>
        </w:rPr>
        <w:t>19</w:t>
      </w:r>
      <w:r w:rsidRPr="000C0842">
        <w:rPr>
          <w:rFonts w:eastAsia="SimSun"/>
          <w:sz w:val="24"/>
          <w:szCs w:val="24"/>
        </w:rPr>
        <w:t>个登记缔约方的代表尚未提交全权证书。</w:t>
      </w:r>
    </w:p>
    <w:p w14:paraId="22283E05" w14:textId="37A0499C" w:rsidR="00A931F5" w:rsidRPr="000C0842" w:rsidRDefault="0093073A"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hint="eastAsia"/>
          <w:sz w:val="24"/>
          <w:szCs w:val="24"/>
        </w:rPr>
        <w:t>在</w:t>
      </w:r>
      <w:r w:rsidR="00526DE8" w:rsidRPr="000C0842">
        <w:rPr>
          <w:rFonts w:eastAsia="SimSun" w:hint="eastAsia"/>
          <w:sz w:val="24"/>
          <w:szCs w:val="24"/>
        </w:rPr>
        <w:t>2024</w:t>
      </w:r>
      <w:r w:rsidR="00526DE8" w:rsidRPr="000C0842">
        <w:rPr>
          <w:rFonts w:eastAsia="SimSun" w:hint="eastAsia"/>
          <w:sz w:val="24"/>
          <w:szCs w:val="24"/>
        </w:rPr>
        <w:t>年</w:t>
      </w:r>
      <w:r w:rsidR="00A931F5" w:rsidRPr="000C0842">
        <w:rPr>
          <w:rFonts w:eastAsia="SimSun"/>
          <w:sz w:val="24"/>
          <w:szCs w:val="24"/>
        </w:rPr>
        <w:t>10</w:t>
      </w:r>
      <w:r w:rsidR="00A931F5" w:rsidRPr="000C0842">
        <w:rPr>
          <w:rFonts w:eastAsia="SimSun"/>
          <w:sz w:val="24"/>
          <w:szCs w:val="24"/>
        </w:rPr>
        <w:t>月</w:t>
      </w:r>
      <w:r w:rsidR="00A931F5" w:rsidRPr="000C0842">
        <w:rPr>
          <w:rFonts w:eastAsia="SimSun"/>
          <w:sz w:val="24"/>
          <w:szCs w:val="24"/>
        </w:rPr>
        <w:t>31</w:t>
      </w:r>
      <w:r w:rsidR="00A931F5" w:rsidRPr="000C0842">
        <w:rPr>
          <w:rFonts w:eastAsia="SimSun"/>
          <w:sz w:val="24"/>
          <w:szCs w:val="24"/>
        </w:rPr>
        <w:t>日第</w:t>
      </w:r>
      <w:r w:rsidR="00A931F5" w:rsidRPr="000C0842">
        <w:rPr>
          <w:rFonts w:eastAsia="SimSun"/>
          <w:sz w:val="24"/>
          <w:szCs w:val="24"/>
        </w:rPr>
        <w:t>4</w:t>
      </w:r>
      <w:r w:rsidR="00A931F5" w:rsidRPr="000C0842">
        <w:rPr>
          <w:rFonts w:eastAsia="SimSun"/>
          <w:sz w:val="24"/>
          <w:szCs w:val="24"/>
        </w:rPr>
        <w:t>场全体会议上</w:t>
      </w:r>
      <w:r w:rsidR="00172CA2" w:rsidRPr="000C0842">
        <w:rPr>
          <w:rFonts w:eastAsia="SimSun" w:hint="eastAsia"/>
          <w:sz w:val="24"/>
          <w:szCs w:val="24"/>
        </w:rPr>
        <w:t>，主席</w:t>
      </w:r>
      <w:r w:rsidR="00A931F5" w:rsidRPr="000C0842">
        <w:rPr>
          <w:rFonts w:eastAsia="SimSun"/>
          <w:sz w:val="24"/>
          <w:szCs w:val="24"/>
        </w:rPr>
        <w:t>说全权证书审查报告已作为</w:t>
      </w:r>
      <w:r w:rsidR="00CC2C9B" w:rsidRPr="000C0842">
        <w:rPr>
          <w:rFonts w:eastAsia="MS Mincho"/>
          <w:sz w:val="24"/>
          <w:szCs w:val="24"/>
        </w:rPr>
        <w:t>CBD/COP/16/INF/41</w:t>
      </w:r>
      <w:r w:rsidR="00831BAE" w:rsidRPr="000C0842">
        <w:rPr>
          <w:rFonts w:eastAsiaTheme="minorEastAsia"/>
          <w:sz w:val="24"/>
          <w:szCs w:val="24"/>
        </w:rPr>
        <w:t>号</w:t>
      </w:r>
      <w:r w:rsidR="00831BAE" w:rsidRPr="000C0842">
        <w:rPr>
          <w:rFonts w:eastAsia="SimSun"/>
          <w:sz w:val="24"/>
          <w:szCs w:val="24"/>
        </w:rPr>
        <w:t>资料文件</w:t>
      </w:r>
      <w:r w:rsidR="00A931F5" w:rsidRPr="000C0842">
        <w:rPr>
          <w:rFonts w:eastAsia="SimSun"/>
          <w:sz w:val="24"/>
          <w:szCs w:val="24"/>
        </w:rPr>
        <w:t>印发。此外，塔吉克斯坦的代表提交了完全符合议事规则第</w:t>
      </w:r>
      <w:r w:rsidR="00A931F5" w:rsidRPr="000C0842">
        <w:rPr>
          <w:rFonts w:eastAsia="SimSun"/>
          <w:sz w:val="24"/>
          <w:szCs w:val="24"/>
        </w:rPr>
        <w:t>18</w:t>
      </w:r>
      <w:r w:rsidR="00A931F5" w:rsidRPr="000C0842">
        <w:rPr>
          <w:rFonts w:eastAsia="SimSun"/>
          <w:sz w:val="24"/>
          <w:szCs w:val="24"/>
        </w:rPr>
        <w:t>条的全权证书，使</w:t>
      </w:r>
      <w:r w:rsidRPr="000C0842">
        <w:rPr>
          <w:rFonts w:eastAsia="SimSun" w:hint="eastAsia"/>
          <w:sz w:val="24"/>
          <w:szCs w:val="24"/>
        </w:rPr>
        <w:t>向</w:t>
      </w:r>
      <w:r w:rsidR="00A931F5" w:rsidRPr="000C0842">
        <w:rPr>
          <w:rFonts w:eastAsia="SimSun"/>
          <w:sz w:val="24"/>
          <w:szCs w:val="24"/>
        </w:rPr>
        <w:t>缔约方大会第十六届会议</w:t>
      </w:r>
      <w:r w:rsidR="00172CA2" w:rsidRPr="000C0842">
        <w:rPr>
          <w:rFonts w:eastAsia="SimSun" w:hint="eastAsia"/>
          <w:sz w:val="24"/>
          <w:szCs w:val="24"/>
        </w:rPr>
        <w:t>提交</w:t>
      </w:r>
      <w:r w:rsidRPr="000C0842">
        <w:rPr>
          <w:rFonts w:eastAsia="SimSun"/>
          <w:sz w:val="24"/>
          <w:szCs w:val="24"/>
        </w:rPr>
        <w:t>完全符合议事规则第</w:t>
      </w:r>
      <w:r w:rsidRPr="000C0842">
        <w:rPr>
          <w:rFonts w:eastAsia="SimSun"/>
          <w:sz w:val="24"/>
          <w:szCs w:val="24"/>
        </w:rPr>
        <w:t>18</w:t>
      </w:r>
      <w:r w:rsidRPr="000C0842">
        <w:rPr>
          <w:rFonts w:eastAsia="SimSun"/>
          <w:sz w:val="24"/>
          <w:szCs w:val="24"/>
        </w:rPr>
        <w:t>条</w:t>
      </w:r>
      <w:r w:rsidR="00A931F5" w:rsidRPr="000C0842">
        <w:rPr>
          <w:rFonts w:eastAsia="SimSun"/>
          <w:sz w:val="24"/>
          <w:szCs w:val="24"/>
        </w:rPr>
        <w:t>的</w:t>
      </w:r>
      <w:r w:rsidR="00172CA2" w:rsidRPr="000C0842">
        <w:rPr>
          <w:rFonts w:eastAsia="SimSun" w:hint="eastAsia"/>
          <w:sz w:val="24"/>
          <w:szCs w:val="24"/>
        </w:rPr>
        <w:t>全权证书的</w:t>
      </w:r>
      <w:r w:rsidR="00A931F5" w:rsidRPr="000C0842">
        <w:rPr>
          <w:rFonts w:eastAsia="SimSun"/>
          <w:sz w:val="24"/>
          <w:szCs w:val="24"/>
        </w:rPr>
        <w:t>缔约方数目达到</w:t>
      </w:r>
      <w:r w:rsidR="00A931F5" w:rsidRPr="000C0842">
        <w:rPr>
          <w:rFonts w:eastAsia="SimSun"/>
          <w:sz w:val="24"/>
          <w:szCs w:val="24"/>
        </w:rPr>
        <w:t>161</w:t>
      </w:r>
      <w:r w:rsidR="00A931F5" w:rsidRPr="000C0842">
        <w:rPr>
          <w:rFonts w:eastAsia="SimSun"/>
          <w:sz w:val="24"/>
          <w:szCs w:val="24"/>
        </w:rPr>
        <w:t>个。</w:t>
      </w:r>
    </w:p>
    <w:p w14:paraId="012284B1" w14:textId="27942596" w:rsidR="00BE4712"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w:t>
      </w:r>
      <w:r w:rsidR="00172CA2" w:rsidRPr="000C0842">
        <w:rPr>
          <w:rFonts w:eastAsia="SimSun" w:hint="eastAsia"/>
          <w:sz w:val="24"/>
          <w:szCs w:val="24"/>
        </w:rPr>
        <w:t>表示</w:t>
      </w:r>
      <w:r w:rsidRPr="000C0842">
        <w:rPr>
          <w:rFonts w:eastAsia="SimSun"/>
          <w:sz w:val="24"/>
          <w:szCs w:val="24"/>
        </w:rPr>
        <w:t>注意到并</w:t>
      </w:r>
      <w:r w:rsidR="000D5A84" w:rsidRPr="000C0842">
        <w:rPr>
          <w:rFonts w:eastAsia="SimSun"/>
          <w:sz w:val="24"/>
          <w:szCs w:val="24"/>
        </w:rPr>
        <w:t>核准</w:t>
      </w:r>
      <w:r w:rsidRPr="000C0842">
        <w:rPr>
          <w:rFonts w:eastAsia="SimSun"/>
          <w:sz w:val="24"/>
          <w:szCs w:val="24"/>
        </w:rPr>
        <w:t>了全权证书审查报告</w:t>
      </w:r>
      <w:r w:rsidR="005D4A4D" w:rsidRPr="000C0842">
        <w:rPr>
          <w:rStyle w:val="FootnoteReference"/>
          <w:rFonts w:eastAsia="MS Mincho"/>
          <w:sz w:val="24"/>
          <w:szCs w:val="24"/>
          <w:lang w:val="en-GB"/>
        </w:rPr>
        <w:footnoteReference w:id="529"/>
      </w:r>
      <w:r w:rsidR="00E02803" w:rsidRPr="000C0842">
        <w:rPr>
          <w:rFonts w:eastAsia="SimSun" w:hint="eastAsia"/>
          <w:sz w:val="24"/>
          <w:szCs w:val="24"/>
        </w:rPr>
        <w:t>。</w:t>
      </w:r>
    </w:p>
    <w:p w14:paraId="28E41752" w14:textId="546D7BFC" w:rsidR="00526DE8" w:rsidRPr="000C0842" w:rsidRDefault="00526DE8" w:rsidP="00172CA2">
      <w:pPr>
        <w:pStyle w:val="ListParagraph"/>
        <w:keepNext/>
        <w:numPr>
          <w:ilvl w:val="0"/>
          <w:numId w:val="0"/>
        </w:numPr>
        <w:tabs>
          <w:tab w:val="clear" w:pos="567"/>
          <w:tab w:val="clear" w:pos="1134"/>
          <w:tab w:val="clear" w:pos="1701"/>
          <w:tab w:val="clear" w:pos="2268"/>
        </w:tabs>
        <w:spacing w:before="120" w:after="120"/>
        <w:ind w:left="490"/>
        <w:contextualSpacing w:val="0"/>
        <w:jc w:val="left"/>
        <w:rPr>
          <w:rFonts w:eastAsia="KaiTi"/>
          <w:sz w:val="24"/>
          <w:szCs w:val="24"/>
        </w:rPr>
      </w:pPr>
      <w:r w:rsidRPr="000C0842">
        <w:rPr>
          <w:rFonts w:eastAsia="KaiTi" w:hint="eastAsia"/>
          <w:sz w:val="24"/>
          <w:szCs w:val="24"/>
        </w:rPr>
        <w:t>第二次续会</w:t>
      </w:r>
    </w:p>
    <w:p w14:paraId="1F5AB1E6" w14:textId="112D5DB6" w:rsidR="00A17BFA" w:rsidRPr="000C0842" w:rsidRDefault="00A17BFA"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在</w:t>
      </w:r>
      <w:r w:rsidR="004521C7" w:rsidRPr="000C0842">
        <w:rPr>
          <w:rFonts w:eastAsia="SimSun" w:hint="eastAsia"/>
          <w:sz w:val="24"/>
          <w:szCs w:val="24"/>
        </w:rPr>
        <w:t>2025</w:t>
      </w:r>
      <w:r w:rsidR="004521C7" w:rsidRPr="000C0842">
        <w:rPr>
          <w:rFonts w:eastAsia="SimSun" w:hint="eastAsia"/>
          <w:sz w:val="24"/>
          <w:szCs w:val="24"/>
        </w:rPr>
        <w:t>年</w:t>
      </w:r>
      <w:r w:rsidR="004521C7" w:rsidRPr="000C0842">
        <w:rPr>
          <w:rFonts w:eastAsia="SimSun" w:hint="eastAsia"/>
          <w:sz w:val="24"/>
          <w:szCs w:val="24"/>
        </w:rPr>
        <w:t>2</w:t>
      </w:r>
      <w:r w:rsidR="004521C7" w:rsidRPr="000C0842">
        <w:rPr>
          <w:rFonts w:eastAsia="SimSun" w:hint="eastAsia"/>
          <w:sz w:val="24"/>
          <w:szCs w:val="24"/>
        </w:rPr>
        <w:t>月</w:t>
      </w:r>
      <w:r w:rsidR="004521C7" w:rsidRPr="000C0842">
        <w:rPr>
          <w:rFonts w:eastAsia="SimSun" w:hint="eastAsia"/>
          <w:sz w:val="24"/>
          <w:szCs w:val="24"/>
        </w:rPr>
        <w:t>26</w:t>
      </w:r>
      <w:r w:rsidR="004521C7" w:rsidRPr="000C0842">
        <w:rPr>
          <w:rFonts w:eastAsia="SimSun" w:hint="eastAsia"/>
          <w:sz w:val="24"/>
          <w:szCs w:val="24"/>
        </w:rPr>
        <w:t>日</w:t>
      </w:r>
      <w:r w:rsidRPr="000C0842">
        <w:rPr>
          <w:rFonts w:eastAsia="SimSun"/>
          <w:sz w:val="24"/>
          <w:szCs w:val="24"/>
        </w:rPr>
        <w:t>第</w:t>
      </w:r>
      <w:r w:rsidR="004521C7" w:rsidRPr="000C0842">
        <w:rPr>
          <w:rFonts w:eastAsia="SimSun" w:hint="eastAsia"/>
          <w:sz w:val="24"/>
          <w:szCs w:val="24"/>
        </w:rPr>
        <w:t>9</w:t>
      </w:r>
      <w:r w:rsidR="0043036E" w:rsidRPr="000C0842">
        <w:rPr>
          <w:rFonts w:eastAsia="SimSun"/>
          <w:sz w:val="24"/>
          <w:szCs w:val="24"/>
        </w:rPr>
        <w:t>场</w:t>
      </w:r>
      <w:r w:rsidRPr="000C0842">
        <w:rPr>
          <w:rFonts w:eastAsia="SimSun"/>
          <w:sz w:val="24"/>
          <w:szCs w:val="24"/>
        </w:rPr>
        <w:t>全体会议</w:t>
      </w:r>
      <w:r w:rsidR="00172CA2" w:rsidRPr="000C0842">
        <w:rPr>
          <w:rFonts w:eastAsia="SimSun" w:hint="eastAsia"/>
          <w:sz w:val="24"/>
          <w:szCs w:val="24"/>
        </w:rPr>
        <w:t>上</w:t>
      </w:r>
      <w:r w:rsidR="008474B4" w:rsidRPr="000C0842">
        <w:rPr>
          <w:rFonts w:eastAsia="SimSun" w:hint="eastAsia"/>
          <w:sz w:val="24"/>
          <w:szCs w:val="24"/>
        </w:rPr>
        <w:t>，</w:t>
      </w:r>
      <w:r w:rsidR="008474B4" w:rsidRPr="000C0842">
        <w:rPr>
          <w:rFonts w:eastAsia="SimSun"/>
          <w:sz w:val="24"/>
          <w:szCs w:val="24"/>
        </w:rPr>
        <w:t>Mabuza</w:t>
      </w:r>
      <w:r w:rsidR="008474B4" w:rsidRPr="000C0842">
        <w:rPr>
          <w:rFonts w:eastAsia="SimSun"/>
          <w:sz w:val="24"/>
          <w:szCs w:val="24"/>
        </w:rPr>
        <w:t>女士</w:t>
      </w:r>
      <w:r w:rsidRPr="000C0842">
        <w:rPr>
          <w:rFonts w:eastAsia="SimSun"/>
          <w:sz w:val="24"/>
          <w:szCs w:val="24"/>
        </w:rPr>
        <w:t>告知缔约方大会，</w:t>
      </w:r>
      <w:r w:rsidR="004521C7" w:rsidRPr="000C0842">
        <w:rPr>
          <w:rFonts w:eastAsia="SimSun" w:hint="eastAsia"/>
          <w:sz w:val="24"/>
          <w:szCs w:val="24"/>
        </w:rPr>
        <w:t>153</w:t>
      </w:r>
      <w:r w:rsidR="004521C7" w:rsidRPr="000C0842">
        <w:rPr>
          <w:rFonts w:eastAsia="SimSun" w:hint="eastAsia"/>
          <w:sz w:val="24"/>
          <w:szCs w:val="24"/>
        </w:rPr>
        <w:t>个缔约方</w:t>
      </w:r>
      <w:r w:rsidRPr="000C0842">
        <w:rPr>
          <w:rFonts w:eastAsia="SimSun"/>
          <w:sz w:val="24"/>
          <w:szCs w:val="24"/>
        </w:rPr>
        <w:t>登记参加第二次续会。</w:t>
      </w:r>
      <w:r w:rsidR="004521C7" w:rsidRPr="000C0842">
        <w:rPr>
          <w:rFonts w:eastAsia="SimSun"/>
          <w:sz w:val="24"/>
          <w:szCs w:val="24"/>
        </w:rPr>
        <w:t>139</w:t>
      </w:r>
      <w:r w:rsidR="004521C7" w:rsidRPr="000C0842">
        <w:rPr>
          <w:rFonts w:eastAsia="SimSun"/>
          <w:sz w:val="24"/>
          <w:szCs w:val="24"/>
        </w:rPr>
        <w:t>个登记缔约方的代表</w:t>
      </w:r>
      <w:r w:rsidR="00172CA2" w:rsidRPr="000C0842">
        <w:rPr>
          <w:rFonts w:eastAsia="SimSun"/>
          <w:sz w:val="24"/>
          <w:szCs w:val="24"/>
        </w:rPr>
        <w:t>提交</w:t>
      </w:r>
      <w:r w:rsidR="00172CA2" w:rsidRPr="000C0842">
        <w:rPr>
          <w:rFonts w:eastAsia="SimSun" w:hint="eastAsia"/>
          <w:sz w:val="24"/>
          <w:szCs w:val="24"/>
        </w:rPr>
        <w:t>了</w:t>
      </w:r>
      <w:r w:rsidR="004521C7" w:rsidRPr="000C0842">
        <w:rPr>
          <w:rFonts w:eastAsia="SimSun"/>
          <w:sz w:val="24"/>
          <w:szCs w:val="24"/>
        </w:rPr>
        <w:t>完全</w:t>
      </w:r>
      <w:r w:rsidR="00172CA2" w:rsidRPr="000C0842">
        <w:rPr>
          <w:rFonts w:eastAsia="SimSun" w:hint="eastAsia"/>
          <w:sz w:val="24"/>
          <w:szCs w:val="24"/>
        </w:rPr>
        <w:t>符合</w:t>
      </w:r>
      <w:r w:rsidR="004521C7" w:rsidRPr="000C0842">
        <w:rPr>
          <w:rFonts w:eastAsia="SimSun"/>
          <w:sz w:val="24"/>
          <w:szCs w:val="24"/>
        </w:rPr>
        <w:t>议事规则第</w:t>
      </w:r>
      <w:r w:rsidR="004521C7" w:rsidRPr="000C0842">
        <w:rPr>
          <w:rFonts w:eastAsia="SimSun"/>
          <w:sz w:val="24"/>
          <w:szCs w:val="24"/>
        </w:rPr>
        <w:t>18</w:t>
      </w:r>
      <w:r w:rsidR="004521C7" w:rsidRPr="000C0842">
        <w:rPr>
          <w:rFonts w:eastAsia="SimSun"/>
          <w:sz w:val="24"/>
          <w:szCs w:val="24"/>
        </w:rPr>
        <w:t>条</w:t>
      </w:r>
      <w:r w:rsidR="00172CA2" w:rsidRPr="000C0842">
        <w:rPr>
          <w:rFonts w:eastAsia="SimSun" w:hint="eastAsia"/>
          <w:sz w:val="24"/>
          <w:szCs w:val="24"/>
        </w:rPr>
        <w:t>的全权证书</w:t>
      </w:r>
      <w:r w:rsidR="004521C7" w:rsidRPr="000C0842">
        <w:rPr>
          <w:rFonts w:eastAsia="SimSun"/>
          <w:sz w:val="24"/>
          <w:szCs w:val="24"/>
        </w:rPr>
        <w:t>，</w:t>
      </w:r>
      <w:r w:rsidR="004521C7" w:rsidRPr="000C0842">
        <w:rPr>
          <w:rFonts w:eastAsia="SimSun"/>
          <w:sz w:val="24"/>
          <w:szCs w:val="24"/>
        </w:rPr>
        <w:t>14</w:t>
      </w:r>
      <w:r w:rsidR="004521C7" w:rsidRPr="000C0842">
        <w:rPr>
          <w:rFonts w:eastAsia="SimSun"/>
          <w:sz w:val="24"/>
          <w:szCs w:val="24"/>
        </w:rPr>
        <w:t>个登记缔约方的代表尚未提交全权证书。关于第二次</w:t>
      </w:r>
      <w:r w:rsidR="00172CA2" w:rsidRPr="000C0842">
        <w:rPr>
          <w:rFonts w:eastAsia="SimSun"/>
          <w:sz w:val="24"/>
          <w:szCs w:val="24"/>
        </w:rPr>
        <w:t>续会</w:t>
      </w:r>
      <w:r w:rsidR="004521C7" w:rsidRPr="000C0842">
        <w:rPr>
          <w:rFonts w:eastAsia="SimSun"/>
          <w:sz w:val="24"/>
          <w:szCs w:val="24"/>
        </w:rPr>
        <w:t>全权证书的报告已作为</w:t>
      </w:r>
      <w:hyperlink r:id="rId364" w:history="1">
        <w:r w:rsidR="004521C7" w:rsidRPr="000C0842">
          <w:rPr>
            <w:rStyle w:val="Hyperlink"/>
            <w:rFonts w:eastAsia="SimSun"/>
            <w:color w:val="auto"/>
            <w:sz w:val="24"/>
            <w:szCs w:val="24"/>
          </w:rPr>
          <w:t>CBD/COP/16/INF/44</w:t>
        </w:r>
      </w:hyperlink>
      <w:r w:rsidR="00172CA2" w:rsidRPr="000C0842">
        <w:rPr>
          <w:rFonts w:eastAsia="SimSun" w:hint="eastAsia"/>
          <w:sz w:val="24"/>
          <w:szCs w:val="24"/>
        </w:rPr>
        <w:t>号资料文件</w:t>
      </w:r>
      <w:r w:rsidR="003B4598" w:rsidRPr="000C0842">
        <w:rPr>
          <w:rFonts w:eastAsia="SimSun" w:hint="eastAsia"/>
          <w:sz w:val="24"/>
          <w:szCs w:val="24"/>
        </w:rPr>
        <w:t>印发</w:t>
      </w:r>
      <w:r w:rsidR="004521C7" w:rsidRPr="000C0842">
        <w:rPr>
          <w:rFonts w:eastAsia="SimSun"/>
          <w:sz w:val="24"/>
          <w:szCs w:val="24"/>
        </w:rPr>
        <w:t>。</w:t>
      </w:r>
    </w:p>
    <w:p w14:paraId="1C2EBE44" w14:textId="2462B57A" w:rsidR="00A17BFA" w:rsidRPr="000C0842" w:rsidRDefault="004521C7"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hint="eastAsia"/>
          <w:sz w:val="24"/>
          <w:szCs w:val="24"/>
        </w:rPr>
        <w:t>缔约方大会表示注意到并核准</w:t>
      </w:r>
      <w:r w:rsidR="00172CA2" w:rsidRPr="000C0842">
        <w:rPr>
          <w:rFonts w:eastAsia="SimSun" w:hint="eastAsia"/>
          <w:sz w:val="24"/>
          <w:szCs w:val="24"/>
        </w:rPr>
        <w:t>了</w:t>
      </w:r>
      <w:r w:rsidRPr="000C0842">
        <w:rPr>
          <w:rFonts w:eastAsia="SimSun" w:hint="eastAsia"/>
          <w:sz w:val="24"/>
          <w:szCs w:val="24"/>
        </w:rPr>
        <w:t>关于全权证书的报告</w:t>
      </w:r>
      <w:r w:rsidR="003B4598" w:rsidRPr="000C0842">
        <w:rPr>
          <w:rStyle w:val="FootnoteReference"/>
          <w:rFonts w:eastAsia="SimSun"/>
          <w:sz w:val="24"/>
          <w:szCs w:val="24"/>
        </w:rPr>
        <w:footnoteReference w:id="530"/>
      </w:r>
      <w:r w:rsidRPr="000C0842">
        <w:rPr>
          <w:rFonts w:eastAsia="SimSun" w:hint="eastAsia"/>
          <w:sz w:val="24"/>
          <w:szCs w:val="24"/>
        </w:rPr>
        <w:t>。</w:t>
      </w:r>
    </w:p>
    <w:p w14:paraId="24492576" w14:textId="141896AC" w:rsidR="00BE4712" w:rsidRPr="000C0842" w:rsidRDefault="00BE4712" w:rsidP="004E5EE5">
      <w:pPr>
        <w:pStyle w:val="a1"/>
        <w:ind w:left="0"/>
        <w:rPr>
          <w:rFonts w:hint="eastAsia"/>
          <w:lang w:eastAsia="zh-CN"/>
        </w:rPr>
      </w:pPr>
      <w:bookmarkStart w:id="146" w:name="_Toc206358240"/>
      <w:r w:rsidRPr="000C0842">
        <w:rPr>
          <w:lang w:eastAsia="zh-CN"/>
        </w:rPr>
        <w:t>项目</w:t>
      </w:r>
      <w:r w:rsidRPr="000C0842">
        <w:rPr>
          <w:lang w:eastAsia="zh-CN"/>
        </w:rPr>
        <w:t>4</w:t>
      </w:r>
      <w:r w:rsidRPr="000C0842">
        <w:rPr>
          <w:lang w:eastAsia="zh-CN"/>
        </w:rPr>
        <w:br/>
      </w:r>
      <w:r w:rsidRPr="000C0842">
        <w:rPr>
          <w:lang w:eastAsia="zh-CN"/>
        </w:rPr>
        <w:t>未决问题</w:t>
      </w:r>
      <w:bookmarkEnd w:id="146"/>
    </w:p>
    <w:p w14:paraId="252EEB53" w14:textId="65C320E9" w:rsidR="00BE4712" w:rsidRPr="000C0842" w:rsidRDefault="00A17BFA"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w:t>
      </w:r>
      <w:r w:rsidR="00BE4712" w:rsidRPr="000C0842">
        <w:rPr>
          <w:rFonts w:eastAsia="SimSun"/>
          <w:sz w:val="24"/>
          <w:szCs w:val="24"/>
        </w:rPr>
        <w:t>第</w:t>
      </w:r>
      <w:r w:rsidR="00BE4712" w:rsidRPr="000C0842">
        <w:rPr>
          <w:rFonts w:eastAsia="SimSun"/>
          <w:sz w:val="24"/>
          <w:szCs w:val="24"/>
        </w:rPr>
        <w:t>2</w:t>
      </w:r>
      <w:r w:rsidR="00BE4712" w:rsidRPr="000C0842">
        <w:rPr>
          <w:rFonts w:eastAsia="SimSun"/>
          <w:sz w:val="24"/>
          <w:szCs w:val="24"/>
        </w:rPr>
        <w:t>场全体会议审议了议程项目</w:t>
      </w:r>
      <w:r w:rsidR="00BE4712" w:rsidRPr="000C0842">
        <w:rPr>
          <w:rFonts w:eastAsia="SimSun"/>
          <w:sz w:val="24"/>
          <w:szCs w:val="24"/>
        </w:rPr>
        <w:t>4</w:t>
      </w:r>
      <w:r w:rsidR="00BE4712" w:rsidRPr="000C0842">
        <w:rPr>
          <w:rFonts w:eastAsia="SimSun"/>
          <w:sz w:val="24"/>
          <w:szCs w:val="24"/>
        </w:rPr>
        <w:t>。唯一</w:t>
      </w:r>
      <w:r w:rsidRPr="000C0842">
        <w:rPr>
          <w:rFonts w:eastAsia="SimSun"/>
          <w:sz w:val="24"/>
          <w:szCs w:val="24"/>
        </w:rPr>
        <w:t>的</w:t>
      </w:r>
      <w:r w:rsidR="00BE4712" w:rsidRPr="000C0842">
        <w:rPr>
          <w:rFonts w:eastAsia="SimSun"/>
          <w:sz w:val="24"/>
          <w:szCs w:val="24"/>
        </w:rPr>
        <w:t>未决问题是议事规则第</w:t>
      </w:r>
      <w:r w:rsidR="00BE4712" w:rsidRPr="000C0842">
        <w:rPr>
          <w:rFonts w:eastAsia="SimSun"/>
          <w:sz w:val="24"/>
          <w:szCs w:val="24"/>
        </w:rPr>
        <w:t>40</w:t>
      </w:r>
      <w:r w:rsidR="00BE4712" w:rsidRPr="000C0842">
        <w:rPr>
          <w:rFonts w:eastAsia="SimSun"/>
          <w:sz w:val="24"/>
          <w:szCs w:val="24"/>
        </w:rPr>
        <w:t>条第</w:t>
      </w:r>
      <w:r w:rsidR="00BE4712" w:rsidRPr="000C0842">
        <w:rPr>
          <w:rFonts w:eastAsia="SimSun"/>
          <w:sz w:val="24"/>
          <w:szCs w:val="24"/>
        </w:rPr>
        <w:t>1</w:t>
      </w:r>
      <w:r w:rsidR="00BE4712" w:rsidRPr="000C0842">
        <w:rPr>
          <w:rFonts w:eastAsia="SimSun"/>
          <w:sz w:val="24"/>
          <w:szCs w:val="24"/>
        </w:rPr>
        <w:t>款和公约信托基金财务</w:t>
      </w:r>
      <w:r w:rsidR="008474B4" w:rsidRPr="000C0842">
        <w:rPr>
          <w:rFonts w:eastAsia="SimSun"/>
          <w:sz w:val="24"/>
          <w:szCs w:val="24"/>
        </w:rPr>
        <w:t>管理</w:t>
      </w:r>
      <w:r w:rsidR="00BE4712" w:rsidRPr="000C0842">
        <w:rPr>
          <w:rFonts w:eastAsia="SimSun"/>
          <w:sz w:val="24"/>
          <w:szCs w:val="24"/>
        </w:rPr>
        <w:t>细则第</w:t>
      </w:r>
      <w:r w:rsidR="00BE4712" w:rsidRPr="000C0842">
        <w:rPr>
          <w:rFonts w:eastAsia="SimSun"/>
          <w:sz w:val="24"/>
          <w:szCs w:val="24"/>
        </w:rPr>
        <w:t>4</w:t>
      </w:r>
      <w:r w:rsidR="008474B4" w:rsidRPr="000C0842">
        <w:rPr>
          <w:rFonts w:eastAsia="SimSun" w:hint="eastAsia"/>
          <w:sz w:val="24"/>
          <w:szCs w:val="24"/>
        </w:rPr>
        <w:t>款</w:t>
      </w:r>
      <w:r w:rsidR="00BE4712" w:rsidRPr="000C0842">
        <w:rPr>
          <w:rFonts w:eastAsia="SimSun"/>
          <w:sz w:val="24"/>
          <w:szCs w:val="24"/>
        </w:rPr>
        <w:t>和第</w:t>
      </w:r>
      <w:r w:rsidR="00BE4712" w:rsidRPr="000C0842">
        <w:rPr>
          <w:rFonts w:eastAsia="SimSun"/>
          <w:sz w:val="24"/>
          <w:szCs w:val="24"/>
        </w:rPr>
        <w:t>16</w:t>
      </w:r>
      <w:r w:rsidR="008474B4" w:rsidRPr="000C0842">
        <w:rPr>
          <w:rFonts w:eastAsia="SimSun" w:hint="eastAsia"/>
          <w:sz w:val="24"/>
          <w:szCs w:val="24"/>
        </w:rPr>
        <w:t>款</w:t>
      </w:r>
      <w:r w:rsidR="00BE4712" w:rsidRPr="000C0842">
        <w:rPr>
          <w:rFonts w:eastAsia="SimSun"/>
          <w:sz w:val="24"/>
          <w:szCs w:val="24"/>
        </w:rPr>
        <w:t>，由于缔约方尚未就实质性问题表决所需多数达成共识，这些案文仍置于方括号内。</w:t>
      </w:r>
    </w:p>
    <w:p w14:paraId="14068AC3" w14:textId="5A80D68D" w:rsidR="00BE4712" w:rsidRPr="000C0842" w:rsidRDefault="00BE4712"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缔约方大会商定将这项问题的讨论推迟到第十七届会议进行。</w:t>
      </w:r>
    </w:p>
    <w:p w14:paraId="5A060E21" w14:textId="125DF7EC" w:rsidR="00BE4712" w:rsidRPr="000C0842" w:rsidRDefault="00BE4712" w:rsidP="004E5EE5">
      <w:pPr>
        <w:pStyle w:val="a1"/>
        <w:ind w:left="0"/>
        <w:rPr>
          <w:rFonts w:hint="eastAsia"/>
          <w:lang w:eastAsia="zh-CN"/>
        </w:rPr>
      </w:pPr>
      <w:bookmarkStart w:id="147" w:name="_Toc206358241"/>
      <w:r w:rsidRPr="000C0842">
        <w:rPr>
          <w:lang w:eastAsia="zh-CN"/>
        </w:rPr>
        <w:t>项目</w:t>
      </w:r>
      <w:r w:rsidRPr="000C0842">
        <w:rPr>
          <w:lang w:eastAsia="zh-CN"/>
        </w:rPr>
        <w:t>5</w:t>
      </w:r>
      <w:r w:rsidRPr="000C0842">
        <w:rPr>
          <w:lang w:eastAsia="zh-CN"/>
        </w:rPr>
        <w:br/>
      </w:r>
      <w:r w:rsidRPr="000C0842">
        <w:rPr>
          <w:lang w:eastAsia="zh-CN"/>
        </w:rPr>
        <w:t>缔约方大会今后会议的日期和地点</w:t>
      </w:r>
      <w:bookmarkEnd w:id="147"/>
    </w:p>
    <w:p w14:paraId="1EBDBB94" w14:textId="54809BB5"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缔约方大会第</w:t>
      </w:r>
      <w:r w:rsidRPr="000C0842">
        <w:rPr>
          <w:rFonts w:eastAsia="SimSun"/>
          <w:sz w:val="24"/>
          <w:szCs w:val="24"/>
        </w:rPr>
        <w:t>1</w:t>
      </w:r>
      <w:r w:rsidRPr="000C0842">
        <w:rPr>
          <w:rFonts w:eastAsia="SimSun"/>
          <w:sz w:val="24"/>
          <w:szCs w:val="24"/>
        </w:rPr>
        <w:t>场全体会议审议了议程项目</w:t>
      </w:r>
      <w:r w:rsidRPr="000C0842">
        <w:rPr>
          <w:rFonts w:eastAsia="SimSun"/>
          <w:sz w:val="24"/>
          <w:szCs w:val="24"/>
        </w:rPr>
        <w:t>5</w:t>
      </w:r>
      <w:r w:rsidRPr="000C0842">
        <w:rPr>
          <w:rFonts w:eastAsia="SimSun"/>
          <w:sz w:val="24"/>
          <w:szCs w:val="24"/>
        </w:rPr>
        <w:t>。会议收到了一项决定草案</w:t>
      </w:r>
      <w:r w:rsidR="005D4A4D" w:rsidRPr="000C0842">
        <w:rPr>
          <w:rStyle w:val="FootnoteReference"/>
          <w:rFonts w:eastAsia="MS Mincho"/>
          <w:kern w:val="22"/>
          <w:sz w:val="24"/>
          <w:szCs w:val="24"/>
        </w:rPr>
        <w:footnoteReference w:id="531"/>
      </w:r>
      <w:r w:rsidR="00E02803" w:rsidRPr="000C0842">
        <w:rPr>
          <w:rFonts w:eastAsia="SimSun" w:hint="eastAsia"/>
          <w:sz w:val="24"/>
          <w:szCs w:val="24"/>
        </w:rPr>
        <w:t>。</w:t>
      </w:r>
    </w:p>
    <w:p w14:paraId="3558DB6C" w14:textId="4DD914DD" w:rsidR="00BE4712" w:rsidRPr="000C0842" w:rsidRDefault="00BE4712" w:rsidP="00A931F5">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0C0842">
        <w:rPr>
          <w:rFonts w:eastAsia="SimSun"/>
          <w:sz w:val="24"/>
          <w:szCs w:val="24"/>
        </w:rPr>
        <w:t>缔约方大会注意到，预期第十七届会议将由</w:t>
      </w:r>
      <w:r w:rsidR="00506E58" w:rsidRPr="000C0842">
        <w:rPr>
          <w:rFonts w:eastAsia="SimSun" w:hint="eastAsia"/>
          <w:sz w:val="24"/>
          <w:szCs w:val="24"/>
        </w:rPr>
        <w:t>一个</w:t>
      </w:r>
      <w:r w:rsidRPr="000C0842">
        <w:rPr>
          <w:rFonts w:eastAsia="SimSun"/>
          <w:sz w:val="24"/>
          <w:szCs w:val="24"/>
        </w:rPr>
        <w:t>东欧国家缔约方主办，秘书处收到该区域两个缔约方愿意主办该届</w:t>
      </w:r>
      <w:r w:rsidR="00506E58" w:rsidRPr="000C0842">
        <w:rPr>
          <w:rFonts w:eastAsia="SimSun" w:hint="eastAsia"/>
          <w:sz w:val="24"/>
          <w:szCs w:val="24"/>
        </w:rPr>
        <w:t>会议</w:t>
      </w:r>
      <w:r w:rsidRPr="000C0842">
        <w:rPr>
          <w:rFonts w:eastAsia="SimSun"/>
          <w:sz w:val="24"/>
          <w:szCs w:val="24"/>
        </w:rPr>
        <w:t>的提议。缔约方商定，将由该区域</w:t>
      </w:r>
      <w:r w:rsidR="00506E58" w:rsidRPr="000C0842">
        <w:rPr>
          <w:rFonts w:eastAsia="SimSun" w:hint="eastAsia"/>
          <w:sz w:val="24"/>
          <w:szCs w:val="24"/>
        </w:rPr>
        <w:t>组</w:t>
      </w:r>
      <w:r w:rsidRPr="000C0842">
        <w:rPr>
          <w:rFonts w:eastAsia="SimSun"/>
          <w:sz w:val="24"/>
          <w:szCs w:val="24"/>
        </w:rPr>
        <w:t>进行</w:t>
      </w:r>
      <w:r w:rsidR="00506E58" w:rsidRPr="000C0842">
        <w:rPr>
          <w:rFonts w:eastAsia="SimSun" w:hint="eastAsia"/>
          <w:sz w:val="24"/>
          <w:szCs w:val="24"/>
        </w:rPr>
        <w:t>磋商</w:t>
      </w:r>
      <w:r w:rsidRPr="000C0842">
        <w:rPr>
          <w:rFonts w:eastAsia="SimSun"/>
          <w:sz w:val="24"/>
          <w:szCs w:val="24"/>
        </w:rPr>
        <w:t>以期就该事项达成一致意见。</w:t>
      </w:r>
    </w:p>
    <w:p w14:paraId="11039015" w14:textId="04D51B07" w:rsidR="00A931F5" w:rsidRPr="000C0842" w:rsidRDefault="00D05740"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缔约方大会第</w:t>
      </w:r>
      <w:r w:rsidR="00A931F5" w:rsidRPr="000C0842">
        <w:rPr>
          <w:rFonts w:eastAsia="SimSun"/>
          <w:sz w:val="24"/>
          <w:szCs w:val="24"/>
        </w:rPr>
        <w:t>3</w:t>
      </w:r>
      <w:r w:rsidR="00A931F5" w:rsidRPr="000C0842">
        <w:rPr>
          <w:rFonts w:eastAsia="SimSun"/>
          <w:sz w:val="24"/>
          <w:szCs w:val="24"/>
        </w:rPr>
        <w:t>场全体会议听取了亚美尼亚和阿塞拜疆代表团的发言。</w:t>
      </w:r>
    </w:p>
    <w:p w14:paraId="50BB2CB3" w14:textId="6EE91B40"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缔约方大会商定就此事项举行无记名投票。</w:t>
      </w:r>
    </w:p>
    <w:p w14:paraId="37AEBC46" w14:textId="2B949583"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秘书处的</w:t>
      </w:r>
      <w:r w:rsidR="00CC2C9B" w:rsidRPr="000C0842">
        <w:rPr>
          <w:rFonts w:eastAsia="SimSun"/>
          <w:sz w:val="24"/>
          <w:szCs w:val="24"/>
        </w:rPr>
        <w:t>一名</w:t>
      </w:r>
      <w:r w:rsidRPr="000C0842">
        <w:rPr>
          <w:rFonts w:eastAsia="SimSun"/>
          <w:sz w:val="24"/>
          <w:szCs w:val="24"/>
        </w:rPr>
        <w:t>代表在第</w:t>
      </w:r>
      <w:r w:rsidRPr="000C0842">
        <w:rPr>
          <w:rFonts w:eastAsia="SimSun"/>
          <w:sz w:val="24"/>
          <w:szCs w:val="24"/>
        </w:rPr>
        <w:t>4</w:t>
      </w:r>
      <w:r w:rsidR="00AE366C" w:rsidRPr="000C0842">
        <w:rPr>
          <w:rFonts w:eastAsia="SimSun"/>
          <w:sz w:val="24"/>
          <w:szCs w:val="24"/>
        </w:rPr>
        <w:t>场</w:t>
      </w:r>
      <w:r w:rsidRPr="000C0842">
        <w:rPr>
          <w:rFonts w:eastAsia="SimSun"/>
          <w:sz w:val="24"/>
          <w:szCs w:val="24"/>
        </w:rPr>
        <w:t>全体会议上概述了议事规则第</w:t>
      </w:r>
      <w:r w:rsidRPr="000C0842">
        <w:rPr>
          <w:rFonts w:eastAsia="SimSun"/>
          <w:sz w:val="24"/>
          <w:szCs w:val="24"/>
        </w:rPr>
        <w:t>46</w:t>
      </w:r>
      <w:r w:rsidRPr="000C0842">
        <w:rPr>
          <w:rFonts w:eastAsia="SimSun"/>
          <w:sz w:val="24"/>
          <w:szCs w:val="24"/>
        </w:rPr>
        <w:t>条规定的投票程序，并提请</w:t>
      </w:r>
      <w:r w:rsidR="00CC2C9B" w:rsidRPr="000C0842">
        <w:rPr>
          <w:rFonts w:eastAsia="SimSun"/>
          <w:sz w:val="24"/>
          <w:szCs w:val="24"/>
        </w:rPr>
        <w:t>会议</w:t>
      </w:r>
      <w:r w:rsidRPr="000C0842">
        <w:rPr>
          <w:rFonts w:eastAsia="SimSun"/>
          <w:sz w:val="24"/>
          <w:szCs w:val="24"/>
        </w:rPr>
        <w:t>注意</w:t>
      </w:r>
      <w:hyperlink r:id="rId365" w:history="1">
        <w:r w:rsidR="00A17BFA" w:rsidRPr="000C0842">
          <w:rPr>
            <w:rStyle w:val="Hyperlink"/>
            <w:rFonts w:eastAsia="SimSun"/>
            <w:color w:val="auto"/>
            <w:sz w:val="24"/>
            <w:szCs w:val="24"/>
            <w:lang w:val="en-GB"/>
          </w:rPr>
          <w:t>CBD/COP/16/INF/42</w:t>
        </w:r>
      </w:hyperlink>
      <w:r w:rsidR="00831BAE" w:rsidRPr="000C0842">
        <w:rPr>
          <w:rFonts w:eastAsia="SimSun"/>
          <w:sz w:val="24"/>
          <w:szCs w:val="24"/>
          <w:lang w:val="en-GB"/>
        </w:rPr>
        <w:t>号</w:t>
      </w:r>
      <w:r w:rsidR="00831BAE" w:rsidRPr="000C0842">
        <w:rPr>
          <w:rFonts w:eastAsia="SimSun"/>
          <w:sz w:val="24"/>
          <w:szCs w:val="24"/>
        </w:rPr>
        <w:t>资料文件</w:t>
      </w:r>
      <w:r w:rsidR="00586997" w:rsidRPr="000C0842">
        <w:rPr>
          <w:rFonts w:eastAsia="SimSun" w:hint="eastAsia"/>
          <w:sz w:val="24"/>
          <w:szCs w:val="24"/>
        </w:rPr>
        <w:t>，其中</w:t>
      </w:r>
      <w:r w:rsidR="00586997" w:rsidRPr="000C0842">
        <w:rPr>
          <w:rFonts w:eastAsia="SimSun"/>
          <w:sz w:val="24"/>
          <w:szCs w:val="24"/>
        </w:rPr>
        <w:t>载有</w:t>
      </w:r>
      <w:r w:rsidR="00586997" w:rsidRPr="000C0842">
        <w:rPr>
          <w:rFonts w:eastAsia="SimSun" w:hint="eastAsia"/>
          <w:sz w:val="24"/>
          <w:szCs w:val="24"/>
        </w:rPr>
        <w:t>决定</w:t>
      </w:r>
      <w:r w:rsidR="00586997" w:rsidRPr="000C0842">
        <w:rPr>
          <w:rFonts w:eastAsia="SimSun"/>
          <w:sz w:val="24"/>
          <w:szCs w:val="24"/>
        </w:rPr>
        <w:t>公约缔约方大会第十七届会议地点</w:t>
      </w:r>
      <w:r w:rsidR="00586997" w:rsidRPr="000C0842">
        <w:rPr>
          <w:rFonts w:eastAsia="SimSun" w:hint="eastAsia"/>
          <w:sz w:val="24"/>
          <w:szCs w:val="24"/>
        </w:rPr>
        <w:t>的</w:t>
      </w:r>
      <w:r w:rsidR="00586997" w:rsidRPr="000C0842">
        <w:rPr>
          <w:rFonts w:eastAsia="SimSun"/>
          <w:sz w:val="24"/>
          <w:szCs w:val="24"/>
        </w:rPr>
        <w:t>程序</w:t>
      </w:r>
      <w:r w:rsidRPr="000C0842">
        <w:rPr>
          <w:rFonts w:eastAsia="SimSun"/>
          <w:sz w:val="24"/>
          <w:szCs w:val="24"/>
        </w:rPr>
        <w:t>。</w:t>
      </w:r>
    </w:p>
    <w:p w14:paraId="45799CD3" w14:textId="65D83CD5"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Eloundou</w:t>
      </w:r>
      <w:r w:rsidR="00A17BFA" w:rsidRPr="000C0842">
        <w:rPr>
          <w:rFonts w:eastAsia="SimSun"/>
          <w:sz w:val="24"/>
          <w:szCs w:val="24"/>
        </w:rPr>
        <w:t>女士</w:t>
      </w:r>
      <w:r w:rsidRPr="000C0842">
        <w:rPr>
          <w:rFonts w:eastAsia="SimSun"/>
          <w:sz w:val="24"/>
          <w:szCs w:val="24"/>
        </w:rPr>
        <w:t>（喀麦隆）、</w:t>
      </w:r>
      <w:r w:rsidRPr="000C0842">
        <w:rPr>
          <w:rFonts w:eastAsia="SimSun"/>
          <w:sz w:val="24"/>
          <w:szCs w:val="24"/>
        </w:rPr>
        <w:t xml:space="preserve">Nenenteiti </w:t>
      </w:r>
      <w:r w:rsidR="00A17BFA" w:rsidRPr="000C0842">
        <w:rPr>
          <w:rFonts w:eastAsia="SimSun"/>
          <w:sz w:val="24"/>
          <w:szCs w:val="24"/>
        </w:rPr>
        <w:t>Tearniki-</w:t>
      </w:r>
      <w:r w:rsidRPr="000C0842">
        <w:rPr>
          <w:rFonts w:eastAsia="SimSun"/>
          <w:sz w:val="24"/>
          <w:szCs w:val="24"/>
        </w:rPr>
        <w:t>Ruatu</w:t>
      </w:r>
      <w:r w:rsidRPr="000C0842">
        <w:rPr>
          <w:rFonts w:eastAsia="SimSun"/>
          <w:sz w:val="24"/>
          <w:szCs w:val="24"/>
        </w:rPr>
        <w:t>（基里巴斯）和</w:t>
      </w:r>
      <w:r w:rsidRPr="000C0842">
        <w:rPr>
          <w:rFonts w:eastAsia="SimSun"/>
          <w:sz w:val="24"/>
          <w:szCs w:val="24"/>
        </w:rPr>
        <w:t>Jeremiah Edmund</w:t>
      </w:r>
      <w:r w:rsidRPr="000C0842">
        <w:rPr>
          <w:rFonts w:eastAsia="SimSun"/>
          <w:sz w:val="24"/>
          <w:szCs w:val="24"/>
        </w:rPr>
        <w:t>（圣卢西亚）应主席邀请担任计票人。</w:t>
      </w:r>
    </w:p>
    <w:p w14:paraId="65822ADC" w14:textId="3A6F7DA4" w:rsidR="00A931F5" w:rsidRPr="000C0842"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进行了无记名投票</w:t>
      </w:r>
      <w:r w:rsidR="00A17BFA" w:rsidRPr="000C0842">
        <w:rPr>
          <w:rFonts w:eastAsia="SimSun"/>
          <w:sz w:val="24"/>
          <w:szCs w:val="24"/>
        </w:rPr>
        <w:t>，结果如下：</w:t>
      </w:r>
    </w:p>
    <w:p w14:paraId="28A87762" w14:textId="394B4BA5" w:rsidR="00121AB2"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sidRPr="000C0842">
        <w:rPr>
          <w:rFonts w:eastAsia="SimSun"/>
          <w:sz w:val="24"/>
          <w:szCs w:val="24"/>
        </w:rPr>
        <w:t>选票数</w:t>
      </w:r>
      <w:r w:rsidR="00AE366C" w:rsidRPr="000C0842">
        <w:rPr>
          <w:rFonts w:eastAsia="SimSun"/>
          <w:sz w:val="24"/>
          <w:szCs w:val="24"/>
        </w:rPr>
        <w:t>：</w:t>
      </w:r>
      <w:r w:rsidR="00582EBD" w:rsidRPr="000C0842">
        <w:rPr>
          <w:rFonts w:eastAsia="SimSun"/>
          <w:sz w:val="24"/>
          <w:szCs w:val="24"/>
        </w:rPr>
        <w:tab/>
      </w:r>
      <w:r w:rsidR="00582EBD" w:rsidRPr="000C0842">
        <w:rPr>
          <w:rFonts w:eastAsia="SimSun"/>
          <w:sz w:val="24"/>
          <w:szCs w:val="24"/>
        </w:rPr>
        <w:tab/>
      </w:r>
      <w:r w:rsidRPr="000C0842">
        <w:rPr>
          <w:rFonts w:eastAsia="SimSun"/>
          <w:sz w:val="24"/>
          <w:szCs w:val="24"/>
        </w:rPr>
        <w:t>131</w:t>
      </w:r>
    </w:p>
    <w:p w14:paraId="6B04FEFC" w14:textId="3CCF5D6D" w:rsidR="00A931F5" w:rsidRPr="000C0842" w:rsidRDefault="00CC2C9B"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sidRPr="000C0842">
        <w:rPr>
          <w:rFonts w:eastAsia="SimSun"/>
          <w:sz w:val="24"/>
          <w:szCs w:val="24"/>
        </w:rPr>
        <w:t>无</w:t>
      </w:r>
      <w:r w:rsidR="00A931F5" w:rsidRPr="000C0842">
        <w:rPr>
          <w:rFonts w:eastAsia="SimSun"/>
          <w:sz w:val="24"/>
          <w:szCs w:val="24"/>
        </w:rPr>
        <w:t>效票数：</w:t>
      </w:r>
      <w:r w:rsidR="00582EBD" w:rsidRPr="000C0842">
        <w:rPr>
          <w:rFonts w:eastAsia="SimSun"/>
          <w:sz w:val="24"/>
          <w:szCs w:val="24"/>
        </w:rPr>
        <w:tab/>
      </w:r>
      <w:r w:rsidR="00582EBD" w:rsidRPr="000C0842">
        <w:rPr>
          <w:rFonts w:eastAsia="SimSun" w:hint="eastAsia"/>
          <w:sz w:val="24"/>
          <w:szCs w:val="24"/>
        </w:rPr>
        <w:t xml:space="preserve">    </w:t>
      </w:r>
      <w:r w:rsidR="00A931F5" w:rsidRPr="000C0842">
        <w:rPr>
          <w:rFonts w:eastAsia="SimSun"/>
          <w:sz w:val="24"/>
          <w:szCs w:val="24"/>
        </w:rPr>
        <w:t>1</w:t>
      </w:r>
    </w:p>
    <w:p w14:paraId="39B6FA8A" w14:textId="1824C545"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0C0842">
        <w:rPr>
          <w:rFonts w:eastAsia="SimSun"/>
          <w:sz w:val="24"/>
          <w:szCs w:val="24"/>
        </w:rPr>
        <w:t>有效票数：</w:t>
      </w:r>
      <w:r w:rsidR="00582EBD" w:rsidRPr="000C0842">
        <w:rPr>
          <w:rFonts w:eastAsia="SimSun"/>
          <w:sz w:val="24"/>
          <w:szCs w:val="24"/>
        </w:rPr>
        <w:tab/>
      </w:r>
      <w:r w:rsidRPr="000C0842">
        <w:rPr>
          <w:rFonts w:eastAsia="SimSun"/>
          <w:sz w:val="24"/>
          <w:szCs w:val="24"/>
        </w:rPr>
        <w:t>130</w:t>
      </w:r>
    </w:p>
    <w:p w14:paraId="3BB656AD" w14:textId="7DAF5FB1"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0C0842">
        <w:rPr>
          <w:rFonts w:eastAsia="SimSun"/>
          <w:sz w:val="24"/>
          <w:szCs w:val="24"/>
        </w:rPr>
        <w:t>弃权票数</w:t>
      </w:r>
      <w:r w:rsidR="003A6865" w:rsidRPr="000C0842">
        <w:rPr>
          <w:rFonts w:eastAsia="SimSun" w:hint="eastAsia"/>
          <w:sz w:val="24"/>
          <w:szCs w:val="24"/>
        </w:rPr>
        <w:t>：</w:t>
      </w:r>
      <w:r w:rsidR="00582EBD" w:rsidRPr="000C0842">
        <w:rPr>
          <w:rFonts w:eastAsia="SimSun"/>
          <w:sz w:val="24"/>
          <w:szCs w:val="24"/>
        </w:rPr>
        <w:tab/>
      </w:r>
      <w:r w:rsidR="00582EBD" w:rsidRPr="000C0842">
        <w:rPr>
          <w:rFonts w:eastAsia="SimSun" w:hint="eastAsia"/>
          <w:sz w:val="24"/>
          <w:szCs w:val="24"/>
        </w:rPr>
        <w:t xml:space="preserve">    </w:t>
      </w:r>
      <w:r w:rsidRPr="000C0842">
        <w:rPr>
          <w:rFonts w:eastAsia="SimSun"/>
          <w:sz w:val="24"/>
          <w:szCs w:val="24"/>
        </w:rPr>
        <w:t>7</w:t>
      </w:r>
    </w:p>
    <w:p w14:paraId="5D27FCD1" w14:textId="54787949"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0C0842">
        <w:rPr>
          <w:rFonts w:eastAsia="SimSun"/>
          <w:sz w:val="24"/>
          <w:szCs w:val="24"/>
        </w:rPr>
        <w:t>出席并参加表决的成员数：</w:t>
      </w:r>
      <w:r w:rsidRPr="000C0842">
        <w:rPr>
          <w:rFonts w:eastAsia="SimSun"/>
          <w:sz w:val="24"/>
          <w:szCs w:val="24"/>
        </w:rPr>
        <w:t>123</w:t>
      </w:r>
    </w:p>
    <w:p w14:paraId="621AD330" w14:textId="12F1773F"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0C0842">
        <w:rPr>
          <w:rFonts w:eastAsia="SimSun"/>
          <w:sz w:val="24"/>
          <w:szCs w:val="24"/>
        </w:rPr>
        <w:t>法定多数：</w:t>
      </w:r>
      <w:r w:rsidRPr="000C0842">
        <w:rPr>
          <w:rFonts w:eastAsia="SimSun"/>
          <w:sz w:val="24"/>
          <w:szCs w:val="24"/>
        </w:rPr>
        <w:t>62</w:t>
      </w:r>
    </w:p>
    <w:p w14:paraId="3A24BC8B" w14:textId="55BEC752"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0C0842">
        <w:rPr>
          <w:rFonts w:eastAsia="SimSun"/>
          <w:sz w:val="24"/>
          <w:szCs w:val="24"/>
        </w:rPr>
        <w:t>所得票数</w:t>
      </w:r>
      <w:r w:rsidR="003A6865" w:rsidRPr="000C0842">
        <w:rPr>
          <w:rFonts w:eastAsia="SimSun" w:hint="eastAsia"/>
          <w:sz w:val="24"/>
          <w:szCs w:val="24"/>
        </w:rPr>
        <w:t>：</w:t>
      </w:r>
    </w:p>
    <w:p w14:paraId="2E61EDC0" w14:textId="5DE56413"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rPr>
          <w:rFonts w:eastAsia="SimSun"/>
          <w:sz w:val="24"/>
          <w:szCs w:val="24"/>
        </w:rPr>
      </w:pPr>
      <w:r w:rsidRPr="000C0842">
        <w:rPr>
          <w:rFonts w:eastAsia="SimSun"/>
          <w:sz w:val="24"/>
          <w:szCs w:val="24"/>
        </w:rPr>
        <w:t>亚美尼亚</w:t>
      </w:r>
      <w:r w:rsidR="003A6865" w:rsidRPr="000C0842">
        <w:rPr>
          <w:rFonts w:eastAsia="SimSun" w:hint="eastAsia"/>
          <w:sz w:val="24"/>
          <w:szCs w:val="24"/>
        </w:rPr>
        <w:t>：</w:t>
      </w:r>
      <w:r w:rsidRPr="000C0842">
        <w:rPr>
          <w:rFonts w:eastAsia="SimSun"/>
          <w:sz w:val="24"/>
          <w:szCs w:val="24"/>
        </w:rPr>
        <w:t>65</w:t>
      </w:r>
    </w:p>
    <w:p w14:paraId="7DEA9CA3" w14:textId="3D16AE4F" w:rsidR="00A931F5" w:rsidRPr="000C0842"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pPr>
      <w:r w:rsidRPr="000C0842">
        <w:rPr>
          <w:rFonts w:eastAsia="SimSun"/>
          <w:sz w:val="24"/>
          <w:szCs w:val="24"/>
        </w:rPr>
        <w:t>阿塞拜疆</w:t>
      </w:r>
      <w:r w:rsidR="003A6865" w:rsidRPr="000C0842">
        <w:rPr>
          <w:rFonts w:eastAsia="SimSun" w:hint="eastAsia"/>
          <w:sz w:val="24"/>
          <w:szCs w:val="24"/>
        </w:rPr>
        <w:t>：</w:t>
      </w:r>
      <w:r w:rsidRPr="000C0842">
        <w:rPr>
          <w:rFonts w:eastAsia="SimSun"/>
          <w:sz w:val="24"/>
          <w:szCs w:val="24"/>
        </w:rPr>
        <w:t>58</w:t>
      </w:r>
    </w:p>
    <w:p w14:paraId="7C77AD49" w14:textId="276241A5" w:rsidR="00A931F5" w:rsidRPr="000C0842"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亚美尼亚获得了法定多数票，被选定主办缔约方大会第十七</w:t>
      </w:r>
      <w:r w:rsidR="00AE366C" w:rsidRPr="000C0842">
        <w:rPr>
          <w:rFonts w:eastAsia="SimSun"/>
          <w:sz w:val="24"/>
          <w:szCs w:val="24"/>
        </w:rPr>
        <w:t>届</w:t>
      </w:r>
      <w:r w:rsidRPr="000C0842">
        <w:rPr>
          <w:rFonts w:eastAsia="SimSun"/>
          <w:sz w:val="24"/>
          <w:szCs w:val="24"/>
        </w:rPr>
        <w:t>会议。</w:t>
      </w:r>
    </w:p>
    <w:p w14:paraId="163FD2CB" w14:textId="176AEAAA" w:rsidR="00A931F5" w:rsidRPr="000C0842"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sz w:val="24"/>
          <w:szCs w:val="24"/>
        </w:rPr>
        <w:t>缔约方大会</w:t>
      </w:r>
      <w:r w:rsidR="00AE366C" w:rsidRPr="000C0842">
        <w:rPr>
          <w:rFonts w:eastAsia="SimSun"/>
          <w:sz w:val="24"/>
          <w:szCs w:val="24"/>
        </w:rPr>
        <w:t>商定</w:t>
      </w:r>
      <w:r w:rsidRPr="000C0842">
        <w:rPr>
          <w:rFonts w:eastAsia="SimSun"/>
          <w:sz w:val="24"/>
          <w:szCs w:val="24"/>
        </w:rPr>
        <w:t>由主席就此事项拟定</w:t>
      </w:r>
      <w:r w:rsidR="001D4696" w:rsidRPr="000C0842">
        <w:rPr>
          <w:rFonts w:eastAsia="SimSun"/>
          <w:sz w:val="24"/>
          <w:szCs w:val="24"/>
        </w:rPr>
        <w:t>一项</w:t>
      </w:r>
      <w:r w:rsidRPr="000C0842">
        <w:rPr>
          <w:rFonts w:eastAsia="SimSun"/>
          <w:sz w:val="24"/>
          <w:szCs w:val="24"/>
        </w:rPr>
        <w:t>订正决定草案供其审议。</w:t>
      </w:r>
    </w:p>
    <w:p w14:paraId="2986603B" w14:textId="342F6FE0" w:rsidR="00A931F5" w:rsidRPr="000C0842" w:rsidRDefault="007A3071" w:rsidP="00AE366C">
      <w:pPr>
        <w:pStyle w:val="ListParagraph"/>
        <w:tabs>
          <w:tab w:val="clear" w:pos="567"/>
          <w:tab w:val="clear" w:pos="1134"/>
          <w:tab w:val="clear" w:pos="1701"/>
          <w:tab w:val="clear" w:pos="2268"/>
        </w:tabs>
        <w:spacing w:before="120" w:after="120"/>
        <w:ind w:left="490" w:firstLine="0"/>
        <w:contextualSpacing w:val="0"/>
        <w:jc w:val="left"/>
        <w:rPr>
          <w:rFonts w:eastAsia="SimSun"/>
          <w:sz w:val="24"/>
          <w:szCs w:val="24"/>
        </w:rPr>
      </w:pPr>
      <w:r w:rsidRPr="000C0842">
        <w:rPr>
          <w:rFonts w:eastAsia="SimSun" w:hint="eastAsia"/>
          <w:sz w:val="24"/>
          <w:szCs w:val="24"/>
        </w:rPr>
        <w:t>2024</w:t>
      </w:r>
      <w:r w:rsidRPr="000C0842">
        <w:rPr>
          <w:rFonts w:eastAsia="SimSun" w:hint="eastAsia"/>
          <w:sz w:val="24"/>
          <w:szCs w:val="24"/>
        </w:rPr>
        <w:t>年</w:t>
      </w:r>
      <w:r w:rsidR="00532300" w:rsidRPr="000C0842">
        <w:rPr>
          <w:rFonts w:eastAsia="SimSun"/>
          <w:sz w:val="24"/>
          <w:szCs w:val="24"/>
        </w:rPr>
        <w:t>在</w:t>
      </w:r>
      <w:r w:rsidR="00532300" w:rsidRPr="000C0842">
        <w:rPr>
          <w:rFonts w:eastAsia="SimSun"/>
          <w:sz w:val="24"/>
          <w:szCs w:val="24"/>
        </w:rPr>
        <w:t>11</w:t>
      </w:r>
      <w:r w:rsidR="00532300" w:rsidRPr="000C0842">
        <w:rPr>
          <w:rFonts w:eastAsia="SimSun"/>
          <w:sz w:val="24"/>
          <w:szCs w:val="24"/>
        </w:rPr>
        <w:t>月</w:t>
      </w:r>
      <w:r w:rsidR="00532300" w:rsidRPr="000C0842">
        <w:rPr>
          <w:rFonts w:eastAsia="SimSun"/>
          <w:sz w:val="24"/>
          <w:szCs w:val="24"/>
        </w:rPr>
        <w:t>1</w:t>
      </w:r>
      <w:r w:rsidR="00532300" w:rsidRPr="000C0842">
        <w:rPr>
          <w:rFonts w:eastAsia="SimSun"/>
          <w:sz w:val="24"/>
          <w:szCs w:val="24"/>
        </w:rPr>
        <w:t>日</w:t>
      </w:r>
      <w:r w:rsidRPr="000C0842">
        <w:rPr>
          <w:rFonts w:eastAsia="SimSun"/>
          <w:sz w:val="24"/>
          <w:szCs w:val="24"/>
        </w:rPr>
        <w:t>缔约方大会</w:t>
      </w:r>
      <w:r w:rsidR="00532300" w:rsidRPr="000C0842">
        <w:rPr>
          <w:rFonts w:eastAsia="SimSun"/>
          <w:sz w:val="24"/>
          <w:szCs w:val="24"/>
        </w:rPr>
        <w:t>第</w:t>
      </w:r>
      <w:r w:rsidR="00532300" w:rsidRPr="000C0842">
        <w:rPr>
          <w:rFonts w:eastAsia="SimSun"/>
          <w:sz w:val="24"/>
          <w:szCs w:val="24"/>
        </w:rPr>
        <w:t>5</w:t>
      </w:r>
      <w:r w:rsidR="00532300" w:rsidRPr="000C0842">
        <w:rPr>
          <w:rFonts w:eastAsia="SimSun"/>
          <w:sz w:val="24"/>
          <w:szCs w:val="24"/>
        </w:rPr>
        <w:t>场全体会议审议</w:t>
      </w:r>
      <w:r w:rsidRPr="000C0842">
        <w:rPr>
          <w:rFonts w:eastAsia="SimSun"/>
          <w:sz w:val="24"/>
          <w:szCs w:val="24"/>
        </w:rPr>
        <w:t>并通过</w:t>
      </w:r>
      <w:r w:rsidR="00532300" w:rsidRPr="000C0842">
        <w:rPr>
          <w:rFonts w:eastAsia="SimSun"/>
          <w:sz w:val="24"/>
          <w:szCs w:val="24"/>
        </w:rPr>
        <w:t>了主席提交的</w:t>
      </w:r>
      <w:r w:rsidR="00532300" w:rsidRPr="000C0842">
        <w:rPr>
          <w:rFonts w:eastAsia="SimSun"/>
          <w:sz w:val="24"/>
          <w:szCs w:val="24"/>
        </w:rPr>
        <w:t>CBD/COP/16/L.28</w:t>
      </w:r>
      <w:r w:rsidR="001902BF" w:rsidRPr="000C0842">
        <w:rPr>
          <w:rFonts w:eastAsia="SimSun"/>
          <w:sz w:val="24"/>
          <w:szCs w:val="24"/>
        </w:rPr>
        <w:t>号决定草案</w:t>
      </w:r>
      <w:r w:rsidR="00532300" w:rsidRPr="000C0842">
        <w:rPr>
          <w:rFonts w:eastAsia="SimSun"/>
          <w:sz w:val="24"/>
          <w:szCs w:val="24"/>
        </w:rPr>
        <w:t>，</w:t>
      </w:r>
      <w:r w:rsidRPr="000C0842">
        <w:rPr>
          <w:rFonts w:eastAsia="SimSun" w:hint="eastAsia"/>
          <w:sz w:val="24"/>
          <w:szCs w:val="24"/>
        </w:rPr>
        <w:t>决定</w:t>
      </w:r>
      <w:r w:rsidR="00532300" w:rsidRPr="000C0842">
        <w:rPr>
          <w:rFonts w:eastAsia="SimSun"/>
          <w:sz w:val="24"/>
          <w:szCs w:val="24"/>
        </w:rPr>
        <w:t>草案成为第</w:t>
      </w:r>
      <w:hyperlink r:id="rId366" w:history="1">
        <w:r w:rsidR="00532300" w:rsidRPr="000C0842">
          <w:rPr>
            <w:rStyle w:val="Hyperlink"/>
            <w:rFonts w:eastAsia="SimSun"/>
            <w:color w:val="auto"/>
            <w:sz w:val="24"/>
            <w:szCs w:val="24"/>
          </w:rPr>
          <w:t>16/27</w:t>
        </w:r>
      </w:hyperlink>
      <w:r w:rsidR="00532300" w:rsidRPr="000C0842">
        <w:rPr>
          <w:rFonts w:eastAsia="SimSun"/>
          <w:sz w:val="24"/>
          <w:szCs w:val="24"/>
        </w:rPr>
        <w:t>号决定</w:t>
      </w:r>
      <w:r w:rsidR="00A931F5" w:rsidRPr="000C0842">
        <w:rPr>
          <w:rFonts w:eastAsia="SimSun"/>
          <w:sz w:val="24"/>
          <w:szCs w:val="24"/>
        </w:rPr>
        <w:t>。</w:t>
      </w:r>
    </w:p>
    <w:p w14:paraId="23FD92BE" w14:textId="6233D451" w:rsidR="00BE4712" w:rsidRPr="000C0842" w:rsidRDefault="00BE4712" w:rsidP="004E5EE5">
      <w:pPr>
        <w:pStyle w:val="a1"/>
        <w:ind w:left="0"/>
        <w:rPr>
          <w:rFonts w:ascii="SimSun" w:hAnsi="SimSun"/>
          <w:szCs w:val="24"/>
          <w:lang w:eastAsia="zh-CN"/>
        </w:rPr>
      </w:pPr>
      <w:bookmarkStart w:id="148" w:name="_Toc206358242"/>
      <w:r w:rsidRPr="000C0842">
        <w:rPr>
          <w:lang w:eastAsia="zh-CN"/>
        </w:rPr>
        <w:t>项目</w:t>
      </w:r>
      <w:r w:rsidRPr="000C0842">
        <w:rPr>
          <w:lang w:eastAsia="zh-CN"/>
        </w:rPr>
        <w:t>6</w:t>
      </w:r>
      <w:r w:rsidRPr="000C0842">
        <w:rPr>
          <w:lang w:eastAsia="zh-CN"/>
        </w:rPr>
        <w:br/>
      </w:r>
      <w:r w:rsidRPr="000C0842">
        <w:rPr>
          <w:lang w:eastAsia="zh-CN"/>
        </w:rPr>
        <w:t>闭会期间会议和区域筹备会议的报告</w:t>
      </w:r>
      <w:bookmarkEnd w:id="148"/>
    </w:p>
    <w:p w14:paraId="51F34675" w14:textId="04404B1D"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缔约方大会第</w:t>
      </w:r>
      <w:r w:rsidRPr="000C0842">
        <w:rPr>
          <w:sz w:val="24"/>
          <w:szCs w:val="24"/>
        </w:rPr>
        <w:t>1</w:t>
      </w:r>
      <w:r w:rsidRPr="000C0842">
        <w:rPr>
          <w:rFonts w:eastAsia="SimSun"/>
          <w:smallCaps/>
          <w:sz w:val="24"/>
          <w:szCs w:val="24"/>
        </w:rPr>
        <w:t>场</w:t>
      </w:r>
      <w:r w:rsidRPr="000C0842">
        <w:rPr>
          <w:rFonts w:eastAsia="SimSun"/>
          <w:sz w:val="24"/>
          <w:szCs w:val="24"/>
        </w:rPr>
        <w:t>全体会议审议了议程项目</w:t>
      </w:r>
      <w:r w:rsidRPr="000C0842">
        <w:rPr>
          <w:sz w:val="24"/>
          <w:szCs w:val="24"/>
        </w:rPr>
        <w:t>6</w:t>
      </w:r>
      <w:r w:rsidRPr="000C0842">
        <w:rPr>
          <w:rFonts w:eastAsia="SimSun"/>
          <w:sz w:val="24"/>
          <w:szCs w:val="24"/>
        </w:rPr>
        <w:t>。会议收到第十五届会议以来各机构开展闭会期间工作的</w:t>
      </w:r>
      <w:r w:rsidR="00532300" w:rsidRPr="000C0842">
        <w:rPr>
          <w:rFonts w:eastAsia="SimSun"/>
          <w:sz w:val="24"/>
          <w:szCs w:val="24"/>
        </w:rPr>
        <w:t>以下</w:t>
      </w:r>
      <w:r w:rsidRPr="000C0842">
        <w:rPr>
          <w:rFonts w:eastAsia="SimSun"/>
          <w:sz w:val="24"/>
          <w:szCs w:val="24"/>
        </w:rPr>
        <w:t>报告</w:t>
      </w:r>
      <w:r w:rsidR="00532300" w:rsidRPr="000C0842">
        <w:rPr>
          <w:rFonts w:eastAsia="SimSun"/>
          <w:sz w:val="24"/>
          <w:szCs w:val="24"/>
        </w:rPr>
        <w:t>：</w:t>
      </w:r>
      <w:r w:rsidRPr="000C0842">
        <w:rPr>
          <w:rFonts w:eastAsia="SimSun"/>
          <w:sz w:val="24"/>
          <w:szCs w:val="24"/>
        </w:rPr>
        <w:t>科学、技术和工艺咨询附属机构第二十五次和第二十六次会议的报告</w:t>
      </w:r>
      <w:r w:rsidR="003A6865" w:rsidRPr="000C0842">
        <w:rPr>
          <w:sz w:val="24"/>
          <w:szCs w:val="24"/>
          <w:vertAlign w:val="superscript"/>
        </w:rPr>
        <w:footnoteReference w:id="532"/>
      </w:r>
      <w:r w:rsidR="003A6865" w:rsidRPr="000C0842">
        <w:rPr>
          <w:rFonts w:eastAsia="SimSun" w:hint="eastAsia"/>
          <w:sz w:val="24"/>
          <w:szCs w:val="24"/>
        </w:rPr>
        <w:t xml:space="preserve"> </w:t>
      </w:r>
      <w:r w:rsidR="00E02803" w:rsidRPr="000C0842">
        <w:rPr>
          <w:rFonts w:eastAsia="SimSun" w:hint="eastAsia"/>
          <w:sz w:val="24"/>
          <w:szCs w:val="24"/>
        </w:rPr>
        <w:t>、</w:t>
      </w:r>
      <w:r w:rsidRPr="000C0842">
        <w:rPr>
          <w:rFonts w:eastAsia="SimSun"/>
          <w:sz w:val="24"/>
          <w:szCs w:val="24"/>
        </w:rPr>
        <w:t>执行问题附属机构第四次和第五次会议的报告</w:t>
      </w:r>
      <w:r w:rsidR="003A6865" w:rsidRPr="000C0842">
        <w:rPr>
          <w:sz w:val="24"/>
          <w:szCs w:val="24"/>
          <w:vertAlign w:val="superscript"/>
        </w:rPr>
        <w:footnoteReference w:id="533"/>
      </w:r>
      <w:r w:rsidR="003A6865" w:rsidRPr="000C0842">
        <w:rPr>
          <w:rFonts w:eastAsia="SimSun" w:hint="eastAsia"/>
        </w:rPr>
        <w:t xml:space="preserve"> </w:t>
      </w:r>
      <w:r w:rsidR="00E02803" w:rsidRPr="000C0842">
        <w:rPr>
          <w:rFonts w:eastAsia="SimSun" w:hint="eastAsia"/>
        </w:rPr>
        <w:t>、</w:t>
      </w:r>
      <w:r w:rsidRPr="000C0842">
        <w:rPr>
          <w:rFonts w:eastAsia="SimSun"/>
          <w:sz w:val="24"/>
          <w:szCs w:val="24"/>
        </w:rPr>
        <w:t>公约第</w:t>
      </w:r>
      <w:r w:rsidRPr="000C0842">
        <w:rPr>
          <w:sz w:val="24"/>
          <w:szCs w:val="24"/>
        </w:rPr>
        <w:t>8(j)</w:t>
      </w:r>
      <w:r w:rsidRPr="000C0842">
        <w:rPr>
          <w:rFonts w:eastAsia="SimSun"/>
          <w:sz w:val="24"/>
          <w:szCs w:val="24"/>
        </w:rPr>
        <w:t>条和相关条款问题不限成员名额闭会期间特设工作组第十二次会议的报告</w:t>
      </w:r>
      <w:r w:rsidR="003A6865" w:rsidRPr="000C0842">
        <w:rPr>
          <w:sz w:val="24"/>
          <w:szCs w:val="24"/>
          <w:vertAlign w:val="superscript"/>
        </w:rPr>
        <w:footnoteReference w:id="534"/>
      </w:r>
      <w:r w:rsidR="003A6865" w:rsidRPr="000C0842">
        <w:rPr>
          <w:rFonts w:eastAsia="SimSun" w:hint="eastAsia"/>
        </w:rPr>
        <w:t xml:space="preserve"> </w:t>
      </w:r>
      <w:r w:rsidR="00E02803" w:rsidRPr="000C0842">
        <w:rPr>
          <w:rFonts w:eastAsia="SimSun" w:hint="eastAsia"/>
        </w:rPr>
        <w:t>、</w:t>
      </w:r>
      <w:r w:rsidRPr="000C0842">
        <w:rPr>
          <w:rFonts w:eastAsia="SimSun"/>
          <w:sz w:val="24"/>
          <w:szCs w:val="24"/>
        </w:rPr>
        <w:t>分享利用遗传资源数字序列信息所产生惠益问题不限成员名额特设工作组第一次和第二次会议的报告</w:t>
      </w:r>
      <w:r w:rsidR="003A6865" w:rsidRPr="000C0842">
        <w:rPr>
          <w:sz w:val="24"/>
          <w:szCs w:val="24"/>
          <w:vertAlign w:val="superscript"/>
        </w:rPr>
        <w:footnoteReference w:id="535"/>
      </w:r>
      <w:r w:rsidR="00E02803" w:rsidRPr="000C0842">
        <w:rPr>
          <w:rFonts w:eastAsia="SimSun" w:hint="eastAsia"/>
          <w:sz w:val="24"/>
          <w:szCs w:val="24"/>
        </w:rPr>
        <w:t>。</w:t>
      </w:r>
    </w:p>
    <w:p w14:paraId="7CE2E29F" w14:textId="6F86FA15"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缔约方大会听取了科学、技术和工艺咨询附属机构主席、执行问题附属机构主席、第</w:t>
      </w:r>
      <w:r w:rsidRPr="000C0842">
        <w:rPr>
          <w:sz w:val="24"/>
          <w:szCs w:val="24"/>
        </w:rPr>
        <w:t>8(j)</w:t>
      </w:r>
      <w:r w:rsidRPr="000C0842">
        <w:rPr>
          <w:rFonts w:eastAsia="SimSun"/>
          <w:sz w:val="24"/>
          <w:szCs w:val="24"/>
        </w:rPr>
        <w:t>条问题不限成员名额闭会期间特设工作组主席</w:t>
      </w:r>
      <w:r w:rsidR="007B57AD" w:rsidRPr="000C0842">
        <w:rPr>
          <w:rFonts w:eastAsia="SimSun" w:hint="eastAsia"/>
          <w:sz w:val="24"/>
          <w:szCs w:val="24"/>
        </w:rPr>
        <w:t>的</w:t>
      </w:r>
      <w:r w:rsidRPr="000C0842">
        <w:rPr>
          <w:rFonts w:eastAsia="SimSun"/>
          <w:sz w:val="24"/>
          <w:szCs w:val="24"/>
        </w:rPr>
        <w:t>代表</w:t>
      </w:r>
      <w:r w:rsidR="007B57AD" w:rsidRPr="000C0842">
        <w:rPr>
          <w:rFonts w:eastAsia="SimSun" w:hint="eastAsia"/>
          <w:sz w:val="24"/>
          <w:szCs w:val="24"/>
        </w:rPr>
        <w:t>、</w:t>
      </w:r>
      <w:r w:rsidRPr="000C0842">
        <w:rPr>
          <w:rFonts w:eastAsia="SimSun"/>
          <w:sz w:val="24"/>
          <w:szCs w:val="24"/>
        </w:rPr>
        <w:t>分享惠益问题不限成员名额特设工作组主席的口头报告。</w:t>
      </w:r>
    </w:p>
    <w:p w14:paraId="271CF216" w14:textId="106856E9"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下列缔约方的代表发了言：刚果民主共和国</w:t>
      </w:r>
      <w:r w:rsidR="007B57AD" w:rsidRPr="000C0842">
        <w:rPr>
          <w:rFonts w:eastAsia="SimSun" w:hint="eastAsia"/>
          <w:sz w:val="24"/>
          <w:szCs w:val="24"/>
        </w:rPr>
        <w:t>、</w:t>
      </w:r>
      <w:r w:rsidRPr="000C0842">
        <w:rPr>
          <w:rFonts w:eastAsia="SimSun"/>
          <w:sz w:val="24"/>
          <w:szCs w:val="24"/>
        </w:rPr>
        <w:t>埃及（以执行问题附属机构第五次会议报告员的身份</w:t>
      </w:r>
      <w:r w:rsidR="00646371" w:rsidRPr="000C0842">
        <w:rPr>
          <w:rFonts w:eastAsia="SimSun" w:hint="eastAsia"/>
          <w:sz w:val="24"/>
          <w:szCs w:val="24"/>
        </w:rPr>
        <w:t>发言</w:t>
      </w:r>
      <w:r w:rsidRPr="000C0842">
        <w:rPr>
          <w:rFonts w:eastAsia="SimSun"/>
          <w:sz w:val="24"/>
          <w:szCs w:val="24"/>
        </w:rPr>
        <w:t>）。</w:t>
      </w:r>
    </w:p>
    <w:p w14:paraId="1C800771" w14:textId="77777777"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缔约方大会注意到所提供的信息，商定在相关议程项目下在工作组中审议各附属机构的建议。</w:t>
      </w:r>
    </w:p>
    <w:p w14:paraId="76AA3E88" w14:textId="2B646DA4" w:rsidR="00BE4712" w:rsidRPr="000C0842" w:rsidRDefault="00BE4712" w:rsidP="004E5EE5">
      <w:pPr>
        <w:pStyle w:val="a1"/>
        <w:ind w:left="0"/>
        <w:rPr>
          <w:rFonts w:hint="eastAsia"/>
          <w:lang w:eastAsia="zh-CN"/>
        </w:rPr>
      </w:pPr>
      <w:bookmarkStart w:id="149" w:name="_Toc206358243"/>
      <w:r w:rsidRPr="000C0842">
        <w:rPr>
          <w:lang w:eastAsia="zh-CN"/>
        </w:rPr>
        <w:t>项目</w:t>
      </w:r>
      <w:r w:rsidRPr="000C0842">
        <w:rPr>
          <w:lang w:eastAsia="zh-CN"/>
        </w:rPr>
        <w:t>7</w:t>
      </w:r>
      <w:r w:rsidRPr="000C0842">
        <w:rPr>
          <w:lang w:eastAsia="zh-CN"/>
        </w:rPr>
        <w:br/>
      </w:r>
      <w:r w:rsidRPr="000C0842">
        <w:rPr>
          <w:lang w:eastAsia="zh-CN"/>
        </w:rPr>
        <w:t>《公约》的行政管理和信托基金的预算</w:t>
      </w:r>
      <w:bookmarkEnd w:id="149"/>
    </w:p>
    <w:p w14:paraId="7C2DE85B" w14:textId="38C81935" w:rsidR="00BE4712" w:rsidRPr="000C0842"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0C0842">
        <w:rPr>
          <w:rFonts w:eastAsia="SimSun"/>
          <w:sz w:val="24"/>
          <w:szCs w:val="24"/>
        </w:rPr>
        <w:t>缔约方大会第</w:t>
      </w:r>
      <w:r w:rsidRPr="000C0842">
        <w:rPr>
          <w:sz w:val="24"/>
          <w:szCs w:val="24"/>
        </w:rPr>
        <w:t>1</w:t>
      </w:r>
      <w:r w:rsidRPr="000C0842">
        <w:rPr>
          <w:rFonts w:eastAsia="SimSun"/>
          <w:sz w:val="24"/>
          <w:szCs w:val="24"/>
        </w:rPr>
        <w:t>场全体会议审议了议程项目</w:t>
      </w:r>
      <w:r w:rsidRPr="000C0842">
        <w:rPr>
          <w:sz w:val="24"/>
          <w:szCs w:val="24"/>
        </w:rPr>
        <w:t>7</w:t>
      </w:r>
      <w:r w:rsidR="00BF695B" w:rsidRPr="000C0842">
        <w:rPr>
          <w:rFonts w:eastAsia="SimSun"/>
          <w:sz w:val="24"/>
          <w:szCs w:val="24"/>
        </w:rPr>
        <w:t>，</w:t>
      </w:r>
      <w:r w:rsidR="007B57AD" w:rsidRPr="000C0842">
        <w:rPr>
          <w:rFonts w:eastAsia="SimSun" w:hint="eastAsia"/>
          <w:sz w:val="24"/>
          <w:szCs w:val="24"/>
        </w:rPr>
        <w:t>会议</w:t>
      </w:r>
      <w:r w:rsidRPr="000C0842">
        <w:rPr>
          <w:rFonts w:eastAsia="SimSun"/>
          <w:sz w:val="24"/>
          <w:szCs w:val="24"/>
        </w:rPr>
        <w:t>收到两份决定草案</w:t>
      </w:r>
      <w:r w:rsidR="00BF695B" w:rsidRPr="000C0842">
        <w:rPr>
          <w:sz w:val="24"/>
          <w:szCs w:val="24"/>
          <w:vertAlign w:val="superscript"/>
        </w:rPr>
        <w:footnoteReference w:id="536"/>
      </w:r>
      <w:r w:rsidR="003A6865" w:rsidRPr="000C0842">
        <w:rPr>
          <w:rFonts w:eastAsia="SimSun" w:hint="eastAsia"/>
          <w:sz w:val="24"/>
          <w:szCs w:val="24"/>
        </w:rPr>
        <w:t xml:space="preserve"> </w:t>
      </w:r>
      <w:r w:rsidRPr="000C0842">
        <w:rPr>
          <w:rFonts w:eastAsia="SimSun"/>
          <w:sz w:val="24"/>
          <w:szCs w:val="24"/>
        </w:rPr>
        <w:t>和秘书处的以下说明：《公约》及其议定书</w:t>
      </w:r>
      <w:r w:rsidRPr="000C0842">
        <w:rPr>
          <w:sz w:val="24"/>
          <w:szCs w:val="24"/>
        </w:rPr>
        <w:t>2023-2024</w:t>
      </w:r>
      <w:r w:rsidRPr="000C0842">
        <w:rPr>
          <w:rFonts w:eastAsia="SimSun"/>
          <w:sz w:val="24"/>
          <w:szCs w:val="24"/>
        </w:rPr>
        <w:t>两年期行政管理</w:t>
      </w:r>
      <w:r w:rsidR="003A6865" w:rsidRPr="000C0842">
        <w:rPr>
          <w:sz w:val="24"/>
          <w:szCs w:val="24"/>
          <w:vertAlign w:val="superscript"/>
        </w:rPr>
        <w:footnoteReference w:id="537"/>
      </w:r>
      <w:r w:rsidR="003A6865" w:rsidRPr="000C0842">
        <w:rPr>
          <w:rFonts w:eastAsia="SimSun" w:hint="eastAsia"/>
        </w:rPr>
        <w:t xml:space="preserve"> </w:t>
      </w:r>
      <w:r w:rsidR="00E02803" w:rsidRPr="000C0842">
        <w:rPr>
          <w:rFonts w:eastAsia="SimSun" w:hint="eastAsia"/>
        </w:rPr>
        <w:t>、</w:t>
      </w:r>
      <w:r w:rsidRPr="000C0842">
        <w:rPr>
          <w:rFonts w:eastAsia="SimSun"/>
          <w:sz w:val="24"/>
          <w:szCs w:val="24"/>
        </w:rPr>
        <w:t>《公约》及其议定书</w:t>
      </w:r>
      <w:r w:rsidRPr="000C0842">
        <w:rPr>
          <w:sz w:val="24"/>
          <w:szCs w:val="24"/>
        </w:rPr>
        <w:t>2025-2026</w:t>
      </w:r>
      <w:r w:rsidRPr="000C0842">
        <w:rPr>
          <w:rFonts w:eastAsia="SimSun"/>
          <w:sz w:val="24"/>
          <w:szCs w:val="24"/>
        </w:rPr>
        <w:t>两年期工作方案的拟议预算</w:t>
      </w:r>
      <w:r w:rsidR="003A6865" w:rsidRPr="000C0842">
        <w:rPr>
          <w:sz w:val="24"/>
          <w:szCs w:val="24"/>
          <w:vertAlign w:val="superscript"/>
        </w:rPr>
        <w:footnoteReference w:id="538"/>
      </w:r>
      <w:r w:rsidR="003A6865" w:rsidRPr="000C0842">
        <w:rPr>
          <w:rFonts w:eastAsia="SimSun" w:hint="eastAsia"/>
        </w:rPr>
        <w:t xml:space="preserve"> </w:t>
      </w:r>
      <w:r w:rsidR="00E02803" w:rsidRPr="000C0842">
        <w:rPr>
          <w:rFonts w:eastAsia="SimSun" w:hint="eastAsia"/>
        </w:rPr>
        <w:t>、</w:t>
      </w:r>
      <w:r w:rsidRPr="000C0842">
        <w:rPr>
          <w:rFonts w:eastAsia="SimSun"/>
          <w:sz w:val="24"/>
          <w:szCs w:val="24"/>
        </w:rPr>
        <w:t>核定活动</w:t>
      </w:r>
      <w:r w:rsidR="007B57AD" w:rsidRPr="000C0842">
        <w:rPr>
          <w:rFonts w:eastAsia="SimSun"/>
          <w:sz w:val="24"/>
          <w:szCs w:val="24"/>
        </w:rPr>
        <w:t>额外自愿捐款信托基金的需求</w:t>
      </w:r>
      <w:r w:rsidRPr="000C0842">
        <w:rPr>
          <w:sz w:val="24"/>
          <w:szCs w:val="24"/>
          <w:vertAlign w:val="superscript"/>
        </w:rPr>
        <w:footnoteReference w:id="539"/>
      </w:r>
      <w:r w:rsidRPr="000C0842">
        <w:rPr>
          <w:rFonts w:eastAsia="SimSun"/>
          <w:sz w:val="24"/>
          <w:szCs w:val="24"/>
        </w:rPr>
        <w:t>、秘书处职能审查</w:t>
      </w:r>
      <w:r w:rsidR="003A6865" w:rsidRPr="000C0842">
        <w:rPr>
          <w:sz w:val="24"/>
          <w:szCs w:val="24"/>
          <w:vertAlign w:val="superscript"/>
        </w:rPr>
        <w:footnoteReference w:id="540"/>
      </w:r>
      <w:r w:rsidR="00E02803" w:rsidRPr="000C0842">
        <w:rPr>
          <w:rFonts w:eastAsia="SimSun" w:hint="eastAsia"/>
          <w:sz w:val="24"/>
          <w:szCs w:val="24"/>
        </w:rPr>
        <w:t>。</w:t>
      </w:r>
    </w:p>
    <w:p w14:paraId="0837DC21" w14:textId="0F13CA27"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执行秘书报告了秘书处的活动，并提交了《公约》及其议定书</w:t>
      </w:r>
      <w:r w:rsidRPr="000C0842">
        <w:rPr>
          <w:sz w:val="24"/>
          <w:szCs w:val="24"/>
        </w:rPr>
        <w:t>2025-2026</w:t>
      </w:r>
      <w:r w:rsidRPr="000C0842">
        <w:rPr>
          <w:rFonts w:eastAsia="SimSun"/>
          <w:sz w:val="24"/>
          <w:szCs w:val="24"/>
        </w:rPr>
        <w:t>两年期工作方案的拟议预算。</w:t>
      </w:r>
    </w:p>
    <w:p w14:paraId="62049535" w14:textId="05CD0169" w:rsidR="00BE4712" w:rsidRPr="000C0842"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作为公约</w:t>
      </w:r>
      <w:r w:rsidR="00BE4712" w:rsidRPr="000C0842">
        <w:rPr>
          <w:rFonts w:eastAsia="SimSun"/>
          <w:sz w:val="24"/>
          <w:szCs w:val="24"/>
        </w:rPr>
        <w:t>各议定书缔约方会议</w:t>
      </w:r>
      <w:r w:rsidRPr="000C0842">
        <w:rPr>
          <w:rFonts w:eastAsia="SimSun"/>
          <w:sz w:val="24"/>
          <w:szCs w:val="24"/>
        </w:rPr>
        <w:t>的缔约方大会</w:t>
      </w:r>
      <w:r w:rsidR="00BE4712" w:rsidRPr="000C0842">
        <w:rPr>
          <w:rFonts w:eastAsia="SimSun"/>
          <w:sz w:val="24"/>
          <w:szCs w:val="24"/>
        </w:rPr>
        <w:t>设立了一个预算事项联络小组，由</w:t>
      </w:r>
      <w:r w:rsidR="00BE4712" w:rsidRPr="000C0842">
        <w:rPr>
          <w:sz w:val="24"/>
          <w:szCs w:val="24"/>
        </w:rPr>
        <w:t>Charles Gbedemah</w:t>
      </w:r>
      <w:r w:rsidR="00BE4712" w:rsidRPr="000C0842">
        <w:rPr>
          <w:rFonts w:eastAsia="SimSun"/>
          <w:sz w:val="24"/>
          <w:szCs w:val="24"/>
        </w:rPr>
        <w:t>（加纳）担任主席，负责详细审议</w:t>
      </w:r>
      <w:r w:rsidR="00BE4712" w:rsidRPr="000C0842">
        <w:rPr>
          <w:sz w:val="24"/>
          <w:szCs w:val="24"/>
        </w:rPr>
        <w:t>2025-2026</w:t>
      </w:r>
      <w:r w:rsidR="00BE4712" w:rsidRPr="000C0842">
        <w:rPr>
          <w:rFonts w:eastAsia="SimSun"/>
          <w:sz w:val="24"/>
          <w:szCs w:val="24"/>
        </w:rPr>
        <w:t>两年期拟议预算。</w:t>
      </w:r>
    </w:p>
    <w:p w14:paraId="64DD0D6F" w14:textId="24BBBEE9"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此外，作为</w:t>
      </w:r>
      <w:r w:rsidR="00BF271B" w:rsidRPr="000C0842">
        <w:rPr>
          <w:rFonts w:eastAsia="SimSun"/>
          <w:sz w:val="24"/>
          <w:szCs w:val="24"/>
        </w:rPr>
        <w:t>公约</w:t>
      </w:r>
      <w:r w:rsidRPr="000C0842">
        <w:rPr>
          <w:rFonts w:eastAsia="SimSun"/>
          <w:sz w:val="24"/>
          <w:szCs w:val="24"/>
        </w:rPr>
        <w:t>各议定书缔约方会议</w:t>
      </w:r>
      <w:r w:rsidR="00BF271B" w:rsidRPr="000C0842">
        <w:rPr>
          <w:rFonts w:eastAsia="SimSun"/>
          <w:sz w:val="24"/>
          <w:szCs w:val="24"/>
        </w:rPr>
        <w:t>的缔约方大会</w:t>
      </w:r>
      <w:r w:rsidRPr="000C0842">
        <w:rPr>
          <w:rFonts w:eastAsia="SimSun"/>
          <w:sz w:val="24"/>
          <w:szCs w:val="24"/>
        </w:rPr>
        <w:t>还设立了一个主席之友小组，由</w:t>
      </w:r>
      <w:r w:rsidRPr="000C0842">
        <w:rPr>
          <w:sz w:val="24"/>
          <w:szCs w:val="24"/>
        </w:rPr>
        <w:t>Gbedemah</w:t>
      </w:r>
      <w:r w:rsidRPr="000C0842">
        <w:rPr>
          <w:rFonts w:eastAsia="SimSun"/>
          <w:sz w:val="24"/>
          <w:szCs w:val="24"/>
        </w:rPr>
        <w:t>先生主持，负责处理执行问题附属机构讨论的与未来执行秘书任命程序有关的事项。</w:t>
      </w:r>
    </w:p>
    <w:p w14:paraId="6BEA66C0" w14:textId="71FB86E6" w:rsidR="00BF271B" w:rsidRPr="000C0842"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w:t>
      </w:r>
      <w:r w:rsidR="0043036E" w:rsidRPr="000C0842">
        <w:rPr>
          <w:rFonts w:eastAsia="SimSun"/>
          <w:sz w:val="24"/>
          <w:szCs w:val="24"/>
        </w:rPr>
        <w:t>第</w:t>
      </w:r>
      <w:r w:rsidR="0043036E" w:rsidRPr="000C0842">
        <w:rPr>
          <w:rFonts w:eastAsia="SimSun"/>
          <w:sz w:val="24"/>
          <w:szCs w:val="24"/>
        </w:rPr>
        <w:t>5</w:t>
      </w:r>
      <w:r w:rsidR="0043036E" w:rsidRPr="000C0842">
        <w:rPr>
          <w:rFonts w:eastAsia="SimSun"/>
          <w:sz w:val="24"/>
          <w:szCs w:val="24"/>
        </w:rPr>
        <w:t>场全体会议</w:t>
      </w:r>
      <w:r w:rsidRPr="000C0842">
        <w:rPr>
          <w:rFonts w:eastAsia="SimSun"/>
          <w:sz w:val="24"/>
          <w:szCs w:val="24"/>
        </w:rPr>
        <w:t>听取了预算</w:t>
      </w:r>
      <w:r w:rsidR="00D25936" w:rsidRPr="000C0842">
        <w:rPr>
          <w:rFonts w:eastAsia="SimSun" w:hint="eastAsia"/>
          <w:sz w:val="24"/>
          <w:szCs w:val="24"/>
        </w:rPr>
        <w:t>事项</w:t>
      </w:r>
      <w:r w:rsidRPr="000C0842">
        <w:rPr>
          <w:rFonts w:eastAsia="SimSun"/>
          <w:sz w:val="24"/>
          <w:szCs w:val="24"/>
        </w:rPr>
        <w:t>联络小组主席</w:t>
      </w:r>
      <w:r w:rsidR="00D25936" w:rsidRPr="000C0842">
        <w:rPr>
          <w:rFonts w:eastAsia="SimSun" w:hint="eastAsia"/>
          <w:sz w:val="24"/>
          <w:szCs w:val="24"/>
        </w:rPr>
        <w:t>（</w:t>
      </w:r>
      <w:r w:rsidRPr="000C0842">
        <w:rPr>
          <w:rFonts w:eastAsia="SimSun"/>
          <w:sz w:val="24"/>
          <w:szCs w:val="24"/>
        </w:rPr>
        <w:t>同时以主席之友小组</w:t>
      </w:r>
      <w:r w:rsidR="00D25936" w:rsidRPr="000C0842">
        <w:rPr>
          <w:rFonts w:eastAsia="SimSun" w:hint="eastAsia"/>
          <w:sz w:val="24"/>
          <w:szCs w:val="24"/>
        </w:rPr>
        <w:t>主持人的</w:t>
      </w:r>
      <w:r w:rsidRPr="000C0842">
        <w:rPr>
          <w:rFonts w:eastAsia="SimSun"/>
          <w:sz w:val="24"/>
          <w:szCs w:val="24"/>
        </w:rPr>
        <w:t>身份</w:t>
      </w:r>
      <w:r w:rsidR="00D25936" w:rsidRPr="000C0842">
        <w:rPr>
          <w:rFonts w:eastAsia="SimSun" w:hint="eastAsia"/>
          <w:sz w:val="24"/>
          <w:szCs w:val="24"/>
        </w:rPr>
        <w:t>）</w:t>
      </w:r>
      <w:r w:rsidRPr="000C0842">
        <w:rPr>
          <w:rFonts w:eastAsia="SimSun"/>
          <w:sz w:val="24"/>
          <w:szCs w:val="24"/>
        </w:rPr>
        <w:t>的报告。</w:t>
      </w:r>
    </w:p>
    <w:p w14:paraId="75F0F162" w14:textId="23534670" w:rsidR="00BF271B" w:rsidRPr="000C0842"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然而由于法定人数不足，讨论不得不在</w:t>
      </w:r>
      <w:r w:rsidR="00877731" w:rsidRPr="000C0842">
        <w:rPr>
          <w:rFonts w:eastAsia="SimSun" w:hint="eastAsia"/>
          <w:sz w:val="24"/>
          <w:szCs w:val="24"/>
        </w:rPr>
        <w:t>完成</w:t>
      </w:r>
      <w:r w:rsidRPr="000C0842">
        <w:rPr>
          <w:rFonts w:eastAsia="SimSun"/>
          <w:sz w:val="24"/>
          <w:szCs w:val="24"/>
        </w:rPr>
        <w:t>之前暂停</w:t>
      </w:r>
      <w:r w:rsidR="00E43413" w:rsidRPr="000C0842">
        <w:rPr>
          <w:rFonts w:eastAsia="SimSun" w:hint="eastAsia"/>
          <w:sz w:val="24"/>
          <w:szCs w:val="24"/>
        </w:rPr>
        <w:t>（</w:t>
      </w:r>
      <w:r w:rsidRPr="000C0842">
        <w:rPr>
          <w:rFonts w:eastAsia="SimSun"/>
          <w:sz w:val="24"/>
          <w:szCs w:val="24"/>
        </w:rPr>
        <w:t>见下文项目</w:t>
      </w:r>
      <w:r w:rsidRPr="000C0842">
        <w:rPr>
          <w:rFonts w:eastAsia="SimSun"/>
          <w:sz w:val="24"/>
          <w:szCs w:val="24"/>
        </w:rPr>
        <w:t>31</w:t>
      </w:r>
      <w:r w:rsidR="00E43413" w:rsidRPr="000C0842">
        <w:rPr>
          <w:rFonts w:eastAsia="SimSun" w:hint="eastAsia"/>
          <w:sz w:val="24"/>
          <w:szCs w:val="24"/>
        </w:rPr>
        <w:t>）</w:t>
      </w:r>
      <w:r w:rsidRPr="000C0842">
        <w:rPr>
          <w:rFonts w:eastAsia="SimSun"/>
          <w:sz w:val="24"/>
          <w:szCs w:val="24"/>
        </w:rPr>
        <w:t>。</w:t>
      </w:r>
    </w:p>
    <w:p w14:paraId="47A9D53F" w14:textId="3D8AA871" w:rsidR="00BF271B" w:rsidRPr="000C0842"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2024</w:t>
      </w:r>
      <w:r w:rsidRPr="000C0842">
        <w:rPr>
          <w:rFonts w:eastAsia="SimSun"/>
          <w:sz w:val="24"/>
          <w:szCs w:val="24"/>
        </w:rPr>
        <w:t>年</w:t>
      </w:r>
      <w:r w:rsidRPr="000C0842">
        <w:rPr>
          <w:rFonts w:eastAsia="SimSun"/>
          <w:sz w:val="24"/>
          <w:szCs w:val="24"/>
        </w:rPr>
        <w:t>12</w:t>
      </w:r>
      <w:r w:rsidRPr="000C0842">
        <w:rPr>
          <w:rFonts w:eastAsia="SimSun"/>
          <w:sz w:val="24"/>
          <w:szCs w:val="24"/>
        </w:rPr>
        <w:t>月</w:t>
      </w:r>
      <w:r w:rsidRPr="000C0842">
        <w:rPr>
          <w:rFonts w:eastAsia="SimSun"/>
          <w:sz w:val="24"/>
          <w:szCs w:val="24"/>
        </w:rPr>
        <w:t>3</w:t>
      </w:r>
      <w:r w:rsidRPr="000C0842">
        <w:rPr>
          <w:rFonts w:eastAsia="SimSun"/>
          <w:sz w:val="24"/>
          <w:szCs w:val="24"/>
        </w:rPr>
        <w:t>日至</w:t>
      </w:r>
      <w:r w:rsidRPr="000C0842">
        <w:rPr>
          <w:rFonts w:eastAsia="SimSun"/>
          <w:sz w:val="24"/>
          <w:szCs w:val="24"/>
        </w:rPr>
        <w:t>6</w:t>
      </w:r>
      <w:r w:rsidRPr="000C0842">
        <w:rPr>
          <w:rFonts w:eastAsia="SimSun"/>
          <w:sz w:val="24"/>
          <w:szCs w:val="24"/>
        </w:rPr>
        <w:t>日，缔约方大会以在线续会方式举行了第</w:t>
      </w:r>
      <w:r w:rsidRPr="000C0842">
        <w:rPr>
          <w:rFonts w:eastAsia="SimSun"/>
          <w:sz w:val="24"/>
          <w:szCs w:val="24"/>
        </w:rPr>
        <w:t>6</w:t>
      </w:r>
      <w:r w:rsidRPr="000C0842">
        <w:rPr>
          <w:rFonts w:eastAsia="SimSun"/>
          <w:sz w:val="24"/>
          <w:szCs w:val="24"/>
        </w:rPr>
        <w:t>场</w:t>
      </w:r>
      <w:r w:rsidR="00D77FA7" w:rsidRPr="000C0842">
        <w:rPr>
          <w:rFonts w:eastAsia="SimSun" w:hint="eastAsia"/>
          <w:sz w:val="24"/>
          <w:szCs w:val="24"/>
        </w:rPr>
        <w:t>全体</w:t>
      </w:r>
      <w:r w:rsidRPr="000C0842">
        <w:rPr>
          <w:rFonts w:eastAsia="SimSun"/>
          <w:sz w:val="24"/>
          <w:szCs w:val="24"/>
        </w:rPr>
        <w:t>会议，审议</w:t>
      </w:r>
      <w:r w:rsidR="00D25936" w:rsidRPr="000C0842">
        <w:rPr>
          <w:rFonts w:eastAsia="SimSun" w:hint="eastAsia"/>
          <w:sz w:val="24"/>
          <w:szCs w:val="24"/>
        </w:rPr>
        <w:t>以</w:t>
      </w:r>
      <w:r w:rsidRPr="000C0842">
        <w:rPr>
          <w:rFonts w:eastAsia="SimSun"/>
          <w:sz w:val="24"/>
          <w:szCs w:val="24"/>
        </w:rPr>
        <w:t>默许程序通过主席提交的</w:t>
      </w:r>
      <w:hyperlink r:id="rId367" w:history="1">
        <w:r w:rsidRPr="000C0842">
          <w:rPr>
            <w:rStyle w:val="Hyperlink"/>
            <w:rFonts w:eastAsia="SimSun"/>
            <w:color w:val="auto"/>
            <w:sz w:val="24"/>
            <w:szCs w:val="24"/>
          </w:rPr>
          <w:t>CBD/COP/16/L.35/Part.A</w:t>
        </w:r>
      </w:hyperlink>
      <w:r w:rsidR="00D25936" w:rsidRPr="000C0842">
        <w:rPr>
          <w:rFonts w:eastAsia="SimSun"/>
          <w:sz w:val="24"/>
          <w:szCs w:val="24"/>
        </w:rPr>
        <w:t>号</w:t>
      </w:r>
      <w:r w:rsidRPr="000C0842">
        <w:rPr>
          <w:rStyle w:val="FootnoteReference"/>
          <w:sz w:val="24"/>
          <w:szCs w:val="24"/>
        </w:rPr>
        <w:footnoteReference w:id="541"/>
      </w:r>
      <w:r w:rsidR="003A6865" w:rsidRPr="000C0842">
        <w:rPr>
          <w:rFonts w:eastAsia="SimSun" w:hint="eastAsia"/>
          <w:sz w:val="24"/>
          <w:szCs w:val="24"/>
        </w:rPr>
        <w:t xml:space="preserve"> </w:t>
      </w:r>
      <w:r w:rsidRPr="000C0842">
        <w:rPr>
          <w:rFonts w:eastAsia="SimSun"/>
          <w:sz w:val="24"/>
          <w:szCs w:val="24"/>
        </w:rPr>
        <w:t>和</w:t>
      </w:r>
      <w:hyperlink r:id="rId368" w:history="1">
        <w:r w:rsidRPr="000C0842">
          <w:rPr>
            <w:rStyle w:val="Hyperlink"/>
            <w:rFonts w:eastAsia="SimSun"/>
            <w:color w:val="auto"/>
            <w:sz w:val="24"/>
            <w:szCs w:val="24"/>
          </w:rPr>
          <w:t>CBD/COP/16/L.36</w:t>
        </w:r>
      </w:hyperlink>
      <w:r w:rsidR="001902BF" w:rsidRPr="000C0842">
        <w:rPr>
          <w:rFonts w:eastAsia="SimSun"/>
          <w:sz w:val="24"/>
          <w:szCs w:val="24"/>
        </w:rPr>
        <w:t>号决定草案</w:t>
      </w:r>
      <w:r w:rsidR="003A6865" w:rsidRPr="000C0842">
        <w:rPr>
          <w:rStyle w:val="FootnoteReference"/>
          <w:sz w:val="24"/>
          <w:szCs w:val="24"/>
        </w:rPr>
        <w:footnoteReference w:id="542"/>
      </w:r>
      <w:r w:rsidR="00E02803" w:rsidRPr="000C0842">
        <w:rPr>
          <w:rFonts w:eastAsia="SimSun" w:hint="eastAsia"/>
          <w:sz w:val="24"/>
          <w:szCs w:val="24"/>
        </w:rPr>
        <w:t>。</w:t>
      </w:r>
    </w:p>
    <w:p w14:paraId="50313037" w14:textId="6FE37375" w:rsidR="003B1E03" w:rsidRPr="000C0842"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12</w:t>
      </w:r>
      <w:r w:rsidRPr="000C0842">
        <w:rPr>
          <w:rFonts w:eastAsia="SimSun"/>
          <w:sz w:val="24"/>
          <w:szCs w:val="24"/>
        </w:rPr>
        <w:t>月</w:t>
      </w:r>
      <w:r w:rsidRPr="000C0842">
        <w:rPr>
          <w:rFonts w:eastAsia="SimSun"/>
          <w:sz w:val="24"/>
          <w:szCs w:val="24"/>
        </w:rPr>
        <w:t>6</w:t>
      </w:r>
      <w:r w:rsidRPr="000C0842">
        <w:rPr>
          <w:rFonts w:eastAsia="SimSun"/>
          <w:sz w:val="24"/>
          <w:szCs w:val="24"/>
        </w:rPr>
        <w:t>日</w:t>
      </w:r>
      <w:r w:rsidR="00D25936" w:rsidRPr="000C0842">
        <w:rPr>
          <w:rFonts w:eastAsia="SimSun"/>
          <w:sz w:val="24"/>
          <w:szCs w:val="24"/>
        </w:rPr>
        <w:t>默许程序</w:t>
      </w:r>
      <w:r w:rsidRPr="000C0842">
        <w:rPr>
          <w:rFonts w:eastAsia="SimSun"/>
          <w:sz w:val="24"/>
          <w:szCs w:val="24"/>
        </w:rPr>
        <w:t>结束，缔约方在规定的打破</w:t>
      </w:r>
      <w:r w:rsidR="0070317B" w:rsidRPr="000C0842">
        <w:rPr>
          <w:rFonts w:eastAsia="SimSun" w:hint="eastAsia"/>
          <w:sz w:val="24"/>
          <w:szCs w:val="24"/>
        </w:rPr>
        <w:t>沉默</w:t>
      </w:r>
      <w:r w:rsidR="00D25936" w:rsidRPr="000C0842">
        <w:rPr>
          <w:rFonts w:eastAsia="SimSun" w:hint="eastAsia"/>
          <w:sz w:val="24"/>
          <w:szCs w:val="24"/>
        </w:rPr>
        <w:t>时</w:t>
      </w:r>
      <w:r w:rsidRPr="000C0842">
        <w:rPr>
          <w:rFonts w:eastAsia="SimSun"/>
          <w:sz w:val="24"/>
          <w:szCs w:val="24"/>
        </w:rPr>
        <w:t>限内没有提出任何反对意见，主席发布一份结束函，通知缔约方这两项决定草案获得通过，分别成为第</w:t>
      </w:r>
      <w:hyperlink r:id="rId369" w:history="1">
        <w:r w:rsidRPr="000C0842">
          <w:rPr>
            <w:rStyle w:val="Hyperlink"/>
            <w:rFonts w:eastAsia="SimSun"/>
            <w:color w:val="auto"/>
            <w:sz w:val="24"/>
            <w:szCs w:val="24"/>
          </w:rPr>
          <w:t>16/28</w:t>
        </w:r>
      </w:hyperlink>
      <w:r w:rsidRPr="000C0842">
        <w:rPr>
          <w:rFonts w:eastAsia="SimSun"/>
          <w:sz w:val="24"/>
          <w:szCs w:val="24"/>
        </w:rPr>
        <w:t>号和第</w:t>
      </w:r>
      <w:hyperlink r:id="rId370" w:history="1">
        <w:r w:rsidRPr="000C0842">
          <w:rPr>
            <w:rStyle w:val="Hyperlink"/>
            <w:rFonts w:eastAsia="SimSun"/>
            <w:color w:val="auto"/>
            <w:sz w:val="24"/>
            <w:szCs w:val="24"/>
          </w:rPr>
          <w:t>16/29</w:t>
        </w:r>
      </w:hyperlink>
      <w:r w:rsidRPr="000C0842">
        <w:rPr>
          <w:rFonts w:eastAsia="SimSun"/>
          <w:sz w:val="24"/>
          <w:szCs w:val="24"/>
        </w:rPr>
        <w:t>号决定。</w:t>
      </w:r>
    </w:p>
    <w:p w14:paraId="0F594CD8" w14:textId="774D47B1" w:rsidR="00BE4712" w:rsidRPr="000C0842" w:rsidRDefault="007A3071" w:rsidP="00AB12D6">
      <w:pPr>
        <w:pStyle w:val="ListParagraph"/>
        <w:tabs>
          <w:tab w:val="clear" w:pos="567"/>
          <w:tab w:val="clear" w:pos="1134"/>
          <w:tab w:val="clear" w:pos="1701"/>
          <w:tab w:val="clear" w:pos="2268"/>
        </w:tabs>
        <w:spacing w:before="120" w:after="120"/>
        <w:ind w:left="490" w:firstLine="0"/>
        <w:contextualSpacing w:val="0"/>
        <w:rPr>
          <w:sz w:val="24"/>
          <w:szCs w:val="24"/>
        </w:rPr>
      </w:pPr>
      <w:bookmarkStart w:id="150" w:name="_Hlk189063110"/>
      <w:r w:rsidRPr="000C0842">
        <w:rPr>
          <w:rFonts w:eastAsia="SimSun" w:hint="eastAsia"/>
          <w:sz w:val="24"/>
          <w:szCs w:val="24"/>
        </w:rPr>
        <w:t>2025</w:t>
      </w:r>
      <w:r w:rsidRPr="000C0842">
        <w:rPr>
          <w:rFonts w:eastAsia="SimSun" w:hint="eastAsia"/>
          <w:sz w:val="24"/>
          <w:szCs w:val="24"/>
        </w:rPr>
        <w:t>年</w:t>
      </w:r>
      <w:r w:rsidRPr="000C0842">
        <w:rPr>
          <w:rFonts w:eastAsia="SimSun" w:hint="eastAsia"/>
          <w:sz w:val="24"/>
          <w:szCs w:val="24"/>
        </w:rPr>
        <w:t>2</w:t>
      </w:r>
      <w:r w:rsidRPr="000C0842">
        <w:rPr>
          <w:rFonts w:eastAsia="SimSun" w:hint="eastAsia"/>
          <w:sz w:val="24"/>
          <w:szCs w:val="24"/>
        </w:rPr>
        <w:t>月</w:t>
      </w:r>
      <w:r w:rsidRPr="000C0842">
        <w:rPr>
          <w:rFonts w:eastAsia="SimSun" w:hint="eastAsia"/>
          <w:sz w:val="24"/>
          <w:szCs w:val="24"/>
        </w:rPr>
        <w:t>27</w:t>
      </w:r>
      <w:r w:rsidRPr="000C0842">
        <w:rPr>
          <w:rFonts w:eastAsia="SimSun" w:hint="eastAsia"/>
          <w:sz w:val="24"/>
          <w:szCs w:val="24"/>
        </w:rPr>
        <w:t>日</w:t>
      </w:r>
      <w:r w:rsidRPr="000C0842">
        <w:rPr>
          <w:rFonts w:eastAsia="SimSun"/>
          <w:sz w:val="24"/>
          <w:szCs w:val="24"/>
        </w:rPr>
        <w:t>缔约方大会</w:t>
      </w:r>
      <w:r w:rsidRPr="000C0842">
        <w:rPr>
          <w:rFonts w:eastAsia="SimSun" w:hint="eastAsia"/>
          <w:sz w:val="24"/>
          <w:szCs w:val="24"/>
        </w:rPr>
        <w:t>第</w:t>
      </w:r>
      <w:r w:rsidRPr="000C0842">
        <w:rPr>
          <w:rFonts w:eastAsia="SimSun" w:hint="eastAsia"/>
          <w:sz w:val="24"/>
          <w:szCs w:val="24"/>
        </w:rPr>
        <w:t>12</w:t>
      </w:r>
      <w:r w:rsidRPr="000C0842">
        <w:rPr>
          <w:rFonts w:eastAsia="SimSun" w:hint="eastAsia"/>
          <w:sz w:val="24"/>
          <w:szCs w:val="24"/>
        </w:rPr>
        <w:t>场</w:t>
      </w:r>
      <w:r w:rsidR="00BF271B" w:rsidRPr="000C0842">
        <w:rPr>
          <w:rFonts w:eastAsia="SimSun"/>
          <w:sz w:val="24"/>
          <w:szCs w:val="24"/>
        </w:rPr>
        <w:t>全体会议审议了</w:t>
      </w:r>
      <w:r w:rsidR="003B1E03" w:rsidRPr="000C0842">
        <w:rPr>
          <w:rFonts w:eastAsia="SimSun"/>
          <w:sz w:val="24"/>
          <w:szCs w:val="24"/>
        </w:rPr>
        <w:t>主席提交的</w:t>
      </w:r>
      <w:hyperlink r:id="rId371" w:history="1">
        <w:r w:rsidR="00BF271B" w:rsidRPr="000C0842">
          <w:rPr>
            <w:rStyle w:val="Hyperlink"/>
            <w:rFonts w:eastAsia="SimSun"/>
            <w:color w:val="auto"/>
            <w:sz w:val="24"/>
            <w:szCs w:val="24"/>
          </w:rPr>
          <w:t>CBD/COP/16/L.35/Part</w:t>
        </w:r>
        <w:r w:rsidR="003B1E03" w:rsidRPr="000C0842">
          <w:rPr>
            <w:rStyle w:val="Hyperlink"/>
            <w:rFonts w:eastAsia="SimSun"/>
            <w:color w:val="auto"/>
            <w:sz w:val="24"/>
            <w:szCs w:val="24"/>
          </w:rPr>
          <w:t>.B</w:t>
        </w:r>
      </w:hyperlink>
      <w:r w:rsidR="001902BF" w:rsidRPr="000C0842">
        <w:rPr>
          <w:rFonts w:eastAsia="SimSun"/>
          <w:sz w:val="24"/>
          <w:szCs w:val="24"/>
        </w:rPr>
        <w:t>号决定草案</w:t>
      </w:r>
      <w:r w:rsidR="003B1E03" w:rsidRPr="000C0842">
        <w:rPr>
          <w:rFonts w:eastAsia="SimSun"/>
          <w:sz w:val="24"/>
          <w:szCs w:val="24"/>
        </w:rPr>
        <w:t>。</w:t>
      </w:r>
      <w:bookmarkEnd w:id="150"/>
    </w:p>
    <w:p w14:paraId="434E4D4D" w14:textId="12897DAE" w:rsidR="007A3071" w:rsidRPr="000C0842" w:rsidRDefault="007A3071" w:rsidP="00AB12D6">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D25936" w:rsidRPr="000C0842">
        <w:rPr>
          <w:rFonts w:eastAsia="SimSun" w:hint="eastAsia"/>
          <w:sz w:val="24"/>
          <w:szCs w:val="24"/>
        </w:rPr>
        <w:t>：</w:t>
      </w:r>
      <w:r w:rsidRPr="000C0842">
        <w:rPr>
          <w:rFonts w:eastAsia="SimSun"/>
          <w:sz w:val="24"/>
          <w:szCs w:val="24"/>
        </w:rPr>
        <w:t>澳大利亚、多民族玻利维亚国、巴西、欧洲联盟及其成员国、印度尼西亚、约旦、肯尼亚、挪威、巴拿马、卡塔尔、俄罗斯联邦、沙特阿拉伯、瑞士、阿拉伯联合酋长国</w:t>
      </w:r>
      <w:r w:rsidR="00D25936" w:rsidRPr="000C0842">
        <w:rPr>
          <w:rFonts w:eastAsia="SimSun" w:hint="eastAsia"/>
          <w:sz w:val="24"/>
          <w:szCs w:val="24"/>
        </w:rPr>
        <w:t>、</w:t>
      </w:r>
      <w:r w:rsidRPr="000C0842">
        <w:rPr>
          <w:rFonts w:eastAsia="SimSun"/>
          <w:sz w:val="24"/>
          <w:szCs w:val="24"/>
        </w:rPr>
        <w:t>大不列颠及北爱尔兰联合王国。</w:t>
      </w:r>
    </w:p>
    <w:p w14:paraId="7CFA6C74" w14:textId="77777777" w:rsidR="007A3071" w:rsidRPr="000C0842" w:rsidRDefault="007A3071" w:rsidP="007A3071">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会议商定由各方举行非正式讨论，解决悬而未决的问题。</w:t>
      </w:r>
    </w:p>
    <w:p w14:paraId="36E2D7B4" w14:textId="3630E002" w:rsidR="007A3071" w:rsidRPr="000C0842" w:rsidRDefault="007A3071" w:rsidP="002B185F">
      <w:pPr>
        <w:pStyle w:val="ListParagraph"/>
        <w:tabs>
          <w:tab w:val="clear" w:pos="567"/>
          <w:tab w:val="clear" w:pos="1134"/>
          <w:tab w:val="clear" w:pos="1701"/>
          <w:tab w:val="clear" w:pos="2268"/>
        </w:tabs>
        <w:spacing w:before="120" w:after="120"/>
        <w:ind w:left="490" w:firstLine="0"/>
        <w:contextualSpacing w:val="0"/>
        <w:rPr>
          <w:rFonts w:eastAsiaTheme="minorEastAsia"/>
          <w:sz w:val="24"/>
          <w:szCs w:val="24"/>
        </w:rPr>
      </w:pPr>
      <w:r w:rsidRPr="000C0842">
        <w:rPr>
          <w:rFonts w:eastAsiaTheme="minorEastAsia"/>
          <w:sz w:val="24"/>
          <w:szCs w:val="24"/>
        </w:rPr>
        <w:t>缔约方大会第</w:t>
      </w:r>
      <w:r w:rsidRPr="000C0842">
        <w:rPr>
          <w:rFonts w:eastAsiaTheme="minorEastAsia"/>
          <w:sz w:val="24"/>
          <w:szCs w:val="24"/>
        </w:rPr>
        <w:t>13</w:t>
      </w:r>
      <w:r w:rsidRPr="000C0842">
        <w:rPr>
          <w:rFonts w:eastAsiaTheme="minorEastAsia" w:hint="eastAsia"/>
          <w:sz w:val="24"/>
          <w:szCs w:val="24"/>
        </w:rPr>
        <w:t>场</w:t>
      </w:r>
      <w:r w:rsidRPr="000C0842">
        <w:rPr>
          <w:rFonts w:eastAsiaTheme="minorEastAsia"/>
          <w:sz w:val="24"/>
          <w:szCs w:val="24"/>
        </w:rPr>
        <w:t>全体会议继续审议该决定草案，</w:t>
      </w:r>
      <w:r w:rsidR="003A3758" w:rsidRPr="000C0842">
        <w:rPr>
          <w:rFonts w:eastAsiaTheme="minorEastAsia" w:hint="eastAsia"/>
          <w:sz w:val="24"/>
          <w:szCs w:val="24"/>
        </w:rPr>
        <w:t>会议</w:t>
      </w:r>
      <w:r w:rsidRPr="000C0842">
        <w:rPr>
          <w:rFonts w:eastAsiaTheme="minorEastAsia"/>
          <w:sz w:val="24"/>
          <w:szCs w:val="24"/>
        </w:rPr>
        <w:t>听取了关于非正式讨论结果的报告，包括对案文的拟议修正。</w:t>
      </w:r>
    </w:p>
    <w:p w14:paraId="345B3C35" w14:textId="225630FB" w:rsidR="007A3071" w:rsidRPr="000C0842" w:rsidRDefault="007A3071" w:rsidP="00AD7164">
      <w:pPr>
        <w:pStyle w:val="ListParagraph"/>
        <w:tabs>
          <w:tab w:val="clear" w:pos="567"/>
          <w:tab w:val="clear" w:pos="1134"/>
          <w:tab w:val="clear" w:pos="1701"/>
          <w:tab w:val="clear" w:pos="2268"/>
        </w:tabs>
        <w:spacing w:before="120" w:after="120"/>
        <w:ind w:left="490" w:firstLine="0"/>
        <w:contextualSpacing w:val="0"/>
        <w:rPr>
          <w:rFonts w:eastAsiaTheme="minorEastAsia"/>
          <w:sz w:val="24"/>
          <w:szCs w:val="24"/>
        </w:rPr>
      </w:pPr>
      <w:r w:rsidRPr="000C0842">
        <w:rPr>
          <w:rFonts w:eastAsiaTheme="minorEastAsia"/>
          <w:sz w:val="24"/>
          <w:szCs w:val="24"/>
        </w:rPr>
        <w:t>下列缔约方的代表发</w:t>
      </w:r>
      <w:r w:rsidR="003A3758" w:rsidRPr="000C0842">
        <w:rPr>
          <w:rFonts w:eastAsiaTheme="minorEastAsia" w:hint="eastAsia"/>
          <w:sz w:val="24"/>
          <w:szCs w:val="24"/>
        </w:rPr>
        <w:t>了</w:t>
      </w:r>
      <w:r w:rsidRPr="000C0842">
        <w:rPr>
          <w:rFonts w:eastAsiaTheme="minorEastAsia"/>
          <w:sz w:val="24"/>
          <w:szCs w:val="24"/>
        </w:rPr>
        <w:t>言</w:t>
      </w:r>
      <w:r w:rsidR="003A3758" w:rsidRPr="000C0842">
        <w:rPr>
          <w:rFonts w:eastAsiaTheme="minorEastAsia" w:hint="eastAsia"/>
          <w:sz w:val="24"/>
          <w:szCs w:val="24"/>
        </w:rPr>
        <w:t>：</w:t>
      </w:r>
      <w:r w:rsidRPr="000C0842">
        <w:rPr>
          <w:rFonts w:eastAsiaTheme="minorEastAsia"/>
          <w:sz w:val="24"/>
          <w:szCs w:val="24"/>
        </w:rPr>
        <w:t>阿根廷、巴林、巴西、埃及、欧洲联盟及其成员国、肯尼亚</w:t>
      </w:r>
      <w:r w:rsidR="00C85EC7" w:rsidRPr="000C0842">
        <w:rPr>
          <w:rFonts w:eastAsiaTheme="minorEastAsia" w:hint="eastAsia"/>
          <w:sz w:val="24"/>
          <w:szCs w:val="24"/>
        </w:rPr>
        <w:t>、</w:t>
      </w:r>
      <w:r w:rsidRPr="000C0842">
        <w:rPr>
          <w:rFonts w:eastAsiaTheme="minorEastAsia"/>
          <w:sz w:val="24"/>
          <w:szCs w:val="24"/>
        </w:rPr>
        <w:t>多哥。</w:t>
      </w:r>
    </w:p>
    <w:p w14:paraId="16FD6B87" w14:textId="546C02C0" w:rsidR="007A3071" w:rsidRPr="000C0842" w:rsidRDefault="007A3071" w:rsidP="00AD7164">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Theme="minorEastAsia"/>
          <w:sz w:val="24"/>
          <w:szCs w:val="24"/>
        </w:rPr>
        <w:t>缔约方</w:t>
      </w:r>
      <w:r w:rsidR="003A3758" w:rsidRPr="000C0842">
        <w:rPr>
          <w:rFonts w:eastAsiaTheme="minorEastAsia" w:hint="eastAsia"/>
          <w:sz w:val="24"/>
          <w:szCs w:val="24"/>
        </w:rPr>
        <w:t>大会</w:t>
      </w:r>
      <w:r w:rsidRPr="000C0842">
        <w:rPr>
          <w:rFonts w:eastAsiaTheme="minorEastAsia"/>
          <w:sz w:val="24"/>
          <w:szCs w:val="24"/>
        </w:rPr>
        <w:t>通过了经口头修正的决定草案，</w:t>
      </w:r>
      <w:r w:rsidR="003A3758" w:rsidRPr="000C0842">
        <w:rPr>
          <w:rFonts w:eastAsiaTheme="minorEastAsia" w:hint="eastAsia"/>
          <w:sz w:val="24"/>
          <w:szCs w:val="24"/>
        </w:rPr>
        <w:t>决定草案</w:t>
      </w:r>
      <w:r w:rsidRPr="000C0842">
        <w:rPr>
          <w:rFonts w:eastAsiaTheme="minorEastAsia"/>
          <w:sz w:val="24"/>
          <w:szCs w:val="24"/>
        </w:rPr>
        <w:t>成为第</w:t>
      </w:r>
      <w:hyperlink r:id="rId372" w:history="1">
        <w:r w:rsidRPr="000C0842">
          <w:rPr>
            <w:rStyle w:val="Hyperlink"/>
            <w:rFonts w:eastAsiaTheme="minorEastAsia" w:hint="eastAsia"/>
            <w:color w:val="auto"/>
            <w:sz w:val="24"/>
            <w:szCs w:val="24"/>
          </w:rPr>
          <w:t>16/30</w:t>
        </w:r>
      </w:hyperlink>
      <w:r w:rsidRPr="000C0842">
        <w:rPr>
          <w:rFonts w:eastAsiaTheme="minorEastAsia"/>
          <w:sz w:val="24"/>
          <w:szCs w:val="24"/>
        </w:rPr>
        <w:t>号决定。</w:t>
      </w:r>
    </w:p>
    <w:p w14:paraId="6FE5B50F" w14:textId="2792B0C9" w:rsidR="00BE4712" w:rsidRPr="000C0842" w:rsidRDefault="00BE4712" w:rsidP="00C85EC7">
      <w:pPr>
        <w:pStyle w:val="a1"/>
        <w:keepNext/>
        <w:ind w:left="0"/>
        <w:rPr>
          <w:rFonts w:ascii="SimSun" w:hAnsi="SimSun"/>
          <w:szCs w:val="24"/>
          <w:lang w:eastAsia="zh-CN"/>
        </w:rPr>
      </w:pPr>
      <w:bookmarkStart w:id="151" w:name="_Toc206358244"/>
      <w:r w:rsidRPr="000C0842">
        <w:rPr>
          <w:lang w:eastAsia="zh-CN"/>
        </w:rPr>
        <w:t>项目</w:t>
      </w:r>
      <w:r w:rsidRPr="000C0842">
        <w:rPr>
          <w:lang w:eastAsia="zh-CN"/>
        </w:rPr>
        <w:t>8</w:t>
      </w:r>
      <w:r w:rsidRPr="000C0842">
        <w:rPr>
          <w:lang w:eastAsia="zh-CN"/>
        </w:rPr>
        <w:br/>
      </w:r>
      <w:r w:rsidRPr="000C0842">
        <w:rPr>
          <w:lang w:eastAsia="zh-CN"/>
        </w:rPr>
        <w:t>缔约方根据《昆明</w:t>
      </w:r>
      <w:r w:rsidRPr="000C0842">
        <w:rPr>
          <w:lang w:eastAsia="zh-CN"/>
        </w:rPr>
        <w:t>-</w:t>
      </w:r>
      <w:r w:rsidRPr="000C0842">
        <w:rPr>
          <w:lang w:eastAsia="zh-CN"/>
        </w:rPr>
        <w:t>蒙特利尔全球生物多样性框架》制定目标和更新国家生物多样性战略和行动计划的进展情况</w:t>
      </w:r>
      <w:bookmarkEnd w:id="151"/>
    </w:p>
    <w:p w14:paraId="5A60024C" w14:textId="00D5E660" w:rsidR="00BE4712" w:rsidRPr="000C0842"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0C0842">
        <w:rPr>
          <w:rFonts w:eastAsia="SimSun"/>
          <w:sz w:val="24"/>
          <w:szCs w:val="24"/>
        </w:rPr>
        <w:t>缔约方大会第</w:t>
      </w:r>
      <w:r w:rsidRPr="000C0842">
        <w:rPr>
          <w:sz w:val="24"/>
          <w:szCs w:val="24"/>
        </w:rPr>
        <w:t>1</w:t>
      </w:r>
      <w:r w:rsidRPr="000C0842">
        <w:rPr>
          <w:rFonts w:eastAsia="SimSun"/>
          <w:sz w:val="24"/>
          <w:szCs w:val="24"/>
        </w:rPr>
        <w:t>场全体会议审议了议程项目</w:t>
      </w:r>
      <w:r w:rsidRPr="000C0842">
        <w:rPr>
          <w:sz w:val="24"/>
          <w:szCs w:val="24"/>
        </w:rPr>
        <w:t>8</w:t>
      </w:r>
      <w:r w:rsidRPr="000C0842">
        <w:rPr>
          <w:rFonts w:eastAsia="SimSun"/>
          <w:sz w:val="24"/>
          <w:szCs w:val="24"/>
        </w:rPr>
        <w:t>。会议收到以执行问题附属机构第</w:t>
      </w:r>
      <w:r w:rsidRPr="000C0842">
        <w:rPr>
          <w:sz w:val="24"/>
          <w:szCs w:val="24"/>
        </w:rPr>
        <w:t>5/1</w:t>
      </w:r>
      <w:r w:rsidRPr="000C0842">
        <w:rPr>
          <w:rFonts w:eastAsia="SimSun"/>
          <w:sz w:val="24"/>
          <w:szCs w:val="24"/>
        </w:rPr>
        <w:t>号建议为基础编写的决定草案</w:t>
      </w:r>
      <w:r w:rsidR="003B1E03" w:rsidRPr="000C0842">
        <w:rPr>
          <w:rStyle w:val="FootnoteReference"/>
          <w:rFonts w:eastAsia="MS Mincho"/>
          <w:kern w:val="22"/>
          <w:sz w:val="24"/>
          <w:szCs w:val="24"/>
        </w:rPr>
        <w:footnoteReference w:id="543"/>
      </w:r>
      <w:r w:rsidR="00FC7FC2" w:rsidRPr="000C0842">
        <w:rPr>
          <w:rFonts w:eastAsia="SimSun" w:hint="eastAsia"/>
          <w:sz w:val="24"/>
          <w:szCs w:val="24"/>
        </w:rPr>
        <w:t xml:space="preserve"> </w:t>
      </w:r>
      <w:r w:rsidRPr="000C0842">
        <w:rPr>
          <w:rFonts w:eastAsia="SimSun"/>
          <w:sz w:val="24"/>
          <w:szCs w:val="24"/>
        </w:rPr>
        <w:t>和执行问题附属机构主席编写的在执行问题附属机构第五次会议上举行的</w:t>
      </w:r>
      <w:r w:rsidR="008D36AC" w:rsidRPr="000C0842">
        <w:rPr>
          <w:rFonts w:eastAsia="SimSun"/>
          <w:sz w:val="24"/>
          <w:szCs w:val="24"/>
        </w:rPr>
        <w:t>不限成员名额</w:t>
      </w:r>
      <w:r w:rsidRPr="000C0842">
        <w:rPr>
          <w:rFonts w:eastAsia="SimSun"/>
          <w:sz w:val="24"/>
          <w:szCs w:val="24"/>
        </w:rPr>
        <w:t>自愿国家审查试点论坛的讨论摘要</w:t>
      </w:r>
      <w:r w:rsidR="003A6865" w:rsidRPr="000C0842">
        <w:rPr>
          <w:sz w:val="24"/>
          <w:szCs w:val="24"/>
          <w:vertAlign w:val="superscript"/>
        </w:rPr>
        <w:footnoteReference w:id="544"/>
      </w:r>
      <w:r w:rsidR="00E02803" w:rsidRPr="000C0842">
        <w:rPr>
          <w:rFonts w:eastAsia="SimSun" w:hint="eastAsia"/>
          <w:sz w:val="24"/>
          <w:szCs w:val="24"/>
        </w:rPr>
        <w:t>。</w:t>
      </w:r>
    </w:p>
    <w:p w14:paraId="30451592" w14:textId="02F581C2" w:rsidR="00BE4712" w:rsidRPr="000C0842" w:rsidRDefault="003B1E03"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0C0842">
        <w:rPr>
          <w:rFonts w:eastAsia="SimSun"/>
          <w:sz w:val="24"/>
          <w:szCs w:val="24"/>
        </w:rPr>
        <w:t>秘书处的代表</w:t>
      </w:r>
      <w:r w:rsidR="00BE4712" w:rsidRPr="000C0842">
        <w:rPr>
          <w:rFonts w:eastAsia="SimSun"/>
          <w:sz w:val="24"/>
          <w:szCs w:val="24"/>
        </w:rPr>
        <w:t>提供了关于已提交国家目标的缔约方数量的最新信息。</w:t>
      </w:r>
    </w:p>
    <w:p w14:paraId="65595475" w14:textId="4C2306C2"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缔约方大会商定由主席</w:t>
      </w:r>
      <w:r w:rsidR="003B1E03" w:rsidRPr="000C0842">
        <w:rPr>
          <w:rFonts w:eastAsia="SimSun"/>
          <w:sz w:val="24"/>
          <w:szCs w:val="24"/>
        </w:rPr>
        <w:t>举行</w:t>
      </w:r>
      <w:r w:rsidRPr="000C0842">
        <w:rPr>
          <w:rFonts w:eastAsia="SimSun"/>
          <w:sz w:val="24"/>
          <w:szCs w:val="24"/>
        </w:rPr>
        <w:t>旨在</w:t>
      </w:r>
      <w:r w:rsidR="003B1E03" w:rsidRPr="000C0842">
        <w:rPr>
          <w:rFonts w:eastAsia="SimSun"/>
          <w:sz w:val="24"/>
          <w:szCs w:val="24"/>
        </w:rPr>
        <w:t>找到</w:t>
      </w:r>
      <w:r w:rsidRPr="000C0842">
        <w:rPr>
          <w:rFonts w:eastAsia="SimSun"/>
          <w:sz w:val="24"/>
          <w:szCs w:val="24"/>
        </w:rPr>
        <w:t>方括号内案文</w:t>
      </w:r>
      <w:r w:rsidR="006626A1" w:rsidRPr="000C0842">
        <w:rPr>
          <w:rFonts w:eastAsia="SimSun" w:hint="eastAsia"/>
          <w:sz w:val="24"/>
          <w:szCs w:val="24"/>
        </w:rPr>
        <w:t>解决</w:t>
      </w:r>
      <w:r w:rsidR="003B1E03" w:rsidRPr="000C0842">
        <w:rPr>
          <w:rFonts w:eastAsia="SimSun"/>
          <w:sz w:val="24"/>
          <w:szCs w:val="24"/>
        </w:rPr>
        <w:t>办法</w:t>
      </w:r>
      <w:r w:rsidRPr="000C0842">
        <w:rPr>
          <w:rFonts w:eastAsia="SimSun"/>
          <w:sz w:val="24"/>
          <w:szCs w:val="24"/>
        </w:rPr>
        <w:t>的非正式磋商</w:t>
      </w:r>
      <w:r w:rsidR="003B1E03" w:rsidRPr="000C0842">
        <w:rPr>
          <w:rFonts w:eastAsia="SimSun"/>
          <w:sz w:val="24"/>
          <w:szCs w:val="24"/>
        </w:rPr>
        <w:t>并起草一份订正决定草案，</w:t>
      </w:r>
      <w:r w:rsidR="00AC5726" w:rsidRPr="000C0842">
        <w:rPr>
          <w:rFonts w:eastAsia="SimSun" w:hint="eastAsia"/>
          <w:sz w:val="24"/>
          <w:szCs w:val="24"/>
        </w:rPr>
        <w:t>供</w:t>
      </w:r>
      <w:r w:rsidR="003B1E03" w:rsidRPr="000C0842">
        <w:rPr>
          <w:rFonts w:eastAsia="SimSun"/>
          <w:sz w:val="24"/>
          <w:szCs w:val="24"/>
        </w:rPr>
        <w:t>稍后一次会议审议</w:t>
      </w:r>
      <w:r w:rsidRPr="000C0842">
        <w:rPr>
          <w:rFonts w:eastAsia="SimSun"/>
          <w:sz w:val="24"/>
          <w:szCs w:val="24"/>
        </w:rPr>
        <w:t>。</w:t>
      </w:r>
    </w:p>
    <w:p w14:paraId="2F0A0537" w14:textId="1519D2C5" w:rsidR="00BE4712" w:rsidRPr="000C084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w:t>
      </w:r>
      <w:r w:rsidR="000E4A9D" w:rsidRPr="000C0842">
        <w:rPr>
          <w:rFonts w:eastAsia="SimSun"/>
          <w:sz w:val="24"/>
          <w:szCs w:val="24"/>
        </w:rPr>
        <w:t>大会</w:t>
      </w:r>
      <w:r w:rsidR="0043036E" w:rsidRPr="000C0842">
        <w:rPr>
          <w:rFonts w:eastAsia="SimSun"/>
          <w:sz w:val="24"/>
          <w:szCs w:val="24"/>
        </w:rPr>
        <w:t>第</w:t>
      </w:r>
      <w:r w:rsidR="0043036E" w:rsidRPr="000C0842">
        <w:rPr>
          <w:sz w:val="24"/>
          <w:szCs w:val="24"/>
        </w:rPr>
        <w:t>2</w:t>
      </w:r>
      <w:r w:rsidR="0043036E" w:rsidRPr="000C0842">
        <w:rPr>
          <w:rFonts w:eastAsia="SimSun"/>
          <w:sz w:val="24"/>
          <w:szCs w:val="24"/>
        </w:rPr>
        <w:t>场全体会议</w:t>
      </w:r>
      <w:r w:rsidRPr="000C0842">
        <w:rPr>
          <w:rFonts w:eastAsia="SimSun"/>
          <w:sz w:val="24"/>
          <w:szCs w:val="24"/>
        </w:rPr>
        <w:t>审议了主席提交的一项</w:t>
      </w:r>
      <w:r w:rsidR="000E4A9D" w:rsidRPr="000C0842">
        <w:rPr>
          <w:rFonts w:eastAsia="SimSun"/>
          <w:sz w:val="24"/>
          <w:szCs w:val="24"/>
        </w:rPr>
        <w:t>订正</w:t>
      </w:r>
      <w:r w:rsidRPr="000C0842">
        <w:rPr>
          <w:rFonts w:eastAsia="SimSun"/>
          <w:sz w:val="24"/>
          <w:szCs w:val="24"/>
        </w:rPr>
        <w:t>决定草案。会议核准了经主席口头修正的部分案文，并同意秘书处将</w:t>
      </w:r>
      <w:r w:rsidR="00F91A13" w:rsidRPr="000C0842">
        <w:rPr>
          <w:rFonts w:eastAsia="SimSun" w:hint="eastAsia"/>
          <w:sz w:val="24"/>
          <w:szCs w:val="24"/>
        </w:rPr>
        <w:t>拟定</w:t>
      </w:r>
      <w:r w:rsidRPr="000C0842">
        <w:rPr>
          <w:rFonts w:eastAsia="SimSun"/>
          <w:sz w:val="24"/>
          <w:szCs w:val="24"/>
        </w:rPr>
        <w:t>该决定草案的</w:t>
      </w:r>
      <w:r w:rsidR="000E4A9D" w:rsidRPr="000C0842">
        <w:rPr>
          <w:rFonts w:eastAsia="SimSun"/>
          <w:sz w:val="24"/>
          <w:szCs w:val="24"/>
        </w:rPr>
        <w:t>进一步</w:t>
      </w:r>
      <w:r w:rsidR="00F91A13" w:rsidRPr="000C0842">
        <w:rPr>
          <w:rFonts w:eastAsia="SimSun" w:hint="eastAsia"/>
          <w:sz w:val="24"/>
          <w:szCs w:val="24"/>
        </w:rPr>
        <w:t>订正</w:t>
      </w:r>
      <w:r w:rsidRPr="000C0842">
        <w:rPr>
          <w:rFonts w:eastAsia="SimSun"/>
          <w:sz w:val="24"/>
          <w:szCs w:val="24"/>
        </w:rPr>
        <w:t>版，</w:t>
      </w:r>
      <w:r w:rsidR="00AC5726" w:rsidRPr="000C0842">
        <w:rPr>
          <w:rFonts w:eastAsia="SimSun" w:hint="eastAsia"/>
          <w:sz w:val="24"/>
          <w:szCs w:val="24"/>
        </w:rPr>
        <w:t>供</w:t>
      </w:r>
      <w:r w:rsidR="000E4A9D" w:rsidRPr="000C0842">
        <w:rPr>
          <w:rFonts w:eastAsia="SimSun"/>
          <w:sz w:val="24"/>
          <w:szCs w:val="24"/>
        </w:rPr>
        <w:t>稍后一次</w:t>
      </w:r>
      <w:r w:rsidRPr="000C0842">
        <w:rPr>
          <w:rFonts w:eastAsia="SimSun"/>
          <w:sz w:val="24"/>
          <w:szCs w:val="24"/>
        </w:rPr>
        <w:t>会议审议。</w:t>
      </w:r>
    </w:p>
    <w:p w14:paraId="58591A1F" w14:textId="053EFFC8" w:rsidR="00AF7756" w:rsidRPr="000C0842"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w:t>
      </w:r>
      <w:r w:rsidR="0043036E" w:rsidRPr="000C0842">
        <w:rPr>
          <w:rFonts w:eastAsia="SimSun"/>
          <w:sz w:val="24"/>
          <w:szCs w:val="24"/>
        </w:rPr>
        <w:t>第</w:t>
      </w:r>
      <w:r w:rsidR="0043036E" w:rsidRPr="000C0842">
        <w:rPr>
          <w:rFonts w:eastAsia="SimSun"/>
          <w:sz w:val="24"/>
          <w:szCs w:val="24"/>
        </w:rPr>
        <w:t>5</w:t>
      </w:r>
      <w:r w:rsidR="0043036E" w:rsidRPr="000C0842">
        <w:rPr>
          <w:rFonts w:eastAsia="SimSun"/>
          <w:sz w:val="24"/>
          <w:szCs w:val="24"/>
        </w:rPr>
        <w:t>场全体会议</w:t>
      </w:r>
      <w:r w:rsidRPr="000C0842">
        <w:rPr>
          <w:rFonts w:eastAsia="SimSun"/>
          <w:sz w:val="24"/>
          <w:szCs w:val="24"/>
        </w:rPr>
        <w:t>审议了主席提交的</w:t>
      </w:r>
      <w:r w:rsidRPr="000C0842">
        <w:rPr>
          <w:rFonts w:eastAsia="SimSun"/>
          <w:sz w:val="24"/>
          <w:szCs w:val="24"/>
        </w:rPr>
        <w:t>CBD/COP/16/L.25</w:t>
      </w:r>
      <w:r w:rsidR="001902BF" w:rsidRPr="000C0842">
        <w:rPr>
          <w:rFonts w:eastAsia="SimSun"/>
          <w:sz w:val="24"/>
          <w:szCs w:val="24"/>
        </w:rPr>
        <w:t>号决定草案</w:t>
      </w:r>
      <w:r w:rsidRPr="000C0842">
        <w:rPr>
          <w:rFonts w:eastAsia="SimSun"/>
          <w:sz w:val="24"/>
          <w:szCs w:val="24"/>
        </w:rPr>
        <w:t>。</w:t>
      </w:r>
    </w:p>
    <w:p w14:paraId="345B273A" w14:textId="0DA0E95E" w:rsidR="00AF7756" w:rsidRPr="000C0842"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下列缔约方的代表</w:t>
      </w:r>
      <w:r w:rsidR="00E459D5" w:rsidRPr="000C0842">
        <w:rPr>
          <w:rFonts w:eastAsia="SimSun"/>
          <w:sz w:val="24"/>
          <w:szCs w:val="24"/>
        </w:rPr>
        <w:t>发了言</w:t>
      </w:r>
      <w:r w:rsidRPr="000C0842">
        <w:rPr>
          <w:rFonts w:eastAsia="SimSun"/>
          <w:sz w:val="24"/>
          <w:szCs w:val="24"/>
        </w:rPr>
        <w:t>：阿根廷</w:t>
      </w:r>
      <w:r w:rsidR="00F91A13" w:rsidRPr="000C0842">
        <w:rPr>
          <w:rFonts w:eastAsia="SimSun" w:hint="eastAsia"/>
          <w:sz w:val="24"/>
          <w:szCs w:val="24"/>
        </w:rPr>
        <w:t>、</w:t>
      </w:r>
      <w:r w:rsidRPr="000C0842">
        <w:rPr>
          <w:rFonts w:eastAsia="SimSun"/>
          <w:sz w:val="24"/>
          <w:szCs w:val="24"/>
        </w:rPr>
        <w:t>欧洲联盟及其成员国。</w:t>
      </w:r>
    </w:p>
    <w:p w14:paraId="2E76DA5C" w14:textId="43E06795" w:rsidR="00BE4712" w:rsidRPr="000C0842"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0C0842">
        <w:rPr>
          <w:rFonts w:eastAsia="SimSun"/>
          <w:sz w:val="24"/>
          <w:szCs w:val="24"/>
        </w:rPr>
        <w:t>缔约方大会通过了经口头修正的决定草案，</w:t>
      </w:r>
      <w:r w:rsidR="00706146" w:rsidRPr="000C0842">
        <w:rPr>
          <w:rFonts w:eastAsia="SimSun" w:hint="eastAsia"/>
          <w:sz w:val="24"/>
          <w:szCs w:val="24"/>
        </w:rPr>
        <w:t>决定草案</w:t>
      </w:r>
      <w:r w:rsidRPr="000C0842">
        <w:rPr>
          <w:rFonts w:eastAsia="SimSun"/>
          <w:sz w:val="24"/>
          <w:szCs w:val="24"/>
        </w:rPr>
        <w:t>成为第</w:t>
      </w:r>
      <w:hyperlink r:id="rId373" w:history="1">
        <w:r w:rsidRPr="000C0842">
          <w:rPr>
            <w:rStyle w:val="Hyperlink"/>
            <w:rFonts w:eastAsia="SimSun"/>
            <w:color w:val="auto"/>
            <w:sz w:val="24"/>
            <w:szCs w:val="24"/>
          </w:rPr>
          <w:t>16/1</w:t>
        </w:r>
      </w:hyperlink>
      <w:r w:rsidRPr="000C0842">
        <w:rPr>
          <w:rFonts w:eastAsia="SimSun"/>
          <w:sz w:val="24"/>
          <w:szCs w:val="24"/>
        </w:rPr>
        <w:t>号决定。</w:t>
      </w:r>
    </w:p>
    <w:p w14:paraId="152D089B" w14:textId="77777777" w:rsidR="001136A9" w:rsidRPr="000C0842" w:rsidRDefault="001136A9" w:rsidP="004E5EE5">
      <w:pPr>
        <w:pStyle w:val="a1"/>
        <w:ind w:left="0"/>
        <w:rPr>
          <w:rFonts w:ascii="SimSun" w:hAnsi="SimSun"/>
          <w:szCs w:val="24"/>
          <w:lang w:eastAsia="zh-CN"/>
        </w:rPr>
      </w:pPr>
      <w:bookmarkStart w:id="152" w:name="_Toc206358245"/>
      <w:r w:rsidRPr="000C0842">
        <w:rPr>
          <w:lang w:eastAsia="zh-CN"/>
        </w:rPr>
        <w:t>项目</w:t>
      </w:r>
      <w:r w:rsidRPr="000C0842">
        <w:rPr>
          <w:lang w:eastAsia="zh-CN"/>
        </w:rPr>
        <w:t>9</w:t>
      </w:r>
      <w:r w:rsidRPr="000C0842">
        <w:rPr>
          <w:lang w:eastAsia="zh-CN"/>
        </w:rPr>
        <w:br/>
      </w:r>
      <w:r w:rsidRPr="000C0842">
        <w:rPr>
          <w:lang w:eastAsia="zh-CN"/>
        </w:rPr>
        <w:t>遗传资源数字序列信息</w:t>
      </w:r>
      <w:bookmarkEnd w:id="152"/>
    </w:p>
    <w:p w14:paraId="7BAFD2EF" w14:textId="3411B243"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21</w:t>
      </w:r>
      <w:r w:rsidRPr="000C0842">
        <w:rPr>
          <w:rFonts w:eastAsia="SimSun"/>
          <w:sz w:val="24"/>
          <w:szCs w:val="24"/>
        </w:rPr>
        <w:t>日</w:t>
      </w:r>
      <w:r w:rsidR="00F91A13" w:rsidRPr="000C0842">
        <w:rPr>
          <w:rFonts w:eastAsia="SimSun"/>
          <w:sz w:val="24"/>
          <w:szCs w:val="24"/>
        </w:rPr>
        <w:t>第一工作组第</w:t>
      </w:r>
      <w:r w:rsidR="00F91A13" w:rsidRPr="000C0842">
        <w:rPr>
          <w:rFonts w:eastAsia="SimSun"/>
          <w:sz w:val="24"/>
          <w:szCs w:val="24"/>
        </w:rPr>
        <w:t>1</w:t>
      </w:r>
      <w:r w:rsidR="00F91A13" w:rsidRPr="000C0842">
        <w:rPr>
          <w:rFonts w:eastAsia="SimSun"/>
          <w:sz w:val="24"/>
          <w:szCs w:val="24"/>
        </w:rPr>
        <w:t>场会议</w:t>
      </w:r>
      <w:r w:rsidR="00F91A13" w:rsidRPr="000C0842">
        <w:rPr>
          <w:rFonts w:eastAsia="SimSun" w:hint="eastAsia"/>
          <w:sz w:val="24"/>
          <w:szCs w:val="24"/>
        </w:rPr>
        <w:t>一并</w:t>
      </w:r>
      <w:r w:rsidR="00F91A13" w:rsidRPr="000C0842">
        <w:rPr>
          <w:rFonts w:eastAsia="SimSun"/>
          <w:sz w:val="24"/>
          <w:szCs w:val="24"/>
        </w:rPr>
        <w:t>审议了议程项目</w:t>
      </w:r>
      <w:r w:rsidR="00F91A13" w:rsidRPr="000C0842">
        <w:rPr>
          <w:rFonts w:eastAsia="SimSun"/>
          <w:sz w:val="24"/>
          <w:szCs w:val="24"/>
        </w:rPr>
        <w:t>9</w:t>
      </w:r>
      <w:r w:rsidR="00F91A13" w:rsidRPr="000C0842">
        <w:rPr>
          <w:rFonts w:eastAsia="SimSun" w:hint="eastAsia"/>
          <w:sz w:val="24"/>
          <w:szCs w:val="24"/>
        </w:rPr>
        <w:t>和</w:t>
      </w:r>
      <w:r w:rsidRPr="000C0842">
        <w:rPr>
          <w:rFonts w:eastAsia="SimSun"/>
          <w:sz w:val="24"/>
          <w:szCs w:val="24"/>
        </w:rPr>
        <w:t>作为名古屋议定书缔约方会议的缔约方大会</w:t>
      </w:r>
      <w:r w:rsidR="00420B2D" w:rsidRPr="000C0842">
        <w:rPr>
          <w:rFonts w:eastAsia="SimSun"/>
          <w:sz w:val="24"/>
          <w:szCs w:val="24"/>
        </w:rPr>
        <w:t>第五次会议</w:t>
      </w:r>
      <w:r w:rsidRPr="000C0842">
        <w:rPr>
          <w:rFonts w:eastAsia="SimSun"/>
          <w:sz w:val="24"/>
          <w:szCs w:val="24"/>
        </w:rPr>
        <w:t>议程项目</w:t>
      </w:r>
      <w:r w:rsidRPr="000C0842">
        <w:rPr>
          <w:rFonts w:eastAsia="SimSun"/>
          <w:sz w:val="24"/>
          <w:szCs w:val="24"/>
        </w:rPr>
        <w:t>14</w:t>
      </w:r>
      <w:r w:rsidRPr="000C0842">
        <w:rPr>
          <w:rFonts w:eastAsia="SimSun"/>
          <w:sz w:val="24"/>
          <w:szCs w:val="24"/>
        </w:rPr>
        <w:t>。第一工作组收到一项决定草案</w:t>
      </w:r>
      <w:r w:rsidR="00420B2D" w:rsidRPr="000C0842">
        <w:rPr>
          <w:rFonts w:eastAsia="SimSun"/>
          <w:sz w:val="24"/>
          <w:szCs w:val="24"/>
          <w:vertAlign w:val="superscript"/>
          <w:lang w:val="en-GB"/>
        </w:rPr>
        <w:footnoteReference w:id="545"/>
      </w:r>
      <w:r w:rsidR="00972E98" w:rsidRPr="000C0842">
        <w:rPr>
          <w:rFonts w:eastAsia="SimSun" w:hint="eastAsia"/>
        </w:rPr>
        <w:t xml:space="preserve"> </w:t>
      </w:r>
      <w:r w:rsidRPr="000C0842">
        <w:rPr>
          <w:rFonts w:eastAsia="SimSun"/>
          <w:sz w:val="24"/>
          <w:szCs w:val="24"/>
        </w:rPr>
        <w:t>和资源调动咨询委员会关于</w:t>
      </w:r>
      <w:r w:rsidR="00DD5890" w:rsidRPr="000C0842">
        <w:rPr>
          <w:rFonts w:eastAsia="SimSun" w:hint="eastAsia"/>
          <w:sz w:val="24"/>
          <w:szCs w:val="24"/>
        </w:rPr>
        <w:t>收取</w:t>
      </w:r>
      <w:r w:rsidRPr="000C0842">
        <w:rPr>
          <w:rFonts w:eastAsia="SimSun"/>
          <w:sz w:val="24"/>
          <w:szCs w:val="24"/>
        </w:rPr>
        <w:t>和</w:t>
      </w:r>
      <w:r w:rsidR="00DD5890" w:rsidRPr="000C0842">
        <w:rPr>
          <w:rFonts w:eastAsia="SimSun" w:hint="eastAsia"/>
          <w:sz w:val="24"/>
          <w:szCs w:val="24"/>
        </w:rPr>
        <w:t>分发</w:t>
      </w:r>
      <w:r w:rsidRPr="000C0842">
        <w:rPr>
          <w:rFonts w:eastAsia="SimSun"/>
          <w:sz w:val="24"/>
          <w:szCs w:val="24"/>
        </w:rPr>
        <w:t>第</w:t>
      </w:r>
      <w:hyperlink r:id="rId374" w:history="1">
        <w:r w:rsidRPr="000C0842">
          <w:rPr>
            <w:rStyle w:val="Hyperlink"/>
            <w:rFonts w:eastAsia="SimSun"/>
            <w:color w:val="auto"/>
            <w:sz w:val="24"/>
            <w:szCs w:val="24"/>
          </w:rPr>
          <w:t>15/9</w:t>
        </w:r>
      </w:hyperlink>
      <w:r w:rsidRPr="000C0842">
        <w:rPr>
          <w:rFonts w:eastAsia="SimSun"/>
          <w:sz w:val="24"/>
          <w:szCs w:val="24"/>
        </w:rPr>
        <w:t>号决定</w:t>
      </w:r>
      <w:r w:rsidRPr="000C0842">
        <w:rPr>
          <w:rFonts w:eastAsia="SimSun"/>
          <w:sz w:val="24"/>
          <w:szCs w:val="24"/>
          <w:vertAlign w:val="superscript"/>
        </w:rPr>
        <w:footnoteReference w:id="546"/>
      </w:r>
      <w:r w:rsidR="00FC7FC2" w:rsidRPr="000C0842">
        <w:rPr>
          <w:rFonts w:eastAsia="SimSun" w:hint="eastAsia"/>
          <w:sz w:val="24"/>
          <w:szCs w:val="24"/>
        </w:rPr>
        <w:t xml:space="preserve"> </w:t>
      </w:r>
      <w:r w:rsidRPr="000C0842">
        <w:rPr>
          <w:rFonts w:eastAsia="SimSun"/>
          <w:sz w:val="24"/>
          <w:szCs w:val="24"/>
        </w:rPr>
        <w:t>所设机制产生的收入的适当实体的建议。</w:t>
      </w:r>
      <w:r w:rsidR="00D32E04" w:rsidRPr="000C0842">
        <w:rPr>
          <w:rFonts w:eastAsia="SimSun"/>
          <w:sz w:val="24"/>
          <w:szCs w:val="24"/>
        </w:rPr>
        <w:t>作为参考文件提供</w:t>
      </w:r>
      <w:r w:rsidR="00D32E04" w:rsidRPr="000C0842">
        <w:rPr>
          <w:rFonts w:eastAsia="SimSun" w:hint="eastAsia"/>
          <w:sz w:val="24"/>
          <w:szCs w:val="24"/>
        </w:rPr>
        <w:t>了</w:t>
      </w:r>
      <w:r w:rsidRPr="000C0842">
        <w:rPr>
          <w:rFonts w:eastAsia="SimSun"/>
          <w:sz w:val="24"/>
          <w:szCs w:val="24"/>
        </w:rPr>
        <w:t>分享利用遗传资源数字序列信息所产生惠益问题不限成员名额特设工作组第一次和第二次会议的报告</w:t>
      </w:r>
      <w:r w:rsidR="00420B2D" w:rsidRPr="000C0842">
        <w:rPr>
          <w:rFonts w:eastAsia="SimSun"/>
          <w:sz w:val="24"/>
          <w:szCs w:val="24"/>
          <w:vertAlign w:val="superscript"/>
        </w:rPr>
        <w:footnoteReference w:id="547"/>
      </w:r>
      <w:r w:rsidR="00FC7FC2" w:rsidRPr="000C0842">
        <w:rPr>
          <w:rFonts w:eastAsia="SimSun" w:hint="eastAsia"/>
          <w:sz w:val="24"/>
          <w:szCs w:val="24"/>
        </w:rPr>
        <w:t xml:space="preserve"> </w:t>
      </w:r>
      <w:r w:rsidRPr="000C0842">
        <w:rPr>
          <w:rFonts w:eastAsia="SimSun"/>
          <w:sz w:val="24"/>
          <w:szCs w:val="24"/>
        </w:rPr>
        <w:t>以及资源调动咨询委员会第三次会议报告</w:t>
      </w:r>
      <w:r w:rsidR="00FC7FC2" w:rsidRPr="000C0842">
        <w:rPr>
          <w:rFonts w:eastAsia="SimSun"/>
          <w:sz w:val="24"/>
          <w:szCs w:val="24"/>
          <w:vertAlign w:val="superscript"/>
        </w:rPr>
        <w:footnoteReference w:id="548"/>
      </w:r>
      <w:r w:rsidR="00E02803" w:rsidRPr="000C0842">
        <w:rPr>
          <w:rFonts w:eastAsia="SimSun" w:hint="eastAsia"/>
          <w:sz w:val="24"/>
          <w:szCs w:val="24"/>
        </w:rPr>
        <w:t>。</w:t>
      </w:r>
    </w:p>
    <w:p w14:paraId="233C169C" w14:textId="105A9F66"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第一工作组商定设立一个联络小组，由</w:t>
      </w:r>
      <w:r w:rsidRPr="000C0842">
        <w:rPr>
          <w:rFonts w:eastAsia="SimSun"/>
          <w:sz w:val="24"/>
          <w:szCs w:val="24"/>
        </w:rPr>
        <w:t>Lactia Tshitwamulomoni</w:t>
      </w:r>
      <w:r w:rsidRPr="000C0842">
        <w:rPr>
          <w:rFonts w:eastAsia="SimSun"/>
          <w:sz w:val="24"/>
          <w:szCs w:val="24"/>
        </w:rPr>
        <w:t>（南非）和</w:t>
      </w:r>
      <w:r w:rsidRPr="000C0842">
        <w:rPr>
          <w:rFonts w:eastAsia="SimSun"/>
          <w:sz w:val="24"/>
          <w:szCs w:val="24"/>
        </w:rPr>
        <w:t>William Lockhart</w:t>
      </w:r>
      <w:r w:rsidRPr="000C0842">
        <w:rPr>
          <w:rFonts w:eastAsia="SimSun"/>
          <w:sz w:val="24"/>
          <w:szCs w:val="24"/>
        </w:rPr>
        <w:t>（联合王国）担任共同主席，以</w:t>
      </w:r>
      <w:hyperlink r:id="rId375" w:history="1">
        <w:r w:rsidRPr="000C0842">
          <w:rPr>
            <w:rStyle w:val="Hyperlink"/>
            <w:rFonts w:eastAsia="SimSun"/>
            <w:color w:val="auto"/>
            <w:sz w:val="24"/>
            <w:szCs w:val="24"/>
          </w:rPr>
          <w:t>CBD/COP/16/2/Rev.1</w:t>
        </w:r>
      </w:hyperlink>
      <w:r w:rsidRPr="000C0842">
        <w:rPr>
          <w:rFonts w:eastAsia="SimSun"/>
          <w:sz w:val="24"/>
          <w:szCs w:val="24"/>
        </w:rPr>
        <w:t>号文件</w:t>
      </w:r>
      <w:r w:rsidR="00706146" w:rsidRPr="000C0842">
        <w:rPr>
          <w:rFonts w:eastAsia="SimSun" w:hint="eastAsia"/>
          <w:sz w:val="24"/>
          <w:szCs w:val="24"/>
        </w:rPr>
        <w:t>所载</w:t>
      </w:r>
      <w:r w:rsidRPr="000C0842">
        <w:rPr>
          <w:rFonts w:eastAsia="SimSun"/>
          <w:sz w:val="24"/>
          <w:szCs w:val="24"/>
        </w:rPr>
        <w:t>决定草案为工作基础，</w:t>
      </w:r>
      <w:r w:rsidR="00F91A13" w:rsidRPr="000C0842">
        <w:rPr>
          <w:rFonts w:eastAsia="SimSun" w:hint="eastAsia"/>
          <w:sz w:val="24"/>
          <w:szCs w:val="24"/>
        </w:rPr>
        <w:t>参考</w:t>
      </w:r>
      <w:r w:rsidRPr="000C0842">
        <w:rPr>
          <w:rFonts w:eastAsia="SimSun"/>
          <w:sz w:val="24"/>
          <w:szCs w:val="24"/>
        </w:rPr>
        <w:t>资源调动咨询委员会的建议，</w:t>
      </w:r>
      <w:r w:rsidR="00F91A13" w:rsidRPr="000C0842">
        <w:rPr>
          <w:rFonts w:eastAsia="SimSun" w:hint="eastAsia"/>
          <w:sz w:val="24"/>
          <w:szCs w:val="24"/>
        </w:rPr>
        <w:t>拟定</w:t>
      </w:r>
      <w:r w:rsidRPr="000C0842">
        <w:rPr>
          <w:rFonts w:eastAsia="SimSun"/>
          <w:sz w:val="24"/>
          <w:szCs w:val="24"/>
        </w:rPr>
        <w:t>一份关于多边机制运作</w:t>
      </w:r>
      <w:r w:rsidR="00420B2D" w:rsidRPr="000C0842">
        <w:rPr>
          <w:rFonts w:eastAsia="SimSun"/>
          <w:sz w:val="24"/>
          <w:szCs w:val="24"/>
        </w:rPr>
        <w:t>模式</w:t>
      </w:r>
      <w:r w:rsidRPr="000C0842">
        <w:rPr>
          <w:rFonts w:eastAsia="SimSun"/>
          <w:sz w:val="24"/>
          <w:szCs w:val="24"/>
        </w:rPr>
        <w:t>的订正决定草案。</w:t>
      </w:r>
    </w:p>
    <w:p w14:paraId="4DF1AB35" w14:textId="4F20D3BD" w:rsidR="00420B2D" w:rsidRPr="000C0842"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w:t>
      </w:r>
      <w:r w:rsidR="0043036E" w:rsidRPr="000C0842">
        <w:rPr>
          <w:rFonts w:eastAsia="SimSun"/>
          <w:sz w:val="24"/>
          <w:szCs w:val="24"/>
        </w:rPr>
        <w:t>大会第</w:t>
      </w:r>
      <w:r w:rsidR="0043036E" w:rsidRPr="000C0842">
        <w:rPr>
          <w:rFonts w:eastAsia="SimSun"/>
          <w:sz w:val="24"/>
          <w:szCs w:val="24"/>
        </w:rPr>
        <w:t>5</w:t>
      </w:r>
      <w:r w:rsidR="0043036E" w:rsidRPr="000C0842">
        <w:rPr>
          <w:rFonts w:eastAsia="SimSun"/>
          <w:sz w:val="24"/>
          <w:szCs w:val="24"/>
        </w:rPr>
        <w:t>场全体会议</w:t>
      </w:r>
      <w:r w:rsidRPr="000C0842">
        <w:rPr>
          <w:rFonts w:eastAsia="SimSun"/>
          <w:sz w:val="24"/>
          <w:szCs w:val="24"/>
        </w:rPr>
        <w:t>审议了主席提交的</w:t>
      </w:r>
      <w:r w:rsidRPr="000C0842">
        <w:rPr>
          <w:rFonts w:eastAsia="SimSun"/>
          <w:sz w:val="24"/>
          <w:szCs w:val="24"/>
        </w:rPr>
        <w:t>CBD/COP/16/L.32</w:t>
      </w:r>
      <w:r w:rsidR="00405EC3" w:rsidRPr="000C0842">
        <w:rPr>
          <w:rFonts w:eastAsia="SimSun" w:hint="eastAsia"/>
          <w:sz w:val="24"/>
          <w:szCs w:val="24"/>
        </w:rPr>
        <w:t>/Rev.1</w:t>
      </w:r>
      <w:r w:rsidR="001902BF" w:rsidRPr="000C0842">
        <w:rPr>
          <w:rFonts w:eastAsia="SimSun"/>
          <w:sz w:val="24"/>
          <w:szCs w:val="24"/>
        </w:rPr>
        <w:t>号</w:t>
      </w:r>
      <w:r w:rsidR="00C5112A" w:rsidRPr="000C0842">
        <w:rPr>
          <w:rFonts w:eastAsia="SimSun" w:hint="eastAsia"/>
          <w:sz w:val="24"/>
          <w:szCs w:val="24"/>
        </w:rPr>
        <w:t>订正</w:t>
      </w:r>
      <w:r w:rsidR="001902BF" w:rsidRPr="000C0842">
        <w:rPr>
          <w:rFonts w:eastAsia="SimSun"/>
          <w:sz w:val="24"/>
          <w:szCs w:val="24"/>
        </w:rPr>
        <w:t>决定草案</w:t>
      </w:r>
      <w:r w:rsidR="00C5112A" w:rsidRPr="000C0842">
        <w:rPr>
          <w:rStyle w:val="FootnoteReference"/>
          <w:sz w:val="24"/>
          <w:szCs w:val="24"/>
        </w:rPr>
        <w:footnoteReference w:id="549"/>
      </w:r>
      <w:r w:rsidRPr="000C0842">
        <w:rPr>
          <w:rFonts w:eastAsia="SimSun"/>
          <w:sz w:val="24"/>
          <w:szCs w:val="24"/>
        </w:rPr>
        <w:t>。</w:t>
      </w:r>
    </w:p>
    <w:p w14:paraId="7F0D96A7" w14:textId="4E054B31" w:rsidR="00420B2D" w:rsidRPr="000C0842" w:rsidRDefault="00EE28F8" w:rsidP="001136A9">
      <w:pPr>
        <w:pStyle w:val="ListParagraph"/>
        <w:tabs>
          <w:tab w:val="clear" w:pos="567"/>
          <w:tab w:val="clear" w:pos="1134"/>
          <w:tab w:val="clear" w:pos="1701"/>
          <w:tab w:val="clear" w:pos="2268"/>
        </w:tabs>
        <w:spacing w:before="120" w:after="120"/>
        <w:ind w:left="490" w:firstLine="0"/>
        <w:contextualSpacing w:val="0"/>
        <w:rPr>
          <w:rFonts w:eastAsia="SimSun"/>
          <w:spacing w:val="-2"/>
          <w:sz w:val="24"/>
          <w:szCs w:val="24"/>
        </w:rPr>
      </w:pPr>
      <w:r w:rsidRPr="000C0842">
        <w:rPr>
          <w:rFonts w:eastAsia="SimSun"/>
          <w:spacing w:val="-2"/>
          <w:sz w:val="24"/>
          <w:szCs w:val="24"/>
        </w:rPr>
        <w:t>下列缔约方</w:t>
      </w:r>
      <w:r w:rsidR="00420B2D" w:rsidRPr="000C0842">
        <w:rPr>
          <w:rFonts w:eastAsia="SimSun"/>
          <w:spacing w:val="-2"/>
          <w:sz w:val="24"/>
          <w:szCs w:val="24"/>
        </w:rPr>
        <w:t>代表</w:t>
      </w:r>
      <w:r w:rsidR="00E459D5" w:rsidRPr="000C0842">
        <w:rPr>
          <w:rFonts w:eastAsia="SimSun"/>
          <w:spacing w:val="-2"/>
          <w:sz w:val="24"/>
          <w:szCs w:val="24"/>
        </w:rPr>
        <w:t>发了言</w:t>
      </w:r>
      <w:r w:rsidR="00420B2D" w:rsidRPr="000C0842">
        <w:rPr>
          <w:rFonts w:eastAsia="SimSun"/>
          <w:spacing w:val="-2"/>
          <w:sz w:val="24"/>
          <w:szCs w:val="24"/>
        </w:rPr>
        <w:t>：阿根廷、多民族玻利维亚国、巴西、布基纳法索、加拿大、智利、古巴、刚果民主共和国、欧洲联盟及其成员国、日本、</w:t>
      </w:r>
      <w:r w:rsidR="00C5112A" w:rsidRPr="000C0842">
        <w:rPr>
          <w:rFonts w:eastAsia="SimSun" w:hint="eastAsia"/>
          <w:spacing w:val="-2"/>
          <w:sz w:val="24"/>
          <w:szCs w:val="24"/>
        </w:rPr>
        <w:t>印度、</w:t>
      </w:r>
      <w:r w:rsidR="00420B2D" w:rsidRPr="000C0842">
        <w:rPr>
          <w:rFonts w:eastAsia="SimSun"/>
          <w:spacing w:val="-2"/>
          <w:sz w:val="24"/>
          <w:szCs w:val="24"/>
        </w:rPr>
        <w:t>墨西哥、挪威、巴拿马、秘鲁、大韩民国、南非、瑞士、联合王国、坦桑尼亚联合共和国</w:t>
      </w:r>
      <w:r w:rsidR="0036771E" w:rsidRPr="000C0842">
        <w:rPr>
          <w:rFonts w:eastAsia="SimSun" w:hint="eastAsia"/>
          <w:spacing w:val="-2"/>
          <w:sz w:val="24"/>
          <w:szCs w:val="24"/>
        </w:rPr>
        <w:t>、</w:t>
      </w:r>
      <w:r w:rsidR="00420B2D" w:rsidRPr="000C0842">
        <w:rPr>
          <w:rFonts w:eastAsia="SimSun"/>
          <w:spacing w:val="-2"/>
          <w:sz w:val="24"/>
          <w:szCs w:val="24"/>
        </w:rPr>
        <w:t>津巴布韦。</w:t>
      </w:r>
    </w:p>
    <w:p w14:paraId="68E4C7B7" w14:textId="71868C2D" w:rsidR="00420B2D" w:rsidRPr="000C0842"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缔约方大会通过了经口头修正的</w:t>
      </w:r>
      <w:r w:rsidR="001915AB" w:rsidRPr="000C0842">
        <w:rPr>
          <w:rFonts w:eastAsia="SimSun" w:hint="eastAsia"/>
          <w:sz w:val="24"/>
          <w:szCs w:val="24"/>
        </w:rPr>
        <w:t>订正</w:t>
      </w:r>
      <w:r w:rsidRPr="000C0842">
        <w:rPr>
          <w:rFonts w:eastAsia="SimSun"/>
          <w:sz w:val="24"/>
          <w:szCs w:val="24"/>
        </w:rPr>
        <w:t>决定草案，</w:t>
      </w:r>
      <w:r w:rsidR="00706146" w:rsidRPr="000C0842">
        <w:rPr>
          <w:rFonts w:eastAsia="SimSun" w:hint="eastAsia"/>
          <w:sz w:val="24"/>
          <w:szCs w:val="24"/>
        </w:rPr>
        <w:t>决定草案</w:t>
      </w:r>
      <w:r w:rsidRPr="000C0842">
        <w:rPr>
          <w:rFonts w:eastAsia="SimSun"/>
          <w:sz w:val="24"/>
          <w:szCs w:val="24"/>
        </w:rPr>
        <w:t>成为第</w:t>
      </w:r>
      <w:hyperlink r:id="rId376" w:history="1">
        <w:r w:rsidRPr="000C0842">
          <w:rPr>
            <w:rStyle w:val="Hyperlink"/>
            <w:rFonts w:eastAsia="SimSun"/>
            <w:color w:val="auto"/>
            <w:sz w:val="24"/>
            <w:szCs w:val="24"/>
          </w:rPr>
          <w:t>16/2</w:t>
        </w:r>
      </w:hyperlink>
      <w:r w:rsidRPr="000C0842">
        <w:rPr>
          <w:rFonts w:eastAsia="SimSun"/>
          <w:sz w:val="24"/>
          <w:szCs w:val="24"/>
        </w:rPr>
        <w:t>号决定。</w:t>
      </w:r>
    </w:p>
    <w:p w14:paraId="12D55966" w14:textId="7FA1D64E" w:rsidR="00420B2D" w:rsidRPr="000C0842"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通过决定后，</w:t>
      </w:r>
      <w:r w:rsidR="00EE28F8" w:rsidRPr="000C0842">
        <w:rPr>
          <w:rFonts w:eastAsia="SimSun"/>
          <w:sz w:val="24"/>
          <w:szCs w:val="24"/>
        </w:rPr>
        <w:t>下列缔约方</w:t>
      </w:r>
      <w:r w:rsidRPr="000C0842">
        <w:rPr>
          <w:rFonts w:eastAsia="SimSun"/>
          <w:sz w:val="24"/>
          <w:szCs w:val="24"/>
        </w:rPr>
        <w:t>代表</w:t>
      </w:r>
      <w:r w:rsidR="00E459D5" w:rsidRPr="000C0842">
        <w:rPr>
          <w:rFonts w:eastAsia="SimSun"/>
          <w:sz w:val="24"/>
          <w:szCs w:val="24"/>
        </w:rPr>
        <w:t>发了言</w:t>
      </w:r>
      <w:r w:rsidRPr="000C0842">
        <w:rPr>
          <w:rFonts w:eastAsia="SimSun"/>
          <w:sz w:val="24"/>
          <w:szCs w:val="24"/>
        </w:rPr>
        <w:t>：阿根廷、巴拿马</w:t>
      </w:r>
      <w:r w:rsidR="0036771E" w:rsidRPr="000C0842">
        <w:rPr>
          <w:rFonts w:eastAsia="SimSun" w:hint="eastAsia"/>
          <w:sz w:val="24"/>
          <w:szCs w:val="24"/>
        </w:rPr>
        <w:t>、</w:t>
      </w:r>
      <w:r w:rsidRPr="000C0842">
        <w:rPr>
          <w:rFonts w:eastAsia="SimSun"/>
          <w:sz w:val="24"/>
          <w:szCs w:val="24"/>
        </w:rPr>
        <w:t>秘鲁。</w:t>
      </w:r>
    </w:p>
    <w:p w14:paraId="533C14D8" w14:textId="39D2AA2A" w:rsidR="001136A9" w:rsidRPr="000C0842" w:rsidRDefault="00420B2D"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阿根廷</w:t>
      </w:r>
      <w:r w:rsidR="00F458E3" w:rsidRPr="000C0842">
        <w:rPr>
          <w:rFonts w:eastAsia="SimSun"/>
          <w:sz w:val="24"/>
          <w:szCs w:val="24"/>
        </w:rPr>
        <w:t>一位</w:t>
      </w:r>
      <w:r w:rsidRPr="000C0842">
        <w:rPr>
          <w:rFonts w:eastAsia="SimSun"/>
          <w:sz w:val="24"/>
          <w:szCs w:val="24"/>
        </w:rPr>
        <w:t>代表在发言中对利用</w:t>
      </w:r>
      <w:r w:rsidR="001915AB" w:rsidRPr="000C0842">
        <w:rPr>
          <w:rFonts w:eastAsia="SimSun" w:hint="eastAsia"/>
          <w:sz w:val="24"/>
          <w:szCs w:val="24"/>
        </w:rPr>
        <w:t>遗传资源</w:t>
      </w:r>
      <w:r w:rsidRPr="000C0842">
        <w:rPr>
          <w:rFonts w:eastAsia="SimSun"/>
          <w:sz w:val="24"/>
          <w:szCs w:val="24"/>
        </w:rPr>
        <w:t>数字序列信息的公司</w:t>
      </w:r>
      <w:r w:rsidR="008D36AC" w:rsidRPr="000C0842">
        <w:rPr>
          <w:rFonts w:eastAsia="SimSun" w:hint="eastAsia"/>
          <w:sz w:val="24"/>
          <w:szCs w:val="24"/>
        </w:rPr>
        <w:t>适用</w:t>
      </w:r>
      <w:r w:rsidRPr="000C0842">
        <w:rPr>
          <w:rFonts w:eastAsia="SimSun"/>
          <w:sz w:val="24"/>
          <w:szCs w:val="24"/>
        </w:rPr>
        <w:t>《粮食和农业植物遗传资源国际条约》</w:t>
      </w:r>
      <w:r w:rsidR="008D36AC" w:rsidRPr="000C0842">
        <w:rPr>
          <w:rFonts w:eastAsia="SimSun" w:hint="eastAsia"/>
          <w:sz w:val="24"/>
          <w:szCs w:val="24"/>
        </w:rPr>
        <w:t>而不是《生物多样性公约》一事</w:t>
      </w:r>
      <w:r w:rsidR="001915AB" w:rsidRPr="000C0842">
        <w:rPr>
          <w:rFonts w:eastAsia="SimSun"/>
          <w:sz w:val="24"/>
          <w:szCs w:val="24"/>
        </w:rPr>
        <w:t>表示保留</w:t>
      </w:r>
      <w:r w:rsidRPr="000C0842">
        <w:rPr>
          <w:rFonts w:eastAsia="SimSun"/>
          <w:sz w:val="24"/>
          <w:szCs w:val="24"/>
        </w:rPr>
        <w:t>。</w:t>
      </w:r>
    </w:p>
    <w:p w14:paraId="083958E7" w14:textId="73D23054" w:rsidR="001915AB" w:rsidRPr="000C0842" w:rsidRDefault="001915AB"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巴拿马一</w:t>
      </w:r>
      <w:r w:rsidR="008D36AC" w:rsidRPr="000C0842">
        <w:rPr>
          <w:rFonts w:eastAsia="SimSun" w:hint="eastAsia"/>
          <w:sz w:val="24"/>
          <w:szCs w:val="24"/>
        </w:rPr>
        <w:t>位</w:t>
      </w:r>
      <w:r w:rsidRPr="000C0842">
        <w:rPr>
          <w:rFonts w:eastAsia="SimSun"/>
          <w:sz w:val="24"/>
          <w:szCs w:val="24"/>
        </w:rPr>
        <w:t>代表在秘鲁的支持下就小型代表团面临的技术限制发了言</w:t>
      </w:r>
      <w:r w:rsidR="00307B82" w:rsidRPr="000C0842">
        <w:rPr>
          <w:rFonts w:eastAsia="SimSun" w:hint="eastAsia"/>
          <w:sz w:val="24"/>
          <w:szCs w:val="24"/>
        </w:rPr>
        <w:t>。</w:t>
      </w:r>
    </w:p>
    <w:p w14:paraId="42F888D2" w14:textId="77777777" w:rsidR="001136A9" w:rsidRPr="000C0842" w:rsidRDefault="001136A9" w:rsidP="004E5EE5">
      <w:pPr>
        <w:pStyle w:val="a1"/>
        <w:ind w:left="0"/>
        <w:rPr>
          <w:rFonts w:hint="eastAsia"/>
          <w:lang w:eastAsia="zh-CN"/>
        </w:rPr>
      </w:pPr>
      <w:bookmarkStart w:id="153" w:name="_Toc206358246"/>
      <w:r w:rsidRPr="000C0842">
        <w:rPr>
          <w:lang w:eastAsia="zh-CN"/>
        </w:rPr>
        <w:t>项目</w:t>
      </w:r>
      <w:r w:rsidRPr="000C0842">
        <w:rPr>
          <w:lang w:eastAsia="zh-CN"/>
        </w:rPr>
        <w:t>10</w:t>
      </w:r>
      <w:r w:rsidRPr="000C0842">
        <w:rPr>
          <w:lang w:eastAsia="zh-CN"/>
        </w:rPr>
        <w:br/>
      </w:r>
      <w:r w:rsidRPr="000C0842">
        <w:rPr>
          <w:lang w:eastAsia="zh-CN"/>
        </w:rPr>
        <w:t>规划、监测、报告和审查机制</w:t>
      </w:r>
      <w:bookmarkEnd w:id="153"/>
    </w:p>
    <w:p w14:paraId="53A5BEC6" w14:textId="4CC58F44"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第一工作组第</w:t>
      </w:r>
      <w:r w:rsidR="00C9367D" w:rsidRPr="000C0842">
        <w:rPr>
          <w:rFonts w:eastAsia="SimSun"/>
          <w:sz w:val="24"/>
          <w:szCs w:val="24"/>
        </w:rPr>
        <w:t>1</w:t>
      </w:r>
      <w:r w:rsidR="00C9367D"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10</w:t>
      </w:r>
      <w:r w:rsidRPr="000C0842">
        <w:rPr>
          <w:rFonts w:eastAsia="SimSun"/>
          <w:sz w:val="24"/>
          <w:szCs w:val="24"/>
        </w:rPr>
        <w:t>。工作组收到两项决定草案</w:t>
      </w:r>
      <w:r w:rsidR="00831BAE" w:rsidRPr="000C0842">
        <w:rPr>
          <w:rFonts w:eastAsia="SimSun"/>
          <w:sz w:val="24"/>
          <w:szCs w:val="24"/>
        </w:rPr>
        <w:t>，</w:t>
      </w:r>
      <w:r w:rsidRPr="000C0842">
        <w:rPr>
          <w:rFonts w:eastAsia="SimSun"/>
          <w:sz w:val="24"/>
          <w:szCs w:val="24"/>
        </w:rPr>
        <w:t>一项</w:t>
      </w:r>
      <w:r w:rsidR="008D36AC" w:rsidRPr="000C0842">
        <w:rPr>
          <w:rFonts w:eastAsia="SimSun" w:hint="eastAsia"/>
          <w:sz w:val="24"/>
          <w:szCs w:val="24"/>
        </w:rPr>
        <w:t>涉及</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蒙特利尔全球生物多样性框架》的监测框架</w:t>
      </w:r>
      <w:r w:rsidR="00831BAE" w:rsidRPr="000C0842">
        <w:rPr>
          <w:rFonts w:eastAsia="SimSun"/>
          <w:sz w:val="24"/>
          <w:szCs w:val="24"/>
        </w:rPr>
        <w:t>，</w:t>
      </w:r>
      <w:r w:rsidRPr="000C0842">
        <w:rPr>
          <w:rFonts w:eastAsia="SimSun"/>
          <w:sz w:val="24"/>
          <w:szCs w:val="24"/>
        </w:rPr>
        <w:t>另一</w:t>
      </w:r>
      <w:r w:rsidR="00831BAE" w:rsidRPr="000C0842">
        <w:rPr>
          <w:rFonts w:eastAsia="SimSun"/>
          <w:sz w:val="24"/>
          <w:szCs w:val="24"/>
        </w:rPr>
        <w:t>项</w:t>
      </w:r>
      <w:r w:rsidR="008D36AC" w:rsidRPr="000C0842">
        <w:rPr>
          <w:rFonts w:eastAsia="SimSun" w:hint="eastAsia"/>
          <w:sz w:val="24"/>
          <w:szCs w:val="24"/>
        </w:rPr>
        <w:t>涉及</w:t>
      </w:r>
      <w:r w:rsidRPr="000C0842">
        <w:rPr>
          <w:rFonts w:eastAsia="SimSun"/>
          <w:sz w:val="24"/>
          <w:szCs w:val="24"/>
        </w:rPr>
        <w:t>规划、监测、报告和审查机制</w:t>
      </w:r>
      <w:r w:rsidR="00FC7FC2" w:rsidRPr="000C0842">
        <w:rPr>
          <w:rStyle w:val="FootnoteReference"/>
          <w:sz w:val="24"/>
          <w:szCs w:val="24"/>
        </w:rPr>
        <w:footnoteReference w:id="550"/>
      </w:r>
      <w:r w:rsidR="00FC7FC2" w:rsidRPr="000C0842">
        <w:rPr>
          <w:rFonts w:eastAsia="SimSun" w:hint="eastAsia"/>
          <w:sz w:val="24"/>
          <w:szCs w:val="24"/>
        </w:rPr>
        <w:t xml:space="preserve"> </w:t>
      </w:r>
      <w:r w:rsidR="00E02803" w:rsidRPr="000C0842">
        <w:rPr>
          <w:rFonts w:eastAsia="SimSun" w:hint="eastAsia"/>
          <w:sz w:val="24"/>
          <w:szCs w:val="24"/>
        </w:rPr>
        <w:t>，</w:t>
      </w:r>
      <w:r w:rsidR="008D36AC" w:rsidRPr="000C0842">
        <w:rPr>
          <w:rFonts w:eastAsia="SimSun" w:hint="eastAsia"/>
          <w:sz w:val="24"/>
          <w:szCs w:val="24"/>
        </w:rPr>
        <w:t>还收到</w:t>
      </w:r>
      <w:r w:rsidRPr="000C0842">
        <w:rPr>
          <w:rFonts w:eastAsia="SimSun"/>
          <w:sz w:val="24"/>
          <w:szCs w:val="24"/>
        </w:rPr>
        <w:t>执行问题附属机构第五次会议</w:t>
      </w:r>
      <w:r w:rsidR="001915AB" w:rsidRPr="000C0842">
        <w:rPr>
          <w:rFonts w:eastAsia="SimSun" w:hint="eastAsia"/>
          <w:sz w:val="24"/>
          <w:szCs w:val="24"/>
        </w:rPr>
        <w:t>举行的</w:t>
      </w:r>
      <w:r w:rsidR="00CA5238" w:rsidRPr="000C0842">
        <w:rPr>
          <w:rFonts w:eastAsia="SimSun"/>
          <w:sz w:val="24"/>
          <w:szCs w:val="24"/>
        </w:rPr>
        <w:t>执行情况不限成员名额</w:t>
      </w:r>
      <w:r w:rsidRPr="000C0842">
        <w:rPr>
          <w:rFonts w:eastAsia="SimSun"/>
          <w:sz w:val="24"/>
          <w:szCs w:val="24"/>
        </w:rPr>
        <w:t>自愿国家</w:t>
      </w:r>
      <w:r w:rsidR="008D36AC" w:rsidRPr="000C0842">
        <w:rPr>
          <w:rFonts w:eastAsia="SimSun" w:hint="eastAsia"/>
          <w:sz w:val="24"/>
          <w:szCs w:val="24"/>
        </w:rPr>
        <w:t>审查</w:t>
      </w:r>
      <w:r w:rsidRPr="000C0842">
        <w:rPr>
          <w:rFonts w:eastAsia="SimSun"/>
          <w:sz w:val="24"/>
          <w:szCs w:val="24"/>
        </w:rPr>
        <w:t>试点论坛的决定草案要点</w:t>
      </w:r>
      <w:r w:rsidR="00FC7FC2" w:rsidRPr="000C0842">
        <w:rPr>
          <w:rFonts w:eastAsia="SimSun"/>
          <w:sz w:val="24"/>
          <w:szCs w:val="24"/>
          <w:vertAlign w:val="superscript"/>
          <w:lang w:val="en-GB"/>
        </w:rPr>
        <w:footnoteReference w:id="551"/>
      </w:r>
      <w:r w:rsidR="00FC7FC2" w:rsidRPr="000C0842">
        <w:rPr>
          <w:rFonts w:eastAsia="SimSun" w:hint="eastAsia"/>
          <w:sz w:val="24"/>
          <w:szCs w:val="24"/>
        </w:rPr>
        <w:t xml:space="preserve"> </w:t>
      </w:r>
      <w:r w:rsidR="00E02803" w:rsidRPr="000C0842">
        <w:rPr>
          <w:rFonts w:eastAsia="SimSun" w:hint="eastAsia"/>
          <w:sz w:val="24"/>
          <w:szCs w:val="24"/>
        </w:rPr>
        <w:t>，</w:t>
      </w:r>
      <w:r w:rsidR="00CA5238" w:rsidRPr="000C0842">
        <w:rPr>
          <w:rFonts w:eastAsia="SimSun" w:hint="eastAsia"/>
          <w:sz w:val="24"/>
          <w:szCs w:val="24"/>
        </w:rPr>
        <w:t>供</w:t>
      </w:r>
      <w:r w:rsidRPr="000C0842">
        <w:rPr>
          <w:rFonts w:eastAsia="SimSun"/>
          <w:sz w:val="24"/>
          <w:szCs w:val="24"/>
        </w:rPr>
        <w:t>审议该议程项目第二个组成部分时考虑。</w:t>
      </w:r>
      <w:r w:rsidR="00831BAE" w:rsidRPr="000C0842">
        <w:rPr>
          <w:rFonts w:eastAsia="SimSun"/>
          <w:sz w:val="24"/>
          <w:szCs w:val="24"/>
        </w:rPr>
        <w:t>关于</w:t>
      </w:r>
      <w:r w:rsidRPr="000C0842">
        <w:rPr>
          <w:rFonts w:eastAsia="SimSun"/>
          <w:sz w:val="24"/>
          <w:szCs w:val="24"/>
        </w:rPr>
        <w:t>项目</w:t>
      </w:r>
      <w:r w:rsidRPr="000C0842">
        <w:rPr>
          <w:rFonts w:eastAsia="SimSun"/>
          <w:sz w:val="24"/>
          <w:szCs w:val="24"/>
        </w:rPr>
        <w:t>10</w:t>
      </w:r>
      <w:r w:rsidR="00831BAE" w:rsidRPr="000C0842">
        <w:rPr>
          <w:rFonts w:eastAsia="SimSun"/>
          <w:sz w:val="24"/>
          <w:szCs w:val="24"/>
        </w:rPr>
        <w:t>，还</w:t>
      </w:r>
      <w:r w:rsidRPr="000C0842">
        <w:rPr>
          <w:rFonts w:eastAsia="SimSun"/>
          <w:sz w:val="24"/>
          <w:szCs w:val="24"/>
        </w:rPr>
        <w:t>发布了</w:t>
      </w:r>
      <w:r w:rsidR="00831BAE" w:rsidRPr="000C0842">
        <w:rPr>
          <w:rFonts w:eastAsia="SimSun"/>
          <w:sz w:val="24"/>
          <w:szCs w:val="24"/>
        </w:rPr>
        <w:t>以下</w:t>
      </w:r>
      <w:r w:rsidRPr="000C0842">
        <w:rPr>
          <w:rFonts w:eastAsia="SimSun"/>
          <w:sz w:val="24"/>
          <w:szCs w:val="24"/>
        </w:rPr>
        <w:t>信息文件：关于使用监测框架指标的</w:t>
      </w:r>
      <w:r w:rsidR="0087434B" w:rsidRPr="000C0842">
        <w:rPr>
          <w:rFonts w:eastAsia="SimSun" w:hint="eastAsia"/>
          <w:sz w:val="24"/>
          <w:szCs w:val="24"/>
        </w:rPr>
        <w:t>订正</w:t>
      </w:r>
      <w:r w:rsidRPr="000C0842">
        <w:rPr>
          <w:rFonts w:eastAsia="SimSun"/>
          <w:sz w:val="24"/>
          <w:szCs w:val="24"/>
        </w:rPr>
        <w:t>指南</w:t>
      </w:r>
      <w:r w:rsidR="00FC7FC2" w:rsidRPr="000C0842">
        <w:rPr>
          <w:rFonts w:eastAsia="SimSun"/>
          <w:sz w:val="24"/>
          <w:szCs w:val="24"/>
          <w:vertAlign w:val="superscript"/>
        </w:rPr>
        <w:footnoteReference w:id="552"/>
      </w:r>
      <w:r w:rsidR="00FC7FC2" w:rsidRPr="000C0842">
        <w:rPr>
          <w:rFonts w:eastAsia="SimSun" w:hint="eastAsia"/>
          <w:sz w:val="24"/>
          <w:szCs w:val="24"/>
        </w:rPr>
        <w:t xml:space="preserve"> </w:t>
      </w:r>
      <w:r w:rsidR="00E02803" w:rsidRPr="000C0842">
        <w:rPr>
          <w:rFonts w:eastAsia="SimSun" w:hint="eastAsia"/>
          <w:sz w:val="24"/>
          <w:szCs w:val="24"/>
        </w:rPr>
        <w:t>、</w:t>
      </w:r>
      <w:r w:rsidRPr="000C0842">
        <w:rPr>
          <w:rFonts w:eastAsia="SimSun"/>
          <w:sz w:val="24"/>
          <w:szCs w:val="24"/>
        </w:rPr>
        <w:t>关于实施监测框架相关需求的</w:t>
      </w:r>
      <w:r w:rsidR="0087434B" w:rsidRPr="000C0842">
        <w:rPr>
          <w:rFonts w:eastAsia="SimSun" w:hint="eastAsia"/>
          <w:sz w:val="24"/>
          <w:szCs w:val="24"/>
        </w:rPr>
        <w:t>订正</w:t>
      </w:r>
      <w:r w:rsidRPr="000C0842">
        <w:rPr>
          <w:rFonts w:eastAsia="SimSun"/>
          <w:sz w:val="24"/>
          <w:szCs w:val="24"/>
        </w:rPr>
        <w:t>指南</w:t>
      </w:r>
      <w:r w:rsidR="00FC7FC2" w:rsidRPr="000C0842">
        <w:rPr>
          <w:rFonts w:eastAsia="SimSun"/>
          <w:sz w:val="24"/>
          <w:szCs w:val="24"/>
          <w:vertAlign w:val="superscript"/>
        </w:rPr>
        <w:footnoteReference w:id="553"/>
      </w:r>
      <w:r w:rsidR="00FC7FC2" w:rsidRPr="000C0842">
        <w:rPr>
          <w:rFonts w:eastAsia="SimSun" w:hint="eastAsia"/>
        </w:rPr>
        <w:t xml:space="preserve"> </w:t>
      </w:r>
      <w:r w:rsidR="00E02803" w:rsidRPr="000C0842">
        <w:rPr>
          <w:rFonts w:eastAsia="SimSun" w:hint="eastAsia"/>
        </w:rPr>
        <w:t>、</w:t>
      </w:r>
      <w:r w:rsidRPr="000C0842">
        <w:rPr>
          <w:rFonts w:eastAsia="SimSun"/>
          <w:sz w:val="24"/>
          <w:szCs w:val="24"/>
        </w:rPr>
        <w:t>对监测框架组成部分和补充指标清单的拟议修改摘要</w:t>
      </w:r>
      <w:r w:rsidR="00FC7FC2" w:rsidRPr="000C0842">
        <w:rPr>
          <w:rFonts w:eastAsia="SimSun"/>
          <w:sz w:val="24"/>
          <w:szCs w:val="24"/>
          <w:vertAlign w:val="superscript"/>
        </w:rPr>
        <w:footnoteReference w:id="554"/>
      </w:r>
      <w:r w:rsidR="00FC7FC2" w:rsidRPr="000C0842">
        <w:rPr>
          <w:rFonts w:eastAsia="SimSun" w:hint="eastAsia"/>
          <w:sz w:val="24"/>
          <w:szCs w:val="24"/>
        </w:rPr>
        <w:t xml:space="preserve"> </w:t>
      </w:r>
      <w:r w:rsidR="00E02803" w:rsidRPr="000C0842">
        <w:rPr>
          <w:rFonts w:eastAsia="SimSun" w:hint="eastAsia"/>
          <w:sz w:val="24"/>
          <w:szCs w:val="24"/>
        </w:rPr>
        <w:t>，</w:t>
      </w:r>
      <w:r w:rsidRPr="000C0842">
        <w:rPr>
          <w:rFonts w:eastAsia="SimSun"/>
          <w:sz w:val="24"/>
          <w:szCs w:val="24"/>
        </w:rPr>
        <w:t>以及关于私人融资的指标</w:t>
      </w:r>
      <w:r w:rsidRPr="000C0842">
        <w:rPr>
          <w:rFonts w:eastAsia="SimSun"/>
          <w:sz w:val="24"/>
          <w:szCs w:val="24"/>
        </w:rPr>
        <w:t>D.3</w:t>
      </w:r>
      <w:r w:rsidRPr="000C0842">
        <w:rPr>
          <w:rFonts w:eastAsia="SimSun"/>
          <w:sz w:val="24"/>
          <w:szCs w:val="24"/>
        </w:rPr>
        <w:t>的报告</w:t>
      </w:r>
      <w:r w:rsidR="00FC7FC2" w:rsidRPr="000C0842">
        <w:rPr>
          <w:rFonts w:eastAsia="SimSun"/>
          <w:sz w:val="24"/>
          <w:szCs w:val="24"/>
          <w:vertAlign w:val="superscript"/>
        </w:rPr>
        <w:footnoteReference w:id="555"/>
      </w:r>
      <w:r w:rsidR="00E02803" w:rsidRPr="000C0842">
        <w:rPr>
          <w:rFonts w:eastAsia="SimSun" w:hint="eastAsia"/>
          <w:sz w:val="24"/>
          <w:szCs w:val="24"/>
        </w:rPr>
        <w:t>。</w:t>
      </w:r>
    </w:p>
    <w:p w14:paraId="18948DA5" w14:textId="21F8DAE3"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下列缔约方的代表发了言：刚果民主共和国</w:t>
      </w:r>
      <w:r w:rsidR="0036771E" w:rsidRPr="000C0842">
        <w:rPr>
          <w:rFonts w:eastAsia="SimSun" w:hint="eastAsia"/>
          <w:sz w:val="24"/>
          <w:szCs w:val="24"/>
        </w:rPr>
        <w:t>、</w:t>
      </w:r>
      <w:r w:rsidRPr="000C0842">
        <w:rPr>
          <w:rFonts w:eastAsia="SimSun"/>
          <w:sz w:val="24"/>
          <w:szCs w:val="24"/>
        </w:rPr>
        <w:t>俄罗斯联邦。</w:t>
      </w:r>
    </w:p>
    <w:p w14:paraId="160AB302" w14:textId="32FCB487"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rPr>
      </w:pPr>
      <w:r w:rsidRPr="000C0842">
        <w:rPr>
          <w:rFonts w:eastAsia="SimSun"/>
          <w:sz w:val="24"/>
          <w:szCs w:val="24"/>
        </w:rPr>
        <w:t>第一工作组商定设立</w:t>
      </w:r>
      <w:r w:rsidR="00CA5238" w:rsidRPr="000C0842">
        <w:rPr>
          <w:rFonts w:eastAsia="SimSun" w:hint="eastAsia"/>
          <w:sz w:val="24"/>
          <w:szCs w:val="24"/>
        </w:rPr>
        <w:t>一个</w:t>
      </w:r>
      <w:r w:rsidRPr="000C0842">
        <w:rPr>
          <w:rFonts w:eastAsia="SimSun"/>
          <w:sz w:val="24"/>
          <w:szCs w:val="24"/>
        </w:rPr>
        <w:t>单一联络小组，由</w:t>
      </w:r>
      <w:r w:rsidRPr="000C0842">
        <w:rPr>
          <w:rFonts w:eastAsia="SimSun"/>
          <w:sz w:val="24"/>
          <w:szCs w:val="24"/>
        </w:rPr>
        <w:t>Gillian Guthrie</w:t>
      </w:r>
      <w:r w:rsidRPr="000C0842">
        <w:rPr>
          <w:rFonts w:eastAsia="SimSun"/>
          <w:sz w:val="24"/>
          <w:szCs w:val="24"/>
        </w:rPr>
        <w:t>（牙买加）和</w:t>
      </w:r>
      <w:r w:rsidRPr="000C0842">
        <w:rPr>
          <w:rFonts w:eastAsia="SimSun"/>
          <w:sz w:val="24"/>
          <w:szCs w:val="24"/>
        </w:rPr>
        <w:t>Carolina Caceres</w:t>
      </w:r>
      <w:r w:rsidRPr="000C0842">
        <w:rPr>
          <w:rFonts w:eastAsia="SimSun"/>
          <w:sz w:val="24"/>
          <w:szCs w:val="24"/>
        </w:rPr>
        <w:t>（加拿大）担任共同主席，讨论议程项目</w:t>
      </w:r>
      <w:r w:rsidRPr="000C0842">
        <w:rPr>
          <w:rFonts w:eastAsia="SimSun"/>
          <w:sz w:val="24"/>
          <w:szCs w:val="24"/>
        </w:rPr>
        <w:t>10</w:t>
      </w:r>
      <w:r w:rsidRPr="000C0842">
        <w:rPr>
          <w:rFonts w:eastAsia="SimSun"/>
          <w:sz w:val="24"/>
          <w:szCs w:val="24"/>
        </w:rPr>
        <w:t>的两个组成部分，并达成一个折衷案文，以解决未决的重要内容和括号内的案文。</w:t>
      </w:r>
      <w:r w:rsidR="00831BAE" w:rsidRPr="000C0842">
        <w:rPr>
          <w:rFonts w:eastAsia="SimSun"/>
          <w:sz w:val="24"/>
          <w:szCs w:val="24"/>
        </w:rPr>
        <w:t>第一</w:t>
      </w:r>
      <w:r w:rsidRPr="000C0842">
        <w:rPr>
          <w:rFonts w:eastAsia="SimSun"/>
          <w:sz w:val="24"/>
          <w:szCs w:val="24"/>
        </w:rPr>
        <w:t>工作组还商定，共同主席可根据需要成立一个共同主席之友小组，视需要在特定问题上</w:t>
      </w:r>
      <w:r w:rsidR="00384219" w:rsidRPr="000C0842">
        <w:rPr>
          <w:rFonts w:eastAsia="SimSun" w:hint="eastAsia"/>
          <w:sz w:val="24"/>
          <w:szCs w:val="24"/>
        </w:rPr>
        <w:t>为其</w:t>
      </w:r>
      <w:r w:rsidRPr="000C0842">
        <w:rPr>
          <w:rFonts w:eastAsia="SimSun"/>
          <w:sz w:val="24"/>
          <w:szCs w:val="24"/>
        </w:rPr>
        <w:t>提供支持。</w:t>
      </w:r>
    </w:p>
    <w:p w14:paraId="338212D1" w14:textId="14A2C8C6" w:rsidR="001136A9" w:rsidRPr="000C0842" w:rsidRDefault="001136A9" w:rsidP="00384A30">
      <w:pPr>
        <w:keepNext/>
        <w:tabs>
          <w:tab w:val="clear" w:pos="567"/>
          <w:tab w:val="clear" w:pos="1134"/>
          <w:tab w:val="clear" w:pos="1701"/>
          <w:tab w:val="clear" w:pos="2268"/>
        </w:tabs>
        <w:spacing w:after="120"/>
        <w:ind w:left="490"/>
        <w:jc w:val="left"/>
        <w:rPr>
          <w:rFonts w:eastAsia="SimSun"/>
          <w:snapToGrid w:val="0"/>
          <w:sz w:val="24"/>
          <w:szCs w:val="24"/>
        </w:rPr>
      </w:pPr>
      <w:r w:rsidRPr="000C0842">
        <w:rPr>
          <w:rFonts w:eastAsia="KaiTi"/>
          <w:snapToGrid w:val="0"/>
          <w:sz w:val="24"/>
          <w:szCs w:val="24"/>
        </w:rPr>
        <w:t>《昆明</w:t>
      </w:r>
      <w:r w:rsidRPr="000C0842">
        <w:rPr>
          <w:rFonts w:eastAsia="KaiTi"/>
          <w:snapToGrid w:val="0"/>
          <w:sz w:val="24"/>
          <w:szCs w:val="24"/>
        </w:rPr>
        <w:t>-</w:t>
      </w:r>
      <w:r w:rsidRPr="000C0842">
        <w:rPr>
          <w:rFonts w:eastAsia="KaiTi"/>
          <w:snapToGrid w:val="0"/>
          <w:sz w:val="24"/>
          <w:szCs w:val="24"/>
        </w:rPr>
        <w:t>蒙特利尔全球生物多样性框架》的监测框架</w:t>
      </w:r>
    </w:p>
    <w:p w14:paraId="2018B385" w14:textId="2576FA54"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日，第一工作组第</w:t>
      </w:r>
      <w:r w:rsidR="00C9367D" w:rsidRPr="000C0842">
        <w:rPr>
          <w:rFonts w:eastAsia="SimSun"/>
          <w:sz w:val="24"/>
          <w:szCs w:val="24"/>
        </w:rPr>
        <w:t>6</w:t>
      </w:r>
      <w:r w:rsidR="00C9367D" w:rsidRPr="000C0842">
        <w:rPr>
          <w:rFonts w:eastAsia="SimSun"/>
          <w:sz w:val="24"/>
          <w:szCs w:val="24"/>
        </w:rPr>
        <w:t>场</w:t>
      </w:r>
      <w:r w:rsidRPr="000C0842">
        <w:rPr>
          <w:rFonts w:eastAsia="SimSun"/>
          <w:sz w:val="24"/>
          <w:szCs w:val="24"/>
        </w:rPr>
        <w:t>会议审议了主席在联络小组讨论后提交的订正决定草案。</w:t>
      </w:r>
    </w:p>
    <w:p w14:paraId="6EABB5C1" w14:textId="2B2C1968" w:rsidR="001136A9"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的代表发</w:t>
      </w:r>
      <w:r w:rsidR="00554942" w:rsidRPr="000C0842">
        <w:rPr>
          <w:rFonts w:eastAsia="SimSun" w:hint="eastAsia"/>
          <w:sz w:val="24"/>
          <w:szCs w:val="24"/>
        </w:rPr>
        <w:t>了</w:t>
      </w:r>
      <w:r w:rsidR="001136A9" w:rsidRPr="000C0842">
        <w:rPr>
          <w:rFonts w:eastAsia="SimSun"/>
          <w:sz w:val="24"/>
          <w:szCs w:val="24"/>
        </w:rPr>
        <w:t>言：阿根廷、巴西、智利、刚果民主共和国、欧洲联盟及其成员国、斐济、印度、日本、墨西哥、纳米比亚（代表非洲国家）、新西兰、挪威、巴拿马、巴拉圭、俄罗斯联邦、南非、瑞士、乌干达、联合王国、瓦努阿图</w:t>
      </w:r>
      <w:r w:rsidR="0036771E" w:rsidRPr="000C0842">
        <w:rPr>
          <w:rFonts w:eastAsia="SimSun" w:hint="eastAsia"/>
          <w:sz w:val="24"/>
          <w:szCs w:val="24"/>
        </w:rPr>
        <w:t>、</w:t>
      </w:r>
      <w:r w:rsidR="001136A9" w:rsidRPr="000C0842">
        <w:rPr>
          <w:rFonts w:eastAsia="SimSun"/>
          <w:sz w:val="24"/>
          <w:szCs w:val="24"/>
        </w:rPr>
        <w:t>津巴布韦。</w:t>
      </w:r>
    </w:p>
    <w:p w14:paraId="4C688F0B" w14:textId="5CE74551" w:rsidR="001136A9" w:rsidRPr="000C0842"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工作组经交换意见，核准了经口头修正的订正决定草案，将其作为</w:t>
      </w:r>
      <w:r w:rsidRPr="000C0842">
        <w:rPr>
          <w:rFonts w:eastAsia="SimSun"/>
          <w:sz w:val="24"/>
          <w:szCs w:val="24"/>
        </w:rPr>
        <w:t>CBD/COP/16/L.26</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5A3B473F" w14:textId="5A945454" w:rsidR="00831BAE" w:rsidRPr="000C0842"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2025</w:t>
      </w:r>
      <w:r w:rsidRPr="000C0842">
        <w:rPr>
          <w:rFonts w:eastAsia="SimSun" w:hint="eastAsia"/>
          <w:sz w:val="24"/>
          <w:szCs w:val="24"/>
        </w:rPr>
        <w:t>年</w:t>
      </w:r>
      <w:r w:rsidRPr="000C0842">
        <w:rPr>
          <w:rFonts w:eastAsia="SimSun" w:hint="eastAsia"/>
          <w:sz w:val="24"/>
          <w:szCs w:val="24"/>
        </w:rPr>
        <w:t>2</w:t>
      </w:r>
      <w:r w:rsidRPr="000C0842">
        <w:rPr>
          <w:rFonts w:eastAsia="SimSun" w:hint="eastAsia"/>
          <w:sz w:val="24"/>
          <w:szCs w:val="24"/>
        </w:rPr>
        <w:t>月</w:t>
      </w:r>
      <w:r w:rsidRPr="000C0842">
        <w:rPr>
          <w:rFonts w:eastAsia="SimSun" w:hint="eastAsia"/>
          <w:sz w:val="24"/>
          <w:szCs w:val="24"/>
        </w:rPr>
        <w:t>25</w:t>
      </w:r>
      <w:r w:rsidRPr="000C0842">
        <w:rPr>
          <w:rFonts w:eastAsia="SimSun" w:hint="eastAsia"/>
          <w:sz w:val="24"/>
          <w:szCs w:val="24"/>
        </w:rPr>
        <w:t>日</w:t>
      </w:r>
      <w:r w:rsidR="00CA5238" w:rsidRPr="000C0842">
        <w:rPr>
          <w:rFonts w:eastAsia="SimSun" w:hint="eastAsia"/>
          <w:sz w:val="24"/>
          <w:szCs w:val="24"/>
        </w:rPr>
        <w:t>缔约方大会</w:t>
      </w:r>
      <w:r w:rsidRPr="000C0842">
        <w:rPr>
          <w:rFonts w:eastAsia="SimSun" w:hint="eastAsia"/>
          <w:sz w:val="24"/>
          <w:szCs w:val="24"/>
        </w:rPr>
        <w:t>第</w:t>
      </w:r>
      <w:r w:rsidRPr="000C0842">
        <w:rPr>
          <w:rFonts w:eastAsia="SimSun" w:hint="eastAsia"/>
          <w:sz w:val="24"/>
          <w:szCs w:val="24"/>
        </w:rPr>
        <w:t>8</w:t>
      </w:r>
      <w:r w:rsidR="005B3F06" w:rsidRPr="000C0842">
        <w:rPr>
          <w:rFonts w:eastAsia="SimSun" w:hint="eastAsia"/>
          <w:sz w:val="24"/>
          <w:szCs w:val="24"/>
        </w:rPr>
        <w:t>场</w:t>
      </w:r>
      <w:r w:rsidR="00831BAE" w:rsidRPr="000C0842">
        <w:rPr>
          <w:rFonts w:eastAsia="SimSun"/>
          <w:sz w:val="24"/>
          <w:szCs w:val="24"/>
        </w:rPr>
        <w:t>全体会议审议了第一工作组主席提交的</w:t>
      </w:r>
      <w:hyperlink r:id="rId377" w:history="1">
        <w:r w:rsidR="00831BAE" w:rsidRPr="000C0842">
          <w:rPr>
            <w:rStyle w:val="Hyperlink"/>
            <w:rFonts w:eastAsia="SimSun"/>
            <w:color w:val="auto"/>
            <w:sz w:val="24"/>
            <w:szCs w:val="24"/>
          </w:rPr>
          <w:t>CBD/COP/16/L.26</w:t>
        </w:r>
      </w:hyperlink>
      <w:r w:rsidR="001902BF" w:rsidRPr="000C0842">
        <w:rPr>
          <w:rFonts w:eastAsia="SimSun"/>
          <w:sz w:val="24"/>
          <w:szCs w:val="24"/>
        </w:rPr>
        <w:t>号决定草案</w:t>
      </w:r>
      <w:r w:rsidR="00EA3A5F" w:rsidRPr="000C0842">
        <w:rPr>
          <w:rFonts w:eastAsia="SimSun" w:hint="eastAsia"/>
          <w:sz w:val="24"/>
          <w:szCs w:val="24"/>
        </w:rPr>
        <w:t>。</w:t>
      </w:r>
    </w:p>
    <w:p w14:paraId="23793B39" w14:textId="42E034CB" w:rsidR="00B63E96"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B63E96" w:rsidRPr="000C0842">
        <w:rPr>
          <w:rFonts w:eastAsia="SimSun"/>
          <w:sz w:val="24"/>
          <w:szCs w:val="24"/>
        </w:rPr>
        <w:t>的代表</w:t>
      </w:r>
      <w:r w:rsidR="00A7097A" w:rsidRPr="000C0842">
        <w:rPr>
          <w:rFonts w:eastAsia="SimSun" w:hint="eastAsia"/>
          <w:sz w:val="24"/>
          <w:szCs w:val="24"/>
        </w:rPr>
        <w:t>发了言</w:t>
      </w:r>
      <w:r w:rsidR="00B63E96" w:rsidRPr="000C0842">
        <w:rPr>
          <w:rFonts w:eastAsia="SimSun"/>
          <w:sz w:val="24"/>
          <w:szCs w:val="24"/>
        </w:rPr>
        <w:t>：阿根廷、巴西、智利、哥斯达黎加、刚果民主共和国、埃及、欧洲联盟及其成员国、日本、约旦、墨西哥、挪威、巴拿马、巴拉圭、俄罗斯联邦、沙特阿拉伯、瑞士、联合王国</w:t>
      </w:r>
      <w:r w:rsidR="005B3F06" w:rsidRPr="000C0842">
        <w:rPr>
          <w:rFonts w:eastAsia="SimSun" w:hint="eastAsia"/>
          <w:sz w:val="24"/>
          <w:szCs w:val="24"/>
        </w:rPr>
        <w:t>、</w:t>
      </w:r>
      <w:r w:rsidR="00B63E96" w:rsidRPr="000C0842">
        <w:rPr>
          <w:rFonts w:eastAsia="SimSun"/>
          <w:sz w:val="24"/>
          <w:szCs w:val="24"/>
        </w:rPr>
        <w:t>津巴布韦（代表非洲国家）。</w:t>
      </w:r>
    </w:p>
    <w:p w14:paraId="3D484400" w14:textId="4F5B8C3F" w:rsidR="00B63E96" w:rsidRPr="000C0842"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 </w:t>
      </w:r>
      <w:r w:rsidRPr="000C0842">
        <w:rPr>
          <w:rFonts w:eastAsia="SimSun"/>
          <w:sz w:val="24"/>
          <w:szCs w:val="24"/>
        </w:rPr>
        <w:t>联合国粮食及农业组织（粮农组织）的代表也</w:t>
      </w:r>
      <w:r w:rsidR="00A7097A" w:rsidRPr="000C0842">
        <w:rPr>
          <w:rFonts w:eastAsia="SimSun" w:hint="eastAsia"/>
          <w:sz w:val="24"/>
          <w:szCs w:val="24"/>
        </w:rPr>
        <w:t>发了言</w:t>
      </w:r>
      <w:r w:rsidRPr="000C0842">
        <w:rPr>
          <w:rFonts w:eastAsia="SimSun"/>
          <w:sz w:val="24"/>
          <w:szCs w:val="24"/>
        </w:rPr>
        <w:t>。</w:t>
      </w:r>
    </w:p>
    <w:p w14:paraId="2205DDFB" w14:textId="245F75F6" w:rsidR="00B63E96" w:rsidRPr="000C0842"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 </w:t>
      </w:r>
      <w:r w:rsidRPr="000C0842">
        <w:rPr>
          <w:rFonts w:eastAsia="SimSun"/>
          <w:sz w:val="24"/>
          <w:szCs w:val="24"/>
        </w:rPr>
        <w:t>缔约方</w:t>
      </w:r>
      <w:r w:rsidRPr="000C0842">
        <w:rPr>
          <w:rFonts w:eastAsia="SimSun" w:hint="eastAsia"/>
          <w:sz w:val="24"/>
          <w:szCs w:val="24"/>
        </w:rPr>
        <w:t>大会</w:t>
      </w:r>
      <w:r w:rsidRPr="000C0842">
        <w:rPr>
          <w:rFonts w:eastAsia="SimSun"/>
          <w:sz w:val="24"/>
          <w:szCs w:val="24"/>
        </w:rPr>
        <w:t>商定，由阿根廷、巴西、埃及、欧洲联盟及其成员国、约旦、墨西哥、纳米比亚、挪威、俄罗斯联邦</w:t>
      </w:r>
      <w:r w:rsidR="005B3F06" w:rsidRPr="000C0842">
        <w:rPr>
          <w:rFonts w:eastAsia="SimSun" w:hint="eastAsia"/>
          <w:sz w:val="24"/>
          <w:szCs w:val="24"/>
        </w:rPr>
        <w:t>、</w:t>
      </w:r>
      <w:r w:rsidRPr="000C0842">
        <w:rPr>
          <w:rFonts w:eastAsia="SimSun"/>
          <w:sz w:val="24"/>
          <w:szCs w:val="24"/>
        </w:rPr>
        <w:t>联合王国</w:t>
      </w:r>
      <w:r w:rsidRPr="000C0842">
        <w:rPr>
          <w:rFonts w:eastAsia="SimSun" w:hint="eastAsia"/>
          <w:sz w:val="24"/>
          <w:szCs w:val="24"/>
        </w:rPr>
        <w:t>等国</w:t>
      </w:r>
      <w:r w:rsidRPr="000C0842">
        <w:rPr>
          <w:rFonts w:eastAsia="SimSun"/>
          <w:sz w:val="24"/>
          <w:szCs w:val="24"/>
        </w:rPr>
        <w:t>代表组成的一</w:t>
      </w:r>
      <w:r w:rsidRPr="000C0842">
        <w:rPr>
          <w:rFonts w:eastAsia="SimSun" w:hint="eastAsia"/>
          <w:sz w:val="24"/>
          <w:szCs w:val="24"/>
        </w:rPr>
        <w:t>个小规模</w:t>
      </w:r>
      <w:r w:rsidRPr="000C0842">
        <w:rPr>
          <w:rFonts w:eastAsia="SimSun"/>
          <w:sz w:val="24"/>
          <w:szCs w:val="24"/>
        </w:rPr>
        <w:t>感兴趣缔约方</w:t>
      </w:r>
      <w:r w:rsidRPr="000C0842">
        <w:rPr>
          <w:rFonts w:eastAsia="SimSun" w:hint="eastAsia"/>
          <w:sz w:val="24"/>
          <w:szCs w:val="24"/>
        </w:rPr>
        <w:t>小组</w:t>
      </w:r>
      <w:r w:rsidRPr="000C0842">
        <w:rPr>
          <w:rFonts w:eastAsia="SimSun"/>
          <w:sz w:val="24"/>
          <w:szCs w:val="24"/>
        </w:rPr>
        <w:t>，解决悬而未决的问题。</w:t>
      </w:r>
    </w:p>
    <w:p w14:paraId="3DA1466E" w14:textId="07ECD454" w:rsidR="00B63E96" w:rsidRPr="000C0842" w:rsidRDefault="00CA523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w:t>
      </w:r>
      <w:r w:rsidRPr="000C0842">
        <w:rPr>
          <w:rFonts w:eastAsia="SimSun"/>
          <w:sz w:val="24"/>
          <w:szCs w:val="24"/>
        </w:rPr>
        <w:t>会</w:t>
      </w:r>
      <w:r w:rsidR="00B63E96" w:rsidRPr="000C0842">
        <w:rPr>
          <w:rFonts w:eastAsia="SimSun"/>
          <w:sz w:val="24"/>
          <w:szCs w:val="24"/>
        </w:rPr>
        <w:t>第</w:t>
      </w:r>
      <w:r w:rsidR="00B63E96" w:rsidRPr="000C0842">
        <w:rPr>
          <w:rFonts w:eastAsia="SimSun"/>
          <w:sz w:val="24"/>
          <w:szCs w:val="24"/>
        </w:rPr>
        <w:t>9</w:t>
      </w:r>
      <w:r w:rsidR="005B3F06" w:rsidRPr="000C0842">
        <w:rPr>
          <w:rFonts w:eastAsia="SimSun" w:hint="eastAsia"/>
          <w:sz w:val="24"/>
          <w:szCs w:val="24"/>
        </w:rPr>
        <w:t>场</w:t>
      </w:r>
      <w:r w:rsidR="00B63E96" w:rsidRPr="000C0842">
        <w:rPr>
          <w:rFonts w:eastAsia="SimSun"/>
          <w:sz w:val="24"/>
          <w:szCs w:val="24"/>
        </w:rPr>
        <w:t>全体会议听取了该小组代表的口头报告，包括该小组商定的提案</w:t>
      </w:r>
      <w:r w:rsidR="00B63E96" w:rsidRPr="000C0842">
        <w:rPr>
          <w:rFonts w:eastAsia="SimSun" w:hint="eastAsia"/>
          <w:sz w:val="24"/>
          <w:szCs w:val="24"/>
        </w:rPr>
        <w:t>案</w:t>
      </w:r>
      <w:r w:rsidR="00B63E96" w:rsidRPr="000C0842">
        <w:rPr>
          <w:rFonts w:eastAsia="SimSun"/>
          <w:sz w:val="24"/>
          <w:szCs w:val="24"/>
        </w:rPr>
        <w:t>文。</w:t>
      </w:r>
    </w:p>
    <w:p w14:paraId="6AACFBB8" w14:textId="3C383DA3" w:rsidR="00B63E96"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B63E96" w:rsidRPr="000C0842">
        <w:rPr>
          <w:rFonts w:eastAsia="SimSun"/>
          <w:sz w:val="24"/>
          <w:szCs w:val="24"/>
        </w:rPr>
        <w:t>的代表</w:t>
      </w:r>
      <w:r w:rsidR="00A7097A" w:rsidRPr="000C0842">
        <w:rPr>
          <w:rFonts w:eastAsia="SimSun" w:hint="eastAsia"/>
          <w:sz w:val="24"/>
          <w:szCs w:val="24"/>
        </w:rPr>
        <w:t>发了言</w:t>
      </w:r>
      <w:r w:rsidR="00B63E96" w:rsidRPr="000C0842">
        <w:rPr>
          <w:rFonts w:eastAsia="SimSun"/>
          <w:sz w:val="24"/>
          <w:szCs w:val="24"/>
        </w:rPr>
        <w:t>：阿根廷、巴林、巴西、中国、刚果民主共和国、埃及、欧洲联盟及其成员国、印度、印度尼西亚、日本、纳米比亚、巴拿马、俄罗斯联邦、瑞士</w:t>
      </w:r>
      <w:r w:rsidR="005B3F06" w:rsidRPr="000C0842">
        <w:rPr>
          <w:rFonts w:eastAsia="SimSun" w:hint="eastAsia"/>
          <w:sz w:val="24"/>
          <w:szCs w:val="24"/>
        </w:rPr>
        <w:t>、</w:t>
      </w:r>
      <w:r w:rsidR="00B63E96" w:rsidRPr="000C0842">
        <w:rPr>
          <w:rFonts w:eastAsia="SimSun" w:hint="eastAsia"/>
          <w:sz w:val="24"/>
          <w:szCs w:val="24"/>
        </w:rPr>
        <w:t>联合王国</w:t>
      </w:r>
      <w:r w:rsidR="00B63E96" w:rsidRPr="000C0842">
        <w:rPr>
          <w:rFonts w:eastAsia="SimSun"/>
          <w:sz w:val="24"/>
          <w:szCs w:val="24"/>
        </w:rPr>
        <w:t>。</w:t>
      </w:r>
    </w:p>
    <w:p w14:paraId="7E1A5813" w14:textId="05E18CC4" w:rsidR="00B63E96" w:rsidRPr="000C0842"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w:t>
      </w:r>
      <w:r w:rsidRPr="000C0842">
        <w:rPr>
          <w:rFonts w:eastAsia="SimSun"/>
          <w:sz w:val="24"/>
          <w:szCs w:val="24"/>
        </w:rPr>
        <w:t>会商定</w:t>
      </w:r>
      <w:r w:rsidR="00C0302B" w:rsidRPr="000C0842">
        <w:rPr>
          <w:rFonts w:eastAsia="SimSun" w:hint="eastAsia"/>
          <w:sz w:val="24"/>
          <w:szCs w:val="24"/>
        </w:rPr>
        <w:t>由</w:t>
      </w:r>
      <w:r w:rsidRPr="000C0842">
        <w:rPr>
          <w:rFonts w:eastAsia="SimSun"/>
          <w:sz w:val="24"/>
          <w:szCs w:val="24"/>
        </w:rPr>
        <w:t>主席</w:t>
      </w:r>
      <w:r w:rsidR="00C0302B" w:rsidRPr="000C0842">
        <w:rPr>
          <w:rFonts w:eastAsia="SimSun" w:hint="eastAsia"/>
          <w:sz w:val="24"/>
          <w:szCs w:val="24"/>
        </w:rPr>
        <w:t>拟定</w:t>
      </w:r>
      <w:r w:rsidRPr="000C0842">
        <w:rPr>
          <w:rFonts w:eastAsia="SimSun"/>
          <w:sz w:val="24"/>
          <w:szCs w:val="24"/>
        </w:rPr>
        <w:t>一份</w:t>
      </w:r>
      <w:r w:rsidRPr="000C0842">
        <w:rPr>
          <w:rFonts w:eastAsia="SimSun" w:hint="eastAsia"/>
          <w:sz w:val="24"/>
          <w:szCs w:val="24"/>
        </w:rPr>
        <w:t>订正</w:t>
      </w:r>
      <w:r w:rsidRPr="000C0842">
        <w:rPr>
          <w:rFonts w:eastAsia="SimSun"/>
          <w:sz w:val="24"/>
          <w:szCs w:val="24"/>
        </w:rPr>
        <w:t>决定草案，供</w:t>
      </w:r>
      <w:r w:rsidR="00AC5726" w:rsidRPr="000C0842">
        <w:rPr>
          <w:rFonts w:eastAsia="SimSun" w:hint="eastAsia"/>
          <w:sz w:val="24"/>
          <w:szCs w:val="24"/>
        </w:rPr>
        <w:t>稍后一次</w:t>
      </w:r>
      <w:r w:rsidR="00C0302B" w:rsidRPr="000C0842">
        <w:rPr>
          <w:rFonts w:eastAsia="SimSun" w:hint="eastAsia"/>
          <w:sz w:val="24"/>
          <w:szCs w:val="24"/>
        </w:rPr>
        <w:t>会议</w:t>
      </w:r>
      <w:r w:rsidRPr="000C0842">
        <w:rPr>
          <w:rFonts w:eastAsia="SimSun"/>
          <w:sz w:val="24"/>
          <w:szCs w:val="24"/>
        </w:rPr>
        <w:t>审议。</w:t>
      </w:r>
    </w:p>
    <w:p w14:paraId="3880EAA3" w14:textId="68846CC7" w:rsidR="00C0302B" w:rsidRPr="000C0842" w:rsidRDefault="00C0302B" w:rsidP="00C0302B">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缔约方大会第</w:t>
      </w:r>
      <w:r w:rsidRPr="000C0842">
        <w:rPr>
          <w:rFonts w:eastAsia="SimSun" w:hint="eastAsia"/>
          <w:sz w:val="24"/>
          <w:szCs w:val="24"/>
        </w:rPr>
        <w:t>13</w:t>
      </w:r>
      <w:r w:rsidRPr="000C0842">
        <w:rPr>
          <w:rFonts w:eastAsia="SimSun" w:hint="eastAsia"/>
          <w:sz w:val="24"/>
          <w:szCs w:val="24"/>
        </w:rPr>
        <w:t>场全体会议审议并通过了</w:t>
      </w:r>
      <w:hyperlink r:id="rId378" w:history="1">
        <w:r w:rsidRPr="000C0842">
          <w:rPr>
            <w:rStyle w:val="Hyperlink"/>
            <w:rFonts w:eastAsia="SimSun" w:hint="eastAsia"/>
            <w:color w:val="auto"/>
            <w:sz w:val="24"/>
            <w:szCs w:val="24"/>
          </w:rPr>
          <w:t>CBD/COP/16/L.26/Rev.1</w:t>
        </w:r>
      </w:hyperlink>
      <w:r w:rsidRPr="000C0842">
        <w:rPr>
          <w:rFonts w:eastAsia="SimSun" w:hint="eastAsia"/>
          <w:sz w:val="24"/>
          <w:szCs w:val="24"/>
        </w:rPr>
        <w:t>号订正决定草案，订正决定草案成为第</w:t>
      </w:r>
      <w:hyperlink r:id="rId379" w:history="1">
        <w:r w:rsidRPr="000C0842">
          <w:rPr>
            <w:rStyle w:val="Hyperlink"/>
            <w:rFonts w:eastAsia="SimSun" w:hint="eastAsia"/>
            <w:color w:val="auto"/>
            <w:sz w:val="24"/>
            <w:szCs w:val="24"/>
          </w:rPr>
          <w:t>16/31</w:t>
        </w:r>
      </w:hyperlink>
      <w:r w:rsidRPr="000C0842">
        <w:rPr>
          <w:rFonts w:eastAsia="SimSun" w:hint="eastAsia"/>
          <w:sz w:val="24"/>
          <w:szCs w:val="24"/>
        </w:rPr>
        <w:t>号决定。</w:t>
      </w:r>
    </w:p>
    <w:p w14:paraId="26EB429C" w14:textId="3B4E025C" w:rsidR="00B63E96" w:rsidRPr="000C0842" w:rsidRDefault="00C0302B" w:rsidP="00C0302B">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阿根廷代表</w:t>
      </w:r>
      <w:r w:rsidR="00D2646A" w:rsidRPr="000C0842">
        <w:rPr>
          <w:rFonts w:eastAsia="SimSun" w:hint="eastAsia"/>
          <w:sz w:val="24"/>
          <w:szCs w:val="24"/>
        </w:rPr>
        <w:t>随后</w:t>
      </w:r>
      <w:r w:rsidRPr="000C0842">
        <w:rPr>
          <w:rFonts w:eastAsia="SimSun" w:hint="eastAsia"/>
          <w:sz w:val="24"/>
          <w:szCs w:val="24"/>
        </w:rPr>
        <w:t>对通过的决定</w:t>
      </w:r>
      <w:r w:rsidR="00F9374D" w:rsidRPr="000C0842">
        <w:rPr>
          <w:rFonts w:eastAsia="SimSun" w:hint="eastAsia"/>
          <w:sz w:val="24"/>
          <w:szCs w:val="24"/>
        </w:rPr>
        <w:t>提出</w:t>
      </w:r>
      <w:r w:rsidRPr="000C0842">
        <w:rPr>
          <w:rFonts w:eastAsia="SimSun" w:hint="eastAsia"/>
          <w:sz w:val="24"/>
          <w:szCs w:val="24"/>
        </w:rPr>
        <w:t>保留，</w:t>
      </w:r>
      <w:r w:rsidR="00F9374D" w:rsidRPr="000C0842">
        <w:rPr>
          <w:rFonts w:eastAsia="SimSun" w:hint="eastAsia"/>
          <w:sz w:val="24"/>
          <w:szCs w:val="24"/>
        </w:rPr>
        <w:t>表示</w:t>
      </w:r>
      <w:r w:rsidR="00634BC6" w:rsidRPr="000C0842">
        <w:rPr>
          <w:rFonts w:eastAsia="SimSun" w:hint="eastAsia"/>
          <w:sz w:val="24"/>
          <w:szCs w:val="24"/>
        </w:rPr>
        <w:t>阿根廷</w:t>
      </w:r>
      <w:r w:rsidR="004E2C90" w:rsidRPr="000C0842">
        <w:rPr>
          <w:rFonts w:eastAsia="SimSun" w:hint="eastAsia"/>
          <w:sz w:val="24"/>
          <w:szCs w:val="24"/>
        </w:rPr>
        <w:t>不同意</w:t>
      </w:r>
      <w:r w:rsidRPr="000C0842">
        <w:rPr>
          <w:rFonts w:eastAsia="SimSun" w:hint="eastAsia"/>
          <w:sz w:val="24"/>
          <w:szCs w:val="24"/>
        </w:rPr>
        <w:t>第</w:t>
      </w:r>
      <w:r w:rsidRPr="000C0842">
        <w:rPr>
          <w:rFonts w:eastAsia="SimSun" w:hint="eastAsia"/>
          <w:sz w:val="24"/>
          <w:szCs w:val="24"/>
        </w:rPr>
        <w:t>23</w:t>
      </w:r>
      <w:r w:rsidRPr="000C0842">
        <w:rPr>
          <w:rFonts w:eastAsia="SimSun" w:hint="eastAsia"/>
          <w:sz w:val="24"/>
          <w:szCs w:val="24"/>
        </w:rPr>
        <w:t>段</w:t>
      </w:r>
      <w:r w:rsidR="004E2C90" w:rsidRPr="000C0842">
        <w:rPr>
          <w:rFonts w:eastAsia="SimSun" w:hint="eastAsia"/>
          <w:sz w:val="24"/>
          <w:szCs w:val="24"/>
        </w:rPr>
        <w:t>提及</w:t>
      </w:r>
      <w:r w:rsidRPr="000C0842">
        <w:rPr>
          <w:rFonts w:eastAsia="SimSun" w:hint="eastAsia"/>
          <w:sz w:val="24"/>
          <w:szCs w:val="24"/>
        </w:rPr>
        <w:t>可持续发展目标。</w:t>
      </w:r>
      <w:r w:rsidR="00D2646A" w:rsidRPr="000C0842">
        <w:rPr>
          <w:rFonts w:eastAsia="SimSun" w:hint="eastAsia"/>
          <w:sz w:val="24"/>
          <w:szCs w:val="24"/>
        </w:rPr>
        <w:t>她就</w:t>
      </w:r>
      <w:r w:rsidRPr="000C0842">
        <w:rPr>
          <w:rFonts w:eastAsia="SimSun" w:hint="eastAsia"/>
          <w:sz w:val="24"/>
          <w:szCs w:val="24"/>
        </w:rPr>
        <w:t>决定中提到的气候变化具体指出，</w:t>
      </w:r>
      <w:r w:rsidR="00D2646A" w:rsidRPr="000C0842">
        <w:rPr>
          <w:rFonts w:eastAsia="SimSun" w:hint="eastAsia"/>
          <w:sz w:val="24"/>
          <w:szCs w:val="24"/>
        </w:rPr>
        <w:t>衡量</w:t>
      </w:r>
      <w:r w:rsidRPr="000C0842">
        <w:rPr>
          <w:rFonts w:eastAsia="SimSun" w:hint="eastAsia"/>
          <w:sz w:val="24"/>
          <w:szCs w:val="24"/>
        </w:rPr>
        <w:t>进展应基于科学证据，避免教条式的方法。她</w:t>
      </w:r>
      <w:r w:rsidR="00D2646A" w:rsidRPr="000C0842">
        <w:rPr>
          <w:rFonts w:eastAsia="SimSun" w:hint="eastAsia"/>
          <w:sz w:val="24"/>
          <w:szCs w:val="24"/>
        </w:rPr>
        <w:t>最后</w:t>
      </w:r>
      <w:r w:rsidRPr="000C0842">
        <w:rPr>
          <w:rFonts w:eastAsia="SimSun" w:hint="eastAsia"/>
          <w:sz w:val="24"/>
          <w:szCs w:val="24"/>
        </w:rPr>
        <w:t>说，</w:t>
      </w:r>
      <w:r w:rsidR="006F7128" w:rsidRPr="000C0842">
        <w:rPr>
          <w:rFonts w:eastAsia="SimSun" w:hint="eastAsia"/>
          <w:sz w:val="24"/>
          <w:szCs w:val="24"/>
        </w:rPr>
        <w:t>按照</w:t>
      </w:r>
      <w:r w:rsidRPr="000C0842">
        <w:rPr>
          <w:rFonts w:eastAsia="SimSun" w:hint="eastAsia"/>
          <w:sz w:val="24"/>
          <w:szCs w:val="24"/>
        </w:rPr>
        <w:t>阿根廷</w:t>
      </w:r>
      <w:r w:rsidR="006F7128" w:rsidRPr="000C0842">
        <w:rPr>
          <w:rFonts w:eastAsia="SimSun" w:hint="eastAsia"/>
          <w:sz w:val="24"/>
          <w:szCs w:val="24"/>
        </w:rPr>
        <w:t>的</w:t>
      </w:r>
      <w:r w:rsidRPr="000C0842">
        <w:rPr>
          <w:rFonts w:eastAsia="SimSun" w:hint="eastAsia"/>
          <w:sz w:val="24"/>
          <w:szCs w:val="24"/>
        </w:rPr>
        <w:t>理解</w:t>
      </w:r>
      <w:r w:rsidR="00D2646A" w:rsidRPr="000C0842">
        <w:rPr>
          <w:rFonts w:eastAsia="SimSun" w:hint="eastAsia"/>
          <w:sz w:val="24"/>
          <w:szCs w:val="24"/>
        </w:rPr>
        <w:t>，所用“性别”一词，</w:t>
      </w:r>
      <w:r w:rsidR="00F9374D" w:rsidRPr="000C0842">
        <w:rPr>
          <w:rFonts w:eastAsia="SimSun" w:hint="eastAsia"/>
          <w:sz w:val="24"/>
          <w:szCs w:val="24"/>
        </w:rPr>
        <w:t>就是</w:t>
      </w:r>
      <w:r w:rsidRPr="000C0842">
        <w:rPr>
          <w:rFonts w:eastAsia="SimSun" w:hint="eastAsia"/>
          <w:sz w:val="24"/>
          <w:szCs w:val="24"/>
        </w:rPr>
        <w:t>《国际刑事法院罗马规约》第</w:t>
      </w:r>
      <w:r w:rsidRPr="000C0842">
        <w:rPr>
          <w:rFonts w:eastAsia="SimSun" w:hint="eastAsia"/>
          <w:sz w:val="24"/>
          <w:szCs w:val="24"/>
        </w:rPr>
        <w:t>7</w:t>
      </w:r>
      <w:r w:rsidRPr="000C0842">
        <w:rPr>
          <w:rFonts w:eastAsia="SimSun" w:hint="eastAsia"/>
          <w:sz w:val="24"/>
          <w:szCs w:val="24"/>
        </w:rPr>
        <w:t>条第</w:t>
      </w:r>
      <w:r w:rsidRPr="000C0842">
        <w:rPr>
          <w:rFonts w:eastAsia="SimSun" w:hint="eastAsia"/>
          <w:sz w:val="24"/>
          <w:szCs w:val="24"/>
        </w:rPr>
        <w:t>3</w:t>
      </w:r>
      <w:r w:rsidRPr="000C0842">
        <w:rPr>
          <w:rFonts w:eastAsia="SimSun" w:hint="eastAsia"/>
          <w:sz w:val="24"/>
          <w:szCs w:val="24"/>
        </w:rPr>
        <w:t>款中定义的</w:t>
      </w:r>
      <w:r w:rsidR="00D2646A" w:rsidRPr="000C0842">
        <w:rPr>
          <w:rFonts w:eastAsia="SimSun" w:hint="eastAsia"/>
          <w:sz w:val="24"/>
          <w:szCs w:val="24"/>
        </w:rPr>
        <w:t>“</w:t>
      </w:r>
      <w:r w:rsidRPr="000C0842">
        <w:rPr>
          <w:rFonts w:eastAsia="SimSun" w:hint="eastAsia"/>
          <w:sz w:val="24"/>
          <w:szCs w:val="24"/>
        </w:rPr>
        <w:t>性别</w:t>
      </w:r>
      <w:r w:rsidR="00D2646A" w:rsidRPr="000C0842">
        <w:rPr>
          <w:rFonts w:eastAsia="SimSun" w:hint="eastAsia"/>
          <w:sz w:val="24"/>
          <w:szCs w:val="24"/>
        </w:rPr>
        <w:t>”</w:t>
      </w:r>
      <w:r w:rsidR="00B63E96" w:rsidRPr="000C0842">
        <w:rPr>
          <w:rFonts w:eastAsia="SimSun" w:hint="eastAsia"/>
          <w:sz w:val="24"/>
          <w:szCs w:val="24"/>
        </w:rPr>
        <w:t>。</w:t>
      </w:r>
    </w:p>
    <w:p w14:paraId="6244826B" w14:textId="0AA482B9" w:rsidR="001136A9" w:rsidRPr="000C0842" w:rsidRDefault="001136A9" w:rsidP="001136A9">
      <w:pPr>
        <w:keepNext/>
        <w:tabs>
          <w:tab w:val="clear" w:pos="567"/>
          <w:tab w:val="clear" w:pos="1134"/>
          <w:tab w:val="clear" w:pos="1701"/>
          <w:tab w:val="clear" w:pos="2268"/>
        </w:tabs>
        <w:spacing w:after="120"/>
        <w:ind w:left="490"/>
        <w:rPr>
          <w:rFonts w:eastAsia="KaiTi"/>
          <w:snapToGrid w:val="0"/>
          <w:sz w:val="24"/>
          <w:szCs w:val="24"/>
        </w:rPr>
      </w:pPr>
      <w:r w:rsidRPr="000C0842">
        <w:rPr>
          <w:rFonts w:eastAsia="KaiTi"/>
          <w:snapToGrid w:val="0"/>
          <w:sz w:val="24"/>
          <w:szCs w:val="24"/>
        </w:rPr>
        <w:t>规划、监测、报告和审查机制</w:t>
      </w:r>
    </w:p>
    <w:p w14:paraId="794C3283" w14:textId="40645AB5" w:rsidR="001136A9" w:rsidRPr="000C0842"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bookmarkStart w:id="154" w:name="_Hlk181898358"/>
      <w:r w:rsidRPr="000C0842">
        <w:rPr>
          <w:rFonts w:eastAsia="SimSun"/>
          <w:sz w:val="24"/>
          <w:szCs w:val="24"/>
        </w:rPr>
        <w:t>第一工作组第</w:t>
      </w:r>
      <w:r w:rsidR="0062465B" w:rsidRPr="000C0842">
        <w:rPr>
          <w:rFonts w:eastAsia="SimSun"/>
          <w:sz w:val="24"/>
          <w:szCs w:val="24"/>
        </w:rPr>
        <w:t>6</w:t>
      </w:r>
      <w:r w:rsidR="0062465B" w:rsidRPr="000C0842">
        <w:rPr>
          <w:rFonts w:eastAsia="SimSun"/>
          <w:sz w:val="24"/>
          <w:szCs w:val="24"/>
        </w:rPr>
        <w:t>场</w:t>
      </w:r>
      <w:r w:rsidRPr="000C0842">
        <w:rPr>
          <w:rFonts w:eastAsia="SimSun"/>
          <w:sz w:val="24"/>
          <w:szCs w:val="24"/>
        </w:rPr>
        <w:t>会议商定，联络小组的讨论结果</w:t>
      </w:r>
      <w:r w:rsidR="001915AB" w:rsidRPr="000C0842">
        <w:rPr>
          <w:rFonts w:eastAsia="SimSun" w:hint="eastAsia"/>
          <w:sz w:val="24"/>
          <w:szCs w:val="24"/>
        </w:rPr>
        <w:t>将纳入主席</w:t>
      </w:r>
      <w:r w:rsidR="00D433AF" w:rsidRPr="000C0842">
        <w:rPr>
          <w:rFonts w:eastAsia="SimSun" w:hint="eastAsia"/>
          <w:sz w:val="24"/>
          <w:szCs w:val="24"/>
        </w:rPr>
        <w:t>拟定</w:t>
      </w:r>
      <w:r w:rsidR="001915AB" w:rsidRPr="000C0842">
        <w:rPr>
          <w:rFonts w:eastAsia="SimSun" w:hint="eastAsia"/>
          <w:sz w:val="24"/>
          <w:szCs w:val="24"/>
        </w:rPr>
        <w:t>的案文，</w:t>
      </w:r>
      <w:r w:rsidRPr="000C0842">
        <w:rPr>
          <w:rFonts w:eastAsia="SimSun"/>
          <w:sz w:val="24"/>
          <w:szCs w:val="24"/>
        </w:rPr>
        <w:t>作为</w:t>
      </w:r>
      <w:r w:rsidR="00001111" w:rsidRPr="000C0842">
        <w:rPr>
          <w:rFonts w:eastAsia="SimSun"/>
          <w:sz w:val="24"/>
          <w:szCs w:val="24"/>
        </w:rPr>
        <w:t>CBD/COP/16/L.33</w:t>
      </w:r>
      <w:r w:rsidR="00001111" w:rsidRPr="000C0842">
        <w:rPr>
          <w:rFonts w:eastAsia="SimSun"/>
          <w:sz w:val="24"/>
          <w:szCs w:val="24"/>
        </w:rPr>
        <w:t>号</w:t>
      </w:r>
      <w:r w:rsidR="00831BAE" w:rsidRPr="000C0842">
        <w:rPr>
          <w:rFonts w:eastAsia="SimSun"/>
          <w:sz w:val="24"/>
          <w:szCs w:val="24"/>
        </w:rPr>
        <w:t>决定草案</w:t>
      </w:r>
      <w:r w:rsidR="004C7374" w:rsidRPr="000C0842">
        <w:rPr>
          <w:rFonts w:eastAsia="SimSun"/>
          <w:sz w:val="24"/>
          <w:szCs w:val="24"/>
        </w:rPr>
        <w:t>提交全体会议</w:t>
      </w:r>
      <w:r w:rsidRPr="000C0842">
        <w:rPr>
          <w:rFonts w:eastAsia="SimSun"/>
          <w:sz w:val="24"/>
          <w:szCs w:val="24"/>
        </w:rPr>
        <w:t>。</w:t>
      </w:r>
      <w:bookmarkEnd w:id="154"/>
    </w:p>
    <w:p w14:paraId="0B19A25F" w14:textId="69F4ECBB" w:rsidR="00FA29B3" w:rsidRPr="000C0842" w:rsidRDefault="00C0302B"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缔约方大会</w:t>
      </w:r>
      <w:r w:rsidR="003C5035" w:rsidRPr="000C0842">
        <w:rPr>
          <w:rFonts w:eastAsia="SimSun" w:hint="eastAsia"/>
          <w:sz w:val="24"/>
          <w:szCs w:val="24"/>
        </w:rPr>
        <w:t>第</w:t>
      </w:r>
      <w:r w:rsidR="003C5035" w:rsidRPr="000C0842">
        <w:rPr>
          <w:rFonts w:eastAsia="SimSun" w:hint="eastAsia"/>
          <w:sz w:val="24"/>
          <w:szCs w:val="24"/>
        </w:rPr>
        <w:t>8</w:t>
      </w:r>
      <w:r w:rsidR="005B3F06" w:rsidRPr="000C0842">
        <w:rPr>
          <w:rFonts w:eastAsia="SimSun" w:hint="eastAsia"/>
          <w:sz w:val="24"/>
          <w:szCs w:val="24"/>
        </w:rPr>
        <w:t>场</w:t>
      </w:r>
      <w:r w:rsidR="00831BAE" w:rsidRPr="000C0842">
        <w:rPr>
          <w:rFonts w:eastAsia="SimSun"/>
          <w:sz w:val="24"/>
          <w:szCs w:val="24"/>
        </w:rPr>
        <w:t>全体会议审议了主席提交的</w:t>
      </w:r>
      <w:hyperlink r:id="rId380" w:history="1">
        <w:r w:rsidR="00831BAE" w:rsidRPr="000C0842">
          <w:rPr>
            <w:rStyle w:val="Hyperlink"/>
            <w:rFonts w:eastAsia="SimSun"/>
            <w:color w:val="auto"/>
            <w:sz w:val="24"/>
            <w:szCs w:val="24"/>
          </w:rPr>
          <w:t>CBD/COP/16/L.33</w:t>
        </w:r>
      </w:hyperlink>
      <w:r w:rsidR="001902BF" w:rsidRPr="000C0842">
        <w:rPr>
          <w:rFonts w:eastAsia="SimSun"/>
          <w:sz w:val="24"/>
          <w:szCs w:val="24"/>
        </w:rPr>
        <w:t>号决定草案</w:t>
      </w:r>
      <w:r w:rsidR="00001111" w:rsidRPr="000C0842">
        <w:rPr>
          <w:rFonts w:eastAsia="SimSun" w:hint="eastAsia"/>
          <w:sz w:val="24"/>
          <w:szCs w:val="24"/>
        </w:rPr>
        <w:t>。</w:t>
      </w:r>
    </w:p>
    <w:p w14:paraId="4832DEA9" w14:textId="4EFE8A26" w:rsidR="00C9085A"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ascii="SimSun" w:eastAsia="SimSun" w:hAnsi="SimSun" w:cs="SimSun" w:hint="eastAsia"/>
          <w:sz w:val="24"/>
          <w:szCs w:val="24"/>
        </w:rPr>
        <w:t>下列缔约方</w:t>
      </w:r>
      <w:r w:rsidR="00C9085A" w:rsidRPr="000C0842">
        <w:rPr>
          <w:rFonts w:ascii="SimSun" w:eastAsia="SimSun" w:hAnsi="SimSun" w:cs="SimSun" w:hint="eastAsia"/>
          <w:sz w:val="24"/>
          <w:szCs w:val="24"/>
        </w:rPr>
        <w:t>的代表</w:t>
      </w:r>
      <w:r w:rsidR="00A7097A" w:rsidRPr="000C0842">
        <w:rPr>
          <w:rFonts w:ascii="SimSun" w:eastAsia="SimSun" w:hAnsi="SimSun" w:cs="SimSun" w:hint="eastAsia"/>
          <w:sz w:val="24"/>
          <w:szCs w:val="24"/>
        </w:rPr>
        <w:t>发了言</w:t>
      </w:r>
      <w:r w:rsidR="00C9085A" w:rsidRPr="000C0842">
        <w:rPr>
          <w:rFonts w:ascii="SimSun" w:eastAsia="SimSun" w:hAnsi="SimSun" w:cs="SimSun" w:hint="eastAsia"/>
          <w:sz w:val="24"/>
          <w:szCs w:val="24"/>
        </w:rPr>
        <w:t>：阿根廷、澳大利亚、巴西、加拿大、中国、古巴、刚果民主共和国、欧洲联盟及其成员国、加蓬、格鲁吉亚、日本、墨西哥、纳米比亚、新西兰、挪威、俄罗斯联邦、南非（代表非洲国家）、瓦努阿图（同时代表库克群岛、斐济、密克罗尼西亚联邦、基里巴斯、马绍尔群岛、帕劳、巴布亚新几内亚</w:t>
      </w:r>
      <w:r w:rsidR="006F7128" w:rsidRPr="000C0842">
        <w:rPr>
          <w:rFonts w:ascii="SimSun" w:eastAsia="SimSun" w:hAnsi="SimSun" w:cs="SimSun" w:hint="eastAsia"/>
          <w:sz w:val="24"/>
          <w:szCs w:val="24"/>
        </w:rPr>
        <w:t>、</w:t>
      </w:r>
      <w:r w:rsidR="00C9085A" w:rsidRPr="000C0842">
        <w:rPr>
          <w:rFonts w:ascii="SimSun" w:eastAsia="SimSun" w:hAnsi="SimSun" w:cs="SimSun" w:hint="eastAsia"/>
          <w:sz w:val="24"/>
          <w:szCs w:val="24"/>
        </w:rPr>
        <w:t>萨摩亚）、联合王国</w:t>
      </w:r>
      <w:r w:rsidR="005B3F06" w:rsidRPr="000C0842">
        <w:rPr>
          <w:rFonts w:ascii="SimSun" w:eastAsia="SimSun" w:hAnsi="SimSun" w:cs="SimSun" w:hint="eastAsia"/>
          <w:sz w:val="24"/>
          <w:szCs w:val="24"/>
        </w:rPr>
        <w:t>、</w:t>
      </w:r>
      <w:r w:rsidR="00C9085A" w:rsidRPr="000C0842">
        <w:rPr>
          <w:rFonts w:ascii="SimSun" w:eastAsia="SimSun" w:hAnsi="SimSun" w:cs="SimSun" w:hint="eastAsia"/>
          <w:sz w:val="24"/>
          <w:szCs w:val="24"/>
        </w:rPr>
        <w:t>津巴布韦。</w:t>
      </w:r>
    </w:p>
    <w:p w14:paraId="5022A707" w14:textId="1BA7868D" w:rsidR="00C9085A" w:rsidRPr="000C0842" w:rsidRDefault="00C9085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ascii="SimSun" w:eastAsia="SimSun" w:hAnsi="SimSun" w:cs="SimSun" w:hint="eastAsia"/>
          <w:sz w:val="24"/>
          <w:szCs w:val="24"/>
        </w:rPr>
        <w:t>缔约方大会商定，主席将与感兴趣的缔约方</w:t>
      </w:r>
      <w:r w:rsidR="00D433AF" w:rsidRPr="000C0842">
        <w:rPr>
          <w:rFonts w:ascii="SimSun" w:eastAsia="SimSun" w:hAnsi="SimSun" w:cs="SimSun" w:hint="eastAsia"/>
          <w:sz w:val="24"/>
          <w:szCs w:val="24"/>
        </w:rPr>
        <w:t>磋商</w:t>
      </w:r>
      <w:r w:rsidRPr="000C0842">
        <w:rPr>
          <w:rFonts w:ascii="SimSun" w:eastAsia="SimSun" w:hAnsi="SimSun" w:cs="SimSun" w:hint="eastAsia"/>
          <w:sz w:val="24"/>
          <w:szCs w:val="24"/>
        </w:rPr>
        <w:t>，解决悬而未决的问题。</w:t>
      </w:r>
    </w:p>
    <w:p w14:paraId="3D026BC9" w14:textId="67CACF8A" w:rsidR="00C9085A" w:rsidRPr="000C0842" w:rsidRDefault="00D433AF"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ascii="SimSun" w:eastAsia="SimSun" w:hAnsi="SimSun" w:cs="SimSun" w:hint="eastAsia"/>
          <w:sz w:val="24"/>
          <w:szCs w:val="24"/>
        </w:rPr>
        <w:t>缔约方大会</w:t>
      </w:r>
      <w:r w:rsidR="00C9085A" w:rsidRPr="000C0842">
        <w:rPr>
          <w:rFonts w:ascii="SimSun" w:eastAsia="SimSun" w:hAnsi="SimSun" w:cs="SimSun" w:hint="eastAsia"/>
          <w:sz w:val="24"/>
          <w:szCs w:val="24"/>
        </w:rPr>
        <w:t>第</w:t>
      </w:r>
      <w:r w:rsidR="00C9085A" w:rsidRPr="000C0842">
        <w:rPr>
          <w:rFonts w:eastAsia="Times New Roman"/>
          <w:sz w:val="24"/>
          <w:szCs w:val="24"/>
        </w:rPr>
        <w:t>9</w:t>
      </w:r>
      <w:r w:rsidR="005B3F06" w:rsidRPr="000C0842">
        <w:rPr>
          <w:rFonts w:ascii="SimSun" w:eastAsia="SimSun" w:hAnsi="SimSun" w:cs="SimSun" w:hint="eastAsia"/>
          <w:sz w:val="24"/>
          <w:szCs w:val="24"/>
        </w:rPr>
        <w:t>场</w:t>
      </w:r>
      <w:r w:rsidR="00C9085A" w:rsidRPr="000C0842">
        <w:rPr>
          <w:rFonts w:ascii="SimSun" w:eastAsia="SimSun" w:hAnsi="SimSun" w:cs="SimSun" w:hint="eastAsia"/>
          <w:sz w:val="24"/>
          <w:szCs w:val="24"/>
        </w:rPr>
        <w:t>全体会议听取了主席关于磋商情况的报告。</w:t>
      </w:r>
    </w:p>
    <w:p w14:paraId="47568718" w14:textId="17F013BF" w:rsidR="00C9085A"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ascii="SimSun" w:eastAsia="SimSun" w:hAnsi="SimSun" w:cs="SimSun" w:hint="eastAsia"/>
          <w:sz w:val="24"/>
          <w:szCs w:val="24"/>
        </w:rPr>
        <w:t>下列缔约方</w:t>
      </w:r>
      <w:r w:rsidR="00C9085A" w:rsidRPr="000C0842">
        <w:rPr>
          <w:rFonts w:ascii="SimSun" w:eastAsia="SimSun" w:hAnsi="SimSun" w:cs="SimSun" w:hint="eastAsia"/>
          <w:sz w:val="24"/>
          <w:szCs w:val="24"/>
        </w:rPr>
        <w:t>的代表</w:t>
      </w:r>
      <w:r w:rsidR="00A7097A" w:rsidRPr="000C0842">
        <w:rPr>
          <w:rFonts w:ascii="SimSun" w:eastAsia="SimSun" w:hAnsi="SimSun" w:cs="SimSun" w:hint="eastAsia"/>
          <w:sz w:val="24"/>
          <w:szCs w:val="24"/>
        </w:rPr>
        <w:t>发了言</w:t>
      </w:r>
      <w:r w:rsidR="00C9085A" w:rsidRPr="000C0842">
        <w:rPr>
          <w:rFonts w:ascii="SimSun" w:eastAsia="SimSun" w:hAnsi="SimSun" w:cs="SimSun" w:hint="eastAsia"/>
          <w:sz w:val="24"/>
          <w:szCs w:val="24"/>
        </w:rPr>
        <w:t>：阿根廷、巴西、喀麦隆、科特迪瓦、刚果民主共和国、埃及、欧洲联盟及其成员国、斐济、加纳、印度尼西亚、墨西哥、俄罗斯联邦、瑞士、瓦努阿图</w:t>
      </w:r>
      <w:r w:rsidR="005B3F06" w:rsidRPr="000C0842">
        <w:rPr>
          <w:rFonts w:ascii="SimSun" w:eastAsia="SimSun" w:hAnsi="SimSun" w:cs="SimSun" w:hint="eastAsia"/>
          <w:sz w:val="24"/>
          <w:szCs w:val="24"/>
        </w:rPr>
        <w:t>、</w:t>
      </w:r>
      <w:r w:rsidR="00C9085A" w:rsidRPr="000C0842">
        <w:rPr>
          <w:rFonts w:ascii="SimSun" w:eastAsia="SimSun" w:hAnsi="SimSun" w:cs="SimSun" w:hint="eastAsia"/>
          <w:sz w:val="24"/>
          <w:szCs w:val="24"/>
        </w:rPr>
        <w:t>津巴布韦。</w:t>
      </w:r>
    </w:p>
    <w:p w14:paraId="44E940CF" w14:textId="2AC554E4" w:rsidR="006F7128" w:rsidRPr="000C0842" w:rsidRDefault="006F7128" w:rsidP="006F7128">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12</w:t>
      </w:r>
      <w:r w:rsidRPr="000C0842">
        <w:rPr>
          <w:rFonts w:eastAsia="SimSun"/>
          <w:sz w:val="24"/>
          <w:szCs w:val="24"/>
        </w:rPr>
        <w:t>场全体会议继续审议</w:t>
      </w:r>
      <w:hyperlink r:id="rId381" w:history="1">
        <w:r w:rsidRPr="000C0842">
          <w:rPr>
            <w:rStyle w:val="Hyperlink"/>
            <w:rFonts w:eastAsia="SimSun" w:hint="eastAsia"/>
            <w:color w:val="auto"/>
            <w:sz w:val="24"/>
            <w:szCs w:val="24"/>
          </w:rPr>
          <w:t>CBD/COP/16/L.33</w:t>
        </w:r>
      </w:hyperlink>
      <w:r w:rsidRPr="000C0842">
        <w:rPr>
          <w:rFonts w:eastAsia="SimSun"/>
          <w:sz w:val="24"/>
          <w:szCs w:val="24"/>
        </w:rPr>
        <w:t>号决定草案</w:t>
      </w:r>
      <w:r w:rsidRPr="000C0842">
        <w:rPr>
          <w:rFonts w:eastAsia="SimSun" w:hint="eastAsia"/>
          <w:sz w:val="24"/>
          <w:szCs w:val="24"/>
        </w:rPr>
        <w:t>。会议</w:t>
      </w:r>
      <w:r w:rsidRPr="000C0842">
        <w:rPr>
          <w:rFonts w:eastAsia="SimSun"/>
          <w:sz w:val="24"/>
          <w:szCs w:val="24"/>
        </w:rPr>
        <w:t>核准了经秘书处代表口头修正的决定草案，供</w:t>
      </w:r>
      <w:r w:rsidR="00AC5726" w:rsidRPr="000C0842">
        <w:rPr>
          <w:rFonts w:eastAsia="SimSun" w:hint="eastAsia"/>
          <w:sz w:val="24"/>
          <w:szCs w:val="24"/>
        </w:rPr>
        <w:t>稍后一次</w:t>
      </w:r>
      <w:r w:rsidR="00DF7C07" w:rsidRPr="000C0842">
        <w:rPr>
          <w:rFonts w:eastAsia="SimSun" w:hint="eastAsia"/>
          <w:sz w:val="24"/>
          <w:szCs w:val="24"/>
        </w:rPr>
        <w:t>会议</w:t>
      </w:r>
      <w:r w:rsidRPr="000C0842">
        <w:rPr>
          <w:rFonts w:eastAsia="SimSun"/>
          <w:sz w:val="24"/>
          <w:szCs w:val="24"/>
        </w:rPr>
        <w:t>通过。</w:t>
      </w:r>
    </w:p>
    <w:p w14:paraId="4368258F" w14:textId="53CBFB2F" w:rsidR="006F7128" w:rsidRPr="000C0842" w:rsidRDefault="006F7128" w:rsidP="006F7128">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在讨论过程中，俄罗斯联邦代表要求在本报告中反映一项谅解，即</w:t>
      </w:r>
      <w:r w:rsidR="00DF7C07" w:rsidRPr="000C0842">
        <w:rPr>
          <w:rFonts w:eastAsia="SimSun" w:hint="eastAsia"/>
          <w:sz w:val="24"/>
          <w:szCs w:val="24"/>
        </w:rPr>
        <w:t>将在</w:t>
      </w:r>
      <w:r w:rsidRPr="000C0842">
        <w:rPr>
          <w:rFonts w:eastAsia="SimSun"/>
          <w:sz w:val="24"/>
          <w:szCs w:val="24"/>
        </w:rPr>
        <w:t>决定草案设想的咨询小组</w:t>
      </w:r>
      <w:r w:rsidR="00DF7C07" w:rsidRPr="000C0842">
        <w:rPr>
          <w:rFonts w:eastAsia="SimSun" w:hint="eastAsia"/>
          <w:sz w:val="24"/>
          <w:szCs w:val="24"/>
        </w:rPr>
        <w:t>任职的专家，将</w:t>
      </w:r>
      <w:r w:rsidRPr="000C0842">
        <w:rPr>
          <w:rFonts w:eastAsia="SimSun"/>
          <w:sz w:val="24"/>
          <w:szCs w:val="24"/>
        </w:rPr>
        <w:t>在平等基础上从</w:t>
      </w:r>
      <w:r w:rsidR="00DF7C07" w:rsidRPr="000C0842">
        <w:rPr>
          <w:rFonts w:eastAsia="SimSun"/>
          <w:sz w:val="24"/>
          <w:szCs w:val="24"/>
        </w:rPr>
        <w:t>五个</w:t>
      </w:r>
      <w:r w:rsidRPr="000C0842">
        <w:rPr>
          <w:rFonts w:eastAsia="SimSun"/>
          <w:sz w:val="24"/>
          <w:szCs w:val="24"/>
        </w:rPr>
        <w:t>联合国区域中选出。</w:t>
      </w:r>
    </w:p>
    <w:p w14:paraId="0D75A90F" w14:textId="5FF35FB6" w:rsidR="006F7128" w:rsidRPr="000C0842" w:rsidRDefault="00DF7C07" w:rsidP="006F7128">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w:t>
      </w:r>
      <w:r w:rsidR="006F7128" w:rsidRPr="000C0842">
        <w:rPr>
          <w:rFonts w:eastAsia="SimSun"/>
          <w:sz w:val="24"/>
          <w:szCs w:val="24"/>
        </w:rPr>
        <w:t>第</w:t>
      </w:r>
      <w:r w:rsidR="006F7128" w:rsidRPr="000C0842">
        <w:rPr>
          <w:rFonts w:eastAsia="SimSun"/>
          <w:sz w:val="24"/>
          <w:szCs w:val="24"/>
        </w:rPr>
        <w:t>13</w:t>
      </w:r>
      <w:r w:rsidRPr="000C0842">
        <w:rPr>
          <w:rFonts w:eastAsia="SimSun" w:hint="eastAsia"/>
          <w:sz w:val="24"/>
          <w:szCs w:val="24"/>
        </w:rPr>
        <w:t>场</w:t>
      </w:r>
      <w:r w:rsidR="006F7128" w:rsidRPr="000C0842">
        <w:rPr>
          <w:rFonts w:eastAsia="SimSun"/>
          <w:sz w:val="24"/>
          <w:szCs w:val="24"/>
        </w:rPr>
        <w:t>全体会议审议了</w:t>
      </w:r>
      <w:r w:rsidR="00F61A0E" w:rsidRPr="000C0842">
        <w:rPr>
          <w:rFonts w:eastAsia="SimSun" w:hint="eastAsia"/>
          <w:sz w:val="24"/>
          <w:szCs w:val="24"/>
        </w:rPr>
        <w:t>订正</w:t>
      </w:r>
      <w:r w:rsidR="006F7128" w:rsidRPr="000C0842">
        <w:rPr>
          <w:rFonts w:eastAsia="SimSun"/>
          <w:sz w:val="24"/>
          <w:szCs w:val="24"/>
        </w:rPr>
        <w:t>决定草案</w:t>
      </w:r>
      <w:r w:rsidR="00F61A0E" w:rsidRPr="000C0842">
        <w:rPr>
          <w:rStyle w:val="FootnoteReference"/>
          <w:rFonts w:eastAsia="SimSun"/>
          <w:sz w:val="24"/>
          <w:szCs w:val="24"/>
        </w:rPr>
        <w:footnoteReference w:id="556"/>
      </w:r>
      <w:r w:rsidRPr="000C0842">
        <w:rPr>
          <w:rFonts w:eastAsia="SimSun" w:hint="eastAsia"/>
          <w:sz w:val="24"/>
          <w:szCs w:val="24"/>
        </w:rPr>
        <w:t>。</w:t>
      </w:r>
      <w:r w:rsidR="00F61A0E" w:rsidRPr="000C0842">
        <w:rPr>
          <w:rFonts w:eastAsia="SimSun" w:hint="eastAsia"/>
          <w:sz w:val="24"/>
          <w:szCs w:val="24"/>
        </w:rPr>
        <w:t>订正</w:t>
      </w:r>
      <w:r w:rsidR="006F7128" w:rsidRPr="000C0842">
        <w:rPr>
          <w:rFonts w:eastAsia="SimSun"/>
          <w:sz w:val="24"/>
          <w:szCs w:val="24"/>
        </w:rPr>
        <w:t>决定草案</w:t>
      </w:r>
      <w:r w:rsidRPr="000C0842">
        <w:rPr>
          <w:rFonts w:eastAsia="SimSun" w:hint="eastAsia"/>
          <w:sz w:val="24"/>
          <w:szCs w:val="24"/>
        </w:rPr>
        <w:t>获得通过</w:t>
      </w:r>
      <w:r w:rsidR="006F7128" w:rsidRPr="000C0842">
        <w:rPr>
          <w:rFonts w:eastAsia="SimSun"/>
          <w:sz w:val="24"/>
          <w:szCs w:val="24"/>
        </w:rPr>
        <w:t>，成为第</w:t>
      </w:r>
      <w:hyperlink r:id="rId382" w:history="1">
        <w:r w:rsidR="006F7128" w:rsidRPr="000C0842">
          <w:rPr>
            <w:rStyle w:val="Hyperlink"/>
            <w:rFonts w:eastAsia="SimSun" w:hint="eastAsia"/>
            <w:color w:val="auto"/>
            <w:sz w:val="24"/>
            <w:szCs w:val="24"/>
          </w:rPr>
          <w:t>16/32</w:t>
        </w:r>
      </w:hyperlink>
      <w:r w:rsidR="006F7128" w:rsidRPr="000C0842">
        <w:rPr>
          <w:rFonts w:eastAsia="SimSun"/>
          <w:sz w:val="24"/>
          <w:szCs w:val="24"/>
        </w:rPr>
        <w:t>号决定。</w:t>
      </w:r>
    </w:p>
    <w:p w14:paraId="75E34A36" w14:textId="588BA0FC" w:rsidR="006F7128" w:rsidRPr="000C0842" w:rsidRDefault="00EE28F8" w:rsidP="006F7128">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6F7128" w:rsidRPr="000C0842">
        <w:rPr>
          <w:rFonts w:eastAsia="SimSun"/>
          <w:sz w:val="24"/>
          <w:szCs w:val="24"/>
        </w:rPr>
        <w:t>的代表</w:t>
      </w:r>
      <w:r w:rsidR="00DF7C07" w:rsidRPr="000C0842">
        <w:rPr>
          <w:rFonts w:eastAsia="SimSun"/>
          <w:sz w:val="24"/>
          <w:szCs w:val="24"/>
        </w:rPr>
        <w:t>随后</w:t>
      </w:r>
      <w:r w:rsidR="006F7128" w:rsidRPr="000C0842">
        <w:rPr>
          <w:rFonts w:eastAsia="SimSun"/>
          <w:sz w:val="24"/>
          <w:szCs w:val="24"/>
        </w:rPr>
        <w:t>发</w:t>
      </w:r>
      <w:r w:rsidR="00DF7C07" w:rsidRPr="000C0842">
        <w:rPr>
          <w:rFonts w:eastAsia="SimSun" w:hint="eastAsia"/>
          <w:sz w:val="24"/>
          <w:szCs w:val="24"/>
        </w:rPr>
        <w:t>了</w:t>
      </w:r>
      <w:r w:rsidR="006F7128" w:rsidRPr="000C0842">
        <w:rPr>
          <w:rFonts w:eastAsia="SimSun"/>
          <w:sz w:val="24"/>
          <w:szCs w:val="24"/>
        </w:rPr>
        <w:t>言</w:t>
      </w:r>
      <w:r w:rsidR="00DF7C07" w:rsidRPr="000C0842">
        <w:rPr>
          <w:rFonts w:eastAsia="SimSun" w:hint="eastAsia"/>
          <w:sz w:val="24"/>
          <w:szCs w:val="24"/>
        </w:rPr>
        <w:t>：</w:t>
      </w:r>
      <w:r w:rsidR="006F7128" w:rsidRPr="000C0842">
        <w:rPr>
          <w:rFonts w:eastAsia="SimSun"/>
          <w:sz w:val="24"/>
          <w:szCs w:val="24"/>
        </w:rPr>
        <w:t>阿根廷</w:t>
      </w:r>
      <w:r w:rsidR="00D433AF" w:rsidRPr="000C0842">
        <w:rPr>
          <w:rFonts w:eastAsia="SimSun" w:hint="eastAsia"/>
          <w:sz w:val="24"/>
          <w:szCs w:val="24"/>
        </w:rPr>
        <w:t>、</w:t>
      </w:r>
      <w:r w:rsidR="006F7128" w:rsidRPr="000C0842">
        <w:rPr>
          <w:rFonts w:eastAsia="SimSun"/>
          <w:sz w:val="24"/>
          <w:szCs w:val="24"/>
        </w:rPr>
        <w:t>西班牙。</w:t>
      </w:r>
      <w:r w:rsidR="00DA2047" w:rsidRPr="000C0842">
        <w:rPr>
          <w:rFonts w:eastAsia="SimSun" w:hint="eastAsia"/>
          <w:sz w:val="24"/>
          <w:szCs w:val="24"/>
        </w:rPr>
        <w:t>这两名代表都请求将其发言反映在会议报告之中。</w:t>
      </w:r>
    </w:p>
    <w:p w14:paraId="71100EA7" w14:textId="35F76AC8" w:rsidR="00C9085A" w:rsidRPr="000C0842" w:rsidRDefault="006F7128" w:rsidP="006F7128">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阿根廷代表在发言中对通过的决定表示保留，称阿根廷不</w:t>
      </w:r>
      <w:r w:rsidR="004E2C90" w:rsidRPr="000C0842">
        <w:rPr>
          <w:rFonts w:eastAsia="SimSun" w:hint="eastAsia"/>
          <w:sz w:val="24"/>
          <w:szCs w:val="24"/>
        </w:rPr>
        <w:t>同意</w:t>
      </w:r>
      <w:r w:rsidR="00D433AF" w:rsidRPr="000C0842">
        <w:rPr>
          <w:rFonts w:eastAsia="SimSun" w:hint="eastAsia"/>
          <w:sz w:val="24"/>
          <w:szCs w:val="24"/>
        </w:rPr>
        <w:t>在</w:t>
      </w:r>
      <w:r w:rsidRPr="000C0842">
        <w:rPr>
          <w:rFonts w:eastAsia="SimSun"/>
          <w:sz w:val="24"/>
          <w:szCs w:val="24"/>
        </w:rPr>
        <w:t>通过的决定</w:t>
      </w:r>
      <w:r w:rsidR="004E2C90" w:rsidRPr="000C0842">
        <w:rPr>
          <w:rFonts w:eastAsia="SimSun" w:hint="eastAsia"/>
          <w:sz w:val="24"/>
          <w:szCs w:val="24"/>
        </w:rPr>
        <w:t>中</w:t>
      </w:r>
      <w:r w:rsidRPr="000C0842">
        <w:rPr>
          <w:rFonts w:eastAsia="SimSun"/>
          <w:sz w:val="24"/>
          <w:szCs w:val="24"/>
        </w:rPr>
        <w:t>提及可持续发展目标。她具体指出，其他</w:t>
      </w:r>
      <w:r w:rsidR="002C4862" w:rsidRPr="000C0842">
        <w:rPr>
          <w:rFonts w:eastAsia="SimSun"/>
          <w:sz w:val="24"/>
          <w:szCs w:val="24"/>
        </w:rPr>
        <w:t>非国家政府</w:t>
      </w:r>
      <w:r w:rsidRPr="000C0842">
        <w:rPr>
          <w:rFonts w:eastAsia="SimSun"/>
          <w:sz w:val="24"/>
          <w:szCs w:val="24"/>
        </w:rPr>
        <w:t>行为</w:t>
      </w:r>
      <w:r w:rsidR="002C4862" w:rsidRPr="000C0842">
        <w:rPr>
          <w:rFonts w:eastAsia="SimSun" w:hint="eastAsia"/>
          <w:sz w:val="24"/>
          <w:szCs w:val="24"/>
        </w:rPr>
        <w:t>体</w:t>
      </w:r>
      <w:r w:rsidRPr="000C0842">
        <w:rPr>
          <w:rFonts w:eastAsia="SimSun"/>
          <w:sz w:val="24"/>
          <w:szCs w:val="24"/>
        </w:rPr>
        <w:t>的知情同意仅适用于支持生物多样性，对尊重一个国家的主权或领土或承认其当局没有任何影响。</w:t>
      </w:r>
    </w:p>
    <w:p w14:paraId="7DAF4C8D" w14:textId="13CE4BA2" w:rsidR="00DA2047" w:rsidRPr="000C0842" w:rsidRDefault="004F709B" w:rsidP="004F709B">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西班牙代表在发言中对</w:t>
      </w:r>
      <w:r w:rsidR="00200BF9" w:rsidRPr="000C0842">
        <w:rPr>
          <w:rFonts w:eastAsia="SimSun" w:hint="eastAsia"/>
          <w:sz w:val="24"/>
          <w:szCs w:val="24"/>
        </w:rPr>
        <w:t>达成关于</w:t>
      </w:r>
      <w:r w:rsidRPr="000C0842">
        <w:rPr>
          <w:rFonts w:eastAsia="SimSun" w:hint="eastAsia"/>
          <w:sz w:val="24"/>
          <w:szCs w:val="24"/>
        </w:rPr>
        <w:t>议程</w:t>
      </w:r>
      <w:r w:rsidR="00054C36" w:rsidRPr="000C0842">
        <w:rPr>
          <w:rFonts w:eastAsia="SimSun" w:hint="eastAsia"/>
          <w:sz w:val="24"/>
          <w:szCs w:val="24"/>
        </w:rPr>
        <w:t>项目</w:t>
      </w:r>
      <w:r w:rsidR="00054C36" w:rsidRPr="000C0842">
        <w:rPr>
          <w:rFonts w:eastAsia="SimSun" w:hint="eastAsia"/>
          <w:sz w:val="24"/>
          <w:szCs w:val="24"/>
        </w:rPr>
        <w:t>10</w:t>
      </w:r>
      <w:r w:rsidRPr="000C0842">
        <w:rPr>
          <w:rFonts w:eastAsia="SimSun" w:hint="eastAsia"/>
          <w:sz w:val="24"/>
          <w:szCs w:val="24"/>
        </w:rPr>
        <w:t>的</w:t>
      </w:r>
      <w:r w:rsidR="00054C36" w:rsidRPr="000C0842">
        <w:rPr>
          <w:rFonts w:eastAsia="SimSun" w:hint="eastAsia"/>
          <w:sz w:val="24"/>
          <w:szCs w:val="24"/>
        </w:rPr>
        <w:t>共识</w:t>
      </w:r>
      <w:r w:rsidRPr="000C0842">
        <w:rPr>
          <w:rFonts w:eastAsia="SimSun" w:hint="eastAsia"/>
          <w:sz w:val="24"/>
          <w:szCs w:val="24"/>
        </w:rPr>
        <w:t>表示欢迎，指出在</w:t>
      </w:r>
      <w:r w:rsidR="00054C36" w:rsidRPr="000C0842">
        <w:rPr>
          <w:rFonts w:eastAsia="SimSun" w:hint="eastAsia"/>
          <w:sz w:val="24"/>
          <w:szCs w:val="24"/>
        </w:rPr>
        <w:t>她的</w:t>
      </w:r>
      <w:r w:rsidRPr="000C0842">
        <w:rPr>
          <w:rFonts w:eastAsia="SimSun" w:hint="eastAsia"/>
          <w:sz w:val="24"/>
          <w:szCs w:val="24"/>
        </w:rPr>
        <w:t>代表团看来，</w:t>
      </w:r>
      <w:r w:rsidR="00054C36" w:rsidRPr="000C0842">
        <w:rPr>
          <w:rFonts w:eastAsia="SimSun" w:hint="eastAsia"/>
          <w:sz w:val="24"/>
          <w:szCs w:val="24"/>
        </w:rPr>
        <w:t>这个共识</w:t>
      </w:r>
      <w:r w:rsidRPr="000C0842">
        <w:rPr>
          <w:rFonts w:eastAsia="SimSun" w:hint="eastAsia"/>
          <w:sz w:val="24"/>
          <w:szCs w:val="24"/>
        </w:rPr>
        <w:t>是一揽子</w:t>
      </w:r>
      <w:r w:rsidR="00054C36" w:rsidRPr="000C0842">
        <w:rPr>
          <w:rFonts w:eastAsia="SimSun" w:hint="eastAsia"/>
          <w:sz w:val="24"/>
          <w:szCs w:val="24"/>
        </w:rPr>
        <w:t>谈判内容当</w:t>
      </w:r>
      <w:r w:rsidRPr="000C0842">
        <w:rPr>
          <w:rFonts w:eastAsia="SimSun" w:hint="eastAsia"/>
          <w:sz w:val="24"/>
          <w:szCs w:val="24"/>
        </w:rPr>
        <w:t>中的一个重要组成部分，</w:t>
      </w:r>
      <w:r w:rsidR="00054C36" w:rsidRPr="000C0842">
        <w:rPr>
          <w:rFonts w:eastAsia="SimSun" w:hint="eastAsia"/>
          <w:sz w:val="24"/>
          <w:szCs w:val="24"/>
        </w:rPr>
        <w:t>而这些内容</w:t>
      </w:r>
      <w:r w:rsidRPr="000C0842">
        <w:rPr>
          <w:rFonts w:eastAsia="SimSun" w:hint="eastAsia"/>
          <w:sz w:val="24"/>
          <w:szCs w:val="24"/>
        </w:rPr>
        <w:t>同时也</w:t>
      </w:r>
      <w:r w:rsidR="00054C36" w:rsidRPr="000C0842">
        <w:rPr>
          <w:rFonts w:eastAsia="SimSun" w:hint="eastAsia"/>
          <w:sz w:val="24"/>
          <w:szCs w:val="24"/>
        </w:rPr>
        <w:t>包括</w:t>
      </w:r>
      <w:r w:rsidRPr="000C0842">
        <w:rPr>
          <w:rFonts w:eastAsia="SimSun" w:hint="eastAsia"/>
          <w:sz w:val="24"/>
          <w:szCs w:val="24"/>
        </w:rPr>
        <w:t>关于遗传资源数字序列信息的第</w:t>
      </w:r>
      <w:r w:rsidRPr="000C0842">
        <w:rPr>
          <w:rFonts w:eastAsia="SimSun" w:hint="eastAsia"/>
          <w:sz w:val="24"/>
          <w:szCs w:val="24"/>
        </w:rPr>
        <w:t>16/2</w:t>
      </w:r>
      <w:r w:rsidRPr="000C0842">
        <w:rPr>
          <w:rFonts w:eastAsia="SimSun" w:hint="eastAsia"/>
          <w:sz w:val="24"/>
          <w:szCs w:val="24"/>
        </w:rPr>
        <w:t>号决定。</w:t>
      </w:r>
      <w:r w:rsidR="00054C36" w:rsidRPr="000C0842">
        <w:rPr>
          <w:rFonts w:eastAsia="SimSun" w:hint="eastAsia"/>
          <w:sz w:val="24"/>
          <w:szCs w:val="24"/>
        </w:rPr>
        <w:t>她</w:t>
      </w:r>
      <w:r w:rsidRPr="000C0842">
        <w:rPr>
          <w:rFonts w:eastAsia="SimSun" w:hint="eastAsia"/>
          <w:sz w:val="24"/>
          <w:szCs w:val="24"/>
        </w:rPr>
        <w:t>在</w:t>
      </w:r>
      <w:r w:rsidR="00054C36" w:rsidRPr="000C0842">
        <w:rPr>
          <w:rFonts w:eastAsia="SimSun" w:hint="eastAsia"/>
          <w:sz w:val="24"/>
          <w:szCs w:val="24"/>
        </w:rPr>
        <w:t>这个</w:t>
      </w:r>
      <w:r w:rsidRPr="000C0842">
        <w:rPr>
          <w:rFonts w:eastAsia="SimSun" w:hint="eastAsia"/>
          <w:sz w:val="24"/>
          <w:szCs w:val="24"/>
        </w:rPr>
        <w:t>方面表示</w:t>
      </w:r>
      <w:r w:rsidR="00054C36" w:rsidRPr="000C0842">
        <w:rPr>
          <w:rFonts w:eastAsia="SimSun" w:hint="eastAsia"/>
          <w:sz w:val="24"/>
          <w:szCs w:val="24"/>
        </w:rPr>
        <w:t>，</w:t>
      </w:r>
      <w:r w:rsidRPr="000C0842">
        <w:rPr>
          <w:rFonts w:eastAsia="SimSun" w:hint="eastAsia"/>
          <w:sz w:val="24"/>
          <w:szCs w:val="24"/>
        </w:rPr>
        <w:t>西班牙</w:t>
      </w:r>
      <w:r w:rsidR="00054C36" w:rsidRPr="000C0842">
        <w:rPr>
          <w:rFonts w:eastAsia="SimSun" w:hint="eastAsia"/>
          <w:sz w:val="24"/>
          <w:szCs w:val="24"/>
        </w:rPr>
        <w:t>感到遗憾的是，尽管《公约》第</w:t>
      </w:r>
      <w:r w:rsidR="00054C36" w:rsidRPr="000C0842">
        <w:rPr>
          <w:rFonts w:eastAsia="SimSun" w:hint="eastAsia"/>
          <w:sz w:val="24"/>
          <w:szCs w:val="24"/>
        </w:rPr>
        <w:t>15</w:t>
      </w:r>
      <w:r w:rsidR="00054C36" w:rsidRPr="000C0842">
        <w:rPr>
          <w:rFonts w:eastAsia="SimSun" w:hint="eastAsia"/>
          <w:sz w:val="24"/>
          <w:szCs w:val="24"/>
        </w:rPr>
        <w:t>条</w:t>
      </w:r>
      <w:r w:rsidR="00200BF9" w:rsidRPr="000C0842">
        <w:rPr>
          <w:rFonts w:eastAsia="SimSun" w:hint="eastAsia"/>
          <w:sz w:val="24"/>
          <w:szCs w:val="24"/>
        </w:rPr>
        <w:t>做出</w:t>
      </w:r>
      <w:r w:rsidR="00054C36" w:rsidRPr="000C0842">
        <w:rPr>
          <w:rFonts w:eastAsia="SimSun" w:hint="eastAsia"/>
          <w:sz w:val="24"/>
          <w:szCs w:val="24"/>
        </w:rPr>
        <w:t>的规定和第</w:t>
      </w:r>
      <w:r w:rsidR="00054C36" w:rsidRPr="000C0842">
        <w:rPr>
          <w:rFonts w:eastAsia="SimSun" w:hint="eastAsia"/>
          <w:sz w:val="24"/>
          <w:szCs w:val="24"/>
        </w:rPr>
        <w:t>15/9</w:t>
      </w:r>
      <w:r w:rsidR="00054C36" w:rsidRPr="000C0842">
        <w:rPr>
          <w:rFonts w:eastAsia="SimSun" w:hint="eastAsia"/>
          <w:sz w:val="24"/>
          <w:szCs w:val="24"/>
        </w:rPr>
        <w:t>号决定第</w:t>
      </w:r>
      <w:r w:rsidR="00054C36" w:rsidRPr="000C0842">
        <w:rPr>
          <w:rFonts w:eastAsia="SimSun" w:hint="eastAsia"/>
          <w:sz w:val="24"/>
          <w:szCs w:val="24"/>
        </w:rPr>
        <w:t>9(d)</w:t>
      </w:r>
      <w:r w:rsidR="00054C36" w:rsidRPr="000C0842">
        <w:rPr>
          <w:rFonts w:eastAsia="SimSun" w:hint="eastAsia"/>
          <w:sz w:val="24"/>
          <w:szCs w:val="24"/>
        </w:rPr>
        <w:t>和</w:t>
      </w:r>
      <w:r w:rsidR="00054C36" w:rsidRPr="000C0842">
        <w:rPr>
          <w:rFonts w:eastAsia="SimSun" w:hint="eastAsia"/>
          <w:sz w:val="24"/>
          <w:szCs w:val="24"/>
        </w:rPr>
        <w:t>(g)</w:t>
      </w:r>
      <w:r w:rsidR="00054C36" w:rsidRPr="000C0842">
        <w:rPr>
          <w:rFonts w:eastAsia="SimSun" w:hint="eastAsia"/>
          <w:sz w:val="24"/>
          <w:szCs w:val="24"/>
        </w:rPr>
        <w:t>分段确立的标准，</w:t>
      </w:r>
      <w:r w:rsidRPr="000C0842">
        <w:rPr>
          <w:rFonts w:eastAsia="SimSun" w:hint="eastAsia"/>
          <w:sz w:val="24"/>
          <w:szCs w:val="24"/>
        </w:rPr>
        <w:t>该决定的</w:t>
      </w:r>
      <w:r w:rsidR="00054C36" w:rsidRPr="000C0842">
        <w:rPr>
          <w:rFonts w:eastAsia="SimSun" w:hint="eastAsia"/>
          <w:sz w:val="24"/>
          <w:szCs w:val="24"/>
        </w:rPr>
        <w:t>定稿仍</w:t>
      </w:r>
      <w:r w:rsidRPr="000C0842">
        <w:rPr>
          <w:rFonts w:eastAsia="SimSun" w:hint="eastAsia"/>
          <w:sz w:val="24"/>
          <w:szCs w:val="24"/>
        </w:rPr>
        <w:t>未能规定</w:t>
      </w:r>
      <w:r w:rsidR="00054C36" w:rsidRPr="000C0842">
        <w:rPr>
          <w:rFonts w:eastAsia="SimSun" w:hint="eastAsia"/>
          <w:sz w:val="24"/>
          <w:szCs w:val="24"/>
        </w:rPr>
        <w:t>与所有提供国分享</w:t>
      </w:r>
      <w:r w:rsidRPr="000C0842">
        <w:rPr>
          <w:rFonts w:eastAsia="SimSun" w:hint="eastAsia"/>
          <w:sz w:val="24"/>
          <w:szCs w:val="24"/>
        </w:rPr>
        <w:t>利用遗传资源数字序列信息所产生的惠益。她强调</w:t>
      </w:r>
      <w:r w:rsidR="00054C36" w:rsidRPr="000C0842">
        <w:rPr>
          <w:rFonts w:eastAsia="SimSun" w:hint="eastAsia"/>
          <w:sz w:val="24"/>
          <w:szCs w:val="24"/>
        </w:rPr>
        <w:t>说</w:t>
      </w:r>
      <w:r w:rsidRPr="000C0842">
        <w:rPr>
          <w:rFonts w:eastAsia="SimSun" w:hint="eastAsia"/>
          <w:sz w:val="24"/>
          <w:szCs w:val="24"/>
        </w:rPr>
        <w:t>，西班牙将继续致力于遗传资源的获取</w:t>
      </w:r>
      <w:r w:rsidR="00846343" w:rsidRPr="000C0842">
        <w:rPr>
          <w:rFonts w:eastAsia="SimSun" w:hint="eastAsia"/>
          <w:sz w:val="24"/>
          <w:szCs w:val="24"/>
        </w:rPr>
        <w:t>以及公平和公正地分享</w:t>
      </w:r>
      <w:r w:rsidR="00200BF9" w:rsidRPr="000C0842">
        <w:rPr>
          <w:rFonts w:eastAsia="SimSun" w:hint="eastAsia"/>
          <w:sz w:val="24"/>
          <w:szCs w:val="24"/>
        </w:rPr>
        <w:t>这些</w:t>
      </w:r>
      <w:r w:rsidRPr="000C0842">
        <w:rPr>
          <w:rFonts w:eastAsia="SimSun" w:hint="eastAsia"/>
          <w:sz w:val="24"/>
          <w:szCs w:val="24"/>
        </w:rPr>
        <w:t>资源</w:t>
      </w:r>
      <w:r w:rsidR="00200BF9" w:rsidRPr="000C0842">
        <w:rPr>
          <w:rFonts w:eastAsia="SimSun" w:hint="eastAsia"/>
          <w:sz w:val="24"/>
          <w:szCs w:val="24"/>
        </w:rPr>
        <w:t>的</w:t>
      </w:r>
      <w:r w:rsidRPr="000C0842">
        <w:rPr>
          <w:rFonts w:eastAsia="SimSun" w:hint="eastAsia"/>
          <w:sz w:val="24"/>
          <w:szCs w:val="24"/>
        </w:rPr>
        <w:t>利用所产生的惠益；西班牙将继续与所有缔约方合作，确保</w:t>
      </w:r>
      <w:r w:rsidR="00200BF9" w:rsidRPr="000C0842">
        <w:rPr>
          <w:rFonts w:eastAsia="SimSun" w:hint="eastAsia"/>
          <w:sz w:val="24"/>
          <w:szCs w:val="24"/>
        </w:rPr>
        <w:t>把</w:t>
      </w:r>
      <w:r w:rsidRPr="000C0842">
        <w:rPr>
          <w:rFonts w:eastAsia="SimSun" w:hint="eastAsia"/>
          <w:sz w:val="24"/>
          <w:szCs w:val="24"/>
        </w:rPr>
        <w:t>多边机制</w:t>
      </w:r>
      <w:r w:rsidR="00200BF9" w:rsidRPr="000C0842">
        <w:rPr>
          <w:rFonts w:eastAsia="SimSun" w:hint="eastAsia"/>
          <w:sz w:val="24"/>
          <w:szCs w:val="24"/>
        </w:rPr>
        <w:t>付诸</w:t>
      </w:r>
      <w:r w:rsidRPr="000C0842">
        <w:rPr>
          <w:rFonts w:eastAsia="SimSun" w:hint="eastAsia"/>
          <w:sz w:val="24"/>
          <w:szCs w:val="24"/>
        </w:rPr>
        <w:t>运作</w:t>
      </w:r>
      <w:r w:rsidR="00200BF9" w:rsidRPr="000C0842">
        <w:rPr>
          <w:rFonts w:eastAsia="SimSun" w:hint="eastAsia"/>
          <w:sz w:val="24"/>
          <w:szCs w:val="24"/>
        </w:rPr>
        <w:t>的</w:t>
      </w:r>
      <w:r w:rsidRPr="000C0842">
        <w:rPr>
          <w:rFonts w:eastAsia="SimSun" w:hint="eastAsia"/>
          <w:sz w:val="24"/>
          <w:szCs w:val="24"/>
        </w:rPr>
        <w:t>模式</w:t>
      </w:r>
      <w:r w:rsidR="00200BF9" w:rsidRPr="000C0842">
        <w:rPr>
          <w:rFonts w:eastAsia="SimSun" w:hint="eastAsia"/>
          <w:sz w:val="24"/>
          <w:szCs w:val="24"/>
        </w:rPr>
        <w:t>既</w:t>
      </w:r>
      <w:r w:rsidRPr="000C0842">
        <w:rPr>
          <w:rFonts w:eastAsia="SimSun" w:hint="eastAsia"/>
          <w:sz w:val="24"/>
          <w:szCs w:val="24"/>
        </w:rPr>
        <w:t>尊重各国对其遗传资源享有的主权权利，</w:t>
      </w:r>
      <w:r w:rsidR="00200BF9" w:rsidRPr="000C0842">
        <w:rPr>
          <w:rFonts w:eastAsia="SimSun" w:hint="eastAsia"/>
          <w:sz w:val="24"/>
          <w:szCs w:val="24"/>
        </w:rPr>
        <w:t>也承认</w:t>
      </w:r>
      <w:r w:rsidRPr="000C0842">
        <w:rPr>
          <w:rFonts w:eastAsia="SimSun" w:hint="eastAsia"/>
          <w:sz w:val="24"/>
          <w:szCs w:val="24"/>
        </w:rPr>
        <w:t>各国在</w:t>
      </w:r>
      <w:r w:rsidR="00200BF9" w:rsidRPr="000C0842">
        <w:rPr>
          <w:rFonts w:eastAsia="SimSun" w:hint="eastAsia"/>
          <w:sz w:val="24"/>
          <w:szCs w:val="24"/>
        </w:rPr>
        <w:t>发展</w:t>
      </w:r>
      <w:r w:rsidRPr="000C0842">
        <w:rPr>
          <w:rFonts w:eastAsia="SimSun" w:hint="eastAsia"/>
          <w:sz w:val="24"/>
          <w:szCs w:val="24"/>
        </w:rPr>
        <w:t>遗传资源数字序列信息方面作出的贡献。</w:t>
      </w:r>
    </w:p>
    <w:p w14:paraId="7B3ABE27" w14:textId="0332DED0" w:rsidR="001136A9" w:rsidRPr="000C0842" w:rsidRDefault="001136A9" w:rsidP="004E5EE5">
      <w:pPr>
        <w:pStyle w:val="a1"/>
        <w:ind w:left="0"/>
        <w:rPr>
          <w:rFonts w:hint="eastAsia"/>
          <w:lang w:eastAsia="zh-CN"/>
        </w:rPr>
      </w:pPr>
      <w:bookmarkStart w:id="155" w:name="_Toc206358247"/>
      <w:r w:rsidRPr="000C0842">
        <w:rPr>
          <w:lang w:eastAsia="zh-CN"/>
        </w:rPr>
        <w:t>项目</w:t>
      </w:r>
      <w:r w:rsidRPr="000C0842">
        <w:rPr>
          <w:lang w:eastAsia="zh-CN"/>
        </w:rPr>
        <w:t>11</w:t>
      </w:r>
      <w:r w:rsidRPr="000C0842">
        <w:rPr>
          <w:lang w:eastAsia="zh-CN"/>
        </w:rPr>
        <w:br/>
      </w:r>
      <w:r w:rsidRPr="000C0842">
        <w:rPr>
          <w:lang w:eastAsia="zh-CN"/>
        </w:rPr>
        <w:t>资源</w:t>
      </w:r>
      <w:bookmarkStart w:id="156" w:name="_Hlk181028934"/>
      <w:r w:rsidRPr="000C0842">
        <w:rPr>
          <w:lang w:eastAsia="zh-CN"/>
        </w:rPr>
        <w:t>调动</w:t>
      </w:r>
      <w:bookmarkEnd w:id="156"/>
      <w:r w:rsidRPr="000C0842">
        <w:rPr>
          <w:lang w:eastAsia="zh-CN"/>
        </w:rPr>
        <w:t>和财务机制</w:t>
      </w:r>
      <w:bookmarkEnd w:id="155"/>
    </w:p>
    <w:p w14:paraId="179DD408" w14:textId="39E72C2D"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pacing w:val="-2"/>
          <w:sz w:val="24"/>
          <w:szCs w:val="24"/>
        </w:rPr>
      </w:pPr>
      <w:r w:rsidRPr="000C0842">
        <w:rPr>
          <w:rFonts w:eastAsia="SimSun"/>
          <w:spacing w:val="-2"/>
          <w:sz w:val="24"/>
          <w:szCs w:val="24"/>
        </w:rPr>
        <w:t>第一工作组第</w:t>
      </w:r>
      <w:r w:rsidR="00BD493D" w:rsidRPr="000C0842">
        <w:rPr>
          <w:rFonts w:eastAsia="SimSun"/>
          <w:spacing w:val="-2"/>
          <w:sz w:val="24"/>
          <w:szCs w:val="24"/>
        </w:rPr>
        <w:t>1</w:t>
      </w:r>
      <w:r w:rsidR="00BD493D" w:rsidRPr="000C0842">
        <w:rPr>
          <w:rFonts w:eastAsia="SimSun"/>
          <w:spacing w:val="-2"/>
          <w:sz w:val="24"/>
          <w:szCs w:val="24"/>
        </w:rPr>
        <w:t>场</w:t>
      </w:r>
      <w:r w:rsidRPr="000C0842">
        <w:rPr>
          <w:rFonts w:eastAsia="SimSun"/>
          <w:spacing w:val="-2"/>
          <w:sz w:val="24"/>
          <w:szCs w:val="24"/>
        </w:rPr>
        <w:t>会议审议了议程项目</w:t>
      </w:r>
      <w:r w:rsidRPr="000C0842">
        <w:rPr>
          <w:rFonts w:eastAsia="SimSun"/>
          <w:spacing w:val="-2"/>
          <w:sz w:val="24"/>
          <w:szCs w:val="24"/>
        </w:rPr>
        <w:t>11</w:t>
      </w:r>
      <w:r w:rsidRPr="000C0842">
        <w:rPr>
          <w:rFonts w:eastAsia="SimSun"/>
          <w:spacing w:val="-2"/>
          <w:sz w:val="24"/>
          <w:szCs w:val="24"/>
        </w:rPr>
        <w:t>。工作组</w:t>
      </w:r>
      <w:r w:rsidR="008B3463" w:rsidRPr="000C0842">
        <w:rPr>
          <w:rFonts w:eastAsia="SimSun"/>
          <w:spacing w:val="-2"/>
          <w:sz w:val="24"/>
          <w:szCs w:val="24"/>
        </w:rPr>
        <w:t>收到</w:t>
      </w:r>
      <w:r w:rsidRPr="000C0842">
        <w:rPr>
          <w:rFonts w:eastAsia="SimSun"/>
          <w:spacing w:val="-2"/>
          <w:sz w:val="24"/>
          <w:szCs w:val="24"/>
        </w:rPr>
        <w:t>两份决定草案，一份关于资源调动，另一份关于财务机制</w:t>
      </w:r>
      <w:r w:rsidR="00FA29B3" w:rsidRPr="000C0842">
        <w:rPr>
          <w:rStyle w:val="FootnoteReference"/>
          <w:rFonts w:eastAsia="SimSun"/>
          <w:sz w:val="24"/>
        </w:rPr>
        <w:footnoteReference w:id="557"/>
      </w:r>
      <w:r w:rsidR="00E02803" w:rsidRPr="000C0842">
        <w:rPr>
          <w:rFonts w:eastAsia="SimSun" w:hint="eastAsia"/>
          <w:spacing w:val="-2"/>
          <w:sz w:val="24"/>
          <w:szCs w:val="24"/>
        </w:rPr>
        <w:t>。</w:t>
      </w:r>
      <w:r w:rsidRPr="000C0842">
        <w:rPr>
          <w:rFonts w:eastAsia="SimSun"/>
          <w:spacing w:val="-2"/>
          <w:sz w:val="24"/>
          <w:szCs w:val="24"/>
        </w:rPr>
        <w:t>工作组面前还有秘书处关于以下各文件的说明：资源调动咨询委员会关于收取和分发第</w:t>
      </w:r>
      <w:hyperlink r:id="rId383" w:history="1">
        <w:r w:rsidRPr="000C0842">
          <w:rPr>
            <w:rStyle w:val="Hyperlink"/>
            <w:rFonts w:eastAsia="SimSun"/>
            <w:color w:val="auto"/>
            <w:spacing w:val="-2"/>
            <w:sz w:val="24"/>
            <w:szCs w:val="24"/>
          </w:rPr>
          <w:t>15/9</w:t>
        </w:r>
      </w:hyperlink>
      <w:r w:rsidRPr="000C0842">
        <w:rPr>
          <w:rFonts w:eastAsia="SimSun"/>
          <w:spacing w:val="-2"/>
          <w:sz w:val="24"/>
          <w:szCs w:val="24"/>
        </w:rPr>
        <w:t>号决定建立的机制所产生收入的适当实体的建议</w:t>
      </w:r>
      <w:r w:rsidR="00FA29B3" w:rsidRPr="000C0842">
        <w:rPr>
          <w:rFonts w:eastAsia="SimSun"/>
          <w:spacing w:val="-2"/>
          <w:sz w:val="24"/>
          <w:szCs w:val="24"/>
          <w:vertAlign w:val="superscript"/>
        </w:rPr>
        <w:footnoteReference w:id="558"/>
      </w:r>
      <w:r w:rsidR="00E02803" w:rsidRPr="000C0842">
        <w:rPr>
          <w:rFonts w:eastAsia="SimSun" w:hint="eastAsia"/>
          <w:spacing w:val="-2"/>
          <w:sz w:val="24"/>
          <w:szCs w:val="24"/>
        </w:rPr>
        <w:t>、</w:t>
      </w:r>
      <w:r w:rsidRPr="000C0842">
        <w:rPr>
          <w:rFonts w:eastAsia="SimSun"/>
          <w:spacing w:val="-2"/>
          <w:sz w:val="24"/>
          <w:szCs w:val="24"/>
        </w:rPr>
        <w:t>财务机制</w:t>
      </w:r>
      <w:r w:rsidR="00FA29B3" w:rsidRPr="000C0842">
        <w:rPr>
          <w:rFonts w:eastAsia="SimSun"/>
          <w:spacing w:val="-2"/>
          <w:sz w:val="24"/>
          <w:szCs w:val="24"/>
          <w:vertAlign w:val="superscript"/>
        </w:rPr>
        <w:footnoteReference w:id="559"/>
      </w:r>
      <w:r w:rsidR="00E02803" w:rsidRPr="000C0842">
        <w:rPr>
          <w:rFonts w:eastAsia="SimSun" w:hint="eastAsia"/>
          <w:spacing w:val="-2"/>
          <w:sz w:val="24"/>
          <w:szCs w:val="24"/>
        </w:rPr>
        <w:t>、</w:t>
      </w:r>
      <w:r w:rsidR="00532F88" w:rsidRPr="000C0842">
        <w:rPr>
          <w:rFonts w:eastAsia="SimSun" w:hint="eastAsia"/>
          <w:spacing w:val="-2"/>
          <w:sz w:val="24"/>
          <w:szCs w:val="24"/>
        </w:rPr>
        <w:t>经合并的先前</w:t>
      </w:r>
      <w:r w:rsidRPr="000C0842">
        <w:rPr>
          <w:rFonts w:eastAsia="SimSun"/>
          <w:spacing w:val="-2"/>
          <w:sz w:val="24"/>
          <w:szCs w:val="24"/>
        </w:rPr>
        <w:t>对全球环境基金（全环基金）的指导意见</w:t>
      </w:r>
      <w:r w:rsidR="00FA29B3" w:rsidRPr="000C0842">
        <w:rPr>
          <w:rFonts w:eastAsia="SimSun"/>
          <w:spacing w:val="-2"/>
          <w:sz w:val="24"/>
          <w:szCs w:val="24"/>
          <w:vertAlign w:val="superscript"/>
        </w:rPr>
        <w:footnoteReference w:id="560"/>
      </w:r>
      <w:r w:rsidR="00E02803" w:rsidRPr="000C0842">
        <w:rPr>
          <w:rFonts w:eastAsia="SimSun" w:hint="eastAsia"/>
          <w:spacing w:val="-2"/>
          <w:sz w:val="24"/>
          <w:szCs w:val="24"/>
        </w:rPr>
        <w:t>、</w:t>
      </w:r>
      <w:r w:rsidR="00532F88" w:rsidRPr="000C0842">
        <w:rPr>
          <w:rFonts w:eastAsia="SimSun"/>
          <w:spacing w:val="-2"/>
          <w:sz w:val="24"/>
          <w:szCs w:val="24"/>
        </w:rPr>
        <w:t>供编制全球环境基金信托基金第九增资期成果导向四年期方案重点框架时考虑</w:t>
      </w:r>
      <w:r w:rsidR="00532F88" w:rsidRPr="000C0842">
        <w:rPr>
          <w:rFonts w:eastAsia="SimSun" w:hint="eastAsia"/>
          <w:spacing w:val="-2"/>
          <w:sz w:val="24"/>
          <w:szCs w:val="24"/>
        </w:rPr>
        <w:t>的</w:t>
      </w:r>
      <w:r w:rsidRPr="000C0842">
        <w:rPr>
          <w:rFonts w:eastAsia="SimSun"/>
          <w:spacing w:val="-2"/>
          <w:sz w:val="24"/>
          <w:szCs w:val="24"/>
        </w:rPr>
        <w:t>《保护野生动物迁徙物种公约》的优先事项建议要素</w:t>
      </w:r>
      <w:r w:rsidR="00FA29B3" w:rsidRPr="000C0842">
        <w:rPr>
          <w:rFonts w:eastAsia="SimSun"/>
          <w:spacing w:val="-2"/>
          <w:sz w:val="24"/>
          <w:szCs w:val="24"/>
          <w:vertAlign w:val="superscript"/>
        </w:rPr>
        <w:footnoteReference w:id="561"/>
      </w:r>
      <w:r w:rsidR="00E02803" w:rsidRPr="000C0842">
        <w:rPr>
          <w:rFonts w:eastAsia="SimSun" w:hint="eastAsia"/>
          <w:spacing w:val="-2"/>
          <w:sz w:val="24"/>
          <w:szCs w:val="24"/>
        </w:rPr>
        <w:t>、</w:t>
      </w:r>
      <w:r w:rsidRPr="000C0842">
        <w:rPr>
          <w:rFonts w:eastAsia="SimSun"/>
          <w:spacing w:val="-2"/>
          <w:sz w:val="24"/>
          <w:szCs w:val="24"/>
        </w:rPr>
        <w:t>财务机制成效第六次审查报告</w:t>
      </w:r>
      <w:r w:rsidRPr="000C0842">
        <w:rPr>
          <w:rFonts w:eastAsia="SimSun"/>
          <w:spacing w:val="-2"/>
          <w:sz w:val="24"/>
          <w:szCs w:val="24"/>
          <w:vertAlign w:val="superscript"/>
        </w:rPr>
        <w:footnoteReference w:id="562"/>
      </w:r>
      <w:r w:rsidR="00FA29B3" w:rsidRPr="000C0842">
        <w:rPr>
          <w:rFonts w:eastAsia="SimSun" w:hint="eastAsia"/>
          <w:spacing w:val="-2"/>
          <w:sz w:val="24"/>
          <w:szCs w:val="24"/>
        </w:rPr>
        <w:t xml:space="preserve"> </w:t>
      </w:r>
      <w:r w:rsidR="00532F88" w:rsidRPr="000C0842">
        <w:rPr>
          <w:rFonts w:eastAsia="SimSun" w:hint="eastAsia"/>
          <w:spacing w:val="-2"/>
          <w:sz w:val="24"/>
          <w:szCs w:val="24"/>
        </w:rPr>
        <w:t>、</w:t>
      </w:r>
      <w:r w:rsidRPr="000C0842">
        <w:rPr>
          <w:rFonts w:eastAsia="SimSun"/>
          <w:spacing w:val="-2"/>
          <w:sz w:val="24"/>
          <w:szCs w:val="24"/>
        </w:rPr>
        <w:t>全环基金理事会提交公约缔约方大会第十六届会议的报告</w:t>
      </w:r>
      <w:r w:rsidR="00972E98" w:rsidRPr="000C0842">
        <w:rPr>
          <w:rFonts w:eastAsia="SimSun"/>
          <w:spacing w:val="-2"/>
          <w:sz w:val="24"/>
          <w:szCs w:val="24"/>
          <w:vertAlign w:val="superscript"/>
        </w:rPr>
        <w:footnoteReference w:id="563"/>
      </w:r>
      <w:r w:rsidR="00E02803" w:rsidRPr="000C0842">
        <w:rPr>
          <w:rFonts w:eastAsia="SimSun" w:hint="eastAsia"/>
          <w:spacing w:val="-2"/>
        </w:rPr>
        <w:t>。</w:t>
      </w:r>
      <w:r w:rsidRPr="000C0842">
        <w:rPr>
          <w:rFonts w:eastAsia="SimSun"/>
          <w:spacing w:val="-2"/>
          <w:sz w:val="24"/>
          <w:szCs w:val="24"/>
        </w:rPr>
        <w:t>此外还印发了与项目</w:t>
      </w:r>
      <w:r w:rsidRPr="000C0842">
        <w:rPr>
          <w:rFonts w:eastAsia="SimSun"/>
          <w:spacing w:val="-2"/>
          <w:sz w:val="24"/>
          <w:szCs w:val="24"/>
        </w:rPr>
        <w:t>11</w:t>
      </w:r>
      <w:r w:rsidRPr="000C0842">
        <w:rPr>
          <w:rFonts w:eastAsia="SimSun"/>
          <w:spacing w:val="-2"/>
          <w:sz w:val="24"/>
          <w:szCs w:val="24"/>
        </w:rPr>
        <w:t>有关的</w:t>
      </w:r>
      <w:r w:rsidR="00831BAE" w:rsidRPr="000C0842">
        <w:rPr>
          <w:rFonts w:eastAsia="SimSun"/>
          <w:spacing w:val="-2"/>
          <w:sz w:val="24"/>
          <w:szCs w:val="24"/>
        </w:rPr>
        <w:t>以下</w:t>
      </w:r>
      <w:r w:rsidRPr="000C0842">
        <w:rPr>
          <w:rFonts w:eastAsia="SimSun"/>
          <w:spacing w:val="-2"/>
          <w:sz w:val="24"/>
          <w:szCs w:val="24"/>
        </w:rPr>
        <w:t>信息文件</w:t>
      </w:r>
      <w:r w:rsidR="00831BAE" w:rsidRPr="000C0842">
        <w:rPr>
          <w:rFonts w:eastAsia="SimSun"/>
          <w:spacing w:val="-2"/>
          <w:sz w:val="24"/>
          <w:szCs w:val="24"/>
        </w:rPr>
        <w:t>：</w:t>
      </w:r>
      <w:r w:rsidRPr="000C0842">
        <w:rPr>
          <w:rFonts w:eastAsia="SimSun"/>
          <w:spacing w:val="-2"/>
          <w:sz w:val="24"/>
          <w:szCs w:val="24"/>
        </w:rPr>
        <w:t>多民族玻利维亚国就</w:t>
      </w:r>
      <w:r w:rsidR="00831BAE" w:rsidRPr="000C0842">
        <w:rPr>
          <w:rFonts w:eastAsia="SimSun"/>
          <w:spacing w:val="-2"/>
          <w:sz w:val="24"/>
          <w:szCs w:val="24"/>
        </w:rPr>
        <w:t>《昆蒙</w:t>
      </w:r>
      <w:r w:rsidRPr="000C0842">
        <w:rPr>
          <w:rFonts w:eastAsia="SimSun"/>
          <w:spacing w:val="-2"/>
          <w:sz w:val="24"/>
          <w:szCs w:val="24"/>
        </w:rPr>
        <w:t>框架</w:t>
      </w:r>
      <w:r w:rsidR="00831BAE" w:rsidRPr="000C0842">
        <w:rPr>
          <w:rFonts w:eastAsia="SimSun"/>
          <w:spacing w:val="-2"/>
          <w:sz w:val="24"/>
          <w:szCs w:val="24"/>
        </w:rPr>
        <w:t>》</w:t>
      </w:r>
      <w:r w:rsidRPr="000C0842">
        <w:rPr>
          <w:rFonts w:eastAsia="SimSun"/>
          <w:spacing w:val="-2"/>
          <w:sz w:val="24"/>
          <w:szCs w:val="24"/>
        </w:rPr>
        <w:t>的行动目标</w:t>
      </w:r>
      <w:r w:rsidRPr="000C0842">
        <w:rPr>
          <w:rFonts w:eastAsia="SimSun"/>
          <w:spacing w:val="-2"/>
          <w:sz w:val="24"/>
          <w:szCs w:val="24"/>
        </w:rPr>
        <w:t>19(f)</w:t>
      </w:r>
      <w:r w:rsidRPr="000C0842">
        <w:rPr>
          <w:rFonts w:eastAsia="SimSun"/>
          <w:spacing w:val="-2"/>
          <w:sz w:val="24"/>
          <w:szCs w:val="24"/>
        </w:rPr>
        <w:t>提交的文件</w:t>
      </w:r>
      <w:r w:rsidR="00FA29B3" w:rsidRPr="000C0842">
        <w:rPr>
          <w:rFonts w:eastAsia="SimSun"/>
          <w:spacing w:val="-2"/>
          <w:sz w:val="24"/>
          <w:szCs w:val="24"/>
          <w:vertAlign w:val="superscript"/>
        </w:rPr>
        <w:footnoteReference w:id="564"/>
      </w:r>
      <w:r w:rsidR="00E02803" w:rsidRPr="000C0842">
        <w:rPr>
          <w:rFonts w:eastAsia="SimSun" w:hint="eastAsia"/>
          <w:spacing w:val="-2"/>
          <w:sz w:val="24"/>
          <w:szCs w:val="24"/>
        </w:rPr>
        <w:t>、</w:t>
      </w:r>
      <w:r w:rsidRPr="000C0842">
        <w:rPr>
          <w:rFonts w:eastAsia="SimSun"/>
          <w:spacing w:val="-2"/>
          <w:sz w:val="24"/>
          <w:szCs w:val="24"/>
        </w:rPr>
        <w:t>关于第六次财务机制成效四年度审查的报告</w:t>
      </w:r>
      <w:r w:rsidR="00FA29B3" w:rsidRPr="000C0842">
        <w:rPr>
          <w:rFonts w:eastAsia="SimSun"/>
          <w:spacing w:val="-2"/>
          <w:sz w:val="24"/>
          <w:szCs w:val="24"/>
          <w:vertAlign w:val="superscript"/>
        </w:rPr>
        <w:footnoteReference w:id="565"/>
      </w:r>
      <w:r w:rsidR="00E02803" w:rsidRPr="000C0842">
        <w:rPr>
          <w:rFonts w:eastAsia="SimSun" w:hint="eastAsia"/>
          <w:spacing w:val="-2"/>
          <w:sz w:val="24"/>
          <w:szCs w:val="24"/>
        </w:rPr>
        <w:t>、</w:t>
      </w:r>
      <w:r w:rsidRPr="000C0842">
        <w:rPr>
          <w:rFonts w:eastAsia="SimSun"/>
          <w:spacing w:val="-2"/>
          <w:sz w:val="24"/>
          <w:szCs w:val="24"/>
        </w:rPr>
        <w:t>《</w:t>
      </w:r>
      <w:r w:rsidR="00831BAE" w:rsidRPr="000C0842">
        <w:rPr>
          <w:rFonts w:eastAsia="SimSun"/>
          <w:spacing w:val="-2"/>
          <w:sz w:val="24"/>
          <w:szCs w:val="24"/>
        </w:rPr>
        <w:t>移徙</w:t>
      </w:r>
      <w:r w:rsidRPr="000C0842">
        <w:rPr>
          <w:rFonts w:eastAsia="SimSun"/>
          <w:spacing w:val="-2"/>
          <w:sz w:val="24"/>
          <w:szCs w:val="24"/>
        </w:rPr>
        <w:t>物种公约》常设委员会</w:t>
      </w:r>
      <w:r w:rsidR="00831BAE" w:rsidRPr="000C0842">
        <w:rPr>
          <w:rFonts w:eastAsia="SimSun"/>
          <w:spacing w:val="-2"/>
          <w:sz w:val="24"/>
          <w:szCs w:val="24"/>
        </w:rPr>
        <w:t>关于</w:t>
      </w:r>
      <w:r w:rsidRPr="000C0842">
        <w:rPr>
          <w:rFonts w:eastAsia="SimSun"/>
          <w:spacing w:val="-2"/>
          <w:sz w:val="24"/>
          <w:szCs w:val="24"/>
        </w:rPr>
        <w:t>为制定全环基金信托基金第九次增资期成果导向四年期方案重点框架而就《</w:t>
      </w:r>
      <w:r w:rsidR="00831BAE" w:rsidRPr="000C0842">
        <w:rPr>
          <w:rFonts w:eastAsia="SimSun"/>
          <w:spacing w:val="-2"/>
          <w:sz w:val="24"/>
          <w:szCs w:val="24"/>
        </w:rPr>
        <w:t>移</w:t>
      </w:r>
      <w:r w:rsidRPr="000C0842">
        <w:rPr>
          <w:rFonts w:eastAsia="SimSun"/>
          <w:spacing w:val="-2"/>
          <w:sz w:val="24"/>
          <w:szCs w:val="24"/>
        </w:rPr>
        <w:t>徙物种公约》国家重点领域供资建议要点</w:t>
      </w:r>
      <w:r w:rsidR="00831BAE" w:rsidRPr="000C0842">
        <w:rPr>
          <w:rFonts w:eastAsia="SimSun"/>
          <w:spacing w:val="-2"/>
          <w:sz w:val="24"/>
          <w:szCs w:val="24"/>
        </w:rPr>
        <w:t>的一项决议</w:t>
      </w:r>
      <w:r w:rsidR="00FA29B3" w:rsidRPr="000C0842">
        <w:rPr>
          <w:rFonts w:eastAsia="SimSun"/>
          <w:spacing w:val="-2"/>
          <w:sz w:val="24"/>
          <w:szCs w:val="24"/>
          <w:vertAlign w:val="superscript"/>
        </w:rPr>
        <w:footnoteReference w:id="566"/>
      </w:r>
      <w:r w:rsidR="00E02803" w:rsidRPr="000C0842">
        <w:rPr>
          <w:rFonts w:eastAsia="SimSun" w:hint="eastAsia"/>
          <w:spacing w:val="-2"/>
        </w:rPr>
        <w:t>，</w:t>
      </w:r>
      <w:r w:rsidRPr="000C0842">
        <w:rPr>
          <w:rFonts w:eastAsia="SimSun"/>
          <w:spacing w:val="-2"/>
          <w:sz w:val="24"/>
          <w:szCs w:val="24"/>
        </w:rPr>
        <w:t>以及一份关于探索生物多样性融资前景的说明</w:t>
      </w:r>
      <w:r w:rsidR="00FA29B3" w:rsidRPr="000C0842">
        <w:rPr>
          <w:rFonts w:eastAsia="SimSun"/>
          <w:spacing w:val="-2"/>
          <w:vertAlign w:val="superscript"/>
        </w:rPr>
        <w:footnoteReference w:id="567"/>
      </w:r>
      <w:r w:rsidR="00E02803" w:rsidRPr="000C0842">
        <w:rPr>
          <w:rFonts w:eastAsia="SimSun" w:hint="eastAsia"/>
          <w:spacing w:val="-2"/>
          <w:sz w:val="24"/>
          <w:szCs w:val="24"/>
        </w:rPr>
        <w:t>。</w:t>
      </w:r>
    </w:p>
    <w:p w14:paraId="1CDC061C" w14:textId="05FF8F2D" w:rsidR="001136A9" w:rsidRPr="000C0842" w:rsidRDefault="001136A9" w:rsidP="001136A9">
      <w:pPr>
        <w:keepNext/>
        <w:tabs>
          <w:tab w:val="clear" w:pos="567"/>
          <w:tab w:val="clear" w:pos="1134"/>
          <w:tab w:val="clear" w:pos="1701"/>
          <w:tab w:val="clear" w:pos="2268"/>
        </w:tabs>
        <w:spacing w:after="120"/>
        <w:ind w:left="490"/>
        <w:rPr>
          <w:rFonts w:eastAsia="SimSun"/>
          <w:sz w:val="24"/>
          <w:szCs w:val="24"/>
        </w:rPr>
      </w:pPr>
      <w:r w:rsidRPr="000C0842">
        <w:rPr>
          <w:rFonts w:eastAsia="KaiTi"/>
          <w:sz w:val="24"/>
          <w:szCs w:val="24"/>
        </w:rPr>
        <w:t>资源调动</w:t>
      </w:r>
    </w:p>
    <w:p w14:paraId="3FE3136C" w14:textId="7D7C2E92" w:rsidR="001136A9"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代表发</w:t>
      </w:r>
      <w:r w:rsidR="00831BAE" w:rsidRPr="000C0842">
        <w:rPr>
          <w:rFonts w:eastAsia="SimSun"/>
          <w:sz w:val="24"/>
          <w:szCs w:val="24"/>
        </w:rPr>
        <w:t>了</w:t>
      </w:r>
      <w:r w:rsidR="001136A9" w:rsidRPr="000C0842">
        <w:rPr>
          <w:rFonts w:eastAsia="SimSun"/>
          <w:sz w:val="24"/>
          <w:szCs w:val="24"/>
        </w:rPr>
        <w:t>言：阿根廷、多民族玻利维亚国、巴西、哥伦比亚、刚果民主共和国、埃及、欧洲联盟及其成员国、约旦、马拉维、尼日利亚、俄罗斯联邦、乌干达</w:t>
      </w:r>
      <w:r w:rsidR="0036771E" w:rsidRPr="000C0842">
        <w:rPr>
          <w:rFonts w:eastAsia="SimSun" w:hint="eastAsia"/>
          <w:sz w:val="24"/>
          <w:szCs w:val="24"/>
        </w:rPr>
        <w:t>、</w:t>
      </w:r>
      <w:r w:rsidR="001136A9" w:rsidRPr="000C0842">
        <w:rPr>
          <w:rFonts w:eastAsia="SimSun"/>
          <w:sz w:val="24"/>
          <w:szCs w:val="24"/>
        </w:rPr>
        <w:t>津巴布韦（代表非洲国家）。</w:t>
      </w:r>
    </w:p>
    <w:p w14:paraId="056CF95E" w14:textId="59F08D07"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第一工作组商定设立一个联络小组，由</w:t>
      </w:r>
      <w:r w:rsidRPr="000C0842">
        <w:rPr>
          <w:rFonts w:eastAsia="SimSun"/>
          <w:sz w:val="24"/>
          <w:szCs w:val="24"/>
        </w:rPr>
        <w:t>Patrick Luna</w:t>
      </w:r>
      <w:r w:rsidRPr="000C0842">
        <w:rPr>
          <w:rFonts w:eastAsia="SimSun"/>
          <w:sz w:val="24"/>
          <w:szCs w:val="24"/>
        </w:rPr>
        <w:t>（巴西）和</w:t>
      </w:r>
      <w:r w:rsidRPr="000C0842">
        <w:rPr>
          <w:rFonts w:eastAsia="SimSun"/>
          <w:sz w:val="24"/>
          <w:szCs w:val="24"/>
        </w:rPr>
        <w:t>Ines Verleye</w:t>
      </w:r>
      <w:r w:rsidRPr="000C0842">
        <w:rPr>
          <w:rFonts w:eastAsia="SimSun"/>
          <w:sz w:val="24"/>
          <w:szCs w:val="24"/>
        </w:rPr>
        <w:t>（比利时）担任共同主席，负责以</w:t>
      </w:r>
      <w:hyperlink r:id="rId384" w:history="1">
        <w:r w:rsidRPr="000C0842">
          <w:rPr>
            <w:rStyle w:val="Hyperlink"/>
            <w:rFonts w:eastAsia="SimSun"/>
            <w:color w:val="auto"/>
            <w:sz w:val="24"/>
            <w:szCs w:val="24"/>
          </w:rPr>
          <w:t>CBD/COP/16/2/Rev.1</w:t>
        </w:r>
      </w:hyperlink>
      <w:r w:rsidRPr="000C0842">
        <w:rPr>
          <w:rFonts w:eastAsia="SimSun"/>
          <w:sz w:val="24"/>
          <w:szCs w:val="24"/>
        </w:rPr>
        <w:t>号文件所载关于资源调动的决定草案为工作基础，同时考虑到多民族玻利维亚国就</w:t>
      </w:r>
      <w:r w:rsidR="008A14E5" w:rsidRPr="000C0842">
        <w:rPr>
          <w:rFonts w:eastAsia="SimSun" w:hint="eastAsia"/>
          <w:sz w:val="24"/>
          <w:szCs w:val="24"/>
        </w:rPr>
        <w:t>《昆蒙</w:t>
      </w:r>
      <w:r w:rsidRPr="000C0842">
        <w:rPr>
          <w:rFonts w:eastAsia="SimSun"/>
          <w:sz w:val="24"/>
          <w:szCs w:val="24"/>
        </w:rPr>
        <w:t>框架</w:t>
      </w:r>
      <w:r w:rsidR="008A14E5" w:rsidRPr="000C0842">
        <w:rPr>
          <w:rFonts w:eastAsia="SimSun" w:hint="eastAsia"/>
          <w:sz w:val="24"/>
          <w:szCs w:val="24"/>
        </w:rPr>
        <w:t>》</w:t>
      </w:r>
      <w:r w:rsidRPr="000C0842">
        <w:rPr>
          <w:rFonts w:eastAsia="SimSun"/>
          <w:sz w:val="24"/>
          <w:szCs w:val="24"/>
        </w:rPr>
        <w:t>的行动目标</w:t>
      </w:r>
      <w:r w:rsidRPr="000C0842">
        <w:rPr>
          <w:rFonts w:eastAsia="SimSun"/>
          <w:sz w:val="24"/>
          <w:szCs w:val="24"/>
        </w:rPr>
        <w:t>19(f)</w:t>
      </w:r>
      <w:r w:rsidRPr="000C0842">
        <w:rPr>
          <w:rFonts w:eastAsia="SimSun"/>
          <w:sz w:val="24"/>
          <w:szCs w:val="24"/>
        </w:rPr>
        <w:t>提交的材料，拟定一份订正决定草案。</w:t>
      </w:r>
    </w:p>
    <w:p w14:paraId="40A74A8A" w14:textId="46B11B77" w:rsidR="001136A9" w:rsidRPr="000C0842"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第一工作组第</w:t>
      </w:r>
      <w:r w:rsidR="00C9367D" w:rsidRPr="000C0842">
        <w:rPr>
          <w:rFonts w:eastAsia="SimSun"/>
          <w:sz w:val="24"/>
          <w:szCs w:val="24"/>
        </w:rPr>
        <w:t>6</w:t>
      </w:r>
      <w:r w:rsidR="00C9367D" w:rsidRPr="000C0842">
        <w:rPr>
          <w:rFonts w:eastAsia="SimSun"/>
          <w:sz w:val="24"/>
          <w:szCs w:val="24"/>
        </w:rPr>
        <w:t>场</w:t>
      </w:r>
      <w:r w:rsidRPr="000C0842">
        <w:rPr>
          <w:rFonts w:eastAsia="SimSun"/>
          <w:sz w:val="24"/>
          <w:szCs w:val="24"/>
        </w:rPr>
        <w:t>会议商定，联络小组的讨论结果</w:t>
      </w:r>
      <w:r w:rsidR="001915AB" w:rsidRPr="000C0842">
        <w:rPr>
          <w:rFonts w:eastAsia="SimSun" w:hint="eastAsia"/>
          <w:sz w:val="24"/>
          <w:szCs w:val="24"/>
        </w:rPr>
        <w:t>将纳入主席</w:t>
      </w:r>
      <w:r w:rsidR="00DD5890" w:rsidRPr="000C0842">
        <w:rPr>
          <w:rFonts w:eastAsia="SimSun" w:hint="eastAsia"/>
          <w:sz w:val="24"/>
          <w:szCs w:val="24"/>
        </w:rPr>
        <w:t>拟定</w:t>
      </w:r>
      <w:r w:rsidR="001915AB" w:rsidRPr="000C0842">
        <w:rPr>
          <w:rFonts w:eastAsia="SimSun" w:hint="eastAsia"/>
          <w:sz w:val="24"/>
          <w:szCs w:val="24"/>
        </w:rPr>
        <w:t>的案文，</w:t>
      </w:r>
      <w:r w:rsidRPr="000C0842">
        <w:rPr>
          <w:rFonts w:eastAsia="SimSun"/>
          <w:sz w:val="24"/>
          <w:szCs w:val="24"/>
        </w:rPr>
        <w:t>作为</w:t>
      </w:r>
      <w:hyperlink r:id="rId385" w:history="1">
        <w:r w:rsidR="00831BAE" w:rsidRPr="000C0842">
          <w:rPr>
            <w:rStyle w:val="Hyperlink"/>
            <w:rFonts w:eastAsia="SimSun"/>
            <w:color w:val="auto"/>
            <w:sz w:val="24"/>
            <w:szCs w:val="24"/>
          </w:rPr>
          <w:t>CBD/COP/16/L.34</w:t>
        </w:r>
      </w:hyperlink>
      <w:r w:rsidR="00FC2FC8"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审议。</w:t>
      </w:r>
    </w:p>
    <w:p w14:paraId="12FB147B" w14:textId="566A1568" w:rsidR="000D3DFA" w:rsidRPr="000C0842" w:rsidRDefault="000D3DFA"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缔约方大会</w:t>
      </w:r>
      <w:r w:rsidR="004A0010" w:rsidRPr="000C0842">
        <w:rPr>
          <w:rFonts w:eastAsia="SimSun"/>
          <w:sz w:val="24"/>
          <w:szCs w:val="24"/>
        </w:rPr>
        <w:t>第</w:t>
      </w:r>
      <w:r w:rsidR="004A0010" w:rsidRPr="000C0842">
        <w:rPr>
          <w:rFonts w:eastAsia="SimSun"/>
          <w:sz w:val="24"/>
          <w:szCs w:val="24"/>
        </w:rPr>
        <w:t>5</w:t>
      </w:r>
      <w:r w:rsidR="004A0010" w:rsidRPr="000C0842">
        <w:rPr>
          <w:rFonts w:eastAsia="SimSun"/>
          <w:sz w:val="24"/>
          <w:szCs w:val="24"/>
        </w:rPr>
        <w:t>场全体会议</w:t>
      </w:r>
      <w:r w:rsidRPr="000C0842">
        <w:rPr>
          <w:rFonts w:eastAsia="SimSun"/>
          <w:sz w:val="24"/>
          <w:szCs w:val="24"/>
        </w:rPr>
        <w:t>开始审议主席提交的</w:t>
      </w:r>
      <w:hyperlink r:id="rId386" w:history="1">
        <w:r w:rsidRPr="000C0842">
          <w:rPr>
            <w:rStyle w:val="Hyperlink"/>
            <w:rFonts w:eastAsia="SimSun"/>
            <w:color w:val="auto"/>
            <w:sz w:val="24"/>
            <w:szCs w:val="24"/>
          </w:rPr>
          <w:t>CBD/COP/16/L.34</w:t>
        </w:r>
      </w:hyperlink>
      <w:r w:rsidR="00FC2FC8" w:rsidRPr="000C0842">
        <w:rPr>
          <w:rFonts w:eastAsia="SimSun"/>
          <w:sz w:val="24"/>
          <w:szCs w:val="24"/>
        </w:rPr>
        <w:t>号决定草案</w:t>
      </w:r>
      <w:r w:rsidRPr="000C0842">
        <w:rPr>
          <w:rFonts w:eastAsia="SimSun"/>
          <w:sz w:val="24"/>
          <w:szCs w:val="24"/>
        </w:rPr>
        <w:t>。</w:t>
      </w:r>
    </w:p>
    <w:p w14:paraId="2DB14159" w14:textId="31B06756" w:rsidR="000D3DFA" w:rsidRPr="000C0842" w:rsidRDefault="00EE28F8"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0D3DFA" w:rsidRPr="000C0842">
        <w:rPr>
          <w:rFonts w:eastAsia="SimSun"/>
          <w:sz w:val="24"/>
          <w:szCs w:val="24"/>
        </w:rPr>
        <w:t>的代表</w:t>
      </w:r>
      <w:r w:rsidR="00E459D5" w:rsidRPr="000C0842">
        <w:rPr>
          <w:rFonts w:eastAsia="SimSun"/>
          <w:sz w:val="24"/>
          <w:szCs w:val="24"/>
        </w:rPr>
        <w:t>发了言</w:t>
      </w:r>
      <w:r w:rsidR="000D3DFA" w:rsidRPr="000C0842">
        <w:rPr>
          <w:rFonts w:eastAsia="SimSun"/>
          <w:sz w:val="24"/>
          <w:szCs w:val="24"/>
        </w:rPr>
        <w:t>：澳大利亚、多民族玻利维亚国、巴西、加拿大、埃及、欧洲联盟及其成员国、斐济、日本、新西兰、挪威、</w:t>
      </w:r>
      <w:r w:rsidR="008E2E3C" w:rsidRPr="000C0842">
        <w:rPr>
          <w:rFonts w:eastAsia="SimSun" w:hint="eastAsia"/>
          <w:sz w:val="24"/>
          <w:szCs w:val="24"/>
        </w:rPr>
        <w:t>巴拿马、</w:t>
      </w:r>
      <w:r w:rsidR="000D3DFA" w:rsidRPr="000C0842">
        <w:rPr>
          <w:rFonts w:eastAsia="SimSun"/>
          <w:sz w:val="24"/>
          <w:szCs w:val="24"/>
        </w:rPr>
        <w:t>南非</w:t>
      </w:r>
      <w:r w:rsidR="00DD5890" w:rsidRPr="000C0842">
        <w:rPr>
          <w:rFonts w:eastAsia="SimSun" w:hint="eastAsia"/>
          <w:sz w:val="24"/>
          <w:szCs w:val="24"/>
        </w:rPr>
        <w:t>（</w:t>
      </w:r>
      <w:r w:rsidR="000D3DFA" w:rsidRPr="000C0842">
        <w:rPr>
          <w:rFonts w:eastAsia="SimSun"/>
          <w:sz w:val="24"/>
          <w:szCs w:val="24"/>
        </w:rPr>
        <w:t>代表非洲国家</w:t>
      </w:r>
      <w:r w:rsidR="00DD5890" w:rsidRPr="000C0842">
        <w:rPr>
          <w:rFonts w:eastAsia="SimSun" w:hint="eastAsia"/>
          <w:sz w:val="24"/>
          <w:szCs w:val="24"/>
        </w:rPr>
        <w:t>）</w:t>
      </w:r>
      <w:r w:rsidR="000D3DFA" w:rsidRPr="000C0842">
        <w:rPr>
          <w:rFonts w:eastAsia="SimSun"/>
          <w:sz w:val="24"/>
          <w:szCs w:val="24"/>
        </w:rPr>
        <w:t>、瑞士、坦桑尼亚联合共和国、赞比亚</w:t>
      </w:r>
      <w:r w:rsidR="0036771E" w:rsidRPr="000C0842">
        <w:rPr>
          <w:rFonts w:eastAsia="SimSun" w:hint="eastAsia"/>
          <w:sz w:val="24"/>
          <w:szCs w:val="24"/>
        </w:rPr>
        <w:t>、</w:t>
      </w:r>
      <w:r w:rsidR="000D3DFA" w:rsidRPr="000C0842">
        <w:rPr>
          <w:rFonts w:eastAsia="SimSun"/>
          <w:sz w:val="24"/>
          <w:szCs w:val="24"/>
        </w:rPr>
        <w:t>津巴布韦。</w:t>
      </w:r>
    </w:p>
    <w:p w14:paraId="120547D5" w14:textId="75FB3088" w:rsidR="000D3DFA" w:rsidRPr="000C0842" w:rsidRDefault="000D3DFA"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然而由于法定人数不足，讨论不得不在结束之前暂停</w:t>
      </w:r>
      <w:r w:rsidR="00DD5890" w:rsidRPr="000C0842">
        <w:rPr>
          <w:rFonts w:eastAsia="SimSun" w:hint="eastAsia"/>
          <w:sz w:val="24"/>
          <w:szCs w:val="24"/>
        </w:rPr>
        <w:t>（</w:t>
      </w:r>
      <w:r w:rsidRPr="000C0842">
        <w:rPr>
          <w:rFonts w:eastAsia="SimSun"/>
          <w:sz w:val="24"/>
          <w:szCs w:val="24"/>
        </w:rPr>
        <w:t>见下文项目</w:t>
      </w:r>
      <w:r w:rsidRPr="000C0842">
        <w:rPr>
          <w:rFonts w:eastAsia="SimSun"/>
          <w:sz w:val="24"/>
          <w:szCs w:val="24"/>
        </w:rPr>
        <w:t>31</w:t>
      </w:r>
      <w:r w:rsidR="00DD5890" w:rsidRPr="000C0842">
        <w:rPr>
          <w:rFonts w:eastAsia="SimSun" w:hint="eastAsia"/>
          <w:sz w:val="24"/>
          <w:szCs w:val="24"/>
        </w:rPr>
        <w:t>）</w:t>
      </w:r>
      <w:r w:rsidRPr="000C0842">
        <w:rPr>
          <w:rFonts w:eastAsia="SimSun"/>
          <w:sz w:val="24"/>
          <w:szCs w:val="24"/>
        </w:rPr>
        <w:t>。</w:t>
      </w:r>
    </w:p>
    <w:p w14:paraId="24B680D7" w14:textId="4C4E4083"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缔约方大会第</w:t>
      </w:r>
      <w:r w:rsidRPr="000C0842">
        <w:rPr>
          <w:rFonts w:eastAsia="SimSun"/>
          <w:sz w:val="24"/>
          <w:szCs w:val="24"/>
        </w:rPr>
        <w:t>7</w:t>
      </w:r>
      <w:r w:rsidRPr="000C0842">
        <w:rPr>
          <w:rFonts w:eastAsia="SimSun" w:hint="eastAsia"/>
          <w:sz w:val="24"/>
          <w:szCs w:val="24"/>
        </w:rPr>
        <w:t>场全体会议恢复审议</w:t>
      </w:r>
      <w:hyperlink r:id="rId387" w:history="1">
        <w:r w:rsidRPr="000C0842">
          <w:rPr>
            <w:rStyle w:val="Hyperlink"/>
            <w:rFonts w:eastAsia="SimSun"/>
            <w:color w:val="auto"/>
            <w:sz w:val="24"/>
            <w:szCs w:val="24"/>
          </w:rPr>
          <w:t>CBD/COP/16/L.34</w:t>
        </w:r>
      </w:hyperlink>
      <w:r w:rsidR="00DD5890" w:rsidRPr="000C0842">
        <w:rPr>
          <w:rFonts w:eastAsia="SimSun" w:hint="eastAsia"/>
          <w:sz w:val="24"/>
          <w:szCs w:val="24"/>
        </w:rPr>
        <w:t>号决定草案。</w:t>
      </w:r>
    </w:p>
    <w:p w14:paraId="087984B0" w14:textId="3AC72675" w:rsidR="00141995" w:rsidRPr="000C0842" w:rsidRDefault="00EE28F8"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下列缔约方</w:t>
      </w:r>
      <w:r w:rsidR="00141995" w:rsidRPr="000C0842">
        <w:rPr>
          <w:rFonts w:eastAsia="SimSun" w:hint="eastAsia"/>
          <w:sz w:val="24"/>
          <w:szCs w:val="24"/>
        </w:rPr>
        <w:t>的代表发了言：澳大利亚、阿塞拜疆、巴林、多民族玻利维亚国、巴西（</w:t>
      </w:r>
      <w:r w:rsidR="00A7097A" w:rsidRPr="000C0842">
        <w:rPr>
          <w:rFonts w:eastAsia="SimSun" w:hint="eastAsia"/>
          <w:sz w:val="24"/>
          <w:szCs w:val="24"/>
        </w:rPr>
        <w:t>其中一</w:t>
      </w:r>
      <w:r w:rsidR="00C41584" w:rsidRPr="000C0842">
        <w:rPr>
          <w:rFonts w:eastAsia="SimSun" w:hint="eastAsia"/>
          <w:sz w:val="24"/>
          <w:szCs w:val="24"/>
        </w:rPr>
        <w:t>次</w:t>
      </w:r>
      <w:r w:rsidR="00A7097A" w:rsidRPr="000C0842">
        <w:rPr>
          <w:rFonts w:eastAsia="SimSun" w:hint="eastAsia"/>
          <w:sz w:val="24"/>
          <w:szCs w:val="24"/>
        </w:rPr>
        <w:t>发言同时代表</w:t>
      </w:r>
      <w:r w:rsidR="00A7097A" w:rsidRPr="000C0842">
        <w:rPr>
          <w:rFonts w:eastAsia="SimSun"/>
          <w:sz w:val="24"/>
          <w:szCs w:val="24"/>
        </w:rPr>
        <w:t>中国、埃及、埃塞俄比亚、印度、印度尼西亚、伊朗伊斯兰共和国、俄罗斯联邦、南非</w:t>
      </w:r>
      <w:r w:rsidR="00DD5890" w:rsidRPr="000C0842">
        <w:rPr>
          <w:rFonts w:eastAsia="SimSun" w:hint="eastAsia"/>
          <w:sz w:val="24"/>
          <w:szCs w:val="24"/>
        </w:rPr>
        <w:t>、</w:t>
      </w:r>
      <w:r w:rsidR="00A7097A" w:rsidRPr="000C0842">
        <w:rPr>
          <w:rFonts w:eastAsia="SimSun"/>
          <w:sz w:val="24"/>
          <w:szCs w:val="24"/>
        </w:rPr>
        <w:t>阿拉伯联合酋长国</w:t>
      </w:r>
      <w:r w:rsidR="00A7097A" w:rsidRPr="000C0842">
        <w:rPr>
          <w:rFonts w:eastAsia="SimSun" w:hint="eastAsia"/>
          <w:sz w:val="24"/>
          <w:szCs w:val="24"/>
        </w:rPr>
        <w:t>；另一</w:t>
      </w:r>
      <w:r w:rsidR="00C41584" w:rsidRPr="000C0842">
        <w:rPr>
          <w:rFonts w:eastAsia="SimSun" w:hint="eastAsia"/>
          <w:sz w:val="24"/>
          <w:szCs w:val="24"/>
        </w:rPr>
        <w:t>次</w:t>
      </w:r>
      <w:r w:rsidR="00A7097A" w:rsidRPr="000C0842">
        <w:rPr>
          <w:rFonts w:eastAsia="SimSun" w:hint="eastAsia"/>
          <w:sz w:val="24"/>
          <w:szCs w:val="24"/>
        </w:rPr>
        <w:t>发言</w:t>
      </w:r>
      <w:r w:rsidR="00141995" w:rsidRPr="000C0842">
        <w:rPr>
          <w:rFonts w:eastAsia="SimSun" w:hint="eastAsia"/>
          <w:sz w:val="24"/>
          <w:szCs w:val="24"/>
        </w:rPr>
        <w:t>代表生物多样性大国联盟集团）、布基纳法索、加拿大、喀麦隆、乍得、中国、刚果民主共和国、科特迪瓦、厄瓜多尔、埃及、埃塞俄比亚、欧洲联盟及其成员国、斐济（代表太平洋小岛屿发展中国家）、危地马拉、印度、印度尼西亚、日本、约旦、肯尼亚、利比里亚、马达加斯加、马来西亚、马里、尼泊尔、新西兰、尼日尔、尼日利亚、挪威、巴拿马、秘鲁、卡塔尔、俄罗斯联邦、沙特阿拉伯、南非、瑞士、多哥、乌干达、联合王国、坦桑尼亚联合共和国、乌兹别克斯坦、委内瑞拉玻利瓦尔共和国</w:t>
      </w:r>
      <w:r w:rsidR="005B3F06" w:rsidRPr="000C0842">
        <w:rPr>
          <w:rFonts w:eastAsia="SimSun" w:hint="eastAsia"/>
          <w:sz w:val="24"/>
          <w:szCs w:val="24"/>
        </w:rPr>
        <w:t>、</w:t>
      </w:r>
      <w:r w:rsidR="00141995" w:rsidRPr="000C0842">
        <w:rPr>
          <w:rFonts w:eastAsia="SimSun" w:hint="eastAsia"/>
          <w:sz w:val="24"/>
          <w:szCs w:val="24"/>
        </w:rPr>
        <w:t>津巴布韦（代表非洲国家）。</w:t>
      </w:r>
    </w:p>
    <w:p w14:paraId="38E3F97A" w14:textId="032DBEE5" w:rsidR="00141995" w:rsidRPr="000C0842"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缔约方大会商定</w:t>
      </w:r>
      <w:r w:rsidR="00EA5F59" w:rsidRPr="000C0842">
        <w:rPr>
          <w:rFonts w:eastAsia="SimSun" w:hint="eastAsia"/>
          <w:sz w:val="24"/>
          <w:szCs w:val="24"/>
        </w:rPr>
        <w:t>由</w:t>
      </w:r>
      <w:r w:rsidRPr="000C0842">
        <w:rPr>
          <w:rFonts w:eastAsia="SimSun" w:hint="eastAsia"/>
          <w:sz w:val="24"/>
          <w:szCs w:val="24"/>
        </w:rPr>
        <w:t>主席举行非正式磋商，设法就如何推进决定草案第</w:t>
      </w:r>
      <w:r w:rsidRPr="000C0842">
        <w:rPr>
          <w:rFonts w:eastAsia="SimSun"/>
          <w:sz w:val="24"/>
          <w:szCs w:val="24"/>
        </w:rPr>
        <w:t>19</w:t>
      </w:r>
      <w:r w:rsidRPr="000C0842">
        <w:rPr>
          <w:rFonts w:eastAsia="SimSun" w:hint="eastAsia"/>
          <w:sz w:val="24"/>
          <w:szCs w:val="24"/>
        </w:rPr>
        <w:t>至</w:t>
      </w:r>
      <w:r w:rsidRPr="000C0842">
        <w:rPr>
          <w:rFonts w:eastAsia="SimSun"/>
          <w:sz w:val="24"/>
          <w:szCs w:val="24"/>
        </w:rPr>
        <w:t>25</w:t>
      </w:r>
      <w:r w:rsidRPr="000C0842">
        <w:rPr>
          <w:rFonts w:eastAsia="SimSun" w:hint="eastAsia"/>
          <w:sz w:val="24"/>
          <w:szCs w:val="24"/>
        </w:rPr>
        <w:t>段和附件二达成政治谅解。</w:t>
      </w:r>
    </w:p>
    <w:p w14:paraId="5341607C" w14:textId="6DC58776" w:rsidR="00EA5F59"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2025</w:t>
      </w:r>
      <w:r w:rsidRPr="000C0842">
        <w:rPr>
          <w:rFonts w:eastAsia="SimSun" w:hint="eastAsia"/>
          <w:sz w:val="24"/>
          <w:szCs w:val="24"/>
        </w:rPr>
        <w:t>年</w:t>
      </w:r>
      <w:r w:rsidRPr="000C0842">
        <w:rPr>
          <w:rFonts w:eastAsia="SimSun" w:hint="eastAsia"/>
          <w:sz w:val="24"/>
          <w:szCs w:val="24"/>
        </w:rPr>
        <w:t>2</w:t>
      </w:r>
      <w:r w:rsidRPr="000C0842">
        <w:rPr>
          <w:rFonts w:eastAsia="SimSun" w:hint="eastAsia"/>
          <w:sz w:val="24"/>
          <w:szCs w:val="24"/>
        </w:rPr>
        <w:t>月</w:t>
      </w:r>
      <w:r w:rsidRPr="000C0842">
        <w:rPr>
          <w:rFonts w:eastAsia="SimSun" w:hint="eastAsia"/>
          <w:sz w:val="24"/>
          <w:szCs w:val="24"/>
        </w:rPr>
        <w:t>26</w:t>
      </w:r>
      <w:r w:rsidRPr="000C0842">
        <w:rPr>
          <w:rFonts w:eastAsia="SimSun" w:hint="eastAsia"/>
          <w:sz w:val="24"/>
          <w:szCs w:val="24"/>
        </w:rPr>
        <w:t>日缔约方大会第</w:t>
      </w:r>
      <w:r w:rsidRPr="000C0842">
        <w:rPr>
          <w:rFonts w:eastAsia="SimSun" w:hint="eastAsia"/>
          <w:sz w:val="24"/>
          <w:szCs w:val="24"/>
        </w:rPr>
        <w:t>10</w:t>
      </w:r>
      <w:r w:rsidRPr="000C0842">
        <w:rPr>
          <w:rFonts w:eastAsia="SimSun" w:hint="eastAsia"/>
          <w:sz w:val="24"/>
          <w:szCs w:val="24"/>
        </w:rPr>
        <w:t>场全体会议审议了主席提交的订正决定草案</w:t>
      </w:r>
      <w:hyperlink r:id="rId388" w:history="1">
        <w:r w:rsidRPr="000C0842">
          <w:rPr>
            <w:rStyle w:val="Hyperlink"/>
            <w:rFonts w:eastAsia="SimSun" w:hint="eastAsia"/>
            <w:color w:val="auto"/>
            <w:sz w:val="24"/>
            <w:szCs w:val="24"/>
          </w:rPr>
          <w:t>CBD/COP/16/L.34/Rev.1</w:t>
        </w:r>
      </w:hyperlink>
      <w:r w:rsidRPr="000C0842">
        <w:rPr>
          <w:rFonts w:eastAsia="SimSun" w:hint="eastAsia"/>
          <w:sz w:val="24"/>
          <w:szCs w:val="24"/>
        </w:rPr>
        <w:t>。</w:t>
      </w:r>
    </w:p>
    <w:p w14:paraId="0E1F4F57" w14:textId="33AE0E29" w:rsidR="00EA5F59" w:rsidRPr="000C0842" w:rsidRDefault="00EE28F8"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下列缔约方</w:t>
      </w:r>
      <w:r w:rsidR="00EA5F59" w:rsidRPr="000C0842">
        <w:rPr>
          <w:rFonts w:eastAsia="SimSun" w:hint="eastAsia"/>
          <w:sz w:val="24"/>
          <w:szCs w:val="24"/>
        </w:rPr>
        <w:t>的代表发了言：阿根廷、巴林、多民族玻利维亚国、巴西、喀麦隆、加拿大、智利、中国、哥斯达黎加、科特迪瓦、古巴、刚果民主共和国、厄瓜多尔、埃及</w:t>
      </w:r>
      <w:r w:rsidR="00E43413" w:rsidRPr="000C0842">
        <w:rPr>
          <w:rFonts w:eastAsia="SimSun" w:hint="eastAsia"/>
          <w:sz w:val="24"/>
          <w:szCs w:val="24"/>
        </w:rPr>
        <w:t>（</w:t>
      </w:r>
      <w:r w:rsidR="00EA5F59" w:rsidRPr="000C0842">
        <w:rPr>
          <w:rFonts w:eastAsia="SimSun" w:hint="eastAsia"/>
          <w:sz w:val="24"/>
          <w:szCs w:val="24"/>
        </w:rPr>
        <w:t>代表非洲国家</w:t>
      </w:r>
      <w:r w:rsidR="00E43413" w:rsidRPr="000C0842">
        <w:rPr>
          <w:rFonts w:eastAsia="SimSun" w:hint="eastAsia"/>
          <w:sz w:val="24"/>
          <w:szCs w:val="24"/>
        </w:rPr>
        <w:t>）</w:t>
      </w:r>
      <w:r w:rsidR="00EA5F59" w:rsidRPr="000C0842">
        <w:rPr>
          <w:rFonts w:eastAsia="SimSun" w:hint="eastAsia"/>
          <w:sz w:val="24"/>
          <w:szCs w:val="24"/>
        </w:rPr>
        <w:t>、欧洲联盟及其成员国、斐济</w:t>
      </w:r>
      <w:r w:rsidR="00E43413" w:rsidRPr="000C0842">
        <w:rPr>
          <w:rFonts w:eastAsia="SimSun" w:hint="eastAsia"/>
          <w:sz w:val="24"/>
          <w:szCs w:val="24"/>
        </w:rPr>
        <w:t>（</w:t>
      </w:r>
      <w:r w:rsidR="00EA5F59" w:rsidRPr="000C0842">
        <w:rPr>
          <w:rFonts w:eastAsia="SimSun" w:hint="eastAsia"/>
          <w:sz w:val="24"/>
          <w:szCs w:val="24"/>
        </w:rPr>
        <w:t>代表太平洋小岛屿发展中国家</w:t>
      </w:r>
      <w:r w:rsidR="00E43413" w:rsidRPr="000C0842">
        <w:rPr>
          <w:rFonts w:eastAsia="SimSun" w:hint="eastAsia"/>
          <w:sz w:val="24"/>
          <w:szCs w:val="24"/>
        </w:rPr>
        <w:t>）</w:t>
      </w:r>
      <w:r w:rsidR="00EA5F59" w:rsidRPr="000C0842">
        <w:rPr>
          <w:rFonts w:eastAsia="SimSun" w:hint="eastAsia"/>
          <w:sz w:val="24"/>
          <w:szCs w:val="24"/>
        </w:rPr>
        <w:t>、加纳、格林纳达、海地、印度、日本、约旦、马尔代夫、墨西哥、尼日利亚、挪威、巴拿马、俄罗斯联邦、沙特阿拉伯、塞内加尔、南非、多哥、阿拉伯联合酋长国、联合王国。</w:t>
      </w:r>
    </w:p>
    <w:p w14:paraId="62336B5C" w14:textId="66DD31DB" w:rsidR="00EA5F59"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2025</w:t>
      </w:r>
      <w:r w:rsidRPr="000C0842">
        <w:rPr>
          <w:rFonts w:eastAsia="SimSun" w:hint="eastAsia"/>
          <w:sz w:val="24"/>
          <w:szCs w:val="24"/>
        </w:rPr>
        <w:t>年</w:t>
      </w:r>
      <w:r w:rsidRPr="000C0842">
        <w:rPr>
          <w:rFonts w:eastAsia="SimSun" w:hint="eastAsia"/>
          <w:sz w:val="24"/>
          <w:szCs w:val="24"/>
        </w:rPr>
        <w:t>2</w:t>
      </w:r>
      <w:r w:rsidRPr="000C0842">
        <w:rPr>
          <w:rFonts w:eastAsia="SimSun" w:hint="eastAsia"/>
          <w:sz w:val="24"/>
          <w:szCs w:val="24"/>
        </w:rPr>
        <w:t>月</w:t>
      </w:r>
      <w:r w:rsidRPr="000C0842">
        <w:rPr>
          <w:rFonts w:eastAsia="SimSun" w:hint="eastAsia"/>
          <w:sz w:val="24"/>
          <w:szCs w:val="24"/>
        </w:rPr>
        <w:t>27</w:t>
      </w:r>
      <w:r w:rsidRPr="000C0842">
        <w:rPr>
          <w:rFonts w:eastAsia="SimSun" w:hint="eastAsia"/>
          <w:sz w:val="24"/>
          <w:szCs w:val="24"/>
        </w:rPr>
        <w:t>日</w:t>
      </w:r>
      <w:r w:rsidR="0015095B" w:rsidRPr="000C0842">
        <w:rPr>
          <w:rFonts w:eastAsia="SimSun" w:hint="eastAsia"/>
          <w:sz w:val="24"/>
          <w:szCs w:val="24"/>
        </w:rPr>
        <w:t>缔约方大会</w:t>
      </w:r>
      <w:r w:rsidRPr="000C0842">
        <w:rPr>
          <w:rFonts w:eastAsia="SimSun" w:hint="eastAsia"/>
          <w:sz w:val="24"/>
          <w:szCs w:val="24"/>
        </w:rPr>
        <w:t>第</w:t>
      </w:r>
      <w:r w:rsidRPr="000C0842">
        <w:rPr>
          <w:rFonts w:eastAsia="SimSun" w:hint="eastAsia"/>
          <w:sz w:val="24"/>
          <w:szCs w:val="24"/>
        </w:rPr>
        <w:t>11</w:t>
      </w:r>
      <w:r w:rsidR="0015095B" w:rsidRPr="000C0842">
        <w:rPr>
          <w:rFonts w:eastAsia="SimSun" w:hint="eastAsia"/>
          <w:sz w:val="24"/>
          <w:szCs w:val="24"/>
        </w:rPr>
        <w:t>场</w:t>
      </w:r>
      <w:r w:rsidRPr="000C0842">
        <w:rPr>
          <w:rFonts w:eastAsia="SimSun" w:hint="eastAsia"/>
          <w:sz w:val="24"/>
          <w:szCs w:val="24"/>
        </w:rPr>
        <w:t>全体会议继续审议</w:t>
      </w:r>
      <w:r w:rsidR="0015095B" w:rsidRPr="000C0842">
        <w:rPr>
          <w:rFonts w:eastAsia="SimSun" w:hint="eastAsia"/>
          <w:sz w:val="24"/>
          <w:szCs w:val="24"/>
        </w:rPr>
        <w:t>订正</w:t>
      </w:r>
      <w:r w:rsidRPr="000C0842">
        <w:rPr>
          <w:rFonts w:eastAsia="SimSun" w:hint="eastAsia"/>
          <w:sz w:val="24"/>
          <w:szCs w:val="24"/>
        </w:rPr>
        <w:t>决定草案。</w:t>
      </w:r>
    </w:p>
    <w:p w14:paraId="69AA8F72" w14:textId="459EE72C" w:rsidR="00EA5F59" w:rsidRPr="000C0842" w:rsidRDefault="00EE28F8"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下列缔约方</w:t>
      </w:r>
      <w:r w:rsidR="00EA5F59" w:rsidRPr="000C0842">
        <w:rPr>
          <w:rFonts w:eastAsia="SimSun" w:hint="eastAsia"/>
          <w:sz w:val="24"/>
          <w:szCs w:val="24"/>
        </w:rPr>
        <w:t>的代表发</w:t>
      </w:r>
      <w:r w:rsidR="0015095B" w:rsidRPr="000C0842">
        <w:rPr>
          <w:rFonts w:eastAsia="SimSun" w:hint="eastAsia"/>
          <w:sz w:val="24"/>
          <w:szCs w:val="24"/>
        </w:rPr>
        <w:t>了</w:t>
      </w:r>
      <w:r w:rsidR="00EA5F59" w:rsidRPr="000C0842">
        <w:rPr>
          <w:rFonts w:eastAsia="SimSun" w:hint="eastAsia"/>
          <w:sz w:val="24"/>
          <w:szCs w:val="24"/>
        </w:rPr>
        <w:t>言</w:t>
      </w:r>
      <w:r w:rsidR="0015095B" w:rsidRPr="000C0842">
        <w:rPr>
          <w:rFonts w:eastAsia="SimSun" w:hint="eastAsia"/>
          <w:sz w:val="24"/>
          <w:szCs w:val="24"/>
        </w:rPr>
        <w:t>：</w:t>
      </w:r>
      <w:r w:rsidR="00EA5F59" w:rsidRPr="000C0842">
        <w:rPr>
          <w:rFonts w:eastAsia="SimSun" w:hint="eastAsia"/>
          <w:sz w:val="24"/>
          <w:szCs w:val="24"/>
        </w:rPr>
        <w:t>澳大利亚、巴西</w:t>
      </w:r>
      <w:r w:rsidR="00E43413" w:rsidRPr="000C0842">
        <w:rPr>
          <w:rFonts w:eastAsia="SimSun" w:hint="eastAsia"/>
          <w:sz w:val="24"/>
          <w:szCs w:val="24"/>
        </w:rPr>
        <w:t>（</w:t>
      </w:r>
      <w:r w:rsidR="00EA5F59" w:rsidRPr="000C0842">
        <w:rPr>
          <w:rFonts w:eastAsia="SimSun" w:hint="eastAsia"/>
          <w:sz w:val="24"/>
          <w:szCs w:val="24"/>
        </w:rPr>
        <w:t>代表中国、埃及、埃塞俄比亚、印度、印度尼西亚、伊朗伊斯兰共和国、俄罗斯联邦、南非</w:t>
      </w:r>
      <w:r w:rsidR="0015095B" w:rsidRPr="000C0842">
        <w:rPr>
          <w:rFonts w:eastAsia="SimSun" w:hint="eastAsia"/>
          <w:sz w:val="24"/>
          <w:szCs w:val="24"/>
        </w:rPr>
        <w:t>、</w:t>
      </w:r>
      <w:r w:rsidR="00EA5F59" w:rsidRPr="000C0842">
        <w:rPr>
          <w:rFonts w:eastAsia="SimSun" w:hint="eastAsia"/>
          <w:sz w:val="24"/>
          <w:szCs w:val="24"/>
        </w:rPr>
        <w:t>阿拉伯联合酋长国</w:t>
      </w:r>
      <w:r w:rsidR="00E43413" w:rsidRPr="000C0842">
        <w:rPr>
          <w:rFonts w:eastAsia="SimSun" w:hint="eastAsia"/>
          <w:sz w:val="24"/>
          <w:szCs w:val="24"/>
        </w:rPr>
        <w:t>）</w:t>
      </w:r>
      <w:r w:rsidR="00EA5F59" w:rsidRPr="000C0842">
        <w:rPr>
          <w:rFonts w:eastAsia="SimSun" w:hint="eastAsia"/>
          <w:sz w:val="24"/>
          <w:szCs w:val="24"/>
        </w:rPr>
        <w:t>、柬埔寨</w:t>
      </w:r>
      <w:r w:rsidR="00E43413" w:rsidRPr="000C0842">
        <w:rPr>
          <w:rFonts w:eastAsia="SimSun" w:hint="eastAsia"/>
          <w:sz w:val="24"/>
          <w:szCs w:val="24"/>
        </w:rPr>
        <w:t>（</w:t>
      </w:r>
      <w:r w:rsidR="00EA5F59" w:rsidRPr="000C0842">
        <w:rPr>
          <w:rFonts w:eastAsia="SimSun" w:hint="eastAsia"/>
          <w:sz w:val="24"/>
          <w:szCs w:val="24"/>
        </w:rPr>
        <w:t>代表亚太国家</w:t>
      </w:r>
      <w:r w:rsidR="00E43413" w:rsidRPr="000C0842">
        <w:rPr>
          <w:rFonts w:eastAsia="SimSun" w:hint="eastAsia"/>
          <w:sz w:val="24"/>
          <w:szCs w:val="24"/>
        </w:rPr>
        <w:t>）</w:t>
      </w:r>
      <w:r w:rsidR="00EA5F59" w:rsidRPr="000C0842">
        <w:rPr>
          <w:rFonts w:eastAsia="SimSun" w:hint="eastAsia"/>
          <w:sz w:val="24"/>
          <w:szCs w:val="24"/>
        </w:rPr>
        <w:t>、喀麦隆、加拿大</w:t>
      </w:r>
      <w:r w:rsidR="00E43413" w:rsidRPr="000C0842">
        <w:rPr>
          <w:rFonts w:eastAsia="SimSun" w:hint="eastAsia"/>
          <w:sz w:val="24"/>
          <w:szCs w:val="24"/>
        </w:rPr>
        <w:t>（</w:t>
      </w:r>
      <w:r w:rsidR="0015095B" w:rsidRPr="000C0842">
        <w:rPr>
          <w:rFonts w:eastAsia="SimSun" w:hint="eastAsia"/>
          <w:sz w:val="24"/>
          <w:szCs w:val="24"/>
        </w:rPr>
        <w:t>同时</w:t>
      </w:r>
      <w:r w:rsidR="00EA5F59" w:rsidRPr="000C0842">
        <w:rPr>
          <w:rFonts w:eastAsia="SimSun" w:hint="eastAsia"/>
          <w:sz w:val="24"/>
          <w:szCs w:val="24"/>
        </w:rPr>
        <w:t>代表澳大利亚、冰岛、日本、摩纳哥、新西兰、挪威、瑞士</w:t>
      </w:r>
      <w:r w:rsidR="0015095B" w:rsidRPr="000C0842">
        <w:rPr>
          <w:rFonts w:eastAsia="SimSun" w:hint="eastAsia"/>
          <w:sz w:val="24"/>
          <w:szCs w:val="24"/>
        </w:rPr>
        <w:t>、</w:t>
      </w:r>
      <w:r w:rsidR="00EA5F59" w:rsidRPr="000C0842">
        <w:rPr>
          <w:rFonts w:eastAsia="SimSun" w:hint="eastAsia"/>
          <w:sz w:val="24"/>
          <w:szCs w:val="24"/>
        </w:rPr>
        <w:t>联合王国</w:t>
      </w:r>
      <w:r w:rsidR="00E43413" w:rsidRPr="000C0842">
        <w:rPr>
          <w:rFonts w:eastAsia="SimSun" w:hint="eastAsia"/>
          <w:sz w:val="24"/>
          <w:szCs w:val="24"/>
        </w:rPr>
        <w:t>）</w:t>
      </w:r>
      <w:r w:rsidR="00EA5F59" w:rsidRPr="000C0842">
        <w:rPr>
          <w:rFonts w:eastAsia="SimSun" w:hint="eastAsia"/>
          <w:sz w:val="24"/>
          <w:szCs w:val="24"/>
        </w:rPr>
        <w:t>、刚果民主共和国、埃及、欧洲联盟及其成员国、斐济</w:t>
      </w:r>
      <w:r w:rsidR="00E43413" w:rsidRPr="000C0842">
        <w:rPr>
          <w:rFonts w:eastAsia="SimSun" w:hint="eastAsia"/>
          <w:sz w:val="24"/>
          <w:szCs w:val="24"/>
        </w:rPr>
        <w:t>（</w:t>
      </w:r>
      <w:r w:rsidR="00EA5F59" w:rsidRPr="000C0842">
        <w:rPr>
          <w:rFonts w:eastAsia="SimSun" w:hint="eastAsia"/>
          <w:sz w:val="24"/>
          <w:szCs w:val="24"/>
        </w:rPr>
        <w:t>代表太平洋小岛屿发展中国家</w:t>
      </w:r>
      <w:r w:rsidR="00E43413" w:rsidRPr="000C0842">
        <w:rPr>
          <w:rFonts w:eastAsia="SimSun" w:hint="eastAsia"/>
          <w:sz w:val="24"/>
          <w:szCs w:val="24"/>
        </w:rPr>
        <w:t>）</w:t>
      </w:r>
      <w:r w:rsidR="00EA5F59" w:rsidRPr="000C0842">
        <w:rPr>
          <w:rFonts w:eastAsia="SimSun" w:hint="eastAsia"/>
          <w:sz w:val="24"/>
          <w:szCs w:val="24"/>
        </w:rPr>
        <w:t>、法国、</w:t>
      </w:r>
      <w:r w:rsidR="00EA5F59" w:rsidRPr="000C0842">
        <w:rPr>
          <w:rFonts w:eastAsia="SimSun" w:hint="eastAsia"/>
          <w:sz w:val="24"/>
          <w:szCs w:val="24"/>
        </w:rPr>
        <w:t xml:space="preserve"> </w:t>
      </w:r>
      <w:r w:rsidR="00EA5F59" w:rsidRPr="000C0842">
        <w:rPr>
          <w:rFonts w:eastAsia="SimSun" w:hint="eastAsia"/>
          <w:sz w:val="24"/>
          <w:szCs w:val="24"/>
        </w:rPr>
        <w:t>危地马拉、伊朗伊斯兰共和国</w:t>
      </w:r>
      <w:r w:rsidR="00E43413" w:rsidRPr="000C0842">
        <w:rPr>
          <w:rFonts w:eastAsia="SimSun" w:hint="eastAsia"/>
          <w:sz w:val="24"/>
          <w:szCs w:val="24"/>
        </w:rPr>
        <w:t>（</w:t>
      </w:r>
      <w:r w:rsidR="00EA5F59" w:rsidRPr="000C0842">
        <w:rPr>
          <w:rFonts w:eastAsia="SimSun" w:hint="eastAsia"/>
          <w:sz w:val="24"/>
          <w:szCs w:val="24"/>
        </w:rPr>
        <w:t>代表</w:t>
      </w:r>
      <w:r w:rsidR="0015095B" w:rsidRPr="000C0842">
        <w:rPr>
          <w:rFonts w:eastAsia="SimSun"/>
          <w:sz w:val="24"/>
          <w:szCs w:val="24"/>
        </w:rPr>
        <w:t>生物多样性大国联盟集团</w:t>
      </w:r>
      <w:r w:rsidR="00E43413" w:rsidRPr="000C0842">
        <w:rPr>
          <w:rFonts w:eastAsia="SimSun" w:hint="eastAsia"/>
          <w:sz w:val="24"/>
          <w:szCs w:val="24"/>
        </w:rPr>
        <w:t>）</w:t>
      </w:r>
      <w:r w:rsidR="00EA5F59" w:rsidRPr="000C0842">
        <w:rPr>
          <w:rFonts w:eastAsia="SimSun"/>
          <w:sz w:val="24"/>
          <w:szCs w:val="24"/>
        </w:rPr>
        <w:t>、牙</w:t>
      </w:r>
      <w:r w:rsidR="00EA5F59" w:rsidRPr="000C0842">
        <w:rPr>
          <w:rFonts w:eastAsia="SimSun" w:hint="eastAsia"/>
          <w:sz w:val="24"/>
          <w:szCs w:val="24"/>
        </w:rPr>
        <w:t>买加</w:t>
      </w:r>
      <w:r w:rsidR="00E43413" w:rsidRPr="000C0842">
        <w:rPr>
          <w:rFonts w:eastAsia="SimSun" w:hint="eastAsia"/>
          <w:sz w:val="24"/>
          <w:szCs w:val="24"/>
        </w:rPr>
        <w:t>（</w:t>
      </w:r>
      <w:r w:rsidR="0015095B" w:rsidRPr="000C0842">
        <w:rPr>
          <w:rFonts w:eastAsia="SimSun" w:hint="eastAsia"/>
          <w:sz w:val="24"/>
          <w:szCs w:val="24"/>
        </w:rPr>
        <w:t>第</w:t>
      </w:r>
      <w:r w:rsidR="00EA5F59" w:rsidRPr="000C0842">
        <w:rPr>
          <w:rFonts w:eastAsia="SimSun" w:hint="eastAsia"/>
          <w:sz w:val="24"/>
          <w:szCs w:val="24"/>
        </w:rPr>
        <w:t>一次</w:t>
      </w:r>
      <w:r w:rsidR="0015095B" w:rsidRPr="000C0842">
        <w:rPr>
          <w:rFonts w:eastAsia="SimSun" w:hint="eastAsia"/>
          <w:sz w:val="24"/>
          <w:szCs w:val="24"/>
        </w:rPr>
        <w:t>发言</w:t>
      </w:r>
      <w:r w:rsidR="00EA5F59" w:rsidRPr="000C0842">
        <w:rPr>
          <w:rFonts w:eastAsia="SimSun" w:hint="eastAsia"/>
          <w:sz w:val="24"/>
          <w:szCs w:val="24"/>
        </w:rPr>
        <w:t>代表拉丁美洲和加勒比国家，</w:t>
      </w:r>
      <w:r w:rsidR="0015095B" w:rsidRPr="000C0842">
        <w:rPr>
          <w:rFonts w:eastAsia="SimSun" w:hint="eastAsia"/>
          <w:sz w:val="24"/>
          <w:szCs w:val="24"/>
        </w:rPr>
        <w:t>第二</w:t>
      </w:r>
      <w:r w:rsidR="00EA5F59" w:rsidRPr="000C0842">
        <w:rPr>
          <w:rFonts w:eastAsia="SimSun" w:hint="eastAsia"/>
          <w:sz w:val="24"/>
          <w:szCs w:val="24"/>
        </w:rPr>
        <w:t>次</w:t>
      </w:r>
      <w:r w:rsidR="0015095B" w:rsidRPr="000C0842">
        <w:rPr>
          <w:rFonts w:eastAsia="SimSun" w:hint="eastAsia"/>
          <w:sz w:val="24"/>
          <w:szCs w:val="24"/>
        </w:rPr>
        <w:t>发言</w:t>
      </w:r>
      <w:r w:rsidR="00EA5F59" w:rsidRPr="000C0842">
        <w:rPr>
          <w:rFonts w:eastAsia="SimSun" w:hint="eastAsia"/>
          <w:sz w:val="24"/>
          <w:szCs w:val="24"/>
        </w:rPr>
        <w:t>代表本国</w:t>
      </w:r>
      <w:r w:rsidR="00E43413" w:rsidRPr="000C0842">
        <w:rPr>
          <w:rFonts w:eastAsia="SimSun" w:hint="eastAsia"/>
          <w:sz w:val="24"/>
          <w:szCs w:val="24"/>
        </w:rPr>
        <w:t>）</w:t>
      </w:r>
      <w:r w:rsidR="00EA5F59" w:rsidRPr="000C0842">
        <w:rPr>
          <w:rFonts w:eastAsia="SimSun" w:hint="eastAsia"/>
          <w:sz w:val="24"/>
          <w:szCs w:val="24"/>
        </w:rPr>
        <w:t>、马拉维、秘鲁、乌干达、坦桑尼亚联合共和国</w:t>
      </w:r>
      <w:r w:rsidR="0015095B" w:rsidRPr="000C0842">
        <w:rPr>
          <w:rFonts w:eastAsia="SimSun" w:hint="eastAsia"/>
          <w:sz w:val="24"/>
          <w:szCs w:val="24"/>
        </w:rPr>
        <w:t>、</w:t>
      </w:r>
      <w:r w:rsidR="00EA5F59" w:rsidRPr="000C0842">
        <w:rPr>
          <w:rFonts w:eastAsia="SimSun" w:hint="eastAsia"/>
          <w:sz w:val="24"/>
          <w:szCs w:val="24"/>
        </w:rPr>
        <w:t>津巴布韦</w:t>
      </w:r>
      <w:r w:rsidR="00E43413" w:rsidRPr="000C0842">
        <w:rPr>
          <w:rFonts w:eastAsia="SimSun" w:hint="eastAsia"/>
          <w:sz w:val="24"/>
          <w:szCs w:val="24"/>
        </w:rPr>
        <w:t>（</w:t>
      </w:r>
      <w:r w:rsidR="00EA5F59" w:rsidRPr="000C0842">
        <w:rPr>
          <w:rFonts w:eastAsia="SimSun" w:hint="eastAsia"/>
          <w:sz w:val="24"/>
          <w:szCs w:val="24"/>
        </w:rPr>
        <w:t>代表非洲国家</w:t>
      </w:r>
      <w:r w:rsidR="00E43413" w:rsidRPr="000C0842">
        <w:rPr>
          <w:rFonts w:eastAsia="SimSun" w:hint="eastAsia"/>
          <w:sz w:val="24"/>
          <w:szCs w:val="24"/>
        </w:rPr>
        <w:t>）</w:t>
      </w:r>
      <w:r w:rsidR="00EA5F59" w:rsidRPr="000C0842">
        <w:rPr>
          <w:rFonts w:eastAsia="SimSun" w:hint="eastAsia"/>
          <w:sz w:val="24"/>
          <w:szCs w:val="24"/>
        </w:rPr>
        <w:t>。</w:t>
      </w:r>
    </w:p>
    <w:p w14:paraId="4F4DFF40" w14:textId="024FB933" w:rsidR="00EA5F59"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刚果民主共和国代表要求记录在案，</w:t>
      </w:r>
      <w:r w:rsidR="0015095B" w:rsidRPr="000C0842">
        <w:rPr>
          <w:rFonts w:eastAsia="SimSun" w:hint="eastAsia"/>
          <w:sz w:val="24"/>
          <w:szCs w:val="24"/>
        </w:rPr>
        <w:t xml:space="preserve"> </w:t>
      </w:r>
      <w:hyperlink r:id="rId389" w:history="1">
        <w:r w:rsidRPr="000C0842">
          <w:rPr>
            <w:rStyle w:val="Hyperlink"/>
            <w:rFonts w:eastAsia="SimSun" w:hint="eastAsia"/>
            <w:color w:val="auto"/>
            <w:sz w:val="24"/>
            <w:szCs w:val="24"/>
          </w:rPr>
          <w:t>CBD/COP/16/L.34/Rev.1</w:t>
        </w:r>
      </w:hyperlink>
      <w:r w:rsidR="0015095B" w:rsidRPr="000C0842">
        <w:rPr>
          <w:rFonts w:eastAsia="SimSun" w:hint="eastAsia"/>
          <w:sz w:val="24"/>
          <w:szCs w:val="24"/>
        </w:rPr>
        <w:t>号决定草案</w:t>
      </w:r>
      <w:r w:rsidRPr="000C0842">
        <w:rPr>
          <w:rFonts w:eastAsia="SimSun" w:hint="eastAsia"/>
          <w:sz w:val="24"/>
          <w:szCs w:val="24"/>
        </w:rPr>
        <w:t>在开始讨论时只有英文本。</w:t>
      </w:r>
    </w:p>
    <w:p w14:paraId="7E46173C" w14:textId="33E54801" w:rsidR="00EA5F59"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缔约方大会商定，将召集一个由最多五个集团或区域的代表组成的小组来完善案文。</w:t>
      </w:r>
    </w:p>
    <w:p w14:paraId="61F64298" w14:textId="45F70ADB" w:rsidR="00EA5F59" w:rsidRPr="000C0842" w:rsidRDefault="0015095B"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w:t>
      </w:r>
      <w:r w:rsidR="00EA5F59" w:rsidRPr="000C0842">
        <w:rPr>
          <w:rFonts w:eastAsia="SimSun" w:hint="eastAsia"/>
          <w:sz w:val="24"/>
          <w:szCs w:val="24"/>
        </w:rPr>
        <w:t>第</w:t>
      </w:r>
      <w:r w:rsidR="00EA5F59" w:rsidRPr="000C0842">
        <w:rPr>
          <w:rFonts w:eastAsia="SimSun" w:hint="eastAsia"/>
          <w:sz w:val="24"/>
          <w:szCs w:val="24"/>
        </w:rPr>
        <w:t>12</w:t>
      </w:r>
      <w:r w:rsidRPr="000C0842">
        <w:rPr>
          <w:rFonts w:eastAsia="SimSun" w:hint="eastAsia"/>
          <w:sz w:val="24"/>
          <w:szCs w:val="24"/>
        </w:rPr>
        <w:t>场</w:t>
      </w:r>
      <w:r w:rsidR="00EA5F59" w:rsidRPr="000C0842">
        <w:rPr>
          <w:rFonts w:eastAsia="SimSun" w:hint="eastAsia"/>
          <w:sz w:val="24"/>
          <w:szCs w:val="24"/>
        </w:rPr>
        <w:t>全体会议听取了主席团</w:t>
      </w:r>
      <w:r w:rsidR="00EE6292" w:rsidRPr="000C0842">
        <w:rPr>
          <w:rFonts w:eastAsia="SimSun" w:hint="eastAsia"/>
          <w:sz w:val="24"/>
          <w:szCs w:val="24"/>
        </w:rPr>
        <w:t>的</w:t>
      </w:r>
      <w:r w:rsidR="00EA5F59" w:rsidRPr="000C0842">
        <w:rPr>
          <w:rFonts w:eastAsia="SimSun" w:hint="eastAsia"/>
          <w:sz w:val="24"/>
          <w:szCs w:val="24"/>
        </w:rPr>
        <w:t>代表关于小组讨论结果的报告，并审议了一份非正式文件提出的拟议案文。</w:t>
      </w:r>
    </w:p>
    <w:p w14:paraId="3F65AD57" w14:textId="0CE256B6" w:rsidR="00EA5F59" w:rsidRPr="000C0842" w:rsidRDefault="00EE28F8"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下列缔约方</w:t>
      </w:r>
      <w:r w:rsidR="00EA5F59" w:rsidRPr="000C0842">
        <w:rPr>
          <w:rFonts w:eastAsia="SimSun" w:hint="eastAsia"/>
          <w:sz w:val="24"/>
          <w:szCs w:val="24"/>
        </w:rPr>
        <w:t>的代表发</w:t>
      </w:r>
      <w:r w:rsidR="0015095B" w:rsidRPr="000C0842">
        <w:rPr>
          <w:rFonts w:eastAsia="SimSun" w:hint="eastAsia"/>
          <w:sz w:val="24"/>
          <w:szCs w:val="24"/>
        </w:rPr>
        <w:t>了</w:t>
      </w:r>
      <w:r w:rsidR="00EA5F59" w:rsidRPr="000C0842">
        <w:rPr>
          <w:rFonts w:eastAsia="SimSun" w:hint="eastAsia"/>
          <w:sz w:val="24"/>
          <w:szCs w:val="24"/>
        </w:rPr>
        <w:t>言</w:t>
      </w:r>
      <w:r w:rsidR="0015095B" w:rsidRPr="000C0842">
        <w:rPr>
          <w:rFonts w:eastAsia="SimSun" w:hint="eastAsia"/>
          <w:sz w:val="24"/>
          <w:szCs w:val="24"/>
        </w:rPr>
        <w:t>：</w:t>
      </w:r>
      <w:r w:rsidR="00EA5F59" w:rsidRPr="000C0842">
        <w:rPr>
          <w:rFonts w:eastAsia="SimSun" w:hint="eastAsia"/>
          <w:sz w:val="24"/>
          <w:szCs w:val="24"/>
        </w:rPr>
        <w:t>巴西、中国、埃及、欧洲联盟及其成员国、斐济</w:t>
      </w:r>
      <w:r w:rsidR="00E43413" w:rsidRPr="000C0842">
        <w:rPr>
          <w:rFonts w:eastAsia="SimSun" w:hint="eastAsia"/>
          <w:sz w:val="24"/>
          <w:szCs w:val="24"/>
        </w:rPr>
        <w:t>（</w:t>
      </w:r>
      <w:r w:rsidR="00EA5F59" w:rsidRPr="000C0842">
        <w:rPr>
          <w:rFonts w:eastAsia="SimSun" w:hint="eastAsia"/>
          <w:sz w:val="24"/>
          <w:szCs w:val="24"/>
        </w:rPr>
        <w:t>代表太平洋小岛屿发展中国家</w:t>
      </w:r>
      <w:r w:rsidR="00E43413" w:rsidRPr="000C0842">
        <w:rPr>
          <w:rFonts w:eastAsia="SimSun" w:hint="eastAsia"/>
          <w:sz w:val="24"/>
          <w:szCs w:val="24"/>
        </w:rPr>
        <w:t>）</w:t>
      </w:r>
      <w:r w:rsidR="00A32877" w:rsidRPr="000C0842">
        <w:rPr>
          <w:rFonts w:eastAsia="SimSun" w:hint="eastAsia"/>
          <w:sz w:val="24"/>
          <w:szCs w:val="24"/>
        </w:rPr>
        <w:t>、</w:t>
      </w:r>
      <w:r w:rsidR="00EA5F59" w:rsidRPr="000C0842">
        <w:rPr>
          <w:rFonts w:eastAsia="SimSun" w:hint="eastAsia"/>
          <w:sz w:val="24"/>
          <w:szCs w:val="24"/>
        </w:rPr>
        <w:t>俄罗斯联邦。</w:t>
      </w:r>
    </w:p>
    <w:p w14:paraId="3AB7C091" w14:textId="5989D605" w:rsidR="00EA5F59"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w:t>
      </w:r>
      <w:r w:rsidR="00A32877" w:rsidRPr="000C0842">
        <w:rPr>
          <w:rFonts w:eastAsia="SimSun" w:hint="eastAsia"/>
          <w:sz w:val="24"/>
          <w:szCs w:val="24"/>
        </w:rPr>
        <w:t>商定</w:t>
      </w:r>
      <w:r w:rsidRPr="000C0842">
        <w:rPr>
          <w:rFonts w:eastAsia="SimSun" w:hint="eastAsia"/>
          <w:sz w:val="24"/>
          <w:szCs w:val="24"/>
        </w:rPr>
        <w:t>由主席</w:t>
      </w:r>
      <w:r w:rsidR="00A32877" w:rsidRPr="000C0842">
        <w:rPr>
          <w:rFonts w:eastAsia="SimSun" w:hint="eastAsia"/>
          <w:sz w:val="24"/>
          <w:szCs w:val="24"/>
        </w:rPr>
        <w:t>拟定</w:t>
      </w:r>
      <w:r w:rsidRPr="000C0842">
        <w:rPr>
          <w:rFonts w:eastAsia="SimSun" w:hint="eastAsia"/>
          <w:sz w:val="24"/>
          <w:szCs w:val="24"/>
        </w:rPr>
        <w:t>决定草案的第二次</w:t>
      </w:r>
      <w:r w:rsidR="00A32877" w:rsidRPr="000C0842">
        <w:rPr>
          <w:rFonts w:eastAsia="SimSun" w:hint="eastAsia"/>
          <w:sz w:val="24"/>
          <w:szCs w:val="24"/>
        </w:rPr>
        <w:t>订正</w:t>
      </w:r>
      <w:r w:rsidRPr="000C0842">
        <w:rPr>
          <w:rFonts w:eastAsia="SimSun" w:hint="eastAsia"/>
          <w:sz w:val="24"/>
          <w:szCs w:val="24"/>
        </w:rPr>
        <w:t>版。</w:t>
      </w:r>
    </w:p>
    <w:p w14:paraId="36634BF9" w14:textId="3FAB3BB6" w:rsidR="00EA5F59" w:rsidRPr="000C0842" w:rsidRDefault="00A32877"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缔约方大会</w:t>
      </w:r>
      <w:r w:rsidR="00EA5F59" w:rsidRPr="000C0842">
        <w:rPr>
          <w:rFonts w:eastAsia="SimSun" w:hint="eastAsia"/>
          <w:sz w:val="24"/>
          <w:szCs w:val="24"/>
        </w:rPr>
        <w:t>第</w:t>
      </w:r>
      <w:r w:rsidR="00EA5F59" w:rsidRPr="000C0842">
        <w:rPr>
          <w:rFonts w:eastAsia="SimSun" w:hint="eastAsia"/>
          <w:sz w:val="24"/>
          <w:szCs w:val="24"/>
        </w:rPr>
        <w:t>13</w:t>
      </w:r>
      <w:r w:rsidRPr="000C0842">
        <w:rPr>
          <w:rFonts w:eastAsia="SimSun" w:hint="eastAsia"/>
          <w:sz w:val="24"/>
          <w:szCs w:val="24"/>
        </w:rPr>
        <w:t>场</w:t>
      </w:r>
      <w:r w:rsidR="00EA5F59" w:rsidRPr="000C0842">
        <w:rPr>
          <w:rFonts w:eastAsia="SimSun" w:hint="eastAsia"/>
          <w:sz w:val="24"/>
          <w:szCs w:val="24"/>
        </w:rPr>
        <w:t>全体会议审议</w:t>
      </w:r>
      <w:r w:rsidRPr="000C0842">
        <w:rPr>
          <w:rFonts w:eastAsia="SimSun" w:hint="eastAsia"/>
          <w:sz w:val="24"/>
          <w:szCs w:val="24"/>
        </w:rPr>
        <w:t>并通过了</w:t>
      </w:r>
      <w:r w:rsidR="00EA5F59" w:rsidRPr="000C0842">
        <w:rPr>
          <w:rFonts w:eastAsia="SimSun" w:hint="eastAsia"/>
          <w:sz w:val="24"/>
          <w:szCs w:val="24"/>
        </w:rPr>
        <w:t>主席提交的订正决定草案</w:t>
      </w:r>
      <w:hyperlink r:id="rId390" w:history="1">
        <w:r w:rsidR="00EA5F59" w:rsidRPr="000C0842">
          <w:rPr>
            <w:rStyle w:val="Hyperlink"/>
            <w:rFonts w:eastAsia="SimSun" w:hint="eastAsia"/>
            <w:color w:val="auto"/>
            <w:sz w:val="24"/>
            <w:szCs w:val="24"/>
          </w:rPr>
          <w:t>CBD/COP/16/L.34/Rev.2</w:t>
        </w:r>
      </w:hyperlink>
      <w:r w:rsidR="00EA5F59" w:rsidRPr="000C0842">
        <w:rPr>
          <w:rFonts w:eastAsia="SimSun" w:hint="eastAsia"/>
          <w:sz w:val="24"/>
          <w:szCs w:val="24"/>
        </w:rPr>
        <w:t>，</w:t>
      </w:r>
      <w:r w:rsidRPr="000C0842">
        <w:rPr>
          <w:rFonts w:eastAsia="SimSun" w:hint="eastAsia"/>
          <w:sz w:val="24"/>
          <w:szCs w:val="24"/>
        </w:rPr>
        <w:t>订正决定</w:t>
      </w:r>
      <w:r w:rsidR="00EA5F59" w:rsidRPr="000C0842">
        <w:rPr>
          <w:rFonts w:eastAsia="SimSun" w:hint="eastAsia"/>
          <w:sz w:val="24"/>
          <w:szCs w:val="24"/>
        </w:rPr>
        <w:t>草案成为第</w:t>
      </w:r>
      <w:hyperlink r:id="rId391" w:history="1">
        <w:r w:rsidR="00EA5F59" w:rsidRPr="000C0842">
          <w:rPr>
            <w:rStyle w:val="Hyperlink"/>
            <w:rFonts w:eastAsia="SimSun" w:hint="eastAsia"/>
            <w:color w:val="auto"/>
            <w:sz w:val="24"/>
            <w:szCs w:val="24"/>
          </w:rPr>
          <w:t>16/34</w:t>
        </w:r>
      </w:hyperlink>
      <w:r w:rsidR="00EA5F59" w:rsidRPr="000C0842">
        <w:rPr>
          <w:rFonts w:eastAsia="SimSun" w:hint="eastAsia"/>
          <w:sz w:val="24"/>
          <w:szCs w:val="24"/>
        </w:rPr>
        <w:t>号决定。</w:t>
      </w:r>
    </w:p>
    <w:p w14:paraId="1CE6973D" w14:textId="21AA094E" w:rsidR="00141995" w:rsidRPr="000C0842" w:rsidRDefault="00EA5F59" w:rsidP="00EA5F5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阿根廷的一</w:t>
      </w:r>
      <w:r w:rsidR="00EE6292" w:rsidRPr="000C0842">
        <w:rPr>
          <w:rFonts w:eastAsia="SimSun" w:hint="eastAsia"/>
          <w:sz w:val="24"/>
          <w:szCs w:val="24"/>
        </w:rPr>
        <w:t>位</w:t>
      </w:r>
      <w:r w:rsidRPr="000C0842">
        <w:rPr>
          <w:rFonts w:eastAsia="SimSun" w:hint="eastAsia"/>
          <w:sz w:val="24"/>
          <w:szCs w:val="24"/>
        </w:rPr>
        <w:t>代表</w:t>
      </w:r>
      <w:r w:rsidR="00A32877" w:rsidRPr="000C0842">
        <w:rPr>
          <w:rFonts w:eastAsia="SimSun" w:hint="eastAsia"/>
          <w:sz w:val="24"/>
          <w:szCs w:val="24"/>
        </w:rPr>
        <w:t>随后</w:t>
      </w:r>
      <w:r w:rsidRPr="000C0842">
        <w:rPr>
          <w:rFonts w:eastAsia="SimSun" w:hint="eastAsia"/>
          <w:sz w:val="24"/>
          <w:szCs w:val="24"/>
        </w:rPr>
        <w:t>对通过的决定表示保留，称阿根廷</w:t>
      </w:r>
      <w:r w:rsidR="00A32877" w:rsidRPr="000C0842">
        <w:rPr>
          <w:rFonts w:eastAsia="SimSun" w:hint="eastAsia"/>
          <w:sz w:val="24"/>
          <w:szCs w:val="24"/>
        </w:rPr>
        <w:t>不同意</w:t>
      </w:r>
      <w:r w:rsidRPr="000C0842">
        <w:rPr>
          <w:rFonts w:eastAsia="SimSun" w:hint="eastAsia"/>
          <w:sz w:val="24"/>
          <w:szCs w:val="24"/>
        </w:rPr>
        <w:t>附件一第</w:t>
      </w:r>
      <w:r w:rsidRPr="000C0842">
        <w:rPr>
          <w:rFonts w:eastAsia="SimSun" w:hint="eastAsia"/>
          <w:sz w:val="24"/>
          <w:szCs w:val="24"/>
        </w:rPr>
        <w:t>9 (d)</w:t>
      </w:r>
      <w:r w:rsidRPr="000C0842">
        <w:rPr>
          <w:rFonts w:eastAsia="SimSun" w:hint="eastAsia"/>
          <w:sz w:val="24"/>
          <w:szCs w:val="24"/>
        </w:rPr>
        <w:t>段和第</w:t>
      </w:r>
      <w:r w:rsidRPr="000C0842">
        <w:rPr>
          <w:rFonts w:eastAsia="SimSun" w:hint="eastAsia"/>
          <w:sz w:val="24"/>
          <w:szCs w:val="24"/>
        </w:rPr>
        <w:t>11 (e)(</w:t>
      </w:r>
      <w:r w:rsidRPr="000C0842">
        <w:rPr>
          <w:rFonts w:eastAsia="SimSun" w:hint="eastAsia"/>
          <w:sz w:val="24"/>
          <w:szCs w:val="24"/>
        </w:rPr>
        <w:t>二</w:t>
      </w:r>
      <w:r w:rsidRPr="000C0842">
        <w:rPr>
          <w:rFonts w:eastAsia="SimSun" w:hint="eastAsia"/>
          <w:sz w:val="24"/>
          <w:szCs w:val="24"/>
        </w:rPr>
        <w:t>)</w:t>
      </w:r>
      <w:r w:rsidRPr="000C0842">
        <w:rPr>
          <w:rFonts w:eastAsia="SimSun" w:hint="eastAsia"/>
          <w:sz w:val="24"/>
          <w:szCs w:val="24"/>
        </w:rPr>
        <w:t>段</w:t>
      </w:r>
      <w:r w:rsidR="00A32877" w:rsidRPr="000C0842">
        <w:rPr>
          <w:rFonts w:eastAsia="SimSun" w:hint="eastAsia"/>
          <w:sz w:val="24"/>
          <w:szCs w:val="24"/>
        </w:rPr>
        <w:t>提及</w:t>
      </w:r>
      <w:r w:rsidRPr="000C0842">
        <w:rPr>
          <w:rFonts w:eastAsia="SimSun" w:hint="eastAsia"/>
          <w:sz w:val="24"/>
          <w:szCs w:val="24"/>
        </w:rPr>
        <w:t>可持续发展目标。</w:t>
      </w:r>
    </w:p>
    <w:p w14:paraId="6CE35D3B" w14:textId="11A86F26" w:rsidR="001136A9" w:rsidRPr="000C0842" w:rsidRDefault="001136A9" w:rsidP="001136A9">
      <w:pPr>
        <w:keepNext/>
        <w:tabs>
          <w:tab w:val="clear" w:pos="567"/>
          <w:tab w:val="clear" w:pos="1134"/>
          <w:tab w:val="clear" w:pos="1701"/>
          <w:tab w:val="clear" w:pos="2268"/>
        </w:tabs>
        <w:spacing w:after="120"/>
        <w:ind w:left="490"/>
        <w:rPr>
          <w:rFonts w:eastAsia="SimSun"/>
          <w:sz w:val="24"/>
          <w:szCs w:val="24"/>
        </w:rPr>
      </w:pPr>
      <w:r w:rsidRPr="000C0842">
        <w:rPr>
          <w:rFonts w:eastAsia="KaiTi"/>
          <w:sz w:val="24"/>
          <w:szCs w:val="24"/>
        </w:rPr>
        <w:t>财务机制</w:t>
      </w:r>
    </w:p>
    <w:p w14:paraId="697C9D1D" w14:textId="4E1ECE44" w:rsidR="001136A9" w:rsidRPr="000C0842" w:rsidRDefault="000D3DF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在第一工作组第</w:t>
      </w:r>
      <w:r w:rsidR="00BD493D" w:rsidRPr="000C0842">
        <w:rPr>
          <w:rFonts w:eastAsia="SimSun"/>
          <w:sz w:val="24"/>
          <w:szCs w:val="24"/>
        </w:rPr>
        <w:t>1</w:t>
      </w:r>
      <w:r w:rsidR="00BD493D" w:rsidRPr="000C0842">
        <w:rPr>
          <w:rFonts w:eastAsia="SimSun"/>
          <w:sz w:val="24"/>
          <w:szCs w:val="24"/>
        </w:rPr>
        <w:t>场</w:t>
      </w:r>
      <w:r w:rsidRPr="000C0842">
        <w:rPr>
          <w:rFonts w:eastAsia="SimSun"/>
          <w:sz w:val="24"/>
          <w:szCs w:val="24"/>
        </w:rPr>
        <w:t>会议上，</w:t>
      </w:r>
      <w:r w:rsidR="001136A9" w:rsidRPr="000C0842">
        <w:rPr>
          <w:rFonts w:eastAsia="SimSun"/>
          <w:sz w:val="24"/>
          <w:szCs w:val="24"/>
        </w:rPr>
        <w:t>全环基金</w:t>
      </w:r>
      <w:r w:rsidRPr="000C0842">
        <w:rPr>
          <w:rFonts w:eastAsia="SimSun"/>
          <w:sz w:val="24"/>
          <w:szCs w:val="24"/>
        </w:rPr>
        <w:t>一位</w:t>
      </w:r>
      <w:r w:rsidR="001136A9" w:rsidRPr="000C0842">
        <w:rPr>
          <w:rFonts w:eastAsia="SimSun"/>
          <w:sz w:val="24"/>
          <w:szCs w:val="24"/>
        </w:rPr>
        <w:t>代表介绍了全环基金理事会提交公约缔约方大会第十六届会议的报告。</w:t>
      </w:r>
    </w:p>
    <w:p w14:paraId="6CA444F6" w14:textId="05BCADDF"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独立</w:t>
      </w:r>
      <w:r w:rsidR="000D3DFA" w:rsidRPr="000C0842">
        <w:rPr>
          <w:rFonts w:eastAsia="SimSun"/>
          <w:sz w:val="24"/>
          <w:szCs w:val="24"/>
        </w:rPr>
        <w:t>评价</w:t>
      </w:r>
      <w:r w:rsidRPr="000C0842">
        <w:rPr>
          <w:rFonts w:eastAsia="SimSun"/>
          <w:sz w:val="24"/>
          <w:szCs w:val="24"/>
        </w:rPr>
        <w:t>人介绍了其关于第六次</w:t>
      </w:r>
      <w:r w:rsidR="000D3DFA" w:rsidRPr="000C0842">
        <w:rPr>
          <w:rFonts w:eastAsia="SimSun"/>
          <w:sz w:val="24"/>
          <w:szCs w:val="24"/>
        </w:rPr>
        <w:t>四年期</w:t>
      </w:r>
      <w:r w:rsidRPr="000C0842">
        <w:rPr>
          <w:rFonts w:eastAsia="SimSun"/>
          <w:sz w:val="24"/>
          <w:szCs w:val="24"/>
        </w:rPr>
        <w:t>财务机制成效审查的报告。</w:t>
      </w:r>
    </w:p>
    <w:p w14:paraId="74F692FE" w14:textId="1333C2AA" w:rsidR="001136A9"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EE6292" w:rsidRPr="000C0842">
        <w:rPr>
          <w:rFonts w:eastAsia="SimSun" w:hint="eastAsia"/>
          <w:sz w:val="24"/>
          <w:szCs w:val="24"/>
        </w:rPr>
        <w:t>的</w:t>
      </w:r>
      <w:r w:rsidR="001136A9" w:rsidRPr="000C0842">
        <w:rPr>
          <w:rFonts w:eastAsia="SimSun"/>
          <w:sz w:val="24"/>
          <w:szCs w:val="24"/>
        </w:rPr>
        <w:t>代表发</w:t>
      </w:r>
      <w:r w:rsidR="000D3DFA" w:rsidRPr="000C0842">
        <w:rPr>
          <w:rFonts w:eastAsia="SimSun"/>
          <w:sz w:val="24"/>
          <w:szCs w:val="24"/>
        </w:rPr>
        <w:t>了</w:t>
      </w:r>
      <w:r w:rsidR="001136A9" w:rsidRPr="000C0842">
        <w:rPr>
          <w:rFonts w:eastAsia="SimSun"/>
          <w:sz w:val="24"/>
          <w:szCs w:val="24"/>
        </w:rPr>
        <w:t>言：巴西、刚果民主共和国、欧洲联盟及其成员国、危地马拉、日本</w:t>
      </w:r>
      <w:r w:rsidR="0036771E" w:rsidRPr="000C0842">
        <w:rPr>
          <w:rFonts w:eastAsia="SimSun" w:hint="eastAsia"/>
          <w:sz w:val="24"/>
          <w:szCs w:val="24"/>
        </w:rPr>
        <w:t>、</w:t>
      </w:r>
      <w:r w:rsidR="001136A9" w:rsidRPr="000C0842">
        <w:rPr>
          <w:rFonts w:eastAsia="SimSun"/>
          <w:sz w:val="24"/>
          <w:szCs w:val="24"/>
        </w:rPr>
        <w:t>塞舌尔。</w:t>
      </w:r>
    </w:p>
    <w:p w14:paraId="3271FD68" w14:textId="4DB2B01C" w:rsidR="001136A9" w:rsidRPr="000C0842" w:rsidRDefault="00F55605"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hint="eastAsia"/>
          <w:sz w:val="24"/>
          <w:szCs w:val="24"/>
        </w:rPr>
        <w:t>2024</w:t>
      </w:r>
      <w:r w:rsidRPr="000C0842">
        <w:rPr>
          <w:rFonts w:eastAsia="SimSun" w:hint="eastAsia"/>
          <w:sz w:val="24"/>
          <w:szCs w:val="24"/>
        </w:rPr>
        <w:t>年</w:t>
      </w:r>
      <w:r w:rsidR="001136A9" w:rsidRPr="000C0842">
        <w:rPr>
          <w:rFonts w:eastAsia="SimSun"/>
          <w:sz w:val="24"/>
          <w:szCs w:val="24"/>
        </w:rPr>
        <w:t>10</w:t>
      </w:r>
      <w:r w:rsidR="001136A9" w:rsidRPr="000C0842">
        <w:rPr>
          <w:rFonts w:eastAsia="SimSun"/>
          <w:sz w:val="24"/>
          <w:szCs w:val="24"/>
        </w:rPr>
        <w:t>月</w:t>
      </w:r>
      <w:r w:rsidR="001136A9" w:rsidRPr="000C0842">
        <w:rPr>
          <w:rFonts w:eastAsia="SimSun"/>
          <w:sz w:val="24"/>
          <w:szCs w:val="24"/>
        </w:rPr>
        <w:t>22</w:t>
      </w:r>
      <w:r w:rsidR="001136A9" w:rsidRPr="000C0842">
        <w:rPr>
          <w:rFonts w:eastAsia="SimSun"/>
          <w:sz w:val="24"/>
          <w:szCs w:val="24"/>
        </w:rPr>
        <w:t>日第一工作组第</w:t>
      </w:r>
      <w:r w:rsidR="004D27CF" w:rsidRPr="000C0842">
        <w:rPr>
          <w:rFonts w:eastAsia="SimSun"/>
          <w:sz w:val="24"/>
          <w:szCs w:val="24"/>
        </w:rPr>
        <w:t>2</w:t>
      </w:r>
      <w:r w:rsidR="004D27CF" w:rsidRPr="000C0842">
        <w:rPr>
          <w:rFonts w:eastAsia="SimSun"/>
          <w:sz w:val="24"/>
          <w:szCs w:val="24"/>
        </w:rPr>
        <w:t>场会议</w:t>
      </w:r>
      <w:r w:rsidR="001136A9" w:rsidRPr="000C0842">
        <w:rPr>
          <w:rFonts w:eastAsia="SimSun"/>
          <w:sz w:val="24"/>
          <w:szCs w:val="24"/>
        </w:rPr>
        <w:t>继续审议该事项。</w:t>
      </w:r>
    </w:p>
    <w:p w14:paraId="5A133E3F" w14:textId="3B1EF97A" w:rsidR="001136A9" w:rsidRPr="000C0842" w:rsidRDefault="00EE28F8"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代表发</w:t>
      </w:r>
      <w:r w:rsidR="000D3DFA" w:rsidRPr="000C0842">
        <w:rPr>
          <w:rFonts w:eastAsia="SimSun"/>
          <w:sz w:val="24"/>
          <w:szCs w:val="24"/>
        </w:rPr>
        <w:t>了</w:t>
      </w:r>
      <w:r w:rsidR="001136A9" w:rsidRPr="000C0842">
        <w:rPr>
          <w:rFonts w:eastAsia="SimSun"/>
          <w:sz w:val="24"/>
          <w:szCs w:val="24"/>
        </w:rPr>
        <w:t>言：澳大利亚、孟加拉国、多民族玻利维亚国、波斯尼亚和黑塞哥维那、喀麦隆、加拿大、中国、哥伦比亚、刚果民主共和国、斐济、印度、日本、墨西哥、新西兰、挪威、俄罗斯联邦、南非、瑞士、乌干达、联合王国、坦桑尼亚联合共和国、乌拉圭</w:t>
      </w:r>
      <w:r w:rsidR="0036771E" w:rsidRPr="000C0842">
        <w:rPr>
          <w:rFonts w:eastAsia="SimSun" w:hint="eastAsia"/>
          <w:sz w:val="24"/>
          <w:szCs w:val="24"/>
        </w:rPr>
        <w:t>、</w:t>
      </w:r>
      <w:r w:rsidR="001136A9" w:rsidRPr="000C0842">
        <w:rPr>
          <w:rFonts w:eastAsia="SimSun"/>
          <w:sz w:val="24"/>
          <w:szCs w:val="24"/>
        </w:rPr>
        <w:t>越南。</w:t>
      </w:r>
    </w:p>
    <w:p w14:paraId="2F47CAF5" w14:textId="77777777" w:rsidR="001136A9" w:rsidRPr="000C0842"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0C0842">
        <w:rPr>
          <w:rFonts w:eastAsia="SimSun"/>
          <w:sz w:val="24"/>
          <w:szCs w:val="24"/>
        </w:rPr>
        <w:t>阿拉伯农业发展组织和全球青年生物多样性网络的代表也发了言。</w:t>
      </w:r>
    </w:p>
    <w:p w14:paraId="7041EB33" w14:textId="675A1D9D" w:rsidR="001136A9" w:rsidRPr="000C0842"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第一工作组设立了一个联络小组，由</w:t>
      </w:r>
      <w:r w:rsidRPr="000C0842">
        <w:rPr>
          <w:rFonts w:eastAsia="SimSun"/>
          <w:sz w:val="24"/>
          <w:szCs w:val="24"/>
        </w:rPr>
        <w:t>Laura Bermúdez</w:t>
      </w:r>
      <w:r w:rsidRPr="000C0842">
        <w:rPr>
          <w:rFonts w:eastAsia="SimSun"/>
          <w:sz w:val="24"/>
          <w:szCs w:val="24"/>
        </w:rPr>
        <w:t>（哥伦比亚）和</w:t>
      </w:r>
      <w:r w:rsidRPr="000C0842">
        <w:rPr>
          <w:rFonts w:eastAsia="SimSun"/>
          <w:sz w:val="24"/>
          <w:szCs w:val="24"/>
        </w:rPr>
        <w:t>Ladislav Miko</w:t>
      </w:r>
      <w:r w:rsidRPr="000C0842">
        <w:rPr>
          <w:rFonts w:eastAsia="SimSun"/>
          <w:sz w:val="24"/>
          <w:szCs w:val="24"/>
        </w:rPr>
        <w:t>（捷克）担任共同主席，负责审议</w:t>
      </w:r>
      <w:hyperlink r:id="rId392" w:history="1">
        <w:r w:rsidRPr="000C0842">
          <w:rPr>
            <w:rStyle w:val="Hyperlink"/>
            <w:rFonts w:eastAsia="SimSun"/>
            <w:color w:val="auto"/>
            <w:sz w:val="24"/>
            <w:szCs w:val="24"/>
          </w:rPr>
          <w:t>CBD/COP/16/2/Rev.1</w:t>
        </w:r>
      </w:hyperlink>
      <w:r w:rsidRPr="000C0842">
        <w:rPr>
          <w:rFonts w:eastAsia="SimSun"/>
          <w:sz w:val="24"/>
          <w:szCs w:val="24"/>
        </w:rPr>
        <w:t>号文件所载财务机制决定草案以及缔约方和观察员在会议期间所提评论意见的新要点。此外还请联络小组与资源调动问题联络小组协调讨论，因为两者之间相互关联。</w:t>
      </w:r>
    </w:p>
    <w:p w14:paraId="2BE8E755" w14:textId="308AE69B" w:rsidR="001136A9" w:rsidRPr="000C0842"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C9367D" w:rsidRPr="000C0842">
        <w:rPr>
          <w:rFonts w:eastAsia="SimSun"/>
          <w:sz w:val="24"/>
          <w:szCs w:val="24"/>
        </w:rPr>
        <w:t>6</w:t>
      </w:r>
      <w:r w:rsidR="00C9367D" w:rsidRPr="000C0842">
        <w:rPr>
          <w:rFonts w:eastAsia="SimSun"/>
          <w:sz w:val="24"/>
          <w:szCs w:val="24"/>
        </w:rPr>
        <w:t>场</w:t>
      </w:r>
      <w:r w:rsidRPr="000C0842">
        <w:rPr>
          <w:rFonts w:eastAsia="SimSun"/>
          <w:sz w:val="24"/>
          <w:szCs w:val="24"/>
        </w:rPr>
        <w:t>会议审议了主席在联络小组讨论后提交的一份订正决定草案。</w:t>
      </w:r>
    </w:p>
    <w:p w14:paraId="20FF7F9F" w14:textId="25A0258A" w:rsidR="001136A9" w:rsidRPr="000C0842" w:rsidRDefault="00EE28F8"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的代表</w:t>
      </w:r>
      <w:r w:rsidR="001C1443" w:rsidRPr="000C0842">
        <w:rPr>
          <w:rFonts w:eastAsia="SimSun"/>
          <w:sz w:val="24"/>
          <w:szCs w:val="24"/>
        </w:rPr>
        <w:t>发了言</w:t>
      </w:r>
      <w:r w:rsidR="001136A9" w:rsidRPr="000C0842">
        <w:rPr>
          <w:rFonts w:eastAsia="SimSun"/>
          <w:sz w:val="24"/>
          <w:szCs w:val="24"/>
        </w:rPr>
        <w:t>：阿根廷、波斯尼亚和黑塞哥维那、巴西、中国、捷克、欧洲联盟及其成员国、斐济、格鲁吉亚、日本、挪威、秘鲁、瑞士、联合王国</w:t>
      </w:r>
      <w:r w:rsidR="00EB234D" w:rsidRPr="000C0842">
        <w:rPr>
          <w:rFonts w:eastAsia="SimSun" w:hint="eastAsia"/>
          <w:sz w:val="24"/>
          <w:szCs w:val="24"/>
        </w:rPr>
        <w:t>、</w:t>
      </w:r>
      <w:r w:rsidR="001136A9" w:rsidRPr="000C0842">
        <w:rPr>
          <w:rFonts w:eastAsia="SimSun"/>
          <w:sz w:val="24"/>
          <w:szCs w:val="24"/>
        </w:rPr>
        <w:t>津巴布韦。</w:t>
      </w:r>
    </w:p>
    <w:p w14:paraId="04CFC524" w14:textId="01E974EC" w:rsidR="001136A9" w:rsidRPr="000C0842"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工作组核准了经口头修正的订正决定草案，将其作为</w:t>
      </w:r>
      <w:r w:rsidRPr="000C0842">
        <w:rPr>
          <w:rFonts w:eastAsia="SimSun"/>
          <w:sz w:val="24"/>
          <w:szCs w:val="24"/>
        </w:rPr>
        <w:t>CBD/COP/16/L.31</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0D892F27" w14:textId="51F0D72F" w:rsidR="000D3DFA" w:rsidRPr="000C0842" w:rsidRDefault="00EE6292"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A7097A" w:rsidRPr="000C0842">
        <w:rPr>
          <w:rFonts w:eastAsia="SimSun" w:hint="eastAsia"/>
          <w:sz w:val="24"/>
          <w:szCs w:val="24"/>
        </w:rPr>
        <w:t>第</w:t>
      </w:r>
      <w:r w:rsidR="00A7097A" w:rsidRPr="000C0842">
        <w:rPr>
          <w:rFonts w:eastAsia="SimSun" w:hint="eastAsia"/>
          <w:sz w:val="24"/>
          <w:szCs w:val="24"/>
        </w:rPr>
        <w:t>8</w:t>
      </w:r>
      <w:r w:rsidR="005B3F06" w:rsidRPr="000C0842">
        <w:rPr>
          <w:rFonts w:eastAsia="SimSun" w:hint="eastAsia"/>
          <w:sz w:val="24"/>
          <w:szCs w:val="24"/>
        </w:rPr>
        <w:t>场</w:t>
      </w:r>
      <w:r w:rsidR="000D3DFA" w:rsidRPr="000C0842">
        <w:rPr>
          <w:rFonts w:eastAsia="SimSun"/>
          <w:sz w:val="24"/>
          <w:szCs w:val="24"/>
        </w:rPr>
        <w:t>全体会议审议了</w:t>
      </w:r>
      <w:r w:rsidR="00A7097A" w:rsidRPr="000C0842">
        <w:rPr>
          <w:rFonts w:eastAsia="SimSun" w:hint="eastAsia"/>
          <w:sz w:val="24"/>
          <w:szCs w:val="24"/>
        </w:rPr>
        <w:t>第一工作组</w:t>
      </w:r>
      <w:r w:rsidR="000D3DFA" w:rsidRPr="000C0842">
        <w:rPr>
          <w:rFonts w:eastAsia="SimSun"/>
          <w:sz w:val="24"/>
          <w:szCs w:val="24"/>
        </w:rPr>
        <w:t>主席提交的</w:t>
      </w:r>
      <w:hyperlink r:id="rId393" w:history="1">
        <w:r w:rsidR="000D3DFA" w:rsidRPr="000C0842">
          <w:rPr>
            <w:rStyle w:val="Hyperlink"/>
            <w:rFonts w:eastAsia="SimSun"/>
            <w:color w:val="auto"/>
            <w:sz w:val="24"/>
            <w:szCs w:val="24"/>
          </w:rPr>
          <w:t>CBD/COP/16/L.31</w:t>
        </w:r>
      </w:hyperlink>
      <w:r w:rsidR="00FC2FC8" w:rsidRPr="000C0842">
        <w:rPr>
          <w:rFonts w:eastAsia="SimSun"/>
          <w:sz w:val="24"/>
          <w:szCs w:val="24"/>
        </w:rPr>
        <w:t>号决定草案</w:t>
      </w:r>
      <w:r w:rsidR="00A7097A" w:rsidRPr="000C0842">
        <w:rPr>
          <w:rFonts w:eastAsia="SimSun" w:hint="eastAsia"/>
          <w:sz w:val="24"/>
          <w:szCs w:val="24"/>
        </w:rPr>
        <w:t>。</w:t>
      </w:r>
    </w:p>
    <w:p w14:paraId="12B94565" w14:textId="5A67F2C9" w:rsidR="00A7097A" w:rsidRPr="000C0842" w:rsidRDefault="00A7097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w:t>
      </w:r>
      <w:r w:rsidRPr="000C0842">
        <w:rPr>
          <w:rFonts w:eastAsia="SimSun"/>
          <w:sz w:val="24"/>
          <w:szCs w:val="24"/>
        </w:rPr>
        <w:t>会商定，讨论资源调动问题的非正式小组将审议决定草案序言部分倒数第二段、第</w:t>
      </w:r>
      <w:r w:rsidRPr="000C0842">
        <w:rPr>
          <w:rFonts w:eastAsia="SimSun"/>
          <w:sz w:val="24"/>
          <w:szCs w:val="24"/>
        </w:rPr>
        <w:t>17</w:t>
      </w:r>
      <w:r w:rsidRPr="000C0842">
        <w:rPr>
          <w:rFonts w:eastAsia="SimSun"/>
          <w:sz w:val="24"/>
          <w:szCs w:val="24"/>
        </w:rPr>
        <w:t>段</w:t>
      </w:r>
      <w:r w:rsidR="00630038" w:rsidRPr="000C0842">
        <w:rPr>
          <w:rFonts w:eastAsia="SimSun" w:hint="eastAsia"/>
          <w:sz w:val="24"/>
          <w:szCs w:val="24"/>
        </w:rPr>
        <w:t>、</w:t>
      </w:r>
      <w:r w:rsidRPr="000C0842">
        <w:rPr>
          <w:rFonts w:eastAsia="SimSun"/>
          <w:sz w:val="24"/>
          <w:szCs w:val="24"/>
        </w:rPr>
        <w:t>第</w:t>
      </w:r>
      <w:r w:rsidRPr="000C0842">
        <w:rPr>
          <w:rFonts w:eastAsia="SimSun"/>
          <w:sz w:val="24"/>
          <w:szCs w:val="24"/>
        </w:rPr>
        <w:t>36</w:t>
      </w:r>
      <w:r w:rsidRPr="000C0842">
        <w:rPr>
          <w:rFonts w:eastAsia="SimSun"/>
          <w:sz w:val="24"/>
          <w:szCs w:val="24"/>
        </w:rPr>
        <w:t>至</w:t>
      </w:r>
      <w:r w:rsidRPr="000C0842">
        <w:rPr>
          <w:rFonts w:eastAsia="SimSun"/>
          <w:sz w:val="24"/>
          <w:szCs w:val="24"/>
        </w:rPr>
        <w:t>38</w:t>
      </w:r>
      <w:r w:rsidRPr="000C0842">
        <w:rPr>
          <w:rFonts w:eastAsia="SimSun"/>
          <w:sz w:val="24"/>
          <w:szCs w:val="24"/>
        </w:rPr>
        <w:t>段以及决定草案附件一第</w:t>
      </w:r>
      <w:r w:rsidRPr="000C0842">
        <w:rPr>
          <w:rFonts w:eastAsia="SimSun"/>
          <w:sz w:val="24"/>
          <w:szCs w:val="24"/>
        </w:rPr>
        <w:t>9</w:t>
      </w:r>
      <w:r w:rsidR="00E43413" w:rsidRPr="000C0842">
        <w:rPr>
          <w:rFonts w:eastAsia="SimSun" w:hint="eastAsia"/>
          <w:sz w:val="24"/>
          <w:szCs w:val="24"/>
        </w:rPr>
        <w:t>(</w:t>
      </w:r>
      <w:r w:rsidRPr="000C0842">
        <w:rPr>
          <w:rFonts w:eastAsia="SimSun"/>
          <w:sz w:val="24"/>
          <w:szCs w:val="24"/>
        </w:rPr>
        <w:t>e</w:t>
      </w:r>
      <w:r w:rsidR="00E43413" w:rsidRPr="000C0842">
        <w:rPr>
          <w:rFonts w:eastAsia="SimSun" w:hint="eastAsia"/>
          <w:sz w:val="24"/>
          <w:szCs w:val="24"/>
        </w:rPr>
        <w:t>)</w:t>
      </w:r>
      <w:r w:rsidRPr="000C0842">
        <w:rPr>
          <w:rFonts w:eastAsia="SimSun"/>
          <w:sz w:val="24"/>
          <w:szCs w:val="24"/>
        </w:rPr>
        <w:t>段。</w:t>
      </w:r>
    </w:p>
    <w:p w14:paraId="0DBB513F" w14:textId="51755A42" w:rsidR="00A7097A" w:rsidRPr="000C0842" w:rsidRDefault="00EE28F8"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A7097A" w:rsidRPr="000C0842">
        <w:rPr>
          <w:rFonts w:eastAsia="SimSun"/>
          <w:sz w:val="24"/>
          <w:szCs w:val="24"/>
        </w:rPr>
        <w:t>的代表发了言：阿尔及利亚、安提瓜和巴布达、巴林、巴西、中国、古巴、危地马拉、印度尼西亚、牙买加、约旦、马尔代夫、秘鲁</w:t>
      </w:r>
      <w:r w:rsidR="005B3F06" w:rsidRPr="000C0842">
        <w:rPr>
          <w:rFonts w:eastAsia="SimSun" w:hint="eastAsia"/>
          <w:sz w:val="24"/>
          <w:szCs w:val="24"/>
        </w:rPr>
        <w:t>、</w:t>
      </w:r>
      <w:r w:rsidR="00A7097A" w:rsidRPr="000C0842">
        <w:rPr>
          <w:rFonts w:eastAsia="SimSun"/>
          <w:sz w:val="24"/>
          <w:szCs w:val="24"/>
        </w:rPr>
        <w:t>俄罗斯联邦。</w:t>
      </w:r>
    </w:p>
    <w:p w14:paraId="51DDD6EC" w14:textId="455021C0" w:rsidR="00A7097A" w:rsidRPr="000C0842" w:rsidRDefault="00A7097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大会</w:t>
      </w:r>
      <w:r w:rsidRPr="000C0842">
        <w:rPr>
          <w:rFonts w:eastAsia="SimSun"/>
          <w:sz w:val="24"/>
          <w:szCs w:val="24"/>
        </w:rPr>
        <w:t>第</w:t>
      </w:r>
      <w:r w:rsidRPr="000C0842">
        <w:rPr>
          <w:rFonts w:eastAsia="SimSun"/>
          <w:sz w:val="24"/>
          <w:szCs w:val="24"/>
        </w:rPr>
        <w:t>9</w:t>
      </w:r>
      <w:r w:rsidR="0036771E" w:rsidRPr="000C0842">
        <w:rPr>
          <w:rFonts w:eastAsia="SimSun" w:hint="eastAsia"/>
          <w:sz w:val="24"/>
          <w:szCs w:val="24"/>
        </w:rPr>
        <w:t>场</w:t>
      </w:r>
      <w:r w:rsidRPr="000C0842">
        <w:rPr>
          <w:rFonts w:eastAsia="SimSun"/>
          <w:sz w:val="24"/>
          <w:szCs w:val="24"/>
        </w:rPr>
        <w:t>全体会议</w:t>
      </w:r>
      <w:r w:rsidRPr="000C0842">
        <w:rPr>
          <w:rFonts w:eastAsia="SimSun" w:hint="eastAsia"/>
          <w:sz w:val="24"/>
          <w:szCs w:val="24"/>
        </w:rPr>
        <w:t>继续</w:t>
      </w:r>
      <w:r w:rsidRPr="000C0842">
        <w:rPr>
          <w:rFonts w:eastAsia="SimSun"/>
          <w:sz w:val="24"/>
          <w:szCs w:val="24"/>
        </w:rPr>
        <w:t>审议决定草案。</w:t>
      </w:r>
    </w:p>
    <w:p w14:paraId="72760365" w14:textId="119F5044" w:rsidR="00AF30C5" w:rsidRPr="000C0842" w:rsidRDefault="00EE28F8"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AF30C5" w:rsidRPr="000C0842">
        <w:rPr>
          <w:rFonts w:eastAsia="SimSun"/>
          <w:sz w:val="24"/>
          <w:szCs w:val="24"/>
        </w:rPr>
        <w:t>的代表发了言：孟加拉国</w:t>
      </w:r>
      <w:r w:rsidR="0036771E" w:rsidRPr="000C0842">
        <w:rPr>
          <w:rFonts w:eastAsia="SimSun" w:hint="eastAsia"/>
          <w:sz w:val="24"/>
          <w:szCs w:val="24"/>
        </w:rPr>
        <w:t>、</w:t>
      </w:r>
      <w:r w:rsidR="00AF30C5" w:rsidRPr="000C0842">
        <w:rPr>
          <w:rFonts w:eastAsia="SimSun"/>
          <w:sz w:val="24"/>
          <w:szCs w:val="24"/>
        </w:rPr>
        <w:t>俄罗斯联邦。</w:t>
      </w:r>
    </w:p>
    <w:p w14:paraId="346D1FD2" w14:textId="576ECC73"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刚果民主共和国代表根据议事规则第</w:t>
      </w:r>
      <w:r w:rsidRPr="000C0842">
        <w:rPr>
          <w:rFonts w:eastAsia="SimSun"/>
          <w:sz w:val="24"/>
          <w:szCs w:val="24"/>
        </w:rPr>
        <w:t>33</w:t>
      </w:r>
      <w:r w:rsidRPr="000C0842">
        <w:rPr>
          <w:rFonts w:eastAsia="SimSun"/>
          <w:sz w:val="24"/>
          <w:szCs w:val="24"/>
        </w:rPr>
        <w:t>条提出了</w:t>
      </w:r>
      <w:r w:rsidRPr="000C0842">
        <w:rPr>
          <w:rFonts w:eastAsia="SimSun" w:hint="eastAsia"/>
          <w:sz w:val="24"/>
          <w:szCs w:val="24"/>
        </w:rPr>
        <w:t>一项</w:t>
      </w:r>
      <w:r w:rsidRPr="000C0842">
        <w:rPr>
          <w:rFonts w:eastAsia="SimSun"/>
          <w:sz w:val="24"/>
          <w:szCs w:val="24"/>
        </w:rPr>
        <w:t>程序问题。</w:t>
      </w:r>
    </w:p>
    <w:p w14:paraId="596A9294" w14:textId="79384A10"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主席</w:t>
      </w:r>
      <w:r w:rsidRPr="000C0842">
        <w:rPr>
          <w:rFonts w:eastAsia="SimSun"/>
          <w:sz w:val="24"/>
          <w:szCs w:val="24"/>
        </w:rPr>
        <w:t>没有</w:t>
      </w:r>
      <w:r w:rsidR="000D5A84" w:rsidRPr="000C0842">
        <w:rPr>
          <w:rFonts w:eastAsia="SimSun"/>
          <w:sz w:val="24"/>
          <w:szCs w:val="24"/>
        </w:rPr>
        <w:t>核准</w:t>
      </w:r>
      <w:r w:rsidRPr="000C0842">
        <w:rPr>
          <w:rFonts w:eastAsia="SimSun"/>
          <w:sz w:val="24"/>
          <w:szCs w:val="24"/>
        </w:rPr>
        <w:t>程序问题。</w:t>
      </w:r>
    </w:p>
    <w:p w14:paraId="6886290E" w14:textId="57F5779E"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大会继续</w:t>
      </w:r>
      <w:r w:rsidRPr="000C0842">
        <w:rPr>
          <w:rFonts w:eastAsia="SimSun"/>
          <w:sz w:val="24"/>
          <w:szCs w:val="24"/>
        </w:rPr>
        <w:t>审议决定草案。</w:t>
      </w:r>
    </w:p>
    <w:p w14:paraId="7DE1F07F" w14:textId="69C4CE3E"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中国代表发了言。</w:t>
      </w:r>
    </w:p>
    <w:p w14:paraId="5FD44659" w14:textId="5EAFA892"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刚果民主共和国代表对</w:t>
      </w:r>
      <w:r w:rsidRPr="000C0842">
        <w:rPr>
          <w:rFonts w:eastAsia="SimSun" w:hint="eastAsia"/>
          <w:sz w:val="24"/>
          <w:szCs w:val="24"/>
        </w:rPr>
        <w:t>主席</w:t>
      </w:r>
      <w:r w:rsidRPr="000C0842">
        <w:rPr>
          <w:rFonts w:eastAsia="SimSun"/>
          <w:sz w:val="24"/>
          <w:szCs w:val="24"/>
        </w:rPr>
        <w:t>的裁决提出</w:t>
      </w:r>
      <w:r w:rsidRPr="000C0842">
        <w:rPr>
          <w:rFonts w:eastAsia="SimSun" w:hint="eastAsia"/>
          <w:sz w:val="24"/>
          <w:szCs w:val="24"/>
        </w:rPr>
        <w:t>申诉</w:t>
      </w:r>
      <w:r w:rsidRPr="000C0842">
        <w:rPr>
          <w:rFonts w:eastAsia="SimSun"/>
          <w:sz w:val="24"/>
          <w:szCs w:val="24"/>
        </w:rPr>
        <w:t>。</w:t>
      </w:r>
      <w:r w:rsidRPr="000C0842">
        <w:rPr>
          <w:rFonts w:eastAsia="SimSun"/>
          <w:sz w:val="24"/>
          <w:szCs w:val="24"/>
        </w:rPr>
        <w:t xml:space="preserve"> </w:t>
      </w:r>
    </w:p>
    <w:p w14:paraId="6D9BBB3E" w14:textId="68A7191E" w:rsidR="00AF30C5" w:rsidRPr="000C0842" w:rsidRDefault="00630038"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主席</w:t>
      </w:r>
      <w:r w:rsidR="00AF30C5" w:rsidRPr="000C0842">
        <w:rPr>
          <w:rFonts w:eastAsia="SimSun"/>
          <w:sz w:val="24"/>
          <w:szCs w:val="24"/>
        </w:rPr>
        <w:t>根据议事规则第</w:t>
      </w:r>
      <w:r w:rsidR="00AF30C5" w:rsidRPr="000C0842">
        <w:rPr>
          <w:rFonts w:eastAsia="SimSun"/>
          <w:sz w:val="24"/>
          <w:szCs w:val="24"/>
        </w:rPr>
        <w:t>33</w:t>
      </w:r>
      <w:r w:rsidR="00AF30C5" w:rsidRPr="000C0842">
        <w:rPr>
          <w:rFonts w:eastAsia="SimSun"/>
          <w:sz w:val="24"/>
          <w:szCs w:val="24"/>
        </w:rPr>
        <w:t>条和第</w:t>
      </w:r>
      <w:r w:rsidR="00AF30C5" w:rsidRPr="000C0842">
        <w:rPr>
          <w:rFonts w:eastAsia="SimSun"/>
          <w:sz w:val="24"/>
          <w:szCs w:val="24"/>
        </w:rPr>
        <w:t>46</w:t>
      </w:r>
      <w:r w:rsidR="00AF30C5" w:rsidRPr="000C0842">
        <w:rPr>
          <w:rFonts w:eastAsia="SimSun"/>
          <w:sz w:val="24"/>
          <w:szCs w:val="24"/>
        </w:rPr>
        <w:t>条要求</w:t>
      </w:r>
      <w:r w:rsidR="00AF30C5" w:rsidRPr="000C0842">
        <w:rPr>
          <w:rFonts w:eastAsia="SimSun" w:hint="eastAsia"/>
          <w:sz w:val="24"/>
          <w:szCs w:val="24"/>
        </w:rPr>
        <w:t>进行</w:t>
      </w:r>
      <w:r w:rsidR="00AF30C5" w:rsidRPr="000C0842">
        <w:rPr>
          <w:rFonts w:eastAsia="SimSun"/>
          <w:sz w:val="24"/>
          <w:szCs w:val="24"/>
        </w:rPr>
        <w:t>举手表决。</w:t>
      </w:r>
    </w:p>
    <w:p w14:paraId="0A6B1D7B" w14:textId="28504281"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加纳代表根据议事规则第</w:t>
      </w:r>
      <w:r w:rsidRPr="000C0842">
        <w:rPr>
          <w:rFonts w:eastAsia="SimSun"/>
          <w:sz w:val="24"/>
          <w:szCs w:val="24"/>
        </w:rPr>
        <w:t>46</w:t>
      </w:r>
      <w:r w:rsidRPr="000C0842">
        <w:rPr>
          <w:rFonts w:eastAsia="SimSun"/>
          <w:sz w:val="24"/>
          <w:szCs w:val="24"/>
        </w:rPr>
        <w:t>条要求进行唱名表决。</w:t>
      </w:r>
    </w:p>
    <w:p w14:paraId="4A56B726" w14:textId="2878C3BE"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巴西代表发</w:t>
      </w:r>
      <w:r w:rsidRPr="000C0842">
        <w:rPr>
          <w:rFonts w:eastAsia="SimSun" w:hint="eastAsia"/>
          <w:sz w:val="24"/>
          <w:szCs w:val="24"/>
        </w:rPr>
        <w:t>了</w:t>
      </w:r>
      <w:r w:rsidRPr="000C0842">
        <w:rPr>
          <w:rFonts w:eastAsia="SimSun"/>
          <w:sz w:val="24"/>
          <w:szCs w:val="24"/>
        </w:rPr>
        <w:t>言。</w:t>
      </w:r>
      <w:r w:rsidRPr="000C0842">
        <w:rPr>
          <w:rFonts w:eastAsia="SimSun"/>
          <w:sz w:val="24"/>
          <w:szCs w:val="24"/>
        </w:rPr>
        <w:t xml:space="preserve"> </w:t>
      </w:r>
    </w:p>
    <w:p w14:paraId="7BBD00DF" w14:textId="661D6A99"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主席于上午</w:t>
      </w:r>
      <w:r w:rsidRPr="000C0842">
        <w:rPr>
          <w:rFonts w:eastAsia="SimSun"/>
          <w:sz w:val="24"/>
          <w:szCs w:val="24"/>
        </w:rPr>
        <w:t>10</w:t>
      </w:r>
      <w:r w:rsidRPr="000C0842">
        <w:rPr>
          <w:rFonts w:eastAsia="SimSun"/>
          <w:sz w:val="24"/>
          <w:szCs w:val="24"/>
        </w:rPr>
        <w:t>点</w:t>
      </w:r>
      <w:r w:rsidRPr="000C0842">
        <w:rPr>
          <w:rFonts w:eastAsia="SimSun"/>
          <w:sz w:val="24"/>
          <w:szCs w:val="24"/>
        </w:rPr>
        <w:t>53</w:t>
      </w:r>
      <w:r w:rsidRPr="000C0842">
        <w:rPr>
          <w:rFonts w:eastAsia="SimSun"/>
          <w:sz w:val="24"/>
          <w:szCs w:val="24"/>
        </w:rPr>
        <w:t>分暂停会议，以便进行非正式磋商。</w:t>
      </w:r>
    </w:p>
    <w:p w14:paraId="1CD76393" w14:textId="45854047"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会议于中午</w:t>
      </w:r>
      <w:r w:rsidRPr="000C0842">
        <w:rPr>
          <w:rFonts w:eastAsia="SimSun"/>
          <w:sz w:val="24"/>
          <w:szCs w:val="24"/>
        </w:rPr>
        <w:t>12</w:t>
      </w:r>
      <w:r w:rsidRPr="000C0842">
        <w:rPr>
          <w:rFonts w:eastAsia="SimSun"/>
          <w:sz w:val="24"/>
          <w:szCs w:val="24"/>
        </w:rPr>
        <w:t>点</w:t>
      </w:r>
      <w:r w:rsidRPr="000C0842">
        <w:rPr>
          <w:rFonts w:eastAsia="SimSun"/>
          <w:sz w:val="24"/>
          <w:szCs w:val="24"/>
        </w:rPr>
        <w:t>04</w:t>
      </w:r>
      <w:r w:rsidRPr="000C0842">
        <w:rPr>
          <w:rFonts w:eastAsia="SimSun"/>
          <w:sz w:val="24"/>
          <w:szCs w:val="24"/>
        </w:rPr>
        <w:t>分复会</w:t>
      </w:r>
      <w:r w:rsidRPr="000C0842">
        <w:rPr>
          <w:rFonts w:eastAsia="SimSun" w:hint="eastAsia"/>
          <w:sz w:val="24"/>
          <w:szCs w:val="24"/>
        </w:rPr>
        <w:t>。</w:t>
      </w:r>
    </w:p>
    <w:p w14:paraId="0E13BBEC" w14:textId="29C9CD6C"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刚果民主共和国代表撤回</w:t>
      </w:r>
      <w:r w:rsidRPr="000C0842">
        <w:rPr>
          <w:rFonts w:eastAsia="SimSun" w:hint="eastAsia"/>
          <w:sz w:val="24"/>
          <w:szCs w:val="24"/>
        </w:rPr>
        <w:t>了申诉</w:t>
      </w:r>
      <w:r w:rsidRPr="000C0842">
        <w:rPr>
          <w:rFonts w:eastAsia="SimSun"/>
          <w:sz w:val="24"/>
          <w:szCs w:val="24"/>
        </w:rPr>
        <w:t>。</w:t>
      </w:r>
    </w:p>
    <w:p w14:paraId="261D0515" w14:textId="7ACD0C9D" w:rsidR="00AF30C5" w:rsidRPr="000C0842" w:rsidRDefault="00EE28F8"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AF30C5" w:rsidRPr="000C0842">
        <w:rPr>
          <w:rFonts w:eastAsia="SimSun"/>
          <w:sz w:val="24"/>
          <w:szCs w:val="24"/>
        </w:rPr>
        <w:t>的代表发了言：巴西、埃及</w:t>
      </w:r>
      <w:r w:rsidR="00EB234D" w:rsidRPr="000C0842">
        <w:rPr>
          <w:rFonts w:eastAsia="SimSun" w:hint="eastAsia"/>
          <w:sz w:val="24"/>
          <w:szCs w:val="24"/>
        </w:rPr>
        <w:t>、</w:t>
      </w:r>
      <w:r w:rsidR="00AF30C5" w:rsidRPr="000C0842">
        <w:rPr>
          <w:rFonts w:eastAsia="SimSun"/>
          <w:sz w:val="24"/>
          <w:szCs w:val="24"/>
        </w:rPr>
        <w:t>俄罗斯联邦。</w:t>
      </w:r>
    </w:p>
    <w:p w14:paraId="4258C0E2" w14:textId="34922D4C" w:rsidR="00AF30C5" w:rsidRPr="000C0842"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Pr="000C0842">
        <w:rPr>
          <w:rFonts w:eastAsia="SimSun" w:hint="eastAsia"/>
          <w:sz w:val="24"/>
          <w:szCs w:val="24"/>
        </w:rPr>
        <w:t>核准</w:t>
      </w:r>
      <w:r w:rsidRPr="000C0842">
        <w:rPr>
          <w:rFonts w:eastAsia="SimSun"/>
          <w:sz w:val="24"/>
          <w:szCs w:val="24"/>
        </w:rPr>
        <w:t>了经口头</w:t>
      </w:r>
      <w:r w:rsidR="00630038" w:rsidRPr="000C0842">
        <w:rPr>
          <w:rFonts w:eastAsia="SimSun" w:hint="eastAsia"/>
          <w:sz w:val="24"/>
          <w:szCs w:val="24"/>
        </w:rPr>
        <w:t>修正</w:t>
      </w:r>
      <w:r w:rsidRPr="000C0842">
        <w:rPr>
          <w:rFonts w:eastAsia="SimSun"/>
          <w:sz w:val="24"/>
          <w:szCs w:val="24"/>
        </w:rPr>
        <w:t>的决定草案，供</w:t>
      </w:r>
      <w:r w:rsidR="00EB234D" w:rsidRPr="000C0842">
        <w:rPr>
          <w:rFonts w:eastAsia="SimSun" w:hint="eastAsia"/>
          <w:sz w:val="24"/>
          <w:szCs w:val="24"/>
        </w:rPr>
        <w:t>稍</w:t>
      </w:r>
      <w:r w:rsidR="005B3F06" w:rsidRPr="000C0842">
        <w:rPr>
          <w:rFonts w:eastAsia="SimSun" w:hint="eastAsia"/>
          <w:sz w:val="24"/>
          <w:szCs w:val="24"/>
        </w:rPr>
        <w:t>后</w:t>
      </w:r>
      <w:r w:rsidR="00EB234D" w:rsidRPr="000C0842">
        <w:rPr>
          <w:rFonts w:eastAsia="SimSun" w:hint="eastAsia"/>
          <w:sz w:val="24"/>
          <w:szCs w:val="24"/>
        </w:rPr>
        <w:t>一次</w:t>
      </w:r>
      <w:r w:rsidR="005B3F06" w:rsidRPr="000C0842">
        <w:rPr>
          <w:rFonts w:eastAsia="SimSun" w:hint="eastAsia"/>
          <w:sz w:val="24"/>
          <w:szCs w:val="24"/>
        </w:rPr>
        <w:t>会议</w:t>
      </w:r>
      <w:r w:rsidRPr="000C0842">
        <w:rPr>
          <w:rFonts w:eastAsia="SimSun"/>
          <w:sz w:val="24"/>
          <w:szCs w:val="24"/>
        </w:rPr>
        <w:t>通过。</w:t>
      </w:r>
    </w:p>
    <w:p w14:paraId="7D5FA723" w14:textId="21BC8E97" w:rsidR="00F55605" w:rsidRPr="000C0842" w:rsidRDefault="00F55605" w:rsidP="00F55605">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缔约方大会第</w:t>
      </w:r>
      <w:r w:rsidRPr="000C0842">
        <w:rPr>
          <w:rFonts w:eastAsia="SimSun" w:hint="eastAsia"/>
          <w:sz w:val="24"/>
          <w:szCs w:val="24"/>
        </w:rPr>
        <w:t>13</w:t>
      </w:r>
      <w:r w:rsidRPr="000C0842">
        <w:rPr>
          <w:rFonts w:eastAsia="SimSun" w:hint="eastAsia"/>
          <w:sz w:val="24"/>
          <w:szCs w:val="24"/>
        </w:rPr>
        <w:t>场全体会议审议了主席提交的订正决定草案</w:t>
      </w:r>
      <w:r w:rsidR="00491B5E" w:rsidRPr="000C0842">
        <w:rPr>
          <w:rStyle w:val="FootnoteReference"/>
          <w:rFonts w:eastAsia="SimSun"/>
          <w:sz w:val="24"/>
          <w:szCs w:val="24"/>
        </w:rPr>
        <w:footnoteReference w:id="568"/>
      </w:r>
      <w:r w:rsidRPr="000C0842">
        <w:rPr>
          <w:rFonts w:eastAsia="SimSun" w:hint="eastAsia"/>
          <w:sz w:val="24"/>
          <w:szCs w:val="24"/>
        </w:rPr>
        <w:t>，其中载有反映与资源调动订正决定草案相互联系的修正。</w:t>
      </w:r>
    </w:p>
    <w:p w14:paraId="599BF574" w14:textId="2505C3E9" w:rsidR="00F55605" w:rsidRPr="000C0842" w:rsidRDefault="00EE28F8" w:rsidP="00F55605">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下列缔约方</w:t>
      </w:r>
      <w:r w:rsidR="00F55605" w:rsidRPr="000C0842">
        <w:rPr>
          <w:rFonts w:eastAsia="SimSun" w:hint="eastAsia"/>
          <w:sz w:val="24"/>
          <w:szCs w:val="24"/>
        </w:rPr>
        <w:t>的代表发了言：巴西、加拿大、欧洲联盟及其成员国、日本。</w:t>
      </w:r>
    </w:p>
    <w:p w14:paraId="29357A96" w14:textId="6A098F82" w:rsidR="00A7097A" w:rsidRPr="000C0842" w:rsidRDefault="00F55605" w:rsidP="00F55605">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缔约方大会通过了经口头修正的决定草案，决定草案成为第</w:t>
      </w:r>
      <w:hyperlink r:id="rId394" w:history="1">
        <w:r w:rsidRPr="000C0842">
          <w:rPr>
            <w:rStyle w:val="Hyperlink"/>
            <w:rFonts w:eastAsia="SimSun" w:hint="eastAsia"/>
            <w:color w:val="auto"/>
            <w:sz w:val="24"/>
            <w:szCs w:val="24"/>
          </w:rPr>
          <w:t>16/33</w:t>
        </w:r>
      </w:hyperlink>
      <w:r w:rsidRPr="000C0842">
        <w:rPr>
          <w:rFonts w:eastAsia="SimSun" w:hint="eastAsia"/>
          <w:sz w:val="24"/>
          <w:szCs w:val="24"/>
        </w:rPr>
        <w:t>号决定。</w:t>
      </w:r>
    </w:p>
    <w:p w14:paraId="46D1BE84" w14:textId="1E5245D9" w:rsidR="001136A9" w:rsidRPr="000C0842" w:rsidRDefault="001136A9" w:rsidP="004E5EE5">
      <w:pPr>
        <w:pStyle w:val="a1"/>
        <w:ind w:left="0" w:right="0"/>
        <w:rPr>
          <w:rFonts w:hint="eastAsia"/>
          <w:lang w:eastAsia="zh-CN"/>
        </w:rPr>
      </w:pPr>
      <w:bookmarkStart w:id="157" w:name="_Toc206358248"/>
      <w:r w:rsidRPr="000C0842">
        <w:rPr>
          <w:lang w:eastAsia="zh-CN"/>
        </w:rPr>
        <w:t>项目</w:t>
      </w:r>
      <w:r w:rsidRPr="000C0842">
        <w:rPr>
          <w:lang w:eastAsia="zh-CN"/>
        </w:rPr>
        <w:t>12</w:t>
      </w:r>
      <w:r w:rsidR="0030254A" w:rsidRPr="000C0842">
        <w:rPr>
          <w:lang w:eastAsia="zh-CN"/>
        </w:rPr>
        <w:br/>
      </w:r>
      <w:r w:rsidRPr="000C0842">
        <w:rPr>
          <w:lang w:eastAsia="zh-CN"/>
        </w:rPr>
        <w:t>能力建设和发展、科技合作、信息交换所机制和知识管理</w:t>
      </w:r>
      <w:bookmarkEnd w:id="157"/>
    </w:p>
    <w:p w14:paraId="7786AF95" w14:textId="2FA8D369" w:rsidR="001136A9" w:rsidRPr="000C0842" w:rsidRDefault="001136A9" w:rsidP="003B4E46">
      <w:pPr>
        <w:pStyle w:val="ListParagraph"/>
        <w:tabs>
          <w:tab w:val="clear" w:pos="567"/>
          <w:tab w:val="clear" w:pos="1134"/>
          <w:tab w:val="clear" w:pos="1701"/>
          <w:tab w:val="clear" w:pos="2268"/>
          <w:tab w:val="left" w:pos="900"/>
          <w:tab w:val="left" w:pos="1080"/>
        </w:tabs>
        <w:spacing w:before="120" w:after="120"/>
        <w:ind w:left="490" w:firstLine="0"/>
        <w:contextualSpacing w:val="0"/>
        <w:rPr>
          <w:rFonts w:eastAsia="SimSun"/>
        </w:rPr>
      </w:pPr>
      <w:r w:rsidRPr="000C0842">
        <w:rPr>
          <w:rFonts w:eastAsia="SimSun"/>
          <w:sz w:val="24"/>
          <w:szCs w:val="24"/>
        </w:rPr>
        <w:t>第一工作组第</w:t>
      </w:r>
      <w:r w:rsidR="004D27CF" w:rsidRPr="000C0842">
        <w:rPr>
          <w:rFonts w:eastAsia="SimSun"/>
          <w:sz w:val="24"/>
          <w:szCs w:val="24"/>
        </w:rPr>
        <w:t>2</w:t>
      </w:r>
      <w:r w:rsidR="004D27CF" w:rsidRPr="000C0842">
        <w:rPr>
          <w:rFonts w:eastAsia="SimSun"/>
          <w:sz w:val="24"/>
          <w:szCs w:val="24"/>
        </w:rPr>
        <w:t>场会议</w:t>
      </w:r>
      <w:r w:rsidRPr="000C0842">
        <w:rPr>
          <w:rFonts w:eastAsia="SimSun"/>
          <w:sz w:val="24"/>
          <w:szCs w:val="24"/>
        </w:rPr>
        <w:t>审议了议程项目</w:t>
      </w:r>
      <w:r w:rsidRPr="000C0842">
        <w:rPr>
          <w:rFonts w:eastAsia="SimSun"/>
          <w:sz w:val="24"/>
          <w:szCs w:val="24"/>
        </w:rPr>
        <w:t>12</w:t>
      </w:r>
      <w:r w:rsidRPr="000C0842">
        <w:rPr>
          <w:rFonts w:eastAsia="SimSun"/>
          <w:sz w:val="24"/>
          <w:szCs w:val="24"/>
        </w:rPr>
        <w:t>。工作组收到两项决定草案：一项关于能力建设和发展、</w:t>
      </w:r>
      <w:r w:rsidRPr="000C0842">
        <w:rPr>
          <w:rFonts w:eastAsia="SimSun"/>
          <w:kern w:val="22"/>
          <w:sz w:val="24"/>
          <w:szCs w:val="24"/>
        </w:rPr>
        <w:t>科技合作及技术转让</w:t>
      </w:r>
      <w:r w:rsidR="008B3463" w:rsidRPr="000C0842">
        <w:rPr>
          <w:rFonts w:eastAsia="SimSun" w:hint="eastAsia"/>
          <w:sz w:val="24"/>
          <w:szCs w:val="24"/>
        </w:rPr>
        <w:t>，</w:t>
      </w:r>
      <w:r w:rsidRPr="000C0842">
        <w:rPr>
          <w:rFonts w:eastAsia="SimSun"/>
          <w:sz w:val="24"/>
          <w:szCs w:val="24"/>
        </w:rPr>
        <w:t>另一项关于信息交换机制和知识管理</w:t>
      </w:r>
      <w:r w:rsidR="00A1666C" w:rsidRPr="000C0842">
        <w:rPr>
          <w:rStyle w:val="FootnoteReference"/>
          <w:sz w:val="24"/>
          <w:szCs w:val="24"/>
        </w:rPr>
        <w:footnoteReference w:id="569"/>
      </w:r>
      <w:r w:rsidR="00A1666C" w:rsidRPr="000C0842">
        <w:rPr>
          <w:rFonts w:eastAsia="SimSun" w:hint="eastAsia"/>
          <w:sz w:val="24"/>
          <w:szCs w:val="24"/>
        </w:rPr>
        <w:t xml:space="preserve"> </w:t>
      </w:r>
      <w:r w:rsidR="005506CF" w:rsidRPr="000C0842">
        <w:rPr>
          <w:rFonts w:eastAsia="SimSun" w:hint="eastAsia"/>
          <w:sz w:val="24"/>
          <w:szCs w:val="24"/>
        </w:rPr>
        <w:t>，</w:t>
      </w:r>
      <w:r w:rsidRPr="000C0842">
        <w:rPr>
          <w:rFonts w:eastAsia="SimSun"/>
          <w:spacing w:val="4"/>
          <w:sz w:val="24"/>
          <w:szCs w:val="24"/>
        </w:rPr>
        <w:t>还收到秘书处关于与科技合作机制运作相关的更多信息的说明</w:t>
      </w:r>
      <w:r w:rsidR="00A1666C" w:rsidRPr="000C0842">
        <w:rPr>
          <w:rFonts w:eastAsia="SimSun"/>
          <w:spacing w:val="4"/>
          <w:sz w:val="24"/>
          <w:szCs w:val="24"/>
          <w:vertAlign w:val="superscript"/>
        </w:rPr>
        <w:footnoteReference w:id="570"/>
      </w:r>
      <w:r w:rsidR="00A1666C" w:rsidRPr="000C0842">
        <w:rPr>
          <w:rFonts w:eastAsia="SimSun" w:hint="eastAsia"/>
          <w:spacing w:val="4"/>
          <w:sz w:val="24"/>
          <w:szCs w:val="24"/>
        </w:rPr>
        <w:t xml:space="preserve"> </w:t>
      </w:r>
      <w:r w:rsidR="005506CF" w:rsidRPr="000C0842">
        <w:rPr>
          <w:rFonts w:eastAsia="SimSun" w:hint="eastAsia"/>
          <w:spacing w:val="4"/>
          <w:sz w:val="24"/>
          <w:szCs w:val="24"/>
        </w:rPr>
        <w:t>。</w:t>
      </w:r>
      <w:r w:rsidRPr="000C0842">
        <w:rPr>
          <w:rFonts w:eastAsia="SimSun"/>
          <w:spacing w:val="4"/>
          <w:sz w:val="24"/>
          <w:szCs w:val="24"/>
        </w:rPr>
        <w:t>此外还就项目</w:t>
      </w:r>
      <w:r w:rsidRPr="000C0842">
        <w:rPr>
          <w:rFonts w:eastAsia="SimSun"/>
          <w:spacing w:val="4"/>
          <w:sz w:val="24"/>
          <w:szCs w:val="24"/>
        </w:rPr>
        <w:t>12</w:t>
      </w:r>
      <w:r w:rsidRPr="000C0842">
        <w:rPr>
          <w:rFonts w:eastAsia="SimSun"/>
          <w:spacing w:val="4"/>
          <w:sz w:val="24"/>
          <w:szCs w:val="24"/>
        </w:rPr>
        <w:t>印发了</w:t>
      </w:r>
      <w:r w:rsidR="009B5D06" w:rsidRPr="000C0842">
        <w:rPr>
          <w:rFonts w:eastAsia="SimSun"/>
          <w:spacing w:val="4"/>
          <w:sz w:val="24"/>
          <w:szCs w:val="24"/>
        </w:rPr>
        <w:t>以下</w:t>
      </w:r>
      <w:r w:rsidRPr="000C0842">
        <w:rPr>
          <w:rFonts w:eastAsia="SimSun"/>
          <w:spacing w:val="4"/>
          <w:sz w:val="24"/>
          <w:szCs w:val="24"/>
        </w:rPr>
        <w:t>资料文件</w:t>
      </w:r>
      <w:r w:rsidR="008B3463" w:rsidRPr="000C0842">
        <w:rPr>
          <w:rFonts w:eastAsia="SimSun" w:hint="eastAsia"/>
          <w:spacing w:val="4"/>
          <w:sz w:val="24"/>
          <w:szCs w:val="24"/>
        </w:rPr>
        <w:t>：</w:t>
      </w:r>
      <w:r w:rsidRPr="000C0842">
        <w:rPr>
          <w:rFonts w:eastAsia="SimSun"/>
          <w:spacing w:val="4"/>
          <w:sz w:val="24"/>
          <w:szCs w:val="24"/>
        </w:rPr>
        <w:t>次区域科技合作支助中心制定工作计划的</w:t>
      </w:r>
      <w:r w:rsidR="004209F0" w:rsidRPr="000C0842">
        <w:rPr>
          <w:rFonts w:eastAsia="SimSun" w:hint="eastAsia"/>
          <w:spacing w:val="4"/>
          <w:sz w:val="24"/>
          <w:szCs w:val="24"/>
        </w:rPr>
        <w:t>相关</w:t>
      </w:r>
      <w:r w:rsidRPr="000C0842">
        <w:rPr>
          <w:rFonts w:eastAsia="SimSun"/>
          <w:spacing w:val="4"/>
          <w:sz w:val="24"/>
          <w:szCs w:val="24"/>
        </w:rPr>
        <w:t>指南</w:t>
      </w:r>
      <w:r w:rsidR="003B4E46" w:rsidRPr="000C0842">
        <w:rPr>
          <w:rFonts w:eastAsia="SimSun"/>
          <w:sz w:val="24"/>
          <w:szCs w:val="24"/>
          <w:vertAlign w:val="superscript"/>
        </w:rPr>
        <w:footnoteReference w:id="571"/>
      </w:r>
      <w:r w:rsidR="003B4E46" w:rsidRPr="000C0842">
        <w:rPr>
          <w:rFonts w:eastAsia="SimSun" w:hint="eastAsia"/>
          <w:sz w:val="21"/>
          <w:szCs w:val="21"/>
        </w:rPr>
        <w:t xml:space="preserve"> </w:t>
      </w:r>
      <w:r w:rsidR="005506CF" w:rsidRPr="000C0842">
        <w:rPr>
          <w:rFonts w:eastAsia="SimSun" w:hint="eastAsia"/>
          <w:sz w:val="21"/>
          <w:szCs w:val="21"/>
        </w:rPr>
        <w:t>、</w:t>
      </w:r>
      <w:r w:rsidRPr="000C0842">
        <w:rPr>
          <w:rFonts w:eastAsia="SimSun"/>
          <w:sz w:val="24"/>
          <w:szCs w:val="24"/>
        </w:rPr>
        <w:t>根据第</w:t>
      </w:r>
      <w:hyperlink r:id="rId395" w:history="1">
        <w:r w:rsidRPr="000C0842">
          <w:rPr>
            <w:rStyle w:val="Hyperlink"/>
            <w:rFonts w:eastAsia="SimSun"/>
            <w:color w:val="auto"/>
            <w:sz w:val="24"/>
            <w:szCs w:val="24"/>
          </w:rPr>
          <w:t>15/16</w:t>
        </w:r>
      </w:hyperlink>
      <w:r w:rsidRPr="000C0842">
        <w:rPr>
          <w:rFonts w:eastAsia="SimSun"/>
          <w:sz w:val="24"/>
          <w:szCs w:val="24"/>
        </w:rPr>
        <w:t>号决定编写的关于信息交换</w:t>
      </w:r>
      <w:r w:rsidR="004209F0" w:rsidRPr="000C0842">
        <w:rPr>
          <w:rFonts w:eastAsia="SimSun" w:hint="eastAsia"/>
          <w:sz w:val="24"/>
          <w:szCs w:val="24"/>
        </w:rPr>
        <w:t>所</w:t>
      </w:r>
      <w:r w:rsidRPr="000C0842">
        <w:rPr>
          <w:rFonts w:eastAsia="SimSun"/>
          <w:sz w:val="24"/>
          <w:szCs w:val="24"/>
        </w:rPr>
        <w:t>机制和知识管理的进度报告</w:t>
      </w:r>
      <w:r w:rsidRPr="000C0842">
        <w:rPr>
          <w:rFonts w:eastAsia="SimSun"/>
          <w:sz w:val="24"/>
          <w:szCs w:val="24"/>
          <w:vertAlign w:val="superscript"/>
        </w:rPr>
        <w:footnoteReference w:id="572"/>
      </w:r>
      <w:r w:rsidR="003B4E46" w:rsidRPr="000C0842">
        <w:rPr>
          <w:rFonts w:eastAsia="SimSun" w:hint="eastAsia"/>
        </w:rPr>
        <w:t xml:space="preserve"> </w:t>
      </w:r>
      <w:r w:rsidRPr="000C0842">
        <w:rPr>
          <w:rFonts w:eastAsia="SimSun"/>
          <w:sz w:val="24"/>
          <w:szCs w:val="24"/>
        </w:rPr>
        <w:t>以及关于科技合作的进度报告</w:t>
      </w:r>
      <w:r w:rsidR="003B4E46" w:rsidRPr="000C0842">
        <w:rPr>
          <w:rFonts w:eastAsia="SimSun"/>
          <w:sz w:val="24"/>
          <w:szCs w:val="24"/>
          <w:vertAlign w:val="superscript"/>
        </w:rPr>
        <w:footnoteReference w:id="573"/>
      </w:r>
      <w:r w:rsidR="005506CF" w:rsidRPr="000C0842">
        <w:rPr>
          <w:rFonts w:eastAsia="SimSun" w:hint="eastAsia"/>
          <w:sz w:val="24"/>
          <w:szCs w:val="24"/>
        </w:rPr>
        <w:t>。</w:t>
      </w:r>
    </w:p>
    <w:p w14:paraId="050ADAF9" w14:textId="45471501" w:rsidR="001136A9" w:rsidRPr="000C0842" w:rsidRDefault="001136A9" w:rsidP="001136A9">
      <w:pPr>
        <w:tabs>
          <w:tab w:val="clear" w:pos="567"/>
          <w:tab w:val="clear" w:pos="1134"/>
          <w:tab w:val="clear" w:pos="1701"/>
          <w:tab w:val="clear" w:pos="2268"/>
        </w:tabs>
        <w:spacing w:before="120" w:after="120"/>
        <w:ind w:left="490"/>
        <w:rPr>
          <w:rFonts w:eastAsia="SimSun"/>
          <w:sz w:val="24"/>
          <w:szCs w:val="24"/>
        </w:rPr>
      </w:pPr>
      <w:r w:rsidRPr="000C0842">
        <w:rPr>
          <w:rFonts w:eastAsia="KaiTi"/>
          <w:iCs/>
          <w:sz w:val="24"/>
          <w:szCs w:val="24"/>
        </w:rPr>
        <w:t>能力建设和发展、科技合作</w:t>
      </w:r>
    </w:p>
    <w:p w14:paraId="0C7F2F0B" w14:textId="226FCC53"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sz w:val="24"/>
          <w:szCs w:val="24"/>
        </w:rPr>
      </w:pPr>
      <w:r w:rsidRPr="000C0842">
        <w:rPr>
          <w:rFonts w:eastAsia="SimSun"/>
          <w:sz w:val="24"/>
          <w:szCs w:val="24"/>
        </w:rPr>
        <w:t>第一工作组</w:t>
      </w:r>
      <w:r w:rsidR="000E4E27" w:rsidRPr="000C0842">
        <w:rPr>
          <w:rFonts w:eastAsia="SimSun" w:hint="eastAsia"/>
          <w:sz w:val="24"/>
          <w:szCs w:val="24"/>
        </w:rPr>
        <w:t>商定</w:t>
      </w:r>
      <w:r w:rsidRPr="000C0842">
        <w:rPr>
          <w:rFonts w:eastAsia="SimSun"/>
          <w:sz w:val="24"/>
          <w:szCs w:val="24"/>
        </w:rPr>
        <w:t>设立一个联络小组</w:t>
      </w:r>
      <w:r w:rsidRPr="000C0842">
        <w:rPr>
          <w:rFonts w:eastAsia="SimSun"/>
          <w:snapToGrid w:val="0"/>
          <w:sz w:val="24"/>
          <w:szCs w:val="24"/>
        </w:rPr>
        <w:t>，由</w:t>
      </w:r>
      <w:r w:rsidRPr="000C0842">
        <w:rPr>
          <w:rFonts w:eastAsia="SimSun"/>
          <w:snapToGrid w:val="0"/>
          <w:sz w:val="24"/>
          <w:szCs w:val="24"/>
        </w:rPr>
        <w:t>Mukondi Matshusa</w:t>
      </w:r>
      <w:r w:rsidRPr="000C0842">
        <w:rPr>
          <w:rFonts w:eastAsia="SimSun"/>
          <w:snapToGrid w:val="0"/>
          <w:sz w:val="24"/>
          <w:szCs w:val="24"/>
        </w:rPr>
        <w:t>（南非）和</w:t>
      </w:r>
      <w:r w:rsidRPr="000C0842">
        <w:rPr>
          <w:rFonts w:eastAsia="SimSun"/>
          <w:snapToGrid w:val="0"/>
          <w:sz w:val="24"/>
          <w:szCs w:val="24"/>
        </w:rPr>
        <w:t>Holly Kelley-Weil</w:t>
      </w:r>
      <w:r w:rsidRPr="000C0842">
        <w:rPr>
          <w:rFonts w:eastAsia="SimSun"/>
          <w:snapToGrid w:val="0"/>
          <w:sz w:val="24"/>
          <w:szCs w:val="24"/>
        </w:rPr>
        <w:t>（联合王国）担任共同主席，</w:t>
      </w:r>
      <w:r w:rsidR="000E4E27" w:rsidRPr="000C0842">
        <w:rPr>
          <w:rFonts w:eastAsia="SimSun" w:hint="eastAsia"/>
          <w:snapToGrid w:val="0"/>
          <w:sz w:val="24"/>
          <w:szCs w:val="24"/>
        </w:rPr>
        <w:t>负责</w:t>
      </w:r>
      <w:r w:rsidRPr="000C0842">
        <w:rPr>
          <w:rFonts w:eastAsia="SimSun"/>
          <w:snapToGrid w:val="0"/>
          <w:sz w:val="24"/>
          <w:szCs w:val="24"/>
        </w:rPr>
        <w:t>编写决定草案的清稿</w:t>
      </w:r>
      <w:r w:rsidR="008B3463" w:rsidRPr="000C0842">
        <w:rPr>
          <w:rFonts w:eastAsia="SimSun" w:hint="eastAsia"/>
          <w:snapToGrid w:val="0"/>
          <w:sz w:val="24"/>
          <w:szCs w:val="24"/>
        </w:rPr>
        <w:t>，</w:t>
      </w:r>
      <w:r w:rsidRPr="000C0842">
        <w:rPr>
          <w:rFonts w:eastAsia="SimSun"/>
          <w:snapToGrid w:val="0"/>
          <w:sz w:val="24"/>
          <w:szCs w:val="24"/>
        </w:rPr>
        <w:t>包括</w:t>
      </w:r>
      <w:r w:rsidR="009B5D06" w:rsidRPr="000C0842">
        <w:rPr>
          <w:rFonts w:eastAsia="SimSun"/>
          <w:snapToGrid w:val="0"/>
          <w:sz w:val="24"/>
          <w:szCs w:val="24"/>
        </w:rPr>
        <w:t>其</w:t>
      </w:r>
      <w:r w:rsidRPr="000C0842">
        <w:rPr>
          <w:rFonts w:eastAsia="SimSun"/>
          <w:snapToGrid w:val="0"/>
          <w:sz w:val="24"/>
          <w:szCs w:val="24"/>
        </w:rPr>
        <w:t>附件二，重点是</w:t>
      </w:r>
      <w:r w:rsidR="009B5D06" w:rsidRPr="000C0842">
        <w:rPr>
          <w:rFonts w:eastAsia="SimSun"/>
          <w:snapToGrid w:val="0"/>
          <w:sz w:val="24"/>
          <w:szCs w:val="24"/>
        </w:rPr>
        <w:t>找到</w:t>
      </w:r>
      <w:r w:rsidRPr="000C0842">
        <w:rPr>
          <w:rFonts w:eastAsia="SimSun"/>
          <w:snapToGrid w:val="0"/>
          <w:sz w:val="24"/>
          <w:szCs w:val="24"/>
        </w:rPr>
        <w:t>方括号内案文</w:t>
      </w:r>
      <w:r w:rsidR="009B5D06" w:rsidRPr="000C0842">
        <w:rPr>
          <w:rFonts w:eastAsia="SimSun"/>
          <w:snapToGrid w:val="0"/>
          <w:sz w:val="24"/>
          <w:szCs w:val="24"/>
        </w:rPr>
        <w:t>的解决办法</w:t>
      </w:r>
      <w:r w:rsidRPr="000C0842">
        <w:rPr>
          <w:rFonts w:eastAsia="SimSun"/>
          <w:snapToGrid w:val="0"/>
          <w:sz w:val="24"/>
          <w:szCs w:val="24"/>
        </w:rPr>
        <w:t>。</w:t>
      </w:r>
    </w:p>
    <w:p w14:paraId="063C6F66" w14:textId="7AC32A40"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31</w:t>
      </w:r>
      <w:r w:rsidRPr="000C0842">
        <w:rPr>
          <w:rFonts w:eastAsia="SimSun"/>
          <w:snapToGrid w:val="0"/>
          <w:sz w:val="24"/>
          <w:szCs w:val="24"/>
        </w:rPr>
        <w:t>日第一工作组第</w:t>
      </w:r>
      <w:r w:rsidR="0053283D" w:rsidRPr="000C0842">
        <w:rPr>
          <w:rFonts w:eastAsia="SimSun"/>
          <w:snapToGrid w:val="0"/>
          <w:sz w:val="24"/>
          <w:szCs w:val="24"/>
        </w:rPr>
        <w:t>5</w:t>
      </w:r>
      <w:r w:rsidR="0053283D" w:rsidRPr="000C0842">
        <w:rPr>
          <w:rFonts w:eastAsia="SimSun"/>
          <w:snapToGrid w:val="0"/>
          <w:sz w:val="24"/>
          <w:szCs w:val="24"/>
        </w:rPr>
        <w:t>场</w:t>
      </w:r>
      <w:r w:rsidRPr="000C0842">
        <w:rPr>
          <w:rFonts w:eastAsia="SimSun"/>
          <w:snapToGrid w:val="0"/>
          <w:sz w:val="24"/>
          <w:szCs w:val="24"/>
        </w:rPr>
        <w:t>会议审议了主席在联络小组讨论后提交的订正决定草案。</w:t>
      </w:r>
    </w:p>
    <w:p w14:paraId="578A4A96" w14:textId="18661212" w:rsidR="001136A9" w:rsidRPr="000C0842" w:rsidRDefault="00EE28F8"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的代表发</w:t>
      </w:r>
      <w:r w:rsidR="008B3463" w:rsidRPr="000C0842">
        <w:rPr>
          <w:rFonts w:eastAsia="SimSun" w:hint="eastAsia"/>
          <w:sz w:val="24"/>
          <w:szCs w:val="24"/>
        </w:rPr>
        <w:t>了</w:t>
      </w:r>
      <w:r w:rsidR="001136A9" w:rsidRPr="000C0842">
        <w:rPr>
          <w:rFonts w:eastAsia="SimSun"/>
          <w:sz w:val="24"/>
          <w:szCs w:val="24"/>
        </w:rPr>
        <w:t>言：阿根廷、巴西、加拿大、哥伦比亚、刚果民主共和国、欧洲联盟及其成员国、挪威、俄罗斯联邦、南非、瑞士</w:t>
      </w:r>
      <w:r w:rsidR="004209F0" w:rsidRPr="000C0842">
        <w:rPr>
          <w:rFonts w:eastAsia="SimSun" w:hint="eastAsia"/>
          <w:sz w:val="24"/>
          <w:szCs w:val="24"/>
        </w:rPr>
        <w:t>、</w:t>
      </w:r>
      <w:r w:rsidR="001136A9" w:rsidRPr="000C0842">
        <w:rPr>
          <w:rFonts w:eastAsia="SimSun"/>
          <w:sz w:val="24"/>
          <w:szCs w:val="24"/>
        </w:rPr>
        <w:t>联合王国。</w:t>
      </w:r>
    </w:p>
    <w:p w14:paraId="6F5C2E9C" w14:textId="46FB7CC6"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58" w:name="_Hlk181898623"/>
      <w:r w:rsidRPr="000C0842">
        <w:rPr>
          <w:rFonts w:eastAsia="SimSun"/>
          <w:sz w:val="24"/>
          <w:szCs w:val="24"/>
        </w:rPr>
        <w:t>第一工作组核准了经口头修正的订正决定草案，将其作为</w:t>
      </w:r>
      <w:r w:rsidRPr="000C0842">
        <w:rPr>
          <w:rFonts w:eastAsia="SimSun"/>
          <w:sz w:val="24"/>
          <w:szCs w:val="24"/>
        </w:rPr>
        <w:t>CBD/COP/16/L.13</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bookmarkEnd w:id="158"/>
    </w:p>
    <w:p w14:paraId="6A8C88D7" w14:textId="138741FF" w:rsidR="009B5D06" w:rsidRPr="000C0842"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4A0010" w:rsidRPr="000C0842">
        <w:rPr>
          <w:rFonts w:eastAsia="SimSun"/>
          <w:sz w:val="24"/>
          <w:szCs w:val="24"/>
        </w:rPr>
        <w:t>第</w:t>
      </w:r>
      <w:r w:rsidR="004A0010" w:rsidRPr="000C0842">
        <w:rPr>
          <w:rFonts w:eastAsia="SimSun"/>
          <w:sz w:val="24"/>
          <w:szCs w:val="24"/>
        </w:rPr>
        <w:t>5</w:t>
      </w:r>
      <w:r w:rsidR="004A0010" w:rsidRPr="000C0842">
        <w:rPr>
          <w:rFonts w:eastAsia="SimSun"/>
          <w:sz w:val="24"/>
          <w:szCs w:val="24"/>
        </w:rPr>
        <w:t>场全体会议</w:t>
      </w:r>
      <w:r w:rsidRPr="000C0842">
        <w:rPr>
          <w:rFonts w:eastAsia="SimSun"/>
          <w:sz w:val="24"/>
          <w:szCs w:val="24"/>
        </w:rPr>
        <w:t>审议了第一工作组主席提交的</w:t>
      </w:r>
      <w:r w:rsidRPr="000C0842">
        <w:rPr>
          <w:rFonts w:eastAsia="SimSun"/>
          <w:sz w:val="24"/>
          <w:szCs w:val="24"/>
        </w:rPr>
        <w:t>CBD/COP/16/L.13</w:t>
      </w:r>
      <w:r w:rsidR="00FC2FC8" w:rsidRPr="000C0842">
        <w:rPr>
          <w:rFonts w:eastAsia="SimSun"/>
          <w:sz w:val="24"/>
          <w:szCs w:val="24"/>
        </w:rPr>
        <w:t>号决定草案</w:t>
      </w:r>
      <w:r w:rsidRPr="000C0842">
        <w:rPr>
          <w:rFonts w:eastAsia="SimSun"/>
          <w:sz w:val="24"/>
          <w:szCs w:val="24"/>
        </w:rPr>
        <w:t>。</w:t>
      </w:r>
    </w:p>
    <w:p w14:paraId="1DA0803F" w14:textId="10FB42EC" w:rsidR="009B5D06" w:rsidRPr="000C0842" w:rsidRDefault="00EE28F8"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4140D0" w:rsidRPr="000C0842">
        <w:rPr>
          <w:rFonts w:eastAsia="SimSun" w:hint="eastAsia"/>
          <w:sz w:val="24"/>
          <w:szCs w:val="24"/>
        </w:rPr>
        <w:t>的</w:t>
      </w:r>
      <w:r w:rsidR="009B5D06" w:rsidRPr="000C0842">
        <w:rPr>
          <w:rFonts w:eastAsia="SimSun"/>
          <w:sz w:val="24"/>
          <w:szCs w:val="24"/>
        </w:rPr>
        <w:t>代表</w:t>
      </w:r>
      <w:r w:rsidR="00E459D5" w:rsidRPr="000C0842">
        <w:rPr>
          <w:rFonts w:eastAsia="SimSun"/>
          <w:sz w:val="24"/>
          <w:szCs w:val="24"/>
        </w:rPr>
        <w:t>发了言</w:t>
      </w:r>
      <w:r w:rsidR="009B5D06" w:rsidRPr="000C0842">
        <w:rPr>
          <w:rFonts w:eastAsia="SimSun"/>
          <w:sz w:val="24"/>
          <w:szCs w:val="24"/>
        </w:rPr>
        <w:t>：阿根廷、巴西、加拿大、哥伦比亚、刚果民主共和国、欧洲联盟及其成员国、挪威、俄罗斯联邦、沙特阿拉伯、南非</w:t>
      </w:r>
      <w:r w:rsidR="004140D0" w:rsidRPr="000C0842">
        <w:rPr>
          <w:rFonts w:eastAsia="SimSun" w:hint="eastAsia"/>
          <w:sz w:val="24"/>
          <w:szCs w:val="24"/>
        </w:rPr>
        <w:t>、</w:t>
      </w:r>
      <w:r w:rsidR="009B5D06" w:rsidRPr="000C0842">
        <w:rPr>
          <w:rFonts w:eastAsia="SimSun"/>
          <w:sz w:val="24"/>
          <w:szCs w:val="24"/>
        </w:rPr>
        <w:t>瑞士。</w:t>
      </w:r>
    </w:p>
    <w:p w14:paraId="7A0313E3" w14:textId="38D051F6" w:rsidR="009B5D06" w:rsidRPr="000C0842"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0E4E27" w:rsidRPr="000C0842">
        <w:rPr>
          <w:rFonts w:eastAsia="SimSun" w:hint="eastAsia"/>
          <w:sz w:val="24"/>
          <w:szCs w:val="24"/>
        </w:rPr>
        <w:t>决定草案</w:t>
      </w:r>
      <w:r w:rsidRPr="000C0842">
        <w:rPr>
          <w:rFonts w:eastAsia="SimSun"/>
          <w:sz w:val="24"/>
          <w:szCs w:val="24"/>
        </w:rPr>
        <w:t>成为第</w:t>
      </w:r>
      <w:hyperlink r:id="rId396" w:history="1">
        <w:r w:rsidRPr="000C0842">
          <w:rPr>
            <w:rStyle w:val="Hyperlink"/>
            <w:rFonts w:eastAsia="SimSun"/>
            <w:color w:val="auto"/>
            <w:sz w:val="24"/>
            <w:szCs w:val="24"/>
          </w:rPr>
          <w:t>16/3</w:t>
        </w:r>
      </w:hyperlink>
      <w:r w:rsidRPr="000C0842">
        <w:rPr>
          <w:rFonts w:eastAsia="SimSun"/>
          <w:sz w:val="24"/>
          <w:szCs w:val="24"/>
        </w:rPr>
        <w:t>号决定。</w:t>
      </w:r>
    </w:p>
    <w:p w14:paraId="3E7519DF" w14:textId="74F39772" w:rsidR="001136A9" w:rsidRPr="000C0842" w:rsidRDefault="001136A9" w:rsidP="001136A9">
      <w:pPr>
        <w:keepNext/>
        <w:tabs>
          <w:tab w:val="left" w:pos="2835"/>
          <w:tab w:val="left" w:pos="3402"/>
          <w:tab w:val="left" w:pos="3969"/>
        </w:tabs>
        <w:spacing w:after="120"/>
        <w:ind w:left="490"/>
        <w:rPr>
          <w:rFonts w:eastAsia="SimSun"/>
          <w:sz w:val="24"/>
          <w:szCs w:val="24"/>
        </w:rPr>
      </w:pPr>
      <w:r w:rsidRPr="000C0842">
        <w:rPr>
          <w:rFonts w:eastAsia="KaiTi"/>
          <w:sz w:val="24"/>
          <w:szCs w:val="24"/>
        </w:rPr>
        <w:t>信息</w:t>
      </w:r>
      <w:r w:rsidR="009B5D06" w:rsidRPr="000C0842">
        <w:rPr>
          <w:rFonts w:eastAsia="KaiTi"/>
          <w:sz w:val="24"/>
          <w:szCs w:val="24"/>
        </w:rPr>
        <w:t>交换所</w:t>
      </w:r>
      <w:r w:rsidRPr="000C0842">
        <w:rPr>
          <w:rFonts w:eastAsia="KaiTi"/>
          <w:sz w:val="24"/>
          <w:szCs w:val="24"/>
        </w:rPr>
        <w:t>机制和知识管理</w:t>
      </w:r>
    </w:p>
    <w:p w14:paraId="2D6E5BF3" w14:textId="12430B70"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第一工作组同意为处理能力建设和发展以及科技合作与技术转让问题而设立的联络小组也将负责关于信息交换</w:t>
      </w:r>
      <w:r w:rsidR="004140D0" w:rsidRPr="000C0842">
        <w:rPr>
          <w:rFonts w:eastAsia="SimSun" w:hint="eastAsia"/>
          <w:sz w:val="24"/>
          <w:szCs w:val="24"/>
        </w:rPr>
        <w:t>所</w:t>
      </w:r>
      <w:r w:rsidRPr="000C0842">
        <w:rPr>
          <w:rFonts w:eastAsia="SimSun"/>
          <w:sz w:val="24"/>
          <w:szCs w:val="24"/>
        </w:rPr>
        <w:t>机制和知识管理的决定草案，目的是向工作组提交一份以协商一致方式商定的决定草案清稿。</w:t>
      </w:r>
    </w:p>
    <w:p w14:paraId="7DCA4E3E" w14:textId="5D887F06"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53283D" w:rsidRPr="000C0842">
        <w:rPr>
          <w:rFonts w:eastAsia="SimSun"/>
          <w:sz w:val="24"/>
          <w:szCs w:val="24"/>
        </w:rPr>
        <w:t>5</w:t>
      </w:r>
      <w:r w:rsidR="0053283D" w:rsidRPr="000C0842">
        <w:rPr>
          <w:rFonts w:eastAsia="SimSun"/>
          <w:sz w:val="24"/>
          <w:szCs w:val="24"/>
        </w:rPr>
        <w:t>场</w:t>
      </w:r>
      <w:r w:rsidRPr="000C0842">
        <w:rPr>
          <w:rFonts w:eastAsia="SimSun"/>
          <w:sz w:val="24"/>
          <w:szCs w:val="24"/>
        </w:rPr>
        <w:t>会议审议了主席在联络小组讨论后提交的订正决定草案。</w:t>
      </w:r>
    </w:p>
    <w:p w14:paraId="55289FFA" w14:textId="617C1FF9" w:rsidR="001136A9" w:rsidRPr="000C0842" w:rsidRDefault="00EE28F8"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136A9" w:rsidRPr="000C0842">
        <w:rPr>
          <w:rFonts w:eastAsia="SimSun"/>
          <w:sz w:val="24"/>
          <w:szCs w:val="24"/>
        </w:rPr>
        <w:t>的代表发</w:t>
      </w:r>
      <w:r w:rsidR="009B5D06" w:rsidRPr="000C0842">
        <w:rPr>
          <w:rFonts w:eastAsia="SimSun"/>
          <w:sz w:val="24"/>
          <w:szCs w:val="24"/>
        </w:rPr>
        <w:t>了</w:t>
      </w:r>
      <w:r w:rsidR="001136A9" w:rsidRPr="000C0842">
        <w:rPr>
          <w:rFonts w:eastAsia="SimSun"/>
          <w:sz w:val="24"/>
          <w:szCs w:val="24"/>
        </w:rPr>
        <w:t>言：阿根廷、澳大利亚、巴西、加拿大、哥伦比亚、刚果民主共和国、欧洲联盟及其成员国、加蓬、危地马拉、日本、挪威、秘鲁、俄罗斯联邦、南非、瑞士</w:t>
      </w:r>
      <w:r w:rsidR="00EB234D" w:rsidRPr="000C0842">
        <w:rPr>
          <w:rFonts w:eastAsia="SimSun" w:hint="eastAsia"/>
          <w:sz w:val="24"/>
          <w:szCs w:val="24"/>
        </w:rPr>
        <w:t>、</w:t>
      </w:r>
      <w:r w:rsidR="001136A9" w:rsidRPr="000C0842">
        <w:rPr>
          <w:rFonts w:eastAsia="SimSun"/>
          <w:sz w:val="24"/>
          <w:szCs w:val="24"/>
        </w:rPr>
        <w:t>联合王国。</w:t>
      </w:r>
    </w:p>
    <w:p w14:paraId="359FA113" w14:textId="61DC75F1" w:rsidR="009B5D06"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全环基金的代表也发了言。</w:t>
      </w:r>
    </w:p>
    <w:p w14:paraId="6F6CCDE0" w14:textId="6DB607B2" w:rsidR="001136A9" w:rsidRPr="000C0842"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第一工作组核准了经口头修正的订正决定草案，将其作为</w:t>
      </w:r>
      <w:r w:rsidRPr="000C0842">
        <w:rPr>
          <w:rFonts w:eastAsia="SimSun"/>
          <w:sz w:val="24"/>
          <w:szCs w:val="24"/>
        </w:rPr>
        <w:t>CBD/COP/16/L.16</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73B4FB37" w14:textId="2501D790" w:rsidR="009B5D06" w:rsidRPr="000C0842" w:rsidRDefault="006140DF"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9B5D06" w:rsidRPr="000C0842">
        <w:rPr>
          <w:rFonts w:eastAsia="SimSun"/>
          <w:sz w:val="24"/>
          <w:szCs w:val="24"/>
        </w:rPr>
        <w:t>第</w:t>
      </w:r>
      <w:r w:rsidR="008B3463" w:rsidRPr="000C0842">
        <w:rPr>
          <w:rFonts w:eastAsia="SimSun" w:hint="eastAsia"/>
          <w:sz w:val="24"/>
          <w:szCs w:val="24"/>
        </w:rPr>
        <w:t>5</w:t>
      </w:r>
      <w:r w:rsidR="009B5D06" w:rsidRPr="000C0842">
        <w:rPr>
          <w:rFonts w:eastAsia="SimSun"/>
          <w:sz w:val="24"/>
          <w:szCs w:val="24"/>
        </w:rPr>
        <w:t>场全体会议审议了第一工作组主席提交的</w:t>
      </w:r>
      <w:r w:rsidR="009B5D06" w:rsidRPr="000C0842">
        <w:rPr>
          <w:rFonts w:eastAsia="SimSun"/>
          <w:sz w:val="24"/>
          <w:szCs w:val="24"/>
        </w:rPr>
        <w:t>CBD/COP/16/L.16</w:t>
      </w:r>
      <w:r w:rsidR="00FC2FC8" w:rsidRPr="000C0842">
        <w:rPr>
          <w:rFonts w:eastAsia="SimSun"/>
          <w:sz w:val="24"/>
          <w:szCs w:val="24"/>
        </w:rPr>
        <w:t>号决定草案</w:t>
      </w:r>
      <w:r w:rsidR="009B5D06" w:rsidRPr="000C0842">
        <w:rPr>
          <w:rFonts w:eastAsia="SimSun"/>
          <w:sz w:val="24"/>
          <w:szCs w:val="24"/>
        </w:rPr>
        <w:t>。</w:t>
      </w:r>
    </w:p>
    <w:p w14:paraId="0116707C" w14:textId="128B67EF" w:rsidR="009B5D06" w:rsidRPr="000C0842"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w:t>
      </w:r>
      <w:r w:rsidR="00E459D5" w:rsidRPr="000C0842">
        <w:rPr>
          <w:rFonts w:eastAsia="SimSun"/>
          <w:sz w:val="24"/>
          <w:szCs w:val="24"/>
        </w:rPr>
        <w:t>发了言</w:t>
      </w:r>
      <w:r w:rsidRPr="000C0842">
        <w:rPr>
          <w:rFonts w:eastAsia="SimSun"/>
          <w:sz w:val="24"/>
          <w:szCs w:val="24"/>
        </w:rPr>
        <w:t>：巴西、加拿大、哥伦比亚、刚果民主共和国、欧洲联盟及其成员国、加蓬、日本、秘鲁、俄罗斯联邦、瑞士、联合王国</w:t>
      </w:r>
      <w:r w:rsidR="005B3F06" w:rsidRPr="000C0842">
        <w:rPr>
          <w:rFonts w:eastAsia="SimSun" w:hint="eastAsia"/>
          <w:sz w:val="24"/>
          <w:szCs w:val="24"/>
        </w:rPr>
        <w:t>、</w:t>
      </w:r>
      <w:r w:rsidRPr="000C0842">
        <w:rPr>
          <w:rFonts w:eastAsia="SimSun"/>
          <w:sz w:val="24"/>
          <w:szCs w:val="24"/>
        </w:rPr>
        <w:t>赞比亚。</w:t>
      </w:r>
    </w:p>
    <w:p w14:paraId="50BA44DE" w14:textId="0DC9C31E" w:rsidR="009B5D06" w:rsidRPr="000C0842"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0E4E27" w:rsidRPr="000C0842">
        <w:rPr>
          <w:rFonts w:eastAsia="SimSun"/>
          <w:sz w:val="24"/>
          <w:szCs w:val="24"/>
        </w:rPr>
        <w:t>决定草案</w:t>
      </w:r>
      <w:r w:rsidRPr="000C0842">
        <w:rPr>
          <w:rFonts w:eastAsia="SimSun"/>
          <w:sz w:val="24"/>
          <w:szCs w:val="24"/>
        </w:rPr>
        <w:t>成为第</w:t>
      </w:r>
      <w:hyperlink r:id="rId397" w:history="1">
        <w:r w:rsidRPr="000C0842">
          <w:rPr>
            <w:rStyle w:val="Hyperlink"/>
            <w:rFonts w:eastAsia="SimSun"/>
            <w:color w:val="auto"/>
            <w:sz w:val="24"/>
            <w:szCs w:val="24"/>
          </w:rPr>
          <w:t>16/9</w:t>
        </w:r>
      </w:hyperlink>
      <w:r w:rsidRPr="000C0842">
        <w:rPr>
          <w:rFonts w:eastAsia="SimSun"/>
          <w:sz w:val="24"/>
          <w:szCs w:val="24"/>
        </w:rPr>
        <w:t>号决定。</w:t>
      </w:r>
    </w:p>
    <w:p w14:paraId="246E4324" w14:textId="61197046" w:rsidR="001136A9" w:rsidRPr="000C0842" w:rsidRDefault="001136A9" w:rsidP="004E5EE5">
      <w:pPr>
        <w:pStyle w:val="a1"/>
        <w:ind w:left="0" w:right="0"/>
        <w:rPr>
          <w:rFonts w:ascii="SimSun" w:hAnsi="SimSun"/>
          <w:szCs w:val="24"/>
          <w:lang w:eastAsia="zh-CN"/>
        </w:rPr>
      </w:pPr>
      <w:bookmarkStart w:id="159" w:name="_Toc206358249"/>
      <w:r w:rsidRPr="000C0842">
        <w:rPr>
          <w:lang w:eastAsia="zh-CN"/>
        </w:rPr>
        <w:t>项目</w:t>
      </w:r>
      <w:r w:rsidRPr="000C0842">
        <w:rPr>
          <w:lang w:eastAsia="zh-CN"/>
        </w:rPr>
        <w:t>13</w:t>
      </w:r>
      <w:r w:rsidR="008A50F0" w:rsidRPr="000C0842">
        <w:rPr>
          <w:lang w:eastAsia="zh-CN"/>
        </w:rPr>
        <w:br/>
      </w:r>
      <w:r w:rsidRPr="000C0842">
        <w:rPr>
          <w:lang w:eastAsia="zh-CN"/>
        </w:rPr>
        <w:t>与国际组织和根据其他公约建立的机构的合作</w:t>
      </w:r>
      <w:bookmarkEnd w:id="159"/>
    </w:p>
    <w:p w14:paraId="35127360" w14:textId="199E7B36"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spacing w:val="-2"/>
          <w:kern w:val="22"/>
          <w:sz w:val="24"/>
          <w:szCs w:val="24"/>
        </w:rPr>
      </w:pPr>
      <w:r w:rsidRPr="000C0842">
        <w:rPr>
          <w:rFonts w:eastAsia="SimSun"/>
          <w:spacing w:val="-2"/>
          <w:kern w:val="22"/>
          <w:sz w:val="24"/>
          <w:szCs w:val="24"/>
        </w:rPr>
        <w:t>第一工作组第</w:t>
      </w:r>
      <w:r w:rsidR="004D27CF" w:rsidRPr="000C0842">
        <w:rPr>
          <w:rFonts w:eastAsia="SimSun"/>
          <w:spacing w:val="-2"/>
          <w:kern w:val="22"/>
          <w:sz w:val="24"/>
          <w:szCs w:val="24"/>
        </w:rPr>
        <w:t>2</w:t>
      </w:r>
      <w:r w:rsidR="004D27CF" w:rsidRPr="000C0842">
        <w:rPr>
          <w:rFonts w:eastAsia="SimSun"/>
          <w:spacing w:val="-2"/>
          <w:kern w:val="22"/>
          <w:sz w:val="24"/>
          <w:szCs w:val="24"/>
        </w:rPr>
        <w:t>场会议</w:t>
      </w:r>
      <w:r w:rsidRPr="000C0842">
        <w:rPr>
          <w:rFonts w:eastAsia="SimSun"/>
          <w:spacing w:val="-2"/>
          <w:kern w:val="22"/>
          <w:sz w:val="24"/>
          <w:szCs w:val="24"/>
        </w:rPr>
        <w:t>审议了议程项目</w:t>
      </w:r>
      <w:r w:rsidRPr="000C0842">
        <w:rPr>
          <w:rFonts w:eastAsia="SimSun"/>
          <w:spacing w:val="-2"/>
          <w:kern w:val="22"/>
          <w:sz w:val="24"/>
          <w:szCs w:val="24"/>
        </w:rPr>
        <w:t>13</w:t>
      </w:r>
      <w:r w:rsidRPr="000C0842">
        <w:rPr>
          <w:rFonts w:eastAsia="SimSun"/>
          <w:spacing w:val="-2"/>
          <w:kern w:val="22"/>
          <w:sz w:val="24"/>
          <w:szCs w:val="24"/>
        </w:rPr>
        <w:t>。工作组收到一份决定草案</w:t>
      </w:r>
      <w:r w:rsidR="009B5D06" w:rsidRPr="000C0842">
        <w:rPr>
          <w:rStyle w:val="FootnoteReference"/>
          <w:spacing w:val="-2"/>
          <w:sz w:val="24"/>
          <w:szCs w:val="24"/>
        </w:rPr>
        <w:footnoteReference w:id="574"/>
      </w:r>
      <w:r w:rsidR="003A01AB" w:rsidRPr="000C0842">
        <w:rPr>
          <w:rFonts w:eastAsia="SimSun" w:hint="eastAsia"/>
          <w:spacing w:val="-2"/>
          <w:kern w:val="22"/>
          <w:sz w:val="21"/>
          <w:szCs w:val="21"/>
        </w:rPr>
        <w:t xml:space="preserve"> </w:t>
      </w:r>
      <w:r w:rsidRPr="000C0842">
        <w:rPr>
          <w:rFonts w:eastAsia="SimSun"/>
          <w:spacing w:val="-2"/>
          <w:kern w:val="22"/>
          <w:sz w:val="24"/>
          <w:szCs w:val="24"/>
        </w:rPr>
        <w:t>和秘书处关于与其他公约组织和国际组织合作的说明</w:t>
      </w:r>
      <w:r w:rsidR="003A01AB" w:rsidRPr="000C0842">
        <w:rPr>
          <w:rFonts w:eastAsia="SimSun"/>
          <w:spacing w:val="-2"/>
          <w:kern w:val="22"/>
          <w:sz w:val="24"/>
          <w:szCs w:val="24"/>
          <w:vertAlign w:val="superscript"/>
        </w:rPr>
        <w:footnoteReference w:id="575"/>
      </w:r>
      <w:r w:rsidR="003A01AB" w:rsidRPr="000C0842">
        <w:rPr>
          <w:rFonts w:eastAsia="SimSun" w:hint="eastAsia"/>
          <w:spacing w:val="-2"/>
          <w:kern w:val="22"/>
          <w:sz w:val="21"/>
          <w:szCs w:val="21"/>
        </w:rPr>
        <w:t xml:space="preserve"> </w:t>
      </w:r>
      <w:r w:rsidR="005506CF" w:rsidRPr="000C0842">
        <w:rPr>
          <w:rFonts w:eastAsia="SimSun" w:hint="eastAsia"/>
          <w:spacing w:val="-2"/>
          <w:kern w:val="22"/>
          <w:sz w:val="21"/>
          <w:szCs w:val="21"/>
        </w:rPr>
        <w:t>。</w:t>
      </w:r>
      <w:r w:rsidRPr="000C0842">
        <w:rPr>
          <w:rFonts w:eastAsia="SimSun"/>
          <w:spacing w:val="-2"/>
          <w:kern w:val="22"/>
          <w:sz w:val="24"/>
          <w:szCs w:val="24"/>
        </w:rPr>
        <w:t>此外，还就项目</w:t>
      </w:r>
      <w:r w:rsidRPr="000C0842">
        <w:rPr>
          <w:rFonts w:eastAsia="SimSun"/>
          <w:spacing w:val="-2"/>
          <w:kern w:val="22"/>
          <w:sz w:val="24"/>
          <w:szCs w:val="24"/>
        </w:rPr>
        <w:t>13</w:t>
      </w:r>
      <w:r w:rsidRPr="000C0842">
        <w:rPr>
          <w:rFonts w:eastAsia="SimSun"/>
          <w:spacing w:val="-2"/>
          <w:kern w:val="22"/>
          <w:sz w:val="24"/>
          <w:szCs w:val="24"/>
        </w:rPr>
        <w:t>印发了</w:t>
      </w:r>
      <w:r w:rsidR="009B5D06" w:rsidRPr="000C0842">
        <w:rPr>
          <w:rFonts w:eastAsia="SimSun"/>
          <w:spacing w:val="-2"/>
          <w:kern w:val="22"/>
          <w:sz w:val="24"/>
          <w:szCs w:val="24"/>
        </w:rPr>
        <w:t>以下</w:t>
      </w:r>
      <w:r w:rsidRPr="000C0842">
        <w:rPr>
          <w:rFonts w:eastAsia="SimSun"/>
          <w:spacing w:val="-2"/>
          <w:kern w:val="22"/>
          <w:sz w:val="24"/>
          <w:szCs w:val="24"/>
        </w:rPr>
        <w:t>资料文件</w:t>
      </w:r>
      <w:r w:rsidR="009B5D06" w:rsidRPr="000C0842">
        <w:rPr>
          <w:rFonts w:eastAsia="SimSun"/>
          <w:spacing w:val="-2"/>
          <w:kern w:val="22"/>
          <w:sz w:val="24"/>
          <w:szCs w:val="24"/>
        </w:rPr>
        <w:t>：粮农组织</w:t>
      </w:r>
      <w:r w:rsidRPr="000C0842">
        <w:rPr>
          <w:rFonts w:eastAsia="SimSun"/>
          <w:spacing w:val="-2"/>
          <w:kern w:val="22"/>
          <w:sz w:val="24"/>
          <w:szCs w:val="24"/>
        </w:rPr>
        <w:t>的报告</w:t>
      </w:r>
      <w:r w:rsidR="003A01AB" w:rsidRPr="000C0842">
        <w:rPr>
          <w:rFonts w:eastAsia="SimSun"/>
          <w:spacing w:val="-2"/>
          <w:kern w:val="22"/>
          <w:sz w:val="24"/>
          <w:szCs w:val="24"/>
          <w:vertAlign w:val="superscript"/>
        </w:rPr>
        <w:footnoteReference w:id="576"/>
      </w:r>
      <w:r w:rsidR="003A01AB" w:rsidRPr="000C0842">
        <w:rPr>
          <w:rFonts w:eastAsia="SimSun" w:hint="eastAsia"/>
          <w:spacing w:val="-2"/>
          <w:kern w:val="22"/>
          <w:sz w:val="24"/>
          <w:szCs w:val="24"/>
        </w:rPr>
        <w:t xml:space="preserve"> </w:t>
      </w:r>
      <w:r w:rsidR="005506CF" w:rsidRPr="000C0842">
        <w:rPr>
          <w:rFonts w:eastAsia="SimSun" w:hint="eastAsia"/>
          <w:spacing w:val="-2"/>
          <w:kern w:val="22"/>
          <w:sz w:val="24"/>
          <w:szCs w:val="24"/>
        </w:rPr>
        <w:t>、</w:t>
      </w:r>
      <w:r w:rsidRPr="000C0842">
        <w:rPr>
          <w:rFonts w:eastAsia="SimSun"/>
          <w:spacing w:val="-2"/>
          <w:kern w:val="22"/>
          <w:sz w:val="24"/>
          <w:szCs w:val="24"/>
        </w:rPr>
        <w:t>关于联合国恢复生态系统十年（</w:t>
      </w:r>
      <w:r w:rsidRPr="000C0842">
        <w:rPr>
          <w:rFonts w:eastAsia="SimSun"/>
          <w:spacing w:val="-2"/>
          <w:kern w:val="22"/>
          <w:sz w:val="24"/>
          <w:szCs w:val="24"/>
        </w:rPr>
        <w:t>2021-2030</w:t>
      </w:r>
      <w:r w:rsidRPr="000C0842">
        <w:rPr>
          <w:rFonts w:eastAsia="SimSun"/>
          <w:spacing w:val="-2"/>
          <w:kern w:val="22"/>
          <w:sz w:val="24"/>
          <w:szCs w:val="24"/>
        </w:rPr>
        <w:t>年）</w:t>
      </w:r>
      <w:r w:rsidR="009B5D06" w:rsidRPr="000C0842">
        <w:rPr>
          <w:rFonts w:eastAsia="SimSun"/>
          <w:spacing w:val="-2"/>
          <w:kern w:val="22"/>
          <w:sz w:val="24"/>
          <w:szCs w:val="24"/>
        </w:rPr>
        <w:t>执行</w:t>
      </w:r>
      <w:r w:rsidRPr="000C0842">
        <w:rPr>
          <w:rFonts w:eastAsia="SimSun"/>
          <w:spacing w:val="-2"/>
          <w:kern w:val="22"/>
          <w:sz w:val="24"/>
          <w:szCs w:val="24"/>
        </w:rPr>
        <w:t>进展情况的</w:t>
      </w:r>
      <w:r w:rsidR="009B5D06" w:rsidRPr="000C0842">
        <w:rPr>
          <w:rFonts w:eastAsia="SimSun"/>
          <w:spacing w:val="-2"/>
          <w:kern w:val="22"/>
          <w:sz w:val="24"/>
          <w:szCs w:val="24"/>
        </w:rPr>
        <w:t>报告</w:t>
      </w:r>
      <w:r w:rsidR="003A01AB" w:rsidRPr="000C0842">
        <w:rPr>
          <w:rFonts w:eastAsia="SimSun"/>
          <w:spacing w:val="-2"/>
          <w:kern w:val="22"/>
          <w:sz w:val="24"/>
          <w:szCs w:val="24"/>
          <w:vertAlign w:val="superscript"/>
        </w:rPr>
        <w:footnoteReference w:id="577"/>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关于《保护和可持续利用授粉媒介国际倡议》实施情况的进展报告</w:t>
      </w:r>
      <w:r w:rsidR="003A01AB" w:rsidRPr="000C0842">
        <w:rPr>
          <w:rFonts w:eastAsia="SimSun"/>
          <w:spacing w:val="-2"/>
          <w:kern w:val="22"/>
          <w:sz w:val="24"/>
          <w:szCs w:val="24"/>
          <w:vertAlign w:val="superscript"/>
        </w:rPr>
        <w:footnoteReference w:id="578"/>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可持续野生生物管理合作伙伴关系</w:t>
      </w:r>
      <w:r w:rsidRPr="000C0842">
        <w:rPr>
          <w:rFonts w:eastAsia="SimSun"/>
          <w:spacing w:val="-2"/>
          <w:sz w:val="24"/>
          <w:szCs w:val="24"/>
        </w:rPr>
        <w:t>2023</w:t>
      </w:r>
      <w:r w:rsidRPr="000C0842">
        <w:rPr>
          <w:rFonts w:eastAsia="SimSun"/>
          <w:spacing w:val="-2"/>
          <w:kern w:val="22"/>
          <w:sz w:val="24"/>
          <w:szCs w:val="24"/>
        </w:rPr>
        <w:t>-2024</w:t>
      </w:r>
      <w:r w:rsidRPr="000C0842">
        <w:rPr>
          <w:rFonts w:eastAsia="SimSun"/>
          <w:spacing w:val="-2"/>
          <w:kern w:val="22"/>
          <w:sz w:val="24"/>
          <w:szCs w:val="24"/>
        </w:rPr>
        <w:t>年的进展报告</w:t>
      </w:r>
      <w:r w:rsidR="003A01AB" w:rsidRPr="000C0842">
        <w:rPr>
          <w:rFonts w:eastAsia="SimSun"/>
          <w:spacing w:val="-2"/>
          <w:kern w:val="22"/>
          <w:sz w:val="24"/>
          <w:szCs w:val="24"/>
          <w:vertAlign w:val="superscript"/>
        </w:rPr>
        <w:footnoteReference w:id="579"/>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关于</w:t>
      </w:r>
      <w:r w:rsidR="009B5D06" w:rsidRPr="000C0842">
        <w:rPr>
          <w:rFonts w:eastAsia="SimSun"/>
          <w:spacing w:val="-2"/>
          <w:kern w:val="22"/>
          <w:sz w:val="24"/>
          <w:szCs w:val="24"/>
        </w:rPr>
        <w:t>环境署</w:t>
      </w:r>
      <w:r w:rsidRPr="000C0842">
        <w:rPr>
          <w:rFonts w:eastAsia="SimSun"/>
          <w:spacing w:val="-2"/>
          <w:kern w:val="22"/>
          <w:sz w:val="24"/>
          <w:szCs w:val="24"/>
        </w:rPr>
        <w:t>支持执行《生物多样性公约》及其议定书的活动的报告</w:t>
      </w:r>
      <w:r w:rsidR="003A01AB" w:rsidRPr="000C0842">
        <w:rPr>
          <w:rFonts w:eastAsia="SimSun"/>
          <w:spacing w:val="-2"/>
          <w:kern w:val="22"/>
          <w:sz w:val="24"/>
          <w:szCs w:val="24"/>
          <w:vertAlign w:val="superscript"/>
        </w:rPr>
        <w:footnoteReference w:id="580"/>
      </w:r>
      <w:r w:rsidR="003A01AB" w:rsidRPr="000C0842">
        <w:rPr>
          <w:rFonts w:eastAsia="SimSun" w:hint="eastAsia"/>
          <w:spacing w:val="-2"/>
          <w:kern w:val="22"/>
          <w:sz w:val="24"/>
          <w:szCs w:val="24"/>
        </w:rPr>
        <w:t xml:space="preserve"> </w:t>
      </w:r>
      <w:r w:rsidR="005506CF" w:rsidRPr="000C0842">
        <w:rPr>
          <w:rFonts w:eastAsia="SimSun" w:hint="eastAsia"/>
          <w:spacing w:val="-2"/>
          <w:kern w:val="22"/>
          <w:sz w:val="24"/>
          <w:szCs w:val="24"/>
        </w:rPr>
        <w:t>、</w:t>
      </w:r>
      <w:r w:rsidRPr="000C0842">
        <w:rPr>
          <w:rFonts w:eastAsia="SimSun"/>
          <w:spacing w:val="-2"/>
          <w:kern w:val="22"/>
          <w:sz w:val="24"/>
          <w:szCs w:val="24"/>
        </w:rPr>
        <w:t>关于推广多边环境协定数据报告工具的进展报告</w:t>
      </w:r>
      <w:r w:rsidR="003A01AB" w:rsidRPr="000C0842">
        <w:rPr>
          <w:rFonts w:eastAsia="SimSun"/>
          <w:spacing w:val="-2"/>
          <w:kern w:val="22"/>
          <w:sz w:val="24"/>
          <w:szCs w:val="24"/>
          <w:vertAlign w:val="superscript"/>
        </w:rPr>
        <w:footnoteReference w:id="581"/>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联合国人类住区规划署（人居署）的报告</w:t>
      </w:r>
      <w:r w:rsidR="003A01AB" w:rsidRPr="000C0842">
        <w:rPr>
          <w:rFonts w:eastAsia="SimSun"/>
          <w:spacing w:val="-2"/>
          <w:kern w:val="22"/>
          <w:sz w:val="24"/>
          <w:szCs w:val="24"/>
          <w:vertAlign w:val="superscript"/>
        </w:rPr>
        <w:footnoteReference w:id="582"/>
      </w:r>
      <w:r w:rsidR="003A01AB" w:rsidRPr="000C0842">
        <w:rPr>
          <w:rFonts w:eastAsia="SimSun" w:hint="eastAsia"/>
          <w:spacing w:val="-2"/>
          <w:kern w:val="22"/>
          <w:sz w:val="24"/>
          <w:szCs w:val="24"/>
        </w:rPr>
        <w:t xml:space="preserve"> </w:t>
      </w:r>
      <w:r w:rsidR="005506CF" w:rsidRPr="000C0842">
        <w:rPr>
          <w:rFonts w:eastAsia="SimSun" w:hint="eastAsia"/>
          <w:spacing w:val="-2"/>
          <w:kern w:val="22"/>
          <w:sz w:val="24"/>
          <w:szCs w:val="24"/>
        </w:rPr>
        <w:t>、</w:t>
      </w:r>
      <w:r w:rsidRPr="000C0842">
        <w:rPr>
          <w:rFonts w:eastAsia="SimSun"/>
          <w:spacing w:val="-2"/>
          <w:kern w:val="22"/>
          <w:sz w:val="24"/>
          <w:szCs w:val="24"/>
        </w:rPr>
        <w:t>《生物多样性公约》和《特别是作为水禽栖息地的国际重要湿地公约》</w:t>
      </w:r>
      <w:r w:rsidR="009B5D06" w:rsidRPr="000C0842">
        <w:rPr>
          <w:rFonts w:eastAsia="SimSun"/>
          <w:spacing w:val="-2"/>
          <w:kern w:val="22"/>
          <w:sz w:val="24"/>
          <w:szCs w:val="24"/>
        </w:rPr>
        <w:t>（《拉姆萨尔公约》）</w:t>
      </w:r>
      <w:r w:rsidRPr="000C0842">
        <w:rPr>
          <w:rFonts w:eastAsia="SimSun"/>
          <w:spacing w:val="-2"/>
          <w:kern w:val="22"/>
          <w:sz w:val="24"/>
          <w:szCs w:val="24"/>
        </w:rPr>
        <w:t>第六个联合工作计划（</w:t>
      </w:r>
      <w:r w:rsidRPr="000C0842">
        <w:rPr>
          <w:rFonts w:eastAsia="SimSun"/>
          <w:spacing w:val="-2"/>
          <w:kern w:val="22"/>
          <w:sz w:val="24"/>
          <w:szCs w:val="24"/>
        </w:rPr>
        <w:t>2024-2030</w:t>
      </w:r>
      <w:r w:rsidRPr="000C0842">
        <w:rPr>
          <w:rFonts w:eastAsia="SimSun"/>
          <w:spacing w:val="-2"/>
          <w:kern w:val="22"/>
          <w:sz w:val="24"/>
          <w:szCs w:val="24"/>
        </w:rPr>
        <w:t>年）</w:t>
      </w:r>
      <w:r w:rsidR="003A01AB" w:rsidRPr="000C0842">
        <w:rPr>
          <w:rFonts w:eastAsia="SimSun"/>
          <w:spacing w:val="-2"/>
          <w:kern w:val="22"/>
          <w:sz w:val="24"/>
          <w:szCs w:val="24"/>
          <w:vertAlign w:val="superscript"/>
        </w:rPr>
        <w:footnoteReference w:id="583"/>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关于《粮食和农业植物遗传资源国际条约》下与《生物多样性公约》及其《名古屋议定书》有关的最新进展情况的报告</w:t>
      </w:r>
      <w:r w:rsidR="003A01AB" w:rsidRPr="000C0842">
        <w:rPr>
          <w:rFonts w:eastAsia="SimSun"/>
          <w:spacing w:val="-2"/>
          <w:kern w:val="22"/>
          <w:sz w:val="24"/>
          <w:szCs w:val="24"/>
          <w:vertAlign w:val="superscript"/>
        </w:rPr>
        <w:footnoteReference w:id="584"/>
      </w:r>
      <w:r w:rsidR="003A01AB" w:rsidRPr="000C0842">
        <w:rPr>
          <w:rFonts w:eastAsia="SimSun" w:hint="eastAsia"/>
          <w:spacing w:val="-2"/>
          <w:kern w:val="22"/>
        </w:rPr>
        <w:t xml:space="preserve"> </w:t>
      </w:r>
      <w:r w:rsidR="005506CF" w:rsidRPr="000C0842">
        <w:rPr>
          <w:rFonts w:eastAsia="SimSun" w:hint="eastAsia"/>
          <w:spacing w:val="-2"/>
          <w:kern w:val="22"/>
        </w:rPr>
        <w:t>、</w:t>
      </w:r>
      <w:r w:rsidRPr="000C0842">
        <w:rPr>
          <w:rFonts w:eastAsia="SimSun"/>
          <w:spacing w:val="-2"/>
          <w:kern w:val="22"/>
          <w:sz w:val="24"/>
          <w:szCs w:val="24"/>
        </w:rPr>
        <w:t>关于汞污染和生物多样性的说明：《关于汞的水俣公约》对《</w:t>
      </w:r>
      <w:r w:rsidR="000A7695" w:rsidRPr="000C0842">
        <w:rPr>
          <w:rFonts w:eastAsia="SimSun" w:hint="eastAsia"/>
          <w:spacing w:val="-2"/>
          <w:kern w:val="22"/>
          <w:sz w:val="24"/>
          <w:szCs w:val="24"/>
        </w:rPr>
        <w:t>昆蒙</w:t>
      </w:r>
      <w:r w:rsidRPr="000C0842">
        <w:rPr>
          <w:rFonts w:eastAsia="SimSun"/>
          <w:spacing w:val="-2"/>
          <w:kern w:val="22"/>
          <w:sz w:val="24"/>
          <w:szCs w:val="24"/>
        </w:rPr>
        <w:t>框架》的贡献</w:t>
      </w:r>
      <w:r w:rsidRPr="000C0842">
        <w:rPr>
          <w:rFonts w:eastAsia="SimSun"/>
          <w:spacing w:val="-2"/>
          <w:kern w:val="22"/>
          <w:sz w:val="24"/>
          <w:szCs w:val="24"/>
          <w:vertAlign w:val="superscript"/>
        </w:rPr>
        <w:footnoteReference w:id="585"/>
      </w:r>
      <w:r w:rsidR="003A01AB" w:rsidRPr="000C0842">
        <w:rPr>
          <w:rFonts w:eastAsia="SimSun" w:hint="eastAsia"/>
          <w:spacing w:val="-2"/>
          <w:kern w:val="22"/>
          <w:sz w:val="24"/>
          <w:szCs w:val="24"/>
        </w:rPr>
        <w:t xml:space="preserve"> </w:t>
      </w:r>
      <w:r w:rsidRPr="000C0842">
        <w:rPr>
          <w:rFonts w:eastAsia="SimSun"/>
          <w:spacing w:val="-2"/>
          <w:kern w:val="22"/>
          <w:sz w:val="24"/>
          <w:szCs w:val="24"/>
        </w:rPr>
        <w:t>和秘书处关于《</w:t>
      </w:r>
      <w:r w:rsidR="009B5D06" w:rsidRPr="000C0842">
        <w:rPr>
          <w:rFonts w:eastAsia="SimSun"/>
          <w:spacing w:val="-2"/>
          <w:kern w:val="22"/>
          <w:sz w:val="24"/>
          <w:szCs w:val="24"/>
        </w:rPr>
        <w:t>保护和可持续发展喀尔巴阡山脉框架公约</w:t>
      </w:r>
      <w:r w:rsidRPr="000C0842">
        <w:rPr>
          <w:rFonts w:eastAsia="SimSun"/>
          <w:spacing w:val="-2"/>
          <w:kern w:val="22"/>
          <w:sz w:val="24"/>
          <w:szCs w:val="24"/>
        </w:rPr>
        <w:t>》的</w:t>
      </w:r>
      <w:r w:rsidR="009B5D06" w:rsidRPr="000C0842">
        <w:rPr>
          <w:rFonts w:eastAsia="SimSun"/>
          <w:spacing w:val="-2"/>
          <w:kern w:val="22"/>
          <w:sz w:val="24"/>
          <w:szCs w:val="24"/>
        </w:rPr>
        <w:t>报告</w:t>
      </w:r>
      <w:r w:rsidR="003A01AB" w:rsidRPr="000C0842">
        <w:rPr>
          <w:rFonts w:eastAsia="SimSun"/>
          <w:spacing w:val="-2"/>
          <w:kern w:val="22"/>
          <w:sz w:val="24"/>
          <w:szCs w:val="24"/>
          <w:vertAlign w:val="superscript"/>
        </w:rPr>
        <w:footnoteReference w:id="586"/>
      </w:r>
      <w:r w:rsidR="005506CF" w:rsidRPr="000C0842">
        <w:rPr>
          <w:rFonts w:eastAsia="SimSun" w:hint="eastAsia"/>
          <w:spacing w:val="-2"/>
          <w:kern w:val="22"/>
          <w:sz w:val="24"/>
          <w:szCs w:val="24"/>
        </w:rPr>
        <w:t>。</w:t>
      </w:r>
    </w:p>
    <w:p w14:paraId="1FE105AA" w14:textId="67C10E54" w:rsidR="001136A9" w:rsidRPr="000C0842" w:rsidRDefault="009B5D06"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粮农</w:t>
      </w:r>
      <w:r w:rsidR="001136A9" w:rsidRPr="000C0842">
        <w:rPr>
          <w:rFonts w:eastAsia="SimSun"/>
          <w:kern w:val="22"/>
          <w:sz w:val="24"/>
          <w:szCs w:val="24"/>
        </w:rPr>
        <w:t>组织、生物多样性和生态系统服务政府间科学与政策平台、《巴塞尔公约》、《鹿特丹公约》和《斯德哥尔摩公约》秘书处、《濒危野生动植物种国际贸易公约》秘书处、《</w:t>
      </w:r>
      <w:r w:rsidRPr="000C0842">
        <w:rPr>
          <w:rFonts w:eastAsia="SimSun"/>
          <w:kern w:val="22"/>
          <w:sz w:val="24"/>
          <w:szCs w:val="24"/>
        </w:rPr>
        <w:t>拉姆萨尔</w:t>
      </w:r>
      <w:r w:rsidR="001136A9" w:rsidRPr="000C0842">
        <w:rPr>
          <w:rFonts w:eastAsia="SimSun"/>
          <w:kern w:val="22"/>
          <w:sz w:val="24"/>
          <w:szCs w:val="24"/>
        </w:rPr>
        <w:t>公约》秘书处、《粮食和农业植物遗传资源国际条约》</w:t>
      </w:r>
      <w:r w:rsidR="001136A9" w:rsidRPr="000C0842">
        <w:rPr>
          <w:rFonts w:eastAsia="SimSun"/>
          <w:sz w:val="24"/>
          <w:szCs w:val="24"/>
        </w:rPr>
        <w:t>秘书处</w:t>
      </w:r>
      <w:r w:rsidR="001136A9" w:rsidRPr="000C0842">
        <w:rPr>
          <w:rFonts w:eastAsia="SimSun"/>
          <w:kern w:val="22"/>
          <w:sz w:val="24"/>
          <w:szCs w:val="24"/>
        </w:rPr>
        <w:t>、澳大利亚动物园和水族馆协会（同时代表</w:t>
      </w:r>
      <w:r w:rsidR="001136A9" w:rsidRPr="000C0842">
        <w:rPr>
          <w:rFonts w:eastAsia="SimSun"/>
          <w:sz w:val="24"/>
          <w:szCs w:val="24"/>
        </w:rPr>
        <w:t>动物园</w:t>
      </w:r>
      <w:r w:rsidR="001136A9" w:rsidRPr="000C0842">
        <w:rPr>
          <w:rFonts w:eastAsia="SimSun"/>
          <w:kern w:val="22"/>
          <w:sz w:val="24"/>
          <w:szCs w:val="24"/>
        </w:rPr>
        <w:t>和水族馆协会、法国动物园协会、圣地亚哥动物园野生动物联盟、怀尔德研究所</w:t>
      </w:r>
      <w:r w:rsidR="001136A9" w:rsidRPr="000C0842">
        <w:rPr>
          <w:rFonts w:eastAsia="SimSun"/>
          <w:kern w:val="22"/>
          <w:sz w:val="24"/>
          <w:szCs w:val="24"/>
        </w:rPr>
        <w:t>-</w:t>
      </w:r>
      <w:r w:rsidR="001136A9" w:rsidRPr="000C0842">
        <w:rPr>
          <w:rFonts w:eastAsia="SimSun"/>
          <w:kern w:val="22"/>
          <w:sz w:val="24"/>
          <w:szCs w:val="24"/>
        </w:rPr>
        <w:t>卡尔加里动物园基金会、世界动物园和水族馆协会及伦敦动物学会）的代表</w:t>
      </w:r>
      <w:r w:rsidR="00E459D5" w:rsidRPr="000C0842">
        <w:rPr>
          <w:rFonts w:eastAsia="SimSun"/>
          <w:kern w:val="22"/>
          <w:sz w:val="24"/>
          <w:szCs w:val="24"/>
        </w:rPr>
        <w:t>发了言</w:t>
      </w:r>
      <w:r w:rsidR="001136A9" w:rsidRPr="000C0842">
        <w:rPr>
          <w:rFonts w:eastAsia="SimSun"/>
          <w:kern w:val="22"/>
          <w:sz w:val="24"/>
          <w:szCs w:val="24"/>
        </w:rPr>
        <w:t>。</w:t>
      </w:r>
    </w:p>
    <w:p w14:paraId="16A311CB" w14:textId="5B56AADB"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下列缔约方的代表发了言：多民族玻利维亚国、加拿大、哥伦比亚、刚果民主共和国、</w:t>
      </w:r>
      <w:r w:rsidRPr="000C0842">
        <w:rPr>
          <w:rFonts w:eastAsia="SimSun"/>
          <w:sz w:val="24"/>
          <w:szCs w:val="24"/>
        </w:rPr>
        <w:t>欧洲联盟及其成员国</w:t>
      </w:r>
      <w:r w:rsidRPr="000C0842">
        <w:rPr>
          <w:rFonts w:eastAsia="SimSun"/>
          <w:kern w:val="22"/>
          <w:sz w:val="24"/>
          <w:szCs w:val="24"/>
        </w:rPr>
        <w:t>、危地马拉、印度、日本、肯尼亚、墨西哥、俄罗斯联邦、瑞士、汤加、乌干达、阿拉伯联合酋长国</w:t>
      </w:r>
      <w:r w:rsidR="002A5D1C" w:rsidRPr="000C0842">
        <w:rPr>
          <w:rFonts w:eastAsia="SimSun" w:hint="eastAsia"/>
          <w:kern w:val="22"/>
          <w:sz w:val="24"/>
          <w:szCs w:val="24"/>
        </w:rPr>
        <w:t>、</w:t>
      </w:r>
      <w:r w:rsidRPr="000C0842">
        <w:rPr>
          <w:rFonts w:eastAsia="SimSun"/>
          <w:kern w:val="22"/>
          <w:sz w:val="24"/>
          <w:szCs w:val="24"/>
        </w:rPr>
        <w:t>联合王国。</w:t>
      </w:r>
    </w:p>
    <w:p w14:paraId="08EE53B8" w14:textId="6FE98495"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sz w:val="24"/>
          <w:szCs w:val="24"/>
        </w:rPr>
        <w:t>2024</w:t>
      </w:r>
      <w:r w:rsidRPr="000C0842">
        <w:rPr>
          <w:rFonts w:eastAsia="SimSun"/>
          <w:sz w:val="24"/>
          <w:szCs w:val="24"/>
        </w:rPr>
        <w:t>年</w:t>
      </w:r>
      <w:r w:rsidRPr="000C0842">
        <w:rPr>
          <w:rFonts w:eastAsia="SimSun"/>
          <w:sz w:val="24"/>
          <w:szCs w:val="24"/>
        </w:rPr>
        <w:t>10</w:t>
      </w:r>
      <w:r w:rsidRPr="000C0842">
        <w:rPr>
          <w:rFonts w:eastAsia="SimSun"/>
          <w:kern w:val="22"/>
          <w:sz w:val="24"/>
          <w:szCs w:val="24"/>
        </w:rPr>
        <w:t>月</w:t>
      </w:r>
      <w:r w:rsidRPr="000C0842">
        <w:rPr>
          <w:rFonts w:eastAsia="SimSun"/>
          <w:kern w:val="22"/>
          <w:sz w:val="24"/>
          <w:szCs w:val="24"/>
        </w:rPr>
        <w:t>28</w:t>
      </w:r>
      <w:r w:rsidRPr="000C0842">
        <w:rPr>
          <w:rFonts w:eastAsia="SimSun"/>
          <w:kern w:val="22"/>
          <w:sz w:val="24"/>
          <w:szCs w:val="24"/>
        </w:rPr>
        <w:t>日第一工作组第</w:t>
      </w:r>
      <w:r w:rsidR="00093F46" w:rsidRPr="000C0842">
        <w:rPr>
          <w:rFonts w:eastAsia="SimSun"/>
          <w:kern w:val="22"/>
          <w:sz w:val="24"/>
          <w:szCs w:val="24"/>
        </w:rPr>
        <w:t>3</w:t>
      </w:r>
      <w:r w:rsidR="00093F46" w:rsidRPr="000C0842">
        <w:rPr>
          <w:rFonts w:eastAsia="SimSun"/>
          <w:kern w:val="22"/>
          <w:sz w:val="24"/>
          <w:szCs w:val="24"/>
        </w:rPr>
        <w:t>场</w:t>
      </w:r>
      <w:r w:rsidRPr="000C0842">
        <w:rPr>
          <w:rFonts w:eastAsia="SimSun"/>
          <w:kern w:val="22"/>
          <w:sz w:val="24"/>
          <w:szCs w:val="24"/>
        </w:rPr>
        <w:t>会议继续审议议程项目</w:t>
      </w:r>
      <w:r w:rsidRPr="000C0842">
        <w:rPr>
          <w:rFonts w:eastAsia="SimSun"/>
          <w:kern w:val="22"/>
          <w:sz w:val="24"/>
          <w:szCs w:val="24"/>
        </w:rPr>
        <w:t>13</w:t>
      </w:r>
      <w:r w:rsidRPr="000C0842">
        <w:rPr>
          <w:rFonts w:eastAsia="SimSun"/>
          <w:kern w:val="22"/>
          <w:sz w:val="24"/>
          <w:szCs w:val="24"/>
        </w:rPr>
        <w:t>。</w:t>
      </w:r>
    </w:p>
    <w:p w14:paraId="3A0E6B72" w14:textId="0DE7F1CC"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下列</w:t>
      </w:r>
      <w:r w:rsidRPr="000C0842">
        <w:rPr>
          <w:rFonts w:eastAsia="SimSun"/>
          <w:sz w:val="24"/>
          <w:szCs w:val="24"/>
        </w:rPr>
        <w:t>缔约</w:t>
      </w:r>
      <w:r w:rsidRPr="000C0842">
        <w:rPr>
          <w:rFonts w:eastAsia="SimSun"/>
          <w:kern w:val="22"/>
          <w:sz w:val="24"/>
          <w:szCs w:val="24"/>
        </w:rPr>
        <w:t>方的代表发</w:t>
      </w:r>
      <w:r w:rsidR="008B3463" w:rsidRPr="000C0842">
        <w:rPr>
          <w:rFonts w:eastAsia="SimSun" w:hint="eastAsia"/>
          <w:kern w:val="22"/>
          <w:sz w:val="24"/>
          <w:szCs w:val="24"/>
        </w:rPr>
        <w:t>了</w:t>
      </w:r>
      <w:r w:rsidRPr="000C0842">
        <w:rPr>
          <w:rFonts w:eastAsia="SimSun"/>
          <w:kern w:val="22"/>
          <w:sz w:val="24"/>
          <w:szCs w:val="24"/>
        </w:rPr>
        <w:t>言：阿根廷、巴西、喀麦隆、危地马拉、肯尼亚（代表非洲国家）、吉尔吉斯斯坦、南非、</w:t>
      </w:r>
      <w:r w:rsidR="00D77FA7" w:rsidRPr="000C0842">
        <w:rPr>
          <w:rFonts w:eastAsia="SimSun"/>
          <w:kern w:val="22"/>
          <w:sz w:val="24"/>
          <w:szCs w:val="24"/>
        </w:rPr>
        <w:t>汤加</w:t>
      </w:r>
      <w:r w:rsidR="00D77FA7" w:rsidRPr="000C0842">
        <w:rPr>
          <w:rFonts w:eastAsia="SimSun" w:hint="eastAsia"/>
          <w:kern w:val="22"/>
          <w:sz w:val="24"/>
          <w:szCs w:val="24"/>
        </w:rPr>
        <w:t>、</w:t>
      </w:r>
      <w:r w:rsidRPr="000C0842">
        <w:rPr>
          <w:rFonts w:eastAsia="SimSun"/>
          <w:kern w:val="22"/>
          <w:sz w:val="24"/>
          <w:szCs w:val="24"/>
        </w:rPr>
        <w:t>乌干达</w:t>
      </w:r>
      <w:r w:rsidR="002A5D1C" w:rsidRPr="000C0842">
        <w:rPr>
          <w:rFonts w:eastAsia="SimSun" w:hint="eastAsia"/>
          <w:kern w:val="22"/>
          <w:sz w:val="24"/>
          <w:szCs w:val="24"/>
        </w:rPr>
        <w:t>、</w:t>
      </w:r>
      <w:r w:rsidRPr="000C0842">
        <w:rPr>
          <w:rFonts w:eastAsia="SimSun"/>
          <w:kern w:val="22"/>
          <w:sz w:val="24"/>
          <w:szCs w:val="24"/>
        </w:rPr>
        <w:t>联合王国。</w:t>
      </w:r>
    </w:p>
    <w:p w14:paraId="563CD7B1" w14:textId="140A21B5"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联合国秘书处海洋事务和海洋法司、联合国人权事务高级专员办事处</w:t>
      </w:r>
      <w:r w:rsidR="009B5D06" w:rsidRPr="000C0842">
        <w:rPr>
          <w:rFonts w:eastAsia="SimSun"/>
          <w:kern w:val="22"/>
          <w:sz w:val="24"/>
          <w:szCs w:val="24"/>
        </w:rPr>
        <w:t>（人权高专办）</w:t>
      </w:r>
      <w:r w:rsidRPr="000C0842">
        <w:rPr>
          <w:rFonts w:eastAsia="SimSun"/>
          <w:kern w:val="22"/>
          <w:sz w:val="24"/>
          <w:szCs w:val="24"/>
        </w:rPr>
        <w:t>、汞问题水俣公约</w:t>
      </w:r>
      <w:r w:rsidRPr="000C0842">
        <w:rPr>
          <w:rFonts w:eastAsia="SimSun"/>
          <w:sz w:val="24"/>
          <w:szCs w:val="24"/>
        </w:rPr>
        <w:t>秘书处</w:t>
      </w:r>
      <w:r w:rsidRPr="000C0842">
        <w:rPr>
          <w:rFonts w:eastAsia="SimSun"/>
          <w:kern w:val="22"/>
          <w:sz w:val="24"/>
          <w:szCs w:val="24"/>
        </w:rPr>
        <w:t>、环境署和世界知识产权组织的代表也发了言。</w:t>
      </w:r>
    </w:p>
    <w:p w14:paraId="772B94FD" w14:textId="0F4A1E5F"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国际</w:t>
      </w:r>
      <w:r w:rsidRPr="000C0842">
        <w:rPr>
          <w:rFonts w:eastAsia="SimSun"/>
          <w:sz w:val="24"/>
          <w:szCs w:val="24"/>
        </w:rPr>
        <w:t>生物多样性</w:t>
      </w:r>
      <w:r w:rsidRPr="000C0842">
        <w:rPr>
          <w:rFonts w:eastAsia="SimSun"/>
          <w:kern w:val="22"/>
          <w:sz w:val="24"/>
          <w:szCs w:val="24"/>
        </w:rPr>
        <w:t>联盟和国际热带农业中心（代表国际农业研究协商小组）、阿拉伯农业发展组织、</w:t>
      </w:r>
      <w:r w:rsidR="009B5D06" w:rsidRPr="000C0842">
        <w:rPr>
          <w:rFonts w:eastAsia="SimSun"/>
          <w:kern w:val="22"/>
          <w:sz w:val="24"/>
          <w:szCs w:val="24"/>
        </w:rPr>
        <w:t>国际生物多样性问题土著论坛、</w:t>
      </w:r>
      <w:r w:rsidRPr="000C0842">
        <w:rPr>
          <w:rFonts w:eastAsia="SimSun"/>
          <w:kern w:val="22"/>
          <w:sz w:val="24"/>
          <w:szCs w:val="24"/>
        </w:rPr>
        <w:t>国际捕鲸委员会、国际自然保护联盟和北欧遗传资源中心的代表</w:t>
      </w:r>
      <w:r w:rsidR="000A7695" w:rsidRPr="000C0842">
        <w:rPr>
          <w:rFonts w:eastAsia="SimSun" w:hint="eastAsia"/>
          <w:kern w:val="22"/>
          <w:sz w:val="24"/>
          <w:szCs w:val="24"/>
        </w:rPr>
        <w:t>也</w:t>
      </w:r>
      <w:r w:rsidRPr="000C0842">
        <w:rPr>
          <w:rFonts w:eastAsia="SimSun"/>
          <w:kern w:val="22"/>
          <w:sz w:val="24"/>
          <w:szCs w:val="24"/>
        </w:rPr>
        <w:t>发</w:t>
      </w:r>
      <w:r w:rsidR="000A7695" w:rsidRPr="000C0842">
        <w:rPr>
          <w:rFonts w:eastAsia="SimSun" w:hint="eastAsia"/>
          <w:kern w:val="22"/>
          <w:sz w:val="24"/>
          <w:szCs w:val="24"/>
        </w:rPr>
        <w:t>了</w:t>
      </w:r>
      <w:r w:rsidRPr="000C0842">
        <w:rPr>
          <w:rFonts w:eastAsia="SimSun"/>
          <w:kern w:val="22"/>
          <w:sz w:val="24"/>
          <w:szCs w:val="24"/>
        </w:rPr>
        <w:t>言。</w:t>
      </w:r>
    </w:p>
    <w:p w14:paraId="31A2847F" w14:textId="35BF4E5D"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第一</w:t>
      </w:r>
      <w:r w:rsidRPr="000C0842">
        <w:rPr>
          <w:rFonts w:eastAsia="SimSun"/>
          <w:sz w:val="24"/>
          <w:szCs w:val="24"/>
        </w:rPr>
        <w:t>工作组</w:t>
      </w:r>
      <w:r w:rsidRPr="000C0842">
        <w:rPr>
          <w:rFonts w:eastAsia="SimSun"/>
          <w:kern w:val="22"/>
          <w:sz w:val="24"/>
          <w:szCs w:val="24"/>
        </w:rPr>
        <w:t>商定</w:t>
      </w:r>
      <w:r w:rsidR="000A7695" w:rsidRPr="000C0842">
        <w:rPr>
          <w:rFonts w:eastAsia="SimSun" w:hint="eastAsia"/>
          <w:kern w:val="22"/>
          <w:sz w:val="24"/>
          <w:szCs w:val="24"/>
        </w:rPr>
        <w:t>由</w:t>
      </w:r>
      <w:r w:rsidRPr="000C0842">
        <w:rPr>
          <w:rFonts w:eastAsia="SimSun"/>
          <w:kern w:val="22"/>
          <w:sz w:val="24"/>
          <w:szCs w:val="24"/>
        </w:rPr>
        <w:t>主席</w:t>
      </w:r>
      <w:r w:rsidR="000A7695" w:rsidRPr="000C0842">
        <w:rPr>
          <w:rFonts w:eastAsia="SimSun" w:hint="eastAsia"/>
          <w:kern w:val="22"/>
          <w:sz w:val="24"/>
          <w:szCs w:val="24"/>
        </w:rPr>
        <w:t>拟定</w:t>
      </w:r>
      <w:r w:rsidRPr="000C0842">
        <w:rPr>
          <w:rFonts w:eastAsia="SimSun"/>
          <w:kern w:val="22"/>
          <w:sz w:val="24"/>
          <w:szCs w:val="24"/>
        </w:rPr>
        <w:t>一份订正决定草案</w:t>
      </w:r>
      <w:r w:rsidR="000A7695" w:rsidRPr="000C0842">
        <w:rPr>
          <w:rFonts w:eastAsia="SimSun" w:hint="eastAsia"/>
          <w:kern w:val="22"/>
          <w:sz w:val="24"/>
          <w:szCs w:val="24"/>
        </w:rPr>
        <w:t>，供</w:t>
      </w:r>
      <w:r w:rsidR="009B5D06" w:rsidRPr="000C0842">
        <w:rPr>
          <w:rFonts w:eastAsia="SimSun"/>
          <w:kern w:val="22"/>
          <w:sz w:val="24"/>
          <w:szCs w:val="24"/>
        </w:rPr>
        <w:t>稍后一次会议</w:t>
      </w:r>
      <w:r w:rsidRPr="000C0842">
        <w:rPr>
          <w:rFonts w:eastAsia="SimSun"/>
          <w:kern w:val="22"/>
          <w:sz w:val="24"/>
          <w:szCs w:val="24"/>
        </w:rPr>
        <w:t>审议。</w:t>
      </w:r>
    </w:p>
    <w:p w14:paraId="42C1B921" w14:textId="0B3E9FD1" w:rsidR="001136A9"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bookmarkStart w:id="160" w:name="_Hlk181898551"/>
      <w:r w:rsidRPr="000C0842">
        <w:rPr>
          <w:rFonts w:eastAsia="SimSun"/>
          <w:kern w:val="22"/>
          <w:sz w:val="24"/>
          <w:szCs w:val="24"/>
        </w:rPr>
        <w:t>第一</w:t>
      </w:r>
      <w:r w:rsidRPr="000C0842">
        <w:rPr>
          <w:rFonts w:eastAsia="SimSun"/>
          <w:sz w:val="24"/>
          <w:szCs w:val="24"/>
        </w:rPr>
        <w:t>工作组</w:t>
      </w:r>
      <w:r w:rsidRPr="000C0842">
        <w:rPr>
          <w:rFonts w:eastAsia="SimSun"/>
          <w:kern w:val="22"/>
          <w:sz w:val="24"/>
          <w:szCs w:val="24"/>
        </w:rPr>
        <w:t>第</w:t>
      </w:r>
      <w:r w:rsidR="00C9367D" w:rsidRPr="000C0842">
        <w:rPr>
          <w:rFonts w:eastAsia="SimSun"/>
          <w:kern w:val="22"/>
          <w:sz w:val="24"/>
          <w:szCs w:val="24"/>
        </w:rPr>
        <w:t>6</w:t>
      </w:r>
      <w:r w:rsidR="00C9367D" w:rsidRPr="000C0842">
        <w:rPr>
          <w:rFonts w:eastAsia="SimSun"/>
          <w:kern w:val="22"/>
          <w:sz w:val="24"/>
          <w:szCs w:val="24"/>
        </w:rPr>
        <w:t>场</w:t>
      </w:r>
      <w:r w:rsidRPr="000C0842">
        <w:rPr>
          <w:rFonts w:eastAsia="SimSun"/>
          <w:kern w:val="22"/>
          <w:sz w:val="24"/>
          <w:szCs w:val="24"/>
        </w:rPr>
        <w:t>会议审议了主席提交的订正决定草案。</w:t>
      </w:r>
      <w:bookmarkEnd w:id="160"/>
    </w:p>
    <w:p w14:paraId="1CE7FB49" w14:textId="21CF0D12" w:rsidR="001136A9" w:rsidRPr="000C0842" w:rsidRDefault="00EE28F8"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下列缔约方</w:t>
      </w:r>
      <w:r w:rsidR="001136A9" w:rsidRPr="000C0842">
        <w:rPr>
          <w:rFonts w:eastAsia="SimSun"/>
          <w:kern w:val="22"/>
          <w:sz w:val="24"/>
          <w:szCs w:val="24"/>
        </w:rPr>
        <w:t>的代表发</w:t>
      </w:r>
      <w:r w:rsidR="008B3463" w:rsidRPr="000C0842">
        <w:rPr>
          <w:rFonts w:eastAsia="SimSun" w:hint="eastAsia"/>
          <w:kern w:val="22"/>
          <w:sz w:val="24"/>
          <w:szCs w:val="24"/>
        </w:rPr>
        <w:t>了</w:t>
      </w:r>
      <w:r w:rsidR="001136A9" w:rsidRPr="000C0842">
        <w:rPr>
          <w:rFonts w:eastAsia="SimSun"/>
          <w:kern w:val="22"/>
          <w:sz w:val="24"/>
          <w:szCs w:val="24"/>
        </w:rPr>
        <w:t>言：阿根廷、多民族玻利维亚国、巴西、加拿大、智利、哥伦比亚、刚果民主共和国、欧洲联盟及其成员国、印度、伊朗伊斯兰共和国、日本、墨西哥、新西兰、秘鲁、俄罗斯联邦、瑞士、多哥</w:t>
      </w:r>
      <w:r w:rsidR="002A5D1C" w:rsidRPr="000C0842">
        <w:rPr>
          <w:rFonts w:eastAsia="SimSun" w:hint="eastAsia"/>
          <w:kern w:val="22"/>
          <w:sz w:val="24"/>
          <w:szCs w:val="24"/>
        </w:rPr>
        <w:t>、</w:t>
      </w:r>
      <w:r w:rsidR="001136A9" w:rsidRPr="000C0842">
        <w:rPr>
          <w:rFonts w:eastAsia="SimSun"/>
          <w:kern w:val="22"/>
          <w:sz w:val="24"/>
          <w:szCs w:val="24"/>
        </w:rPr>
        <w:t>联合王国。</w:t>
      </w:r>
    </w:p>
    <w:p w14:paraId="0A9FE043" w14:textId="7814B359" w:rsidR="001136A9" w:rsidRPr="000C0842" w:rsidRDefault="001477E6"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kern w:val="22"/>
          <w:sz w:val="24"/>
          <w:szCs w:val="24"/>
        </w:rPr>
        <w:t>粮农</w:t>
      </w:r>
      <w:r w:rsidR="001136A9" w:rsidRPr="000C0842">
        <w:rPr>
          <w:rFonts w:eastAsia="SimSun"/>
          <w:kern w:val="22"/>
          <w:sz w:val="24"/>
          <w:szCs w:val="24"/>
        </w:rPr>
        <w:t>组织的代表也发了言。</w:t>
      </w:r>
    </w:p>
    <w:p w14:paraId="30702480" w14:textId="3BF26499" w:rsidR="00AF7756" w:rsidRPr="000C0842"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szCs w:val="24"/>
          <w:lang w:val="en-GB"/>
        </w:rPr>
      </w:pPr>
      <w:bookmarkStart w:id="161" w:name="_Hlk181899126"/>
      <w:r w:rsidRPr="000C0842">
        <w:rPr>
          <w:rFonts w:eastAsia="SimSun"/>
          <w:kern w:val="22"/>
          <w:sz w:val="24"/>
          <w:szCs w:val="24"/>
        </w:rPr>
        <w:t>第一工作组核准了经口头修正的订正决定草案，将其作为</w:t>
      </w:r>
      <w:r w:rsidRPr="000C0842">
        <w:rPr>
          <w:rFonts w:eastAsia="SimSun"/>
          <w:kern w:val="22"/>
          <w:sz w:val="24"/>
          <w:szCs w:val="24"/>
        </w:rPr>
        <w:t>CBD/COP/16/L.30</w:t>
      </w:r>
      <w:r w:rsidRPr="000C0842">
        <w:rPr>
          <w:rFonts w:eastAsia="SimSun"/>
          <w:kern w:val="22"/>
          <w:sz w:val="24"/>
          <w:szCs w:val="24"/>
        </w:rPr>
        <w:t>号决定草案</w:t>
      </w:r>
      <w:r w:rsidR="004C7374" w:rsidRPr="000C0842">
        <w:rPr>
          <w:rFonts w:eastAsia="SimSun"/>
          <w:kern w:val="22"/>
          <w:sz w:val="24"/>
          <w:szCs w:val="24"/>
        </w:rPr>
        <w:t>提交全体会议</w:t>
      </w:r>
      <w:r w:rsidRPr="000C0842">
        <w:rPr>
          <w:rFonts w:eastAsia="SimSun"/>
          <w:kern w:val="22"/>
          <w:sz w:val="24"/>
          <w:szCs w:val="24"/>
        </w:rPr>
        <w:t>。</w:t>
      </w:r>
      <w:bookmarkEnd w:id="161"/>
    </w:p>
    <w:p w14:paraId="2DDD2157" w14:textId="7C85BCEF" w:rsidR="001477E6" w:rsidRPr="000C0842" w:rsidRDefault="00EE28F8"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缔约方大会第</w:t>
      </w:r>
      <w:r w:rsidRPr="000C0842">
        <w:rPr>
          <w:rFonts w:eastAsia="SimSun" w:hint="eastAsia"/>
          <w:kern w:val="22"/>
          <w:sz w:val="24"/>
          <w:szCs w:val="24"/>
        </w:rPr>
        <w:t>12</w:t>
      </w:r>
      <w:r w:rsidRPr="000C0842">
        <w:rPr>
          <w:rFonts w:eastAsia="SimSun" w:hint="eastAsia"/>
          <w:kern w:val="22"/>
          <w:sz w:val="24"/>
          <w:szCs w:val="24"/>
        </w:rPr>
        <w:t>场</w:t>
      </w:r>
      <w:r w:rsidR="001477E6" w:rsidRPr="000C0842">
        <w:rPr>
          <w:rFonts w:eastAsia="SimSun"/>
          <w:kern w:val="22"/>
          <w:sz w:val="24"/>
          <w:szCs w:val="24"/>
        </w:rPr>
        <w:t>全体会议审议了第一工作组主席提交的</w:t>
      </w:r>
      <w:hyperlink r:id="rId398" w:history="1">
        <w:r w:rsidR="001477E6" w:rsidRPr="000C0842">
          <w:rPr>
            <w:rStyle w:val="Hyperlink"/>
            <w:rFonts w:eastAsia="SimSun"/>
            <w:color w:val="auto"/>
            <w:kern w:val="22"/>
            <w:sz w:val="24"/>
            <w:szCs w:val="24"/>
          </w:rPr>
          <w:t>CBD/COP/16/L.30</w:t>
        </w:r>
      </w:hyperlink>
      <w:r w:rsidR="00FC2FC8" w:rsidRPr="000C0842">
        <w:rPr>
          <w:rFonts w:eastAsia="SimSun"/>
          <w:sz w:val="24"/>
          <w:szCs w:val="24"/>
        </w:rPr>
        <w:t>号决定草案</w:t>
      </w:r>
      <w:r w:rsidR="001477E6" w:rsidRPr="000C0842">
        <w:rPr>
          <w:rFonts w:eastAsia="SimSun"/>
          <w:kern w:val="22"/>
          <w:sz w:val="24"/>
          <w:szCs w:val="24"/>
        </w:rPr>
        <w:t>。</w:t>
      </w:r>
    </w:p>
    <w:p w14:paraId="07B163EE" w14:textId="5832E9C0" w:rsidR="00EE28F8" w:rsidRPr="000C0842" w:rsidRDefault="00EE28F8" w:rsidP="00EE28F8">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下列缔约方的代表发了言：阿根廷、巴林、喀麦隆、古巴、埃及、加蓬、印度、肯尼亚（代表非洲国家）、墨西哥、挪威、巴基斯坦、俄罗斯联邦、沙特阿拉伯、瑞士、联合王国。</w:t>
      </w:r>
    </w:p>
    <w:p w14:paraId="3B5357A2" w14:textId="7A3AFFA9" w:rsidR="00EE28F8" w:rsidRPr="000C0842" w:rsidRDefault="00EE28F8" w:rsidP="00EE28F8">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缔约方大会第</w:t>
      </w:r>
      <w:r w:rsidRPr="000C0842">
        <w:rPr>
          <w:rFonts w:eastAsia="SimSun" w:hint="eastAsia"/>
          <w:kern w:val="22"/>
          <w:sz w:val="24"/>
          <w:szCs w:val="24"/>
        </w:rPr>
        <w:t>13</w:t>
      </w:r>
      <w:r w:rsidRPr="000C0842">
        <w:rPr>
          <w:rFonts w:eastAsia="SimSun" w:hint="eastAsia"/>
          <w:kern w:val="22"/>
          <w:sz w:val="24"/>
          <w:szCs w:val="24"/>
        </w:rPr>
        <w:t>场全体会议审议了主席提交的订正决定草案</w:t>
      </w:r>
      <w:hyperlink r:id="rId399" w:history="1">
        <w:r w:rsidRPr="000C0842">
          <w:rPr>
            <w:rStyle w:val="Hyperlink"/>
            <w:rFonts w:eastAsia="SimSun" w:hint="eastAsia"/>
            <w:color w:val="auto"/>
            <w:kern w:val="22"/>
            <w:sz w:val="24"/>
            <w:szCs w:val="24"/>
          </w:rPr>
          <w:t>CBD/COP/16/L.30/Rev.1</w:t>
        </w:r>
      </w:hyperlink>
      <w:r w:rsidRPr="000C0842">
        <w:rPr>
          <w:rFonts w:eastAsia="SimSun" w:hint="eastAsia"/>
          <w:kern w:val="22"/>
          <w:sz w:val="24"/>
          <w:szCs w:val="24"/>
        </w:rPr>
        <w:t>。</w:t>
      </w:r>
    </w:p>
    <w:p w14:paraId="0755C835" w14:textId="315805BE" w:rsidR="00EE28F8" w:rsidRPr="000C0842" w:rsidRDefault="00EE28F8" w:rsidP="00EE28F8">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下列缔约方的代表发了言：阿根廷、巴林、巴西、库克群岛、刚果民主共和国、欧洲联盟及其成员国、斐济、格鲁吉亚、冰岛、印度、日本、纳米比亚、挪威、俄罗斯联邦、瑞士、津巴布韦。</w:t>
      </w:r>
    </w:p>
    <w:p w14:paraId="00EE5161" w14:textId="2FE26ABC" w:rsidR="00EE28F8" w:rsidRPr="000C0842" w:rsidRDefault="00EE28F8" w:rsidP="00EE28F8">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缔约方大会通过了经口头修正的订正决定草案，订正决定草案成为第</w:t>
      </w:r>
      <w:hyperlink r:id="rId400" w:history="1">
        <w:r w:rsidRPr="000C0842">
          <w:rPr>
            <w:rStyle w:val="Hyperlink"/>
            <w:rFonts w:eastAsia="SimSun" w:hint="eastAsia"/>
            <w:color w:val="auto"/>
            <w:kern w:val="22"/>
            <w:sz w:val="24"/>
            <w:szCs w:val="24"/>
          </w:rPr>
          <w:t>16/35</w:t>
        </w:r>
      </w:hyperlink>
      <w:r w:rsidRPr="000C0842">
        <w:rPr>
          <w:rFonts w:eastAsia="SimSun" w:hint="eastAsia"/>
          <w:kern w:val="22"/>
          <w:sz w:val="24"/>
          <w:szCs w:val="24"/>
        </w:rPr>
        <w:t>号决定。</w:t>
      </w:r>
    </w:p>
    <w:p w14:paraId="4566D880" w14:textId="6487BEC5" w:rsidR="00EE28F8" w:rsidRPr="000C0842" w:rsidRDefault="00386F09" w:rsidP="00EE28F8">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0C0842">
        <w:rPr>
          <w:rFonts w:eastAsia="SimSun" w:hint="eastAsia"/>
          <w:kern w:val="22"/>
          <w:sz w:val="24"/>
          <w:szCs w:val="24"/>
        </w:rPr>
        <w:t>随后</w:t>
      </w:r>
      <w:r w:rsidR="00EE28F8" w:rsidRPr="000C0842">
        <w:rPr>
          <w:rFonts w:eastAsia="SimSun" w:hint="eastAsia"/>
          <w:kern w:val="22"/>
          <w:sz w:val="24"/>
          <w:szCs w:val="24"/>
        </w:rPr>
        <w:t>斐济代表</w:t>
      </w:r>
      <w:r w:rsidRPr="000C0842">
        <w:rPr>
          <w:rFonts w:eastAsia="SimSun" w:hint="eastAsia"/>
          <w:kern w:val="22"/>
          <w:sz w:val="24"/>
          <w:szCs w:val="24"/>
        </w:rPr>
        <w:t>（代表太平洋小岛屿发展中国家）发了言</w:t>
      </w:r>
      <w:r w:rsidR="00EE28F8" w:rsidRPr="000C0842">
        <w:rPr>
          <w:rFonts w:eastAsia="SimSun" w:hint="eastAsia"/>
          <w:kern w:val="22"/>
          <w:sz w:val="24"/>
          <w:szCs w:val="24"/>
        </w:rPr>
        <w:t>。</w:t>
      </w:r>
    </w:p>
    <w:p w14:paraId="17D93232" w14:textId="7CE67700" w:rsidR="00BA2BD0" w:rsidRPr="000C0842" w:rsidRDefault="00BA2BD0" w:rsidP="000A7695">
      <w:pPr>
        <w:pStyle w:val="a1"/>
        <w:keepNext/>
        <w:ind w:left="0" w:right="0"/>
        <w:rPr>
          <w:rFonts w:hint="eastAsia"/>
          <w:lang w:eastAsia="zh-CN"/>
        </w:rPr>
      </w:pPr>
      <w:bookmarkStart w:id="162" w:name="_Toc206358250"/>
      <w:r w:rsidRPr="000C0842">
        <w:rPr>
          <w:lang w:eastAsia="zh-CN"/>
        </w:rPr>
        <w:t>项目</w:t>
      </w:r>
      <w:r w:rsidRPr="000C0842">
        <w:rPr>
          <w:lang w:eastAsia="zh-CN"/>
        </w:rPr>
        <w:t>14</w:t>
      </w:r>
      <w:r w:rsidRPr="000C0842">
        <w:rPr>
          <w:lang w:eastAsia="zh-CN"/>
        </w:rPr>
        <w:br/>
      </w:r>
      <w:r w:rsidRPr="000C0842">
        <w:rPr>
          <w:lang w:eastAsia="zh-CN"/>
        </w:rPr>
        <w:t>第</w:t>
      </w:r>
      <w:r w:rsidRPr="000C0842">
        <w:rPr>
          <w:lang w:eastAsia="zh-CN"/>
        </w:rPr>
        <w:t>8(j)</w:t>
      </w:r>
      <w:r w:rsidRPr="000C0842">
        <w:rPr>
          <w:lang w:eastAsia="zh-CN"/>
        </w:rPr>
        <w:t>条和相关条款的执行情况</w:t>
      </w:r>
      <w:bookmarkEnd w:id="162"/>
    </w:p>
    <w:p w14:paraId="0BAE5DE3" w14:textId="7E8F7992"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rPr>
      </w:pPr>
      <w:r w:rsidRPr="000C0842">
        <w:rPr>
          <w:rFonts w:eastAsia="SimSun"/>
          <w:sz w:val="24"/>
          <w:szCs w:val="24"/>
        </w:rPr>
        <w:t>第一工作组</w:t>
      </w:r>
      <w:r w:rsidRPr="000C0842">
        <w:rPr>
          <w:rFonts w:eastAsia="SimSun"/>
          <w:kern w:val="22"/>
          <w:sz w:val="24"/>
          <w:szCs w:val="24"/>
        </w:rPr>
        <w:t>第</w:t>
      </w:r>
      <w:r w:rsidR="00BD493D" w:rsidRPr="000C0842">
        <w:rPr>
          <w:rFonts w:eastAsia="SimSun"/>
          <w:kern w:val="22"/>
          <w:sz w:val="24"/>
          <w:szCs w:val="24"/>
        </w:rPr>
        <w:t>1</w:t>
      </w:r>
      <w:r w:rsidR="00BD493D" w:rsidRPr="000C0842">
        <w:rPr>
          <w:rFonts w:eastAsia="SimSun"/>
          <w:kern w:val="22"/>
          <w:sz w:val="24"/>
          <w:szCs w:val="24"/>
        </w:rPr>
        <w:t>场</w:t>
      </w:r>
      <w:r w:rsidRPr="000C0842">
        <w:rPr>
          <w:rFonts w:eastAsia="SimSun"/>
          <w:sz w:val="24"/>
          <w:szCs w:val="24"/>
        </w:rPr>
        <w:t>会议审议了议程项目</w:t>
      </w:r>
      <w:r w:rsidRPr="000C0842">
        <w:rPr>
          <w:rFonts w:eastAsia="SimSun"/>
          <w:sz w:val="24"/>
          <w:szCs w:val="24"/>
        </w:rPr>
        <w:t>14</w:t>
      </w:r>
      <w:r w:rsidRPr="000C0842">
        <w:rPr>
          <w:rFonts w:eastAsia="SimSun"/>
          <w:sz w:val="24"/>
          <w:szCs w:val="24"/>
        </w:rPr>
        <w:t>。工作组</w:t>
      </w:r>
      <w:r w:rsidR="008B3463" w:rsidRPr="000C0842">
        <w:rPr>
          <w:rFonts w:eastAsia="SimSun"/>
          <w:sz w:val="24"/>
          <w:szCs w:val="24"/>
        </w:rPr>
        <w:t>收到</w:t>
      </w:r>
      <w:r w:rsidRPr="000C0842">
        <w:rPr>
          <w:rFonts w:eastAsia="SimSun"/>
          <w:sz w:val="24"/>
          <w:szCs w:val="24"/>
        </w:rPr>
        <w:t>4</w:t>
      </w:r>
      <w:r w:rsidRPr="000C0842">
        <w:rPr>
          <w:rFonts w:eastAsia="SimSun"/>
          <w:sz w:val="24"/>
          <w:szCs w:val="24"/>
        </w:rPr>
        <w:t>项决定草案：</w:t>
      </w:r>
      <w:r w:rsidR="00B70964" w:rsidRPr="000C0842">
        <w:rPr>
          <w:rFonts w:eastAsia="SimSun" w:hint="eastAsia"/>
          <w:sz w:val="24"/>
          <w:szCs w:val="24"/>
        </w:rPr>
        <w:t>第</w:t>
      </w:r>
      <w:r w:rsidR="00B70964" w:rsidRPr="000C0842">
        <w:rPr>
          <w:rFonts w:eastAsia="SimSun" w:hint="eastAsia"/>
          <w:sz w:val="24"/>
          <w:szCs w:val="24"/>
        </w:rPr>
        <w:t>1</w:t>
      </w:r>
      <w:r w:rsidR="00B70964" w:rsidRPr="000C0842">
        <w:rPr>
          <w:rFonts w:eastAsia="SimSun" w:hint="eastAsia"/>
          <w:sz w:val="24"/>
          <w:szCs w:val="24"/>
        </w:rPr>
        <w:t>项涉及</w:t>
      </w:r>
      <w:r w:rsidRPr="000C0842">
        <w:rPr>
          <w:rFonts w:eastAsia="SimSun"/>
          <w:sz w:val="24"/>
          <w:szCs w:val="24"/>
        </w:rPr>
        <w:t>就《公约》第</w:t>
      </w:r>
      <w:r w:rsidRPr="000C0842">
        <w:rPr>
          <w:rFonts w:eastAsia="SimSun"/>
          <w:sz w:val="24"/>
          <w:szCs w:val="24"/>
        </w:rPr>
        <w:t>8(j)</w:t>
      </w:r>
      <w:r w:rsidRPr="000C0842">
        <w:rPr>
          <w:rFonts w:eastAsia="SimSun"/>
          <w:sz w:val="24"/>
          <w:szCs w:val="24"/>
        </w:rPr>
        <w:t>条和相关条款进行深入对话</w:t>
      </w:r>
      <w:r w:rsidR="009A7356" w:rsidRPr="000C0842">
        <w:rPr>
          <w:rFonts w:eastAsia="SimSun" w:hint="eastAsia"/>
          <w:sz w:val="24"/>
          <w:szCs w:val="24"/>
        </w:rPr>
        <w:t>，</w:t>
      </w:r>
      <w:r w:rsidR="00B70964" w:rsidRPr="000C0842">
        <w:rPr>
          <w:rFonts w:eastAsia="SimSun" w:hint="eastAsia"/>
          <w:sz w:val="24"/>
          <w:szCs w:val="24"/>
        </w:rPr>
        <w:t>第</w:t>
      </w:r>
      <w:r w:rsidRPr="000C0842">
        <w:rPr>
          <w:rFonts w:eastAsia="SimSun"/>
          <w:sz w:val="24"/>
          <w:szCs w:val="24"/>
        </w:rPr>
        <w:t>2</w:t>
      </w:r>
      <w:r w:rsidR="00B70964" w:rsidRPr="000C0842">
        <w:rPr>
          <w:rFonts w:eastAsia="SimSun" w:hint="eastAsia"/>
          <w:sz w:val="24"/>
          <w:szCs w:val="24"/>
        </w:rPr>
        <w:t>项和第</w:t>
      </w:r>
      <w:r w:rsidR="00B70964" w:rsidRPr="000C0842">
        <w:rPr>
          <w:rFonts w:eastAsia="SimSun" w:hint="eastAsia"/>
          <w:sz w:val="24"/>
          <w:szCs w:val="24"/>
        </w:rPr>
        <w:t>3</w:t>
      </w:r>
      <w:r w:rsidRPr="000C0842">
        <w:rPr>
          <w:rFonts w:eastAsia="SimSun"/>
          <w:sz w:val="24"/>
          <w:szCs w:val="24"/>
        </w:rPr>
        <w:t>项</w:t>
      </w:r>
      <w:r w:rsidR="00B70964" w:rsidRPr="000C0842">
        <w:rPr>
          <w:rFonts w:eastAsia="SimSun" w:hint="eastAsia"/>
          <w:sz w:val="24"/>
          <w:szCs w:val="24"/>
        </w:rPr>
        <w:t>涉及</w:t>
      </w:r>
      <w:r w:rsidRPr="000C0842">
        <w:rPr>
          <w:rFonts w:eastAsia="SimSun"/>
          <w:sz w:val="24"/>
          <w:szCs w:val="24"/>
        </w:rPr>
        <w:t>制定《公约》第</w:t>
      </w:r>
      <w:r w:rsidRPr="000C0842">
        <w:rPr>
          <w:rFonts w:eastAsia="SimSun"/>
          <w:sz w:val="24"/>
          <w:szCs w:val="24"/>
        </w:rPr>
        <w:t>8(j)</w:t>
      </w:r>
      <w:r w:rsidRPr="000C0842">
        <w:rPr>
          <w:rFonts w:eastAsia="SimSun"/>
          <w:sz w:val="24"/>
          <w:szCs w:val="24"/>
        </w:rPr>
        <w:t>条和其他条款新工作方案和体制安排</w:t>
      </w:r>
      <w:r w:rsidR="009A7356" w:rsidRPr="000C0842">
        <w:rPr>
          <w:rFonts w:eastAsia="SimSun" w:hint="eastAsia"/>
          <w:sz w:val="24"/>
          <w:szCs w:val="24"/>
        </w:rPr>
        <w:t>，</w:t>
      </w:r>
      <w:r w:rsidRPr="000C0842">
        <w:rPr>
          <w:rFonts w:eastAsia="SimSun"/>
          <w:sz w:val="24"/>
          <w:szCs w:val="24"/>
        </w:rPr>
        <w:t>第</w:t>
      </w:r>
      <w:r w:rsidRPr="000C0842">
        <w:rPr>
          <w:rFonts w:eastAsia="SimSun"/>
          <w:sz w:val="24"/>
          <w:szCs w:val="24"/>
        </w:rPr>
        <w:t>4</w:t>
      </w:r>
      <w:r w:rsidRPr="000C0842">
        <w:rPr>
          <w:rFonts w:eastAsia="SimSun"/>
          <w:sz w:val="24"/>
          <w:szCs w:val="24"/>
        </w:rPr>
        <w:t>项</w:t>
      </w:r>
      <w:r w:rsidR="003D5F5E" w:rsidRPr="000C0842">
        <w:rPr>
          <w:rFonts w:eastAsia="SimSun" w:hint="eastAsia"/>
          <w:sz w:val="24"/>
          <w:szCs w:val="24"/>
        </w:rPr>
        <w:t>涉及</w:t>
      </w:r>
      <w:r w:rsidRPr="000C0842">
        <w:rPr>
          <w:rFonts w:eastAsia="SimSun"/>
          <w:sz w:val="24"/>
          <w:szCs w:val="24"/>
        </w:rPr>
        <w:t>土著问题常设论坛</w:t>
      </w:r>
      <w:r w:rsidR="003D5F5E" w:rsidRPr="000C0842">
        <w:rPr>
          <w:rFonts w:eastAsia="SimSun" w:hint="eastAsia"/>
          <w:sz w:val="24"/>
          <w:szCs w:val="24"/>
        </w:rPr>
        <w:t>对</w:t>
      </w:r>
      <w:r w:rsidRPr="000C0842">
        <w:rPr>
          <w:rFonts w:eastAsia="SimSun"/>
          <w:sz w:val="24"/>
          <w:szCs w:val="24"/>
        </w:rPr>
        <w:t>《公约》的建议</w:t>
      </w:r>
      <w:r w:rsidR="001B163C" w:rsidRPr="000C0842">
        <w:rPr>
          <w:rStyle w:val="FootnoteReference"/>
          <w:sz w:val="24"/>
          <w:szCs w:val="24"/>
        </w:rPr>
        <w:footnoteReference w:id="587"/>
      </w:r>
      <w:r w:rsidR="009A7356" w:rsidRPr="000C0842">
        <w:rPr>
          <w:rFonts w:eastAsia="SimSun" w:hint="eastAsia"/>
          <w:sz w:val="24"/>
          <w:szCs w:val="24"/>
        </w:rPr>
        <w:t>。</w:t>
      </w:r>
      <w:r w:rsidR="001B163C" w:rsidRPr="000C0842">
        <w:rPr>
          <w:rFonts w:eastAsia="SimSun" w:hint="eastAsia"/>
          <w:sz w:val="24"/>
          <w:szCs w:val="24"/>
        </w:rPr>
        <w:t xml:space="preserve"> </w:t>
      </w:r>
      <w:r w:rsidRPr="000C0842">
        <w:rPr>
          <w:rFonts w:eastAsia="SimSun"/>
          <w:sz w:val="24"/>
          <w:szCs w:val="24"/>
        </w:rPr>
        <w:t>还就项目</w:t>
      </w:r>
      <w:r w:rsidRPr="000C0842">
        <w:rPr>
          <w:rFonts w:eastAsia="SimSun"/>
          <w:sz w:val="24"/>
          <w:szCs w:val="24"/>
        </w:rPr>
        <w:t>14</w:t>
      </w:r>
      <w:r w:rsidR="003D5F5E" w:rsidRPr="000C0842">
        <w:rPr>
          <w:rFonts w:eastAsia="SimSun" w:hint="eastAsia"/>
          <w:sz w:val="24"/>
          <w:szCs w:val="24"/>
        </w:rPr>
        <w:t>印发</w:t>
      </w:r>
      <w:r w:rsidRPr="000C0842">
        <w:rPr>
          <w:rFonts w:eastAsia="SimSun"/>
          <w:sz w:val="24"/>
          <w:szCs w:val="24"/>
        </w:rPr>
        <w:t>了以下信息文件：关于第</w:t>
      </w:r>
      <w:r w:rsidRPr="000C0842">
        <w:rPr>
          <w:rFonts w:eastAsia="SimSun"/>
          <w:sz w:val="24"/>
          <w:szCs w:val="24"/>
        </w:rPr>
        <w:t>8(j)</w:t>
      </w:r>
      <w:r w:rsidRPr="000C0842">
        <w:rPr>
          <w:rFonts w:eastAsia="SimSun"/>
          <w:sz w:val="24"/>
          <w:szCs w:val="24"/>
        </w:rPr>
        <w:t>条和其他条款新工作方案和体制安排非正式对话的摘要报告</w:t>
      </w:r>
      <w:r w:rsidRPr="000C0842">
        <w:rPr>
          <w:rFonts w:eastAsia="SimSun"/>
          <w:sz w:val="24"/>
          <w:szCs w:val="24"/>
          <w:vertAlign w:val="superscript"/>
        </w:rPr>
        <w:footnoteReference w:id="588"/>
      </w:r>
      <w:r w:rsidRPr="000C0842">
        <w:rPr>
          <w:rFonts w:eastAsia="SimSun"/>
          <w:sz w:val="24"/>
          <w:szCs w:val="24"/>
        </w:rPr>
        <w:t xml:space="preserve"> </w:t>
      </w:r>
      <w:r w:rsidR="003D5F5E" w:rsidRPr="000C0842">
        <w:rPr>
          <w:rFonts w:eastAsia="SimSun" w:hint="eastAsia"/>
          <w:sz w:val="24"/>
          <w:szCs w:val="24"/>
        </w:rPr>
        <w:t>、</w:t>
      </w:r>
      <w:r w:rsidRPr="000C0842">
        <w:rPr>
          <w:rFonts w:eastAsia="SimSun"/>
          <w:sz w:val="24"/>
          <w:szCs w:val="24"/>
        </w:rPr>
        <w:t>巴西和哥伦比亚就</w:t>
      </w:r>
      <w:r w:rsidR="003D5F5E" w:rsidRPr="000C0842">
        <w:rPr>
          <w:rFonts w:eastAsia="SimSun" w:hint="eastAsia"/>
          <w:sz w:val="24"/>
          <w:szCs w:val="24"/>
        </w:rPr>
        <w:t>汉语</w:t>
      </w:r>
      <w:r w:rsidR="008E2E3C" w:rsidRPr="000C0842">
        <w:rPr>
          <w:rFonts w:eastAsia="SimSun"/>
          <w:sz w:val="24"/>
          <w:szCs w:val="24"/>
        </w:rPr>
        <w:t>非洲人后裔</w:t>
      </w:r>
      <w:r w:rsidR="008E2E3C" w:rsidRPr="000C0842">
        <w:rPr>
          <w:rFonts w:eastAsia="SimSun" w:hint="eastAsia"/>
          <w:sz w:val="24"/>
          <w:szCs w:val="24"/>
        </w:rPr>
        <w:t>的作用的</w:t>
      </w:r>
      <w:r w:rsidRPr="000C0842">
        <w:rPr>
          <w:rFonts w:eastAsia="SimSun"/>
          <w:sz w:val="24"/>
          <w:szCs w:val="24"/>
        </w:rPr>
        <w:t>项目</w:t>
      </w:r>
      <w:r w:rsidRPr="000C0842">
        <w:rPr>
          <w:rFonts w:eastAsia="SimSun"/>
          <w:sz w:val="24"/>
          <w:szCs w:val="24"/>
        </w:rPr>
        <w:t>14</w:t>
      </w:r>
      <w:r w:rsidRPr="000C0842">
        <w:rPr>
          <w:rFonts w:eastAsia="SimSun"/>
          <w:sz w:val="24"/>
          <w:szCs w:val="24"/>
        </w:rPr>
        <w:t>提交的材料</w:t>
      </w:r>
      <w:r w:rsidR="001B163C" w:rsidRPr="000C0842">
        <w:rPr>
          <w:rFonts w:eastAsia="SimSun"/>
          <w:sz w:val="24"/>
          <w:szCs w:val="24"/>
          <w:vertAlign w:val="superscript"/>
        </w:rPr>
        <w:footnoteReference w:id="589"/>
      </w:r>
      <w:r w:rsidR="001B163C" w:rsidRPr="000C0842">
        <w:rPr>
          <w:rFonts w:eastAsia="SimSun" w:hint="eastAsia"/>
        </w:rPr>
        <w:t xml:space="preserve"> </w:t>
      </w:r>
      <w:r w:rsidR="003D5F5E" w:rsidRPr="000C0842">
        <w:rPr>
          <w:rFonts w:eastAsia="SimSun" w:hint="eastAsia"/>
        </w:rPr>
        <w:t>、</w:t>
      </w:r>
      <w:r w:rsidRPr="000C0842">
        <w:rPr>
          <w:rFonts w:eastAsia="SimSun"/>
          <w:sz w:val="24"/>
          <w:szCs w:val="24"/>
        </w:rPr>
        <w:t>有关《公约》第</w:t>
      </w:r>
      <w:r w:rsidRPr="000C0842">
        <w:rPr>
          <w:rFonts w:eastAsia="SimSun"/>
          <w:sz w:val="24"/>
          <w:szCs w:val="24"/>
        </w:rPr>
        <w:t>8(j)</w:t>
      </w:r>
      <w:r w:rsidRPr="000C0842">
        <w:rPr>
          <w:rFonts w:eastAsia="SimSun"/>
          <w:sz w:val="24"/>
          <w:szCs w:val="24"/>
        </w:rPr>
        <w:t>条和其他条款体制安排与土著人民和地方社区有关的各种可能情景的预算估计</w:t>
      </w:r>
      <w:r w:rsidRPr="000C0842">
        <w:rPr>
          <w:rFonts w:eastAsia="SimSun"/>
          <w:sz w:val="24"/>
          <w:szCs w:val="24"/>
          <w:vertAlign w:val="superscript"/>
        </w:rPr>
        <w:footnoteReference w:id="590"/>
      </w:r>
      <w:r w:rsidR="001B163C" w:rsidRPr="000C0842">
        <w:rPr>
          <w:rFonts w:eastAsia="SimSun" w:hint="eastAsia"/>
          <w:sz w:val="24"/>
          <w:szCs w:val="24"/>
        </w:rPr>
        <w:t xml:space="preserve"> </w:t>
      </w:r>
      <w:r w:rsidR="003D5F5E" w:rsidRPr="000C0842">
        <w:rPr>
          <w:rFonts w:eastAsia="SimSun" w:hint="eastAsia"/>
          <w:sz w:val="24"/>
          <w:szCs w:val="24"/>
        </w:rPr>
        <w:t>、</w:t>
      </w:r>
      <w:r w:rsidRPr="000C0842">
        <w:rPr>
          <w:rFonts w:eastAsia="SimSun"/>
          <w:sz w:val="24"/>
          <w:szCs w:val="24"/>
        </w:rPr>
        <w:t>秘书处关于与拟议新工作方案和第</w:t>
      </w:r>
      <w:r w:rsidRPr="000C0842">
        <w:rPr>
          <w:rFonts w:eastAsia="SimSun"/>
          <w:sz w:val="24"/>
          <w:szCs w:val="24"/>
        </w:rPr>
        <w:t>8(j)</w:t>
      </w:r>
      <w:r w:rsidRPr="000C0842">
        <w:rPr>
          <w:rFonts w:eastAsia="SimSun"/>
          <w:sz w:val="24"/>
          <w:szCs w:val="24"/>
        </w:rPr>
        <w:t>条和其他条款体制安排相关的筹备活动的说明</w:t>
      </w:r>
      <w:r w:rsidR="001B163C" w:rsidRPr="000C0842">
        <w:rPr>
          <w:rFonts w:eastAsia="SimSun"/>
          <w:sz w:val="24"/>
          <w:szCs w:val="24"/>
          <w:vertAlign w:val="superscript"/>
        </w:rPr>
        <w:footnoteReference w:id="591"/>
      </w:r>
      <w:r w:rsidR="009A7356" w:rsidRPr="000C0842">
        <w:rPr>
          <w:rFonts w:eastAsia="SimSun" w:hint="eastAsia"/>
          <w:sz w:val="24"/>
          <w:szCs w:val="24"/>
        </w:rPr>
        <w:t>。</w:t>
      </w:r>
    </w:p>
    <w:p w14:paraId="31CCC747" w14:textId="30BA83DB" w:rsidR="001477E6" w:rsidRPr="000C0842" w:rsidRDefault="009B3B67" w:rsidP="001B163C">
      <w:pPr>
        <w:keepNext/>
        <w:tabs>
          <w:tab w:val="clear" w:pos="567"/>
          <w:tab w:val="clear" w:pos="1134"/>
          <w:tab w:val="clear" w:pos="1701"/>
          <w:tab w:val="clear" w:pos="2268"/>
          <w:tab w:val="left" w:pos="1080"/>
        </w:tabs>
        <w:spacing w:before="120" w:after="120"/>
        <w:ind w:left="490"/>
        <w:rPr>
          <w:rFonts w:eastAsia="SimSun"/>
          <w:i/>
          <w:iCs/>
          <w:kern w:val="22"/>
          <w:sz w:val="24"/>
          <w:szCs w:val="24"/>
        </w:rPr>
      </w:pPr>
      <w:r w:rsidRPr="000C0842">
        <w:rPr>
          <w:rFonts w:eastAsia="KaiTi"/>
          <w:sz w:val="24"/>
          <w:szCs w:val="24"/>
        </w:rPr>
        <w:t>关于</w:t>
      </w:r>
      <w:r w:rsidR="001477E6" w:rsidRPr="000C0842">
        <w:rPr>
          <w:rFonts w:eastAsia="KaiTi"/>
          <w:sz w:val="24"/>
          <w:szCs w:val="24"/>
        </w:rPr>
        <w:t>《公约》第</w:t>
      </w:r>
      <w:r w:rsidR="001477E6" w:rsidRPr="000C0842">
        <w:rPr>
          <w:rFonts w:eastAsia="KaiTi"/>
          <w:sz w:val="24"/>
          <w:szCs w:val="24"/>
        </w:rPr>
        <w:t>8(j)</w:t>
      </w:r>
      <w:r w:rsidR="001477E6" w:rsidRPr="000C0842">
        <w:rPr>
          <w:rFonts w:eastAsia="KaiTi"/>
          <w:sz w:val="24"/>
          <w:szCs w:val="24"/>
        </w:rPr>
        <w:t>条和相关条款</w:t>
      </w:r>
      <w:r w:rsidR="003D5F5E" w:rsidRPr="000C0842">
        <w:rPr>
          <w:rFonts w:eastAsia="KaiTi" w:hint="eastAsia"/>
          <w:sz w:val="24"/>
          <w:szCs w:val="24"/>
        </w:rPr>
        <w:t>的</w:t>
      </w:r>
      <w:r w:rsidR="001477E6" w:rsidRPr="000C0842">
        <w:rPr>
          <w:rFonts w:eastAsia="KaiTi"/>
          <w:sz w:val="24"/>
          <w:szCs w:val="24"/>
        </w:rPr>
        <w:t>深入对话</w:t>
      </w:r>
    </w:p>
    <w:p w14:paraId="1805C770" w14:textId="717154ED"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w:t>
      </w:r>
      <w:r w:rsidRPr="000C0842">
        <w:rPr>
          <w:rFonts w:eastAsia="SimSun"/>
          <w:kern w:val="22"/>
          <w:sz w:val="24"/>
          <w:szCs w:val="24"/>
        </w:rPr>
        <w:t>工作组</w:t>
      </w:r>
      <w:r w:rsidR="00FD20CE" w:rsidRPr="000C0842">
        <w:rPr>
          <w:rFonts w:eastAsia="SimSun"/>
          <w:kern w:val="22"/>
          <w:sz w:val="24"/>
          <w:szCs w:val="24"/>
        </w:rPr>
        <w:t>第</w:t>
      </w:r>
      <w:r w:rsidR="00BD493D" w:rsidRPr="000C0842">
        <w:rPr>
          <w:rFonts w:eastAsia="SimSun"/>
          <w:kern w:val="22"/>
          <w:sz w:val="24"/>
          <w:szCs w:val="24"/>
        </w:rPr>
        <w:t>1</w:t>
      </w:r>
      <w:r w:rsidR="00BD493D" w:rsidRPr="000C0842">
        <w:rPr>
          <w:rFonts w:eastAsia="SimSun"/>
          <w:kern w:val="22"/>
          <w:sz w:val="24"/>
          <w:szCs w:val="24"/>
        </w:rPr>
        <w:t>场</w:t>
      </w:r>
      <w:r w:rsidR="00FD20CE" w:rsidRPr="000C0842">
        <w:rPr>
          <w:rFonts w:eastAsia="SimSun"/>
          <w:kern w:val="22"/>
          <w:sz w:val="24"/>
          <w:szCs w:val="24"/>
        </w:rPr>
        <w:t>会议</w:t>
      </w:r>
      <w:r w:rsidRPr="000C0842">
        <w:rPr>
          <w:rFonts w:eastAsia="SimSun"/>
          <w:sz w:val="24"/>
          <w:szCs w:val="24"/>
        </w:rPr>
        <w:t>商定</w:t>
      </w:r>
      <w:r w:rsidR="008E2E3C" w:rsidRPr="000C0842">
        <w:rPr>
          <w:rFonts w:eastAsia="SimSun" w:hint="eastAsia"/>
          <w:sz w:val="24"/>
          <w:szCs w:val="24"/>
        </w:rPr>
        <w:t>在稍后一次会议</w:t>
      </w:r>
      <w:r w:rsidRPr="000C0842">
        <w:rPr>
          <w:rFonts w:eastAsia="SimSun"/>
          <w:sz w:val="24"/>
          <w:szCs w:val="24"/>
        </w:rPr>
        <w:t>审议</w:t>
      </w:r>
      <w:r w:rsidR="008E2E3C" w:rsidRPr="000C0842">
        <w:rPr>
          <w:rFonts w:eastAsia="SimSun" w:hint="eastAsia"/>
          <w:sz w:val="24"/>
          <w:szCs w:val="24"/>
        </w:rPr>
        <w:t>该决定草案</w:t>
      </w:r>
      <w:r w:rsidRPr="000C0842">
        <w:rPr>
          <w:rFonts w:eastAsia="SimSun"/>
          <w:sz w:val="24"/>
          <w:szCs w:val="24"/>
        </w:rPr>
        <w:t>。</w:t>
      </w:r>
    </w:p>
    <w:p w14:paraId="30C0C298" w14:textId="23D3FE43"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w:t>
      </w:r>
      <w:r w:rsidRPr="000C0842">
        <w:rPr>
          <w:rFonts w:eastAsia="SimSun"/>
          <w:kern w:val="22"/>
          <w:sz w:val="24"/>
          <w:szCs w:val="24"/>
        </w:rPr>
        <w:t>工作组</w:t>
      </w:r>
      <w:r w:rsidRPr="000C0842">
        <w:rPr>
          <w:rFonts w:eastAsia="SimSun"/>
          <w:sz w:val="24"/>
          <w:szCs w:val="24"/>
        </w:rPr>
        <w:t>第</w:t>
      </w:r>
      <w:r w:rsidR="0053283D" w:rsidRPr="000C0842">
        <w:rPr>
          <w:rFonts w:eastAsia="SimSun"/>
          <w:sz w:val="24"/>
          <w:szCs w:val="24"/>
        </w:rPr>
        <w:t>5</w:t>
      </w:r>
      <w:r w:rsidR="0053283D" w:rsidRPr="000C0842">
        <w:rPr>
          <w:rFonts w:eastAsia="SimSun"/>
          <w:sz w:val="24"/>
          <w:szCs w:val="24"/>
        </w:rPr>
        <w:t>场</w:t>
      </w:r>
      <w:r w:rsidRPr="000C0842">
        <w:rPr>
          <w:rFonts w:eastAsia="SimSun"/>
          <w:sz w:val="24"/>
          <w:szCs w:val="24"/>
        </w:rPr>
        <w:t>会议审议了主席提交的一份决定草案</w:t>
      </w:r>
      <w:r w:rsidR="008E2E3C" w:rsidRPr="000C0842">
        <w:rPr>
          <w:rFonts w:eastAsia="SimSun" w:hint="eastAsia"/>
          <w:sz w:val="24"/>
          <w:szCs w:val="24"/>
        </w:rPr>
        <w:t>，决定草案与</w:t>
      </w:r>
      <w:hyperlink r:id="rId401" w:history="1">
        <w:r w:rsidR="008E2E3C" w:rsidRPr="000C0842">
          <w:rPr>
            <w:rStyle w:val="Hyperlink"/>
            <w:rFonts w:eastAsia="SimSun"/>
            <w:color w:val="auto"/>
            <w:sz w:val="24"/>
            <w:szCs w:val="24"/>
            <w:lang w:val="en-GB"/>
          </w:rPr>
          <w:t>CBD/COP/16/2/Rev.1</w:t>
        </w:r>
      </w:hyperlink>
      <w:r w:rsidR="008E2E3C" w:rsidRPr="000C0842">
        <w:rPr>
          <w:rFonts w:eastAsia="SimSun" w:hint="eastAsia"/>
          <w:sz w:val="24"/>
          <w:szCs w:val="24"/>
        </w:rPr>
        <w:t>号文件所载决定草案相同</w:t>
      </w:r>
      <w:r w:rsidRPr="000C0842">
        <w:rPr>
          <w:rFonts w:eastAsia="SimSun"/>
          <w:sz w:val="24"/>
          <w:szCs w:val="24"/>
        </w:rPr>
        <w:t>。</w:t>
      </w:r>
    </w:p>
    <w:p w14:paraId="6DF60FD1" w14:textId="53B470F8" w:rsidR="001477E6" w:rsidRPr="000C0842" w:rsidRDefault="00EE28F8"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477E6" w:rsidRPr="000C0842">
        <w:rPr>
          <w:rFonts w:eastAsia="SimSun"/>
          <w:sz w:val="24"/>
          <w:szCs w:val="24"/>
        </w:rPr>
        <w:t>的代表</w:t>
      </w:r>
      <w:r w:rsidR="001C1443" w:rsidRPr="000C0842">
        <w:rPr>
          <w:rFonts w:eastAsia="SimSun"/>
          <w:sz w:val="24"/>
          <w:szCs w:val="24"/>
        </w:rPr>
        <w:t>发了言</w:t>
      </w:r>
      <w:r w:rsidR="001477E6" w:rsidRPr="000C0842">
        <w:rPr>
          <w:rFonts w:eastAsia="SimSun"/>
          <w:sz w:val="24"/>
          <w:szCs w:val="24"/>
        </w:rPr>
        <w:t>：多民族玻利维亚国、刚果民主共和国、加蓬、危地马拉</w:t>
      </w:r>
      <w:r w:rsidR="002A5D1C" w:rsidRPr="000C0842">
        <w:rPr>
          <w:rFonts w:eastAsia="SimSun" w:hint="eastAsia"/>
          <w:sz w:val="24"/>
          <w:szCs w:val="24"/>
        </w:rPr>
        <w:t>、</w:t>
      </w:r>
      <w:r w:rsidR="001477E6" w:rsidRPr="000C0842">
        <w:rPr>
          <w:rFonts w:eastAsia="SimSun"/>
          <w:sz w:val="24"/>
          <w:szCs w:val="24"/>
        </w:rPr>
        <w:t>挪威。</w:t>
      </w:r>
    </w:p>
    <w:p w14:paraId="13C9B386" w14:textId="53D7D9EC"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工作组经</w:t>
      </w:r>
      <w:r w:rsidRPr="000C0842">
        <w:rPr>
          <w:rFonts w:eastAsia="SimSun"/>
          <w:kern w:val="22"/>
          <w:sz w:val="24"/>
          <w:szCs w:val="24"/>
        </w:rPr>
        <w:t>交换</w:t>
      </w:r>
      <w:r w:rsidRPr="000C0842">
        <w:rPr>
          <w:rFonts w:eastAsia="SimSun"/>
          <w:sz w:val="24"/>
          <w:szCs w:val="24"/>
        </w:rPr>
        <w:t>意见，核准了经口头修正的订正决定草案，将其作为</w:t>
      </w:r>
      <w:r w:rsidRPr="000C0842">
        <w:rPr>
          <w:rFonts w:eastAsia="SimSun"/>
          <w:sz w:val="24"/>
          <w:szCs w:val="24"/>
        </w:rPr>
        <w:t>CBD/COP/16/L.14</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526BF9FA" w14:textId="2E90143D" w:rsidR="00FD20CE" w:rsidRPr="000C0842" w:rsidRDefault="00FD20CE"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4B1F39" w:rsidRPr="000C0842">
        <w:rPr>
          <w:rFonts w:eastAsia="SimSun"/>
          <w:sz w:val="24"/>
          <w:szCs w:val="24"/>
        </w:rPr>
        <w:t>第</w:t>
      </w:r>
      <w:r w:rsidR="004B1F39" w:rsidRPr="000C0842">
        <w:rPr>
          <w:rFonts w:eastAsia="SimSun"/>
          <w:sz w:val="24"/>
          <w:szCs w:val="24"/>
        </w:rPr>
        <w:t>5</w:t>
      </w:r>
      <w:r w:rsidR="004B1F39" w:rsidRPr="000C0842">
        <w:rPr>
          <w:rFonts w:eastAsia="SimSun"/>
          <w:sz w:val="24"/>
          <w:szCs w:val="24"/>
        </w:rPr>
        <w:t>场全体会议</w:t>
      </w:r>
      <w:r w:rsidRPr="000C0842">
        <w:rPr>
          <w:rFonts w:eastAsia="SimSun"/>
          <w:sz w:val="24"/>
          <w:szCs w:val="24"/>
        </w:rPr>
        <w:t>审议了第一工作组主席提交的</w:t>
      </w:r>
      <w:r w:rsidRPr="000C0842">
        <w:rPr>
          <w:rFonts w:eastAsia="SimSun"/>
          <w:sz w:val="24"/>
          <w:szCs w:val="24"/>
        </w:rPr>
        <w:t>CBD/COP/16/L.14</w:t>
      </w:r>
      <w:r w:rsidR="00FC2FC8" w:rsidRPr="000C0842">
        <w:rPr>
          <w:rFonts w:eastAsia="SimSun"/>
          <w:sz w:val="24"/>
          <w:szCs w:val="24"/>
        </w:rPr>
        <w:t>号决定草案</w:t>
      </w:r>
      <w:r w:rsidR="00386F09" w:rsidRPr="000C0842">
        <w:rPr>
          <w:rFonts w:eastAsia="SimSun" w:hint="eastAsia"/>
          <w:sz w:val="24"/>
          <w:szCs w:val="24"/>
        </w:rPr>
        <w:t>。决定</w:t>
      </w:r>
      <w:r w:rsidRPr="000C0842">
        <w:rPr>
          <w:rFonts w:eastAsia="SimSun"/>
          <w:sz w:val="24"/>
          <w:szCs w:val="24"/>
        </w:rPr>
        <w:t>草案</w:t>
      </w:r>
      <w:r w:rsidR="00386F09" w:rsidRPr="000C0842">
        <w:rPr>
          <w:rFonts w:eastAsia="SimSun" w:hint="eastAsia"/>
          <w:sz w:val="24"/>
          <w:szCs w:val="24"/>
        </w:rPr>
        <w:t>获得通过</w:t>
      </w:r>
      <w:r w:rsidRPr="000C0842">
        <w:rPr>
          <w:rFonts w:eastAsia="SimSun"/>
          <w:sz w:val="24"/>
          <w:szCs w:val="24"/>
        </w:rPr>
        <w:t>，成为第</w:t>
      </w:r>
      <w:hyperlink r:id="rId402" w:history="1">
        <w:r w:rsidRPr="000C0842">
          <w:rPr>
            <w:rStyle w:val="Hyperlink"/>
            <w:rFonts w:eastAsia="SimSun"/>
            <w:color w:val="auto"/>
            <w:sz w:val="24"/>
            <w:szCs w:val="24"/>
          </w:rPr>
          <w:t>16/7</w:t>
        </w:r>
      </w:hyperlink>
      <w:r w:rsidRPr="000C0842">
        <w:rPr>
          <w:rFonts w:eastAsia="SimSun"/>
          <w:sz w:val="24"/>
          <w:szCs w:val="24"/>
        </w:rPr>
        <w:t>号决定。</w:t>
      </w:r>
    </w:p>
    <w:p w14:paraId="3BF8D30D" w14:textId="7C4E16CD" w:rsidR="001477E6" w:rsidRPr="000C0842" w:rsidRDefault="001477E6" w:rsidP="001B163C">
      <w:pPr>
        <w:keepNext/>
        <w:tabs>
          <w:tab w:val="clear" w:pos="567"/>
          <w:tab w:val="clear" w:pos="1134"/>
          <w:tab w:val="clear" w:pos="1701"/>
          <w:tab w:val="clear" w:pos="2268"/>
          <w:tab w:val="left" w:pos="1080"/>
        </w:tabs>
        <w:spacing w:before="120" w:after="120"/>
        <w:ind w:left="490"/>
        <w:rPr>
          <w:rFonts w:eastAsia="SimSun"/>
          <w:sz w:val="24"/>
          <w:szCs w:val="24"/>
        </w:rPr>
      </w:pPr>
      <w:r w:rsidRPr="000C0842">
        <w:rPr>
          <w:rFonts w:eastAsia="KaiTi"/>
          <w:sz w:val="24"/>
          <w:szCs w:val="24"/>
        </w:rPr>
        <w:t>制定《公约》第</w:t>
      </w:r>
      <w:r w:rsidRPr="000C0842">
        <w:rPr>
          <w:rFonts w:eastAsia="KaiTi"/>
          <w:sz w:val="24"/>
          <w:szCs w:val="24"/>
        </w:rPr>
        <w:t>8(j)</w:t>
      </w:r>
      <w:r w:rsidRPr="000C0842">
        <w:rPr>
          <w:rFonts w:eastAsia="KaiTi"/>
          <w:sz w:val="24"/>
          <w:szCs w:val="24"/>
        </w:rPr>
        <w:t>条和相关条款新工作方案和体制安排</w:t>
      </w:r>
    </w:p>
    <w:p w14:paraId="53C57C7A" w14:textId="3AF21362" w:rsidR="001477E6" w:rsidRPr="000C0842" w:rsidRDefault="003D5F5E"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w:t>
      </w:r>
      <w:r w:rsidR="00FD20CE" w:rsidRPr="000C0842">
        <w:rPr>
          <w:rFonts w:eastAsia="SimSun"/>
          <w:sz w:val="24"/>
          <w:szCs w:val="24"/>
        </w:rPr>
        <w:t>在第一工作组第</w:t>
      </w:r>
      <w:r w:rsidR="00BD493D" w:rsidRPr="000C0842">
        <w:rPr>
          <w:rFonts w:eastAsia="SimSun"/>
          <w:sz w:val="24"/>
          <w:szCs w:val="24"/>
        </w:rPr>
        <w:t>1</w:t>
      </w:r>
      <w:r w:rsidR="00BD493D" w:rsidRPr="000C0842">
        <w:rPr>
          <w:rFonts w:eastAsia="SimSun"/>
          <w:sz w:val="24"/>
          <w:szCs w:val="24"/>
        </w:rPr>
        <w:t>场</w:t>
      </w:r>
      <w:r w:rsidR="00FD20CE" w:rsidRPr="000C0842">
        <w:rPr>
          <w:rFonts w:eastAsia="SimSun"/>
          <w:sz w:val="24"/>
          <w:szCs w:val="24"/>
        </w:rPr>
        <w:t>会议上</w:t>
      </w:r>
      <w:r w:rsidR="00E459D5" w:rsidRPr="000C0842">
        <w:rPr>
          <w:rFonts w:eastAsia="SimSun"/>
          <w:sz w:val="24"/>
          <w:szCs w:val="24"/>
        </w:rPr>
        <w:t>发了言</w:t>
      </w:r>
      <w:r w:rsidR="001477E6" w:rsidRPr="000C0842">
        <w:rPr>
          <w:rFonts w:eastAsia="SimSun"/>
          <w:sz w:val="24"/>
          <w:szCs w:val="24"/>
        </w:rPr>
        <w:t>：巴西、智利、哥伦比亚、刚果民主共和国（代表非洲国家）、欧洲联盟及其成员国、危地马拉、印度尼西亚、日本、基里巴斯、俄罗斯联邦、多哥、乌干达</w:t>
      </w:r>
      <w:r w:rsidR="00EB234D" w:rsidRPr="000C0842">
        <w:rPr>
          <w:rFonts w:eastAsia="SimSun" w:hint="eastAsia"/>
          <w:sz w:val="24"/>
          <w:szCs w:val="24"/>
        </w:rPr>
        <w:t>、</w:t>
      </w:r>
      <w:r w:rsidR="001477E6" w:rsidRPr="000C0842">
        <w:rPr>
          <w:rFonts w:eastAsia="SimSun"/>
          <w:sz w:val="24"/>
          <w:szCs w:val="24"/>
        </w:rPr>
        <w:t>津巴布韦。</w:t>
      </w:r>
    </w:p>
    <w:p w14:paraId="5A453D98" w14:textId="279F3A29"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第一工作组设立了一个联络小组，由</w:t>
      </w:r>
      <w:r w:rsidRPr="000C0842">
        <w:rPr>
          <w:rFonts w:eastAsia="SimSun"/>
          <w:sz w:val="24"/>
          <w:szCs w:val="24"/>
        </w:rPr>
        <w:t>Pernilla Malmer</w:t>
      </w:r>
      <w:r w:rsidRPr="000C0842">
        <w:rPr>
          <w:rFonts w:eastAsia="SimSun"/>
          <w:sz w:val="24"/>
          <w:szCs w:val="24"/>
        </w:rPr>
        <w:t>（瑞典）和</w:t>
      </w:r>
      <w:r w:rsidRPr="000C0842">
        <w:rPr>
          <w:rFonts w:eastAsia="SimSun"/>
          <w:sz w:val="24"/>
          <w:szCs w:val="24"/>
        </w:rPr>
        <w:t>Lucy Mulenkei</w:t>
      </w:r>
      <w:r w:rsidRPr="000C0842">
        <w:rPr>
          <w:rFonts w:eastAsia="SimSun"/>
          <w:sz w:val="24"/>
          <w:szCs w:val="24"/>
        </w:rPr>
        <w:t>（土著信息网络）担任共同主席，负责继续讨论新工作方案和体制安排，以期最终</w:t>
      </w:r>
      <w:r w:rsidR="003D5F5E" w:rsidRPr="000C0842">
        <w:rPr>
          <w:rFonts w:eastAsia="SimSun" w:hint="eastAsia"/>
          <w:sz w:val="24"/>
          <w:szCs w:val="24"/>
        </w:rPr>
        <w:t>定稿</w:t>
      </w:r>
      <w:r w:rsidRPr="000C0842">
        <w:rPr>
          <w:rFonts w:eastAsia="SimSun"/>
          <w:sz w:val="24"/>
          <w:szCs w:val="24"/>
        </w:rPr>
        <w:t>。</w:t>
      </w:r>
    </w:p>
    <w:p w14:paraId="2D58D1ED" w14:textId="3D0DC6F7" w:rsidR="001477E6" w:rsidRPr="000C0842"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kern w:val="22"/>
          <w:sz w:val="24"/>
          <w:szCs w:val="24"/>
        </w:rPr>
        <w:t>30</w:t>
      </w:r>
      <w:r w:rsidRPr="000C0842">
        <w:rPr>
          <w:rFonts w:eastAsia="SimSun"/>
          <w:sz w:val="24"/>
          <w:szCs w:val="24"/>
        </w:rPr>
        <w:t>日</w:t>
      </w:r>
      <w:r w:rsidR="003D5F5E" w:rsidRPr="000C0842">
        <w:rPr>
          <w:rFonts w:eastAsia="SimSun"/>
          <w:sz w:val="24"/>
          <w:szCs w:val="24"/>
        </w:rPr>
        <w:t>第一工作组</w:t>
      </w:r>
      <w:r w:rsidRPr="000C0842">
        <w:rPr>
          <w:rFonts w:eastAsia="SimSun"/>
          <w:sz w:val="24"/>
          <w:szCs w:val="24"/>
        </w:rPr>
        <w:t>第</w:t>
      </w:r>
      <w:r w:rsidR="004D27CF" w:rsidRPr="000C0842">
        <w:rPr>
          <w:rFonts w:eastAsia="SimSun"/>
          <w:sz w:val="24"/>
          <w:szCs w:val="24"/>
        </w:rPr>
        <w:t>4</w:t>
      </w:r>
      <w:r w:rsidR="004D27CF" w:rsidRPr="000C0842">
        <w:rPr>
          <w:rFonts w:eastAsia="SimSun"/>
          <w:sz w:val="24"/>
          <w:szCs w:val="24"/>
        </w:rPr>
        <w:t>场会议</w:t>
      </w:r>
      <w:r w:rsidRPr="000C0842">
        <w:rPr>
          <w:rFonts w:eastAsia="SimSun"/>
          <w:sz w:val="24"/>
          <w:szCs w:val="24"/>
        </w:rPr>
        <w:t>审议了</w:t>
      </w:r>
      <w:r w:rsidR="003D5F5E" w:rsidRPr="000C0842">
        <w:rPr>
          <w:rFonts w:eastAsia="SimSun"/>
          <w:sz w:val="24"/>
          <w:szCs w:val="24"/>
        </w:rPr>
        <w:t>主席</w:t>
      </w:r>
      <w:r w:rsidRPr="000C0842">
        <w:rPr>
          <w:rFonts w:eastAsia="SimSun"/>
          <w:sz w:val="24"/>
          <w:szCs w:val="24"/>
        </w:rPr>
        <w:t>在联络小组讨论后提交的</w:t>
      </w:r>
      <w:r w:rsidRPr="000C0842">
        <w:rPr>
          <w:rFonts w:eastAsia="SimSun"/>
          <w:sz w:val="24"/>
          <w:szCs w:val="24"/>
        </w:rPr>
        <w:t>3</w:t>
      </w:r>
      <w:r w:rsidRPr="000C0842">
        <w:rPr>
          <w:rFonts w:eastAsia="SimSun"/>
          <w:sz w:val="24"/>
          <w:szCs w:val="24"/>
        </w:rPr>
        <w:t>份决定草案：</w:t>
      </w:r>
      <w:r w:rsidR="003D5F5E" w:rsidRPr="000C0842">
        <w:rPr>
          <w:rFonts w:eastAsia="SimSun" w:hint="eastAsia"/>
          <w:sz w:val="24"/>
          <w:szCs w:val="24"/>
        </w:rPr>
        <w:t>第</w:t>
      </w:r>
      <w:r w:rsidR="003D5F5E" w:rsidRPr="000C0842">
        <w:rPr>
          <w:rFonts w:eastAsia="SimSun" w:hint="eastAsia"/>
          <w:sz w:val="24"/>
          <w:szCs w:val="24"/>
        </w:rPr>
        <w:t>1</w:t>
      </w:r>
      <w:r w:rsidRPr="000C0842">
        <w:rPr>
          <w:rFonts w:eastAsia="SimSun"/>
          <w:sz w:val="24"/>
          <w:szCs w:val="24"/>
        </w:rPr>
        <w:t>份</w:t>
      </w:r>
      <w:r w:rsidR="003D5F5E" w:rsidRPr="000C0842">
        <w:rPr>
          <w:rFonts w:eastAsia="SimSun" w:hint="eastAsia"/>
          <w:sz w:val="24"/>
          <w:szCs w:val="24"/>
        </w:rPr>
        <w:t>涉及</w:t>
      </w:r>
      <w:r w:rsidRPr="000C0842">
        <w:rPr>
          <w:rFonts w:eastAsia="SimSun"/>
          <w:sz w:val="24"/>
          <w:szCs w:val="24"/>
        </w:rPr>
        <w:t>新的工作方案，</w:t>
      </w:r>
      <w:r w:rsidR="003D5F5E" w:rsidRPr="000C0842">
        <w:rPr>
          <w:rFonts w:eastAsia="SimSun" w:hint="eastAsia"/>
          <w:sz w:val="24"/>
          <w:szCs w:val="24"/>
        </w:rPr>
        <w:t>第</w:t>
      </w:r>
      <w:r w:rsidR="003D5F5E" w:rsidRPr="000C0842">
        <w:rPr>
          <w:rFonts w:eastAsia="SimSun" w:hint="eastAsia"/>
          <w:sz w:val="24"/>
          <w:szCs w:val="24"/>
        </w:rPr>
        <w:t>2</w:t>
      </w:r>
      <w:r w:rsidRPr="000C0842">
        <w:rPr>
          <w:rFonts w:eastAsia="SimSun"/>
          <w:sz w:val="24"/>
          <w:szCs w:val="24"/>
        </w:rPr>
        <w:t>份</w:t>
      </w:r>
      <w:r w:rsidR="003D5F5E" w:rsidRPr="000C0842">
        <w:rPr>
          <w:rFonts w:eastAsia="SimSun" w:hint="eastAsia"/>
          <w:sz w:val="24"/>
          <w:szCs w:val="24"/>
        </w:rPr>
        <w:t>涉及</w:t>
      </w:r>
      <w:r w:rsidRPr="000C0842">
        <w:rPr>
          <w:rFonts w:eastAsia="SimSun"/>
          <w:sz w:val="24"/>
          <w:szCs w:val="24"/>
        </w:rPr>
        <w:t>体制安排，第</w:t>
      </w:r>
      <w:r w:rsidRPr="000C0842">
        <w:rPr>
          <w:rFonts w:eastAsia="SimSun"/>
          <w:sz w:val="24"/>
          <w:szCs w:val="24"/>
        </w:rPr>
        <w:t>3</w:t>
      </w:r>
      <w:r w:rsidRPr="000C0842">
        <w:rPr>
          <w:rFonts w:eastAsia="SimSun"/>
          <w:sz w:val="24"/>
          <w:szCs w:val="24"/>
        </w:rPr>
        <w:t>份</w:t>
      </w:r>
      <w:r w:rsidR="003D5F5E" w:rsidRPr="000C0842">
        <w:rPr>
          <w:rFonts w:eastAsia="SimSun" w:hint="eastAsia"/>
          <w:sz w:val="24"/>
          <w:szCs w:val="24"/>
        </w:rPr>
        <w:t>涉及</w:t>
      </w:r>
      <w:r w:rsidRPr="000C0842">
        <w:rPr>
          <w:rFonts w:eastAsia="SimSun"/>
          <w:sz w:val="24"/>
          <w:szCs w:val="24"/>
        </w:rPr>
        <w:t>非洲人后裔在执行</w:t>
      </w:r>
      <w:r w:rsidR="00FD20CE" w:rsidRPr="000C0842">
        <w:rPr>
          <w:rFonts w:eastAsia="SimSun"/>
          <w:sz w:val="24"/>
          <w:szCs w:val="24"/>
        </w:rPr>
        <w:t>《昆蒙</w:t>
      </w:r>
      <w:r w:rsidRPr="000C0842">
        <w:rPr>
          <w:rFonts w:eastAsia="SimSun"/>
          <w:sz w:val="24"/>
          <w:szCs w:val="24"/>
        </w:rPr>
        <w:t>框架</w:t>
      </w:r>
      <w:r w:rsidR="00FD20CE" w:rsidRPr="000C0842">
        <w:rPr>
          <w:rFonts w:eastAsia="SimSun"/>
          <w:sz w:val="24"/>
          <w:szCs w:val="24"/>
        </w:rPr>
        <w:t>》</w:t>
      </w:r>
      <w:r w:rsidRPr="000C0842">
        <w:rPr>
          <w:rFonts w:eastAsia="SimSun"/>
          <w:sz w:val="24"/>
          <w:szCs w:val="24"/>
        </w:rPr>
        <w:t>中的作用。</w:t>
      </w:r>
    </w:p>
    <w:p w14:paraId="437A458B" w14:textId="498BD381" w:rsidR="001477E6" w:rsidRPr="000C0842" w:rsidRDefault="001477E6">
      <w:pPr>
        <w:pStyle w:val="ListParagraph"/>
        <w:keepNext/>
        <w:numPr>
          <w:ilvl w:val="1"/>
          <w:numId w:val="6"/>
        </w:numPr>
        <w:ind w:left="562" w:firstLine="0"/>
        <w:rPr>
          <w:rFonts w:ascii="SimSun" w:eastAsia="SimSun" w:hAnsi="SimSun"/>
          <w:b/>
          <w:bCs/>
          <w:sz w:val="24"/>
          <w:szCs w:val="24"/>
        </w:rPr>
      </w:pPr>
      <w:r w:rsidRPr="000C0842">
        <w:rPr>
          <w:rFonts w:ascii="SimSun" w:eastAsia="SimSun" w:hAnsi="SimSun"/>
          <w:b/>
          <w:bCs/>
          <w:sz w:val="24"/>
          <w:szCs w:val="24"/>
        </w:rPr>
        <w:t>至2030年《生物多样性公约》</w:t>
      </w:r>
      <w:r w:rsidR="003D5F5E" w:rsidRPr="000C0842">
        <w:rPr>
          <w:rFonts w:ascii="SimSun" w:eastAsia="SimSun" w:hAnsi="SimSun" w:hint="eastAsia"/>
          <w:b/>
          <w:bCs/>
          <w:sz w:val="24"/>
          <w:szCs w:val="24"/>
        </w:rPr>
        <w:t>关于</w:t>
      </w:r>
      <w:r w:rsidR="003D5F5E" w:rsidRPr="000C0842">
        <w:rPr>
          <w:rFonts w:ascii="SimSun" w:eastAsia="SimSun" w:hAnsi="SimSun"/>
          <w:b/>
          <w:bCs/>
          <w:sz w:val="24"/>
          <w:szCs w:val="24"/>
        </w:rPr>
        <w:t>土著人民和地方社区</w:t>
      </w:r>
      <w:r w:rsidR="003D5F5E" w:rsidRPr="000C0842">
        <w:rPr>
          <w:rFonts w:ascii="SimSun" w:eastAsia="SimSun" w:hAnsi="SimSun" w:hint="eastAsia"/>
          <w:b/>
          <w:bCs/>
          <w:sz w:val="24"/>
          <w:szCs w:val="24"/>
        </w:rPr>
        <w:t>的</w:t>
      </w:r>
      <w:r w:rsidRPr="000C0842">
        <w:rPr>
          <w:rFonts w:ascii="SimSun" w:eastAsia="SimSun" w:hAnsi="SimSun"/>
          <w:b/>
          <w:bCs/>
          <w:sz w:val="24"/>
          <w:szCs w:val="24"/>
        </w:rPr>
        <w:t>第8(j)条和其他条款的工作方案</w:t>
      </w:r>
    </w:p>
    <w:p w14:paraId="44CAB42C" w14:textId="243EDBC5" w:rsidR="001477E6"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477E6" w:rsidRPr="000C0842">
        <w:rPr>
          <w:rFonts w:eastAsia="SimSun"/>
          <w:sz w:val="24"/>
          <w:szCs w:val="24"/>
        </w:rPr>
        <w:t>的代表</w:t>
      </w:r>
      <w:r w:rsidR="00E459D5" w:rsidRPr="000C0842">
        <w:rPr>
          <w:rFonts w:eastAsia="SimSun"/>
          <w:sz w:val="24"/>
          <w:szCs w:val="24"/>
        </w:rPr>
        <w:t>发了言</w:t>
      </w:r>
      <w:r w:rsidR="001477E6" w:rsidRPr="000C0842">
        <w:rPr>
          <w:rFonts w:eastAsia="SimSun"/>
          <w:sz w:val="24"/>
          <w:szCs w:val="24"/>
        </w:rPr>
        <w:t>：智利、哥伦比亚、刚果民主共和国、埃及、欧洲联盟及其成员国、加蓬、</w:t>
      </w:r>
      <w:r w:rsidR="001477E6" w:rsidRPr="000C0842">
        <w:rPr>
          <w:rFonts w:eastAsia="SimSun"/>
          <w:kern w:val="22"/>
          <w:sz w:val="24"/>
          <w:szCs w:val="24"/>
        </w:rPr>
        <w:t>危地马拉</w:t>
      </w:r>
      <w:r w:rsidR="001477E6" w:rsidRPr="000C0842">
        <w:rPr>
          <w:rFonts w:eastAsia="SimSun"/>
          <w:sz w:val="24"/>
          <w:szCs w:val="24"/>
        </w:rPr>
        <w:t>、印度、印度尼西亚、约旦、墨西哥、挪威、巴拿马、俄罗斯联邦、南非、多哥、乌干达</w:t>
      </w:r>
      <w:r w:rsidR="002A5D1C" w:rsidRPr="000C0842">
        <w:rPr>
          <w:rFonts w:eastAsia="SimSun" w:hint="eastAsia"/>
          <w:sz w:val="24"/>
          <w:szCs w:val="24"/>
        </w:rPr>
        <w:t>、</w:t>
      </w:r>
      <w:r w:rsidR="001477E6" w:rsidRPr="000C0842">
        <w:rPr>
          <w:rFonts w:eastAsia="SimSun"/>
          <w:sz w:val="24"/>
          <w:szCs w:val="24"/>
        </w:rPr>
        <w:t>乌拉圭。</w:t>
      </w:r>
    </w:p>
    <w:p w14:paraId="2F6ECB2F" w14:textId="36AE9A3B" w:rsidR="001477E6" w:rsidRPr="000C0842"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人权高专办的代表也发了言。</w:t>
      </w:r>
    </w:p>
    <w:p w14:paraId="4875A3B0" w14:textId="0F106E57" w:rsidR="001477E6" w:rsidRPr="000C0842"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国际</w:t>
      </w:r>
      <w:r w:rsidRPr="000C0842">
        <w:rPr>
          <w:rFonts w:eastAsia="SimSun"/>
          <w:kern w:val="22"/>
          <w:sz w:val="24"/>
          <w:szCs w:val="24"/>
        </w:rPr>
        <w:t>生物多样性</w:t>
      </w:r>
      <w:r w:rsidRPr="000C0842">
        <w:rPr>
          <w:rFonts w:eastAsia="SimSun"/>
          <w:sz w:val="24"/>
          <w:szCs w:val="24"/>
        </w:rPr>
        <w:t>问题土著论坛的代表</w:t>
      </w:r>
      <w:r w:rsidR="003D5F5E" w:rsidRPr="000C0842">
        <w:rPr>
          <w:rFonts w:eastAsia="SimSun" w:hint="eastAsia"/>
          <w:sz w:val="24"/>
          <w:szCs w:val="24"/>
        </w:rPr>
        <w:t>也</w:t>
      </w:r>
      <w:r w:rsidRPr="000C0842">
        <w:rPr>
          <w:rFonts w:eastAsia="SimSun"/>
          <w:sz w:val="24"/>
          <w:szCs w:val="24"/>
        </w:rPr>
        <w:t>发</w:t>
      </w:r>
      <w:r w:rsidR="003D5F5E" w:rsidRPr="000C0842">
        <w:rPr>
          <w:rFonts w:eastAsia="SimSun" w:hint="eastAsia"/>
          <w:sz w:val="24"/>
          <w:szCs w:val="24"/>
        </w:rPr>
        <w:t>了</w:t>
      </w:r>
      <w:r w:rsidRPr="000C0842">
        <w:rPr>
          <w:rFonts w:eastAsia="SimSun"/>
          <w:sz w:val="24"/>
          <w:szCs w:val="24"/>
        </w:rPr>
        <w:t>言。</w:t>
      </w:r>
    </w:p>
    <w:p w14:paraId="64157A11" w14:textId="6F302C25" w:rsidR="001477E6" w:rsidRPr="000C0842" w:rsidRDefault="003D5F5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工作组</w:t>
      </w:r>
      <w:r w:rsidRPr="000C0842">
        <w:rPr>
          <w:rFonts w:eastAsia="SimSun" w:hint="eastAsia"/>
          <w:sz w:val="24"/>
          <w:szCs w:val="24"/>
        </w:rPr>
        <w:t>在</w:t>
      </w:r>
      <w:r w:rsidR="001477E6" w:rsidRPr="000C0842">
        <w:rPr>
          <w:rFonts w:eastAsia="SimSun"/>
          <w:sz w:val="24"/>
          <w:szCs w:val="24"/>
        </w:rPr>
        <w:t>交换</w:t>
      </w:r>
      <w:r w:rsidR="001477E6" w:rsidRPr="000C0842">
        <w:rPr>
          <w:rFonts w:eastAsia="SimSun"/>
          <w:kern w:val="22"/>
          <w:sz w:val="24"/>
          <w:szCs w:val="24"/>
        </w:rPr>
        <w:t>意见</w:t>
      </w:r>
      <w:r w:rsidR="001477E6" w:rsidRPr="000C0842">
        <w:rPr>
          <w:rFonts w:eastAsia="SimSun"/>
          <w:sz w:val="24"/>
          <w:szCs w:val="24"/>
        </w:rPr>
        <w:t>后核准了经口头修正的决定草案，将其作为</w:t>
      </w:r>
      <w:r w:rsidR="001477E6" w:rsidRPr="000C0842">
        <w:rPr>
          <w:rFonts w:eastAsia="SimSun"/>
          <w:sz w:val="24"/>
          <w:szCs w:val="24"/>
        </w:rPr>
        <w:t>CBD/COP/16/L.5</w:t>
      </w:r>
      <w:r w:rsidR="001477E6" w:rsidRPr="000C0842">
        <w:rPr>
          <w:rFonts w:eastAsia="SimSun"/>
          <w:sz w:val="24"/>
          <w:szCs w:val="24"/>
        </w:rPr>
        <w:t>号决定草案</w:t>
      </w:r>
      <w:r w:rsidR="004C7374" w:rsidRPr="000C0842">
        <w:rPr>
          <w:rFonts w:eastAsia="SimSun"/>
          <w:sz w:val="24"/>
          <w:szCs w:val="24"/>
        </w:rPr>
        <w:t>提交全体会议</w:t>
      </w:r>
      <w:r w:rsidR="001477E6" w:rsidRPr="000C0842">
        <w:rPr>
          <w:rFonts w:eastAsia="SimSun"/>
          <w:sz w:val="24"/>
          <w:szCs w:val="24"/>
        </w:rPr>
        <w:t>。</w:t>
      </w:r>
    </w:p>
    <w:p w14:paraId="53A083D3" w14:textId="6660CD9A" w:rsidR="00BA2BD0" w:rsidRPr="000C0842" w:rsidRDefault="0077269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BA2BD0" w:rsidRPr="000C0842">
        <w:rPr>
          <w:rFonts w:eastAsia="SimSun"/>
          <w:sz w:val="24"/>
          <w:szCs w:val="24"/>
        </w:rPr>
        <w:t>第</w:t>
      </w:r>
      <w:r w:rsidR="00BA2BD0" w:rsidRPr="000C0842">
        <w:rPr>
          <w:rFonts w:eastAsia="SimSun"/>
          <w:sz w:val="24"/>
          <w:szCs w:val="24"/>
        </w:rPr>
        <w:t>3</w:t>
      </w:r>
      <w:r w:rsidR="00BA2BD0" w:rsidRPr="000C0842">
        <w:rPr>
          <w:rFonts w:eastAsia="SimSun"/>
          <w:sz w:val="24"/>
          <w:szCs w:val="24"/>
        </w:rPr>
        <w:t>场全体会议审议了第一工作组主席提交的</w:t>
      </w:r>
      <w:r w:rsidR="00FD20CE" w:rsidRPr="000C0842">
        <w:rPr>
          <w:sz w:val="24"/>
          <w:szCs w:val="24"/>
        </w:rPr>
        <w:t>CBD/COP/16/L.5</w:t>
      </w:r>
      <w:r w:rsidR="00FC2FC8" w:rsidRPr="000C0842">
        <w:rPr>
          <w:rFonts w:eastAsia="SimSun"/>
          <w:sz w:val="24"/>
          <w:szCs w:val="24"/>
        </w:rPr>
        <w:t>号决定草案</w:t>
      </w:r>
      <w:r w:rsidR="00BA2BD0" w:rsidRPr="000C0842">
        <w:rPr>
          <w:rFonts w:eastAsia="SimSun"/>
          <w:sz w:val="24"/>
          <w:szCs w:val="24"/>
        </w:rPr>
        <w:t>。</w:t>
      </w:r>
    </w:p>
    <w:p w14:paraId="7CD2068E" w14:textId="0085186E" w:rsidR="00BA2BD0"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BA2BD0" w:rsidRPr="000C0842">
        <w:rPr>
          <w:rFonts w:eastAsia="SimSun"/>
          <w:sz w:val="24"/>
          <w:szCs w:val="24"/>
        </w:rPr>
        <w:t>的代表发了言：</w:t>
      </w:r>
      <w:r w:rsidR="00AB295B" w:rsidRPr="000C0842">
        <w:rPr>
          <w:rFonts w:eastAsia="SimSun"/>
          <w:sz w:val="24"/>
          <w:szCs w:val="24"/>
        </w:rPr>
        <w:t>多民族</w:t>
      </w:r>
      <w:r w:rsidR="00BA2BD0" w:rsidRPr="000C0842">
        <w:rPr>
          <w:rFonts w:eastAsia="SimSun"/>
          <w:sz w:val="24"/>
          <w:szCs w:val="24"/>
        </w:rPr>
        <w:t>玻利维亚国、巴西、加拿大、智利、欧洲联盟及其成员国、印度、印度尼西亚、日本、新西兰、挪威、俄罗斯联邦、多哥</w:t>
      </w:r>
      <w:r w:rsidR="00AE366C" w:rsidRPr="000C0842">
        <w:rPr>
          <w:rFonts w:eastAsia="SimSun"/>
          <w:sz w:val="24"/>
          <w:szCs w:val="24"/>
        </w:rPr>
        <w:t>、</w:t>
      </w:r>
      <w:r w:rsidR="00BA2BD0" w:rsidRPr="000C0842">
        <w:rPr>
          <w:rFonts w:eastAsia="SimSun"/>
          <w:sz w:val="24"/>
          <w:szCs w:val="24"/>
        </w:rPr>
        <w:t>联合王国。</w:t>
      </w:r>
    </w:p>
    <w:p w14:paraId="20526BC0" w14:textId="3042FC98" w:rsidR="00BA2BD0" w:rsidRPr="000C0842" w:rsidRDefault="00F26683"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缔约方大会通过了经口头修正的</w:t>
      </w:r>
      <w:r w:rsidR="00AE366C" w:rsidRPr="000C0842">
        <w:rPr>
          <w:rFonts w:eastAsia="SimSun"/>
          <w:sz w:val="24"/>
          <w:szCs w:val="24"/>
        </w:rPr>
        <w:t>决定草案</w:t>
      </w:r>
      <w:r w:rsidR="00BA2BD0" w:rsidRPr="000C0842">
        <w:rPr>
          <w:rFonts w:eastAsia="SimSun"/>
          <w:sz w:val="24"/>
          <w:szCs w:val="24"/>
        </w:rPr>
        <w:t>，</w:t>
      </w:r>
      <w:r w:rsidRPr="000C0842">
        <w:rPr>
          <w:rFonts w:eastAsia="SimSun" w:hint="eastAsia"/>
          <w:sz w:val="24"/>
          <w:szCs w:val="24"/>
        </w:rPr>
        <w:t>决定草案</w:t>
      </w:r>
      <w:r w:rsidR="00BA2BD0" w:rsidRPr="000C0842">
        <w:rPr>
          <w:rFonts w:eastAsia="SimSun"/>
          <w:sz w:val="24"/>
          <w:szCs w:val="24"/>
        </w:rPr>
        <w:t>成为第</w:t>
      </w:r>
      <w:hyperlink r:id="rId403" w:history="1">
        <w:r w:rsidR="00BA2BD0" w:rsidRPr="000C0842">
          <w:rPr>
            <w:rStyle w:val="Hyperlink"/>
            <w:rFonts w:eastAsia="SimSun"/>
            <w:color w:val="auto"/>
            <w:sz w:val="24"/>
            <w:szCs w:val="24"/>
          </w:rPr>
          <w:t>16/</w:t>
        </w:r>
        <w:r w:rsidR="00FD20CE" w:rsidRPr="000C0842">
          <w:rPr>
            <w:rStyle w:val="Hyperlink"/>
            <w:rFonts w:eastAsia="SimSun"/>
            <w:color w:val="auto"/>
            <w:sz w:val="24"/>
            <w:szCs w:val="24"/>
          </w:rPr>
          <w:t>4</w:t>
        </w:r>
      </w:hyperlink>
      <w:r w:rsidR="00BA2BD0" w:rsidRPr="000C0842">
        <w:rPr>
          <w:rFonts w:eastAsia="SimSun"/>
          <w:sz w:val="24"/>
          <w:szCs w:val="24"/>
        </w:rPr>
        <w:t>号决定。</w:t>
      </w:r>
    </w:p>
    <w:p w14:paraId="1D2CDEFF" w14:textId="1BBEDEA5" w:rsidR="00FD20CE" w:rsidRPr="000C0842" w:rsidRDefault="00FD20CE" w:rsidP="00172FF3">
      <w:pPr>
        <w:tabs>
          <w:tab w:val="clear" w:pos="567"/>
          <w:tab w:val="clear" w:pos="1134"/>
          <w:tab w:val="clear" w:pos="1701"/>
          <w:tab w:val="clear" w:pos="2268"/>
          <w:tab w:val="left" w:pos="1080"/>
        </w:tabs>
        <w:spacing w:before="120" w:after="120"/>
        <w:ind w:left="490"/>
        <w:rPr>
          <w:rFonts w:ascii="SimHei" w:eastAsia="SimHei" w:hAnsi="SimHei"/>
          <w:b/>
          <w:bCs/>
          <w:sz w:val="24"/>
          <w:szCs w:val="24"/>
        </w:rPr>
      </w:pPr>
      <w:r w:rsidRPr="000C0842">
        <w:rPr>
          <w:rFonts w:eastAsia="SimSun"/>
          <w:b/>
          <w:bCs/>
          <w:sz w:val="24"/>
          <w:szCs w:val="24"/>
        </w:rPr>
        <w:t>b.</w:t>
      </w:r>
      <w:r w:rsidRPr="000C0842">
        <w:rPr>
          <w:rFonts w:eastAsia="SimSun"/>
          <w:b/>
          <w:bCs/>
          <w:sz w:val="24"/>
          <w:szCs w:val="24"/>
        </w:rPr>
        <w:tab/>
      </w:r>
      <w:r w:rsidRPr="000C0842">
        <w:rPr>
          <w:rFonts w:ascii="SimSun" w:eastAsia="SimSun" w:hAnsi="SimSun"/>
          <w:b/>
          <w:bCs/>
          <w:sz w:val="24"/>
          <w:szCs w:val="24"/>
        </w:rPr>
        <w:t>土著人民和地方社区充分有效参与《生物多样性公约》工作</w:t>
      </w:r>
      <w:r w:rsidR="00F26683" w:rsidRPr="000C0842">
        <w:rPr>
          <w:rFonts w:ascii="SimSun" w:eastAsia="SimSun" w:hAnsi="SimSun" w:hint="eastAsia"/>
          <w:b/>
          <w:bCs/>
          <w:sz w:val="24"/>
          <w:szCs w:val="24"/>
        </w:rPr>
        <w:t>的</w:t>
      </w:r>
      <w:r w:rsidRPr="000C0842">
        <w:rPr>
          <w:rFonts w:ascii="SimSun" w:eastAsia="SimSun" w:hAnsi="SimSun"/>
          <w:b/>
          <w:bCs/>
          <w:sz w:val="24"/>
          <w:szCs w:val="24"/>
        </w:rPr>
        <w:t>体制安排</w:t>
      </w:r>
    </w:p>
    <w:p w14:paraId="063AD18D" w14:textId="5CC1472B" w:rsidR="00FD20CE"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0C0842">
        <w:rPr>
          <w:rFonts w:eastAsia="SimSun"/>
          <w:spacing w:val="4"/>
          <w:sz w:val="24"/>
          <w:szCs w:val="24"/>
        </w:rPr>
        <w:t>下列缔约方</w:t>
      </w:r>
      <w:r w:rsidR="00FD20CE" w:rsidRPr="000C0842">
        <w:rPr>
          <w:rFonts w:eastAsia="SimSun"/>
          <w:spacing w:val="4"/>
          <w:sz w:val="24"/>
          <w:szCs w:val="24"/>
        </w:rPr>
        <w:t>的代表</w:t>
      </w:r>
      <w:r w:rsidR="001C1443" w:rsidRPr="000C0842">
        <w:rPr>
          <w:rFonts w:eastAsia="SimSun"/>
          <w:spacing w:val="4"/>
          <w:sz w:val="24"/>
          <w:szCs w:val="24"/>
        </w:rPr>
        <w:t>发了言</w:t>
      </w:r>
      <w:r w:rsidR="00FD20CE" w:rsidRPr="000C0842">
        <w:rPr>
          <w:rFonts w:eastAsia="SimSun"/>
          <w:spacing w:val="4"/>
          <w:sz w:val="24"/>
          <w:szCs w:val="24"/>
        </w:rPr>
        <w:t>：加拿大、埃及、危地马拉、约旦、墨西哥</w:t>
      </w:r>
      <w:r w:rsidR="002A5D1C" w:rsidRPr="000C0842">
        <w:rPr>
          <w:rFonts w:eastAsia="SimSun" w:hint="eastAsia"/>
          <w:spacing w:val="4"/>
          <w:sz w:val="24"/>
          <w:szCs w:val="24"/>
        </w:rPr>
        <w:t>、</w:t>
      </w:r>
      <w:r w:rsidR="00FD20CE" w:rsidRPr="000C0842">
        <w:rPr>
          <w:rFonts w:eastAsia="SimSun"/>
          <w:spacing w:val="4"/>
          <w:sz w:val="24"/>
          <w:szCs w:val="24"/>
        </w:rPr>
        <w:t>俄罗斯联邦。</w:t>
      </w:r>
    </w:p>
    <w:p w14:paraId="1985B410" w14:textId="64801AF1" w:rsidR="00FD20CE" w:rsidRPr="000C0842" w:rsidRDefault="00FD20C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第一工作组核准了经口头修正的决定草案，将其作为</w:t>
      </w:r>
      <w:r w:rsidRPr="000C0842">
        <w:rPr>
          <w:rFonts w:eastAsia="SimSun"/>
          <w:sz w:val="24"/>
          <w:szCs w:val="24"/>
        </w:rPr>
        <w:t>CBD/COP/16/L.6</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5403E547" w14:textId="4EB7BE3E" w:rsidR="00FD20CE" w:rsidRPr="000C0842" w:rsidRDefault="00FD20C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AE1878" w:rsidRPr="000C0842">
        <w:rPr>
          <w:rFonts w:eastAsia="SimSun"/>
          <w:sz w:val="24"/>
          <w:szCs w:val="24"/>
        </w:rPr>
        <w:t>第</w:t>
      </w:r>
      <w:r w:rsidR="00AE1878" w:rsidRPr="000C0842">
        <w:rPr>
          <w:rFonts w:eastAsia="SimSun"/>
          <w:sz w:val="24"/>
          <w:szCs w:val="24"/>
        </w:rPr>
        <w:t>3</w:t>
      </w:r>
      <w:r w:rsidR="00AE1878" w:rsidRPr="000C0842">
        <w:rPr>
          <w:rFonts w:eastAsia="SimSun"/>
          <w:sz w:val="24"/>
          <w:szCs w:val="24"/>
        </w:rPr>
        <w:t>场全体会议</w:t>
      </w:r>
      <w:r w:rsidRPr="000C0842">
        <w:rPr>
          <w:rFonts w:eastAsia="SimSun"/>
          <w:sz w:val="24"/>
          <w:szCs w:val="24"/>
        </w:rPr>
        <w:t>审议了</w:t>
      </w:r>
      <w:r w:rsidRPr="000C0842">
        <w:rPr>
          <w:rFonts w:eastAsia="SimSun"/>
          <w:sz w:val="24"/>
          <w:szCs w:val="24"/>
        </w:rPr>
        <w:t>CBD/COP/16/L.6</w:t>
      </w:r>
      <w:r w:rsidR="00FC2FC8" w:rsidRPr="000C0842">
        <w:rPr>
          <w:rFonts w:eastAsia="SimSun"/>
          <w:sz w:val="24"/>
          <w:szCs w:val="24"/>
        </w:rPr>
        <w:t>号决定草案</w:t>
      </w:r>
      <w:r w:rsidRPr="000C0842">
        <w:rPr>
          <w:rFonts w:eastAsia="SimSun"/>
          <w:sz w:val="24"/>
          <w:szCs w:val="24"/>
        </w:rPr>
        <w:t>。</w:t>
      </w:r>
    </w:p>
    <w:p w14:paraId="4A66535E" w14:textId="50FC1A22" w:rsidR="00BA2BD0"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0C0842">
        <w:rPr>
          <w:rFonts w:eastAsia="SimSun"/>
          <w:spacing w:val="4"/>
          <w:sz w:val="24"/>
          <w:szCs w:val="24"/>
        </w:rPr>
        <w:t>下列缔约方</w:t>
      </w:r>
      <w:r w:rsidR="00BA2BD0" w:rsidRPr="000C0842">
        <w:rPr>
          <w:rFonts w:eastAsia="SimSun"/>
          <w:spacing w:val="4"/>
          <w:sz w:val="24"/>
          <w:szCs w:val="24"/>
        </w:rPr>
        <w:t>的代表发了言：澳大利亚、</w:t>
      </w:r>
      <w:r w:rsidR="00AB295B" w:rsidRPr="000C0842">
        <w:rPr>
          <w:rFonts w:eastAsia="SimSun"/>
          <w:spacing w:val="4"/>
          <w:sz w:val="24"/>
          <w:szCs w:val="24"/>
        </w:rPr>
        <w:t>多民族</w:t>
      </w:r>
      <w:r w:rsidR="00BA2BD0" w:rsidRPr="000C0842">
        <w:rPr>
          <w:rFonts w:eastAsia="SimSun"/>
          <w:spacing w:val="4"/>
          <w:sz w:val="24"/>
          <w:szCs w:val="24"/>
        </w:rPr>
        <w:t>玻利维亚国、巴西、加拿大、库克群岛、欧洲联盟及其成员国、斐济（</w:t>
      </w:r>
      <w:r w:rsidR="00AE366C" w:rsidRPr="000C0842">
        <w:rPr>
          <w:rFonts w:eastAsia="SimSun"/>
          <w:spacing w:val="4"/>
          <w:sz w:val="24"/>
          <w:szCs w:val="24"/>
        </w:rPr>
        <w:t>同时</w:t>
      </w:r>
      <w:r w:rsidR="00BA2BD0" w:rsidRPr="000C0842">
        <w:rPr>
          <w:rFonts w:eastAsia="SimSun"/>
          <w:spacing w:val="4"/>
          <w:sz w:val="24"/>
          <w:szCs w:val="24"/>
        </w:rPr>
        <w:t>代表库克群岛、基里巴斯、帕劳、马绍尔群岛、密克罗尼西亚联邦、萨摩亚和瓦努阿图）、加蓬、危地马拉、印度尼西亚、墨西哥、新西兰、挪威、巴拿马、秘鲁、俄罗斯联邦、南非、苏丹、多哥</w:t>
      </w:r>
      <w:r w:rsidR="00AE366C" w:rsidRPr="000C0842">
        <w:rPr>
          <w:rFonts w:eastAsia="SimSun"/>
          <w:spacing w:val="4"/>
          <w:sz w:val="24"/>
          <w:szCs w:val="24"/>
        </w:rPr>
        <w:t>、</w:t>
      </w:r>
      <w:r w:rsidR="00BA2BD0" w:rsidRPr="000C0842">
        <w:rPr>
          <w:rFonts w:eastAsia="SimSun"/>
          <w:spacing w:val="4"/>
          <w:sz w:val="24"/>
          <w:szCs w:val="24"/>
        </w:rPr>
        <w:t>津巴布韦。</w:t>
      </w:r>
    </w:p>
    <w:p w14:paraId="52992AEB" w14:textId="6CCE22B1" w:rsidR="00BA2BD0" w:rsidRPr="000C0842" w:rsidRDefault="00AE18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国际</w:t>
      </w:r>
      <w:r w:rsidR="00BA2BD0" w:rsidRPr="000C0842">
        <w:rPr>
          <w:rFonts w:eastAsia="SimSun"/>
          <w:sz w:val="24"/>
          <w:szCs w:val="24"/>
        </w:rPr>
        <w:t>生物多样性问题土著论坛的代表也发了言。</w:t>
      </w:r>
    </w:p>
    <w:p w14:paraId="7EEEA212" w14:textId="391A2443" w:rsidR="00BC34CA" w:rsidRPr="000C0842"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w:t>
      </w:r>
      <w:r w:rsidR="001902BF" w:rsidRPr="000C0842">
        <w:rPr>
          <w:rFonts w:eastAsia="SimSun"/>
          <w:sz w:val="24"/>
          <w:szCs w:val="24"/>
        </w:rPr>
        <w:t>大会</w:t>
      </w:r>
      <w:r w:rsidR="004A0010" w:rsidRPr="000C0842">
        <w:rPr>
          <w:rFonts w:eastAsia="SimSun"/>
          <w:sz w:val="24"/>
          <w:szCs w:val="24"/>
        </w:rPr>
        <w:t>第</w:t>
      </w:r>
      <w:r w:rsidR="004A0010" w:rsidRPr="000C0842">
        <w:rPr>
          <w:rFonts w:eastAsia="SimSun"/>
          <w:sz w:val="24"/>
          <w:szCs w:val="24"/>
        </w:rPr>
        <w:t>5</w:t>
      </w:r>
      <w:r w:rsidR="004A0010" w:rsidRPr="000C0842">
        <w:rPr>
          <w:rFonts w:eastAsia="SimSun"/>
          <w:sz w:val="24"/>
          <w:szCs w:val="24"/>
        </w:rPr>
        <w:t>场全体会议</w:t>
      </w:r>
      <w:r w:rsidRPr="000C0842">
        <w:rPr>
          <w:rFonts w:eastAsia="SimSun"/>
          <w:sz w:val="24"/>
          <w:szCs w:val="24"/>
        </w:rPr>
        <w:t>继续审议该决定草案。</w:t>
      </w:r>
    </w:p>
    <w:p w14:paraId="6D44302D" w14:textId="38A9DAD0" w:rsidR="00BC34CA"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BC34CA" w:rsidRPr="000C0842">
        <w:rPr>
          <w:rFonts w:eastAsia="SimSun"/>
          <w:sz w:val="24"/>
          <w:szCs w:val="24"/>
        </w:rPr>
        <w:t>的代表</w:t>
      </w:r>
      <w:r w:rsidR="00E459D5" w:rsidRPr="000C0842">
        <w:rPr>
          <w:rFonts w:eastAsia="SimSun"/>
          <w:sz w:val="24"/>
          <w:szCs w:val="24"/>
        </w:rPr>
        <w:t>发了言</w:t>
      </w:r>
      <w:r w:rsidR="001902BF" w:rsidRPr="000C0842">
        <w:rPr>
          <w:rFonts w:eastAsia="SimSun"/>
          <w:sz w:val="24"/>
          <w:szCs w:val="24"/>
        </w:rPr>
        <w:t>：</w:t>
      </w:r>
      <w:r w:rsidR="00BC34CA" w:rsidRPr="000C0842">
        <w:rPr>
          <w:rFonts w:eastAsia="SimSun"/>
          <w:sz w:val="24"/>
          <w:szCs w:val="24"/>
        </w:rPr>
        <w:t>澳大利亚、多民族玻利维亚国、巴西、加拿大、中非共和国、智利、哥斯达黎加、刚果民主共和国、欧洲联盟及其成员国、危地马拉、印度尼西亚、日本、墨西哥、尼泊尔、新西兰、巴拿马、秘鲁、菲律宾、俄罗斯联邦、南非、多哥、乌干达、坦桑尼亚联合共和国、赞比亚</w:t>
      </w:r>
      <w:r w:rsidR="002A5D1C" w:rsidRPr="000C0842">
        <w:rPr>
          <w:rFonts w:eastAsia="SimSun" w:hint="eastAsia"/>
          <w:sz w:val="24"/>
          <w:szCs w:val="24"/>
        </w:rPr>
        <w:t>、</w:t>
      </w:r>
      <w:r w:rsidR="00BC34CA" w:rsidRPr="000C0842">
        <w:rPr>
          <w:rFonts w:eastAsia="SimSun"/>
          <w:sz w:val="24"/>
          <w:szCs w:val="24"/>
        </w:rPr>
        <w:t>津巴布韦。</w:t>
      </w:r>
    </w:p>
    <w:p w14:paraId="6C268A65" w14:textId="0B302912" w:rsidR="00BC34CA" w:rsidRPr="000C0842"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F26683" w:rsidRPr="000C0842">
        <w:rPr>
          <w:rFonts w:eastAsia="SimSun" w:hint="eastAsia"/>
          <w:sz w:val="24"/>
          <w:szCs w:val="24"/>
        </w:rPr>
        <w:t>决定草案</w:t>
      </w:r>
      <w:r w:rsidRPr="000C0842">
        <w:rPr>
          <w:rFonts w:eastAsia="SimSun"/>
          <w:sz w:val="24"/>
          <w:szCs w:val="24"/>
        </w:rPr>
        <w:t>成为第</w:t>
      </w:r>
      <w:hyperlink r:id="rId404" w:history="1">
        <w:r w:rsidRPr="000C0842">
          <w:rPr>
            <w:rStyle w:val="Hyperlink"/>
            <w:rFonts w:eastAsia="SimSun"/>
            <w:color w:val="auto"/>
            <w:sz w:val="24"/>
            <w:szCs w:val="24"/>
          </w:rPr>
          <w:t>16/5</w:t>
        </w:r>
      </w:hyperlink>
      <w:r w:rsidRPr="000C0842">
        <w:rPr>
          <w:rFonts w:eastAsia="SimSun"/>
          <w:sz w:val="24"/>
          <w:szCs w:val="24"/>
        </w:rPr>
        <w:t>号决定。</w:t>
      </w:r>
    </w:p>
    <w:p w14:paraId="45BAD6E7" w14:textId="27FF285A" w:rsidR="00BC34CA" w:rsidRPr="000C0842"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决定通过后，全球青年生物多样性网络和</w:t>
      </w:r>
      <w:r w:rsidR="00AE1878" w:rsidRPr="000C0842">
        <w:rPr>
          <w:rFonts w:eastAsia="SimSun"/>
          <w:sz w:val="24"/>
          <w:szCs w:val="24"/>
        </w:rPr>
        <w:t>国际</w:t>
      </w:r>
      <w:r w:rsidRPr="000C0842">
        <w:rPr>
          <w:rFonts w:eastAsia="SimSun"/>
          <w:sz w:val="24"/>
          <w:szCs w:val="24"/>
        </w:rPr>
        <w:t>生物多样性</w:t>
      </w:r>
      <w:r w:rsidR="00AE1878" w:rsidRPr="000C0842">
        <w:rPr>
          <w:rFonts w:eastAsia="SimSun" w:hint="eastAsia"/>
          <w:sz w:val="24"/>
          <w:szCs w:val="24"/>
        </w:rPr>
        <w:t>问题</w:t>
      </w:r>
      <w:r w:rsidRPr="000C0842">
        <w:rPr>
          <w:rFonts w:eastAsia="SimSun"/>
          <w:sz w:val="24"/>
          <w:szCs w:val="24"/>
        </w:rPr>
        <w:t>土著论坛的代表</w:t>
      </w:r>
      <w:r w:rsidR="00E43413" w:rsidRPr="000C0842">
        <w:rPr>
          <w:rFonts w:eastAsia="SimSun" w:hint="eastAsia"/>
          <w:sz w:val="24"/>
          <w:szCs w:val="24"/>
        </w:rPr>
        <w:t>（</w:t>
      </w:r>
      <w:r w:rsidR="00F26683" w:rsidRPr="000C0842">
        <w:rPr>
          <w:rFonts w:eastAsia="SimSun" w:hint="eastAsia"/>
          <w:sz w:val="24"/>
          <w:szCs w:val="24"/>
        </w:rPr>
        <w:t>同时</w:t>
      </w:r>
      <w:r w:rsidRPr="000C0842">
        <w:rPr>
          <w:rFonts w:eastAsia="SimSun"/>
          <w:sz w:val="24"/>
          <w:szCs w:val="24"/>
        </w:rPr>
        <w:t>代表土著妇女生物多样性网络</w:t>
      </w:r>
      <w:r w:rsidR="00E43413" w:rsidRPr="000C0842">
        <w:rPr>
          <w:rFonts w:eastAsia="SimSun" w:hint="eastAsia"/>
          <w:sz w:val="24"/>
          <w:szCs w:val="24"/>
        </w:rPr>
        <w:t>）</w:t>
      </w:r>
      <w:r w:rsidRPr="000C0842">
        <w:rPr>
          <w:rFonts w:eastAsia="SimSun"/>
          <w:sz w:val="24"/>
          <w:szCs w:val="24"/>
        </w:rPr>
        <w:t>发了言。</w:t>
      </w:r>
    </w:p>
    <w:p w14:paraId="1CAEA170" w14:textId="2EC5174B" w:rsidR="001902BF" w:rsidRPr="000C0842" w:rsidRDefault="001902BF" w:rsidP="00172FF3">
      <w:pPr>
        <w:pBdr>
          <w:top w:val="nil"/>
          <w:left w:val="nil"/>
          <w:bottom w:val="nil"/>
          <w:right w:val="nil"/>
          <w:between w:val="nil"/>
        </w:pBdr>
        <w:tabs>
          <w:tab w:val="clear" w:pos="567"/>
          <w:tab w:val="clear" w:pos="1134"/>
          <w:tab w:val="clear" w:pos="1701"/>
          <w:tab w:val="clear" w:pos="2268"/>
          <w:tab w:val="left" w:pos="1080"/>
        </w:tabs>
        <w:spacing w:before="120" w:after="120"/>
        <w:ind w:left="490"/>
        <w:rPr>
          <w:rFonts w:eastAsia="SimSun"/>
          <w:b/>
          <w:bCs/>
          <w:i/>
          <w:spacing w:val="-4"/>
          <w:sz w:val="24"/>
          <w:szCs w:val="24"/>
        </w:rPr>
      </w:pPr>
      <w:r w:rsidRPr="000C0842">
        <w:rPr>
          <w:rFonts w:eastAsia="SimSun"/>
          <w:b/>
          <w:bCs/>
          <w:snapToGrid w:val="0"/>
          <w:sz w:val="24"/>
          <w:szCs w:val="24"/>
        </w:rPr>
        <w:t>c.</w:t>
      </w:r>
      <w:r w:rsidRPr="000C0842">
        <w:rPr>
          <w:rFonts w:eastAsia="SimSun"/>
          <w:b/>
          <w:bCs/>
          <w:snapToGrid w:val="0"/>
          <w:sz w:val="24"/>
          <w:szCs w:val="24"/>
        </w:rPr>
        <w:tab/>
      </w:r>
      <w:r w:rsidR="00F26683" w:rsidRPr="000C0842">
        <w:rPr>
          <w:rFonts w:eastAsia="SimSun"/>
          <w:b/>
          <w:bCs/>
          <w:sz w:val="24"/>
          <w:szCs w:val="24"/>
        </w:rPr>
        <w:t>非洲人后裔、包括体现传统生活方式的集体在执行《生物多样性公约》方面的作用</w:t>
      </w:r>
    </w:p>
    <w:p w14:paraId="5C63EB12" w14:textId="0D512EA5" w:rsidR="001902B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902BF" w:rsidRPr="000C0842">
        <w:rPr>
          <w:rFonts w:eastAsia="SimSun"/>
          <w:sz w:val="24"/>
          <w:szCs w:val="24"/>
        </w:rPr>
        <w:t>的代表发了言：智利、哥伦比亚、刚果民主共和国、埃及、欧洲联盟及其成员国、加蓬、危地马拉、印度、印度尼西亚、约旦、墨西哥、挪威、巴拿马、俄罗斯联邦、南非、多哥、乌干达</w:t>
      </w:r>
      <w:r w:rsidR="002A5D1C" w:rsidRPr="000C0842">
        <w:rPr>
          <w:rFonts w:eastAsia="SimSun" w:hint="eastAsia"/>
          <w:sz w:val="24"/>
          <w:szCs w:val="24"/>
        </w:rPr>
        <w:t>、</w:t>
      </w:r>
      <w:r w:rsidR="001902BF" w:rsidRPr="000C0842">
        <w:rPr>
          <w:rFonts w:eastAsia="SimSun"/>
          <w:sz w:val="24"/>
          <w:szCs w:val="24"/>
        </w:rPr>
        <w:t>乌拉圭。</w:t>
      </w:r>
    </w:p>
    <w:p w14:paraId="231A84A5" w14:textId="0CD82DDB" w:rsidR="001902BF" w:rsidRPr="000C0842"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国际生物多样性问题土著论坛的代表也发了言。</w:t>
      </w:r>
    </w:p>
    <w:p w14:paraId="4B5F67B6" w14:textId="06ECC32A" w:rsidR="001902BF" w:rsidRPr="000C0842"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第一工作组核准了经口头修正的决定草案，将其作为</w:t>
      </w:r>
      <w:r w:rsidRPr="000C0842">
        <w:rPr>
          <w:rFonts w:eastAsia="SimSun"/>
          <w:sz w:val="24"/>
          <w:szCs w:val="24"/>
          <w:lang w:val="en-GB"/>
        </w:rPr>
        <w:t>CBD/COP/16/L.7</w:t>
      </w:r>
      <w:r w:rsidRPr="000C0842">
        <w:rPr>
          <w:rFonts w:eastAsia="SimSun"/>
          <w:sz w:val="24"/>
          <w:szCs w:val="24"/>
          <w:lang w:val="en-GB"/>
        </w:rPr>
        <w:t>号决定草案</w:t>
      </w:r>
      <w:r w:rsidR="004C7374" w:rsidRPr="000C0842">
        <w:rPr>
          <w:rFonts w:eastAsia="SimSun"/>
          <w:sz w:val="24"/>
          <w:szCs w:val="24"/>
          <w:lang w:val="en-GB"/>
        </w:rPr>
        <w:t>提交全体会议</w:t>
      </w:r>
      <w:r w:rsidRPr="000C0842">
        <w:rPr>
          <w:rFonts w:eastAsia="SimSun"/>
          <w:sz w:val="24"/>
          <w:szCs w:val="24"/>
          <w:lang w:val="en-GB"/>
        </w:rPr>
        <w:t>。</w:t>
      </w:r>
    </w:p>
    <w:p w14:paraId="20DBC47C" w14:textId="2A87F382" w:rsidR="001902BF" w:rsidRPr="000C0842"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483097" w:rsidRPr="000C0842">
        <w:rPr>
          <w:rFonts w:eastAsia="SimSun"/>
          <w:sz w:val="24"/>
          <w:szCs w:val="24"/>
        </w:rPr>
        <w:t>第</w:t>
      </w:r>
      <w:r w:rsidR="00483097" w:rsidRPr="000C0842">
        <w:rPr>
          <w:rFonts w:eastAsia="SimSun"/>
          <w:sz w:val="24"/>
          <w:szCs w:val="24"/>
        </w:rPr>
        <w:t>3</w:t>
      </w:r>
      <w:r w:rsidR="00483097" w:rsidRPr="000C0842">
        <w:rPr>
          <w:rFonts w:eastAsia="SimSun"/>
          <w:sz w:val="24"/>
          <w:szCs w:val="24"/>
        </w:rPr>
        <w:t>场全体会议</w:t>
      </w:r>
      <w:r w:rsidRPr="000C0842">
        <w:rPr>
          <w:rFonts w:eastAsia="SimSun"/>
          <w:sz w:val="24"/>
          <w:szCs w:val="24"/>
        </w:rPr>
        <w:t>审议了第一工作组主席提交的</w:t>
      </w:r>
      <w:r w:rsidRPr="000C0842">
        <w:rPr>
          <w:rFonts w:eastAsia="SimSun"/>
          <w:sz w:val="24"/>
          <w:szCs w:val="24"/>
        </w:rPr>
        <w:t>CBD/COP/16/L.7</w:t>
      </w:r>
      <w:r w:rsidRPr="000C0842">
        <w:rPr>
          <w:rFonts w:eastAsia="SimSun"/>
          <w:sz w:val="24"/>
          <w:szCs w:val="24"/>
        </w:rPr>
        <w:t>号决定草案。</w:t>
      </w:r>
    </w:p>
    <w:p w14:paraId="727CB5DD" w14:textId="3A885DB3" w:rsidR="00892E4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下列缔约方</w:t>
      </w:r>
      <w:r w:rsidR="001902BF" w:rsidRPr="000C0842">
        <w:rPr>
          <w:rFonts w:eastAsia="SimSun"/>
          <w:sz w:val="24"/>
          <w:szCs w:val="24"/>
        </w:rPr>
        <w:t>的代表发了言：巴西、加拿大、智利、哥伦比亚、埃及、欧洲联盟及其成员国、斐济、危地马拉、墨西哥、挪威、巴拿马、南非、多哥、联合王国、乌拉圭</w:t>
      </w:r>
      <w:r w:rsidR="00892E41" w:rsidRPr="000C0842">
        <w:rPr>
          <w:rFonts w:eastAsia="SimSun"/>
          <w:sz w:val="24"/>
          <w:szCs w:val="24"/>
        </w:rPr>
        <w:t>。</w:t>
      </w:r>
    </w:p>
    <w:p w14:paraId="40B6D2B8" w14:textId="3871D449"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缔约方大会</w:t>
      </w:r>
      <w:r w:rsidR="0053283D" w:rsidRPr="000C0842">
        <w:rPr>
          <w:rFonts w:eastAsia="SimSun"/>
          <w:sz w:val="24"/>
          <w:szCs w:val="24"/>
        </w:rPr>
        <w:t>第</w:t>
      </w:r>
      <w:r w:rsidR="0053283D" w:rsidRPr="000C0842">
        <w:rPr>
          <w:rFonts w:eastAsia="SimSun"/>
          <w:sz w:val="24"/>
          <w:szCs w:val="24"/>
        </w:rPr>
        <w:t>5</w:t>
      </w:r>
      <w:r w:rsidR="0053283D" w:rsidRPr="000C0842">
        <w:rPr>
          <w:rFonts w:eastAsia="SimSun"/>
          <w:sz w:val="24"/>
          <w:szCs w:val="24"/>
        </w:rPr>
        <w:t>场全体会议</w:t>
      </w:r>
      <w:r w:rsidRPr="000C0842">
        <w:rPr>
          <w:rFonts w:eastAsia="SimSun"/>
          <w:sz w:val="24"/>
          <w:szCs w:val="24"/>
        </w:rPr>
        <w:t>继续审议决定草案。</w:t>
      </w:r>
    </w:p>
    <w:p w14:paraId="63754BDC" w14:textId="7DB1947B"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lang w:val="en-GB"/>
        </w:rPr>
      </w:pPr>
      <w:r w:rsidRPr="000C0842">
        <w:rPr>
          <w:rFonts w:eastAsia="SimSun"/>
          <w:spacing w:val="4"/>
          <w:sz w:val="24"/>
          <w:szCs w:val="24"/>
        </w:rPr>
        <w:t>缔约方大会通过了</w:t>
      </w:r>
      <w:r w:rsidR="00386F09" w:rsidRPr="000C0842">
        <w:rPr>
          <w:rFonts w:eastAsia="SimSun" w:hint="eastAsia"/>
          <w:spacing w:val="4"/>
          <w:sz w:val="24"/>
          <w:szCs w:val="24"/>
        </w:rPr>
        <w:t>经</w:t>
      </w:r>
      <w:r w:rsidRPr="000C0842">
        <w:rPr>
          <w:rFonts w:eastAsia="SimSun"/>
          <w:spacing w:val="4"/>
          <w:sz w:val="24"/>
          <w:szCs w:val="24"/>
        </w:rPr>
        <w:t>第</w:t>
      </w:r>
      <w:r w:rsidRPr="000C0842">
        <w:rPr>
          <w:rFonts w:eastAsia="SimSun"/>
          <w:spacing w:val="4"/>
          <w:sz w:val="24"/>
          <w:szCs w:val="24"/>
        </w:rPr>
        <w:t>3</w:t>
      </w:r>
      <w:r w:rsidRPr="000C0842">
        <w:rPr>
          <w:rFonts w:eastAsia="SimSun"/>
          <w:spacing w:val="4"/>
          <w:sz w:val="24"/>
          <w:szCs w:val="24"/>
        </w:rPr>
        <w:t>场全体会议口头修正的决定草案，</w:t>
      </w:r>
      <w:r w:rsidR="00386F09" w:rsidRPr="000C0842">
        <w:rPr>
          <w:rFonts w:eastAsia="SimSun" w:hint="eastAsia"/>
          <w:spacing w:val="4"/>
          <w:sz w:val="24"/>
          <w:szCs w:val="24"/>
        </w:rPr>
        <w:t>决定草案</w:t>
      </w:r>
      <w:r w:rsidRPr="000C0842">
        <w:rPr>
          <w:rFonts w:eastAsia="SimSun"/>
          <w:spacing w:val="4"/>
          <w:sz w:val="24"/>
          <w:szCs w:val="24"/>
        </w:rPr>
        <w:t>成为第</w:t>
      </w:r>
      <w:hyperlink r:id="rId405" w:history="1">
        <w:r w:rsidRPr="000C0842">
          <w:rPr>
            <w:rStyle w:val="Hyperlink"/>
            <w:rFonts w:eastAsia="SimSun"/>
            <w:color w:val="auto"/>
            <w:spacing w:val="4"/>
            <w:sz w:val="24"/>
            <w:szCs w:val="24"/>
          </w:rPr>
          <w:t>16/6</w:t>
        </w:r>
      </w:hyperlink>
      <w:r w:rsidRPr="000C0842">
        <w:rPr>
          <w:rFonts w:eastAsia="SimSun"/>
          <w:spacing w:val="4"/>
          <w:sz w:val="24"/>
          <w:szCs w:val="24"/>
        </w:rPr>
        <w:t>号决定。</w:t>
      </w:r>
    </w:p>
    <w:p w14:paraId="4D2DC6DD" w14:textId="209A3177" w:rsidR="001902BF"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决定通过后，巴西和哥伦比亚</w:t>
      </w:r>
      <w:r w:rsidR="00386F09" w:rsidRPr="000C0842">
        <w:rPr>
          <w:rFonts w:eastAsia="SimSun" w:hint="eastAsia"/>
          <w:sz w:val="24"/>
          <w:szCs w:val="24"/>
        </w:rPr>
        <w:t>的</w:t>
      </w:r>
      <w:r w:rsidRPr="000C0842">
        <w:rPr>
          <w:rFonts w:eastAsia="SimSun"/>
          <w:sz w:val="24"/>
          <w:szCs w:val="24"/>
        </w:rPr>
        <w:t>代表发了言。</w:t>
      </w:r>
    </w:p>
    <w:p w14:paraId="687D2B0E" w14:textId="65795677" w:rsidR="00892E41" w:rsidRPr="000C0842" w:rsidRDefault="00892E41" w:rsidP="00172FF3">
      <w:pPr>
        <w:tabs>
          <w:tab w:val="clear" w:pos="567"/>
          <w:tab w:val="clear" w:pos="1134"/>
          <w:tab w:val="clear" w:pos="1701"/>
          <w:tab w:val="clear" w:pos="2268"/>
          <w:tab w:val="left" w:pos="1080"/>
        </w:tabs>
        <w:spacing w:before="120" w:after="120"/>
        <w:ind w:left="490"/>
        <w:rPr>
          <w:rFonts w:eastAsia="KaiTi"/>
          <w:sz w:val="24"/>
          <w:szCs w:val="24"/>
        </w:rPr>
      </w:pPr>
      <w:r w:rsidRPr="000C0842">
        <w:rPr>
          <w:rFonts w:eastAsia="KaiTi"/>
          <w:iCs/>
          <w:sz w:val="24"/>
          <w:szCs w:val="24"/>
        </w:rPr>
        <w:t>土著问题常设论坛的建议</w:t>
      </w:r>
    </w:p>
    <w:p w14:paraId="24E996DF" w14:textId="3BAFC322"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第一工作组商定由主席与缔约方进行非正式磋商，</w:t>
      </w:r>
      <w:r w:rsidR="00AC5726" w:rsidRPr="000C0842">
        <w:rPr>
          <w:rFonts w:eastAsia="SimSun" w:hint="eastAsia"/>
          <w:sz w:val="24"/>
          <w:szCs w:val="24"/>
        </w:rPr>
        <w:t>拟定</w:t>
      </w:r>
      <w:r w:rsidRPr="000C0842">
        <w:rPr>
          <w:rFonts w:eastAsia="SimSun"/>
          <w:sz w:val="24"/>
          <w:szCs w:val="24"/>
        </w:rPr>
        <w:t>一份决定草案</w:t>
      </w:r>
      <w:r w:rsidR="00AC5726" w:rsidRPr="000C0842">
        <w:rPr>
          <w:rFonts w:eastAsia="SimSun" w:hint="eastAsia"/>
          <w:sz w:val="24"/>
          <w:szCs w:val="24"/>
        </w:rPr>
        <w:t>，供</w:t>
      </w:r>
      <w:r w:rsidRPr="000C0842">
        <w:rPr>
          <w:rFonts w:eastAsia="SimSun"/>
          <w:sz w:val="24"/>
          <w:szCs w:val="24"/>
        </w:rPr>
        <w:t>稍后一次会议审议。</w:t>
      </w:r>
    </w:p>
    <w:p w14:paraId="304DBA3C" w14:textId="60DDC8D0"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53283D" w:rsidRPr="000C0842">
        <w:rPr>
          <w:rFonts w:eastAsia="SimSun"/>
          <w:sz w:val="24"/>
          <w:szCs w:val="24"/>
        </w:rPr>
        <w:t>5</w:t>
      </w:r>
      <w:r w:rsidR="0053283D" w:rsidRPr="000C0842">
        <w:rPr>
          <w:rFonts w:eastAsia="SimSun"/>
          <w:sz w:val="24"/>
          <w:szCs w:val="24"/>
        </w:rPr>
        <w:t>场</w:t>
      </w:r>
      <w:r w:rsidRPr="000C0842">
        <w:rPr>
          <w:rFonts w:eastAsia="SimSun"/>
          <w:sz w:val="24"/>
          <w:szCs w:val="24"/>
        </w:rPr>
        <w:t>会议审议了主席提交的决定草案</w:t>
      </w:r>
      <w:r w:rsidR="008E2E3C" w:rsidRPr="000C0842">
        <w:rPr>
          <w:rFonts w:eastAsia="SimSun" w:hint="eastAsia"/>
          <w:sz w:val="24"/>
          <w:szCs w:val="24"/>
        </w:rPr>
        <w:t>，决定草案与</w:t>
      </w:r>
      <w:hyperlink r:id="rId406" w:history="1">
        <w:r w:rsidR="008E2E3C" w:rsidRPr="000C0842">
          <w:rPr>
            <w:rStyle w:val="Hyperlink"/>
            <w:color w:val="auto"/>
            <w:sz w:val="24"/>
            <w:szCs w:val="24"/>
          </w:rPr>
          <w:t>CBD/COP/16/2/Rev.1</w:t>
        </w:r>
      </w:hyperlink>
      <w:r w:rsidR="008E2E3C" w:rsidRPr="000C0842">
        <w:rPr>
          <w:rFonts w:eastAsia="SimSun" w:hint="eastAsia"/>
          <w:sz w:val="24"/>
          <w:szCs w:val="24"/>
        </w:rPr>
        <w:t>号文件所载决定草案相同</w:t>
      </w:r>
      <w:r w:rsidRPr="000C0842">
        <w:rPr>
          <w:rFonts w:eastAsia="SimSun"/>
          <w:sz w:val="24"/>
          <w:szCs w:val="24"/>
        </w:rPr>
        <w:t>。</w:t>
      </w:r>
    </w:p>
    <w:p w14:paraId="30EE65BE" w14:textId="615811A1" w:rsidR="00892E4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892E41" w:rsidRPr="000C0842">
        <w:rPr>
          <w:rFonts w:eastAsia="SimSun"/>
          <w:sz w:val="24"/>
          <w:szCs w:val="24"/>
        </w:rPr>
        <w:t>的代表</w:t>
      </w:r>
      <w:r w:rsidR="001C1443" w:rsidRPr="000C0842">
        <w:rPr>
          <w:rFonts w:eastAsia="SimSun"/>
          <w:sz w:val="24"/>
          <w:szCs w:val="24"/>
        </w:rPr>
        <w:t>发了言</w:t>
      </w:r>
      <w:r w:rsidR="00892E41" w:rsidRPr="000C0842">
        <w:rPr>
          <w:rFonts w:eastAsia="SimSun"/>
          <w:sz w:val="24"/>
          <w:szCs w:val="24"/>
        </w:rPr>
        <w:t>：阿尔及利亚、巴西、布基纳法索、加拿大、哥伦比亚、刚果民主共和国（代表非洲国家）、欧洲联盟及其成员国、加蓬、危地马拉、印度、挪威、巴拿马、俄罗斯联邦、南非</w:t>
      </w:r>
      <w:r w:rsidR="002A5D1C" w:rsidRPr="000C0842">
        <w:rPr>
          <w:rFonts w:eastAsia="SimSun" w:hint="eastAsia"/>
          <w:sz w:val="24"/>
          <w:szCs w:val="24"/>
        </w:rPr>
        <w:t>、</w:t>
      </w:r>
      <w:r w:rsidR="00892E41" w:rsidRPr="000C0842">
        <w:rPr>
          <w:rFonts w:eastAsia="SimSun"/>
          <w:sz w:val="24"/>
          <w:szCs w:val="24"/>
        </w:rPr>
        <w:t>多哥。</w:t>
      </w:r>
    </w:p>
    <w:p w14:paraId="03E68BA7" w14:textId="331B43F3"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第一工作组核准了决定草案，将其作为</w:t>
      </w:r>
      <w:r w:rsidRPr="000C0842">
        <w:rPr>
          <w:rFonts w:eastAsia="SimSun"/>
          <w:sz w:val="24"/>
          <w:szCs w:val="24"/>
        </w:rPr>
        <w:t>CBD/COP/16/L.15</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206983A4" w14:textId="44FE5B8F"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093F46" w:rsidRPr="000C0842">
        <w:rPr>
          <w:rFonts w:eastAsia="SimSun"/>
          <w:sz w:val="24"/>
          <w:szCs w:val="24"/>
        </w:rPr>
        <w:t>第</w:t>
      </w:r>
      <w:r w:rsidR="00093F46" w:rsidRPr="000C0842">
        <w:rPr>
          <w:rFonts w:eastAsia="SimSun"/>
          <w:sz w:val="24"/>
          <w:szCs w:val="24"/>
        </w:rPr>
        <w:t>5</w:t>
      </w:r>
      <w:r w:rsidR="00093F46" w:rsidRPr="000C0842">
        <w:rPr>
          <w:rFonts w:eastAsia="SimSun"/>
          <w:sz w:val="24"/>
          <w:szCs w:val="24"/>
        </w:rPr>
        <w:t>场全体会议</w:t>
      </w:r>
      <w:r w:rsidRPr="000C0842">
        <w:rPr>
          <w:rFonts w:eastAsia="SimSun"/>
          <w:sz w:val="24"/>
          <w:szCs w:val="24"/>
        </w:rPr>
        <w:t>审议了第一工作组主席提交的</w:t>
      </w:r>
      <w:r w:rsidRPr="000C0842">
        <w:rPr>
          <w:rFonts w:eastAsia="SimSun"/>
          <w:sz w:val="24"/>
          <w:szCs w:val="24"/>
        </w:rPr>
        <w:t>CBD/COP/16/L.15</w:t>
      </w:r>
      <w:r w:rsidRPr="000C0842">
        <w:rPr>
          <w:rFonts w:eastAsia="SimSun"/>
          <w:sz w:val="24"/>
          <w:szCs w:val="24"/>
        </w:rPr>
        <w:t>号决定草案。</w:t>
      </w:r>
    </w:p>
    <w:p w14:paraId="434371A2" w14:textId="49331DA6"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w:t>
      </w:r>
      <w:r w:rsidR="00E459D5" w:rsidRPr="000C0842">
        <w:rPr>
          <w:rFonts w:eastAsia="SimSun"/>
          <w:sz w:val="24"/>
          <w:szCs w:val="24"/>
        </w:rPr>
        <w:t>发了言</w:t>
      </w:r>
      <w:r w:rsidR="00967832" w:rsidRPr="000C0842">
        <w:rPr>
          <w:rFonts w:eastAsia="SimSun"/>
          <w:sz w:val="24"/>
          <w:szCs w:val="24"/>
        </w:rPr>
        <w:t>：</w:t>
      </w:r>
      <w:r w:rsidRPr="000C0842">
        <w:rPr>
          <w:rFonts w:eastAsia="SimSun"/>
          <w:sz w:val="24"/>
          <w:szCs w:val="24"/>
        </w:rPr>
        <w:t>加拿大、中非共和国、刚果民主共和国、印度</w:t>
      </w:r>
      <w:r w:rsidR="00EB234D" w:rsidRPr="000C0842">
        <w:rPr>
          <w:rFonts w:eastAsia="SimSun" w:hint="eastAsia"/>
          <w:sz w:val="24"/>
          <w:szCs w:val="24"/>
        </w:rPr>
        <w:t>、</w:t>
      </w:r>
      <w:r w:rsidRPr="000C0842">
        <w:rPr>
          <w:rFonts w:eastAsia="SimSun"/>
          <w:sz w:val="24"/>
          <w:szCs w:val="24"/>
        </w:rPr>
        <w:t>多哥。</w:t>
      </w:r>
      <w:r w:rsidR="00EB234D" w:rsidRPr="000C0842">
        <w:rPr>
          <w:rFonts w:eastAsia="SimSun" w:hint="eastAsia"/>
          <w:sz w:val="24"/>
          <w:szCs w:val="24"/>
        </w:rPr>
        <w:t xml:space="preserve"> </w:t>
      </w:r>
    </w:p>
    <w:p w14:paraId="44C1EA9D" w14:textId="0AAF9FE6" w:rsidR="00892E41" w:rsidRPr="000C0842"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00080C" w:rsidRPr="000C0842">
        <w:rPr>
          <w:rFonts w:eastAsia="SimSun" w:hint="eastAsia"/>
          <w:sz w:val="24"/>
          <w:szCs w:val="24"/>
        </w:rPr>
        <w:t>决定草案</w:t>
      </w:r>
      <w:r w:rsidRPr="000C0842">
        <w:rPr>
          <w:rFonts w:eastAsia="SimSun"/>
          <w:sz w:val="24"/>
          <w:szCs w:val="24"/>
        </w:rPr>
        <w:t>成为第</w:t>
      </w:r>
      <w:hyperlink r:id="rId407" w:history="1">
        <w:r w:rsidRPr="000C0842">
          <w:rPr>
            <w:rStyle w:val="Hyperlink"/>
            <w:rFonts w:eastAsia="SimSun"/>
            <w:color w:val="auto"/>
            <w:sz w:val="24"/>
            <w:szCs w:val="24"/>
          </w:rPr>
          <w:t>16/8</w:t>
        </w:r>
      </w:hyperlink>
      <w:r w:rsidRPr="000C0842">
        <w:rPr>
          <w:rFonts w:eastAsia="SimSun"/>
          <w:sz w:val="24"/>
          <w:szCs w:val="24"/>
        </w:rPr>
        <w:t>号决定。</w:t>
      </w:r>
    </w:p>
    <w:p w14:paraId="4082102F" w14:textId="6D0B50B7" w:rsidR="00995991" w:rsidRPr="000C0842" w:rsidRDefault="00995991" w:rsidP="0000080C">
      <w:pPr>
        <w:pStyle w:val="a1"/>
        <w:keepNext/>
        <w:ind w:left="0" w:right="0"/>
        <w:rPr>
          <w:rFonts w:hint="eastAsia"/>
          <w:b w:val="0"/>
          <w:lang w:eastAsia="zh-CN"/>
        </w:rPr>
      </w:pPr>
      <w:bookmarkStart w:id="163" w:name="_Toc206358251"/>
      <w:r w:rsidRPr="000C0842">
        <w:rPr>
          <w:lang w:eastAsia="zh-CN"/>
        </w:rPr>
        <w:t>项目</w:t>
      </w:r>
      <w:r w:rsidRPr="000C0842">
        <w:rPr>
          <w:lang w:eastAsia="zh-CN"/>
        </w:rPr>
        <w:t>15</w:t>
      </w:r>
      <w:r w:rsidRPr="000C0842">
        <w:rPr>
          <w:lang w:eastAsia="zh-CN"/>
        </w:rPr>
        <w:br/>
      </w:r>
      <w:r w:rsidRPr="000C0842">
        <w:rPr>
          <w:lang w:eastAsia="zh-CN"/>
        </w:rPr>
        <w:t>传播、教育和公众意识</w:t>
      </w:r>
      <w:bookmarkEnd w:id="163"/>
    </w:p>
    <w:p w14:paraId="58B3A2C8" w14:textId="53900F91" w:rsidR="00995991" w:rsidRPr="000C0842"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093F46" w:rsidRPr="000C0842">
        <w:rPr>
          <w:rFonts w:eastAsia="SimSun"/>
          <w:sz w:val="24"/>
          <w:szCs w:val="24"/>
        </w:rPr>
        <w:t>3</w:t>
      </w:r>
      <w:r w:rsidR="00093F46"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15</w:t>
      </w:r>
      <w:r w:rsidRPr="000C0842">
        <w:rPr>
          <w:rFonts w:eastAsia="SimSun"/>
          <w:sz w:val="24"/>
          <w:szCs w:val="24"/>
        </w:rPr>
        <w:t>。第一工作组收到一项决定草案</w:t>
      </w:r>
      <w:r w:rsidR="008C6BE9" w:rsidRPr="000C0842">
        <w:rPr>
          <w:rStyle w:val="FootnoteReference"/>
          <w:sz w:val="24"/>
          <w:szCs w:val="24"/>
        </w:rPr>
        <w:footnoteReference w:id="592"/>
      </w:r>
      <w:r w:rsidR="009A7356" w:rsidRPr="000C0842">
        <w:rPr>
          <w:rFonts w:eastAsia="SimSun" w:hint="eastAsia"/>
          <w:sz w:val="24"/>
          <w:szCs w:val="24"/>
        </w:rPr>
        <w:t>。</w:t>
      </w:r>
    </w:p>
    <w:p w14:paraId="7E78A5F9" w14:textId="5E149D74" w:rsidR="00995991" w:rsidRPr="000C0842"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第一工作组商定在</w:t>
      </w:r>
      <w:r w:rsidR="00835C19" w:rsidRPr="000C0842">
        <w:rPr>
          <w:rFonts w:eastAsia="SimSun"/>
          <w:sz w:val="24"/>
          <w:szCs w:val="24"/>
        </w:rPr>
        <w:t>稍后一次</w:t>
      </w:r>
      <w:r w:rsidRPr="000C0842">
        <w:rPr>
          <w:rFonts w:eastAsia="SimSun"/>
          <w:sz w:val="24"/>
          <w:szCs w:val="24"/>
        </w:rPr>
        <w:t>会议审议该决定草案，包括其附件。</w:t>
      </w:r>
    </w:p>
    <w:p w14:paraId="7584410F" w14:textId="156F8598" w:rsidR="00995991" w:rsidRPr="000C0842"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w:t>
      </w:r>
      <w:r w:rsidR="00835C19" w:rsidRPr="000C0842">
        <w:rPr>
          <w:rFonts w:eastAsia="SimSun"/>
          <w:sz w:val="24"/>
          <w:szCs w:val="24"/>
        </w:rPr>
        <w:t>第</w:t>
      </w:r>
      <w:r w:rsidR="00C9367D" w:rsidRPr="000C0842">
        <w:rPr>
          <w:rFonts w:eastAsia="SimSun"/>
          <w:sz w:val="24"/>
          <w:szCs w:val="24"/>
        </w:rPr>
        <w:t>6</w:t>
      </w:r>
      <w:r w:rsidR="00C9367D" w:rsidRPr="000C0842">
        <w:rPr>
          <w:rFonts w:eastAsia="SimSun"/>
          <w:sz w:val="24"/>
          <w:szCs w:val="24"/>
        </w:rPr>
        <w:t>场</w:t>
      </w:r>
      <w:r w:rsidR="00835C19" w:rsidRPr="000C0842">
        <w:rPr>
          <w:rFonts w:eastAsia="SimSun"/>
          <w:sz w:val="24"/>
          <w:szCs w:val="24"/>
        </w:rPr>
        <w:t>会议</w:t>
      </w:r>
      <w:r w:rsidRPr="000C0842">
        <w:rPr>
          <w:rFonts w:eastAsia="SimSun"/>
          <w:sz w:val="24"/>
          <w:szCs w:val="24"/>
        </w:rPr>
        <w:t>审议了主席提交的决定草案</w:t>
      </w:r>
      <w:r w:rsidR="00835C19" w:rsidRPr="000C0842">
        <w:rPr>
          <w:rFonts w:eastAsia="SimSun"/>
          <w:sz w:val="24"/>
          <w:szCs w:val="24"/>
        </w:rPr>
        <w:t>，</w:t>
      </w:r>
      <w:r w:rsidR="00061190" w:rsidRPr="000C0842">
        <w:rPr>
          <w:rFonts w:eastAsia="SimSun"/>
          <w:sz w:val="24"/>
          <w:szCs w:val="24"/>
        </w:rPr>
        <w:t>决定草案</w:t>
      </w:r>
      <w:r w:rsidR="00835C19" w:rsidRPr="000C0842">
        <w:rPr>
          <w:rFonts w:eastAsia="SimSun"/>
          <w:sz w:val="24"/>
          <w:szCs w:val="24"/>
        </w:rPr>
        <w:t>与</w:t>
      </w:r>
      <w:hyperlink r:id="rId408" w:history="1">
        <w:r w:rsidR="00835C19" w:rsidRPr="000C0842">
          <w:rPr>
            <w:rStyle w:val="Hyperlink"/>
            <w:color w:val="auto"/>
            <w:sz w:val="24"/>
            <w:szCs w:val="24"/>
          </w:rPr>
          <w:t>CBD/COP/16/2/Rev.1</w:t>
        </w:r>
      </w:hyperlink>
      <w:r w:rsidR="00835C19" w:rsidRPr="000C0842">
        <w:rPr>
          <w:rFonts w:eastAsia="SimSun"/>
          <w:sz w:val="24"/>
          <w:szCs w:val="24"/>
        </w:rPr>
        <w:t>号文件所载决定草案相同</w:t>
      </w:r>
      <w:r w:rsidRPr="000C0842">
        <w:rPr>
          <w:rFonts w:eastAsia="SimSun"/>
          <w:sz w:val="24"/>
          <w:szCs w:val="24"/>
        </w:rPr>
        <w:t>。</w:t>
      </w:r>
    </w:p>
    <w:p w14:paraId="6DC0C32C" w14:textId="17D7C1DC" w:rsidR="0099599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995991" w:rsidRPr="000C0842">
        <w:rPr>
          <w:rFonts w:eastAsia="SimSun"/>
          <w:sz w:val="24"/>
          <w:szCs w:val="24"/>
        </w:rPr>
        <w:t>的代表发</w:t>
      </w:r>
      <w:r w:rsidR="00AB412F" w:rsidRPr="000C0842">
        <w:rPr>
          <w:rFonts w:eastAsia="SimSun"/>
          <w:sz w:val="24"/>
          <w:szCs w:val="24"/>
        </w:rPr>
        <w:t>了</w:t>
      </w:r>
      <w:r w:rsidR="00995991" w:rsidRPr="000C0842">
        <w:rPr>
          <w:rFonts w:eastAsia="SimSun"/>
          <w:sz w:val="24"/>
          <w:szCs w:val="24"/>
        </w:rPr>
        <w:t>言</w:t>
      </w:r>
      <w:r w:rsidR="00967832" w:rsidRPr="000C0842">
        <w:rPr>
          <w:rFonts w:eastAsia="SimSun"/>
          <w:sz w:val="24"/>
          <w:szCs w:val="24"/>
        </w:rPr>
        <w:t>：</w:t>
      </w:r>
      <w:r w:rsidR="00995991" w:rsidRPr="000C0842">
        <w:rPr>
          <w:rFonts w:eastAsia="SimSun"/>
          <w:sz w:val="24"/>
          <w:szCs w:val="24"/>
        </w:rPr>
        <w:t>阿根廷、巴西、布基纳法索、加拿大、智利、哥伦比亚、科特迪瓦、欧洲联盟及其成员国、斐济、以色列、墨西哥、挪威、秘鲁、多哥</w:t>
      </w:r>
      <w:r w:rsidR="002A5D1C" w:rsidRPr="000C0842">
        <w:rPr>
          <w:rFonts w:eastAsia="SimSun" w:hint="eastAsia"/>
          <w:sz w:val="24"/>
          <w:szCs w:val="24"/>
        </w:rPr>
        <w:t>、</w:t>
      </w:r>
      <w:r w:rsidR="00995991" w:rsidRPr="000C0842">
        <w:rPr>
          <w:rFonts w:eastAsia="SimSun"/>
          <w:sz w:val="24"/>
          <w:szCs w:val="24"/>
        </w:rPr>
        <w:t>联合王国。</w:t>
      </w:r>
    </w:p>
    <w:p w14:paraId="5A0F8A98" w14:textId="1F1B0C0D" w:rsidR="00892E41" w:rsidRPr="000C0842"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bookmarkStart w:id="164" w:name="_Hlk189063051"/>
      <w:r w:rsidRPr="000C0842">
        <w:rPr>
          <w:rFonts w:eastAsia="SimSun"/>
          <w:sz w:val="24"/>
          <w:szCs w:val="24"/>
        </w:rPr>
        <w:t>第一工作组核准了经口头修正的订正决定草案，将其作为</w:t>
      </w:r>
      <w:r w:rsidRPr="000C0842">
        <w:rPr>
          <w:rFonts w:eastAsia="SimSun"/>
          <w:sz w:val="24"/>
          <w:szCs w:val="24"/>
        </w:rPr>
        <w:t>CBD/COP/16/L.29</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21B09479" w14:textId="6EC04017" w:rsidR="00AB412F" w:rsidRPr="000C0842"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缔约方大会第</w:t>
      </w:r>
      <w:r w:rsidR="00093F46" w:rsidRPr="000C0842">
        <w:rPr>
          <w:rFonts w:eastAsia="SimSun"/>
          <w:sz w:val="24"/>
          <w:szCs w:val="24"/>
        </w:rPr>
        <w:t>5</w:t>
      </w:r>
      <w:r w:rsidR="00093F46" w:rsidRPr="000C0842">
        <w:rPr>
          <w:rFonts w:eastAsia="SimSun"/>
          <w:sz w:val="24"/>
          <w:szCs w:val="24"/>
        </w:rPr>
        <w:t>场全体会议</w:t>
      </w:r>
      <w:r w:rsidR="00AB412F" w:rsidRPr="000C0842">
        <w:rPr>
          <w:rFonts w:eastAsia="SimSun"/>
          <w:sz w:val="24"/>
          <w:szCs w:val="24"/>
        </w:rPr>
        <w:t>审议了第一工作组主席提交的</w:t>
      </w:r>
      <w:r w:rsidR="00AB412F" w:rsidRPr="000C0842">
        <w:rPr>
          <w:rFonts w:eastAsia="SimSun"/>
          <w:sz w:val="24"/>
          <w:szCs w:val="24"/>
        </w:rPr>
        <w:t>CBD/COP/16/L.29</w:t>
      </w:r>
      <w:r w:rsidR="00AB412F" w:rsidRPr="000C0842">
        <w:rPr>
          <w:rFonts w:eastAsia="SimSun"/>
          <w:sz w:val="24"/>
          <w:szCs w:val="24"/>
        </w:rPr>
        <w:t>号决定草案。</w:t>
      </w:r>
      <w:bookmarkEnd w:id="164"/>
    </w:p>
    <w:p w14:paraId="2D68B331" w14:textId="31F30205" w:rsidR="00AB412F" w:rsidRPr="000C0842" w:rsidRDefault="00AB41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lang w:val="en-GB"/>
        </w:rPr>
      </w:pPr>
      <w:r w:rsidRPr="000C0842">
        <w:rPr>
          <w:rFonts w:eastAsia="SimSun"/>
          <w:spacing w:val="4"/>
          <w:sz w:val="24"/>
          <w:szCs w:val="24"/>
        </w:rPr>
        <w:t>下列缔约方的代表</w:t>
      </w:r>
      <w:r w:rsidR="00E459D5" w:rsidRPr="000C0842">
        <w:rPr>
          <w:rFonts w:eastAsia="SimSun"/>
          <w:spacing w:val="4"/>
          <w:sz w:val="24"/>
          <w:szCs w:val="24"/>
        </w:rPr>
        <w:t>发了言</w:t>
      </w:r>
      <w:r w:rsidR="00967832" w:rsidRPr="000C0842">
        <w:rPr>
          <w:rFonts w:eastAsia="SimSun"/>
          <w:spacing w:val="4"/>
          <w:sz w:val="24"/>
          <w:szCs w:val="24"/>
        </w:rPr>
        <w:t>：</w:t>
      </w:r>
      <w:r w:rsidRPr="000C0842">
        <w:rPr>
          <w:rFonts w:eastAsia="SimSun"/>
          <w:spacing w:val="4"/>
          <w:sz w:val="24"/>
          <w:szCs w:val="24"/>
        </w:rPr>
        <w:t>阿根廷、欧洲联盟及其成员国、挪威、秘鲁</w:t>
      </w:r>
      <w:r w:rsidR="002A5D1C" w:rsidRPr="000C0842">
        <w:rPr>
          <w:rFonts w:eastAsia="SimSun" w:hint="eastAsia"/>
          <w:spacing w:val="4"/>
          <w:sz w:val="24"/>
          <w:szCs w:val="24"/>
        </w:rPr>
        <w:t>、</w:t>
      </w:r>
      <w:r w:rsidRPr="000C0842">
        <w:rPr>
          <w:rFonts w:eastAsia="SimSun"/>
          <w:spacing w:val="4"/>
          <w:sz w:val="24"/>
          <w:szCs w:val="24"/>
        </w:rPr>
        <w:t>赞比亚。</w:t>
      </w:r>
    </w:p>
    <w:p w14:paraId="585DDCD8" w14:textId="21B60884" w:rsidR="00AB412F" w:rsidRPr="000C0842" w:rsidRDefault="00AB41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缔约方大会通过了经口头修正的决定草案，</w:t>
      </w:r>
      <w:r w:rsidR="0000080C" w:rsidRPr="000C0842">
        <w:rPr>
          <w:rFonts w:eastAsia="SimSun" w:hint="eastAsia"/>
          <w:sz w:val="24"/>
          <w:szCs w:val="24"/>
        </w:rPr>
        <w:t>决定草案</w:t>
      </w:r>
      <w:r w:rsidRPr="000C0842">
        <w:rPr>
          <w:rFonts w:eastAsia="SimSun"/>
          <w:sz w:val="24"/>
          <w:szCs w:val="24"/>
        </w:rPr>
        <w:t>成为第</w:t>
      </w:r>
      <w:hyperlink r:id="rId409" w:history="1">
        <w:r w:rsidRPr="000C0842">
          <w:rPr>
            <w:rStyle w:val="Hyperlink"/>
            <w:rFonts w:eastAsia="SimSun"/>
            <w:color w:val="auto"/>
            <w:sz w:val="24"/>
            <w:szCs w:val="24"/>
          </w:rPr>
          <w:t>16/10</w:t>
        </w:r>
      </w:hyperlink>
      <w:r w:rsidRPr="000C0842">
        <w:rPr>
          <w:rFonts w:eastAsia="SimSun"/>
          <w:sz w:val="24"/>
          <w:szCs w:val="24"/>
        </w:rPr>
        <w:t>号决定。</w:t>
      </w:r>
    </w:p>
    <w:p w14:paraId="7DFD5825" w14:textId="1F23A57D" w:rsidR="00FD132F" w:rsidRPr="000C0842" w:rsidRDefault="00FD132F" w:rsidP="004E5EE5">
      <w:pPr>
        <w:pStyle w:val="a1"/>
        <w:ind w:left="0" w:right="0"/>
        <w:rPr>
          <w:rFonts w:hint="eastAsia"/>
          <w:lang w:eastAsia="zh-CN"/>
        </w:rPr>
      </w:pPr>
      <w:bookmarkStart w:id="165" w:name="_Toc206358252"/>
      <w:r w:rsidRPr="000C0842">
        <w:rPr>
          <w:lang w:eastAsia="zh-CN"/>
        </w:rPr>
        <w:t>项目</w:t>
      </w:r>
      <w:r w:rsidRPr="000C0842">
        <w:rPr>
          <w:lang w:eastAsia="zh-CN"/>
        </w:rPr>
        <w:t>16</w:t>
      </w:r>
      <w:r w:rsidRPr="000C0842">
        <w:rPr>
          <w:lang w:eastAsia="zh-CN"/>
        </w:rPr>
        <w:br/>
      </w:r>
      <w:r w:rsidRPr="000C0842">
        <w:rPr>
          <w:lang w:eastAsia="zh-CN"/>
        </w:rPr>
        <w:t>用于支持执行《昆明</w:t>
      </w:r>
      <w:r w:rsidRPr="000C0842">
        <w:rPr>
          <w:lang w:eastAsia="zh-CN"/>
        </w:rPr>
        <w:t>-</w:t>
      </w:r>
      <w:r w:rsidRPr="000C0842">
        <w:rPr>
          <w:lang w:eastAsia="zh-CN"/>
        </w:rPr>
        <w:t>蒙特利尔全球生物多样性框架》的科技需求，包括对《公约》各项工作方案的影响</w:t>
      </w:r>
      <w:bookmarkEnd w:id="165"/>
    </w:p>
    <w:p w14:paraId="7B2B8032" w14:textId="25C916F9"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2024</w:t>
      </w:r>
      <w:r w:rsidRPr="000C0842">
        <w:rPr>
          <w:rFonts w:eastAsia="SimSun"/>
          <w:sz w:val="24"/>
          <w:szCs w:val="24"/>
        </w:rPr>
        <w:t>年</w:t>
      </w:r>
      <w:r w:rsidRPr="000C0842">
        <w:rPr>
          <w:rFonts w:eastAsia="SimSun"/>
          <w:sz w:val="24"/>
          <w:szCs w:val="24"/>
        </w:rPr>
        <w:t>10</w:t>
      </w:r>
      <w:r w:rsidRPr="000C0842">
        <w:rPr>
          <w:rFonts w:eastAsia="SimSun"/>
          <w:sz w:val="24"/>
          <w:szCs w:val="24"/>
        </w:rPr>
        <w:t>月</w:t>
      </w:r>
      <w:r w:rsidRPr="000C0842">
        <w:rPr>
          <w:rFonts w:eastAsia="SimSun"/>
          <w:sz w:val="24"/>
          <w:szCs w:val="24"/>
        </w:rPr>
        <w:t>21</w:t>
      </w:r>
      <w:r w:rsidRPr="000C0842">
        <w:rPr>
          <w:rFonts w:eastAsia="SimSun"/>
          <w:sz w:val="24"/>
          <w:szCs w:val="24"/>
        </w:rPr>
        <w:t>日第二工作组第</w:t>
      </w:r>
      <w:r w:rsidR="00BD493D" w:rsidRPr="000C0842">
        <w:rPr>
          <w:rFonts w:eastAsia="SimSun"/>
          <w:sz w:val="24"/>
          <w:szCs w:val="24"/>
        </w:rPr>
        <w:t>1</w:t>
      </w:r>
      <w:r w:rsidR="00BD493D"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16</w:t>
      </w:r>
      <w:r w:rsidRPr="000C0842">
        <w:rPr>
          <w:rFonts w:eastAsia="SimSun"/>
          <w:sz w:val="24"/>
          <w:szCs w:val="24"/>
        </w:rPr>
        <w:t>。工作组收到两项决定草案，一项</w:t>
      </w:r>
      <w:r w:rsidR="0000080C" w:rsidRPr="000C0842">
        <w:rPr>
          <w:rFonts w:eastAsia="SimSun" w:hint="eastAsia"/>
          <w:sz w:val="24"/>
          <w:szCs w:val="24"/>
        </w:rPr>
        <w:t>涉及</w:t>
      </w:r>
      <w:r w:rsidRPr="000C0842">
        <w:rPr>
          <w:rFonts w:eastAsia="SimSun"/>
          <w:sz w:val="24"/>
          <w:szCs w:val="24"/>
        </w:rPr>
        <w:t>用于支持执行</w:t>
      </w:r>
      <w:r w:rsidR="0003491F" w:rsidRPr="000C0842">
        <w:rPr>
          <w:rFonts w:eastAsia="SimSun"/>
          <w:sz w:val="24"/>
          <w:szCs w:val="24"/>
        </w:rPr>
        <w:t>《昆蒙框架》</w:t>
      </w:r>
      <w:r w:rsidRPr="000C0842">
        <w:rPr>
          <w:rFonts w:eastAsia="SimSun"/>
          <w:sz w:val="24"/>
          <w:szCs w:val="24"/>
        </w:rPr>
        <w:t>的科技需求，另一项涉及与生物多样性和生态系统服务政府间科学与政策平台工作方案有关的事项</w:t>
      </w:r>
      <w:r w:rsidR="008C6BE9" w:rsidRPr="000C0842">
        <w:rPr>
          <w:rStyle w:val="FootnoteReference"/>
          <w:sz w:val="24"/>
          <w:szCs w:val="24"/>
        </w:rPr>
        <w:footnoteReference w:id="593"/>
      </w:r>
      <w:r w:rsidR="009A7356" w:rsidRPr="000C0842">
        <w:rPr>
          <w:rFonts w:eastAsia="SimSun" w:hint="eastAsia"/>
          <w:sz w:val="24"/>
          <w:szCs w:val="24"/>
        </w:rPr>
        <w:t>。</w:t>
      </w:r>
      <w:r w:rsidRPr="000C0842">
        <w:rPr>
          <w:rFonts w:eastAsia="SimSun"/>
          <w:sz w:val="24"/>
          <w:szCs w:val="24"/>
        </w:rPr>
        <w:t>还就项目</w:t>
      </w:r>
      <w:r w:rsidRPr="000C0842">
        <w:rPr>
          <w:rFonts w:eastAsia="SimSun"/>
          <w:sz w:val="24"/>
          <w:szCs w:val="24"/>
        </w:rPr>
        <w:t>16</w:t>
      </w:r>
      <w:r w:rsidRPr="000C0842">
        <w:rPr>
          <w:rFonts w:eastAsia="SimSun"/>
          <w:sz w:val="24"/>
          <w:szCs w:val="24"/>
        </w:rPr>
        <w:t>印发了一份关于平台工作最新信息</w:t>
      </w:r>
      <w:r w:rsidR="00DC5F9D" w:rsidRPr="000C0842">
        <w:rPr>
          <w:rFonts w:eastAsia="SimSun"/>
          <w:sz w:val="24"/>
          <w:szCs w:val="24"/>
        </w:rPr>
        <w:t>的资料文件</w:t>
      </w:r>
      <w:r w:rsidR="008C6BE9" w:rsidRPr="000C0842">
        <w:rPr>
          <w:sz w:val="24"/>
          <w:szCs w:val="24"/>
          <w:vertAlign w:val="superscript"/>
        </w:rPr>
        <w:footnoteReference w:id="594"/>
      </w:r>
      <w:r w:rsidR="005C4768" w:rsidRPr="000C0842">
        <w:rPr>
          <w:rFonts w:eastAsia="SimSun"/>
          <w:sz w:val="24"/>
          <w:szCs w:val="24"/>
        </w:rPr>
        <w:t>。</w:t>
      </w:r>
    </w:p>
    <w:p w14:paraId="4EE1E8A3" w14:textId="7ADBA4EE" w:rsidR="00FD132F" w:rsidRPr="000C0842" w:rsidRDefault="0000080C" w:rsidP="008803E7">
      <w:pPr>
        <w:keepNext/>
        <w:tabs>
          <w:tab w:val="clear" w:pos="567"/>
          <w:tab w:val="clear" w:pos="1134"/>
          <w:tab w:val="clear" w:pos="1701"/>
          <w:tab w:val="clear" w:pos="2268"/>
          <w:tab w:val="left" w:pos="1080"/>
        </w:tabs>
        <w:spacing w:after="120"/>
        <w:ind w:firstLine="450"/>
        <w:jc w:val="left"/>
        <w:rPr>
          <w:rFonts w:eastAsia="KaiTi"/>
          <w:sz w:val="24"/>
          <w:szCs w:val="24"/>
        </w:rPr>
      </w:pPr>
      <w:r w:rsidRPr="000C0842">
        <w:rPr>
          <w:rFonts w:eastAsia="KaiTi" w:hint="eastAsia"/>
          <w:sz w:val="24"/>
          <w:szCs w:val="24"/>
        </w:rPr>
        <w:t>用于</w:t>
      </w:r>
      <w:r w:rsidR="00FD132F" w:rsidRPr="000C0842">
        <w:rPr>
          <w:rFonts w:eastAsia="KaiTi"/>
          <w:sz w:val="24"/>
          <w:szCs w:val="24"/>
        </w:rPr>
        <w:t>支持执行《</w:t>
      </w:r>
      <w:r w:rsidR="00DC5F9D" w:rsidRPr="000C0842">
        <w:rPr>
          <w:rFonts w:eastAsia="KaiTi"/>
          <w:sz w:val="24"/>
          <w:szCs w:val="24"/>
        </w:rPr>
        <w:t>昆蒙</w:t>
      </w:r>
      <w:r w:rsidR="00FD132F" w:rsidRPr="000C0842">
        <w:rPr>
          <w:rFonts w:eastAsia="KaiTi"/>
          <w:sz w:val="24"/>
          <w:szCs w:val="24"/>
        </w:rPr>
        <w:t>框架》的科技需求</w:t>
      </w:r>
    </w:p>
    <w:p w14:paraId="4BA69366" w14:textId="223A679F"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第二工作组商定设立一个联络小组，由</w:t>
      </w:r>
      <w:r w:rsidRPr="000C0842">
        <w:rPr>
          <w:rFonts w:eastAsia="SimSun"/>
          <w:sz w:val="24"/>
          <w:szCs w:val="24"/>
        </w:rPr>
        <w:t>Senka Barudanović</w:t>
      </w:r>
      <w:r w:rsidRPr="000C0842">
        <w:rPr>
          <w:rFonts w:eastAsia="SimSun"/>
          <w:sz w:val="24"/>
          <w:szCs w:val="24"/>
        </w:rPr>
        <w:t>（波斯尼亚和黑塞哥维那）和</w:t>
      </w:r>
      <w:r w:rsidRPr="000C0842">
        <w:rPr>
          <w:rFonts w:eastAsia="SimSun"/>
          <w:sz w:val="24"/>
          <w:szCs w:val="24"/>
        </w:rPr>
        <w:t>Wataru Suzuki</w:t>
      </w:r>
      <w:r w:rsidRPr="000C0842">
        <w:rPr>
          <w:rFonts w:eastAsia="SimSun"/>
          <w:sz w:val="24"/>
          <w:szCs w:val="24"/>
        </w:rPr>
        <w:t>（日本）担任共同主席，负责处理关于用于支持执行</w:t>
      </w:r>
      <w:r w:rsidR="0003491F" w:rsidRPr="000C0842">
        <w:rPr>
          <w:rFonts w:eastAsia="SimSun"/>
          <w:sz w:val="24"/>
          <w:szCs w:val="24"/>
        </w:rPr>
        <w:t>《昆蒙框架》</w:t>
      </w:r>
      <w:r w:rsidRPr="000C0842">
        <w:rPr>
          <w:rFonts w:eastAsia="SimSun"/>
          <w:sz w:val="24"/>
          <w:szCs w:val="24"/>
        </w:rPr>
        <w:t>的科技需求的决定草案第</w:t>
      </w:r>
      <w:r w:rsidRPr="000C0842">
        <w:rPr>
          <w:rFonts w:eastAsia="SimSun"/>
          <w:sz w:val="24"/>
          <w:szCs w:val="24"/>
        </w:rPr>
        <w:t>1(a)</w:t>
      </w:r>
      <w:r w:rsidRPr="000C0842">
        <w:rPr>
          <w:rFonts w:eastAsia="SimSun"/>
          <w:sz w:val="24"/>
          <w:szCs w:val="24"/>
        </w:rPr>
        <w:t>、</w:t>
      </w:r>
      <w:r w:rsidRPr="000C0842">
        <w:rPr>
          <w:rFonts w:eastAsia="SimSun"/>
          <w:sz w:val="24"/>
          <w:szCs w:val="24"/>
        </w:rPr>
        <w:t>1(e)</w:t>
      </w:r>
      <w:r w:rsidRPr="000C0842">
        <w:rPr>
          <w:rFonts w:eastAsia="SimSun"/>
          <w:sz w:val="24"/>
          <w:szCs w:val="24"/>
        </w:rPr>
        <w:t>、</w:t>
      </w:r>
      <w:r w:rsidRPr="000C0842">
        <w:rPr>
          <w:rFonts w:eastAsia="SimSun"/>
          <w:sz w:val="24"/>
          <w:szCs w:val="24"/>
        </w:rPr>
        <w:t>2</w:t>
      </w:r>
      <w:r w:rsidRPr="000C0842">
        <w:rPr>
          <w:rFonts w:eastAsia="SimSun"/>
          <w:sz w:val="24"/>
          <w:szCs w:val="24"/>
        </w:rPr>
        <w:t>、</w:t>
      </w:r>
      <w:r w:rsidRPr="000C0842">
        <w:rPr>
          <w:rFonts w:eastAsia="SimSun"/>
          <w:sz w:val="24"/>
          <w:szCs w:val="24"/>
        </w:rPr>
        <w:t>4(b)</w:t>
      </w:r>
      <w:r w:rsidRPr="000C0842">
        <w:rPr>
          <w:rFonts w:eastAsia="SimSun"/>
          <w:sz w:val="24"/>
          <w:szCs w:val="24"/>
        </w:rPr>
        <w:t>和</w:t>
      </w:r>
      <w:r w:rsidRPr="000C0842">
        <w:rPr>
          <w:rFonts w:eastAsia="SimSun"/>
          <w:sz w:val="24"/>
          <w:szCs w:val="24"/>
        </w:rPr>
        <w:t>4(c)</w:t>
      </w:r>
      <w:r w:rsidRPr="000C0842">
        <w:rPr>
          <w:rFonts w:eastAsia="SimSun"/>
          <w:sz w:val="24"/>
          <w:szCs w:val="24"/>
        </w:rPr>
        <w:t>段方括号内的案文。</w:t>
      </w:r>
    </w:p>
    <w:p w14:paraId="50719642" w14:textId="35A61634"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31</w:t>
      </w:r>
      <w:r w:rsidRPr="000C0842">
        <w:rPr>
          <w:rFonts w:eastAsia="SimSun"/>
          <w:sz w:val="24"/>
          <w:szCs w:val="24"/>
        </w:rPr>
        <w:t>日第二工作组第</w:t>
      </w:r>
      <w:r w:rsidRPr="000C0842">
        <w:rPr>
          <w:rFonts w:eastAsia="SimSun"/>
          <w:sz w:val="24"/>
          <w:szCs w:val="24"/>
        </w:rPr>
        <w:t>11</w:t>
      </w:r>
      <w:r w:rsidR="00093F46" w:rsidRPr="000C0842">
        <w:rPr>
          <w:rFonts w:eastAsia="SimSun"/>
          <w:sz w:val="24"/>
          <w:szCs w:val="24"/>
        </w:rPr>
        <w:t>场</w:t>
      </w:r>
      <w:r w:rsidRPr="000C0842">
        <w:rPr>
          <w:rFonts w:eastAsia="SimSun"/>
          <w:sz w:val="24"/>
          <w:szCs w:val="24"/>
        </w:rPr>
        <w:t>会议审议了主席提交的订正决定草案。</w:t>
      </w:r>
    </w:p>
    <w:p w14:paraId="309E3287" w14:textId="12ED9BE1"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阿根廷、多民族玻利维亚国、巴西、加拿大、智利、欧洲联盟及其成员国、危地马拉、墨西哥、新西兰、挪威、秘鲁、俄罗斯联邦、联合王国</w:t>
      </w:r>
      <w:r w:rsidR="002A5D1C" w:rsidRPr="000C0842">
        <w:rPr>
          <w:rFonts w:eastAsia="SimSun" w:hint="eastAsia"/>
          <w:sz w:val="24"/>
          <w:szCs w:val="24"/>
        </w:rPr>
        <w:t>、</w:t>
      </w:r>
      <w:r w:rsidRPr="000C0842">
        <w:rPr>
          <w:rFonts w:eastAsia="SimSun"/>
          <w:sz w:val="24"/>
          <w:szCs w:val="24"/>
        </w:rPr>
        <w:t>乌拉圭。</w:t>
      </w:r>
    </w:p>
    <w:p w14:paraId="2F1051E1" w14:textId="4A90DA51" w:rsidR="00DC5F9D"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第二工作组核准了经口头修正的订正决定草案，</w:t>
      </w:r>
      <w:r w:rsidR="005B5E6A"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CBD/COP/16/L.12</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749936B7" w14:textId="01B9120D" w:rsidR="00DC5F9D" w:rsidRPr="000C0842"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00093F46" w:rsidRPr="000C0842">
        <w:rPr>
          <w:rFonts w:eastAsia="SimSun"/>
          <w:sz w:val="24"/>
          <w:szCs w:val="24"/>
        </w:rPr>
        <w:t>5</w:t>
      </w:r>
      <w:r w:rsidR="00093F46" w:rsidRPr="000C0842">
        <w:rPr>
          <w:rFonts w:eastAsia="SimSun"/>
          <w:sz w:val="24"/>
          <w:szCs w:val="24"/>
        </w:rPr>
        <w:t>场全体会议</w:t>
      </w:r>
      <w:r w:rsidR="00DC5F9D" w:rsidRPr="000C0842">
        <w:rPr>
          <w:rFonts w:eastAsia="SimSun"/>
          <w:sz w:val="24"/>
          <w:szCs w:val="24"/>
        </w:rPr>
        <w:t>审议了第二工作组主席提交的</w:t>
      </w:r>
      <w:r w:rsidR="00DC5F9D" w:rsidRPr="000C0842">
        <w:rPr>
          <w:rFonts w:eastAsia="SimSun"/>
          <w:sz w:val="24"/>
          <w:szCs w:val="24"/>
        </w:rPr>
        <w:t>CBD/COP/16/L.12</w:t>
      </w:r>
      <w:r w:rsidR="00DC5F9D" w:rsidRPr="000C0842">
        <w:rPr>
          <w:rFonts w:eastAsia="SimSun"/>
          <w:sz w:val="24"/>
          <w:szCs w:val="24"/>
        </w:rPr>
        <w:t>号决定草案。</w:t>
      </w:r>
    </w:p>
    <w:p w14:paraId="188770AB" w14:textId="64FBC1D7" w:rsidR="00DC5F9D"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下列缔约方</w:t>
      </w:r>
      <w:r w:rsidR="00DC5F9D" w:rsidRPr="000C0842">
        <w:rPr>
          <w:rFonts w:eastAsia="SimSun"/>
          <w:sz w:val="24"/>
          <w:szCs w:val="24"/>
        </w:rPr>
        <w:t>的代表</w:t>
      </w:r>
      <w:r w:rsidR="00E459D5" w:rsidRPr="000C0842">
        <w:rPr>
          <w:rFonts w:eastAsia="SimSun"/>
          <w:sz w:val="24"/>
          <w:szCs w:val="24"/>
        </w:rPr>
        <w:t>发了言</w:t>
      </w:r>
      <w:r w:rsidR="00967832" w:rsidRPr="000C0842">
        <w:rPr>
          <w:rFonts w:eastAsia="SimSun"/>
          <w:sz w:val="24"/>
          <w:szCs w:val="24"/>
        </w:rPr>
        <w:t>：</w:t>
      </w:r>
      <w:r w:rsidR="00DC5F9D" w:rsidRPr="000C0842">
        <w:rPr>
          <w:rFonts w:eastAsia="SimSun"/>
          <w:sz w:val="24"/>
          <w:szCs w:val="24"/>
        </w:rPr>
        <w:t>澳大利亚、</w:t>
      </w:r>
      <w:r w:rsidR="00061190" w:rsidRPr="000C0842">
        <w:rPr>
          <w:rFonts w:eastAsia="SimSun"/>
          <w:sz w:val="24"/>
          <w:szCs w:val="24"/>
        </w:rPr>
        <w:t>多民族玻利维亚国</w:t>
      </w:r>
      <w:r w:rsidR="00DC5F9D" w:rsidRPr="000C0842">
        <w:rPr>
          <w:rFonts w:eastAsia="SimSun"/>
          <w:sz w:val="24"/>
          <w:szCs w:val="24"/>
        </w:rPr>
        <w:t>、巴西、加拿大、智利、库克群岛、刚果民主共和国、赤道几内亚、欧洲联盟及其成员国、斐济</w:t>
      </w:r>
      <w:r w:rsidR="00E43413" w:rsidRPr="000C0842">
        <w:rPr>
          <w:rFonts w:eastAsia="SimSun" w:hint="eastAsia"/>
          <w:sz w:val="24"/>
          <w:szCs w:val="24"/>
        </w:rPr>
        <w:t>（</w:t>
      </w:r>
      <w:r w:rsidR="00DC5F9D" w:rsidRPr="000C0842">
        <w:rPr>
          <w:rFonts w:eastAsia="SimSun"/>
          <w:sz w:val="24"/>
          <w:szCs w:val="24"/>
        </w:rPr>
        <w:t>代表太平洋小岛屿发展中国家</w:t>
      </w:r>
      <w:r w:rsidR="00E43413" w:rsidRPr="000C0842">
        <w:rPr>
          <w:rFonts w:eastAsia="SimSun" w:hint="eastAsia"/>
          <w:sz w:val="24"/>
          <w:szCs w:val="24"/>
        </w:rPr>
        <w:t>）</w:t>
      </w:r>
      <w:r w:rsidR="00DC5F9D" w:rsidRPr="000C0842">
        <w:rPr>
          <w:rFonts w:eastAsia="SimSun"/>
          <w:sz w:val="24"/>
          <w:szCs w:val="24"/>
        </w:rPr>
        <w:t>、冰岛、墨西哥、纳米比亚、挪威、巴拿马、俄罗斯联邦</w:t>
      </w:r>
      <w:r w:rsidR="002A5D1C" w:rsidRPr="000C0842">
        <w:rPr>
          <w:rFonts w:eastAsia="SimSun" w:hint="eastAsia"/>
          <w:sz w:val="24"/>
          <w:szCs w:val="24"/>
        </w:rPr>
        <w:t>、</w:t>
      </w:r>
      <w:r w:rsidR="00DC5F9D" w:rsidRPr="000C0842">
        <w:rPr>
          <w:rFonts w:eastAsia="SimSun"/>
          <w:sz w:val="24"/>
          <w:szCs w:val="24"/>
        </w:rPr>
        <w:t>乌拉圭。</w:t>
      </w:r>
    </w:p>
    <w:p w14:paraId="426880A1" w14:textId="65421B65" w:rsidR="00DC5F9D" w:rsidRPr="000C0842" w:rsidRDefault="00DC5F9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缔约方大会通过了经口头修正的决定草案，</w:t>
      </w:r>
      <w:r w:rsidR="00F0250B" w:rsidRPr="000C0842">
        <w:rPr>
          <w:rFonts w:eastAsia="SimSun" w:hint="eastAsia"/>
          <w:sz w:val="24"/>
          <w:szCs w:val="24"/>
        </w:rPr>
        <w:t>决定草案</w:t>
      </w:r>
      <w:r w:rsidRPr="000C0842">
        <w:rPr>
          <w:rFonts w:eastAsia="SimSun"/>
          <w:sz w:val="24"/>
          <w:szCs w:val="24"/>
        </w:rPr>
        <w:t>成为第</w:t>
      </w:r>
      <w:hyperlink r:id="rId410" w:history="1">
        <w:r w:rsidRPr="000C0842">
          <w:rPr>
            <w:rStyle w:val="Hyperlink"/>
            <w:rFonts w:eastAsia="SimSun"/>
            <w:color w:val="auto"/>
            <w:sz w:val="24"/>
            <w:szCs w:val="24"/>
          </w:rPr>
          <w:t>16/12</w:t>
        </w:r>
      </w:hyperlink>
      <w:r w:rsidRPr="000C0842">
        <w:rPr>
          <w:rFonts w:eastAsia="SimSun"/>
          <w:sz w:val="24"/>
          <w:szCs w:val="24"/>
        </w:rPr>
        <w:t>号决定。</w:t>
      </w:r>
    </w:p>
    <w:p w14:paraId="400522A2" w14:textId="271B5EA8" w:rsidR="00FD132F" w:rsidRPr="000C0842" w:rsidRDefault="00DC5F9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决定通过后，智利代表发言</w:t>
      </w:r>
      <w:r w:rsidR="00061190" w:rsidRPr="000C0842">
        <w:rPr>
          <w:rFonts w:eastAsia="SimSun"/>
          <w:sz w:val="24"/>
          <w:szCs w:val="24"/>
        </w:rPr>
        <w:t>鼓励缔约方</w:t>
      </w:r>
      <w:r w:rsidR="0000080C" w:rsidRPr="000C0842">
        <w:rPr>
          <w:rFonts w:eastAsia="SimSun" w:hint="eastAsia"/>
          <w:sz w:val="24"/>
          <w:szCs w:val="24"/>
        </w:rPr>
        <w:t>提供在</w:t>
      </w:r>
      <w:r w:rsidR="00061190" w:rsidRPr="000C0842">
        <w:rPr>
          <w:rFonts w:eastAsia="SimSun"/>
          <w:sz w:val="24"/>
          <w:szCs w:val="24"/>
        </w:rPr>
        <w:t>《保护和可持续利用土壤生物多样性国际倡议行动计划</w:t>
      </w:r>
      <w:r w:rsidR="00E43413" w:rsidRPr="000C0842">
        <w:rPr>
          <w:rFonts w:eastAsia="SimSun" w:hint="eastAsia"/>
          <w:sz w:val="24"/>
          <w:szCs w:val="24"/>
        </w:rPr>
        <w:t>（</w:t>
      </w:r>
      <w:r w:rsidR="00061190" w:rsidRPr="000C0842">
        <w:rPr>
          <w:rFonts w:eastAsia="SimSun"/>
          <w:sz w:val="24"/>
          <w:szCs w:val="24"/>
        </w:rPr>
        <w:t>2020-2030</w:t>
      </w:r>
      <w:r w:rsidR="00061190" w:rsidRPr="000C0842">
        <w:rPr>
          <w:rFonts w:eastAsia="SimSun"/>
          <w:sz w:val="24"/>
          <w:szCs w:val="24"/>
        </w:rPr>
        <w:t>年</w:t>
      </w:r>
      <w:r w:rsidR="00E43413" w:rsidRPr="000C0842">
        <w:rPr>
          <w:rFonts w:eastAsia="SimSun" w:hint="eastAsia"/>
          <w:sz w:val="24"/>
          <w:szCs w:val="24"/>
        </w:rPr>
        <w:t>）</w:t>
      </w:r>
      <w:r w:rsidR="00061190" w:rsidRPr="000C0842">
        <w:rPr>
          <w:rFonts w:eastAsia="SimSun"/>
          <w:sz w:val="24"/>
          <w:szCs w:val="24"/>
        </w:rPr>
        <w:t>》背景下保护真菌生物多样性的经验，以便</w:t>
      </w:r>
      <w:r w:rsidR="0000080C" w:rsidRPr="000C0842">
        <w:rPr>
          <w:rFonts w:eastAsia="SimSun" w:hint="eastAsia"/>
          <w:sz w:val="24"/>
          <w:szCs w:val="24"/>
        </w:rPr>
        <w:t>指导</w:t>
      </w:r>
      <w:r w:rsidR="00061190" w:rsidRPr="000C0842">
        <w:rPr>
          <w:rFonts w:eastAsia="SimSun"/>
          <w:sz w:val="24"/>
          <w:szCs w:val="24"/>
        </w:rPr>
        <w:t>缔约方大会</w:t>
      </w:r>
      <w:r w:rsidR="0000080C" w:rsidRPr="000C0842">
        <w:rPr>
          <w:rFonts w:eastAsia="SimSun" w:hint="eastAsia"/>
          <w:sz w:val="24"/>
          <w:szCs w:val="24"/>
        </w:rPr>
        <w:t>审议</w:t>
      </w:r>
      <w:r w:rsidR="00061190" w:rsidRPr="000C0842">
        <w:rPr>
          <w:rFonts w:eastAsia="SimSun"/>
          <w:sz w:val="24"/>
          <w:szCs w:val="24"/>
        </w:rPr>
        <w:t>这一问题</w:t>
      </w:r>
      <w:r w:rsidRPr="000C0842">
        <w:rPr>
          <w:rFonts w:eastAsia="SimSun"/>
          <w:sz w:val="24"/>
          <w:szCs w:val="24"/>
        </w:rPr>
        <w:t>。</w:t>
      </w:r>
    </w:p>
    <w:p w14:paraId="200E8688" w14:textId="66A1EB42" w:rsidR="00FD132F" w:rsidRPr="000C0842" w:rsidRDefault="00FD132F" w:rsidP="00920401">
      <w:pPr>
        <w:keepNext/>
        <w:tabs>
          <w:tab w:val="clear" w:pos="567"/>
          <w:tab w:val="clear" w:pos="1134"/>
          <w:tab w:val="clear" w:pos="1701"/>
          <w:tab w:val="clear" w:pos="2268"/>
          <w:tab w:val="left" w:pos="1080"/>
        </w:tabs>
        <w:spacing w:after="120"/>
        <w:ind w:firstLine="450"/>
        <w:jc w:val="left"/>
        <w:rPr>
          <w:rFonts w:eastAsia="KaiTi"/>
          <w:sz w:val="24"/>
          <w:szCs w:val="24"/>
        </w:rPr>
      </w:pPr>
      <w:r w:rsidRPr="000C0842">
        <w:rPr>
          <w:rFonts w:eastAsia="KaiTi"/>
          <w:sz w:val="24"/>
          <w:szCs w:val="24"/>
        </w:rPr>
        <w:t>生物多样性和生态系统服务政府间科学与政策平台工作方案</w:t>
      </w:r>
      <w:r w:rsidR="00D97490" w:rsidRPr="000C0842">
        <w:rPr>
          <w:rFonts w:eastAsia="KaiTi" w:hint="eastAsia"/>
          <w:sz w:val="24"/>
          <w:szCs w:val="24"/>
        </w:rPr>
        <w:t>相关</w:t>
      </w:r>
      <w:r w:rsidRPr="000C0842">
        <w:rPr>
          <w:rFonts w:eastAsia="KaiTi"/>
          <w:sz w:val="24"/>
          <w:szCs w:val="24"/>
        </w:rPr>
        <w:t>事项</w:t>
      </w:r>
    </w:p>
    <w:p w14:paraId="684BD589" w14:textId="41D7B883"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第二工作组商定，为关于用于支持执行</w:t>
      </w:r>
      <w:r w:rsidR="0003491F" w:rsidRPr="000C0842">
        <w:rPr>
          <w:rFonts w:eastAsia="SimSun"/>
          <w:sz w:val="24"/>
          <w:szCs w:val="24"/>
        </w:rPr>
        <w:t>《昆蒙框架》</w:t>
      </w:r>
      <w:r w:rsidRPr="000C0842">
        <w:rPr>
          <w:rFonts w:eastAsia="SimSun"/>
          <w:sz w:val="24"/>
          <w:szCs w:val="24"/>
        </w:rPr>
        <w:t>的科技需求</w:t>
      </w:r>
      <w:r w:rsidR="008F630A" w:rsidRPr="000C0842">
        <w:rPr>
          <w:rFonts w:eastAsia="SimSun" w:hint="eastAsia"/>
          <w:sz w:val="24"/>
          <w:szCs w:val="24"/>
        </w:rPr>
        <w:t>的</w:t>
      </w:r>
      <w:r w:rsidRPr="000C0842">
        <w:rPr>
          <w:rFonts w:eastAsia="SimSun"/>
          <w:sz w:val="24"/>
          <w:szCs w:val="24"/>
        </w:rPr>
        <w:t>决定草案设立的联络小组</w:t>
      </w:r>
      <w:r w:rsidR="008F630A" w:rsidRPr="000C0842">
        <w:rPr>
          <w:rFonts w:eastAsia="SimSun" w:hint="eastAsia"/>
          <w:sz w:val="24"/>
          <w:szCs w:val="24"/>
        </w:rPr>
        <w:t>，</w:t>
      </w:r>
      <w:r w:rsidRPr="000C0842">
        <w:rPr>
          <w:rFonts w:eastAsia="SimSun"/>
          <w:sz w:val="24"/>
          <w:szCs w:val="24"/>
        </w:rPr>
        <w:t>还将处理关于生物多样性和生态系统服务政府间科学与政策平台工作方案相关事项决定草案中的</w:t>
      </w:r>
      <w:r w:rsidR="00DC5F9D" w:rsidRPr="000C0842">
        <w:rPr>
          <w:rFonts w:eastAsia="SimSun"/>
          <w:sz w:val="24"/>
          <w:szCs w:val="24"/>
        </w:rPr>
        <w:t>未决</w:t>
      </w:r>
      <w:r w:rsidRPr="000C0842">
        <w:rPr>
          <w:rFonts w:eastAsia="SimSun"/>
          <w:sz w:val="24"/>
          <w:szCs w:val="24"/>
        </w:rPr>
        <w:t>问题。</w:t>
      </w:r>
    </w:p>
    <w:p w14:paraId="046ACC97" w14:textId="124B89E9" w:rsidR="00BD493D" w:rsidRPr="000C0842" w:rsidRDefault="00BD493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kern w:val="22"/>
          <w:sz w:val="24"/>
          <w:szCs w:val="24"/>
        </w:rPr>
        <w:t>11</w:t>
      </w:r>
      <w:r w:rsidRPr="000C0842">
        <w:rPr>
          <w:rFonts w:eastAsia="SimSun"/>
          <w:sz w:val="24"/>
          <w:szCs w:val="24"/>
        </w:rPr>
        <w:t>场会议审议了主席在联络小组讨论后提交的订正决定草案。</w:t>
      </w:r>
    </w:p>
    <w:p w14:paraId="2A755525" w14:textId="6976133B" w:rsidR="008E1278"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kern w:val="22"/>
          <w:sz w:val="24"/>
          <w:szCs w:val="24"/>
        </w:rPr>
      </w:pPr>
      <w:r w:rsidRPr="000C0842">
        <w:rPr>
          <w:rFonts w:eastAsia="SimSun"/>
          <w:sz w:val="24"/>
          <w:szCs w:val="24"/>
        </w:rPr>
        <w:t>下列缔约方</w:t>
      </w:r>
      <w:r w:rsidR="00FD132F" w:rsidRPr="000C0842">
        <w:rPr>
          <w:rFonts w:eastAsia="SimSun"/>
          <w:sz w:val="24"/>
          <w:szCs w:val="24"/>
        </w:rPr>
        <w:t>的代表发了言</w:t>
      </w:r>
      <w:r w:rsidR="00967832" w:rsidRPr="000C0842">
        <w:rPr>
          <w:rFonts w:eastAsia="SimSun"/>
          <w:sz w:val="24"/>
          <w:szCs w:val="24"/>
        </w:rPr>
        <w:t>：</w:t>
      </w:r>
      <w:r w:rsidR="00FD132F" w:rsidRPr="000C0842">
        <w:rPr>
          <w:rFonts w:eastAsia="SimSun"/>
          <w:sz w:val="24"/>
          <w:szCs w:val="24"/>
        </w:rPr>
        <w:t>阿根廷、巴西、加拿大、智利、哥伦比亚、欧洲联盟及其成员国、伊朗伊斯兰共和国、日本、墨西哥、挪威、俄罗斯联邦、沙特阿拉伯、联合王国、坦桑尼亚联合共和国</w:t>
      </w:r>
      <w:r w:rsidR="002A5D1C" w:rsidRPr="000C0842">
        <w:rPr>
          <w:rFonts w:eastAsia="SimSun" w:hint="eastAsia"/>
          <w:sz w:val="24"/>
          <w:szCs w:val="24"/>
        </w:rPr>
        <w:t>、</w:t>
      </w:r>
      <w:r w:rsidR="00FD132F" w:rsidRPr="000C0842">
        <w:rPr>
          <w:rFonts w:eastAsia="SimSun"/>
          <w:sz w:val="24"/>
          <w:szCs w:val="24"/>
        </w:rPr>
        <w:t>乌拉圭。</w:t>
      </w:r>
    </w:p>
    <w:p w14:paraId="50FA4531" w14:textId="4AC389F8" w:rsidR="008E1278" w:rsidRPr="000C0842" w:rsidRDefault="008E12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kern w:val="22"/>
          <w:sz w:val="24"/>
          <w:szCs w:val="24"/>
        </w:rPr>
      </w:pPr>
      <w:r w:rsidRPr="000C0842">
        <w:rPr>
          <w:rFonts w:eastAsia="SimSun"/>
          <w:kern w:val="22"/>
          <w:sz w:val="24"/>
          <w:szCs w:val="24"/>
        </w:rPr>
        <w:t>第二工作组核准了经口头修正的订正决定草案，</w:t>
      </w:r>
      <w:r w:rsidR="005B5E6A" w:rsidRPr="000C0842">
        <w:rPr>
          <w:rFonts w:eastAsia="SimSun" w:hint="eastAsia"/>
          <w:kern w:val="22"/>
          <w:sz w:val="24"/>
          <w:szCs w:val="24"/>
        </w:rPr>
        <w:t>将其</w:t>
      </w:r>
      <w:r w:rsidRPr="000C0842">
        <w:rPr>
          <w:rFonts w:eastAsia="SimSun"/>
          <w:kern w:val="22"/>
          <w:sz w:val="24"/>
          <w:szCs w:val="24"/>
        </w:rPr>
        <w:t>作为</w:t>
      </w:r>
      <w:r w:rsidRPr="000C0842">
        <w:rPr>
          <w:rFonts w:eastAsia="SimSun"/>
          <w:kern w:val="22"/>
          <w:sz w:val="24"/>
          <w:szCs w:val="24"/>
        </w:rPr>
        <w:t>CBD/COP/16/L.11</w:t>
      </w:r>
      <w:r w:rsidRPr="000C0842">
        <w:rPr>
          <w:rFonts w:eastAsia="SimSun"/>
          <w:kern w:val="22"/>
          <w:sz w:val="24"/>
          <w:szCs w:val="24"/>
        </w:rPr>
        <w:t>号决定草案</w:t>
      </w:r>
      <w:r w:rsidR="004C7374" w:rsidRPr="000C0842">
        <w:rPr>
          <w:rFonts w:eastAsia="SimSun"/>
          <w:kern w:val="22"/>
          <w:sz w:val="24"/>
          <w:szCs w:val="24"/>
        </w:rPr>
        <w:t>提交全体会议</w:t>
      </w:r>
      <w:r w:rsidRPr="000C0842">
        <w:rPr>
          <w:rFonts w:eastAsia="SimSun"/>
          <w:kern w:val="22"/>
          <w:sz w:val="24"/>
          <w:szCs w:val="24"/>
        </w:rPr>
        <w:t>。</w:t>
      </w:r>
    </w:p>
    <w:p w14:paraId="3B4C6918" w14:textId="1BB589FD" w:rsidR="00FD132F" w:rsidRPr="000C0842" w:rsidRDefault="008E12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kern w:val="22"/>
          <w:sz w:val="24"/>
          <w:szCs w:val="24"/>
        </w:rPr>
      </w:pPr>
      <w:r w:rsidRPr="000C0842">
        <w:rPr>
          <w:rFonts w:eastAsia="SimSun"/>
          <w:kern w:val="22"/>
          <w:sz w:val="24"/>
          <w:szCs w:val="24"/>
        </w:rPr>
        <w:t>缔约方大会第</w:t>
      </w:r>
      <w:r w:rsidRPr="000C0842">
        <w:rPr>
          <w:rFonts w:eastAsia="SimSun"/>
          <w:kern w:val="22"/>
          <w:sz w:val="24"/>
          <w:szCs w:val="24"/>
        </w:rPr>
        <w:t>5</w:t>
      </w:r>
      <w:r w:rsidRPr="000C0842">
        <w:rPr>
          <w:rFonts w:eastAsia="SimSun"/>
          <w:kern w:val="22"/>
          <w:sz w:val="24"/>
          <w:szCs w:val="24"/>
        </w:rPr>
        <w:t>场全体会议审议</w:t>
      </w:r>
      <w:r w:rsidR="00D97490" w:rsidRPr="000C0842">
        <w:rPr>
          <w:rFonts w:eastAsia="SimSun" w:hint="eastAsia"/>
          <w:kern w:val="22"/>
          <w:sz w:val="24"/>
          <w:szCs w:val="24"/>
        </w:rPr>
        <w:t>并通过</w:t>
      </w:r>
      <w:r w:rsidRPr="000C0842">
        <w:rPr>
          <w:rFonts w:eastAsia="SimSun"/>
          <w:kern w:val="22"/>
          <w:sz w:val="24"/>
          <w:szCs w:val="24"/>
        </w:rPr>
        <w:t>了第二工作组主席提交的</w:t>
      </w:r>
      <w:r w:rsidRPr="000C0842">
        <w:rPr>
          <w:rFonts w:eastAsia="SimSun"/>
          <w:kern w:val="22"/>
          <w:sz w:val="24"/>
          <w:szCs w:val="24"/>
        </w:rPr>
        <w:t>CBD/COP/16/L.11</w:t>
      </w:r>
      <w:r w:rsidR="008519D6" w:rsidRPr="000C0842">
        <w:rPr>
          <w:rFonts w:eastAsia="SimSun" w:hint="eastAsia"/>
          <w:sz w:val="24"/>
          <w:szCs w:val="24"/>
        </w:rPr>
        <w:t>号</w:t>
      </w:r>
      <w:r w:rsidR="008519D6" w:rsidRPr="000C0842">
        <w:rPr>
          <w:rFonts w:eastAsia="SimSun"/>
          <w:kern w:val="22"/>
          <w:sz w:val="24"/>
          <w:szCs w:val="24"/>
        </w:rPr>
        <w:t>决定草案</w:t>
      </w:r>
      <w:r w:rsidRPr="000C0842">
        <w:rPr>
          <w:rFonts w:eastAsia="SimSun"/>
          <w:kern w:val="22"/>
          <w:sz w:val="24"/>
          <w:szCs w:val="24"/>
        </w:rPr>
        <w:t>，决定草案成为第</w:t>
      </w:r>
      <w:hyperlink r:id="rId411" w:history="1">
        <w:r w:rsidRPr="000C0842">
          <w:rPr>
            <w:rStyle w:val="Hyperlink"/>
            <w:rFonts w:eastAsia="SimSun"/>
            <w:color w:val="auto"/>
            <w:kern w:val="22"/>
            <w:sz w:val="24"/>
            <w:szCs w:val="24"/>
          </w:rPr>
          <w:t>16/11</w:t>
        </w:r>
      </w:hyperlink>
      <w:r w:rsidRPr="000C0842">
        <w:rPr>
          <w:rFonts w:eastAsia="SimSun"/>
          <w:kern w:val="22"/>
          <w:sz w:val="24"/>
          <w:szCs w:val="24"/>
        </w:rPr>
        <w:t>号决定。</w:t>
      </w:r>
    </w:p>
    <w:p w14:paraId="7D689C80" w14:textId="4950F967" w:rsidR="00FD132F" w:rsidRPr="000C0842" w:rsidRDefault="00FD132F" w:rsidP="004E5EE5">
      <w:pPr>
        <w:pStyle w:val="a1"/>
        <w:ind w:left="0" w:right="0"/>
        <w:rPr>
          <w:rFonts w:ascii="SimSun" w:hAnsi="SimSun"/>
          <w:bCs/>
          <w:szCs w:val="24"/>
          <w:lang w:eastAsia="zh-CN"/>
        </w:rPr>
      </w:pPr>
      <w:bookmarkStart w:id="166" w:name="_Toc206358253"/>
      <w:r w:rsidRPr="000C0842">
        <w:rPr>
          <w:lang w:eastAsia="zh-CN"/>
        </w:rPr>
        <w:t>项目</w:t>
      </w:r>
      <w:r w:rsidRPr="000C0842">
        <w:rPr>
          <w:lang w:eastAsia="zh-CN"/>
        </w:rPr>
        <w:t>17</w:t>
      </w:r>
      <w:r w:rsidRPr="000C0842">
        <w:rPr>
          <w:lang w:eastAsia="zh-CN"/>
        </w:rPr>
        <w:br/>
      </w:r>
      <w:r w:rsidRPr="000C0842">
        <w:rPr>
          <w:lang w:eastAsia="zh-CN"/>
        </w:rPr>
        <w:t>生物多样性在部门内和部门之间的主流化</w:t>
      </w:r>
      <w:bookmarkEnd w:id="166"/>
    </w:p>
    <w:p w14:paraId="3148D216" w14:textId="02700B16"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4D27CF"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17</w:t>
      </w:r>
      <w:r w:rsidRPr="000C0842">
        <w:rPr>
          <w:rFonts w:eastAsia="SimSun"/>
          <w:sz w:val="24"/>
          <w:szCs w:val="24"/>
        </w:rPr>
        <w:t>。工作组收到一项决定草案</w:t>
      </w:r>
      <w:r w:rsidR="00E5770C" w:rsidRPr="000C0842">
        <w:rPr>
          <w:rStyle w:val="FootnoteReference"/>
          <w:sz w:val="24"/>
          <w:szCs w:val="24"/>
        </w:rPr>
        <w:footnoteReference w:id="595"/>
      </w:r>
      <w:r w:rsidR="009A7356" w:rsidRPr="000C0842">
        <w:rPr>
          <w:rFonts w:eastAsia="SimSun" w:hint="eastAsia"/>
          <w:sz w:val="24"/>
          <w:szCs w:val="24"/>
        </w:rPr>
        <w:t>。</w:t>
      </w:r>
    </w:p>
    <w:p w14:paraId="51B06BEF" w14:textId="5527D6FE" w:rsidR="00FD132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FD132F" w:rsidRPr="000C0842">
        <w:rPr>
          <w:rFonts w:eastAsia="SimSun"/>
          <w:sz w:val="24"/>
          <w:szCs w:val="24"/>
        </w:rPr>
        <w:t>的代表发了言</w:t>
      </w:r>
      <w:r w:rsidR="00967832" w:rsidRPr="000C0842">
        <w:rPr>
          <w:rFonts w:eastAsia="SimSun"/>
          <w:sz w:val="24"/>
          <w:szCs w:val="24"/>
        </w:rPr>
        <w:t>：</w:t>
      </w:r>
      <w:r w:rsidR="00FD132F" w:rsidRPr="000C0842">
        <w:rPr>
          <w:rFonts w:eastAsia="SimSun"/>
          <w:sz w:val="24"/>
          <w:szCs w:val="24"/>
        </w:rPr>
        <w:t>巴西、埃及、欧洲联盟及其成员国。</w:t>
      </w:r>
    </w:p>
    <w:p w14:paraId="782996C6" w14:textId="4FFC3DE3"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第二工作组商定设立一个联络小组，由</w:t>
      </w:r>
      <w:r w:rsidRPr="000C0842">
        <w:rPr>
          <w:rFonts w:eastAsia="SimSun"/>
          <w:sz w:val="24"/>
          <w:szCs w:val="24"/>
        </w:rPr>
        <w:t>Braulio Ferreira de Souza Dias</w:t>
      </w:r>
      <w:r w:rsidRPr="000C0842">
        <w:rPr>
          <w:rFonts w:eastAsia="SimSun"/>
          <w:sz w:val="24"/>
          <w:szCs w:val="24"/>
        </w:rPr>
        <w:t>（巴西）和</w:t>
      </w:r>
      <w:r w:rsidRPr="000C0842">
        <w:rPr>
          <w:rFonts w:eastAsia="SimSun"/>
          <w:sz w:val="24"/>
          <w:szCs w:val="24"/>
        </w:rPr>
        <w:t>Sanne Kruid</w:t>
      </w:r>
      <w:r w:rsidRPr="000C0842">
        <w:rPr>
          <w:rFonts w:eastAsia="SimSun"/>
          <w:sz w:val="24"/>
          <w:szCs w:val="24"/>
        </w:rPr>
        <w:t>（荷兰王国）担任共同主席，负责就决定草案方括号内的案文达成妥协，并</w:t>
      </w:r>
      <w:r w:rsidR="00AC5726" w:rsidRPr="000C0842">
        <w:rPr>
          <w:rFonts w:eastAsia="SimSun" w:hint="eastAsia"/>
          <w:sz w:val="24"/>
          <w:szCs w:val="24"/>
        </w:rPr>
        <w:t>拟定</w:t>
      </w:r>
      <w:r w:rsidRPr="000C0842">
        <w:rPr>
          <w:rFonts w:eastAsia="SimSun"/>
          <w:sz w:val="24"/>
          <w:szCs w:val="24"/>
        </w:rPr>
        <w:t>一份</w:t>
      </w:r>
      <w:r w:rsidR="008F630A" w:rsidRPr="000C0842">
        <w:rPr>
          <w:rFonts w:eastAsia="SimSun" w:hint="eastAsia"/>
          <w:sz w:val="24"/>
          <w:szCs w:val="24"/>
        </w:rPr>
        <w:t>订正</w:t>
      </w:r>
      <w:r w:rsidRPr="000C0842">
        <w:rPr>
          <w:rFonts w:eastAsia="SimSun"/>
          <w:sz w:val="24"/>
          <w:szCs w:val="24"/>
        </w:rPr>
        <w:t>决定草案</w:t>
      </w:r>
      <w:r w:rsidR="00AC5726" w:rsidRPr="000C0842">
        <w:rPr>
          <w:rFonts w:eastAsia="SimSun" w:hint="eastAsia"/>
          <w:sz w:val="24"/>
          <w:szCs w:val="24"/>
        </w:rPr>
        <w:t>，供</w:t>
      </w:r>
      <w:r w:rsidR="004D27CF" w:rsidRPr="000C0842">
        <w:rPr>
          <w:rFonts w:eastAsia="SimSun"/>
          <w:sz w:val="24"/>
          <w:szCs w:val="24"/>
        </w:rPr>
        <w:t>稍后一次会议</w:t>
      </w:r>
      <w:r w:rsidRPr="000C0842">
        <w:rPr>
          <w:rFonts w:eastAsia="SimSun"/>
          <w:sz w:val="24"/>
          <w:szCs w:val="24"/>
        </w:rPr>
        <w:t>审议。</w:t>
      </w:r>
    </w:p>
    <w:p w14:paraId="6E8A19CC" w14:textId="34E49505"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67" w:name="_Hlk180067878"/>
      <w:r w:rsidRPr="000C0842">
        <w:rPr>
          <w:rFonts w:eastAsia="SimSun"/>
          <w:sz w:val="24"/>
          <w:szCs w:val="24"/>
        </w:rPr>
        <w:t>10</w:t>
      </w:r>
      <w:r w:rsidRPr="000C0842">
        <w:rPr>
          <w:rFonts w:eastAsia="SimSun"/>
          <w:sz w:val="24"/>
          <w:szCs w:val="24"/>
        </w:rPr>
        <w:t>月</w:t>
      </w:r>
      <w:r w:rsidRPr="000C0842">
        <w:rPr>
          <w:rFonts w:eastAsia="SimSun"/>
          <w:sz w:val="24"/>
          <w:szCs w:val="24"/>
        </w:rPr>
        <w:t>28</w:t>
      </w:r>
      <w:r w:rsidRPr="000C0842">
        <w:rPr>
          <w:rFonts w:eastAsia="SimSun"/>
          <w:sz w:val="24"/>
          <w:szCs w:val="24"/>
        </w:rPr>
        <w:t>日第二工作组第</w:t>
      </w:r>
      <w:r w:rsidRPr="000C0842">
        <w:rPr>
          <w:rFonts w:eastAsia="SimSun"/>
          <w:sz w:val="24"/>
          <w:szCs w:val="24"/>
        </w:rPr>
        <w:t>7</w:t>
      </w:r>
      <w:r w:rsidR="004D27CF" w:rsidRPr="000C0842">
        <w:rPr>
          <w:rFonts w:eastAsia="SimSun"/>
          <w:sz w:val="24"/>
          <w:szCs w:val="24"/>
        </w:rPr>
        <w:t>场</w:t>
      </w:r>
      <w:r w:rsidRPr="000C0842">
        <w:rPr>
          <w:rFonts w:eastAsia="SimSun"/>
          <w:sz w:val="24"/>
          <w:szCs w:val="24"/>
        </w:rPr>
        <w:t>会议审议了主席提交的订正决定草案。</w:t>
      </w:r>
    </w:p>
    <w:bookmarkEnd w:id="167"/>
    <w:p w14:paraId="430C884B" w14:textId="7ABF3022" w:rsidR="00FD132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FD132F" w:rsidRPr="000C0842">
        <w:rPr>
          <w:rFonts w:eastAsia="SimSun"/>
          <w:sz w:val="24"/>
          <w:szCs w:val="24"/>
        </w:rPr>
        <w:t>的代表发了言</w:t>
      </w:r>
      <w:r w:rsidR="00967832" w:rsidRPr="000C0842">
        <w:rPr>
          <w:rFonts w:eastAsia="SimSun"/>
          <w:sz w:val="24"/>
          <w:szCs w:val="24"/>
        </w:rPr>
        <w:t>：</w:t>
      </w:r>
      <w:r w:rsidR="00FD132F" w:rsidRPr="000C0842">
        <w:rPr>
          <w:rFonts w:eastAsia="SimSun"/>
          <w:sz w:val="24"/>
          <w:szCs w:val="24"/>
        </w:rPr>
        <w:t>阿根廷、巴西、加拿大、埃塞俄比亚、欧洲联盟及其成员国、日本、肯尼亚、墨西哥、巴基斯坦、秘鲁、卡塔尔、俄罗斯联邦、多哥、联合王国、赞比亚。</w:t>
      </w:r>
    </w:p>
    <w:p w14:paraId="52D56F59" w14:textId="4C30B81B"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第二工作组商定，将召集一个感兴趣缔约方小组，解决未决问题</w:t>
      </w:r>
      <w:r w:rsidR="00AC5726" w:rsidRPr="000C0842">
        <w:rPr>
          <w:rFonts w:eastAsia="SimSun" w:hint="eastAsia"/>
          <w:sz w:val="24"/>
          <w:szCs w:val="24"/>
        </w:rPr>
        <w:t>，</w:t>
      </w:r>
      <w:r w:rsidRPr="000C0842">
        <w:rPr>
          <w:rFonts w:eastAsia="SimSun"/>
          <w:sz w:val="24"/>
          <w:szCs w:val="24"/>
        </w:rPr>
        <w:t>并拟定订正案文</w:t>
      </w:r>
      <w:r w:rsidR="00AC5726" w:rsidRPr="000C0842">
        <w:rPr>
          <w:rFonts w:eastAsia="SimSun" w:hint="eastAsia"/>
          <w:sz w:val="24"/>
          <w:szCs w:val="24"/>
        </w:rPr>
        <w:t>，供</w:t>
      </w:r>
      <w:r w:rsidR="004D27CF" w:rsidRPr="000C0842">
        <w:rPr>
          <w:rFonts w:eastAsia="SimSun"/>
          <w:sz w:val="24"/>
          <w:szCs w:val="24"/>
        </w:rPr>
        <w:t>稍后一次会议</w:t>
      </w:r>
      <w:r w:rsidRPr="000C0842">
        <w:rPr>
          <w:rFonts w:eastAsia="SimSun"/>
          <w:sz w:val="24"/>
          <w:szCs w:val="24"/>
        </w:rPr>
        <w:t>审议。</w:t>
      </w:r>
    </w:p>
    <w:p w14:paraId="611D9BD2" w14:textId="5E61FD25"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smartTag w:uri="urn:schemas-microsoft-com:office:smarttags" w:element="chsdate">
        <w:smartTagPr>
          <w:attr w:name="IsROCDate" w:val="False"/>
          <w:attr w:name="IsLunarDate" w:val="False"/>
          <w:attr w:name="Day" w:val="28"/>
          <w:attr w:name="Month" w:val="10"/>
          <w:attr w:name="Year" w:val="2024"/>
        </w:smartTagPr>
        <w:r w:rsidRPr="000C0842">
          <w:rPr>
            <w:rFonts w:eastAsia="SimSun"/>
            <w:sz w:val="24"/>
            <w:szCs w:val="24"/>
          </w:rPr>
          <w:t>10</w:t>
        </w:r>
        <w:r w:rsidRPr="000C0842">
          <w:rPr>
            <w:rFonts w:eastAsia="SimSun"/>
            <w:sz w:val="24"/>
            <w:szCs w:val="24"/>
          </w:rPr>
          <w:t>月</w:t>
        </w:r>
        <w:r w:rsidRPr="000C0842">
          <w:rPr>
            <w:rFonts w:eastAsia="SimSun"/>
            <w:sz w:val="24"/>
            <w:szCs w:val="24"/>
          </w:rPr>
          <w:t>28</w:t>
        </w:r>
        <w:r w:rsidRPr="000C0842">
          <w:rPr>
            <w:rFonts w:eastAsia="SimSun"/>
            <w:sz w:val="24"/>
            <w:szCs w:val="24"/>
          </w:rPr>
          <w:t>日</w:t>
        </w:r>
      </w:smartTag>
      <w:r w:rsidRPr="000C0842">
        <w:rPr>
          <w:rFonts w:eastAsia="SimSun"/>
          <w:sz w:val="24"/>
          <w:szCs w:val="24"/>
        </w:rPr>
        <w:t>第二工作组第</w:t>
      </w:r>
      <w:r w:rsidRPr="000C0842">
        <w:rPr>
          <w:rFonts w:eastAsia="SimSun"/>
          <w:sz w:val="24"/>
          <w:szCs w:val="24"/>
        </w:rPr>
        <w:t>8</w:t>
      </w:r>
      <w:r w:rsidR="004D27CF" w:rsidRPr="000C0842">
        <w:rPr>
          <w:rFonts w:eastAsia="SimSun"/>
          <w:sz w:val="24"/>
          <w:szCs w:val="24"/>
        </w:rPr>
        <w:t>场会议</w:t>
      </w:r>
      <w:r w:rsidRPr="000C0842">
        <w:rPr>
          <w:rFonts w:eastAsia="SimSun"/>
          <w:sz w:val="24"/>
          <w:szCs w:val="24"/>
        </w:rPr>
        <w:t>审议了小组讨论之后经日本代表口头修正的订正决定草案。</w:t>
      </w:r>
    </w:p>
    <w:p w14:paraId="47EFB61C" w14:textId="7863EF39" w:rsidR="00FD132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FD132F" w:rsidRPr="000C0842">
        <w:rPr>
          <w:rFonts w:eastAsia="SimSun"/>
          <w:sz w:val="24"/>
          <w:szCs w:val="24"/>
        </w:rPr>
        <w:t>的代表发了言</w:t>
      </w:r>
      <w:r w:rsidR="00967832" w:rsidRPr="000C0842">
        <w:rPr>
          <w:rFonts w:eastAsia="SimSun"/>
          <w:sz w:val="24"/>
          <w:szCs w:val="24"/>
        </w:rPr>
        <w:t>：</w:t>
      </w:r>
      <w:r w:rsidR="00FD132F" w:rsidRPr="000C0842">
        <w:rPr>
          <w:rFonts w:eastAsia="SimSun"/>
          <w:sz w:val="24"/>
          <w:szCs w:val="24"/>
        </w:rPr>
        <w:t>阿根廷、孟加拉国、巴西、加拿大、埃塞俄比亚、欧洲联盟及其成员国、日本、俄罗斯联邦。</w:t>
      </w:r>
    </w:p>
    <w:p w14:paraId="522A1C73" w14:textId="5B864878"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第二工作组商定由主席与感兴趣的缔约方进行非正式磋商，以期就方括号内案文达成妥协，</w:t>
      </w:r>
      <w:r w:rsidR="00E72919" w:rsidRPr="000C0842">
        <w:rPr>
          <w:rFonts w:eastAsia="SimSun" w:hint="eastAsia"/>
          <w:sz w:val="24"/>
          <w:szCs w:val="24"/>
        </w:rPr>
        <w:t>然后</w:t>
      </w:r>
      <w:r w:rsidR="00AC5726" w:rsidRPr="000C0842">
        <w:rPr>
          <w:rFonts w:eastAsia="SimSun" w:hint="eastAsia"/>
          <w:sz w:val="24"/>
          <w:szCs w:val="24"/>
        </w:rPr>
        <w:t>拟定</w:t>
      </w:r>
      <w:r w:rsidR="004D27CF" w:rsidRPr="000C0842">
        <w:rPr>
          <w:rFonts w:eastAsia="SimSun"/>
          <w:sz w:val="24"/>
          <w:szCs w:val="24"/>
        </w:rPr>
        <w:t>进一步</w:t>
      </w:r>
      <w:r w:rsidRPr="000C0842">
        <w:rPr>
          <w:rFonts w:eastAsia="SimSun"/>
          <w:sz w:val="24"/>
          <w:szCs w:val="24"/>
        </w:rPr>
        <w:t>订正决定草案</w:t>
      </w:r>
      <w:r w:rsidR="00AC5726" w:rsidRPr="000C0842">
        <w:rPr>
          <w:rFonts w:eastAsia="SimSun" w:hint="eastAsia"/>
          <w:sz w:val="24"/>
          <w:szCs w:val="24"/>
        </w:rPr>
        <w:t>，供</w:t>
      </w:r>
      <w:r w:rsidR="004D27CF" w:rsidRPr="000C0842">
        <w:rPr>
          <w:rFonts w:eastAsia="SimSun"/>
          <w:sz w:val="24"/>
          <w:szCs w:val="24"/>
        </w:rPr>
        <w:t>稍后一次会议</w:t>
      </w:r>
      <w:r w:rsidRPr="000C0842">
        <w:rPr>
          <w:rFonts w:eastAsia="SimSun"/>
          <w:sz w:val="24"/>
          <w:szCs w:val="24"/>
        </w:rPr>
        <w:t>审议。</w:t>
      </w:r>
    </w:p>
    <w:p w14:paraId="34923E2C" w14:textId="6595E38E"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30</w:t>
      </w:r>
      <w:r w:rsidRPr="000C0842">
        <w:rPr>
          <w:rFonts w:eastAsia="SimSun"/>
          <w:sz w:val="24"/>
          <w:szCs w:val="24"/>
        </w:rPr>
        <w:t>日第二工作组第</w:t>
      </w:r>
      <w:r w:rsidRPr="000C0842">
        <w:rPr>
          <w:rFonts w:eastAsia="SimSun"/>
          <w:sz w:val="24"/>
          <w:szCs w:val="24"/>
        </w:rPr>
        <w:t>9</w:t>
      </w:r>
      <w:r w:rsidR="004D27CF" w:rsidRPr="000C0842">
        <w:rPr>
          <w:rFonts w:eastAsia="SimSun"/>
          <w:sz w:val="24"/>
          <w:szCs w:val="24"/>
        </w:rPr>
        <w:t>场会议继续</w:t>
      </w:r>
      <w:r w:rsidR="00E72919" w:rsidRPr="000C0842">
        <w:rPr>
          <w:rFonts w:eastAsia="SimSun" w:hint="eastAsia"/>
          <w:sz w:val="24"/>
          <w:szCs w:val="24"/>
        </w:rPr>
        <w:t>审议</w:t>
      </w:r>
      <w:r w:rsidRPr="000C0842">
        <w:rPr>
          <w:rFonts w:eastAsia="SimSun"/>
          <w:sz w:val="24"/>
          <w:szCs w:val="24"/>
        </w:rPr>
        <w:t>订正决定草案。</w:t>
      </w:r>
    </w:p>
    <w:p w14:paraId="6967E204" w14:textId="44291CCD" w:rsidR="00FD132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FD132F" w:rsidRPr="000C0842">
        <w:rPr>
          <w:rFonts w:eastAsia="SimSun"/>
          <w:sz w:val="24"/>
          <w:szCs w:val="24"/>
        </w:rPr>
        <w:t>的代表</w:t>
      </w:r>
      <w:r w:rsidR="001C1443" w:rsidRPr="000C0842">
        <w:rPr>
          <w:rFonts w:eastAsia="SimSun"/>
          <w:sz w:val="24"/>
          <w:szCs w:val="24"/>
        </w:rPr>
        <w:t>发了言</w:t>
      </w:r>
      <w:r w:rsidR="00967832" w:rsidRPr="000C0842">
        <w:rPr>
          <w:rFonts w:eastAsia="SimSun"/>
          <w:sz w:val="24"/>
          <w:szCs w:val="24"/>
        </w:rPr>
        <w:t>：</w:t>
      </w:r>
      <w:r w:rsidR="00FD132F" w:rsidRPr="000C0842">
        <w:rPr>
          <w:rFonts w:eastAsia="SimSun"/>
          <w:sz w:val="24"/>
          <w:szCs w:val="24"/>
        </w:rPr>
        <w:t>阿根廷、加拿大、欧洲联盟及其成员国</w:t>
      </w:r>
      <w:r w:rsidR="00EB234D" w:rsidRPr="000C0842">
        <w:rPr>
          <w:rFonts w:eastAsia="SimSun" w:hint="eastAsia"/>
          <w:sz w:val="24"/>
          <w:szCs w:val="24"/>
        </w:rPr>
        <w:t>、</w:t>
      </w:r>
      <w:r w:rsidR="00FD132F" w:rsidRPr="000C0842">
        <w:rPr>
          <w:rFonts w:eastAsia="SimSun"/>
          <w:sz w:val="24"/>
          <w:szCs w:val="24"/>
        </w:rPr>
        <w:t>墨西哥。</w:t>
      </w:r>
    </w:p>
    <w:p w14:paraId="74C8520E" w14:textId="706E190A" w:rsidR="004D27C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w:t>
      </w:r>
      <w:r w:rsidR="004D27CF" w:rsidRPr="000C0842">
        <w:rPr>
          <w:rFonts w:eastAsia="SimSun"/>
          <w:sz w:val="24"/>
          <w:szCs w:val="24"/>
        </w:rPr>
        <w:t>进一步</w:t>
      </w:r>
      <w:r w:rsidRPr="000C0842">
        <w:rPr>
          <w:rFonts w:eastAsia="SimSun"/>
          <w:sz w:val="24"/>
          <w:szCs w:val="24"/>
        </w:rPr>
        <w:t>订正决定草案，</w:t>
      </w:r>
      <w:r w:rsidR="005B5E6A"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CBD/COP/165/L.9</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10E770D0" w14:textId="7169F299" w:rsidR="004D27CF" w:rsidRPr="000C0842"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场全体会议审议了第二工作组主席提交的</w:t>
      </w:r>
      <w:r w:rsidRPr="000C0842">
        <w:rPr>
          <w:rFonts w:eastAsia="SimSun"/>
          <w:sz w:val="24"/>
          <w:szCs w:val="24"/>
        </w:rPr>
        <w:t>CBD/COP/16/L.9</w:t>
      </w:r>
      <w:r w:rsidRPr="000C0842">
        <w:rPr>
          <w:rFonts w:eastAsia="SimSun"/>
          <w:sz w:val="24"/>
          <w:szCs w:val="24"/>
        </w:rPr>
        <w:t>号决定草案。</w:t>
      </w:r>
    </w:p>
    <w:p w14:paraId="1DC5A40C" w14:textId="650DECF0" w:rsidR="004D27CF" w:rsidRPr="000C0842"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w:t>
      </w:r>
      <w:r w:rsidR="00E459D5" w:rsidRPr="000C0842">
        <w:rPr>
          <w:rFonts w:eastAsia="SimSun"/>
          <w:sz w:val="24"/>
          <w:szCs w:val="24"/>
        </w:rPr>
        <w:t>发了言</w:t>
      </w:r>
      <w:r w:rsidR="00967832" w:rsidRPr="000C0842">
        <w:rPr>
          <w:rFonts w:eastAsia="SimSun"/>
          <w:sz w:val="24"/>
          <w:szCs w:val="24"/>
        </w:rPr>
        <w:t>：</w:t>
      </w:r>
      <w:r w:rsidRPr="000C0842">
        <w:rPr>
          <w:rFonts w:eastAsia="SimSun"/>
          <w:sz w:val="24"/>
          <w:szCs w:val="24"/>
        </w:rPr>
        <w:t>欧洲联盟及其成员国</w:t>
      </w:r>
      <w:r w:rsidR="00EB234D" w:rsidRPr="000C0842">
        <w:rPr>
          <w:rFonts w:eastAsia="SimSun" w:hint="eastAsia"/>
          <w:sz w:val="24"/>
          <w:szCs w:val="24"/>
        </w:rPr>
        <w:t>、</w:t>
      </w:r>
      <w:r w:rsidRPr="000C0842">
        <w:rPr>
          <w:rFonts w:eastAsia="SimSun"/>
          <w:sz w:val="24"/>
          <w:szCs w:val="24"/>
        </w:rPr>
        <w:t>墨西哥。</w:t>
      </w:r>
    </w:p>
    <w:p w14:paraId="5156B0F5" w14:textId="60B9F120" w:rsidR="00FD132F" w:rsidRPr="000C0842"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E72919" w:rsidRPr="000C0842">
        <w:rPr>
          <w:rFonts w:eastAsia="SimSun" w:hint="eastAsia"/>
          <w:sz w:val="24"/>
          <w:szCs w:val="24"/>
        </w:rPr>
        <w:t>决定草案</w:t>
      </w:r>
      <w:r w:rsidRPr="000C0842">
        <w:rPr>
          <w:rFonts w:eastAsia="SimSun"/>
          <w:sz w:val="24"/>
          <w:szCs w:val="24"/>
        </w:rPr>
        <w:t>成为第</w:t>
      </w:r>
      <w:hyperlink r:id="rId412" w:history="1">
        <w:r w:rsidRPr="000C0842">
          <w:rPr>
            <w:rStyle w:val="Hyperlink"/>
            <w:rFonts w:eastAsia="SimSun"/>
            <w:color w:val="auto"/>
            <w:sz w:val="24"/>
            <w:szCs w:val="24"/>
          </w:rPr>
          <w:t>16/13</w:t>
        </w:r>
      </w:hyperlink>
      <w:r w:rsidRPr="000C0842">
        <w:rPr>
          <w:rFonts w:eastAsia="SimSun"/>
          <w:sz w:val="24"/>
          <w:szCs w:val="24"/>
        </w:rPr>
        <w:t>号决定。</w:t>
      </w:r>
    </w:p>
    <w:p w14:paraId="05CF8A5D" w14:textId="1BC98804" w:rsidR="00FD132F" w:rsidRPr="000C0842" w:rsidRDefault="00FD132F" w:rsidP="004E5EE5">
      <w:pPr>
        <w:pStyle w:val="a1"/>
        <w:ind w:left="0" w:right="0"/>
        <w:rPr>
          <w:rFonts w:hint="eastAsia"/>
          <w:bCs/>
          <w:lang w:eastAsia="zh-CN"/>
        </w:rPr>
      </w:pPr>
      <w:bookmarkStart w:id="168" w:name="_Toc206358254"/>
      <w:r w:rsidRPr="000C0842">
        <w:rPr>
          <w:lang w:eastAsia="zh-CN"/>
        </w:rPr>
        <w:t>项目</w:t>
      </w:r>
      <w:r w:rsidRPr="000C0842">
        <w:rPr>
          <w:lang w:eastAsia="zh-CN"/>
        </w:rPr>
        <w:t>18</w:t>
      </w:r>
      <w:r w:rsidRPr="000C0842">
        <w:rPr>
          <w:lang w:eastAsia="zh-CN"/>
        </w:rPr>
        <w:br/>
      </w:r>
      <w:r w:rsidRPr="000C0842">
        <w:rPr>
          <w:lang w:eastAsia="zh-CN"/>
        </w:rPr>
        <w:t>生物多样性的多</w:t>
      </w:r>
      <w:r w:rsidR="0000597A" w:rsidRPr="000C0842">
        <w:rPr>
          <w:lang w:eastAsia="zh-CN"/>
        </w:rPr>
        <w:t>重</w:t>
      </w:r>
      <w:r w:rsidRPr="000C0842">
        <w:rPr>
          <w:lang w:eastAsia="zh-CN"/>
        </w:rPr>
        <w:t>价值</w:t>
      </w:r>
      <w:bookmarkEnd w:id="168"/>
    </w:p>
    <w:p w14:paraId="05FBBFB8" w14:textId="6E88581D"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4D27CF" w:rsidRPr="000C0842">
        <w:rPr>
          <w:rFonts w:eastAsia="SimSun"/>
          <w:sz w:val="24"/>
          <w:szCs w:val="24"/>
        </w:rPr>
        <w:t>场会议</w:t>
      </w:r>
      <w:r w:rsidRPr="000C0842">
        <w:rPr>
          <w:rFonts w:eastAsia="SimSun"/>
          <w:sz w:val="24"/>
          <w:szCs w:val="24"/>
        </w:rPr>
        <w:t>审议了议程项目</w:t>
      </w:r>
      <w:r w:rsidRPr="000C0842">
        <w:rPr>
          <w:rFonts w:eastAsia="SimSun"/>
          <w:sz w:val="24"/>
          <w:szCs w:val="24"/>
        </w:rPr>
        <w:t>18</w:t>
      </w:r>
      <w:r w:rsidRPr="000C0842">
        <w:rPr>
          <w:rFonts w:eastAsia="SimSun"/>
          <w:sz w:val="24"/>
          <w:szCs w:val="24"/>
        </w:rPr>
        <w:t>。工作组收到一</w:t>
      </w:r>
      <w:r w:rsidR="00E72919" w:rsidRPr="000C0842">
        <w:rPr>
          <w:rFonts w:eastAsia="SimSun" w:hint="eastAsia"/>
          <w:sz w:val="24"/>
          <w:szCs w:val="24"/>
        </w:rPr>
        <w:t>项</w:t>
      </w:r>
      <w:r w:rsidRPr="000C0842">
        <w:rPr>
          <w:rFonts w:eastAsia="SimSun"/>
          <w:sz w:val="24"/>
          <w:szCs w:val="24"/>
        </w:rPr>
        <w:t>决定草案</w:t>
      </w:r>
      <w:r w:rsidR="00887622" w:rsidRPr="000C0842">
        <w:rPr>
          <w:rStyle w:val="FootnoteReference"/>
          <w:sz w:val="24"/>
          <w:szCs w:val="24"/>
        </w:rPr>
        <w:footnoteReference w:id="596"/>
      </w:r>
      <w:r w:rsidR="009A7356" w:rsidRPr="000C0842">
        <w:rPr>
          <w:rFonts w:eastAsia="SimSun" w:hint="eastAsia"/>
          <w:sz w:val="24"/>
          <w:szCs w:val="24"/>
        </w:rPr>
        <w:t>。</w:t>
      </w:r>
    </w:p>
    <w:p w14:paraId="25F6B695" w14:textId="1C96DF7A"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第二工作组商定由主席酌情与缔约方进行非正式磋商，</w:t>
      </w:r>
      <w:r w:rsidR="00AC5726" w:rsidRPr="000C0842">
        <w:rPr>
          <w:rFonts w:eastAsia="SimSun" w:hint="eastAsia"/>
          <w:sz w:val="24"/>
          <w:szCs w:val="24"/>
        </w:rPr>
        <w:t>拟定</w:t>
      </w:r>
      <w:r w:rsidRPr="000C0842">
        <w:rPr>
          <w:rFonts w:eastAsia="SimSun"/>
          <w:sz w:val="24"/>
          <w:szCs w:val="24"/>
        </w:rPr>
        <w:t>一</w:t>
      </w:r>
      <w:r w:rsidR="00E72919" w:rsidRPr="000C0842">
        <w:rPr>
          <w:rFonts w:eastAsia="SimSun" w:hint="eastAsia"/>
          <w:sz w:val="24"/>
          <w:szCs w:val="24"/>
        </w:rPr>
        <w:t>项</w:t>
      </w:r>
      <w:r w:rsidRPr="000C0842">
        <w:rPr>
          <w:rFonts w:eastAsia="SimSun"/>
          <w:sz w:val="24"/>
          <w:szCs w:val="24"/>
        </w:rPr>
        <w:t>订正决定草案</w:t>
      </w:r>
      <w:r w:rsidR="00AC5726" w:rsidRPr="000C0842">
        <w:rPr>
          <w:rFonts w:eastAsia="SimSun" w:hint="eastAsia"/>
          <w:sz w:val="24"/>
          <w:szCs w:val="24"/>
        </w:rPr>
        <w:t>，供</w:t>
      </w:r>
      <w:r w:rsidR="0042675D" w:rsidRPr="000C0842">
        <w:rPr>
          <w:rFonts w:eastAsia="SimSun"/>
          <w:sz w:val="24"/>
          <w:szCs w:val="24"/>
        </w:rPr>
        <w:t>稍后一次会议</w:t>
      </w:r>
      <w:r w:rsidRPr="000C0842">
        <w:rPr>
          <w:rFonts w:eastAsia="SimSun"/>
          <w:sz w:val="24"/>
          <w:szCs w:val="24"/>
        </w:rPr>
        <w:t>审议。</w:t>
      </w:r>
    </w:p>
    <w:p w14:paraId="04C74993" w14:textId="54F604D3"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31</w:t>
      </w:r>
      <w:r w:rsidRPr="000C0842">
        <w:rPr>
          <w:rFonts w:eastAsia="SimSun"/>
          <w:sz w:val="24"/>
          <w:szCs w:val="24"/>
        </w:rPr>
        <w:t>日第二工作组第</w:t>
      </w:r>
      <w:r w:rsidRPr="000C0842">
        <w:rPr>
          <w:rFonts w:eastAsia="SimSun"/>
          <w:sz w:val="24"/>
          <w:szCs w:val="24"/>
        </w:rPr>
        <w:t>10</w:t>
      </w:r>
      <w:r w:rsidR="004D27CF" w:rsidRPr="000C0842">
        <w:rPr>
          <w:rFonts w:eastAsia="SimSun"/>
          <w:sz w:val="24"/>
          <w:szCs w:val="24"/>
        </w:rPr>
        <w:t>场会议</w:t>
      </w:r>
      <w:r w:rsidRPr="000C0842">
        <w:rPr>
          <w:rFonts w:eastAsia="SimSun"/>
          <w:sz w:val="24"/>
          <w:szCs w:val="24"/>
        </w:rPr>
        <w:t>审议了主席在非正式磋商后提交的订正决定草案。</w:t>
      </w:r>
    </w:p>
    <w:p w14:paraId="6C5E3EE7" w14:textId="346EEA85" w:rsidR="00FD132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FD132F" w:rsidRPr="000C0842">
        <w:rPr>
          <w:rFonts w:eastAsia="SimSun"/>
          <w:sz w:val="24"/>
          <w:szCs w:val="24"/>
        </w:rPr>
        <w:t>的代表发</w:t>
      </w:r>
      <w:r w:rsidR="0042675D" w:rsidRPr="000C0842">
        <w:rPr>
          <w:rFonts w:eastAsia="SimSun"/>
          <w:sz w:val="24"/>
          <w:szCs w:val="24"/>
        </w:rPr>
        <w:t>了</w:t>
      </w:r>
      <w:r w:rsidR="00FD132F" w:rsidRPr="000C0842">
        <w:rPr>
          <w:rFonts w:eastAsia="SimSun"/>
          <w:sz w:val="24"/>
          <w:szCs w:val="24"/>
        </w:rPr>
        <w:t>言</w:t>
      </w:r>
      <w:r w:rsidR="00967832" w:rsidRPr="000C0842">
        <w:rPr>
          <w:rFonts w:eastAsia="SimSun"/>
          <w:sz w:val="24"/>
          <w:szCs w:val="24"/>
        </w:rPr>
        <w:t>：</w:t>
      </w:r>
      <w:r w:rsidR="00FD132F" w:rsidRPr="000C0842">
        <w:rPr>
          <w:rFonts w:eastAsia="SimSun"/>
          <w:sz w:val="24"/>
          <w:szCs w:val="24"/>
        </w:rPr>
        <w:t>阿根廷、多民族玻利维亚国、巴西、加拿大、欧洲联盟及其成员国、新西兰、俄罗斯联邦、沙特阿拉伯</w:t>
      </w:r>
      <w:r w:rsidR="002A5D1C" w:rsidRPr="000C0842">
        <w:rPr>
          <w:rFonts w:eastAsia="SimSun" w:hint="eastAsia"/>
          <w:sz w:val="24"/>
          <w:szCs w:val="24"/>
        </w:rPr>
        <w:t>、</w:t>
      </w:r>
      <w:r w:rsidR="00FD132F" w:rsidRPr="000C0842">
        <w:rPr>
          <w:rFonts w:eastAsia="SimSun"/>
          <w:sz w:val="24"/>
          <w:szCs w:val="24"/>
        </w:rPr>
        <w:t>联合王国。</w:t>
      </w:r>
    </w:p>
    <w:p w14:paraId="76A00E17" w14:textId="6DDCE6A2"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11</w:t>
      </w:r>
      <w:r w:rsidRPr="000C0842">
        <w:rPr>
          <w:rFonts w:eastAsia="SimSun"/>
          <w:sz w:val="24"/>
          <w:szCs w:val="24"/>
        </w:rPr>
        <w:t>月</w:t>
      </w:r>
      <w:r w:rsidRPr="000C0842">
        <w:rPr>
          <w:rFonts w:eastAsia="SimSun"/>
          <w:sz w:val="24"/>
          <w:szCs w:val="24"/>
        </w:rPr>
        <w:t>1</w:t>
      </w:r>
      <w:r w:rsidRPr="000C0842">
        <w:rPr>
          <w:rFonts w:eastAsia="SimSun"/>
          <w:sz w:val="24"/>
          <w:szCs w:val="24"/>
        </w:rPr>
        <w:t>日第二工作组第</w:t>
      </w:r>
      <w:r w:rsidRPr="000C0842">
        <w:rPr>
          <w:rFonts w:eastAsia="SimSun"/>
          <w:sz w:val="24"/>
          <w:szCs w:val="24"/>
        </w:rPr>
        <w:t>12</w:t>
      </w:r>
      <w:r w:rsidR="004D27CF" w:rsidRPr="000C0842">
        <w:rPr>
          <w:rFonts w:eastAsia="SimSun"/>
          <w:sz w:val="24"/>
          <w:szCs w:val="24"/>
        </w:rPr>
        <w:t>场会议</w:t>
      </w:r>
      <w:r w:rsidRPr="000C0842">
        <w:rPr>
          <w:rFonts w:eastAsia="SimSun"/>
          <w:sz w:val="24"/>
          <w:szCs w:val="24"/>
        </w:rPr>
        <w:t>继续审议订正决定草案。</w:t>
      </w:r>
    </w:p>
    <w:p w14:paraId="75497107" w14:textId="77777777" w:rsidR="00FD132F"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多民族玻利维亚国代表发了言。</w:t>
      </w:r>
    </w:p>
    <w:p w14:paraId="388E6E09" w14:textId="206F7F29" w:rsidR="0042675D" w:rsidRPr="000C0842"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第二工作组核准了经口头修正的订正决定草案，</w:t>
      </w:r>
      <w:r w:rsidR="005B5E6A"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CBD/COP/165/L.19</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6B357503" w14:textId="5136DDE4" w:rsidR="00FD132F" w:rsidRPr="000C0842" w:rsidRDefault="0042675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F0250B" w:rsidRPr="000C0842">
        <w:rPr>
          <w:rFonts w:eastAsia="SimSun" w:hint="eastAsia"/>
          <w:sz w:val="24"/>
          <w:szCs w:val="24"/>
        </w:rPr>
        <w:t>并通过</w:t>
      </w:r>
      <w:r w:rsidRPr="000C0842">
        <w:rPr>
          <w:rFonts w:eastAsia="SimSun"/>
          <w:sz w:val="24"/>
          <w:szCs w:val="24"/>
        </w:rPr>
        <w:t>了第二工作组主席提交的</w:t>
      </w:r>
      <w:r w:rsidRPr="000C0842">
        <w:rPr>
          <w:rFonts w:eastAsia="SimSun"/>
          <w:sz w:val="24"/>
          <w:szCs w:val="24"/>
        </w:rPr>
        <w:t>CBD/COP/16/L.19</w:t>
      </w:r>
      <w:r w:rsidRPr="000C0842">
        <w:rPr>
          <w:rFonts w:eastAsia="SimSun"/>
          <w:sz w:val="24"/>
          <w:szCs w:val="24"/>
        </w:rPr>
        <w:t>号决定草案</w:t>
      </w:r>
      <w:r w:rsidR="00F0250B" w:rsidRPr="000C0842">
        <w:rPr>
          <w:rFonts w:eastAsia="SimSun" w:hint="eastAsia"/>
          <w:sz w:val="24"/>
          <w:szCs w:val="24"/>
        </w:rPr>
        <w:t>，</w:t>
      </w:r>
      <w:r w:rsidRPr="000C0842">
        <w:rPr>
          <w:rFonts w:eastAsia="SimSun"/>
          <w:sz w:val="24"/>
          <w:szCs w:val="24"/>
        </w:rPr>
        <w:t>决定草案成为第</w:t>
      </w:r>
      <w:hyperlink r:id="rId413" w:history="1">
        <w:r w:rsidRPr="000C0842">
          <w:rPr>
            <w:rStyle w:val="Hyperlink"/>
            <w:rFonts w:eastAsia="SimSun"/>
            <w:color w:val="auto"/>
            <w:sz w:val="24"/>
            <w:szCs w:val="24"/>
          </w:rPr>
          <w:t>16/14</w:t>
        </w:r>
      </w:hyperlink>
      <w:r w:rsidRPr="000C0842">
        <w:rPr>
          <w:rFonts w:eastAsia="SimSun"/>
          <w:sz w:val="24"/>
          <w:szCs w:val="24"/>
        </w:rPr>
        <w:t>号决定。</w:t>
      </w:r>
    </w:p>
    <w:p w14:paraId="20A3CAEC" w14:textId="7D23E2AC" w:rsidR="00BE4712" w:rsidRPr="000C0842" w:rsidRDefault="00BE4712" w:rsidP="004E5EE5">
      <w:pPr>
        <w:pStyle w:val="a1"/>
        <w:ind w:left="0" w:right="0"/>
        <w:rPr>
          <w:rFonts w:hint="eastAsia"/>
          <w:bCs/>
          <w:lang w:eastAsia="zh-CN"/>
        </w:rPr>
      </w:pPr>
      <w:bookmarkStart w:id="169" w:name="_Toc206358255"/>
      <w:r w:rsidRPr="000C0842">
        <w:rPr>
          <w:lang w:eastAsia="zh-CN"/>
        </w:rPr>
        <w:t>项目</w:t>
      </w:r>
      <w:r w:rsidRPr="000C0842">
        <w:rPr>
          <w:lang w:eastAsia="zh-CN"/>
        </w:rPr>
        <w:t>19</w:t>
      </w:r>
      <w:r w:rsidRPr="000C0842">
        <w:rPr>
          <w:lang w:eastAsia="zh-CN"/>
        </w:rPr>
        <w:br/>
      </w:r>
      <w:r w:rsidRPr="000C0842">
        <w:rPr>
          <w:lang w:eastAsia="zh-CN"/>
        </w:rPr>
        <w:t>可持续的野生生物管理</w:t>
      </w:r>
      <w:bookmarkEnd w:id="169"/>
    </w:p>
    <w:p w14:paraId="1654C69B" w14:textId="4C90D310"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Pr="000C0842">
        <w:rPr>
          <w:rFonts w:eastAsia="SimSun"/>
          <w:sz w:val="24"/>
          <w:szCs w:val="24"/>
        </w:rPr>
        <w:t>场会议审议了议程项目</w:t>
      </w:r>
      <w:r w:rsidRPr="000C0842">
        <w:rPr>
          <w:rFonts w:eastAsia="SimSun"/>
          <w:sz w:val="24"/>
          <w:szCs w:val="24"/>
        </w:rPr>
        <w:t>19</w:t>
      </w:r>
      <w:r w:rsidRPr="000C0842">
        <w:rPr>
          <w:rFonts w:eastAsia="SimSun"/>
          <w:sz w:val="24"/>
          <w:szCs w:val="24"/>
        </w:rPr>
        <w:t>。工作组收到一项决定草案</w:t>
      </w:r>
      <w:r w:rsidRPr="000C0842">
        <w:rPr>
          <w:rStyle w:val="FootnoteReference"/>
          <w:sz w:val="24"/>
          <w:szCs w:val="24"/>
        </w:rPr>
        <w:footnoteReference w:id="597"/>
      </w:r>
      <w:r w:rsidRPr="000C0842">
        <w:rPr>
          <w:rFonts w:eastAsia="SimSun"/>
          <w:sz w:val="24"/>
          <w:szCs w:val="24"/>
        </w:rPr>
        <w:t>和秘书处关于可持续野生</w:t>
      </w:r>
      <w:r w:rsidR="00AC53E0" w:rsidRPr="000C0842">
        <w:rPr>
          <w:rFonts w:eastAsia="SimSun" w:hint="eastAsia"/>
          <w:sz w:val="24"/>
          <w:szCs w:val="24"/>
        </w:rPr>
        <w:t>生</w:t>
      </w:r>
      <w:r w:rsidRPr="000C0842">
        <w:rPr>
          <w:rFonts w:eastAsia="SimSun"/>
          <w:sz w:val="24"/>
          <w:szCs w:val="24"/>
        </w:rPr>
        <w:t>物管理各个领域和可能需要补充指导的领域的现有指导、工具和文件的说明</w:t>
      </w:r>
      <w:r w:rsidR="00887622" w:rsidRPr="000C0842">
        <w:rPr>
          <w:rFonts w:eastAsia="SimSun"/>
          <w:sz w:val="24"/>
          <w:szCs w:val="24"/>
          <w:vertAlign w:val="superscript"/>
        </w:rPr>
        <w:footnoteReference w:id="598"/>
      </w:r>
      <w:r w:rsidR="00207A77" w:rsidRPr="000C0842">
        <w:rPr>
          <w:rFonts w:eastAsia="SimSun" w:hint="eastAsia"/>
        </w:rPr>
        <w:t>。</w:t>
      </w:r>
      <w:r w:rsidRPr="000C0842">
        <w:rPr>
          <w:rFonts w:eastAsia="SimSun"/>
          <w:sz w:val="24"/>
          <w:szCs w:val="24"/>
        </w:rPr>
        <w:t>还就项目</w:t>
      </w:r>
      <w:r w:rsidRPr="000C0842">
        <w:rPr>
          <w:rFonts w:eastAsia="SimSun"/>
          <w:sz w:val="24"/>
          <w:szCs w:val="24"/>
        </w:rPr>
        <w:t>19</w:t>
      </w:r>
      <w:r w:rsidRPr="000C0842">
        <w:rPr>
          <w:rFonts w:eastAsia="SimSun"/>
          <w:sz w:val="24"/>
          <w:szCs w:val="24"/>
        </w:rPr>
        <w:t>印发了两份资料文件，一份载有差距分析，以确定在相关多边环境协定和主管政府间组织下制定的现有指导中未充分涵盖的领域</w:t>
      </w:r>
      <w:r w:rsidR="00887622" w:rsidRPr="000C0842">
        <w:rPr>
          <w:rFonts w:eastAsia="SimSun"/>
          <w:sz w:val="24"/>
          <w:szCs w:val="24"/>
          <w:vertAlign w:val="superscript"/>
        </w:rPr>
        <w:footnoteReference w:id="599"/>
      </w:r>
      <w:r w:rsidR="00887622" w:rsidRPr="000C0842">
        <w:rPr>
          <w:rFonts w:eastAsia="SimSun" w:hint="eastAsia"/>
        </w:rPr>
        <w:t xml:space="preserve"> </w:t>
      </w:r>
      <w:r w:rsidR="00207A77" w:rsidRPr="000C0842">
        <w:rPr>
          <w:rFonts w:eastAsia="SimSun" w:hint="eastAsia"/>
        </w:rPr>
        <w:t>，</w:t>
      </w:r>
      <w:r w:rsidRPr="000C0842">
        <w:rPr>
          <w:rFonts w:eastAsia="SimSun"/>
          <w:sz w:val="24"/>
          <w:szCs w:val="24"/>
        </w:rPr>
        <w:t>另一份载有对可能需要补充指导的可持续野生</w:t>
      </w:r>
      <w:r w:rsidR="00AC53E0" w:rsidRPr="000C0842">
        <w:rPr>
          <w:rFonts w:eastAsia="SimSun" w:hint="eastAsia"/>
          <w:sz w:val="24"/>
          <w:szCs w:val="24"/>
        </w:rPr>
        <w:t>生</w:t>
      </w:r>
      <w:r w:rsidRPr="000C0842">
        <w:rPr>
          <w:rFonts w:eastAsia="SimSun"/>
          <w:sz w:val="24"/>
          <w:szCs w:val="24"/>
        </w:rPr>
        <w:t>物管理各个领域的现有指导、工具和文件的补充分析</w:t>
      </w:r>
      <w:r w:rsidR="00887622" w:rsidRPr="000C0842">
        <w:rPr>
          <w:rFonts w:eastAsia="SimSun"/>
          <w:sz w:val="24"/>
          <w:szCs w:val="24"/>
          <w:vertAlign w:val="superscript"/>
        </w:rPr>
        <w:footnoteReference w:id="600"/>
      </w:r>
      <w:r w:rsidR="00207A77" w:rsidRPr="000C0842">
        <w:rPr>
          <w:rFonts w:eastAsia="SimSun" w:hint="eastAsia"/>
          <w:sz w:val="24"/>
          <w:szCs w:val="24"/>
        </w:rPr>
        <w:t>。</w:t>
      </w:r>
    </w:p>
    <w:p w14:paraId="4D53F602" w14:textId="7FC563DA" w:rsidR="0063663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下列缔约方</w:t>
      </w:r>
      <w:r w:rsidR="0063663F" w:rsidRPr="000C0842">
        <w:rPr>
          <w:rFonts w:eastAsia="SimSun"/>
          <w:sz w:val="24"/>
          <w:szCs w:val="24"/>
          <w:lang w:val="en-GB"/>
        </w:rPr>
        <w:t>的代表发了言</w:t>
      </w:r>
      <w:r w:rsidR="00967832" w:rsidRPr="000C0842">
        <w:rPr>
          <w:rFonts w:eastAsia="SimSun"/>
          <w:sz w:val="24"/>
          <w:szCs w:val="24"/>
          <w:lang w:val="en-GB"/>
        </w:rPr>
        <w:t>：</w:t>
      </w:r>
      <w:r w:rsidR="0063663F" w:rsidRPr="000C0842">
        <w:rPr>
          <w:rFonts w:eastAsia="SimSun"/>
          <w:sz w:val="24"/>
          <w:szCs w:val="24"/>
          <w:lang w:val="en-GB"/>
        </w:rPr>
        <w:t>阿根廷、巴西、欧洲联盟及其成员国、日本、联合王国、津巴布韦（代表非洲国家）。</w:t>
      </w:r>
    </w:p>
    <w:p w14:paraId="2911926E" w14:textId="5294A432"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rPr>
        <w:t>《濒危野生动植物种国际贸易公约》</w:t>
      </w:r>
      <w:r w:rsidRPr="000C0842">
        <w:rPr>
          <w:rFonts w:eastAsia="SimSun"/>
          <w:sz w:val="24"/>
          <w:szCs w:val="24"/>
          <w:lang w:val="en-GB"/>
        </w:rPr>
        <w:t>秘书处</w:t>
      </w:r>
      <w:r w:rsidR="00850399" w:rsidRPr="000C0842">
        <w:rPr>
          <w:rFonts w:eastAsia="SimSun" w:hint="eastAsia"/>
          <w:sz w:val="24"/>
          <w:szCs w:val="24"/>
          <w:lang w:val="en-GB"/>
        </w:rPr>
        <w:t>的</w:t>
      </w:r>
      <w:r w:rsidRPr="000C0842">
        <w:rPr>
          <w:rFonts w:eastAsia="SimSun"/>
          <w:sz w:val="24"/>
          <w:szCs w:val="24"/>
          <w:lang w:val="en-GB"/>
        </w:rPr>
        <w:t>代表（代表可持续</w:t>
      </w:r>
      <w:r w:rsidR="00AC53E0" w:rsidRPr="000C0842">
        <w:rPr>
          <w:rFonts w:eastAsia="SimSun"/>
          <w:sz w:val="24"/>
          <w:szCs w:val="24"/>
          <w:lang w:val="en-GB"/>
        </w:rPr>
        <w:t>野生生物</w:t>
      </w:r>
      <w:r w:rsidRPr="000C0842">
        <w:rPr>
          <w:rFonts w:eastAsia="SimSun"/>
          <w:sz w:val="24"/>
          <w:szCs w:val="24"/>
          <w:lang w:val="en-GB"/>
        </w:rPr>
        <w:t>管理合作伙伴关系）也发了言。</w:t>
      </w:r>
    </w:p>
    <w:p w14:paraId="222B486D" w14:textId="71740659" w:rsidR="0063663F" w:rsidRPr="000C0842" w:rsidRDefault="00AC53E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野生生物</w:t>
      </w:r>
      <w:r w:rsidR="0063663F" w:rsidRPr="000C0842">
        <w:rPr>
          <w:rFonts w:eastAsia="SimSun"/>
          <w:sz w:val="24"/>
          <w:szCs w:val="24"/>
          <w:lang w:val="en-GB"/>
        </w:rPr>
        <w:t>保护协会的代表</w:t>
      </w:r>
      <w:r w:rsidR="00850399" w:rsidRPr="000C0842">
        <w:rPr>
          <w:rFonts w:eastAsia="SimSun" w:hint="eastAsia"/>
          <w:sz w:val="24"/>
          <w:szCs w:val="24"/>
          <w:lang w:val="en-GB"/>
        </w:rPr>
        <w:t>也</w:t>
      </w:r>
      <w:r w:rsidR="0063663F" w:rsidRPr="000C0842">
        <w:rPr>
          <w:rFonts w:eastAsia="SimSun"/>
          <w:sz w:val="24"/>
          <w:szCs w:val="24"/>
          <w:lang w:val="en-GB"/>
        </w:rPr>
        <w:t>发</w:t>
      </w:r>
      <w:r w:rsidR="00850399" w:rsidRPr="000C0842">
        <w:rPr>
          <w:rFonts w:eastAsia="SimSun" w:hint="eastAsia"/>
          <w:sz w:val="24"/>
          <w:szCs w:val="24"/>
          <w:lang w:val="en-GB"/>
        </w:rPr>
        <w:t>了</w:t>
      </w:r>
      <w:r w:rsidR="0063663F" w:rsidRPr="000C0842">
        <w:rPr>
          <w:rFonts w:eastAsia="SimSun"/>
          <w:sz w:val="24"/>
          <w:szCs w:val="24"/>
          <w:lang w:val="en-GB"/>
        </w:rPr>
        <w:t>言。</w:t>
      </w:r>
    </w:p>
    <w:p w14:paraId="7186357E" w14:textId="0B246F09"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第二工作组商定，由主席就决定草案中悬而未决的问题特别是第</w:t>
      </w:r>
      <w:r w:rsidRPr="000C0842">
        <w:rPr>
          <w:rFonts w:eastAsia="SimSun"/>
          <w:sz w:val="24"/>
          <w:szCs w:val="24"/>
          <w:lang w:val="en-GB"/>
        </w:rPr>
        <w:t>5</w:t>
      </w:r>
      <w:r w:rsidRPr="000C0842">
        <w:rPr>
          <w:rFonts w:eastAsia="SimSun"/>
          <w:sz w:val="24"/>
          <w:szCs w:val="24"/>
          <w:lang w:val="en-GB"/>
        </w:rPr>
        <w:t>段中的问题与缔约方进行非正式</w:t>
      </w:r>
      <w:r w:rsidRPr="000C0842">
        <w:rPr>
          <w:rFonts w:eastAsia="SimSun"/>
          <w:sz w:val="24"/>
          <w:szCs w:val="24"/>
        </w:rPr>
        <w:t>磋商</w:t>
      </w:r>
      <w:r w:rsidRPr="000C0842">
        <w:rPr>
          <w:rFonts w:eastAsia="SimSun"/>
          <w:sz w:val="24"/>
          <w:szCs w:val="24"/>
          <w:lang w:val="en-GB"/>
        </w:rPr>
        <w:t>，</w:t>
      </w:r>
      <w:r w:rsidR="00AC5726" w:rsidRPr="000C0842">
        <w:rPr>
          <w:rFonts w:eastAsia="SimSun" w:hint="eastAsia"/>
          <w:sz w:val="24"/>
          <w:szCs w:val="24"/>
          <w:lang w:val="en-GB"/>
        </w:rPr>
        <w:t>拟定</w:t>
      </w:r>
      <w:r w:rsidRPr="000C0842">
        <w:rPr>
          <w:rFonts w:eastAsia="SimSun"/>
          <w:sz w:val="24"/>
          <w:szCs w:val="24"/>
          <w:lang w:val="en-GB"/>
        </w:rPr>
        <w:t>一份订正决定草案</w:t>
      </w:r>
      <w:r w:rsidR="00AC5726" w:rsidRPr="000C0842">
        <w:rPr>
          <w:rFonts w:eastAsia="SimSun" w:hint="eastAsia"/>
          <w:sz w:val="24"/>
          <w:szCs w:val="24"/>
          <w:lang w:val="en-GB"/>
        </w:rPr>
        <w:t>，供</w:t>
      </w:r>
      <w:r w:rsidRPr="000C0842">
        <w:rPr>
          <w:rFonts w:eastAsia="SimSun"/>
          <w:sz w:val="24"/>
          <w:szCs w:val="24"/>
          <w:lang w:val="en-GB"/>
        </w:rPr>
        <w:t>稍后一次会议审议。</w:t>
      </w:r>
    </w:p>
    <w:p w14:paraId="44BF0FF2" w14:textId="0F07AB69"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smartTag w:uri="urn:schemas-microsoft-com:office:smarttags" w:element="chsdate">
        <w:smartTagPr>
          <w:attr w:name="IsROCDate" w:val="False"/>
          <w:attr w:name="IsLunarDate" w:val="False"/>
          <w:attr w:name="Day" w:val="24"/>
          <w:attr w:name="Month" w:val="10"/>
          <w:attr w:name="Year" w:val="2024"/>
        </w:smartTagP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24</w:t>
        </w:r>
        <w:r w:rsidRPr="000C0842">
          <w:rPr>
            <w:rFonts w:eastAsia="SimSun"/>
            <w:sz w:val="24"/>
            <w:szCs w:val="24"/>
            <w:lang w:val="en-GB"/>
          </w:rPr>
          <w:t>日</w:t>
        </w:r>
      </w:smartTag>
      <w:r w:rsidRPr="000C0842">
        <w:rPr>
          <w:rFonts w:eastAsia="SimSun"/>
          <w:sz w:val="24"/>
          <w:szCs w:val="24"/>
          <w:lang w:val="en-GB"/>
        </w:rPr>
        <w:t>第二工作组第</w:t>
      </w:r>
      <w:r w:rsidRPr="000C0842">
        <w:rPr>
          <w:rFonts w:eastAsia="SimSun"/>
          <w:sz w:val="24"/>
          <w:szCs w:val="24"/>
          <w:lang w:val="en-GB"/>
        </w:rPr>
        <w:t>4</w:t>
      </w:r>
      <w:r w:rsidRPr="000C0842">
        <w:rPr>
          <w:rFonts w:eastAsia="SimSun"/>
          <w:sz w:val="24"/>
          <w:szCs w:val="24"/>
          <w:lang w:val="en-GB"/>
        </w:rPr>
        <w:t>场会议审议了主席提交的订正决定草案。</w:t>
      </w:r>
    </w:p>
    <w:p w14:paraId="70D3836A" w14:textId="3C23DAF4" w:rsidR="0063663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下列缔约方</w:t>
      </w:r>
      <w:r w:rsidR="0063663F" w:rsidRPr="000C0842">
        <w:rPr>
          <w:rFonts w:eastAsia="SimSun"/>
          <w:sz w:val="24"/>
          <w:szCs w:val="24"/>
          <w:lang w:val="en-GB"/>
        </w:rPr>
        <w:t>的</w:t>
      </w:r>
      <w:r w:rsidR="0063663F" w:rsidRPr="000C0842">
        <w:rPr>
          <w:rFonts w:eastAsia="SimSun"/>
          <w:sz w:val="24"/>
          <w:szCs w:val="24"/>
        </w:rPr>
        <w:t>代表</w:t>
      </w:r>
      <w:r w:rsidR="0063663F" w:rsidRPr="000C0842">
        <w:rPr>
          <w:rFonts w:eastAsia="SimSun"/>
          <w:sz w:val="24"/>
          <w:szCs w:val="24"/>
          <w:lang w:val="en-GB"/>
        </w:rPr>
        <w:t>发了言</w:t>
      </w:r>
      <w:r w:rsidR="00967832" w:rsidRPr="000C0842">
        <w:rPr>
          <w:rFonts w:eastAsia="SimSun"/>
          <w:sz w:val="24"/>
          <w:szCs w:val="24"/>
          <w:lang w:val="en-GB"/>
        </w:rPr>
        <w:t>：</w:t>
      </w:r>
      <w:r w:rsidR="0063663F" w:rsidRPr="000C0842">
        <w:rPr>
          <w:rFonts w:eastAsia="SimSun"/>
          <w:sz w:val="24"/>
          <w:szCs w:val="24"/>
          <w:lang w:val="en-GB"/>
        </w:rPr>
        <w:t>欧洲联盟及其成员国、摩洛哥、挪威、俄罗斯联邦。</w:t>
      </w:r>
    </w:p>
    <w:p w14:paraId="7D6564CD" w14:textId="32FB218F"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smartTag w:uri="urn:schemas-microsoft-com:office:smarttags" w:element="chsdate">
        <w:smartTagPr>
          <w:attr w:name="IsROCDate" w:val="False"/>
          <w:attr w:name="IsLunarDate" w:val="False"/>
          <w:attr w:name="Day" w:val="24"/>
          <w:attr w:name="Month" w:val="10"/>
          <w:attr w:name="Year" w:val="2024"/>
        </w:smartTagP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24</w:t>
        </w:r>
        <w:r w:rsidRPr="000C0842">
          <w:rPr>
            <w:rFonts w:eastAsia="SimSun"/>
            <w:sz w:val="24"/>
            <w:szCs w:val="24"/>
            <w:lang w:val="en-GB"/>
          </w:rPr>
          <w:t>日</w:t>
        </w:r>
      </w:smartTag>
      <w:r w:rsidRPr="000C0842">
        <w:rPr>
          <w:rFonts w:eastAsia="SimSun"/>
          <w:sz w:val="24"/>
          <w:szCs w:val="24"/>
          <w:lang w:val="en-GB"/>
        </w:rPr>
        <w:t>第二</w:t>
      </w:r>
      <w:r w:rsidRPr="000C0842">
        <w:rPr>
          <w:rFonts w:eastAsia="SimSun"/>
          <w:sz w:val="24"/>
          <w:szCs w:val="24"/>
        </w:rPr>
        <w:t>工作组</w:t>
      </w:r>
      <w:r w:rsidRPr="000C0842">
        <w:rPr>
          <w:rFonts w:eastAsia="SimSun"/>
          <w:sz w:val="24"/>
          <w:szCs w:val="24"/>
          <w:lang w:val="en-GB"/>
        </w:rPr>
        <w:t>第</w:t>
      </w:r>
      <w:r w:rsidRPr="000C0842">
        <w:rPr>
          <w:rFonts w:eastAsia="SimSun"/>
          <w:sz w:val="24"/>
          <w:szCs w:val="24"/>
          <w:lang w:val="en-GB"/>
        </w:rPr>
        <w:t>5</w:t>
      </w:r>
      <w:r w:rsidRPr="000C0842">
        <w:rPr>
          <w:rFonts w:eastAsia="SimSun"/>
          <w:sz w:val="24"/>
          <w:szCs w:val="24"/>
          <w:lang w:val="en-GB"/>
        </w:rPr>
        <w:t>场会议继续</w:t>
      </w:r>
      <w:r w:rsidR="00850399" w:rsidRPr="000C0842">
        <w:rPr>
          <w:rFonts w:eastAsia="SimSun" w:hint="eastAsia"/>
          <w:sz w:val="24"/>
          <w:szCs w:val="24"/>
          <w:lang w:val="en-GB"/>
        </w:rPr>
        <w:t>审议</w:t>
      </w:r>
      <w:r w:rsidRPr="000C0842">
        <w:rPr>
          <w:rFonts w:eastAsia="SimSun"/>
          <w:sz w:val="24"/>
          <w:szCs w:val="24"/>
          <w:lang w:val="en-GB"/>
        </w:rPr>
        <w:t>订正决定草案。</w:t>
      </w:r>
    </w:p>
    <w:p w14:paraId="35D910DF" w14:textId="28A783B1" w:rsidR="0063663F"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下列缔约方</w:t>
      </w:r>
      <w:r w:rsidR="0063663F" w:rsidRPr="000C0842">
        <w:rPr>
          <w:rFonts w:eastAsia="SimSun"/>
          <w:sz w:val="24"/>
          <w:szCs w:val="24"/>
          <w:lang w:val="en-GB"/>
        </w:rPr>
        <w:t>的代表发了言</w:t>
      </w:r>
      <w:r w:rsidR="00967832" w:rsidRPr="000C0842">
        <w:rPr>
          <w:rFonts w:eastAsia="SimSun"/>
          <w:sz w:val="24"/>
          <w:szCs w:val="24"/>
          <w:lang w:val="en-GB"/>
        </w:rPr>
        <w:t>：</w:t>
      </w:r>
      <w:r w:rsidR="0063663F" w:rsidRPr="000C0842">
        <w:rPr>
          <w:rFonts w:eastAsia="SimSun"/>
          <w:sz w:val="24"/>
          <w:szCs w:val="24"/>
          <w:lang w:val="en-GB"/>
        </w:rPr>
        <w:t>阿根廷、巴西、布基纳法索、加拿大、智利、中国、哥伦比亚、刚果民主共和国、欧洲联盟及其成员国、印度、日本、马达加斯加、墨西哥、新西兰、</w:t>
      </w:r>
      <w:r w:rsidR="0063663F" w:rsidRPr="000C0842">
        <w:rPr>
          <w:rFonts w:eastAsia="SimSun"/>
          <w:sz w:val="24"/>
          <w:szCs w:val="24"/>
        </w:rPr>
        <w:t>挪威</w:t>
      </w:r>
      <w:r w:rsidR="0063663F" w:rsidRPr="000C0842">
        <w:rPr>
          <w:rFonts w:eastAsia="SimSun"/>
          <w:sz w:val="24"/>
          <w:szCs w:val="24"/>
          <w:lang w:val="en-GB"/>
        </w:rPr>
        <w:t>、俄罗斯联邦、南非、多哥、联合王国、赞比亚、津巴布韦。</w:t>
      </w:r>
    </w:p>
    <w:p w14:paraId="6369135A" w14:textId="4FA69C60"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养护移徙物种公约秘书处的代表也发了言。</w:t>
      </w:r>
    </w:p>
    <w:p w14:paraId="51184374" w14:textId="7C436A08"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野生生物保护协会的代表</w:t>
      </w:r>
      <w:r w:rsidR="00850399" w:rsidRPr="000C0842">
        <w:rPr>
          <w:rFonts w:eastAsia="SimSun" w:hint="eastAsia"/>
          <w:sz w:val="24"/>
          <w:szCs w:val="24"/>
          <w:lang w:val="en-GB"/>
        </w:rPr>
        <w:t>也</w:t>
      </w:r>
      <w:r w:rsidRPr="000C0842">
        <w:rPr>
          <w:rFonts w:eastAsia="SimSun"/>
          <w:sz w:val="24"/>
          <w:szCs w:val="24"/>
          <w:lang w:val="en-GB"/>
        </w:rPr>
        <w:t>发了言。</w:t>
      </w:r>
    </w:p>
    <w:p w14:paraId="2AE0983A" w14:textId="3D0C6AF1" w:rsidR="0063663F" w:rsidRPr="000C0842"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工作组核准了</w:t>
      </w:r>
      <w:r w:rsidRPr="000C0842">
        <w:rPr>
          <w:rFonts w:eastAsia="SimSun"/>
          <w:sz w:val="24"/>
          <w:szCs w:val="24"/>
        </w:rPr>
        <w:t>经口</w:t>
      </w:r>
      <w:r w:rsidRPr="000C0842">
        <w:rPr>
          <w:rFonts w:eastAsia="SimSun"/>
          <w:sz w:val="24"/>
          <w:szCs w:val="24"/>
          <w:lang w:val="en-GB"/>
        </w:rPr>
        <w:t>头修正的订正决定草案，</w:t>
      </w:r>
      <w:r w:rsidR="005B5E6A" w:rsidRPr="000C0842">
        <w:rPr>
          <w:rFonts w:eastAsia="SimSun" w:hint="eastAsia"/>
          <w:sz w:val="24"/>
          <w:szCs w:val="24"/>
          <w:lang w:val="en-GB"/>
        </w:rPr>
        <w:t>将其</w:t>
      </w:r>
      <w:r w:rsidRPr="000C0842">
        <w:rPr>
          <w:rFonts w:eastAsia="SimSun"/>
          <w:sz w:val="24"/>
          <w:szCs w:val="24"/>
          <w:lang w:val="en-GB"/>
        </w:rPr>
        <w:t>作为</w:t>
      </w:r>
      <w:r w:rsidRPr="000C0842">
        <w:rPr>
          <w:rFonts w:eastAsia="SimSun"/>
          <w:sz w:val="24"/>
          <w:szCs w:val="24"/>
          <w:lang w:val="en-GB"/>
        </w:rPr>
        <w:t>CBD/COP/16/L.2</w:t>
      </w:r>
      <w:r w:rsidRPr="000C0842">
        <w:rPr>
          <w:rFonts w:eastAsia="SimSun"/>
          <w:sz w:val="24"/>
          <w:szCs w:val="24"/>
          <w:lang w:val="en-GB"/>
        </w:rPr>
        <w:t>号决定草案提交全体会议。</w:t>
      </w:r>
    </w:p>
    <w:p w14:paraId="64F16091" w14:textId="6BCE0C69" w:rsidR="00BE4712" w:rsidRPr="000C0842"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Pr="000C0842">
        <w:rPr>
          <w:sz w:val="24"/>
          <w:szCs w:val="24"/>
        </w:rPr>
        <w:t>2</w:t>
      </w:r>
      <w:r w:rsidRPr="000C0842">
        <w:rPr>
          <w:rFonts w:eastAsia="SimSun"/>
          <w:sz w:val="24"/>
          <w:szCs w:val="24"/>
        </w:rPr>
        <w:t>场全体会议审议了第二工作组主席提交的</w:t>
      </w:r>
      <w:r w:rsidRPr="000C0842">
        <w:rPr>
          <w:sz w:val="24"/>
          <w:szCs w:val="24"/>
        </w:rPr>
        <w:t>CBD/COP/16/L.2</w:t>
      </w:r>
      <w:r w:rsidR="00FC2FC8" w:rsidRPr="000C0842">
        <w:rPr>
          <w:rFonts w:eastAsia="SimSun"/>
          <w:sz w:val="24"/>
          <w:szCs w:val="24"/>
        </w:rPr>
        <w:t>号决定草案</w:t>
      </w:r>
      <w:r w:rsidRPr="000C0842">
        <w:rPr>
          <w:rFonts w:eastAsia="SimSun"/>
          <w:sz w:val="24"/>
          <w:szCs w:val="24"/>
        </w:rPr>
        <w:t>。</w:t>
      </w:r>
    </w:p>
    <w:p w14:paraId="1B1281EE" w14:textId="478799A1" w:rsidR="00BE4712"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下列缔约方</w:t>
      </w:r>
      <w:r w:rsidR="00BE4712" w:rsidRPr="000C0842">
        <w:rPr>
          <w:rFonts w:eastAsia="SimSun"/>
          <w:sz w:val="24"/>
          <w:szCs w:val="24"/>
        </w:rPr>
        <w:t>的代表发了言</w:t>
      </w:r>
      <w:r w:rsidR="00967832" w:rsidRPr="000C0842">
        <w:rPr>
          <w:rFonts w:eastAsia="SimSun"/>
          <w:sz w:val="24"/>
          <w:szCs w:val="24"/>
        </w:rPr>
        <w:t>：</w:t>
      </w:r>
      <w:r w:rsidR="00BE4712" w:rsidRPr="000C0842">
        <w:rPr>
          <w:rFonts w:eastAsia="SimSun"/>
          <w:sz w:val="24"/>
          <w:szCs w:val="24"/>
        </w:rPr>
        <w:t>阿根廷、巴西、布基纳法索、加拿大、智利、刚果民主共和国、欧洲联盟及其成员国、斐济、危地马拉、</w:t>
      </w:r>
      <w:r w:rsidR="00F0250B" w:rsidRPr="000C0842">
        <w:rPr>
          <w:rFonts w:eastAsia="SimSun" w:hint="eastAsia"/>
          <w:sz w:val="24"/>
          <w:szCs w:val="24"/>
        </w:rPr>
        <w:t>日本、</w:t>
      </w:r>
      <w:r w:rsidR="00BE4712" w:rsidRPr="000C0842">
        <w:rPr>
          <w:rFonts w:eastAsia="SimSun"/>
          <w:sz w:val="24"/>
          <w:szCs w:val="24"/>
        </w:rPr>
        <w:t>俄罗斯联邦、沙特阿拉伯、联合王国、瓦努阿图、津巴布韦。</w:t>
      </w:r>
    </w:p>
    <w:p w14:paraId="300F467A" w14:textId="753B5917" w:rsidR="00BE4712" w:rsidRPr="000C0842"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bookmarkStart w:id="170" w:name="_Hlk180940921"/>
      <w:r w:rsidRPr="000C0842">
        <w:rPr>
          <w:rFonts w:eastAsia="SimSun"/>
          <w:sz w:val="24"/>
          <w:szCs w:val="24"/>
        </w:rPr>
        <w:t>缔约方大会通过了经口头修正的决定草案，</w:t>
      </w:r>
      <w:r w:rsidR="00850399" w:rsidRPr="000C0842">
        <w:rPr>
          <w:rFonts w:eastAsia="SimSun" w:hint="eastAsia"/>
          <w:sz w:val="24"/>
          <w:szCs w:val="24"/>
        </w:rPr>
        <w:t>决定草案</w:t>
      </w:r>
      <w:r w:rsidRPr="000C0842">
        <w:rPr>
          <w:rFonts w:eastAsia="SimSun"/>
          <w:sz w:val="24"/>
          <w:szCs w:val="24"/>
        </w:rPr>
        <w:t>成为第</w:t>
      </w:r>
      <w:hyperlink r:id="rId414" w:history="1">
        <w:r w:rsidRPr="000C0842">
          <w:rPr>
            <w:rStyle w:val="Hyperlink"/>
            <w:color w:val="auto"/>
            <w:sz w:val="24"/>
            <w:szCs w:val="24"/>
          </w:rPr>
          <w:t>16/</w:t>
        </w:r>
        <w:r w:rsidR="0063663F" w:rsidRPr="000C0842">
          <w:rPr>
            <w:rStyle w:val="Hyperlink"/>
            <w:color w:val="auto"/>
            <w:sz w:val="24"/>
            <w:szCs w:val="24"/>
          </w:rPr>
          <w:t>15</w:t>
        </w:r>
      </w:hyperlink>
      <w:r w:rsidRPr="000C0842">
        <w:rPr>
          <w:rFonts w:eastAsia="SimSun"/>
          <w:sz w:val="24"/>
          <w:szCs w:val="24"/>
        </w:rPr>
        <w:t>号决定。</w:t>
      </w:r>
    </w:p>
    <w:bookmarkEnd w:id="170"/>
    <w:p w14:paraId="550F86F1" w14:textId="6FA4212C" w:rsidR="00BE4712" w:rsidRPr="000C0842" w:rsidRDefault="00850399"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hint="eastAsia"/>
          <w:sz w:val="24"/>
          <w:szCs w:val="24"/>
        </w:rPr>
        <w:t>随后</w:t>
      </w:r>
      <w:r w:rsidR="00BE4712" w:rsidRPr="000C0842">
        <w:rPr>
          <w:rFonts w:eastAsia="SimSun"/>
          <w:sz w:val="24"/>
          <w:szCs w:val="24"/>
        </w:rPr>
        <w:t>阿根廷和巴西代表对决定第</w:t>
      </w:r>
      <w:r w:rsidR="00BE4712" w:rsidRPr="000C0842">
        <w:rPr>
          <w:sz w:val="24"/>
          <w:szCs w:val="24"/>
        </w:rPr>
        <w:t>4</w:t>
      </w:r>
      <w:r w:rsidR="00BE4712" w:rsidRPr="000C0842">
        <w:rPr>
          <w:rFonts w:eastAsia="SimSun"/>
          <w:sz w:val="24"/>
          <w:szCs w:val="24"/>
        </w:rPr>
        <w:t>（</w:t>
      </w:r>
      <w:r w:rsidR="00BE4712" w:rsidRPr="000C0842">
        <w:rPr>
          <w:sz w:val="24"/>
          <w:szCs w:val="24"/>
        </w:rPr>
        <w:t>h</w:t>
      </w:r>
      <w:r w:rsidR="00BE4712" w:rsidRPr="000C0842">
        <w:rPr>
          <w:rFonts w:eastAsia="SimSun"/>
          <w:sz w:val="24"/>
          <w:szCs w:val="24"/>
        </w:rPr>
        <w:t>）段表示保留</w:t>
      </w:r>
      <w:r w:rsidR="0063663F" w:rsidRPr="000C0842">
        <w:rPr>
          <w:rFonts w:eastAsia="SimSun"/>
          <w:sz w:val="24"/>
          <w:szCs w:val="24"/>
        </w:rPr>
        <w:t>，明确表示他们不同意</w:t>
      </w:r>
      <w:r w:rsidR="0063663F" w:rsidRPr="000C0842">
        <w:rPr>
          <w:rFonts w:ascii="SimSun" w:eastAsia="SimSun" w:hAnsi="SimSun"/>
          <w:sz w:val="24"/>
          <w:szCs w:val="24"/>
        </w:rPr>
        <w:t>“</w:t>
      </w:r>
      <w:r w:rsidR="0063663F" w:rsidRPr="000C0842">
        <w:rPr>
          <w:rFonts w:eastAsia="SimSun"/>
          <w:sz w:val="24"/>
          <w:szCs w:val="24"/>
        </w:rPr>
        <w:t>导致不可持续做法的技术发展</w:t>
      </w:r>
      <w:r w:rsidR="0063663F" w:rsidRPr="000C0842">
        <w:rPr>
          <w:rFonts w:ascii="SimSun" w:eastAsia="SimSun" w:hAnsi="SimSun"/>
          <w:sz w:val="24"/>
          <w:szCs w:val="24"/>
        </w:rPr>
        <w:t>”</w:t>
      </w:r>
      <w:r w:rsidR="0063663F" w:rsidRPr="000C0842">
        <w:rPr>
          <w:rFonts w:eastAsia="SimSun"/>
          <w:sz w:val="24"/>
          <w:szCs w:val="24"/>
        </w:rPr>
        <w:t>这一短语。</w:t>
      </w:r>
    </w:p>
    <w:p w14:paraId="4064787D" w14:textId="3B08001F" w:rsidR="00BA2BD0" w:rsidRPr="000C0842" w:rsidRDefault="00BA2BD0" w:rsidP="004E5EE5">
      <w:pPr>
        <w:pStyle w:val="a1"/>
        <w:ind w:left="0" w:right="0"/>
        <w:rPr>
          <w:rFonts w:ascii="SimSun" w:hAnsi="SimSun"/>
          <w:bCs/>
          <w:szCs w:val="24"/>
          <w:lang w:eastAsia="zh-CN"/>
        </w:rPr>
      </w:pPr>
      <w:bookmarkStart w:id="171" w:name="_Toc206358256"/>
      <w:r w:rsidRPr="000C0842">
        <w:rPr>
          <w:lang w:eastAsia="zh-CN"/>
        </w:rPr>
        <w:t>项目</w:t>
      </w:r>
      <w:r w:rsidRPr="000C0842">
        <w:rPr>
          <w:lang w:eastAsia="zh-CN"/>
        </w:rPr>
        <w:t>20</w:t>
      </w:r>
      <w:r w:rsidR="00887622" w:rsidRPr="000C0842">
        <w:rPr>
          <w:lang w:eastAsia="zh-CN"/>
        </w:rPr>
        <w:br/>
      </w:r>
      <w:r w:rsidRPr="000C0842">
        <w:rPr>
          <w:lang w:eastAsia="zh-CN"/>
        </w:rPr>
        <w:t>海洋和沿海生物多样性以及岛屿生物多样性</w:t>
      </w:r>
      <w:bookmarkEnd w:id="171"/>
    </w:p>
    <w:p w14:paraId="26E39FDB" w14:textId="0045AACD" w:rsidR="006F41F7" w:rsidRPr="000C0842"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711AF2"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20</w:t>
      </w:r>
      <w:r w:rsidRPr="000C0842">
        <w:rPr>
          <w:rFonts w:eastAsia="SimSun"/>
          <w:sz w:val="24"/>
          <w:szCs w:val="24"/>
        </w:rPr>
        <w:t>。工作组收到两项决定草案，一项涉及关于具有重要生态或生物意义的海洋区域的进一步工作，另一项涉及海洋和沿海生物多样性</w:t>
      </w:r>
      <w:r w:rsidR="00711AF2" w:rsidRPr="000C0842">
        <w:rPr>
          <w:rFonts w:eastAsia="SimSun"/>
          <w:sz w:val="24"/>
          <w:szCs w:val="24"/>
        </w:rPr>
        <w:t>及岛屿生物多样性</w:t>
      </w:r>
      <w:r w:rsidRPr="000C0842">
        <w:rPr>
          <w:rFonts w:eastAsia="SimSun"/>
          <w:sz w:val="24"/>
          <w:szCs w:val="24"/>
        </w:rPr>
        <w:t>的养护和可持续利用</w:t>
      </w:r>
      <w:r w:rsidR="00C00848" w:rsidRPr="000C0842">
        <w:rPr>
          <w:rStyle w:val="FootnoteReference"/>
          <w:sz w:val="24"/>
          <w:szCs w:val="24"/>
        </w:rPr>
        <w:footnoteReference w:id="601"/>
      </w:r>
      <w:r w:rsidR="00C00848" w:rsidRPr="000C0842">
        <w:rPr>
          <w:rFonts w:eastAsia="SimSun" w:hint="eastAsia"/>
          <w:sz w:val="24"/>
          <w:szCs w:val="24"/>
        </w:rPr>
        <w:t xml:space="preserve"> </w:t>
      </w:r>
      <w:r w:rsidR="00207A77" w:rsidRPr="000C0842">
        <w:rPr>
          <w:rFonts w:eastAsia="SimSun" w:hint="eastAsia"/>
          <w:sz w:val="24"/>
          <w:szCs w:val="24"/>
        </w:rPr>
        <w:t>。</w:t>
      </w:r>
      <w:r w:rsidRPr="000C0842">
        <w:rPr>
          <w:rFonts w:eastAsia="SimSun"/>
          <w:sz w:val="24"/>
          <w:szCs w:val="24"/>
        </w:rPr>
        <w:t>还就项目</w:t>
      </w:r>
      <w:r w:rsidRPr="000C0842">
        <w:rPr>
          <w:rFonts w:eastAsia="SimSun"/>
          <w:sz w:val="24"/>
          <w:szCs w:val="24"/>
        </w:rPr>
        <w:t>20</w:t>
      </w:r>
      <w:r w:rsidRPr="000C0842">
        <w:rPr>
          <w:rFonts w:eastAsia="SimSun"/>
          <w:sz w:val="24"/>
          <w:szCs w:val="24"/>
        </w:rPr>
        <w:t>印发了一份资料文件，其中载有关于修改具有重要生态或生物意义的海洋区域</w:t>
      </w:r>
      <w:r w:rsidR="00D37B78" w:rsidRPr="000C0842">
        <w:rPr>
          <w:rFonts w:eastAsia="SimSun" w:hint="eastAsia"/>
          <w:sz w:val="24"/>
          <w:szCs w:val="24"/>
        </w:rPr>
        <w:t>的</w:t>
      </w:r>
      <w:r w:rsidRPr="000C0842">
        <w:rPr>
          <w:rFonts w:eastAsia="SimSun"/>
          <w:sz w:val="24"/>
          <w:szCs w:val="24"/>
        </w:rPr>
        <w:t>描述和描述新区域模式草案的进一步信息</w:t>
      </w:r>
      <w:r w:rsidR="00C00848" w:rsidRPr="000C0842">
        <w:rPr>
          <w:rStyle w:val="FootnoteReference"/>
          <w:sz w:val="24"/>
          <w:szCs w:val="24"/>
          <w:lang w:val="en-GB"/>
        </w:rPr>
        <w:footnoteReference w:id="602"/>
      </w:r>
      <w:r w:rsidR="00207A77" w:rsidRPr="000C0842">
        <w:rPr>
          <w:rFonts w:eastAsia="SimSun" w:hint="eastAsia"/>
          <w:sz w:val="24"/>
          <w:szCs w:val="24"/>
        </w:rPr>
        <w:t>。</w:t>
      </w:r>
    </w:p>
    <w:p w14:paraId="0578596C" w14:textId="5B7DF398" w:rsidR="006F41F7" w:rsidRPr="000C0842"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第二工作组商定设立一个联络小组，由</w:t>
      </w:r>
      <w:r w:rsidRPr="000C0842">
        <w:rPr>
          <w:rFonts w:eastAsia="SimSun"/>
          <w:sz w:val="24"/>
          <w:szCs w:val="24"/>
        </w:rPr>
        <w:t>Erica Lucero</w:t>
      </w:r>
      <w:r w:rsidRPr="000C0842">
        <w:rPr>
          <w:rFonts w:eastAsia="SimSun"/>
          <w:sz w:val="24"/>
          <w:szCs w:val="24"/>
        </w:rPr>
        <w:t>（阿根廷）和</w:t>
      </w:r>
      <w:r w:rsidRPr="000C0842">
        <w:rPr>
          <w:rFonts w:eastAsia="SimSun"/>
          <w:sz w:val="24"/>
          <w:szCs w:val="24"/>
        </w:rPr>
        <w:t>Gaute Hanssen</w:t>
      </w:r>
      <w:r w:rsidRPr="000C0842">
        <w:rPr>
          <w:rFonts w:eastAsia="SimSun"/>
          <w:sz w:val="24"/>
          <w:szCs w:val="24"/>
        </w:rPr>
        <w:t>（挪威）担任共同主席，负责完成决定草案的定稿，重点解决反映在决定草案各处方括号中</w:t>
      </w:r>
      <w:r w:rsidR="00053F19" w:rsidRPr="000C0842">
        <w:rPr>
          <w:rFonts w:eastAsia="SimSun" w:hint="eastAsia"/>
          <w:sz w:val="24"/>
          <w:szCs w:val="24"/>
        </w:rPr>
        <w:t>的</w:t>
      </w:r>
      <w:r w:rsidR="00053F19" w:rsidRPr="000C0842">
        <w:rPr>
          <w:rFonts w:eastAsia="SimSun"/>
          <w:sz w:val="24"/>
          <w:szCs w:val="24"/>
        </w:rPr>
        <w:t>意见分歧</w:t>
      </w:r>
      <w:r w:rsidRPr="000C0842">
        <w:rPr>
          <w:rFonts w:eastAsia="SimSun"/>
          <w:sz w:val="24"/>
          <w:szCs w:val="24"/>
        </w:rPr>
        <w:t>，并花时间审议</w:t>
      </w:r>
      <w:r w:rsidR="00711AF2" w:rsidRPr="000C0842">
        <w:rPr>
          <w:rFonts w:eastAsia="SimSun"/>
          <w:sz w:val="24"/>
          <w:szCs w:val="24"/>
        </w:rPr>
        <w:t>后一项</w:t>
      </w:r>
      <w:r w:rsidRPr="000C0842">
        <w:rPr>
          <w:rFonts w:eastAsia="SimSun"/>
          <w:sz w:val="24"/>
          <w:szCs w:val="24"/>
        </w:rPr>
        <w:t>决定草案附件，因为科学、技术和工艺咨询附属机构尚未详细讨论。</w:t>
      </w:r>
    </w:p>
    <w:p w14:paraId="750B34EF" w14:textId="3CF96E9E" w:rsidR="006F41F7" w:rsidRPr="000C0842" w:rsidRDefault="006F41F7" w:rsidP="00C00848">
      <w:pPr>
        <w:keepNext/>
        <w:tabs>
          <w:tab w:val="clear" w:pos="567"/>
          <w:tab w:val="clear" w:pos="1134"/>
          <w:tab w:val="clear" w:pos="1701"/>
          <w:tab w:val="clear" w:pos="2268"/>
          <w:tab w:val="left" w:pos="1080"/>
        </w:tabs>
        <w:spacing w:after="120"/>
        <w:ind w:firstLine="450"/>
        <w:jc w:val="left"/>
        <w:rPr>
          <w:rFonts w:eastAsia="KaiTi"/>
          <w:snapToGrid w:val="0"/>
          <w:sz w:val="24"/>
          <w:szCs w:val="24"/>
        </w:rPr>
      </w:pPr>
      <w:r w:rsidRPr="000C0842">
        <w:rPr>
          <w:rFonts w:eastAsia="KaiTi"/>
          <w:snapToGrid w:val="0"/>
          <w:sz w:val="24"/>
          <w:szCs w:val="24"/>
        </w:rPr>
        <w:t>关于具有重要生态或生物意义的海洋区域的进一步工作</w:t>
      </w:r>
    </w:p>
    <w:p w14:paraId="49FAB793" w14:textId="379B5C31" w:rsidR="006F41F7" w:rsidRPr="000C0842"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00711AF2" w:rsidRPr="000C0842">
        <w:rPr>
          <w:rFonts w:eastAsia="SimSun"/>
          <w:sz w:val="24"/>
          <w:szCs w:val="24"/>
        </w:rPr>
        <w:t>9</w:t>
      </w:r>
      <w:r w:rsidR="00711AF2" w:rsidRPr="000C0842">
        <w:rPr>
          <w:rFonts w:eastAsia="SimSun"/>
          <w:sz w:val="24"/>
          <w:szCs w:val="24"/>
        </w:rPr>
        <w:t>场</w:t>
      </w:r>
      <w:r w:rsidRPr="000C0842">
        <w:rPr>
          <w:rFonts w:eastAsia="SimSun"/>
          <w:sz w:val="24"/>
          <w:szCs w:val="24"/>
        </w:rPr>
        <w:t>会议审议了主席在联络小组讨论后提交的订正决定草案。</w:t>
      </w:r>
    </w:p>
    <w:p w14:paraId="32615AE5" w14:textId="244BA99C" w:rsidR="006F41F7"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6F41F7" w:rsidRPr="000C0842">
        <w:rPr>
          <w:rFonts w:eastAsia="SimSun"/>
          <w:sz w:val="24"/>
          <w:szCs w:val="24"/>
        </w:rPr>
        <w:t>的代表</w:t>
      </w:r>
      <w:r w:rsidR="001C1443" w:rsidRPr="000C0842">
        <w:rPr>
          <w:rFonts w:eastAsia="SimSun"/>
          <w:sz w:val="24"/>
          <w:szCs w:val="24"/>
        </w:rPr>
        <w:t>发了言</w:t>
      </w:r>
      <w:r w:rsidR="00967832" w:rsidRPr="000C0842">
        <w:rPr>
          <w:rFonts w:eastAsia="SimSun"/>
          <w:sz w:val="24"/>
          <w:szCs w:val="24"/>
        </w:rPr>
        <w:t>：</w:t>
      </w:r>
      <w:r w:rsidR="006F41F7" w:rsidRPr="000C0842">
        <w:rPr>
          <w:rFonts w:eastAsia="SimSun"/>
          <w:sz w:val="24"/>
          <w:szCs w:val="24"/>
        </w:rPr>
        <w:t>阿根廷、巴西、加拿大、智利、埃及、欧洲联盟及其成员国、以色列、秘鲁、俄罗斯联邦</w:t>
      </w:r>
      <w:r w:rsidR="00EB234D" w:rsidRPr="000C0842">
        <w:rPr>
          <w:rFonts w:eastAsia="SimSun" w:hint="eastAsia"/>
          <w:sz w:val="24"/>
          <w:szCs w:val="24"/>
        </w:rPr>
        <w:t>、</w:t>
      </w:r>
      <w:r w:rsidR="006F41F7" w:rsidRPr="000C0842">
        <w:rPr>
          <w:rFonts w:eastAsia="SimSun"/>
          <w:sz w:val="24"/>
          <w:szCs w:val="24"/>
        </w:rPr>
        <w:t>土耳其。</w:t>
      </w:r>
    </w:p>
    <w:p w14:paraId="5BE8CA86" w14:textId="2C2C5D84" w:rsidR="006F41F7" w:rsidRPr="000C0842"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第二工作组核准了经口头修正的订正决定草案，</w:t>
      </w:r>
      <w:r w:rsidR="005B5E6A"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CBD/COP/16/L.8</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454F3174" w14:textId="3A45B240" w:rsidR="00711AF2" w:rsidRPr="000C0842" w:rsidRDefault="00AE366C"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w:t>
      </w:r>
      <w:r w:rsidR="00BA2BD0" w:rsidRPr="000C0842">
        <w:rPr>
          <w:rFonts w:eastAsia="SimSun"/>
          <w:sz w:val="24"/>
          <w:szCs w:val="24"/>
        </w:rPr>
        <w:t>第</w:t>
      </w:r>
      <w:r w:rsidR="00BA2BD0" w:rsidRPr="000C0842">
        <w:rPr>
          <w:rFonts w:eastAsia="SimSun"/>
          <w:sz w:val="24"/>
          <w:szCs w:val="24"/>
        </w:rPr>
        <w:t>2</w:t>
      </w:r>
      <w:r w:rsidR="00BA2BD0" w:rsidRPr="000C0842">
        <w:rPr>
          <w:rFonts w:eastAsia="SimSun"/>
          <w:sz w:val="24"/>
          <w:szCs w:val="24"/>
        </w:rPr>
        <w:t>场全体会议审议</w:t>
      </w:r>
      <w:r w:rsidR="00F0250B" w:rsidRPr="000C0842">
        <w:rPr>
          <w:rFonts w:eastAsia="SimSun" w:hint="eastAsia"/>
          <w:sz w:val="24"/>
          <w:szCs w:val="24"/>
        </w:rPr>
        <w:t>并通过</w:t>
      </w:r>
      <w:r w:rsidR="00BA2BD0" w:rsidRPr="000C0842">
        <w:rPr>
          <w:rFonts w:eastAsia="SimSun"/>
          <w:sz w:val="24"/>
          <w:szCs w:val="24"/>
        </w:rPr>
        <w:t>了第二工作组主席提交的</w:t>
      </w:r>
      <w:r w:rsidR="00BA2BD0" w:rsidRPr="000C0842">
        <w:rPr>
          <w:rFonts w:eastAsia="SimSun"/>
          <w:sz w:val="24"/>
          <w:szCs w:val="24"/>
        </w:rPr>
        <w:t>CBD/COP/16/L.8</w:t>
      </w:r>
      <w:r w:rsidR="00FC2FC8" w:rsidRPr="000C0842">
        <w:rPr>
          <w:rFonts w:eastAsia="SimSun"/>
          <w:sz w:val="24"/>
          <w:szCs w:val="24"/>
        </w:rPr>
        <w:t>号决定草案</w:t>
      </w:r>
      <w:r w:rsidR="00BA2BD0" w:rsidRPr="000C0842">
        <w:rPr>
          <w:rFonts w:eastAsia="SimSun"/>
          <w:sz w:val="24"/>
          <w:szCs w:val="24"/>
        </w:rPr>
        <w:t>，决定草案成为第</w:t>
      </w:r>
      <w:hyperlink r:id="rId415" w:history="1">
        <w:r w:rsidR="00BA2BD0" w:rsidRPr="000C0842">
          <w:rPr>
            <w:rStyle w:val="Hyperlink"/>
            <w:rFonts w:eastAsia="SimSun"/>
            <w:color w:val="auto"/>
            <w:sz w:val="24"/>
            <w:szCs w:val="24"/>
          </w:rPr>
          <w:t>16/</w:t>
        </w:r>
        <w:r w:rsidR="00711AF2" w:rsidRPr="000C0842">
          <w:rPr>
            <w:rStyle w:val="Hyperlink"/>
            <w:rFonts w:eastAsia="SimSun"/>
            <w:color w:val="auto"/>
            <w:sz w:val="24"/>
            <w:szCs w:val="24"/>
          </w:rPr>
          <w:t>16</w:t>
        </w:r>
      </w:hyperlink>
      <w:r w:rsidR="00BA2BD0" w:rsidRPr="000C0842">
        <w:rPr>
          <w:rFonts w:eastAsia="SimSun"/>
          <w:sz w:val="24"/>
          <w:szCs w:val="24"/>
        </w:rPr>
        <w:t>号决定。</w:t>
      </w:r>
    </w:p>
    <w:p w14:paraId="6AEDED7C" w14:textId="6F457D3D" w:rsidR="00BA2BD0" w:rsidRPr="000C0842" w:rsidRDefault="00711AF2"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通过</w:t>
      </w:r>
      <w:r w:rsidR="00850399" w:rsidRPr="000C0842">
        <w:rPr>
          <w:rFonts w:eastAsia="SimSun" w:hint="eastAsia"/>
          <w:sz w:val="24"/>
          <w:szCs w:val="24"/>
        </w:rPr>
        <w:t>决定时</w:t>
      </w:r>
      <w:r w:rsidRPr="000C0842">
        <w:rPr>
          <w:rFonts w:eastAsia="SimSun"/>
          <w:sz w:val="24"/>
          <w:szCs w:val="24"/>
        </w:rPr>
        <w:t>，欧洲联盟及其成员国和希腊的代表</w:t>
      </w:r>
      <w:r w:rsidR="00061190" w:rsidRPr="000C0842">
        <w:rPr>
          <w:rFonts w:eastAsia="SimSun" w:hint="eastAsia"/>
          <w:sz w:val="24"/>
          <w:szCs w:val="24"/>
        </w:rPr>
        <w:t>发了言</w:t>
      </w:r>
      <w:r w:rsidRPr="000C0842">
        <w:rPr>
          <w:rFonts w:eastAsia="SimSun"/>
          <w:sz w:val="24"/>
          <w:szCs w:val="24"/>
        </w:rPr>
        <w:t>。</w:t>
      </w:r>
    </w:p>
    <w:p w14:paraId="158C9DF7" w14:textId="0556D758" w:rsidR="00BA2BD0" w:rsidRPr="000C0842" w:rsidRDefault="00BA2BD0" w:rsidP="00053F19">
      <w:pPr>
        <w:pStyle w:val="ListParagraph"/>
        <w:tabs>
          <w:tab w:val="clear" w:pos="567"/>
          <w:tab w:val="clear" w:pos="1134"/>
          <w:tab w:val="clear" w:pos="1701"/>
          <w:tab w:val="clear" w:pos="2268"/>
          <w:tab w:val="left" w:pos="1080"/>
        </w:tabs>
        <w:spacing w:before="120" w:after="120"/>
        <w:ind w:left="490" w:firstLine="0"/>
        <w:contextualSpacing w:val="0"/>
        <w:jc w:val="left"/>
        <w:rPr>
          <w:rFonts w:eastAsia="SimSun"/>
          <w:sz w:val="24"/>
          <w:szCs w:val="24"/>
        </w:rPr>
      </w:pPr>
      <w:r w:rsidRPr="000C0842">
        <w:rPr>
          <w:rFonts w:eastAsia="SimSun"/>
          <w:sz w:val="24"/>
          <w:szCs w:val="24"/>
        </w:rPr>
        <w:t>欧洲联盟及其成员国的代表指出，</w:t>
      </w:r>
      <w:r w:rsidR="00C069F2" w:rsidRPr="000C0842">
        <w:rPr>
          <w:rFonts w:eastAsia="SimSun" w:hint="eastAsia"/>
          <w:sz w:val="24"/>
          <w:szCs w:val="24"/>
        </w:rPr>
        <w:t>关于因</w:t>
      </w:r>
      <w:r w:rsidRPr="000C0842">
        <w:rPr>
          <w:rFonts w:eastAsia="SimSun"/>
          <w:sz w:val="24"/>
          <w:szCs w:val="24"/>
        </w:rPr>
        <w:t>呈件所涉一个区域的相关主权、主权权利或管辖权存在权利主张或争议</w:t>
      </w:r>
      <w:r w:rsidR="00053F19" w:rsidRPr="000C0842">
        <w:rPr>
          <w:rFonts w:eastAsia="SimSun" w:hint="eastAsia"/>
          <w:sz w:val="24"/>
          <w:szCs w:val="24"/>
        </w:rPr>
        <w:t>而</w:t>
      </w:r>
      <w:r w:rsidR="00053F19" w:rsidRPr="000C0842">
        <w:rPr>
          <w:rFonts w:eastAsia="SimSun"/>
          <w:sz w:val="24"/>
          <w:szCs w:val="24"/>
        </w:rPr>
        <w:t>反对</w:t>
      </w:r>
      <w:r w:rsidRPr="000C0842">
        <w:rPr>
          <w:rFonts w:eastAsia="SimSun"/>
          <w:sz w:val="24"/>
          <w:szCs w:val="24"/>
        </w:rPr>
        <w:t>将描述或修改</w:t>
      </w:r>
      <w:r w:rsidR="00053F19" w:rsidRPr="000C0842">
        <w:rPr>
          <w:rFonts w:eastAsia="SimSun" w:hint="eastAsia"/>
          <w:sz w:val="24"/>
          <w:szCs w:val="24"/>
        </w:rPr>
        <w:t>收</w:t>
      </w:r>
      <w:r w:rsidRPr="000C0842">
        <w:rPr>
          <w:rFonts w:eastAsia="SimSun"/>
          <w:sz w:val="24"/>
          <w:szCs w:val="24"/>
        </w:rPr>
        <w:t>入具有重要生态或生物意义的海洋区域数据存储库或信息共享机制</w:t>
      </w:r>
      <w:r w:rsidR="00C069F2" w:rsidRPr="000C0842">
        <w:rPr>
          <w:rFonts w:eastAsia="SimSun" w:hint="eastAsia"/>
          <w:sz w:val="24"/>
          <w:szCs w:val="24"/>
        </w:rPr>
        <w:t>的可能性的</w:t>
      </w:r>
      <w:r w:rsidR="00C069F2" w:rsidRPr="000C0842">
        <w:rPr>
          <w:rFonts w:eastAsia="SimSun"/>
          <w:sz w:val="24"/>
          <w:szCs w:val="24"/>
        </w:rPr>
        <w:t>附件第</w:t>
      </w:r>
      <w:r w:rsidR="00C069F2" w:rsidRPr="000C0842">
        <w:rPr>
          <w:rFonts w:eastAsia="SimSun"/>
          <w:sz w:val="24"/>
          <w:szCs w:val="24"/>
        </w:rPr>
        <w:t>5</w:t>
      </w:r>
      <w:r w:rsidR="00C069F2" w:rsidRPr="000C0842">
        <w:rPr>
          <w:rFonts w:eastAsia="SimSun"/>
          <w:sz w:val="24"/>
          <w:szCs w:val="24"/>
        </w:rPr>
        <w:t>段</w:t>
      </w:r>
      <w:r w:rsidRPr="000C0842">
        <w:rPr>
          <w:rFonts w:eastAsia="SimSun"/>
          <w:sz w:val="24"/>
          <w:szCs w:val="24"/>
        </w:rPr>
        <w:t>，</w:t>
      </w:r>
      <w:r w:rsidR="00C069F2" w:rsidRPr="000C0842">
        <w:rPr>
          <w:rFonts w:eastAsia="SimSun" w:hint="eastAsia"/>
          <w:sz w:val="24"/>
          <w:szCs w:val="24"/>
        </w:rPr>
        <w:t>并</w:t>
      </w:r>
      <w:r w:rsidRPr="000C0842">
        <w:rPr>
          <w:rFonts w:eastAsia="SimSun"/>
          <w:sz w:val="24"/>
          <w:szCs w:val="24"/>
        </w:rPr>
        <w:t>不妨碍决定第</w:t>
      </w:r>
      <w:r w:rsidRPr="000C0842">
        <w:rPr>
          <w:rFonts w:eastAsia="SimSun"/>
          <w:sz w:val="24"/>
          <w:szCs w:val="24"/>
        </w:rPr>
        <w:t>3</w:t>
      </w:r>
      <w:r w:rsidRPr="000C0842">
        <w:rPr>
          <w:rFonts w:eastAsia="SimSun"/>
          <w:sz w:val="24"/>
          <w:szCs w:val="24"/>
        </w:rPr>
        <w:t>段。</w:t>
      </w:r>
    </w:p>
    <w:p w14:paraId="2C3A64DA" w14:textId="486C0DEF" w:rsidR="009E418B" w:rsidRPr="000C0842" w:rsidRDefault="00BA2BD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KaiTi"/>
          <w:snapToGrid w:val="0"/>
          <w:sz w:val="24"/>
          <w:szCs w:val="24"/>
        </w:rPr>
      </w:pPr>
      <w:r w:rsidRPr="000C0842">
        <w:rPr>
          <w:rFonts w:eastAsia="SimSun"/>
          <w:sz w:val="24"/>
          <w:szCs w:val="24"/>
        </w:rPr>
        <w:t>希腊代表强调必须根据</w:t>
      </w:r>
      <w:r w:rsidR="009B66C0" w:rsidRPr="000C0842">
        <w:rPr>
          <w:rFonts w:eastAsia="SimSun" w:hint="eastAsia"/>
          <w:sz w:val="24"/>
          <w:szCs w:val="24"/>
        </w:rPr>
        <w:t>体现</w:t>
      </w:r>
      <w:r w:rsidR="00235332" w:rsidRPr="000C0842">
        <w:rPr>
          <w:rFonts w:eastAsia="SimSun"/>
          <w:sz w:val="24"/>
          <w:szCs w:val="24"/>
        </w:rPr>
        <w:t>习惯国际法</w:t>
      </w:r>
      <w:r w:rsidR="00235332" w:rsidRPr="000C0842">
        <w:rPr>
          <w:rFonts w:eastAsia="SimSun" w:hint="eastAsia"/>
          <w:sz w:val="24"/>
          <w:szCs w:val="24"/>
        </w:rPr>
        <w:t>的</w:t>
      </w:r>
      <w:r w:rsidRPr="000C0842">
        <w:rPr>
          <w:rFonts w:eastAsia="SimSun"/>
          <w:sz w:val="24"/>
          <w:szCs w:val="24"/>
        </w:rPr>
        <w:t>《联合国海洋法公约》尊重沿海国的主权、主权权利和管辖权。他认为，该决定附件第</w:t>
      </w:r>
      <w:r w:rsidRPr="000C0842">
        <w:rPr>
          <w:rFonts w:eastAsia="SimSun"/>
          <w:sz w:val="24"/>
          <w:szCs w:val="24"/>
        </w:rPr>
        <w:t>5</w:t>
      </w:r>
      <w:r w:rsidRPr="000C0842">
        <w:rPr>
          <w:rFonts w:eastAsia="SimSun"/>
          <w:sz w:val="24"/>
          <w:szCs w:val="24"/>
        </w:rPr>
        <w:t>段没有适当</w:t>
      </w:r>
      <w:r w:rsidR="009B66C0" w:rsidRPr="000C0842">
        <w:rPr>
          <w:rFonts w:eastAsia="SimSun" w:hint="eastAsia"/>
          <w:sz w:val="24"/>
          <w:szCs w:val="24"/>
        </w:rPr>
        <w:t>体现</w:t>
      </w:r>
      <w:r w:rsidRPr="000C0842">
        <w:rPr>
          <w:rFonts w:eastAsia="SimSun"/>
          <w:sz w:val="24"/>
          <w:szCs w:val="24"/>
        </w:rPr>
        <w:t>这一基本规则，该段的措辞也不符合其他情况下的相关</w:t>
      </w:r>
      <w:r w:rsidR="00B03948" w:rsidRPr="000C0842">
        <w:rPr>
          <w:rFonts w:eastAsia="SimSun" w:hint="eastAsia"/>
          <w:sz w:val="24"/>
          <w:szCs w:val="24"/>
        </w:rPr>
        <w:t>用语</w:t>
      </w:r>
      <w:r w:rsidRPr="000C0842">
        <w:rPr>
          <w:rFonts w:eastAsia="SimSun"/>
          <w:sz w:val="24"/>
          <w:szCs w:val="24"/>
        </w:rPr>
        <w:t>和方法。此外，他强调该决定第</w:t>
      </w:r>
      <w:r w:rsidRPr="000C0842">
        <w:rPr>
          <w:rFonts w:eastAsia="SimSun"/>
          <w:sz w:val="24"/>
          <w:szCs w:val="24"/>
        </w:rPr>
        <w:t>3</w:t>
      </w:r>
      <w:r w:rsidR="0094027D" w:rsidRPr="000C0842">
        <w:rPr>
          <w:rFonts w:eastAsia="SimSun"/>
          <w:sz w:val="24"/>
          <w:szCs w:val="24"/>
        </w:rPr>
        <w:t>段</w:t>
      </w:r>
      <w:r w:rsidRPr="000C0842">
        <w:rPr>
          <w:rFonts w:eastAsia="SimSun"/>
          <w:sz w:val="24"/>
          <w:szCs w:val="24"/>
        </w:rPr>
        <w:t>规定，对具有重要生态或生物意义的海洋区域的描述的修改和对符合此类区域标准的新区域的描述纯属科技活动，根据该决定采取的任何行动或开展的任何活动不应妨碍任何主权、主权权利或管辖权主张，也不应作为提出或否认此种主张的依据，包括与此有关的任何争议。</w:t>
      </w:r>
    </w:p>
    <w:p w14:paraId="5CB7D7AF" w14:textId="05BCD714" w:rsidR="009E418B" w:rsidRPr="000C0842" w:rsidRDefault="009B66C0" w:rsidP="00C00848">
      <w:pPr>
        <w:keepNext/>
        <w:tabs>
          <w:tab w:val="clear" w:pos="567"/>
          <w:tab w:val="clear" w:pos="1134"/>
          <w:tab w:val="clear" w:pos="1701"/>
          <w:tab w:val="clear" w:pos="2268"/>
          <w:tab w:val="left" w:pos="1080"/>
        </w:tabs>
        <w:spacing w:after="120"/>
        <w:ind w:firstLine="450"/>
        <w:jc w:val="left"/>
        <w:rPr>
          <w:rFonts w:eastAsia="KaiTi"/>
          <w:snapToGrid w:val="0"/>
          <w:sz w:val="24"/>
          <w:szCs w:val="24"/>
        </w:rPr>
      </w:pPr>
      <w:r w:rsidRPr="000C0842">
        <w:rPr>
          <w:rFonts w:eastAsia="KaiTi"/>
          <w:snapToGrid w:val="0"/>
          <w:sz w:val="24"/>
          <w:szCs w:val="24"/>
        </w:rPr>
        <w:t>保护和可持续利用</w:t>
      </w:r>
      <w:r w:rsidR="009E418B" w:rsidRPr="000C0842">
        <w:rPr>
          <w:rFonts w:eastAsia="KaiTi"/>
          <w:snapToGrid w:val="0"/>
          <w:sz w:val="24"/>
          <w:szCs w:val="24"/>
        </w:rPr>
        <w:t>海洋和沿海生物多样性</w:t>
      </w:r>
      <w:r w:rsidR="00E459D5" w:rsidRPr="000C0842">
        <w:rPr>
          <w:rFonts w:eastAsia="KaiTi"/>
          <w:snapToGrid w:val="0"/>
          <w:sz w:val="24"/>
          <w:szCs w:val="24"/>
        </w:rPr>
        <w:t>和岛屿生物多样性</w:t>
      </w:r>
    </w:p>
    <w:p w14:paraId="13DA44E5" w14:textId="1633D33E"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lang w:val="en-GB"/>
        </w:rPr>
        <w:t>第二工作组</w:t>
      </w:r>
      <w:r w:rsidRPr="000C0842">
        <w:rPr>
          <w:rFonts w:eastAsia="SimSun"/>
          <w:sz w:val="24"/>
          <w:szCs w:val="24"/>
        </w:rPr>
        <w:t>第</w:t>
      </w:r>
      <w:r w:rsidRPr="000C0842">
        <w:rPr>
          <w:rFonts w:eastAsia="SimSun"/>
          <w:sz w:val="24"/>
          <w:szCs w:val="24"/>
        </w:rPr>
        <w:t>9</w:t>
      </w:r>
      <w:r w:rsidR="00E459D5" w:rsidRPr="000C0842">
        <w:rPr>
          <w:rFonts w:eastAsia="SimSun"/>
          <w:sz w:val="24"/>
          <w:szCs w:val="24"/>
        </w:rPr>
        <w:t>场</w:t>
      </w:r>
      <w:r w:rsidRPr="000C0842">
        <w:rPr>
          <w:rFonts w:eastAsia="SimSun"/>
          <w:sz w:val="24"/>
          <w:szCs w:val="24"/>
        </w:rPr>
        <w:t>会议审议了主席在联络小组讨论后提交的一项订正决定草案。</w:t>
      </w:r>
    </w:p>
    <w:p w14:paraId="3791C362" w14:textId="3AA14252"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阿根廷、智利、哥伦比亚、埃及、欧洲联盟及其成员国、冰岛、印度、巴拿马、多哥</w:t>
      </w:r>
      <w:r w:rsidR="002A5D1C" w:rsidRPr="000C0842">
        <w:rPr>
          <w:rFonts w:eastAsia="SimSun" w:hint="eastAsia"/>
          <w:sz w:val="24"/>
          <w:szCs w:val="24"/>
        </w:rPr>
        <w:t>、</w:t>
      </w:r>
      <w:r w:rsidRPr="000C0842">
        <w:rPr>
          <w:rFonts w:eastAsia="SimSun"/>
          <w:sz w:val="24"/>
          <w:szCs w:val="24"/>
        </w:rPr>
        <w:t>联合王国。</w:t>
      </w:r>
    </w:p>
    <w:p w14:paraId="6E01574C" w14:textId="6A997830"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10</w:t>
      </w:r>
      <w:r w:rsidR="00E459D5" w:rsidRPr="000C0842">
        <w:rPr>
          <w:rFonts w:eastAsia="SimSun"/>
          <w:sz w:val="24"/>
          <w:szCs w:val="24"/>
        </w:rPr>
        <w:t>场</w:t>
      </w:r>
      <w:r w:rsidRPr="000C0842">
        <w:rPr>
          <w:rFonts w:eastAsia="SimSun"/>
          <w:sz w:val="24"/>
          <w:szCs w:val="24"/>
        </w:rPr>
        <w:t>会议继续审议订正决定草案。</w:t>
      </w:r>
    </w:p>
    <w:p w14:paraId="447EF080" w14:textId="0070F674"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阿根廷、巴西、加拿大、智利、中国、哥伦比亚、库克群岛、欧洲联盟及其成员国、冰岛、印度、以色列、日本、马尔代夫、摩洛哥、挪威、巴拿马、秘鲁、菲律宾、俄罗斯联邦、索马里、南非</w:t>
      </w:r>
      <w:r w:rsidR="002A5D1C" w:rsidRPr="000C0842">
        <w:rPr>
          <w:rFonts w:eastAsia="SimSun" w:hint="eastAsia"/>
          <w:sz w:val="24"/>
          <w:szCs w:val="24"/>
        </w:rPr>
        <w:t>、</w:t>
      </w:r>
      <w:r w:rsidRPr="000C0842">
        <w:rPr>
          <w:rFonts w:eastAsia="SimSun"/>
          <w:sz w:val="24"/>
          <w:szCs w:val="24"/>
        </w:rPr>
        <w:t>联合王国。</w:t>
      </w:r>
    </w:p>
    <w:p w14:paraId="54DD3BEF" w14:textId="71D0F573"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第二工作组商定，将</w:t>
      </w:r>
      <w:r w:rsidR="00A62FA8" w:rsidRPr="000C0842">
        <w:rPr>
          <w:rFonts w:eastAsia="SimSun"/>
          <w:sz w:val="24"/>
          <w:szCs w:val="24"/>
        </w:rPr>
        <w:t>召集一个感兴趣缔约方小组</w:t>
      </w:r>
      <w:r w:rsidRPr="000C0842">
        <w:rPr>
          <w:rFonts w:eastAsia="SimSun"/>
          <w:sz w:val="24"/>
          <w:szCs w:val="24"/>
        </w:rPr>
        <w:t>，</w:t>
      </w:r>
      <w:r w:rsidR="009B66C0" w:rsidRPr="000C0842">
        <w:rPr>
          <w:rFonts w:eastAsia="SimSun" w:hint="eastAsia"/>
          <w:sz w:val="24"/>
          <w:szCs w:val="24"/>
        </w:rPr>
        <w:t>负责</w:t>
      </w:r>
      <w:r w:rsidRPr="000C0842">
        <w:rPr>
          <w:rFonts w:eastAsia="SimSun"/>
          <w:sz w:val="24"/>
          <w:szCs w:val="24"/>
        </w:rPr>
        <w:t>解决悬而未决的问题，</w:t>
      </w:r>
      <w:r w:rsidR="00F0250B" w:rsidRPr="000C0842">
        <w:rPr>
          <w:rFonts w:eastAsia="SimSun" w:hint="eastAsia"/>
          <w:sz w:val="24"/>
          <w:szCs w:val="24"/>
        </w:rPr>
        <w:t>拟定</w:t>
      </w:r>
      <w:r w:rsidRPr="000C0842">
        <w:rPr>
          <w:rFonts w:eastAsia="SimSun"/>
          <w:sz w:val="24"/>
          <w:szCs w:val="24"/>
        </w:rPr>
        <w:t>一份</w:t>
      </w:r>
      <w:r w:rsidR="00E459D5" w:rsidRPr="000C0842">
        <w:rPr>
          <w:rFonts w:eastAsia="SimSun"/>
          <w:sz w:val="24"/>
          <w:szCs w:val="24"/>
        </w:rPr>
        <w:t>进一步订正</w:t>
      </w:r>
      <w:r w:rsidRPr="000C0842">
        <w:rPr>
          <w:rFonts w:eastAsia="SimSun"/>
          <w:sz w:val="24"/>
          <w:szCs w:val="24"/>
        </w:rPr>
        <w:t>案文</w:t>
      </w:r>
      <w:r w:rsidR="00AC5726" w:rsidRPr="000C0842">
        <w:rPr>
          <w:rFonts w:eastAsia="SimSun" w:hint="eastAsia"/>
          <w:sz w:val="24"/>
          <w:szCs w:val="24"/>
        </w:rPr>
        <w:t>，供</w:t>
      </w:r>
      <w:r w:rsidR="00E459D5" w:rsidRPr="000C0842">
        <w:rPr>
          <w:rFonts w:eastAsia="SimSun"/>
          <w:sz w:val="24"/>
          <w:szCs w:val="24"/>
        </w:rPr>
        <w:t>稍后一次会议</w:t>
      </w:r>
      <w:r w:rsidRPr="000C0842">
        <w:rPr>
          <w:rFonts w:eastAsia="SimSun"/>
          <w:sz w:val="24"/>
          <w:szCs w:val="24"/>
        </w:rPr>
        <w:t>审议。</w:t>
      </w:r>
    </w:p>
    <w:p w14:paraId="46512D12" w14:textId="786520F4"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12</w:t>
      </w:r>
      <w:r w:rsidR="00E459D5" w:rsidRPr="000C0842">
        <w:rPr>
          <w:rFonts w:eastAsia="SimSun"/>
          <w:sz w:val="24"/>
          <w:szCs w:val="24"/>
        </w:rPr>
        <w:t>场</w:t>
      </w:r>
      <w:r w:rsidRPr="000C0842">
        <w:rPr>
          <w:rFonts w:eastAsia="SimSun"/>
          <w:sz w:val="24"/>
          <w:szCs w:val="24"/>
        </w:rPr>
        <w:t>会议审议</w:t>
      </w:r>
      <w:r w:rsidR="00E459D5" w:rsidRPr="000C0842">
        <w:rPr>
          <w:rFonts w:eastAsia="SimSun"/>
          <w:sz w:val="24"/>
          <w:szCs w:val="24"/>
        </w:rPr>
        <w:t>了</w:t>
      </w:r>
      <w:r w:rsidR="009B66C0" w:rsidRPr="000C0842">
        <w:rPr>
          <w:rFonts w:eastAsia="SimSun" w:hint="eastAsia"/>
          <w:sz w:val="24"/>
          <w:szCs w:val="24"/>
        </w:rPr>
        <w:t>经</w:t>
      </w:r>
      <w:r w:rsidR="00E459D5" w:rsidRPr="000C0842">
        <w:rPr>
          <w:rFonts w:eastAsia="SimSun"/>
          <w:sz w:val="24"/>
          <w:szCs w:val="24"/>
        </w:rPr>
        <w:t>进一步</w:t>
      </w:r>
      <w:r w:rsidRPr="000C0842">
        <w:rPr>
          <w:rFonts w:eastAsia="SimSun"/>
          <w:sz w:val="24"/>
          <w:szCs w:val="24"/>
        </w:rPr>
        <w:t>订正</w:t>
      </w:r>
      <w:r w:rsidR="00E459D5" w:rsidRPr="000C0842">
        <w:rPr>
          <w:rFonts w:eastAsia="SimSun"/>
          <w:sz w:val="24"/>
          <w:szCs w:val="24"/>
        </w:rPr>
        <w:t>的</w:t>
      </w:r>
      <w:r w:rsidRPr="000C0842">
        <w:rPr>
          <w:rFonts w:eastAsia="SimSun"/>
          <w:sz w:val="24"/>
          <w:szCs w:val="24"/>
        </w:rPr>
        <w:t>决定草案。</w:t>
      </w:r>
    </w:p>
    <w:p w14:paraId="333ADEEF" w14:textId="0AA3AE32"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感兴趣缔约方小组的主持人宣读了小组商定的</w:t>
      </w:r>
      <w:r w:rsidR="00F0250B" w:rsidRPr="000C0842">
        <w:rPr>
          <w:rFonts w:eastAsia="SimSun" w:hint="eastAsia"/>
          <w:sz w:val="24"/>
          <w:szCs w:val="24"/>
        </w:rPr>
        <w:t>修正</w:t>
      </w:r>
      <w:r w:rsidRPr="000C0842">
        <w:rPr>
          <w:rFonts w:eastAsia="SimSun"/>
          <w:sz w:val="24"/>
          <w:szCs w:val="24"/>
        </w:rPr>
        <w:t>文本。</w:t>
      </w:r>
    </w:p>
    <w:p w14:paraId="74875707" w14:textId="66BFE9C9" w:rsidR="009E418B"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智利</w:t>
      </w:r>
      <w:r w:rsidR="009B66C0" w:rsidRPr="000C0842">
        <w:rPr>
          <w:rFonts w:eastAsia="SimSun" w:hint="eastAsia"/>
          <w:sz w:val="24"/>
          <w:szCs w:val="24"/>
        </w:rPr>
        <w:t>、</w:t>
      </w:r>
      <w:r w:rsidRPr="000C0842">
        <w:rPr>
          <w:rFonts w:eastAsia="SimSun"/>
          <w:sz w:val="24"/>
          <w:szCs w:val="24"/>
        </w:rPr>
        <w:t>俄罗斯联邦。</w:t>
      </w:r>
    </w:p>
    <w:p w14:paraId="0E472465" w14:textId="2911D530" w:rsidR="00E459D5" w:rsidRPr="000C0842"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w:t>
      </w:r>
      <w:r w:rsidR="00E459D5" w:rsidRPr="000C0842">
        <w:rPr>
          <w:rFonts w:eastAsia="SimSun"/>
          <w:sz w:val="24"/>
          <w:szCs w:val="24"/>
        </w:rPr>
        <w:t>进一步</w:t>
      </w:r>
      <w:r w:rsidRPr="000C0842">
        <w:rPr>
          <w:rFonts w:eastAsia="SimSun"/>
          <w:sz w:val="24"/>
          <w:szCs w:val="24"/>
        </w:rPr>
        <w:t>订正决定草案，</w:t>
      </w:r>
      <w:r w:rsidR="005B5E6A"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CBD/COP/16/L.17</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5B711EE8" w14:textId="54775353" w:rsidR="00E459D5" w:rsidRPr="000C0842"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场全体会议审议了第二工作组主席提交的</w:t>
      </w:r>
      <w:r w:rsidRPr="000C0842">
        <w:rPr>
          <w:rFonts w:eastAsia="SimSun"/>
          <w:sz w:val="24"/>
          <w:szCs w:val="24"/>
        </w:rPr>
        <w:t>CBD/COP/16/L.17</w:t>
      </w:r>
      <w:r w:rsidR="008519D6" w:rsidRPr="000C0842">
        <w:rPr>
          <w:rFonts w:eastAsia="SimSun" w:hint="eastAsia"/>
          <w:sz w:val="24"/>
          <w:szCs w:val="24"/>
        </w:rPr>
        <w:t>号</w:t>
      </w:r>
      <w:r w:rsidR="008519D6" w:rsidRPr="000C0842">
        <w:rPr>
          <w:rFonts w:eastAsia="SimSun"/>
          <w:sz w:val="24"/>
          <w:szCs w:val="24"/>
        </w:rPr>
        <w:t>决定草案</w:t>
      </w:r>
      <w:r w:rsidRPr="000C0842">
        <w:rPr>
          <w:rFonts w:eastAsia="SimSun"/>
          <w:sz w:val="24"/>
          <w:szCs w:val="24"/>
        </w:rPr>
        <w:t>。</w:t>
      </w:r>
    </w:p>
    <w:p w14:paraId="627E83E1" w14:textId="0DFC2AB5" w:rsidR="00E459D5" w:rsidRPr="000C0842"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智利</w:t>
      </w:r>
      <w:r w:rsidR="009B66C0" w:rsidRPr="000C0842">
        <w:rPr>
          <w:rFonts w:eastAsia="SimSun" w:hint="eastAsia"/>
          <w:sz w:val="24"/>
          <w:szCs w:val="24"/>
        </w:rPr>
        <w:t>、</w:t>
      </w:r>
      <w:r w:rsidRPr="000C0842">
        <w:rPr>
          <w:rFonts w:eastAsia="SimSun"/>
          <w:sz w:val="24"/>
          <w:szCs w:val="24"/>
        </w:rPr>
        <w:t>俄罗斯联邦。</w:t>
      </w:r>
    </w:p>
    <w:p w14:paraId="569DA732" w14:textId="27FA82B6" w:rsidR="00E459D5" w:rsidRPr="000C0842"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1E7742" w:rsidRPr="000C0842">
        <w:rPr>
          <w:rFonts w:eastAsia="SimSun" w:hint="eastAsia"/>
          <w:sz w:val="24"/>
          <w:szCs w:val="24"/>
        </w:rPr>
        <w:t>决定草案</w:t>
      </w:r>
      <w:r w:rsidRPr="000C0842">
        <w:rPr>
          <w:rFonts w:eastAsia="SimSun"/>
          <w:sz w:val="24"/>
          <w:szCs w:val="24"/>
        </w:rPr>
        <w:t>成为第</w:t>
      </w:r>
      <w:hyperlink r:id="rId416" w:history="1">
        <w:r w:rsidRPr="000C0842">
          <w:rPr>
            <w:rStyle w:val="Hyperlink"/>
            <w:rFonts w:eastAsia="SimSun"/>
            <w:color w:val="auto"/>
            <w:sz w:val="24"/>
            <w:szCs w:val="24"/>
          </w:rPr>
          <w:t>16/17</w:t>
        </w:r>
      </w:hyperlink>
      <w:r w:rsidRPr="000C0842">
        <w:rPr>
          <w:rFonts w:eastAsia="SimSun"/>
          <w:sz w:val="24"/>
          <w:szCs w:val="24"/>
        </w:rPr>
        <w:t>号决定。</w:t>
      </w:r>
    </w:p>
    <w:p w14:paraId="0722B071" w14:textId="009B854F" w:rsidR="009E418B" w:rsidRPr="000C0842"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决定通过后，下列缔约方的代表发了言</w:t>
      </w:r>
      <w:r w:rsidR="00967832" w:rsidRPr="000C0842">
        <w:rPr>
          <w:rFonts w:eastAsia="SimSun"/>
          <w:sz w:val="24"/>
          <w:szCs w:val="24"/>
        </w:rPr>
        <w:t>：</w:t>
      </w:r>
      <w:r w:rsidRPr="000C0842">
        <w:rPr>
          <w:rFonts w:eastAsia="SimSun"/>
          <w:sz w:val="24"/>
          <w:szCs w:val="24"/>
        </w:rPr>
        <w:t>智利、库克群岛</w:t>
      </w:r>
      <w:r w:rsidR="00E43413" w:rsidRPr="000C0842">
        <w:rPr>
          <w:rFonts w:eastAsia="SimSun" w:hint="eastAsia"/>
          <w:sz w:val="24"/>
          <w:szCs w:val="24"/>
        </w:rPr>
        <w:t>（</w:t>
      </w:r>
      <w:r w:rsidRPr="000C0842">
        <w:rPr>
          <w:rFonts w:eastAsia="SimSun"/>
          <w:sz w:val="24"/>
          <w:szCs w:val="24"/>
        </w:rPr>
        <w:t>代表出席会议的太平洋小岛屿发展中国家，并得到安提瓜和巴布达、澳大利亚、佛得角、斐济、冰岛、马尔代夫、新西兰、巴拿马、圣卢西亚</w:t>
      </w:r>
      <w:r w:rsidR="009B66C0" w:rsidRPr="000C0842">
        <w:rPr>
          <w:rFonts w:eastAsia="SimSun" w:hint="eastAsia"/>
          <w:sz w:val="24"/>
          <w:szCs w:val="24"/>
        </w:rPr>
        <w:t>、</w:t>
      </w:r>
      <w:r w:rsidRPr="000C0842">
        <w:rPr>
          <w:rFonts w:eastAsia="SimSun"/>
          <w:sz w:val="24"/>
          <w:szCs w:val="24"/>
        </w:rPr>
        <w:t>塞舌尔的支持</w:t>
      </w:r>
      <w:r w:rsidR="00E43413" w:rsidRPr="000C0842">
        <w:rPr>
          <w:rFonts w:eastAsia="SimSun" w:hint="eastAsia"/>
          <w:sz w:val="24"/>
          <w:szCs w:val="24"/>
        </w:rPr>
        <w:t>）</w:t>
      </w:r>
      <w:r w:rsidR="001E7742" w:rsidRPr="000C0842">
        <w:rPr>
          <w:rFonts w:eastAsia="SimSun" w:hint="eastAsia"/>
          <w:sz w:val="24"/>
          <w:szCs w:val="24"/>
        </w:rPr>
        <w:t>、</w:t>
      </w:r>
      <w:r w:rsidRPr="000C0842">
        <w:rPr>
          <w:rFonts w:eastAsia="SimSun"/>
          <w:sz w:val="24"/>
          <w:szCs w:val="24"/>
        </w:rPr>
        <w:t>欧洲联盟及其成员国</w:t>
      </w:r>
      <w:r w:rsidR="00E43413" w:rsidRPr="000C0842">
        <w:rPr>
          <w:rFonts w:eastAsia="SimSun" w:hint="eastAsia"/>
          <w:sz w:val="24"/>
          <w:szCs w:val="24"/>
        </w:rPr>
        <w:t>（</w:t>
      </w:r>
      <w:r w:rsidRPr="000C0842">
        <w:rPr>
          <w:rFonts w:eastAsia="SimSun"/>
          <w:sz w:val="24"/>
          <w:szCs w:val="24"/>
        </w:rPr>
        <w:t>得到斐济、冰岛、挪威</w:t>
      </w:r>
      <w:r w:rsidR="009B66C0" w:rsidRPr="000C0842">
        <w:rPr>
          <w:rFonts w:eastAsia="SimSun" w:hint="eastAsia"/>
          <w:sz w:val="24"/>
          <w:szCs w:val="24"/>
        </w:rPr>
        <w:t>、</w:t>
      </w:r>
      <w:r w:rsidRPr="000C0842">
        <w:rPr>
          <w:rFonts w:eastAsia="SimSun"/>
          <w:sz w:val="24"/>
          <w:szCs w:val="24"/>
        </w:rPr>
        <w:t>联合王国的支持</w:t>
      </w:r>
      <w:r w:rsidR="00E43413" w:rsidRPr="000C0842">
        <w:rPr>
          <w:rFonts w:eastAsia="SimSun" w:hint="eastAsia"/>
          <w:sz w:val="24"/>
          <w:szCs w:val="24"/>
        </w:rPr>
        <w:t>）</w:t>
      </w:r>
      <w:r w:rsidRPr="000C0842">
        <w:rPr>
          <w:rFonts w:eastAsia="SimSun"/>
          <w:sz w:val="24"/>
          <w:szCs w:val="24"/>
        </w:rPr>
        <w:t>。</w:t>
      </w:r>
    </w:p>
    <w:p w14:paraId="17C8AB00" w14:textId="605FE269" w:rsidR="00061190" w:rsidRPr="000C0842"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库克群岛代表呼吁在缔约方</w:t>
      </w:r>
      <w:r w:rsidRPr="000C0842">
        <w:rPr>
          <w:rFonts w:eastAsia="SimSun" w:hint="eastAsia"/>
          <w:sz w:val="24"/>
          <w:szCs w:val="24"/>
        </w:rPr>
        <w:t>大会</w:t>
      </w:r>
      <w:r w:rsidRPr="000C0842">
        <w:rPr>
          <w:rFonts w:eastAsia="SimSun"/>
          <w:sz w:val="24"/>
          <w:szCs w:val="24"/>
        </w:rPr>
        <w:t>今后的会议设立一个关于岛屿生物多样性的独立议程项目。她指出，岛屿生物多样性专题下的一些关键问题与海洋和沿海生物多样性无关，该议程项目下的审议侧重具有生态或生物重要性的海洋区域和其他事项，没有</w:t>
      </w:r>
      <w:r w:rsidRPr="000C0842">
        <w:rPr>
          <w:rFonts w:eastAsia="SimSun" w:hint="eastAsia"/>
          <w:sz w:val="24"/>
          <w:szCs w:val="24"/>
        </w:rPr>
        <w:t>对</w:t>
      </w:r>
      <w:r w:rsidRPr="000C0842">
        <w:rPr>
          <w:rFonts w:eastAsia="SimSun"/>
          <w:sz w:val="24"/>
          <w:szCs w:val="24"/>
        </w:rPr>
        <w:t>岛屿特有的问题</w:t>
      </w:r>
      <w:r w:rsidRPr="000C0842">
        <w:rPr>
          <w:rFonts w:eastAsia="SimSun" w:hint="eastAsia"/>
          <w:sz w:val="24"/>
          <w:szCs w:val="24"/>
        </w:rPr>
        <w:t>给予足够的</w:t>
      </w:r>
      <w:r w:rsidRPr="000C0842">
        <w:rPr>
          <w:rFonts w:eastAsia="SimSun"/>
          <w:sz w:val="24"/>
          <w:szCs w:val="24"/>
        </w:rPr>
        <w:t>关注。</w:t>
      </w:r>
      <w:r w:rsidRPr="000C0842">
        <w:rPr>
          <w:rFonts w:eastAsia="SimSun"/>
          <w:sz w:val="24"/>
          <w:szCs w:val="24"/>
        </w:rPr>
        <w:t xml:space="preserve"> </w:t>
      </w:r>
    </w:p>
    <w:p w14:paraId="3D2F3315" w14:textId="2162A4FB" w:rsidR="00061190" w:rsidRPr="000C0842"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欧洲联盟及其成员国的代表表示遗憾，缔约方未能达成一项折中案文，</w:t>
      </w:r>
      <w:r w:rsidR="000439E4" w:rsidRPr="000C0842">
        <w:rPr>
          <w:rFonts w:eastAsia="SimSun" w:hint="eastAsia"/>
          <w:sz w:val="24"/>
          <w:szCs w:val="24"/>
        </w:rPr>
        <w:t>以</w:t>
      </w:r>
      <w:r w:rsidRPr="000C0842">
        <w:rPr>
          <w:rFonts w:eastAsia="SimSun"/>
          <w:sz w:val="24"/>
          <w:szCs w:val="24"/>
        </w:rPr>
        <w:t>强调《</w:t>
      </w:r>
      <w:r w:rsidR="00585A16" w:rsidRPr="000C0842">
        <w:rPr>
          <w:rFonts w:eastAsia="SimSun"/>
          <w:sz w:val="24"/>
          <w:szCs w:val="24"/>
        </w:rPr>
        <w:t>联合国海洋法公约下国家管辖范围以外区域海洋生物多样性的</w:t>
      </w:r>
      <w:r w:rsidR="009B66C0" w:rsidRPr="000C0842">
        <w:rPr>
          <w:rFonts w:eastAsia="SimSun" w:hint="eastAsia"/>
          <w:sz w:val="24"/>
          <w:szCs w:val="24"/>
        </w:rPr>
        <w:t>养护</w:t>
      </w:r>
      <w:r w:rsidR="00585A16" w:rsidRPr="000C0842">
        <w:rPr>
          <w:rFonts w:eastAsia="SimSun"/>
          <w:sz w:val="24"/>
          <w:szCs w:val="24"/>
        </w:rPr>
        <w:t>和可持续利用协定</w:t>
      </w:r>
      <w:r w:rsidRPr="000C0842">
        <w:rPr>
          <w:rFonts w:eastAsia="SimSun"/>
          <w:sz w:val="24"/>
          <w:szCs w:val="24"/>
        </w:rPr>
        <w:t>》与执行</w:t>
      </w:r>
      <w:r w:rsidR="00585A16" w:rsidRPr="000C0842">
        <w:rPr>
          <w:rFonts w:eastAsia="SimSun" w:hint="eastAsia"/>
          <w:sz w:val="24"/>
          <w:szCs w:val="24"/>
        </w:rPr>
        <w:t>《</w:t>
      </w:r>
      <w:r w:rsidRPr="000C0842">
        <w:rPr>
          <w:rFonts w:eastAsia="SimSun"/>
          <w:sz w:val="24"/>
          <w:szCs w:val="24"/>
        </w:rPr>
        <w:t>昆明</w:t>
      </w:r>
      <w:r w:rsidRPr="000C0842">
        <w:rPr>
          <w:rFonts w:eastAsia="SimSun"/>
          <w:sz w:val="24"/>
          <w:szCs w:val="24"/>
        </w:rPr>
        <w:t>-</w:t>
      </w:r>
      <w:r w:rsidRPr="000C0842">
        <w:rPr>
          <w:rFonts w:eastAsia="SimSun"/>
          <w:sz w:val="24"/>
          <w:szCs w:val="24"/>
        </w:rPr>
        <w:t>蒙特利尔全球生物多样性框架</w:t>
      </w:r>
      <w:r w:rsidR="00585A16" w:rsidRPr="000C0842">
        <w:rPr>
          <w:rFonts w:eastAsia="SimSun" w:hint="eastAsia"/>
          <w:sz w:val="24"/>
          <w:szCs w:val="24"/>
        </w:rPr>
        <w:t>》</w:t>
      </w:r>
      <w:r w:rsidRPr="000C0842">
        <w:rPr>
          <w:rFonts w:eastAsia="SimSun"/>
          <w:sz w:val="24"/>
          <w:szCs w:val="24"/>
        </w:rPr>
        <w:t>之间的重要联系。她指出，欧洲联盟及其成员国致力于迅速批准该</w:t>
      </w:r>
      <w:r w:rsidR="00585A16" w:rsidRPr="000C0842">
        <w:rPr>
          <w:rFonts w:eastAsia="SimSun" w:hint="eastAsia"/>
          <w:sz w:val="24"/>
          <w:szCs w:val="24"/>
        </w:rPr>
        <w:t>《</w:t>
      </w:r>
      <w:r w:rsidRPr="000C0842">
        <w:rPr>
          <w:rFonts w:eastAsia="SimSun"/>
          <w:sz w:val="24"/>
          <w:szCs w:val="24"/>
        </w:rPr>
        <w:t>协定</w:t>
      </w:r>
      <w:r w:rsidR="00585A16" w:rsidRPr="000C0842">
        <w:rPr>
          <w:rFonts w:eastAsia="SimSun" w:hint="eastAsia"/>
          <w:sz w:val="24"/>
          <w:szCs w:val="24"/>
        </w:rPr>
        <w:t>》</w:t>
      </w:r>
      <w:r w:rsidRPr="000C0842">
        <w:rPr>
          <w:rFonts w:eastAsia="SimSun"/>
          <w:sz w:val="24"/>
          <w:szCs w:val="24"/>
        </w:rPr>
        <w:t>，她敦促缔约方和其他国家政府加快批准该协定的努力。</w:t>
      </w:r>
      <w:r w:rsidRPr="000C0842">
        <w:rPr>
          <w:rFonts w:eastAsia="SimSun"/>
          <w:sz w:val="24"/>
          <w:szCs w:val="24"/>
        </w:rPr>
        <w:t xml:space="preserve"> </w:t>
      </w:r>
    </w:p>
    <w:p w14:paraId="744FE2B4" w14:textId="5E64BE99" w:rsidR="00061190" w:rsidRPr="000C0842"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智利代表表示支持欧洲联盟的发言，重申必须认识到《协定》和《公约》下的工作与执行《</w:t>
      </w:r>
      <w:r w:rsidR="0040601C" w:rsidRPr="000C0842">
        <w:rPr>
          <w:rFonts w:eastAsia="SimSun" w:hint="eastAsia"/>
          <w:sz w:val="24"/>
          <w:szCs w:val="24"/>
        </w:rPr>
        <w:t>昆蒙</w:t>
      </w:r>
      <w:r w:rsidRPr="000C0842">
        <w:rPr>
          <w:rFonts w:eastAsia="SimSun"/>
          <w:sz w:val="24"/>
          <w:szCs w:val="24"/>
        </w:rPr>
        <w:t>框架》之间的相互联系，并呼吁缔约方和其他国家政府加快批准《协定》</w:t>
      </w:r>
      <w:r w:rsidR="0040601C" w:rsidRPr="000C0842">
        <w:rPr>
          <w:rFonts w:eastAsia="SimSun" w:hint="eastAsia"/>
          <w:sz w:val="24"/>
          <w:szCs w:val="24"/>
        </w:rPr>
        <w:t>的</w:t>
      </w:r>
      <w:r w:rsidR="0040601C" w:rsidRPr="000C0842">
        <w:rPr>
          <w:rFonts w:eastAsia="SimSun"/>
          <w:sz w:val="24"/>
          <w:szCs w:val="24"/>
        </w:rPr>
        <w:t>努力</w:t>
      </w:r>
      <w:r w:rsidRPr="000C0842">
        <w:rPr>
          <w:rFonts w:eastAsia="SimSun"/>
          <w:sz w:val="24"/>
          <w:szCs w:val="24"/>
        </w:rPr>
        <w:t>。她还表示遗憾，该决定的</w:t>
      </w:r>
      <w:r w:rsidR="009B66C0" w:rsidRPr="000C0842">
        <w:rPr>
          <w:rFonts w:eastAsia="SimSun" w:hint="eastAsia"/>
          <w:sz w:val="24"/>
          <w:szCs w:val="24"/>
        </w:rPr>
        <w:t>措辞</w:t>
      </w:r>
      <w:r w:rsidRPr="000C0842">
        <w:rPr>
          <w:rFonts w:eastAsia="SimSun"/>
          <w:sz w:val="24"/>
          <w:szCs w:val="24"/>
        </w:rPr>
        <w:t>没有具体提到促进性别平等和基于人权的方法。</w:t>
      </w:r>
    </w:p>
    <w:p w14:paraId="1B5FF539" w14:textId="14A71C1E" w:rsidR="00897DB1" w:rsidRPr="000C0842" w:rsidRDefault="00897DB1" w:rsidP="00B03948">
      <w:pPr>
        <w:pStyle w:val="a1"/>
        <w:keepNext/>
        <w:ind w:left="0" w:right="0"/>
        <w:rPr>
          <w:rFonts w:hint="eastAsia"/>
          <w:bCs/>
          <w:lang w:eastAsia="zh-CN"/>
        </w:rPr>
      </w:pPr>
      <w:bookmarkStart w:id="172" w:name="_Toc206358257"/>
      <w:r w:rsidRPr="000C0842">
        <w:rPr>
          <w:lang w:eastAsia="zh-CN"/>
        </w:rPr>
        <w:t>项目</w:t>
      </w:r>
      <w:r w:rsidRPr="000C0842">
        <w:rPr>
          <w:lang w:eastAsia="zh-CN"/>
        </w:rPr>
        <w:t>21</w:t>
      </w:r>
      <w:r w:rsidR="00C00848" w:rsidRPr="000C0842">
        <w:rPr>
          <w:lang w:eastAsia="zh-CN"/>
        </w:rPr>
        <w:br/>
      </w:r>
      <w:r w:rsidRPr="000C0842">
        <w:rPr>
          <w:lang w:eastAsia="zh-CN"/>
        </w:rPr>
        <w:t>外来入侵物种</w:t>
      </w:r>
      <w:bookmarkEnd w:id="172"/>
    </w:p>
    <w:p w14:paraId="4B4F39CA" w14:textId="0A084030"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145217" w:rsidRPr="000C0842">
        <w:rPr>
          <w:rFonts w:eastAsia="SimSun" w:hint="eastAsia"/>
          <w:sz w:val="24"/>
          <w:szCs w:val="24"/>
        </w:rPr>
        <w:t>场</w:t>
      </w:r>
      <w:r w:rsidRPr="000C0842">
        <w:rPr>
          <w:rFonts w:eastAsia="SimSun"/>
          <w:sz w:val="24"/>
          <w:szCs w:val="24"/>
        </w:rPr>
        <w:t>会议审议了议程项目</w:t>
      </w:r>
      <w:r w:rsidRPr="000C0842">
        <w:rPr>
          <w:rFonts w:eastAsia="SimSun"/>
          <w:sz w:val="24"/>
          <w:szCs w:val="24"/>
        </w:rPr>
        <w:t>21</w:t>
      </w:r>
      <w:r w:rsidRPr="000C0842">
        <w:rPr>
          <w:rFonts w:eastAsia="SimSun"/>
          <w:sz w:val="24"/>
          <w:szCs w:val="24"/>
        </w:rPr>
        <w:t>。工作组收到一项决定草案</w:t>
      </w:r>
      <w:r w:rsidR="00C00848" w:rsidRPr="000C0842">
        <w:rPr>
          <w:rStyle w:val="FootnoteReference"/>
          <w:sz w:val="24"/>
          <w:szCs w:val="24"/>
        </w:rPr>
        <w:footnoteReference w:id="603"/>
      </w:r>
      <w:r w:rsidR="00207A77" w:rsidRPr="000C0842">
        <w:rPr>
          <w:rFonts w:eastAsia="SimSun" w:hint="eastAsia"/>
          <w:sz w:val="24"/>
          <w:szCs w:val="24"/>
        </w:rPr>
        <w:t>。</w:t>
      </w:r>
      <w:r w:rsidR="00C00848" w:rsidRPr="000C0842">
        <w:rPr>
          <w:rFonts w:eastAsia="SimSun" w:hint="eastAsia"/>
          <w:sz w:val="24"/>
          <w:szCs w:val="24"/>
        </w:rPr>
        <w:t xml:space="preserve"> </w:t>
      </w:r>
      <w:r w:rsidRPr="000C0842">
        <w:rPr>
          <w:rFonts w:eastAsia="SimSun"/>
          <w:sz w:val="24"/>
          <w:szCs w:val="24"/>
        </w:rPr>
        <w:t>还就议程项目</w:t>
      </w:r>
      <w:r w:rsidRPr="000C0842">
        <w:rPr>
          <w:rFonts w:eastAsia="SimSun"/>
          <w:sz w:val="24"/>
          <w:szCs w:val="24"/>
        </w:rPr>
        <w:t>21</w:t>
      </w:r>
      <w:r w:rsidRPr="000C0842">
        <w:rPr>
          <w:rFonts w:eastAsia="SimSun"/>
          <w:sz w:val="24"/>
          <w:szCs w:val="24"/>
        </w:rPr>
        <w:t>印发了一份关于外来入侵物种的第</w:t>
      </w:r>
      <w:r w:rsidRPr="000C0842">
        <w:rPr>
          <w:rFonts w:eastAsia="SimSun"/>
          <w:sz w:val="24"/>
          <w:szCs w:val="24"/>
        </w:rPr>
        <w:t>15/27</w:t>
      </w:r>
      <w:r w:rsidRPr="000C0842">
        <w:rPr>
          <w:rFonts w:eastAsia="SimSun"/>
          <w:sz w:val="24"/>
          <w:szCs w:val="24"/>
        </w:rPr>
        <w:t>号决定向执行秘书</w:t>
      </w:r>
      <w:r w:rsidR="00F5448C" w:rsidRPr="000C0842">
        <w:rPr>
          <w:rFonts w:eastAsia="SimSun" w:hint="eastAsia"/>
          <w:sz w:val="24"/>
          <w:szCs w:val="24"/>
        </w:rPr>
        <w:t>所提</w:t>
      </w:r>
      <w:r w:rsidRPr="000C0842">
        <w:rPr>
          <w:rFonts w:eastAsia="SimSun"/>
          <w:sz w:val="24"/>
          <w:szCs w:val="24"/>
        </w:rPr>
        <w:t>要求的进展情况的资料文件</w:t>
      </w:r>
      <w:r w:rsidR="00C00848" w:rsidRPr="000C0842">
        <w:rPr>
          <w:rStyle w:val="FootnoteReference"/>
          <w:sz w:val="24"/>
          <w:szCs w:val="24"/>
          <w:lang w:val="en-GB"/>
        </w:rPr>
        <w:footnoteReference w:id="604"/>
      </w:r>
      <w:r w:rsidR="00207A77" w:rsidRPr="000C0842">
        <w:rPr>
          <w:rFonts w:eastAsia="SimSun" w:hint="eastAsia"/>
          <w:sz w:val="24"/>
          <w:szCs w:val="24"/>
        </w:rPr>
        <w:t>。</w:t>
      </w:r>
    </w:p>
    <w:p w14:paraId="3968C90F" w14:textId="23EB2707"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第二工作组商定由主席</w:t>
      </w:r>
      <w:r w:rsidR="00AC5726" w:rsidRPr="000C0842">
        <w:rPr>
          <w:rFonts w:eastAsia="SimSun" w:hint="eastAsia"/>
          <w:sz w:val="24"/>
          <w:szCs w:val="24"/>
        </w:rPr>
        <w:t>拟定</w:t>
      </w:r>
      <w:r w:rsidRPr="000C0842">
        <w:rPr>
          <w:rFonts w:eastAsia="SimSun"/>
          <w:sz w:val="24"/>
          <w:szCs w:val="24"/>
        </w:rPr>
        <w:t>一份订正决定草案</w:t>
      </w:r>
      <w:r w:rsidR="00AC5726" w:rsidRPr="000C0842">
        <w:rPr>
          <w:rFonts w:eastAsia="SimSun" w:hint="eastAsia"/>
          <w:sz w:val="24"/>
          <w:szCs w:val="24"/>
        </w:rPr>
        <w:t>，供</w:t>
      </w:r>
      <w:r w:rsidR="003D0633" w:rsidRPr="000C0842">
        <w:rPr>
          <w:rFonts w:eastAsia="SimSun"/>
          <w:sz w:val="24"/>
          <w:szCs w:val="24"/>
        </w:rPr>
        <w:t>稍后一次会议</w:t>
      </w:r>
      <w:r w:rsidRPr="000C0842">
        <w:rPr>
          <w:rFonts w:eastAsia="SimSun"/>
          <w:sz w:val="24"/>
          <w:szCs w:val="24"/>
        </w:rPr>
        <w:t>审议。</w:t>
      </w:r>
    </w:p>
    <w:p w14:paraId="03F613A7" w14:textId="56F38280"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10</w:t>
      </w:r>
      <w:r w:rsidRPr="000C0842">
        <w:rPr>
          <w:rFonts w:eastAsia="SimSun"/>
          <w:sz w:val="24"/>
          <w:szCs w:val="24"/>
        </w:rPr>
        <w:t>月</w:t>
      </w:r>
      <w:r w:rsidRPr="000C0842">
        <w:rPr>
          <w:rFonts w:eastAsia="SimSun"/>
          <w:sz w:val="24"/>
          <w:szCs w:val="24"/>
        </w:rPr>
        <w:t>25</w:t>
      </w:r>
      <w:r w:rsidRPr="000C0842">
        <w:rPr>
          <w:rFonts w:eastAsia="SimSun"/>
          <w:sz w:val="24"/>
          <w:szCs w:val="24"/>
        </w:rPr>
        <w:t>日第二工作组第</w:t>
      </w:r>
      <w:r w:rsidRPr="000C0842">
        <w:rPr>
          <w:rFonts w:eastAsia="SimSun"/>
          <w:sz w:val="24"/>
          <w:szCs w:val="24"/>
        </w:rPr>
        <w:t>6</w:t>
      </w:r>
      <w:r w:rsidR="003D0633" w:rsidRPr="000C0842">
        <w:rPr>
          <w:rFonts w:eastAsia="SimSun"/>
          <w:sz w:val="24"/>
          <w:szCs w:val="24"/>
        </w:rPr>
        <w:t>场</w:t>
      </w:r>
      <w:r w:rsidRPr="000C0842">
        <w:rPr>
          <w:rFonts w:eastAsia="SimSun"/>
          <w:sz w:val="24"/>
          <w:szCs w:val="24"/>
        </w:rPr>
        <w:t>会议审议了主席提交的订正决定草案。</w:t>
      </w:r>
    </w:p>
    <w:p w14:paraId="125CA0EC" w14:textId="7C6F1344" w:rsidR="00897DB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897DB1" w:rsidRPr="000C0842">
        <w:rPr>
          <w:rFonts w:eastAsia="SimSun"/>
          <w:sz w:val="24"/>
          <w:szCs w:val="24"/>
        </w:rPr>
        <w:t>的代表发了言</w:t>
      </w:r>
      <w:r w:rsidR="00967832" w:rsidRPr="000C0842">
        <w:rPr>
          <w:rFonts w:eastAsia="SimSun"/>
          <w:sz w:val="24"/>
          <w:szCs w:val="24"/>
        </w:rPr>
        <w:t>：</w:t>
      </w:r>
      <w:r w:rsidR="00897DB1" w:rsidRPr="000C0842">
        <w:rPr>
          <w:rFonts w:eastAsia="SimSun"/>
          <w:sz w:val="24"/>
          <w:szCs w:val="24"/>
        </w:rPr>
        <w:t>澳大利亚、巴西、加拿大、智利、哥伦比亚、库克群岛</w:t>
      </w:r>
      <w:r w:rsidR="00E43413" w:rsidRPr="000C0842">
        <w:rPr>
          <w:rFonts w:eastAsia="SimSun" w:hint="eastAsia"/>
          <w:sz w:val="24"/>
          <w:szCs w:val="24"/>
        </w:rPr>
        <w:t>（</w:t>
      </w:r>
      <w:r w:rsidR="00897DB1" w:rsidRPr="000C0842">
        <w:rPr>
          <w:rFonts w:eastAsia="SimSun"/>
          <w:sz w:val="24"/>
          <w:szCs w:val="24"/>
        </w:rPr>
        <w:t>代表出席会议的太平洋小岛屿发展中国家</w:t>
      </w:r>
      <w:r w:rsidR="00E43413" w:rsidRPr="000C0842">
        <w:rPr>
          <w:rFonts w:eastAsia="SimSun" w:hint="eastAsia"/>
          <w:sz w:val="24"/>
          <w:szCs w:val="24"/>
        </w:rPr>
        <w:t>）</w:t>
      </w:r>
      <w:r w:rsidR="00897DB1" w:rsidRPr="000C0842">
        <w:rPr>
          <w:rFonts w:eastAsia="SimSun"/>
          <w:sz w:val="24"/>
          <w:szCs w:val="24"/>
        </w:rPr>
        <w:t>、科特迪瓦、多米尼加共和国、埃塞俄比亚、欧洲联盟及其成员国、印度、伊拉克、日本、肯尼亚、墨西哥、秘鲁、俄罗斯联邦。</w:t>
      </w:r>
    </w:p>
    <w:p w14:paraId="06963A81" w14:textId="56E244E3"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7</w:t>
      </w:r>
      <w:r w:rsidR="003D0633" w:rsidRPr="000C0842">
        <w:rPr>
          <w:rFonts w:eastAsia="SimSun"/>
          <w:sz w:val="24"/>
          <w:szCs w:val="24"/>
        </w:rPr>
        <w:t>场</w:t>
      </w:r>
      <w:r w:rsidRPr="000C0842">
        <w:rPr>
          <w:rFonts w:eastAsia="SimSun"/>
          <w:sz w:val="24"/>
          <w:szCs w:val="24"/>
        </w:rPr>
        <w:t>会议继续审议订正决定草案。</w:t>
      </w:r>
    </w:p>
    <w:p w14:paraId="4C4F2641" w14:textId="242A4897" w:rsidR="00897DB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897DB1" w:rsidRPr="000C0842">
        <w:rPr>
          <w:rFonts w:eastAsia="SimSun"/>
          <w:sz w:val="24"/>
          <w:szCs w:val="24"/>
        </w:rPr>
        <w:t>的代表发了言</w:t>
      </w:r>
      <w:r w:rsidR="00967832" w:rsidRPr="000C0842">
        <w:rPr>
          <w:rFonts w:eastAsia="SimSun"/>
          <w:sz w:val="24"/>
          <w:szCs w:val="24"/>
        </w:rPr>
        <w:t>：</w:t>
      </w:r>
      <w:r w:rsidR="00897DB1" w:rsidRPr="000C0842">
        <w:rPr>
          <w:rFonts w:eastAsia="SimSun"/>
          <w:sz w:val="24"/>
          <w:szCs w:val="24"/>
        </w:rPr>
        <w:t>阿根廷、巴西、加拿大、智利、哥伦比亚、多米尼加共和国、埃及、埃塞俄比亚、欧洲联盟及其成员国、印度、以色列、肯尼亚、秘鲁、俄罗斯联邦、南非、多哥、乌干达、联合王国、赞比亚、津巴布韦。</w:t>
      </w:r>
    </w:p>
    <w:p w14:paraId="137B58B8" w14:textId="678F6F51"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俄罗斯联邦代表要求将她的发言记录在案，她强调为《公约》和任何其他国际文书之目的而使用的所有国际在线数据库和其他资源必须向所有人开放，不得有任何限制。</w:t>
      </w:r>
    </w:p>
    <w:p w14:paraId="7E073ACB" w14:textId="3185ED21"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8</w:t>
      </w:r>
      <w:r w:rsidR="003D0633" w:rsidRPr="000C0842">
        <w:rPr>
          <w:rFonts w:eastAsia="SimSun"/>
          <w:sz w:val="24"/>
          <w:szCs w:val="24"/>
        </w:rPr>
        <w:t>场</w:t>
      </w:r>
      <w:r w:rsidRPr="000C0842">
        <w:rPr>
          <w:rFonts w:eastAsia="SimSun"/>
          <w:sz w:val="24"/>
          <w:szCs w:val="24"/>
        </w:rPr>
        <w:t>会议继续</w:t>
      </w:r>
      <w:r w:rsidR="00C80EAF" w:rsidRPr="000C0842">
        <w:rPr>
          <w:rFonts w:eastAsia="SimSun" w:hint="eastAsia"/>
          <w:sz w:val="24"/>
          <w:szCs w:val="24"/>
        </w:rPr>
        <w:t>审议</w:t>
      </w:r>
      <w:r w:rsidRPr="000C0842">
        <w:rPr>
          <w:rFonts w:eastAsia="SimSun"/>
          <w:sz w:val="24"/>
          <w:szCs w:val="24"/>
        </w:rPr>
        <w:t>订正决定草案。</w:t>
      </w:r>
    </w:p>
    <w:p w14:paraId="76678789" w14:textId="0B28EA63" w:rsidR="00897DB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897DB1" w:rsidRPr="000C0842">
        <w:rPr>
          <w:rFonts w:eastAsia="SimSun"/>
          <w:sz w:val="24"/>
          <w:szCs w:val="24"/>
        </w:rPr>
        <w:t>的代表发了言</w:t>
      </w:r>
      <w:r w:rsidR="00967832" w:rsidRPr="000C0842">
        <w:rPr>
          <w:rFonts w:eastAsia="SimSun"/>
          <w:sz w:val="24"/>
          <w:szCs w:val="24"/>
        </w:rPr>
        <w:t>：</w:t>
      </w:r>
      <w:r w:rsidR="00897DB1" w:rsidRPr="000C0842">
        <w:rPr>
          <w:rFonts w:eastAsia="SimSun"/>
          <w:sz w:val="24"/>
          <w:szCs w:val="24"/>
        </w:rPr>
        <w:t>欧洲联盟及其成员国、俄罗斯联邦。</w:t>
      </w:r>
    </w:p>
    <w:p w14:paraId="2999E809" w14:textId="1AABD153" w:rsidR="003D0633"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第二工作组核准了经口头修正的订正决定草案，</w:t>
      </w:r>
      <w:r w:rsidR="00F5448C"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CBD/COP/16/L.4</w:t>
      </w:r>
      <w:r w:rsidRPr="000C0842">
        <w:rPr>
          <w:rFonts w:eastAsia="SimSun"/>
          <w:sz w:val="24"/>
          <w:szCs w:val="24"/>
        </w:rPr>
        <w:t>号决定草案提交全体会议。</w:t>
      </w:r>
    </w:p>
    <w:p w14:paraId="12154807" w14:textId="2413CC72" w:rsidR="003D0633" w:rsidRPr="000C0842" w:rsidRDefault="003D0633"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场全体会议审议了第二工作组主席提交的</w:t>
      </w:r>
      <w:r w:rsidRPr="000C0842">
        <w:rPr>
          <w:rFonts w:eastAsia="SimSun"/>
          <w:sz w:val="24"/>
          <w:szCs w:val="24"/>
        </w:rPr>
        <w:t>CBD/COP/16/L.4</w:t>
      </w:r>
      <w:r w:rsidR="008519D6" w:rsidRPr="000C0842">
        <w:rPr>
          <w:rFonts w:eastAsia="SimSun" w:hint="eastAsia"/>
          <w:sz w:val="24"/>
          <w:szCs w:val="24"/>
        </w:rPr>
        <w:t>号</w:t>
      </w:r>
      <w:r w:rsidR="008519D6" w:rsidRPr="000C0842">
        <w:rPr>
          <w:rFonts w:eastAsia="SimSun"/>
          <w:sz w:val="24"/>
          <w:szCs w:val="24"/>
        </w:rPr>
        <w:t>决定草案</w:t>
      </w:r>
      <w:r w:rsidRPr="000C0842">
        <w:rPr>
          <w:rFonts w:eastAsia="SimSun"/>
          <w:sz w:val="24"/>
          <w:szCs w:val="24"/>
        </w:rPr>
        <w:t>。</w:t>
      </w:r>
    </w:p>
    <w:p w14:paraId="23A795E7" w14:textId="1B8F3A9C" w:rsidR="003D0633"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下列缔约方</w:t>
      </w:r>
      <w:r w:rsidR="003D0633" w:rsidRPr="000C0842">
        <w:rPr>
          <w:rFonts w:eastAsia="SimSun"/>
          <w:sz w:val="24"/>
          <w:szCs w:val="24"/>
        </w:rPr>
        <w:t>的代表</w:t>
      </w:r>
      <w:r w:rsidR="00172B4D" w:rsidRPr="000C0842">
        <w:rPr>
          <w:rFonts w:eastAsia="SimSun"/>
          <w:sz w:val="24"/>
          <w:szCs w:val="24"/>
        </w:rPr>
        <w:t>发了言</w:t>
      </w:r>
      <w:r w:rsidR="00967832" w:rsidRPr="000C0842">
        <w:rPr>
          <w:rFonts w:eastAsia="SimSun"/>
          <w:sz w:val="24"/>
          <w:szCs w:val="24"/>
        </w:rPr>
        <w:t>：</w:t>
      </w:r>
      <w:r w:rsidR="003D0633" w:rsidRPr="000C0842">
        <w:rPr>
          <w:rFonts w:eastAsia="SimSun"/>
          <w:sz w:val="24"/>
          <w:szCs w:val="24"/>
        </w:rPr>
        <w:t>刚果民主共和国、欧洲联盟及其成员国、俄罗斯联邦</w:t>
      </w:r>
      <w:r w:rsidR="00EB234D" w:rsidRPr="000C0842">
        <w:rPr>
          <w:rFonts w:eastAsia="SimSun" w:hint="eastAsia"/>
          <w:sz w:val="24"/>
          <w:szCs w:val="24"/>
        </w:rPr>
        <w:t>、</w:t>
      </w:r>
      <w:r w:rsidR="003D0633" w:rsidRPr="000C0842">
        <w:rPr>
          <w:rFonts w:eastAsia="SimSun"/>
          <w:sz w:val="24"/>
          <w:szCs w:val="24"/>
        </w:rPr>
        <w:t>联合王国。</w:t>
      </w:r>
    </w:p>
    <w:p w14:paraId="64525A3F" w14:textId="226895B4" w:rsidR="003D0633" w:rsidRPr="000C0842"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w:t>
      </w:r>
      <w:r w:rsidR="003D0633" w:rsidRPr="000C0842">
        <w:rPr>
          <w:rFonts w:eastAsia="SimSun"/>
          <w:sz w:val="24"/>
          <w:szCs w:val="24"/>
        </w:rPr>
        <w:t>通过了经口头修正的决定草案，</w:t>
      </w:r>
      <w:r w:rsidR="001E7742" w:rsidRPr="000C0842">
        <w:rPr>
          <w:rFonts w:eastAsia="SimSun" w:hint="eastAsia"/>
          <w:sz w:val="24"/>
          <w:szCs w:val="24"/>
        </w:rPr>
        <w:t>决定草案</w:t>
      </w:r>
      <w:r w:rsidR="003D0633" w:rsidRPr="000C0842">
        <w:rPr>
          <w:rFonts w:eastAsia="SimSun"/>
          <w:sz w:val="24"/>
          <w:szCs w:val="24"/>
        </w:rPr>
        <w:t>成为第</w:t>
      </w:r>
      <w:hyperlink r:id="rId417" w:history="1">
        <w:r w:rsidR="003D0633" w:rsidRPr="000C0842">
          <w:rPr>
            <w:rStyle w:val="Hyperlink"/>
            <w:rFonts w:eastAsia="SimSun"/>
            <w:color w:val="auto"/>
            <w:sz w:val="24"/>
            <w:szCs w:val="24"/>
          </w:rPr>
          <w:t>16/18</w:t>
        </w:r>
      </w:hyperlink>
      <w:r w:rsidR="003D0633" w:rsidRPr="000C0842">
        <w:rPr>
          <w:rFonts w:eastAsia="SimSun"/>
          <w:sz w:val="24"/>
          <w:szCs w:val="24"/>
        </w:rPr>
        <w:t>号决定。</w:t>
      </w:r>
    </w:p>
    <w:p w14:paraId="7CC79478" w14:textId="6D91C0FF" w:rsidR="00897DB1" w:rsidRPr="000C0842" w:rsidRDefault="003D0633"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通过</w:t>
      </w:r>
      <w:r w:rsidR="00F5448C" w:rsidRPr="000C0842">
        <w:rPr>
          <w:rFonts w:eastAsia="SimSun" w:hint="eastAsia"/>
          <w:sz w:val="24"/>
          <w:szCs w:val="24"/>
        </w:rPr>
        <w:t>决定时</w:t>
      </w:r>
      <w:r w:rsidRPr="000C0842">
        <w:rPr>
          <w:rFonts w:eastAsia="SimSun"/>
          <w:sz w:val="24"/>
          <w:szCs w:val="24"/>
        </w:rPr>
        <w:t>，欧洲联盟及其成员国的一</w:t>
      </w:r>
      <w:r w:rsidR="00F5448C" w:rsidRPr="000C0842">
        <w:rPr>
          <w:rFonts w:eastAsia="SimSun" w:hint="eastAsia"/>
          <w:sz w:val="24"/>
          <w:szCs w:val="24"/>
        </w:rPr>
        <w:t>位</w:t>
      </w:r>
      <w:r w:rsidRPr="000C0842">
        <w:rPr>
          <w:rFonts w:eastAsia="SimSun"/>
          <w:sz w:val="24"/>
          <w:szCs w:val="24"/>
        </w:rPr>
        <w:t>代表对关于无法访问俄罗斯联邦全球入侵物种数据库的脚注表示保留，并</w:t>
      </w:r>
      <w:r w:rsidR="00C80EAF" w:rsidRPr="000C0842">
        <w:rPr>
          <w:rFonts w:eastAsia="SimSun" w:hint="eastAsia"/>
          <w:sz w:val="24"/>
          <w:szCs w:val="24"/>
        </w:rPr>
        <w:t>明确要求</w:t>
      </w:r>
      <w:r w:rsidRPr="000C0842">
        <w:rPr>
          <w:rFonts w:eastAsia="SimSun"/>
          <w:sz w:val="24"/>
          <w:szCs w:val="24"/>
        </w:rPr>
        <w:t>本报告应提及从数据库托管机构收到的相关信函</w:t>
      </w:r>
      <w:r w:rsidR="00C00848" w:rsidRPr="000C0842">
        <w:rPr>
          <w:rStyle w:val="FootnoteReference"/>
          <w:sz w:val="24"/>
          <w:szCs w:val="24"/>
        </w:rPr>
        <w:footnoteReference w:id="605"/>
      </w:r>
      <w:r w:rsidR="00207A77" w:rsidRPr="000C0842">
        <w:rPr>
          <w:rFonts w:eastAsia="SimSun" w:hint="eastAsia"/>
          <w:sz w:val="24"/>
          <w:szCs w:val="24"/>
        </w:rPr>
        <w:t>。</w:t>
      </w:r>
    </w:p>
    <w:p w14:paraId="4852ED23" w14:textId="7535CAE7" w:rsidR="00897DB1" w:rsidRPr="000C0842" w:rsidRDefault="00897DB1" w:rsidP="00EC7CA9">
      <w:pPr>
        <w:pStyle w:val="a1"/>
        <w:keepNext/>
        <w:ind w:left="0" w:right="0"/>
        <w:rPr>
          <w:rFonts w:hint="eastAsia"/>
          <w:lang w:eastAsia="zh-CN"/>
        </w:rPr>
      </w:pPr>
      <w:bookmarkStart w:id="173" w:name="_Toc206358258"/>
      <w:r w:rsidRPr="000C0842">
        <w:rPr>
          <w:lang w:eastAsia="zh-CN"/>
        </w:rPr>
        <w:t>项目</w:t>
      </w:r>
      <w:r w:rsidRPr="000C0842">
        <w:rPr>
          <w:lang w:eastAsia="zh-CN"/>
        </w:rPr>
        <w:t>22</w:t>
      </w:r>
      <w:r w:rsidR="00C00848" w:rsidRPr="000C0842">
        <w:rPr>
          <w:lang w:eastAsia="zh-CN"/>
        </w:rPr>
        <w:br/>
      </w:r>
      <w:r w:rsidRPr="000C0842">
        <w:rPr>
          <w:lang w:eastAsia="zh-CN"/>
        </w:rPr>
        <w:t>生物多样性与健康</w:t>
      </w:r>
      <w:bookmarkEnd w:id="173"/>
    </w:p>
    <w:p w14:paraId="30603048" w14:textId="531F41B3"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145217" w:rsidRPr="000C0842">
        <w:rPr>
          <w:rFonts w:eastAsia="SimSun" w:hint="eastAsia"/>
          <w:sz w:val="24"/>
          <w:szCs w:val="24"/>
        </w:rPr>
        <w:t>场</w:t>
      </w:r>
      <w:r w:rsidRPr="000C0842">
        <w:rPr>
          <w:rFonts w:eastAsia="SimSun"/>
          <w:sz w:val="24"/>
          <w:szCs w:val="24"/>
        </w:rPr>
        <w:t>会议审议了议程项目</w:t>
      </w:r>
      <w:r w:rsidRPr="000C0842">
        <w:rPr>
          <w:rFonts w:eastAsia="SimSun"/>
          <w:sz w:val="24"/>
          <w:szCs w:val="24"/>
        </w:rPr>
        <w:t>22</w:t>
      </w:r>
      <w:r w:rsidRPr="000C0842">
        <w:rPr>
          <w:rFonts w:eastAsia="SimSun"/>
          <w:sz w:val="24"/>
          <w:szCs w:val="24"/>
        </w:rPr>
        <w:t>。委员会收到一项决定草案</w:t>
      </w:r>
      <w:r w:rsidR="002C121C" w:rsidRPr="000C0842">
        <w:rPr>
          <w:rStyle w:val="FootnoteReference"/>
          <w:sz w:val="24"/>
          <w:szCs w:val="24"/>
        </w:rPr>
        <w:footnoteReference w:id="606"/>
      </w:r>
      <w:r w:rsidR="00207A77" w:rsidRPr="000C0842">
        <w:rPr>
          <w:rFonts w:eastAsia="SimSun" w:hint="eastAsia"/>
          <w:sz w:val="24"/>
          <w:szCs w:val="24"/>
        </w:rPr>
        <w:t>。</w:t>
      </w:r>
    </w:p>
    <w:p w14:paraId="75290874" w14:textId="5CB80EED"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2"/>
          <w:sz w:val="24"/>
          <w:szCs w:val="24"/>
        </w:rPr>
      </w:pPr>
      <w:r w:rsidRPr="000C0842">
        <w:rPr>
          <w:rFonts w:eastAsia="SimSun"/>
          <w:spacing w:val="-2"/>
          <w:sz w:val="24"/>
          <w:szCs w:val="24"/>
        </w:rPr>
        <w:t>第二工作组商定设立一个联络小组，由</w:t>
      </w:r>
      <w:r w:rsidRPr="000C0842">
        <w:rPr>
          <w:rFonts w:eastAsia="SimSun"/>
          <w:spacing w:val="-2"/>
          <w:sz w:val="24"/>
          <w:szCs w:val="24"/>
        </w:rPr>
        <w:t>Barbara Engels</w:t>
      </w:r>
      <w:r w:rsidRPr="000C0842">
        <w:rPr>
          <w:rFonts w:eastAsia="SimSun"/>
          <w:spacing w:val="-2"/>
          <w:sz w:val="24"/>
          <w:szCs w:val="24"/>
        </w:rPr>
        <w:t>（德国）和</w:t>
      </w:r>
      <w:r w:rsidRPr="000C0842">
        <w:rPr>
          <w:rFonts w:eastAsia="SimSun"/>
          <w:spacing w:val="-2"/>
          <w:sz w:val="24"/>
          <w:szCs w:val="24"/>
        </w:rPr>
        <w:t>Stanislas Mouba Alouna</w:t>
      </w:r>
      <w:r w:rsidRPr="000C0842">
        <w:rPr>
          <w:rFonts w:eastAsia="SimSun"/>
          <w:spacing w:val="-2"/>
          <w:sz w:val="24"/>
          <w:szCs w:val="24"/>
        </w:rPr>
        <w:t>（加蓬）担任共同主席，负责讨论该决定草案及其附件，特别是附件一。</w:t>
      </w:r>
    </w:p>
    <w:p w14:paraId="4236433A" w14:textId="64EBFA79"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8</w:t>
      </w:r>
      <w:r w:rsidR="005E62B1" w:rsidRPr="000C0842">
        <w:rPr>
          <w:rFonts w:eastAsia="SimSun"/>
          <w:sz w:val="24"/>
          <w:szCs w:val="24"/>
        </w:rPr>
        <w:t>场</w:t>
      </w:r>
      <w:r w:rsidRPr="000C0842">
        <w:rPr>
          <w:rFonts w:eastAsia="SimSun"/>
          <w:sz w:val="24"/>
          <w:szCs w:val="24"/>
        </w:rPr>
        <w:t>会议审议了</w:t>
      </w:r>
      <w:r w:rsidR="00EC7CA9" w:rsidRPr="000C0842">
        <w:rPr>
          <w:rFonts w:eastAsia="SimSun"/>
          <w:sz w:val="24"/>
          <w:szCs w:val="24"/>
        </w:rPr>
        <w:t>主席</w:t>
      </w:r>
      <w:r w:rsidR="00EC7CA9" w:rsidRPr="000C0842">
        <w:rPr>
          <w:rFonts w:eastAsia="SimSun" w:hint="eastAsia"/>
          <w:sz w:val="24"/>
          <w:szCs w:val="24"/>
        </w:rPr>
        <w:t>在</w:t>
      </w:r>
      <w:r w:rsidRPr="000C0842">
        <w:rPr>
          <w:rFonts w:eastAsia="SimSun"/>
          <w:sz w:val="24"/>
          <w:szCs w:val="24"/>
        </w:rPr>
        <w:t>联络小组讨论后提交的订正决定草案。</w:t>
      </w:r>
    </w:p>
    <w:p w14:paraId="36BDCFED" w14:textId="7A5526FF" w:rsidR="00897DB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2"/>
          <w:sz w:val="24"/>
          <w:szCs w:val="24"/>
        </w:rPr>
      </w:pPr>
      <w:r w:rsidRPr="000C0842">
        <w:rPr>
          <w:rFonts w:eastAsia="SimSun"/>
          <w:spacing w:val="-2"/>
          <w:sz w:val="24"/>
          <w:szCs w:val="24"/>
        </w:rPr>
        <w:t>下列缔约方</w:t>
      </w:r>
      <w:r w:rsidR="00897DB1" w:rsidRPr="000C0842">
        <w:rPr>
          <w:rFonts w:eastAsia="SimSun"/>
          <w:spacing w:val="-2"/>
          <w:sz w:val="24"/>
          <w:szCs w:val="24"/>
        </w:rPr>
        <w:t>的代表发了言</w:t>
      </w:r>
      <w:r w:rsidR="00967832" w:rsidRPr="000C0842">
        <w:rPr>
          <w:rFonts w:eastAsia="SimSun"/>
          <w:spacing w:val="-2"/>
          <w:sz w:val="24"/>
          <w:szCs w:val="24"/>
        </w:rPr>
        <w:t>：</w:t>
      </w:r>
      <w:r w:rsidR="00897DB1" w:rsidRPr="000C0842">
        <w:rPr>
          <w:rFonts w:eastAsia="SimSun"/>
          <w:spacing w:val="-2"/>
          <w:sz w:val="24"/>
          <w:szCs w:val="24"/>
        </w:rPr>
        <w:t>阿根廷、巴西、布基纳法索、加拿大、智利、哥伦比亚、欧洲联盟及其成员国、危地马拉、印度、日本、墨西哥、挪威、秘鲁、菲律宾、俄罗斯联邦、南非、瑞士、联合王国、坦桑尼亚联合共和国、乌拉圭、津巴布韦。</w:t>
      </w:r>
    </w:p>
    <w:p w14:paraId="2ADE985B" w14:textId="7C5E839E"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w:t>
      </w:r>
      <w:r w:rsidR="00A62FA8" w:rsidRPr="000C0842">
        <w:rPr>
          <w:rFonts w:eastAsia="SimSun" w:hint="eastAsia"/>
          <w:sz w:val="24"/>
          <w:szCs w:val="24"/>
        </w:rPr>
        <w:t>成立</w:t>
      </w:r>
      <w:r w:rsidRPr="000C0842">
        <w:rPr>
          <w:rFonts w:eastAsia="SimSun"/>
          <w:sz w:val="24"/>
          <w:szCs w:val="24"/>
        </w:rPr>
        <w:t>一个非正式小组，由感兴趣的缔约方的代表组成，负责就</w:t>
      </w:r>
      <w:r w:rsidR="005E62B1" w:rsidRPr="000C0842">
        <w:rPr>
          <w:rFonts w:eastAsia="SimSun"/>
          <w:sz w:val="24"/>
          <w:szCs w:val="24"/>
        </w:rPr>
        <w:t>订正</w:t>
      </w:r>
      <w:r w:rsidRPr="000C0842">
        <w:rPr>
          <w:rFonts w:eastAsia="SimSun"/>
          <w:sz w:val="24"/>
          <w:szCs w:val="24"/>
        </w:rPr>
        <w:t>决定草案方括号内的案文达成妥协，</w:t>
      </w:r>
      <w:r w:rsidR="00AC5726" w:rsidRPr="000C0842">
        <w:rPr>
          <w:rFonts w:eastAsia="SimSun" w:hint="eastAsia"/>
          <w:sz w:val="24"/>
          <w:szCs w:val="24"/>
        </w:rPr>
        <w:t>拟定</w:t>
      </w:r>
      <w:r w:rsidRPr="000C0842">
        <w:rPr>
          <w:rFonts w:eastAsia="SimSun"/>
          <w:sz w:val="24"/>
          <w:szCs w:val="24"/>
        </w:rPr>
        <w:t>一份</w:t>
      </w:r>
      <w:r w:rsidR="005E62B1" w:rsidRPr="000C0842">
        <w:rPr>
          <w:rFonts w:eastAsia="SimSun"/>
          <w:sz w:val="24"/>
          <w:szCs w:val="24"/>
        </w:rPr>
        <w:t>进一步</w:t>
      </w:r>
      <w:r w:rsidRPr="000C0842">
        <w:rPr>
          <w:rFonts w:eastAsia="SimSun"/>
          <w:sz w:val="24"/>
          <w:szCs w:val="24"/>
        </w:rPr>
        <w:t>订正</w:t>
      </w:r>
      <w:r w:rsidR="005E62B1" w:rsidRPr="000C0842">
        <w:rPr>
          <w:rFonts w:eastAsia="SimSun"/>
          <w:sz w:val="24"/>
          <w:szCs w:val="24"/>
        </w:rPr>
        <w:t>的</w:t>
      </w:r>
      <w:r w:rsidRPr="000C0842">
        <w:rPr>
          <w:rFonts w:eastAsia="SimSun"/>
          <w:sz w:val="24"/>
          <w:szCs w:val="24"/>
        </w:rPr>
        <w:t>决定草案，</w:t>
      </w:r>
      <w:r w:rsidR="00AC5726" w:rsidRPr="000C0842">
        <w:rPr>
          <w:rFonts w:eastAsia="SimSun" w:hint="eastAsia"/>
          <w:sz w:val="24"/>
          <w:szCs w:val="24"/>
        </w:rPr>
        <w:t>供</w:t>
      </w:r>
      <w:r w:rsidR="005E62B1" w:rsidRPr="000C0842">
        <w:rPr>
          <w:rFonts w:eastAsia="SimSun"/>
          <w:sz w:val="24"/>
          <w:szCs w:val="24"/>
        </w:rPr>
        <w:t>稍后一次会议</w:t>
      </w:r>
      <w:r w:rsidRPr="000C0842">
        <w:rPr>
          <w:rFonts w:eastAsia="SimSun"/>
          <w:sz w:val="24"/>
          <w:szCs w:val="24"/>
        </w:rPr>
        <w:t>审议。</w:t>
      </w:r>
    </w:p>
    <w:p w14:paraId="3887AC0F" w14:textId="469AC65F" w:rsidR="00897DB1"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9</w:t>
      </w:r>
      <w:r w:rsidR="004C7374" w:rsidRPr="000C0842">
        <w:rPr>
          <w:rFonts w:eastAsia="SimSun"/>
          <w:sz w:val="24"/>
          <w:szCs w:val="24"/>
        </w:rPr>
        <w:t>场</w:t>
      </w:r>
      <w:r w:rsidRPr="000C0842">
        <w:rPr>
          <w:rFonts w:eastAsia="SimSun"/>
          <w:sz w:val="24"/>
          <w:szCs w:val="24"/>
        </w:rPr>
        <w:t>会议审议了经非正式工作组讨论后由秘书处代表口头修正的订正决定草案。</w:t>
      </w:r>
    </w:p>
    <w:p w14:paraId="47E07C7D" w14:textId="5C5B0AEA" w:rsidR="00897DB1"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下列缔约方</w:t>
      </w:r>
      <w:r w:rsidR="00897DB1" w:rsidRPr="000C0842">
        <w:rPr>
          <w:rFonts w:eastAsia="SimSun"/>
          <w:sz w:val="24"/>
          <w:szCs w:val="24"/>
        </w:rPr>
        <w:t>的代表发了言</w:t>
      </w:r>
      <w:r w:rsidR="00967832" w:rsidRPr="000C0842">
        <w:rPr>
          <w:rFonts w:eastAsia="SimSun"/>
          <w:sz w:val="24"/>
          <w:szCs w:val="24"/>
        </w:rPr>
        <w:t>：</w:t>
      </w:r>
      <w:r w:rsidR="00897DB1" w:rsidRPr="000C0842">
        <w:rPr>
          <w:rFonts w:eastAsia="SimSun"/>
          <w:sz w:val="24"/>
          <w:szCs w:val="24"/>
        </w:rPr>
        <w:t>阿根廷、巴西、加拿大、智利、欧洲联盟及其成员国、印度、以色列、日本、挪威、秘鲁、大韩民国、俄罗斯联邦、南非、多哥、联合王国</w:t>
      </w:r>
      <w:r w:rsidR="002A5D1C" w:rsidRPr="000C0842">
        <w:rPr>
          <w:rFonts w:eastAsia="SimSun" w:hint="eastAsia"/>
          <w:sz w:val="24"/>
          <w:szCs w:val="24"/>
        </w:rPr>
        <w:t>、</w:t>
      </w:r>
      <w:r w:rsidR="00897DB1" w:rsidRPr="000C0842">
        <w:rPr>
          <w:rFonts w:eastAsia="SimSun"/>
          <w:sz w:val="24"/>
          <w:szCs w:val="24"/>
        </w:rPr>
        <w:t>乌拉圭。</w:t>
      </w:r>
    </w:p>
    <w:p w14:paraId="71DC819D" w14:textId="0BCF6288" w:rsidR="00A37BB0" w:rsidRPr="000C0842"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在交换意见后，第二工作组核准了经口头修正的</w:t>
      </w:r>
      <w:r w:rsidR="00A37BB0" w:rsidRPr="000C0842">
        <w:rPr>
          <w:rFonts w:eastAsia="SimSun"/>
          <w:sz w:val="24"/>
          <w:szCs w:val="24"/>
        </w:rPr>
        <w:t>进一步</w:t>
      </w:r>
      <w:r w:rsidRPr="000C0842">
        <w:rPr>
          <w:rFonts w:eastAsia="SimSun"/>
          <w:sz w:val="24"/>
          <w:szCs w:val="24"/>
        </w:rPr>
        <w:t>订正决定草案，</w:t>
      </w:r>
      <w:r w:rsidR="00EC7CA9"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CBD/COP/16/L.10</w:t>
      </w:r>
      <w:r w:rsidRPr="000C0842">
        <w:rPr>
          <w:rFonts w:eastAsia="SimSun"/>
          <w:sz w:val="24"/>
          <w:szCs w:val="24"/>
        </w:rPr>
        <w:t>号决定草案</w:t>
      </w:r>
      <w:r w:rsidR="004C7374" w:rsidRPr="000C0842">
        <w:rPr>
          <w:rFonts w:eastAsia="SimSun"/>
          <w:sz w:val="24"/>
          <w:szCs w:val="24"/>
        </w:rPr>
        <w:t>提交全体会议</w:t>
      </w:r>
      <w:r w:rsidRPr="000C0842">
        <w:rPr>
          <w:rFonts w:eastAsia="SimSun"/>
          <w:sz w:val="24"/>
          <w:szCs w:val="24"/>
        </w:rPr>
        <w:t>。</w:t>
      </w:r>
    </w:p>
    <w:p w14:paraId="315A67AF" w14:textId="6D0A16BF" w:rsidR="00A37BB0" w:rsidRPr="000C0842" w:rsidRDefault="00A37BB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场全体会议审议了第二工作组主席提交的</w:t>
      </w:r>
      <w:r w:rsidRPr="000C0842">
        <w:rPr>
          <w:rFonts w:eastAsia="SimSun"/>
          <w:sz w:val="24"/>
          <w:szCs w:val="24"/>
        </w:rPr>
        <w:t>CBD/COP/16/L.10</w:t>
      </w:r>
      <w:r w:rsidR="008519D6" w:rsidRPr="000C0842">
        <w:rPr>
          <w:rFonts w:eastAsia="SimSun" w:hint="eastAsia"/>
          <w:sz w:val="24"/>
          <w:szCs w:val="24"/>
        </w:rPr>
        <w:t>号</w:t>
      </w:r>
      <w:r w:rsidR="008519D6" w:rsidRPr="000C0842">
        <w:rPr>
          <w:rFonts w:eastAsia="SimSun"/>
          <w:sz w:val="24"/>
          <w:szCs w:val="24"/>
        </w:rPr>
        <w:t>决定草案</w:t>
      </w:r>
      <w:r w:rsidRPr="000C0842">
        <w:rPr>
          <w:rFonts w:eastAsia="SimSun"/>
          <w:sz w:val="24"/>
          <w:szCs w:val="24"/>
        </w:rPr>
        <w:t>。</w:t>
      </w:r>
    </w:p>
    <w:p w14:paraId="02F9EF2A" w14:textId="4B672D63" w:rsidR="00A37BB0"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A37BB0" w:rsidRPr="000C0842">
        <w:rPr>
          <w:rFonts w:eastAsia="SimSun"/>
          <w:sz w:val="24"/>
          <w:szCs w:val="24"/>
        </w:rPr>
        <w:t>的代表</w:t>
      </w:r>
      <w:r w:rsidR="00172B4D" w:rsidRPr="000C0842">
        <w:rPr>
          <w:rFonts w:eastAsia="SimSun"/>
          <w:sz w:val="24"/>
          <w:szCs w:val="24"/>
        </w:rPr>
        <w:t>发了言</w:t>
      </w:r>
      <w:r w:rsidR="00967832" w:rsidRPr="000C0842">
        <w:rPr>
          <w:rFonts w:eastAsia="SimSun"/>
          <w:sz w:val="24"/>
          <w:szCs w:val="24"/>
        </w:rPr>
        <w:t>：</w:t>
      </w:r>
      <w:r w:rsidR="00A37BB0" w:rsidRPr="000C0842">
        <w:rPr>
          <w:rFonts w:eastAsia="SimSun"/>
          <w:sz w:val="24"/>
          <w:szCs w:val="24"/>
        </w:rPr>
        <w:t>巴西、刚果民主共和国、印度、以色列、瑞士</w:t>
      </w:r>
      <w:r w:rsidR="002A5D1C" w:rsidRPr="000C0842">
        <w:rPr>
          <w:rFonts w:eastAsia="SimSun" w:hint="eastAsia"/>
          <w:sz w:val="24"/>
          <w:szCs w:val="24"/>
        </w:rPr>
        <w:t>、</w:t>
      </w:r>
      <w:r w:rsidR="00A37BB0" w:rsidRPr="000C0842">
        <w:rPr>
          <w:rFonts w:eastAsia="SimSun"/>
          <w:sz w:val="24"/>
          <w:szCs w:val="24"/>
        </w:rPr>
        <w:t>多哥。</w:t>
      </w:r>
    </w:p>
    <w:p w14:paraId="48FFAD67" w14:textId="3F9069D8" w:rsidR="00897DB1" w:rsidRPr="000C0842" w:rsidRDefault="00A37BB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1E7742" w:rsidRPr="000C0842">
        <w:rPr>
          <w:rFonts w:eastAsia="SimSun" w:hint="eastAsia"/>
          <w:sz w:val="24"/>
          <w:szCs w:val="24"/>
        </w:rPr>
        <w:t>决定草案</w:t>
      </w:r>
      <w:r w:rsidRPr="000C0842">
        <w:rPr>
          <w:rFonts w:eastAsia="SimSun"/>
          <w:sz w:val="24"/>
          <w:szCs w:val="24"/>
        </w:rPr>
        <w:t>成为第</w:t>
      </w:r>
      <w:hyperlink r:id="rId418" w:history="1">
        <w:r w:rsidRPr="000C0842">
          <w:rPr>
            <w:rStyle w:val="Hyperlink"/>
            <w:rFonts w:eastAsia="SimSun"/>
            <w:color w:val="auto"/>
            <w:sz w:val="24"/>
            <w:szCs w:val="24"/>
          </w:rPr>
          <w:t>16/19</w:t>
        </w:r>
      </w:hyperlink>
      <w:r w:rsidRPr="000C0842">
        <w:rPr>
          <w:rFonts w:eastAsia="SimSun"/>
          <w:sz w:val="24"/>
          <w:szCs w:val="24"/>
        </w:rPr>
        <w:t>号决定。</w:t>
      </w:r>
    </w:p>
    <w:p w14:paraId="4FB8B679" w14:textId="258C7FC8" w:rsidR="00BE4712" w:rsidRPr="000C0842" w:rsidRDefault="00BE4712" w:rsidP="004E5EE5">
      <w:pPr>
        <w:pStyle w:val="a1"/>
        <w:ind w:left="0" w:right="0"/>
        <w:rPr>
          <w:rFonts w:hint="eastAsia"/>
          <w:bCs/>
          <w:lang w:eastAsia="zh-CN"/>
        </w:rPr>
      </w:pPr>
      <w:bookmarkStart w:id="174" w:name="_Toc206358259"/>
      <w:r w:rsidRPr="000C0842">
        <w:rPr>
          <w:lang w:eastAsia="zh-CN"/>
        </w:rPr>
        <w:t>项目</w:t>
      </w:r>
      <w:r w:rsidRPr="000C0842">
        <w:rPr>
          <w:lang w:eastAsia="zh-CN"/>
        </w:rPr>
        <w:t>23</w:t>
      </w:r>
      <w:r w:rsidRPr="000C0842">
        <w:rPr>
          <w:lang w:eastAsia="zh-CN"/>
        </w:rPr>
        <w:br/>
      </w:r>
      <w:r w:rsidRPr="000C0842">
        <w:rPr>
          <w:lang w:eastAsia="zh-CN"/>
        </w:rPr>
        <w:t>植物保护</w:t>
      </w:r>
      <w:bookmarkEnd w:id="174"/>
    </w:p>
    <w:p w14:paraId="075EF04D" w14:textId="2E03B5DA"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75" w:name="_Hlk180940353"/>
      <w:r w:rsidRPr="000C0842">
        <w:rPr>
          <w:rFonts w:eastAsia="SimSun"/>
          <w:sz w:val="24"/>
          <w:szCs w:val="24"/>
        </w:rPr>
        <w:t>第二工作组第</w:t>
      </w:r>
      <w:r w:rsidRPr="000C0842">
        <w:rPr>
          <w:rFonts w:eastAsia="SimSun"/>
          <w:sz w:val="24"/>
          <w:szCs w:val="24"/>
        </w:rPr>
        <w:t>1</w:t>
      </w:r>
      <w:r w:rsidR="00145217" w:rsidRPr="000C0842">
        <w:rPr>
          <w:rFonts w:eastAsia="SimSun" w:hint="eastAsia"/>
          <w:sz w:val="24"/>
          <w:szCs w:val="24"/>
        </w:rPr>
        <w:t>场</w:t>
      </w:r>
      <w:r w:rsidRPr="000C0842">
        <w:rPr>
          <w:rFonts w:eastAsia="SimSun"/>
          <w:sz w:val="24"/>
          <w:szCs w:val="24"/>
        </w:rPr>
        <w:t>会议审议了议程项目</w:t>
      </w:r>
      <w:r w:rsidRPr="000C0842">
        <w:rPr>
          <w:rFonts w:eastAsia="SimSun"/>
          <w:sz w:val="24"/>
          <w:szCs w:val="24"/>
        </w:rPr>
        <w:t>23</w:t>
      </w:r>
      <w:r w:rsidRPr="000C0842">
        <w:rPr>
          <w:rFonts w:eastAsia="SimSun"/>
          <w:sz w:val="24"/>
          <w:szCs w:val="24"/>
        </w:rPr>
        <w:t>。工作组收到一项决定草案</w:t>
      </w:r>
      <w:r w:rsidR="00383610" w:rsidRPr="000C0842">
        <w:rPr>
          <w:rStyle w:val="FootnoteReference"/>
          <w:sz w:val="24"/>
          <w:szCs w:val="24"/>
        </w:rPr>
        <w:footnoteReference w:id="607"/>
      </w:r>
      <w:r w:rsidR="00383610" w:rsidRPr="000C0842">
        <w:rPr>
          <w:rFonts w:eastAsia="SimSun" w:hint="eastAsia"/>
          <w:sz w:val="24"/>
          <w:szCs w:val="24"/>
        </w:rPr>
        <w:t xml:space="preserve"> </w:t>
      </w:r>
      <w:r w:rsidR="00207A77" w:rsidRPr="000C0842">
        <w:rPr>
          <w:rFonts w:eastAsia="SimSun" w:hint="eastAsia"/>
          <w:sz w:val="24"/>
          <w:szCs w:val="24"/>
        </w:rPr>
        <w:t>。</w:t>
      </w:r>
      <w:r w:rsidRPr="000C0842">
        <w:rPr>
          <w:rFonts w:eastAsia="SimSun"/>
          <w:sz w:val="24"/>
          <w:szCs w:val="24"/>
        </w:rPr>
        <w:t>此外还就项目</w:t>
      </w:r>
      <w:r w:rsidRPr="000C0842">
        <w:rPr>
          <w:rFonts w:eastAsia="SimSun"/>
          <w:sz w:val="24"/>
          <w:szCs w:val="24"/>
        </w:rPr>
        <w:t>23</w:t>
      </w:r>
      <w:r w:rsidRPr="000C0842">
        <w:rPr>
          <w:rFonts w:eastAsia="SimSun"/>
          <w:sz w:val="24"/>
          <w:szCs w:val="24"/>
        </w:rPr>
        <w:t>印发了一份资料文件，内载更新后的《全球植物保护战略》指南草案，其中包括建议的指标和监测框架来源</w:t>
      </w:r>
      <w:r w:rsidR="00383610" w:rsidRPr="000C0842">
        <w:rPr>
          <w:rFonts w:eastAsia="SimSun"/>
          <w:sz w:val="24"/>
          <w:szCs w:val="24"/>
          <w:vertAlign w:val="superscript"/>
        </w:rPr>
        <w:footnoteReference w:id="608"/>
      </w:r>
      <w:r w:rsidR="00207A77" w:rsidRPr="000C0842">
        <w:rPr>
          <w:rFonts w:eastAsia="SimSun" w:hint="eastAsia"/>
          <w:sz w:val="24"/>
          <w:szCs w:val="24"/>
        </w:rPr>
        <w:t>。</w:t>
      </w:r>
    </w:p>
    <w:p w14:paraId="60355E74" w14:textId="0BDF58E0"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第二工作组商定由主席与缔约方</w:t>
      </w:r>
      <w:r w:rsidR="00EC7CA9" w:rsidRPr="000C0842">
        <w:rPr>
          <w:rFonts w:eastAsia="SimSun" w:hint="eastAsia"/>
          <w:sz w:val="24"/>
          <w:szCs w:val="24"/>
          <w:lang w:val="en-GB"/>
        </w:rPr>
        <w:t>进行</w:t>
      </w:r>
      <w:r w:rsidRPr="000C0842">
        <w:rPr>
          <w:rFonts w:eastAsia="SimSun"/>
          <w:sz w:val="24"/>
          <w:szCs w:val="24"/>
          <w:lang w:val="en-GB"/>
        </w:rPr>
        <w:t>非正式磋商</w:t>
      </w:r>
      <w:r w:rsidR="00EC7CA9" w:rsidRPr="000C0842">
        <w:rPr>
          <w:rFonts w:eastAsia="SimSun" w:hint="eastAsia"/>
          <w:sz w:val="24"/>
          <w:szCs w:val="24"/>
          <w:lang w:val="en-GB"/>
        </w:rPr>
        <w:t>，</w:t>
      </w:r>
      <w:r w:rsidR="00AC5726" w:rsidRPr="000C0842">
        <w:rPr>
          <w:rFonts w:eastAsia="SimSun" w:hint="eastAsia"/>
          <w:sz w:val="24"/>
          <w:szCs w:val="24"/>
          <w:lang w:val="en-GB"/>
        </w:rPr>
        <w:t>拟定</w:t>
      </w:r>
      <w:r w:rsidRPr="000C0842">
        <w:rPr>
          <w:rFonts w:eastAsia="SimSun"/>
          <w:sz w:val="24"/>
          <w:szCs w:val="24"/>
          <w:lang w:val="en-GB"/>
        </w:rPr>
        <w:t>一份订正决定草案</w:t>
      </w:r>
      <w:r w:rsidR="00AC5726" w:rsidRPr="000C0842">
        <w:rPr>
          <w:rFonts w:eastAsia="SimSun" w:hint="eastAsia"/>
          <w:sz w:val="24"/>
          <w:szCs w:val="24"/>
          <w:lang w:val="en-GB"/>
        </w:rPr>
        <w:t>，供</w:t>
      </w:r>
      <w:r w:rsidRPr="000C0842">
        <w:rPr>
          <w:rFonts w:eastAsia="SimSun"/>
          <w:sz w:val="24"/>
          <w:szCs w:val="24"/>
          <w:lang w:val="en-GB"/>
        </w:rPr>
        <w:t>稍后一次会议审议。</w:t>
      </w:r>
    </w:p>
    <w:p w14:paraId="7A756454" w14:textId="782F73BE"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10</w:t>
      </w:r>
      <w:r w:rsidRPr="000C0842">
        <w:rPr>
          <w:rFonts w:eastAsia="SimSun"/>
          <w:sz w:val="24"/>
          <w:szCs w:val="24"/>
          <w:lang w:val="en-GB"/>
        </w:rPr>
        <w:t>月</w:t>
      </w:r>
      <w:r w:rsidRPr="000C0842">
        <w:rPr>
          <w:rFonts w:eastAsia="SimSun"/>
          <w:sz w:val="24"/>
          <w:szCs w:val="24"/>
          <w:lang w:val="en-GB"/>
        </w:rPr>
        <w:t>23</w:t>
      </w:r>
      <w:r w:rsidRPr="000C0842">
        <w:rPr>
          <w:rFonts w:eastAsia="SimSun"/>
          <w:sz w:val="24"/>
          <w:szCs w:val="24"/>
          <w:lang w:val="en-GB"/>
        </w:rPr>
        <w:t>日第二工作组第</w:t>
      </w:r>
      <w:r w:rsidRPr="000C0842">
        <w:rPr>
          <w:rFonts w:eastAsia="SimSun"/>
          <w:sz w:val="24"/>
          <w:szCs w:val="24"/>
          <w:lang w:val="en-GB"/>
        </w:rPr>
        <w:t>3</w:t>
      </w:r>
      <w:r w:rsidRPr="000C0842">
        <w:rPr>
          <w:rFonts w:eastAsia="SimSun"/>
          <w:sz w:val="24"/>
          <w:szCs w:val="24"/>
          <w:lang w:val="en-GB"/>
        </w:rPr>
        <w:t>场会议</w:t>
      </w:r>
      <w:r w:rsidRPr="000C0842">
        <w:rPr>
          <w:rFonts w:eastAsia="SimSun"/>
          <w:sz w:val="24"/>
          <w:szCs w:val="24"/>
        </w:rPr>
        <w:t>审议</w:t>
      </w:r>
      <w:r w:rsidRPr="000C0842">
        <w:rPr>
          <w:rFonts w:eastAsia="SimSun"/>
          <w:sz w:val="24"/>
          <w:szCs w:val="24"/>
          <w:lang w:val="en-GB"/>
        </w:rPr>
        <w:t>了主席提交的订正决定草案。</w:t>
      </w:r>
    </w:p>
    <w:p w14:paraId="0496DBD0" w14:textId="04586E09" w:rsidR="00172B4D"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0C0842">
        <w:rPr>
          <w:rFonts w:eastAsia="SimSun"/>
          <w:sz w:val="24"/>
          <w:szCs w:val="24"/>
          <w:lang w:val="en-GB"/>
        </w:rPr>
        <w:t>下列缔约方</w:t>
      </w:r>
      <w:r w:rsidR="00172B4D" w:rsidRPr="000C0842">
        <w:rPr>
          <w:rFonts w:eastAsia="SimSun"/>
          <w:sz w:val="24"/>
          <w:szCs w:val="24"/>
          <w:lang w:val="en-GB"/>
        </w:rPr>
        <w:t>的代表发了言</w:t>
      </w:r>
      <w:r w:rsidR="00967832" w:rsidRPr="000C0842">
        <w:rPr>
          <w:rFonts w:eastAsia="SimSun"/>
          <w:sz w:val="24"/>
          <w:szCs w:val="24"/>
          <w:lang w:val="en-GB"/>
        </w:rPr>
        <w:t>：</w:t>
      </w:r>
      <w:r w:rsidR="00172B4D" w:rsidRPr="000C0842">
        <w:rPr>
          <w:rFonts w:eastAsia="SimSun"/>
          <w:sz w:val="24"/>
          <w:szCs w:val="24"/>
          <w:lang w:val="en-GB"/>
        </w:rPr>
        <w:t>阿根廷、澳大利亚、巴西、欧洲联盟及其成员国、日本、肯尼亚、新西兰、摩尔多瓦共和国、俄罗斯联邦、塞内加尔（代表非洲国家）、土库曼斯坦。</w:t>
      </w:r>
    </w:p>
    <w:p w14:paraId="7C3D2183" w14:textId="12614086" w:rsidR="00BE4712"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lang w:val="en-GB"/>
        </w:rPr>
        <w:t>第二工作组核准了经口头修正的订正决定草案，</w:t>
      </w:r>
      <w:r w:rsidR="00EC7CA9" w:rsidRPr="000C0842">
        <w:rPr>
          <w:rFonts w:eastAsia="SimSun" w:hint="eastAsia"/>
          <w:sz w:val="24"/>
          <w:szCs w:val="24"/>
          <w:lang w:val="en-GB"/>
        </w:rPr>
        <w:t>将其</w:t>
      </w:r>
      <w:r w:rsidRPr="000C0842">
        <w:rPr>
          <w:rFonts w:eastAsia="SimSun"/>
          <w:sz w:val="24"/>
          <w:szCs w:val="24"/>
          <w:lang w:val="en-GB"/>
        </w:rPr>
        <w:t>作为</w:t>
      </w:r>
      <w:r w:rsidRPr="000C0842">
        <w:rPr>
          <w:rFonts w:eastAsia="SimSun"/>
          <w:sz w:val="24"/>
          <w:szCs w:val="24"/>
          <w:lang w:val="en-GB"/>
        </w:rPr>
        <w:t>CBD/COP/16/L.3</w:t>
      </w:r>
      <w:r w:rsidRPr="000C0842">
        <w:rPr>
          <w:rFonts w:eastAsia="SimSun"/>
          <w:sz w:val="24"/>
          <w:szCs w:val="24"/>
          <w:lang w:val="en-GB"/>
        </w:rPr>
        <w:t>号决定草案提交全体会议</w:t>
      </w:r>
    </w:p>
    <w:p w14:paraId="503B8B76" w14:textId="3909105D" w:rsidR="00BE4712" w:rsidRPr="000C0842"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Pr="000C0842">
        <w:rPr>
          <w:sz w:val="24"/>
          <w:szCs w:val="24"/>
        </w:rPr>
        <w:t>2</w:t>
      </w:r>
      <w:r w:rsidRPr="000C0842">
        <w:rPr>
          <w:rFonts w:eastAsia="SimSun"/>
          <w:sz w:val="24"/>
          <w:szCs w:val="24"/>
        </w:rPr>
        <w:t>场全体会议审议了第二工作组主席提交的</w:t>
      </w:r>
      <w:r w:rsidRPr="000C0842">
        <w:rPr>
          <w:sz w:val="24"/>
          <w:szCs w:val="24"/>
        </w:rPr>
        <w:t>CBD/COP/16/L.3</w:t>
      </w:r>
      <w:r w:rsidR="00FC2FC8" w:rsidRPr="000C0842">
        <w:rPr>
          <w:rFonts w:eastAsia="SimSun"/>
          <w:sz w:val="24"/>
          <w:szCs w:val="24"/>
        </w:rPr>
        <w:t>号决定草案</w:t>
      </w:r>
      <w:r w:rsidRPr="000C0842">
        <w:rPr>
          <w:rFonts w:eastAsia="SimSun"/>
          <w:sz w:val="24"/>
          <w:szCs w:val="24"/>
        </w:rPr>
        <w:t>。</w:t>
      </w:r>
    </w:p>
    <w:p w14:paraId="176204DD" w14:textId="4B56B80C" w:rsidR="00BE4712"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下列缔约方</w:t>
      </w:r>
      <w:r w:rsidR="00BE4712" w:rsidRPr="000C0842">
        <w:rPr>
          <w:rFonts w:eastAsia="SimSun"/>
          <w:sz w:val="24"/>
          <w:szCs w:val="24"/>
        </w:rPr>
        <w:t>的代表发了言</w:t>
      </w:r>
      <w:r w:rsidR="00967832" w:rsidRPr="000C0842">
        <w:rPr>
          <w:rFonts w:eastAsia="SimSun"/>
          <w:sz w:val="24"/>
          <w:szCs w:val="24"/>
        </w:rPr>
        <w:t>：</w:t>
      </w:r>
      <w:r w:rsidR="00BE4712" w:rsidRPr="000C0842">
        <w:rPr>
          <w:rFonts w:eastAsia="SimSun"/>
          <w:sz w:val="24"/>
          <w:szCs w:val="24"/>
        </w:rPr>
        <w:t>安提瓜和巴布达、阿根廷、孟加拉国、巴西、布基纳法索、喀麦隆、科特迪瓦、刚果民主共和国、欧洲联盟及其成员国、斐济、加蓬、加纳、印度、基里巴斯、吉尔吉斯斯坦、马尔代夫、尼日利亚、巴基斯坦、俄罗斯联邦、圣卢西亚、南非、乌干达。</w:t>
      </w:r>
    </w:p>
    <w:p w14:paraId="26614158" w14:textId="5BD0313D" w:rsidR="00BE4712" w:rsidRPr="000C0842"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bookmarkStart w:id="176" w:name="_Hlk181003746"/>
      <w:r w:rsidRPr="000C0842">
        <w:rPr>
          <w:rFonts w:eastAsia="SimSun"/>
          <w:sz w:val="24"/>
          <w:szCs w:val="24"/>
        </w:rPr>
        <w:t>交换意见后，缔约方大会</w:t>
      </w:r>
      <w:r w:rsidR="000D5A84" w:rsidRPr="000C0842">
        <w:rPr>
          <w:rFonts w:eastAsia="SimSun"/>
          <w:sz w:val="24"/>
          <w:szCs w:val="24"/>
        </w:rPr>
        <w:t>核准</w:t>
      </w:r>
      <w:r w:rsidRPr="000C0842">
        <w:rPr>
          <w:rFonts w:eastAsia="SimSun"/>
          <w:sz w:val="24"/>
          <w:szCs w:val="24"/>
        </w:rPr>
        <w:t>了整个决定草案，但决定草案附件行动目标</w:t>
      </w:r>
      <w:r w:rsidRPr="000C0842">
        <w:rPr>
          <w:sz w:val="24"/>
          <w:szCs w:val="24"/>
        </w:rPr>
        <w:t>17</w:t>
      </w:r>
      <w:r w:rsidRPr="000C0842">
        <w:rPr>
          <w:rFonts w:eastAsia="SimSun"/>
          <w:sz w:val="24"/>
          <w:szCs w:val="24"/>
        </w:rPr>
        <w:t>下的第</w:t>
      </w:r>
      <w:r w:rsidRPr="000C0842">
        <w:rPr>
          <w:sz w:val="24"/>
          <w:szCs w:val="24"/>
        </w:rPr>
        <w:t>17</w:t>
      </w:r>
      <w:r w:rsidRPr="000C0842">
        <w:rPr>
          <w:rFonts w:eastAsia="SimSun"/>
          <w:sz w:val="24"/>
          <w:szCs w:val="24"/>
        </w:rPr>
        <w:t>段和第</w:t>
      </w:r>
      <w:r w:rsidRPr="000C0842">
        <w:rPr>
          <w:sz w:val="24"/>
          <w:szCs w:val="24"/>
        </w:rPr>
        <w:t>17</w:t>
      </w:r>
      <w:r w:rsidRPr="000C0842">
        <w:rPr>
          <w:rFonts w:eastAsia="SimSun"/>
          <w:sz w:val="24"/>
          <w:szCs w:val="24"/>
        </w:rPr>
        <w:t>段</w:t>
      </w:r>
      <w:r w:rsidR="0094027D" w:rsidRPr="000C0842">
        <w:rPr>
          <w:rFonts w:eastAsia="SimSun"/>
          <w:sz w:val="24"/>
          <w:szCs w:val="24"/>
        </w:rPr>
        <w:t>备选</w:t>
      </w:r>
      <w:r w:rsidRPr="000C0842">
        <w:rPr>
          <w:rFonts w:eastAsia="SimSun"/>
          <w:sz w:val="24"/>
          <w:szCs w:val="24"/>
        </w:rPr>
        <w:t>段除外，缔约方大会</w:t>
      </w:r>
      <w:r w:rsidR="00C53DC3" w:rsidRPr="000C0842">
        <w:rPr>
          <w:rFonts w:eastAsia="SimSun" w:hint="eastAsia"/>
          <w:sz w:val="24"/>
          <w:szCs w:val="24"/>
        </w:rPr>
        <w:t>还</w:t>
      </w:r>
      <w:r w:rsidRPr="000C0842">
        <w:rPr>
          <w:rFonts w:eastAsia="SimSun"/>
          <w:sz w:val="24"/>
          <w:szCs w:val="24"/>
        </w:rPr>
        <w:t>同意在</w:t>
      </w:r>
      <w:r w:rsidR="00A62FA8" w:rsidRPr="000C0842">
        <w:rPr>
          <w:rFonts w:eastAsia="SimSun" w:hint="eastAsia"/>
          <w:sz w:val="24"/>
          <w:szCs w:val="24"/>
        </w:rPr>
        <w:t>感兴趣缔约方</w:t>
      </w:r>
      <w:r w:rsidRPr="000C0842">
        <w:rPr>
          <w:rFonts w:eastAsia="SimSun"/>
          <w:sz w:val="24"/>
          <w:szCs w:val="24"/>
        </w:rPr>
        <w:t>进行非正式讨论后，</w:t>
      </w:r>
      <w:r w:rsidR="00AC5726" w:rsidRPr="000C0842">
        <w:rPr>
          <w:rFonts w:eastAsia="SimSun" w:hint="eastAsia"/>
          <w:sz w:val="24"/>
          <w:szCs w:val="24"/>
        </w:rPr>
        <w:t>在</w:t>
      </w:r>
      <w:r w:rsidR="00172B4D" w:rsidRPr="000C0842">
        <w:rPr>
          <w:rFonts w:eastAsia="SimSun"/>
          <w:sz w:val="24"/>
          <w:szCs w:val="24"/>
        </w:rPr>
        <w:t>稍后一次会议继续</w:t>
      </w:r>
      <w:r w:rsidR="00EC7CA9" w:rsidRPr="000C0842">
        <w:rPr>
          <w:rFonts w:eastAsia="SimSun" w:hint="eastAsia"/>
          <w:sz w:val="24"/>
          <w:szCs w:val="24"/>
        </w:rPr>
        <w:t>审议</w:t>
      </w:r>
      <w:r w:rsidRPr="000C0842">
        <w:rPr>
          <w:rFonts w:eastAsia="SimSun"/>
          <w:sz w:val="24"/>
          <w:szCs w:val="24"/>
        </w:rPr>
        <w:t>这些段落。</w:t>
      </w:r>
      <w:bookmarkEnd w:id="176"/>
    </w:p>
    <w:p w14:paraId="207A704C" w14:textId="43CB77A8"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场全体会议继续审议决定草案。</w:t>
      </w:r>
    </w:p>
    <w:p w14:paraId="69DDD8B8" w14:textId="5D5FEFF5"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阿根廷、巴西、刚果民主共和国、欧洲联盟及其成员国</w:t>
      </w:r>
      <w:r w:rsidR="00EB234D" w:rsidRPr="000C0842">
        <w:rPr>
          <w:rFonts w:eastAsia="SimSun" w:hint="eastAsia"/>
          <w:sz w:val="24"/>
          <w:szCs w:val="24"/>
        </w:rPr>
        <w:t>、</w:t>
      </w:r>
      <w:r w:rsidRPr="000C0842">
        <w:rPr>
          <w:rFonts w:eastAsia="SimSun"/>
          <w:sz w:val="24"/>
          <w:szCs w:val="24"/>
        </w:rPr>
        <w:t>巴拿马。</w:t>
      </w:r>
    </w:p>
    <w:p w14:paraId="7C148323" w14:textId="54DA5813" w:rsidR="00BE4712" w:rsidRPr="000C0842"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w:t>
      </w:r>
      <w:r w:rsidR="00172B4D" w:rsidRPr="000C0842">
        <w:rPr>
          <w:rFonts w:eastAsia="SimSun"/>
          <w:sz w:val="24"/>
          <w:szCs w:val="24"/>
        </w:rPr>
        <w:t>通过了经口头修正的决定草案，</w:t>
      </w:r>
      <w:r w:rsidR="005835B6" w:rsidRPr="000C0842">
        <w:rPr>
          <w:rFonts w:eastAsia="SimSun" w:hint="eastAsia"/>
          <w:sz w:val="24"/>
          <w:szCs w:val="24"/>
        </w:rPr>
        <w:t>决定草案</w:t>
      </w:r>
      <w:r w:rsidR="00172B4D" w:rsidRPr="000C0842">
        <w:rPr>
          <w:rFonts w:eastAsia="SimSun"/>
          <w:sz w:val="24"/>
          <w:szCs w:val="24"/>
        </w:rPr>
        <w:t>成为第</w:t>
      </w:r>
      <w:hyperlink r:id="rId419" w:history="1">
        <w:r w:rsidR="00172B4D" w:rsidRPr="000C0842">
          <w:rPr>
            <w:rStyle w:val="Hyperlink"/>
            <w:rFonts w:eastAsia="SimSun"/>
            <w:color w:val="auto"/>
            <w:sz w:val="24"/>
            <w:szCs w:val="24"/>
          </w:rPr>
          <w:t>16/20</w:t>
        </w:r>
      </w:hyperlink>
      <w:r w:rsidR="00172B4D" w:rsidRPr="000C0842">
        <w:rPr>
          <w:rFonts w:eastAsia="SimSun"/>
          <w:sz w:val="24"/>
          <w:szCs w:val="24"/>
        </w:rPr>
        <w:t>号决定。</w:t>
      </w:r>
    </w:p>
    <w:p w14:paraId="2AA5734D" w14:textId="70A3A7A9" w:rsidR="00172B4D" w:rsidRPr="000C0842" w:rsidRDefault="00172B4D" w:rsidP="004E5EE5">
      <w:pPr>
        <w:pStyle w:val="a1"/>
        <w:ind w:left="0" w:right="0"/>
        <w:rPr>
          <w:rFonts w:hint="eastAsia"/>
          <w:lang w:eastAsia="zh-CN"/>
        </w:rPr>
      </w:pPr>
      <w:bookmarkStart w:id="177" w:name="_Toc206358260"/>
      <w:bookmarkEnd w:id="175"/>
      <w:r w:rsidRPr="000C0842">
        <w:rPr>
          <w:lang w:eastAsia="zh-CN"/>
        </w:rPr>
        <w:t>项目</w:t>
      </w:r>
      <w:r w:rsidRPr="000C0842">
        <w:rPr>
          <w:lang w:eastAsia="zh-CN"/>
        </w:rPr>
        <w:t>24</w:t>
      </w:r>
      <w:r w:rsidR="00531B66" w:rsidRPr="000C0842">
        <w:rPr>
          <w:lang w:eastAsia="zh-CN"/>
        </w:rPr>
        <w:br/>
      </w:r>
      <w:r w:rsidRPr="000C0842">
        <w:rPr>
          <w:lang w:eastAsia="zh-CN"/>
        </w:rPr>
        <w:t>合成生物学</w:t>
      </w:r>
      <w:bookmarkEnd w:id="177"/>
    </w:p>
    <w:p w14:paraId="28451D67" w14:textId="345D198C"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Pr="000C0842">
        <w:rPr>
          <w:rFonts w:eastAsia="SimSun"/>
          <w:sz w:val="24"/>
          <w:szCs w:val="24"/>
        </w:rPr>
        <w:t>场会议审议了议程项目</w:t>
      </w:r>
      <w:r w:rsidRPr="000C0842">
        <w:rPr>
          <w:rFonts w:eastAsia="SimSun"/>
          <w:sz w:val="24"/>
          <w:szCs w:val="24"/>
        </w:rPr>
        <w:t>24</w:t>
      </w:r>
      <w:r w:rsidRPr="000C0842">
        <w:rPr>
          <w:rFonts w:eastAsia="SimSun"/>
          <w:sz w:val="24"/>
          <w:szCs w:val="24"/>
        </w:rPr>
        <w:t>。工作组收到一项决定草案</w:t>
      </w:r>
      <w:r w:rsidR="00531B66" w:rsidRPr="000C0842">
        <w:rPr>
          <w:rStyle w:val="FootnoteReference"/>
          <w:sz w:val="24"/>
          <w:szCs w:val="24"/>
        </w:rPr>
        <w:footnoteReference w:id="609"/>
      </w:r>
      <w:r w:rsidR="00207A77" w:rsidRPr="000C0842">
        <w:rPr>
          <w:rFonts w:eastAsia="SimSun" w:hint="eastAsia"/>
          <w:sz w:val="24"/>
          <w:szCs w:val="24"/>
        </w:rPr>
        <w:t>。</w:t>
      </w:r>
    </w:p>
    <w:p w14:paraId="7E85B661" w14:textId="51D16FBD"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第二工作组商定设立一个联络小组，由</w:t>
      </w:r>
      <w:r w:rsidRPr="000C0842">
        <w:rPr>
          <w:rFonts w:eastAsia="SimSun"/>
          <w:sz w:val="24"/>
          <w:szCs w:val="24"/>
        </w:rPr>
        <w:t>Martha Kandawa-Schulz</w:t>
      </w:r>
      <w:r w:rsidR="00E43413" w:rsidRPr="000C0842">
        <w:rPr>
          <w:rFonts w:ascii="SimSun" w:eastAsia="SimSun" w:hAnsi="SimSun" w:hint="eastAsia"/>
          <w:sz w:val="24"/>
          <w:szCs w:val="24"/>
        </w:rPr>
        <w:t>（</w:t>
      </w:r>
      <w:r w:rsidRPr="000C0842">
        <w:rPr>
          <w:rFonts w:ascii="SimSun" w:eastAsia="SimSun" w:hAnsi="SimSun"/>
          <w:sz w:val="24"/>
          <w:szCs w:val="24"/>
        </w:rPr>
        <w:t>纳米比亚</w:t>
      </w:r>
      <w:r w:rsidR="00E43413" w:rsidRPr="000C0842">
        <w:rPr>
          <w:rFonts w:ascii="SimSun" w:eastAsia="SimSun" w:hAnsi="SimSun" w:hint="eastAsia"/>
          <w:sz w:val="24"/>
          <w:szCs w:val="24"/>
        </w:rPr>
        <w:t>）</w:t>
      </w:r>
      <w:r w:rsidRPr="000C0842">
        <w:rPr>
          <w:rFonts w:eastAsia="SimSun"/>
          <w:sz w:val="24"/>
          <w:szCs w:val="24"/>
        </w:rPr>
        <w:t>和</w:t>
      </w:r>
      <w:r w:rsidRPr="000C0842">
        <w:rPr>
          <w:rFonts w:eastAsia="SimSun"/>
          <w:sz w:val="24"/>
          <w:szCs w:val="24"/>
        </w:rPr>
        <w:t>Marja Ruohonen-Lehto</w:t>
      </w:r>
      <w:r w:rsidR="00E43413" w:rsidRPr="000C0842">
        <w:rPr>
          <w:rFonts w:ascii="SimSun" w:eastAsia="SimSun" w:hAnsi="SimSun" w:hint="eastAsia"/>
          <w:sz w:val="24"/>
          <w:szCs w:val="24"/>
        </w:rPr>
        <w:t>（</w:t>
      </w:r>
      <w:r w:rsidRPr="000C0842">
        <w:rPr>
          <w:rFonts w:ascii="SimSun" w:eastAsia="SimSun" w:hAnsi="SimSun"/>
          <w:sz w:val="24"/>
          <w:szCs w:val="24"/>
        </w:rPr>
        <w:t>芬兰</w:t>
      </w:r>
      <w:r w:rsidR="00E43413" w:rsidRPr="000C0842">
        <w:rPr>
          <w:rFonts w:ascii="SimSun" w:eastAsia="SimSun" w:hAnsi="SimSun" w:hint="eastAsia"/>
          <w:sz w:val="24"/>
          <w:szCs w:val="24"/>
        </w:rPr>
        <w:t>）</w:t>
      </w:r>
      <w:r w:rsidRPr="000C0842">
        <w:rPr>
          <w:rFonts w:eastAsia="SimSun"/>
          <w:sz w:val="24"/>
          <w:szCs w:val="24"/>
        </w:rPr>
        <w:t>担任共同主席，负责讨论决定草案，特别是与合成生物学方面的专题行动计划有关的内容</w:t>
      </w:r>
      <w:r w:rsidR="005835B6" w:rsidRPr="000C0842">
        <w:rPr>
          <w:rFonts w:eastAsia="SimSun" w:hint="eastAsia"/>
          <w:sz w:val="24"/>
          <w:szCs w:val="24"/>
        </w:rPr>
        <w:t>；</w:t>
      </w:r>
      <w:r w:rsidRPr="000C0842">
        <w:rPr>
          <w:rFonts w:eastAsia="SimSun"/>
          <w:sz w:val="24"/>
          <w:szCs w:val="24"/>
        </w:rPr>
        <w:t>与前景扫描、监测和评估进程的成果有关的进一步工作</w:t>
      </w:r>
      <w:r w:rsidR="005835B6" w:rsidRPr="000C0842">
        <w:rPr>
          <w:rFonts w:eastAsia="SimSun" w:hint="eastAsia"/>
          <w:sz w:val="24"/>
          <w:szCs w:val="24"/>
        </w:rPr>
        <w:t>；</w:t>
      </w:r>
      <w:r w:rsidRPr="000C0842">
        <w:rPr>
          <w:rFonts w:eastAsia="SimSun"/>
          <w:sz w:val="24"/>
          <w:szCs w:val="24"/>
        </w:rPr>
        <w:t>与《公约》下的合成生物学工作有关的未决问题。</w:t>
      </w:r>
    </w:p>
    <w:p w14:paraId="6AB2AFC1" w14:textId="769304C6"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12</w:t>
      </w:r>
      <w:r w:rsidRPr="000C0842">
        <w:rPr>
          <w:rFonts w:eastAsia="SimSun"/>
          <w:sz w:val="24"/>
          <w:szCs w:val="24"/>
        </w:rPr>
        <w:t>场会议审议了主席在联络小组讨论后提交的订正决定草案。</w:t>
      </w:r>
    </w:p>
    <w:p w14:paraId="640D7D84" w14:textId="46440EEA"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阿根廷、巴西、智利、哥伦比亚、刚果民主共和国、欧洲联盟及其成员国、加蓬、危地马拉、印度、以色列、肯尼亚（代表非洲国家）、摩洛哥、新西兰、挪威、巴拿马、南非、多哥</w:t>
      </w:r>
      <w:r w:rsidR="002A5D1C" w:rsidRPr="000C0842">
        <w:rPr>
          <w:rFonts w:eastAsia="SimSun" w:hint="eastAsia"/>
          <w:sz w:val="24"/>
          <w:szCs w:val="24"/>
        </w:rPr>
        <w:t>、</w:t>
      </w:r>
      <w:r w:rsidRPr="000C0842">
        <w:rPr>
          <w:rFonts w:eastAsia="SimSun"/>
          <w:sz w:val="24"/>
          <w:szCs w:val="24"/>
        </w:rPr>
        <w:t>土耳其。</w:t>
      </w:r>
    </w:p>
    <w:p w14:paraId="3DFB1394" w14:textId="060DEBAE"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第二工作组核准了经口头修正的订正决定草案，</w:t>
      </w:r>
      <w:r w:rsidR="005835B6"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CBD/COP/16/L.21</w:t>
      </w:r>
      <w:r w:rsidRPr="000C0842">
        <w:rPr>
          <w:rFonts w:eastAsia="SimSun"/>
          <w:sz w:val="24"/>
          <w:szCs w:val="24"/>
        </w:rPr>
        <w:t>号决定草案提交全体会议。</w:t>
      </w:r>
    </w:p>
    <w:p w14:paraId="74951B33" w14:textId="44D811F1"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1A2EF0" w:rsidRPr="000C0842">
        <w:rPr>
          <w:rFonts w:eastAsia="SimSun" w:hint="eastAsia"/>
          <w:sz w:val="24"/>
          <w:szCs w:val="24"/>
        </w:rPr>
        <w:t>并通过</w:t>
      </w:r>
      <w:r w:rsidRPr="000C0842">
        <w:rPr>
          <w:rFonts w:eastAsia="SimSun"/>
          <w:sz w:val="24"/>
          <w:szCs w:val="24"/>
        </w:rPr>
        <w:t>了第二工作组主席提交的</w:t>
      </w:r>
      <w:r w:rsidRPr="000C0842">
        <w:rPr>
          <w:rFonts w:eastAsia="SimSun"/>
          <w:sz w:val="24"/>
          <w:szCs w:val="24"/>
        </w:rPr>
        <w:t>CBD/COP/16/L.21</w:t>
      </w:r>
      <w:r w:rsidRPr="000C0842">
        <w:rPr>
          <w:rFonts w:eastAsia="SimSun"/>
          <w:sz w:val="24"/>
          <w:szCs w:val="24"/>
        </w:rPr>
        <w:t>号决定草案，</w:t>
      </w:r>
      <w:r w:rsidR="001A2EF0" w:rsidRPr="000C0842">
        <w:rPr>
          <w:rFonts w:eastAsia="SimSun" w:hint="eastAsia"/>
          <w:sz w:val="24"/>
          <w:szCs w:val="24"/>
        </w:rPr>
        <w:t>决定</w:t>
      </w:r>
      <w:r w:rsidRPr="000C0842">
        <w:rPr>
          <w:rFonts w:eastAsia="SimSun"/>
          <w:sz w:val="24"/>
          <w:szCs w:val="24"/>
        </w:rPr>
        <w:t>草案成为第</w:t>
      </w:r>
      <w:hyperlink r:id="rId420" w:history="1">
        <w:r w:rsidRPr="000C0842">
          <w:rPr>
            <w:rStyle w:val="Hyperlink"/>
            <w:rFonts w:eastAsia="SimSun"/>
            <w:color w:val="auto"/>
            <w:sz w:val="24"/>
            <w:szCs w:val="24"/>
          </w:rPr>
          <w:t>16/21</w:t>
        </w:r>
      </w:hyperlink>
      <w:r w:rsidRPr="000C0842">
        <w:rPr>
          <w:rFonts w:eastAsia="SimSun"/>
          <w:sz w:val="24"/>
          <w:szCs w:val="24"/>
        </w:rPr>
        <w:t>号决定。</w:t>
      </w:r>
    </w:p>
    <w:p w14:paraId="42837B64" w14:textId="46F874B8" w:rsidR="00172B4D" w:rsidRPr="000C0842" w:rsidRDefault="00172B4D" w:rsidP="005835B6">
      <w:pPr>
        <w:pStyle w:val="a1"/>
        <w:keepNext/>
        <w:ind w:left="0" w:right="0"/>
        <w:rPr>
          <w:rFonts w:hint="eastAsia"/>
          <w:bCs/>
          <w:lang w:eastAsia="zh-CN"/>
        </w:rPr>
      </w:pPr>
      <w:bookmarkStart w:id="178" w:name="_Toc206358261"/>
      <w:r w:rsidRPr="000C0842">
        <w:rPr>
          <w:lang w:eastAsia="zh-CN"/>
        </w:rPr>
        <w:t>项目</w:t>
      </w:r>
      <w:r w:rsidRPr="000C0842">
        <w:rPr>
          <w:lang w:eastAsia="zh-CN"/>
        </w:rPr>
        <w:t>25</w:t>
      </w:r>
      <w:r w:rsidR="007F099C" w:rsidRPr="000C0842">
        <w:rPr>
          <w:lang w:eastAsia="zh-CN"/>
        </w:rPr>
        <w:br/>
      </w:r>
      <w:r w:rsidRPr="000C0842">
        <w:rPr>
          <w:lang w:eastAsia="zh-CN"/>
        </w:rPr>
        <w:t>生物多样性与气候变化</w:t>
      </w:r>
      <w:bookmarkEnd w:id="178"/>
    </w:p>
    <w:p w14:paraId="492185D7" w14:textId="2D9DB7F3"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w:t>
      </w:r>
      <w:r w:rsidR="00145217" w:rsidRPr="000C0842">
        <w:rPr>
          <w:rFonts w:eastAsia="SimSun" w:hint="eastAsia"/>
          <w:sz w:val="24"/>
          <w:szCs w:val="24"/>
        </w:rPr>
        <w:t>场</w:t>
      </w:r>
      <w:r w:rsidRPr="000C0842">
        <w:rPr>
          <w:rFonts w:eastAsia="SimSun"/>
          <w:sz w:val="24"/>
          <w:szCs w:val="24"/>
        </w:rPr>
        <w:t>会议审议了议程项目</w:t>
      </w:r>
      <w:r w:rsidRPr="000C0842">
        <w:rPr>
          <w:rFonts w:eastAsia="SimSun"/>
          <w:sz w:val="24"/>
          <w:szCs w:val="24"/>
        </w:rPr>
        <w:t>25</w:t>
      </w:r>
      <w:r w:rsidRPr="000C0842">
        <w:rPr>
          <w:rFonts w:eastAsia="SimSun"/>
          <w:sz w:val="24"/>
          <w:szCs w:val="24"/>
        </w:rPr>
        <w:t>。工作组收到一项决定草案</w:t>
      </w:r>
      <w:r w:rsidR="007F099C" w:rsidRPr="000C0842">
        <w:rPr>
          <w:rStyle w:val="FootnoteReference"/>
          <w:sz w:val="24"/>
          <w:szCs w:val="24"/>
        </w:rPr>
        <w:footnoteReference w:id="610"/>
      </w:r>
      <w:r w:rsidR="00207A77" w:rsidRPr="000C0842">
        <w:rPr>
          <w:rFonts w:eastAsia="SimSun" w:hint="eastAsia"/>
          <w:sz w:val="24"/>
          <w:szCs w:val="24"/>
        </w:rPr>
        <w:t>。</w:t>
      </w:r>
      <w:r w:rsidRPr="000C0842">
        <w:rPr>
          <w:rFonts w:eastAsia="SimSun"/>
          <w:sz w:val="24"/>
          <w:szCs w:val="24"/>
        </w:rPr>
        <w:t>此外还就项目</w:t>
      </w:r>
      <w:r w:rsidRPr="000C0842">
        <w:rPr>
          <w:rFonts w:eastAsia="SimSun"/>
          <w:sz w:val="24"/>
          <w:szCs w:val="24"/>
        </w:rPr>
        <w:t>25</w:t>
      </w:r>
      <w:r w:rsidRPr="000C0842">
        <w:rPr>
          <w:rFonts w:eastAsia="SimSun"/>
          <w:sz w:val="24"/>
          <w:szCs w:val="24"/>
        </w:rPr>
        <w:t>印发一份资料文件，内载共同主持人关于生物多样性与气候变化问题闭会期间活动的报告</w:t>
      </w:r>
      <w:r w:rsidR="007F099C" w:rsidRPr="000C0842">
        <w:rPr>
          <w:rStyle w:val="FootnoteReference"/>
          <w:sz w:val="24"/>
          <w:szCs w:val="24"/>
        </w:rPr>
        <w:footnoteReference w:id="611"/>
      </w:r>
      <w:r w:rsidR="00207A77" w:rsidRPr="000C0842">
        <w:rPr>
          <w:rFonts w:eastAsia="SimSun" w:hint="eastAsia"/>
          <w:sz w:val="24"/>
          <w:szCs w:val="24"/>
        </w:rPr>
        <w:t>。</w:t>
      </w:r>
    </w:p>
    <w:p w14:paraId="26187322" w14:textId="01DA2F70"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第二工作组商定设立一个联络小组，由</w:t>
      </w:r>
      <w:r w:rsidRPr="000C0842">
        <w:rPr>
          <w:rFonts w:eastAsia="SimSun"/>
          <w:sz w:val="24"/>
          <w:szCs w:val="24"/>
        </w:rPr>
        <w:t>Clarisse Kehler Siebert</w:t>
      </w:r>
      <w:r w:rsidRPr="000C0842">
        <w:rPr>
          <w:rFonts w:eastAsia="SimSun"/>
          <w:sz w:val="24"/>
          <w:szCs w:val="24"/>
        </w:rPr>
        <w:t>（瑞典）和</w:t>
      </w:r>
      <w:r w:rsidRPr="000C0842">
        <w:rPr>
          <w:rFonts w:eastAsia="SimSun"/>
          <w:sz w:val="24"/>
          <w:szCs w:val="24"/>
        </w:rPr>
        <w:t>Xiang Gao</w:t>
      </w:r>
      <w:r w:rsidRPr="000C0842">
        <w:rPr>
          <w:rFonts w:eastAsia="SimSun"/>
          <w:sz w:val="24"/>
          <w:szCs w:val="24"/>
        </w:rPr>
        <w:t>（中国）担任共同主席，负责就决定草案中的未决问题达成妥协，</w:t>
      </w:r>
      <w:r w:rsidR="00AC5726" w:rsidRPr="000C0842">
        <w:rPr>
          <w:rFonts w:eastAsia="SimSun" w:hint="eastAsia"/>
          <w:sz w:val="24"/>
          <w:szCs w:val="24"/>
        </w:rPr>
        <w:t>拟定</w:t>
      </w:r>
      <w:r w:rsidRPr="000C0842">
        <w:rPr>
          <w:rFonts w:eastAsia="SimSun"/>
          <w:sz w:val="24"/>
          <w:szCs w:val="24"/>
        </w:rPr>
        <w:t>一份订正决定草案</w:t>
      </w:r>
      <w:r w:rsidR="00AC5726" w:rsidRPr="000C0842">
        <w:rPr>
          <w:rFonts w:eastAsia="SimSun" w:hint="eastAsia"/>
          <w:sz w:val="24"/>
          <w:szCs w:val="24"/>
        </w:rPr>
        <w:t>，供</w:t>
      </w:r>
      <w:r w:rsidRPr="000C0842">
        <w:rPr>
          <w:rFonts w:eastAsia="SimSun"/>
          <w:sz w:val="24"/>
          <w:szCs w:val="24"/>
        </w:rPr>
        <w:t>稍后一次会议审议。</w:t>
      </w:r>
    </w:p>
    <w:p w14:paraId="130593A8" w14:textId="249EBEB0"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11</w:t>
      </w:r>
      <w:r w:rsidR="004F4E24" w:rsidRPr="000C0842">
        <w:rPr>
          <w:rFonts w:eastAsia="SimSun"/>
          <w:sz w:val="24"/>
          <w:szCs w:val="24"/>
        </w:rPr>
        <w:t>场</w:t>
      </w:r>
      <w:r w:rsidRPr="000C0842">
        <w:rPr>
          <w:rFonts w:eastAsia="SimSun"/>
          <w:sz w:val="24"/>
          <w:szCs w:val="24"/>
        </w:rPr>
        <w:t>会议审议了主席在联络小组讨论后提交的订正决定草案。</w:t>
      </w:r>
    </w:p>
    <w:p w14:paraId="57FE3F44" w14:textId="64945070" w:rsidR="00172B4D"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172B4D" w:rsidRPr="000C0842">
        <w:rPr>
          <w:rFonts w:eastAsia="SimSun"/>
          <w:sz w:val="24"/>
          <w:szCs w:val="24"/>
        </w:rPr>
        <w:t>的代表发了言</w:t>
      </w:r>
      <w:r w:rsidR="00967832" w:rsidRPr="000C0842">
        <w:rPr>
          <w:rFonts w:eastAsia="SimSun"/>
          <w:sz w:val="24"/>
          <w:szCs w:val="24"/>
        </w:rPr>
        <w:t>：</w:t>
      </w:r>
      <w:r w:rsidR="00172B4D" w:rsidRPr="000C0842">
        <w:rPr>
          <w:rFonts w:eastAsia="SimSun"/>
          <w:sz w:val="24"/>
          <w:szCs w:val="24"/>
        </w:rPr>
        <w:t>安提瓜和巴布达、阿根廷、澳大利亚、巴西、中国、哥伦比亚、埃塞俄比亚、欧洲联盟及其成员国、斐济、危地马拉、印度、新西兰、挪威、俄罗斯联邦、沙特阿拉伯、南非</w:t>
      </w:r>
      <w:r w:rsidR="002A5D1C" w:rsidRPr="000C0842">
        <w:rPr>
          <w:rFonts w:eastAsia="SimSun" w:hint="eastAsia"/>
          <w:sz w:val="24"/>
          <w:szCs w:val="24"/>
        </w:rPr>
        <w:t>、</w:t>
      </w:r>
      <w:r w:rsidR="00172B4D" w:rsidRPr="000C0842">
        <w:rPr>
          <w:rFonts w:eastAsia="SimSun"/>
          <w:sz w:val="24"/>
          <w:szCs w:val="24"/>
        </w:rPr>
        <w:t>联合王国。</w:t>
      </w:r>
    </w:p>
    <w:p w14:paraId="4FCDE620" w14:textId="2C7D0627"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12</w:t>
      </w:r>
      <w:r w:rsidR="004F4E24" w:rsidRPr="000C0842">
        <w:rPr>
          <w:rFonts w:eastAsia="SimSun"/>
          <w:sz w:val="24"/>
          <w:szCs w:val="24"/>
        </w:rPr>
        <w:t>场</w:t>
      </w:r>
      <w:r w:rsidRPr="000C0842">
        <w:rPr>
          <w:rFonts w:eastAsia="SimSun"/>
          <w:sz w:val="24"/>
          <w:szCs w:val="24"/>
        </w:rPr>
        <w:t>会议继续审议订正决定草案。</w:t>
      </w:r>
    </w:p>
    <w:p w14:paraId="29022BF9" w14:textId="1CA138A3"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阿根廷、澳大利亚、多民族玻利维亚国、巴西、加拿大、哥伦比亚、欧洲联盟及其成员国、斐济、新西兰、挪威、菲律宾、俄罗斯联邦、沙特阿拉伯、联合王国</w:t>
      </w:r>
      <w:r w:rsidR="002A5D1C" w:rsidRPr="000C0842">
        <w:rPr>
          <w:rFonts w:eastAsia="SimSun" w:hint="eastAsia"/>
          <w:sz w:val="24"/>
          <w:szCs w:val="24"/>
        </w:rPr>
        <w:t>、</w:t>
      </w:r>
      <w:r w:rsidRPr="000C0842">
        <w:rPr>
          <w:rFonts w:eastAsia="SimSun"/>
          <w:sz w:val="24"/>
          <w:szCs w:val="24"/>
        </w:rPr>
        <w:t>乌拉圭。</w:t>
      </w:r>
    </w:p>
    <w:p w14:paraId="7A563BED" w14:textId="5361E088" w:rsidR="004F4E24"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第二工作组核准了经口头修正的订正决定草案，</w:t>
      </w:r>
      <w:r w:rsidR="005835B6" w:rsidRPr="000C0842">
        <w:rPr>
          <w:rFonts w:eastAsia="SimSun" w:hint="eastAsia"/>
          <w:sz w:val="24"/>
          <w:szCs w:val="24"/>
        </w:rPr>
        <w:t>将其</w:t>
      </w:r>
      <w:r w:rsidRPr="000C0842">
        <w:rPr>
          <w:rFonts w:eastAsia="SimSun"/>
          <w:sz w:val="24"/>
          <w:szCs w:val="24"/>
        </w:rPr>
        <w:t>作为</w:t>
      </w:r>
      <w:r w:rsidRPr="000C0842">
        <w:rPr>
          <w:rFonts w:eastAsia="SimSun"/>
          <w:sz w:val="24"/>
          <w:szCs w:val="24"/>
        </w:rPr>
        <w:t>CBD/COP/16/L.24</w:t>
      </w:r>
      <w:r w:rsidRPr="000C0842">
        <w:rPr>
          <w:rFonts w:eastAsia="SimSun"/>
          <w:sz w:val="24"/>
          <w:szCs w:val="24"/>
        </w:rPr>
        <w:t>号决定草案</w:t>
      </w:r>
      <w:r w:rsidR="004F4E24" w:rsidRPr="000C0842">
        <w:rPr>
          <w:rFonts w:eastAsia="SimSun"/>
          <w:sz w:val="24"/>
          <w:szCs w:val="24"/>
        </w:rPr>
        <w:t>提交</w:t>
      </w:r>
      <w:r w:rsidRPr="000C0842">
        <w:rPr>
          <w:rFonts w:eastAsia="SimSun"/>
          <w:sz w:val="24"/>
          <w:szCs w:val="24"/>
        </w:rPr>
        <w:t>全体会议。</w:t>
      </w:r>
    </w:p>
    <w:p w14:paraId="52849139" w14:textId="01ECC7AB"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场全体会议审议了第二工作组主席提交的</w:t>
      </w:r>
      <w:r w:rsidRPr="000C0842">
        <w:rPr>
          <w:rFonts w:eastAsia="SimSun"/>
          <w:sz w:val="24"/>
          <w:szCs w:val="24"/>
        </w:rPr>
        <w:t>CBD/COP/16/L.24</w:t>
      </w:r>
      <w:r w:rsidR="008519D6" w:rsidRPr="000C0842">
        <w:rPr>
          <w:rFonts w:eastAsia="SimSun" w:hint="eastAsia"/>
          <w:sz w:val="24"/>
          <w:szCs w:val="24"/>
        </w:rPr>
        <w:t>号</w:t>
      </w:r>
      <w:r w:rsidR="008519D6" w:rsidRPr="000C0842">
        <w:rPr>
          <w:rFonts w:eastAsia="SimSun"/>
          <w:sz w:val="24"/>
          <w:szCs w:val="24"/>
        </w:rPr>
        <w:t>决定草案</w:t>
      </w:r>
      <w:r w:rsidRPr="000C0842">
        <w:rPr>
          <w:rFonts w:eastAsia="SimSun"/>
          <w:sz w:val="24"/>
          <w:szCs w:val="24"/>
        </w:rPr>
        <w:t>。</w:t>
      </w:r>
    </w:p>
    <w:p w14:paraId="1D2E3E30" w14:textId="4492E17D"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w:t>
      </w:r>
      <w:r w:rsidR="00292F88" w:rsidRPr="000C0842">
        <w:rPr>
          <w:rFonts w:eastAsia="SimSun" w:hint="eastAsia"/>
          <w:sz w:val="24"/>
          <w:szCs w:val="24"/>
        </w:rPr>
        <w:t>了</w:t>
      </w:r>
      <w:r w:rsidRPr="000C0842">
        <w:rPr>
          <w:rFonts w:eastAsia="SimSun"/>
          <w:sz w:val="24"/>
          <w:szCs w:val="24"/>
        </w:rPr>
        <w:t>言</w:t>
      </w:r>
      <w:r w:rsidR="00967832" w:rsidRPr="000C0842">
        <w:rPr>
          <w:rFonts w:eastAsia="SimSun"/>
          <w:sz w:val="24"/>
          <w:szCs w:val="24"/>
        </w:rPr>
        <w:t>：</w:t>
      </w:r>
      <w:r w:rsidRPr="000C0842">
        <w:rPr>
          <w:rFonts w:eastAsia="SimSun"/>
          <w:sz w:val="24"/>
          <w:szCs w:val="24"/>
        </w:rPr>
        <w:t>阿根廷、澳大利亚、巴西、智利、中国、哥伦比亚、科特迪瓦、刚果民主共和国、欧洲联盟及其成员国、斐济、危地马拉、印度、日本、墨西哥、挪威、秘鲁、菲律宾、俄罗斯联邦、沙特阿拉伯、南非、联合王国、坦桑尼亚联合共和国、赞比亚</w:t>
      </w:r>
      <w:r w:rsidR="002A5D1C" w:rsidRPr="000C0842">
        <w:rPr>
          <w:rFonts w:eastAsia="SimSun" w:hint="eastAsia"/>
          <w:sz w:val="24"/>
          <w:szCs w:val="24"/>
        </w:rPr>
        <w:t>、</w:t>
      </w:r>
      <w:r w:rsidRPr="000C0842">
        <w:rPr>
          <w:rFonts w:eastAsia="SimSun"/>
          <w:sz w:val="24"/>
          <w:szCs w:val="24"/>
        </w:rPr>
        <w:t>津巴布韦。</w:t>
      </w:r>
    </w:p>
    <w:p w14:paraId="1DA9BD28" w14:textId="06CBE649"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缔约方大会通过了经口头修正的决定草案，</w:t>
      </w:r>
      <w:r w:rsidR="001A2EF0" w:rsidRPr="000C0842">
        <w:rPr>
          <w:rFonts w:eastAsia="SimSun" w:hint="eastAsia"/>
          <w:sz w:val="24"/>
          <w:szCs w:val="24"/>
        </w:rPr>
        <w:t>决定草案</w:t>
      </w:r>
      <w:r w:rsidRPr="000C0842">
        <w:rPr>
          <w:rFonts w:eastAsia="SimSun"/>
          <w:sz w:val="24"/>
          <w:szCs w:val="24"/>
        </w:rPr>
        <w:t>成为第</w:t>
      </w:r>
      <w:hyperlink r:id="rId421" w:history="1">
        <w:r w:rsidRPr="000C0842">
          <w:rPr>
            <w:rStyle w:val="Hyperlink"/>
            <w:rFonts w:eastAsia="SimSun"/>
            <w:color w:val="auto"/>
            <w:sz w:val="24"/>
            <w:szCs w:val="24"/>
          </w:rPr>
          <w:t>16/22</w:t>
        </w:r>
      </w:hyperlink>
      <w:r w:rsidRPr="000C0842">
        <w:rPr>
          <w:rFonts w:eastAsia="SimSun"/>
          <w:sz w:val="24"/>
          <w:szCs w:val="24"/>
        </w:rPr>
        <w:t>号决定。</w:t>
      </w:r>
    </w:p>
    <w:p w14:paraId="5905D68D" w14:textId="2CFEC999"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通过</w:t>
      </w:r>
      <w:r w:rsidR="005835B6" w:rsidRPr="000C0842">
        <w:rPr>
          <w:rFonts w:eastAsia="SimSun" w:hint="eastAsia"/>
          <w:sz w:val="24"/>
          <w:szCs w:val="24"/>
        </w:rPr>
        <w:t>决定时</w:t>
      </w:r>
      <w:r w:rsidRPr="000C0842">
        <w:rPr>
          <w:rFonts w:eastAsia="SimSun"/>
          <w:sz w:val="24"/>
          <w:szCs w:val="24"/>
        </w:rPr>
        <w:t>，</w:t>
      </w:r>
      <w:r w:rsidR="00EE28F8" w:rsidRPr="000C0842">
        <w:rPr>
          <w:rFonts w:eastAsia="SimSun"/>
          <w:sz w:val="24"/>
          <w:szCs w:val="24"/>
        </w:rPr>
        <w:t>下列缔约方</w:t>
      </w:r>
      <w:r w:rsidRPr="000C0842">
        <w:rPr>
          <w:rFonts w:eastAsia="SimSun"/>
          <w:sz w:val="24"/>
          <w:szCs w:val="24"/>
        </w:rPr>
        <w:t>的代表表示了保留意见</w:t>
      </w:r>
      <w:r w:rsidR="00967832" w:rsidRPr="000C0842">
        <w:rPr>
          <w:rFonts w:eastAsia="SimSun"/>
          <w:sz w:val="24"/>
          <w:szCs w:val="24"/>
        </w:rPr>
        <w:t>：</w:t>
      </w:r>
      <w:r w:rsidRPr="000C0842">
        <w:rPr>
          <w:rFonts w:eastAsia="SimSun"/>
          <w:sz w:val="24"/>
          <w:szCs w:val="24"/>
        </w:rPr>
        <w:t>挪威、秘鲁、菲律宾</w:t>
      </w:r>
      <w:r w:rsidR="001A2EF0" w:rsidRPr="000C0842">
        <w:rPr>
          <w:rFonts w:eastAsia="SimSun" w:hint="eastAsia"/>
          <w:sz w:val="24"/>
          <w:szCs w:val="24"/>
        </w:rPr>
        <w:t>、</w:t>
      </w:r>
      <w:r w:rsidRPr="000C0842">
        <w:rPr>
          <w:rFonts w:eastAsia="SimSun"/>
          <w:sz w:val="24"/>
          <w:szCs w:val="24"/>
        </w:rPr>
        <w:t>赞比亚。</w:t>
      </w:r>
    </w:p>
    <w:p w14:paraId="322BF7B7" w14:textId="6F05B97A"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挪威代表对脚注</w:t>
      </w:r>
      <w:r w:rsidRPr="000C0842">
        <w:rPr>
          <w:rFonts w:eastAsia="SimSun"/>
          <w:sz w:val="24"/>
          <w:szCs w:val="24"/>
        </w:rPr>
        <w:t>4</w:t>
      </w:r>
      <w:r w:rsidRPr="000C0842">
        <w:rPr>
          <w:rFonts w:eastAsia="SimSun"/>
          <w:sz w:val="24"/>
          <w:szCs w:val="24"/>
        </w:rPr>
        <w:t>中提到《巴黎协定》表示保留，</w:t>
      </w:r>
      <w:r w:rsidR="00405EC3" w:rsidRPr="000C0842">
        <w:rPr>
          <w:rFonts w:eastAsia="SimSun" w:hint="eastAsia"/>
          <w:sz w:val="24"/>
          <w:szCs w:val="24"/>
        </w:rPr>
        <w:t>指出《巴黎协定》是独立的法律协定</w:t>
      </w:r>
      <w:r w:rsidRPr="000C0842">
        <w:rPr>
          <w:rFonts w:eastAsia="SimSun"/>
          <w:sz w:val="24"/>
          <w:szCs w:val="24"/>
        </w:rPr>
        <w:t>。</w:t>
      </w:r>
    </w:p>
    <w:p w14:paraId="4BD561A4" w14:textId="4588C5E7"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秘鲁和赞比亚代表对决定第</w:t>
      </w:r>
      <w:r w:rsidRPr="000C0842">
        <w:rPr>
          <w:rFonts w:eastAsia="SimSun"/>
          <w:sz w:val="24"/>
          <w:szCs w:val="24"/>
        </w:rPr>
        <w:t>4</w:t>
      </w:r>
      <w:r w:rsidRPr="000C0842">
        <w:rPr>
          <w:rFonts w:eastAsia="SimSun"/>
          <w:sz w:val="24"/>
          <w:szCs w:val="24"/>
        </w:rPr>
        <w:t>段和第</w:t>
      </w:r>
      <w:r w:rsidRPr="000C0842">
        <w:rPr>
          <w:rFonts w:eastAsia="SimSun"/>
          <w:sz w:val="24"/>
          <w:szCs w:val="24"/>
        </w:rPr>
        <w:t>11</w:t>
      </w:r>
      <w:r w:rsidRPr="000C0842">
        <w:rPr>
          <w:rFonts w:eastAsia="SimSun"/>
          <w:sz w:val="24"/>
          <w:szCs w:val="24"/>
        </w:rPr>
        <w:t>段中删除提及《拉姆萨尔公约》之处表示保留。</w:t>
      </w:r>
    </w:p>
    <w:p w14:paraId="535DBAD6" w14:textId="2B1D0829" w:rsidR="00172B4D"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菲律宾代表对决定第</w:t>
      </w:r>
      <w:r w:rsidRPr="000C0842">
        <w:rPr>
          <w:rFonts w:eastAsia="SimSun"/>
          <w:sz w:val="24"/>
          <w:szCs w:val="24"/>
        </w:rPr>
        <w:t>19</w:t>
      </w:r>
      <w:r w:rsidRPr="000C0842">
        <w:rPr>
          <w:rFonts w:eastAsia="SimSun"/>
          <w:sz w:val="24"/>
          <w:szCs w:val="24"/>
        </w:rPr>
        <w:t>段中删除提及损失和损害之处表示保留。</w:t>
      </w:r>
    </w:p>
    <w:p w14:paraId="3AF072B5" w14:textId="6007D2A5" w:rsidR="004F4E24" w:rsidRPr="000C0842" w:rsidRDefault="004F4E24" w:rsidP="005835B6">
      <w:pPr>
        <w:pStyle w:val="a1"/>
        <w:keepNext/>
        <w:ind w:left="0" w:right="0"/>
        <w:rPr>
          <w:rFonts w:hint="eastAsia"/>
          <w:bCs/>
          <w:lang w:eastAsia="zh-CN"/>
        </w:rPr>
      </w:pPr>
      <w:bookmarkStart w:id="179" w:name="_Toc206358262"/>
      <w:r w:rsidRPr="000C0842">
        <w:rPr>
          <w:lang w:eastAsia="zh-CN"/>
        </w:rPr>
        <w:t>项目</w:t>
      </w:r>
      <w:r w:rsidRPr="000C0842">
        <w:rPr>
          <w:lang w:eastAsia="zh-CN"/>
        </w:rPr>
        <w:t>26</w:t>
      </w:r>
      <w:r w:rsidRPr="000C0842">
        <w:rPr>
          <w:lang w:eastAsia="zh-CN"/>
        </w:rPr>
        <w:br/>
      </w:r>
      <w:r w:rsidRPr="000C0842">
        <w:rPr>
          <w:lang w:eastAsia="zh-CN"/>
        </w:rPr>
        <w:t>赔偿责任和补救（第</w:t>
      </w:r>
      <w:r w:rsidRPr="000C0842">
        <w:rPr>
          <w:lang w:eastAsia="zh-CN"/>
        </w:rPr>
        <w:t>14</w:t>
      </w:r>
      <w:r w:rsidRPr="000C0842">
        <w:rPr>
          <w:lang w:eastAsia="zh-CN"/>
        </w:rPr>
        <w:t>条第</w:t>
      </w:r>
      <w:r w:rsidRPr="000C0842">
        <w:rPr>
          <w:lang w:eastAsia="zh-CN"/>
        </w:rPr>
        <w:t>2</w:t>
      </w:r>
      <w:r w:rsidRPr="000C0842">
        <w:rPr>
          <w:lang w:eastAsia="zh-CN"/>
        </w:rPr>
        <w:t>款</w:t>
      </w:r>
      <w:r w:rsidR="004E5EE5" w:rsidRPr="000C0842">
        <w:rPr>
          <w:rFonts w:hint="eastAsia"/>
          <w:lang w:eastAsia="zh-CN"/>
        </w:rPr>
        <w:t>）</w:t>
      </w:r>
      <w:bookmarkEnd w:id="179"/>
    </w:p>
    <w:p w14:paraId="356D4C71" w14:textId="4B97C61B"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5D166E" w:rsidRPr="000C0842">
        <w:rPr>
          <w:rFonts w:eastAsia="SimSun"/>
          <w:sz w:val="24"/>
          <w:szCs w:val="24"/>
        </w:rPr>
        <w:t>2</w:t>
      </w:r>
      <w:r w:rsidR="005D166E"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26</w:t>
      </w:r>
      <w:r w:rsidRPr="000C0842">
        <w:rPr>
          <w:rFonts w:eastAsia="SimSun"/>
          <w:sz w:val="24"/>
          <w:szCs w:val="24"/>
        </w:rPr>
        <w:t>。工作组</w:t>
      </w:r>
      <w:r w:rsidR="008B3463" w:rsidRPr="000C0842">
        <w:rPr>
          <w:rFonts w:eastAsia="SimSun"/>
          <w:sz w:val="24"/>
          <w:szCs w:val="24"/>
        </w:rPr>
        <w:t>收到</w:t>
      </w:r>
      <w:r w:rsidRPr="000C0842">
        <w:rPr>
          <w:rFonts w:eastAsia="SimSun"/>
          <w:sz w:val="24"/>
          <w:szCs w:val="24"/>
        </w:rPr>
        <w:t>一项决定草案</w:t>
      </w:r>
      <w:r w:rsidR="007F099C" w:rsidRPr="000C0842">
        <w:rPr>
          <w:rStyle w:val="FootnoteReference"/>
          <w:sz w:val="24"/>
          <w:szCs w:val="24"/>
        </w:rPr>
        <w:footnoteReference w:id="612"/>
      </w:r>
      <w:r w:rsidR="00207A77" w:rsidRPr="000C0842">
        <w:rPr>
          <w:rFonts w:eastAsia="SimSun" w:hint="eastAsia"/>
          <w:sz w:val="24"/>
          <w:szCs w:val="24"/>
        </w:rPr>
        <w:t>。</w:t>
      </w:r>
      <w:r w:rsidRPr="000C0842">
        <w:rPr>
          <w:rFonts w:eastAsia="SimSun"/>
          <w:sz w:val="24"/>
          <w:szCs w:val="24"/>
        </w:rPr>
        <w:t>工作组还就项目</w:t>
      </w:r>
      <w:r w:rsidRPr="000C0842">
        <w:rPr>
          <w:rFonts w:eastAsia="SimSun"/>
          <w:sz w:val="24"/>
          <w:szCs w:val="24"/>
        </w:rPr>
        <w:t>26</w:t>
      </w:r>
      <w:r w:rsidR="005835B6" w:rsidRPr="000C0842">
        <w:rPr>
          <w:rFonts w:eastAsia="SimSun" w:hint="eastAsia"/>
          <w:sz w:val="24"/>
          <w:szCs w:val="24"/>
        </w:rPr>
        <w:t>印发</w:t>
      </w:r>
      <w:r w:rsidRPr="000C0842">
        <w:rPr>
          <w:rFonts w:eastAsia="SimSun"/>
          <w:sz w:val="24"/>
          <w:szCs w:val="24"/>
        </w:rPr>
        <w:t>了一份信息文件，其中载有缔约方提交的赔偿责任和补救最新动态信息汇编</w:t>
      </w:r>
      <w:r w:rsidR="007F099C" w:rsidRPr="000C0842">
        <w:rPr>
          <w:rStyle w:val="FootnoteReference"/>
          <w:rFonts w:eastAsia="MS Mincho"/>
          <w:kern w:val="22"/>
          <w:sz w:val="24"/>
          <w:szCs w:val="24"/>
        </w:rPr>
        <w:footnoteReference w:id="613"/>
      </w:r>
      <w:r w:rsidR="00207A77" w:rsidRPr="000C0842">
        <w:rPr>
          <w:rFonts w:eastAsia="SimSun" w:hint="eastAsia"/>
          <w:sz w:val="24"/>
          <w:szCs w:val="24"/>
        </w:rPr>
        <w:t>。</w:t>
      </w:r>
    </w:p>
    <w:p w14:paraId="3D1A57DA" w14:textId="7B770622" w:rsidR="004F4E24"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4F4E24" w:rsidRPr="000C0842">
        <w:rPr>
          <w:rFonts w:eastAsia="SimSun"/>
          <w:sz w:val="24"/>
          <w:szCs w:val="24"/>
        </w:rPr>
        <w:t>的代表发</w:t>
      </w:r>
      <w:r w:rsidR="0044491B" w:rsidRPr="000C0842">
        <w:rPr>
          <w:rFonts w:eastAsia="SimSun"/>
          <w:sz w:val="24"/>
          <w:szCs w:val="24"/>
        </w:rPr>
        <w:t>了</w:t>
      </w:r>
      <w:r w:rsidR="004F4E24" w:rsidRPr="000C0842">
        <w:rPr>
          <w:rFonts w:eastAsia="SimSun"/>
          <w:sz w:val="24"/>
          <w:szCs w:val="24"/>
        </w:rPr>
        <w:t>言</w:t>
      </w:r>
      <w:r w:rsidR="00967832" w:rsidRPr="000C0842">
        <w:rPr>
          <w:rFonts w:eastAsia="SimSun"/>
          <w:sz w:val="24"/>
          <w:szCs w:val="24"/>
        </w:rPr>
        <w:t>：</w:t>
      </w:r>
      <w:r w:rsidR="004F4E24" w:rsidRPr="000C0842">
        <w:rPr>
          <w:rFonts w:eastAsia="SimSun"/>
          <w:sz w:val="24"/>
          <w:szCs w:val="24"/>
        </w:rPr>
        <w:t>加拿大、欧洲联盟及其成员国、马拉维</w:t>
      </w:r>
      <w:r w:rsidR="002A5D1C" w:rsidRPr="000C0842">
        <w:rPr>
          <w:rFonts w:eastAsia="SimSun" w:hint="eastAsia"/>
          <w:sz w:val="24"/>
          <w:szCs w:val="24"/>
        </w:rPr>
        <w:t>、</w:t>
      </w:r>
      <w:r w:rsidR="004F4E24" w:rsidRPr="000C0842">
        <w:rPr>
          <w:rFonts w:eastAsia="SimSun"/>
          <w:sz w:val="24"/>
          <w:szCs w:val="24"/>
        </w:rPr>
        <w:t>乌干达。</w:t>
      </w:r>
    </w:p>
    <w:p w14:paraId="36A92701" w14:textId="0C1E575F"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第一工作组商定由主席</w:t>
      </w:r>
      <w:r w:rsidR="001A2EF0" w:rsidRPr="000C0842">
        <w:rPr>
          <w:rFonts w:eastAsia="SimSun" w:hint="eastAsia"/>
          <w:sz w:val="24"/>
          <w:szCs w:val="24"/>
        </w:rPr>
        <w:t>拟定</w:t>
      </w:r>
      <w:r w:rsidRPr="000C0842">
        <w:rPr>
          <w:rFonts w:eastAsia="SimSun"/>
          <w:sz w:val="24"/>
          <w:szCs w:val="24"/>
        </w:rPr>
        <w:t>一份订正决定草案</w:t>
      </w:r>
      <w:r w:rsidR="00AC5726" w:rsidRPr="000C0842">
        <w:rPr>
          <w:rFonts w:eastAsia="SimSun" w:hint="eastAsia"/>
          <w:sz w:val="24"/>
          <w:szCs w:val="24"/>
        </w:rPr>
        <w:t>，供</w:t>
      </w:r>
      <w:r w:rsidR="0044491B" w:rsidRPr="000C0842">
        <w:rPr>
          <w:rFonts w:eastAsia="SimSun"/>
          <w:sz w:val="24"/>
          <w:szCs w:val="24"/>
        </w:rPr>
        <w:t>稍后一次会议</w:t>
      </w:r>
      <w:r w:rsidRPr="000C0842">
        <w:rPr>
          <w:rFonts w:eastAsia="SimSun"/>
          <w:sz w:val="24"/>
          <w:szCs w:val="24"/>
        </w:rPr>
        <w:t>审议。</w:t>
      </w:r>
    </w:p>
    <w:p w14:paraId="124A1EEB" w14:textId="613BEA60"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44491B" w:rsidRPr="000C0842">
        <w:rPr>
          <w:rFonts w:eastAsia="SimSun"/>
          <w:sz w:val="24"/>
          <w:szCs w:val="24"/>
        </w:rPr>
        <w:t>3</w:t>
      </w:r>
      <w:r w:rsidR="0044491B" w:rsidRPr="000C0842">
        <w:rPr>
          <w:rFonts w:eastAsia="SimSun"/>
          <w:sz w:val="24"/>
          <w:szCs w:val="24"/>
        </w:rPr>
        <w:t>场</w:t>
      </w:r>
      <w:r w:rsidRPr="000C0842">
        <w:rPr>
          <w:rFonts w:eastAsia="SimSun"/>
          <w:sz w:val="24"/>
          <w:szCs w:val="24"/>
        </w:rPr>
        <w:t>会议审议了主席提交的订正决定草案。</w:t>
      </w:r>
    </w:p>
    <w:p w14:paraId="4090D0C6" w14:textId="688899F4" w:rsidR="004F4E24"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4F4E24" w:rsidRPr="000C0842">
        <w:rPr>
          <w:rFonts w:eastAsia="SimSun"/>
          <w:sz w:val="24"/>
          <w:szCs w:val="24"/>
        </w:rPr>
        <w:t>的代表发</w:t>
      </w:r>
      <w:r w:rsidR="0044491B" w:rsidRPr="000C0842">
        <w:rPr>
          <w:rFonts w:eastAsia="SimSun"/>
          <w:sz w:val="24"/>
          <w:szCs w:val="24"/>
        </w:rPr>
        <w:t>了</w:t>
      </w:r>
      <w:r w:rsidR="004F4E24" w:rsidRPr="000C0842">
        <w:rPr>
          <w:rFonts w:eastAsia="SimSun"/>
          <w:sz w:val="24"/>
          <w:szCs w:val="24"/>
        </w:rPr>
        <w:t>言</w:t>
      </w:r>
      <w:r w:rsidR="00967832" w:rsidRPr="000C0842">
        <w:rPr>
          <w:rFonts w:eastAsia="SimSun"/>
          <w:sz w:val="24"/>
          <w:szCs w:val="24"/>
        </w:rPr>
        <w:t>：</w:t>
      </w:r>
      <w:r w:rsidR="004F4E24" w:rsidRPr="000C0842">
        <w:rPr>
          <w:rFonts w:eastAsia="SimSun"/>
          <w:sz w:val="24"/>
          <w:szCs w:val="24"/>
        </w:rPr>
        <w:t>阿根廷、巴西、加拿大、哥伦比亚</w:t>
      </w:r>
      <w:r w:rsidR="002A5D1C" w:rsidRPr="000C0842">
        <w:rPr>
          <w:rFonts w:eastAsia="SimSun" w:hint="eastAsia"/>
          <w:sz w:val="24"/>
          <w:szCs w:val="24"/>
        </w:rPr>
        <w:t>、</w:t>
      </w:r>
      <w:r w:rsidR="004F4E24" w:rsidRPr="000C0842">
        <w:rPr>
          <w:rFonts w:eastAsia="SimSun"/>
          <w:sz w:val="24"/>
          <w:szCs w:val="24"/>
        </w:rPr>
        <w:t>乌干达。</w:t>
      </w:r>
    </w:p>
    <w:p w14:paraId="0EA606A3" w14:textId="2A6A4ACD"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44491B" w:rsidRPr="000C0842">
        <w:rPr>
          <w:rFonts w:eastAsia="SimSun"/>
          <w:sz w:val="24"/>
          <w:szCs w:val="24"/>
        </w:rPr>
        <w:t>5</w:t>
      </w:r>
      <w:r w:rsidR="0044491B" w:rsidRPr="000C0842">
        <w:rPr>
          <w:rFonts w:eastAsia="SimSun"/>
          <w:sz w:val="24"/>
          <w:szCs w:val="24"/>
        </w:rPr>
        <w:t>场</w:t>
      </w:r>
      <w:r w:rsidRPr="000C0842">
        <w:rPr>
          <w:rFonts w:eastAsia="SimSun"/>
          <w:sz w:val="24"/>
          <w:szCs w:val="24"/>
        </w:rPr>
        <w:t>会议审议了主席提交的订正决定草案。</w:t>
      </w:r>
    </w:p>
    <w:p w14:paraId="1259525D" w14:textId="68AFD910" w:rsidR="004F4E24"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4F4E24" w:rsidRPr="000C0842">
        <w:rPr>
          <w:rFonts w:eastAsia="SimSun"/>
          <w:sz w:val="24"/>
          <w:szCs w:val="24"/>
        </w:rPr>
        <w:t>的代表</w:t>
      </w:r>
      <w:r w:rsidR="001C1443" w:rsidRPr="000C0842">
        <w:rPr>
          <w:rFonts w:eastAsia="SimSun"/>
          <w:sz w:val="24"/>
          <w:szCs w:val="24"/>
        </w:rPr>
        <w:t>发了言</w:t>
      </w:r>
      <w:r w:rsidR="00967832" w:rsidRPr="000C0842">
        <w:rPr>
          <w:rFonts w:eastAsia="SimSun"/>
          <w:sz w:val="24"/>
          <w:szCs w:val="24"/>
        </w:rPr>
        <w:t>：</w:t>
      </w:r>
      <w:r w:rsidR="004F4E24" w:rsidRPr="000C0842">
        <w:rPr>
          <w:rFonts w:eastAsia="SimSun"/>
          <w:sz w:val="24"/>
          <w:szCs w:val="24"/>
        </w:rPr>
        <w:t>阿根廷、刚果民主共和国、乌干达</w:t>
      </w:r>
      <w:r w:rsidR="002A5D1C" w:rsidRPr="000C0842">
        <w:rPr>
          <w:rFonts w:eastAsia="SimSun" w:hint="eastAsia"/>
          <w:sz w:val="24"/>
          <w:szCs w:val="24"/>
        </w:rPr>
        <w:t>、</w:t>
      </w:r>
      <w:r w:rsidR="004F4E24" w:rsidRPr="000C0842">
        <w:rPr>
          <w:rFonts w:eastAsia="SimSun"/>
          <w:sz w:val="24"/>
          <w:szCs w:val="24"/>
        </w:rPr>
        <w:t>坦桑尼亚联合共和国。</w:t>
      </w:r>
    </w:p>
    <w:p w14:paraId="75DE0CC5" w14:textId="77777777" w:rsidR="0044491B"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第一工作组核准了经口头修正的订正决定草案，将其作为</w:t>
      </w:r>
      <w:r w:rsidRPr="000C0842">
        <w:rPr>
          <w:rFonts w:eastAsia="SimSun"/>
          <w:sz w:val="24"/>
          <w:szCs w:val="24"/>
        </w:rPr>
        <w:t>CBD/COP/16/L.18</w:t>
      </w:r>
      <w:r w:rsidRPr="000C0842">
        <w:rPr>
          <w:rFonts w:eastAsia="SimSun"/>
          <w:sz w:val="24"/>
          <w:szCs w:val="24"/>
        </w:rPr>
        <w:t>号决定草案转交全体会议。</w:t>
      </w:r>
    </w:p>
    <w:p w14:paraId="07B987A4" w14:textId="1BA40FA8" w:rsidR="004F4E24" w:rsidRPr="000C0842" w:rsidRDefault="0044491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1A2EF0" w:rsidRPr="000C0842">
        <w:rPr>
          <w:rFonts w:eastAsia="SimSun" w:hint="eastAsia"/>
          <w:sz w:val="24"/>
          <w:szCs w:val="24"/>
        </w:rPr>
        <w:t>并通过</w:t>
      </w:r>
      <w:r w:rsidRPr="000C0842">
        <w:rPr>
          <w:rFonts w:eastAsia="SimSun"/>
          <w:sz w:val="24"/>
          <w:szCs w:val="24"/>
        </w:rPr>
        <w:t>了第一工作组主席提交的</w:t>
      </w:r>
      <w:r w:rsidRPr="000C0842">
        <w:rPr>
          <w:rFonts w:eastAsia="SimSun"/>
          <w:sz w:val="24"/>
          <w:szCs w:val="24"/>
        </w:rPr>
        <w:t>CBD/COP/16/L.18</w:t>
      </w:r>
      <w:r w:rsidRPr="000C0842">
        <w:rPr>
          <w:rFonts w:eastAsia="SimSun"/>
          <w:sz w:val="24"/>
          <w:szCs w:val="24"/>
        </w:rPr>
        <w:t>号决定草案，</w:t>
      </w:r>
      <w:r w:rsidR="00AC5726" w:rsidRPr="000C0842">
        <w:rPr>
          <w:rFonts w:eastAsia="SimSun" w:hint="eastAsia"/>
          <w:sz w:val="24"/>
          <w:szCs w:val="24"/>
        </w:rPr>
        <w:t>决定草案成为</w:t>
      </w:r>
      <w:r w:rsidRPr="000C0842">
        <w:rPr>
          <w:rFonts w:eastAsia="SimSun"/>
          <w:sz w:val="24"/>
          <w:szCs w:val="24"/>
        </w:rPr>
        <w:t>第</w:t>
      </w:r>
      <w:hyperlink r:id="rId422" w:history="1">
        <w:r w:rsidRPr="000C0842">
          <w:rPr>
            <w:rStyle w:val="Hyperlink"/>
            <w:rFonts w:eastAsia="SimSun"/>
            <w:color w:val="auto"/>
            <w:sz w:val="24"/>
            <w:szCs w:val="24"/>
          </w:rPr>
          <w:t>16/23</w:t>
        </w:r>
      </w:hyperlink>
      <w:r w:rsidRPr="000C0842">
        <w:rPr>
          <w:rFonts w:eastAsia="SimSun"/>
          <w:sz w:val="24"/>
          <w:szCs w:val="24"/>
        </w:rPr>
        <w:t>号决定。</w:t>
      </w:r>
    </w:p>
    <w:p w14:paraId="40E466FE" w14:textId="7BC3081C" w:rsidR="004F4E24" w:rsidRPr="000C0842" w:rsidRDefault="004F4E24" w:rsidP="004E5EE5">
      <w:pPr>
        <w:pStyle w:val="a1"/>
        <w:ind w:left="0" w:right="0"/>
        <w:rPr>
          <w:rFonts w:ascii="SimSun" w:hAnsi="SimSun"/>
          <w:bCs/>
          <w:szCs w:val="24"/>
          <w:lang w:eastAsia="zh-CN"/>
        </w:rPr>
      </w:pPr>
      <w:bookmarkStart w:id="180" w:name="_Toc206358263"/>
      <w:r w:rsidRPr="000C0842">
        <w:rPr>
          <w:lang w:eastAsia="zh-CN"/>
        </w:rPr>
        <w:t>项目</w:t>
      </w:r>
      <w:r w:rsidRPr="000C0842">
        <w:rPr>
          <w:lang w:eastAsia="zh-CN"/>
        </w:rPr>
        <w:t>27</w:t>
      </w:r>
      <w:r w:rsidR="007F099C" w:rsidRPr="000C0842">
        <w:rPr>
          <w:lang w:eastAsia="zh-CN"/>
        </w:rPr>
        <w:br/>
      </w:r>
      <w:r w:rsidRPr="000C0842">
        <w:rPr>
          <w:lang w:eastAsia="zh-CN"/>
        </w:rPr>
        <w:t>审查《公约》及其议定书下各进程的</w:t>
      </w:r>
      <w:r w:rsidR="0000597A" w:rsidRPr="000C0842">
        <w:rPr>
          <w:lang w:eastAsia="zh-CN"/>
        </w:rPr>
        <w:t>成</w:t>
      </w:r>
      <w:r w:rsidRPr="000C0842">
        <w:rPr>
          <w:lang w:eastAsia="zh-CN"/>
        </w:rPr>
        <w:t>效</w:t>
      </w:r>
      <w:bookmarkEnd w:id="180"/>
    </w:p>
    <w:p w14:paraId="154FFD5C" w14:textId="2DB53AA1"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D142BD" w:rsidRPr="000C0842">
        <w:rPr>
          <w:rFonts w:eastAsia="SimSun"/>
          <w:sz w:val="24"/>
          <w:szCs w:val="24"/>
        </w:rPr>
        <w:t>3</w:t>
      </w:r>
      <w:r w:rsidR="00D142BD" w:rsidRPr="000C0842">
        <w:rPr>
          <w:rFonts w:eastAsia="SimSun"/>
          <w:sz w:val="24"/>
          <w:szCs w:val="24"/>
        </w:rPr>
        <w:t>场</w:t>
      </w:r>
      <w:r w:rsidRPr="000C0842">
        <w:rPr>
          <w:rFonts w:eastAsia="SimSun"/>
          <w:sz w:val="24"/>
          <w:szCs w:val="24"/>
        </w:rPr>
        <w:t>会议</w:t>
      </w:r>
      <w:r w:rsidR="005835B6" w:rsidRPr="000C0842">
        <w:rPr>
          <w:rFonts w:eastAsia="SimSun" w:hint="eastAsia"/>
          <w:sz w:val="24"/>
          <w:szCs w:val="24"/>
        </w:rPr>
        <w:t>一并</w:t>
      </w:r>
      <w:r w:rsidR="005835B6" w:rsidRPr="000C0842">
        <w:rPr>
          <w:rFonts w:eastAsia="SimSun"/>
          <w:sz w:val="24"/>
          <w:szCs w:val="24"/>
        </w:rPr>
        <w:t>审议了议程项目</w:t>
      </w:r>
      <w:r w:rsidR="005835B6" w:rsidRPr="000C0842">
        <w:rPr>
          <w:rFonts w:eastAsia="SimSun"/>
          <w:sz w:val="24"/>
          <w:szCs w:val="24"/>
        </w:rPr>
        <w:t>27</w:t>
      </w:r>
      <w:r w:rsidR="005835B6" w:rsidRPr="000C0842">
        <w:rPr>
          <w:rFonts w:eastAsia="SimSun" w:hint="eastAsia"/>
          <w:sz w:val="24"/>
          <w:szCs w:val="24"/>
        </w:rPr>
        <w:t>、</w:t>
      </w:r>
      <w:r w:rsidR="00D142BD" w:rsidRPr="000C0842">
        <w:rPr>
          <w:rFonts w:eastAsia="SimSun"/>
          <w:sz w:val="24"/>
          <w:szCs w:val="24"/>
        </w:rPr>
        <w:t>作为卡塔赫纳议定书缔约方会议的缔约方大会第十一次会议议程项目</w:t>
      </w:r>
      <w:r w:rsidR="00D142BD" w:rsidRPr="000C0842">
        <w:rPr>
          <w:rFonts w:eastAsia="SimSun"/>
          <w:sz w:val="24"/>
          <w:szCs w:val="24"/>
        </w:rPr>
        <w:t>10</w:t>
      </w:r>
      <w:r w:rsidR="00D142BD" w:rsidRPr="000C0842">
        <w:rPr>
          <w:rFonts w:eastAsia="SimSun"/>
          <w:sz w:val="24"/>
          <w:szCs w:val="24"/>
        </w:rPr>
        <w:t>和作为名古屋议定书缔约方会议的缔约方大会第五次会议议程项目</w:t>
      </w:r>
      <w:r w:rsidR="00D142BD" w:rsidRPr="000C0842">
        <w:rPr>
          <w:rFonts w:eastAsia="SimSun"/>
          <w:sz w:val="24"/>
          <w:szCs w:val="24"/>
        </w:rPr>
        <w:t>12</w:t>
      </w:r>
      <w:r w:rsidRPr="000C0842">
        <w:rPr>
          <w:rFonts w:eastAsia="SimSun"/>
          <w:sz w:val="24"/>
          <w:szCs w:val="24"/>
        </w:rPr>
        <w:t>。第一工作组收到三项决定草案</w:t>
      </w:r>
      <w:r w:rsidR="00967832" w:rsidRPr="000C0842">
        <w:rPr>
          <w:rFonts w:eastAsia="SimSun"/>
          <w:sz w:val="24"/>
          <w:szCs w:val="24"/>
        </w:rPr>
        <w:t>：</w:t>
      </w:r>
      <w:r w:rsidR="005835B6" w:rsidRPr="000C0842">
        <w:rPr>
          <w:rFonts w:eastAsia="SimSun" w:hint="eastAsia"/>
          <w:sz w:val="24"/>
          <w:szCs w:val="24"/>
        </w:rPr>
        <w:t>第</w:t>
      </w:r>
      <w:r w:rsidRPr="000C0842">
        <w:rPr>
          <w:rFonts w:eastAsia="SimSun"/>
          <w:sz w:val="24"/>
          <w:szCs w:val="24"/>
        </w:rPr>
        <w:t>一项</w:t>
      </w:r>
      <w:r w:rsidR="005835B6" w:rsidRPr="000C0842">
        <w:rPr>
          <w:rFonts w:eastAsia="SimSun" w:hint="eastAsia"/>
          <w:sz w:val="24"/>
          <w:szCs w:val="24"/>
        </w:rPr>
        <w:t>涉及</w:t>
      </w:r>
      <w:r w:rsidRPr="000C0842">
        <w:rPr>
          <w:rFonts w:eastAsia="SimSun"/>
          <w:sz w:val="24"/>
          <w:szCs w:val="24"/>
        </w:rPr>
        <w:t>进一步提高《公约》及其议定书进程</w:t>
      </w:r>
      <w:r w:rsidR="00D142BD" w:rsidRPr="000C0842">
        <w:rPr>
          <w:rFonts w:eastAsia="SimSun"/>
          <w:sz w:val="24"/>
          <w:szCs w:val="24"/>
        </w:rPr>
        <w:t>成效</w:t>
      </w:r>
      <w:r w:rsidRPr="000C0842">
        <w:rPr>
          <w:rFonts w:eastAsia="SimSun"/>
          <w:sz w:val="24"/>
          <w:szCs w:val="24"/>
        </w:rPr>
        <w:t>的备选方案</w:t>
      </w:r>
      <w:r w:rsidR="001D4696" w:rsidRPr="000C0842">
        <w:rPr>
          <w:rFonts w:eastAsia="SimSun" w:hint="eastAsia"/>
          <w:sz w:val="24"/>
          <w:szCs w:val="24"/>
        </w:rPr>
        <w:t>，</w:t>
      </w:r>
      <w:r w:rsidR="005835B6" w:rsidRPr="000C0842">
        <w:rPr>
          <w:rFonts w:eastAsia="SimSun" w:hint="eastAsia"/>
          <w:sz w:val="24"/>
          <w:szCs w:val="24"/>
        </w:rPr>
        <w:t>第二</w:t>
      </w:r>
      <w:r w:rsidRPr="000C0842">
        <w:rPr>
          <w:rFonts w:eastAsia="SimSun"/>
          <w:sz w:val="24"/>
          <w:szCs w:val="24"/>
        </w:rPr>
        <w:t>项</w:t>
      </w:r>
      <w:r w:rsidR="005835B6" w:rsidRPr="000C0842">
        <w:rPr>
          <w:rFonts w:eastAsia="SimSun" w:hint="eastAsia"/>
          <w:sz w:val="24"/>
          <w:szCs w:val="24"/>
        </w:rPr>
        <w:t>涉及</w:t>
      </w:r>
      <w:r w:rsidRPr="000C0842">
        <w:rPr>
          <w:rFonts w:eastAsia="SimSun"/>
          <w:sz w:val="24"/>
          <w:szCs w:val="24"/>
        </w:rPr>
        <w:t>召开虚拟和混合会议的程序</w:t>
      </w:r>
      <w:r w:rsidR="001D4696" w:rsidRPr="000C0842">
        <w:rPr>
          <w:rFonts w:eastAsia="SimSun" w:hint="eastAsia"/>
          <w:sz w:val="24"/>
          <w:szCs w:val="24"/>
        </w:rPr>
        <w:t>，</w:t>
      </w:r>
      <w:r w:rsidRPr="000C0842">
        <w:rPr>
          <w:rFonts w:eastAsia="SimSun"/>
          <w:sz w:val="24"/>
          <w:szCs w:val="24"/>
        </w:rPr>
        <w:t>第三项</w:t>
      </w:r>
      <w:r w:rsidR="005835B6" w:rsidRPr="000C0842">
        <w:rPr>
          <w:rFonts w:eastAsia="SimSun" w:hint="eastAsia"/>
          <w:sz w:val="24"/>
          <w:szCs w:val="24"/>
        </w:rPr>
        <w:t>涉及规避</w:t>
      </w:r>
      <w:r w:rsidRPr="000C0842">
        <w:rPr>
          <w:rFonts w:eastAsia="SimSun"/>
          <w:sz w:val="24"/>
          <w:szCs w:val="24"/>
        </w:rPr>
        <w:t>或管理专家组利益冲突的程序</w:t>
      </w:r>
      <w:r w:rsidR="007F099C" w:rsidRPr="000C0842">
        <w:rPr>
          <w:rStyle w:val="FootnoteReference"/>
          <w:sz w:val="24"/>
          <w:szCs w:val="24"/>
        </w:rPr>
        <w:footnoteReference w:id="614"/>
      </w:r>
      <w:r w:rsidR="00207A77" w:rsidRPr="000C0842">
        <w:rPr>
          <w:rFonts w:eastAsia="SimSun" w:hint="eastAsia"/>
          <w:sz w:val="24"/>
          <w:szCs w:val="24"/>
        </w:rPr>
        <w:t>。</w:t>
      </w:r>
    </w:p>
    <w:p w14:paraId="38B77928" w14:textId="651D9999"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主席设立了一个主席之友小组，由</w:t>
      </w:r>
      <w:r w:rsidRPr="000C0842">
        <w:rPr>
          <w:rFonts w:eastAsia="SimSun"/>
          <w:sz w:val="24"/>
          <w:szCs w:val="24"/>
        </w:rPr>
        <w:t>Joaquín Salzberg</w:t>
      </w:r>
      <w:r w:rsidRPr="000C0842">
        <w:rPr>
          <w:rFonts w:eastAsia="SimSun"/>
          <w:sz w:val="24"/>
          <w:szCs w:val="24"/>
        </w:rPr>
        <w:t>（阿根廷）主持，</w:t>
      </w:r>
      <w:r w:rsidR="005835B6" w:rsidRPr="000C0842">
        <w:rPr>
          <w:rFonts w:eastAsia="SimSun" w:hint="eastAsia"/>
          <w:sz w:val="24"/>
          <w:szCs w:val="24"/>
        </w:rPr>
        <w:t>负责</w:t>
      </w:r>
      <w:r w:rsidRPr="000C0842">
        <w:rPr>
          <w:rFonts w:eastAsia="SimSun"/>
          <w:sz w:val="24"/>
          <w:szCs w:val="24"/>
        </w:rPr>
        <w:t>讨论</w:t>
      </w:r>
      <w:r w:rsidR="00D142BD" w:rsidRPr="000C0842">
        <w:rPr>
          <w:rFonts w:eastAsia="SimSun"/>
          <w:sz w:val="24"/>
          <w:szCs w:val="24"/>
        </w:rPr>
        <w:t>前</w:t>
      </w:r>
      <w:r w:rsidRPr="000C0842">
        <w:rPr>
          <w:rFonts w:eastAsia="SimSun"/>
          <w:sz w:val="24"/>
          <w:szCs w:val="24"/>
        </w:rPr>
        <w:t>两项决定草案并达成一致意见。</w:t>
      </w:r>
    </w:p>
    <w:p w14:paraId="71AFB8FD" w14:textId="70A9EE52" w:rsidR="004F4E24" w:rsidRPr="000C0842" w:rsidRDefault="004F4E24" w:rsidP="00172FF3">
      <w:pPr>
        <w:pStyle w:val="ListParagraph"/>
        <w:numPr>
          <w:ilvl w:val="0"/>
          <w:numId w:val="0"/>
        </w:numPr>
        <w:tabs>
          <w:tab w:val="clear" w:pos="567"/>
          <w:tab w:val="clear" w:pos="1134"/>
          <w:tab w:val="clear" w:pos="1701"/>
          <w:tab w:val="clear" w:pos="2268"/>
          <w:tab w:val="left" w:pos="1080"/>
        </w:tabs>
        <w:spacing w:before="120" w:after="120"/>
        <w:ind w:left="490"/>
        <w:contextualSpacing w:val="0"/>
        <w:rPr>
          <w:rFonts w:eastAsia="KaiTi"/>
          <w:sz w:val="24"/>
          <w:szCs w:val="24"/>
        </w:rPr>
      </w:pPr>
      <w:r w:rsidRPr="000C0842">
        <w:rPr>
          <w:rFonts w:eastAsia="KaiTi"/>
          <w:sz w:val="24"/>
          <w:szCs w:val="24"/>
        </w:rPr>
        <w:t>进一步提高《公约》及其议定书进程</w:t>
      </w:r>
      <w:r w:rsidR="00D142BD" w:rsidRPr="000C0842">
        <w:rPr>
          <w:rFonts w:eastAsia="KaiTi"/>
          <w:sz w:val="24"/>
          <w:szCs w:val="24"/>
        </w:rPr>
        <w:t>成效</w:t>
      </w:r>
      <w:r w:rsidRPr="000C0842">
        <w:rPr>
          <w:rFonts w:eastAsia="KaiTi"/>
          <w:sz w:val="24"/>
          <w:szCs w:val="24"/>
        </w:rPr>
        <w:t>的备选方案</w:t>
      </w:r>
    </w:p>
    <w:p w14:paraId="7D58AA5B" w14:textId="2E1B5EE3"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D142BD" w:rsidRPr="000C0842">
        <w:rPr>
          <w:rFonts w:eastAsia="SimSun"/>
          <w:sz w:val="24"/>
          <w:szCs w:val="24"/>
        </w:rPr>
        <w:t>5</w:t>
      </w:r>
      <w:r w:rsidR="00D142BD" w:rsidRPr="000C0842">
        <w:rPr>
          <w:rFonts w:eastAsia="SimSun"/>
          <w:sz w:val="24"/>
          <w:szCs w:val="24"/>
        </w:rPr>
        <w:t>场</w:t>
      </w:r>
      <w:r w:rsidRPr="000C0842">
        <w:rPr>
          <w:rFonts w:eastAsia="SimSun"/>
          <w:sz w:val="24"/>
          <w:szCs w:val="24"/>
        </w:rPr>
        <w:t>会议审议了主席在联络小组讨论后提交的一份订正决定草案。</w:t>
      </w:r>
    </w:p>
    <w:p w14:paraId="4D8C6D5A" w14:textId="2443C34F" w:rsidR="004F4E24"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0C0842">
        <w:rPr>
          <w:rFonts w:eastAsia="SimSun"/>
          <w:spacing w:val="4"/>
          <w:sz w:val="24"/>
          <w:szCs w:val="24"/>
        </w:rPr>
        <w:t>下列缔约方</w:t>
      </w:r>
      <w:r w:rsidR="004F4E24" w:rsidRPr="000C0842">
        <w:rPr>
          <w:rFonts w:eastAsia="SimSun"/>
          <w:spacing w:val="4"/>
          <w:sz w:val="24"/>
          <w:szCs w:val="24"/>
        </w:rPr>
        <w:t>的代表发</w:t>
      </w:r>
      <w:r w:rsidR="00D142BD" w:rsidRPr="000C0842">
        <w:rPr>
          <w:rFonts w:eastAsia="SimSun"/>
          <w:spacing w:val="4"/>
          <w:sz w:val="24"/>
          <w:szCs w:val="24"/>
        </w:rPr>
        <w:t>了</w:t>
      </w:r>
      <w:r w:rsidR="004F4E24" w:rsidRPr="000C0842">
        <w:rPr>
          <w:rFonts w:eastAsia="SimSun"/>
          <w:spacing w:val="4"/>
          <w:sz w:val="24"/>
          <w:szCs w:val="24"/>
        </w:rPr>
        <w:t>言</w:t>
      </w:r>
      <w:r w:rsidR="00967832" w:rsidRPr="000C0842">
        <w:rPr>
          <w:rFonts w:eastAsia="SimSun"/>
          <w:spacing w:val="4"/>
          <w:sz w:val="24"/>
          <w:szCs w:val="24"/>
        </w:rPr>
        <w:t>：</w:t>
      </w:r>
      <w:r w:rsidR="004F4E24" w:rsidRPr="000C0842">
        <w:rPr>
          <w:rFonts w:eastAsia="SimSun"/>
          <w:spacing w:val="4"/>
          <w:sz w:val="24"/>
          <w:szCs w:val="24"/>
        </w:rPr>
        <w:t>巴西、欧洲联盟及其成员国、俄罗斯联邦</w:t>
      </w:r>
      <w:r w:rsidR="00EB234D" w:rsidRPr="000C0842">
        <w:rPr>
          <w:rFonts w:eastAsia="SimSun" w:hint="eastAsia"/>
          <w:spacing w:val="4"/>
          <w:sz w:val="24"/>
          <w:szCs w:val="24"/>
        </w:rPr>
        <w:t>、</w:t>
      </w:r>
      <w:r w:rsidR="004F4E24" w:rsidRPr="000C0842">
        <w:rPr>
          <w:rFonts w:eastAsia="SimSun"/>
          <w:spacing w:val="4"/>
          <w:sz w:val="24"/>
          <w:szCs w:val="24"/>
        </w:rPr>
        <w:t>联合王国。</w:t>
      </w:r>
    </w:p>
    <w:p w14:paraId="15496C78" w14:textId="6B13F70A" w:rsidR="00D142BD"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第一工作组核准了订正决定草案，将其作为</w:t>
      </w:r>
      <w:r w:rsidRPr="000C0842">
        <w:rPr>
          <w:rFonts w:eastAsia="SimSun"/>
          <w:sz w:val="24"/>
          <w:szCs w:val="24"/>
        </w:rPr>
        <w:t>CBD/COP/16/L.22</w:t>
      </w:r>
      <w:r w:rsidRPr="000C0842">
        <w:rPr>
          <w:rFonts w:eastAsia="SimSun"/>
          <w:sz w:val="24"/>
          <w:szCs w:val="24"/>
        </w:rPr>
        <w:t>号决定草案</w:t>
      </w:r>
      <w:r w:rsidR="00D142BD" w:rsidRPr="000C0842">
        <w:rPr>
          <w:rFonts w:eastAsia="SimSun"/>
          <w:sz w:val="24"/>
          <w:szCs w:val="24"/>
        </w:rPr>
        <w:t>提交</w:t>
      </w:r>
      <w:r w:rsidRPr="000C0842">
        <w:rPr>
          <w:rFonts w:eastAsia="SimSun"/>
          <w:sz w:val="24"/>
          <w:szCs w:val="24"/>
        </w:rPr>
        <w:t>全体会议。</w:t>
      </w:r>
    </w:p>
    <w:p w14:paraId="1F4BFF1F" w14:textId="059AE7A6" w:rsidR="004F4E24" w:rsidRPr="000C0842" w:rsidRDefault="00D142B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5835B6" w:rsidRPr="000C0842">
        <w:rPr>
          <w:rFonts w:eastAsia="SimSun" w:hint="eastAsia"/>
          <w:sz w:val="24"/>
          <w:szCs w:val="24"/>
        </w:rPr>
        <w:t>并通过</w:t>
      </w:r>
      <w:r w:rsidRPr="000C0842">
        <w:rPr>
          <w:rFonts w:eastAsia="SimSun"/>
          <w:sz w:val="24"/>
          <w:szCs w:val="24"/>
        </w:rPr>
        <w:t>了第一工作组主席提交的</w:t>
      </w:r>
      <w:r w:rsidRPr="000C0842">
        <w:rPr>
          <w:rFonts w:eastAsia="SimSun"/>
          <w:sz w:val="24"/>
          <w:szCs w:val="24"/>
        </w:rPr>
        <w:t>CBD/COP/16/L.22</w:t>
      </w:r>
      <w:r w:rsidRPr="000C0842">
        <w:rPr>
          <w:rFonts w:eastAsia="SimSun"/>
          <w:sz w:val="24"/>
          <w:szCs w:val="24"/>
        </w:rPr>
        <w:t>号决定草案，</w:t>
      </w:r>
      <w:r w:rsidR="005835B6" w:rsidRPr="000C0842">
        <w:rPr>
          <w:rFonts w:eastAsia="SimSun" w:hint="eastAsia"/>
          <w:sz w:val="24"/>
          <w:szCs w:val="24"/>
        </w:rPr>
        <w:t>决定</w:t>
      </w:r>
      <w:r w:rsidRPr="000C0842">
        <w:rPr>
          <w:rFonts w:eastAsia="SimSun"/>
          <w:sz w:val="24"/>
          <w:szCs w:val="24"/>
        </w:rPr>
        <w:t>草案成为第</w:t>
      </w:r>
      <w:hyperlink r:id="rId423" w:history="1">
        <w:r w:rsidRPr="000C0842">
          <w:rPr>
            <w:rStyle w:val="Hyperlink"/>
            <w:rFonts w:eastAsia="SimSun"/>
            <w:color w:val="auto"/>
            <w:sz w:val="24"/>
            <w:szCs w:val="24"/>
          </w:rPr>
          <w:t>16/25</w:t>
        </w:r>
      </w:hyperlink>
      <w:r w:rsidRPr="000C0842">
        <w:rPr>
          <w:rFonts w:eastAsia="SimSun"/>
          <w:sz w:val="24"/>
          <w:szCs w:val="24"/>
        </w:rPr>
        <w:t>号决定。</w:t>
      </w:r>
    </w:p>
    <w:p w14:paraId="4187118B" w14:textId="2D3C4D8C" w:rsidR="004F4E24" w:rsidRPr="000C0842" w:rsidRDefault="004F4E24" w:rsidP="00172FF3">
      <w:pPr>
        <w:keepNext/>
        <w:tabs>
          <w:tab w:val="clear" w:pos="567"/>
          <w:tab w:val="clear" w:pos="1134"/>
          <w:tab w:val="clear" w:pos="1701"/>
          <w:tab w:val="clear" w:pos="2268"/>
          <w:tab w:val="left" w:pos="1080"/>
        </w:tabs>
        <w:spacing w:before="120" w:after="120"/>
        <w:ind w:left="490"/>
        <w:rPr>
          <w:rFonts w:eastAsia="KaiTi"/>
          <w:sz w:val="24"/>
          <w:szCs w:val="24"/>
        </w:rPr>
      </w:pPr>
      <w:r w:rsidRPr="000C0842">
        <w:rPr>
          <w:rFonts w:eastAsia="KaiTi"/>
          <w:sz w:val="24"/>
          <w:szCs w:val="24"/>
        </w:rPr>
        <w:t>召开虚拟和混合会议的程序</w:t>
      </w:r>
    </w:p>
    <w:p w14:paraId="75B8CDB2" w14:textId="733B95D3"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E87058" w:rsidRPr="000C0842">
        <w:rPr>
          <w:rFonts w:eastAsia="SimSun"/>
          <w:sz w:val="24"/>
          <w:szCs w:val="24"/>
        </w:rPr>
        <w:t>5</w:t>
      </w:r>
      <w:r w:rsidR="00E87058" w:rsidRPr="000C0842">
        <w:rPr>
          <w:rFonts w:eastAsia="SimSun"/>
          <w:sz w:val="24"/>
          <w:szCs w:val="24"/>
        </w:rPr>
        <w:t>场</w:t>
      </w:r>
      <w:r w:rsidRPr="000C0842">
        <w:rPr>
          <w:rFonts w:eastAsia="SimSun"/>
          <w:sz w:val="24"/>
          <w:szCs w:val="24"/>
        </w:rPr>
        <w:t>会议审议了主席在联络小组讨论后提交的一份订正决定草案。</w:t>
      </w:r>
    </w:p>
    <w:p w14:paraId="4DB81B73" w14:textId="22F386E9"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阿根廷</w:t>
      </w:r>
      <w:r w:rsidR="002A2D39" w:rsidRPr="000C0842">
        <w:rPr>
          <w:rFonts w:eastAsia="SimSun" w:hint="eastAsia"/>
          <w:sz w:val="24"/>
          <w:szCs w:val="24"/>
        </w:rPr>
        <w:t>的</w:t>
      </w:r>
      <w:r w:rsidRPr="000C0842">
        <w:rPr>
          <w:rFonts w:eastAsia="SimSun"/>
          <w:sz w:val="24"/>
          <w:szCs w:val="24"/>
        </w:rPr>
        <w:t>代表</w:t>
      </w:r>
      <w:r w:rsidR="001C1443" w:rsidRPr="000C0842">
        <w:rPr>
          <w:rFonts w:eastAsia="SimSun"/>
          <w:sz w:val="24"/>
          <w:szCs w:val="24"/>
        </w:rPr>
        <w:t>发了言</w:t>
      </w:r>
      <w:r w:rsidRPr="000C0842">
        <w:rPr>
          <w:rFonts w:eastAsia="SimSun"/>
          <w:sz w:val="24"/>
          <w:szCs w:val="24"/>
        </w:rPr>
        <w:t>。</w:t>
      </w:r>
    </w:p>
    <w:p w14:paraId="737B8126" w14:textId="4FEFB0DE" w:rsidR="00E87058"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第一工作组核准了订正决定草案，将其作为</w:t>
      </w:r>
      <w:r w:rsidRPr="000C0842">
        <w:rPr>
          <w:rFonts w:eastAsia="SimSun"/>
          <w:sz w:val="24"/>
          <w:szCs w:val="24"/>
        </w:rPr>
        <w:t>CBD/COP/16/L.20</w:t>
      </w:r>
      <w:r w:rsidRPr="000C0842">
        <w:rPr>
          <w:rFonts w:eastAsia="SimSun"/>
          <w:sz w:val="24"/>
          <w:szCs w:val="24"/>
        </w:rPr>
        <w:t>号决定草案</w:t>
      </w:r>
      <w:r w:rsidR="00E87058" w:rsidRPr="000C0842">
        <w:rPr>
          <w:rFonts w:eastAsia="SimSun"/>
          <w:sz w:val="24"/>
          <w:szCs w:val="24"/>
        </w:rPr>
        <w:t>提交</w:t>
      </w:r>
      <w:r w:rsidRPr="000C0842">
        <w:rPr>
          <w:rFonts w:eastAsia="SimSun"/>
          <w:sz w:val="24"/>
          <w:szCs w:val="24"/>
        </w:rPr>
        <w:t>全体会议。</w:t>
      </w:r>
    </w:p>
    <w:p w14:paraId="2B01F94C" w14:textId="0276DE00" w:rsidR="004F4E24" w:rsidRPr="000C0842" w:rsidRDefault="00E8705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2A2D39" w:rsidRPr="000C0842">
        <w:rPr>
          <w:rFonts w:eastAsia="SimSun" w:hint="eastAsia"/>
          <w:sz w:val="24"/>
          <w:szCs w:val="24"/>
        </w:rPr>
        <w:t>并通过</w:t>
      </w:r>
      <w:r w:rsidRPr="000C0842">
        <w:rPr>
          <w:rFonts w:eastAsia="SimSun"/>
          <w:sz w:val="24"/>
          <w:szCs w:val="24"/>
        </w:rPr>
        <w:t>了第一工作组主席提交的</w:t>
      </w:r>
      <w:r w:rsidRPr="000C0842">
        <w:rPr>
          <w:rFonts w:eastAsia="SimSun"/>
          <w:sz w:val="24"/>
          <w:szCs w:val="24"/>
        </w:rPr>
        <w:t>CBD/COP/16/L.20</w:t>
      </w:r>
      <w:r w:rsidRPr="000C0842">
        <w:rPr>
          <w:rFonts w:eastAsia="SimSun"/>
          <w:sz w:val="24"/>
          <w:szCs w:val="24"/>
        </w:rPr>
        <w:t>号决定草案，</w:t>
      </w:r>
      <w:r w:rsidR="002A2D39" w:rsidRPr="000C0842">
        <w:rPr>
          <w:rFonts w:eastAsia="SimSun" w:hint="eastAsia"/>
          <w:sz w:val="24"/>
          <w:szCs w:val="24"/>
        </w:rPr>
        <w:t>决定</w:t>
      </w:r>
      <w:r w:rsidRPr="000C0842">
        <w:rPr>
          <w:rFonts w:eastAsia="SimSun"/>
          <w:sz w:val="24"/>
          <w:szCs w:val="24"/>
        </w:rPr>
        <w:t>草案成为第</w:t>
      </w:r>
      <w:hyperlink r:id="rId424" w:history="1">
        <w:r w:rsidRPr="000C0842">
          <w:rPr>
            <w:rStyle w:val="Hyperlink"/>
            <w:rFonts w:eastAsia="SimSun"/>
            <w:color w:val="auto"/>
            <w:sz w:val="24"/>
            <w:szCs w:val="24"/>
          </w:rPr>
          <w:t>16/24</w:t>
        </w:r>
      </w:hyperlink>
      <w:r w:rsidRPr="000C0842">
        <w:rPr>
          <w:rFonts w:eastAsia="SimSun"/>
          <w:sz w:val="24"/>
          <w:szCs w:val="24"/>
        </w:rPr>
        <w:t>号决定。</w:t>
      </w:r>
    </w:p>
    <w:p w14:paraId="05C5AF61" w14:textId="5E1C048F" w:rsidR="004F4E24" w:rsidRPr="000C0842" w:rsidRDefault="004F4E24" w:rsidP="00172FF3">
      <w:pPr>
        <w:keepNext/>
        <w:tabs>
          <w:tab w:val="clear" w:pos="567"/>
          <w:tab w:val="clear" w:pos="1134"/>
          <w:tab w:val="clear" w:pos="1701"/>
          <w:tab w:val="clear" w:pos="2268"/>
          <w:tab w:val="left" w:pos="1080"/>
        </w:tabs>
        <w:spacing w:before="120" w:after="120"/>
        <w:ind w:left="490"/>
        <w:rPr>
          <w:rFonts w:eastAsia="KaiTi"/>
          <w:sz w:val="24"/>
          <w:szCs w:val="24"/>
        </w:rPr>
      </w:pPr>
      <w:r w:rsidRPr="000C0842">
        <w:rPr>
          <w:rFonts w:eastAsia="KaiTi"/>
          <w:sz w:val="24"/>
          <w:szCs w:val="24"/>
        </w:rPr>
        <w:t>规避或管理专家组利益冲突的程序</w:t>
      </w:r>
    </w:p>
    <w:p w14:paraId="0C529AA7" w14:textId="67CBF8D4" w:rsidR="004F4E24"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第一工作组第</w:t>
      </w:r>
      <w:r w:rsidR="009D770C" w:rsidRPr="000C0842">
        <w:rPr>
          <w:rFonts w:eastAsia="SimSun"/>
          <w:sz w:val="24"/>
          <w:szCs w:val="24"/>
        </w:rPr>
        <w:t>5</w:t>
      </w:r>
      <w:r w:rsidR="009D770C" w:rsidRPr="000C0842">
        <w:rPr>
          <w:rFonts w:eastAsia="SimSun"/>
          <w:sz w:val="24"/>
          <w:szCs w:val="24"/>
        </w:rPr>
        <w:t>场</w:t>
      </w:r>
      <w:r w:rsidRPr="000C0842">
        <w:rPr>
          <w:rFonts w:eastAsia="SimSun"/>
          <w:sz w:val="24"/>
          <w:szCs w:val="24"/>
        </w:rPr>
        <w:t>会议审议了主席提交的一份订正决定草案。</w:t>
      </w:r>
    </w:p>
    <w:p w14:paraId="5803B788" w14:textId="182E4449" w:rsidR="004F4E24" w:rsidRPr="000C0842" w:rsidRDefault="00EE28F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w:t>
      </w:r>
      <w:r w:rsidR="004F4E24" w:rsidRPr="000C0842">
        <w:rPr>
          <w:rFonts w:eastAsia="SimSun"/>
          <w:sz w:val="24"/>
          <w:szCs w:val="24"/>
        </w:rPr>
        <w:t>的代表</w:t>
      </w:r>
      <w:r w:rsidR="001C1443" w:rsidRPr="000C0842">
        <w:rPr>
          <w:rFonts w:eastAsia="SimSun"/>
          <w:sz w:val="24"/>
          <w:szCs w:val="24"/>
        </w:rPr>
        <w:t>发了言</w:t>
      </w:r>
      <w:r w:rsidR="00967832" w:rsidRPr="000C0842">
        <w:rPr>
          <w:rFonts w:eastAsia="SimSun"/>
          <w:sz w:val="24"/>
          <w:szCs w:val="24"/>
        </w:rPr>
        <w:t>：</w:t>
      </w:r>
      <w:r w:rsidR="004F4E24" w:rsidRPr="000C0842">
        <w:rPr>
          <w:rFonts w:eastAsia="SimSun"/>
          <w:sz w:val="24"/>
          <w:szCs w:val="24"/>
        </w:rPr>
        <w:t>阿根廷、多民族玻利维亚国、巴西、加拿大、刚果民主共和国、欧洲联盟及其成员国、危地马拉、挪威</w:t>
      </w:r>
      <w:r w:rsidR="002A5D1C" w:rsidRPr="000C0842">
        <w:rPr>
          <w:rFonts w:eastAsia="SimSun" w:hint="eastAsia"/>
          <w:sz w:val="24"/>
          <w:szCs w:val="24"/>
        </w:rPr>
        <w:t>、</w:t>
      </w:r>
      <w:r w:rsidR="004F4E24" w:rsidRPr="000C0842">
        <w:rPr>
          <w:rFonts w:eastAsia="SimSun"/>
          <w:sz w:val="24"/>
          <w:szCs w:val="24"/>
        </w:rPr>
        <w:t>坦桑尼亚联合共和国。</w:t>
      </w:r>
    </w:p>
    <w:p w14:paraId="2560B6F2" w14:textId="1715D8A6" w:rsidR="009D770C" w:rsidRPr="000C0842"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第一工作组核准了决定草案，将其作为</w:t>
      </w:r>
      <w:r w:rsidRPr="000C0842">
        <w:rPr>
          <w:rFonts w:eastAsia="SimSun"/>
          <w:sz w:val="24"/>
          <w:szCs w:val="24"/>
        </w:rPr>
        <w:t>CBD/COP/16/L.27</w:t>
      </w:r>
      <w:r w:rsidRPr="000C0842">
        <w:rPr>
          <w:rFonts w:eastAsia="SimSun"/>
          <w:sz w:val="24"/>
          <w:szCs w:val="24"/>
        </w:rPr>
        <w:t>号决定草案</w:t>
      </w:r>
      <w:r w:rsidR="009D770C" w:rsidRPr="000C0842">
        <w:rPr>
          <w:rFonts w:eastAsia="SimSun"/>
          <w:sz w:val="24"/>
          <w:szCs w:val="24"/>
        </w:rPr>
        <w:t>提交</w:t>
      </w:r>
      <w:r w:rsidRPr="000C0842">
        <w:rPr>
          <w:rFonts w:eastAsia="SimSun"/>
          <w:sz w:val="24"/>
          <w:szCs w:val="24"/>
        </w:rPr>
        <w:t>全体会议。</w:t>
      </w:r>
    </w:p>
    <w:p w14:paraId="4A52FFE7" w14:textId="11860B42" w:rsidR="004F4E24" w:rsidRPr="000C0842" w:rsidRDefault="009D770C" w:rsidP="007F099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81" w:name="_Hlk189062932"/>
      <w:r w:rsidRPr="000C0842">
        <w:rPr>
          <w:rFonts w:eastAsia="SimSun"/>
          <w:sz w:val="24"/>
          <w:szCs w:val="24"/>
        </w:rPr>
        <w:t>缔约方大会第</w:t>
      </w:r>
      <w:r w:rsidRPr="000C0842">
        <w:rPr>
          <w:rFonts w:eastAsia="SimSun"/>
          <w:sz w:val="24"/>
          <w:szCs w:val="24"/>
        </w:rPr>
        <w:t>5</w:t>
      </w:r>
      <w:r w:rsidRPr="000C0842">
        <w:rPr>
          <w:rFonts w:eastAsia="SimSun"/>
          <w:sz w:val="24"/>
          <w:szCs w:val="24"/>
        </w:rPr>
        <w:t>场全体会议审议</w:t>
      </w:r>
      <w:r w:rsidR="00AC5726" w:rsidRPr="000C0842">
        <w:rPr>
          <w:rFonts w:eastAsia="SimSun" w:hint="eastAsia"/>
          <w:sz w:val="24"/>
          <w:szCs w:val="24"/>
        </w:rPr>
        <w:t>并通过</w:t>
      </w:r>
      <w:r w:rsidRPr="000C0842">
        <w:rPr>
          <w:rFonts w:eastAsia="SimSun"/>
          <w:sz w:val="24"/>
          <w:szCs w:val="24"/>
        </w:rPr>
        <w:t>了第一工作组主席提交的</w:t>
      </w:r>
      <w:r w:rsidRPr="000C0842">
        <w:rPr>
          <w:rFonts w:eastAsia="SimSun"/>
          <w:sz w:val="24"/>
          <w:szCs w:val="24"/>
        </w:rPr>
        <w:t>CBD/COP/16/L.27</w:t>
      </w:r>
      <w:r w:rsidRPr="000C0842">
        <w:rPr>
          <w:rFonts w:eastAsia="SimSun"/>
          <w:sz w:val="24"/>
          <w:szCs w:val="24"/>
        </w:rPr>
        <w:t>号决定草案，</w:t>
      </w:r>
      <w:r w:rsidR="001D4696" w:rsidRPr="000C0842">
        <w:rPr>
          <w:rFonts w:eastAsia="SimSun" w:hint="eastAsia"/>
          <w:sz w:val="24"/>
          <w:szCs w:val="24"/>
        </w:rPr>
        <w:t>决定</w:t>
      </w:r>
      <w:r w:rsidRPr="000C0842">
        <w:rPr>
          <w:rFonts w:eastAsia="SimSun"/>
          <w:sz w:val="24"/>
          <w:szCs w:val="24"/>
        </w:rPr>
        <w:t>草案成为第</w:t>
      </w:r>
      <w:hyperlink r:id="rId425" w:history="1">
        <w:r w:rsidRPr="000C0842">
          <w:rPr>
            <w:rStyle w:val="Hyperlink"/>
            <w:rFonts w:eastAsia="SimSun"/>
            <w:color w:val="auto"/>
            <w:sz w:val="24"/>
            <w:szCs w:val="24"/>
          </w:rPr>
          <w:t>16/26</w:t>
        </w:r>
      </w:hyperlink>
      <w:r w:rsidRPr="000C0842">
        <w:rPr>
          <w:rFonts w:eastAsia="SimSun"/>
          <w:sz w:val="24"/>
          <w:szCs w:val="24"/>
        </w:rPr>
        <w:t>号决定</w:t>
      </w:r>
      <w:bookmarkEnd w:id="181"/>
      <w:r w:rsidRPr="000C0842">
        <w:rPr>
          <w:rFonts w:eastAsia="SimSun"/>
          <w:sz w:val="24"/>
          <w:szCs w:val="24"/>
        </w:rPr>
        <w:t>。</w:t>
      </w:r>
    </w:p>
    <w:p w14:paraId="10B2E0A7" w14:textId="20F17B85" w:rsidR="00172B4D" w:rsidRPr="000C0842" w:rsidRDefault="00172B4D" w:rsidP="004E5EE5">
      <w:pPr>
        <w:pStyle w:val="a1"/>
        <w:ind w:left="0" w:right="0"/>
        <w:rPr>
          <w:rFonts w:hint="eastAsia"/>
          <w:bCs/>
          <w:lang w:eastAsia="zh-CN"/>
        </w:rPr>
      </w:pPr>
      <w:bookmarkStart w:id="182" w:name="_Toc206358264"/>
      <w:r w:rsidRPr="000C0842">
        <w:rPr>
          <w:lang w:eastAsia="zh-CN"/>
        </w:rPr>
        <w:t>项目</w:t>
      </w:r>
      <w:r w:rsidRPr="000C0842">
        <w:rPr>
          <w:lang w:eastAsia="zh-CN"/>
        </w:rPr>
        <w:t>28</w:t>
      </w:r>
      <w:r w:rsidR="007F099C" w:rsidRPr="000C0842">
        <w:rPr>
          <w:lang w:eastAsia="zh-CN"/>
        </w:rPr>
        <w:br/>
      </w:r>
      <w:r w:rsidRPr="000C0842">
        <w:rPr>
          <w:lang w:eastAsia="zh-CN"/>
        </w:rPr>
        <w:t>缔约方大会多年期工作方案</w:t>
      </w:r>
      <w:bookmarkEnd w:id="182"/>
    </w:p>
    <w:p w14:paraId="396112F4" w14:textId="657DFC4A" w:rsidR="00172B4D"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第二工作组第</w:t>
      </w:r>
      <w:r w:rsidRPr="000C0842">
        <w:rPr>
          <w:rFonts w:eastAsia="SimSun"/>
          <w:sz w:val="24"/>
          <w:szCs w:val="24"/>
        </w:rPr>
        <w:t>12</w:t>
      </w:r>
      <w:r w:rsidR="00A627F9" w:rsidRPr="000C0842">
        <w:rPr>
          <w:rFonts w:eastAsia="SimSun"/>
          <w:sz w:val="24"/>
          <w:szCs w:val="24"/>
        </w:rPr>
        <w:t>场</w:t>
      </w:r>
      <w:r w:rsidRPr="000C0842">
        <w:rPr>
          <w:rFonts w:eastAsia="SimSun"/>
          <w:sz w:val="24"/>
          <w:szCs w:val="24"/>
        </w:rPr>
        <w:t>会议审议了议程项目</w:t>
      </w:r>
      <w:r w:rsidRPr="000C0842">
        <w:rPr>
          <w:rFonts w:eastAsia="SimSun"/>
          <w:sz w:val="24"/>
          <w:szCs w:val="24"/>
        </w:rPr>
        <w:t>28</w:t>
      </w:r>
      <w:r w:rsidRPr="000C0842">
        <w:rPr>
          <w:rFonts w:eastAsia="SimSun"/>
          <w:sz w:val="24"/>
          <w:szCs w:val="24"/>
        </w:rPr>
        <w:t>。工作组收到一项决定草案</w:t>
      </w:r>
      <w:bookmarkStart w:id="183" w:name="_Hlk189062658"/>
      <w:r w:rsidR="0025364D" w:rsidRPr="000C0842">
        <w:rPr>
          <w:rStyle w:val="FootnoteReference"/>
          <w:sz w:val="24"/>
          <w:szCs w:val="24"/>
        </w:rPr>
        <w:footnoteReference w:id="615"/>
      </w:r>
      <w:bookmarkEnd w:id="183"/>
      <w:r w:rsidR="00207A77" w:rsidRPr="000C0842">
        <w:rPr>
          <w:rFonts w:eastAsia="SimSun" w:hint="eastAsia"/>
          <w:sz w:val="24"/>
          <w:szCs w:val="24"/>
        </w:rPr>
        <w:t>。</w:t>
      </w:r>
    </w:p>
    <w:p w14:paraId="3E908694" w14:textId="5AEC32BD" w:rsidR="00A627F9" w:rsidRPr="000C0842"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下列缔约方的代表发了言</w:t>
      </w:r>
      <w:r w:rsidR="00967832" w:rsidRPr="000C0842">
        <w:rPr>
          <w:rFonts w:eastAsia="SimSun"/>
          <w:sz w:val="24"/>
          <w:szCs w:val="24"/>
        </w:rPr>
        <w:t>：</w:t>
      </w:r>
      <w:r w:rsidRPr="000C0842">
        <w:rPr>
          <w:rFonts w:eastAsia="SimSun"/>
          <w:sz w:val="24"/>
          <w:szCs w:val="24"/>
        </w:rPr>
        <w:t>巴西、加拿大、欧洲联盟及其成员国</w:t>
      </w:r>
      <w:r w:rsidR="002A5D1C" w:rsidRPr="000C0842">
        <w:rPr>
          <w:rFonts w:eastAsia="SimSun" w:hint="eastAsia"/>
          <w:sz w:val="24"/>
          <w:szCs w:val="24"/>
        </w:rPr>
        <w:t>、</w:t>
      </w:r>
      <w:r w:rsidRPr="000C0842">
        <w:rPr>
          <w:rFonts w:eastAsia="SimSun"/>
          <w:sz w:val="24"/>
          <w:szCs w:val="24"/>
        </w:rPr>
        <w:t>瑞士。</w:t>
      </w:r>
    </w:p>
    <w:p w14:paraId="5F335915" w14:textId="41CF50F2" w:rsidR="00A627F9" w:rsidRPr="000C0842"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第二工作组核准了经口头修正的决定草案，将其作为</w:t>
      </w:r>
      <w:hyperlink r:id="rId426" w:history="1">
        <w:r w:rsidRPr="000C0842">
          <w:rPr>
            <w:rStyle w:val="Hyperlink"/>
            <w:rFonts w:eastAsia="SimSun"/>
            <w:color w:val="auto"/>
            <w:sz w:val="24"/>
            <w:szCs w:val="24"/>
          </w:rPr>
          <w:t>CBD/COP/16/L.23</w:t>
        </w:r>
      </w:hyperlink>
      <w:r w:rsidRPr="000C0842">
        <w:rPr>
          <w:rFonts w:eastAsia="SimSun"/>
          <w:sz w:val="24"/>
          <w:szCs w:val="24"/>
        </w:rPr>
        <w:t>号决定草案提交全体会议。</w:t>
      </w:r>
    </w:p>
    <w:p w14:paraId="6801D78E" w14:textId="2E00B4C9" w:rsidR="0042756C" w:rsidRPr="000C0842" w:rsidRDefault="0042756C" w:rsidP="0042756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缔约方大会第</w:t>
      </w:r>
      <w:r w:rsidRPr="000C0842">
        <w:rPr>
          <w:rFonts w:eastAsia="SimSun" w:hint="eastAsia"/>
          <w:sz w:val="24"/>
          <w:szCs w:val="24"/>
        </w:rPr>
        <w:t>13</w:t>
      </w:r>
      <w:r w:rsidRPr="000C0842">
        <w:rPr>
          <w:rFonts w:eastAsia="SimSun" w:hint="eastAsia"/>
          <w:sz w:val="24"/>
          <w:szCs w:val="24"/>
        </w:rPr>
        <w:t>场全体会议通过了第</w:t>
      </w:r>
      <w:hyperlink r:id="rId427" w:history="1">
        <w:r w:rsidRPr="000C0842">
          <w:rPr>
            <w:rStyle w:val="Hyperlink"/>
            <w:rFonts w:eastAsia="SimSun" w:hint="eastAsia"/>
            <w:color w:val="auto"/>
            <w:sz w:val="24"/>
            <w:szCs w:val="24"/>
          </w:rPr>
          <w:t>16/36</w:t>
        </w:r>
      </w:hyperlink>
      <w:r w:rsidRPr="000C0842">
        <w:rPr>
          <w:rFonts w:eastAsia="SimSun" w:hint="eastAsia"/>
          <w:sz w:val="24"/>
          <w:szCs w:val="24"/>
        </w:rPr>
        <w:t>号决定，根据该决定，缔约方大会将该事项的审议推迟到第十七届会议。</w:t>
      </w:r>
    </w:p>
    <w:p w14:paraId="5C20DB87" w14:textId="0A8A8E3F" w:rsidR="00172B4D" w:rsidRPr="000C0842" w:rsidRDefault="0042756C" w:rsidP="0042756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随后斐济代表</w:t>
      </w:r>
      <w:r w:rsidR="00E43413" w:rsidRPr="000C0842">
        <w:rPr>
          <w:rFonts w:eastAsia="SimSun" w:hint="eastAsia"/>
          <w:sz w:val="24"/>
          <w:szCs w:val="24"/>
        </w:rPr>
        <w:t>（</w:t>
      </w:r>
      <w:r w:rsidRPr="000C0842">
        <w:rPr>
          <w:rFonts w:eastAsia="SimSun" w:hint="eastAsia"/>
          <w:sz w:val="24"/>
          <w:szCs w:val="24"/>
        </w:rPr>
        <w:t>代表太平洋小岛屿发展中国家</w:t>
      </w:r>
      <w:r w:rsidR="00E43413" w:rsidRPr="000C0842">
        <w:rPr>
          <w:rFonts w:eastAsia="SimSun" w:hint="eastAsia"/>
          <w:sz w:val="24"/>
          <w:szCs w:val="24"/>
        </w:rPr>
        <w:t>）</w:t>
      </w:r>
      <w:r w:rsidRPr="000C0842">
        <w:rPr>
          <w:rFonts w:eastAsia="SimSun" w:hint="eastAsia"/>
          <w:sz w:val="24"/>
          <w:szCs w:val="24"/>
        </w:rPr>
        <w:t>发了言。</w:t>
      </w:r>
    </w:p>
    <w:p w14:paraId="39F7E26E" w14:textId="248CA5D9" w:rsidR="00BE4712" w:rsidRPr="000C0842" w:rsidRDefault="00BE4712" w:rsidP="004E5EE5">
      <w:pPr>
        <w:pStyle w:val="a1"/>
        <w:ind w:left="0" w:right="0"/>
        <w:rPr>
          <w:rFonts w:hint="eastAsia"/>
          <w:bCs/>
          <w:lang w:eastAsia="zh-CN"/>
        </w:rPr>
      </w:pPr>
      <w:bookmarkStart w:id="184" w:name="_Toc206358265"/>
      <w:r w:rsidRPr="000C0842">
        <w:rPr>
          <w:lang w:eastAsia="zh-CN"/>
        </w:rPr>
        <w:t>项目</w:t>
      </w:r>
      <w:r w:rsidRPr="000C0842">
        <w:rPr>
          <w:lang w:eastAsia="zh-CN"/>
        </w:rPr>
        <w:t>29</w:t>
      </w:r>
      <w:r w:rsidRPr="000C0842">
        <w:rPr>
          <w:lang w:eastAsia="zh-CN"/>
        </w:rPr>
        <w:br/>
      </w:r>
      <w:r w:rsidRPr="000C0842">
        <w:rPr>
          <w:lang w:eastAsia="zh-CN"/>
        </w:rPr>
        <w:t>其他事项</w:t>
      </w:r>
      <w:bookmarkEnd w:id="184"/>
    </w:p>
    <w:p w14:paraId="66F36755" w14:textId="7C850134" w:rsidR="0042756C" w:rsidRPr="000C0842" w:rsidRDefault="0042756C" w:rsidP="0042756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缔约方大会第</w:t>
      </w:r>
      <w:r w:rsidRPr="000C0842">
        <w:rPr>
          <w:rFonts w:eastAsia="SimSun" w:hint="eastAsia"/>
          <w:sz w:val="24"/>
          <w:szCs w:val="24"/>
        </w:rPr>
        <w:t>13</w:t>
      </w:r>
      <w:r w:rsidRPr="000C0842">
        <w:rPr>
          <w:rFonts w:eastAsia="SimSun" w:hint="eastAsia"/>
          <w:sz w:val="24"/>
          <w:szCs w:val="24"/>
        </w:rPr>
        <w:t>场全体会议审议了议程项目</w:t>
      </w:r>
      <w:r w:rsidRPr="000C0842">
        <w:rPr>
          <w:rFonts w:eastAsia="SimSun" w:hint="eastAsia"/>
          <w:sz w:val="24"/>
          <w:szCs w:val="24"/>
        </w:rPr>
        <w:t>29</w:t>
      </w:r>
      <w:r w:rsidRPr="000C0842">
        <w:rPr>
          <w:rFonts w:eastAsia="SimSun" w:hint="eastAsia"/>
          <w:sz w:val="24"/>
          <w:szCs w:val="24"/>
        </w:rPr>
        <w:t>。</w:t>
      </w:r>
    </w:p>
    <w:p w14:paraId="75B67498" w14:textId="4C44D03F" w:rsidR="00BE4712" w:rsidRPr="000C0842" w:rsidRDefault="0042756C" w:rsidP="0042756C">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kern w:val="22"/>
          <w:sz w:val="24"/>
          <w:szCs w:val="24"/>
        </w:rPr>
      </w:pPr>
      <w:r w:rsidRPr="000C0842">
        <w:rPr>
          <w:rFonts w:eastAsia="SimSun"/>
          <w:sz w:val="24"/>
          <w:szCs w:val="24"/>
        </w:rPr>
        <w:t>刚果民主共和国的一</w:t>
      </w:r>
      <w:r w:rsidR="002A2D39" w:rsidRPr="000C0842">
        <w:rPr>
          <w:rFonts w:eastAsia="SimSun" w:hint="eastAsia"/>
          <w:sz w:val="24"/>
          <w:szCs w:val="24"/>
        </w:rPr>
        <w:t>位</w:t>
      </w:r>
      <w:r w:rsidRPr="000C0842">
        <w:rPr>
          <w:rFonts w:eastAsia="SimSun"/>
          <w:sz w:val="24"/>
          <w:szCs w:val="24"/>
        </w:rPr>
        <w:t>代表问，是否有可能在即将到来的闭会期间举行两次执行问题附属机构会议，而不是一次。执行秘书回答说</w:t>
      </w:r>
      <w:r w:rsidR="009C4166" w:rsidRPr="000C0842">
        <w:rPr>
          <w:rFonts w:eastAsia="SimSun" w:hint="eastAsia"/>
          <w:sz w:val="24"/>
          <w:szCs w:val="24"/>
        </w:rPr>
        <w:t>将请</w:t>
      </w:r>
      <w:r w:rsidRPr="000C0842">
        <w:rPr>
          <w:rFonts w:eastAsia="SimSun"/>
          <w:sz w:val="24"/>
          <w:szCs w:val="24"/>
        </w:rPr>
        <w:t>主席团</w:t>
      </w:r>
      <w:r w:rsidRPr="000C0842">
        <w:rPr>
          <w:rFonts w:eastAsia="SimSun" w:hint="eastAsia"/>
          <w:sz w:val="24"/>
          <w:szCs w:val="24"/>
        </w:rPr>
        <w:t>于次日</w:t>
      </w:r>
      <w:r w:rsidRPr="000C0842">
        <w:rPr>
          <w:rFonts w:eastAsia="SimSun"/>
          <w:sz w:val="24"/>
          <w:szCs w:val="24"/>
        </w:rPr>
        <w:t>讨论这</w:t>
      </w:r>
      <w:r w:rsidRPr="000C0842">
        <w:rPr>
          <w:rFonts w:eastAsia="SimSun"/>
          <w:snapToGrid w:val="0"/>
          <w:kern w:val="22"/>
          <w:sz w:val="24"/>
          <w:szCs w:val="24"/>
        </w:rPr>
        <w:t>种可能性。</w:t>
      </w:r>
    </w:p>
    <w:p w14:paraId="73A3D4DD" w14:textId="42C346E8" w:rsidR="00BE4712" w:rsidRPr="000C0842" w:rsidRDefault="00BE4712" w:rsidP="004E5EE5">
      <w:pPr>
        <w:pStyle w:val="a1"/>
        <w:ind w:left="0" w:right="0"/>
        <w:rPr>
          <w:rFonts w:hint="eastAsia"/>
          <w:bCs/>
          <w:lang w:eastAsia="zh-CN"/>
        </w:rPr>
      </w:pPr>
      <w:bookmarkStart w:id="185" w:name="_Toc206358266"/>
      <w:r w:rsidRPr="000C0842">
        <w:rPr>
          <w:lang w:eastAsia="zh-CN"/>
        </w:rPr>
        <w:t>项目</w:t>
      </w:r>
      <w:r w:rsidRPr="000C0842">
        <w:rPr>
          <w:lang w:eastAsia="zh-CN"/>
        </w:rPr>
        <w:t>30</w:t>
      </w:r>
      <w:r w:rsidRPr="000C0842">
        <w:rPr>
          <w:lang w:eastAsia="zh-CN"/>
        </w:rPr>
        <w:br/>
      </w:r>
      <w:r w:rsidRPr="000C0842">
        <w:rPr>
          <w:lang w:eastAsia="zh-CN"/>
        </w:rPr>
        <w:t>通过报告</w:t>
      </w:r>
      <w:bookmarkEnd w:id="185"/>
    </w:p>
    <w:p w14:paraId="66B3B8E7" w14:textId="65ABA804" w:rsidR="009C4166" w:rsidRPr="000C0842" w:rsidRDefault="009C4166" w:rsidP="009C416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缔约方大会</w:t>
      </w:r>
      <w:r w:rsidRPr="000C0842">
        <w:rPr>
          <w:rFonts w:eastAsia="SimSun"/>
          <w:sz w:val="24"/>
          <w:szCs w:val="24"/>
        </w:rPr>
        <w:t>第</w:t>
      </w:r>
      <w:r w:rsidRPr="000C0842">
        <w:rPr>
          <w:rFonts w:eastAsia="SimSun"/>
          <w:sz w:val="24"/>
          <w:szCs w:val="24"/>
        </w:rPr>
        <w:t>13</w:t>
      </w:r>
      <w:r w:rsidRPr="000C0842">
        <w:rPr>
          <w:rFonts w:eastAsia="SimSun" w:hint="eastAsia"/>
          <w:sz w:val="24"/>
          <w:szCs w:val="24"/>
        </w:rPr>
        <w:t>场</w:t>
      </w:r>
      <w:r w:rsidRPr="000C0842">
        <w:rPr>
          <w:rFonts w:eastAsia="SimSun"/>
          <w:sz w:val="24"/>
          <w:szCs w:val="24"/>
        </w:rPr>
        <w:t>全体会议审议了报告员提交的会议报告</w:t>
      </w:r>
      <w:r w:rsidRPr="000C0842">
        <w:rPr>
          <w:rFonts w:eastAsia="SimSun" w:hint="eastAsia"/>
          <w:sz w:val="24"/>
          <w:szCs w:val="24"/>
        </w:rPr>
        <w:t>草案</w:t>
      </w:r>
      <w:r w:rsidR="00651B88" w:rsidRPr="000C0842">
        <w:rPr>
          <w:rStyle w:val="FootnoteReference"/>
          <w:rFonts w:eastAsia="SimSun"/>
          <w:sz w:val="24"/>
          <w:szCs w:val="24"/>
        </w:rPr>
        <w:footnoteReference w:id="616"/>
      </w:r>
      <w:r w:rsidRPr="000C0842">
        <w:rPr>
          <w:rFonts w:eastAsia="SimSun"/>
          <w:sz w:val="24"/>
          <w:szCs w:val="24"/>
        </w:rPr>
        <w:t>。</w:t>
      </w:r>
    </w:p>
    <w:p w14:paraId="17C959F3" w14:textId="58FC493F" w:rsidR="009C4166" w:rsidRPr="000C0842" w:rsidRDefault="009C4166" w:rsidP="009C416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hint="eastAsia"/>
          <w:sz w:val="24"/>
          <w:szCs w:val="24"/>
        </w:rPr>
        <w:t>下列</w:t>
      </w:r>
      <w:r w:rsidRPr="000C0842">
        <w:rPr>
          <w:rFonts w:eastAsia="SimSun"/>
          <w:sz w:val="24"/>
          <w:szCs w:val="24"/>
        </w:rPr>
        <w:t>缔约方的代表发</w:t>
      </w:r>
      <w:r w:rsidRPr="000C0842">
        <w:rPr>
          <w:rFonts w:eastAsia="SimSun" w:hint="eastAsia"/>
          <w:sz w:val="24"/>
          <w:szCs w:val="24"/>
        </w:rPr>
        <w:t>了</w:t>
      </w:r>
      <w:r w:rsidRPr="000C0842">
        <w:rPr>
          <w:rFonts w:eastAsia="SimSun"/>
          <w:sz w:val="24"/>
          <w:szCs w:val="24"/>
        </w:rPr>
        <w:t>言</w:t>
      </w:r>
      <w:r w:rsidRPr="000C0842">
        <w:rPr>
          <w:rFonts w:eastAsia="SimSun" w:hint="eastAsia"/>
          <w:sz w:val="24"/>
          <w:szCs w:val="24"/>
        </w:rPr>
        <w:t>：</w:t>
      </w:r>
      <w:r w:rsidRPr="000C0842">
        <w:rPr>
          <w:rFonts w:eastAsia="SimSun"/>
          <w:sz w:val="24"/>
          <w:szCs w:val="24"/>
        </w:rPr>
        <w:t>阿根廷、刚果民主共和国</w:t>
      </w:r>
      <w:r w:rsidRPr="000C0842">
        <w:rPr>
          <w:rFonts w:eastAsia="SimSun" w:hint="eastAsia"/>
          <w:sz w:val="24"/>
          <w:szCs w:val="24"/>
        </w:rPr>
        <w:t>、</w:t>
      </w:r>
      <w:r w:rsidRPr="000C0842">
        <w:rPr>
          <w:rFonts w:eastAsia="SimSun"/>
          <w:sz w:val="24"/>
          <w:szCs w:val="24"/>
        </w:rPr>
        <w:t>日本。</w:t>
      </w:r>
    </w:p>
    <w:p w14:paraId="6F2A26FB" w14:textId="2259CDA8" w:rsidR="00BE4712" w:rsidRPr="000C0842" w:rsidRDefault="009C4166" w:rsidP="009C416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C0842">
        <w:rPr>
          <w:rFonts w:eastAsia="SimSun"/>
          <w:sz w:val="24"/>
          <w:szCs w:val="24"/>
        </w:rPr>
        <w:t>缔约方</w:t>
      </w:r>
      <w:r w:rsidRPr="000C0842">
        <w:rPr>
          <w:rFonts w:eastAsia="SimSun" w:hint="eastAsia"/>
          <w:sz w:val="24"/>
          <w:szCs w:val="24"/>
        </w:rPr>
        <w:t>大会</w:t>
      </w:r>
      <w:r w:rsidRPr="000C0842">
        <w:rPr>
          <w:rFonts w:eastAsia="SimSun"/>
          <w:sz w:val="24"/>
          <w:szCs w:val="24"/>
        </w:rPr>
        <w:t>通过了经口头修正的报告草案，但有一项谅解，即</w:t>
      </w:r>
      <w:r w:rsidRPr="000C0842">
        <w:rPr>
          <w:rFonts w:eastAsia="SimSun" w:hint="eastAsia"/>
          <w:sz w:val="24"/>
          <w:szCs w:val="24"/>
        </w:rPr>
        <w:t>授权</w:t>
      </w:r>
      <w:r w:rsidRPr="000C0842">
        <w:rPr>
          <w:rFonts w:eastAsia="SimSun"/>
          <w:sz w:val="24"/>
          <w:szCs w:val="24"/>
        </w:rPr>
        <w:t>报告员</w:t>
      </w:r>
      <w:r w:rsidRPr="000C0842">
        <w:rPr>
          <w:rFonts w:eastAsia="SimSun" w:hint="eastAsia"/>
          <w:sz w:val="24"/>
          <w:szCs w:val="24"/>
        </w:rPr>
        <w:t>完成报告定稿</w:t>
      </w:r>
      <w:r w:rsidRPr="000C0842">
        <w:rPr>
          <w:rFonts w:eastAsia="SimSun"/>
          <w:sz w:val="24"/>
          <w:szCs w:val="24"/>
        </w:rPr>
        <w:t>。</w:t>
      </w:r>
    </w:p>
    <w:p w14:paraId="3F265F66" w14:textId="5A25B1B6" w:rsidR="00BE4712" w:rsidRPr="000C0842" w:rsidRDefault="00BE4712" w:rsidP="004E5EE5">
      <w:pPr>
        <w:pStyle w:val="a1"/>
        <w:ind w:left="0" w:right="0"/>
        <w:rPr>
          <w:rFonts w:hint="eastAsia"/>
          <w:bCs/>
          <w:lang w:eastAsia="zh-CN"/>
        </w:rPr>
      </w:pPr>
      <w:bookmarkStart w:id="186" w:name="_Toc206358267"/>
      <w:r w:rsidRPr="000C0842">
        <w:rPr>
          <w:lang w:eastAsia="zh-CN"/>
        </w:rPr>
        <w:t>项目</w:t>
      </w:r>
      <w:r w:rsidRPr="000C0842">
        <w:rPr>
          <w:lang w:eastAsia="zh-CN"/>
        </w:rPr>
        <w:t>31</w:t>
      </w:r>
      <w:r w:rsidRPr="000C0842">
        <w:rPr>
          <w:lang w:eastAsia="zh-CN"/>
        </w:rPr>
        <w:br/>
      </w:r>
      <w:r w:rsidRPr="000C0842">
        <w:rPr>
          <w:lang w:eastAsia="zh-CN"/>
        </w:rPr>
        <w:t>会议闭幕</w:t>
      </w:r>
      <w:bookmarkEnd w:id="186"/>
    </w:p>
    <w:p w14:paraId="65A6F868" w14:textId="1619B100" w:rsidR="00A627F9" w:rsidRPr="000C0842"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kern w:val="22"/>
          <w:sz w:val="24"/>
          <w:szCs w:val="24"/>
        </w:rPr>
      </w:pPr>
      <w:r w:rsidRPr="000C0842">
        <w:rPr>
          <w:rFonts w:eastAsia="SimSun"/>
          <w:snapToGrid w:val="0"/>
          <w:kern w:val="22"/>
          <w:sz w:val="24"/>
          <w:szCs w:val="24"/>
        </w:rPr>
        <w:t>第</w:t>
      </w:r>
      <w:r w:rsidRPr="000C0842">
        <w:rPr>
          <w:rFonts w:eastAsia="SimSun"/>
          <w:snapToGrid w:val="0"/>
          <w:kern w:val="22"/>
          <w:sz w:val="24"/>
          <w:szCs w:val="24"/>
        </w:rPr>
        <w:t>5</w:t>
      </w:r>
      <w:r w:rsidR="0036771E" w:rsidRPr="000C0842">
        <w:rPr>
          <w:rFonts w:eastAsia="SimSun" w:hint="eastAsia"/>
          <w:snapToGrid w:val="0"/>
          <w:kern w:val="22"/>
          <w:sz w:val="24"/>
          <w:szCs w:val="24"/>
        </w:rPr>
        <w:t>场</w:t>
      </w:r>
      <w:r w:rsidRPr="000C0842">
        <w:rPr>
          <w:rFonts w:eastAsia="SimSun"/>
          <w:snapToGrid w:val="0"/>
          <w:kern w:val="22"/>
          <w:sz w:val="24"/>
          <w:szCs w:val="24"/>
        </w:rPr>
        <w:t>全体会议根据巴拿马代表的要求进行了唱名表决，以核实出席的缔约方数目并确定是否仍可根据议事规则第</w:t>
      </w:r>
      <w:r w:rsidRPr="000C0842">
        <w:rPr>
          <w:rFonts w:eastAsia="SimSun"/>
          <w:snapToGrid w:val="0"/>
          <w:kern w:val="22"/>
          <w:sz w:val="24"/>
          <w:szCs w:val="24"/>
        </w:rPr>
        <w:t>30</w:t>
      </w:r>
      <w:r w:rsidRPr="000C0842">
        <w:rPr>
          <w:rFonts w:eastAsia="SimSun"/>
          <w:snapToGrid w:val="0"/>
          <w:kern w:val="22"/>
          <w:sz w:val="24"/>
          <w:szCs w:val="24"/>
        </w:rPr>
        <w:t>条作出决定。由于未达到法定人数，主席提议暂停会议。</w:t>
      </w:r>
    </w:p>
    <w:p w14:paraId="24D86D1E" w14:textId="2281B91B" w:rsidR="00A627F9" w:rsidRPr="000C0842"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kern w:val="22"/>
          <w:sz w:val="24"/>
          <w:szCs w:val="24"/>
        </w:rPr>
      </w:pPr>
      <w:r w:rsidRPr="000C0842">
        <w:rPr>
          <w:rFonts w:eastAsia="SimSun"/>
          <w:snapToGrid w:val="0"/>
          <w:kern w:val="22"/>
          <w:sz w:val="24"/>
          <w:szCs w:val="24"/>
        </w:rPr>
        <w:t>主席随后于</w:t>
      </w:r>
      <w:r w:rsidRPr="000C0842">
        <w:rPr>
          <w:rFonts w:eastAsia="SimSun"/>
          <w:snapToGrid w:val="0"/>
          <w:kern w:val="22"/>
          <w:sz w:val="24"/>
          <w:szCs w:val="24"/>
        </w:rPr>
        <w:t>2024</w:t>
      </w:r>
      <w:r w:rsidRPr="000C0842">
        <w:rPr>
          <w:rFonts w:eastAsia="SimSun"/>
          <w:snapToGrid w:val="0"/>
          <w:kern w:val="22"/>
          <w:sz w:val="24"/>
          <w:szCs w:val="24"/>
        </w:rPr>
        <w:t>年</w:t>
      </w:r>
      <w:r w:rsidRPr="000C0842">
        <w:rPr>
          <w:rFonts w:eastAsia="SimSun"/>
          <w:snapToGrid w:val="0"/>
          <w:kern w:val="22"/>
          <w:sz w:val="24"/>
          <w:szCs w:val="24"/>
        </w:rPr>
        <w:t>11</w:t>
      </w:r>
      <w:r w:rsidRPr="000C0842">
        <w:rPr>
          <w:rFonts w:eastAsia="SimSun"/>
          <w:snapToGrid w:val="0"/>
          <w:kern w:val="22"/>
          <w:sz w:val="24"/>
          <w:szCs w:val="24"/>
        </w:rPr>
        <w:t>月</w:t>
      </w:r>
      <w:r w:rsidRPr="000C0842">
        <w:rPr>
          <w:rFonts w:eastAsia="SimSun"/>
          <w:snapToGrid w:val="0"/>
          <w:kern w:val="22"/>
          <w:sz w:val="24"/>
          <w:szCs w:val="24"/>
        </w:rPr>
        <w:t>2</w:t>
      </w:r>
      <w:r w:rsidRPr="000C0842">
        <w:rPr>
          <w:rFonts w:eastAsia="SimSun"/>
          <w:snapToGrid w:val="0"/>
          <w:kern w:val="22"/>
          <w:sz w:val="24"/>
          <w:szCs w:val="24"/>
        </w:rPr>
        <w:t>日上午</w:t>
      </w:r>
      <w:r w:rsidRPr="000C0842">
        <w:rPr>
          <w:rFonts w:eastAsia="SimSun"/>
          <w:snapToGrid w:val="0"/>
          <w:kern w:val="22"/>
          <w:sz w:val="24"/>
          <w:szCs w:val="24"/>
        </w:rPr>
        <w:t>8</w:t>
      </w:r>
      <w:r w:rsidRPr="000C0842">
        <w:rPr>
          <w:rFonts w:eastAsia="SimSun"/>
          <w:snapToGrid w:val="0"/>
          <w:kern w:val="22"/>
          <w:sz w:val="24"/>
          <w:szCs w:val="24"/>
        </w:rPr>
        <w:t>时</w:t>
      </w:r>
      <w:r w:rsidRPr="000C0842">
        <w:rPr>
          <w:rFonts w:eastAsia="SimSun"/>
          <w:snapToGrid w:val="0"/>
          <w:kern w:val="22"/>
          <w:sz w:val="24"/>
          <w:szCs w:val="24"/>
        </w:rPr>
        <w:t>30</w:t>
      </w:r>
      <w:r w:rsidRPr="000C0842">
        <w:rPr>
          <w:rFonts w:eastAsia="SimSun"/>
          <w:snapToGrid w:val="0"/>
          <w:kern w:val="22"/>
          <w:sz w:val="24"/>
          <w:szCs w:val="24"/>
        </w:rPr>
        <w:t>分宣布会议暂停。</w:t>
      </w:r>
    </w:p>
    <w:p w14:paraId="51FA3F7F" w14:textId="528CE113" w:rsidR="009C4166" w:rsidRPr="000C0842" w:rsidRDefault="009C4166" w:rsidP="009C4166">
      <w:pPr>
        <w:pStyle w:val="ListParagraph"/>
        <w:numPr>
          <w:ilvl w:val="0"/>
          <w:numId w:val="0"/>
        </w:numPr>
        <w:tabs>
          <w:tab w:val="clear" w:pos="567"/>
          <w:tab w:val="clear" w:pos="1134"/>
          <w:tab w:val="clear" w:pos="1701"/>
          <w:tab w:val="clear" w:pos="2268"/>
          <w:tab w:val="left" w:pos="1080"/>
        </w:tabs>
        <w:spacing w:before="120" w:after="120"/>
        <w:ind w:left="490"/>
        <w:contextualSpacing w:val="0"/>
        <w:rPr>
          <w:rFonts w:eastAsia="KaiTi"/>
          <w:snapToGrid w:val="0"/>
          <w:kern w:val="22"/>
          <w:sz w:val="24"/>
          <w:szCs w:val="24"/>
        </w:rPr>
      </w:pPr>
      <w:r w:rsidRPr="000C0842">
        <w:rPr>
          <w:rFonts w:eastAsia="KaiTi" w:hint="eastAsia"/>
          <w:snapToGrid w:val="0"/>
          <w:kern w:val="22"/>
          <w:sz w:val="24"/>
          <w:szCs w:val="24"/>
        </w:rPr>
        <w:t>第二次续会</w:t>
      </w:r>
    </w:p>
    <w:p w14:paraId="3E269B67" w14:textId="45C885BC" w:rsidR="00BE4712" w:rsidRPr="000C0842" w:rsidRDefault="009C416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b/>
          <w:sz w:val="24"/>
          <w:szCs w:val="24"/>
        </w:rPr>
      </w:pPr>
      <w:r w:rsidRPr="000C0842">
        <w:rPr>
          <w:rFonts w:eastAsia="SimSun"/>
          <w:sz w:val="24"/>
          <w:szCs w:val="24"/>
        </w:rPr>
        <w:t>在按惯例互致敬意后，会议于</w:t>
      </w:r>
      <w:r w:rsidRPr="000C0842">
        <w:rPr>
          <w:rFonts w:eastAsia="SimSun"/>
          <w:sz w:val="24"/>
          <w:szCs w:val="24"/>
        </w:rPr>
        <w:t>2025</w:t>
      </w:r>
      <w:r w:rsidRPr="000C0842">
        <w:rPr>
          <w:rFonts w:eastAsia="SimSun"/>
          <w:sz w:val="24"/>
          <w:szCs w:val="24"/>
        </w:rPr>
        <w:t>年</w:t>
      </w:r>
      <w:r w:rsidRPr="000C0842">
        <w:rPr>
          <w:rFonts w:eastAsia="SimSun"/>
          <w:sz w:val="24"/>
          <w:szCs w:val="24"/>
        </w:rPr>
        <w:t>2</w:t>
      </w:r>
      <w:r w:rsidRPr="000C0842">
        <w:rPr>
          <w:rFonts w:eastAsia="SimSun"/>
          <w:sz w:val="24"/>
          <w:szCs w:val="24"/>
        </w:rPr>
        <w:t>月</w:t>
      </w:r>
      <w:r w:rsidRPr="000C0842">
        <w:rPr>
          <w:rFonts w:eastAsia="SimSun"/>
          <w:sz w:val="24"/>
          <w:szCs w:val="24"/>
        </w:rPr>
        <w:t>28</w:t>
      </w:r>
      <w:r w:rsidRPr="000C0842">
        <w:rPr>
          <w:rFonts w:eastAsia="SimSun"/>
          <w:sz w:val="24"/>
          <w:szCs w:val="24"/>
        </w:rPr>
        <w:t>日凌晨</w:t>
      </w:r>
      <w:r w:rsidRPr="000C0842">
        <w:rPr>
          <w:rFonts w:eastAsia="SimSun"/>
          <w:sz w:val="24"/>
          <w:szCs w:val="24"/>
        </w:rPr>
        <w:t>1</w:t>
      </w:r>
      <w:r w:rsidRPr="000C0842">
        <w:rPr>
          <w:rFonts w:eastAsia="SimSun"/>
          <w:sz w:val="24"/>
          <w:szCs w:val="24"/>
        </w:rPr>
        <w:t>时</w:t>
      </w:r>
      <w:r w:rsidRPr="000C0842">
        <w:rPr>
          <w:rFonts w:eastAsia="SimSun"/>
          <w:sz w:val="24"/>
          <w:szCs w:val="24"/>
        </w:rPr>
        <w:t>40</w:t>
      </w:r>
      <w:r w:rsidRPr="000C0842">
        <w:rPr>
          <w:rFonts w:eastAsia="SimSun"/>
          <w:sz w:val="24"/>
          <w:szCs w:val="24"/>
        </w:rPr>
        <w:t>分宣布闭幕。</w:t>
      </w:r>
    </w:p>
    <w:p w14:paraId="5890AC7E" w14:textId="77777777" w:rsidR="004E5EE5" w:rsidRPr="000C0842" w:rsidRDefault="004E5EE5" w:rsidP="00B85B09">
      <w:pPr>
        <w:jc w:val="center"/>
      </w:pPr>
    </w:p>
    <w:p w14:paraId="749A8E75" w14:textId="77777777" w:rsidR="002A2D39" w:rsidRPr="000C0842" w:rsidRDefault="002A2D39" w:rsidP="002A2D39">
      <w:pPr>
        <w:suppressLineNumbers/>
        <w:suppressAutoHyphens/>
        <w:jc w:val="center"/>
        <w:rPr>
          <w:sz w:val="24"/>
          <w:szCs w:val="24"/>
        </w:rPr>
      </w:pPr>
      <w:r w:rsidRPr="000C0842">
        <w:rPr>
          <w:kern w:val="22"/>
          <w:sz w:val="24"/>
          <w:szCs w:val="24"/>
        </w:rPr>
        <w:t>__________</w:t>
      </w:r>
    </w:p>
    <w:p w14:paraId="1AFFF5FC" w14:textId="77777777" w:rsidR="00BE4712" w:rsidRPr="000C0842" w:rsidRDefault="00BE4712" w:rsidP="00B85B09">
      <w:pPr>
        <w:tabs>
          <w:tab w:val="clear" w:pos="567"/>
          <w:tab w:val="clear" w:pos="1134"/>
          <w:tab w:val="clear" w:pos="1701"/>
          <w:tab w:val="clear" w:pos="2268"/>
        </w:tabs>
        <w:spacing w:line="276" w:lineRule="auto"/>
        <w:ind w:left="490"/>
        <w:jc w:val="left"/>
        <w:rPr>
          <w:sz w:val="24"/>
        </w:rPr>
      </w:pPr>
    </w:p>
    <w:p w14:paraId="688C84AF" w14:textId="77777777" w:rsidR="00BE4712" w:rsidRPr="000C0842" w:rsidRDefault="00BE4712" w:rsidP="0058717B">
      <w:pPr>
        <w:tabs>
          <w:tab w:val="clear" w:pos="567"/>
          <w:tab w:val="clear" w:pos="1134"/>
          <w:tab w:val="clear" w:pos="1701"/>
          <w:tab w:val="clear" w:pos="2268"/>
        </w:tabs>
        <w:spacing w:line="276" w:lineRule="auto"/>
        <w:ind w:left="490"/>
        <w:jc w:val="center"/>
        <w:rPr>
          <w:sz w:val="24"/>
        </w:rPr>
      </w:pPr>
    </w:p>
    <w:sectPr w:rsidR="00BE4712" w:rsidRPr="000C0842" w:rsidSect="00D35C99">
      <w:headerReference w:type="even" r:id="rId428"/>
      <w:headerReference w:type="default" r:id="rId429"/>
      <w:footerReference w:type="even" r:id="rId430"/>
      <w:footerReference w:type="default" r:id="rId431"/>
      <w:headerReference w:type="first" r:id="rId43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1313E" w14:textId="77777777" w:rsidR="004552DC" w:rsidRDefault="004552DC" w:rsidP="00A96B21">
      <w:r>
        <w:separator/>
      </w:r>
    </w:p>
  </w:endnote>
  <w:endnote w:type="continuationSeparator" w:id="0">
    <w:p w14:paraId="03A690CA" w14:textId="77777777" w:rsidR="004552DC" w:rsidRDefault="004552DC" w:rsidP="00A96B21">
      <w:r>
        <w:continuationSeparator/>
      </w:r>
    </w:p>
  </w:endnote>
  <w:endnote w:type="continuationNotice" w:id="1">
    <w:p w14:paraId="203DF6C5" w14:textId="77777777" w:rsidR="004552DC" w:rsidRDefault="004552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D14094D-BD34-40D1-90AF-272A76E01538}"/>
    <w:embedBold r:id="rId2" w:fontKey="{BE076A50-D137-4794-A595-4D082F59B5DE}"/>
    <w:embedItalic r:id="rId3" w:fontKey="{CF6FBBB1-1BFB-4D3A-B7C8-F00C5654BE69}"/>
    <w:embedBoldItalic r:id="rId4" w:fontKey="{A865FF65-668D-465C-A00A-32CD075065E5}"/>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embedRegular r:id="rId5" w:fontKey="{1CD3B239-13F9-4176-8589-39F9B9861B53}"/>
  </w:font>
  <w:font w:name="Courier New">
    <w:panose1 w:val="02070309020205020404"/>
    <w:charset w:val="00"/>
    <w:family w:val="modern"/>
    <w:pitch w:val="fixed"/>
    <w:sig w:usb0="E0002EFF" w:usb1="C0007843" w:usb2="00000009" w:usb3="00000000" w:csb0="000001FF" w:csb1="00000000"/>
    <w:embedRegular r:id="rId6" w:fontKey="{9B7CCC5E-DC38-413D-8A5B-145D3E63B82C}"/>
  </w:font>
  <w:font w:name="Wingdings">
    <w:panose1 w:val="05000000000000000000"/>
    <w:charset w:val="02"/>
    <w:family w:val="auto"/>
    <w:pitch w:val="variable"/>
    <w:sig w:usb0="00000000" w:usb1="10000000" w:usb2="00000000" w:usb3="00000000" w:csb0="80000000" w:csb1="00000000"/>
    <w:embedRegular r:id="rId7" w:fontKey="{52CB21FB-637F-4F02-ABED-B2C85012E2D9}"/>
  </w:font>
  <w:font w:name="SimSun">
    <w:altName w:val="宋体"/>
    <w:panose1 w:val="02010600030101010101"/>
    <w:charset w:val="86"/>
    <w:family w:val="auto"/>
    <w:pitch w:val="variable"/>
    <w:sig w:usb0="00000203" w:usb1="288F0000" w:usb2="00000016" w:usb3="00000000" w:csb0="00040001" w:csb1="00000000"/>
    <w:embedRegular r:id="rId8" w:subsetted="1" w:fontKey="{A138DB80-1DF8-4D76-90E0-F421D68803F6}"/>
    <w:embedBold r:id="rId9" w:subsetted="1" w:fontKey="{A2FC2CE5-6688-4543-9B51-9298E299AB8B}"/>
    <w:embedItalic r:id="rId10" w:subsetted="1" w:fontKey="{444F6AD7-2F40-4566-89CD-30F28AFBE480}"/>
  </w:font>
  <w:font w:name="Cambria">
    <w:panose1 w:val="02040503050406030204"/>
    <w:charset w:val="00"/>
    <w:family w:val="roman"/>
    <w:pitch w:val="variable"/>
    <w:sig w:usb0="E00006FF" w:usb1="420024FF" w:usb2="02000000" w:usb3="00000000" w:csb0="0000019F" w:csb1="00000000"/>
    <w:embedRegular r:id="rId11" w:fontKey="{7973377A-55B1-40E0-82A4-662A00BA2174}"/>
    <w:embedBold r:id="rId12" w:fontKey="{976EC2D6-B225-4DBC-91DD-471A33C269AE}"/>
    <w:embedItalic r:id="rId13" w:fontKey="{7074726F-1C22-48C9-BBC7-700E6A96A8D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4" w:fontKey="{D00FBB49-10DA-462A-BC1A-358D17AE071F}"/>
    <w:embedBold r:id="rId15" w:fontKey="{B0F11354-E1A8-412D-947B-46BC4C6F8976}"/>
    <w:embedItalic r:id="rId16" w:fontKey="{143CF639-A8BF-4027-9CB6-3F178D012862}"/>
    <w:embedBoldItalic r:id="rId17" w:fontKey="{AE159902-FD4E-4B7F-9866-4938AA0E3EDD}"/>
  </w:font>
  <w:font w:name="DengXian">
    <w:panose1 w:val="02010600030101010101"/>
    <w:charset w:val="86"/>
    <w:family w:val="auto"/>
    <w:pitch w:val="variable"/>
    <w:sig w:usb0="A00002BF" w:usb1="38CF7CFA" w:usb2="00000016" w:usb3="00000000" w:csb0="0004000F" w:csb1="00000000"/>
    <w:embedRegular r:id="rId18" w:subsetted="1" w:fontKey="{15160D0E-BB2B-4123-8D33-F4BAB45744F5}"/>
    <w:embedBold r:id="rId19" w:subsetted="1" w:fontKey="{70BC3362-EE1F-4866-84CF-6B14A2B5558A}"/>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20" w:fontKey="{2703EEA0-D040-424E-8B07-C8D84CD7058D}"/>
    <w:embedItalic r:id="rId21" w:fontKey="{87410543-2F82-4905-B0DB-49A5C4664CE7}"/>
  </w:font>
  <w:font w:name="Arial">
    <w:panose1 w:val="020B0604020202020204"/>
    <w:charset w:val="00"/>
    <w:family w:val="swiss"/>
    <w:pitch w:val="variable"/>
    <w:sig w:usb0="E0002EFF" w:usb1="C000785B" w:usb2="00000009" w:usb3="00000000" w:csb0="000001FF" w:csb1="00000000"/>
    <w:embedRegular r:id="rId22" w:fontKey="{F34C6CA2-DEBB-40B0-A2D2-BF0E66E8F1EE}"/>
    <w:embedBold r:id="rId23" w:fontKey="{5F29CBAB-0B5E-4964-91C3-CFA4230089E1}"/>
    <w:embedItalic r:id="rId24" w:fontKey="{CD63DDA2-2C8C-4EB9-A27E-E6BA8DAED140}"/>
    <w:embedBoldItalic r:id="rId25" w:fontKey="{88B1825D-285D-482B-B2C1-F3FD5FF2EB95}"/>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embedRegular r:id="rId26" w:fontKey="{1C4CD1A0-4200-4CAE-8B32-3B866112913D}"/>
    <w:embedItalic r:id="rId27" w:fontKey="{ED4D317F-2603-4592-B3BF-C647F0855FDD}"/>
  </w:font>
  <w:font w:name="Tahoma">
    <w:panose1 w:val="020B0604030504040204"/>
    <w:charset w:val="00"/>
    <w:family w:val="swiss"/>
    <w:pitch w:val="variable"/>
    <w:sig w:usb0="E1002EFF" w:usb1="C000605B" w:usb2="00000029" w:usb3="00000000" w:csb0="000101FF" w:csb1="00000000"/>
    <w:embedRegular r:id="rId28" w:fontKey="{44C92037-E1EB-41DE-8584-A10D54CAAEF5}"/>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embedRegular r:id="rId29" w:fontKey="{29FC86B3-C92F-4778-8627-D9BDF64546F8}"/>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embedRegular r:id="rId30" w:subsetted="1" w:fontKey="{998D42DF-86FE-488B-8640-05263DF1854E}"/>
  </w:font>
  <w:font w:name="Consolas">
    <w:panose1 w:val="020B0609020204030204"/>
    <w:charset w:val="00"/>
    <w:family w:val="modern"/>
    <w:pitch w:val="fixed"/>
    <w:sig w:usb0="E00006FF" w:usb1="0000FCFF" w:usb2="00000001" w:usb3="00000000" w:csb0="0000019F" w:csb1="00000000"/>
    <w:embedRegular r:id="rId31" w:fontKey="{615817BC-4F0A-48CE-886B-7DED5F2235E6}"/>
  </w:font>
  <w:font w:name="HelveticaNeueLT Std Lt">
    <w:altName w:val="Cambria"/>
    <w:panose1 w:val="00000000000000000000"/>
    <w:charset w:val="00"/>
    <w:family w:val="swiss"/>
    <w:notTrueType/>
    <w:pitch w:val="default"/>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embedRegular r:id="rId32" w:subsetted="1" w:fontKey="{AAEFFABF-4099-4264-B218-F93D347E0823}"/>
  </w:font>
  <w:font w:name="KaiTi">
    <w:charset w:val="86"/>
    <w:family w:val="modern"/>
    <w:pitch w:val="fixed"/>
    <w:sig w:usb0="800002BF" w:usb1="38CF7CFA" w:usb2="00000016" w:usb3="00000000" w:csb0="00040001" w:csb1="00000000"/>
    <w:embedRegular r:id="rId33" w:subsetted="1" w:fontKey="{20E87F7A-B7FB-426C-B99D-0936BDD20EAB}"/>
    <w:embedBold r:id="rId34" w:subsetted="1" w:fontKey="{34FAB39A-B182-4EA8-B16B-5346CF0293CC}"/>
  </w:font>
  <w:font w:name="STKaiti">
    <w:altName w:val="华文楷体"/>
    <w:panose1 w:val="02010600040101010101"/>
    <w:charset w:val="86"/>
    <w:family w:val="auto"/>
    <w:pitch w:val="variable"/>
    <w:sig w:usb0="00000287" w:usb1="080F0000" w:usb2="00000010" w:usb3="00000000" w:csb0="0004009F" w:csb1="00000000"/>
    <w:embedRegular r:id="rId35" w:subsetted="1" w:fontKey="{114C5455-B2E6-47C1-B985-FD8B42ED4567}"/>
  </w:font>
  <w:font w:name="Gungsuh">
    <w:charset w:val="81"/>
    <w:family w:val="roman"/>
    <w:pitch w:val="variable"/>
    <w:sig w:usb0="B00002AF" w:usb1="69D77CFB" w:usb2="00000030" w:usb3="00000000" w:csb0="0008009F" w:csb1="00000000"/>
  </w:font>
  <w:font w:name="Microsoft YaHei">
    <w:altName w:val="微软雅黑"/>
    <w:panose1 w:val="020B0503020204020204"/>
    <w:charset w:val="86"/>
    <w:family w:val="swiss"/>
    <w:pitch w:val="variable"/>
    <w:sig w:usb0="80000287" w:usb1="2ACF3C50" w:usb2="00000016" w:usb3="00000000" w:csb0="0004001F" w:csb1="00000000"/>
    <w:embedRegular r:id="rId36" w:subsetted="1" w:fontKey="{51C0785D-5FDA-4A64-AE48-AFEECDCF6FB6}"/>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37" w:fontKey="{24461D05-21CB-43BC-A323-2497BE3C6F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378C" w14:textId="77777777" w:rsidR="006D5DBD" w:rsidRDefault="006D5DBD">
    <w:pPr>
      <w:pStyle w:val="Footer"/>
    </w:pPr>
    <w:r>
      <w:fldChar w:fldCharType="begin"/>
    </w:r>
    <w:r>
      <w:instrText xml:space="preserve"> PAGE </w:instrText>
    </w:r>
    <w:r>
      <w:fldChar w:fldCharType="separate"/>
    </w:r>
    <w:r>
      <w:t>16</w:t>
    </w:r>
    <w:r>
      <w:fldChar w:fldCharType="end"/>
    </w:r>
    <w:r>
      <w:t>/</w:t>
    </w:r>
    <w:fldSimple w:instr=" NUMPAGES  ">
      <w:r>
        <w:t>16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A0A4" w14:textId="77777777" w:rsidR="006D5DBD" w:rsidRDefault="006D5DBD">
    <w:pPr>
      <w:pStyle w:val="Footer"/>
      <w:jc w:val="right"/>
    </w:pPr>
    <w:r>
      <w:fldChar w:fldCharType="begin"/>
    </w:r>
    <w:r>
      <w:instrText xml:space="preserve"> PAGE </w:instrText>
    </w:r>
    <w:r>
      <w:fldChar w:fldCharType="separate"/>
    </w:r>
    <w:r>
      <w:t>15</w:t>
    </w:r>
    <w:r>
      <w:fldChar w:fldCharType="end"/>
    </w:r>
    <w:r>
      <w:t>/</w:t>
    </w:r>
    <w:fldSimple w:instr=" NUMPAGES  ">
      <w:r>
        <w:t>16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7C7F" w14:textId="77777777" w:rsidR="00382AC2" w:rsidRPr="002251F8" w:rsidRDefault="00382AC2">
    <w:pPr>
      <w:pStyle w:val="Footer"/>
      <w:ind w:right="360"/>
      <w:rPr>
        <w:sz w:val="24"/>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EDB0" w14:textId="77777777" w:rsidR="00382AC2" w:rsidRPr="002251F8" w:rsidRDefault="00382AC2" w:rsidP="009A429E">
    <w:pPr>
      <w:pStyle w:val="Footer"/>
      <w:ind w:right="360"/>
      <w:jc w:val="right"/>
      <w:rPr>
        <w:sz w:val="24"/>
      </w:rPr>
    </w:pPr>
    <w:r w:rsidRPr="002B559C">
      <w:rPr>
        <w:szCs w:val="20"/>
      </w:rPr>
      <w:fldChar w:fldCharType="begin"/>
    </w:r>
    <w:r w:rsidRPr="002B559C">
      <w:rPr>
        <w:szCs w:val="20"/>
      </w:rPr>
      <w:instrText xml:space="preserve"> PAGE </w:instrText>
    </w:r>
    <w:r w:rsidRPr="002B559C">
      <w:rPr>
        <w:szCs w:val="20"/>
      </w:rPr>
      <w:fldChar w:fldCharType="separate"/>
    </w:r>
    <w:r>
      <w:rPr>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22</w:t>
    </w:r>
    <w:r w:rsidRPr="002B559C">
      <w:rPr>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F5B3EF" w14:textId="77777777" w:rsidR="004C57B0" w:rsidRDefault="004C57B0">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D5F7E90" w14:textId="77777777" w:rsidR="004C57B0" w:rsidRDefault="004C57B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BB6B" w14:textId="77777777" w:rsidR="00BE4712" w:rsidRDefault="00BE4712">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41995">
      <w:rPr>
        <w:szCs w:val="20"/>
      </w:rPr>
      <w:t>14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41995">
      <w:rPr>
        <w:szCs w:val="20"/>
      </w:rPr>
      <w:t>32</w:t>
    </w:r>
    <w:r w:rsidRPr="002B559C">
      <w:rPr>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A561" w14:textId="77777777" w:rsidR="00BE4712" w:rsidRDefault="00BE471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C5790">
      <w:rPr>
        <w:szCs w:val="20"/>
      </w:rPr>
      <w:t>13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C5790">
      <w:rPr>
        <w:szCs w:val="20"/>
      </w:rPr>
      <w:t>32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AEA09" w14:textId="77777777" w:rsidR="004552DC" w:rsidRDefault="004552DC" w:rsidP="00A96B21">
      <w:r>
        <w:separator/>
      </w:r>
    </w:p>
  </w:footnote>
  <w:footnote w:type="continuationSeparator" w:id="0">
    <w:p w14:paraId="46B3D1AA" w14:textId="77777777" w:rsidR="004552DC" w:rsidRDefault="004552DC" w:rsidP="00A96B21">
      <w:r>
        <w:continuationSeparator/>
      </w:r>
    </w:p>
  </w:footnote>
  <w:footnote w:type="continuationNotice" w:id="1">
    <w:p w14:paraId="5AB30CB4" w14:textId="77777777" w:rsidR="004552DC" w:rsidRDefault="004552DC"/>
  </w:footnote>
  <w:footnote w:id="2">
    <w:p w14:paraId="1D9F641D" w14:textId="77777777" w:rsidR="00184519" w:rsidRPr="0075435C" w:rsidRDefault="00184519" w:rsidP="0011188E">
      <w:pPr>
        <w:pStyle w:val="FootnoteText"/>
        <w:spacing w:after="60" w:line="240" w:lineRule="atLeast"/>
        <w:rPr>
          <w:rFonts w:eastAsia="SimSun"/>
          <w:sz w:val="20"/>
        </w:rPr>
      </w:pPr>
      <w:r w:rsidRPr="0075435C">
        <w:rPr>
          <w:rStyle w:val="FootnoteReference"/>
          <w:rFonts w:eastAsia="SimSun"/>
          <w:sz w:val="20"/>
        </w:rPr>
        <w:footnoteRef/>
      </w:r>
      <w:r w:rsidRPr="0075435C">
        <w:rPr>
          <w:rFonts w:eastAsia="SimSun"/>
          <w:sz w:val="20"/>
        </w:rPr>
        <w:t xml:space="preserve">  </w:t>
      </w:r>
      <w:r w:rsidRPr="0075435C">
        <w:rPr>
          <w:rFonts w:eastAsia="SimSun"/>
          <w:sz w:val="20"/>
        </w:rPr>
        <w:t>第</w:t>
      </w:r>
      <w:r w:rsidRPr="0075435C">
        <w:rPr>
          <w:rFonts w:eastAsia="SimSun"/>
          <w:sz w:val="20"/>
        </w:rPr>
        <w:t>15/4</w:t>
      </w:r>
      <w:r w:rsidRPr="0075435C">
        <w:rPr>
          <w:rFonts w:eastAsia="SimSun"/>
          <w:sz w:val="20"/>
        </w:rPr>
        <w:t>号决定，附件。</w:t>
      </w:r>
    </w:p>
  </w:footnote>
  <w:footnote w:id="3">
    <w:p w14:paraId="06D05EF7" w14:textId="77777777" w:rsidR="00184519" w:rsidRPr="0076638B" w:rsidRDefault="00184519" w:rsidP="0011188E">
      <w:pPr>
        <w:pStyle w:val="FootnoteText"/>
        <w:spacing w:after="60" w:line="240" w:lineRule="atLeast"/>
        <w:rPr>
          <w:sz w:val="20"/>
        </w:rPr>
      </w:pPr>
      <w:r w:rsidRPr="0075435C">
        <w:rPr>
          <w:rStyle w:val="FootnoteReference"/>
          <w:rFonts w:eastAsia="SimSun"/>
          <w:sz w:val="20"/>
        </w:rPr>
        <w:footnoteRef/>
      </w:r>
      <w:r w:rsidRPr="0075435C">
        <w:rPr>
          <w:rFonts w:eastAsia="SimSun"/>
          <w:sz w:val="20"/>
        </w:rPr>
        <w:t xml:space="preserve">  </w:t>
      </w:r>
      <w:r w:rsidRPr="0075435C">
        <w:rPr>
          <w:rFonts w:eastAsia="SimSun"/>
          <w:sz w:val="20"/>
        </w:rPr>
        <w:t>联合国，《条约汇编》，第</w:t>
      </w:r>
      <w:r w:rsidRPr="0075435C">
        <w:rPr>
          <w:rFonts w:eastAsia="SimSun"/>
          <w:sz w:val="20"/>
        </w:rPr>
        <w:t>1760</w:t>
      </w:r>
      <w:r w:rsidRPr="0075435C">
        <w:rPr>
          <w:rFonts w:eastAsia="SimSun"/>
          <w:sz w:val="20"/>
        </w:rPr>
        <w:t>卷，第</w:t>
      </w:r>
      <w:r w:rsidRPr="0075435C">
        <w:rPr>
          <w:rFonts w:eastAsia="SimSun"/>
          <w:sz w:val="20"/>
        </w:rPr>
        <w:t>30619</w:t>
      </w:r>
      <w:r w:rsidRPr="0075435C">
        <w:rPr>
          <w:rFonts w:eastAsia="SimSun"/>
          <w:sz w:val="20"/>
        </w:rPr>
        <w:t>号。</w:t>
      </w:r>
    </w:p>
  </w:footnote>
  <w:footnote w:id="4">
    <w:p w14:paraId="0C081E9B" w14:textId="6249ACE3" w:rsidR="00184519" w:rsidRPr="004D457F" w:rsidRDefault="00184519" w:rsidP="0003079B">
      <w:pPr>
        <w:pStyle w:val="CBDFootnoteText"/>
        <w:spacing w:after="6"/>
        <w:rPr>
          <w:rFonts w:eastAsia="SimSun"/>
          <w:sz w:val="20"/>
          <w:szCs w:val="20"/>
          <w:lang w:eastAsia="zh-CN"/>
        </w:rPr>
      </w:pPr>
      <w:r w:rsidRPr="004D457F">
        <w:rPr>
          <w:rStyle w:val="FootnoteReference"/>
          <w:rFonts w:eastAsia="SimSun"/>
          <w:sz w:val="20"/>
          <w:szCs w:val="20"/>
          <w:lang w:eastAsia="zh-CN"/>
        </w:rPr>
        <w:footnoteRef/>
      </w:r>
      <w:r w:rsidR="001C7F7E" w:rsidRPr="004D457F">
        <w:rPr>
          <w:rFonts w:eastAsia="SimSun"/>
          <w:sz w:val="20"/>
          <w:szCs w:val="20"/>
          <w:lang w:eastAsia="zh-CN"/>
        </w:rPr>
        <w:t xml:space="preserve"> </w:t>
      </w:r>
      <w:r w:rsidRPr="004D457F">
        <w:rPr>
          <w:rFonts w:eastAsia="SimSun"/>
          <w:sz w:val="20"/>
          <w:szCs w:val="20"/>
          <w:lang w:eastAsia="zh-CN"/>
        </w:rPr>
        <w:t xml:space="preserve"> </w:t>
      </w:r>
      <w:r w:rsidRPr="004D457F">
        <w:rPr>
          <w:rFonts w:eastAsia="SimSun"/>
          <w:sz w:val="20"/>
          <w:szCs w:val="20"/>
          <w:lang w:eastAsia="zh-CN"/>
        </w:rPr>
        <w:t>联合国，《条约汇编》，第</w:t>
      </w:r>
      <w:r w:rsidRPr="004D457F">
        <w:rPr>
          <w:rFonts w:eastAsia="SimSun"/>
          <w:sz w:val="20"/>
          <w:szCs w:val="20"/>
          <w:lang w:eastAsia="zh-CN"/>
        </w:rPr>
        <w:t>2400</w:t>
      </w:r>
      <w:r w:rsidRPr="004D457F">
        <w:rPr>
          <w:rFonts w:eastAsia="SimSun"/>
          <w:sz w:val="20"/>
          <w:szCs w:val="20"/>
          <w:lang w:eastAsia="zh-CN"/>
        </w:rPr>
        <w:t>卷，第</w:t>
      </w:r>
      <w:r w:rsidRPr="004D457F">
        <w:rPr>
          <w:rFonts w:eastAsia="SimSun"/>
          <w:sz w:val="20"/>
          <w:szCs w:val="20"/>
          <w:lang w:eastAsia="zh-CN"/>
        </w:rPr>
        <w:t>43345</w:t>
      </w:r>
      <w:r w:rsidRPr="004D457F">
        <w:rPr>
          <w:rFonts w:eastAsia="SimSun"/>
          <w:sz w:val="20"/>
          <w:szCs w:val="20"/>
          <w:lang w:eastAsia="zh-CN"/>
        </w:rPr>
        <w:t>号。</w:t>
      </w:r>
    </w:p>
  </w:footnote>
  <w:footnote w:id="5">
    <w:p w14:paraId="2E8ADA87" w14:textId="3F7A7D12" w:rsidR="00184519" w:rsidRPr="004D457F" w:rsidRDefault="00184519" w:rsidP="0003079B">
      <w:pPr>
        <w:pStyle w:val="CBDFootnoteText"/>
        <w:spacing w:after="6"/>
        <w:rPr>
          <w:rFonts w:eastAsia="SimSun"/>
          <w:sz w:val="20"/>
          <w:szCs w:val="20"/>
          <w:lang w:eastAsia="zh-CN"/>
        </w:rPr>
      </w:pPr>
      <w:r w:rsidRPr="004D457F">
        <w:rPr>
          <w:rStyle w:val="FootnoteReference"/>
          <w:rFonts w:eastAsia="SimSun"/>
          <w:sz w:val="20"/>
          <w:szCs w:val="20"/>
          <w:lang w:eastAsia="zh-CN"/>
        </w:rPr>
        <w:footnoteRef/>
      </w:r>
      <w:r w:rsidRPr="004D457F">
        <w:rPr>
          <w:rFonts w:eastAsia="SimSun"/>
          <w:sz w:val="20"/>
          <w:szCs w:val="20"/>
          <w:lang w:eastAsia="zh-CN"/>
        </w:rPr>
        <w:t xml:space="preserve"> </w:t>
      </w:r>
      <w:r w:rsidR="001C7F7E" w:rsidRPr="004D457F">
        <w:rPr>
          <w:rFonts w:eastAsia="SimSun"/>
          <w:sz w:val="20"/>
          <w:szCs w:val="20"/>
          <w:lang w:eastAsia="zh-CN"/>
        </w:rPr>
        <w:t xml:space="preserve"> </w:t>
      </w:r>
      <w:r w:rsidRPr="004D457F">
        <w:rPr>
          <w:rFonts w:eastAsia="SimSun"/>
          <w:sz w:val="20"/>
          <w:szCs w:val="20"/>
          <w:lang w:eastAsia="zh-CN"/>
        </w:rPr>
        <w:t>A/CONF.232/2023/4</w:t>
      </w:r>
      <w:r w:rsidRPr="004D457F">
        <w:rPr>
          <w:rFonts w:eastAsia="SimSun"/>
          <w:sz w:val="20"/>
          <w:szCs w:val="20"/>
          <w:lang w:eastAsia="zh-CN"/>
        </w:rPr>
        <w:t>。</w:t>
      </w:r>
    </w:p>
  </w:footnote>
  <w:footnote w:id="6">
    <w:p w14:paraId="1FEE4C0E" w14:textId="591CF800" w:rsidR="00184519" w:rsidRPr="004D457F" w:rsidRDefault="00184519" w:rsidP="0003079B">
      <w:pPr>
        <w:pStyle w:val="CBDFootnoteText"/>
        <w:spacing w:after="6"/>
        <w:rPr>
          <w:rFonts w:eastAsia="SimSun"/>
          <w:lang w:eastAsia="zh-CN"/>
        </w:rPr>
      </w:pPr>
      <w:r w:rsidRPr="004D457F">
        <w:rPr>
          <w:rStyle w:val="FootnoteReference"/>
          <w:rFonts w:eastAsia="SimSun"/>
          <w:sz w:val="20"/>
          <w:szCs w:val="20"/>
          <w:lang w:eastAsia="zh-CN"/>
        </w:rPr>
        <w:footnoteRef/>
      </w:r>
      <w:r w:rsidRPr="004D457F">
        <w:rPr>
          <w:rFonts w:eastAsia="SimSun"/>
          <w:sz w:val="20"/>
          <w:szCs w:val="20"/>
          <w:lang w:eastAsia="zh-CN"/>
        </w:rPr>
        <w:t xml:space="preserve"> </w:t>
      </w:r>
      <w:r w:rsidR="001C7F7E" w:rsidRPr="004D457F">
        <w:rPr>
          <w:rFonts w:eastAsia="SimSun"/>
          <w:sz w:val="20"/>
          <w:szCs w:val="20"/>
          <w:lang w:eastAsia="zh-CN"/>
        </w:rPr>
        <w:t xml:space="preserve"> </w:t>
      </w:r>
      <w:r w:rsidRPr="004D457F">
        <w:rPr>
          <w:rFonts w:eastAsia="SimSun"/>
          <w:sz w:val="20"/>
          <w:szCs w:val="20"/>
          <w:lang w:eastAsia="zh-CN"/>
        </w:rPr>
        <w:t>第</w:t>
      </w:r>
      <w:r w:rsidRPr="004D457F">
        <w:rPr>
          <w:rFonts w:eastAsia="SimSun"/>
          <w:sz w:val="20"/>
          <w:szCs w:val="20"/>
          <w:lang w:eastAsia="zh-CN"/>
        </w:rPr>
        <w:t>15/4</w:t>
      </w:r>
      <w:r w:rsidRPr="004D457F">
        <w:rPr>
          <w:rFonts w:eastAsia="SimSun"/>
          <w:sz w:val="20"/>
          <w:szCs w:val="20"/>
          <w:lang w:eastAsia="zh-CN"/>
        </w:rPr>
        <w:t>号决定，附件。</w:t>
      </w:r>
      <w:r w:rsidRPr="004D457F">
        <w:rPr>
          <w:rFonts w:eastAsia="SimSun"/>
          <w:sz w:val="20"/>
          <w:szCs w:val="20"/>
          <w:lang w:eastAsia="zh-CN"/>
        </w:rPr>
        <w:t xml:space="preserve"> </w:t>
      </w:r>
    </w:p>
  </w:footnote>
  <w:footnote w:id="7">
    <w:p w14:paraId="13E874DA" w14:textId="4762F762" w:rsidR="00184519" w:rsidRPr="00BA6ECA" w:rsidRDefault="00184519" w:rsidP="0003079B">
      <w:pPr>
        <w:pStyle w:val="CBDFootnoteText"/>
        <w:spacing w:after="6"/>
        <w:rPr>
          <w:sz w:val="20"/>
          <w:szCs w:val="20"/>
          <w:lang w:eastAsia="zh-CN"/>
        </w:rPr>
      </w:pPr>
      <w:r w:rsidRPr="004D457F">
        <w:rPr>
          <w:rStyle w:val="FootnoteReference"/>
          <w:rFonts w:eastAsia="SimSun"/>
          <w:sz w:val="20"/>
          <w:szCs w:val="20"/>
          <w:lang w:eastAsia="zh-CN"/>
        </w:rPr>
        <w:footnoteRef/>
      </w:r>
      <w:r w:rsidRPr="004D457F">
        <w:rPr>
          <w:rFonts w:eastAsia="SimSun"/>
          <w:sz w:val="20"/>
          <w:szCs w:val="20"/>
          <w:lang w:eastAsia="zh-CN"/>
        </w:rPr>
        <w:t xml:space="preserve"> </w:t>
      </w:r>
      <w:r w:rsidR="001C7F7E" w:rsidRPr="004D457F">
        <w:rPr>
          <w:rFonts w:eastAsia="SimSun"/>
          <w:sz w:val="20"/>
          <w:szCs w:val="20"/>
          <w:lang w:eastAsia="zh-CN"/>
        </w:rPr>
        <w:t xml:space="preserve"> </w:t>
      </w:r>
      <w:r w:rsidRPr="004D457F">
        <w:rPr>
          <w:rFonts w:eastAsia="SimSun"/>
          <w:sz w:val="20"/>
          <w:szCs w:val="20"/>
          <w:lang w:eastAsia="zh-CN"/>
        </w:rPr>
        <w:t>联合国大会第</w:t>
      </w:r>
      <w:r w:rsidRPr="004D457F">
        <w:rPr>
          <w:rFonts w:eastAsia="SimSun"/>
          <w:sz w:val="20"/>
          <w:szCs w:val="20"/>
          <w:lang w:eastAsia="zh-CN"/>
        </w:rPr>
        <w:t>61/295</w:t>
      </w:r>
      <w:r w:rsidRPr="004D457F">
        <w:rPr>
          <w:rFonts w:eastAsia="SimSun"/>
          <w:sz w:val="20"/>
          <w:szCs w:val="20"/>
          <w:lang w:eastAsia="zh-CN"/>
        </w:rPr>
        <w:t>号决议，附件。</w:t>
      </w:r>
    </w:p>
  </w:footnote>
  <w:footnote w:id="8">
    <w:p w14:paraId="344D29D1" w14:textId="3248633A" w:rsidR="001C7F7E" w:rsidRPr="001C7F7E" w:rsidRDefault="001C7F7E">
      <w:pPr>
        <w:pStyle w:val="FootnoteText"/>
        <w:rPr>
          <w:sz w:val="20"/>
        </w:rPr>
      </w:pPr>
      <w:r w:rsidRPr="001C7F7E">
        <w:rPr>
          <w:rStyle w:val="FootnoteReference"/>
          <w:sz w:val="20"/>
        </w:rPr>
        <w:footnoteRef/>
      </w:r>
      <w:r w:rsidRPr="001C7F7E">
        <w:rPr>
          <w:sz w:val="20"/>
        </w:rPr>
        <w:t xml:space="preserve"> </w:t>
      </w:r>
      <w:r w:rsidRPr="001C7F7E">
        <w:rPr>
          <w:rFonts w:hint="eastAsia"/>
          <w:sz w:val="20"/>
        </w:rPr>
        <w:t xml:space="preserve"> </w:t>
      </w:r>
      <w:r w:rsidRPr="001C7F7E">
        <w:rPr>
          <w:rFonts w:eastAsia="SimSun"/>
          <w:sz w:val="20"/>
        </w:rPr>
        <w:t>如本决定第</w:t>
      </w:r>
      <w:r w:rsidRPr="001C7F7E">
        <w:rPr>
          <w:rFonts w:eastAsia="SimSun"/>
          <w:sz w:val="20"/>
        </w:rPr>
        <w:t>6(d)</w:t>
      </w:r>
      <w:r w:rsidRPr="001C7F7E">
        <w:rPr>
          <w:rFonts w:eastAsia="SimSun"/>
          <w:sz w:val="20"/>
        </w:rPr>
        <w:t>和</w:t>
      </w:r>
      <w:r w:rsidRPr="001C7F7E">
        <w:rPr>
          <w:rFonts w:eastAsia="SimSun"/>
          <w:sz w:val="20"/>
        </w:rPr>
        <w:t>(e)</w:t>
      </w:r>
      <w:r w:rsidRPr="001C7F7E">
        <w:rPr>
          <w:rFonts w:eastAsia="SimSun"/>
          <w:sz w:val="20"/>
        </w:rPr>
        <w:t>段所述。</w:t>
      </w:r>
    </w:p>
  </w:footnote>
  <w:footnote w:id="9">
    <w:p w14:paraId="674ADBE0" w14:textId="3DD3C31B" w:rsidR="001C7F7E" w:rsidRPr="001C7F7E" w:rsidRDefault="001C7F7E" w:rsidP="001C7F7E">
      <w:pPr>
        <w:pStyle w:val="FootnoteText"/>
        <w:spacing w:after="6"/>
        <w:rPr>
          <w:rFonts w:eastAsia="SimSun"/>
          <w:sz w:val="20"/>
        </w:rPr>
      </w:pPr>
      <w:r w:rsidRPr="001C7F7E">
        <w:rPr>
          <w:rStyle w:val="FootnoteReference"/>
          <w:rFonts w:eastAsia="SimSun"/>
          <w:sz w:val="20"/>
        </w:rPr>
        <w:footnoteRef/>
      </w:r>
      <w:r w:rsidRPr="001C7F7E">
        <w:rPr>
          <w:rFonts w:eastAsia="SimSun"/>
          <w:sz w:val="20"/>
        </w:rPr>
        <w:t xml:space="preserve">  </w:t>
      </w:r>
      <w:r w:rsidRPr="001C7F7E">
        <w:rPr>
          <w:rFonts w:eastAsia="SimSun"/>
          <w:sz w:val="20"/>
        </w:rPr>
        <w:t>第</w:t>
      </w:r>
      <w:r w:rsidRPr="001C7F7E">
        <w:rPr>
          <w:rFonts w:eastAsia="SimSun"/>
          <w:sz w:val="20"/>
        </w:rPr>
        <w:t>15/8</w:t>
      </w:r>
      <w:r w:rsidRPr="001C7F7E">
        <w:rPr>
          <w:rFonts w:eastAsia="SimSun"/>
          <w:sz w:val="20"/>
        </w:rPr>
        <w:t>号决定，附件一。</w:t>
      </w:r>
    </w:p>
  </w:footnote>
  <w:footnote w:id="10">
    <w:p w14:paraId="09BB7E87" w14:textId="77777777" w:rsidR="001C7F7E" w:rsidRPr="001C7F7E" w:rsidRDefault="001C7F7E" w:rsidP="001C7F7E">
      <w:pPr>
        <w:pStyle w:val="FootnoteText"/>
        <w:spacing w:after="6"/>
        <w:rPr>
          <w:rFonts w:eastAsia="SimSun"/>
          <w:sz w:val="20"/>
        </w:rPr>
      </w:pPr>
      <w:r w:rsidRPr="001C7F7E">
        <w:rPr>
          <w:rStyle w:val="FootnoteReference"/>
          <w:rFonts w:eastAsia="SimSun"/>
          <w:sz w:val="20"/>
        </w:rPr>
        <w:footnoteRef/>
      </w:r>
      <w:r w:rsidRPr="001C7F7E">
        <w:rPr>
          <w:rFonts w:eastAsia="SimSun"/>
          <w:sz w:val="20"/>
        </w:rPr>
        <w:t xml:space="preserve">  </w:t>
      </w:r>
      <w:r w:rsidRPr="001C7F7E">
        <w:rPr>
          <w:rFonts w:eastAsia="SimSun"/>
          <w:sz w:val="20"/>
        </w:rPr>
        <w:t>同上，附件二。</w:t>
      </w:r>
    </w:p>
    <w:p w14:paraId="24E3AA34" w14:textId="78F1BAE2" w:rsidR="001C7F7E" w:rsidRDefault="001C7F7E">
      <w:pPr>
        <w:pStyle w:val="FootnoteText"/>
      </w:pPr>
    </w:p>
  </w:footnote>
  <w:footnote w:id="11">
    <w:p w14:paraId="7C2D94C6" w14:textId="48FEDD6A" w:rsidR="00184519" w:rsidRPr="00EA4245" w:rsidRDefault="00184519">
      <w:pPr>
        <w:pStyle w:val="FootnoteText"/>
        <w:rPr>
          <w:rFonts w:eastAsia="SimSun"/>
          <w:sz w:val="20"/>
        </w:rPr>
      </w:pPr>
      <w:r w:rsidRPr="00EA4245">
        <w:rPr>
          <w:rStyle w:val="FootnoteReference"/>
          <w:rFonts w:eastAsia="SimSun"/>
          <w:sz w:val="20"/>
        </w:rPr>
        <w:footnoteRef/>
      </w:r>
      <w:r w:rsidRPr="00EA4245">
        <w:rPr>
          <w:rFonts w:eastAsia="SimSun"/>
          <w:sz w:val="20"/>
        </w:rPr>
        <w:t xml:space="preserve"> </w:t>
      </w:r>
      <w:r w:rsidR="00EA4245">
        <w:rPr>
          <w:rFonts w:eastAsia="SimSun" w:hint="eastAsia"/>
          <w:sz w:val="20"/>
        </w:rPr>
        <w:t xml:space="preserve"> </w:t>
      </w:r>
      <w:r w:rsidRPr="00EA4245">
        <w:rPr>
          <w:rFonts w:eastAsia="SimSun"/>
          <w:sz w:val="20"/>
        </w:rPr>
        <w:t>这个指示性清单不影响其他获取和惠益分享国际协定提供的遗传资源数字序列信息。</w:t>
      </w:r>
    </w:p>
  </w:footnote>
  <w:footnote w:id="12">
    <w:p w14:paraId="7BB15EF8" w14:textId="1EC2B014" w:rsidR="00184519" w:rsidRPr="00EA4245" w:rsidRDefault="00184519" w:rsidP="00D6521B">
      <w:pPr>
        <w:pStyle w:val="CBDFootnoteText"/>
        <w:spacing w:after="6"/>
        <w:rPr>
          <w:rFonts w:eastAsia="SimSun"/>
          <w:sz w:val="20"/>
          <w:szCs w:val="20"/>
          <w:lang w:eastAsia="zh-CN"/>
        </w:rPr>
      </w:pPr>
      <w:r w:rsidRPr="00EA4245">
        <w:rPr>
          <w:rStyle w:val="FootnoteReference"/>
          <w:rFonts w:eastAsia="SimSun"/>
          <w:sz w:val="20"/>
          <w:szCs w:val="20"/>
          <w:lang w:eastAsia="zh-CN"/>
        </w:rPr>
        <w:footnoteRef/>
      </w:r>
      <w:r w:rsidRPr="00EA4245">
        <w:rPr>
          <w:rFonts w:eastAsia="SimSun"/>
          <w:sz w:val="20"/>
          <w:szCs w:val="20"/>
          <w:lang w:eastAsia="zh-CN"/>
        </w:rPr>
        <w:t xml:space="preserve"> </w:t>
      </w:r>
      <w:r w:rsidR="00EA4245">
        <w:rPr>
          <w:rFonts w:eastAsia="SimSun" w:hint="eastAsia"/>
          <w:sz w:val="20"/>
          <w:szCs w:val="20"/>
          <w:lang w:eastAsia="zh-CN"/>
        </w:rPr>
        <w:t xml:space="preserve"> </w:t>
      </w:r>
      <w:r w:rsidRPr="00EA4245">
        <w:rPr>
          <w:rFonts w:eastAsia="SimSun"/>
          <w:sz w:val="20"/>
          <w:szCs w:val="20"/>
          <w:lang w:eastAsia="zh-CN"/>
        </w:rPr>
        <w:t>由于多伙伴信托基金办公室被指定为托管实体，根据多伙伴信托基金办公室标准作业程序，基金成员必须包括至少两个联合国实体。此外，在指导委员会指导基金运作时，将从联合国实体中指定一名成员担任共同主席。</w:t>
      </w:r>
    </w:p>
  </w:footnote>
  <w:footnote w:id="13">
    <w:p w14:paraId="33A6B3AA" w14:textId="25C7DB35" w:rsidR="00EA4245" w:rsidRPr="00EA4245" w:rsidRDefault="00EA4245">
      <w:pPr>
        <w:pStyle w:val="FootnoteText"/>
      </w:pPr>
      <w:r>
        <w:rPr>
          <w:rStyle w:val="FootnoteReference"/>
        </w:rPr>
        <w:footnoteRef/>
      </w:r>
      <w:r>
        <w:t xml:space="preserve"> </w:t>
      </w:r>
      <w:r>
        <w:rPr>
          <w:rFonts w:hint="eastAsia"/>
        </w:rPr>
        <w:t xml:space="preserve"> </w:t>
      </w:r>
      <w:r w:rsidRPr="00EA4245">
        <w:rPr>
          <w:rFonts w:eastAsia="SimSun"/>
          <w:sz w:val="20"/>
        </w:rPr>
        <w:t>缔约方大会可考虑其组成的其他备选方案。</w:t>
      </w:r>
    </w:p>
  </w:footnote>
  <w:footnote w:id="14">
    <w:p w14:paraId="2255B86D" w14:textId="229C8363" w:rsidR="00184519" w:rsidRPr="00DD1B99" w:rsidRDefault="00184519">
      <w:pPr>
        <w:pStyle w:val="FootnoteText"/>
        <w:rPr>
          <w:rFonts w:eastAsia="SimSun"/>
          <w:sz w:val="20"/>
        </w:rPr>
      </w:pPr>
      <w:r w:rsidRPr="00DD1B99">
        <w:rPr>
          <w:rStyle w:val="FootnoteReference"/>
          <w:rFonts w:eastAsia="SimSun"/>
          <w:sz w:val="20"/>
        </w:rPr>
        <w:footnoteRef/>
      </w:r>
      <w:r w:rsidR="00DD1B99">
        <w:rPr>
          <w:rFonts w:eastAsia="SimSun" w:hint="eastAsia"/>
          <w:sz w:val="20"/>
        </w:rPr>
        <w:t xml:space="preserve"> </w:t>
      </w:r>
      <w:r w:rsidRPr="00DD1B99">
        <w:rPr>
          <w:rFonts w:eastAsia="SimSun"/>
          <w:sz w:val="20"/>
        </w:rPr>
        <w:t xml:space="preserve"> </w:t>
      </w:r>
      <w:r w:rsidRPr="00DD1B99">
        <w:rPr>
          <w:rFonts w:eastAsia="SimSun"/>
          <w:sz w:val="20"/>
        </w:rPr>
        <w:t>第</w:t>
      </w:r>
      <w:r w:rsidRPr="00DD1B99">
        <w:rPr>
          <w:rFonts w:eastAsia="SimSun"/>
          <w:sz w:val="20"/>
        </w:rPr>
        <w:t>15/4</w:t>
      </w:r>
      <w:r w:rsidRPr="00DD1B99">
        <w:rPr>
          <w:rFonts w:eastAsia="SimSun"/>
          <w:sz w:val="20"/>
        </w:rPr>
        <w:t>号决定，附件，</w:t>
      </w:r>
      <w:r w:rsidRPr="00DD1B99">
        <w:rPr>
          <w:rFonts w:eastAsia="SimSun"/>
          <w:sz w:val="20"/>
        </w:rPr>
        <w:t>C</w:t>
      </w:r>
      <w:r w:rsidRPr="00DD1B99">
        <w:rPr>
          <w:rFonts w:eastAsia="SimSun"/>
          <w:sz w:val="20"/>
        </w:rPr>
        <w:t>部分。</w:t>
      </w:r>
    </w:p>
  </w:footnote>
  <w:footnote w:id="15">
    <w:p w14:paraId="0E8C1D7B" w14:textId="4BE43F50" w:rsidR="00175F49" w:rsidRPr="00432C5D" w:rsidRDefault="00175F49" w:rsidP="00175F49">
      <w:pPr>
        <w:pStyle w:val="FootnoteText"/>
        <w:tabs>
          <w:tab w:val="clear" w:pos="567"/>
          <w:tab w:val="clear" w:pos="1134"/>
          <w:tab w:val="clear" w:pos="1701"/>
          <w:tab w:val="clear" w:pos="2268"/>
        </w:tabs>
        <w:spacing w:after="60"/>
        <w:rPr>
          <w:rFonts w:eastAsia="SimSun"/>
          <w:sz w:val="20"/>
        </w:rPr>
      </w:pPr>
      <w:r w:rsidRPr="00432C5D">
        <w:rPr>
          <w:rStyle w:val="FootnoteReference"/>
          <w:rFonts w:eastAsia="SimSun"/>
          <w:sz w:val="20"/>
        </w:rPr>
        <w:footnoteRef/>
      </w:r>
      <w:r w:rsidR="00C52910" w:rsidRPr="00432C5D">
        <w:rPr>
          <w:rStyle w:val="FootnoteReference"/>
          <w:rFonts w:eastAsia="SimSun"/>
          <w:sz w:val="20"/>
        </w:rPr>
        <w:t xml:space="preserve"> </w:t>
      </w:r>
      <w:r w:rsidRPr="00432C5D">
        <w:rPr>
          <w:rFonts w:eastAsia="SimSun"/>
          <w:sz w:val="20"/>
        </w:rPr>
        <w:t xml:space="preserve"> </w:t>
      </w:r>
      <w:r w:rsidRPr="00432C5D">
        <w:rPr>
          <w:rFonts w:eastAsia="SimSun"/>
          <w:sz w:val="20"/>
        </w:rPr>
        <w:t>联合国，《条约汇编》，第</w:t>
      </w:r>
      <w:r w:rsidRPr="00432C5D">
        <w:rPr>
          <w:rFonts w:eastAsia="SimSun"/>
          <w:sz w:val="20"/>
        </w:rPr>
        <w:t>1760</w:t>
      </w:r>
      <w:r w:rsidRPr="00432C5D">
        <w:rPr>
          <w:rFonts w:eastAsia="SimSun"/>
          <w:sz w:val="20"/>
        </w:rPr>
        <w:t>卷，第</w:t>
      </w:r>
      <w:r w:rsidRPr="00432C5D">
        <w:rPr>
          <w:rFonts w:eastAsia="SimSun"/>
          <w:sz w:val="20"/>
        </w:rPr>
        <w:t>30619</w:t>
      </w:r>
      <w:r w:rsidRPr="00432C5D">
        <w:rPr>
          <w:rFonts w:eastAsia="SimSun"/>
          <w:sz w:val="20"/>
        </w:rPr>
        <w:t>号。</w:t>
      </w:r>
    </w:p>
  </w:footnote>
  <w:footnote w:id="16">
    <w:p w14:paraId="3053ADDC" w14:textId="77777777" w:rsidR="00175F49" w:rsidRPr="00432C5D" w:rsidRDefault="00175F49" w:rsidP="00175F49">
      <w:pPr>
        <w:pStyle w:val="FootnoteText"/>
        <w:tabs>
          <w:tab w:val="clear" w:pos="567"/>
          <w:tab w:val="clear" w:pos="1134"/>
          <w:tab w:val="clear" w:pos="1701"/>
          <w:tab w:val="clear" w:pos="2268"/>
        </w:tabs>
        <w:spacing w:after="60"/>
        <w:rPr>
          <w:rFonts w:eastAsia="SimSun"/>
          <w:sz w:val="20"/>
        </w:rPr>
      </w:pPr>
      <w:r w:rsidRPr="00432C5D">
        <w:rPr>
          <w:rFonts w:eastAsia="SimSun"/>
          <w:sz w:val="20"/>
          <w:vertAlign w:val="superscript"/>
        </w:rPr>
        <w:footnoteRef/>
      </w:r>
      <w:r w:rsidRPr="00432C5D">
        <w:rPr>
          <w:rFonts w:eastAsia="SimSun"/>
          <w:sz w:val="20"/>
          <w:vertAlign w:val="superscript"/>
        </w:rPr>
        <w:t xml:space="preserve">  </w:t>
      </w:r>
      <w:hyperlink r:id="rId1" w:history="1">
        <w:r w:rsidRPr="00432C5D">
          <w:rPr>
            <w:rStyle w:val="Hyperlink"/>
            <w:rFonts w:eastAsia="SimSun"/>
            <w:sz w:val="20"/>
          </w:rPr>
          <w:t>CBD/SBI/4/7/Add.3</w:t>
        </w:r>
      </w:hyperlink>
      <w:r w:rsidRPr="00432C5D">
        <w:rPr>
          <w:rFonts w:eastAsia="SimSun"/>
          <w:sz w:val="20"/>
        </w:rPr>
        <w:t>、</w:t>
      </w:r>
      <w:r w:rsidRPr="00432C5D">
        <w:rPr>
          <w:rFonts w:eastAsia="SimSun"/>
          <w:sz w:val="20"/>
        </w:rPr>
        <w:t xml:space="preserve"> </w:t>
      </w:r>
      <w:hyperlink r:id="rId2" w:history="1">
        <w:r w:rsidRPr="00432C5D">
          <w:rPr>
            <w:rStyle w:val="Hyperlink"/>
            <w:rFonts w:eastAsia="SimSun"/>
            <w:sz w:val="20"/>
          </w:rPr>
          <w:t>CBD/COP/16/INF/33</w:t>
        </w:r>
      </w:hyperlink>
      <w:r w:rsidRPr="00432C5D">
        <w:rPr>
          <w:rFonts w:eastAsia="SimSun"/>
          <w:sz w:val="20"/>
        </w:rPr>
        <w:t xml:space="preserve"> </w:t>
      </w:r>
      <w:r w:rsidRPr="00432C5D">
        <w:rPr>
          <w:rFonts w:eastAsia="SimSun"/>
          <w:sz w:val="20"/>
        </w:rPr>
        <w:t>和</w:t>
      </w:r>
      <w:r w:rsidRPr="00432C5D">
        <w:rPr>
          <w:rFonts w:eastAsia="SimSun"/>
          <w:sz w:val="20"/>
        </w:rPr>
        <w:t xml:space="preserve"> </w:t>
      </w:r>
      <w:hyperlink r:id="rId3" w:history="1">
        <w:r w:rsidRPr="00432C5D">
          <w:rPr>
            <w:rStyle w:val="Hyperlink"/>
            <w:rFonts w:eastAsia="SimSun"/>
            <w:sz w:val="20"/>
          </w:rPr>
          <w:t>CBD/COP/16/INF/38</w:t>
        </w:r>
      </w:hyperlink>
      <w:r w:rsidRPr="00432C5D">
        <w:rPr>
          <w:rFonts w:eastAsia="SimSun"/>
          <w:sz w:val="20"/>
        </w:rPr>
        <w:t>。</w:t>
      </w:r>
    </w:p>
  </w:footnote>
  <w:footnote w:id="17">
    <w:p w14:paraId="154190EA" w14:textId="0E5DCAD7" w:rsidR="00175F49" w:rsidRPr="00432C5D" w:rsidRDefault="00175F49" w:rsidP="00175F49">
      <w:pPr>
        <w:pStyle w:val="FootnoteText"/>
        <w:tabs>
          <w:tab w:val="clear" w:pos="567"/>
          <w:tab w:val="clear" w:pos="1134"/>
          <w:tab w:val="clear" w:pos="1701"/>
          <w:tab w:val="clear" w:pos="2268"/>
        </w:tabs>
        <w:spacing w:after="60"/>
        <w:rPr>
          <w:rFonts w:eastAsia="SimSun"/>
          <w:sz w:val="20"/>
        </w:rPr>
      </w:pPr>
      <w:r w:rsidRPr="00432C5D">
        <w:rPr>
          <w:rStyle w:val="FootnoteReference"/>
          <w:rFonts w:eastAsia="SimSun"/>
          <w:sz w:val="20"/>
        </w:rPr>
        <w:footnoteRef/>
      </w:r>
      <w:r w:rsidR="00C52910" w:rsidRPr="00432C5D">
        <w:rPr>
          <w:rStyle w:val="FootnoteReference"/>
          <w:rFonts w:eastAsia="SimSun"/>
          <w:sz w:val="20"/>
        </w:rPr>
        <w:t xml:space="preserve"> </w:t>
      </w:r>
      <w:r w:rsidRPr="00432C5D">
        <w:rPr>
          <w:rStyle w:val="FootnoteReference"/>
          <w:rFonts w:eastAsia="SimSun"/>
          <w:sz w:val="20"/>
        </w:rPr>
        <w:t xml:space="preserve"> </w:t>
      </w:r>
      <w:r w:rsidRPr="00432C5D">
        <w:rPr>
          <w:rFonts w:eastAsia="SimSun"/>
          <w:sz w:val="20"/>
        </w:rPr>
        <w:t>第</w:t>
      </w:r>
      <w:r w:rsidRPr="00432C5D">
        <w:rPr>
          <w:rFonts w:eastAsia="SimSun"/>
          <w:sz w:val="20"/>
        </w:rPr>
        <w:t>15/4</w:t>
      </w:r>
      <w:r w:rsidRPr="00432C5D">
        <w:rPr>
          <w:rFonts w:eastAsia="SimSun"/>
          <w:sz w:val="20"/>
        </w:rPr>
        <w:t>号决定，附件。</w:t>
      </w:r>
    </w:p>
  </w:footnote>
  <w:footnote w:id="18">
    <w:p w14:paraId="0F611922" w14:textId="3F3B475D" w:rsidR="00175F49" w:rsidRPr="00AB2C8D" w:rsidRDefault="00175F49" w:rsidP="00175F49">
      <w:pPr>
        <w:pStyle w:val="FootnoteText"/>
        <w:tabs>
          <w:tab w:val="clear" w:pos="567"/>
          <w:tab w:val="clear" w:pos="1134"/>
          <w:tab w:val="clear" w:pos="1701"/>
          <w:tab w:val="clear" w:pos="2268"/>
        </w:tabs>
        <w:spacing w:after="60"/>
        <w:rPr>
          <w:sz w:val="20"/>
          <w:lang w:val="it-IT"/>
        </w:rPr>
      </w:pPr>
      <w:r w:rsidRPr="00432C5D">
        <w:rPr>
          <w:rFonts w:eastAsia="SimSun"/>
          <w:sz w:val="20"/>
          <w:vertAlign w:val="superscript"/>
        </w:rPr>
        <w:footnoteRef/>
      </w:r>
      <w:r w:rsidR="00C52910" w:rsidRPr="00432C5D">
        <w:rPr>
          <w:rFonts w:eastAsia="SimSun"/>
          <w:sz w:val="20"/>
          <w:vertAlign w:val="superscript"/>
        </w:rPr>
        <w:t xml:space="preserve"> </w:t>
      </w:r>
      <w:r w:rsidRPr="00432C5D">
        <w:rPr>
          <w:rFonts w:eastAsia="SimSun"/>
          <w:sz w:val="20"/>
          <w:vertAlign w:val="superscript"/>
        </w:rPr>
        <w:t xml:space="preserve"> </w:t>
      </w:r>
      <w:r w:rsidRPr="00432C5D">
        <w:rPr>
          <w:rFonts w:eastAsia="SimSun"/>
          <w:sz w:val="20"/>
        </w:rPr>
        <w:t>第</w:t>
      </w:r>
      <w:r w:rsidRPr="00432C5D">
        <w:rPr>
          <w:rFonts w:eastAsia="SimSun"/>
          <w:sz w:val="20"/>
        </w:rPr>
        <w:t>15/8</w:t>
      </w:r>
      <w:r w:rsidRPr="00432C5D">
        <w:rPr>
          <w:rFonts w:eastAsia="SimSun"/>
          <w:sz w:val="20"/>
        </w:rPr>
        <w:t>号决定，附件一。</w:t>
      </w:r>
    </w:p>
  </w:footnote>
  <w:footnote w:id="19">
    <w:p w14:paraId="1B0DE2B4" w14:textId="5803E8A6" w:rsidR="00175F49" w:rsidRPr="00C52910" w:rsidRDefault="00175F49" w:rsidP="00175F49">
      <w:pPr>
        <w:pStyle w:val="FootnoteText"/>
        <w:spacing w:after="60"/>
        <w:rPr>
          <w:rFonts w:eastAsia="SimSun"/>
        </w:rPr>
      </w:pPr>
      <w:r w:rsidRPr="00C52910">
        <w:rPr>
          <w:rStyle w:val="FootnoteReference"/>
          <w:rFonts w:eastAsia="SimSun"/>
          <w:sz w:val="20"/>
        </w:rPr>
        <w:footnoteRef/>
      </w:r>
      <w:r w:rsidR="00C52910">
        <w:rPr>
          <w:rFonts w:eastAsia="SimSun" w:hint="eastAsia"/>
          <w:sz w:val="20"/>
        </w:rPr>
        <w:t xml:space="preserve"> </w:t>
      </w:r>
      <w:r w:rsidRPr="00C52910">
        <w:rPr>
          <w:rFonts w:eastAsia="SimSun"/>
          <w:sz w:val="20"/>
        </w:rPr>
        <w:t xml:space="preserve"> </w:t>
      </w:r>
      <w:r w:rsidRPr="00C52910">
        <w:rPr>
          <w:rFonts w:eastAsia="SimSun"/>
          <w:sz w:val="20"/>
        </w:rPr>
        <w:t>第</w:t>
      </w:r>
      <w:r w:rsidRPr="00C52910">
        <w:rPr>
          <w:rFonts w:eastAsia="SimSun"/>
          <w:sz w:val="20"/>
        </w:rPr>
        <w:t xml:space="preserve"> 15/5</w:t>
      </w:r>
      <w:r w:rsidRPr="00C52910">
        <w:rPr>
          <w:rFonts w:eastAsia="SimSun"/>
          <w:sz w:val="20"/>
        </w:rPr>
        <w:t>号决定，附件，以及第</w:t>
      </w:r>
      <w:r w:rsidRPr="00C52910">
        <w:rPr>
          <w:rFonts w:eastAsia="SimSun"/>
          <w:sz w:val="20"/>
        </w:rPr>
        <w:t>16/31</w:t>
      </w:r>
      <w:r w:rsidRPr="00C52910">
        <w:rPr>
          <w:rFonts w:eastAsia="SimSun"/>
          <w:sz w:val="20"/>
        </w:rPr>
        <w:t>号决定。</w:t>
      </w:r>
    </w:p>
  </w:footnote>
  <w:footnote w:id="20">
    <w:p w14:paraId="7EBED373" w14:textId="77777777" w:rsidR="00175F49" w:rsidRPr="00C52910" w:rsidRDefault="00175F49" w:rsidP="00175F49">
      <w:pPr>
        <w:pStyle w:val="FootnoteText"/>
        <w:spacing w:after="60"/>
        <w:rPr>
          <w:rFonts w:eastAsia="SimSun"/>
          <w:sz w:val="20"/>
        </w:rPr>
      </w:pPr>
      <w:r w:rsidRPr="00C52910">
        <w:rPr>
          <w:rFonts w:eastAsia="SimSun"/>
          <w:sz w:val="20"/>
          <w:vertAlign w:val="superscript"/>
        </w:rPr>
        <w:footnoteRef/>
      </w:r>
      <w:r w:rsidRPr="00C52910">
        <w:rPr>
          <w:rFonts w:eastAsia="SimSun"/>
          <w:sz w:val="20"/>
          <w:vertAlign w:val="superscript"/>
        </w:rPr>
        <w:t xml:space="preserve"> </w:t>
      </w:r>
      <w:r w:rsidRPr="00C52910">
        <w:rPr>
          <w:rFonts w:eastAsia="SimSun"/>
          <w:sz w:val="20"/>
        </w:rPr>
        <w:t xml:space="preserve"> </w:t>
      </w:r>
      <w:r w:rsidRPr="00C52910">
        <w:rPr>
          <w:rFonts w:eastAsia="SimSun"/>
          <w:sz w:val="20"/>
        </w:rPr>
        <w:t>联合国，《条约汇编》，第</w:t>
      </w:r>
      <w:r w:rsidRPr="00C52910">
        <w:rPr>
          <w:rFonts w:eastAsia="SimSun"/>
          <w:sz w:val="20"/>
        </w:rPr>
        <w:t>1771</w:t>
      </w:r>
      <w:r w:rsidRPr="00C52910">
        <w:rPr>
          <w:rFonts w:eastAsia="SimSun"/>
          <w:sz w:val="20"/>
        </w:rPr>
        <w:t>卷，第</w:t>
      </w:r>
      <w:r w:rsidRPr="00C52910">
        <w:rPr>
          <w:rFonts w:eastAsia="SimSun"/>
          <w:sz w:val="20"/>
        </w:rPr>
        <w:t>30822</w:t>
      </w:r>
      <w:r w:rsidRPr="00C52910">
        <w:rPr>
          <w:rFonts w:eastAsia="SimSun"/>
          <w:sz w:val="20"/>
        </w:rPr>
        <w:t>号。</w:t>
      </w:r>
    </w:p>
  </w:footnote>
  <w:footnote w:id="21">
    <w:p w14:paraId="79C2EE97" w14:textId="6A9AE14B" w:rsidR="00175F49" w:rsidRPr="00C52910" w:rsidRDefault="00175F49" w:rsidP="00175F49">
      <w:pPr>
        <w:pStyle w:val="FootnoteText"/>
        <w:spacing w:after="60"/>
        <w:rPr>
          <w:rFonts w:eastAsia="SimSun"/>
          <w:sz w:val="20"/>
          <w:lang w:val="it-IT"/>
        </w:rPr>
      </w:pPr>
      <w:r w:rsidRPr="00C52910">
        <w:rPr>
          <w:rFonts w:eastAsia="SimSun"/>
          <w:sz w:val="20"/>
          <w:vertAlign w:val="superscript"/>
        </w:rPr>
        <w:footnoteRef/>
      </w:r>
      <w:r w:rsidRPr="00C52910">
        <w:rPr>
          <w:rFonts w:eastAsia="SimSun"/>
          <w:sz w:val="20"/>
          <w:vertAlign w:val="superscript"/>
        </w:rPr>
        <w:t xml:space="preserve"> </w:t>
      </w:r>
      <w:r w:rsidRPr="00C52910">
        <w:rPr>
          <w:rFonts w:eastAsia="SimSun"/>
          <w:sz w:val="20"/>
        </w:rPr>
        <w:t xml:space="preserve"> </w:t>
      </w:r>
      <w:r w:rsidR="00C52910">
        <w:rPr>
          <w:rFonts w:eastAsia="SimSun" w:hint="eastAsia"/>
          <w:sz w:val="20"/>
        </w:rPr>
        <w:t>同上</w:t>
      </w:r>
      <w:r w:rsidRPr="00C52910">
        <w:rPr>
          <w:rFonts w:eastAsia="SimSun"/>
          <w:sz w:val="20"/>
        </w:rPr>
        <w:t>，第</w:t>
      </w:r>
      <w:r w:rsidRPr="00C52910">
        <w:rPr>
          <w:rFonts w:eastAsia="SimSun"/>
          <w:sz w:val="20"/>
        </w:rPr>
        <w:t>1954</w:t>
      </w:r>
      <w:r w:rsidRPr="00C52910">
        <w:rPr>
          <w:rFonts w:eastAsia="SimSun"/>
          <w:sz w:val="20"/>
        </w:rPr>
        <w:t>卷，第</w:t>
      </w:r>
      <w:r w:rsidRPr="00C52910">
        <w:rPr>
          <w:rFonts w:eastAsia="SimSun"/>
          <w:sz w:val="20"/>
        </w:rPr>
        <w:t>33480</w:t>
      </w:r>
      <w:r w:rsidRPr="00C52910">
        <w:rPr>
          <w:rFonts w:eastAsia="SimSun"/>
          <w:sz w:val="20"/>
        </w:rPr>
        <w:t>号。</w:t>
      </w:r>
    </w:p>
  </w:footnote>
  <w:footnote w:id="22">
    <w:p w14:paraId="464814F6" w14:textId="25DBF835" w:rsidR="00175F49" w:rsidRPr="00AB2C8D" w:rsidRDefault="00175F49" w:rsidP="00175F49">
      <w:pPr>
        <w:pStyle w:val="FootnoteText"/>
        <w:spacing w:after="60"/>
        <w:rPr>
          <w:sz w:val="20"/>
        </w:rPr>
      </w:pPr>
      <w:r w:rsidRPr="00C52910">
        <w:rPr>
          <w:rFonts w:eastAsia="SimSun"/>
          <w:sz w:val="20"/>
          <w:vertAlign w:val="superscript"/>
        </w:rPr>
        <w:footnoteRef/>
      </w:r>
      <w:r w:rsidRPr="00C52910">
        <w:rPr>
          <w:rFonts w:eastAsia="SimSun"/>
          <w:sz w:val="20"/>
        </w:rPr>
        <w:t xml:space="preserve"> </w:t>
      </w:r>
      <w:r w:rsidR="00C52910">
        <w:rPr>
          <w:rFonts w:eastAsia="SimSun" w:hint="eastAsia"/>
          <w:sz w:val="20"/>
        </w:rPr>
        <w:t xml:space="preserve"> </w:t>
      </w:r>
      <w:r w:rsidR="00C52910">
        <w:rPr>
          <w:rFonts w:eastAsia="SimSun" w:hint="eastAsia"/>
          <w:sz w:val="20"/>
        </w:rPr>
        <w:t>联合国</w:t>
      </w:r>
      <w:r w:rsidRPr="00C52910">
        <w:rPr>
          <w:rFonts w:eastAsia="SimSun"/>
          <w:sz w:val="20"/>
        </w:rPr>
        <w:t>大会第</w:t>
      </w:r>
      <w:r w:rsidRPr="00C52910">
        <w:rPr>
          <w:rFonts w:eastAsia="SimSun"/>
          <w:sz w:val="20"/>
        </w:rPr>
        <w:t>70/1</w:t>
      </w:r>
      <w:r w:rsidRPr="00C52910">
        <w:rPr>
          <w:rFonts w:eastAsia="SimSun"/>
          <w:sz w:val="20"/>
        </w:rPr>
        <w:t>号决议。</w:t>
      </w:r>
    </w:p>
  </w:footnote>
  <w:footnote w:id="23">
    <w:p w14:paraId="5658EFD1" w14:textId="29BA212B" w:rsidR="00175F49" w:rsidRPr="00C52910" w:rsidRDefault="00175F49" w:rsidP="00175F49">
      <w:pPr>
        <w:pStyle w:val="FootnoteText"/>
        <w:spacing w:after="60"/>
        <w:rPr>
          <w:rFonts w:eastAsia="SimSun"/>
        </w:rPr>
      </w:pPr>
      <w:r w:rsidRPr="00C52910">
        <w:rPr>
          <w:rStyle w:val="FootnoteReference"/>
          <w:rFonts w:eastAsia="SimSun"/>
          <w:sz w:val="20"/>
        </w:rPr>
        <w:footnoteRef/>
      </w:r>
      <w:r w:rsidRPr="00C52910">
        <w:rPr>
          <w:rFonts w:eastAsia="SimSun"/>
          <w:sz w:val="20"/>
        </w:rPr>
        <w:t xml:space="preserve"> </w:t>
      </w:r>
      <w:r w:rsidR="00C52910" w:rsidRPr="00C52910">
        <w:rPr>
          <w:rFonts w:eastAsia="SimSun"/>
          <w:sz w:val="20"/>
        </w:rPr>
        <w:t xml:space="preserve"> </w:t>
      </w:r>
      <w:r w:rsidRPr="00C52910">
        <w:rPr>
          <w:rFonts w:eastAsia="SimSun"/>
          <w:sz w:val="20"/>
        </w:rPr>
        <w:t>凡提到</w:t>
      </w:r>
      <w:r w:rsidRPr="00C52910">
        <w:rPr>
          <w:rFonts w:eastAsia="SimSun"/>
          <w:sz w:val="20"/>
        </w:rPr>
        <w:t>“</w:t>
      </w:r>
      <w:r w:rsidRPr="00C52910">
        <w:rPr>
          <w:rFonts w:eastAsia="SimSun"/>
          <w:sz w:val="20"/>
        </w:rPr>
        <w:t>自由、事先和知情同意</w:t>
      </w:r>
      <w:r w:rsidRPr="00C52910">
        <w:rPr>
          <w:rFonts w:eastAsia="SimSun"/>
          <w:sz w:val="20"/>
        </w:rPr>
        <w:t>”</w:t>
      </w:r>
      <w:r w:rsidRPr="00C52910">
        <w:rPr>
          <w:rFonts w:eastAsia="SimSun"/>
          <w:sz w:val="20"/>
        </w:rPr>
        <w:t>均指</w:t>
      </w:r>
      <w:r w:rsidRPr="00C52910">
        <w:rPr>
          <w:rFonts w:eastAsia="SimSun"/>
          <w:sz w:val="20"/>
        </w:rPr>
        <w:t>“</w:t>
      </w:r>
      <w:r w:rsidRPr="00C52910">
        <w:rPr>
          <w:rFonts w:eastAsia="SimSun"/>
          <w:sz w:val="20"/>
        </w:rPr>
        <w:t>事先和知情同意</w:t>
      </w:r>
      <w:r w:rsidRPr="00C52910">
        <w:rPr>
          <w:rFonts w:eastAsia="SimSun"/>
          <w:sz w:val="20"/>
        </w:rPr>
        <w:t>”</w:t>
      </w:r>
      <w:r w:rsidRPr="00C52910">
        <w:rPr>
          <w:rFonts w:eastAsia="SimSun"/>
          <w:sz w:val="20"/>
        </w:rPr>
        <w:t>、</w:t>
      </w:r>
      <w:r w:rsidRPr="00C52910">
        <w:rPr>
          <w:rFonts w:eastAsia="SimSun"/>
          <w:sz w:val="20"/>
        </w:rPr>
        <w:t>“</w:t>
      </w:r>
      <w:r w:rsidRPr="00C52910">
        <w:rPr>
          <w:rFonts w:eastAsia="SimSun"/>
          <w:sz w:val="20"/>
        </w:rPr>
        <w:t>自由、事先和知情同意</w:t>
      </w:r>
      <w:r w:rsidRPr="00C52910">
        <w:rPr>
          <w:rFonts w:eastAsia="SimSun"/>
          <w:sz w:val="20"/>
        </w:rPr>
        <w:t>”</w:t>
      </w:r>
      <w:r w:rsidR="006D1412">
        <w:rPr>
          <w:rFonts w:eastAsia="SimSun" w:hint="eastAsia"/>
          <w:sz w:val="20"/>
        </w:rPr>
        <w:t>和</w:t>
      </w:r>
      <w:r w:rsidRPr="00C52910">
        <w:rPr>
          <w:rFonts w:eastAsia="SimSun"/>
          <w:sz w:val="20"/>
        </w:rPr>
        <w:t>“</w:t>
      </w:r>
      <w:r w:rsidRPr="00C52910">
        <w:rPr>
          <w:rFonts w:eastAsia="SimSun"/>
          <w:sz w:val="20"/>
        </w:rPr>
        <w:t>批准和参与</w:t>
      </w:r>
      <w:r w:rsidRPr="00C52910">
        <w:rPr>
          <w:rFonts w:eastAsia="SimSun"/>
          <w:sz w:val="20"/>
        </w:rPr>
        <w:t>”</w:t>
      </w:r>
      <w:r w:rsidRPr="00C52910">
        <w:rPr>
          <w:rFonts w:eastAsia="SimSun"/>
          <w:sz w:val="20"/>
        </w:rPr>
        <w:t>这三种表述。</w:t>
      </w:r>
    </w:p>
  </w:footnote>
  <w:footnote w:id="24">
    <w:p w14:paraId="2CF50596" w14:textId="7937EBB1" w:rsidR="00175F49" w:rsidRPr="00175F49" w:rsidRDefault="00175F49" w:rsidP="00175F49">
      <w:pPr>
        <w:pStyle w:val="FootnoteText"/>
        <w:spacing w:after="60"/>
        <w:rPr>
          <w:rFonts w:eastAsia="SimSun"/>
        </w:rPr>
      </w:pPr>
      <w:r w:rsidRPr="00175F49">
        <w:rPr>
          <w:rStyle w:val="FootnoteReference"/>
          <w:rFonts w:eastAsia="SimSun"/>
          <w:sz w:val="20"/>
        </w:rPr>
        <w:footnoteRef/>
      </w:r>
      <w:r w:rsidRPr="00175F49">
        <w:rPr>
          <w:rFonts w:eastAsia="SimSun"/>
          <w:sz w:val="20"/>
        </w:rPr>
        <w:t xml:space="preserve"> </w:t>
      </w:r>
      <w:r>
        <w:rPr>
          <w:rFonts w:eastAsia="SimSun" w:hint="eastAsia"/>
          <w:sz w:val="20"/>
        </w:rPr>
        <w:t xml:space="preserve"> </w:t>
      </w:r>
      <w:r w:rsidR="006D1412" w:rsidRPr="00C52910">
        <w:rPr>
          <w:rFonts w:eastAsia="SimSun"/>
          <w:sz w:val="20"/>
        </w:rPr>
        <w:t>凡提到</w:t>
      </w:r>
      <w:r w:rsidR="006D1412" w:rsidRPr="00C52910">
        <w:rPr>
          <w:rFonts w:eastAsia="SimSun"/>
          <w:sz w:val="20"/>
        </w:rPr>
        <w:t>“</w:t>
      </w:r>
      <w:r w:rsidR="006D1412" w:rsidRPr="00C52910">
        <w:rPr>
          <w:rFonts w:eastAsia="SimSun"/>
          <w:sz w:val="20"/>
        </w:rPr>
        <w:t>自由、事先和知情同意</w:t>
      </w:r>
      <w:r w:rsidR="006D1412" w:rsidRPr="00C52910">
        <w:rPr>
          <w:rFonts w:eastAsia="SimSun"/>
          <w:sz w:val="20"/>
        </w:rPr>
        <w:t>”</w:t>
      </w:r>
      <w:r w:rsidR="006D1412" w:rsidRPr="00C52910">
        <w:rPr>
          <w:rFonts w:eastAsia="SimSun"/>
          <w:sz w:val="20"/>
        </w:rPr>
        <w:t>均指</w:t>
      </w:r>
      <w:r w:rsidR="006D1412" w:rsidRPr="00C52910">
        <w:rPr>
          <w:rFonts w:eastAsia="SimSun"/>
          <w:sz w:val="20"/>
        </w:rPr>
        <w:t>“</w:t>
      </w:r>
      <w:r w:rsidR="006D1412" w:rsidRPr="00C52910">
        <w:rPr>
          <w:rFonts w:eastAsia="SimSun"/>
          <w:sz w:val="20"/>
        </w:rPr>
        <w:t>事先和知情同意</w:t>
      </w:r>
      <w:r w:rsidR="006D1412" w:rsidRPr="00C52910">
        <w:rPr>
          <w:rFonts w:eastAsia="SimSun"/>
          <w:sz w:val="20"/>
        </w:rPr>
        <w:t>”</w:t>
      </w:r>
      <w:r w:rsidR="006D1412" w:rsidRPr="00C52910">
        <w:rPr>
          <w:rFonts w:eastAsia="SimSun"/>
          <w:sz w:val="20"/>
        </w:rPr>
        <w:t>、</w:t>
      </w:r>
      <w:r w:rsidR="006D1412" w:rsidRPr="00C52910">
        <w:rPr>
          <w:rFonts w:eastAsia="SimSun"/>
          <w:sz w:val="20"/>
        </w:rPr>
        <w:t>“</w:t>
      </w:r>
      <w:r w:rsidR="006D1412" w:rsidRPr="00C52910">
        <w:rPr>
          <w:rFonts w:eastAsia="SimSun"/>
          <w:sz w:val="20"/>
        </w:rPr>
        <w:t>自由、事先和知情同意</w:t>
      </w:r>
      <w:r w:rsidR="006D1412" w:rsidRPr="00C52910">
        <w:rPr>
          <w:rFonts w:eastAsia="SimSun"/>
          <w:sz w:val="20"/>
        </w:rPr>
        <w:t>”</w:t>
      </w:r>
      <w:r w:rsidR="006D1412">
        <w:rPr>
          <w:rFonts w:eastAsia="SimSun" w:hint="eastAsia"/>
          <w:sz w:val="20"/>
        </w:rPr>
        <w:t>和</w:t>
      </w:r>
      <w:r w:rsidR="006D1412" w:rsidRPr="00C52910">
        <w:rPr>
          <w:rFonts w:eastAsia="SimSun"/>
          <w:sz w:val="20"/>
        </w:rPr>
        <w:t>“</w:t>
      </w:r>
      <w:r w:rsidR="006D1412" w:rsidRPr="00C52910">
        <w:rPr>
          <w:rFonts w:eastAsia="SimSun"/>
          <w:sz w:val="20"/>
        </w:rPr>
        <w:t>批准和参与</w:t>
      </w:r>
      <w:r w:rsidR="006D1412" w:rsidRPr="00C52910">
        <w:rPr>
          <w:rFonts w:eastAsia="SimSun"/>
          <w:sz w:val="20"/>
        </w:rPr>
        <w:t>”</w:t>
      </w:r>
      <w:r w:rsidR="006D1412" w:rsidRPr="00C52910">
        <w:rPr>
          <w:rFonts w:eastAsia="SimSun"/>
          <w:sz w:val="20"/>
        </w:rPr>
        <w:t>这三种表述</w:t>
      </w:r>
      <w:r w:rsidRPr="00175F49">
        <w:rPr>
          <w:rFonts w:eastAsia="SimSun"/>
          <w:sz w:val="20"/>
        </w:rPr>
        <w:t>。</w:t>
      </w:r>
    </w:p>
  </w:footnote>
  <w:footnote w:id="25">
    <w:p w14:paraId="7A85E61F" w14:textId="77777777" w:rsidR="006D5DBD" w:rsidRPr="00AB3D8F" w:rsidRDefault="006D5DBD" w:rsidP="006D5DBD">
      <w:pPr>
        <w:pStyle w:val="FootnoteText"/>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rPr>
        <w:t>联合国，《条约汇编》，第</w:t>
      </w:r>
      <w:r w:rsidRPr="00AB3D8F">
        <w:rPr>
          <w:rFonts w:eastAsia="SimSun"/>
          <w:sz w:val="20"/>
        </w:rPr>
        <w:t>1760</w:t>
      </w:r>
      <w:r w:rsidRPr="00AB3D8F">
        <w:rPr>
          <w:rFonts w:eastAsia="SimSun"/>
          <w:sz w:val="20"/>
        </w:rPr>
        <w:t>卷，第</w:t>
      </w:r>
      <w:r w:rsidRPr="00AB3D8F">
        <w:rPr>
          <w:rFonts w:eastAsia="SimSun"/>
          <w:sz w:val="20"/>
        </w:rPr>
        <w:t>30619</w:t>
      </w:r>
      <w:r w:rsidRPr="00AB3D8F">
        <w:rPr>
          <w:rFonts w:eastAsia="SimSun"/>
          <w:sz w:val="20"/>
        </w:rPr>
        <w:t>号。</w:t>
      </w:r>
    </w:p>
  </w:footnote>
  <w:footnote w:id="26">
    <w:p w14:paraId="7DDA31AA" w14:textId="77777777" w:rsidR="006D5DBD" w:rsidRPr="00AB3D8F" w:rsidRDefault="006D5DBD" w:rsidP="006D5DBD">
      <w:pPr>
        <w:pStyle w:val="FootnoteText"/>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rPr>
        <w:t>第</w:t>
      </w:r>
      <w:r w:rsidRPr="00AB3D8F">
        <w:rPr>
          <w:rFonts w:eastAsia="SimSun"/>
          <w:sz w:val="20"/>
        </w:rPr>
        <w:t>15/4</w:t>
      </w:r>
      <w:r w:rsidRPr="00AB3D8F">
        <w:rPr>
          <w:rFonts w:eastAsia="SimSun"/>
          <w:sz w:val="20"/>
        </w:rPr>
        <w:t>号决定，附件。</w:t>
      </w:r>
    </w:p>
  </w:footnote>
  <w:footnote w:id="27">
    <w:p w14:paraId="36B04803" w14:textId="77777777" w:rsidR="006D5DBD" w:rsidRPr="00AB3D8F" w:rsidRDefault="006D5DBD" w:rsidP="006D5DBD">
      <w:pPr>
        <w:pStyle w:val="FootnoteText"/>
        <w:spacing w:after="60"/>
        <w:rPr>
          <w:rFonts w:eastAsia="SimSun"/>
          <w:sz w:val="20"/>
        </w:rPr>
      </w:pPr>
      <w:r w:rsidRPr="00AB3D8F">
        <w:rPr>
          <w:rStyle w:val="FootnoteReference"/>
          <w:rFonts w:eastAsia="SimSun"/>
          <w:sz w:val="20"/>
        </w:rPr>
        <w:footnoteRef/>
      </w:r>
      <w:r w:rsidRPr="00AB3D8F">
        <w:rPr>
          <w:rFonts w:eastAsia="SimSun"/>
          <w:sz w:val="20"/>
        </w:rPr>
        <w:t xml:space="preserve">  UNEP/CBD/WG8J/3/INF/1</w:t>
      </w:r>
      <w:r w:rsidRPr="00AB3D8F">
        <w:rPr>
          <w:rFonts w:eastAsia="SimSun"/>
          <w:sz w:val="20"/>
        </w:rPr>
        <w:t>和</w:t>
      </w:r>
      <w:r w:rsidRPr="00AB3D8F">
        <w:rPr>
          <w:rFonts w:eastAsia="SimSun"/>
          <w:sz w:val="20"/>
        </w:rPr>
        <w:t>UNEP/CBD/WG8J/3/INF/1/Corr.1</w:t>
      </w:r>
      <w:r w:rsidRPr="00AB3D8F">
        <w:rPr>
          <w:rFonts w:eastAsia="SimSun"/>
          <w:sz w:val="20"/>
        </w:rPr>
        <w:t>。</w:t>
      </w:r>
    </w:p>
  </w:footnote>
  <w:footnote w:id="28">
    <w:p w14:paraId="23C75B4E" w14:textId="7D376167" w:rsidR="006D5DBD" w:rsidRPr="00BE5257" w:rsidRDefault="006D5DBD" w:rsidP="006D5DBD">
      <w:pPr>
        <w:pStyle w:val="FootnoteText"/>
        <w:spacing w:after="60"/>
        <w:rPr>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rPr>
        <w:t>就本决定而言，</w:t>
      </w:r>
      <w:r w:rsidRPr="00AB3D8F">
        <w:rPr>
          <w:rFonts w:eastAsia="SimSun"/>
          <w:sz w:val="20"/>
        </w:rPr>
        <w:t>“</w:t>
      </w:r>
      <w:r w:rsidRPr="00AB3D8F">
        <w:rPr>
          <w:rFonts w:eastAsia="SimSun"/>
          <w:sz w:val="20"/>
        </w:rPr>
        <w:t>准则</w:t>
      </w:r>
      <w:r w:rsidRPr="00AB3D8F">
        <w:rPr>
          <w:rFonts w:eastAsia="SimSun"/>
          <w:sz w:val="20"/>
        </w:rPr>
        <w:t>”</w:t>
      </w:r>
      <w:r w:rsidRPr="00AB3D8F">
        <w:rPr>
          <w:rFonts w:eastAsia="SimSun"/>
          <w:sz w:val="20"/>
        </w:rPr>
        <w:t>指自愿准则。</w:t>
      </w:r>
    </w:p>
  </w:footnote>
  <w:footnote w:id="29">
    <w:p w14:paraId="32068C5D" w14:textId="2C193C38" w:rsidR="006D5DBD" w:rsidRPr="00AB3D8F" w:rsidRDefault="006D5DBD" w:rsidP="00AB3D8F">
      <w:pPr>
        <w:pStyle w:val="FootnoteText"/>
        <w:spacing w:after="60"/>
        <w:rPr>
          <w:rFonts w:eastAsia="SimSun"/>
          <w:sz w:val="20"/>
        </w:rPr>
      </w:pPr>
      <w:r w:rsidRPr="00AB3D8F">
        <w:rPr>
          <w:rStyle w:val="FootnoteReference"/>
          <w:rFonts w:eastAsia="SimSun"/>
          <w:sz w:val="20"/>
        </w:rPr>
        <w:footnoteRef/>
      </w:r>
      <w:r w:rsidR="00AB3D8F">
        <w:rPr>
          <w:rFonts w:eastAsia="SimSun" w:hint="eastAsia"/>
          <w:sz w:val="20"/>
        </w:rPr>
        <w:t xml:space="preserve"> </w:t>
      </w:r>
      <w:r w:rsidRPr="00AB3D8F">
        <w:rPr>
          <w:rFonts w:eastAsia="SimSun"/>
          <w:sz w:val="20"/>
        </w:rPr>
        <w:t xml:space="preserve"> </w:t>
      </w:r>
      <w:r w:rsidRPr="00AB3D8F">
        <w:rPr>
          <w:rFonts w:eastAsia="SimSun"/>
          <w:sz w:val="20"/>
        </w:rPr>
        <w:t>凡提到</w:t>
      </w:r>
      <w:r w:rsidRPr="00AB3D8F">
        <w:rPr>
          <w:rFonts w:eastAsia="SimSun"/>
          <w:sz w:val="20"/>
        </w:rPr>
        <w:t>“</w:t>
      </w:r>
      <w:r w:rsidRPr="00AB3D8F">
        <w:rPr>
          <w:rFonts w:eastAsia="SimSun"/>
          <w:sz w:val="20"/>
        </w:rPr>
        <w:t>自由、事先和知情同意</w:t>
      </w:r>
      <w:r w:rsidRPr="00AB3D8F">
        <w:rPr>
          <w:rFonts w:eastAsia="SimSun"/>
          <w:sz w:val="20"/>
        </w:rPr>
        <w:t>”</w:t>
      </w:r>
      <w:r w:rsidRPr="00AB3D8F">
        <w:rPr>
          <w:rFonts w:eastAsia="SimSun"/>
          <w:sz w:val="20"/>
        </w:rPr>
        <w:t>均指</w:t>
      </w:r>
      <w:r w:rsidRPr="00AB3D8F">
        <w:rPr>
          <w:rFonts w:eastAsia="SimSun"/>
          <w:sz w:val="20"/>
        </w:rPr>
        <w:t>“</w:t>
      </w:r>
      <w:r w:rsidRPr="00AB3D8F">
        <w:rPr>
          <w:rFonts w:eastAsia="SimSun"/>
          <w:sz w:val="20"/>
        </w:rPr>
        <w:t>事先和知情同意</w:t>
      </w:r>
      <w:r w:rsidRPr="00AB3D8F">
        <w:rPr>
          <w:rFonts w:eastAsia="SimSun"/>
          <w:sz w:val="20"/>
        </w:rPr>
        <w:t>”</w:t>
      </w:r>
      <w:r w:rsidRPr="00AB3D8F">
        <w:rPr>
          <w:rFonts w:eastAsia="SimSun"/>
          <w:sz w:val="20"/>
        </w:rPr>
        <w:t>、</w:t>
      </w:r>
      <w:r w:rsidRPr="00AB3D8F">
        <w:rPr>
          <w:rFonts w:eastAsia="SimSun"/>
          <w:sz w:val="20"/>
        </w:rPr>
        <w:t>“</w:t>
      </w:r>
      <w:r w:rsidRPr="00AB3D8F">
        <w:rPr>
          <w:rFonts w:eastAsia="SimSun"/>
          <w:sz w:val="20"/>
        </w:rPr>
        <w:t>自由、事先和知情同意</w:t>
      </w:r>
      <w:r w:rsidRPr="00AB3D8F">
        <w:rPr>
          <w:rFonts w:eastAsia="SimSun"/>
          <w:sz w:val="20"/>
        </w:rPr>
        <w:t xml:space="preserve">” </w:t>
      </w:r>
      <w:r w:rsidRPr="00AB3D8F">
        <w:rPr>
          <w:rFonts w:eastAsia="SimSun"/>
          <w:sz w:val="20"/>
        </w:rPr>
        <w:t>和</w:t>
      </w:r>
      <w:r w:rsidRPr="00AB3D8F">
        <w:rPr>
          <w:rFonts w:eastAsia="SimSun"/>
          <w:sz w:val="20"/>
        </w:rPr>
        <w:t>“</w:t>
      </w:r>
      <w:r w:rsidRPr="00AB3D8F">
        <w:rPr>
          <w:rFonts w:eastAsia="SimSun"/>
          <w:sz w:val="20"/>
        </w:rPr>
        <w:t>批准和参与</w:t>
      </w:r>
      <w:r w:rsidRPr="00AB3D8F">
        <w:rPr>
          <w:rFonts w:eastAsia="SimSun"/>
          <w:sz w:val="20"/>
        </w:rPr>
        <w:t>”</w:t>
      </w:r>
      <w:r w:rsidR="00AB3D8F" w:rsidRPr="00AB3D8F">
        <w:rPr>
          <w:rFonts w:eastAsia="SimSun"/>
          <w:sz w:val="20"/>
        </w:rPr>
        <w:t>这三种表述</w:t>
      </w:r>
      <w:r w:rsidRPr="00AB3D8F">
        <w:rPr>
          <w:rFonts w:eastAsia="SimSun"/>
          <w:sz w:val="20"/>
        </w:rPr>
        <w:t>。</w:t>
      </w:r>
    </w:p>
  </w:footnote>
  <w:footnote w:id="30">
    <w:p w14:paraId="40439B22" w14:textId="5F280D07" w:rsidR="006D5DBD" w:rsidRPr="00AB3D8F" w:rsidRDefault="006D5DBD" w:rsidP="00AB3D8F">
      <w:pPr>
        <w:pStyle w:val="FootnoteText"/>
        <w:spacing w:after="60"/>
        <w:rPr>
          <w:rFonts w:eastAsia="SimSun"/>
          <w:sz w:val="20"/>
        </w:rPr>
      </w:pPr>
      <w:r w:rsidRPr="00AB3D8F">
        <w:rPr>
          <w:rStyle w:val="FootnoteReference"/>
          <w:rFonts w:eastAsia="SimSun"/>
          <w:sz w:val="20"/>
        </w:rPr>
        <w:footnoteRef/>
      </w:r>
      <w:r w:rsidR="00AB3D8F">
        <w:rPr>
          <w:rFonts w:eastAsia="SimSun" w:hint="eastAsia"/>
          <w:sz w:val="20"/>
        </w:rPr>
        <w:t xml:space="preserve"> </w:t>
      </w:r>
      <w:r w:rsidRPr="00AB3D8F">
        <w:rPr>
          <w:rFonts w:eastAsia="SimSun"/>
          <w:sz w:val="20"/>
        </w:rPr>
        <w:t xml:space="preserve"> </w:t>
      </w:r>
      <w:r w:rsidRPr="00AB3D8F">
        <w:rPr>
          <w:rFonts w:eastAsia="SimSun"/>
          <w:sz w:val="20"/>
        </w:rPr>
        <w:t>第</w:t>
      </w:r>
      <w:r w:rsidRPr="00AB3D8F">
        <w:rPr>
          <w:rFonts w:eastAsia="SimSun"/>
          <w:sz w:val="20"/>
        </w:rPr>
        <w:t>15/11</w:t>
      </w:r>
      <w:r w:rsidRPr="00AB3D8F">
        <w:rPr>
          <w:rFonts w:eastAsia="SimSun"/>
          <w:sz w:val="20"/>
        </w:rPr>
        <w:t>号决定，附件。</w:t>
      </w:r>
    </w:p>
  </w:footnote>
  <w:footnote w:id="31">
    <w:p w14:paraId="7CA34EE6" w14:textId="1E88B9D6" w:rsidR="006D5DBD" w:rsidRPr="00AB3D8F" w:rsidRDefault="006D5DBD" w:rsidP="00AB3D8F">
      <w:pPr>
        <w:pStyle w:val="FootnoteText"/>
        <w:spacing w:after="60"/>
        <w:rPr>
          <w:rFonts w:eastAsia="SimSun"/>
          <w:sz w:val="20"/>
        </w:rPr>
      </w:pPr>
      <w:r w:rsidRPr="00AB3D8F">
        <w:rPr>
          <w:rStyle w:val="FootnoteReference"/>
          <w:rFonts w:eastAsia="SimSun"/>
          <w:sz w:val="20"/>
        </w:rPr>
        <w:footnoteRef/>
      </w:r>
      <w:r w:rsidR="00AB3D8F">
        <w:rPr>
          <w:rFonts w:eastAsia="SimSun" w:hint="eastAsia"/>
          <w:sz w:val="20"/>
        </w:rPr>
        <w:t xml:space="preserve"> </w:t>
      </w:r>
      <w:r w:rsidRPr="00AB3D8F">
        <w:rPr>
          <w:rFonts w:eastAsia="SimSun"/>
          <w:sz w:val="20"/>
        </w:rPr>
        <w:t xml:space="preserve"> </w:t>
      </w:r>
      <w:r w:rsidRPr="00AB3D8F">
        <w:rPr>
          <w:rFonts w:eastAsia="SimSun"/>
          <w:sz w:val="20"/>
        </w:rPr>
        <w:t>联合国</w:t>
      </w:r>
      <w:r w:rsidRPr="00AB3D8F">
        <w:rPr>
          <w:rFonts w:eastAsia="SimSun"/>
          <w:sz w:val="20"/>
          <w:lang w:val="zh-CN"/>
        </w:rPr>
        <w:t>大会第</w:t>
      </w:r>
      <w:r w:rsidRPr="00AB3D8F">
        <w:rPr>
          <w:rFonts w:eastAsia="SimSun"/>
          <w:sz w:val="20"/>
          <w:lang w:val="zh-CN"/>
        </w:rPr>
        <w:t>61/295</w:t>
      </w:r>
      <w:r w:rsidRPr="00AB3D8F">
        <w:rPr>
          <w:rFonts w:eastAsia="SimSun"/>
          <w:sz w:val="20"/>
          <w:lang w:val="zh-CN"/>
        </w:rPr>
        <w:t>号决议，附件。</w:t>
      </w:r>
    </w:p>
  </w:footnote>
  <w:footnote w:id="32">
    <w:p w14:paraId="2016CECF" w14:textId="77777777" w:rsidR="006D5DBD" w:rsidRPr="00AB3D8F" w:rsidRDefault="006D5DBD" w:rsidP="00AB3D8F">
      <w:pPr>
        <w:pStyle w:val="FootnoteText"/>
        <w:snapToGrid w:val="0"/>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lang w:val="zh-CN"/>
        </w:rPr>
        <w:t>在本工作方案中，</w:t>
      </w:r>
      <w:r w:rsidRPr="00AB3D8F">
        <w:rPr>
          <w:rFonts w:eastAsia="SimSun"/>
          <w:sz w:val="20"/>
          <w:lang w:val="zh-CN"/>
        </w:rPr>
        <w:t>“</w:t>
      </w:r>
      <w:r w:rsidRPr="00AB3D8F">
        <w:rPr>
          <w:rFonts w:eastAsia="SimSun"/>
          <w:sz w:val="20"/>
          <w:lang w:val="zh-CN"/>
        </w:rPr>
        <w:t>参与</w:t>
      </w:r>
      <w:r w:rsidRPr="00AB3D8F">
        <w:rPr>
          <w:rFonts w:eastAsia="SimSun"/>
          <w:sz w:val="20"/>
          <w:lang w:val="zh-CN"/>
        </w:rPr>
        <w:t>”</w:t>
      </w:r>
      <w:r w:rsidRPr="00AB3D8F">
        <w:rPr>
          <w:rFonts w:eastAsia="SimSun"/>
          <w:sz w:val="20"/>
          <w:lang w:val="zh-CN"/>
        </w:rPr>
        <w:t>应理解为充分、公平、包容、有效和促进性别平等的参与。</w:t>
      </w:r>
    </w:p>
  </w:footnote>
  <w:footnote w:id="33">
    <w:p w14:paraId="26089B6A" w14:textId="77777777" w:rsidR="006D5DBD" w:rsidRPr="00AB3D8F" w:rsidRDefault="006D5DBD" w:rsidP="00AB3D8F">
      <w:pPr>
        <w:pStyle w:val="FootnoteText"/>
        <w:snapToGrid w:val="0"/>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lang w:val="zh-CN"/>
        </w:rPr>
        <w:t>在本工作方案中</w:t>
      </w:r>
      <w:r w:rsidRPr="00AB3D8F">
        <w:rPr>
          <w:rFonts w:eastAsia="SimSun"/>
          <w:sz w:val="20"/>
        </w:rPr>
        <w:t>，</w:t>
      </w:r>
      <w:r w:rsidRPr="00AB3D8F">
        <w:rPr>
          <w:rFonts w:eastAsia="SimSun"/>
          <w:sz w:val="20"/>
        </w:rPr>
        <w:t>“</w:t>
      </w:r>
      <w:r w:rsidRPr="00AB3D8F">
        <w:rPr>
          <w:rFonts w:eastAsia="SimSun"/>
          <w:sz w:val="20"/>
          <w:lang w:val="zh-CN"/>
        </w:rPr>
        <w:t>准则</w:t>
      </w:r>
      <w:r w:rsidRPr="00AB3D8F">
        <w:rPr>
          <w:rFonts w:eastAsia="SimSun"/>
          <w:sz w:val="20"/>
          <w:lang w:val="zh-CN"/>
        </w:rPr>
        <w:t>”</w:t>
      </w:r>
      <w:r w:rsidRPr="00AB3D8F">
        <w:rPr>
          <w:rFonts w:eastAsia="SimSun"/>
          <w:sz w:val="20"/>
          <w:lang w:val="zh-CN"/>
        </w:rPr>
        <w:t>指自愿准则。</w:t>
      </w:r>
    </w:p>
  </w:footnote>
  <w:footnote w:id="34">
    <w:p w14:paraId="333EFE89" w14:textId="77D165C4" w:rsidR="006D5DBD" w:rsidRPr="00E75CA1" w:rsidRDefault="006D5DBD" w:rsidP="00AB3D8F">
      <w:pPr>
        <w:pStyle w:val="CBDFootnoteText"/>
        <w:spacing w:after="60"/>
        <w:rPr>
          <w:sz w:val="20"/>
          <w:szCs w:val="20"/>
          <w:lang w:eastAsia="zh-CN"/>
        </w:rPr>
      </w:pPr>
      <w:r w:rsidRPr="00AB3D8F">
        <w:rPr>
          <w:rStyle w:val="FootnoteReference"/>
          <w:rFonts w:eastAsia="SimSun"/>
          <w:sz w:val="20"/>
          <w:szCs w:val="20"/>
          <w:lang w:eastAsia="zh-CN"/>
        </w:rPr>
        <w:footnoteRef/>
      </w:r>
      <w:r w:rsidRPr="00AB3D8F">
        <w:rPr>
          <w:rFonts w:eastAsia="SimSun"/>
          <w:sz w:val="20"/>
          <w:szCs w:val="20"/>
          <w:lang w:eastAsia="zh-CN"/>
        </w:rPr>
        <w:t xml:space="preserve">  “</w:t>
      </w:r>
      <w:r w:rsidRPr="00AB3D8F">
        <w:rPr>
          <w:rFonts w:eastAsia="SimSun"/>
          <w:sz w:val="20"/>
          <w:szCs w:val="20"/>
          <w:lang w:eastAsia="zh-CN"/>
        </w:rPr>
        <w:t>公约第</w:t>
      </w:r>
      <w:r w:rsidRPr="00AB3D8F">
        <w:rPr>
          <w:rFonts w:eastAsia="SimSun"/>
          <w:sz w:val="20"/>
          <w:szCs w:val="20"/>
          <w:lang w:eastAsia="zh-CN"/>
        </w:rPr>
        <w:t>8(j)</w:t>
      </w:r>
      <w:r w:rsidRPr="00AB3D8F">
        <w:rPr>
          <w:rFonts w:eastAsia="SimSun"/>
          <w:sz w:val="20"/>
          <w:szCs w:val="20"/>
          <w:lang w:eastAsia="zh-CN"/>
        </w:rPr>
        <w:t>条附属机构</w:t>
      </w:r>
      <w:r w:rsidRPr="00AB3D8F">
        <w:rPr>
          <w:rFonts w:eastAsia="SimSun"/>
          <w:sz w:val="20"/>
          <w:szCs w:val="20"/>
          <w:lang w:eastAsia="zh-CN"/>
        </w:rPr>
        <w:t>”</w:t>
      </w:r>
      <w:r w:rsidRPr="00AB3D8F">
        <w:rPr>
          <w:rFonts w:eastAsia="SimSun"/>
          <w:sz w:val="20"/>
          <w:szCs w:val="20"/>
          <w:lang w:eastAsia="zh-CN"/>
        </w:rPr>
        <w:t>指生物多样性公约关于土著人民和地方社区的第</w:t>
      </w:r>
      <w:r w:rsidRPr="00AB3D8F">
        <w:rPr>
          <w:rFonts w:eastAsia="SimSun"/>
          <w:sz w:val="20"/>
          <w:szCs w:val="20"/>
          <w:lang w:eastAsia="zh-CN"/>
        </w:rPr>
        <w:t>8(j)</w:t>
      </w:r>
      <w:r w:rsidRPr="00AB3D8F">
        <w:rPr>
          <w:rFonts w:eastAsia="SimSun"/>
          <w:sz w:val="20"/>
          <w:szCs w:val="20"/>
          <w:lang w:eastAsia="zh-CN"/>
        </w:rPr>
        <w:t>条和其他条款附属机构。</w:t>
      </w:r>
    </w:p>
  </w:footnote>
  <w:footnote w:id="35">
    <w:p w14:paraId="12B79D1F" w14:textId="77777777" w:rsidR="006D5DBD" w:rsidRPr="00AB3D8F" w:rsidRDefault="006D5DBD" w:rsidP="006D5DBD">
      <w:pPr>
        <w:suppressLineNumbers/>
        <w:tabs>
          <w:tab w:val="left" w:pos="597"/>
        </w:tabs>
        <w:suppressAutoHyphens/>
        <w:spacing w:after="60"/>
        <w:jc w:val="left"/>
        <w:rPr>
          <w:rFonts w:eastAsia="SimSun"/>
          <w:sz w:val="20"/>
          <w:szCs w:val="20"/>
        </w:rPr>
      </w:pPr>
      <w:r w:rsidRPr="00AB3D8F">
        <w:rPr>
          <w:rStyle w:val="FootnoteReference"/>
          <w:rFonts w:eastAsia="SimSun"/>
          <w:sz w:val="20"/>
          <w:szCs w:val="20"/>
        </w:rPr>
        <w:footnoteRef/>
      </w:r>
      <w:r w:rsidRPr="00AB3D8F">
        <w:rPr>
          <w:rFonts w:eastAsia="SimSun"/>
          <w:sz w:val="20"/>
          <w:szCs w:val="20"/>
        </w:rPr>
        <w:t xml:space="preserve">  </w:t>
      </w:r>
      <w:r w:rsidRPr="00AB3D8F">
        <w:rPr>
          <w:rFonts w:eastAsia="SimSun"/>
          <w:sz w:val="20"/>
          <w:szCs w:val="20"/>
        </w:rPr>
        <w:t>如生物多样性和生态系统服务政府间科学与政策平台</w:t>
      </w:r>
      <w:r w:rsidRPr="00AB3D8F">
        <w:rPr>
          <w:rFonts w:eastAsia="SimSun"/>
          <w:sz w:val="20"/>
          <w:szCs w:val="20"/>
        </w:rPr>
        <w:t>2019</w:t>
      </w:r>
      <w:r w:rsidRPr="00AB3D8F">
        <w:rPr>
          <w:rFonts w:eastAsia="SimSun"/>
          <w:sz w:val="20"/>
          <w:szCs w:val="20"/>
        </w:rPr>
        <w:t>年发布的《生物多样性和生态系统服务全球评估报告》所确定。</w:t>
      </w:r>
    </w:p>
  </w:footnote>
  <w:footnote w:id="36">
    <w:p w14:paraId="29136F73" w14:textId="77777777" w:rsidR="006D5DBD" w:rsidRPr="00AB3D8F" w:rsidRDefault="006D5DBD" w:rsidP="006D5DBD">
      <w:pPr>
        <w:pStyle w:val="FootnoteText"/>
        <w:snapToGrid w:val="0"/>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lang w:val="zh-CN"/>
        </w:rPr>
        <w:t>第</w:t>
      </w:r>
      <w:r w:rsidRPr="00AB3D8F">
        <w:rPr>
          <w:rFonts w:eastAsia="SimSun"/>
          <w:sz w:val="20"/>
          <w:lang w:val="zh-CN"/>
        </w:rPr>
        <w:t>XII/12 B</w:t>
      </w:r>
      <w:r w:rsidRPr="00AB3D8F">
        <w:rPr>
          <w:rFonts w:eastAsia="SimSun"/>
          <w:sz w:val="20"/>
          <w:lang w:val="zh-CN"/>
        </w:rPr>
        <w:t>号决定，附件。</w:t>
      </w:r>
    </w:p>
  </w:footnote>
  <w:footnote w:id="37">
    <w:p w14:paraId="69A769AA" w14:textId="77777777" w:rsidR="006D5DBD" w:rsidRPr="00E75CA1" w:rsidRDefault="006D5DBD" w:rsidP="006D5DBD">
      <w:pPr>
        <w:pStyle w:val="CBDFootnoteText"/>
        <w:spacing w:after="60"/>
        <w:rPr>
          <w:sz w:val="20"/>
          <w:szCs w:val="20"/>
          <w:lang w:eastAsia="zh-CN"/>
        </w:rPr>
      </w:pPr>
      <w:r w:rsidRPr="00AB3D8F">
        <w:rPr>
          <w:rStyle w:val="FootnoteReference"/>
          <w:rFonts w:eastAsia="SimSun"/>
          <w:sz w:val="20"/>
          <w:szCs w:val="20"/>
          <w:lang w:eastAsia="zh-CN"/>
        </w:rPr>
        <w:footnoteRef/>
      </w:r>
      <w:r w:rsidRPr="00AB3D8F">
        <w:rPr>
          <w:rFonts w:eastAsia="SimSun"/>
          <w:sz w:val="20"/>
          <w:szCs w:val="20"/>
          <w:lang w:eastAsia="zh-CN"/>
        </w:rPr>
        <w:t xml:space="preserve">  </w:t>
      </w:r>
      <w:r w:rsidRPr="00AB3D8F">
        <w:rPr>
          <w:rFonts w:eastAsia="SimSun"/>
          <w:sz w:val="20"/>
          <w:szCs w:val="20"/>
          <w:lang w:eastAsia="zh-CN"/>
        </w:rPr>
        <w:t>联合国，《条约汇编》，第</w:t>
      </w:r>
      <w:r w:rsidRPr="00AB3D8F">
        <w:rPr>
          <w:rFonts w:eastAsia="SimSun"/>
          <w:sz w:val="20"/>
          <w:szCs w:val="20"/>
          <w:lang w:eastAsia="zh-CN"/>
        </w:rPr>
        <w:t>1760</w:t>
      </w:r>
      <w:r w:rsidRPr="00AB3D8F">
        <w:rPr>
          <w:rFonts w:eastAsia="SimSun"/>
          <w:sz w:val="20"/>
          <w:szCs w:val="20"/>
          <w:lang w:eastAsia="zh-CN"/>
        </w:rPr>
        <w:t>卷，第</w:t>
      </w:r>
      <w:r w:rsidRPr="00AB3D8F">
        <w:rPr>
          <w:rFonts w:eastAsia="SimSun"/>
          <w:sz w:val="20"/>
          <w:szCs w:val="20"/>
          <w:lang w:eastAsia="zh-CN"/>
        </w:rPr>
        <w:t>30619</w:t>
      </w:r>
      <w:r w:rsidRPr="00AB3D8F">
        <w:rPr>
          <w:rFonts w:eastAsia="SimSun"/>
          <w:sz w:val="20"/>
          <w:szCs w:val="20"/>
          <w:lang w:eastAsia="zh-CN"/>
        </w:rPr>
        <w:t>号。</w:t>
      </w:r>
    </w:p>
  </w:footnote>
  <w:footnote w:id="38">
    <w:p w14:paraId="568D8542" w14:textId="77777777" w:rsidR="006D5DBD" w:rsidRPr="00AB3D8F" w:rsidRDefault="006D5DBD" w:rsidP="006D5DBD">
      <w:pPr>
        <w:pStyle w:val="CBDFootnoteText"/>
        <w:spacing w:after="60"/>
        <w:rPr>
          <w:rFonts w:eastAsia="SimSun"/>
          <w:sz w:val="20"/>
          <w:szCs w:val="20"/>
          <w:lang w:eastAsia="zh-CN"/>
        </w:rPr>
      </w:pPr>
      <w:r w:rsidRPr="00AB3D8F">
        <w:rPr>
          <w:rStyle w:val="FootnoteReference"/>
          <w:rFonts w:eastAsia="SimSun"/>
          <w:sz w:val="20"/>
          <w:szCs w:val="20"/>
          <w:lang w:eastAsia="zh-CN"/>
        </w:rPr>
        <w:footnoteRef/>
      </w:r>
      <w:r w:rsidRPr="00AB3D8F">
        <w:rPr>
          <w:rFonts w:eastAsia="SimSun"/>
          <w:sz w:val="20"/>
          <w:szCs w:val="20"/>
          <w:lang w:eastAsia="zh-CN"/>
        </w:rPr>
        <w:t xml:space="preserve">  </w:t>
      </w:r>
      <w:r w:rsidRPr="00AB3D8F">
        <w:rPr>
          <w:rFonts w:eastAsia="SimSun"/>
          <w:sz w:val="20"/>
          <w:szCs w:val="20"/>
          <w:lang w:eastAsia="zh-CN"/>
        </w:rPr>
        <w:t>第</w:t>
      </w:r>
      <w:r w:rsidRPr="00AB3D8F">
        <w:rPr>
          <w:rFonts w:eastAsia="SimSun"/>
          <w:sz w:val="20"/>
          <w:szCs w:val="20"/>
          <w:lang w:eastAsia="zh-CN"/>
        </w:rPr>
        <w:t xml:space="preserve"> 15/9</w:t>
      </w:r>
      <w:r w:rsidRPr="00AB3D8F">
        <w:rPr>
          <w:rFonts w:eastAsia="SimSun"/>
          <w:sz w:val="20"/>
          <w:szCs w:val="20"/>
          <w:lang w:eastAsia="zh-CN"/>
        </w:rPr>
        <w:t>号决定设立。</w:t>
      </w:r>
    </w:p>
  </w:footnote>
  <w:footnote w:id="39">
    <w:p w14:paraId="0E3E2167" w14:textId="77777777" w:rsidR="006D5DBD" w:rsidRPr="00AB3D8F" w:rsidRDefault="006D5DBD" w:rsidP="006D5DBD">
      <w:pPr>
        <w:pStyle w:val="FootnoteText"/>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kern w:val="22"/>
          <w:sz w:val="20"/>
        </w:rPr>
        <w:t>《</w:t>
      </w:r>
      <w:r w:rsidRPr="00AB3D8F">
        <w:rPr>
          <w:rFonts w:eastAsia="SimSun"/>
          <w:kern w:val="22"/>
          <w:sz w:val="20"/>
        </w:rPr>
        <w:t>“</w:t>
      </w:r>
      <w:r w:rsidRPr="00AB3D8F">
        <w:rPr>
          <w:rFonts w:eastAsia="SimSun"/>
          <w:kern w:val="22"/>
          <w:sz w:val="20"/>
        </w:rPr>
        <w:t>生命之根</w:t>
      </w:r>
      <w:r w:rsidRPr="00AB3D8F">
        <w:rPr>
          <w:rFonts w:eastAsia="SimSun"/>
          <w:kern w:val="22"/>
          <w:sz w:val="20"/>
        </w:rPr>
        <w:t>”</w:t>
      </w:r>
      <w:r w:rsidRPr="00AB3D8F">
        <w:rPr>
          <w:rFonts w:eastAsia="SimSun"/>
          <w:kern w:val="22"/>
          <w:sz w:val="20"/>
        </w:rPr>
        <w:t>自愿准则》，用于制订各种机制、法律或其他适当倡议，确保取得土著人民和地方社区取决于国情的关于获取其知识、创新和做法的</w:t>
      </w:r>
      <w:r w:rsidRPr="00AB3D8F">
        <w:rPr>
          <w:rFonts w:eastAsia="SimSun"/>
          <w:kern w:val="22"/>
          <w:sz w:val="20"/>
        </w:rPr>
        <w:t>“</w:t>
      </w:r>
      <w:r w:rsidRPr="00AB3D8F">
        <w:rPr>
          <w:rFonts w:eastAsia="SimSun"/>
          <w:kern w:val="22"/>
          <w:sz w:val="20"/>
        </w:rPr>
        <w:t>事先和知情同意</w:t>
      </w:r>
      <w:r w:rsidRPr="00AB3D8F">
        <w:rPr>
          <w:rFonts w:eastAsia="SimSun"/>
          <w:kern w:val="22"/>
          <w:sz w:val="20"/>
        </w:rPr>
        <w:t>”</w:t>
      </w:r>
      <w:r w:rsidRPr="00AB3D8F">
        <w:rPr>
          <w:rFonts w:eastAsia="SimSun"/>
          <w:kern w:val="22"/>
          <w:sz w:val="20"/>
        </w:rPr>
        <w:t>、</w:t>
      </w:r>
      <w:r w:rsidRPr="00AB3D8F">
        <w:rPr>
          <w:rFonts w:eastAsia="SimSun"/>
          <w:kern w:val="22"/>
          <w:sz w:val="20"/>
        </w:rPr>
        <w:t>“</w:t>
      </w:r>
      <w:r w:rsidRPr="00AB3D8F">
        <w:rPr>
          <w:rFonts w:eastAsia="SimSun"/>
          <w:kern w:val="22"/>
          <w:sz w:val="20"/>
        </w:rPr>
        <w:t>自由、事先和知情同意</w:t>
      </w:r>
      <w:r w:rsidRPr="00AB3D8F">
        <w:rPr>
          <w:rFonts w:eastAsia="SimSun"/>
          <w:kern w:val="22"/>
          <w:sz w:val="20"/>
        </w:rPr>
        <w:t>”</w:t>
      </w:r>
      <w:r w:rsidRPr="00AB3D8F">
        <w:rPr>
          <w:rFonts w:eastAsia="SimSun"/>
          <w:kern w:val="22"/>
          <w:sz w:val="20"/>
        </w:rPr>
        <w:t>或</w:t>
      </w:r>
      <w:r w:rsidRPr="00AB3D8F">
        <w:rPr>
          <w:rFonts w:eastAsia="SimSun"/>
          <w:kern w:val="22"/>
          <w:sz w:val="20"/>
        </w:rPr>
        <w:t>“</w:t>
      </w:r>
      <w:r w:rsidRPr="00AB3D8F">
        <w:rPr>
          <w:rFonts w:eastAsia="SimSun"/>
          <w:kern w:val="22"/>
          <w:sz w:val="20"/>
        </w:rPr>
        <w:t>批准和参与</w:t>
      </w:r>
      <w:r w:rsidRPr="00AB3D8F">
        <w:rPr>
          <w:rFonts w:eastAsia="SimSun"/>
          <w:kern w:val="22"/>
          <w:sz w:val="20"/>
        </w:rPr>
        <w:t>”</w:t>
      </w:r>
      <w:r w:rsidRPr="00AB3D8F">
        <w:rPr>
          <w:rFonts w:eastAsia="SimSun"/>
          <w:kern w:val="22"/>
          <w:sz w:val="20"/>
        </w:rPr>
        <w:t>，公正和公平地分享利用其与保护和可持续利用生物多样性有关的知识、创新和做法所产生的惠益，报告和防止非法占用传统知识（第</w:t>
      </w:r>
      <w:r w:rsidRPr="00AB3D8F">
        <w:rPr>
          <w:rFonts w:eastAsia="SimSun"/>
          <w:kern w:val="22"/>
          <w:sz w:val="20"/>
        </w:rPr>
        <w:t>XIII/18</w:t>
      </w:r>
      <w:r w:rsidRPr="00AB3D8F">
        <w:rPr>
          <w:rFonts w:eastAsia="SimSun"/>
          <w:kern w:val="22"/>
          <w:sz w:val="20"/>
        </w:rPr>
        <w:t>号决定，附件）。</w:t>
      </w:r>
    </w:p>
  </w:footnote>
  <w:footnote w:id="40">
    <w:p w14:paraId="00941987" w14:textId="77777777" w:rsidR="006D5DBD" w:rsidRPr="00AB3D8F" w:rsidRDefault="006D5DBD" w:rsidP="006D5DBD">
      <w:pPr>
        <w:pStyle w:val="FootnoteText"/>
        <w:spacing w:after="60"/>
        <w:rPr>
          <w:rFonts w:eastAsia="SimSun"/>
          <w:kern w:val="22"/>
          <w:sz w:val="20"/>
          <w:highlight w:val="yellow"/>
        </w:rPr>
      </w:pPr>
      <w:r w:rsidRPr="00AB3D8F">
        <w:rPr>
          <w:rStyle w:val="FootnoteReference"/>
          <w:rFonts w:eastAsia="SimSun"/>
          <w:sz w:val="20"/>
        </w:rPr>
        <w:footnoteRef/>
      </w:r>
      <w:r w:rsidRPr="00AB3D8F">
        <w:rPr>
          <w:rFonts w:eastAsia="SimSun"/>
          <w:sz w:val="20"/>
        </w:rPr>
        <w:t xml:space="preserve">  UNEP/CBD/COP/10/INF/3</w:t>
      </w:r>
      <w:r w:rsidRPr="00AB3D8F">
        <w:rPr>
          <w:rFonts w:eastAsia="SimSun"/>
          <w:sz w:val="20"/>
        </w:rPr>
        <w:t>，附件一。根据第</w:t>
      </w:r>
      <w:hyperlink r:id="rId4" w:history="1">
        <w:r w:rsidRPr="00AB3D8F">
          <w:rPr>
            <w:rStyle w:val="Hyperlink"/>
            <w:rFonts w:eastAsia="SimSun"/>
            <w:sz w:val="20"/>
          </w:rPr>
          <w:t>15/22</w:t>
        </w:r>
      </w:hyperlink>
      <w:r w:rsidRPr="00AB3D8F">
        <w:rPr>
          <w:rFonts w:eastAsia="SimSun"/>
          <w:sz w:val="20"/>
        </w:rPr>
        <w:t>号决定，联合工作方案由秘书处、联合国教育、科学及文化组织、国际自然保护联盟和其他伙伴牵头。</w:t>
      </w:r>
    </w:p>
  </w:footnote>
  <w:footnote w:id="41">
    <w:p w14:paraId="4CA410DB" w14:textId="77777777" w:rsidR="006D5DBD" w:rsidRPr="00AB3D8F" w:rsidRDefault="006D5DBD" w:rsidP="006D5DBD">
      <w:pPr>
        <w:pStyle w:val="FootnoteText"/>
        <w:spacing w:after="60"/>
        <w:rPr>
          <w:rFonts w:eastAsia="SimSun"/>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rPr>
        <w:t>第</w:t>
      </w:r>
      <w:hyperlink r:id="rId5" w:history="1">
        <w:r w:rsidRPr="00AB3D8F">
          <w:rPr>
            <w:rStyle w:val="Hyperlink"/>
            <w:rFonts w:eastAsia="SimSun"/>
            <w:sz w:val="20"/>
          </w:rPr>
          <w:t>15/8</w:t>
        </w:r>
      </w:hyperlink>
      <w:r w:rsidRPr="00AB3D8F">
        <w:rPr>
          <w:rFonts w:eastAsia="SimSun"/>
          <w:sz w:val="20"/>
        </w:rPr>
        <w:t>号决定，附件一。</w:t>
      </w:r>
    </w:p>
  </w:footnote>
  <w:footnote w:id="42">
    <w:p w14:paraId="4D277FF8" w14:textId="77777777" w:rsidR="006D5DBD" w:rsidRPr="00BE5257" w:rsidRDefault="006D5DBD" w:rsidP="006D5DBD">
      <w:pPr>
        <w:pStyle w:val="FootnoteText"/>
        <w:spacing w:after="60"/>
        <w:rPr>
          <w:sz w:val="20"/>
        </w:rPr>
      </w:pPr>
      <w:r w:rsidRPr="00AB3D8F">
        <w:rPr>
          <w:rStyle w:val="FootnoteReference"/>
          <w:rFonts w:eastAsia="SimSun"/>
          <w:sz w:val="20"/>
        </w:rPr>
        <w:footnoteRef/>
      </w:r>
      <w:r w:rsidRPr="00AB3D8F">
        <w:rPr>
          <w:rFonts w:eastAsia="SimSun"/>
          <w:sz w:val="20"/>
        </w:rPr>
        <w:t xml:space="preserve">  </w:t>
      </w:r>
      <w:r w:rsidRPr="00AB3D8F">
        <w:rPr>
          <w:rFonts w:eastAsia="SimSun"/>
          <w:sz w:val="20"/>
        </w:rPr>
        <w:t>第</w:t>
      </w:r>
      <w:hyperlink r:id="rId6" w:history="1">
        <w:r w:rsidRPr="00AB3D8F">
          <w:rPr>
            <w:rStyle w:val="Hyperlink"/>
            <w:rFonts w:eastAsia="SimSun"/>
            <w:sz w:val="20"/>
          </w:rPr>
          <w:t>16/9 B</w:t>
        </w:r>
      </w:hyperlink>
      <w:r w:rsidRPr="00AB3D8F">
        <w:rPr>
          <w:rFonts w:eastAsia="SimSun"/>
          <w:sz w:val="20"/>
        </w:rPr>
        <w:t>号决定，附件。</w:t>
      </w:r>
    </w:p>
  </w:footnote>
  <w:footnote w:id="43">
    <w:p w14:paraId="7F652D4C" w14:textId="09AB74B3" w:rsidR="006D5DBD" w:rsidRPr="00835BE0" w:rsidRDefault="006D5DBD" w:rsidP="006D5DBD">
      <w:pPr>
        <w:pStyle w:val="CBDFootnoteText"/>
        <w:spacing w:after="60"/>
        <w:rPr>
          <w:rFonts w:eastAsia="SimSun"/>
          <w:sz w:val="20"/>
          <w:szCs w:val="20"/>
          <w:lang w:eastAsia="zh-CN"/>
        </w:rPr>
      </w:pPr>
      <w:r w:rsidRPr="00835BE0">
        <w:rPr>
          <w:rStyle w:val="FootnoteReference"/>
          <w:rFonts w:eastAsia="SimSun"/>
          <w:sz w:val="20"/>
          <w:szCs w:val="20"/>
          <w:lang w:eastAsia="zh-CN"/>
        </w:rPr>
        <w:footnoteRef/>
      </w:r>
      <w:r w:rsidRPr="00835BE0">
        <w:rPr>
          <w:rFonts w:eastAsia="SimSun"/>
          <w:sz w:val="20"/>
          <w:szCs w:val="20"/>
          <w:lang w:eastAsia="zh-CN"/>
        </w:rPr>
        <w:t xml:space="preserve">  </w:t>
      </w:r>
      <w:r w:rsidRPr="00835BE0">
        <w:rPr>
          <w:rFonts w:eastAsia="SimSun"/>
          <w:sz w:val="20"/>
          <w:szCs w:val="20"/>
          <w:lang w:eastAsia="zh-CN"/>
        </w:rPr>
        <w:t>第</w:t>
      </w:r>
      <w:hyperlink r:id="rId7" w:history="1">
        <w:r w:rsidRPr="00835BE0">
          <w:rPr>
            <w:rStyle w:val="Hyperlink"/>
            <w:rFonts w:eastAsia="SimSun"/>
            <w:sz w:val="20"/>
            <w:szCs w:val="20"/>
            <w:lang w:eastAsia="zh-CN"/>
          </w:rPr>
          <w:t>14/13</w:t>
        </w:r>
      </w:hyperlink>
      <w:r w:rsidRPr="00835BE0">
        <w:rPr>
          <w:rFonts w:eastAsia="SimSun"/>
          <w:sz w:val="20"/>
          <w:szCs w:val="20"/>
          <w:lang w:eastAsia="zh-CN"/>
        </w:rPr>
        <w:t>号决定，附件。</w:t>
      </w:r>
    </w:p>
  </w:footnote>
  <w:footnote w:id="44">
    <w:p w14:paraId="6787C580" w14:textId="4463910F" w:rsidR="006D5DBD" w:rsidRPr="00835BE0" w:rsidRDefault="006D5DBD" w:rsidP="006D5DBD">
      <w:pPr>
        <w:pStyle w:val="CBDFootnoteText"/>
        <w:spacing w:after="60"/>
        <w:rPr>
          <w:rFonts w:eastAsia="SimSun"/>
          <w:sz w:val="20"/>
          <w:szCs w:val="20"/>
          <w:lang w:eastAsia="zh-CN"/>
        </w:rPr>
      </w:pPr>
      <w:r w:rsidRPr="00835BE0">
        <w:rPr>
          <w:rStyle w:val="FootnoteReference"/>
          <w:rFonts w:eastAsia="SimSun"/>
          <w:sz w:val="20"/>
          <w:szCs w:val="20"/>
          <w:lang w:eastAsia="zh-CN"/>
        </w:rPr>
        <w:footnoteRef/>
      </w:r>
      <w:r w:rsidRPr="00835BE0">
        <w:rPr>
          <w:rFonts w:eastAsia="SimSun"/>
          <w:sz w:val="20"/>
          <w:szCs w:val="20"/>
          <w:lang w:eastAsia="zh-CN"/>
        </w:rPr>
        <w:t xml:space="preserve">  </w:t>
      </w:r>
      <w:r w:rsidRPr="00835BE0">
        <w:rPr>
          <w:rFonts w:eastAsia="SimSun"/>
          <w:sz w:val="20"/>
          <w:szCs w:val="20"/>
          <w:lang w:eastAsia="zh-CN"/>
        </w:rPr>
        <w:t>第</w:t>
      </w:r>
      <w:r w:rsidRPr="00835BE0">
        <w:rPr>
          <w:rFonts w:eastAsia="SimSun"/>
          <w:sz w:val="20"/>
          <w:szCs w:val="20"/>
          <w:lang w:eastAsia="zh-CN"/>
        </w:rPr>
        <w:t xml:space="preserve"> </w:t>
      </w:r>
      <w:hyperlink r:id="rId8" w:history="1">
        <w:r w:rsidRPr="00835BE0">
          <w:rPr>
            <w:rStyle w:val="Hyperlink"/>
            <w:rFonts w:eastAsia="SimSun"/>
            <w:sz w:val="20"/>
            <w:szCs w:val="20"/>
            <w:lang w:eastAsia="zh-CN"/>
          </w:rPr>
          <w:t>VII/16 F</w:t>
        </w:r>
      </w:hyperlink>
      <w:r w:rsidRPr="00835BE0">
        <w:rPr>
          <w:rFonts w:eastAsia="SimSun"/>
          <w:sz w:val="20"/>
          <w:szCs w:val="20"/>
          <w:lang w:eastAsia="zh-CN"/>
        </w:rPr>
        <w:t>号决定，附件。</w:t>
      </w:r>
    </w:p>
  </w:footnote>
  <w:footnote w:id="45">
    <w:p w14:paraId="5EB0BA4E" w14:textId="3F562AE8" w:rsidR="006D5DBD" w:rsidRPr="00835BE0" w:rsidRDefault="006D5DBD" w:rsidP="006D5DBD">
      <w:pPr>
        <w:pStyle w:val="FootnoteText"/>
        <w:spacing w:after="60"/>
        <w:rPr>
          <w:rFonts w:eastAsia="SimSun"/>
          <w:sz w:val="20"/>
        </w:rPr>
      </w:pPr>
      <w:r w:rsidRPr="00835BE0">
        <w:rPr>
          <w:rStyle w:val="FootnoteReference"/>
          <w:rFonts w:eastAsia="SimSun"/>
          <w:sz w:val="20"/>
        </w:rPr>
        <w:footnoteRef/>
      </w:r>
      <w:r w:rsidRPr="00835BE0">
        <w:rPr>
          <w:rFonts w:eastAsia="SimSun"/>
          <w:sz w:val="20"/>
        </w:rPr>
        <w:t xml:space="preserve">  </w:t>
      </w:r>
      <w:r w:rsidRPr="00835BE0">
        <w:rPr>
          <w:rFonts w:eastAsia="SimSun"/>
          <w:sz w:val="20"/>
        </w:rPr>
        <w:t>第</w:t>
      </w:r>
      <w:hyperlink r:id="rId9" w:history="1">
        <w:r w:rsidRPr="00835BE0">
          <w:rPr>
            <w:rStyle w:val="Hyperlink"/>
            <w:rFonts w:eastAsia="SimSun"/>
            <w:sz w:val="20"/>
          </w:rPr>
          <w:t>X/42</w:t>
        </w:r>
      </w:hyperlink>
      <w:r w:rsidRPr="00835BE0">
        <w:rPr>
          <w:rFonts w:eastAsia="SimSun"/>
          <w:sz w:val="20"/>
        </w:rPr>
        <w:t>号决定，附件。</w:t>
      </w:r>
    </w:p>
  </w:footnote>
  <w:footnote w:id="46">
    <w:p w14:paraId="3CE83760" w14:textId="5D8A52F6" w:rsidR="006D5DBD" w:rsidRPr="00835BE0" w:rsidRDefault="006D5DBD" w:rsidP="006D5DBD">
      <w:pPr>
        <w:pStyle w:val="FootnoteText"/>
        <w:spacing w:after="60"/>
        <w:rPr>
          <w:rFonts w:eastAsia="SimSun"/>
          <w:sz w:val="20"/>
        </w:rPr>
      </w:pPr>
      <w:r w:rsidRPr="00835BE0">
        <w:rPr>
          <w:rStyle w:val="FootnoteReference"/>
          <w:rFonts w:eastAsia="SimSun"/>
          <w:sz w:val="20"/>
        </w:rPr>
        <w:footnoteRef/>
      </w:r>
      <w:r w:rsidRPr="00835BE0">
        <w:rPr>
          <w:rFonts w:eastAsia="SimSun"/>
          <w:sz w:val="20"/>
        </w:rPr>
        <w:t xml:space="preserve">  </w:t>
      </w:r>
      <w:r w:rsidRPr="00835BE0">
        <w:rPr>
          <w:rFonts w:eastAsia="SimSun"/>
          <w:sz w:val="20"/>
        </w:rPr>
        <w:t>第</w:t>
      </w:r>
      <w:hyperlink r:id="rId10" w:history="1">
        <w:r w:rsidRPr="00835BE0">
          <w:rPr>
            <w:rStyle w:val="Hyperlink"/>
            <w:rFonts w:eastAsia="SimSun"/>
            <w:sz w:val="20"/>
          </w:rPr>
          <w:t>14/12</w:t>
        </w:r>
      </w:hyperlink>
      <w:r w:rsidRPr="00835BE0">
        <w:rPr>
          <w:rFonts w:eastAsia="SimSun"/>
          <w:sz w:val="20"/>
        </w:rPr>
        <w:t>号决定，附件。</w:t>
      </w:r>
    </w:p>
  </w:footnote>
  <w:footnote w:id="47">
    <w:p w14:paraId="33A12D13" w14:textId="59F2FC55" w:rsidR="006D5DBD" w:rsidRPr="00835BE0" w:rsidRDefault="006D5DBD" w:rsidP="006D5DBD">
      <w:pPr>
        <w:pStyle w:val="CBDFootnoteText"/>
        <w:spacing w:after="60"/>
        <w:rPr>
          <w:rFonts w:eastAsia="SimSun"/>
          <w:sz w:val="20"/>
          <w:szCs w:val="20"/>
          <w:lang w:eastAsia="zh-CN"/>
        </w:rPr>
      </w:pPr>
      <w:r w:rsidRPr="00835BE0">
        <w:rPr>
          <w:rStyle w:val="FootnoteReference"/>
          <w:rFonts w:eastAsia="SimSun"/>
          <w:sz w:val="20"/>
          <w:szCs w:val="20"/>
          <w:lang w:eastAsia="zh-CN"/>
        </w:rPr>
        <w:footnoteRef/>
      </w:r>
      <w:r w:rsidRPr="00835BE0">
        <w:rPr>
          <w:rFonts w:eastAsia="SimSun"/>
          <w:sz w:val="20"/>
          <w:szCs w:val="20"/>
          <w:lang w:eastAsia="zh-CN"/>
        </w:rPr>
        <w:t xml:space="preserve">  </w:t>
      </w:r>
      <w:r w:rsidRPr="00835BE0">
        <w:rPr>
          <w:rFonts w:eastAsia="SimSun"/>
          <w:sz w:val="20"/>
          <w:szCs w:val="20"/>
          <w:lang w:eastAsia="zh-CN"/>
        </w:rPr>
        <w:t>第</w:t>
      </w:r>
      <w:hyperlink r:id="rId11" w:history="1">
        <w:r w:rsidRPr="00835BE0">
          <w:rPr>
            <w:rStyle w:val="Hyperlink"/>
            <w:rFonts w:eastAsia="SimSun"/>
            <w:sz w:val="20"/>
            <w:szCs w:val="20"/>
            <w:lang w:eastAsia="zh-CN"/>
          </w:rPr>
          <w:t>XII/3</w:t>
        </w:r>
      </w:hyperlink>
      <w:r w:rsidRPr="00835BE0">
        <w:rPr>
          <w:rFonts w:eastAsia="SimSun"/>
          <w:sz w:val="20"/>
          <w:szCs w:val="20"/>
          <w:lang w:eastAsia="zh-CN"/>
        </w:rPr>
        <w:t>号决定，附件三。</w:t>
      </w:r>
    </w:p>
  </w:footnote>
  <w:footnote w:id="48">
    <w:p w14:paraId="494B0B84" w14:textId="774B5360" w:rsidR="006D5DBD" w:rsidRPr="00AB3D8F" w:rsidRDefault="006D5DBD" w:rsidP="006D5DBD">
      <w:pPr>
        <w:pStyle w:val="CBDFootnoteText"/>
        <w:spacing w:after="60"/>
        <w:rPr>
          <w:rFonts w:eastAsia="SimSun"/>
          <w:sz w:val="20"/>
          <w:szCs w:val="20"/>
          <w:lang w:eastAsia="zh-CN"/>
        </w:rPr>
      </w:pPr>
      <w:r w:rsidRPr="00835BE0">
        <w:rPr>
          <w:rStyle w:val="FootnoteReference"/>
          <w:rFonts w:eastAsia="SimSun"/>
          <w:sz w:val="20"/>
          <w:szCs w:val="20"/>
          <w:lang w:eastAsia="zh-CN"/>
        </w:rPr>
        <w:footnoteRef/>
      </w:r>
      <w:r w:rsidRPr="00835BE0">
        <w:rPr>
          <w:rFonts w:eastAsia="SimSun"/>
          <w:sz w:val="20"/>
          <w:szCs w:val="20"/>
          <w:lang w:eastAsia="zh-CN"/>
        </w:rPr>
        <w:t xml:space="preserve">  </w:t>
      </w:r>
      <w:r w:rsidRPr="00835BE0">
        <w:rPr>
          <w:rFonts w:eastAsia="SimSun"/>
          <w:sz w:val="20"/>
          <w:szCs w:val="20"/>
          <w:lang w:eastAsia="zh-CN"/>
        </w:rPr>
        <w:t>第</w:t>
      </w:r>
      <w:hyperlink r:id="rId12" w:history="1">
        <w:r w:rsidRPr="00835BE0">
          <w:rPr>
            <w:rStyle w:val="Hyperlink"/>
            <w:rFonts w:eastAsia="SimSun"/>
            <w:sz w:val="20"/>
            <w:szCs w:val="20"/>
            <w:lang w:eastAsia="zh-CN"/>
          </w:rPr>
          <w:t>XIII/20</w:t>
        </w:r>
      </w:hyperlink>
      <w:r w:rsidRPr="00835BE0">
        <w:rPr>
          <w:rFonts w:eastAsia="SimSun"/>
          <w:sz w:val="20"/>
          <w:szCs w:val="20"/>
          <w:lang w:eastAsia="zh-CN"/>
        </w:rPr>
        <w:t>号决定，附件。</w:t>
      </w:r>
    </w:p>
  </w:footnote>
  <w:footnote w:id="49">
    <w:p w14:paraId="5F05AA15" w14:textId="4A202431" w:rsidR="006D5DBD" w:rsidRPr="00835BE0" w:rsidRDefault="006D5DBD" w:rsidP="006D5DBD">
      <w:pPr>
        <w:pStyle w:val="CBDFootnoteText"/>
        <w:spacing w:after="60"/>
        <w:rPr>
          <w:rFonts w:eastAsia="SimSun"/>
          <w:sz w:val="20"/>
          <w:szCs w:val="20"/>
          <w:lang w:eastAsia="zh-CN"/>
        </w:rPr>
      </w:pPr>
      <w:r w:rsidRPr="00835BE0">
        <w:rPr>
          <w:rStyle w:val="FootnoteReference"/>
          <w:rFonts w:eastAsia="SimSun"/>
          <w:sz w:val="20"/>
          <w:szCs w:val="20"/>
          <w:lang w:eastAsia="zh-CN"/>
        </w:rPr>
        <w:footnoteRef/>
      </w:r>
      <w:r w:rsidRPr="00835BE0">
        <w:rPr>
          <w:rFonts w:eastAsia="SimSun"/>
          <w:sz w:val="20"/>
          <w:szCs w:val="20"/>
          <w:lang w:eastAsia="zh-CN"/>
        </w:rPr>
        <w:t xml:space="preserve">  </w:t>
      </w:r>
      <w:r w:rsidRPr="00835BE0">
        <w:rPr>
          <w:rFonts w:eastAsia="SimSun"/>
          <w:sz w:val="20"/>
          <w:szCs w:val="20"/>
          <w:lang w:eastAsia="zh-CN"/>
        </w:rPr>
        <w:t>见第</w:t>
      </w:r>
      <w:hyperlink r:id="rId13" w:history="1">
        <w:r w:rsidRPr="00835BE0">
          <w:rPr>
            <w:rStyle w:val="Hyperlink"/>
            <w:rFonts w:eastAsia="SimSun"/>
            <w:sz w:val="20"/>
            <w:szCs w:val="20"/>
            <w:lang w:eastAsia="zh-CN"/>
          </w:rPr>
          <w:t>XIII/28</w:t>
        </w:r>
      </w:hyperlink>
      <w:r w:rsidRPr="00835BE0">
        <w:rPr>
          <w:rFonts w:eastAsia="SimSun"/>
          <w:sz w:val="20"/>
          <w:szCs w:val="20"/>
          <w:lang w:eastAsia="zh-CN"/>
        </w:rPr>
        <w:t>号决定，附件，行动目标</w:t>
      </w:r>
      <w:r w:rsidRPr="00835BE0">
        <w:rPr>
          <w:rFonts w:eastAsia="SimSun"/>
          <w:sz w:val="20"/>
          <w:szCs w:val="20"/>
          <w:lang w:eastAsia="zh-CN"/>
        </w:rPr>
        <w:t>18</w:t>
      </w:r>
      <w:r w:rsidRPr="00835BE0">
        <w:rPr>
          <w:rFonts w:eastAsia="SimSun"/>
          <w:sz w:val="20"/>
          <w:szCs w:val="20"/>
          <w:lang w:eastAsia="zh-CN"/>
        </w:rPr>
        <w:t>。</w:t>
      </w:r>
      <w:r w:rsidRPr="00835BE0">
        <w:rPr>
          <w:rFonts w:eastAsia="SimSun"/>
          <w:sz w:val="20"/>
          <w:szCs w:val="20"/>
          <w:lang w:eastAsia="zh-CN"/>
        </w:rPr>
        <w:t xml:space="preserve"> </w:t>
      </w:r>
    </w:p>
  </w:footnote>
  <w:footnote w:id="50">
    <w:p w14:paraId="775ACD61" w14:textId="2307D798" w:rsidR="006D5DBD" w:rsidRPr="00BE5257" w:rsidRDefault="006D5DBD" w:rsidP="006D5DBD">
      <w:pPr>
        <w:pStyle w:val="FootnoteText"/>
        <w:spacing w:after="60"/>
        <w:rPr>
          <w:sz w:val="20"/>
        </w:rPr>
      </w:pPr>
      <w:r w:rsidRPr="00835BE0">
        <w:rPr>
          <w:rStyle w:val="FootnoteReference"/>
          <w:rFonts w:eastAsia="SimSun"/>
          <w:sz w:val="20"/>
        </w:rPr>
        <w:footnoteRef/>
      </w:r>
      <w:r w:rsidR="00AB3D8F" w:rsidRPr="00835BE0">
        <w:rPr>
          <w:rFonts w:eastAsia="SimSun"/>
          <w:sz w:val="20"/>
        </w:rPr>
        <w:t xml:space="preserve"> </w:t>
      </w:r>
      <w:r w:rsidRPr="00835BE0">
        <w:rPr>
          <w:rFonts w:eastAsia="SimSun"/>
          <w:sz w:val="20"/>
        </w:rPr>
        <w:t xml:space="preserve"> </w:t>
      </w:r>
      <w:r w:rsidRPr="00835BE0">
        <w:rPr>
          <w:rFonts w:eastAsia="SimSun"/>
          <w:sz w:val="20"/>
        </w:rPr>
        <w:t>所提及</w:t>
      </w:r>
      <w:r w:rsidRPr="00835BE0">
        <w:rPr>
          <w:rFonts w:eastAsia="SimSun"/>
          <w:sz w:val="20"/>
        </w:rPr>
        <w:t>“</w:t>
      </w:r>
      <w:r w:rsidRPr="00835BE0">
        <w:rPr>
          <w:rFonts w:eastAsia="SimSun"/>
          <w:sz w:val="20"/>
        </w:rPr>
        <w:t>传统土地保有权</w:t>
      </w:r>
      <w:r w:rsidRPr="00835BE0">
        <w:rPr>
          <w:rFonts w:eastAsia="SimSun"/>
          <w:sz w:val="20"/>
        </w:rPr>
        <w:t>”</w:t>
      </w:r>
      <w:r w:rsidRPr="00835BE0">
        <w:rPr>
          <w:rFonts w:eastAsia="SimSun"/>
          <w:sz w:val="20"/>
        </w:rPr>
        <w:t>包括土地和水域。</w:t>
      </w:r>
      <w:r w:rsidRPr="00835BE0">
        <w:rPr>
          <w:rFonts w:eastAsia="SimSun"/>
          <w:sz w:val="20"/>
        </w:rPr>
        <w:t xml:space="preserve"> </w:t>
      </w:r>
    </w:p>
  </w:footnote>
  <w:footnote w:id="51">
    <w:p w14:paraId="0C3DAED0" w14:textId="13E2C052" w:rsidR="006D5DBD" w:rsidRPr="003C5338" w:rsidRDefault="006D5DBD" w:rsidP="006D5DBD">
      <w:pPr>
        <w:pStyle w:val="FootnoteText"/>
        <w:spacing w:after="6"/>
        <w:rPr>
          <w:rFonts w:eastAsia="SimSun"/>
          <w:sz w:val="20"/>
        </w:rPr>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Pr="003C5338">
        <w:rPr>
          <w:rFonts w:eastAsia="SimSun"/>
          <w:sz w:val="20"/>
        </w:rPr>
        <w:t>联合国，《条约汇编》，第</w:t>
      </w:r>
      <w:r w:rsidRPr="003C5338">
        <w:rPr>
          <w:rFonts w:eastAsia="SimSun"/>
          <w:sz w:val="20"/>
        </w:rPr>
        <w:t>1760</w:t>
      </w:r>
      <w:r w:rsidRPr="003C5338">
        <w:rPr>
          <w:rFonts w:eastAsia="SimSun"/>
          <w:sz w:val="20"/>
        </w:rPr>
        <w:t>卷，第</w:t>
      </w:r>
      <w:r w:rsidRPr="003C5338">
        <w:rPr>
          <w:rFonts w:eastAsia="SimSun"/>
          <w:sz w:val="20"/>
        </w:rPr>
        <w:t>30619</w:t>
      </w:r>
      <w:r w:rsidRPr="003C5338">
        <w:rPr>
          <w:rFonts w:eastAsia="SimSun"/>
          <w:sz w:val="20"/>
        </w:rPr>
        <w:t>号。</w:t>
      </w:r>
    </w:p>
  </w:footnote>
  <w:footnote w:id="52">
    <w:p w14:paraId="35680B00" w14:textId="7CF8D563" w:rsidR="006D5DBD" w:rsidRPr="003C5338" w:rsidRDefault="006D5DBD" w:rsidP="006D5DBD">
      <w:pPr>
        <w:pStyle w:val="FootnoteText"/>
        <w:spacing w:after="6"/>
        <w:rPr>
          <w:rFonts w:eastAsia="SimSun"/>
          <w:sz w:val="20"/>
        </w:rPr>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Pr="003C5338">
        <w:rPr>
          <w:rFonts w:eastAsia="SimSun"/>
          <w:sz w:val="20"/>
        </w:rPr>
        <w:t>第</w:t>
      </w:r>
      <w:r w:rsidRPr="003C5338">
        <w:rPr>
          <w:rFonts w:eastAsia="SimSun"/>
          <w:sz w:val="20"/>
        </w:rPr>
        <w:t>15/4</w:t>
      </w:r>
      <w:r w:rsidRPr="003C5338">
        <w:rPr>
          <w:rFonts w:eastAsia="SimSun"/>
          <w:sz w:val="20"/>
        </w:rPr>
        <w:t>号决定，附件。</w:t>
      </w:r>
    </w:p>
  </w:footnote>
  <w:footnote w:id="53">
    <w:p w14:paraId="737AC3A2" w14:textId="711F41BB" w:rsidR="006D5DBD" w:rsidRPr="003C5338" w:rsidRDefault="006D5DBD" w:rsidP="006D5DBD">
      <w:pPr>
        <w:pStyle w:val="FootnoteText"/>
        <w:spacing w:after="6"/>
        <w:rPr>
          <w:rFonts w:eastAsia="SimSun"/>
          <w:sz w:val="20"/>
        </w:rPr>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Pr="003C5338">
        <w:rPr>
          <w:rFonts w:eastAsia="SimSun"/>
          <w:sz w:val="20"/>
        </w:rPr>
        <w:t>联合国，《条约汇编》，第</w:t>
      </w:r>
      <w:r w:rsidRPr="003C5338">
        <w:rPr>
          <w:rFonts w:eastAsia="SimSun"/>
          <w:sz w:val="20"/>
        </w:rPr>
        <w:t>2226</w:t>
      </w:r>
      <w:r w:rsidRPr="003C5338">
        <w:rPr>
          <w:rFonts w:eastAsia="SimSun"/>
          <w:sz w:val="20"/>
        </w:rPr>
        <w:t>卷，第</w:t>
      </w:r>
      <w:r w:rsidRPr="003C5338">
        <w:rPr>
          <w:rFonts w:eastAsia="SimSun"/>
          <w:sz w:val="20"/>
        </w:rPr>
        <w:t>30619</w:t>
      </w:r>
      <w:r w:rsidRPr="003C5338">
        <w:rPr>
          <w:rFonts w:eastAsia="SimSun"/>
          <w:sz w:val="20"/>
        </w:rPr>
        <w:t>号。</w:t>
      </w:r>
    </w:p>
  </w:footnote>
  <w:footnote w:id="54">
    <w:p w14:paraId="47B00660" w14:textId="57298C0F" w:rsidR="006D5DBD" w:rsidRPr="003C5338" w:rsidRDefault="006D5DBD" w:rsidP="006D5DBD">
      <w:pPr>
        <w:pStyle w:val="FootnoteText"/>
        <w:spacing w:after="6"/>
        <w:rPr>
          <w:rFonts w:eastAsia="SimSun"/>
          <w:sz w:val="20"/>
        </w:rPr>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003C5338" w:rsidRPr="003C5338">
        <w:rPr>
          <w:rFonts w:eastAsia="SimSun"/>
          <w:sz w:val="20"/>
        </w:rPr>
        <w:t>同上</w:t>
      </w:r>
      <w:r w:rsidRPr="003C5338">
        <w:rPr>
          <w:rFonts w:eastAsia="SimSun"/>
          <w:sz w:val="20"/>
        </w:rPr>
        <w:t>，第</w:t>
      </w:r>
      <w:r w:rsidRPr="003C5338">
        <w:rPr>
          <w:rFonts w:eastAsia="SimSun"/>
          <w:sz w:val="20"/>
        </w:rPr>
        <w:t>3008</w:t>
      </w:r>
      <w:r w:rsidRPr="003C5338">
        <w:rPr>
          <w:rFonts w:eastAsia="SimSun"/>
          <w:sz w:val="20"/>
        </w:rPr>
        <w:t>卷，第</w:t>
      </w:r>
      <w:r w:rsidRPr="003C5338">
        <w:rPr>
          <w:rFonts w:eastAsia="SimSun"/>
          <w:sz w:val="20"/>
        </w:rPr>
        <w:t>30619</w:t>
      </w:r>
      <w:r w:rsidRPr="003C5338">
        <w:rPr>
          <w:rFonts w:eastAsia="SimSun"/>
          <w:sz w:val="20"/>
        </w:rPr>
        <w:t>号。</w:t>
      </w:r>
    </w:p>
  </w:footnote>
  <w:footnote w:id="55">
    <w:p w14:paraId="46F179B3" w14:textId="6FEEEF4B" w:rsidR="006D5DBD" w:rsidRPr="003C5338" w:rsidRDefault="006D5DBD" w:rsidP="006D5DBD">
      <w:pPr>
        <w:pStyle w:val="FootnoteText"/>
        <w:spacing w:after="6"/>
        <w:rPr>
          <w:rFonts w:eastAsia="SimSun"/>
          <w:sz w:val="20"/>
        </w:rPr>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Pr="003C5338">
        <w:rPr>
          <w:rFonts w:eastAsia="SimSun"/>
          <w:sz w:val="20"/>
        </w:rPr>
        <w:t>第</w:t>
      </w:r>
      <w:r w:rsidRPr="003C5338">
        <w:rPr>
          <w:rFonts w:eastAsia="SimSun"/>
          <w:sz w:val="20"/>
        </w:rPr>
        <w:t xml:space="preserve"> VIII/10</w:t>
      </w:r>
      <w:r w:rsidRPr="003C5338">
        <w:rPr>
          <w:rFonts w:eastAsia="SimSun"/>
          <w:sz w:val="20"/>
        </w:rPr>
        <w:t>号决定，附件三。</w:t>
      </w:r>
    </w:p>
  </w:footnote>
  <w:footnote w:id="56">
    <w:p w14:paraId="38D6A64A" w14:textId="3C5EF3E7" w:rsidR="006D5DBD" w:rsidRPr="001A2CCC" w:rsidRDefault="006D5DBD" w:rsidP="006D5DBD">
      <w:pPr>
        <w:pStyle w:val="FootnoteText"/>
        <w:spacing w:after="6"/>
      </w:pPr>
      <w:r w:rsidRPr="003C5338">
        <w:rPr>
          <w:rStyle w:val="FootnoteReference"/>
          <w:rFonts w:eastAsia="SimSun"/>
          <w:sz w:val="20"/>
        </w:rPr>
        <w:footnoteRef/>
      </w:r>
      <w:r w:rsidRPr="003C5338">
        <w:rPr>
          <w:rFonts w:eastAsia="SimSun"/>
          <w:sz w:val="20"/>
        </w:rPr>
        <w:t xml:space="preserve"> </w:t>
      </w:r>
      <w:r w:rsidR="003C5338" w:rsidRPr="003C5338">
        <w:rPr>
          <w:rFonts w:eastAsia="SimSun"/>
          <w:sz w:val="20"/>
        </w:rPr>
        <w:t xml:space="preserve"> </w:t>
      </w:r>
      <w:r w:rsidRPr="003C5338">
        <w:rPr>
          <w:rFonts w:eastAsia="SimSun"/>
          <w:sz w:val="20"/>
        </w:rPr>
        <w:t>第</w:t>
      </w:r>
      <w:r w:rsidRPr="003C5338">
        <w:rPr>
          <w:rFonts w:eastAsia="SimSun"/>
          <w:sz w:val="20"/>
        </w:rPr>
        <w:t>XIII/25</w:t>
      </w:r>
      <w:r w:rsidRPr="003C5338">
        <w:rPr>
          <w:rFonts w:eastAsia="SimSun"/>
          <w:sz w:val="20"/>
        </w:rPr>
        <w:t>号决定，附件。</w:t>
      </w:r>
    </w:p>
  </w:footnote>
  <w:footnote w:id="57">
    <w:p w14:paraId="4970746C" w14:textId="1337A865" w:rsidR="006D5DBD" w:rsidRPr="001C0BFD" w:rsidRDefault="006D5DBD" w:rsidP="001C0BFD">
      <w:pPr>
        <w:pStyle w:val="FootnoteText"/>
        <w:spacing w:after="60"/>
        <w:rPr>
          <w:rFonts w:eastAsia="SimSun"/>
          <w:sz w:val="20"/>
        </w:rPr>
      </w:pPr>
      <w:r w:rsidRPr="001C0BFD">
        <w:rPr>
          <w:rStyle w:val="FootnoteReference"/>
          <w:rFonts w:eastAsia="SimSun"/>
          <w:sz w:val="20"/>
        </w:rPr>
        <w:footnoteRef/>
      </w:r>
      <w:r w:rsidRPr="001C0BFD">
        <w:rPr>
          <w:rFonts w:eastAsia="SimSun"/>
          <w:sz w:val="20"/>
        </w:rPr>
        <w:t xml:space="preserve"> </w:t>
      </w:r>
      <w:r w:rsidR="001C0BFD" w:rsidRPr="001C0BFD">
        <w:rPr>
          <w:rFonts w:eastAsia="SimSun"/>
          <w:sz w:val="20"/>
        </w:rPr>
        <w:t xml:space="preserve"> </w:t>
      </w:r>
      <w:r w:rsidRPr="001C0BFD">
        <w:rPr>
          <w:rFonts w:eastAsia="SimSun"/>
          <w:sz w:val="20"/>
        </w:rPr>
        <w:t>联合国，《条约汇编》，第</w:t>
      </w:r>
      <w:r w:rsidRPr="001C0BFD">
        <w:rPr>
          <w:rFonts w:eastAsia="SimSun"/>
          <w:sz w:val="20"/>
        </w:rPr>
        <w:t>1760</w:t>
      </w:r>
      <w:r w:rsidRPr="001C0BFD">
        <w:rPr>
          <w:rFonts w:eastAsia="SimSun"/>
          <w:sz w:val="20"/>
        </w:rPr>
        <w:t>卷，第</w:t>
      </w:r>
      <w:r w:rsidRPr="001C0BFD">
        <w:rPr>
          <w:rFonts w:eastAsia="SimSun"/>
          <w:sz w:val="20"/>
        </w:rPr>
        <w:t>30619</w:t>
      </w:r>
      <w:r w:rsidRPr="001C0BFD">
        <w:rPr>
          <w:rFonts w:eastAsia="SimSun"/>
          <w:sz w:val="20"/>
        </w:rPr>
        <w:t>号。</w:t>
      </w:r>
    </w:p>
  </w:footnote>
  <w:footnote w:id="58">
    <w:p w14:paraId="7A2F2248" w14:textId="5943D746" w:rsidR="006D5DBD" w:rsidRPr="001C0BFD" w:rsidRDefault="006D5DBD" w:rsidP="001C0BFD">
      <w:pPr>
        <w:pStyle w:val="FootnoteText"/>
        <w:spacing w:after="60"/>
        <w:rPr>
          <w:rFonts w:eastAsia="SimSun"/>
          <w:sz w:val="20"/>
        </w:rPr>
      </w:pPr>
      <w:r w:rsidRPr="001C0BFD">
        <w:rPr>
          <w:rStyle w:val="FootnoteReference"/>
          <w:rFonts w:eastAsia="SimSun"/>
          <w:sz w:val="20"/>
        </w:rPr>
        <w:footnoteRef/>
      </w:r>
      <w:r w:rsidRPr="001C0BFD">
        <w:rPr>
          <w:rFonts w:eastAsia="SimSun"/>
          <w:sz w:val="20"/>
        </w:rPr>
        <w:t xml:space="preserve"> </w:t>
      </w:r>
      <w:r w:rsidR="001C0BFD" w:rsidRPr="001C0BFD">
        <w:rPr>
          <w:rFonts w:eastAsia="SimSun"/>
          <w:sz w:val="20"/>
        </w:rPr>
        <w:t xml:space="preserve"> </w:t>
      </w:r>
      <w:r w:rsidRPr="001C0BFD">
        <w:rPr>
          <w:rFonts w:eastAsia="SimSun"/>
          <w:sz w:val="20"/>
        </w:rPr>
        <w:t>本决定中</w:t>
      </w:r>
      <w:r w:rsidRPr="001C0BFD">
        <w:rPr>
          <w:rFonts w:eastAsia="SimSun"/>
          <w:sz w:val="20"/>
        </w:rPr>
        <w:t>“</w:t>
      </w:r>
      <w:r w:rsidRPr="001C0BFD">
        <w:rPr>
          <w:rFonts w:eastAsia="SimSun"/>
          <w:sz w:val="20"/>
        </w:rPr>
        <w:t>集体</w:t>
      </w:r>
      <w:r w:rsidRPr="001C0BFD">
        <w:rPr>
          <w:rFonts w:eastAsia="SimSun"/>
          <w:sz w:val="20"/>
        </w:rPr>
        <w:t>”</w:t>
      </w:r>
      <w:r w:rsidRPr="001C0BFD">
        <w:rPr>
          <w:rFonts w:eastAsia="SimSun"/>
          <w:sz w:val="20"/>
        </w:rPr>
        <w:t>一词</w:t>
      </w:r>
      <w:r w:rsidRPr="001C0BFD">
        <w:rPr>
          <w:rFonts w:eastAsia="SimSun"/>
          <w:sz w:val="20"/>
        </w:rPr>
        <w:t xml:space="preserve"> </w:t>
      </w:r>
      <w:r w:rsidRPr="001C0BFD">
        <w:rPr>
          <w:rFonts w:eastAsia="SimSun"/>
          <w:sz w:val="20"/>
        </w:rPr>
        <w:t>指这些群体的一种组织形式，是为了表达其集体文化特征。</w:t>
      </w:r>
    </w:p>
  </w:footnote>
  <w:footnote w:id="59">
    <w:p w14:paraId="7D431632" w14:textId="1AA67532" w:rsidR="006D5DBD" w:rsidRPr="00C14157" w:rsidRDefault="006D5DBD" w:rsidP="001C0BFD">
      <w:pPr>
        <w:pStyle w:val="FootnoteText"/>
        <w:spacing w:after="60"/>
        <w:rPr>
          <w:sz w:val="20"/>
        </w:rPr>
      </w:pPr>
      <w:r w:rsidRPr="001C0BFD">
        <w:rPr>
          <w:rStyle w:val="FootnoteReference"/>
          <w:rFonts w:eastAsia="SimSun"/>
          <w:sz w:val="20"/>
        </w:rPr>
        <w:footnoteRef/>
      </w:r>
      <w:r w:rsidRPr="001C0BFD">
        <w:rPr>
          <w:rFonts w:eastAsia="SimSun"/>
          <w:sz w:val="20"/>
        </w:rPr>
        <w:t xml:space="preserve"> </w:t>
      </w:r>
      <w:r w:rsidR="001C0BFD" w:rsidRPr="001C0BFD">
        <w:rPr>
          <w:rFonts w:eastAsia="SimSun"/>
          <w:sz w:val="20"/>
        </w:rPr>
        <w:t xml:space="preserve"> </w:t>
      </w:r>
      <w:r w:rsidRPr="001C0BFD">
        <w:rPr>
          <w:rFonts w:eastAsia="SimSun"/>
          <w:sz w:val="20"/>
        </w:rPr>
        <w:t>在某些国家，非洲人后裔可以组成体现与保护和可持续利用生物多样性有关的传统生活方式的集体。本决定中提及</w:t>
      </w:r>
      <w:r w:rsidRPr="001C0BFD">
        <w:rPr>
          <w:rFonts w:eastAsia="SimSun"/>
          <w:sz w:val="20"/>
        </w:rPr>
        <w:t>“</w:t>
      </w:r>
      <w:r w:rsidRPr="001C0BFD">
        <w:rPr>
          <w:rFonts w:eastAsia="SimSun"/>
          <w:sz w:val="20"/>
        </w:rPr>
        <w:t>非洲人后裔，包括体现传统生活方式的集体</w:t>
      </w:r>
      <w:r w:rsidRPr="001C0BFD">
        <w:rPr>
          <w:rFonts w:eastAsia="SimSun"/>
          <w:sz w:val="20"/>
        </w:rPr>
        <w:t xml:space="preserve"> ”</w:t>
      </w:r>
      <w:r w:rsidRPr="001C0BFD">
        <w:rPr>
          <w:rFonts w:eastAsia="SimSun"/>
          <w:sz w:val="20"/>
        </w:rPr>
        <w:t>，不影响《公约》或其议定书的文本。</w:t>
      </w:r>
    </w:p>
  </w:footnote>
  <w:footnote w:id="60">
    <w:p w14:paraId="5565677E" w14:textId="77777777" w:rsidR="006D5DBD" w:rsidRPr="005E0F58" w:rsidRDefault="006D5DBD" w:rsidP="006D5DBD">
      <w:pPr>
        <w:pStyle w:val="FootnoteText"/>
        <w:snapToGrid w:val="0"/>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Pr="005E0F58">
        <w:rPr>
          <w:rStyle w:val="ng-binding"/>
          <w:rFonts w:eastAsia="SimSun"/>
          <w:sz w:val="20"/>
        </w:rPr>
        <w:t>联合国</w:t>
      </w:r>
      <w:r w:rsidRPr="005E0F58">
        <w:rPr>
          <w:rStyle w:val="ng-binding"/>
          <w:rFonts w:eastAsia="SimSun"/>
          <w:sz w:val="20"/>
        </w:rPr>
        <w:t>,</w:t>
      </w:r>
      <w:r w:rsidRPr="005E0F58">
        <w:rPr>
          <w:rStyle w:val="ng-binding"/>
          <w:rFonts w:eastAsia="SimSun"/>
          <w:sz w:val="20"/>
        </w:rPr>
        <w:t>《条约汇编》</w:t>
      </w:r>
      <w:r w:rsidRPr="005E0F58">
        <w:rPr>
          <w:rStyle w:val="ng-binding"/>
          <w:rFonts w:eastAsia="SimSun"/>
          <w:sz w:val="20"/>
        </w:rPr>
        <w:t>,</w:t>
      </w:r>
      <w:r w:rsidRPr="005E0F58">
        <w:rPr>
          <w:rStyle w:val="ng-binding"/>
          <w:rFonts w:eastAsia="SimSun"/>
          <w:sz w:val="20"/>
        </w:rPr>
        <w:t>第</w:t>
      </w:r>
      <w:r w:rsidRPr="005E0F58">
        <w:rPr>
          <w:rFonts w:eastAsia="SimSun"/>
          <w:color w:val="000000"/>
          <w:sz w:val="20"/>
        </w:rPr>
        <w:t>1760</w:t>
      </w:r>
      <w:r w:rsidRPr="005E0F58">
        <w:rPr>
          <w:rFonts w:eastAsia="SimSun"/>
          <w:color w:val="000000"/>
          <w:sz w:val="20"/>
        </w:rPr>
        <w:t>卷，第</w:t>
      </w:r>
      <w:r w:rsidRPr="005E0F58">
        <w:rPr>
          <w:rFonts w:eastAsia="SimSun"/>
          <w:color w:val="000000"/>
          <w:sz w:val="20"/>
        </w:rPr>
        <w:t>30619</w:t>
      </w:r>
      <w:r w:rsidRPr="005E0F58">
        <w:rPr>
          <w:rFonts w:eastAsia="SimSun"/>
          <w:color w:val="000000"/>
          <w:sz w:val="20"/>
        </w:rPr>
        <w:t>号。</w:t>
      </w:r>
      <w:r w:rsidRPr="005E0F58">
        <w:rPr>
          <w:rFonts w:eastAsia="SimSun"/>
          <w:color w:val="000000"/>
          <w:sz w:val="20"/>
        </w:rPr>
        <w:t xml:space="preserve"> </w:t>
      </w:r>
    </w:p>
  </w:footnote>
  <w:footnote w:id="61">
    <w:p w14:paraId="2E404256" w14:textId="77777777" w:rsidR="006D5DBD" w:rsidRPr="005E0F58" w:rsidRDefault="006D5DBD" w:rsidP="006D5DBD">
      <w:pPr>
        <w:pStyle w:val="FootnoteText"/>
        <w:snapToGrid w:val="0"/>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Pr="005E0F58">
        <w:rPr>
          <w:rFonts w:eastAsia="SimSun"/>
          <w:sz w:val="20"/>
        </w:rPr>
        <w:t>第</w:t>
      </w:r>
      <w:hyperlink r:id="rId14" w:history="1">
        <w:r w:rsidRPr="005E0F58">
          <w:rPr>
            <w:rStyle w:val="Hyperlink"/>
            <w:rFonts w:eastAsia="SimSun"/>
            <w:sz w:val="20"/>
          </w:rPr>
          <w:t>15/4</w:t>
        </w:r>
      </w:hyperlink>
      <w:r w:rsidRPr="005E0F58">
        <w:rPr>
          <w:rFonts w:eastAsia="SimSun"/>
          <w:sz w:val="20"/>
        </w:rPr>
        <w:t>号决定，附件。</w:t>
      </w:r>
    </w:p>
  </w:footnote>
  <w:footnote w:id="62">
    <w:p w14:paraId="723DB6DB" w14:textId="56875352" w:rsidR="006D5DBD" w:rsidRPr="005E0F58" w:rsidRDefault="006D5DBD" w:rsidP="006D5DBD">
      <w:pPr>
        <w:pStyle w:val="FootnoteText"/>
        <w:snapToGrid w:val="0"/>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0045379F" w:rsidRPr="005E0F58">
        <w:rPr>
          <w:rFonts w:eastAsia="SimSun" w:hint="eastAsia"/>
          <w:spacing w:val="-20"/>
          <w:sz w:val="20"/>
        </w:rPr>
        <w:t>“</w:t>
      </w:r>
      <w:r w:rsidRPr="005E0F58">
        <w:rPr>
          <w:rFonts w:eastAsia="SimSun"/>
          <w:spacing w:val="-20"/>
          <w:sz w:val="20"/>
        </w:rPr>
        <w:t>自由、事先和知情同意</w:t>
      </w:r>
      <w:r w:rsidR="0045379F" w:rsidRPr="005E0F58">
        <w:rPr>
          <w:rFonts w:eastAsia="SimSun" w:hint="eastAsia"/>
          <w:spacing w:val="-20"/>
          <w:sz w:val="20"/>
        </w:rPr>
        <w:t>”</w:t>
      </w:r>
      <w:r w:rsidRPr="005E0F58">
        <w:rPr>
          <w:rFonts w:eastAsia="SimSun"/>
          <w:spacing w:val="-20"/>
          <w:sz w:val="20"/>
        </w:rPr>
        <w:t>指三种表述，即</w:t>
      </w:r>
      <w:r w:rsidRPr="005E0F58">
        <w:rPr>
          <w:rFonts w:eastAsia="SimSun"/>
          <w:spacing w:val="-20"/>
          <w:sz w:val="20"/>
        </w:rPr>
        <w:t xml:space="preserve"> “</w:t>
      </w:r>
      <w:r w:rsidRPr="005E0F58">
        <w:rPr>
          <w:rFonts w:eastAsia="SimSun"/>
          <w:spacing w:val="-20"/>
          <w:sz w:val="20"/>
        </w:rPr>
        <w:t>事先和知情同意</w:t>
      </w:r>
      <w:r w:rsidRPr="005E0F58">
        <w:rPr>
          <w:rFonts w:eastAsia="SimSun"/>
          <w:spacing w:val="-20"/>
          <w:sz w:val="20"/>
        </w:rPr>
        <w:t xml:space="preserve">” </w:t>
      </w:r>
      <w:r w:rsidR="0045379F" w:rsidRPr="005E0F58">
        <w:rPr>
          <w:rFonts w:eastAsia="SimSun" w:hint="eastAsia"/>
          <w:spacing w:val="-20"/>
          <w:sz w:val="20"/>
        </w:rPr>
        <w:t>、</w:t>
      </w:r>
      <w:r w:rsidRPr="005E0F58">
        <w:rPr>
          <w:rFonts w:eastAsia="SimSun"/>
          <w:spacing w:val="-20"/>
          <w:sz w:val="20"/>
        </w:rPr>
        <w:t xml:space="preserve"> “</w:t>
      </w:r>
      <w:r w:rsidRPr="005E0F58">
        <w:rPr>
          <w:rFonts w:eastAsia="SimSun"/>
          <w:spacing w:val="-20"/>
          <w:sz w:val="20"/>
        </w:rPr>
        <w:t>自由、事先和知情同意</w:t>
      </w:r>
      <w:r w:rsidRPr="005E0F58">
        <w:rPr>
          <w:rFonts w:eastAsia="SimSun"/>
          <w:spacing w:val="-20"/>
          <w:sz w:val="20"/>
        </w:rPr>
        <w:t xml:space="preserve">” </w:t>
      </w:r>
      <w:r w:rsidR="0045379F" w:rsidRPr="005E0F58">
        <w:rPr>
          <w:rFonts w:eastAsia="SimSun" w:hint="eastAsia"/>
          <w:spacing w:val="-20"/>
          <w:sz w:val="20"/>
        </w:rPr>
        <w:t>和</w:t>
      </w:r>
      <w:r w:rsidRPr="005E0F58">
        <w:rPr>
          <w:rFonts w:eastAsia="SimSun"/>
          <w:spacing w:val="-20"/>
          <w:sz w:val="20"/>
        </w:rPr>
        <w:t xml:space="preserve"> “</w:t>
      </w:r>
      <w:r w:rsidRPr="005E0F58">
        <w:rPr>
          <w:rFonts w:eastAsia="SimSun"/>
          <w:spacing w:val="-20"/>
          <w:sz w:val="20"/>
        </w:rPr>
        <w:t>批准和参与</w:t>
      </w:r>
      <w:r w:rsidRPr="005E0F58">
        <w:rPr>
          <w:rFonts w:eastAsia="SimSun"/>
          <w:spacing w:val="-20"/>
          <w:sz w:val="20"/>
        </w:rPr>
        <w:t>”</w:t>
      </w:r>
      <w:r w:rsidRPr="005E0F58">
        <w:rPr>
          <w:rFonts w:eastAsia="SimSun"/>
          <w:spacing w:val="-20"/>
          <w:sz w:val="20"/>
        </w:rPr>
        <w:t>。</w:t>
      </w:r>
    </w:p>
  </w:footnote>
  <w:footnote w:id="63">
    <w:p w14:paraId="449CD2B0" w14:textId="77777777" w:rsidR="006D5DBD" w:rsidRPr="005E0F58" w:rsidRDefault="006D5DBD" w:rsidP="006D5DBD">
      <w:pPr>
        <w:pStyle w:val="FootnoteText"/>
        <w:snapToGrid w:val="0"/>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Pr="005E0F58">
        <w:rPr>
          <w:rFonts w:eastAsia="SimSun"/>
          <w:sz w:val="20"/>
        </w:rPr>
        <w:t>第</w:t>
      </w:r>
      <w:hyperlink r:id="rId15" w:history="1">
        <w:r w:rsidRPr="005E0F58">
          <w:rPr>
            <w:rStyle w:val="Hyperlink"/>
            <w:rFonts w:eastAsia="SimSun"/>
            <w:sz w:val="20"/>
          </w:rPr>
          <w:t>15/11</w:t>
        </w:r>
      </w:hyperlink>
      <w:r w:rsidRPr="005E0F58">
        <w:rPr>
          <w:rFonts w:eastAsia="SimSun"/>
          <w:sz w:val="20"/>
        </w:rPr>
        <w:t>号决定，附件。</w:t>
      </w:r>
    </w:p>
  </w:footnote>
  <w:footnote w:id="64">
    <w:p w14:paraId="4F4B8FC4" w14:textId="77777777" w:rsidR="006D5DBD" w:rsidRPr="006336E4" w:rsidRDefault="006D5DBD" w:rsidP="006D5DBD">
      <w:pPr>
        <w:pStyle w:val="FootnoteText"/>
        <w:rPr>
          <w:sz w:val="20"/>
        </w:rPr>
      </w:pPr>
      <w:r w:rsidRPr="005E0F58">
        <w:rPr>
          <w:rStyle w:val="FootnoteReference"/>
          <w:rFonts w:eastAsia="SimSun"/>
          <w:sz w:val="20"/>
        </w:rPr>
        <w:footnoteRef/>
      </w:r>
      <w:r w:rsidRPr="005E0F58">
        <w:rPr>
          <w:rFonts w:eastAsia="SimSun"/>
          <w:sz w:val="20"/>
        </w:rPr>
        <w:t xml:space="preserve">  </w:t>
      </w:r>
      <w:r w:rsidRPr="005E0F58">
        <w:rPr>
          <w:rFonts w:eastAsia="SimSun"/>
          <w:sz w:val="20"/>
        </w:rPr>
        <w:t>见</w:t>
      </w:r>
      <w:hyperlink r:id="rId16" w:history="1">
        <w:r w:rsidRPr="005E0F58">
          <w:rPr>
            <w:rStyle w:val="Hyperlink"/>
            <w:rFonts w:eastAsia="SimSun"/>
            <w:sz w:val="20"/>
          </w:rPr>
          <w:t>UNEP/CBD/COP/10/INF/3</w:t>
        </w:r>
      </w:hyperlink>
      <w:r w:rsidRPr="005E0F58">
        <w:rPr>
          <w:rFonts w:eastAsia="SimSun"/>
          <w:sz w:val="20"/>
        </w:rPr>
        <w:t>、第</w:t>
      </w:r>
      <w:r w:rsidRPr="005E0F58">
        <w:rPr>
          <w:rFonts w:eastAsia="SimSun"/>
          <w:sz w:val="20"/>
        </w:rPr>
        <w:t xml:space="preserve"> </w:t>
      </w:r>
      <w:hyperlink r:id="rId17" w:history="1">
        <w:r w:rsidRPr="005E0F58">
          <w:rPr>
            <w:rStyle w:val="Hyperlink"/>
            <w:rFonts w:eastAsia="SimSun"/>
            <w:sz w:val="20"/>
          </w:rPr>
          <w:t>X/20</w:t>
        </w:r>
      </w:hyperlink>
      <w:r w:rsidRPr="005E0F58">
        <w:rPr>
          <w:rFonts w:eastAsia="SimSun"/>
          <w:sz w:val="20"/>
        </w:rPr>
        <w:t>号和第</w:t>
      </w:r>
      <w:hyperlink r:id="rId18" w:history="1">
        <w:r w:rsidRPr="005E0F58">
          <w:rPr>
            <w:rStyle w:val="Hyperlink"/>
            <w:rFonts w:eastAsia="SimSun"/>
            <w:sz w:val="20"/>
          </w:rPr>
          <w:t>15/22</w:t>
        </w:r>
      </w:hyperlink>
      <w:r w:rsidRPr="005E0F58">
        <w:rPr>
          <w:rFonts w:eastAsia="SimSun"/>
          <w:sz w:val="20"/>
        </w:rPr>
        <w:t>号决定。</w:t>
      </w:r>
    </w:p>
  </w:footnote>
  <w:footnote w:id="65">
    <w:p w14:paraId="500AD72A" w14:textId="77777777" w:rsidR="006D5DBD" w:rsidRPr="0045379F" w:rsidRDefault="006D5DBD" w:rsidP="005E0F58">
      <w:pPr>
        <w:pStyle w:val="FootnoteText"/>
        <w:spacing w:after="60"/>
        <w:rPr>
          <w:rFonts w:eastAsia="SimSun"/>
          <w:sz w:val="20"/>
        </w:rPr>
      </w:pPr>
      <w:r w:rsidRPr="0045379F">
        <w:rPr>
          <w:rStyle w:val="FootnoteReference"/>
          <w:rFonts w:eastAsia="SimSun"/>
          <w:sz w:val="20"/>
        </w:rPr>
        <w:t>*</w:t>
      </w:r>
      <w:r w:rsidRPr="0045379F">
        <w:rPr>
          <w:rFonts w:eastAsia="SimSun"/>
          <w:sz w:val="20"/>
        </w:rPr>
        <w:t xml:space="preserve">  </w:t>
      </w:r>
      <w:r w:rsidRPr="0045379F">
        <w:rPr>
          <w:rFonts w:eastAsia="SimSun"/>
          <w:sz w:val="20"/>
        </w:rPr>
        <w:t>本决定中任何内容都不应被解释为暗示土著人民和地方社区之间的分离。</w:t>
      </w:r>
    </w:p>
  </w:footnote>
  <w:footnote w:id="66">
    <w:p w14:paraId="4AED4D35" w14:textId="77777777" w:rsidR="006D5DBD" w:rsidRPr="0045379F" w:rsidRDefault="006D5DBD" w:rsidP="005E0F58">
      <w:pPr>
        <w:pStyle w:val="FootnoteText"/>
        <w:spacing w:after="60"/>
        <w:rPr>
          <w:rFonts w:eastAsia="SimSun"/>
          <w:sz w:val="20"/>
        </w:rPr>
      </w:pPr>
      <w:r w:rsidRPr="0045379F">
        <w:rPr>
          <w:rStyle w:val="FootnoteReference"/>
          <w:rFonts w:eastAsia="SimSun"/>
          <w:sz w:val="20"/>
        </w:rPr>
        <w:footnoteRef/>
      </w:r>
      <w:r w:rsidRPr="0045379F">
        <w:rPr>
          <w:rFonts w:eastAsia="SimSun"/>
          <w:sz w:val="20"/>
        </w:rPr>
        <w:t xml:space="preserve">  </w:t>
      </w:r>
      <w:r w:rsidRPr="0045379F">
        <w:rPr>
          <w:rFonts w:eastAsia="SimSun"/>
          <w:sz w:val="20"/>
        </w:rPr>
        <w:t>第</w:t>
      </w:r>
      <w:r w:rsidRPr="0045379F">
        <w:rPr>
          <w:rFonts w:eastAsia="SimSun"/>
          <w:sz w:val="20"/>
        </w:rPr>
        <w:t>15/4</w:t>
      </w:r>
      <w:r w:rsidRPr="0045379F">
        <w:rPr>
          <w:rFonts w:eastAsia="SimSun"/>
          <w:sz w:val="20"/>
        </w:rPr>
        <w:t>号决定，附件。</w:t>
      </w:r>
    </w:p>
  </w:footnote>
  <w:footnote w:id="67">
    <w:p w14:paraId="0CB7DA20" w14:textId="77777777" w:rsidR="006D5DBD" w:rsidRPr="0045379F" w:rsidRDefault="006D5DBD" w:rsidP="005E0F58">
      <w:pPr>
        <w:pStyle w:val="FootnoteText"/>
        <w:spacing w:after="60"/>
        <w:rPr>
          <w:rFonts w:eastAsia="SimSun"/>
          <w:sz w:val="20"/>
        </w:rPr>
      </w:pPr>
      <w:r w:rsidRPr="0045379F">
        <w:rPr>
          <w:rStyle w:val="FootnoteReference"/>
          <w:rFonts w:eastAsia="SimSun"/>
          <w:sz w:val="20"/>
        </w:rPr>
        <w:footnoteRef/>
      </w:r>
      <w:r w:rsidRPr="0045379F">
        <w:rPr>
          <w:rFonts w:eastAsia="SimSun"/>
          <w:sz w:val="20"/>
        </w:rPr>
        <w:t xml:space="preserve">  </w:t>
      </w:r>
      <w:r w:rsidRPr="0045379F">
        <w:rPr>
          <w:rFonts w:eastAsia="SimSun"/>
          <w:color w:val="000000"/>
          <w:sz w:val="20"/>
        </w:rPr>
        <w:t>大会第</w:t>
      </w:r>
      <w:r w:rsidRPr="0045379F">
        <w:rPr>
          <w:rFonts w:eastAsia="SimSun"/>
          <w:color w:val="000000"/>
          <w:sz w:val="20"/>
        </w:rPr>
        <w:t>61/295</w:t>
      </w:r>
      <w:r w:rsidRPr="0045379F">
        <w:rPr>
          <w:rFonts w:eastAsia="SimSun"/>
          <w:color w:val="000000"/>
          <w:sz w:val="20"/>
        </w:rPr>
        <w:t>号决议，附件。</w:t>
      </w:r>
    </w:p>
  </w:footnote>
  <w:footnote w:id="68">
    <w:p w14:paraId="0437B85F" w14:textId="77777777" w:rsidR="006D5DBD" w:rsidRPr="0045379F" w:rsidRDefault="006D5DBD" w:rsidP="005E0F58">
      <w:pPr>
        <w:pStyle w:val="FootnoteText"/>
        <w:spacing w:after="60"/>
        <w:rPr>
          <w:rFonts w:eastAsia="SimSun"/>
          <w:sz w:val="20"/>
        </w:rPr>
      </w:pPr>
      <w:r w:rsidRPr="0045379F">
        <w:rPr>
          <w:rStyle w:val="FootnoteReference"/>
          <w:rFonts w:eastAsia="SimSun"/>
          <w:sz w:val="20"/>
        </w:rPr>
        <w:footnoteRef/>
      </w:r>
      <w:r w:rsidRPr="0045379F">
        <w:rPr>
          <w:rFonts w:eastAsia="SimSun"/>
          <w:sz w:val="20"/>
        </w:rPr>
        <w:t xml:space="preserve">  </w:t>
      </w:r>
      <w:r w:rsidRPr="0045379F">
        <w:rPr>
          <w:rFonts w:eastAsia="SimSun"/>
          <w:sz w:val="20"/>
        </w:rPr>
        <w:t>联合国，《条约汇编》，第</w:t>
      </w:r>
      <w:r w:rsidRPr="0045379F">
        <w:rPr>
          <w:rFonts w:eastAsia="SimSun"/>
          <w:sz w:val="20"/>
        </w:rPr>
        <w:t>1760</w:t>
      </w:r>
      <w:r w:rsidRPr="0045379F">
        <w:rPr>
          <w:rFonts w:eastAsia="SimSun"/>
          <w:sz w:val="20"/>
        </w:rPr>
        <w:t>卷，第</w:t>
      </w:r>
      <w:r w:rsidRPr="0045379F">
        <w:rPr>
          <w:rFonts w:eastAsia="SimSun"/>
          <w:sz w:val="20"/>
        </w:rPr>
        <w:t>30619</w:t>
      </w:r>
      <w:r w:rsidRPr="0045379F">
        <w:rPr>
          <w:rFonts w:eastAsia="SimSun"/>
          <w:sz w:val="20"/>
        </w:rPr>
        <w:t>号。</w:t>
      </w:r>
    </w:p>
  </w:footnote>
  <w:footnote w:id="69">
    <w:p w14:paraId="68A8D792" w14:textId="77777777" w:rsidR="006D5DBD" w:rsidRPr="00450400" w:rsidRDefault="006D5DBD" w:rsidP="005E0F58">
      <w:pPr>
        <w:pStyle w:val="FootnoteText"/>
        <w:spacing w:after="60"/>
        <w:rPr>
          <w:sz w:val="20"/>
          <w:lang w:val="it-IT"/>
        </w:rPr>
      </w:pPr>
      <w:r w:rsidRPr="0045379F">
        <w:rPr>
          <w:rStyle w:val="FootnoteReference"/>
          <w:rFonts w:eastAsia="SimSun"/>
          <w:sz w:val="20"/>
        </w:rPr>
        <w:footnoteRef/>
      </w:r>
      <w:r w:rsidRPr="0045379F">
        <w:rPr>
          <w:rFonts w:eastAsia="SimSun"/>
          <w:sz w:val="20"/>
          <w:lang w:val="it-IT"/>
        </w:rPr>
        <w:t xml:space="preserve">  CBD/WG8J/12/7</w:t>
      </w:r>
      <w:r w:rsidRPr="0045379F">
        <w:rPr>
          <w:rFonts w:eastAsia="SimSun"/>
          <w:sz w:val="20"/>
        </w:rPr>
        <w:t>。</w:t>
      </w:r>
    </w:p>
  </w:footnote>
  <w:footnote w:id="70">
    <w:p w14:paraId="42CE1DE3" w14:textId="50F33968" w:rsidR="006D5DBD" w:rsidRPr="005E0F58" w:rsidRDefault="006D5DBD" w:rsidP="006D5DBD">
      <w:pPr>
        <w:pBdr>
          <w:top w:val="nil"/>
          <w:left w:val="nil"/>
          <w:bottom w:val="nil"/>
          <w:right w:val="nil"/>
          <w:between w:val="nil"/>
        </w:pBdr>
        <w:spacing w:after="60"/>
        <w:jc w:val="left"/>
        <w:rPr>
          <w:rFonts w:eastAsia="SimSun"/>
          <w:sz w:val="20"/>
          <w:szCs w:val="20"/>
        </w:rPr>
      </w:pPr>
      <w:r w:rsidRPr="005E0F58">
        <w:rPr>
          <w:rStyle w:val="FootnoteReference"/>
          <w:rFonts w:eastAsia="SimSun"/>
          <w:sz w:val="20"/>
          <w:szCs w:val="20"/>
        </w:rPr>
        <w:footnoteRef/>
      </w:r>
      <w:r w:rsidRPr="005E0F58">
        <w:rPr>
          <w:rFonts w:eastAsia="SimSun"/>
          <w:sz w:val="20"/>
          <w:szCs w:val="20"/>
        </w:rPr>
        <w:t xml:space="preserve"> </w:t>
      </w:r>
      <w:r w:rsidR="0045379F" w:rsidRPr="005E0F58">
        <w:rPr>
          <w:rFonts w:eastAsia="SimSun" w:hint="eastAsia"/>
          <w:sz w:val="20"/>
          <w:szCs w:val="20"/>
        </w:rPr>
        <w:t xml:space="preserve"> </w:t>
      </w:r>
      <w:r w:rsidRPr="005E0F58">
        <w:rPr>
          <w:rFonts w:eastAsia="SimSun"/>
          <w:sz w:val="20"/>
          <w:szCs w:val="20"/>
        </w:rPr>
        <w:t>第</w:t>
      </w:r>
      <w:hyperlink r:id="rId19" w:history="1">
        <w:r w:rsidRPr="005E0F58">
          <w:rPr>
            <w:rStyle w:val="Hyperlink"/>
            <w:rFonts w:eastAsia="SimSun"/>
            <w:sz w:val="20"/>
            <w:szCs w:val="20"/>
          </w:rPr>
          <w:t>15/4</w:t>
        </w:r>
      </w:hyperlink>
      <w:r w:rsidRPr="005E0F58">
        <w:rPr>
          <w:rFonts w:eastAsia="SimSun"/>
          <w:sz w:val="20"/>
          <w:szCs w:val="20"/>
        </w:rPr>
        <w:t>号决定，附件。</w:t>
      </w:r>
    </w:p>
  </w:footnote>
  <w:footnote w:id="71">
    <w:p w14:paraId="785D70BE" w14:textId="1DEE1BB5" w:rsidR="006D5DBD" w:rsidRPr="005E0F58" w:rsidRDefault="006D5DBD" w:rsidP="006D5DBD">
      <w:pPr>
        <w:pStyle w:val="FootnoteText"/>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0045379F" w:rsidRPr="005E0F58">
        <w:rPr>
          <w:rFonts w:eastAsia="SimSun" w:hint="eastAsia"/>
          <w:sz w:val="20"/>
        </w:rPr>
        <w:t xml:space="preserve"> </w:t>
      </w:r>
      <w:r w:rsidRPr="005E0F58">
        <w:rPr>
          <w:rFonts w:eastAsia="SimSun"/>
          <w:sz w:val="20"/>
        </w:rPr>
        <w:t>第</w:t>
      </w:r>
      <w:hyperlink r:id="rId20" w:history="1">
        <w:r w:rsidRPr="005E0F58">
          <w:rPr>
            <w:rStyle w:val="Hyperlink"/>
            <w:rFonts w:eastAsia="SimSun"/>
            <w:sz w:val="20"/>
          </w:rPr>
          <w:t>15/8</w:t>
        </w:r>
      </w:hyperlink>
      <w:r w:rsidRPr="005E0F58">
        <w:rPr>
          <w:rFonts w:eastAsia="SimSun"/>
          <w:sz w:val="20"/>
        </w:rPr>
        <w:t>号决定</w:t>
      </w:r>
      <w:r w:rsidRPr="005E0F58">
        <w:rPr>
          <w:rFonts w:eastAsia="SimSun" w:hint="eastAsia"/>
          <w:sz w:val="20"/>
        </w:rPr>
        <w:t>所确定</w:t>
      </w:r>
      <w:r w:rsidRPr="005E0F58">
        <w:rPr>
          <w:rFonts w:eastAsia="SimSun"/>
          <w:sz w:val="20"/>
        </w:rPr>
        <w:t>。</w:t>
      </w:r>
    </w:p>
  </w:footnote>
  <w:footnote w:id="72">
    <w:p w14:paraId="33BB1CB7" w14:textId="52A9A8D3" w:rsidR="006D5DBD" w:rsidRPr="005E0F58" w:rsidRDefault="006D5DBD" w:rsidP="006D5DBD">
      <w:pPr>
        <w:pBdr>
          <w:top w:val="nil"/>
          <w:left w:val="nil"/>
          <w:bottom w:val="nil"/>
          <w:right w:val="nil"/>
          <w:between w:val="nil"/>
        </w:pBdr>
        <w:spacing w:after="60"/>
        <w:jc w:val="left"/>
        <w:rPr>
          <w:rFonts w:eastAsia="SimSun"/>
          <w:sz w:val="20"/>
          <w:szCs w:val="20"/>
        </w:rPr>
      </w:pPr>
      <w:r w:rsidRPr="005E0F58">
        <w:rPr>
          <w:rStyle w:val="FootnoteReference"/>
          <w:rFonts w:eastAsia="SimSun"/>
          <w:sz w:val="20"/>
          <w:szCs w:val="20"/>
        </w:rPr>
        <w:footnoteRef/>
      </w:r>
      <w:r w:rsidRPr="005E0F58">
        <w:rPr>
          <w:rFonts w:eastAsia="SimSun"/>
          <w:sz w:val="20"/>
          <w:szCs w:val="20"/>
        </w:rPr>
        <w:t xml:space="preserve"> </w:t>
      </w:r>
      <w:r w:rsidR="0045379F" w:rsidRPr="005E0F58">
        <w:rPr>
          <w:rFonts w:eastAsia="SimSun" w:hint="eastAsia"/>
          <w:sz w:val="20"/>
          <w:szCs w:val="20"/>
        </w:rPr>
        <w:t xml:space="preserve"> </w:t>
      </w:r>
      <w:r w:rsidRPr="005E0F58">
        <w:rPr>
          <w:rFonts w:eastAsia="SimSun"/>
          <w:sz w:val="20"/>
          <w:szCs w:val="20"/>
        </w:rPr>
        <w:t>第</w:t>
      </w:r>
      <w:hyperlink r:id="rId21" w:history="1">
        <w:r w:rsidRPr="005E0F58">
          <w:rPr>
            <w:rStyle w:val="Hyperlink"/>
            <w:rFonts w:eastAsia="SimSun"/>
            <w:sz w:val="20"/>
            <w:szCs w:val="20"/>
          </w:rPr>
          <w:t>15/14</w:t>
        </w:r>
      </w:hyperlink>
      <w:r w:rsidRPr="005E0F58">
        <w:rPr>
          <w:rFonts w:eastAsia="SimSun"/>
          <w:sz w:val="20"/>
          <w:szCs w:val="20"/>
        </w:rPr>
        <w:t>号决定，附件</w:t>
      </w:r>
      <w:r w:rsidRPr="005E0F58">
        <w:rPr>
          <w:rFonts w:eastAsia="SimSun" w:hint="eastAsia"/>
          <w:sz w:val="20"/>
          <w:szCs w:val="20"/>
        </w:rPr>
        <w:t>。</w:t>
      </w:r>
    </w:p>
  </w:footnote>
  <w:footnote w:id="73">
    <w:p w14:paraId="2C495D57" w14:textId="51BE77B9" w:rsidR="006D5DBD" w:rsidRPr="005E0F58" w:rsidRDefault="006D5DBD" w:rsidP="006D5DBD">
      <w:pPr>
        <w:pStyle w:val="FootnoteText"/>
        <w:spacing w:after="60"/>
        <w:rPr>
          <w:rFonts w:eastAsia="SimSun"/>
          <w:sz w:val="20"/>
        </w:rPr>
      </w:pPr>
      <w:r w:rsidRPr="005E0F58">
        <w:rPr>
          <w:rStyle w:val="FootnoteReference"/>
          <w:rFonts w:eastAsia="SimSun"/>
          <w:sz w:val="20"/>
        </w:rPr>
        <w:footnoteRef/>
      </w:r>
      <w:r w:rsidRPr="005E0F58">
        <w:rPr>
          <w:rFonts w:eastAsia="SimSun"/>
          <w:sz w:val="20"/>
        </w:rPr>
        <w:t xml:space="preserve"> </w:t>
      </w:r>
      <w:r w:rsidR="0045379F" w:rsidRPr="005E0F58">
        <w:rPr>
          <w:rFonts w:eastAsia="SimSun" w:hint="eastAsia"/>
          <w:sz w:val="20"/>
        </w:rPr>
        <w:t xml:space="preserve"> </w:t>
      </w:r>
      <w:r w:rsidRPr="005E0F58">
        <w:rPr>
          <w:rFonts w:eastAsia="SimSun"/>
          <w:sz w:val="20"/>
        </w:rPr>
        <w:t>第</w:t>
      </w:r>
      <w:hyperlink r:id="rId22" w:history="1">
        <w:r w:rsidRPr="005E0F58">
          <w:rPr>
            <w:rStyle w:val="Hyperlink"/>
            <w:rFonts w:eastAsia="SimSun"/>
            <w:sz w:val="20"/>
          </w:rPr>
          <w:t>15/</w:t>
        </w:r>
        <w:r w:rsidRPr="005E0F58">
          <w:rPr>
            <w:rStyle w:val="Hyperlink"/>
            <w:rFonts w:eastAsia="SimSun" w:hint="eastAsia"/>
            <w:sz w:val="20"/>
          </w:rPr>
          <w:t>6</w:t>
        </w:r>
      </w:hyperlink>
      <w:r w:rsidRPr="005E0F58">
        <w:rPr>
          <w:rFonts w:eastAsia="SimSun"/>
          <w:sz w:val="20"/>
        </w:rPr>
        <w:t>号决定</w:t>
      </w:r>
      <w:r w:rsidRPr="005E0F58">
        <w:rPr>
          <w:rFonts w:eastAsia="SimSun" w:hint="eastAsia"/>
          <w:sz w:val="20"/>
        </w:rPr>
        <w:t>所确定</w:t>
      </w:r>
      <w:r w:rsidRPr="005E0F58">
        <w:rPr>
          <w:rFonts w:eastAsia="SimSun"/>
          <w:sz w:val="20"/>
        </w:rPr>
        <w:t>。</w:t>
      </w:r>
    </w:p>
  </w:footnote>
  <w:footnote w:id="74">
    <w:p w14:paraId="158EA9AD" w14:textId="1303E294" w:rsidR="006D5DBD" w:rsidRPr="005E0F58" w:rsidRDefault="006D5DBD" w:rsidP="006D5DBD">
      <w:pPr>
        <w:pBdr>
          <w:top w:val="nil"/>
          <w:left w:val="nil"/>
          <w:bottom w:val="nil"/>
          <w:right w:val="nil"/>
          <w:between w:val="nil"/>
        </w:pBdr>
        <w:spacing w:after="60"/>
        <w:jc w:val="left"/>
        <w:rPr>
          <w:rFonts w:eastAsia="SimSun"/>
          <w:sz w:val="20"/>
          <w:szCs w:val="20"/>
        </w:rPr>
      </w:pPr>
      <w:r w:rsidRPr="005E0F58">
        <w:rPr>
          <w:rStyle w:val="FootnoteReference"/>
          <w:rFonts w:eastAsia="SimSun"/>
          <w:sz w:val="20"/>
          <w:szCs w:val="20"/>
        </w:rPr>
        <w:footnoteRef/>
      </w:r>
      <w:sdt>
        <w:sdtPr>
          <w:rPr>
            <w:rFonts w:eastAsia="SimSun"/>
            <w:sz w:val="20"/>
            <w:szCs w:val="20"/>
          </w:rPr>
          <w:tag w:val="goog_rdk_67"/>
          <w:id w:val="742522496"/>
        </w:sdtPr>
        <w:sdtContent>
          <w:r w:rsidRPr="005E0F58">
            <w:rPr>
              <w:rFonts w:eastAsia="SimSun"/>
              <w:sz w:val="20"/>
              <w:szCs w:val="20"/>
            </w:rPr>
            <w:t xml:space="preserve"> </w:t>
          </w:r>
          <w:r w:rsidR="0045379F" w:rsidRPr="005E0F58">
            <w:rPr>
              <w:rFonts w:eastAsia="SimSun" w:hint="eastAsia"/>
              <w:sz w:val="20"/>
              <w:szCs w:val="20"/>
            </w:rPr>
            <w:t xml:space="preserve"> </w:t>
          </w:r>
          <w:r w:rsidRPr="005E0F58">
            <w:rPr>
              <w:rFonts w:eastAsia="SimSun"/>
              <w:sz w:val="20"/>
              <w:szCs w:val="20"/>
            </w:rPr>
            <w:t>联合国，</w:t>
          </w:r>
        </w:sdtContent>
      </w:sdt>
      <w:r w:rsidRPr="005E0F58">
        <w:rPr>
          <w:rFonts w:eastAsia="SimSun"/>
          <w:sz w:val="20"/>
          <w:szCs w:val="20"/>
        </w:rPr>
        <w:t>《条约汇编》，第</w:t>
      </w:r>
      <w:r w:rsidRPr="005E0F58">
        <w:rPr>
          <w:rFonts w:eastAsia="SimSun"/>
          <w:sz w:val="20"/>
          <w:szCs w:val="20"/>
        </w:rPr>
        <w:t>1760</w:t>
      </w:r>
      <w:r w:rsidRPr="005E0F58">
        <w:rPr>
          <w:rFonts w:eastAsia="SimSun"/>
          <w:sz w:val="20"/>
          <w:szCs w:val="20"/>
        </w:rPr>
        <w:t>卷，第</w:t>
      </w:r>
      <w:r w:rsidRPr="005E0F58">
        <w:rPr>
          <w:rFonts w:eastAsia="SimSun"/>
          <w:sz w:val="20"/>
          <w:szCs w:val="20"/>
        </w:rPr>
        <w:t>30619</w:t>
      </w:r>
      <w:r w:rsidRPr="005E0F58">
        <w:rPr>
          <w:rFonts w:eastAsia="SimSun"/>
          <w:sz w:val="20"/>
          <w:szCs w:val="20"/>
        </w:rPr>
        <w:t>号。</w:t>
      </w:r>
    </w:p>
  </w:footnote>
  <w:footnote w:id="75">
    <w:p w14:paraId="1D1007E0" w14:textId="11418657" w:rsidR="006D5DBD" w:rsidRPr="00F77CAA" w:rsidRDefault="006D5DBD" w:rsidP="006D5DBD">
      <w:pPr>
        <w:pBdr>
          <w:top w:val="nil"/>
          <w:left w:val="nil"/>
          <w:bottom w:val="nil"/>
          <w:right w:val="nil"/>
          <w:between w:val="nil"/>
        </w:pBdr>
        <w:spacing w:after="60"/>
        <w:jc w:val="left"/>
        <w:rPr>
          <w:rFonts w:eastAsia="SimSun"/>
          <w:sz w:val="20"/>
          <w:szCs w:val="20"/>
        </w:rPr>
      </w:pPr>
      <w:r w:rsidRPr="005E0F58">
        <w:rPr>
          <w:rStyle w:val="FootnoteReference"/>
          <w:rFonts w:eastAsia="SimSun"/>
          <w:sz w:val="20"/>
          <w:szCs w:val="20"/>
        </w:rPr>
        <w:footnoteRef/>
      </w:r>
      <w:r w:rsidRPr="005E0F58">
        <w:rPr>
          <w:rFonts w:eastAsia="SimSun"/>
          <w:sz w:val="20"/>
          <w:szCs w:val="20"/>
        </w:rPr>
        <w:t xml:space="preserve"> </w:t>
      </w:r>
      <w:r w:rsidR="0045379F" w:rsidRPr="005E0F58">
        <w:rPr>
          <w:rFonts w:eastAsia="SimSun" w:hint="eastAsia"/>
          <w:sz w:val="20"/>
          <w:szCs w:val="20"/>
        </w:rPr>
        <w:t xml:space="preserve"> </w:t>
      </w:r>
      <w:r w:rsidRPr="005E0F58">
        <w:rPr>
          <w:rFonts w:eastAsia="SimSun"/>
          <w:sz w:val="20"/>
          <w:szCs w:val="20"/>
        </w:rPr>
        <w:t>例如全球生物多样性信息机制。</w:t>
      </w:r>
    </w:p>
  </w:footnote>
  <w:footnote w:id="76">
    <w:p w14:paraId="0B0ACE6E" w14:textId="77777777" w:rsidR="006D5DBD" w:rsidRPr="00885CBC" w:rsidRDefault="006D5DBD" w:rsidP="006D5DBD">
      <w:pPr>
        <w:pBdr>
          <w:top w:val="nil"/>
          <w:left w:val="nil"/>
          <w:bottom w:val="nil"/>
          <w:right w:val="nil"/>
          <w:between w:val="nil"/>
        </w:pBdr>
        <w:spacing w:after="60"/>
        <w:jc w:val="left"/>
        <w:rPr>
          <w:rFonts w:eastAsia="SimSun"/>
          <w:sz w:val="20"/>
          <w:szCs w:val="20"/>
        </w:rPr>
      </w:pPr>
      <w:r w:rsidRPr="00885CBC">
        <w:rPr>
          <w:rStyle w:val="FootnoteReference"/>
          <w:rFonts w:eastAsia="SimSun"/>
          <w:sz w:val="20"/>
          <w:szCs w:val="20"/>
        </w:rPr>
        <w:footnoteRef/>
      </w:r>
      <w:r w:rsidRPr="00885CBC">
        <w:rPr>
          <w:rFonts w:eastAsia="SimSun"/>
          <w:sz w:val="20"/>
          <w:szCs w:val="20"/>
          <w:vertAlign w:val="superscript"/>
        </w:rPr>
        <w:t xml:space="preserve"> </w:t>
      </w:r>
      <w:r w:rsidRPr="00885CBC">
        <w:rPr>
          <w:rFonts w:eastAsia="SimSun"/>
          <w:sz w:val="20"/>
          <w:szCs w:val="20"/>
        </w:rPr>
        <w:t xml:space="preserve"> </w:t>
      </w:r>
      <w:r w:rsidRPr="00885CBC">
        <w:rPr>
          <w:rFonts w:eastAsia="SimSun" w:hint="eastAsia"/>
          <w:sz w:val="20"/>
          <w:szCs w:val="20"/>
        </w:rPr>
        <w:t>第</w:t>
      </w:r>
      <w:hyperlink r:id="rId23" w:history="1">
        <w:r w:rsidRPr="00885CBC">
          <w:rPr>
            <w:rStyle w:val="Hyperlink"/>
            <w:rFonts w:eastAsia="SimSun" w:hint="eastAsia"/>
            <w:sz w:val="20"/>
            <w:szCs w:val="20"/>
          </w:rPr>
          <w:t>15/4</w:t>
        </w:r>
      </w:hyperlink>
      <w:r w:rsidRPr="00885CBC">
        <w:rPr>
          <w:rFonts w:eastAsia="SimSun"/>
          <w:sz w:val="20"/>
          <w:szCs w:val="20"/>
        </w:rPr>
        <w:t>号决定</w:t>
      </w:r>
      <w:r w:rsidRPr="00885CBC">
        <w:rPr>
          <w:rFonts w:eastAsia="SimSun"/>
          <w:sz w:val="20"/>
          <w:szCs w:val="20"/>
          <w:highlight w:val="white"/>
        </w:rPr>
        <w:t>，</w:t>
      </w:r>
      <w:r w:rsidRPr="00885CBC">
        <w:rPr>
          <w:rFonts w:eastAsia="SimSun"/>
          <w:sz w:val="20"/>
          <w:szCs w:val="20"/>
        </w:rPr>
        <w:t>附件。</w:t>
      </w:r>
    </w:p>
  </w:footnote>
  <w:footnote w:id="77">
    <w:p w14:paraId="389E1253" w14:textId="77777777" w:rsidR="006D5DBD" w:rsidRPr="00885CBC" w:rsidRDefault="006D5DBD" w:rsidP="006D5DBD">
      <w:pPr>
        <w:pBdr>
          <w:top w:val="nil"/>
          <w:left w:val="nil"/>
          <w:bottom w:val="nil"/>
          <w:right w:val="nil"/>
          <w:between w:val="nil"/>
        </w:pBdr>
        <w:spacing w:after="60"/>
        <w:jc w:val="left"/>
        <w:rPr>
          <w:rFonts w:eastAsia="SimSun"/>
          <w:sz w:val="20"/>
          <w:szCs w:val="20"/>
        </w:rPr>
      </w:pPr>
      <w:r w:rsidRPr="00885CBC">
        <w:rPr>
          <w:rStyle w:val="FootnoteReference"/>
          <w:rFonts w:eastAsia="SimSun"/>
          <w:sz w:val="20"/>
          <w:szCs w:val="20"/>
        </w:rPr>
        <w:footnoteRef/>
      </w:r>
      <w:r w:rsidRPr="00885CBC">
        <w:rPr>
          <w:rFonts w:eastAsia="SimSun"/>
          <w:sz w:val="20"/>
          <w:szCs w:val="20"/>
          <w:vertAlign w:val="superscript"/>
        </w:rPr>
        <w:t xml:space="preserve"> </w:t>
      </w:r>
      <w:r w:rsidRPr="00885CBC">
        <w:rPr>
          <w:rFonts w:eastAsia="SimSun"/>
          <w:sz w:val="20"/>
          <w:szCs w:val="20"/>
        </w:rPr>
        <w:t xml:space="preserve"> </w:t>
      </w:r>
      <w:r w:rsidRPr="00885CBC">
        <w:rPr>
          <w:rFonts w:eastAsia="SimSun" w:hint="eastAsia"/>
          <w:sz w:val="20"/>
          <w:szCs w:val="20"/>
        </w:rPr>
        <w:t>见第</w:t>
      </w:r>
      <w:hyperlink r:id="rId24" w:history="1">
        <w:r w:rsidRPr="00885CBC">
          <w:rPr>
            <w:rStyle w:val="Hyperlink"/>
            <w:rFonts w:eastAsia="SimSun" w:hint="eastAsia"/>
            <w:sz w:val="20"/>
            <w:szCs w:val="20"/>
          </w:rPr>
          <w:t>15/8</w:t>
        </w:r>
      </w:hyperlink>
      <w:r w:rsidRPr="00885CBC">
        <w:rPr>
          <w:rFonts w:eastAsia="SimSun" w:hint="eastAsia"/>
          <w:sz w:val="20"/>
          <w:szCs w:val="20"/>
        </w:rPr>
        <w:t>号</w:t>
      </w:r>
      <w:r w:rsidRPr="00885CBC">
        <w:rPr>
          <w:rFonts w:eastAsia="SimSun"/>
          <w:sz w:val="20"/>
          <w:szCs w:val="20"/>
        </w:rPr>
        <w:t>、</w:t>
      </w:r>
      <w:r w:rsidRPr="00885CBC">
        <w:rPr>
          <w:rFonts w:eastAsia="SimSun" w:hint="eastAsia"/>
          <w:sz w:val="20"/>
          <w:szCs w:val="20"/>
        </w:rPr>
        <w:t>第</w:t>
      </w:r>
      <w:hyperlink r:id="rId25" w:history="1">
        <w:r w:rsidRPr="00885CBC">
          <w:rPr>
            <w:rStyle w:val="Hyperlink"/>
            <w:rFonts w:eastAsia="SimSun" w:hint="eastAsia"/>
            <w:sz w:val="20"/>
            <w:szCs w:val="20"/>
          </w:rPr>
          <w:t>15/14</w:t>
        </w:r>
      </w:hyperlink>
      <w:r w:rsidRPr="00885CBC">
        <w:rPr>
          <w:rFonts w:eastAsia="SimSun" w:hint="eastAsia"/>
          <w:sz w:val="20"/>
          <w:szCs w:val="20"/>
        </w:rPr>
        <w:t>号</w:t>
      </w:r>
      <w:r w:rsidRPr="00885CBC">
        <w:rPr>
          <w:rFonts w:eastAsia="SimSun"/>
          <w:sz w:val="20"/>
          <w:szCs w:val="20"/>
        </w:rPr>
        <w:t>和</w:t>
      </w:r>
      <w:r w:rsidRPr="00885CBC">
        <w:rPr>
          <w:rFonts w:eastAsia="SimSun" w:hint="eastAsia"/>
          <w:sz w:val="20"/>
          <w:szCs w:val="20"/>
        </w:rPr>
        <w:t>第</w:t>
      </w:r>
      <w:hyperlink r:id="rId26" w:history="1">
        <w:r w:rsidRPr="00885CBC">
          <w:rPr>
            <w:rStyle w:val="Hyperlink"/>
            <w:rFonts w:eastAsia="SimSun" w:hint="eastAsia"/>
            <w:sz w:val="20"/>
            <w:szCs w:val="20"/>
          </w:rPr>
          <w:t>16/3</w:t>
        </w:r>
      </w:hyperlink>
      <w:r w:rsidRPr="00885CBC">
        <w:rPr>
          <w:rFonts w:eastAsia="SimSun" w:hint="eastAsia"/>
          <w:sz w:val="20"/>
          <w:szCs w:val="20"/>
        </w:rPr>
        <w:t>号和第</w:t>
      </w:r>
      <w:hyperlink r:id="rId27" w:history="1">
        <w:r w:rsidRPr="00885CBC">
          <w:rPr>
            <w:rStyle w:val="Hyperlink"/>
            <w:rFonts w:eastAsia="SimSun" w:hint="eastAsia"/>
            <w:sz w:val="20"/>
            <w:szCs w:val="20"/>
          </w:rPr>
          <w:t>16/10</w:t>
        </w:r>
      </w:hyperlink>
      <w:r w:rsidRPr="00885CBC">
        <w:rPr>
          <w:rFonts w:eastAsia="SimSun" w:hint="eastAsia"/>
          <w:sz w:val="20"/>
          <w:szCs w:val="20"/>
        </w:rPr>
        <w:t>号</w:t>
      </w:r>
      <w:r w:rsidRPr="00885CBC">
        <w:rPr>
          <w:rFonts w:eastAsia="SimSun"/>
          <w:sz w:val="20"/>
          <w:szCs w:val="20"/>
        </w:rPr>
        <w:t>决定。</w:t>
      </w:r>
    </w:p>
  </w:footnote>
  <w:footnote w:id="78">
    <w:p w14:paraId="2331D51E" w14:textId="77777777" w:rsidR="006D5DBD" w:rsidRPr="00AD7D80" w:rsidRDefault="006D5DBD" w:rsidP="006D5DBD">
      <w:pPr>
        <w:pBdr>
          <w:top w:val="nil"/>
          <w:left w:val="nil"/>
          <w:bottom w:val="nil"/>
          <w:right w:val="nil"/>
          <w:between w:val="nil"/>
        </w:pBdr>
        <w:spacing w:after="60"/>
        <w:jc w:val="left"/>
        <w:rPr>
          <w:rFonts w:eastAsia="SimSun"/>
          <w:sz w:val="20"/>
          <w:szCs w:val="20"/>
        </w:rPr>
      </w:pPr>
      <w:r w:rsidRPr="00885CBC">
        <w:rPr>
          <w:rStyle w:val="FootnoteReference"/>
          <w:rFonts w:eastAsia="SimSun"/>
          <w:sz w:val="20"/>
          <w:szCs w:val="20"/>
        </w:rPr>
        <w:footnoteRef/>
      </w:r>
      <w:r w:rsidRPr="00885CBC">
        <w:rPr>
          <w:rFonts w:eastAsia="SimSun"/>
          <w:sz w:val="20"/>
          <w:szCs w:val="20"/>
        </w:rPr>
        <w:t xml:space="preserve">  </w:t>
      </w:r>
      <w:r w:rsidRPr="00885CBC">
        <w:rPr>
          <w:rFonts w:eastAsia="SimSun" w:hint="eastAsia"/>
          <w:sz w:val="20"/>
          <w:szCs w:val="20"/>
        </w:rPr>
        <w:t>第</w:t>
      </w:r>
      <w:hyperlink r:id="rId28" w:history="1">
        <w:r w:rsidRPr="00885CBC">
          <w:rPr>
            <w:rStyle w:val="Hyperlink"/>
            <w:rFonts w:eastAsia="SimSun" w:hint="eastAsia"/>
            <w:sz w:val="20"/>
            <w:szCs w:val="20"/>
          </w:rPr>
          <w:t>15/11</w:t>
        </w:r>
      </w:hyperlink>
      <w:r w:rsidRPr="00885CBC">
        <w:rPr>
          <w:rFonts w:eastAsia="SimSun" w:hint="eastAsia"/>
          <w:sz w:val="20"/>
          <w:szCs w:val="20"/>
        </w:rPr>
        <w:t>号决</w:t>
      </w:r>
      <w:r w:rsidRPr="00885CBC">
        <w:rPr>
          <w:rFonts w:eastAsia="SimSun"/>
          <w:sz w:val="20"/>
          <w:szCs w:val="20"/>
          <w:highlight w:val="white"/>
        </w:rPr>
        <w:t>定，附件</w:t>
      </w:r>
      <w:r w:rsidRPr="00885CBC">
        <w:rPr>
          <w:rFonts w:eastAsia="SimSun"/>
          <w:sz w:val="20"/>
          <w:szCs w:val="20"/>
        </w:rPr>
        <w:t>。</w:t>
      </w:r>
    </w:p>
  </w:footnote>
  <w:footnote w:id="79">
    <w:p w14:paraId="49C9A701" w14:textId="77777777" w:rsidR="006D5DBD" w:rsidRPr="003874FD" w:rsidRDefault="006D5DBD" w:rsidP="006D5DBD">
      <w:pPr>
        <w:pBdr>
          <w:top w:val="nil"/>
          <w:left w:val="nil"/>
          <w:bottom w:val="nil"/>
          <w:right w:val="nil"/>
          <w:between w:val="nil"/>
        </w:pBdr>
        <w:spacing w:after="60"/>
        <w:jc w:val="left"/>
        <w:rPr>
          <w:rFonts w:eastAsia="SimSun"/>
          <w:sz w:val="20"/>
          <w:szCs w:val="20"/>
        </w:rPr>
      </w:pPr>
      <w:r w:rsidRPr="003874FD">
        <w:rPr>
          <w:rStyle w:val="FootnoteReference"/>
          <w:rFonts w:eastAsia="SimSun"/>
          <w:sz w:val="20"/>
          <w:szCs w:val="20"/>
        </w:rPr>
        <w:footnoteRef/>
      </w:r>
      <w:r w:rsidRPr="003874FD">
        <w:rPr>
          <w:rFonts w:eastAsia="SimSun"/>
          <w:sz w:val="20"/>
          <w:szCs w:val="20"/>
        </w:rPr>
        <w:t xml:space="preserve"> </w:t>
      </w:r>
      <w:r w:rsidRPr="003874FD">
        <w:rPr>
          <w:rFonts w:eastAsia="SimSun" w:hint="eastAsia"/>
          <w:sz w:val="20"/>
          <w:szCs w:val="20"/>
        </w:rPr>
        <w:t xml:space="preserve"> </w:t>
      </w:r>
      <w:r w:rsidRPr="003874FD">
        <w:rPr>
          <w:rFonts w:eastAsia="SimSun"/>
          <w:sz w:val="20"/>
          <w:szCs w:val="20"/>
        </w:rPr>
        <w:t>联合国，《条约汇编》，第</w:t>
      </w:r>
      <w:r w:rsidRPr="003874FD">
        <w:rPr>
          <w:rFonts w:eastAsia="SimSun"/>
          <w:sz w:val="20"/>
          <w:szCs w:val="20"/>
        </w:rPr>
        <w:t>1760</w:t>
      </w:r>
      <w:r w:rsidRPr="003874FD">
        <w:rPr>
          <w:rFonts w:eastAsia="SimSun"/>
          <w:sz w:val="20"/>
          <w:szCs w:val="20"/>
        </w:rPr>
        <w:t>卷，第</w:t>
      </w:r>
      <w:r w:rsidRPr="003874FD">
        <w:rPr>
          <w:rFonts w:eastAsia="SimSun"/>
          <w:sz w:val="20"/>
          <w:szCs w:val="20"/>
        </w:rPr>
        <w:t>30619</w:t>
      </w:r>
      <w:r w:rsidRPr="003874FD">
        <w:rPr>
          <w:rFonts w:eastAsia="SimSun"/>
          <w:sz w:val="20"/>
          <w:szCs w:val="20"/>
        </w:rPr>
        <w:t>号。</w:t>
      </w:r>
    </w:p>
  </w:footnote>
  <w:footnote w:id="80">
    <w:p w14:paraId="5818B9AA" w14:textId="77777777" w:rsidR="006D5DBD" w:rsidRPr="003874FD" w:rsidRDefault="006D5DBD" w:rsidP="006D5DBD">
      <w:pPr>
        <w:pStyle w:val="CBDFootnoteText"/>
        <w:spacing w:after="60"/>
        <w:rPr>
          <w:sz w:val="20"/>
          <w:szCs w:val="20"/>
          <w:lang w:eastAsia="zh-CN"/>
        </w:rPr>
      </w:pPr>
      <w:r w:rsidRPr="003874FD">
        <w:rPr>
          <w:sz w:val="20"/>
          <w:szCs w:val="20"/>
          <w:vertAlign w:val="superscript"/>
          <w:lang w:eastAsia="zh-CN"/>
        </w:rPr>
        <w:footnoteRef/>
      </w:r>
      <w:r w:rsidRPr="003874FD">
        <w:rPr>
          <w:sz w:val="20"/>
          <w:szCs w:val="20"/>
          <w:lang w:eastAsia="zh-CN"/>
        </w:rPr>
        <w:t xml:space="preserve"> </w:t>
      </w:r>
      <w:r w:rsidRPr="003874FD">
        <w:rPr>
          <w:rFonts w:hint="eastAsia"/>
          <w:sz w:val="20"/>
          <w:szCs w:val="20"/>
          <w:lang w:eastAsia="zh-CN"/>
        </w:rPr>
        <w:t xml:space="preserve"> </w:t>
      </w:r>
      <w:r w:rsidRPr="003874FD">
        <w:rPr>
          <w:rFonts w:eastAsia="SimSun" w:hint="eastAsia"/>
          <w:sz w:val="20"/>
          <w:szCs w:val="20"/>
          <w:lang w:eastAsia="zh-CN"/>
        </w:rPr>
        <w:t>第</w:t>
      </w:r>
      <w:hyperlink r:id="rId29" w:history="1">
        <w:r w:rsidRPr="003874FD">
          <w:rPr>
            <w:rStyle w:val="Hyperlink"/>
            <w:rFonts w:eastAsia="SimSun"/>
            <w:sz w:val="20"/>
            <w:szCs w:val="20"/>
            <w:lang w:eastAsia="zh-CN"/>
          </w:rPr>
          <w:t>16/4</w:t>
        </w:r>
      </w:hyperlink>
      <w:r w:rsidRPr="003874FD">
        <w:rPr>
          <w:rFonts w:eastAsia="SimSun" w:hint="eastAsia"/>
          <w:sz w:val="20"/>
          <w:szCs w:val="20"/>
          <w:lang w:eastAsia="zh-CN"/>
        </w:rPr>
        <w:t>号决定，附件。</w:t>
      </w:r>
    </w:p>
  </w:footnote>
  <w:footnote w:id="81">
    <w:p w14:paraId="4797829A" w14:textId="77777777" w:rsidR="006D5DBD" w:rsidRPr="003874FD" w:rsidRDefault="006D5DBD" w:rsidP="006D5DBD">
      <w:pPr>
        <w:pBdr>
          <w:top w:val="nil"/>
          <w:left w:val="nil"/>
          <w:bottom w:val="nil"/>
          <w:right w:val="nil"/>
          <w:between w:val="nil"/>
        </w:pBdr>
        <w:spacing w:after="60"/>
        <w:jc w:val="left"/>
        <w:rPr>
          <w:rFonts w:eastAsia="SimSun"/>
          <w:sz w:val="20"/>
          <w:szCs w:val="20"/>
        </w:rPr>
      </w:pPr>
      <w:r w:rsidRPr="003874FD">
        <w:rPr>
          <w:rStyle w:val="FootnoteReference"/>
          <w:rFonts w:eastAsia="SimSun"/>
          <w:sz w:val="20"/>
          <w:szCs w:val="20"/>
        </w:rPr>
        <w:footnoteRef/>
      </w:r>
      <w:sdt>
        <w:sdtPr>
          <w:rPr>
            <w:rFonts w:eastAsia="SimSun"/>
            <w:sz w:val="20"/>
            <w:szCs w:val="20"/>
          </w:rPr>
          <w:tag w:val="goog_rdk_73"/>
          <w:id w:val="-1114134314"/>
        </w:sdtPr>
        <w:sdtContent>
          <w:r w:rsidRPr="003874FD">
            <w:rPr>
              <w:rFonts w:eastAsia="SimSun"/>
              <w:sz w:val="20"/>
              <w:szCs w:val="20"/>
            </w:rPr>
            <w:t xml:space="preserve">  </w:t>
          </w:r>
          <w:r w:rsidRPr="003874FD">
            <w:rPr>
              <w:rFonts w:eastAsia="SimSun"/>
              <w:sz w:val="20"/>
              <w:szCs w:val="20"/>
            </w:rPr>
            <w:t>第</w:t>
          </w:r>
          <w:hyperlink r:id="rId30" w:history="1">
            <w:r w:rsidRPr="003874FD">
              <w:rPr>
                <w:rStyle w:val="Hyperlink"/>
                <w:rFonts w:eastAsia="SimSun"/>
                <w:sz w:val="20"/>
                <w:szCs w:val="20"/>
              </w:rPr>
              <w:t>15/4</w:t>
            </w:r>
          </w:hyperlink>
          <w:r w:rsidRPr="003874FD">
            <w:rPr>
              <w:rFonts w:eastAsia="SimSun"/>
              <w:sz w:val="20"/>
              <w:szCs w:val="20"/>
            </w:rPr>
            <w:t>号决定，附件，</w:t>
          </w:r>
          <w:r w:rsidRPr="003874FD">
            <w:rPr>
              <w:rFonts w:eastAsia="SimSun"/>
              <w:sz w:val="20"/>
              <w:szCs w:val="20"/>
            </w:rPr>
            <w:t>C</w:t>
          </w:r>
          <w:r w:rsidRPr="003874FD">
            <w:rPr>
              <w:rFonts w:eastAsia="SimSun"/>
              <w:sz w:val="20"/>
              <w:szCs w:val="20"/>
            </w:rPr>
            <w:t>部分。</w:t>
          </w:r>
        </w:sdtContent>
      </w:sdt>
    </w:p>
  </w:footnote>
  <w:footnote w:id="82">
    <w:p w14:paraId="1A7A319A" w14:textId="77777777"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包括对话、圆桌会议、论坛、知识博览会、展览会、研讨会和会议。</w:t>
      </w:r>
    </w:p>
  </w:footnote>
  <w:footnote w:id="83">
    <w:p w14:paraId="5CCDAAC0" w14:textId="77777777" w:rsidR="006D5DBD" w:rsidRPr="00BC7AC2" w:rsidRDefault="006D5DBD" w:rsidP="006D5DBD">
      <w:pPr>
        <w:pStyle w:val="FootnoteText"/>
        <w:snapToGrid w:val="0"/>
        <w:spacing w:after="60"/>
        <w:rPr>
          <w:rFonts w:eastAsia="SimSun"/>
          <w:sz w:val="20"/>
        </w:rPr>
      </w:pPr>
      <w:r w:rsidRPr="003874FD">
        <w:rPr>
          <w:rStyle w:val="FootnoteReference"/>
          <w:rFonts w:eastAsia="SimSun"/>
          <w:kern w:val="22"/>
          <w:sz w:val="20"/>
        </w:rPr>
        <w:footnoteRef/>
      </w:r>
      <w:r w:rsidRPr="003874FD">
        <w:rPr>
          <w:rStyle w:val="FootnoteReference"/>
          <w:rFonts w:eastAsia="SimSun"/>
          <w:kern w:val="22"/>
          <w:sz w:val="20"/>
        </w:rPr>
        <w:t xml:space="preserve"> </w:t>
      </w:r>
      <w:r w:rsidRPr="003874FD">
        <w:rPr>
          <w:rFonts w:eastAsia="SimSun"/>
          <w:sz w:val="20"/>
        </w:rPr>
        <w:t xml:space="preserve"> </w:t>
      </w:r>
      <w:r w:rsidRPr="003874FD">
        <w:rPr>
          <w:rFonts w:eastAsia="SimSun"/>
          <w:sz w:val="20"/>
        </w:rPr>
        <w:t>通过传统和数字渠道，包括信息交换所机制的中央门户、获取和惠益分享信息交换</w:t>
      </w:r>
      <w:r w:rsidRPr="003874FD">
        <w:rPr>
          <w:rFonts w:eastAsia="SimSun" w:hint="eastAsia"/>
          <w:sz w:val="20"/>
        </w:rPr>
        <w:t>所</w:t>
      </w:r>
      <w:r w:rsidRPr="003874FD">
        <w:rPr>
          <w:rFonts w:eastAsia="SimSun"/>
          <w:sz w:val="20"/>
        </w:rPr>
        <w:t>、生物安全信息交换</w:t>
      </w:r>
      <w:r w:rsidRPr="003874FD">
        <w:rPr>
          <w:rFonts w:eastAsia="SimSun" w:hint="eastAsia"/>
          <w:sz w:val="20"/>
        </w:rPr>
        <w:t>所</w:t>
      </w:r>
      <w:r w:rsidRPr="003874FD">
        <w:rPr>
          <w:rFonts w:eastAsia="SimSun"/>
          <w:sz w:val="20"/>
        </w:rPr>
        <w:t>和国家信息交换的门户</w:t>
      </w:r>
      <w:r w:rsidRPr="00885CBC">
        <w:rPr>
          <w:rFonts w:eastAsia="SimSun"/>
          <w:sz w:val="20"/>
          <w:shd w:val="clear" w:color="auto" w:fill="FFFFFF"/>
        </w:rPr>
        <w:t>。</w:t>
      </w:r>
    </w:p>
  </w:footnote>
  <w:footnote w:id="84">
    <w:p w14:paraId="591C5E5E" w14:textId="77777777" w:rsidR="006D5DBD" w:rsidRPr="00BC7AC2" w:rsidRDefault="006D5DBD" w:rsidP="006D5DBD">
      <w:pPr>
        <w:pStyle w:val="FootnoteText"/>
        <w:snapToGrid w:val="0"/>
        <w:spacing w:after="60"/>
        <w:rPr>
          <w:rFonts w:eastAsia="SimSun"/>
          <w:sz w:val="20"/>
        </w:rPr>
      </w:pPr>
      <w:r w:rsidRPr="00BC7AC2">
        <w:rPr>
          <w:rStyle w:val="FootnoteReference"/>
          <w:rFonts w:eastAsia="SimSun"/>
          <w:kern w:val="22"/>
          <w:sz w:val="20"/>
        </w:rPr>
        <w:footnoteRef/>
      </w:r>
      <w:r w:rsidRPr="00BC7AC2">
        <w:rPr>
          <w:rStyle w:val="FootnoteReference"/>
          <w:rFonts w:eastAsia="SimSun"/>
          <w:kern w:val="22"/>
          <w:sz w:val="20"/>
        </w:rPr>
        <w:t xml:space="preserve"> </w:t>
      </w:r>
      <w:r w:rsidRPr="00BC7AC2">
        <w:rPr>
          <w:rFonts w:eastAsia="SimSun"/>
          <w:sz w:val="20"/>
        </w:rPr>
        <w:t xml:space="preserve"> </w:t>
      </w:r>
      <w:r w:rsidRPr="00BC7AC2">
        <w:rPr>
          <w:rFonts w:eastAsia="SimSun"/>
          <w:sz w:val="20"/>
        </w:rPr>
        <w:t>包括讲习班、对话、圆桌会议、论坛、知识博览会、展览会、研讨会和会议。</w:t>
      </w:r>
    </w:p>
  </w:footnote>
  <w:footnote w:id="85">
    <w:p w14:paraId="305D1517" w14:textId="30AB38DC" w:rsidR="006D5DBD" w:rsidRPr="00BC7AC2" w:rsidRDefault="006D5DBD" w:rsidP="006D5DBD">
      <w:pPr>
        <w:pStyle w:val="FootnoteText"/>
        <w:spacing w:after="60"/>
        <w:rPr>
          <w:rFonts w:eastAsia="SimSun"/>
          <w:sz w:val="20"/>
        </w:rPr>
      </w:pPr>
      <w:r w:rsidRPr="00BC7AC2">
        <w:rPr>
          <w:rStyle w:val="FootnoteReference"/>
          <w:rFonts w:eastAsia="SimSun"/>
          <w:sz w:val="20"/>
        </w:rPr>
        <w:footnoteRef/>
      </w:r>
      <w:r w:rsidRPr="00BC7AC2">
        <w:rPr>
          <w:rFonts w:eastAsia="SimSun"/>
          <w:sz w:val="20"/>
        </w:rPr>
        <w:t xml:space="preserve">  </w:t>
      </w:r>
      <w:r w:rsidRPr="008610FD">
        <w:rPr>
          <w:rFonts w:eastAsia="SimSun"/>
          <w:spacing w:val="-10"/>
          <w:sz w:val="20"/>
        </w:rPr>
        <w:t>凡提到</w:t>
      </w:r>
      <w:r w:rsidRPr="008610FD">
        <w:rPr>
          <w:rFonts w:eastAsia="SimSun"/>
          <w:spacing w:val="-10"/>
          <w:sz w:val="20"/>
        </w:rPr>
        <w:t>“</w:t>
      </w:r>
      <w:r w:rsidRPr="008610FD">
        <w:rPr>
          <w:rFonts w:eastAsia="SimSun"/>
          <w:spacing w:val="-10"/>
          <w:sz w:val="20"/>
        </w:rPr>
        <w:t>自由、事先和知情同意</w:t>
      </w:r>
      <w:r w:rsidRPr="008610FD">
        <w:rPr>
          <w:rFonts w:eastAsia="SimSun"/>
          <w:spacing w:val="-10"/>
          <w:sz w:val="20"/>
        </w:rPr>
        <w:t>”</w:t>
      </w:r>
      <w:r w:rsidRPr="008610FD">
        <w:rPr>
          <w:rFonts w:eastAsia="SimSun"/>
          <w:spacing w:val="-10"/>
          <w:sz w:val="20"/>
        </w:rPr>
        <w:t>均指</w:t>
      </w:r>
      <w:r w:rsidRPr="008610FD">
        <w:rPr>
          <w:rFonts w:eastAsia="SimSun"/>
          <w:spacing w:val="-10"/>
          <w:sz w:val="20"/>
        </w:rPr>
        <w:t>“</w:t>
      </w:r>
      <w:r w:rsidRPr="008610FD">
        <w:rPr>
          <w:rFonts w:eastAsia="SimSun"/>
          <w:spacing w:val="-10"/>
          <w:sz w:val="20"/>
        </w:rPr>
        <w:t>事先知情同意</w:t>
      </w:r>
      <w:r w:rsidRPr="008610FD">
        <w:rPr>
          <w:rFonts w:eastAsia="SimSun"/>
          <w:spacing w:val="-10"/>
          <w:sz w:val="20"/>
        </w:rPr>
        <w:t>”</w:t>
      </w:r>
      <w:r w:rsidRPr="008610FD">
        <w:rPr>
          <w:rFonts w:eastAsia="SimSun"/>
          <w:spacing w:val="-10"/>
          <w:sz w:val="20"/>
        </w:rPr>
        <w:t>、</w:t>
      </w:r>
      <w:r w:rsidRPr="008610FD">
        <w:rPr>
          <w:rFonts w:eastAsia="SimSun"/>
          <w:spacing w:val="-10"/>
          <w:sz w:val="20"/>
        </w:rPr>
        <w:t>“</w:t>
      </w:r>
      <w:r w:rsidRPr="008610FD">
        <w:rPr>
          <w:rFonts w:eastAsia="SimSun"/>
          <w:spacing w:val="-10"/>
          <w:sz w:val="20"/>
        </w:rPr>
        <w:t>自由、事先和知情同意</w:t>
      </w:r>
      <w:r w:rsidRPr="008610FD">
        <w:rPr>
          <w:rFonts w:eastAsia="SimSun"/>
          <w:spacing w:val="-10"/>
          <w:sz w:val="20"/>
        </w:rPr>
        <w:t>”</w:t>
      </w:r>
      <w:r w:rsidR="00885CBC">
        <w:rPr>
          <w:rFonts w:eastAsia="SimSun" w:hint="eastAsia"/>
          <w:spacing w:val="-10"/>
          <w:sz w:val="20"/>
        </w:rPr>
        <w:t>和</w:t>
      </w:r>
      <w:r w:rsidRPr="008610FD">
        <w:rPr>
          <w:rFonts w:eastAsia="SimSun"/>
          <w:spacing w:val="-10"/>
          <w:sz w:val="20"/>
        </w:rPr>
        <w:t>“</w:t>
      </w:r>
      <w:r w:rsidRPr="008610FD">
        <w:rPr>
          <w:rFonts w:eastAsia="SimSun"/>
          <w:spacing w:val="-10"/>
          <w:sz w:val="20"/>
        </w:rPr>
        <w:t>批准和参与</w:t>
      </w:r>
      <w:r w:rsidRPr="008610FD">
        <w:rPr>
          <w:rFonts w:eastAsia="SimSun"/>
          <w:spacing w:val="-10"/>
          <w:sz w:val="20"/>
        </w:rPr>
        <w:t>”</w:t>
      </w:r>
      <w:r w:rsidR="00885CBC">
        <w:rPr>
          <w:rFonts w:eastAsia="SimSun" w:hint="eastAsia"/>
          <w:spacing w:val="-10"/>
          <w:sz w:val="20"/>
        </w:rPr>
        <w:t>这</w:t>
      </w:r>
      <w:r w:rsidRPr="008610FD">
        <w:rPr>
          <w:rFonts w:eastAsia="SimSun"/>
          <w:spacing w:val="-10"/>
          <w:sz w:val="20"/>
        </w:rPr>
        <w:t>三种表述。</w:t>
      </w:r>
    </w:p>
  </w:footnote>
  <w:footnote w:id="86">
    <w:p w14:paraId="7DFEDE21" w14:textId="77777777" w:rsidR="006D5DBD" w:rsidRPr="00783EB5" w:rsidRDefault="006D5DBD" w:rsidP="006D5DBD">
      <w:pPr>
        <w:pStyle w:val="FootnoteText"/>
        <w:spacing w:after="60"/>
        <w:rPr>
          <w:rFonts w:eastAsia="SimSun"/>
          <w:sz w:val="20"/>
        </w:rPr>
      </w:pPr>
      <w:r w:rsidRPr="00BC7AC2">
        <w:rPr>
          <w:rStyle w:val="FootnoteReference"/>
          <w:rFonts w:eastAsia="SimSun"/>
          <w:kern w:val="22"/>
          <w:sz w:val="20"/>
        </w:rPr>
        <w:footnoteRef/>
      </w:r>
      <w:r w:rsidRPr="00BC7AC2">
        <w:rPr>
          <w:rFonts w:eastAsia="SimSun"/>
          <w:sz w:val="20"/>
        </w:rPr>
        <w:t xml:space="preserve">  </w:t>
      </w:r>
      <w:r w:rsidRPr="00BC7AC2">
        <w:rPr>
          <w:rFonts w:eastAsia="SimSun"/>
          <w:sz w:val="20"/>
        </w:rPr>
        <w:t>通过信息交换所机制的中央门户和国家信息交换所机制的门户提供</w:t>
      </w:r>
      <w:r w:rsidRPr="00BC7AC2">
        <w:rPr>
          <w:rFonts w:eastAsia="SimSun"/>
          <w:sz w:val="20"/>
          <w:shd w:val="clear" w:color="auto" w:fill="FFFFFF"/>
        </w:rPr>
        <w:t>。</w:t>
      </w:r>
    </w:p>
  </w:footnote>
  <w:footnote w:id="87">
    <w:p w14:paraId="359CA2D5" w14:textId="77777777" w:rsidR="006D5DBD" w:rsidRPr="00F77CAA" w:rsidRDefault="006D5DBD" w:rsidP="006D5DBD">
      <w:pPr>
        <w:pStyle w:val="FootnoteText"/>
        <w:spacing w:after="60"/>
        <w:rPr>
          <w:rFonts w:eastAsia="SimSun"/>
          <w:sz w:val="20"/>
        </w:rPr>
      </w:pPr>
      <w:r w:rsidRPr="00F77CAA">
        <w:rPr>
          <w:rStyle w:val="FootnoteReference"/>
          <w:rFonts w:eastAsia="SimSun"/>
          <w:kern w:val="22"/>
          <w:sz w:val="20"/>
        </w:rPr>
        <w:footnoteRef/>
      </w:r>
      <w:r w:rsidRPr="00F77CAA">
        <w:rPr>
          <w:rFonts w:eastAsia="SimSun"/>
          <w:sz w:val="20"/>
        </w:rPr>
        <w:t xml:space="preserve">  </w:t>
      </w:r>
      <w:r w:rsidRPr="00F77CAA">
        <w:rPr>
          <w:rFonts w:eastAsia="SimSun"/>
          <w:sz w:val="20"/>
        </w:rPr>
        <w:t>包括邀请提交意见</w:t>
      </w:r>
      <w:r>
        <w:rPr>
          <w:rFonts w:eastAsia="SimSun" w:hint="eastAsia"/>
          <w:sz w:val="20"/>
        </w:rPr>
        <w:t>，</w:t>
      </w:r>
      <w:r w:rsidRPr="00F77CAA">
        <w:rPr>
          <w:rFonts w:eastAsia="SimSun"/>
          <w:sz w:val="20"/>
        </w:rPr>
        <w:t>提名参与者和同行评议文件。</w:t>
      </w:r>
    </w:p>
  </w:footnote>
  <w:footnote w:id="88">
    <w:p w14:paraId="551F8F2F" w14:textId="2F7BF3A4" w:rsidR="006D5DBD" w:rsidRPr="00F77CAA" w:rsidRDefault="006D5DBD" w:rsidP="006D5DBD">
      <w:pPr>
        <w:pStyle w:val="FootnoteText"/>
        <w:snapToGrid w:val="0"/>
        <w:spacing w:after="60"/>
        <w:rPr>
          <w:rFonts w:eastAsia="SimSun"/>
          <w:sz w:val="20"/>
        </w:rPr>
      </w:pPr>
      <w:r w:rsidRPr="00F77CAA">
        <w:rPr>
          <w:rStyle w:val="FootnoteReference"/>
          <w:rFonts w:eastAsia="SimSun"/>
          <w:kern w:val="22"/>
          <w:sz w:val="20"/>
        </w:rPr>
        <w:footnoteRef/>
      </w:r>
      <w:r w:rsidRPr="00F77CAA">
        <w:rPr>
          <w:rFonts w:eastAsia="SimSun"/>
          <w:sz w:val="20"/>
        </w:rPr>
        <w:t xml:space="preserve">  </w:t>
      </w:r>
      <w:r w:rsidRPr="00F77CAA">
        <w:rPr>
          <w:rFonts w:eastAsia="SimSun"/>
          <w:sz w:val="20"/>
        </w:rPr>
        <w:t>包括为执行</w:t>
      </w:r>
      <w:r w:rsidR="001A5C0A">
        <w:rPr>
          <w:rFonts w:eastAsia="SimSun"/>
          <w:sz w:val="20"/>
        </w:rPr>
        <w:t>《昆蒙框架》</w:t>
      </w:r>
      <w:r w:rsidRPr="00F77CAA">
        <w:rPr>
          <w:rFonts w:eastAsia="SimSun"/>
          <w:sz w:val="20"/>
        </w:rPr>
        <w:t>而开展技术和科学合作、信息交流、知识管理和监测工作所需的所有工具和服务。</w:t>
      </w:r>
    </w:p>
  </w:footnote>
  <w:footnote w:id="89">
    <w:p w14:paraId="36C4D4B1" w14:textId="77777777" w:rsidR="006D5DBD" w:rsidRPr="00F77CAA" w:rsidRDefault="006D5DBD" w:rsidP="006D5DBD">
      <w:pPr>
        <w:pStyle w:val="FootnoteText"/>
        <w:snapToGrid w:val="0"/>
        <w:spacing w:after="60"/>
        <w:rPr>
          <w:rFonts w:eastAsia="SimSun"/>
          <w:sz w:val="20"/>
          <w:vertAlign w:val="superscript"/>
        </w:rPr>
      </w:pPr>
      <w:r w:rsidRPr="00F77CAA">
        <w:rPr>
          <w:rStyle w:val="FootnoteReference"/>
          <w:rFonts w:eastAsia="SimSun"/>
          <w:sz w:val="20"/>
        </w:rPr>
        <w:footnoteRef/>
      </w:r>
      <w:r w:rsidRPr="00F77CAA">
        <w:rPr>
          <w:rFonts w:eastAsia="SimSun"/>
          <w:sz w:val="20"/>
        </w:rPr>
        <w:t xml:space="preserve">  </w:t>
      </w:r>
      <w:r w:rsidRPr="00F77CAA">
        <w:rPr>
          <w:rFonts w:eastAsia="SimSun"/>
          <w:sz w:val="20"/>
        </w:rPr>
        <w:t>包括国家联络点、多利益攸关方协调机构、网络和系统以及有生物多样性相关组织和利益攸关方参与的机构间指导委员会；界定收集、审查和传播信息、管理网站内容和外联活动的作用和责任。</w:t>
      </w:r>
    </w:p>
  </w:footnote>
  <w:footnote w:id="90">
    <w:p w14:paraId="3820633E" w14:textId="77777777"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第</w:t>
      </w:r>
      <w:hyperlink r:id="rId31" w:history="1">
        <w:r w:rsidRPr="003874FD">
          <w:rPr>
            <w:rStyle w:val="Hyperlink"/>
            <w:rFonts w:eastAsia="SimSun"/>
            <w:sz w:val="20"/>
          </w:rPr>
          <w:t>15/4</w:t>
        </w:r>
      </w:hyperlink>
      <w:r w:rsidRPr="003874FD">
        <w:rPr>
          <w:rFonts w:eastAsia="SimSun"/>
          <w:sz w:val="20"/>
        </w:rPr>
        <w:t>号决定</w:t>
      </w:r>
      <w:r w:rsidRPr="003874FD">
        <w:rPr>
          <w:rFonts w:eastAsia="SimSun"/>
          <w:sz w:val="20"/>
        </w:rPr>
        <w:t xml:space="preserve">, </w:t>
      </w:r>
      <w:r w:rsidRPr="003874FD">
        <w:rPr>
          <w:rFonts w:eastAsia="SimSun"/>
          <w:sz w:val="20"/>
        </w:rPr>
        <w:t>附件。</w:t>
      </w:r>
    </w:p>
  </w:footnote>
  <w:footnote w:id="91">
    <w:p w14:paraId="4D8C0C4D" w14:textId="77777777"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第</w:t>
      </w:r>
      <w:hyperlink r:id="rId32" w:history="1">
        <w:r w:rsidRPr="003874FD">
          <w:rPr>
            <w:rStyle w:val="Hyperlink"/>
            <w:rFonts w:eastAsia="SimSun"/>
            <w:sz w:val="20"/>
          </w:rPr>
          <w:t>15/14</w:t>
        </w:r>
      </w:hyperlink>
      <w:r w:rsidRPr="003874FD">
        <w:rPr>
          <w:rFonts w:eastAsia="SimSun"/>
          <w:sz w:val="20"/>
        </w:rPr>
        <w:t>号决定，附件。</w:t>
      </w:r>
    </w:p>
  </w:footnote>
  <w:footnote w:id="92">
    <w:p w14:paraId="10C0CA74" w14:textId="345AF5EF"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00885CBC" w:rsidRPr="003874FD">
        <w:rPr>
          <w:rFonts w:eastAsia="SimSun" w:hint="eastAsia"/>
          <w:sz w:val="20"/>
        </w:rPr>
        <w:t xml:space="preserve"> </w:t>
      </w:r>
      <w:r w:rsidRPr="003874FD">
        <w:rPr>
          <w:rFonts w:eastAsia="SimSun"/>
          <w:sz w:val="20"/>
        </w:rPr>
        <w:t>第</w:t>
      </w:r>
      <w:hyperlink r:id="rId33" w:history="1">
        <w:r w:rsidRPr="003874FD">
          <w:rPr>
            <w:rStyle w:val="Hyperlink"/>
            <w:rFonts w:eastAsia="SimSun"/>
            <w:sz w:val="20"/>
          </w:rPr>
          <w:t>15/6</w:t>
        </w:r>
      </w:hyperlink>
      <w:r w:rsidRPr="003874FD">
        <w:rPr>
          <w:rFonts w:eastAsia="SimSun"/>
          <w:sz w:val="20"/>
        </w:rPr>
        <w:t>号决定。</w:t>
      </w:r>
    </w:p>
  </w:footnote>
  <w:footnote w:id="93">
    <w:p w14:paraId="4F238DDF" w14:textId="77777777" w:rsidR="006D5DBD" w:rsidRPr="00783EB5"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联合国，《条约汇编》，第</w:t>
      </w:r>
      <w:r w:rsidRPr="003874FD">
        <w:rPr>
          <w:rFonts w:eastAsia="SimSun"/>
          <w:sz w:val="20"/>
        </w:rPr>
        <w:t>1760</w:t>
      </w:r>
      <w:r w:rsidRPr="003874FD">
        <w:rPr>
          <w:rFonts w:eastAsia="SimSun"/>
          <w:sz w:val="20"/>
        </w:rPr>
        <w:t>卷，第</w:t>
      </w:r>
      <w:r w:rsidRPr="003874FD">
        <w:rPr>
          <w:rFonts w:eastAsia="SimSun"/>
          <w:sz w:val="20"/>
        </w:rPr>
        <w:t>30619</w:t>
      </w:r>
      <w:r w:rsidRPr="003874FD">
        <w:rPr>
          <w:rFonts w:eastAsia="SimSun"/>
          <w:sz w:val="20"/>
        </w:rPr>
        <w:t>号。</w:t>
      </w:r>
    </w:p>
  </w:footnote>
  <w:footnote w:id="94">
    <w:p w14:paraId="220673AA" w14:textId="77777777" w:rsidR="006D5DBD" w:rsidRPr="00D6044B"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sz w:val="20"/>
        </w:rPr>
        <w:t>联合国，《条约汇编》，第</w:t>
      </w:r>
      <w:r w:rsidRPr="00D6044B">
        <w:rPr>
          <w:rFonts w:eastAsia="SimSun"/>
          <w:sz w:val="20"/>
        </w:rPr>
        <w:t>1760</w:t>
      </w:r>
      <w:r w:rsidRPr="00D6044B">
        <w:rPr>
          <w:rFonts w:eastAsia="SimSun"/>
          <w:sz w:val="20"/>
        </w:rPr>
        <w:t>卷，第</w:t>
      </w:r>
      <w:r w:rsidRPr="00D6044B">
        <w:rPr>
          <w:rFonts w:eastAsia="SimSun"/>
          <w:sz w:val="20"/>
        </w:rPr>
        <w:t>30619</w:t>
      </w:r>
      <w:r w:rsidRPr="00D6044B">
        <w:rPr>
          <w:rFonts w:eastAsia="SimSun"/>
          <w:sz w:val="20"/>
        </w:rPr>
        <w:t>号。</w:t>
      </w:r>
    </w:p>
  </w:footnote>
  <w:footnote w:id="95">
    <w:p w14:paraId="6C8FF774" w14:textId="77777777" w:rsidR="006D5DBD" w:rsidRPr="00D6044B"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hint="eastAsia"/>
          <w:sz w:val="20"/>
        </w:rPr>
        <w:t>第</w:t>
      </w:r>
      <w:hyperlink r:id="rId34" w:history="1">
        <w:r w:rsidRPr="00D6044B">
          <w:rPr>
            <w:rStyle w:val="Hyperlink"/>
            <w:rFonts w:eastAsia="SimSun" w:hint="eastAsia"/>
            <w:sz w:val="20"/>
          </w:rPr>
          <w:t>15/4</w:t>
        </w:r>
      </w:hyperlink>
      <w:r w:rsidRPr="00D6044B">
        <w:rPr>
          <w:rFonts w:eastAsia="SimSun" w:hint="eastAsia"/>
          <w:sz w:val="20"/>
        </w:rPr>
        <w:t>号决定</w:t>
      </w:r>
      <w:r w:rsidRPr="00D6044B">
        <w:rPr>
          <w:rFonts w:eastAsia="SimSun"/>
          <w:sz w:val="20"/>
        </w:rPr>
        <w:t>，附件。</w:t>
      </w:r>
    </w:p>
  </w:footnote>
  <w:footnote w:id="96">
    <w:p w14:paraId="6A150DE8" w14:textId="77777777" w:rsidR="006D5DBD" w:rsidRPr="00D6044B"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sz w:val="20"/>
        </w:rPr>
        <w:t>第</w:t>
      </w:r>
      <w:hyperlink r:id="rId35" w:history="1">
        <w:r w:rsidRPr="00D6044B">
          <w:rPr>
            <w:rStyle w:val="Hyperlink"/>
            <w:rFonts w:eastAsia="SimSun"/>
            <w:sz w:val="20"/>
          </w:rPr>
          <w:t>15/5</w:t>
        </w:r>
      </w:hyperlink>
      <w:r w:rsidRPr="00D6044B">
        <w:rPr>
          <w:rFonts w:eastAsia="SimSun"/>
          <w:sz w:val="20"/>
        </w:rPr>
        <w:t>号决定，附件一。</w:t>
      </w:r>
    </w:p>
  </w:footnote>
  <w:footnote w:id="97">
    <w:p w14:paraId="44C3655B" w14:textId="77777777" w:rsidR="006D5DBD" w:rsidRPr="00603C16"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sz w:val="20"/>
        </w:rPr>
        <w:t>第</w:t>
      </w:r>
      <w:hyperlink r:id="rId36" w:history="1">
        <w:r w:rsidRPr="00D6044B">
          <w:rPr>
            <w:rStyle w:val="Hyperlink"/>
            <w:rFonts w:eastAsia="SimSun"/>
            <w:sz w:val="20"/>
          </w:rPr>
          <w:t>15/8</w:t>
        </w:r>
      </w:hyperlink>
      <w:r w:rsidRPr="00D6044B">
        <w:rPr>
          <w:rFonts w:eastAsia="SimSun"/>
          <w:sz w:val="20"/>
        </w:rPr>
        <w:t>号决定，附件一。</w:t>
      </w:r>
    </w:p>
  </w:footnote>
  <w:footnote w:id="98">
    <w:p w14:paraId="1714395D" w14:textId="0414938D" w:rsidR="006D5DBD" w:rsidRPr="003874FD" w:rsidRDefault="006D5DBD" w:rsidP="006D5DBD">
      <w:pPr>
        <w:adjustRightInd w:val="0"/>
        <w:snapToGrid w:val="0"/>
        <w:spacing w:after="60"/>
        <w:jc w:val="left"/>
        <w:rPr>
          <w:rFonts w:eastAsia="SimSun"/>
          <w:sz w:val="20"/>
          <w:szCs w:val="20"/>
        </w:rPr>
      </w:pPr>
      <w:r w:rsidRPr="003874FD">
        <w:rPr>
          <w:rStyle w:val="FootnoteReference"/>
          <w:rFonts w:eastAsia="SimSun"/>
          <w:sz w:val="20"/>
          <w:szCs w:val="20"/>
        </w:rPr>
        <w:footnoteRef/>
      </w:r>
      <w:r w:rsidRPr="003874FD">
        <w:rPr>
          <w:rStyle w:val="FootnoteReference"/>
          <w:rFonts w:eastAsia="SimSun"/>
          <w:sz w:val="20"/>
          <w:szCs w:val="20"/>
        </w:rPr>
        <w:t xml:space="preserve"> </w:t>
      </w:r>
      <w:r w:rsidRPr="003874FD">
        <w:rPr>
          <w:rFonts w:eastAsia="SimSun"/>
          <w:sz w:val="20"/>
          <w:szCs w:val="20"/>
        </w:rPr>
        <w:t xml:space="preserve"> </w:t>
      </w:r>
      <w:r w:rsidRPr="003874FD">
        <w:rPr>
          <w:rFonts w:eastAsia="SimSun"/>
          <w:spacing w:val="8"/>
          <w:sz w:val="20"/>
          <w:szCs w:val="20"/>
        </w:rPr>
        <w:t>凡提到</w:t>
      </w:r>
      <w:r w:rsidRPr="003874FD">
        <w:rPr>
          <w:rFonts w:eastAsia="SimSun"/>
          <w:spacing w:val="8"/>
          <w:sz w:val="20"/>
          <w:szCs w:val="20"/>
        </w:rPr>
        <w:t>“</w:t>
      </w:r>
      <w:r w:rsidRPr="003874FD">
        <w:rPr>
          <w:rFonts w:eastAsia="SimSun"/>
          <w:spacing w:val="8"/>
          <w:sz w:val="20"/>
          <w:szCs w:val="20"/>
        </w:rPr>
        <w:t>自由、事先和知情同意</w:t>
      </w:r>
      <w:r w:rsidRPr="003874FD">
        <w:rPr>
          <w:rFonts w:eastAsia="SimSun"/>
          <w:spacing w:val="8"/>
          <w:sz w:val="20"/>
          <w:szCs w:val="20"/>
        </w:rPr>
        <w:t>”</w:t>
      </w:r>
      <w:r w:rsidRPr="003874FD">
        <w:rPr>
          <w:rFonts w:eastAsia="SimSun"/>
          <w:spacing w:val="8"/>
          <w:sz w:val="20"/>
          <w:szCs w:val="20"/>
        </w:rPr>
        <w:t>均指</w:t>
      </w:r>
      <w:r w:rsidRPr="003874FD">
        <w:rPr>
          <w:rFonts w:eastAsia="SimSun"/>
          <w:spacing w:val="8"/>
          <w:sz w:val="20"/>
          <w:szCs w:val="20"/>
        </w:rPr>
        <w:t>“</w:t>
      </w:r>
      <w:r w:rsidRPr="003874FD">
        <w:rPr>
          <w:rFonts w:eastAsia="SimSun"/>
          <w:spacing w:val="8"/>
          <w:sz w:val="20"/>
          <w:szCs w:val="20"/>
        </w:rPr>
        <w:t>事先知情同意</w:t>
      </w:r>
      <w:r w:rsidRPr="003874FD">
        <w:rPr>
          <w:rFonts w:eastAsia="SimSun"/>
          <w:spacing w:val="8"/>
          <w:sz w:val="20"/>
          <w:szCs w:val="20"/>
        </w:rPr>
        <w:t>”</w:t>
      </w:r>
      <w:r w:rsidRPr="003874FD">
        <w:rPr>
          <w:rFonts w:eastAsia="SimSun"/>
          <w:spacing w:val="8"/>
          <w:sz w:val="20"/>
          <w:szCs w:val="20"/>
        </w:rPr>
        <w:t>、</w:t>
      </w:r>
      <w:r w:rsidRPr="003874FD">
        <w:rPr>
          <w:rFonts w:eastAsia="SimSun"/>
          <w:spacing w:val="8"/>
          <w:sz w:val="20"/>
          <w:szCs w:val="20"/>
        </w:rPr>
        <w:t>“</w:t>
      </w:r>
      <w:r w:rsidRPr="003874FD">
        <w:rPr>
          <w:rFonts w:eastAsia="SimSun"/>
          <w:spacing w:val="8"/>
          <w:sz w:val="20"/>
          <w:szCs w:val="20"/>
        </w:rPr>
        <w:t>自由、事先和知情同意</w:t>
      </w:r>
      <w:r w:rsidRPr="003874FD">
        <w:rPr>
          <w:rFonts w:eastAsia="SimSun"/>
          <w:spacing w:val="8"/>
          <w:sz w:val="20"/>
          <w:szCs w:val="20"/>
        </w:rPr>
        <w:t>”</w:t>
      </w:r>
      <w:r w:rsidR="00D6044B" w:rsidRPr="003874FD">
        <w:rPr>
          <w:rFonts w:eastAsia="SimSun" w:hint="eastAsia"/>
          <w:spacing w:val="8"/>
          <w:sz w:val="20"/>
          <w:szCs w:val="20"/>
        </w:rPr>
        <w:t>和</w:t>
      </w:r>
      <w:r w:rsidRPr="003874FD">
        <w:rPr>
          <w:rFonts w:eastAsia="SimSun"/>
          <w:spacing w:val="8"/>
          <w:sz w:val="20"/>
          <w:szCs w:val="20"/>
        </w:rPr>
        <w:t>“</w:t>
      </w:r>
      <w:r w:rsidRPr="003874FD">
        <w:rPr>
          <w:rFonts w:eastAsia="SimSun"/>
          <w:spacing w:val="8"/>
          <w:sz w:val="20"/>
          <w:szCs w:val="20"/>
        </w:rPr>
        <w:t>批准和参与</w:t>
      </w:r>
      <w:r w:rsidRPr="003874FD">
        <w:rPr>
          <w:rFonts w:eastAsia="SimSun"/>
          <w:spacing w:val="8"/>
          <w:sz w:val="20"/>
          <w:szCs w:val="20"/>
        </w:rPr>
        <w:t>”</w:t>
      </w:r>
      <w:r w:rsidR="00D6044B" w:rsidRPr="003874FD">
        <w:rPr>
          <w:rFonts w:eastAsia="SimSun" w:hint="eastAsia"/>
          <w:spacing w:val="8"/>
          <w:sz w:val="20"/>
          <w:szCs w:val="20"/>
        </w:rPr>
        <w:t>这</w:t>
      </w:r>
      <w:r w:rsidRPr="003874FD">
        <w:rPr>
          <w:rFonts w:eastAsia="SimSun"/>
          <w:spacing w:val="8"/>
          <w:sz w:val="20"/>
          <w:szCs w:val="20"/>
        </w:rPr>
        <w:t>三种表述</w:t>
      </w:r>
      <w:r w:rsidRPr="003874FD">
        <w:rPr>
          <w:rFonts w:eastAsia="SimSun"/>
          <w:sz w:val="20"/>
          <w:szCs w:val="20"/>
        </w:rPr>
        <w:t>。</w:t>
      </w:r>
    </w:p>
  </w:footnote>
  <w:footnote w:id="99">
    <w:p w14:paraId="7DE96E70" w14:textId="6EE2A6FC"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见第</w:t>
      </w:r>
      <w:r w:rsidRPr="003874FD">
        <w:rPr>
          <w:rFonts w:eastAsia="SimSun"/>
          <w:sz w:val="20"/>
        </w:rPr>
        <w:t xml:space="preserve"> </w:t>
      </w:r>
      <w:hyperlink r:id="rId37" w:history="1">
        <w:r w:rsidRPr="003874FD">
          <w:rPr>
            <w:rStyle w:val="Hyperlink"/>
            <w:rFonts w:eastAsia="SimSun"/>
            <w:sz w:val="20"/>
          </w:rPr>
          <w:t>IPBES/5/1</w:t>
        </w:r>
      </w:hyperlink>
      <w:r w:rsidRPr="003874FD">
        <w:rPr>
          <w:rFonts w:eastAsia="SimSun"/>
          <w:sz w:val="20"/>
        </w:rPr>
        <w:t>号决定，附件二。</w:t>
      </w:r>
    </w:p>
  </w:footnote>
  <w:footnote w:id="100">
    <w:p w14:paraId="7F3EADBA" w14:textId="77777777" w:rsidR="006D5DBD" w:rsidRPr="003874FD" w:rsidRDefault="006D5DBD" w:rsidP="006D5DBD">
      <w:pPr>
        <w:pStyle w:val="FootnoteText"/>
        <w:spacing w:after="60"/>
        <w:rPr>
          <w:rFonts w:eastAsia="SimSun"/>
          <w:sz w:val="20"/>
        </w:rPr>
      </w:pPr>
      <w:r w:rsidRPr="003874FD">
        <w:rPr>
          <w:rStyle w:val="FootnoteReference"/>
          <w:rFonts w:eastAsia="SimSun"/>
          <w:sz w:val="20"/>
        </w:rPr>
        <w:footnoteRef/>
      </w:r>
      <w:r w:rsidRPr="003874FD">
        <w:rPr>
          <w:rFonts w:eastAsia="SimSun"/>
          <w:sz w:val="20"/>
        </w:rPr>
        <w:t xml:space="preserve">  </w:t>
      </w:r>
      <w:r w:rsidRPr="003874FD">
        <w:rPr>
          <w:rFonts w:eastAsia="SimSun"/>
          <w:sz w:val="20"/>
        </w:rPr>
        <w:t>包容性知识社会可视为重视知识的创造、传播和利用，将其作为推动发展、促进协作、创新以及增强个人和群体权能的关键驱动因素的社会。例如，见联合国教育、科学及文化组织和联合国大学，</w:t>
      </w:r>
      <w:r w:rsidRPr="003874FD">
        <w:rPr>
          <w:rFonts w:eastAsia="SimSun"/>
          <w:i/>
          <w:iCs/>
          <w:sz w:val="20"/>
        </w:rPr>
        <w:t>Knowledge Societies Policy Handbook</w:t>
      </w:r>
      <w:r w:rsidRPr="003874FD">
        <w:rPr>
          <w:rFonts w:eastAsia="SimSun"/>
          <w:sz w:val="20"/>
        </w:rPr>
        <w:t xml:space="preserve">  (2016)</w:t>
      </w:r>
      <w:r w:rsidRPr="003874FD">
        <w:rPr>
          <w:rFonts w:eastAsia="SimSun"/>
          <w:sz w:val="20"/>
        </w:rPr>
        <w:t>。</w:t>
      </w:r>
    </w:p>
  </w:footnote>
  <w:footnote w:id="101">
    <w:p w14:paraId="229BC044" w14:textId="4796D127" w:rsidR="006D5DBD" w:rsidRPr="008610FD" w:rsidRDefault="006D5DBD" w:rsidP="006D5DBD">
      <w:pPr>
        <w:pStyle w:val="FootnoteText"/>
        <w:spacing w:after="60"/>
        <w:rPr>
          <w:rFonts w:eastAsia="SimSun"/>
          <w:spacing w:val="-10"/>
          <w:sz w:val="20"/>
        </w:rPr>
      </w:pPr>
      <w:r w:rsidRPr="003874FD">
        <w:rPr>
          <w:rStyle w:val="FootnoteReference"/>
          <w:rFonts w:eastAsia="SimSun"/>
          <w:spacing w:val="-10"/>
          <w:sz w:val="20"/>
        </w:rPr>
        <w:footnoteRef/>
      </w:r>
      <w:r w:rsidRPr="003874FD">
        <w:rPr>
          <w:rFonts w:eastAsia="SimSun"/>
          <w:spacing w:val="-10"/>
          <w:sz w:val="20"/>
        </w:rPr>
        <w:t xml:space="preserve"> </w:t>
      </w:r>
      <w:r w:rsidRPr="003874FD">
        <w:rPr>
          <w:rFonts w:eastAsia="SimSun"/>
          <w:spacing w:val="-10"/>
          <w:sz w:val="20"/>
        </w:rPr>
        <w:t>凡提到</w:t>
      </w:r>
      <w:r w:rsidRPr="003874FD">
        <w:rPr>
          <w:rFonts w:eastAsia="SimSun"/>
          <w:spacing w:val="-10"/>
          <w:sz w:val="20"/>
        </w:rPr>
        <w:t>“</w:t>
      </w:r>
      <w:r w:rsidRPr="003874FD">
        <w:rPr>
          <w:rFonts w:eastAsia="SimSun"/>
          <w:spacing w:val="-10"/>
          <w:sz w:val="20"/>
        </w:rPr>
        <w:t>自由、事先和知情同意</w:t>
      </w:r>
      <w:r w:rsidRPr="003874FD">
        <w:rPr>
          <w:rFonts w:eastAsia="SimSun"/>
          <w:spacing w:val="-10"/>
          <w:sz w:val="20"/>
        </w:rPr>
        <w:t>”</w:t>
      </w:r>
      <w:r w:rsidRPr="003874FD">
        <w:rPr>
          <w:rFonts w:eastAsia="SimSun"/>
          <w:spacing w:val="-10"/>
          <w:sz w:val="20"/>
        </w:rPr>
        <w:t>均指</w:t>
      </w:r>
      <w:r w:rsidRPr="003874FD">
        <w:rPr>
          <w:rFonts w:eastAsia="SimSun"/>
          <w:spacing w:val="-10"/>
          <w:sz w:val="20"/>
        </w:rPr>
        <w:t>“</w:t>
      </w:r>
      <w:r w:rsidRPr="003874FD">
        <w:rPr>
          <w:rFonts w:eastAsia="SimSun"/>
          <w:spacing w:val="-10"/>
          <w:sz w:val="20"/>
        </w:rPr>
        <w:t>事先知情同意</w:t>
      </w:r>
      <w:r w:rsidRPr="003874FD">
        <w:rPr>
          <w:rFonts w:eastAsia="SimSun"/>
          <w:spacing w:val="-10"/>
          <w:sz w:val="20"/>
        </w:rPr>
        <w:t>”</w:t>
      </w:r>
      <w:r w:rsidRPr="003874FD">
        <w:rPr>
          <w:rFonts w:eastAsia="SimSun"/>
          <w:spacing w:val="-10"/>
          <w:sz w:val="20"/>
        </w:rPr>
        <w:t>、</w:t>
      </w:r>
      <w:r w:rsidRPr="003874FD">
        <w:rPr>
          <w:rFonts w:eastAsia="SimSun"/>
          <w:spacing w:val="-10"/>
          <w:sz w:val="20"/>
        </w:rPr>
        <w:t>“</w:t>
      </w:r>
      <w:r w:rsidRPr="003874FD">
        <w:rPr>
          <w:rFonts w:eastAsia="SimSun"/>
          <w:spacing w:val="-10"/>
          <w:sz w:val="20"/>
        </w:rPr>
        <w:t>自由、事先和知情同意</w:t>
      </w:r>
      <w:r w:rsidRPr="003874FD">
        <w:rPr>
          <w:rFonts w:eastAsia="SimSun"/>
          <w:spacing w:val="-10"/>
          <w:sz w:val="20"/>
        </w:rPr>
        <w:t>”</w:t>
      </w:r>
      <w:r w:rsidR="00D6044B" w:rsidRPr="003874FD">
        <w:rPr>
          <w:rFonts w:eastAsia="SimSun" w:hint="eastAsia"/>
          <w:spacing w:val="-10"/>
          <w:sz w:val="20"/>
        </w:rPr>
        <w:t>和</w:t>
      </w:r>
      <w:r w:rsidR="00D6044B" w:rsidRPr="003874FD">
        <w:rPr>
          <w:rFonts w:eastAsia="SimSun"/>
          <w:spacing w:val="-10"/>
          <w:sz w:val="20"/>
        </w:rPr>
        <w:t xml:space="preserve"> </w:t>
      </w:r>
      <w:r w:rsidRPr="003874FD">
        <w:rPr>
          <w:rFonts w:eastAsia="SimSun"/>
          <w:spacing w:val="-10"/>
          <w:sz w:val="20"/>
        </w:rPr>
        <w:t>“</w:t>
      </w:r>
      <w:r w:rsidRPr="003874FD">
        <w:rPr>
          <w:rFonts w:eastAsia="SimSun"/>
          <w:spacing w:val="-10"/>
          <w:sz w:val="20"/>
        </w:rPr>
        <w:t>批准和参与</w:t>
      </w:r>
      <w:r w:rsidRPr="003874FD">
        <w:rPr>
          <w:rFonts w:eastAsia="SimSun"/>
          <w:spacing w:val="-10"/>
          <w:sz w:val="20"/>
        </w:rPr>
        <w:t>”</w:t>
      </w:r>
      <w:r w:rsidR="00D6044B" w:rsidRPr="003874FD">
        <w:rPr>
          <w:rFonts w:eastAsia="SimSun" w:hint="eastAsia"/>
          <w:spacing w:val="-10"/>
          <w:sz w:val="20"/>
        </w:rPr>
        <w:t>这</w:t>
      </w:r>
      <w:r w:rsidRPr="003874FD">
        <w:rPr>
          <w:rFonts w:eastAsia="SimSun"/>
          <w:spacing w:val="-10"/>
          <w:sz w:val="20"/>
        </w:rPr>
        <w:t>三种表述。</w:t>
      </w:r>
    </w:p>
  </w:footnote>
  <w:footnote w:id="102">
    <w:p w14:paraId="4C2BC8BE" w14:textId="77777777" w:rsidR="006D5DBD" w:rsidRPr="00D6044B"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sz w:val="20"/>
        </w:rPr>
        <w:t>包括</w:t>
      </w:r>
      <w:r w:rsidRPr="00D6044B">
        <w:rPr>
          <w:rFonts w:eastAsia="SimSun" w:hint="eastAsia"/>
          <w:sz w:val="20"/>
        </w:rPr>
        <w:t>次国家</w:t>
      </w:r>
      <w:r w:rsidRPr="00D6044B">
        <w:rPr>
          <w:rFonts w:eastAsia="SimSun"/>
          <w:sz w:val="20"/>
        </w:rPr>
        <w:t>级政府、城市、其他地方当局、政府间组织、非政府组织、信仰组织、网络和私营部门。</w:t>
      </w:r>
    </w:p>
  </w:footnote>
  <w:footnote w:id="103">
    <w:p w14:paraId="46C10B46" w14:textId="77777777" w:rsidR="006D5DBD" w:rsidRPr="00F77CAA"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sz w:val="20"/>
        </w:rPr>
        <w:t>特别是与知识管理有关的</w:t>
      </w:r>
      <w:r w:rsidRPr="00D6044B">
        <w:rPr>
          <w:rFonts w:eastAsia="SimSun" w:hint="eastAsia"/>
          <w:sz w:val="20"/>
        </w:rPr>
        <w:t>第</w:t>
      </w:r>
      <w:hyperlink r:id="rId38" w:history="1">
        <w:r w:rsidRPr="00D6044B">
          <w:rPr>
            <w:rStyle w:val="Hyperlink"/>
            <w:rFonts w:eastAsia="SimSun" w:hint="eastAsia"/>
            <w:sz w:val="20"/>
          </w:rPr>
          <w:t>14/25</w:t>
        </w:r>
      </w:hyperlink>
      <w:r w:rsidRPr="00D6044B">
        <w:rPr>
          <w:rFonts w:eastAsia="SimSun" w:hint="eastAsia"/>
          <w:sz w:val="20"/>
        </w:rPr>
        <w:t>号和第</w:t>
      </w:r>
      <w:hyperlink r:id="rId39" w:history="1">
        <w:r w:rsidRPr="00D6044B">
          <w:rPr>
            <w:rStyle w:val="Hyperlink"/>
            <w:rFonts w:eastAsia="SimSun" w:hint="eastAsia"/>
            <w:sz w:val="20"/>
          </w:rPr>
          <w:t>15/16</w:t>
        </w:r>
      </w:hyperlink>
      <w:r w:rsidRPr="00D6044B">
        <w:rPr>
          <w:rFonts w:eastAsia="SimSun" w:hint="eastAsia"/>
          <w:sz w:val="20"/>
        </w:rPr>
        <w:t>号决定</w:t>
      </w:r>
      <w:r w:rsidRPr="00D6044B">
        <w:rPr>
          <w:rFonts w:eastAsia="SimSun"/>
          <w:sz w:val="20"/>
        </w:rPr>
        <w:t>，以及特别与全球协调实体和技术和科学合作机制的区域和次区域技术和科学合作支持中心有关的第</w:t>
      </w:r>
      <w:hyperlink r:id="rId40" w:history="1">
        <w:r w:rsidRPr="00D6044B">
          <w:rPr>
            <w:rStyle w:val="Hyperlink"/>
            <w:rFonts w:eastAsia="SimSun"/>
            <w:sz w:val="20"/>
          </w:rPr>
          <w:t>15/8</w:t>
        </w:r>
      </w:hyperlink>
      <w:r w:rsidRPr="00D6044B">
        <w:rPr>
          <w:rFonts w:eastAsia="SimSun"/>
          <w:sz w:val="20"/>
        </w:rPr>
        <w:t>号决定。</w:t>
      </w:r>
    </w:p>
  </w:footnote>
  <w:footnote w:id="104">
    <w:p w14:paraId="76DA45A2" w14:textId="77777777" w:rsidR="006D5DBD" w:rsidRPr="008610FD" w:rsidRDefault="006D5DBD" w:rsidP="006D5DBD">
      <w:pPr>
        <w:pStyle w:val="FootnoteText"/>
        <w:spacing w:after="60"/>
        <w:rPr>
          <w:sz w:val="20"/>
        </w:rPr>
      </w:pPr>
      <w:r w:rsidRPr="008610FD">
        <w:rPr>
          <w:rStyle w:val="FootnoteReference"/>
          <w:sz w:val="20"/>
        </w:rPr>
        <w:footnoteRef/>
      </w:r>
      <w:r w:rsidRPr="008610FD">
        <w:rPr>
          <w:sz w:val="20"/>
        </w:rPr>
        <w:t xml:space="preserve"> </w:t>
      </w:r>
      <w:r w:rsidRPr="00B36888">
        <w:rPr>
          <w:rFonts w:eastAsia="SimSun"/>
          <w:kern w:val="2"/>
          <w:sz w:val="20"/>
          <w:lang w:val="zh-CN"/>
          <w14:ligatures w14:val="standardContextual"/>
        </w:rPr>
        <w:t>包括《生物多样性相关公约关键全球数据库指南简编》确定的工具（联合国环境规划署世界养护监测中心，</w:t>
      </w:r>
      <w:r w:rsidRPr="00B36888">
        <w:rPr>
          <w:rFonts w:eastAsia="SimSun"/>
          <w:kern w:val="2"/>
          <w:sz w:val="20"/>
          <w:lang w:val="zh-CN"/>
          <w14:ligatures w14:val="standardContextual"/>
        </w:rPr>
        <w:t>2018</w:t>
      </w:r>
      <w:r w:rsidRPr="00B36888">
        <w:rPr>
          <w:rFonts w:eastAsia="SimSun"/>
          <w:kern w:val="2"/>
          <w:sz w:val="20"/>
          <w:lang w:val="zh-CN"/>
          <w14:ligatures w14:val="standardContextual"/>
        </w:rPr>
        <w:t>年</w:t>
      </w:r>
      <w:r w:rsidRPr="00B36888">
        <w:rPr>
          <w:rFonts w:eastAsia="SimSun"/>
          <w:kern w:val="2"/>
          <w:sz w:val="20"/>
          <w:lang w:val="zh-CN"/>
          <w14:ligatures w14:val="standardContextual"/>
        </w:rPr>
        <w:t>3</w:t>
      </w:r>
      <w:r w:rsidRPr="00B36888">
        <w:rPr>
          <w:rFonts w:eastAsia="SimSun"/>
          <w:kern w:val="2"/>
          <w:sz w:val="20"/>
          <w:lang w:val="zh-CN"/>
          <w14:ligatures w14:val="standardContextual"/>
        </w:rPr>
        <w:t>月）。</w:t>
      </w:r>
    </w:p>
  </w:footnote>
  <w:footnote w:id="105">
    <w:p w14:paraId="2EAE4373" w14:textId="77777777" w:rsidR="006D5DBD" w:rsidRPr="00D6044B" w:rsidRDefault="006D5DBD" w:rsidP="006D5DBD">
      <w:pPr>
        <w:pStyle w:val="FootnoteText"/>
        <w:spacing w:after="60"/>
        <w:rPr>
          <w:rFonts w:eastAsia="SimSun"/>
          <w:sz w:val="20"/>
        </w:rPr>
      </w:pPr>
      <w:r w:rsidRPr="00D6044B">
        <w:rPr>
          <w:rStyle w:val="FootnoteReference"/>
          <w:rFonts w:eastAsia="SimSun"/>
          <w:sz w:val="20"/>
        </w:rPr>
        <w:footnoteRef/>
      </w:r>
      <w:r w:rsidRPr="00D6044B">
        <w:rPr>
          <w:rFonts w:eastAsia="SimSun"/>
          <w:sz w:val="20"/>
        </w:rPr>
        <w:t xml:space="preserve"> </w:t>
      </w:r>
      <w:r w:rsidRPr="00D6044B">
        <w:rPr>
          <w:rFonts w:eastAsia="SimSun"/>
          <w:kern w:val="22"/>
          <w:sz w:val="20"/>
          <w:lang w:val="zh-CN"/>
          <w14:ligatures w14:val="standardContextual"/>
        </w:rPr>
        <w:t>就传统知识而言</w:t>
      </w:r>
      <w:r w:rsidRPr="00D6044B">
        <w:rPr>
          <w:rFonts w:eastAsia="SimSun"/>
          <w:kern w:val="22"/>
          <w:sz w:val="20"/>
          <w14:ligatures w14:val="standardContextual"/>
        </w:rPr>
        <w:t>，</w:t>
      </w:r>
      <w:r w:rsidRPr="00D6044B">
        <w:rPr>
          <w:rFonts w:eastAsia="SimSun"/>
          <w:kern w:val="22"/>
          <w:sz w:val="20"/>
          <w:lang w:val="zh-CN"/>
          <w14:ligatures w14:val="standardContextual"/>
        </w:rPr>
        <w:t>这涉及为获取和使用传统知识制定和促进社区规约和生物文化社区规约。</w:t>
      </w:r>
    </w:p>
  </w:footnote>
  <w:footnote w:id="106">
    <w:p w14:paraId="6E5E6652" w14:textId="77777777" w:rsidR="006D5DBD" w:rsidRDefault="006D5DBD" w:rsidP="006D5DBD">
      <w:pPr>
        <w:pStyle w:val="FootnoteText"/>
        <w:spacing w:after="60"/>
      </w:pPr>
      <w:r w:rsidRPr="00D6044B">
        <w:rPr>
          <w:rStyle w:val="FootnoteReference"/>
          <w:sz w:val="20"/>
        </w:rPr>
        <w:footnoteRef/>
      </w:r>
      <w:r w:rsidRPr="00D6044B">
        <w:rPr>
          <w:sz w:val="20"/>
        </w:rPr>
        <w:t xml:space="preserve"> </w:t>
      </w:r>
      <w:r w:rsidRPr="00D6044B">
        <w:rPr>
          <w:rFonts w:eastAsia="SimSun"/>
          <w:kern w:val="2"/>
          <w:sz w:val="20"/>
          <w:lang w:val="zh-CN"/>
          <w14:ligatures w14:val="standardContextual"/>
        </w:rPr>
        <w:t>多边环境协定数据报告工具</w:t>
      </w:r>
      <w:r w:rsidRPr="00D6044B">
        <w:rPr>
          <w:rFonts w:eastAsia="SimSun"/>
          <w:kern w:val="2"/>
          <w:sz w:val="20"/>
          <w14:ligatures w14:val="standardContextual"/>
        </w:rPr>
        <w:t>(</w:t>
      </w:r>
      <w:r w:rsidRPr="00D6044B">
        <w:rPr>
          <w:rFonts w:eastAsia="SimSun"/>
          <w:kern w:val="2"/>
          <w:sz w:val="20"/>
          <w:lang w:val="zh-CN"/>
          <w14:ligatures w14:val="standardContextual"/>
        </w:rPr>
        <w:t>见</w:t>
      </w:r>
      <w:hyperlink r:id="rId41" w:history="1">
        <w:r w:rsidRPr="00D6044B">
          <w:rPr>
            <w:rStyle w:val="Hyperlink"/>
            <w:sz w:val="20"/>
            <w:lang w:val="en-GB"/>
          </w:rPr>
          <w:t>https://dart.informea.org</w:t>
        </w:r>
      </w:hyperlink>
      <w:r w:rsidRPr="00D6044B">
        <w:rPr>
          <w:rFonts w:eastAsia="SimSun"/>
          <w:kern w:val="2"/>
          <w:sz w:val="20"/>
          <w14:ligatures w14:val="standardContextual"/>
        </w:rPr>
        <w:t>)</w:t>
      </w:r>
      <w:r w:rsidRPr="00D6044B">
        <w:rPr>
          <w:rFonts w:eastAsia="SimSun"/>
          <w:kern w:val="2"/>
          <w:sz w:val="20"/>
          <w:lang w:val="zh-CN"/>
          <w14:ligatures w14:val="standardContextual"/>
        </w:rPr>
        <w:t>是在国家一级管理数据、信息和知识的适用工具的一个例子</w:t>
      </w:r>
      <w:r w:rsidRPr="00B36888">
        <w:rPr>
          <w:rFonts w:eastAsia="SimSun"/>
          <w:kern w:val="2"/>
          <w:sz w:val="20"/>
          <w:lang w:val="zh-CN"/>
          <w14:ligatures w14:val="standardContextual"/>
        </w:rPr>
        <w:t>。</w:t>
      </w:r>
    </w:p>
  </w:footnote>
  <w:footnote w:id="107">
    <w:p w14:paraId="46B28EBB" w14:textId="77777777" w:rsidR="006D5DBD" w:rsidRPr="00B4730B" w:rsidRDefault="006D5DBD" w:rsidP="006D5DBD">
      <w:pPr>
        <w:pStyle w:val="FootnoteText"/>
        <w:spacing w:after="60"/>
        <w:rPr>
          <w:rFonts w:eastAsia="SimSun"/>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联合国，《条约汇编》，第</w:t>
      </w:r>
      <w:r w:rsidRPr="00B4730B">
        <w:rPr>
          <w:rFonts w:eastAsia="SimSun"/>
          <w:sz w:val="20"/>
        </w:rPr>
        <w:t>1760</w:t>
      </w:r>
      <w:r w:rsidRPr="00B4730B">
        <w:rPr>
          <w:rFonts w:eastAsia="SimSun"/>
          <w:sz w:val="20"/>
        </w:rPr>
        <w:t>卷，第</w:t>
      </w:r>
      <w:r w:rsidRPr="00B4730B">
        <w:rPr>
          <w:rFonts w:eastAsia="SimSun"/>
          <w:sz w:val="20"/>
        </w:rPr>
        <w:t>30619</w:t>
      </w:r>
      <w:r w:rsidRPr="00B4730B">
        <w:rPr>
          <w:rFonts w:eastAsia="SimSun"/>
          <w:sz w:val="20"/>
        </w:rPr>
        <w:t>号。</w:t>
      </w:r>
    </w:p>
  </w:footnote>
  <w:footnote w:id="108">
    <w:p w14:paraId="4B1A7FE3" w14:textId="77777777" w:rsidR="006D5DBD" w:rsidRPr="00B4730B" w:rsidRDefault="006D5DBD" w:rsidP="006D5DBD">
      <w:pPr>
        <w:pStyle w:val="FootnoteText"/>
        <w:spacing w:after="60"/>
        <w:rPr>
          <w:rFonts w:eastAsia="SimSun"/>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第</w:t>
      </w:r>
      <w:hyperlink r:id="rId42" w:history="1">
        <w:r w:rsidRPr="00B4730B">
          <w:rPr>
            <w:rStyle w:val="Hyperlink"/>
            <w:rFonts w:eastAsia="SimSun"/>
            <w:sz w:val="20"/>
          </w:rPr>
          <w:t>VI/19</w:t>
        </w:r>
      </w:hyperlink>
      <w:r w:rsidRPr="00B4730B">
        <w:rPr>
          <w:rFonts w:eastAsia="SimSun"/>
          <w:sz w:val="20"/>
        </w:rPr>
        <w:t>号决定，附件。</w:t>
      </w:r>
    </w:p>
  </w:footnote>
  <w:footnote w:id="109">
    <w:p w14:paraId="52A90D24" w14:textId="77777777" w:rsidR="006D5DBD" w:rsidRPr="00B4730B" w:rsidRDefault="006D5DBD" w:rsidP="006D5DBD">
      <w:pPr>
        <w:pStyle w:val="FootnoteText"/>
        <w:spacing w:after="60"/>
        <w:rPr>
          <w:rFonts w:eastAsia="SimSun"/>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第</w:t>
      </w:r>
      <w:hyperlink r:id="rId43" w:history="1">
        <w:r w:rsidRPr="00B4730B">
          <w:rPr>
            <w:rStyle w:val="Hyperlink"/>
            <w:rFonts w:eastAsia="SimSun"/>
            <w:sz w:val="20"/>
          </w:rPr>
          <w:t>15/4</w:t>
        </w:r>
      </w:hyperlink>
      <w:r w:rsidRPr="00B4730B">
        <w:rPr>
          <w:rFonts w:eastAsia="SimSun"/>
          <w:sz w:val="20"/>
        </w:rPr>
        <w:t>号决定，附件。</w:t>
      </w:r>
    </w:p>
  </w:footnote>
  <w:footnote w:id="110">
    <w:p w14:paraId="3A6A0A93" w14:textId="77777777" w:rsidR="006D5DBD" w:rsidRDefault="006D5DBD" w:rsidP="006D5DBD">
      <w:pPr>
        <w:pStyle w:val="FootnoteText"/>
        <w:spacing w:after="60"/>
      </w:pPr>
      <w:r w:rsidRPr="00B4730B">
        <w:rPr>
          <w:rStyle w:val="FootnoteReference"/>
          <w:rFonts w:eastAsia="SimSun"/>
          <w:sz w:val="20"/>
        </w:rPr>
        <w:footnoteRef/>
      </w:r>
      <w:r w:rsidRPr="00B4730B">
        <w:rPr>
          <w:rFonts w:eastAsia="SimSun"/>
          <w:sz w:val="20"/>
        </w:rPr>
        <w:t xml:space="preserve">  </w:t>
      </w:r>
      <w:r w:rsidRPr="00B4730B">
        <w:rPr>
          <w:rFonts w:eastAsia="SimSun"/>
          <w:sz w:val="20"/>
        </w:rPr>
        <w:t>第</w:t>
      </w:r>
      <w:hyperlink r:id="rId44" w:history="1">
        <w:r w:rsidRPr="00B4730B">
          <w:rPr>
            <w:rStyle w:val="Hyperlink"/>
            <w:rFonts w:eastAsia="SimSun"/>
            <w:sz w:val="20"/>
          </w:rPr>
          <w:t>15/14</w:t>
        </w:r>
      </w:hyperlink>
      <w:r w:rsidRPr="00B4730B">
        <w:rPr>
          <w:rFonts w:eastAsia="SimSun"/>
          <w:sz w:val="20"/>
        </w:rPr>
        <w:t>号决定，附件。</w:t>
      </w:r>
    </w:p>
  </w:footnote>
  <w:footnote w:id="111">
    <w:p w14:paraId="112483D8" w14:textId="77777777" w:rsidR="006D5DBD" w:rsidRPr="00B4730B" w:rsidRDefault="006D5DBD" w:rsidP="006D5DBD">
      <w:pPr>
        <w:pStyle w:val="FootnoteText"/>
        <w:spacing w:after="60"/>
        <w:rPr>
          <w:rFonts w:eastAsia="SimSun"/>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第</w:t>
      </w:r>
      <w:hyperlink r:id="rId45" w:history="1">
        <w:r w:rsidRPr="00B4730B">
          <w:rPr>
            <w:rStyle w:val="Hyperlink"/>
            <w:rFonts w:eastAsia="SimSun"/>
            <w:sz w:val="20"/>
          </w:rPr>
          <w:t>VI/19</w:t>
        </w:r>
      </w:hyperlink>
      <w:r w:rsidRPr="00B4730B">
        <w:rPr>
          <w:rFonts w:eastAsia="SimSun"/>
          <w:sz w:val="20"/>
        </w:rPr>
        <w:t>号决定，附件。</w:t>
      </w:r>
    </w:p>
  </w:footnote>
  <w:footnote w:id="112">
    <w:p w14:paraId="40E2B229" w14:textId="77777777" w:rsidR="006D5DBD" w:rsidRPr="00B4730B" w:rsidRDefault="006D5DBD" w:rsidP="006D5DBD">
      <w:pPr>
        <w:pStyle w:val="FootnoteText"/>
        <w:spacing w:after="60"/>
        <w:rPr>
          <w:rFonts w:eastAsia="SimSun"/>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第</w:t>
      </w:r>
      <w:hyperlink r:id="rId46" w:history="1">
        <w:r w:rsidRPr="00B4730B">
          <w:rPr>
            <w:rStyle w:val="Hyperlink"/>
            <w:rFonts w:eastAsia="SimSun"/>
            <w:sz w:val="20"/>
          </w:rPr>
          <w:t>15/4</w:t>
        </w:r>
      </w:hyperlink>
      <w:r w:rsidRPr="00B4730B">
        <w:rPr>
          <w:rFonts w:eastAsia="SimSun"/>
          <w:sz w:val="20"/>
        </w:rPr>
        <w:t>号决定，附件。</w:t>
      </w:r>
    </w:p>
  </w:footnote>
  <w:footnote w:id="113">
    <w:p w14:paraId="53D9ADAE" w14:textId="77777777" w:rsidR="006D5DBD" w:rsidRPr="00DE3993" w:rsidRDefault="006D5DBD" w:rsidP="006D5DBD">
      <w:pPr>
        <w:pStyle w:val="FootnoteText"/>
        <w:spacing w:after="60"/>
        <w:rPr>
          <w:sz w:val="20"/>
        </w:rPr>
      </w:pPr>
      <w:r w:rsidRPr="00B4730B">
        <w:rPr>
          <w:rStyle w:val="FootnoteReference"/>
          <w:rFonts w:eastAsia="SimSun"/>
          <w:sz w:val="20"/>
        </w:rPr>
        <w:footnoteRef/>
      </w:r>
      <w:r w:rsidRPr="00B4730B">
        <w:rPr>
          <w:rFonts w:eastAsia="SimSun"/>
          <w:sz w:val="20"/>
        </w:rPr>
        <w:t xml:space="preserve">  </w:t>
      </w:r>
      <w:r w:rsidRPr="00B4730B">
        <w:rPr>
          <w:rFonts w:eastAsia="SimSun"/>
          <w:sz w:val="20"/>
        </w:rPr>
        <w:t>联合国，《条约汇编》，第</w:t>
      </w:r>
      <w:r w:rsidRPr="00B4730B">
        <w:rPr>
          <w:rFonts w:eastAsia="SimSun"/>
          <w:sz w:val="20"/>
        </w:rPr>
        <w:t>1760</w:t>
      </w:r>
      <w:r w:rsidRPr="00B4730B">
        <w:rPr>
          <w:rFonts w:eastAsia="SimSun"/>
          <w:sz w:val="20"/>
        </w:rPr>
        <w:t>卷，第</w:t>
      </w:r>
      <w:r w:rsidRPr="00B4730B">
        <w:rPr>
          <w:rFonts w:eastAsia="SimSun"/>
          <w:sz w:val="20"/>
        </w:rPr>
        <w:t>30619</w:t>
      </w:r>
      <w:r w:rsidRPr="00B4730B">
        <w:rPr>
          <w:rFonts w:eastAsia="SimSun"/>
          <w:sz w:val="20"/>
        </w:rPr>
        <w:t>号。</w:t>
      </w:r>
    </w:p>
  </w:footnote>
  <w:footnote w:id="114">
    <w:p w14:paraId="60E8BD6E" w14:textId="77777777" w:rsidR="006D5DBD" w:rsidRPr="00686163" w:rsidRDefault="006D5DBD" w:rsidP="006D5DBD">
      <w:pPr>
        <w:pStyle w:val="FootnoteText"/>
        <w:spacing w:after="60"/>
        <w:rPr>
          <w:sz w:val="20"/>
        </w:rPr>
      </w:pPr>
      <w:r w:rsidRPr="00DE3993">
        <w:rPr>
          <w:rStyle w:val="FootnoteReference"/>
          <w:sz w:val="20"/>
        </w:rPr>
        <w:footnoteRef/>
      </w:r>
      <w:r w:rsidRPr="00DE3993">
        <w:rPr>
          <w:sz w:val="20"/>
        </w:rPr>
        <w:t xml:space="preserve">  </w:t>
      </w:r>
      <w:r w:rsidRPr="00B4730B">
        <w:rPr>
          <w:rFonts w:eastAsia="SimSun"/>
          <w:sz w:val="20"/>
        </w:rPr>
        <w:t>联合国大会第</w:t>
      </w:r>
      <w:r w:rsidRPr="00B4730B">
        <w:rPr>
          <w:rFonts w:eastAsia="SimSun"/>
          <w:sz w:val="20"/>
        </w:rPr>
        <w:t>70/1</w:t>
      </w:r>
      <w:r w:rsidRPr="00B4730B">
        <w:rPr>
          <w:rFonts w:eastAsia="SimSun"/>
          <w:sz w:val="20"/>
        </w:rPr>
        <w:t>号决议。</w:t>
      </w:r>
    </w:p>
  </w:footnote>
  <w:footnote w:id="115">
    <w:p w14:paraId="0C04E12C" w14:textId="77777777" w:rsidR="006D5DBD" w:rsidRPr="00B41241" w:rsidRDefault="006D5DBD" w:rsidP="006D5DBD">
      <w:pPr>
        <w:pStyle w:val="FootnoteText"/>
        <w:spacing w:after="60"/>
        <w:rPr>
          <w:rFonts w:eastAsia="SimSun"/>
          <w:sz w:val="20"/>
        </w:rPr>
      </w:pPr>
      <w:r w:rsidRPr="00B41241">
        <w:rPr>
          <w:rStyle w:val="FootnoteReference"/>
          <w:rFonts w:eastAsia="SimSun"/>
          <w:sz w:val="20"/>
        </w:rPr>
        <w:footnoteRef/>
      </w:r>
      <w:r w:rsidRPr="00B41241">
        <w:rPr>
          <w:rFonts w:eastAsia="SimSun"/>
          <w:sz w:val="20"/>
        </w:rPr>
        <w:t xml:space="preserve">  </w:t>
      </w:r>
      <w:r w:rsidRPr="00B41241">
        <w:rPr>
          <w:rFonts w:eastAsia="SimSun"/>
          <w:sz w:val="20"/>
        </w:rPr>
        <w:t>联合国，《条约汇编》，第</w:t>
      </w:r>
      <w:r w:rsidRPr="00B41241">
        <w:rPr>
          <w:rFonts w:eastAsia="SimSun"/>
          <w:sz w:val="20"/>
        </w:rPr>
        <w:t>1760</w:t>
      </w:r>
      <w:r w:rsidRPr="00B41241">
        <w:rPr>
          <w:rFonts w:eastAsia="SimSun"/>
          <w:sz w:val="20"/>
        </w:rPr>
        <w:t>卷，第</w:t>
      </w:r>
      <w:r w:rsidRPr="00B41241">
        <w:rPr>
          <w:rFonts w:eastAsia="SimSun"/>
          <w:sz w:val="20"/>
        </w:rPr>
        <w:t>30619</w:t>
      </w:r>
      <w:r w:rsidRPr="00B41241">
        <w:rPr>
          <w:rFonts w:eastAsia="SimSun"/>
          <w:sz w:val="20"/>
        </w:rPr>
        <w:t>号。</w:t>
      </w:r>
    </w:p>
  </w:footnote>
  <w:footnote w:id="116">
    <w:p w14:paraId="323F0670" w14:textId="77777777" w:rsidR="006D5DBD" w:rsidRPr="00B41241" w:rsidRDefault="006D5DBD" w:rsidP="006D5DBD">
      <w:pPr>
        <w:pStyle w:val="FootnoteText"/>
        <w:spacing w:after="60"/>
        <w:rPr>
          <w:rFonts w:eastAsia="SimSun"/>
          <w:sz w:val="20"/>
        </w:rPr>
      </w:pPr>
      <w:r w:rsidRPr="00B41241">
        <w:rPr>
          <w:rStyle w:val="FootnoteReference"/>
          <w:rFonts w:eastAsia="SimSun"/>
          <w:sz w:val="20"/>
        </w:rPr>
        <w:footnoteRef/>
      </w:r>
      <w:r w:rsidRPr="00B41241">
        <w:rPr>
          <w:rFonts w:eastAsia="SimSun"/>
          <w:sz w:val="20"/>
        </w:rPr>
        <w:t xml:space="preserve">  </w:t>
      </w:r>
      <w:r w:rsidRPr="00B41241">
        <w:rPr>
          <w:rFonts w:eastAsia="SimSun"/>
          <w:sz w:val="20"/>
        </w:rPr>
        <w:t>生物多样性和生态系统服务政府间科学与政策平台第</w:t>
      </w:r>
      <w:r w:rsidRPr="00B41241">
        <w:rPr>
          <w:rFonts w:eastAsia="SimSun"/>
          <w:sz w:val="20"/>
        </w:rPr>
        <w:t>IPBES-10/1</w:t>
      </w:r>
      <w:r w:rsidRPr="00B41241">
        <w:rPr>
          <w:rFonts w:eastAsia="SimSun"/>
          <w:sz w:val="20"/>
        </w:rPr>
        <w:t>号决定。</w:t>
      </w:r>
    </w:p>
  </w:footnote>
  <w:footnote w:id="117">
    <w:p w14:paraId="36E6CC08" w14:textId="70601D88" w:rsidR="006D5DBD" w:rsidRPr="002B7FCF" w:rsidRDefault="006D5DBD" w:rsidP="006D5DBD">
      <w:pPr>
        <w:pStyle w:val="FootnoteText"/>
      </w:pPr>
      <w:r w:rsidRPr="00B41241">
        <w:rPr>
          <w:rStyle w:val="FootnoteReference"/>
          <w:rFonts w:eastAsia="SimSun"/>
          <w:sz w:val="20"/>
        </w:rPr>
        <w:footnoteRef/>
      </w:r>
      <w:r w:rsidR="00B41241" w:rsidRPr="00B41241">
        <w:rPr>
          <w:rFonts w:eastAsia="SimSun"/>
          <w:sz w:val="20"/>
        </w:rPr>
        <w:t xml:space="preserve"> </w:t>
      </w:r>
      <w:r w:rsidRPr="00B41241">
        <w:rPr>
          <w:rFonts w:eastAsia="SimSun"/>
          <w:sz w:val="20"/>
        </w:rPr>
        <w:t xml:space="preserve"> </w:t>
      </w:r>
      <w:r w:rsidRPr="00B41241">
        <w:rPr>
          <w:rFonts w:eastAsia="SimSun"/>
          <w:sz w:val="20"/>
        </w:rPr>
        <w:t>第</w:t>
      </w:r>
      <w:hyperlink r:id="rId47" w:history="1">
        <w:r w:rsidRPr="00B41241">
          <w:rPr>
            <w:rStyle w:val="Hyperlink"/>
            <w:rFonts w:eastAsia="SimSun"/>
            <w:sz w:val="20"/>
          </w:rPr>
          <w:t>15/4</w:t>
        </w:r>
      </w:hyperlink>
      <w:r w:rsidRPr="00B41241">
        <w:rPr>
          <w:rFonts w:eastAsia="SimSun"/>
          <w:sz w:val="20"/>
        </w:rPr>
        <w:t>号决定，附件。</w:t>
      </w:r>
    </w:p>
  </w:footnote>
  <w:footnote w:id="118">
    <w:p w14:paraId="3D1932B0" w14:textId="77777777" w:rsidR="006D5DBD" w:rsidRPr="00BB279D" w:rsidRDefault="006D5DBD" w:rsidP="006D5DBD">
      <w:pPr>
        <w:pStyle w:val="FootnoteText"/>
        <w:snapToGrid w:val="0"/>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第</w:t>
      </w:r>
      <w:r w:rsidRPr="00BB279D">
        <w:rPr>
          <w:rFonts w:eastAsia="SimSun"/>
          <w:sz w:val="20"/>
        </w:rPr>
        <w:t xml:space="preserve"> 15/4 </w:t>
      </w:r>
      <w:r w:rsidRPr="00BB279D">
        <w:rPr>
          <w:rFonts w:eastAsia="SimSun"/>
          <w:sz w:val="20"/>
        </w:rPr>
        <w:t>号决定，附件。</w:t>
      </w:r>
    </w:p>
  </w:footnote>
  <w:footnote w:id="119">
    <w:p w14:paraId="0ABA71A4" w14:textId="77777777" w:rsidR="006D5DBD" w:rsidRPr="00BB279D" w:rsidRDefault="006D5DBD" w:rsidP="006D5DBD">
      <w:pPr>
        <w:pStyle w:val="FootnoteText"/>
        <w:snapToGrid w:val="0"/>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联合国，《条约汇编》，第</w:t>
      </w:r>
      <w:r w:rsidRPr="00BB279D">
        <w:rPr>
          <w:rFonts w:eastAsia="SimSun"/>
          <w:sz w:val="20"/>
        </w:rPr>
        <w:t>1760</w:t>
      </w:r>
      <w:r w:rsidRPr="00BB279D">
        <w:rPr>
          <w:rFonts w:eastAsia="SimSun"/>
          <w:sz w:val="20"/>
        </w:rPr>
        <w:t>卷，第</w:t>
      </w:r>
      <w:r w:rsidRPr="00BB279D">
        <w:rPr>
          <w:rFonts w:eastAsia="SimSun"/>
          <w:sz w:val="20"/>
        </w:rPr>
        <w:t>30619</w:t>
      </w:r>
      <w:r w:rsidRPr="00BB279D">
        <w:rPr>
          <w:rFonts w:eastAsia="SimSun"/>
          <w:sz w:val="20"/>
        </w:rPr>
        <w:t>号。</w:t>
      </w:r>
    </w:p>
  </w:footnote>
  <w:footnote w:id="120">
    <w:p w14:paraId="2DA6630A" w14:textId="77777777" w:rsidR="006D5DBD" w:rsidRPr="00BF0398" w:rsidRDefault="006D5DBD" w:rsidP="006D5DBD">
      <w:pPr>
        <w:pStyle w:val="FootnoteText"/>
        <w:snapToGrid w:val="0"/>
        <w:spacing w:after="60"/>
      </w:pPr>
      <w:r w:rsidRPr="00BB279D">
        <w:rPr>
          <w:rFonts w:eastAsia="SimSun"/>
          <w:sz w:val="20"/>
          <w:vertAlign w:val="superscript"/>
        </w:rPr>
        <w:footnoteRef/>
      </w:r>
      <w:r w:rsidRPr="00BB279D">
        <w:rPr>
          <w:rFonts w:eastAsia="SimSun"/>
          <w:sz w:val="20"/>
          <w:vertAlign w:val="superscript"/>
        </w:rPr>
        <w:t xml:space="preserve">   </w:t>
      </w:r>
      <w:r w:rsidRPr="00BB279D">
        <w:rPr>
          <w:rFonts w:eastAsia="SimSun"/>
          <w:sz w:val="20"/>
        </w:rPr>
        <w:t>第</w:t>
      </w:r>
      <w:r w:rsidRPr="00BB279D">
        <w:rPr>
          <w:rFonts w:eastAsia="SimSun"/>
          <w:sz w:val="20"/>
        </w:rPr>
        <w:t>15/4</w:t>
      </w:r>
      <w:r w:rsidRPr="00BB279D">
        <w:rPr>
          <w:rFonts w:eastAsia="SimSun"/>
          <w:sz w:val="20"/>
        </w:rPr>
        <w:t>号决定，附件，</w:t>
      </w:r>
      <w:r w:rsidRPr="00BB279D">
        <w:rPr>
          <w:rFonts w:eastAsia="SimSun"/>
          <w:sz w:val="20"/>
        </w:rPr>
        <w:t>C</w:t>
      </w:r>
      <w:r w:rsidRPr="00BB279D">
        <w:rPr>
          <w:rFonts w:eastAsia="SimSun"/>
          <w:sz w:val="20"/>
        </w:rPr>
        <w:t>部分。</w:t>
      </w:r>
    </w:p>
  </w:footnote>
  <w:footnote w:id="121">
    <w:p w14:paraId="633254E4" w14:textId="77777777" w:rsidR="006D5DBD" w:rsidRPr="00BB279D" w:rsidRDefault="006D5DBD" w:rsidP="006D5DBD">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hyperlink r:id="rId48" w:history="1">
        <w:r w:rsidRPr="00BB279D">
          <w:rPr>
            <w:rStyle w:val="Hyperlink"/>
            <w:rFonts w:eastAsia="SimSun"/>
            <w:sz w:val="20"/>
          </w:rPr>
          <w:t>CBD/SBSTTA/26/3</w:t>
        </w:r>
      </w:hyperlink>
      <w:r w:rsidRPr="00BB279D">
        <w:rPr>
          <w:rFonts w:eastAsia="SimSun"/>
          <w:sz w:val="20"/>
        </w:rPr>
        <w:t>号文件载有秘书处进行的差距分析。</w:t>
      </w:r>
    </w:p>
  </w:footnote>
  <w:footnote w:id="122">
    <w:p w14:paraId="1CEF9C00" w14:textId="77777777" w:rsidR="006D5DBD" w:rsidRDefault="006D5DBD" w:rsidP="006D5DBD">
      <w:pPr>
        <w:pStyle w:val="FootnoteText"/>
        <w:spacing w:after="60"/>
      </w:pPr>
      <w:r w:rsidRPr="00BB279D">
        <w:rPr>
          <w:rStyle w:val="FootnoteReference"/>
          <w:rFonts w:eastAsia="SimSun"/>
          <w:sz w:val="20"/>
        </w:rPr>
        <w:footnoteRef/>
      </w:r>
      <w:r w:rsidRPr="00BB279D">
        <w:rPr>
          <w:rFonts w:eastAsia="SimSun"/>
          <w:sz w:val="20"/>
        </w:rPr>
        <w:t xml:space="preserve">  </w:t>
      </w:r>
      <w:r w:rsidRPr="00BB279D">
        <w:rPr>
          <w:rFonts w:eastAsia="SimSun"/>
          <w:sz w:val="20"/>
        </w:rPr>
        <w:t>缔约方提交的工具和指导意见汇编载于</w:t>
      </w:r>
      <w:hyperlink r:id="rId49" w:history="1">
        <w:r w:rsidRPr="00BB279D">
          <w:rPr>
            <w:rStyle w:val="Hyperlink"/>
            <w:rFonts w:eastAsia="SimSun"/>
            <w:sz w:val="20"/>
          </w:rPr>
          <w:t>CBD/SBSTTA/26/INF/16/Rev.1</w:t>
        </w:r>
      </w:hyperlink>
      <w:r w:rsidRPr="00BB279D">
        <w:rPr>
          <w:rFonts w:eastAsia="SimSun"/>
          <w:sz w:val="20"/>
        </w:rPr>
        <w:t>，附件。</w:t>
      </w:r>
    </w:p>
  </w:footnote>
  <w:footnote w:id="123">
    <w:p w14:paraId="7FAC5D12" w14:textId="77777777" w:rsidR="005E77FA" w:rsidRPr="00BB279D" w:rsidRDefault="005E77FA" w:rsidP="00D24CB7">
      <w:pPr>
        <w:pStyle w:val="FootnoteText"/>
        <w:spacing w:after="60"/>
        <w:rPr>
          <w:rFonts w:eastAsia="SimSun"/>
          <w:sz w:val="20"/>
        </w:rPr>
      </w:pPr>
      <w:r w:rsidRPr="00BB279D">
        <w:rPr>
          <w:rStyle w:val="FootnoteReference"/>
          <w:rFonts w:eastAsia="SimSun"/>
          <w:sz w:val="20"/>
        </w:rPr>
        <w:footnoteRef/>
      </w:r>
      <w:r w:rsidRPr="00BB279D">
        <w:rPr>
          <w:rStyle w:val="FootnoteReference"/>
          <w:rFonts w:eastAsia="SimSun"/>
          <w:sz w:val="20"/>
        </w:rPr>
        <w:t xml:space="preserve"> </w:t>
      </w:r>
      <w:r w:rsidRPr="00BB279D">
        <w:rPr>
          <w:rFonts w:eastAsia="SimSun"/>
          <w:sz w:val="20"/>
          <w:vertAlign w:val="superscript"/>
        </w:rPr>
        <w:t xml:space="preserve"> </w:t>
      </w:r>
      <w:r w:rsidRPr="00BB279D">
        <w:rPr>
          <w:rFonts w:eastAsia="SimSun"/>
          <w:sz w:val="20"/>
        </w:rPr>
        <w:t>联合国，《条约汇编》，第</w:t>
      </w:r>
      <w:r w:rsidRPr="00BB279D">
        <w:rPr>
          <w:rFonts w:eastAsia="SimSun"/>
          <w:sz w:val="20"/>
        </w:rPr>
        <w:t>1760</w:t>
      </w:r>
      <w:r w:rsidRPr="00BB279D">
        <w:rPr>
          <w:rFonts w:eastAsia="SimSun"/>
          <w:sz w:val="20"/>
        </w:rPr>
        <w:t>卷，第</w:t>
      </w:r>
      <w:r w:rsidRPr="00BB279D">
        <w:rPr>
          <w:rFonts w:eastAsia="SimSun"/>
          <w:sz w:val="20"/>
        </w:rPr>
        <w:t>30619</w:t>
      </w:r>
      <w:r w:rsidRPr="00BB279D">
        <w:rPr>
          <w:rFonts w:eastAsia="SimSun"/>
          <w:sz w:val="20"/>
        </w:rPr>
        <w:t>号。</w:t>
      </w:r>
    </w:p>
  </w:footnote>
  <w:footnote w:id="124">
    <w:p w14:paraId="127B8B08" w14:textId="77777777" w:rsidR="005E77FA" w:rsidRPr="00BB279D" w:rsidRDefault="005E77FA" w:rsidP="00D24CB7">
      <w:pPr>
        <w:pStyle w:val="FootnoteText"/>
        <w:spacing w:after="60"/>
        <w:rPr>
          <w:rFonts w:eastAsia="SimSun"/>
          <w:sz w:val="20"/>
        </w:rPr>
      </w:pPr>
      <w:r w:rsidRPr="00BB279D">
        <w:rPr>
          <w:rStyle w:val="FootnoteReference"/>
          <w:rFonts w:eastAsia="SimSun"/>
          <w:sz w:val="20"/>
        </w:rPr>
        <w:footnoteRef/>
      </w:r>
      <w:r w:rsidRPr="00BB279D">
        <w:rPr>
          <w:rStyle w:val="FootnoteReference"/>
          <w:rFonts w:eastAsia="SimSun"/>
          <w:sz w:val="20"/>
        </w:rPr>
        <w:t xml:space="preserve"> </w:t>
      </w:r>
      <w:r w:rsidRPr="00BB279D">
        <w:rPr>
          <w:rFonts w:eastAsia="SimSun"/>
          <w:sz w:val="20"/>
        </w:rPr>
        <w:t xml:space="preserve"> </w:t>
      </w:r>
      <w:r w:rsidRPr="00BB279D">
        <w:rPr>
          <w:rFonts w:eastAsia="SimSun"/>
          <w:sz w:val="20"/>
        </w:rPr>
        <w:t>第</w:t>
      </w:r>
      <w:hyperlink r:id="rId50" w:history="1">
        <w:r w:rsidRPr="00BB279D">
          <w:rPr>
            <w:rStyle w:val="Hyperlink"/>
            <w:rFonts w:eastAsia="SimSun"/>
            <w:sz w:val="20"/>
          </w:rPr>
          <w:t>15/4</w:t>
        </w:r>
      </w:hyperlink>
      <w:r w:rsidRPr="00BB279D">
        <w:rPr>
          <w:rFonts w:eastAsia="SimSun"/>
          <w:sz w:val="20"/>
        </w:rPr>
        <w:t>号决定，附件。</w:t>
      </w:r>
    </w:p>
  </w:footnote>
  <w:footnote w:id="125">
    <w:p w14:paraId="28915F64" w14:textId="75A6AADF" w:rsidR="005E77FA" w:rsidRPr="00BB279D" w:rsidRDefault="005E77FA" w:rsidP="00D24CB7">
      <w:pPr>
        <w:pStyle w:val="FootnoteText"/>
        <w:spacing w:after="60"/>
        <w:rPr>
          <w:rStyle w:val="FootnoteReference"/>
          <w:rFonts w:eastAsia="SimSun"/>
          <w:sz w:val="20"/>
        </w:rPr>
      </w:pPr>
      <w:r w:rsidRPr="00BB279D">
        <w:rPr>
          <w:rStyle w:val="FootnoteReference"/>
          <w:rFonts w:eastAsia="SimSun"/>
          <w:sz w:val="20"/>
        </w:rPr>
        <w:footnoteRef/>
      </w:r>
      <w:r w:rsidRPr="00BB279D">
        <w:rPr>
          <w:rStyle w:val="FootnoteReference"/>
          <w:rFonts w:eastAsia="SimSun"/>
          <w:sz w:val="20"/>
        </w:rPr>
        <w:t xml:space="preserve"> </w:t>
      </w:r>
      <w:r w:rsidRPr="00BB279D">
        <w:rPr>
          <w:rFonts w:eastAsia="SimSun"/>
          <w:sz w:val="20"/>
          <w:vertAlign w:val="superscript"/>
        </w:rPr>
        <w:t xml:space="preserve"> </w:t>
      </w:r>
      <w:r w:rsidRPr="00BB279D">
        <w:rPr>
          <w:rFonts w:eastAsia="SimSun"/>
          <w:sz w:val="20"/>
        </w:rPr>
        <w:t>见</w:t>
      </w:r>
      <w:hyperlink r:id="rId51" w:history="1">
        <w:r w:rsidRPr="00BB279D">
          <w:rPr>
            <w:rStyle w:val="Hyperlink"/>
            <w:rFonts w:eastAsia="SimSun"/>
            <w:sz w:val="20"/>
          </w:rPr>
          <w:t>CBD</w:t>
        </w:r>
        <w:r w:rsidRPr="00BB279D">
          <w:rPr>
            <w:rStyle w:val="Hyperlink"/>
            <w:rFonts w:eastAsia="SimSun" w:hint="eastAsia"/>
            <w:sz w:val="20"/>
          </w:rPr>
          <w:t>/</w:t>
        </w:r>
        <w:r w:rsidRPr="00BB279D">
          <w:rPr>
            <w:rStyle w:val="Hyperlink"/>
            <w:rFonts w:eastAsia="SimSun"/>
            <w:sz w:val="20"/>
          </w:rPr>
          <w:t>SBI</w:t>
        </w:r>
        <w:r w:rsidRPr="00BB279D">
          <w:rPr>
            <w:rStyle w:val="Hyperlink"/>
            <w:rFonts w:eastAsia="SimSun" w:hint="eastAsia"/>
            <w:sz w:val="20"/>
          </w:rPr>
          <w:t>/4/13</w:t>
        </w:r>
      </w:hyperlink>
      <w:r w:rsidRPr="00BB279D">
        <w:rPr>
          <w:rStyle w:val="FootnoteReference"/>
          <w:rFonts w:eastAsia="SimSun"/>
          <w:sz w:val="20"/>
          <w:vertAlign w:val="baseline"/>
        </w:rPr>
        <w:t>。</w:t>
      </w:r>
    </w:p>
  </w:footnote>
  <w:footnote w:id="126">
    <w:p w14:paraId="6C053C9E" w14:textId="77777777" w:rsidR="005E77FA" w:rsidRPr="00BB279D" w:rsidRDefault="005E77FA" w:rsidP="00D24CB7">
      <w:pPr>
        <w:pStyle w:val="FootnoteText"/>
        <w:spacing w:after="60"/>
        <w:rPr>
          <w:rFonts w:eastAsia="SimSun"/>
          <w:sz w:val="20"/>
        </w:rPr>
      </w:pPr>
      <w:r w:rsidRPr="00BB279D">
        <w:rPr>
          <w:rStyle w:val="FootnoteReference"/>
          <w:rFonts w:eastAsia="SimSun"/>
          <w:sz w:val="20"/>
        </w:rPr>
        <w:footnoteRef/>
      </w:r>
      <w:r w:rsidRPr="00BB279D">
        <w:rPr>
          <w:rFonts w:eastAsia="SimSun"/>
          <w:sz w:val="20"/>
          <w:vertAlign w:val="superscript"/>
        </w:rPr>
        <w:t xml:space="preserve"> </w:t>
      </w:r>
      <w:r w:rsidRPr="00BB279D">
        <w:rPr>
          <w:rFonts w:eastAsia="SimSun"/>
          <w:sz w:val="20"/>
        </w:rPr>
        <w:t xml:space="preserve"> </w:t>
      </w:r>
      <w:r w:rsidRPr="00BB279D">
        <w:rPr>
          <w:rFonts w:eastAsia="SimSun"/>
          <w:sz w:val="20"/>
          <w:lang w:val="en-GB"/>
        </w:rPr>
        <w:t>第</w:t>
      </w:r>
      <w:hyperlink r:id="rId52" w:history="1">
        <w:r w:rsidRPr="00BB279D">
          <w:rPr>
            <w:rStyle w:val="Hyperlink"/>
            <w:rFonts w:eastAsia="SimSun"/>
            <w:sz w:val="20"/>
          </w:rPr>
          <w:t>15/4</w:t>
        </w:r>
      </w:hyperlink>
      <w:r w:rsidRPr="00BB279D">
        <w:rPr>
          <w:rFonts w:eastAsia="SimSun"/>
          <w:sz w:val="20"/>
          <w:lang w:val="en-GB"/>
        </w:rPr>
        <w:t>号决定第</w:t>
      </w:r>
      <w:r w:rsidRPr="00BB279D">
        <w:rPr>
          <w:rFonts w:eastAsia="SimSun"/>
          <w:sz w:val="20"/>
          <w:lang w:val="en-GB"/>
        </w:rPr>
        <w:t>8</w:t>
      </w:r>
      <w:r w:rsidRPr="00BB279D">
        <w:rPr>
          <w:rFonts w:eastAsia="SimSun"/>
          <w:sz w:val="20"/>
          <w:lang w:val="en-GB"/>
        </w:rPr>
        <w:t>段。</w:t>
      </w:r>
    </w:p>
  </w:footnote>
  <w:footnote w:id="127">
    <w:p w14:paraId="1FF36992" w14:textId="77777777" w:rsidR="005E77FA" w:rsidRPr="001704EC" w:rsidRDefault="005E77FA" w:rsidP="00D24CB7">
      <w:pPr>
        <w:pStyle w:val="FootnoteText"/>
        <w:spacing w:after="60"/>
        <w:rPr>
          <w:rStyle w:val="FootnoteReference"/>
          <w:sz w:val="20"/>
        </w:rPr>
      </w:pPr>
      <w:r w:rsidRPr="00BB279D">
        <w:rPr>
          <w:rStyle w:val="FootnoteReference"/>
          <w:rFonts w:eastAsia="SimSun"/>
          <w:sz w:val="20"/>
        </w:rPr>
        <w:footnoteRef/>
      </w:r>
      <w:r w:rsidRPr="00BB279D">
        <w:rPr>
          <w:rStyle w:val="FootnoteReference"/>
          <w:rFonts w:eastAsia="SimSun"/>
          <w:sz w:val="20"/>
        </w:rPr>
        <w:t xml:space="preserve"> </w:t>
      </w:r>
      <w:r w:rsidRPr="00BB279D">
        <w:rPr>
          <w:rFonts w:eastAsia="SimSun"/>
          <w:sz w:val="20"/>
          <w:vertAlign w:val="superscript"/>
        </w:rPr>
        <w:t xml:space="preserve"> </w:t>
      </w:r>
      <w:r w:rsidRPr="00BB279D">
        <w:rPr>
          <w:rFonts w:eastAsia="SimSun"/>
          <w:sz w:val="20"/>
        </w:rPr>
        <w:t>特别是与第</w:t>
      </w:r>
      <w:r w:rsidRPr="00BB279D">
        <w:rPr>
          <w:rFonts w:eastAsia="SimSun"/>
          <w:sz w:val="20"/>
        </w:rPr>
        <w:t xml:space="preserve"> </w:t>
      </w:r>
      <w:hyperlink r:id="rId53" w:history="1">
        <w:r w:rsidRPr="00BB279D">
          <w:rPr>
            <w:rStyle w:val="Hyperlink"/>
            <w:rFonts w:eastAsia="SimSun"/>
            <w:sz w:val="20"/>
          </w:rPr>
          <w:t xml:space="preserve">15/4 </w:t>
        </w:r>
      </w:hyperlink>
      <w:r w:rsidRPr="00BB279D">
        <w:rPr>
          <w:rFonts w:eastAsia="SimSun"/>
          <w:sz w:val="20"/>
        </w:rPr>
        <w:t>号决定和《</w:t>
      </w:r>
      <w:r w:rsidRPr="00BB279D">
        <w:rPr>
          <w:rFonts w:eastAsia="SimSun"/>
          <w:bCs/>
          <w:sz w:val="20"/>
        </w:rPr>
        <w:t>昆蒙</w:t>
      </w:r>
      <w:r w:rsidRPr="00BB279D">
        <w:rPr>
          <w:rFonts w:eastAsia="SimSun"/>
          <w:sz w:val="20"/>
        </w:rPr>
        <w:t>框架》相关行动目标，包括那些涵盖执行工作和主流化工具和解决方案的行动目标有关的部门，以及第</w:t>
      </w:r>
      <w:r w:rsidRPr="00BB279D">
        <w:rPr>
          <w:rFonts w:eastAsia="SimSun"/>
          <w:sz w:val="20"/>
        </w:rPr>
        <w:t xml:space="preserve"> </w:t>
      </w:r>
      <w:hyperlink r:id="rId54" w:history="1">
        <w:r w:rsidRPr="00BB279D">
          <w:rPr>
            <w:rStyle w:val="Hyperlink"/>
            <w:rFonts w:eastAsia="SimSun"/>
            <w:sz w:val="20"/>
          </w:rPr>
          <w:t>14/3</w:t>
        </w:r>
      </w:hyperlink>
      <w:r w:rsidRPr="00BB279D">
        <w:rPr>
          <w:rFonts w:eastAsia="SimSun"/>
          <w:sz w:val="20"/>
        </w:rPr>
        <w:t xml:space="preserve"> </w:t>
      </w:r>
      <w:r w:rsidRPr="00BB279D">
        <w:rPr>
          <w:rFonts w:eastAsia="SimSun"/>
          <w:sz w:val="20"/>
        </w:rPr>
        <w:t>号决定提到的部门（能源和采矿、基础设施、制造和加工业）和第</w:t>
      </w:r>
      <w:r w:rsidRPr="00BB279D">
        <w:rPr>
          <w:rFonts w:eastAsia="SimSun"/>
          <w:sz w:val="20"/>
        </w:rPr>
        <w:t xml:space="preserve"> </w:t>
      </w:r>
      <w:hyperlink r:id="rId55" w:history="1">
        <w:r w:rsidRPr="00BB279D">
          <w:rPr>
            <w:rStyle w:val="Hyperlink"/>
            <w:rFonts w:eastAsia="SimSun"/>
            <w:sz w:val="20"/>
          </w:rPr>
          <w:t>XIII/3</w:t>
        </w:r>
      </w:hyperlink>
      <w:r w:rsidRPr="00BB279D">
        <w:rPr>
          <w:rFonts w:eastAsia="SimSun"/>
          <w:sz w:val="20"/>
        </w:rPr>
        <w:t xml:space="preserve"> </w:t>
      </w:r>
      <w:r w:rsidRPr="00BB279D">
        <w:rPr>
          <w:rFonts w:eastAsia="SimSun"/>
          <w:sz w:val="20"/>
        </w:rPr>
        <w:t>号决定提到的部门（农业、林业、渔业和水产养殖业以及旅游业），同时尊重国家自主确定的优先事项。</w:t>
      </w:r>
    </w:p>
  </w:footnote>
  <w:footnote w:id="128">
    <w:p w14:paraId="1614E39E" w14:textId="77777777" w:rsidR="005E77FA" w:rsidRPr="00BB279D" w:rsidRDefault="005E77FA" w:rsidP="005E77FA">
      <w:pPr>
        <w:pStyle w:val="FootnoteText"/>
        <w:spacing w:after="60"/>
        <w:rPr>
          <w:rFonts w:eastAsia="SimSun"/>
          <w:sz w:val="20"/>
        </w:rPr>
      </w:pPr>
      <w:r w:rsidRPr="00BB279D">
        <w:rPr>
          <w:rStyle w:val="FootnoteReference"/>
          <w:rFonts w:eastAsia="SimSun"/>
          <w:sz w:val="20"/>
        </w:rPr>
        <w:footnoteRef/>
      </w:r>
      <w:r w:rsidRPr="00BB279D">
        <w:rPr>
          <w:rFonts w:eastAsia="SimSun"/>
          <w:sz w:val="20"/>
          <w:vertAlign w:val="superscript"/>
        </w:rPr>
        <w:t xml:space="preserve"> </w:t>
      </w:r>
      <w:r w:rsidRPr="00BB279D">
        <w:rPr>
          <w:rFonts w:eastAsia="SimSun"/>
          <w:sz w:val="20"/>
        </w:rPr>
        <w:t xml:space="preserve"> </w:t>
      </w:r>
      <w:r w:rsidRPr="00BB279D">
        <w:rPr>
          <w:rFonts w:eastAsia="SimSun"/>
          <w:sz w:val="20"/>
        </w:rPr>
        <w:t>联合国，《条约汇编》，第</w:t>
      </w:r>
      <w:r w:rsidRPr="00BB279D">
        <w:rPr>
          <w:rFonts w:eastAsia="SimSun"/>
          <w:sz w:val="20"/>
        </w:rPr>
        <w:t>1760</w:t>
      </w:r>
      <w:r w:rsidRPr="00BB279D">
        <w:rPr>
          <w:rFonts w:eastAsia="SimSun"/>
          <w:sz w:val="20"/>
        </w:rPr>
        <w:t>卷，第</w:t>
      </w:r>
      <w:r w:rsidRPr="00BB279D">
        <w:rPr>
          <w:rFonts w:eastAsia="SimSun"/>
          <w:sz w:val="20"/>
        </w:rPr>
        <w:t>30619</w:t>
      </w:r>
      <w:r w:rsidRPr="00BB279D">
        <w:rPr>
          <w:rFonts w:eastAsia="SimSun"/>
          <w:sz w:val="20"/>
        </w:rPr>
        <w:t>号。</w:t>
      </w:r>
    </w:p>
  </w:footnote>
  <w:footnote w:id="129">
    <w:p w14:paraId="3A6CE6DC" w14:textId="77777777" w:rsidR="005E77FA" w:rsidRPr="00BB279D" w:rsidRDefault="005E77FA" w:rsidP="005E77FA">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第</w:t>
      </w:r>
      <w:hyperlink r:id="rId56" w:history="1">
        <w:r w:rsidRPr="00BB279D">
          <w:rPr>
            <w:rStyle w:val="Hyperlink"/>
            <w:rFonts w:eastAsia="SimSun"/>
            <w:sz w:val="20"/>
          </w:rPr>
          <w:t>15/4</w:t>
        </w:r>
      </w:hyperlink>
      <w:r w:rsidRPr="00BB279D">
        <w:rPr>
          <w:rFonts w:eastAsia="SimSun"/>
          <w:sz w:val="20"/>
        </w:rPr>
        <w:t>号决定，附件。</w:t>
      </w:r>
    </w:p>
  </w:footnote>
  <w:footnote w:id="130">
    <w:p w14:paraId="7EE1642E" w14:textId="77777777" w:rsidR="005E77FA" w:rsidRPr="00BB279D" w:rsidRDefault="005E77FA" w:rsidP="005E77FA">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同上，</w:t>
      </w:r>
      <w:r w:rsidRPr="00BB279D">
        <w:rPr>
          <w:rFonts w:eastAsia="SimSun"/>
          <w:sz w:val="20"/>
        </w:rPr>
        <w:t>F</w:t>
      </w:r>
      <w:r w:rsidRPr="00BB279D">
        <w:rPr>
          <w:rFonts w:eastAsia="SimSun"/>
          <w:sz w:val="20"/>
        </w:rPr>
        <w:t>部分。</w:t>
      </w:r>
    </w:p>
  </w:footnote>
  <w:footnote w:id="131">
    <w:p w14:paraId="27CD25E2" w14:textId="77777777" w:rsidR="005E77FA" w:rsidRPr="00BB279D" w:rsidRDefault="005E77FA" w:rsidP="005E77FA">
      <w:pPr>
        <w:pStyle w:val="FootnoteText"/>
        <w:spacing w:after="60"/>
        <w:rPr>
          <w:rFonts w:eastAsia="SimSun"/>
          <w:sz w:val="20"/>
        </w:rPr>
      </w:pPr>
      <w:r w:rsidRPr="00BB279D">
        <w:rPr>
          <w:rFonts w:eastAsia="SimSun"/>
          <w:sz w:val="20"/>
          <w:vertAlign w:val="superscript"/>
        </w:rPr>
        <w:footnoteRef/>
      </w:r>
      <w:r w:rsidRPr="00BB279D">
        <w:rPr>
          <w:rFonts w:eastAsia="SimSun"/>
          <w:sz w:val="20"/>
        </w:rPr>
        <w:t xml:space="preserve">  </w:t>
      </w:r>
      <w:r w:rsidRPr="00BB279D">
        <w:rPr>
          <w:rFonts w:eastAsia="SimSun"/>
          <w:sz w:val="20"/>
        </w:rPr>
        <w:t>联合国大会第</w:t>
      </w:r>
      <w:r w:rsidRPr="00BB279D">
        <w:rPr>
          <w:rFonts w:eastAsia="SimSun"/>
          <w:sz w:val="20"/>
        </w:rPr>
        <w:t>70/1</w:t>
      </w:r>
      <w:r w:rsidRPr="00BB279D">
        <w:rPr>
          <w:rFonts w:eastAsia="SimSun"/>
          <w:sz w:val="20"/>
        </w:rPr>
        <w:t>号决议。</w:t>
      </w:r>
    </w:p>
  </w:footnote>
  <w:footnote w:id="132">
    <w:p w14:paraId="04331B9B" w14:textId="77777777" w:rsidR="005E77FA" w:rsidRPr="00BB279D" w:rsidRDefault="005E77FA" w:rsidP="005E77FA">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第</w:t>
      </w:r>
      <w:hyperlink r:id="rId57" w:history="1">
        <w:r w:rsidRPr="00BB279D">
          <w:rPr>
            <w:rStyle w:val="Hyperlink"/>
            <w:rFonts w:eastAsia="SimSun"/>
            <w:sz w:val="20"/>
          </w:rPr>
          <w:t>16/4</w:t>
        </w:r>
      </w:hyperlink>
      <w:r w:rsidRPr="00BB279D">
        <w:rPr>
          <w:rFonts w:eastAsia="SimSun"/>
          <w:sz w:val="20"/>
        </w:rPr>
        <w:t>号决定，附件。</w:t>
      </w:r>
    </w:p>
  </w:footnote>
  <w:footnote w:id="133">
    <w:p w14:paraId="37B6CE3E" w14:textId="77777777" w:rsidR="005E77FA" w:rsidRPr="0097510B" w:rsidRDefault="005E77FA" w:rsidP="005E77FA">
      <w:pPr>
        <w:pStyle w:val="FootnoteText"/>
        <w:spacing w:after="60"/>
      </w:pPr>
      <w:r w:rsidRPr="00BB279D">
        <w:rPr>
          <w:rFonts w:eastAsia="SimSun"/>
          <w:sz w:val="20"/>
          <w:vertAlign w:val="superscript"/>
        </w:rPr>
        <w:footnoteRef/>
      </w:r>
      <w:r w:rsidRPr="00BB279D">
        <w:rPr>
          <w:rFonts w:eastAsia="SimSun"/>
          <w:sz w:val="20"/>
        </w:rPr>
        <w:t xml:space="preserve">  </w:t>
      </w:r>
      <w:hyperlink r:id="rId58" w:history="1">
        <w:r w:rsidRPr="00BB279D">
          <w:rPr>
            <w:rStyle w:val="Hyperlink"/>
            <w:rFonts w:eastAsia="SimSun"/>
            <w:sz w:val="20"/>
          </w:rPr>
          <w:t>UNEP/CBD/COP/10/INF/3</w:t>
        </w:r>
      </w:hyperlink>
      <w:r w:rsidRPr="00BB279D">
        <w:rPr>
          <w:rFonts w:eastAsia="SimSun"/>
          <w:sz w:val="20"/>
        </w:rPr>
        <w:t>附件一和第</w:t>
      </w:r>
      <w:hyperlink r:id="rId59" w:history="1">
        <w:r w:rsidRPr="00BB279D">
          <w:rPr>
            <w:rStyle w:val="Hyperlink"/>
            <w:rFonts w:eastAsia="SimSun"/>
            <w:sz w:val="20"/>
          </w:rPr>
          <w:t>15/22</w:t>
        </w:r>
      </w:hyperlink>
      <w:r w:rsidRPr="00BB279D">
        <w:rPr>
          <w:rFonts w:eastAsia="SimSun"/>
          <w:sz w:val="20"/>
        </w:rPr>
        <w:t>号决定附件。</w:t>
      </w:r>
      <w:r w:rsidRPr="00BB279D">
        <w:rPr>
          <w:rFonts w:eastAsia="SimSun"/>
          <w:sz w:val="20"/>
        </w:rPr>
        <w:t xml:space="preserve"> </w:t>
      </w:r>
    </w:p>
  </w:footnote>
  <w:footnote w:id="134">
    <w:p w14:paraId="02FF3A30" w14:textId="77777777" w:rsidR="005E77FA" w:rsidRPr="00BB279D" w:rsidRDefault="005E77FA" w:rsidP="00BB279D">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lang w:val="zh-CN"/>
        </w:rPr>
        <w:t>第</w:t>
      </w:r>
      <w:hyperlink r:id="rId60" w:history="1">
        <w:r w:rsidRPr="00BB279D">
          <w:rPr>
            <w:rStyle w:val="Hyperlink"/>
            <w:rFonts w:eastAsia="SimSun"/>
            <w:sz w:val="20"/>
            <w:lang w:val="zh-CN"/>
          </w:rPr>
          <w:t>15/4</w:t>
        </w:r>
      </w:hyperlink>
      <w:r w:rsidRPr="00BB279D">
        <w:rPr>
          <w:rFonts w:eastAsia="SimSun"/>
          <w:sz w:val="20"/>
          <w:lang w:val="zh-CN"/>
        </w:rPr>
        <w:t>号决定，附件。</w:t>
      </w:r>
    </w:p>
  </w:footnote>
  <w:footnote w:id="135">
    <w:p w14:paraId="1467FBA3" w14:textId="77777777" w:rsidR="005E77FA" w:rsidRPr="00BB279D" w:rsidRDefault="005E77FA" w:rsidP="00BB279D">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见</w:t>
      </w:r>
      <w:hyperlink r:id="rId61" w:history="1">
        <w:r w:rsidRPr="00BB279D">
          <w:rPr>
            <w:rStyle w:val="Hyperlink"/>
            <w:rFonts w:eastAsia="SimSun"/>
            <w:sz w:val="20"/>
          </w:rPr>
          <w:t>www.swm-programme.info/</w:t>
        </w:r>
      </w:hyperlink>
      <w:r w:rsidRPr="00BB279D">
        <w:rPr>
          <w:rFonts w:eastAsia="SimSun"/>
          <w:sz w:val="20"/>
        </w:rPr>
        <w:t>。</w:t>
      </w:r>
    </w:p>
  </w:footnote>
  <w:footnote w:id="136">
    <w:p w14:paraId="742D5888" w14:textId="77777777" w:rsidR="005E77FA" w:rsidRPr="00BB279D" w:rsidRDefault="005E77FA" w:rsidP="00BB279D">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联</w:t>
      </w:r>
      <w:r w:rsidRPr="00BB279D">
        <w:rPr>
          <w:rFonts w:eastAsia="SimSun"/>
          <w:sz w:val="20"/>
        </w:rPr>
        <w:t>​</w:t>
      </w:r>
      <w:r w:rsidRPr="00BB279D">
        <w:rPr>
          <w:rFonts w:eastAsia="SimSun"/>
          <w:sz w:val="20"/>
        </w:rPr>
        <w:t>合</w:t>
      </w:r>
      <w:r w:rsidRPr="00BB279D">
        <w:rPr>
          <w:rFonts w:eastAsia="SimSun"/>
          <w:sz w:val="20"/>
        </w:rPr>
        <w:t>​</w:t>
      </w:r>
      <w:r w:rsidRPr="00BB279D">
        <w:rPr>
          <w:rFonts w:eastAsia="SimSun"/>
          <w:sz w:val="20"/>
        </w:rPr>
        <w:t>国</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条</w:t>
      </w:r>
      <w:r w:rsidRPr="00BB279D">
        <w:rPr>
          <w:rFonts w:eastAsia="SimSun"/>
          <w:sz w:val="20"/>
        </w:rPr>
        <w:t>​</w:t>
      </w:r>
      <w:r w:rsidRPr="00BB279D">
        <w:rPr>
          <w:rFonts w:eastAsia="SimSun"/>
          <w:sz w:val="20"/>
        </w:rPr>
        <w:t>约</w:t>
      </w:r>
      <w:r w:rsidRPr="00BB279D">
        <w:rPr>
          <w:rFonts w:eastAsia="SimSun"/>
          <w:sz w:val="20"/>
        </w:rPr>
        <w:t>​</w:t>
      </w:r>
      <w:r w:rsidRPr="00BB279D">
        <w:rPr>
          <w:rFonts w:eastAsia="SimSun"/>
          <w:sz w:val="20"/>
        </w:rPr>
        <w:t>汇</w:t>
      </w:r>
      <w:r w:rsidRPr="00BB279D">
        <w:rPr>
          <w:rFonts w:eastAsia="SimSun"/>
          <w:sz w:val="20"/>
        </w:rPr>
        <w:t>​</w:t>
      </w:r>
      <w:r w:rsidRPr="00BB279D">
        <w:rPr>
          <w:rFonts w:eastAsia="SimSun"/>
          <w:sz w:val="20"/>
        </w:rPr>
        <w:t>编</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第</w:t>
      </w:r>
      <w:r w:rsidRPr="00BB279D">
        <w:rPr>
          <w:rFonts w:eastAsia="SimSun"/>
          <w:sz w:val="20"/>
        </w:rPr>
        <w:t>​1​7​6​0​</w:t>
      </w:r>
      <w:r w:rsidRPr="00BB279D">
        <w:rPr>
          <w:rFonts w:eastAsia="SimSun"/>
          <w:sz w:val="20"/>
        </w:rPr>
        <w:t>卷</w:t>
      </w:r>
      <w:r w:rsidRPr="00BB279D">
        <w:rPr>
          <w:rFonts w:eastAsia="SimSun"/>
          <w:sz w:val="20"/>
        </w:rPr>
        <w:t>​</w:t>
      </w:r>
      <w:r w:rsidRPr="00BB279D">
        <w:rPr>
          <w:rFonts w:eastAsia="SimSun"/>
          <w:sz w:val="20"/>
        </w:rPr>
        <w:t>，</w:t>
      </w:r>
      <w:r w:rsidRPr="00BB279D">
        <w:rPr>
          <w:rFonts w:eastAsia="SimSun"/>
          <w:sz w:val="20"/>
        </w:rPr>
        <w:t>​</w:t>
      </w:r>
      <w:r w:rsidRPr="00BB279D">
        <w:rPr>
          <w:rFonts w:eastAsia="SimSun"/>
          <w:sz w:val="20"/>
        </w:rPr>
        <w:t>第</w:t>
      </w:r>
      <w:r w:rsidRPr="00BB279D">
        <w:rPr>
          <w:rFonts w:eastAsia="SimSun"/>
          <w:sz w:val="20"/>
        </w:rPr>
        <w:t>​3​0​6​1​9​</w:t>
      </w:r>
      <w:r w:rsidRPr="00BB279D">
        <w:rPr>
          <w:rFonts w:eastAsia="SimSun"/>
          <w:sz w:val="20"/>
        </w:rPr>
        <w:t>号</w:t>
      </w:r>
      <w:r w:rsidRPr="00BB279D">
        <w:rPr>
          <w:rFonts w:eastAsia="SimSun"/>
          <w:sz w:val="20"/>
        </w:rPr>
        <w:t>​</w:t>
      </w:r>
      <w:r w:rsidRPr="00BB279D">
        <w:rPr>
          <w:rFonts w:eastAsia="SimSun"/>
          <w:sz w:val="20"/>
        </w:rPr>
        <w:t>。</w:t>
      </w:r>
      <w:r w:rsidRPr="00BB279D">
        <w:rPr>
          <w:rFonts w:eastAsia="SimSun"/>
          <w:sz w:val="20"/>
        </w:rPr>
        <w:t>​</w:t>
      </w:r>
    </w:p>
  </w:footnote>
  <w:footnote w:id="137">
    <w:p w14:paraId="0AAA52B8" w14:textId="77777777" w:rsidR="005E77FA" w:rsidRPr="00BB279D" w:rsidRDefault="005E77FA" w:rsidP="00BB279D">
      <w:pPr>
        <w:pStyle w:val="FootnoteText"/>
        <w:spacing w:after="60"/>
        <w:rPr>
          <w:rFonts w:eastAsia="SimSun"/>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第</w:t>
      </w:r>
      <w:hyperlink r:id="rId62" w:history="1">
        <w:r w:rsidRPr="00BB279D">
          <w:rPr>
            <w:rStyle w:val="Hyperlink"/>
            <w:rFonts w:eastAsia="SimSun"/>
            <w:sz w:val="20"/>
          </w:rPr>
          <w:t>14/7</w:t>
        </w:r>
      </w:hyperlink>
      <w:r w:rsidRPr="00BB279D">
        <w:rPr>
          <w:rFonts w:eastAsia="SimSun"/>
          <w:sz w:val="20"/>
        </w:rPr>
        <w:t>号决定，附件。</w:t>
      </w:r>
      <w:r w:rsidRPr="00BB279D">
        <w:rPr>
          <w:rFonts w:eastAsia="SimSun"/>
          <w:sz w:val="20"/>
        </w:rPr>
        <w:t xml:space="preserve"> </w:t>
      </w:r>
    </w:p>
  </w:footnote>
  <w:footnote w:id="138">
    <w:p w14:paraId="43341351" w14:textId="221AF31D" w:rsidR="005E77FA" w:rsidRPr="0044630E" w:rsidRDefault="005E77FA" w:rsidP="00BB279D">
      <w:pPr>
        <w:pStyle w:val="FootnoteText"/>
        <w:spacing w:after="60"/>
        <w:rPr>
          <w:sz w:val="20"/>
        </w:rPr>
      </w:pPr>
      <w:r w:rsidRPr="00BB279D">
        <w:rPr>
          <w:rStyle w:val="FootnoteReference"/>
          <w:rFonts w:eastAsia="SimSun"/>
          <w:sz w:val="20"/>
        </w:rPr>
        <w:footnoteRef/>
      </w:r>
      <w:r w:rsidRPr="00BB279D">
        <w:rPr>
          <w:rFonts w:eastAsia="SimSun"/>
          <w:sz w:val="20"/>
        </w:rPr>
        <w:t xml:space="preserve">  </w:t>
      </w:r>
      <w:r w:rsidRPr="00BB279D">
        <w:rPr>
          <w:rFonts w:eastAsia="SimSun"/>
          <w:sz w:val="20"/>
        </w:rPr>
        <w:t>第</w:t>
      </w:r>
      <w:hyperlink r:id="rId63" w:history="1">
        <w:r w:rsidRPr="00261BAB">
          <w:rPr>
            <w:rStyle w:val="Hyperlink"/>
            <w:rFonts w:eastAsia="SimSun"/>
            <w:sz w:val="20"/>
          </w:rPr>
          <w:t>VII/12</w:t>
        </w:r>
      </w:hyperlink>
      <w:r w:rsidRPr="00BB279D">
        <w:rPr>
          <w:rFonts w:eastAsia="SimSun"/>
          <w:sz w:val="20"/>
        </w:rPr>
        <w:t>号决定，附件二。</w:t>
      </w:r>
    </w:p>
  </w:footnote>
  <w:footnote w:id="139">
    <w:p w14:paraId="3FD5E64A" w14:textId="77777777" w:rsidR="005E77FA" w:rsidRPr="00DA4F9A" w:rsidRDefault="005E77FA" w:rsidP="005E77FA">
      <w:pPr>
        <w:pStyle w:val="FootnoteText"/>
      </w:pPr>
      <w:r>
        <w:rPr>
          <w:rStyle w:val="FootnoteReference"/>
        </w:rPr>
        <w:footnoteRef/>
      </w:r>
      <w:r>
        <w:t xml:space="preserve"> </w:t>
      </w:r>
      <w:r w:rsidRPr="00261BAB">
        <w:rPr>
          <w:rFonts w:eastAsia="SimSun"/>
          <w:sz w:val="20"/>
        </w:rPr>
        <w:t>第</w:t>
      </w:r>
      <w:hyperlink r:id="rId64" w:history="1">
        <w:r w:rsidRPr="00261BAB">
          <w:rPr>
            <w:rStyle w:val="Hyperlink"/>
            <w:rFonts w:eastAsia="SimSun"/>
            <w:sz w:val="20"/>
          </w:rPr>
          <w:t>15/5</w:t>
        </w:r>
      </w:hyperlink>
      <w:r w:rsidRPr="00261BAB">
        <w:rPr>
          <w:rFonts w:eastAsia="SimSun"/>
          <w:sz w:val="20"/>
        </w:rPr>
        <w:t>号决定，附件一。</w:t>
      </w:r>
    </w:p>
  </w:footnote>
  <w:footnote w:id="140">
    <w:p w14:paraId="0BF072E3" w14:textId="50CDBE9A" w:rsidR="005E77FA" w:rsidRPr="00261BAB" w:rsidRDefault="005E77FA" w:rsidP="005E77FA">
      <w:pPr>
        <w:pStyle w:val="FootnoteText"/>
        <w:spacing w:before="60" w:after="60"/>
        <w:rPr>
          <w:rFonts w:eastAsia="SimSun"/>
          <w:sz w:val="20"/>
        </w:rPr>
      </w:pPr>
      <w:r w:rsidRPr="00261BAB">
        <w:rPr>
          <w:rStyle w:val="FootnoteReference"/>
          <w:rFonts w:eastAsia="SimSun"/>
          <w:sz w:val="20"/>
        </w:rPr>
        <w:footnoteRef/>
      </w:r>
      <w:r w:rsidRPr="00261BAB">
        <w:rPr>
          <w:rFonts w:eastAsia="SimSun"/>
          <w:sz w:val="20"/>
        </w:rPr>
        <w:t xml:space="preserve"> </w:t>
      </w:r>
      <w:r w:rsidR="00261BAB">
        <w:rPr>
          <w:rFonts w:eastAsia="SimSun" w:hint="eastAsia"/>
          <w:sz w:val="20"/>
        </w:rPr>
        <w:t xml:space="preserve"> </w:t>
      </w:r>
      <w:r w:rsidRPr="00261BAB">
        <w:rPr>
          <w:rFonts w:eastAsia="SimSun"/>
          <w:sz w:val="20"/>
        </w:rPr>
        <w:t>联合国，《条约汇编》，第</w:t>
      </w:r>
      <w:r w:rsidRPr="00261BAB">
        <w:rPr>
          <w:rFonts w:eastAsia="SimSun"/>
          <w:sz w:val="20"/>
        </w:rPr>
        <w:t> 993</w:t>
      </w:r>
      <w:r w:rsidRPr="00261BAB">
        <w:rPr>
          <w:rFonts w:eastAsia="SimSun"/>
          <w:sz w:val="20"/>
        </w:rPr>
        <w:t>卷，第</w:t>
      </w:r>
      <w:r w:rsidRPr="00261BAB">
        <w:rPr>
          <w:rFonts w:eastAsia="SimSun"/>
          <w:sz w:val="20"/>
        </w:rPr>
        <w:t>14537</w:t>
      </w:r>
      <w:r w:rsidRPr="00261BAB">
        <w:rPr>
          <w:rFonts w:eastAsia="SimSun"/>
          <w:sz w:val="20"/>
        </w:rPr>
        <w:t>号。</w:t>
      </w:r>
    </w:p>
  </w:footnote>
  <w:footnote w:id="141">
    <w:p w14:paraId="22742551" w14:textId="001603F9" w:rsidR="005E77FA" w:rsidRPr="00BD04AC" w:rsidRDefault="005E77FA" w:rsidP="005E77FA">
      <w:pPr>
        <w:pStyle w:val="FootnoteText"/>
        <w:spacing w:before="60" w:after="60"/>
      </w:pPr>
      <w:r w:rsidRPr="00261BAB">
        <w:rPr>
          <w:rStyle w:val="FootnoteReference"/>
          <w:rFonts w:eastAsia="SimSun"/>
          <w:sz w:val="20"/>
        </w:rPr>
        <w:footnoteRef/>
      </w:r>
      <w:r w:rsidRPr="00261BAB">
        <w:rPr>
          <w:rFonts w:eastAsia="SimSun"/>
          <w:sz w:val="20"/>
        </w:rPr>
        <w:t xml:space="preserve"> </w:t>
      </w:r>
      <w:r w:rsidR="00261BAB">
        <w:rPr>
          <w:rFonts w:eastAsia="SimSun" w:hint="eastAsia"/>
          <w:sz w:val="20"/>
        </w:rPr>
        <w:t xml:space="preserve"> </w:t>
      </w:r>
      <w:r w:rsidRPr="00261BAB">
        <w:rPr>
          <w:rFonts w:eastAsia="SimSun"/>
          <w:sz w:val="20"/>
        </w:rPr>
        <w:t>同上，第</w:t>
      </w:r>
      <w:r w:rsidRPr="00261BAB">
        <w:rPr>
          <w:rFonts w:eastAsia="SimSun"/>
          <w:sz w:val="20"/>
        </w:rPr>
        <w:t>1651</w:t>
      </w:r>
      <w:r w:rsidRPr="00261BAB">
        <w:rPr>
          <w:rFonts w:eastAsia="SimSun"/>
          <w:sz w:val="20"/>
        </w:rPr>
        <w:t>卷，第</w:t>
      </w:r>
      <w:r w:rsidRPr="00261BAB">
        <w:rPr>
          <w:rFonts w:eastAsia="SimSun"/>
          <w:sz w:val="20"/>
        </w:rPr>
        <w:t>28395</w:t>
      </w:r>
      <w:r w:rsidRPr="00261BAB">
        <w:rPr>
          <w:rFonts w:eastAsia="SimSun"/>
          <w:sz w:val="20"/>
        </w:rPr>
        <w:t>号。</w:t>
      </w:r>
    </w:p>
  </w:footnote>
  <w:footnote w:id="142">
    <w:p w14:paraId="20F55474"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联合国《条约汇编》，第</w:t>
      </w:r>
      <w:r w:rsidRPr="008A4A59">
        <w:rPr>
          <w:rFonts w:eastAsia="SimSun"/>
          <w:sz w:val="20"/>
        </w:rPr>
        <w:t>1760</w:t>
      </w:r>
      <w:r w:rsidRPr="008A4A59">
        <w:rPr>
          <w:rFonts w:eastAsia="SimSun"/>
          <w:sz w:val="20"/>
        </w:rPr>
        <w:t>卷，第</w:t>
      </w:r>
      <w:r w:rsidRPr="008A4A59">
        <w:rPr>
          <w:rFonts w:eastAsia="SimSun"/>
          <w:sz w:val="20"/>
        </w:rPr>
        <w:t>30619</w:t>
      </w:r>
      <w:r w:rsidRPr="008A4A59">
        <w:rPr>
          <w:rFonts w:eastAsia="SimSun"/>
          <w:sz w:val="20"/>
        </w:rPr>
        <w:t>号。</w:t>
      </w:r>
    </w:p>
  </w:footnote>
  <w:footnote w:id="143">
    <w:p w14:paraId="7EB5AD05"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同上，第</w:t>
      </w:r>
      <w:r w:rsidRPr="008A4A59">
        <w:rPr>
          <w:rFonts w:eastAsia="SimSun"/>
          <w:sz w:val="20"/>
        </w:rPr>
        <w:t>1833</w:t>
      </w:r>
      <w:r w:rsidRPr="008A4A59">
        <w:rPr>
          <w:rFonts w:eastAsia="SimSun"/>
          <w:sz w:val="20"/>
        </w:rPr>
        <w:t>卷，第</w:t>
      </w:r>
      <w:r w:rsidRPr="008A4A59">
        <w:rPr>
          <w:rFonts w:eastAsia="SimSun"/>
          <w:sz w:val="20"/>
        </w:rPr>
        <w:t>31363</w:t>
      </w:r>
      <w:r w:rsidRPr="008A4A59">
        <w:rPr>
          <w:rFonts w:eastAsia="SimSun"/>
          <w:sz w:val="20"/>
        </w:rPr>
        <w:t>号。</w:t>
      </w:r>
    </w:p>
  </w:footnote>
  <w:footnote w:id="144">
    <w:p w14:paraId="1ABB9294"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土耳其不是《联合国海洋法公约》的缔约国，申明与提及《公约》无关。</w:t>
      </w:r>
      <w:bookmarkStart w:id="47" w:name="_Hlk193872139"/>
      <w:r w:rsidRPr="008A4A59">
        <w:rPr>
          <w:rFonts w:eastAsia="SimSun"/>
          <w:sz w:val="20"/>
        </w:rPr>
        <w:t>土耳其参加生物多样性公约缔约方大会第十六届会议议程项目</w:t>
      </w:r>
      <w:r w:rsidRPr="008A4A59">
        <w:rPr>
          <w:rFonts w:eastAsia="SimSun"/>
          <w:sz w:val="20"/>
        </w:rPr>
        <w:t>20</w:t>
      </w:r>
      <w:r w:rsidRPr="008A4A59">
        <w:rPr>
          <w:rFonts w:eastAsia="SimSun"/>
          <w:sz w:val="20"/>
        </w:rPr>
        <w:t>下的讨论不应被视为其对《公约》的众所周知的法律立场有所改变</w:t>
      </w:r>
      <w:bookmarkEnd w:id="47"/>
      <w:r w:rsidRPr="008A4A59">
        <w:rPr>
          <w:rFonts w:eastAsia="SimSun"/>
          <w:sz w:val="20"/>
        </w:rPr>
        <w:t>。</w:t>
      </w:r>
    </w:p>
  </w:footnote>
  <w:footnote w:id="145">
    <w:p w14:paraId="28F2F1B0"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委内瑞拉玻利瓦尔共和国认为《联合国海洋法公约》不是关于海洋活动的唯一法律文书，</w:t>
      </w:r>
      <w:bookmarkStart w:id="49" w:name="_Hlk193872565"/>
      <w:r w:rsidRPr="008A4A59">
        <w:rPr>
          <w:rFonts w:eastAsia="SimSun"/>
          <w:sz w:val="20"/>
        </w:rPr>
        <w:t>因此不同意提及这一国际文书，委内瑞拉玻利瓦尔共和国参加议程项目</w:t>
      </w:r>
      <w:r w:rsidRPr="008A4A59">
        <w:rPr>
          <w:rFonts w:eastAsia="SimSun"/>
          <w:sz w:val="20"/>
        </w:rPr>
        <w:t>20</w:t>
      </w:r>
      <w:r w:rsidRPr="008A4A59">
        <w:rPr>
          <w:rFonts w:eastAsia="SimSun"/>
          <w:sz w:val="20"/>
        </w:rPr>
        <w:t>下的讨论不应被视为对该文书的国家立场有所改变。</w:t>
      </w:r>
    </w:p>
    <w:bookmarkEnd w:id="49"/>
  </w:footnote>
  <w:footnote w:id="146">
    <w:p w14:paraId="0B2EB014"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bookmarkStart w:id="50" w:name="_Hlk193872820"/>
      <w:r w:rsidRPr="008A4A59">
        <w:rPr>
          <w:rFonts w:eastAsia="SimSun"/>
          <w:sz w:val="20"/>
        </w:rPr>
        <w:t>哥伦比亚重申《联合国海洋法公约》不是关于海洋中进行的所有法律活动的唯一法律文书。哥伦比亚参加缔约方大会第十六届会议议程项目</w:t>
      </w:r>
      <w:r w:rsidRPr="008A4A59">
        <w:rPr>
          <w:rFonts w:eastAsia="SimSun"/>
          <w:sz w:val="20"/>
        </w:rPr>
        <w:t>20</w:t>
      </w:r>
      <w:r w:rsidRPr="008A4A59">
        <w:rPr>
          <w:rFonts w:eastAsia="SimSun"/>
          <w:sz w:val="20"/>
        </w:rPr>
        <w:t>下的讨论不影响其地位或权利，也不应被解释为默认或明示接受《联合国海洋法公约》的条款，因为哥伦比亚不是该文书的缔约国</w:t>
      </w:r>
      <w:bookmarkEnd w:id="50"/>
      <w:r w:rsidRPr="008A4A59">
        <w:rPr>
          <w:rFonts w:eastAsia="SimSun"/>
          <w:sz w:val="20"/>
        </w:rPr>
        <w:t>。</w:t>
      </w:r>
    </w:p>
  </w:footnote>
  <w:footnote w:id="147">
    <w:p w14:paraId="19259927"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bookmarkStart w:id="51" w:name="_Hlk193873068"/>
      <w:r w:rsidRPr="008A4A59">
        <w:rPr>
          <w:rFonts w:eastAsia="SimSun"/>
          <w:sz w:val="20"/>
        </w:rPr>
        <w:t>萨尔瓦多不是《联合国海洋法公约》的缔约国。因此萨尔瓦多重申，正如萨尔瓦多在其他国际论坛上所重申的，萨尔瓦多参与解决缔约方大会第十六届会议期间提出的一些问题并不在任何情况下以任何方式影响萨尔瓦多对上述国际文书的法律地位，也不影响可能从中产生的权利或义务。</w:t>
      </w:r>
      <w:bookmarkStart w:id="52" w:name="_Hlk193873188"/>
      <w:bookmarkEnd w:id="51"/>
      <w:r w:rsidRPr="008A4A59">
        <w:rPr>
          <w:rFonts w:eastAsia="SimSun"/>
          <w:sz w:val="20"/>
        </w:rPr>
        <w:t>同样，萨尔瓦多借此机会表示，上述《公约》不具有普遍性，</w:t>
      </w:r>
      <w:bookmarkEnd w:id="52"/>
      <w:r w:rsidRPr="008A4A59">
        <w:rPr>
          <w:rFonts w:eastAsia="SimSun"/>
          <w:sz w:val="20"/>
        </w:rPr>
        <w:t>因为还有其他国际文书也与海洋中发生的各种活动相关。</w:t>
      </w:r>
    </w:p>
  </w:footnote>
  <w:footnote w:id="148">
    <w:p w14:paraId="52713540"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第</w:t>
      </w:r>
      <w:hyperlink r:id="rId65" w:history="1">
        <w:r w:rsidRPr="008A4A59">
          <w:rPr>
            <w:rStyle w:val="Hyperlink"/>
            <w:rFonts w:eastAsia="SimSun"/>
            <w:sz w:val="20"/>
          </w:rPr>
          <w:t>15/4</w:t>
        </w:r>
      </w:hyperlink>
      <w:r w:rsidRPr="008A4A59">
        <w:rPr>
          <w:rFonts w:eastAsia="SimSun"/>
          <w:sz w:val="20"/>
        </w:rPr>
        <w:t>号决定，附件。</w:t>
      </w:r>
    </w:p>
  </w:footnote>
  <w:footnote w:id="149">
    <w:p w14:paraId="5C14A80C"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A/CONF.232/2023/4</w:t>
      </w:r>
      <w:r w:rsidRPr="008A4A59">
        <w:rPr>
          <w:rFonts w:eastAsia="SimSun"/>
          <w:sz w:val="20"/>
        </w:rPr>
        <w:t>。</w:t>
      </w:r>
    </w:p>
  </w:footnote>
  <w:footnote w:id="150">
    <w:p w14:paraId="1F7FBF5C" w14:textId="77777777" w:rsidR="005E77FA" w:rsidRPr="00F73135" w:rsidRDefault="005E77FA" w:rsidP="005E77FA">
      <w:pPr>
        <w:pStyle w:val="FootnoteText"/>
        <w:spacing w:after="60"/>
      </w:pPr>
      <w:r w:rsidRPr="008A4A59">
        <w:rPr>
          <w:rStyle w:val="FootnoteReference"/>
          <w:rFonts w:eastAsia="SimSun"/>
          <w:sz w:val="20"/>
        </w:rPr>
        <w:footnoteRef/>
      </w:r>
      <w:r w:rsidRPr="008A4A59">
        <w:rPr>
          <w:rFonts w:eastAsia="SimSun"/>
          <w:sz w:val="20"/>
        </w:rPr>
        <w:t xml:space="preserve">  </w:t>
      </w:r>
      <w:hyperlink r:id="rId66" w:history="1">
        <w:r w:rsidRPr="008A4A59">
          <w:rPr>
            <w:rStyle w:val="Hyperlink"/>
            <w:rFonts w:eastAsia="SimSun"/>
            <w:sz w:val="20"/>
          </w:rPr>
          <w:t>CBD/EBSA/EM/2023/1/3</w:t>
        </w:r>
      </w:hyperlink>
      <w:r w:rsidRPr="008A4A59">
        <w:rPr>
          <w:rFonts w:eastAsia="SimSun"/>
          <w:sz w:val="20"/>
        </w:rPr>
        <w:t>和</w:t>
      </w:r>
      <w:hyperlink r:id="rId67" w:history="1">
        <w:r w:rsidRPr="008A4A59">
          <w:rPr>
            <w:rStyle w:val="Hyperlink"/>
            <w:rFonts w:eastAsia="SimSun"/>
            <w:sz w:val="20"/>
          </w:rPr>
          <w:t>CBD/EBSA/EM/2023/2/3</w:t>
        </w:r>
      </w:hyperlink>
      <w:r w:rsidRPr="008A4A59">
        <w:rPr>
          <w:rFonts w:eastAsia="SimSun"/>
          <w:sz w:val="20"/>
        </w:rPr>
        <w:t>。</w:t>
      </w:r>
    </w:p>
  </w:footnote>
  <w:footnote w:id="151">
    <w:p w14:paraId="02DCEE96"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联合国，《条约汇编》，第</w:t>
      </w:r>
      <w:r w:rsidRPr="008A4A59">
        <w:rPr>
          <w:rFonts w:eastAsia="SimSun"/>
          <w:sz w:val="20"/>
        </w:rPr>
        <w:t>1833</w:t>
      </w:r>
      <w:r w:rsidRPr="008A4A59">
        <w:rPr>
          <w:rFonts w:eastAsia="SimSun"/>
          <w:sz w:val="20"/>
        </w:rPr>
        <w:t>卷，第</w:t>
      </w:r>
      <w:r w:rsidRPr="008A4A59">
        <w:rPr>
          <w:rFonts w:eastAsia="SimSun"/>
          <w:sz w:val="20"/>
        </w:rPr>
        <w:t>31363</w:t>
      </w:r>
      <w:r w:rsidRPr="008A4A59">
        <w:rPr>
          <w:rFonts w:eastAsia="SimSun"/>
          <w:sz w:val="20"/>
        </w:rPr>
        <w:t>号。</w:t>
      </w:r>
    </w:p>
  </w:footnote>
  <w:footnote w:id="152">
    <w:p w14:paraId="70B9B2E0" w14:textId="77777777" w:rsidR="005E77FA" w:rsidRPr="008A4A59"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呈件中必须说明修改的理由。</w:t>
      </w:r>
    </w:p>
  </w:footnote>
  <w:footnote w:id="153">
    <w:p w14:paraId="1F103909" w14:textId="77777777" w:rsidR="005E77FA" w:rsidRPr="005E77FA" w:rsidRDefault="005E77FA" w:rsidP="005E77FA">
      <w:pPr>
        <w:pStyle w:val="FootnoteText"/>
        <w:spacing w:after="60"/>
        <w:rPr>
          <w:rFonts w:eastAsia="SimSun"/>
          <w:sz w:val="20"/>
        </w:rPr>
      </w:pPr>
      <w:r w:rsidRPr="008A4A59">
        <w:rPr>
          <w:rStyle w:val="FootnoteReference"/>
          <w:rFonts w:eastAsia="SimSun"/>
          <w:sz w:val="20"/>
        </w:rPr>
        <w:footnoteRef/>
      </w:r>
      <w:r w:rsidRPr="008A4A59">
        <w:rPr>
          <w:rFonts w:eastAsia="SimSun"/>
          <w:sz w:val="20"/>
        </w:rPr>
        <w:t xml:space="preserve">  </w:t>
      </w:r>
      <w:r w:rsidRPr="008A4A59">
        <w:rPr>
          <w:rFonts w:eastAsia="SimSun"/>
          <w:sz w:val="20"/>
        </w:rPr>
        <w:t>修改也可涉及从数据</w:t>
      </w:r>
      <w:r w:rsidRPr="008A4A59">
        <w:rPr>
          <w:rFonts w:eastAsia="SimSun"/>
          <w:sz w:val="20"/>
          <w:lang w:val="en-CA"/>
        </w:rPr>
        <w:t>存储库</w:t>
      </w:r>
      <w:r w:rsidRPr="008A4A59">
        <w:rPr>
          <w:rFonts w:eastAsia="SimSun"/>
          <w:sz w:val="20"/>
        </w:rPr>
        <w:t>或信息共享机制中删除描述以及将其移入相应档案。</w:t>
      </w:r>
      <w:r w:rsidRPr="008A4A59">
        <w:rPr>
          <w:rFonts w:eastAsia="SimSun"/>
          <w:sz w:val="20"/>
        </w:rPr>
        <w:t xml:space="preserve"> </w:t>
      </w:r>
    </w:p>
  </w:footnote>
  <w:footnote w:id="154">
    <w:p w14:paraId="4C68C9D6" w14:textId="77777777" w:rsidR="005E77FA" w:rsidRPr="008D4352" w:rsidRDefault="005E77FA" w:rsidP="005E77FA">
      <w:pPr>
        <w:pStyle w:val="FootnoteText"/>
        <w:spacing w:after="60"/>
        <w:rPr>
          <w:rStyle w:val="FootnoteReference"/>
          <w:rFonts w:eastAsia="SimSun"/>
          <w:sz w:val="20"/>
        </w:rPr>
      </w:pPr>
      <w:r w:rsidRPr="008D4352">
        <w:rPr>
          <w:rStyle w:val="FootnoteReference"/>
          <w:rFonts w:eastAsia="SimSun"/>
          <w:sz w:val="20"/>
        </w:rPr>
        <w:footnoteRef/>
      </w:r>
      <w:r w:rsidRPr="008D4352">
        <w:rPr>
          <w:rStyle w:val="FootnoteReference"/>
          <w:rFonts w:eastAsia="SimSun"/>
          <w:sz w:val="20"/>
        </w:rPr>
        <w:t xml:space="preserve">  </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自由、事先和知情同意</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指三种表述，即</w:t>
      </w:r>
      <w:r w:rsidRPr="008D4352">
        <w:rPr>
          <w:rStyle w:val="FootnoteReference"/>
          <w:rFonts w:eastAsia="SimSun"/>
          <w:spacing w:val="-20"/>
          <w:sz w:val="20"/>
          <w:vertAlign w:val="baseline"/>
        </w:rPr>
        <w:t xml:space="preserve"> “</w:t>
      </w:r>
      <w:r w:rsidRPr="008D4352">
        <w:rPr>
          <w:rStyle w:val="FootnoteReference"/>
          <w:rFonts w:eastAsia="SimSun"/>
          <w:spacing w:val="-20"/>
          <w:sz w:val="20"/>
          <w:vertAlign w:val="baseline"/>
        </w:rPr>
        <w:t>事先和知情同意</w:t>
      </w:r>
      <w:r w:rsidRPr="008D4352">
        <w:rPr>
          <w:rFonts w:eastAsia="SimSun"/>
          <w:spacing w:val="-20"/>
          <w:sz w:val="20"/>
        </w:rPr>
        <w:t>”</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自由、事先和知情同意</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和</w:t>
      </w:r>
      <w:r w:rsidRPr="008D4352">
        <w:rPr>
          <w:rStyle w:val="FootnoteReference"/>
          <w:rFonts w:eastAsia="SimSun"/>
          <w:spacing w:val="-20"/>
          <w:sz w:val="20"/>
          <w:vertAlign w:val="baseline"/>
        </w:rPr>
        <w:t xml:space="preserve"> “</w:t>
      </w:r>
      <w:r w:rsidRPr="008D4352">
        <w:rPr>
          <w:rStyle w:val="FootnoteReference"/>
          <w:rFonts w:eastAsia="SimSun"/>
          <w:spacing w:val="-20"/>
          <w:sz w:val="20"/>
          <w:vertAlign w:val="baseline"/>
        </w:rPr>
        <w:t>批准和参与</w:t>
      </w:r>
      <w:r w:rsidRPr="008D4352">
        <w:rPr>
          <w:rStyle w:val="FootnoteReference"/>
          <w:rFonts w:eastAsia="SimSun"/>
          <w:spacing w:val="-20"/>
          <w:sz w:val="20"/>
          <w:vertAlign w:val="baseline"/>
        </w:rPr>
        <w:t>”</w:t>
      </w:r>
      <w:r w:rsidRPr="008D4352">
        <w:rPr>
          <w:rStyle w:val="FootnoteReference"/>
          <w:rFonts w:eastAsia="SimSun"/>
          <w:spacing w:val="-20"/>
          <w:sz w:val="20"/>
          <w:vertAlign w:val="baseline"/>
        </w:rPr>
        <w:t>。</w:t>
      </w:r>
    </w:p>
  </w:footnote>
  <w:footnote w:id="155">
    <w:p w14:paraId="6B140017" w14:textId="77777777" w:rsidR="005E77FA" w:rsidRPr="008D4352" w:rsidRDefault="005E77FA" w:rsidP="005E77FA">
      <w:pPr>
        <w:pStyle w:val="FootnoteText"/>
        <w:spacing w:after="60"/>
        <w:rPr>
          <w:rStyle w:val="FootnoteReference"/>
          <w:rFonts w:eastAsia="SimSun"/>
          <w:sz w:val="20"/>
        </w:rPr>
      </w:pPr>
      <w:r w:rsidRPr="008D4352">
        <w:rPr>
          <w:rStyle w:val="FootnoteReference"/>
          <w:rFonts w:eastAsia="SimSun"/>
          <w:sz w:val="20"/>
        </w:rPr>
        <w:footnoteRef/>
      </w:r>
      <w:r w:rsidRPr="008D4352">
        <w:rPr>
          <w:rStyle w:val="FootnoteReference"/>
          <w:rFonts w:eastAsia="SimSun"/>
          <w:sz w:val="20"/>
        </w:rPr>
        <w:t xml:space="preserve">  </w:t>
      </w:r>
      <w:r w:rsidRPr="008D4352">
        <w:rPr>
          <w:rStyle w:val="FootnoteReference"/>
          <w:rFonts w:eastAsia="SimSun"/>
          <w:sz w:val="20"/>
          <w:vertAlign w:val="baseline"/>
        </w:rPr>
        <w:t>联合国大会第</w:t>
      </w:r>
      <w:r w:rsidRPr="008D4352">
        <w:rPr>
          <w:rStyle w:val="FootnoteReference"/>
          <w:rFonts w:eastAsia="SimSun"/>
          <w:sz w:val="20"/>
          <w:vertAlign w:val="baseline"/>
        </w:rPr>
        <w:t>61/295</w:t>
      </w:r>
      <w:r w:rsidRPr="008D4352">
        <w:rPr>
          <w:rStyle w:val="FootnoteReference"/>
          <w:rFonts w:eastAsia="SimSun"/>
          <w:sz w:val="20"/>
          <w:vertAlign w:val="baseline"/>
        </w:rPr>
        <w:t>号决议，附件。</w:t>
      </w:r>
    </w:p>
  </w:footnote>
  <w:footnote w:id="156">
    <w:p w14:paraId="79545B07" w14:textId="77777777" w:rsidR="005E77FA" w:rsidRPr="005E77FA" w:rsidRDefault="005E77FA" w:rsidP="005E77FA">
      <w:pPr>
        <w:pStyle w:val="FootnoteText"/>
        <w:spacing w:after="60"/>
        <w:rPr>
          <w:rStyle w:val="FootnoteReference"/>
          <w:rFonts w:eastAsia="DengXian Light"/>
          <w:sz w:val="20"/>
        </w:rPr>
      </w:pPr>
      <w:r w:rsidRPr="008D4352">
        <w:rPr>
          <w:rStyle w:val="FootnoteReference"/>
          <w:rFonts w:eastAsia="SimSun"/>
          <w:sz w:val="20"/>
        </w:rPr>
        <w:footnoteRef/>
      </w:r>
      <w:r w:rsidRPr="008D4352">
        <w:rPr>
          <w:rStyle w:val="FootnoteReference"/>
          <w:rFonts w:eastAsia="SimSun"/>
          <w:sz w:val="20"/>
        </w:rPr>
        <w:t xml:space="preserve">  </w:t>
      </w:r>
      <w:r w:rsidRPr="008D4352">
        <w:rPr>
          <w:rStyle w:val="FootnoteReference"/>
          <w:rFonts w:eastAsia="SimSun"/>
          <w:sz w:val="20"/>
          <w:vertAlign w:val="baseline"/>
        </w:rPr>
        <w:t>无论相关反对意见是否撤回，都将把收到呈件并有反对意见的记录列入信息共享机制。</w:t>
      </w:r>
    </w:p>
  </w:footnote>
  <w:footnote w:id="157">
    <w:p w14:paraId="3435124E" w14:textId="77777777" w:rsidR="005E77FA" w:rsidRPr="008D4352" w:rsidRDefault="005E77FA" w:rsidP="005E77FA">
      <w:pPr>
        <w:pStyle w:val="FootnoteText"/>
        <w:spacing w:after="60"/>
        <w:rPr>
          <w:rStyle w:val="FootnoteReference"/>
          <w:rFonts w:eastAsia="SimSun"/>
          <w:sz w:val="20"/>
        </w:rPr>
      </w:pPr>
      <w:r w:rsidRPr="008D4352">
        <w:rPr>
          <w:rStyle w:val="FootnoteReference"/>
          <w:rFonts w:eastAsia="SimSun"/>
          <w:sz w:val="20"/>
        </w:rPr>
        <w:footnoteRef/>
      </w:r>
      <w:r w:rsidRPr="008D4352">
        <w:rPr>
          <w:rFonts w:eastAsia="SimSun"/>
          <w:sz w:val="20"/>
        </w:rPr>
        <w:t xml:space="preserve">  </w:t>
      </w:r>
      <w:r w:rsidRPr="008D4352">
        <w:rPr>
          <w:rFonts w:eastAsia="SimSun"/>
          <w:sz w:val="20"/>
        </w:rPr>
        <w:t>按</w:t>
      </w:r>
      <w:r w:rsidRPr="008D4352">
        <w:rPr>
          <w:rStyle w:val="FootnoteReference"/>
          <w:rFonts w:eastAsia="SimSun"/>
          <w:sz w:val="20"/>
          <w:vertAlign w:val="baseline"/>
        </w:rPr>
        <w:t>本节</w:t>
      </w:r>
      <w:r w:rsidRPr="008D4352">
        <w:rPr>
          <w:rFonts w:eastAsia="SimSun"/>
          <w:sz w:val="20"/>
        </w:rPr>
        <w:t>规定收入</w:t>
      </w:r>
      <w:r w:rsidRPr="008D4352">
        <w:rPr>
          <w:rStyle w:val="FootnoteReference"/>
          <w:rFonts w:eastAsia="SimSun"/>
          <w:sz w:val="20"/>
          <w:vertAlign w:val="baseline"/>
        </w:rPr>
        <w:t>数据存储库</w:t>
      </w:r>
      <w:r w:rsidRPr="008D4352">
        <w:rPr>
          <w:rFonts w:eastAsia="SimSun"/>
          <w:sz w:val="20"/>
        </w:rPr>
        <w:t>的呈件</w:t>
      </w:r>
      <w:r w:rsidRPr="008D4352">
        <w:rPr>
          <w:rStyle w:val="FootnoteReference"/>
          <w:rFonts w:eastAsia="SimSun"/>
          <w:sz w:val="20"/>
          <w:vertAlign w:val="baseline"/>
        </w:rPr>
        <w:t>需由缔约方大会和</w:t>
      </w:r>
      <w:r w:rsidRPr="008D4352">
        <w:rPr>
          <w:rFonts w:eastAsia="SimSun"/>
          <w:sz w:val="20"/>
        </w:rPr>
        <w:t>科学、技术和工艺咨询</w:t>
      </w:r>
      <w:r w:rsidRPr="008D4352">
        <w:rPr>
          <w:rStyle w:val="FootnoteReference"/>
          <w:rFonts w:eastAsia="SimSun"/>
          <w:sz w:val="20"/>
          <w:vertAlign w:val="baseline"/>
        </w:rPr>
        <w:t>附属机构审议。</w:t>
      </w:r>
    </w:p>
  </w:footnote>
  <w:footnote w:id="158">
    <w:p w14:paraId="730C106D" w14:textId="77777777" w:rsidR="005E77FA" w:rsidRPr="005E77FA" w:rsidRDefault="005E77FA" w:rsidP="005E77FA">
      <w:pPr>
        <w:pStyle w:val="FootnoteText"/>
        <w:spacing w:after="60"/>
        <w:rPr>
          <w:rStyle w:val="FootnoteReference"/>
          <w:rFonts w:eastAsia="SimSun"/>
          <w:sz w:val="20"/>
          <w:vertAlign w:val="baseline"/>
        </w:rPr>
      </w:pPr>
      <w:r w:rsidRPr="008D4352">
        <w:rPr>
          <w:rStyle w:val="FootnoteReference"/>
          <w:rFonts w:eastAsia="SimSun"/>
          <w:sz w:val="20"/>
        </w:rPr>
        <w:footnoteRef/>
      </w:r>
      <w:r w:rsidRPr="008D4352">
        <w:rPr>
          <w:rFonts w:eastAsia="SimSun"/>
          <w:sz w:val="20"/>
        </w:rPr>
        <w:t xml:space="preserve">  </w:t>
      </w:r>
      <w:r w:rsidRPr="008D4352">
        <w:rPr>
          <w:rStyle w:val="FootnoteReference"/>
          <w:rFonts w:eastAsia="SimSun"/>
          <w:sz w:val="20"/>
          <w:vertAlign w:val="baseline"/>
        </w:rPr>
        <w:t>为了收入数据存储库，必须使用具有重要生态或生物意义的海洋区域专用模板编制呈件，其中应包括一份地图，清楚标明修改或描述的区域。</w:t>
      </w:r>
    </w:p>
  </w:footnote>
  <w:footnote w:id="159">
    <w:p w14:paraId="30DF1A7D" w14:textId="77777777" w:rsidR="005E77FA" w:rsidRPr="00BD006D" w:rsidRDefault="005E77FA" w:rsidP="005E77FA">
      <w:pPr>
        <w:pStyle w:val="FootnoteText"/>
        <w:spacing w:after="60"/>
        <w:rPr>
          <w:rStyle w:val="FootnoteReference"/>
          <w:rFonts w:eastAsia="SimSun"/>
          <w:sz w:val="20"/>
          <w:vertAlign w:val="baseline"/>
        </w:rPr>
      </w:pPr>
      <w:r w:rsidRPr="00BD006D">
        <w:rPr>
          <w:rStyle w:val="FootnoteReference"/>
          <w:rFonts w:eastAsia="SimSun"/>
          <w:sz w:val="20"/>
        </w:rPr>
        <w:footnoteRef/>
      </w:r>
      <w:r w:rsidRPr="00BD006D">
        <w:rPr>
          <w:rStyle w:val="FootnoteReference"/>
          <w:rFonts w:eastAsia="SimSun"/>
          <w:sz w:val="20"/>
        </w:rPr>
        <w:t xml:space="preserve"> </w:t>
      </w:r>
      <w:r w:rsidRPr="00BD006D">
        <w:rPr>
          <w:rStyle w:val="FootnoteReference"/>
          <w:rFonts w:eastAsia="SimSun"/>
          <w:sz w:val="20"/>
          <w:vertAlign w:val="baseline"/>
        </w:rPr>
        <w:t xml:space="preserve"> </w:t>
      </w:r>
      <w:r w:rsidRPr="00BD006D">
        <w:rPr>
          <w:rStyle w:val="FootnoteReference"/>
          <w:rFonts w:eastAsia="SimSun"/>
          <w:sz w:val="20"/>
          <w:vertAlign w:val="baseline"/>
        </w:rPr>
        <w:t>第</w:t>
      </w:r>
      <w:hyperlink r:id="rId68" w:history="1">
        <w:r w:rsidRPr="00BD006D">
          <w:rPr>
            <w:rStyle w:val="Hyperlink"/>
            <w:rFonts w:eastAsia="SimSun"/>
            <w:sz w:val="20"/>
          </w:rPr>
          <w:t>XIII/18</w:t>
        </w:r>
      </w:hyperlink>
      <w:r w:rsidRPr="00BD006D">
        <w:rPr>
          <w:rStyle w:val="FootnoteReference"/>
          <w:rFonts w:eastAsia="SimSun"/>
          <w:sz w:val="20"/>
          <w:vertAlign w:val="baseline"/>
        </w:rPr>
        <w:t>号决定，附件。</w:t>
      </w:r>
    </w:p>
  </w:footnote>
  <w:footnote w:id="160">
    <w:p w14:paraId="7A07EEAB" w14:textId="77777777" w:rsidR="005E77FA" w:rsidRPr="00BD006D" w:rsidRDefault="005E77FA" w:rsidP="005E77FA">
      <w:pPr>
        <w:pStyle w:val="FootnoteText"/>
        <w:spacing w:after="60"/>
        <w:rPr>
          <w:rStyle w:val="FootnoteReference"/>
          <w:rFonts w:eastAsia="SimSun"/>
          <w:sz w:val="20"/>
          <w:vertAlign w:val="baseline"/>
        </w:rPr>
      </w:pPr>
      <w:r w:rsidRPr="00BD006D">
        <w:rPr>
          <w:rStyle w:val="FootnoteReference"/>
          <w:rFonts w:eastAsia="SimSun"/>
          <w:sz w:val="20"/>
        </w:rPr>
        <w:footnoteRef/>
      </w:r>
      <w:r w:rsidRPr="00BD006D">
        <w:rPr>
          <w:rStyle w:val="FootnoteReference"/>
          <w:rFonts w:eastAsia="SimSun"/>
          <w:sz w:val="20"/>
          <w:vertAlign w:val="baseline"/>
        </w:rPr>
        <w:t xml:space="preserve">  </w:t>
      </w:r>
      <w:r w:rsidRPr="00BD006D">
        <w:rPr>
          <w:rFonts w:eastAsia="SimSun"/>
          <w:sz w:val="20"/>
        </w:rPr>
        <w:t>按</w:t>
      </w:r>
      <w:r w:rsidRPr="00BD006D">
        <w:rPr>
          <w:rStyle w:val="FootnoteReference"/>
          <w:rFonts w:eastAsia="SimSun"/>
          <w:sz w:val="20"/>
          <w:vertAlign w:val="baseline"/>
        </w:rPr>
        <w:t>本节</w:t>
      </w:r>
      <w:r w:rsidRPr="00BD006D">
        <w:rPr>
          <w:rFonts w:eastAsia="SimSun"/>
          <w:sz w:val="20"/>
        </w:rPr>
        <w:t>规定</w:t>
      </w:r>
      <w:r w:rsidRPr="00BD006D">
        <w:rPr>
          <w:rStyle w:val="FootnoteReference"/>
          <w:rFonts w:eastAsia="SimSun"/>
          <w:sz w:val="20"/>
          <w:vertAlign w:val="baseline"/>
        </w:rPr>
        <w:t>收入</w:t>
      </w:r>
      <w:r w:rsidRPr="00BD006D">
        <w:rPr>
          <w:rFonts w:eastAsia="SimSun"/>
          <w:sz w:val="20"/>
        </w:rPr>
        <w:t>的呈件</w:t>
      </w:r>
      <w:r w:rsidRPr="00BD006D">
        <w:rPr>
          <w:rStyle w:val="FootnoteReference"/>
          <w:rFonts w:eastAsia="SimSun"/>
          <w:sz w:val="20"/>
          <w:vertAlign w:val="baseline"/>
        </w:rPr>
        <w:t>不需缔约方大会或</w:t>
      </w:r>
      <w:r w:rsidRPr="00BD006D">
        <w:rPr>
          <w:rFonts w:eastAsia="SimSun"/>
          <w:sz w:val="20"/>
        </w:rPr>
        <w:t>科学、技术和工艺咨询</w:t>
      </w:r>
      <w:r w:rsidRPr="00BD006D">
        <w:rPr>
          <w:rStyle w:val="FootnoteReference"/>
          <w:rFonts w:eastAsia="SimSun"/>
          <w:sz w:val="20"/>
          <w:vertAlign w:val="baseline"/>
        </w:rPr>
        <w:t>附属机构审议，</w:t>
      </w:r>
      <w:r w:rsidRPr="00BD006D">
        <w:rPr>
          <w:rFonts w:eastAsia="SimSun"/>
          <w:sz w:val="20"/>
        </w:rPr>
        <w:t>因此</w:t>
      </w:r>
      <w:r w:rsidRPr="00BD006D">
        <w:rPr>
          <w:rStyle w:val="FootnoteReference"/>
          <w:rFonts w:eastAsia="SimSun"/>
          <w:sz w:val="20"/>
          <w:vertAlign w:val="baseline"/>
        </w:rPr>
        <w:t>不适用于</w:t>
      </w:r>
      <w:r w:rsidRPr="00BD006D">
        <w:rPr>
          <w:rFonts w:eastAsia="SimSun"/>
          <w:sz w:val="20"/>
        </w:rPr>
        <w:t>收入</w:t>
      </w:r>
      <w:r w:rsidRPr="00BD006D">
        <w:rPr>
          <w:rStyle w:val="FootnoteReference"/>
          <w:rFonts w:eastAsia="SimSun"/>
          <w:sz w:val="20"/>
          <w:vertAlign w:val="baseline"/>
        </w:rPr>
        <w:t>数据存储库</w:t>
      </w:r>
      <w:r w:rsidRPr="00BD006D">
        <w:rPr>
          <w:rFonts w:eastAsia="SimSun"/>
          <w:sz w:val="20"/>
        </w:rPr>
        <w:t>的</w:t>
      </w:r>
      <w:r w:rsidRPr="00BD006D">
        <w:rPr>
          <w:rStyle w:val="FootnoteReference"/>
          <w:rFonts w:eastAsia="SimSun"/>
          <w:sz w:val="20"/>
          <w:vertAlign w:val="baseline"/>
        </w:rPr>
        <w:t>经缔约方大会审议和认可的对具有重要生态或生物意义的海洋区域的描述。</w:t>
      </w:r>
    </w:p>
  </w:footnote>
  <w:footnote w:id="161">
    <w:p w14:paraId="1D5C1E58" w14:textId="77777777" w:rsidR="005E77FA" w:rsidRPr="00FB4E1E" w:rsidRDefault="005E77FA" w:rsidP="005E77FA">
      <w:pPr>
        <w:pStyle w:val="FootnoteText"/>
        <w:spacing w:after="60"/>
        <w:rPr>
          <w:rStyle w:val="FootnoteReference"/>
          <w:sz w:val="20"/>
        </w:rPr>
      </w:pPr>
      <w:r w:rsidRPr="00BD006D">
        <w:rPr>
          <w:rStyle w:val="FootnoteReference"/>
          <w:rFonts w:eastAsia="SimSun"/>
          <w:sz w:val="20"/>
        </w:rPr>
        <w:footnoteRef/>
      </w:r>
      <w:r w:rsidRPr="00BD006D">
        <w:rPr>
          <w:rStyle w:val="FootnoteReference"/>
          <w:rFonts w:eastAsia="SimSun"/>
          <w:sz w:val="20"/>
          <w:vertAlign w:val="baseline"/>
        </w:rPr>
        <w:t xml:space="preserve">  </w:t>
      </w:r>
      <w:r w:rsidRPr="00BD006D">
        <w:rPr>
          <w:rStyle w:val="FootnoteReference"/>
          <w:rFonts w:eastAsia="SimSun"/>
          <w:sz w:val="20"/>
          <w:vertAlign w:val="baseline"/>
        </w:rPr>
        <w:t>为了收入信息共享机制，呈件必须包括地理坐标和一份地图，清楚标明修改或描述的区域。</w:t>
      </w:r>
    </w:p>
  </w:footnote>
  <w:footnote w:id="162">
    <w:p w14:paraId="7204D222" w14:textId="77777777" w:rsidR="005E77FA" w:rsidRPr="003E6A36" w:rsidRDefault="005E77FA" w:rsidP="005E77FA">
      <w:pPr>
        <w:pStyle w:val="FootnoteText"/>
        <w:spacing w:after="60"/>
        <w:rPr>
          <w:rStyle w:val="FootnoteReference"/>
          <w:rFonts w:eastAsia="SimSun"/>
          <w:vertAlign w:val="baseline"/>
        </w:rPr>
      </w:pPr>
      <w:r w:rsidRPr="003E6A36">
        <w:rPr>
          <w:rStyle w:val="FootnoteReference"/>
          <w:rFonts w:eastAsia="SimSun"/>
          <w:sz w:val="20"/>
        </w:rPr>
        <w:footnoteRef/>
      </w:r>
      <w:r w:rsidRPr="003E6A36">
        <w:rPr>
          <w:rStyle w:val="FootnoteReference"/>
          <w:rFonts w:eastAsia="SimSun"/>
          <w:sz w:val="20"/>
          <w:vertAlign w:val="baseline"/>
        </w:rPr>
        <w:t xml:space="preserve">  </w:t>
      </w:r>
      <w:r w:rsidRPr="003E6A36">
        <w:rPr>
          <w:rStyle w:val="FootnoteReference"/>
          <w:rFonts w:eastAsia="SimSun"/>
          <w:sz w:val="20"/>
          <w:vertAlign w:val="baseline"/>
        </w:rPr>
        <w:t>为了收入数据存储库，必须使用具有重要生态或生物意义的海洋区域专用模板编写呈件，其中应包括地理坐标和一份地图，清楚标明修改或描述的区域。</w:t>
      </w:r>
    </w:p>
  </w:footnote>
  <w:footnote w:id="163">
    <w:p w14:paraId="3DFE5D16" w14:textId="77777777" w:rsidR="005E77FA" w:rsidRPr="005E77FA" w:rsidRDefault="005E77FA" w:rsidP="005E77FA">
      <w:pPr>
        <w:pStyle w:val="FootnoteText"/>
        <w:spacing w:after="60"/>
        <w:rPr>
          <w:rStyle w:val="FootnoteReference"/>
          <w:rFonts w:eastAsia="SimSun"/>
          <w:sz w:val="20"/>
          <w:vertAlign w:val="baseline"/>
        </w:rPr>
      </w:pPr>
      <w:r w:rsidRPr="003E6A36">
        <w:rPr>
          <w:rStyle w:val="FootnoteReference"/>
          <w:rFonts w:eastAsia="SimSun"/>
          <w:sz w:val="20"/>
        </w:rPr>
        <w:footnoteRef/>
      </w:r>
      <w:r w:rsidRPr="003E6A36">
        <w:rPr>
          <w:rStyle w:val="FootnoteReference"/>
          <w:rFonts w:eastAsia="SimSun"/>
          <w:sz w:val="20"/>
        </w:rPr>
        <w:t xml:space="preserve"> </w:t>
      </w:r>
      <w:r w:rsidRPr="003E6A36">
        <w:rPr>
          <w:rStyle w:val="FootnoteReference"/>
          <w:rFonts w:eastAsia="SimSun"/>
          <w:sz w:val="20"/>
          <w:vertAlign w:val="baseline"/>
        </w:rPr>
        <w:t xml:space="preserve"> </w:t>
      </w:r>
      <w:r w:rsidRPr="003E6A36">
        <w:rPr>
          <w:rFonts w:eastAsia="SimSun"/>
          <w:sz w:val="20"/>
        </w:rPr>
        <w:t>更正</w:t>
      </w:r>
      <w:r w:rsidRPr="003E6A36">
        <w:rPr>
          <w:rStyle w:val="FootnoteReference"/>
          <w:rFonts w:eastAsia="SimSun"/>
          <w:sz w:val="20"/>
          <w:vertAlign w:val="baseline"/>
        </w:rPr>
        <w:t>国家管辖范围内</w:t>
      </w:r>
      <w:r w:rsidRPr="003E6A36">
        <w:rPr>
          <w:rFonts w:eastAsia="SimSun"/>
          <w:sz w:val="20"/>
        </w:rPr>
        <w:t>的区域描述中的</w:t>
      </w:r>
      <w:r w:rsidRPr="003E6A36">
        <w:rPr>
          <w:rStyle w:val="FootnoteReference"/>
          <w:rFonts w:eastAsia="SimSun"/>
          <w:sz w:val="20"/>
          <w:vertAlign w:val="baseline"/>
        </w:rPr>
        <w:t>编辑错误</w:t>
      </w:r>
      <w:r w:rsidRPr="003E6A36">
        <w:rPr>
          <w:rFonts w:eastAsia="SimSun"/>
          <w:sz w:val="20"/>
        </w:rPr>
        <w:t>时</w:t>
      </w:r>
      <w:r w:rsidRPr="003E6A36">
        <w:rPr>
          <w:rStyle w:val="FootnoteReference"/>
          <w:rFonts w:eastAsia="SimSun"/>
          <w:sz w:val="20"/>
          <w:vertAlign w:val="baseline"/>
        </w:rPr>
        <w:t>，秘书处应与</w:t>
      </w:r>
      <w:r w:rsidRPr="003E6A36">
        <w:rPr>
          <w:rFonts w:eastAsia="SimSun"/>
          <w:sz w:val="20"/>
        </w:rPr>
        <w:t>更正所涉的</w:t>
      </w:r>
      <w:r w:rsidRPr="003E6A36">
        <w:rPr>
          <w:rStyle w:val="FootnoteReference"/>
          <w:rFonts w:eastAsia="SimSun"/>
          <w:sz w:val="20"/>
          <w:vertAlign w:val="baseline"/>
        </w:rPr>
        <w:t>管辖国协商。</w:t>
      </w:r>
    </w:p>
  </w:footnote>
  <w:footnote w:id="164">
    <w:p w14:paraId="01496CA2"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lang w:val="zh-CN"/>
        </w:rPr>
        <w:t>第</w:t>
      </w:r>
      <w:hyperlink r:id="rId69" w:history="1">
        <w:r w:rsidRPr="00022845">
          <w:rPr>
            <w:rStyle w:val="Hyperlink"/>
            <w:rFonts w:eastAsia="SimSun"/>
            <w:sz w:val="20"/>
          </w:rPr>
          <w:t>15/4</w:t>
        </w:r>
      </w:hyperlink>
      <w:r w:rsidRPr="00022845">
        <w:rPr>
          <w:rFonts w:eastAsia="SimSun"/>
          <w:sz w:val="20"/>
          <w:lang w:val="zh-CN"/>
        </w:rPr>
        <w:t>号决定附件。</w:t>
      </w:r>
    </w:p>
  </w:footnote>
  <w:footnote w:id="165">
    <w:p w14:paraId="78D9235E"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lang w:val="zh-CN"/>
        </w:rPr>
        <w:t>联合国，《条约汇编》，第</w:t>
      </w:r>
      <w:r w:rsidRPr="00022845">
        <w:rPr>
          <w:rFonts w:eastAsia="SimSun"/>
          <w:sz w:val="20"/>
          <w:lang w:val="zh-CN"/>
        </w:rPr>
        <w:t>1760</w:t>
      </w:r>
      <w:r w:rsidRPr="00022845">
        <w:rPr>
          <w:rFonts w:eastAsia="SimSun"/>
          <w:sz w:val="20"/>
          <w:lang w:val="zh-CN"/>
        </w:rPr>
        <w:t>卷，第</w:t>
      </w:r>
      <w:r w:rsidRPr="00022845">
        <w:rPr>
          <w:rFonts w:eastAsia="SimSun"/>
          <w:sz w:val="20"/>
          <w:lang w:val="zh-CN"/>
        </w:rPr>
        <w:t>30619</w:t>
      </w:r>
      <w:r w:rsidRPr="00022845">
        <w:rPr>
          <w:rFonts w:eastAsia="SimSun"/>
          <w:sz w:val="20"/>
          <w:lang w:val="zh-CN"/>
        </w:rPr>
        <w:t>号。</w:t>
      </w:r>
    </w:p>
  </w:footnote>
  <w:footnote w:id="166">
    <w:p w14:paraId="3D2EC6E9"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lang w:val="zh-CN"/>
        </w:rPr>
        <w:t>同上，第</w:t>
      </w:r>
      <w:r w:rsidRPr="00022845">
        <w:rPr>
          <w:rFonts w:eastAsia="SimSun"/>
          <w:sz w:val="20"/>
          <w:lang w:val="zh-CN"/>
        </w:rPr>
        <w:t>1833</w:t>
      </w:r>
      <w:r w:rsidRPr="00022845">
        <w:rPr>
          <w:rFonts w:eastAsia="SimSun"/>
          <w:sz w:val="20"/>
          <w:lang w:val="zh-CN"/>
        </w:rPr>
        <w:t>卷，第</w:t>
      </w:r>
      <w:r w:rsidRPr="00022845">
        <w:rPr>
          <w:rFonts w:eastAsia="SimSun"/>
          <w:sz w:val="20"/>
          <w:lang w:val="zh-CN"/>
        </w:rPr>
        <w:t>31363</w:t>
      </w:r>
      <w:r w:rsidRPr="00022845">
        <w:rPr>
          <w:rFonts w:eastAsia="SimSun"/>
          <w:sz w:val="20"/>
          <w:lang w:val="zh-CN"/>
        </w:rPr>
        <w:t>号。</w:t>
      </w:r>
    </w:p>
  </w:footnote>
  <w:footnote w:id="167">
    <w:p w14:paraId="46919E1A"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土耳其不是《联合国海洋法公约》的缔约国，申明与提及《公约》无关。土耳其参加生物多样性公约缔约方大会第十六届会议议程项目</w:t>
      </w:r>
      <w:r w:rsidRPr="00022845">
        <w:rPr>
          <w:rFonts w:eastAsia="SimSun"/>
          <w:sz w:val="20"/>
        </w:rPr>
        <w:t>20</w:t>
      </w:r>
      <w:r w:rsidRPr="00022845">
        <w:rPr>
          <w:rFonts w:eastAsia="SimSun"/>
          <w:sz w:val="20"/>
        </w:rPr>
        <w:t>下的讨论不应被视为其对该文书的众所周知的法律立场有所改变。</w:t>
      </w:r>
    </w:p>
  </w:footnote>
  <w:footnote w:id="168">
    <w:p w14:paraId="5B6B33E5"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委内瑞拉玻利瓦尔共和国认为《联合国海洋法公约》不是关于海洋活动的唯一法律文书，因此不同意提及这一国际文书，委内瑞拉玻利瓦尔共和国参加议程项目</w:t>
      </w:r>
      <w:r w:rsidRPr="00022845">
        <w:rPr>
          <w:rFonts w:eastAsia="SimSun"/>
          <w:sz w:val="20"/>
        </w:rPr>
        <w:t>20</w:t>
      </w:r>
      <w:r w:rsidRPr="00022845">
        <w:rPr>
          <w:rFonts w:eastAsia="SimSun"/>
          <w:sz w:val="20"/>
        </w:rPr>
        <w:t>下的讨论不应被视为对该文书的国家立场有所改变。</w:t>
      </w:r>
    </w:p>
  </w:footnote>
  <w:footnote w:id="169">
    <w:p w14:paraId="3AB2B9F9"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哥伦比亚重申《联合国海洋法公约》不是关于海洋中进行的所有法律活动的唯一法律文书。哥伦比亚参加缔约方大会第十六届会议议程项目</w:t>
      </w:r>
      <w:r w:rsidRPr="00022845">
        <w:rPr>
          <w:rFonts w:eastAsia="SimSun"/>
          <w:sz w:val="20"/>
        </w:rPr>
        <w:t>20</w:t>
      </w:r>
      <w:r w:rsidRPr="00022845">
        <w:rPr>
          <w:rFonts w:eastAsia="SimSun"/>
          <w:sz w:val="20"/>
        </w:rPr>
        <w:t>下的讨论不影响其地位或权利，也不应被解释为默认或明示接受《联合国海洋法公约》的条款，因为哥伦比亚不是该文书的缔约国。</w:t>
      </w:r>
    </w:p>
  </w:footnote>
  <w:footnote w:id="170">
    <w:p w14:paraId="759560DE"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萨尔瓦多不是《联合国海洋法公约》的缔约国。因此萨尔瓦多重申，正如萨尔瓦多在其他国际论坛上所重申的，萨尔瓦多参与解决缔约方大会第十六届会议期间提出的一些问题并不在任何情况下以任何方式影响</w:t>
      </w:r>
      <w:bookmarkStart w:id="67" w:name="_Hlk193874253"/>
      <w:r w:rsidRPr="00022845">
        <w:rPr>
          <w:rFonts w:eastAsia="SimSun"/>
          <w:sz w:val="20"/>
        </w:rPr>
        <w:t>萨尔瓦多对上述国际文书或其可能产生的权利或义务的法律地位</w:t>
      </w:r>
      <w:bookmarkEnd w:id="67"/>
      <w:r w:rsidRPr="00022845">
        <w:rPr>
          <w:rFonts w:eastAsia="SimSun"/>
          <w:sz w:val="20"/>
        </w:rPr>
        <w:t>。同样，萨尔瓦多借此机会表示，上述《公约》不具有普遍性，</w:t>
      </w:r>
      <w:bookmarkStart w:id="68" w:name="_Hlk193873430"/>
      <w:r w:rsidRPr="00022845">
        <w:rPr>
          <w:rFonts w:eastAsia="SimSun"/>
          <w:sz w:val="20"/>
        </w:rPr>
        <w:t>因为还有其他国际文书也与海洋中发生的各种活动</w:t>
      </w:r>
      <w:bookmarkEnd w:id="68"/>
      <w:r w:rsidRPr="00022845">
        <w:rPr>
          <w:rFonts w:eastAsia="SimSun"/>
          <w:sz w:val="20"/>
        </w:rPr>
        <w:t>相关。</w:t>
      </w:r>
    </w:p>
  </w:footnote>
  <w:footnote w:id="171">
    <w:p w14:paraId="7EB21590"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联合国大会第</w:t>
      </w:r>
      <w:r w:rsidRPr="00022845">
        <w:rPr>
          <w:rFonts w:eastAsia="SimSun"/>
          <w:sz w:val="20"/>
        </w:rPr>
        <w:t>61/295</w:t>
      </w:r>
      <w:r w:rsidRPr="00022845">
        <w:rPr>
          <w:rFonts w:eastAsia="SimSun"/>
          <w:sz w:val="20"/>
        </w:rPr>
        <w:t>号决议附件。</w:t>
      </w:r>
    </w:p>
  </w:footnote>
  <w:footnote w:id="172">
    <w:p w14:paraId="10F22B54" w14:textId="77777777" w:rsidR="005E77FA" w:rsidRPr="00D672C0" w:rsidRDefault="005E77FA" w:rsidP="005E77FA">
      <w:pPr>
        <w:pStyle w:val="FootnoteText"/>
        <w:spacing w:after="60"/>
        <w:rPr>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w:t>
      </w:r>
      <w:r w:rsidRPr="00022845">
        <w:rPr>
          <w:rFonts w:eastAsia="SimSun"/>
          <w:sz w:val="20"/>
          <w:lang w:val="zh-CN"/>
        </w:rPr>
        <w:t>关于环境与发展的里约宣言》原则</w:t>
      </w:r>
      <w:r w:rsidRPr="00022845">
        <w:rPr>
          <w:rFonts w:eastAsia="SimSun"/>
          <w:sz w:val="20"/>
          <w:lang w:val="zh-CN"/>
        </w:rPr>
        <w:t>15</w:t>
      </w:r>
      <w:r w:rsidRPr="00022845">
        <w:rPr>
          <w:rFonts w:eastAsia="SimSun"/>
          <w:sz w:val="20"/>
        </w:rPr>
        <w:t>。</w:t>
      </w:r>
    </w:p>
  </w:footnote>
  <w:footnote w:id="173">
    <w:p w14:paraId="3574EC4A"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BD006D">
        <w:rPr>
          <w:rFonts w:eastAsia="SimSun"/>
          <w:spacing w:val="-20"/>
          <w:sz w:val="20"/>
          <w:lang w:val="zh-CN"/>
        </w:rPr>
        <w:t>“</w:t>
      </w:r>
      <w:r w:rsidRPr="00BD006D">
        <w:rPr>
          <w:rFonts w:eastAsia="SimSun"/>
          <w:spacing w:val="-20"/>
          <w:sz w:val="20"/>
          <w:lang w:val="zh-CN"/>
        </w:rPr>
        <w:t>自由、事先和知情同意</w:t>
      </w:r>
      <w:r w:rsidRPr="00BD006D">
        <w:rPr>
          <w:rFonts w:eastAsia="SimSun"/>
          <w:spacing w:val="-20"/>
          <w:sz w:val="20"/>
          <w:lang w:val="zh-CN"/>
        </w:rPr>
        <w:t>”</w:t>
      </w:r>
      <w:r w:rsidRPr="00BD006D">
        <w:rPr>
          <w:rFonts w:eastAsia="SimSun"/>
          <w:spacing w:val="-20"/>
          <w:sz w:val="20"/>
          <w:lang w:val="zh-CN"/>
        </w:rPr>
        <w:t>指三种表述，即</w:t>
      </w:r>
      <w:r w:rsidRPr="00BD006D">
        <w:rPr>
          <w:rFonts w:eastAsia="SimSun"/>
          <w:spacing w:val="-20"/>
          <w:sz w:val="20"/>
          <w:lang w:val="zh-CN"/>
        </w:rPr>
        <w:t>“</w:t>
      </w:r>
      <w:r w:rsidRPr="00BD006D">
        <w:rPr>
          <w:rFonts w:eastAsia="SimSun"/>
          <w:spacing w:val="-20"/>
          <w:sz w:val="20"/>
          <w:lang w:val="zh-CN"/>
        </w:rPr>
        <w:t>事先和知情同意</w:t>
      </w:r>
      <w:r w:rsidRPr="00BD006D">
        <w:rPr>
          <w:rFonts w:eastAsia="SimSun"/>
          <w:spacing w:val="-20"/>
          <w:sz w:val="20"/>
          <w:lang w:val="zh-CN"/>
        </w:rPr>
        <w:t>”</w:t>
      </w:r>
      <w:r w:rsidRPr="00BD006D">
        <w:rPr>
          <w:rFonts w:eastAsia="SimSun"/>
          <w:spacing w:val="-20"/>
          <w:sz w:val="20"/>
          <w:lang w:val="zh-CN"/>
        </w:rPr>
        <w:t>、</w:t>
      </w:r>
      <w:r w:rsidRPr="00BD006D">
        <w:rPr>
          <w:rFonts w:eastAsia="SimSun"/>
          <w:spacing w:val="-20"/>
          <w:sz w:val="20"/>
          <w:lang w:val="zh-CN"/>
        </w:rPr>
        <w:t>“</w:t>
      </w:r>
      <w:r w:rsidRPr="00BD006D">
        <w:rPr>
          <w:rFonts w:eastAsia="SimSun"/>
          <w:spacing w:val="-20"/>
          <w:sz w:val="20"/>
          <w:lang w:val="zh-CN"/>
        </w:rPr>
        <w:t>自由、事先和知情同意</w:t>
      </w:r>
      <w:r w:rsidRPr="00BD006D">
        <w:rPr>
          <w:rFonts w:eastAsia="SimSun"/>
          <w:spacing w:val="-20"/>
          <w:sz w:val="20"/>
          <w:lang w:val="zh-CN"/>
        </w:rPr>
        <w:t>”</w:t>
      </w:r>
      <w:r w:rsidRPr="00BD006D">
        <w:rPr>
          <w:rFonts w:eastAsia="SimSun"/>
          <w:spacing w:val="-20"/>
          <w:sz w:val="20"/>
          <w:lang w:val="zh-CN"/>
        </w:rPr>
        <w:t>和</w:t>
      </w:r>
      <w:r w:rsidRPr="00BD006D">
        <w:rPr>
          <w:rFonts w:eastAsia="SimSun"/>
          <w:spacing w:val="-20"/>
          <w:sz w:val="20"/>
          <w:lang w:val="zh-CN"/>
        </w:rPr>
        <w:t>“</w:t>
      </w:r>
      <w:r w:rsidRPr="00BD006D">
        <w:rPr>
          <w:rFonts w:eastAsia="SimSun"/>
          <w:spacing w:val="-20"/>
          <w:sz w:val="20"/>
          <w:lang w:val="zh-CN"/>
        </w:rPr>
        <w:t>批准和参与</w:t>
      </w:r>
      <w:r w:rsidRPr="00BD006D">
        <w:rPr>
          <w:rFonts w:eastAsia="SimSun"/>
          <w:spacing w:val="-20"/>
          <w:sz w:val="20"/>
          <w:lang w:val="zh-CN"/>
        </w:rPr>
        <w:t>”</w:t>
      </w:r>
      <w:r w:rsidRPr="00BD006D">
        <w:rPr>
          <w:rFonts w:eastAsia="SimSun"/>
          <w:spacing w:val="-20"/>
          <w:sz w:val="20"/>
          <w:lang w:val="zh-CN"/>
        </w:rPr>
        <w:t>。</w:t>
      </w:r>
    </w:p>
  </w:footnote>
  <w:footnote w:id="174">
    <w:p w14:paraId="6199A441"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联合国大会第</w:t>
      </w:r>
      <w:r w:rsidRPr="00022845">
        <w:rPr>
          <w:rFonts w:eastAsia="SimSun"/>
          <w:sz w:val="20"/>
        </w:rPr>
        <w:t>70/1</w:t>
      </w:r>
      <w:r w:rsidRPr="00022845">
        <w:rPr>
          <w:rFonts w:eastAsia="SimSun"/>
          <w:sz w:val="20"/>
        </w:rPr>
        <w:t>号决议。</w:t>
      </w:r>
    </w:p>
  </w:footnote>
  <w:footnote w:id="175">
    <w:p w14:paraId="5E3F357E"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第</w:t>
      </w:r>
      <w:hyperlink r:id="rId70" w:history="1">
        <w:r w:rsidRPr="00022845">
          <w:rPr>
            <w:rStyle w:val="Hyperlink"/>
            <w:rFonts w:eastAsia="SimSun"/>
            <w:sz w:val="20"/>
          </w:rPr>
          <w:t>IV/5</w:t>
        </w:r>
      </w:hyperlink>
      <w:r w:rsidRPr="00022845">
        <w:rPr>
          <w:rFonts w:eastAsia="SimSun"/>
          <w:sz w:val="20"/>
        </w:rPr>
        <w:t>号决定，附件；第</w:t>
      </w:r>
      <w:hyperlink r:id="rId71" w:history="1">
        <w:r w:rsidRPr="00022845">
          <w:rPr>
            <w:rStyle w:val="Hyperlink"/>
            <w:rFonts w:eastAsia="SimSun"/>
            <w:sz w:val="20"/>
          </w:rPr>
          <w:t>VII/5</w:t>
        </w:r>
      </w:hyperlink>
      <w:r w:rsidRPr="00022845">
        <w:rPr>
          <w:rFonts w:eastAsia="SimSun"/>
          <w:sz w:val="20"/>
        </w:rPr>
        <w:t>号决定，附件一。</w:t>
      </w:r>
    </w:p>
  </w:footnote>
  <w:footnote w:id="176">
    <w:p w14:paraId="39F4017C" w14:textId="77777777" w:rsidR="005E77FA" w:rsidRPr="00022845" w:rsidRDefault="005E77FA" w:rsidP="005E77FA">
      <w:pPr>
        <w:pStyle w:val="FootnoteText"/>
        <w:spacing w:after="60"/>
        <w:rPr>
          <w:rFonts w:eastAsia="SimSun"/>
          <w:sz w:val="20"/>
        </w:rPr>
      </w:pPr>
      <w:r w:rsidRPr="00022845">
        <w:rPr>
          <w:rStyle w:val="FootnoteReference"/>
          <w:rFonts w:eastAsia="SimSun"/>
          <w:sz w:val="20"/>
        </w:rPr>
        <w:footnoteRef/>
      </w:r>
      <w:r w:rsidRPr="00022845">
        <w:rPr>
          <w:rFonts w:eastAsia="SimSun"/>
          <w:sz w:val="20"/>
        </w:rPr>
        <w:t xml:space="preserve">  </w:t>
      </w:r>
      <w:r w:rsidRPr="00022845">
        <w:rPr>
          <w:rFonts w:eastAsia="SimSun"/>
          <w:sz w:val="20"/>
        </w:rPr>
        <w:t>第</w:t>
      </w:r>
      <w:hyperlink r:id="rId72" w:history="1">
        <w:r w:rsidRPr="00022845">
          <w:rPr>
            <w:rStyle w:val="Hyperlink"/>
            <w:rFonts w:eastAsia="SimSun"/>
            <w:sz w:val="20"/>
          </w:rPr>
          <w:t>VIII/1</w:t>
        </w:r>
      </w:hyperlink>
      <w:r w:rsidRPr="00022845">
        <w:rPr>
          <w:rFonts w:eastAsia="SimSun"/>
          <w:sz w:val="20"/>
        </w:rPr>
        <w:t>号决定，附件。</w:t>
      </w:r>
    </w:p>
  </w:footnote>
  <w:footnote w:id="177">
    <w:p w14:paraId="60E9BC4D" w14:textId="77777777" w:rsidR="005E77FA" w:rsidRDefault="005E77FA" w:rsidP="005E77FA">
      <w:pPr>
        <w:pStyle w:val="FootnoteText"/>
        <w:spacing w:after="60"/>
      </w:pPr>
      <w:r w:rsidRPr="00022845">
        <w:rPr>
          <w:rStyle w:val="FootnoteReference"/>
          <w:rFonts w:eastAsia="SimSun"/>
          <w:sz w:val="20"/>
        </w:rPr>
        <w:footnoteRef/>
      </w:r>
      <w:r w:rsidRPr="00022845">
        <w:rPr>
          <w:rFonts w:eastAsia="SimSun"/>
          <w:sz w:val="20"/>
        </w:rPr>
        <w:t xml:space="preserve">  A/CONF.232/2023/4</w:t>
      </w:r>
      <w:r w:rsidRPr="00022845">
        <w:rPr>
          <w:rFonts w:eastAsia="SimSun"/>
          <w:sz w:val="20"/>
          <w:lang w:val="zh-CN"/>
        </w:rPr>
        <w:t>。</w:t>
      </w:r>
    </w:p>
  </w:footnote>
  <w:footnote w:id="178">
    <w:p w14:paraId="01E9B00A" w14:textId="77777777" w:rsidR="005E77FA" w:rsidRPr="00517777" w:rsidRDefault="005E77FA" w:rsidP="005E77FA">
      <w:pPr>
        <w:pStyle w:val="FootnoteText"/>
        <w:spacing w:after="60"/>
        <w:rPr>
          <w:sz w:val="20"/>
        </w:rPr>
      </w:pPr>
      <w:r w:rsidRPr="00517777">
        <w:rPr>
          <w:rStyle w:val="FootnoteReference"/>
          <w:sz w:val="20"/>
        </w:rPr>
        <w:footnoteRef/>
      </w:r>
      <w:r w:rsidRPr="00517777">
        <w:rPr>
          <w:sz w:val="20"/>
        </w:rPr>
        <w:t xml:space="preserve"> </w:t>
      </w:r>
      <w:r w:rsidRPr="00517777">
        <w:rPr>
          <w:rFonts w:hint="eastAsia"/>
          <w:sz w:val="20"/>
        </w:rPr>
        <w:t xml:space="preserve"> </w:t>
      </w:r>
      <w:r w:rsidRPr="009A4B30">
        <w:rPr>
          <w:rFonts w:eastAsia="SimSun"/>
          <w:sz w:val="20"/>
        </w:rPr>
        <w:t>国际海事组织，</w:t>
      </w:r>
      <w:r w:rsidRPr="009A4B30">
        <w:rPr>
          <w:rFonts w:eastAsia="SimSun"/>
          <w:sz w:val="20"/>
        </w:rPr>
        <w:t>BWM/CONF/36</w:t>
      </w:r>
      <w:r w:rsidRPr="009A4B30">
        <w:rPr>
          <w:rFonts w:eastAsia="SimSun"/>
          <w:sz w:val="20"/>
        </w:rPr>
        <w:t>号文件，附件。</w:t>
      </w:r>
    </w:p>
  </w:footnote>
  <w:footnote w:id="179">
    <w:p w14:paraId="7D132FD8" w14:textId="77777777" w:rsidR="005E77FA" w:rsidRPr="009A4B30" w:rsidRDefault="005E77FA" w:rsidP="005E77FA">
      <w:pPr>
        <w:pStyle w:val="FootnoteText"/>
        <w:spacing w:after="60"/>
        <w:rPr>
          <w:rFonts w:eastAsia="SimSun"/>
          <w:sz w:val="20"/>
        </w:rPr>
      </w:pPr>
      <w:r w:rsidRPr="009A4B30">
        <w:rPr>
          <w:rStyle w:val="FootnoteReference"/>
          <w:rFonts w:eastAsia="SimSun"/>
          <w:sz w:val="20"/>
        </w:rPr>
        <w:footnoteRef/>
      </w:r>
      <w:r w:rsidRPr="009A4B30">
        <w:rPr>
          <w:rFonts w:eastAsia="SimSun"/>
          <w:sz w:val="20"/>
        </w:rPr>
        <w:t xml:space="preserve">  </w:t>
      </w:r>
      <w:r w:rsidRPr="009A4B30">
        <w:rPr>
          <w:rFonts w:eastAsia="SimSun"/>
          <w:sz w:val="20"/>
        </w:rPr>
        <w:t>第</w:t>
      </w:r>
      <w:hyperlink r:id="rId73" w:history="1">
        <w:r w:rsidRPr="009A4B30">
          <w:rPr>
            <w:rStyle w:val="Hyperlink"/>
            <w:rFonts w:eastAsia="SimSun"/>
            <w:sz w:val="20"/>
          </w:rPr>
          <w:t>15/5</w:t>
        </w:r>
      </w:hyperlink>
      <w:r w:rsidRPr="009A4B30">
        <w:rPr>
          <w:rFonts w:eastAsia="SimSun"/>
          <w:sz w:val="20"/>
        </w:rPr>
        <w:t>号决定，附件一。</w:t>
      </w:r>
    </w:p>
  </w:footnote>
  <w:footnote w:id="180">
    <w:p w14:paraId="641F64DC" w14:textId="77777777" w:rsidR="005E77FA" w:rsidRPr="009A4B30" w:rsidRDefault="005E77FA" w:rsidP="005E77FA">
      <w:pPr>
        <w:pStyle w:val="FootnoteText"/>
        <w:spacing w:after="60"/>
        <w:rPr>
          <w:rFonts w:eastAsia="SimSun"/>
          <w:sz w:val="20"/>
        </w:rPr>
      </w:pPr>
      <w:r w:rsidRPr="009A4B30">
        <w:rPr>
          <w:rStyle w:val="FootnoteReference"/>
          <w:rFonts w:eastAsia="SimSun"/>
          <w:sz w:val="20"/>
        </w:rPr>
        <w:footnoteRef/>
      </w:r>
      <w:r w:rsidRPr="009A4B30">
        <w:rPr>
          <w:rFonts w:eastAsia="SimSun"/>
          <w:sz w:val="20"/>
        </w:rPr>
        <w:t xml:space="preserve">  </w:t>
      </w:r>
      <w:r w:rsidRPr="009A4B30">
        <w:rPr>
          <w:rFonts w:eastAsia="SimSun"/>
          <w:sz w:val="20"/>
        </w:rPr>
        <w:t>联合国</w:t>
      </w:r>
      <w:r w:rsidRPr="009A4B30">
        <w:rPr>
          <w:rFonts w:eastAsia="SimSun"/>
          <w:sz w:val="20"/>
        </w:rPr>
        <w:t>,</w:t>
      </w:r>
      <w:r w:rsidRPr="009A4B30">
        <w:rPr>
          <w:rFonts w:eastAsia="SimSun"/>
          <w:sz w:val="20"/>
        </w:rPr>
        <w:t>《条约汇编》</w:t>
      </w:r>
      <w:r w:rsidRPr="009A4B30">
        <w:rPr>
          <w:rFonts w:eastAsia="SimSun"/>
          <w:sz w:val="20"/>
        </w:rPr>
        <w:t>,</w:t>
      </w:r>
      <w:r w:rsidRPr="009A4B30">
        <w:rPr>
          <w:rFonts w:eastAsia="SimSun"/>
          <w:sz w:val="20"/>
        </w:rPr>
        <w:t>第</w:t>
      </w:r>
      <w:r w:rsidRPr="009A4B30">
        <w:rPr>
          <w:rFonts w:eastAsia="SimSun"/>
          <w:sz w:val="20"/>
        </w:rPr>
        <w:t>1760</w:t>
      </w:r>
      <w:r w:rsidRPr="009A4B30">
        <w:rPr>
          <w:rFonts w:eastAsia="SimSun"/>
          <w:sz w:val="20"/>
        </w:rPr>
        <w:t>卷，第</w:t>
      </w:r>
      <w:r w:rsidRPr="009A4B30">
        <w:rPr>
          <w:rFonts w:eastAsia="SimSun"/>
          <w:sz w:val="20"/>
        </w:rPr>
        <w:t>30619</w:t>
      </w:r>
      <w:r w:rsidRPr="009A4B30">
        <w:rPr>
          <w:rFonts w:eastAsia="SimSun"/>
          <w:sz w:val="20"/>
        </w:rPr>
        <w:t>号。</w:t>
      </w:r>
    </w:p>
  </w:footnote>
  <w:footnote w:id="181">
    <w:p w14:paraId="236D325A" w14:textId="77777777" w:rsidR="005E77FA" w:rsidRPr="009A4B30" w:rsidRDefault="005E77FA" w:rsidP="005E77FA">
      <w:pPr>
        <w:pStyle w:val="FootnoteText"/>
        <w:spacing w:after="60"/>
        <w:rPr>
          <w:rFonts w:eastAsia="SimSun"/>
          <w:sz w:val="20"/>
        </w:rPr>
      </w:pPr>
      <w:r w:rsidRPr="009A4B30">
        <w:rPr>
          <w:rStyle w:val="FootnoteReference"/>
          <w:rFonts w:eastAsia="SimSun"/>
          <w:sz w:val="20"/>
        </w:rPr>
        <w:footnoteRef/>
      </w:r>
      <w:r w:rsidRPr="009A4B30">
        <w:rPr>
          <w:rFonts w:eastAsia="SimSun"/>
          <w:sz w:val="20"/>
        </w:rPr>
        <w:t xml:space="preserve">  </w:t>
      </w:r>
      <w:r w:rsidRPr="009A4B30">
        <w:rPr>
          <w:rFonts w:eastAsia="SimSun"/>
          <w:sz w:val="20"/>
        </w:rPr>
        <w:t>第</w:t>
      </w:r>
      <w:hyperlink r:id="rId74" w:history="1">
        <w:r w:rsidRPr="009A4B30">
          <w:rPr>
            <w:rStyle w:val="Hyperlink"/>
            <w:rFonts w:eastAsia="SimSun"/>
            <w:sz w:val="20"/>
          </w:rPr>
          <w:t>15/4</w:t>
        </w:r>
      </w:hyperlink>
      <w:r w:rsidRPr="009A4B30">
        <w:rPr>
          <w:rFonts w:eastAsia="SimSun"/>
          <w:sz w:val="20"/>
        </w:rPr>
        <w:t>号决定，附件。</w:t>
      </w:r>
    </w:p>
  </w:footnote>
  <w:footnote w:id="182">
    <w:p w14:paraId="2F3165C9" w14:textId="77777777" w:rsidR="005E77FA" w:rsidRPr="001B19D5" w:rsidRDefault="005E77FA" w:rsidP="005E77FA">
      <w:pPr>
        <w:pStyle w:val="FootnoteText"/>
        <w:spacing w:after="60"/>
      </w:pPr>
      <w:r w:rsidRPr="009A4B30">
        <w:rPr>
          <w:rStyle w:val="FootnoteReference"/>
          <w:rFonts w:eastAsia="SimSun"/>
          <w:sz w:val="20"/>
        </w:rPr>
        <w:footnoteRef/>
      </w:r>
      <w:r w:rsidRPr="009A4B30">
        <w:rPr>
          <w:rFonts w:eastAsia="SimSun"/>
          <w:sz w:val="20"/>
        </w:rPr>
        <w:t xml:space="preserve"> </w:t>
      </w:r>
      <w:r w:rsidRPr="009A4B30">
        <w:rPr>
          <w:rFonts w:eastAsia="SimSun"/>
          <w:sz w:val="20"/>
        </w:rPr>
        <w:t>《关于环境与发展的里约宣言》原则</w:t>
      </w:r>
      <w:r w:rsidRPr="009A4B30">
        <w:rPr>
          <w:rFonts w:eastAsia="SimSun"/>
          <w:sz w:val="20"/>
        </w:rPr>
        <w:t>15</w:t>
      </w:r>
      <w:r w:rsidRPr="009A4B30">
        <w:rPr>
          <w:rFonts w:eastAsia="SimSun"/>
          <w:sz w:val="20"/>
        </w:rPr>
        <w:t>。</w:t>
      </w:r>
    </w:p>
  </w:footnote>
  <w:footnote w:id="183">
    <w:p w14:paraId="151AA79D" w14:textId="77777777" w:rsidR="005E77FA" w:rsidRPr="009A4B30" w:rsidRDefault="005E77FA" w:rsidP="005E77FA">
      <w:pPr>
        <w:pStyle w:val="FootnoteText"/>
        <w:spacing w:after="60"/>
        <w:rPr>
          <w:rFonts w:eastAsia="SimSun"/>
          <w:sz w:val="20"/>
        </w:rPr>
      </w:pPr>
      <w:r w:rsidRPr="009A4B30">
        <w:rPr>
          <w:rStyle w:val="FootnoteReference"/>
          <w:rFonts w:eastAsia="SimSun"/>
          <w:sz w:val="20"/>
        </w:rPr>
        <w:footnoteRef/>
      </w:r>
      <w:r w:rsidRPr="009A4B30">
        <w:rPr>
          <w:rFonts w:eastAsia="SimSun"/>
          <w:sz w:val="20"/>
        </w:rPr>
        <w:t xml:space="preserve">  </w:t>
      </w:r>
      <w:r w:rsidRPr="009A4B30">
        <w:rPr>
          <w:rFonts w:eastAsia="SimSun"/>
          <w:spacing w:val="-10"/>
          <w:sz w:val="20"/>
          <w:lang w:val="en-GB"/>
        </w:rPr>
        <w:t>“</w:t>
      </w:r>
      <w:r w:rsidRPr="009A4B30">
        <w:rPr>
          <w:rFonts w:eastAsia="SimSun"/>
          <w:spacing w:val="-10"/>
          <w:sz w:val="20"/>
        </w:rPr>
        <w:t>自由、事先和知情同意</w:t>
      </w:r>
      <w:r w:rsidRPr="009A4B30">
        <w:rPr>
          <w:rFonts w:eastAsia="SimSun"/>
          <w:spacing w:val="-10"/>
          <w:sz w:val="20"/>
        </w:rPr>
        <w:t>”</w:t>
      </w:r>
      <w:r w:rsidRPr="009A4B30">
        <w:rPr>
          <w:rFonts w:eastAsia="SimSun"/>
          <w:spacing w:val="-10"/>
          <w:sz w:val="20"/>
        </w:rPr>
        <w:t>指三种表述，即</w:t>
      </w:r>
      <w:r w:rsidRPr="009A4B30">
        <w:rPr>
          <w:rFonts w:eastAsia="SimSun"/>
          <w:spacing w:val="-10"/>
          <w:sz w:val="20"/>
        </w:rPr>
        <w:t xml:space="preserve"> “</w:t>
      </w:r>
      <w:r w:rsidRPr="009A4B30">
        <w:rPr>
          <w:rFonts w:eastAsia="SimSun"/>
          <w:spacing w:val="-10"/>
          <w:sz w:val="20"/>
        </w:rPr>
        <w:t>事先和知情同意</w:t>
      </w:r>
      <w:r w:rsidRPr="009A4B30">
        <w:rPr>
          <w:rFonts w:eastAsia="SimSun"/>
          <w:spacing w:val="-10"/>
          <w:sz w:val="20"/>
        </w:rPr>
        <w:t xml:space="preserve">” </w:t>
      </w:r>
      <w:r w:rsidRPr="009A4B30">
        <w:rPr>
          <w:rFonts w:eastAsia="SimSun"/>
          <w:spacing w:val="-10"/>
          <w:sz w:val="20"/>
        </w:rPr>
        <w:t>、</w:t>
      </w:r>
      <w:r w:rsidRPr="009A4B30">
        <w:rPr>
          <w:rFonts w:eastAsia="SimSun"/>
          <w:spacing w:val="-10"/>
          <w:sz w:val="20"/>
        </w:rPr>
        <w:t xml:space="preserve"> “</w:t>
      </w:r>
      <w:r w:rsidRPr="009A4B30">
        <w:rPr>
          <w:rFonts w:eastAsia="SimSun"/>
          <w:spacing w:val="-10"/>
          <w:sz w:val="20"/>
        </w:rPr>
        <w:t>自由、事先和知情同意</w:t>
      </w:r>
      <w:r w:rsidRPr="009A4B30">
        <w:rPr>
          <w:rFonts w:eastAsia="SimSun"/>
          <w:spacing w:val="-10"/>
          <w:sz w:val="20"/>
        </w:rPr>
        <w:t xml:space="preserve">” </w:t>
      </w:r>
      <w:r w:rsidRPr="009A4B30">
        <w:rPr>
          <w:rFonts w:eastAsia="SimSun"/>
          <w:spacing w:val="-10"/>
          <w:sz w:val="20"/>
        </w:rPr>
        <w:t>和</w:t>
      </w:r>
      <w:r w:rsidRPr="009A4B30">
        <w:rPr>
          <w:rFonts w:eastAsia="SimSun"/>
          <w:spacing w:val="-10"/>
          <w:sz w:val="20"/>
        </w:rPr>
        <w:t xml:space="preserve"> “</w:t>
      </w:r>
      <w:r w:rsidRPr="009A4B30">
        <w:rPr>
          <w:rFonts w:eastAsia="SimSun"/>
          <w:spacing w:val="-10"/>
          <w:sz w:val="20"/>
        </w:rPr>
        <w:t>批准和参与</w:t>
      </w:r>
      <w:r w:rsidRPr="009A4B30">
        <w:rPr>
          <w:rFonts w:eastAsia="SimSun"/>
          <w:spacing w:val="-10"/>
          <w:sz w:val="20"/>
        </w:rPr>
        <w:t>”</w:t>
      </w:r>
      <w:r w:rsidRPr="009A4B30">
        <w:rPr>
          <w:rFonts w:eastAsia="SimSun"/>
          <w:spacing w:val="-10"/>
          <w:sz w:val="20"/>
        </w:rPr>
        <w:t>。</w:t>
      </w:r>
    </w:p>
  </w:footnote>
  <w:footnote w:id="184">
    <w:p w14:paraId="3A9CF279" w14:textId="77777777" w:rsidR="005E77FA" w:rsidRPr="001B19D5" w:rsidRDefault="005E77FA" w:rsidP="005E77FA">
      <w:pPr>
        <w:pStyle w:val="FootnoteText"/>
        <w:spacing w:after="60"/>
      </w:pPr>
      <w:r w:rsidRPr="009A4B30">
        <w:rPr>
          <w:rStyle w:val="FootnoteReference"/>
          <w:rFonts w:eastAsia="SimSun"/>
          <w:sz w:val="20"/>
        </w:rPr>
        <w:footnoteRef/>
      </w:r>
      <w:r w:rsidRPr="009A4B30">
        <w:rPr>
          <w:rFonts w:eastAsia="SimSun"/>
          <w:sz w:val="20"/>
        </w:rPr>
        <w:t xml:space="preserve">  </w:t>
      </w:r>
      <w:r w:rsidRPr="009A4B30">
        <w:rPr>
          <w:rFonts w:eastAsia="SimSun"/>
          <w:sz w:val="20"/>
        </w:rPr>
        <w:t>包括世界贸易组织下的协定，如渔业补贴协定。</w:t>
      </w:r>
    </w:p>
  </w:footnote>
  <w:footnote w:id="185">
    <w:p w14:paraId="2CA9C3BC" w14:textId="02A050FB" w:rsidR="005E77FA" w:rsidRPr="009A4B30" w:rsidRDefault="005E77FA" w:rsidP="005E77FA">
      <w:pPr>
        <w:pStyle w:val="FootnoteText"/>
        <w:spacing w:after="60" w:line="240" w:lineRule="atLeast"/>
        <w:rPr>
          <w:rFonts w:eastAsia="SimSun"/>
          <w:sz w:val="20"/>
        </w:rPr>
      </w:pPr>
      <w:r w:rsidRPr="009A4B30">
        <w:rPr>
          <w:rStyle w:val="FootnoteReference"/>
          <w:rFonts w:eastAsia="SimSun"/>
          <w:sz w:val="20"/>
        </w:rPr>
        <w:footnoteRef/>
      </w:r>
      <w:r w:rsidR="009A4B30">
        <w:rPr>
          <w:rFonts w:eastAsia="SimSun" w:hint="eastAsia"/>
          <w:sz w:val="20"/>
        </w:rPr>
        <w:t xml:space="preserve"> </w:t>
      </w:r>
      <w:r w:rsidRPr="009A4B30">
        <w:rPr>
          <w:rFonts w:eastAsia="SimSun"/>
          <w:sz w:val="20"/>
        </w:rPr>
        <w:t xml:space="preserve"> </w:t>
      </w:r>
      <w:r w:rsidRPr="009A4B30">
        <w:rPr>
          <w:rFonts w:eastAsia="SimSun"/>
          <w:sz w:val="20"/>
        </w:rPr>
        <w:t>第</w:t>
      </w:r>
      <w:r w:rsidRPr="009A4B30">
        <w:rPr>
          <w:rFonts w:eastAsia="SimSun"/>
          <w:sz w:val="20"/>
        </w:rPr>
        <w:t xml:space="preserve"> </w:t>
      </w:r>
      <w:hyperlink r:id="rId75" w:history="1">
        <w:r w:rsidRPr="009A4B30">
          <w:rPr>
            <w:rStyle w:val="Hyperlink"/>
            <w:rFonts w:eastAsia="SimSun"/>
            <w:sz w:val="20"/>
          </w:rPr>
          <w:t>15/4</w:t>
        </w:r>
      </w:hyperlink>
      <w:r w:rsidRPr="009A4B30">
        <w:rPr>
          <w:rFonts w:eastAsia="SimSun"/>
          <w:sz w:val="20"/>
        </w:rPr>
        <w:t>号决定，附件。</w:t>
      </w:r>
    </w:p>
  </w:footnote>
  <w:footnote w:id="186">
    <w:p w14:paraId="07C6C41D" w14:textId="5B4F5558" w:rsidR="005E77FA" w:rsidRPr="009A4B30" w:rsidRDefault="005E77FA" w:rsidP="005E77FA">
      <w:pPr>
        <w:pStyle w:val="FootnoteText"/>
        <w:spacing w:after="60"/>
        <w:rPr>
          <w:rFonts w:eastAsia="SimSun"/>
          <w:sz w:val="20"/>
        </w:rPr>
      </w:pPr>
      <w:r w:rsidRPr="009A4B30">
        <w:rPr>
          <w:rStyle w:val="FootnoteReference"/>
          <w:rFonts w:eastAsia="SimSun"/>
          <w:sz w:val="20"/>
        </w:rPr>
        <w:footnoteRef/>
      </w:r>
      <w:r w:rsidRPr="009A4B30">
        <w:rPr>
          <w:rFonts w:eastAsia="SimSun"/>
          <w:sz w:val="20"/>
        </w:rPr>
        <w:t xml:space="preserve"> </w:t>
      </w:r>
      <w:r w:rsidR="009A4B30">
        <w:rPr>
          <w:rFonts w:eastAsia="SimSun" w:hint="eastAsia"/>
          <w:sz w:val="20"/>
        </w:rPr>
        <w:t xml:space="preserve"> </w:t>
      </w:r>
      <w:r w:rsidRPr="009A4B30">
        <w:rPr>
          <w:rFonts w:eastAsia="SimSun"/>
          <w:sz w:val="20"/>
        </w:rPr>
        <w:t>俄罗斯联邦对本评估报告中的</w:t>
      </w:r>
      <w:r w:rsidRPr="009A4B30">
        <w:rPr>
          <w:rFonts w:eastAsia="SimSun"/>
          <w:sz w:val="20"/>
        </w:rPr>
        <w:t>"</w:t>
      </w:r>
      <w:r w:rsidRPr="009A4B30">
        <w:rPr>
          <w:rFonts w:eastAsia="SimSun"/>
          <w:sz w:val="20"/>
        </w:rPr>
        <w:t>欢迎</w:t>
      </w:r>
      <w:r w:rsidRPr="009A4B30">
        <w:rPr>
          <w:rFonts w:eastAsia="SimSun"/>
          <w:sz w:val="20"/>
        </w:rPr>
        <w:t>"</w:t>
      </w:r>
      <w:r w:rsidRPr="009A4B30">
        <w:rPr>
          <w:rFonts w:eastAsia="SimSun"/>
          <w:sz w:val="20"/>
        </w:rPr>
        <w:t>一词表示保留，因为该词指的是全球入侵物种数据库。由于技术限制</w:t>
      </w:r>
      <w:r w:rsidRPr="009A4B30">
        <w:rPr>
          <w:rFonts w:eastAsia="SimSun"/>
          <w:sz w:val="20"/>
        </w:rPr>
        <w:t xml:space="preserve"> </w:t>
      </w:r>
      <w:r w:rsidRPr="009A4B30">
        <w:rPr>
          <w:rFonts w:eastAsia="SimSun"/>
          <w:sz w:val="20"/>
        </w:rPr>
        <w:t>，俄罗斯联邦境内的任何用户都无法访问该数据库。</w:t>
      </w:r>
    </w:p>
  </w:footnote>
  <w:footnote w:id="187">
    <w:p w14:paraId="6F5E4494" w14:textId="0D89F89A" w:rsidR="005E77FA" w:rsidRPr="007751C8" w:rsidRDefault="005E77FA" w:rsidP="005E77FA">
      <w:pPr>
        <w:pStyle w:val="FootnoteText"/>
        <w:spacing w:after="60"/>
        <w:rPr>
          <w:sz w:val="20"/>
        </w:rPr>
      </w:pPr>
      <w:r w:rsidRPr="009A4B30">
        <w:rPr>
          <w:rStyle w:val="FootnoteReference"/>
          <w:rFonts w:eastAsia="SimSun"/>
          <w:sz w:val="20"/>
        </w:rPr>
        <w:footnoteRef/>
      </w:r>
      <w:r w:rsidRPr="009A4B30">
        <w:rPr>
          <w:rFonts w:eastAsia="SimSun"/>
          <w:sz w:val="20"/>
        </w:rPr>
        <w:t xml:space="preserve"> </w:t>
      </w:r>
      <w:r w:rsidR="009A4B30">
        <w:rPr>
          <w:rFonts w:eastAsia="SimSun" w:hint="eastAsia"/>
          <w:sz w:val="20"/>
        </w:rPr>
        <w:t xml:space="preserve"> </w:t>
      </w:r>
      <w:r w:rsidRPr="009A4B30">
        <w:rPr>
          <w:rFonts w:eastAsia="SimSun"/>
          <w:sz w:val="20"/>
        </w:rPr>
        <w:t>联合国，《条约汇编》，第</w:t>
      </w:r>
      <w:r w:rsidRPr="009A4B30">
        <w:rPr>
          <w:rFonts w:eastAsia="SimSun"/>
          <w:sz w:val="20"/>
        </w:rPr>
        <w:t>1760</w:t>
      </w:r>
      <w:r w:rsidRPr="009A4B30">
        <w:rPr>
          <w:rFonts w:eastAsia="SimSun"/>
          <w:sz w:val="20"/>
        </w:rPr>
        <w:t>卷，第</w:t>
      </w:r>
      <w:r w:rsidRPr="009A4B30">
        <w:rPr>
          <w:rFonts w:eastAsia="SimSun"/>
          <w:sz w:val="20"/>
        </w:rPr>
        <w:t>30619</w:t>
      </w:r>
      <w:r w:rsidRPr="009A4B30">
        <w:rPr>
          <w:rFonts w:eastAsia="SimSun"/>
          <w:sz w:val="20"/>
        </w:rPr>
        <w:t>号。</w:t>
      </w:r>
    </w:p>
  </w:footnote>
  <w:footnote w:id="188">
    <w:p w14:paraId="0E79DCE0" w14:textId="77777777" w:rsidR="005E77FA" w:rsidRPr="008574E3" w:rsidRDefault="005E77FA" w:rsidP="005E77FA">
      <w:pPr>
        <w:pStyle w:val="CBDFootnoteText"/>
        <w:spacing w:after="60"/>
        <w:rPr>
          <w:rFonts w:eastAsia="SimSun"/>
          <w:sz w:val="20"/>
          <w:szCs w:val="20"/>
          <w:lang w:eastAsia="zh-CN"/>
        </w:rPr>
      </w:pPr>
      <w:r w:rsidRPr="008574E3">
        <w:rPr>
          <w:rStyle w:val="FootnoteReference"/>
          <w:rFonts w:eastAsia="SimSun"/>
          <w:sz w:val="20"/>
          <w:szCs w:val="20"/>
          <w:lang w:eastAsia="zh-CN"/>
        </w:rPr>
        <w:footnoteRef/>
      </w:r>
      <w:r w:rsidRPr="008574E3">
        <w:rPr>
          <w:rFonts w:eastAsia="SimSun"/>
          <w:sz w:val="20"/>
          <w:szCs w:val="20"/>
          <w:lang w:eastAsia="zh-CN"/>
        </w:rPr>
        <w:t xml:space="preserve"> </w:t>
      </w:r>
      <w:r w:rsidRPr="008574E3">
        <w:rPr>
          <w:rFonts w:eastAsia="SimSun"/>
          <w:sz w:val="20"/>
          <w:szCs w:val="20"/>
          <w:lang w:eastAsia="zh-CN"/>
        </w:rPr>
        <w:t>第</w:t>
      </w:r>
      <w:r w:rsidRPr="008574E3">
        <w:rPr>
          <w:rFonts w:eastAsia="SimSun"/>
          <w:sz w:val="20"/>
          <w:szCs w:val="20"/>
          <w:lang w:eastAsia="zh-CN"/>
        </w:rPr>
        <w:t xml:space="preserve"> </w:t>
      </w:r>
      <w:hyperlink r:id="rId76" w:history="1">
        <w:r w:rsidRPr="008574E3">
          <w:rPr>
            <w:rStyle w:val="Hyperlink"/>
            <w:rFonts w:eastAsia="SimSun"/>
            <w:sz w:val="20"/>
            <w:szCs w:val="20"/>
            <w:lang w:eastAsia="zh-CN"/>
          </w:rPr>
          <w:t>15/4</w:t>
        </w:r>
      </w:hyperlink>
      <w:r w:rsidRPr="008574E3">
        <w:rPr>
          <w:rFonts w:eastAsia="SimSun"/>
          <w:sz w:val="20"/>
          <w:szCs w:val="20"/>
          <w:lang w:eastAsia="zh-CN"/>
        </w:rPr>
        <w:t>号决定，附件。</w:t>
      </w:r>
    </w:p>
  </w:footnote>
  <w:footnote w:id="189">
    <w:p w14:paraId="741B41A2" w14:textId="28D5B4AC" w:rsidR="005E77FA" w:rsidRPr="008574E3" w:rsidRDefault="005E77FA" w:rsidP="005E77FA">
      <w:pPr>
        <w:pStyle w:val="CBDFootnoteText"/>
        <w:spacing w:after="60"/>
        <w:rPr>
          <w:rFonts w:eastAsia="SimSun"/>
          <w:sz w:val="20"/>
          <w:szCs w:val="20"/>
          <w:lang w:eastAsia="zh-CN"/>
        </w:rPr>
      </w:pPr>
      <w:r w:rsidRPr="008574E3">
        <w:rPr>
          <w:rStyle w:val="FootnoteReference"/>
          <w:rFonts w:eastAsia="SimSun"/>
          <w:sz w:val="20"/>
          <w:szCs w:val="20"/>
          <w:lang w:eastAsia="zh-CN"/>
        </w:rPr>
        <w:footnoteRef/>
      </w:r>
      <w:r w:rsidRPr="008574E3">
        <w:rPr>
          <w:rFonts w:eastAsia="SimSun"/>
          <w:sz w:val="20"/>
          <w:szCs w:val="20"/>
          <w:lang w:eastAsia="zh-CN"/>
        </w:rPr>
        <w:t xml:space="preserve"> </w:t>
      </w:r>
      <w:r w:rsidRPr="008574E3">
        <w:rPr>
          <w:rFonts w:eastAsia="SimSun"/>
          <w:sz w:val="20"/>
          <w:szCs w:val="20"/>
          <w:lang w:eastAsia="zh-CN"/>
        </w:rPr>
        <w:t>外来入侵物种是指其引进或传播威胁到生物多样性的物种。缔约方大会在第</w:t>
      </w:r>
      <w:hyperlink r:id="rId77" w:history="1">
        <w:r w:rsidRPr="008574E3">
          <w:rPr>
            <w:rStyle w:val="Hyperlink"/>
            <w:rFonts w:eastAsia="SimSun"/>
            <w:sz w:val="20"/>
            <w:szCs w:val="20"/>
            <w:lang w:eastAsia="zh-CN"/>
          </w:rPr>
          <w:t>VI/23</w:t>
        </w:r>
      </w:hyperlink>
      <w:r w:rsidRPr="008574E3">
        <w:rPr>
          <w:rFonts w:eastAsia="SimSun"/>
          <w:sz w:val="20"/>
          <w:szCs w:val="20"/>
          <w:lang w:eastAsia="zh-CN"/>
        </w:rPr>
        <w:t>号决定中确定，</w:t>
      </w:r>
      <w:r w:rsidRPr="008574E3">
        <w:rPr>
          <w:rFonts w:eastAsia="SimSun"/>
          <w:sz w:val="20"/>
          <w:szCs w:val="20"/>
          <w:lang w:eastAsia="zh-CN"/>
        </w:rPr>
        <w:t>“</w:t>
      </w:r>
      <w:r w:rsidRPr="008574E3">
        <w:rPr>
          <w:rFonts w:eastAsia="SimSun"/>
          <w:sz w:val="20"/>
          <w:szCs w:val="20"/>
          <w:lang w:eastAsia="zh-CN"/>
        </w:rPr>
        <w:t>外来入侵物种</w:t>
      </w:r>
      <w:r w:rsidRPr="008574E3">
        <w:rPr>
          <w:rFonts w:eastAsia="SimSun"/>
          <w:sz w:val="20"/>
          <w:szCs w:val="20"/>
          <w:lang w:eastAsia="zh-CN"/>
        </w:rPr>
        <w:t>”</w:t>
      </w:r>
      <w:r w:rsidRPr="008574E3">
        <w:rPr>
          <w:rFonts w:eastAsia="SimSun"/>
          <w:sz w:val="20"/>
          <w:szCs w:val="20"/>
          <w:lang w:eastAsia="zh-CN"/>
        </w:rPr>
        <w:t>一词被视为与</w:t>
      </w:r>
      <w:r w:rsidRPr="008574E3">
        <w:rPr>
          <w:rFonts w:eastAsia="SimSun"/>
          <w:sz w:val="20"/>
          <w:szCs w:val="20"/>
          <w:lang w:eastAsia="zh-CN"/>
        </w:rPr>
        <w:t>“</w:t>
      </w:r>
      <w:r w:rsidRPr="008574E3">
        <w:rPr>
          <w:rFonts w:eastAsia="SimSun"/>
          <w:sz w:val="20"/>
          <w:szCs w:val="20"/>
          <w:lang w:eastAsia="zh-CN"/>
        </w:rPr>
        <w:t>入侵外来物种</w:t>
      </w:r>
      <w:r w:rsidRPr="008574E3">
        <w:rPr>
          <w:rFonts w:eastAsia="SimSun"/>
          <w:sz w:val="20"/>
          <w:szCs w:val="20"/>
          <w:lang w:eastAsia="zh-CN"/>
        </w:rPr>
        <w:t>”</w:t>
      </w:r>
      <w:r w:rsidRPr="008574E3">
        <w:rPr>
          <w:rFonts w:eastAsia="SimSun"/>
          <w:sz w:val="20"/>
          <w:szCs w:val="20"/>
          <w:lang w:eastAsia="zh-CN"/>
        </w:rPr>
        <w:t>相同。</w:t>
      </w:r>
    </w:p>
  </w:footnote>
  <w:footnote w:id="190">
    <w:p w14:paraId="54B1CFE6" w14:textId="77777777"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Pr="008574E3">
        <w:rPr>
          <w:rFonts w:eastAsia="SimSun"/>
          <w:sz w:val="20"/>
        </w:rPr>
        <w:t xml:space="preserve"> </w:t>
      </w:r>
      <w:r w:rsidRPr="008574E3">
        <w:rPr>
          <w:rFonts w:eastAsia="SimSun"/>
          <w:sz w:val="20"/>
        </w:rPr>
        <w:t>被确定为对环境和生物多样性构成最大风险的途径，或最有可能防止此类风险的途径（参见</w:t>
      </w:r>
      <w:r w:rsidRPr="008574E3">
        <w:rPr>
          <w:rFonts w:eastAsia="SimSun"/>
          <w:sz w:val="20"/>
          <w:lang w:val="en-GB"/>
        </w:rPr>
        <w:t xml:space="preserve">Melodie A. Mc Geoch and others, “Prioritizing species, pathways, and sites to achieve conservation targets for biological invasion”, </w:t>
      </w:r>
      <w:r w:rsidRPr="008574E3">
        <w:rPr>
          <w:rFonts w:eastAsia="SimSun"/>
          <w:i/>
          <w:iCs/>
          <w:sz w:val="20"/>
          <w:lang w:val="en-GB"/>
        </w:rPr>
        <w:t>Biol Invasions</w:t>
      </w:r>
      <w:r w:rsidRPr="008574E3">
        <w:rPr>
          <w:rFonts w:eastAsia="SimSun"/>
          <w:sz w:val="20"/>
          <w:lang w:val="en-GB"/>
        </w:rPr>
        <w:t>, vol. 18, pp. 299–314 (November 2015)</w:t>
      </w:r>
      <w:r w:rsidRPr="008574E3">
        <w:rPr>
          <w:rFonts w:eastAsia="SimSun"/>
          <w:sz w:val="20"/>
        </w:rPr>
        <w:t>）。</w:t>
      </w:r>
    </w:p>
  </w:footnote>
  <w:footnote w:id="191">
    <w:p w14:paraId="448181B2" w14:textId="77777777" w:rsidR="005E77FA" w:rsidRPr="007751C8" w:rsidRDefault="005E77FA" w:rsidP="005E77FA">
      <w:pPr>
        <w:pStyle w:val="FootnoteText"/>
        <w:spacing w:after="60"/>
        <w:rPr>
          <w:sz w:val="20"/>
        </w:rPr>
      </w:pPr>
      <w:r w:rsidRPr="008574E3">
        <w:rPr>
          <w:rStyle w:val="FootnoteReference"/>
          <w:rFonts w:eastAsia="SimSun"/>
          <w:sz w:val="20"/>
        </w:rPr>
        <w:footnoteRef/>
      </w:r>
      <w:r w:rsidRPr="008574E3">
        <w:rPr>
          <w:rFonts w:eastAsia="SimSun"/>
          <w:sz w:val="20"/>
          <w:vertAlign w:val="superscript"/>
        </w:rPr>
        <w:t xml:space="preserve"> </w:t>
      </w:r>
      <w:r w:rsidRPr="008574E3">
        <w:rPr>
          <w:rFonts w:eastAsia="SimSun"/>
          <w:sz w:val="20"/>
        </w:rPr>
        <w:t>见</w:t>
      </w:r>
      <w:hyperlink r:id="rId78" w:history="1">
        <w:r w:rsidRPr="008574E3">
          <w:rPr>
            <w:rStyle w:val="Hyperlink"/>
            <w:rFonts w:eastAsia="SimSun"/>
            <w:sz w:val="20"/>
          </w:rPr>
          <w:t>CBD/IAS/AHTEG/2019/1/INF/1</w:t>
        </w:r>
      </w:hyperlink>
      <w:r w:rsidRPr="008574E3">
        <w:rPr>
          <w:rFonts w:eastAsia="SimSun"/>
          <w:sz w:val="20"/>
        </w:rPr>
        <w:t xml:space="preserve">, </w:t>
      </w:r>
      <w:r w:rsidRPr="008574E3">
        <w:rPr>
          <w:rFonts w:eastAsia="SimSun"/>
          <w:sz w:val="20"/>
        </w:rPr>
        <w:t>第</w:t>
      </w:r>
      <w:r w:rsidRPr="008574E3">
        <w:rPr>
          <w:rFonts w:eastAsia="SimSun"/>
          <w:sz w:val="20"/>
        </w:rPr>
        <w:t>10</w:t>
      </w:r>
      <w:r w:rsidRPr="008574E3">
        <w:rPr>
          <w:rFonts w:eastAsia="SimSun"/>
          <w:sz w:val="20"/>
        </w:rPr>
        <w:t>段。</w:t>
      </w:r>
    </w:p>
  </w:footnote>
  <w:footnote w:id="192">
    <w:p w14:paraId="37596D05" w14:textId="7F183820"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008574E3">
        <w:rPr>
          <w:rFonts w:eastAsia="SimSun" w:hint="eastAsia"/>
          <w:sz w:val="20"/>
        </w:rPr>
        <w:t xml:space="preserve"> </w:t>
      </w:r>
      <w:r w:rsidRPr="008574E3">
        <w:rPr>
          <w:rFonts w:eastAsia="SimSun"/>
          <w:sz w:val="20"/>
        </w:rPr>
        <w:t xml:space="preserve"> </w:t>
      </w:r>
      <w:r w:rsidRPr="008574E3">
        <w:rPr>
          <w:rFonts w:eastAsia="SimSun"/>
          <w:sz w:val="20"/>
        </w:rPr>
        <w:t>根据第</w:t>
      </w:r>
      <w:hyperlink r:id="rId79" w:history="1">
        <w:r w:rsidRPr="008574E3">
          <w:rPr>
            <w:rStyle w:val="Hyperlink"/>
            <w:rFonts w:eastAsia="SimSun"/>
            <w:sz w:val="20"/>
          </w:rPr>
          <w:t>VI/23</w:t>
        </w:r>
      </w:hyperlink>
      <w:r w:rsidRPr="008574E3">
        <w:rPr>
          <w:rFonts w:eastAsia="SimSun"/>
          <w:sz w:val="20"/>
        </w:rPr>
        <w:t>号决定附件，</w:t>
      </w:r>
      <w:r w:rsidRPr="008574E3">
        <w:rPr>
          <w:rFonts w:eastAsia="SimSun"/>
          <w:sz w:val="20"/>
        </w:rPr>
        <w:t>“</w:t>
      </w:r>
      <w:r w:rsidRPr="008574E3">
        <w:rPr>
          <w:rFonts w:eastAsia="SimSun"/>
          <w:sz w:val="20"/>
        </w:rPr>
        <w:t>风险分析</w:t>
      </w:r>
      <w:r w:rsidRPr="008574E3">
        <w:rPr>
          <w:rFonts w:eastAsia="SimSun"/>
          <w:sz w:val="20"/>
        </w:rPr>
        <w:t>”</w:t>
      </w:r>
      <w:r w:rsidRPr="008574E3">
        <w:rPr>
          <w:rFonts w:eastAsia="SimSun"/>
          <w:sz w:val="20"/>
        </w:rPr>
        <w:t>指</w:t>
      </w:r>
      <w:r w:rsidRPr="008574E3">
        <w:rPr>
          <w:rFonts w:eastAsia="SimSun"/>
          <w:sz w:val="20"/>
          <w:lang w:val="x-none"/>
        </w:rPr>
        <w:t>：</w:t>
      </w:r>
      <w:r w:rsidRPr="008574E3">
        <w:rPr>
          <w:rFonts w:eastAsia="SimSun"/>
          <w:sz w:val="20"/>
        </w:rPr>
        <w:t>（一）使用科学知识评估引进一个外来物种的后果及其本地化的可能性（即风险评估）；（二）确定可予实施、用以减少或管理这些风险的措施（即风险管理），其中考虑到社会经济和文化因素。更多信息可见</w:t>
      </w:r>
      <w:r w:rsidRPr="008574E3">
        <w:rPr>
          <w:rFonts w:eastAsia="SimSun"/>
          <w:sz w:val="20"/>
          <w:lang w:val="en-GB"/>
        </w:rPr>
        <w:t xml:space="preserve">Sabrina Kumschick, John R. U. Wilson and Llewellyn C. Foxcroft, “A framework to support alien species regulation: the Risk Analysis for Alien Taxa (RAAT)”, </w:t>
      </w:r>
      <w:r w:rsidRPr="008574E3">
        <w:rPr>
          <w:rFonts w:eastAsia="SimSun"/>
          <w:i/>
          <w:iCs/>
          <w:sz w:val="20"/>
          <w:lang w:val="en-GB"/>
        </w:rPr>
        <w:t>NeoBiota</w:t>
      </w:r>
      <w:r w:rsidRPr="008574E3">
        <w:rPr>
          <w:rFonts w:eastAsia="SimSun"/>
          <w:sz w:val="20"/>
          <w:lang w:val="en-GB"/>
        </w:rPr>
        <w:t>, vol. 62 (October 2020)</w:t>
      </w:r>
      <w:r w:rsidRPr="008574E3">
        <w:rPr>
          <w:rFonts w:eastAsia="SimSun"/>
          <w:sz w:val="20"/>
        </w:rPr>
        <w:t>。</w:t>
      </w:r>
    </w:p>
  </w:footnote>
  <w:footnote w:id="193">
    <w:p w14:paraId="7CB82D1B" w14:textId="5F2E29F8" w:rsidR="005E77FA" w:rsidRPr="007751C8" w:rsidRDefault="005E77FA" w:rsidP="005E77FA">
      <w:pPr>
        <w:pStyle w:val="FootnoteText"/>
        <w:spacing w:after="60"/>
        <w:rPr>
          <w:sz w:val="20"/>
        </w:rPr>
      </w:pPr>
      <w:r w:rsidRPr="008574E3">
        <w:rPr>
          <w:rStyle w:val="FootnoteReference"/>
          <w:rFonts w:eastAsia="SimSun"/>
          <w:sz w:val="20"/>
        </w:rPr>
        <w:footnoteRef/>
      </w:r>
      <w:r w:rsidRPr="008574E3">
        <w:rPr>
          <w:rFonts w:eastAsia="SimSun"/>
          <w:sz w:val="20"/>
        </w:rPr>
        <w:t xml:space="preserve"> </w:t>
      </w:r>
      <w:r w:rsidR="008574E3">
        <w:rPr>
          <w:rFonts w:eastAsia="SimSun" w:hint="eastAsia"/>
          <w:sz w:val="20"/>
        </w:rPr>
        <w:t xml:space="preserve"> </w:t>
      </w:r>
      <w:r w:rsidRPr="008574E3">
        <w:rPr>
          <w:rFonts w:eastAsia="SimSun"/>
          <w:sz w:val="20"/>
        </w:rPr>
        <w:t>见</w:t>
      </w:r>
      <w:r w:rsidRPr="008574E3">
        <w:rPr>
          <w:rFonts w:eastAsia="SimSun"/>
          <w:sz w:val="20"/>
          <w:lang w:val="en-GB"/>
        </w:rPr>
        <w:t xml:space="preserve">Helen E. Roy and others, “Developing a framework of minimum standards for the risk assessment of alien species”, </w:t>
      </w:r>
      <w:r w:rsidRPr="008574E3">
        <w:rPr>
          <w:rFonts w:eastAsia="SimSun"/>
          <w:i/>
          <w:iCs/>
          <w:sz w:val="20"/>
          <w:lang w:val="en-GB"/>
        </w:rPr>
        <w:t>Journal of Applied Ecology</w:t>
      </w:r>
      <w:r w:rsidRPr="008574E3">
        <w:rPr>
          <w:rFonts w:eastAsia="SimSun"/>
          <w:sz w:val="20"/>
          <w:lang w:val="en-GB"/>
        </w:rPr>
        <w:t>, vol. 55, No. 2 (October 2017)</w:t>
      </w:r>
      <w:r w:rsidRPr="008574E3">
        <w:rPr>
          <w:rFonts w:eastAsia="SimSun"/>
          <w:sz w:val="20"/>
        </w:rPr>
        <w:t>。</w:t>
      </w:r>
    </w:p>
  </w:footnote>
  <w:footnote w:id="194">
    <w:p w14:paraId="40A77246" w14:textId="77777777"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Pr="008574E3">
        <w:rPr>
          <w:rFonts w:eastAsia="SimSun"/>
          <w:sz w:val="20"/>
        </w:rPr>
        <w:t xml:space="preserve">  </w:t>
      </w:r>
      <w:hyperlink r:id="rId80" w:history="1">
        <w:r w:rsidRPr="008574E3">
          <w:rPr>
            <w:rStyle w:val="Hyperlink"/>
            <w:rFonts w:eastAsia="SimSun"/>
            <w:kern w:val="22"/>
            <w:sz w:val="20"/>
          </w:rPr>
          <w:t>www.iucn.org/resources/conservation-tool/environmental-impact-classification-alien-taxa</w:t>
        </w:r>
      </w:hyperlink>
      <w:r w:rsidRPr="008574E3">
        <w:rPr>
          <w:rFonts w:eastAsia="SimSun"/>
          <w:sz w:val="20"/>
        </w:rPr>
        <w:t>。</w:t>
      </w:r>
    </w:p>
  </w:footnote>
  <w:footnote w:id="195">
    <w:p w14:paraId="72D7BEDE" w14:textId="56ADF595"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008574E3">
        <w:rPr>
          <w:rFonts w:eastAsia="SimSun" w:hint="eastAsia"/>
          <w:sz w:val="20"/>
        </w:rPr>
        <w:t xml:space="preserve"> </w:t>
      </w:r>
      <w:r w:rsidRPr="008574E3">
        <w:rPr>
          <w:rFonts w:eastAsia="SimSun"/>
          <w:sz w:val="20"/>
        </w:rPr>
        <w:t xml:space="preserve"> </w:t>
      </w:r>
      <w:r w:rsidRPr="008574E3">
        <w:rPr>
          <w:rFonts w:eastAsia="SimSun"/>
          <w:sz w:val="20"/>
          <w:lang w:val="en-GB"/>
        </w:rPr>
        <w:t xml:space="preserve">Sven Bacher and others, “Socioeconomic impact classification of alien taxa (SEICAT)”, </w:t>
      </w:r>
      <w:r w:rsidRPr="008574E3">
        <w:rPr>
          <w:rFonts w:eastAsia="SimSun"/>
          <w:i/>
          <w:iCs/>
          <w:sz w:val="20"/>
          <w:lang w:val="en-GB"/>
        </w:rPr>
        <w:t>Methods in Ecology and Evolution</w:t>
      </w:r>
      <w:r w:rsidRPr="008574E3">
        <w:rPr>
          <w:rFonts w:eastAsia="SimSun"/>
          <w:sz w:val="20"/>
          <w:lang w:val="en-GB"/>
        </w:rPr>
        <w:t>, vol. 9, No. 1 (April 2017)</w:t>
      </w:r>
      <w:r w:rsidRPr="008574E3">
        <w:rPr>
          <w:rFonts w:eastAsia="SimSun"/>
          <w:sz w:val="20"/>
        </w:rPr>
        <w:t>。</w:t>
      </w:r>
    </w:p>
  </w:footnote>
  <w:footnote w:id="196">
    <w:p w14:paraId="59C249E0" w14:textId="6AB32B4B"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008574E3">
        <w:rPr>
          <w:rFonts w:eastAsia="SimSun" w:hint="eastAsia"/>
          <w:sz w:val="20"/>
          <w:vertAlign w:val="superscript"/>
        </w:rPr>
        <w:t xml:space="preserve"> </w:t>
      </w:r>
      <w:r w:rsidRPr="008574E3">
        <w:rPr>
          <w:rFonts w:eastAsia="SimSun"/>
          <w:sz w:val="20"/>
          <w:vertAlign w:val="superscript"/>
        </w:rPr>
        <w:t xml:space="preserve"> </w:t>
      </w:r>
      <w:r w:rsidRPr="008574E3">
        <w:rPr>
          <w:rFonts w:eastAsia="SimSun"/>
          <w:sz w:val="20"/>
        </w:rPr>
        <w:t>见环境、渔业和水产养殖学中心，</w:t>
      </w:r>
      <w:r w:rsidRPr="008574E3">
        <w:rPr>
          <w:rFonts w:eastAsia="SimSun"/>
          <w:sz w:val="20"/>
        </w:rPr>
        <w:t>“</w:t>
      </w:r>
      <w:r w:rsidRPr="008574E3">
        <w:rPr>
          <w:rFonts w:eastAsia="SimSun"/>
          <w:sz w:val="20"/>
        </w:rPr>
        <w:t>用于识别和管理入侵性非本地水生物种的决策支持工具</w:t>
      </w:r>
      <w:r w:rsidRPr="008574E3">
        <w:rPr>
          <w:rFonts w:eastAsia="SimSun"/>
          <w:sz w:val="20"/>
        </w:rPr>
        <w:t>”</w:t>
      </w:r>
      <w:r w:rsidRPr="008574E3">
        <w:rPr>
          <w:rFonts w:eastAsia="SimSun"/>
          <w:sz w:val="20"/>
        </w:rPr>
        <w:t>，载于</w:t>
      </w:r>
      <w:hyperlink r:id="rId81" w:history="1">
        <w:r w:rsidRPr="008574E3">
          <w:rPr>
            <w:rStyle w:val="Hyperlink"/>
            <w:rFonts w:eastAsia="SimSun"/>
            <w:sz w:val="20"/>
          </w:rPr>
          <w:t>https://www.cefas.co.uk/expertise/research-advice-and-consultancy/non-native-species/decision-support-tools-for-the-identification-and-management-of-invasive-non-native-aquatic-species/</w:t>
        </w:r>
      </w:hyperlink>
      <w:r w:rsidRPr="008574E3">
        <w:rPr>
          <w:rFonts w:eastAsia="SimSun"/>
          <w:sz w:val="20"/>
        </w:rPr>
        <w:t>。</w:t>
      </w:r>
    </w:p>
  </w:footnote>
  <w:footnote w:id="197">
    <w:p w14:paraId="0D9900B4" w14:textId="7690D819" w:rsidR="005E77FA" w:rsidRPr="008574E3" w:rsidRDefault="005E77FA" w:rsidP="005E77FA">
      <w:pPr>
        <w:pStyle w:val="FootnoteText"/>
        <w:spacing w:after="60"/>
        <w:rPr>
          <w:rFonts w:eastAsia="SimSun"/>
          <w:sz w:val="20"/>
        </w:rPr>
      </w:pPr>
      <w:r w:rsidRPr="008574E3">
        <w:rPr>
          <w:rStyle w:val="FootnoteReference"/>
          <w:rFonts w:eastAsia="SimSun"/>
          <w:sz w:val="20"/>
        </w:rPr>
        <w:footnoteRef/>
      </w:r>
      <w:r w:rsidRPr="008574E3">
        <w:rPr>
          <w:rFonts w:eastAsia="SimSun"/>
          <w:sz w:val="20"/>
          <w:vertAlign w:val="superscript"/>
        </w:rPr>
        <w:t xml:space="preserve"> </w:t>
      </w:r>
      <w:r w:rsidR="008574E3">
        <w:rPr>
          <w:rFonts w:eastAsia="SimSun" w:hint="eastAsia"/>
          <w:sz w:val="20"/>
          <w:vertAlign w:val="superscript"/>
        </w:rPr>
        <w:t xml:space="preserve"> </w:t>
      </w:r>
      <w:r w:rsidRPr="008574E3">
        <w:rPr>
          <w:rFonts w:eastAsia="SimSun"/>
          <w:sz w:val="20"/>
        </w:rPr>
        <w:t>例如，国际植物保护公约植物检疫措施委员会通过的若干基于科学的虫害风险分析国际标准（见</w:t>
      </w:r>
      <w:hyperlink r:id="rId82" w:history="1">
        <w:r w:rsidRPr="008574E3">
          <w:rPr>
            <w:rStyle w:val="Hyperlink"/>
            <w:rFonts w:eastAsia="SimSun"/>
            <w:sz w:val="20"/>
          </w:rPr>
          <w:t>www.ippc.int/en/core-activities/standards-setting/ispms/</w:t>
        </w:r>
      </w:hyperlink>
      <w:r w:rsidRPr="008574E3">
        <w:rPr>
          <w:rFonts w:eastAsia="SimSun"/>
          <w:sz w:val="20"/>
        </w:rPr>
        <w:t>）。</w:t>
      </w:r>
    </w:p>
  </w:footnote>
  <w:footnote w:id="198">
    <w:p w14:paraId="41BCA333" w14:textId="2ABA3616" w:rsidR="005E77FA" w:rsidRPr="007751C8" w:rsidRDefault="005E77FA" w:rsidP="005E77FA">
      <w:pPr>
        <w:pStyle w:val="FootnoteText"/>
        <w:spacing w:after="60"/>
        <w:rPr>
          <w:sz w:val="20"/>
        </w:rPr>
      </w:pPr>
      <w:r w:rsidRPr="008574E3">
        <w:rPr>
          <w:rStyle w:val="FootnoteReference"/>
          <w:rFonts w:eastAsia="SimSun"/>
          <w:sz w:val="20"/>
        </w:rPr>
        <w:footnoteRef/>
      </w:r>
      <w:r w:rsidRPr="008574E3">
        <w:rPr>
          <w:rFonts w:eastAsia="SimSun"/>
          <w:sz w:val="20"/>
        </w:rPr>
        <w:t xml:space="preserve"> </w:t>
      </w:r>
      <w:r w:rsidR="008574E3">
        <w:rPr>
          <w:rFonts w:eastAsia="SimSun" w:hint="eastAsia"/>
          <w:sz w:val="20"/>
        </w:rPr>
        <w:t xml:space="preserve"> </w:t>
      </w:r>
      <w:r w:rsidRPr="008574E3">
        <w:rPr>
          <w:rFonts w:eastAsia="SimSun"/>
          <w:sz w:val="20"/>
        </w:rPr>
        <w:t>“</w:t>
      </w:r>
      <w:r w:rsidRPr="008574E3">
        <w:rPr>
          <w:rFonts w:eastAsia="SimSun"/>
          <w:sz w:val="20"/>
        </w:rPr>
        <w:t>自由、事先和知情同意</w:t>
      </w:r>
      <w:r w:rsidRPr="008574E3">
        <w:rPr>
          <w:rFonts w:eastAsia="SimSun"/>
          <w:sz w:val="20"/>
        </w:rPr>
        <w:t>”</w:t>
      </w:r>
      <w:r w:rsidRPr="008574E3">
        <w:rPr>
          <w:rFonts w:eastAsia="SimSun"/>
          <w:sz w:val="20"/>
        </w:rPr>
        <w:t>指三种表述，即</w:t>
      </w:r>
      <w:r w:rsidRPr="008574E3">
        <w:rPr>
          <w:rFonts w:eastAsia="SimSun"/>
          <w:sz w:val="20"/>
        </w:rPr>
        <w:t xml:space="preserve"> “</w:t>
      </w:r>
      <w:r w:rsidRPr="008574E3">
        <w:rPr>
          <w:rFonts w:eastAsia="SimSun"/>
          <w:sz w:val="20"/>
        </w:rPr>
        <w:t>事先和知情同意</w:t>
      </w:r>
      <w:r w:rsidRPr="008574E3">
        <w:rPr>
          <w:rFonts w:eastAsia="SimSun"/>
          <w:sz w:val="20"/>
        </w:rPr>
        <w:t xml:space="preserve">” </w:t>
      </w:r>
      <w:r w:rsidRPr="008574E3">
        <w:rPr>
          <w:rFonts w:eastAsia="SimSun"/>
          <w:sz w:val="20"/>
        </w:rPr>
        <w:t>、</w:t>
      </w:r>
      <w:r w:rsidRPr="008574E3">
        <w:rPr>
          <w:rFonts w:eastAsia="SimSun"/>
          <w:sz w:val="20"/>
        </w:rPr>
        <w:t xml:space="preserve"> “</w:t>
      </w:r>
      <w:r w:rsidRPr="008574E3">
        <w:rPr>
          <w:rFonts w:eastAsia="SimSun"/>
          <w:sz w:val="20"/>
        </w:rPr>
        <w:t>自由、事先和知情同意</w:t>
      </w:r>
      <w:r w:rsidRPr="008574E3">
        <w:rPr>
          <w:rFonts w:eastAsia="SimSun"/>
          <w:sz w:val="20"/>
        </w:rPr>
        <w:t xml:space="preserve">” </w:t>
      </w:r>
      <w:r w:rsidR="008574E3">
        <w:rPr>
          <w:rFonts w:eastAsia="SimSun" w:hint="eastAsia"/>
          <w:sz w:val="20"/>
        </w:rPr>
        <w:t>和</w:t>
      </w:r>
      <w:r w:rsidRPr="008574E3">
        <w:rPr>
          <w:rFonts w:eastAsia="SimSun"/>
          <w:sz w:val="20"/>
        </w:rPr>
        <w:t xml:space="preserve"> “</w:t>
      </w:r>
      <w:r w:rsidRPr="008574E3">
        <w:rPr>
          <w:rFonts w:eastAsia="SimSun"/>
          <w:sz w:val="20"/>
        </w:rPr>
        <w:t>批准和参与</w:t>
      </w:r>
      <w:r w:rsidRPr="008574E3">
        <w:rPr>
          <w:rFonts w:eastAsia="SimSun"/>
          <w:sz w:val="20"/>
        </w:rPr>
        <w:t>”</w:t>
      </w:r>
      <w:r w:rsidRPr="008574E3">
        <w:rPr>
          <w:rFonts w:eastAsia="SimSun"/>
          <w:sz w:val="20"/>
        </w:rPr>
        <w:t>。</w:t>
      </w:r>
    </w:p>
  </w:footnote>
  <w:footnote w:id="199">
    <w:p w14:paraId="7CCDC300" w14:textId="6E8AE3CE"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见第</w:t>
      </w:r>
      <w:hyperlink r:id="rId83" w:history="1">
        <w:r w:rsidRPr="00315B5A">
          <w:rPr>
            <w:rStyle w:val="Hyperlink"/>
            <w:rFonts w:eastAsia="SimSun"/>
            <w:sz w:val="20"/>
          </w:rPr>
          <w:t>15/27</w:t>
        </w:r>
      </w:hyperlink>
      <w:r w:rsidRPr="00315B5A">
        <w:rPr>
          <w:rFonts w:eastAsia="SimSun"/>
          <w:sz w:val="20"/>
        </w:rPr>
        <w:t>号决定第</w:t>
      </w:r>
      <w:r w:rsidRPr="00315B5A">
        <w:rPr>
          <w:rFonts w:eastAsia="SimSun"/>
          <w:sz w:val="20"/>
        </w:rPr>
        <w:t>5</w:t>
      </w:r>
      <w:r w:rsidRPr="00315B5A">
        <w:rPr>
          <w:rFonts w:eastAsia="SimSun"/>
          <w:sz w:val="20"/>
        </w:rPr>
        <w:t>段，其中缔约方大会鼓励缔约方促进数据分享。</w:t>
      </w:r>
    </w:p>
  </w:footnote>
  <w:footnote w:id="200">
    <w:p w14:paraId="7CBED148" w14:textId="61524028"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指采取措施预防引进、控制或消除外来入侵物种（</w:t>
      </w:r>
      <w:hyperlink r:id="rId84" w:history="1">
        <w:r w:rsidRPr="00315B5A">
          <w:rPr>
            <w:rStyle w:val="Hyperlink"/>
            <w:rFonts w:eastAsia="SimSun"/>
            <w:sz w:val="20"/>
          </w:rPr>
          <w:t>CBD/IAS/AHTEG/2019/1/2</w:t>
        </w:r>
      </w:hyperlink>
      <w:r w:rsidRPr="00315B5A">
        <w:rPr>
          <w:rFonts w:eastAsia="SimSun"/>
          <w:sz w:val="20"/>
        </w:rPr>
        <w:t>，第</w:t>
      </w:r>
      <w:r w:rsidRPr="00315B5A">
        <w:rPr>
          <w:rFonts w:eastAsia="SimSun"/>
          <w:sz w:val="20"/>
        </w:rPr>
        <w:t>13(e)</w:t>
      </w:r>
      <w:r w:rsidRPr="00315B5A">
        <w:rPr>
          <w:rFonts w:eastAsia="SimSun"/>
          <w:sz w:val="20"/>
        </w:rPr>
        <w:t>段）。</w:t>
      </w:r>
    </w:p>
  </w:footnote>
  <w:footnote w:id="201">
    <w:p w14:paraId="3F6FA1C8" w14:textId="2B743525"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vertAlign w:val="superscript"/>
        </w:rPr>
        <w:t xml:space="preserve"> </w:t>
      </w:r>
      <w:r w:rsidR="00315B5A">
        <w:rPr>
          <w:rFonts w:eastAsia="SimSun" w:hint="eastAsia"/>
          <w:sz w:val="20"/>
          <w:vertAlign w:val="superscript"/>
        </w:rPr>
        <w:t xml:space="preserve"> </w:t>
      </w:r>
      <w:r w:rsidRPr="00315B5A">
        <w:rPr>
          <w:rFonts w:eastAsia="SimSun"/>
          <w:sz w:val="20"/>
        </w:rPr>
        <w:t>例如，见</w:t>
      </w:r>
      <w:r w:rsidRPr="00315B5A">
        <w:rPr>
          <w:rFonts w:eastAsia="SimSun"/>
          <w:sz w:val="20"/>
        </w:rPr>
        <w:t>2016</w:t>
      </w:r>
      <w:r w:rsidRPr="00315B5A">
        <w:rPr>
          <w:rFonts w:eastAsia="SimSun"/>
          <w:sz w:val="20"/>
        </w:rPr>
        <w:t>年</w:t>
      </w:r>
      <w:r w:rsidRPr="00315B5A">
        <w:rPr>
          <w:rFonts w:eastAsia="SimSun"/>
          <w:sz w:val="20"/>
        </w:rPr>
        <w:t>10</w:t>
      </w:r>
      <w:r w:rsidRPr="00315B5A">
        <w:rPr>
          <w:rFonts w:eastAsia="SimSun"/>
          <w:sz w:val="20"/>
        </w:rPr>
        <w:t>月</w:t>
      </w:r>
      <w:r w:rsidRPr="00315B5A">
        <w:rPr>
          <w:rFonts w:eastAsia="SimSun"/>
          <w:sz w:val="20"/>
        </w:rPr>
        <w:t>26</w:t>
      </w:r>
      <w:r w:rsidRPr="00315B5A">
        <w:rPr>
          <w:rFonts w:eastAsia="SimSun"/>
          <w:sz w:val="20"/>
        </w:rPr>
        <w:t>日欧洲理事会议会关于植物害虫预防措施的</w:t>
      </w:r>
      <w:r w:rsidRPr="00315B5A">
        <w:rPr>
          <w:rFonts w:eastAsia="SimSun"/>
          <w:sz w:val="20"/>
        </w:rPr>
        <w:t xml:space="preserve"> </w:t>
      </w:r>
      <w:r w:rsidRPr="00315B5A">
        <w:rPr>
          <w:rFonts w:eastAsia="SimSun"/>
          <w:sz w:val="20"/>
        </w:rPr>
        <w:t>（</w:t>
      </w:r>
      <w:r w:rsidRPr="00315B5A">
        <w:rPr>
          <w:rFonts w:eastAsia="SimSun"/>
          <w:sz w:val="20"/>
        </w:rPr>
        <w:t>EU</w:t>
      </w:r>
      <w:r w:rsidRPr="00315B5A">
        <w:rPr>
          <w:rFonts w:eastAsia="SimSun"/>
          <w:sz w:val="20"/>
        </w:rPr>
        <w:t>）</w:t>
      </w:r>
      <w:r w:rsidRPr="00315B5A">
        <w:rPr>
          <w:rFonts w:eastAsia="SimSun"/>
          <w:sz w:val="20"/>
        </w:rPr>
        <w:t xml:space="preserve"> </w:t>
      </w:r>
      <w:r w:rsidRPr="00315B5A">
        <w:rPr>
          <w:rFonts w:eastAsia="SimSun"/>
          <w:sz w:val="20"/>
        </w:rPr>
        <w:t>第</w:t>
      </w:r>
      <w:r w:rsidRPr="00315B5A">
        <w:rPr>
          <w:rFonts w:eastAsia="SimSun"/>
          <w:sz w:val="20"/>
        </w:rPr>
        <w:t>2016/2031</w:t>
      </w:r>
      <w:r w:rsidRPr="00315B5A">
        <w:rPr>
          <w:rFonts w:eastAsia="SimSun"/>
          <w:sz w:val="20"/>
        </w:rPr>
        <w:t>号条例。</w:t>
      </w:r>
    </w:p>
  </w:footnote>
  <w:footnote w:id="202">
    <w:p w14:paraId="389E3B6A" w14:textId="24279486"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vertAlign w:val="superscript"/>
        </w:rPr>
        <w:t xml:space="preserve"> </w:t>
      </w:r>
      <w:r w:rsidR="00315B5A">
        <w:rPr>
          <w:rFonts w:eastAsia="SimSun" w:hint="eastAsia"/>
          <w:sz w:val="20"/>
          <w:vertAlign w:val="superscript"/>
        </w:rPr>
        <w:t xml:space="preserve"> </w:t>
      </w:r>
      <w:r w:rsidRPr="00315B5A">
        <w:rPr>
          <w:rFonts w:eastAsia="SimSun"/>
          <w:sz w:val="20"/>
        </w:rPr>
        <w:t>这种清单可能是针对某具体地区或物种的。</w:t>
      </w:r>
    </w:p>
  </w:footnote>
  <w:footnote w:id="203">
    <w:p w14:paraId="295A2F78" w14:textId="1D79A87B" w:rsidR="005E77FA" w:rsidRPr="007751C8" w:rsidRDefault="005E77FA" w:rsidP="005E77FA">
      <w:pPr>
        <w:pStyle w:val="FootnoteText"/>
        <w:spacing w:after="60"/>
        <w:rPr>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例如欧洲外来物种信息网。</w:t>
      </w:r>
    </w:p>
  </w:footnote>
  <w:footnote w:id="204">
    <w:p w14:paraId="03DBDFE5" w14:textId="3900F7F0" w:rsidR="005E77FA" w:rsidRPr="00315B5A" w:rsidRDefault="005E77FA" w:rsidP="005E77FA">
      <w:pPr>
        <w:pStyle w:val="CBDFootnoteText"/>
        <w:spacing w:after="60"/>
        <w:rPr>
          <w:rFonts w:eastAsia="SimSun"/>
          <w:sz w:val="20"/>
          <w:szCs w:val="20"/>
          <w:lang w:eastAsia="zh-CN"/>
        </w:rPr>
      </w:pPr>
      <w:r w:rsidRPr="00315B5A">
        <w:rPr>
          <w:rStyle w:val="FootnoteReference"/>
          <w:rFonts w:eastAsia="SimSun"/>
          <w:sz w:val="20"/>
          <w:szCs w:val="20"/>
          <w:lang w:eastAsia="zh-CN"/>
        </w:rPr>
        <w:footnoteRef/>
      </w:r>
      <w:r w:rsidR="00315B5A">
        <w:rPr>
          <w:rFonts w:eastAsia="SimSun" w:hint="eastAsia"/>
          <w:sz w:val="20"/>
          <w:szCs w:val="20"/>
          <w:lang w:eastAsia="zh-CN"/>
        </w:rPr>
        <w:t xml:space="preserve"> </w:t>
      </w:r>
      <w:r w:rsidRPr="00315B5A">
        <w:rPr>
          <w:rFonts w:eastAsia="SimSun"/>
          <w:sz w:val="20"/>
          <w:szCs w:val="20"/>
          <w:lang w:eastAsia="zh-CN"/>
        </w:rPr>
        <w:t xml:space="preserve"> </w:t>
      </w:r>
      <w:r w:rsidRPr="00315B5A">
        <w:rPr>
          <w:rFonts w:eastAsia="SimSun"/>
          <w:sz w:val="20"/>
          <w:szCs w:val="20"/>
          <w:lang w:eastAsia="zh-CN"/>
        </w:rPr>
        <w:t>第</w:t>
      </w:r>
      <w:r w:rsidRPr="00315B5A">
        <w:rPr>
          <w:rFonts w:eastAsia="SimSun"/>
          <w:sz w:val="20"/>
          <w:szCs w:val="20"/>
          <w:lang w:eastAsia="zh-CN"/>
        </w:rPr>
        <w:t xml:space="preserve"> </w:t>
      </w:r>
      <w:hyperlink r:id="rId85" w:history="1">
        <w:r w:rsidRPr="00315B5A">
          <w:rPr>
            <w:rStyle w:val="Hyperlink"/>
            <w:rFonts w:eastAsia="SimSun"/>
            <w:sz w:val="20"/>
            <w:szCs w:val="20"/>
            <w:lang w:eastAsia="zh-CN"/>
          </w:rPr>
          <w:t>15/4</w:t>
        </w:r>
      </w:hyperlink>
      <w:r w:rsidRPr="00315B5A">
        <w:rPr>
          <w:rFonts w:eastAsia="SimSun"/>
          <w:sz w:val="20"/>
          <w:szCs w:val="20"/>
          <w:lang w:eastAsia="zh-CN"/>
        </w:rPr>
        <w:t>号决定，附件。</w:t>
      </w:r>
    </w:p>
  </w:footnote>
  <w:footnote w:id="205">
    <w:p w14:paraId="25290ABE" w14:textId="75349670"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见第</w:t>
      </w:r>
      <w:hyperlink r:id="rId86" w:history="1">
        <w:r w:rsidRPr="00315B5A">
          <w:rPr>
            <w:rStyle w:val="Hyperlink"/>
            <w:rFonts w:eastAsia="SimSun"/>
            <w:sz w:val="20"/>
          </w:rPr>
          <w:t>XII/17</w:t>
        </w:r>
      </w:hyperlink>
      <w:r w:rsidRPr="00315B5A">
        <w:rPr>
          <w:rFonts w:eastAsia="SimSun"/>
          <w:sz w:val="20"/>
        </w:rPr>
        <w:t>号决定</w:t>
      </w:r>
      <w:r w:rsidRPr="00315B5A">
        <w:rPr>
          <w:rFonts w:eastAsia="SimSun"/>
          <w:sz w:val="20"/>
        </w:rPr>
        <w:t>9(d)</w:t>
      </w:r>
      <w:r w:rsidRPr="00315B5A">
        <w:rPr>
          <w:rFonts w:eastAsia="SimSun"/>
          <w:sz w:val="20"/>
        </w:rPr>
        <w:t>段。</w:t>
      </w:r>
      <w:r w:rsidRPr="00315B5A">
        <w:rPr>
          <w:rFonts w:eastAsia="SimSun"/>
          <w:sz w:val="20"/>
        </w:rPr>
        <w:t xml:space="preserve"> </w:t>
      </w:r>
    </w:p>
  </w:footnote>
  <w:footnote w:id="206">
    <w:p w14:paraId="328DD77E" w14:textId="7D7C483C"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例如，见养护欧洲野生生物和自然生境公约</w:t>
      </w:r>
      <w:r w:rsidRPr="00315B5A">
        <w:rPr>
          <w:rFonts w:eastAsia="SimSun"/>
          <w:sz w:val="20"/>
        </w:rPr>
        <w:t>T-PVS/Inf(2021)39</w:t>
      </w:r>
      <w:r w:rsidRPr="00315B5A">
        <w:rPr>
          <w:rFonts w:eastAsia="SimSun"/>
          <w:sz w:val="20"/>
        </w:rPr>
        <w:t>号文件。</w:t>
      </w:r>
    </w:p>
  </w:footnote>
  <w:footnote w:id="207">
    <w:p w14:paraId="0690C6A8" w14:textId="23EC2840"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例如，见</w:t>
      </w:r>
      <w:r w:rsidRPr="00315B5A">
        <w:rPr>
          <w:rFonts w:eastAsia="SimSun"/>
          <w:sz w:val="20"/>
        </w:rPr>
        <w:t>2016</w:t>
      </w:r>
      <w:r w:rsidRPr="00315B5A">
        <w:rPr>
          <w:rFonts w:eastAsia="SimSun"/>
          <w:sz w:val="20"/>
        </w:rPr>
        <w:t>年</w:t>
      </w:r>
      <w:r w:rsidRPr="00315B5A">
        <w:rPr>
          <w:rFonts w:eastAsia="SimSun"/>
          <w:sz w:val="20"/>
        </w:rPr>
        <w:t>10</w:t>
      </w:r>
      <w:r w:rsidRPr="00315B5A">
        <w:rPr>
          <w:rFonts w:eastAsia="SimSun"/>
          <w:sz w:val="20"/>
        </w:rPr>
        <w:t>月</w:t>
      </w:r>
      <w:r w:rsidRPr="00315B5A">
        <w:rPr>
          <w:rFonts w:eastAsia="SimSun"/>
          <w:sz w:val="20"/>
        </w:rPr>
        <w:t>26</w:t>
      </w:r>
      <w:r w:rsidRPr="00315B5A">
        <w:rPr>
          <w:rFonts w:eastAsia="SimSun"/>
          <w:sz w:val="20"/>
        </w:rPr>
        <w:t>日欧洲理事会议会关于植物害虫预防措施的</w:t>
      </w:r>
      <w:r w:rsidRPr="00315B5A">
        <w:rPr>
          <w:rFonts w:eastAsia="SimSun"/>
          <w:sz w:val="20"/>
        </w:rPr>
        <w:t xml:space="preserve"> </w:t>
      </w:r>
      <w:r w:rsidRPr="00315B5A">
        <w:rPr>
          <w:rFonts w:eastAsia="SimSun"/>
          <w:sz w:val="20"/>
        </w:rPr>
        <w:t>（</w:t>
      </w:r>
      <w:r w:rsidRPr="00315B5A">
        <w:rPr>
          <w:rFonts w:eastAsia="SimSun"/>
          <w:sz w:val="20"/>
        </w:rPr>
        <w:t>EU</w:t>
      </w:r>
      <w:r w:rsidRPr="00315B5A">
        <w:rPr>
          <w:rFonts w:eastAsia="SimSun"/>
          <w:sz w:val="20"/>
        </w:rPr>
        <w:t>）</w:t>
      </w:r>
      <w:r w:rsidRPr="00315B5A">
        <w:rPr>
          <w:rFonts w:eastAsia="SimSun"/>
          <w:sz w:val="20"/>
        </w:rPr>
        <w:t xml:space="preserve"> </w:t>
      </w:r>
      <w:r w:rsidRPr="00315B5A">
        <w:rPr>
          <w:rFonts w:eastAsia="SimSun"/>
          <w:sz w:val="20"/>
        </w:rPr>
        <w:t>第</w:t>
      </w:r>
      <w:r w:rsidRPr="00315B5A">
        <w:rPr>
          <w:rFonts w:eastAsia="SimSun"/>
          <w:sz w:val="20"/>
        </w:rPr>
        <w:t xml:space="preserve"> 2016/2031</w:t>
      </w:r>
      <w:r w:rsidRPr="00315B5A">
        <w:rPr>
          <w:rFonts w:eastAsia="SimSun"/>
          <w:sz w:val="20"/>
        </w:rPr>
        <w:t>号条例。</w:t>
      </w:r>
    </w:p>
  </w:footnote>
  <w:footnote w:id="208">
    <w:p w14:paraId="7B21D240" w14:textId="35D0DBDE"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vertAlign w:val="superscript"/>
        </w:rPr>
        <w:t xml:space="preserve"> </w:t>
      </w:r>
      <w:r w:rsidR="00315B5A">
        <w:rPr>
          <w:rFonts w:eastAsia="SimSun" w:hint="eastAsia"/>
          <w:sz w:val="20"/>
          <w:vertAlign w:val="superscript"/>
        </w:rPr>
        <w:t xml:space="preserve"> </w:t>
      </w:r>
      <w:r w:rsidRPr="00315B5A">
        <w:rPr>
          <w:rFonts w:eastAsia="SimSun"/>
          <w:sz w:val="20"/>
        </w:rPr>
        <w:t>野生生物被定义为野生动物和野生植物。</w:t>
      </w:r>
    </w:p>
  </w:footnote>
  <w:footnote w:id="209">
    <w:p w14:paraId="5B8BDC6E" w14:textId="6DA6BACE" w:rsidR="005E77FA" w:rsidRPr="00A603AC" w:rsidRDefault="005E77FA" w:rsidP="005E77FA">
      <w:pPr>
        <w:pStyle w:val="FootnoteText"/>
        <w:spacing w:after="60" w:line="240" w:lineRule="atLeast"/>
        <w:rPr>
          <w:rFonts w:eastAsia="SimSun"/>
          <w:sz w:val="20"/>
        </w:rPr>
      </w:pPr>
      <w:r w:rsidRPr="00A603AC">
        <w:rPr>
          <w:rStyle w:val="FootnoteReference"/>
          <w:rFonts w:eastAsia="SimSun"/>
          <w:sz w:val="20"/>
        </w:rPr>
        <w:footnoteRef/>
      </w:r>
      <w:r w:rsidR="00A603AC" w:rsidRPr="00A603AC">
        <w:rPr>
          <w:rFonts w:eastAsia="SimSun"/>
          <w:sz w:val="20"/>
          <w:vertAlign w:val="superscript"/>
        </w:rPr>
        <w:t xml:space="preserve"> </w:t>
      </w:r>
      <w:r w:rsidR="00A603AC" w:rsidRPr="00A603AC">
        <w:rPr>
          <w:rFonts w:eastAsia="SimSun"/>
          <w:sz w:val="20"/>
        </w:rPr>
        <w:t xml:space="preserve"> </w:t>
      </w:r>
      <w:r w:rsidRPr="00A603AC">
        <w:rPr>
          <w:rFonts w:eastAsia="SimSun"/>
          <w:sz w:val="20"/>
        </w:rPr>
        <w:t>见</w:t>
      </w:r>
      <w:hyperlink r:id="rId87" w:history="1">
        <w:r w:rsidRPr="00A603AC">
          <w:rPr>
            <w:rStyle w:val="Hyperlink"/>
            <w:rFonts w:eastAsia="SimSun"/>
            <w:sz w:val="20"/>
          </w:rPr>
          <w:t>www.griis.org</w:t>
        </w:r>
      </w:hyperlink>
      <w:r w:rsidRPr="00A603AC">
        <w:rPr>
          <w:rFonts w:eastAsia="SimSun"/>
          <w:sz w:val="20"/>
        </w:rPr>
        <w:t>。</w:t>
      </w:r>
    </w:p>
  </w:footnote>
  <w:footnote w:id="210">
    <w:p w14:paraId="1F94597B" w14:textId="2BDABC15" w:rsidR="005E77FA" w:rsidRPr="00315B5A" w:rsidRDefault="005E77FA" w:rsidP="005E77FA">
      <w:pPr>
        <w:pStyle w:val="FootnoteText"/>
        <w:spacing w:after="60" w:line="240" w:lineRule="atLeast"/>
        <w:rPr>
          <w:rFonts w:eastAsia="SimSun"/>
          <w:sz w:val="20"/>
        </w:rPr>
      </w:pPr>
      <w:r w:rsidRPr="00A603AC">
        <w:rPr>
          <w:rStyle w:val="FootnoteReference"/>
          <w:rFonts w:eastAsia="SimSun"/>
          <w:sz w:val="20"/>
        </w:rPr>
        <w:footnoteRef/>
      </w:r>
      <w:r w:rsidR="00A603AC" w:rsidRPr="00A603AC">
        <w:rPr>
          <w:rFonts w:eastAsia="SimSun"/>
          <w:sz w:val="20"/>
        </w:rPr>
        <w:t xml:space="preserve">  </w:t>
      </w:r>
      <w:r w:rsidRPr="00A603AC">
        <w:rPr>
          <w:rFonts w:eastAsia="SimSun"/>
          <w:sz w:val="20"/>
        </w:rPr>
        <w:t>见</w:t>
      </w:r>
      <w:hyperlink r:id="rId88" w:history="1">
        <w:r w:rsidRPr="00A603AC">
          <w:rPr>
            <w:rStyle w:val="Hyperlink"/>
            <w:rFonts w:eastAsia="SimSun"/>
            <w:sz w:val="20"/>
          </w:rPr>
          <w:t>www.wto.org/english/tratop_e/serv_e/gatsintr_e.htm</w:t>
        </w:r>
      </w:hyperlink>
      <w:r w:rsidRPr="00A603AC">
        <w:rPr>
          <w:rFonts w:eastAsia="SimSun"/>
          <w:caps/>
          <w:kern w:val="22"/>
          <w:sz w:val="20"/>
          <w:lang w:val="en-GB"/>
        </w:rPr>
        <w:t>。</w:t>
      </w:r>
    </w:p>
  </w:footnote>
  <w:footnote w:id="211">
    <w:p w14:paraId="19397E48" w14:textId="14139CC2" w:rsidR="005E77FA" w:rsidRPr="00315B5A" w:rsidRDefault="005E77FA" w:rsidP="005E77FA">
      <w:pPr>
        <w:pStyle w:val="FootnoteText"/>
        <w:spacing w:after="60"/>
        <w:rPr>
          <w:rFonts w:eastAsia="SimSun"/>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见</w:t>
      </w:r>
      <w:hyperlink r:id="rId89" w:history="1">
        <w:r w:rsidRPr="00315B5A">
          <w:rPr>
            <w:rStyle w:val="Hyperlink"/>
            <w:rFonts w:eastAsia="SimSun"/>
            <w:sz w:val="20"/>
          </w:rPr>
          <w:t>www.wcoomd.org/~/media/wco/public/global/pdf/topics/facilitation/activities-and-programmes/tf-negociations/wco-docs/info-sheets-on-tf-measures/single-window-concept.pdf</w:t>
        </w:r>
      </w:hyperlink>
      <w:r w:rsidRPr="00315B5A">
        <w:rPr>
          <w:rFonts w:eastAsia="SimSun"/>
          <w:caps/>
          <w:kern w:val="22"/>
          <w:sz w:val="20"/>
          <w:lang w:val="en-GB"/>
        </w:rPr>
        <w:t>。</w:t>
      </w:r>
    </w:p>
  </w:footnote>
  <w:footnote w:id="212">
    <w:p w14:paraId="4DAE4548" w14:textId="4F717DB7" w:rsidR="005E77FA" w:rsidRPr="007751C8" w:rsidRDefault="005E77FA" w:rsidP="005E77FA">
      <w:pPr>
        <w:pStyle w:val="FootnoteText"/>
        <w:spacing w:after="60"/>
        <w:rPr>
          <w:sz w:val="20"/>
        </w:rPr>
      </w:pPr>
      <w:r w:rsidRPr="00315B5A">
        <w:rPr>
          <w:rStyle w:val="FootnoteReference"/>
          <w:rFonts w:eastAsia="SimSun"/>
          <w:sz w:val="20"/>
        </w:rPr>
        <w:footnoteRef/>
      </w:r>
      <w:r w:rsidRPr="00315B5A">
        <w:rPr>
          <w:rFonts w:eastAsia="SimSun"/>
          <w:sz w:val="20"/>
        </w:rPr>
        <w:t xml:space="preserve"> </w:t>
      </w:r>
      <w:r w:rsidR="00315B5A">
        <w:rPr>
          <w:rFonts w:eastAsia="SimSun" w:hint="eastAsia"/>
          <w:sz w:val="20"/>
        </w:rPr>
        <w:t xml:space="preserve"> </w:t>
      </w:r>
      <w:r w:rsidRPr="00315B5A">
        <w:rPr>
          <w:rFonts w:eastAsia="SimSun"/>
          <w:sz w:val="20"/>
        </w:rPr>
        <w:t>见</w:t>
      </w:r>
      <w:hyperlink r:id="rId90" w:history="1">
        <w:r w:rsidRPr="00315B5A">
          <w:rPr>
            <w:rStyle w:val="Hyperlink"/>
            <w:rFonts w:eastAsia="SimSun"/>
            <w:sz w:val="20"/>
          </w:rPr>
          <w:t>https://easin.jrc.ec.europa.eu/easin</w:t>
        </w:r>
      </w:hyperlink>
      <w:r w:rsidRPr="00315B5A">
        <w:rPr>
          <w:rFonts w:eastAsia="SimSun"/>
          <w:sz w:val="20"/>
        </w:rPr>
        <w:t>。</w:t>
      </w:r>
    </w:p>
  </w:footnote>
  <w:footnote w:id="213">
    <w:p w14:paraId="31A4ACAE" w14:textId="1C28F51A" w:rsidR="005E77FA" w:rsidRPr="007751C8" w:rsidRDefault="005E77FA" w:rsidP="005E77FA">
      <w:pPr>
        <w:pStyle w:val="FootnoteText"/>
        <w:spacing w:after="60"/>
        <w:rPr>
          <w:sz w:val="20"/>
        </w:rPr>
      </w:pPr>
      <w:r w:rsidRPr="007751C8">
        <w:rPr>
          <w:rStyle w:val="FootnoteReference"/>
          <w:sz w:val="20"/>
        </w:rPr>
        <w:footnoteRef/>
      </w:r>
      <w:r w:rsidRPr="007751C8">
        <w:rPr>
          <w:sz w:val="20"/>
          <w:vertAlign w:val="superscript"/>
        </w:rPr>
        <w:t xml:space="preserve"> </w:t>
      </w:r>
      <w:r w:rsidRPr="007751C8">
        <w:rPr>
          <w:sz w:val="20"/>
        </w:rPr>
        <w:t xml:space="preserve"> </w:t>
      </w:r>
      <w:r w:rsidRPr="00315B5A">
        <w:rPr>
          <w:rFonts w:eastAsia="SimSun"/>
          <w:sz w:val="20"/>
        </w:rPr>
        <w:t>“</w:t>
      </w:r>
      <w:r w:rsidRPr="00315B5A">
        <w:rPr>
          <w:rFonts w:eastAsia="SimSun"/>
          <w:sz w:val="20"/>
        </w:rPr>
        <w:t>自由、事先和知情同意</w:t>
      </w:r>
      <w:r w:rsidRPr="00315B5A">
        <w:rPr>
          <w:rFonts w:eastAsia="SimSun"/>
          <w:sz w:val="20"/>
        </w:rPr>
        <w:t>”</w:t>
      </w:r>
      <w:r w:rsidRPr="00315B5A">
        <w:rPr>
          <w:rFonts w:eastAsia="SimSun"/>
          <w:sz w:val="20"/>
        </w:rPr>
        <w:t>指三种表述，即</w:t>
      </w:r>
      <w:r w:rsidRPr="00315B5A">
        <w:rPr>
          <w:rFonts w:eastAsia="SimSun"/>
          <w:sz w:val="20"/>
        </w:rPr>
        <w:t xml:space="preserve"> “</w:t>
      </w:r>
      <w:r w:rsidRPr="00315B5A">
        <w:rPr>
          <w:rFonts w:eastAsia="SimSun"/>
          <w:sz w:val="20"/>
        </w:rPr>
        <w:t>事先和知情同意</w:t>
      </w:r>
      <w:r w:rsidRPr="00315B5A">
        <w:rPr>
          <w:rFonts w:eastAsia="SimSun"/>
          <w:sz w:val="20"/>
        </w:rPr>
        <w:t xml:space="preserve">” </w:t>
      </w:r>
      <w:r w:rsidRPr="00315B5A">
        <w:rPr>
          <w:rFonts w:eastAsia="SimSun"/>
          <w:sz w:val="20"/>
        </w:rPr>
        <w:t>、</w:t>
      </w:r>
      <w:r w:rsidRPr="00315B5A">
        <w:rPr>
          <w:rFonts w:eastAsia="SimSun"/>
          <w:sz w:val="20"/>
        </w:rPr>
        <w:t xml:space="preserve"> “</w:t>
      </w:r>
      <w:r w:rsidRPr="00315B5A">
        <w:rPr>
          <w:rFonts w:eastAsia="SimSun"/>
          <w:sz w:val="20"/>
        </w:rPr>
        <w:t>自由、事先和知情同意</w:t>
      </w:r>
      <w:r w:rsidRPr="00315B5A">
        <w:rPr>
          <w:rFonts w:eastAsia="SimSun"/>
          <w:sz w:val="20"/>
        </w:rPr>
        <w:t xml:space="preserve">” </w:t>
      </w:r>
      <w:r w:rsidR="00315B5A">
        <w:rPr>
          <w:rFonts w:eastAsia="SimSun" w:hint="eastAsia"/>
          <w:sz w:val="20"/>
        </w:rPr>
        <w:t>和</w:t>
      </w:r>
      <w:r w:rsidRPr="00315B5A">
        <w:rPr>
          <w:rFonts w:eastAsia="SimSun"/>
          <w:sz w:val="20"/>
        </w:rPr>
        <w:t xml:space="preserve"> “</w:t>
      </w:r>
      <w:r w:rsidRPr="00315B5A">
        <w:rPr>
          <w:rFonts w:eastAsia="SimSun"/>
          <w:sz w:val="20"/>
        </w:rPr>
        <w:t>批准和参与</w:t>
      </w:r>
      <w:r w:rsidRPr="00315B5A">
        <w:rPr>
          <w:rFonts w:eastAsia="SimSun"/>
          <w:sz w:val="20"/>
        </w:rPr>
        <w:t>”</w:t>
      </w:r>
      <w:r w:rsidRPr="00315B5A">
        <w:rPr>
          <w:rFonts w:eastAsia="SimSun"/>
          <w:sz w:val="20"/>
        </w:rPr>
        <w:t>。</w:t>
      </w:r>
    </w:p>
  </w:footnote>
  <w:footnote w:id="214">
    <w:p w14:paraId="15815AAB" w14:textId="77777777"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Pr="00727A7A">
        <w:rPr>
          <w:rFonts w:eastAsia="SimSun"/>
          <w:sz w:val="20"/>
          <w:vertAlign w:val="superscript"/>
        </w:rPr>
        <w:t xml:space="preserve"> </w:t>
      </w:r>
      <w:r w:rsidRPr="00727A7A">
        <w:rPr>
          <w:rFonts w:eastAsia="SimSun"/>
          <w:sz w:val="20"/>
        </w:rPr>
        <w:t>《国际植物保护公约》的《</w:t>
      </w:r>
      <w:r w:rsidRPr="00727A7A">
        <w:rPr>
          <w:rFonts w:eastAsia="SimSun"/>
          <w:sz w:val="20"/>
        </w:rPr>
        <w:t>2020–2030</w:t>
      </w:r>
      <w:r w:rsidRPr="00727A7A">
        <w:rPr>
          <w:rFonts w:eastAsia="SimSun"/>
          <w:sz w:val="20"/>
        </w:rPr>
        <w:t>年战略框架》将电子商务以及邮政和快递路径的管理确定为八个发展议程项目之一（见《国际植物保护公约》，植物、植物产品和其他受管制物品</w:t>
      </w:r>
      <w:r w:rsidRPr="00727A7A">
        <w:rPr>
          <w:rFonts w:eastAsia="SimSun"/>
          <w:sz w:val="20"/>
        </w:rPr>
        <w:t>IPPC</w:t>
      </w:r>
      <w:r w:rsidRPr="00727A7A">
        <w:rPr>
          <w:rFonts w:eastAsia="SimSun"/>
          <w:sz w:val="20"/>
        </w:rPr>
        <w:t>电子商务指导意见大纲（</w:t>
      </w:r>
      <w:r w:rsidRPr="00727A7A">
        <w:rPr>
          <w:rFonts w:eastAsia="SimSun"/>
          <w:sz w:val="20"/>
        </w:rPr>
        <w:t>2017-039</w:t>
      </w:r>
      <w:r w:rsidRPr="00727A7A">
        <w:rPr>
          <w:rFonts w:eastAsia="SimSun"/>
          <w:sz w:val="20"/>
        </w:rPr>
        <w:t>））。</w:t>
      </w:r>
    </w:p>
  </w:footnote>
  <w:footnote w:id="215">
    <w:p w14:paraId="1E80023A" w14:textId="50E179D3"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00727A7A">
        <w:rPr>
          <w:rFonts w:eastAsia="SimSun" w:hint="eastAsia"/>
          <w:sz w:val="20"/>
        </w:rPr>
        <w:t xml:space="preserve"> </w:t>
      </w:r>
      <w:r w:rsidRPr="00727A7A">
        <w:rPr>
          <w:rFonts w:eastAsia="SimSun"/>
          <w:sz w:val="20"/>
        </w:rPr>
        <w:t xml:space="preserve"> </w:t>
      </w:r>
      <w:r w:rsidRPr="00727A7A">
        <w:rPr>
          <w:rFonts w:eastAsia="SimSun"/>
          <w:sz w:val="20"/>
        </w:rPr>
        <w:t>世界海关组织《安全标准框架》提供了这一框架。</w:t>
      </w:r>
    </w:p>
  </w:footnote>
  <w:footnote w:id="216">
    <w:p w14:paraId="2FE23613" w14:textId="750B7DD3"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00727A7A">
        <w:rPr>
          <w:rFonts w:eastAsia="SimSun" w:hint="eastAsia"/>
          <w:sz w:val="20"/>
        </w:rPr>
        <w:t xml:space="preserve"> </w:t>
      </w:r>
      <w:r w:rsidRPr="00727A7A">
        <w:rPr>
          <w:rFonts w:eastAsia="SimSun"/>
          <w:sz w:val="20"/>
        </w:rPr>
        <w:t xml:space="preserve"> </w:t>
      </w:r>
      <w:r w:rsidRPr="00727A7A">
        <w:rPr>
          <w:rFonts w:eastAsia="SimSun"/>
          <w:kern w:val="18"/>
          <w:sz w:val="20"/>
        </w:rPr>
        <w:t>见世界海关组织《特许经营者方案简编》。</w:t>
      </w:r>
    </w:p>
  </w:footnote>
  <w:footnote w:id="217">
    <w:p w14:paraId="144149ED" w14:textId="54E6F040"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Pr="00727A7A">
        <w:rPr>
          <w:rFonts w:eastAsia="SimSun"/>
          <w:sz w:val="20"/>
          <w:vertAlign w:val="superscript"/>
        </w:rPr>
        <w:t xml:space="preserve"> </w:t>
      </w:r>
      <w:r w:rsidR="00727A7A">
        <w:rPr>
          <w:rFonts w:eastAsia="SimSun" w:hint="eastAsia"/>
          <w:sz w:val="20"/>
          <w:vertAlign w:val="superscript"/>
        </w:rPr>
        <w:t xml:space="preserve"> </w:t>
      </w:r>
      <w:r w:rsidRPr="00727A7A">
        <w:rPr>
          <w:rFonts w:eastAsia="SimSun"/>
          <w:sz w:val="20"/>
        </w:rPr>
        <w:t>见国际植物保护公约</w:t>
      </w:r>
      <w:r w:rsidRPr="00727A7A">
        <w:rPr>
          <w:rFonts w:eastAsia="SimSun"/>
          <w:sz w:val="20"/>
        </w:rPr>
        <w:t>EPhyto</w:t>
      </w:r>
      <w:r w:rsidRPr="00727A7A">
        <w:rPr>
          <w:rFonts w:eastAsia="SimSun"/>
          <w:sz w:val="20"/>
        </w:rPr>
        <w:t>解决方案。见</w:t>
      </w:r>
      <w:hyperlink r:id="rId91" w:history="1">
        <w:r w:rsidRPr="00727A7A">
          <w:rPr>
            <w:rStyle w:val="Hyperlink"/>
            <w:rFonts w:eastAsia="SimSun"/>
            <w:sz w:val="20"/>
          </w:rPr>
          <w:t>www.ippc.int/en/ephyto/</w:t>
        </w:r>
      </w:hyperlink>
      <w:r w:rsidRPr="00727A7A">
        <w:rPr>
          <w:rFonts w:eastAsia="SimSun"/>
          <w:kern w:val="18"/>
          <w:sz w:val="20"/>
        </w:rPr>
        <w:t>。</w:t>
      </w:r>
    </w:p>
  </w:footnote>
  <w:footnote w:id="218">
    <w:p w14:paraId="27BDC677" w14:textId="3A9BB6F8"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00727A7A">
        <w:rPr>
          <w:rFonts w:eastAsia="SimSun" w:hint="eastAsia"/>
          <w:sz w:val="20"/>
        </w:rPr>
        <w:t xml:space="preserve"> </w:t>
      </w:r>
      <w:r w:rsidRPr="00727A7A">
        <w:rPr>
          <w:rFonts w:eastAsia="SimSun"/>
          <w:sz w:val="20"/>
        </w:rPr>
        <w:t xml:space="preserve"> </w:t>
      </w:r>
      <w:r w:rsidRPr="00727A7A">
        <w:rPr>
          <w:rFonts w:eastAsia="SimSun"/>
          <w:sz w:val="20"/>
        </w:rPr>
        <w:t>包括水生物种，因为许多规定都集中在陆地害虫和疾病上。</w:t>
      </w:r>
    </w:p>
  </w:footnote>
  <w:footnote w:id="219">
    <w:p w14:paraId="36739401" w14:textId="02C71B45" w:rsidR="005E77FA" w:rsidRPr="007751C8" w:rsidRDefault="005E77FA" w:rsidP="005E77FA">
      <w:pPr>
        <w:pStyle w:val="FootnoteText"/>
        <w:spacing w:after="60"/>
        <w:rPr>
          <w:sz w:val="20"/>
        </w:rPr>
      </w:pPr>
      <w:r w:rsidRPr="00727A7A">
        <w:rPr>
          <w:rStyle w:val="FootnoteReference"/>
          <w:rFonts w:eastAsia="SimSun"/>
          <w:sz w:val="20"/>
        </w:rPr>
        <w:footnoteRef/>
      </w:r>
      <w:r w:rsidRPr="00727A7A">
        <w:rPr>
          <w:rFonts w:eastAsia="SimSun"/>
          <w:sz w:val="20"/>
          <w:vertAlign w:val="superscript"/>
        </w:rPr>
        <w:t xml:space="preserve"> </w:t>
      </w:r>
      <w:r w:rsidR="00727A7A">
        <w:rPr>
          <w:rFonts w:eastAsia="SimSun" w:hint="eastAsia"/>
          <w:sz w:val="20"/>
          <w:vertAlign w:val="superscript"/>
        </w:rPr>
        <w:t xml:space="preserve"> </w:t>
      </w:r>
      <w:r w:rsidRPr="00727A7A">
        <w:rPr>
          <w:rFonts w:eastAsia="SimSun"/>
          <w:sz w:val="20"/>
        </w:rPr>
        <w:t>见国际自然保护联盟，</w:t>
      </w:r>
      <w:r w:rsidRPr="00727A7A">
        <w:rPr>
          <w:rFonts w:eastAsia="SimSun"/>
          <w:i/>
          <w:iCs/>
          <w:kern w:val="22"/>
          <w:sz w:val="20"/>
          <w:lang w:val="en-GB"/>
        </w:rPr>
        <w:t>IUCN EICAT Categories and Criteria: The Environmental Impact Classification for Alien Taxa</w:t>
      </w:r>
      <w:r w:rsidRPr="00727A7A">
        <w:rPr>
          <w:rFonts w:eastAsia="SimSun"/>
          <w:kern w:val="22"/>
          <w:sz w:val="20"/>
          <w:lang w:val="en-GB"/>
        </w:rPr>
        <w:t xml:space="preserve"> (Gland, 2020)</w:t>
      </w:r>
      <w:r w:rsidRPr="00727A7A">
        <w:rPr>
          <w:rFonts w:eastAsia="SimSun"/>
          <w:sz w:val="20"/>
        </w:rPr>
        <w:t>。</w:t>
      </w:r>
    </w:p>
  </w:footnote>
  <w:footnote w:id="220">
    <w:p w14:paraId="0B01BCDD" w14:textId="489DA304" w:rsidR="005E77FA" w:rsidRPr="00727A7A" w:rsidRDefault="005E77FA" w:rsidP="005E77FA">
      <w:pPr>
        <w:pStyle w:val="CBDFootnoteText"/>
        <w:spacing w:after="60"/>
        <w:rPr>
          <w:rFonts w:eastAsia="SimSun"/>
          <w:sz w:val="20"/>
          <w:szCs w:val="20"/>
          <w:lang w:eastAsia="zh-CN"/>
        </w:rPr>
      </w:pPr>
      <w:r w:rsidRPr="00727A7A">
        <w:rPr>
          <w:rStyle w:val="FootnoteReference"/>
          <w:rFonts w:eastAsia="SimSun"/>
          <w:sz w:val="20"/>
          <w:szCs w:val="20"/>
          <w:lang w:eastAsia="zh-CN"/>
        </w:rPr>
        <w:footnoteRef/>
      </w:r>
      <w:r w:rsidR="00727A7A">
        <w:rPr>
          <w:rFonts w:eastAsia="SimSun" w:hint="eastAsia"/>
          <w:sz w:val="20"/>
          <w:szCs w:val="20"/>
          <w:lang w:eastAsia="zh-CN"/>
        </w:rPr>
        <w:t xml:space="preserve"> </w:t>
      </w:r>
      <w:r w:rsidRPr="00727A7A">
        <w:rPr>
          <w:rFonts w:eastAsia="SimSun"/>
          <w:sz w:val="20"/>
          <w:szCs w:val="20"/>
          <w:lang w:eastAsia="zh-CN"/>
        </w:rPr>
        <w:t xml:space="preserve"> </w:t>
      </w:r>
      <w:r w:rsidRPr="00727A7A">
        <w:rPr>
          <w:rFonts w:eastAsia="SimSun"/>
          <w:sz w:val="20"/>
          <w:szCs w:val="20"/>
          <w:lang w:eastAsia="zh-CN"/>
        </w:rPr>
        <w:t>见第</w:t>
      </w:r>
      <w:r w:rsidRPr="00727A7A">
        <w:rPr>
          <w:rFonts w:eastAsia="SimSun"/>
          <w:sz w:val="20"/>
          <w:szCs w:val="20"/>
          <w:lang w:eastAsia="zh-CN"/>
        </w:rPr>
        <w:t xml:space="preserve"> </w:t>
      </w:r>
      <w:hyperlink r:id="rId92" w:history="1">
        <w:r w:rsidRPr="00727A7A">
          <w:rPr>
            <w:rStyle w:val="Hyperlink"/>
            <w:rFonts w:eastAsia="SimSun"/>
            <w:sz w:val="20"/>
            <w:szCs w:val="20"/>
            <w:lang w:eastAsia="zh-CN"/>
          </w:rPr>
          <w:t>15/4</w:t>
        </w:r>
      </w:hyperlink>
      <w:r w:rsidRPr="00727A7A">
        <w:rPr>
          <w:rFonts w:eastAsia="SimSun"/>
          <w:sz w:val="20"/>
          <w:szCs w:val="20"/>
          <w:lang w:eastAsia="zh-CN"/>
        </w:rPr>
        <w:t>号决定，附件。</w:t>
      </w:r>
    </w:p>
  </w:footnote>
  <w:footnote w:id="221">
    <w:p w14:paraId="5CB71D3C" w14:textId="77777777"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Pr="00727A7A">
        <w:rPr>
          <w:rFonts w:eastAsia="SimSun"/>
          <w:sz w:val="20"/>
          <w:vertAlign w:val="superscript"/>
        </w:rPr>
        <w:t xml:space="preserve">   </w:t>
      </w:r>
      <w:hyperlink r:id="rId93" w:history="1">
        <w:r w:rsidRPr="00727A7A">
          <w:rPr>
            <w:rStyle w:val="Hyperlink"/>
            <w:rFonts w:eastAsia="SimSun"/>
            <w:kern w:val="22"/>
            <w:sz w:val="20"/>
          </w:rPr>
          <w:t>CBD/IAS/AHTEG/IAS/2019/1/2</w:t>
        </w:r>
      </w:hyperlink>
      <w:r w:rsidRPr="00727A7A">
        <w:rPr>
          <w:rStyle w:val="Hyperlink"/>
          <w:rFonts w:eastAsia="SimSun"/>
          <w:kern w:val="22"/>
          <w:sz w:val="20"/>
        </w:rPr>
        <w:t>。</w:t>
      </w:r>
    </w:p>
  </w:footnote>
  <w:footnote w:id="222">
    <w:p w14:paraId="77E9746A" w14:textId="62839C81" w:rsidR="005E77FA" w:rsidRPr="007751C8" w:rsidRDefault="005E77FA" w:rsidP="005E77FA">
      <w:pPr>
        <w:pStyle w:val="FootnoteText"/>
        <w:suppressLineNumbers/>
        <w:suppressAutoHyphens/>
        <w:spacing w:after="60"/>
        <w:rPr>
          <w:kern w:val="18"/>
          <w:sz w:val="20"/>
        </w:rPr>
      </w:pPr>
      <w:r w:rsidRPr="00727A7A">
        <w:rPr>
          <w:rStyle w:val="FootnoteReference"/>
          <w:rFonts w:eastAsia="SimSun"/>
          <w:kern w:val="18"/>
          <w:sz w:val="20"/>
        </w:rPr>
        <w:footnoteRef/>
      </w:r>
      <w:r w:rsidRPr="00727A7A">
        <w:rPr>
          <w:rFonts w:eastAsia="SimSun"/>
          <w:kern w:val="18"/>
          <w:sz w:val="20"/>
          <w:vertAlign w:val="superscript"/>
        </w:rPr>
        <w:t xml:space="preserve"> </w:t>
      </w:r>
      <w:r w:rsidR="00727A7A">
        <w:rPr>
          <w:rFonts w:eastAsia="SimSun" w:hint="eastAsia"/>
          <w:kern w:val="18"/>
          <w:sz w:val="20"/>
          <w:vertAlign w:val="superscript"/>
        </w:rPr>
        <w:t xml:space="preserve"> </w:t>
      </w:r>
      <w:r w:rsidRPr="00727A7A">
        <w:rPr>
          <w:rFonts w:eastAsia="SimSun"/>
          <w:kern w:val="18"/>
          <w:sz w:val="20"/>
        </w:rPr>
        <w:t>见</w:t>
      </w:r>
      <w:hyperlink r:id="rId94" w:history="1">
        <w:r w:rsidRPr="00727A7A">
          <w:rPr>
            <w:rStyle w:val="Hyperlink"/>
            <w:rFonts w:eastAsia="SimSun"/>
            <w:kern w:val="18"/>
            <w:sz w:val="20"/>
          </w:rPr>
          <w:t>CBD/IAS/AHTEG/2019/1/3</w:t>
        </w:r>
      </w:hyperlink>
      <w:r w:rsidRPr="00727A7A">
        <w:rPr>
          <w:rFonts w:eastAsia="SimSun"/>
          <w:kern w:val="18"/>
          <w:sz w:val="20"/>
        </w:rPr>
        <w:t>。</w:t>
      </w:r>
    </w:p>
  </w:footnote>
  <w:footnote w:id="223">
    <w:p w14:paraId="5223FCBE" w14:textId="77777777"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Pr="00727A7A">
        <w:rPr>
          <w:rFonts w:eastAsia="SimSun"/>
          <w:sz w:val="20"/>
          <w:vertAlign w:val="superscript"/>
        </w:rPr>
        <w:t xml:space="preserve"> </w:t>
      </w:r>
      <w:r w:rsidRPr="00727A7A">
        <w:rPr>
          <w:rFonts w:eastAsia="SimSun"/>
          <w:sz w:val="20"/>
        </w:rPr>
        <w:t xml:space="preserve"> </w:t>
      </w:r>
      <w:r w:rsidRPr="00727A7A">
        <w:rPr>
          <w:rFonts w:eastAsia="SimSun"/>
          <w:sz w:val="20"/>
        </w:rPr>
        <w:t>见</w:t>
      </w:r>
      <w:r w:rsidRPr="00727A7A">
        <w:rPr>
          <w:rStyle w:val="ng-binding"/>
          <w:rFonts w:eastAsia="SimSun"/>
          <w:sz w:val="20"/>
        </w:rPr>
        <w:t>养护欧洲野生生物和自然生境公约常设委员会</w:t>
      </w:r>
      <w:r w:rsidRPr="00727A7A">
        <w:rPr>
          <w:rStyle w:val="Hyperlink"/>
          <w:rFonts w:eastAsia="SimSun"/>
          <w:color w:val="000000"/>
          <w:sz w:val="20"/>
        </w:rPr>
        <w:t>T- PVS/Inf (2008) 5 rev</w:t>
      </w:r>
      <w:r w:rsidRPr="00727A7A">
        <w:rPr>
          <w:rStyle w:val="Hyperlink"/>
          <w:rFonts w:eastAsia="SimSun"/>
          <w:color w:val="000000"/>
          <w:sz w:val="20"/>
        </w:rPr>
        <w:t>号文件。</w:t>
      </w:r>
    </w:p>
  </w:footnote>
  <w:footnote w:id="224">
    <w:p w14:paraId="49A3F724" w14:textId="6DE2CA34" w:rsidR="005E77FA" w:rsidRPr="00A603AC" w:rsidRDefault="005E77FA" w:rsidP="005E77FA">
      <w:pPr>
        <w:pStyle w:val="FootnoteText"/>
        <w:spacing w:after="60"/>
        <w:rPr>
          <w:rFonts w:eastAsia="SimSun"/>
          <w:sz w:val="20"/>
        </w:rPr>
      </w:pPr>
      <w:r w:rsidRPr="00A603AC">
        <w:rPr>
          <w:rStyle w:val="FootnoteReference"/>
          <w:rFonts w:eastAsia="SimSun"/>
          <w:sz w:val="20"/>
        </w:rPr>
        <w:footnoteRef/>
      </w:r>
      <w:r w:rsidRPr="00A603AC">
        <w:rPr>
          <w:rFonts w:eastAsia="SimSun"/>
          <w:sz w:val="20"/>
          <w:vertAlign w:val="superscript"/>
        </w:rPr>
        <w:t xml:space="preserve"> </w:t>
      </w:r>
      <w:r w:rsidR="00727A7A" w:rsidRPr="00A603AC">
        <w:rPr>
          <w:rFonts w:eastAsia="SimSun"/>
          <w:sz w:val="20"/>
          <w:vertAlign w:val="superscript"/>
        </w:rPr>
        <w:t xml:space="preserve"> </w:t>
      </w:r>
      <w:r w:rsidRPr="00A603AC">
        <w:rPr>
          <w:rFonts w:eastAsia="SimSun"/>
          <w:sz w:val="20"/>
        </w:rPr>
        <w:t>在适用情况下，实施管理措施时应考虑人道措施和准则。见</w:t>
      </w:r>
      <w:r w:rsidRPr="00A603AC">
        <w:rPr>
          <w:rFonts w:eastAsia="SimSun"/>
          <w:sz w:val="20"/>
          <w:lang w:val="en-GB"/>
        </w:rPr>
        <w:t xml:space="preserve">Kevin Smith and others, </w:t>
      </w:r>
      <w:r w:rsidRPr="00A603AC">
        <w:rPr>
          <w:rFonts w:eastAsia="SimSun"/>
          <w:i/>
          <w:iCs/>
          <w:sz w:val="20"/>
          <w:lang w:val="en-GB"/>
        </w:rPr>
        <w:t>A Manual for the Management of Vertebrate Invasive Alien Species of Union Concern, Incorporating Animal Welfare</w:t>
      </w:r>
      <w:r w:rsidRPr="00A603AC">
        <w:rPr>
          <w:rFonts w:eastAsia="SimSun"/>
          <w:sz w:val="20"/>
          <w:lang w:val="en-GB"/>
        </w:rPr>
        <w:t>, 1st ed. (European Union, 2022)</w:t>
      </w:r>
      <w:r w:rsidRPr="00A603AC">
        <w:rPr>
          <w:rFonts w:eastAsia="SimSun"/>
          <w:sz w:val="20"/>
        </w:rPr>
        <w:t>。</w:t>
      </w:r>
    </w:p>
  </w:footnote>
  <w:footnote w:id="225">
    <w:p w14:paraId="324CEC0E" w14:textId="29C0D6A2" w:rsidR="005E77FA" w:rsidRPr="00727A7A" w:rsidRDefault="005E77FA" w:rsidP="005E77FA">
      <w:pPr>
        <w:pStyle w:val="FootnoteText"/>
        <w:spacing w:after="60"/>
        <w:rPr>
          <w:rFonts w:eastAsia="SimSun"/>
          <w:sz w:val="20"/>
        </w:rPr>
      </w:pPr>
      <w:r w:rsidRPr="00A603AC">
        <w:rPr>
          <w:rStyle w:val="FootnoteReference"/>
          <w:rFonts w:eastAsia="SimSun"/>
          <w:sz w:val="20"/>
        </w:rPr>
        <w:footnoteRef/>
      </w:r>
      <w:r w:rsidRPr="00A603AC">
        <w:rPr>
          <w:rFonts w:eastAsia="SimSun"/>
          <w:sz w:val="20"/>
          <w:vertAlign w:val="superscript"/>
        </w:rPr>
        <w:t xml:space="preserve"> </w:t>
      </w:r>
      <w:r w:rsidR="00727A7A" w:rsidRPr="00A603AC">
        <w:rPr>
          <w:rFonts w:eastAsia="SimSun"/>
          <w:sz w:val="20"/>
          <w:vertAlign w:val="superscript"/>
        </w:rPr>
        <w:t xml:space="preserve"> </w:t>
      </w:r>
      <w:r w:rsidRPr="00A603AC">
        <w:rPr>
          <w:rFonts w:eastAsia="SimSun"/>
          <w:sz w:val="20"/>
        </w:rPr>
        <w:t>“</w:t>
      </w:r>
      <w:r w:rsidRPr="00A603AC">
        <w:rPr>
          <w:rFonts w:eastAsia="SimSun"/>
          <w:sz w:val="20"/>
        </w:rPr>
        <w:t>自由、事先和知情同意</w:t>
      </w:r>
      <w:r w:rsidRPr="00A603AC">
        <w:rPr>
          <w:rFonts w:eastAsia="SimSun"/>
          <w:sz w:val="20"/>
        </w:rPr>
        <w:t>”</w:t>
      </w:r>
      <w:r w:rsidRPr="00A603AC">
        <w:rPr>
          <w:rFonts w:eastAsia="SimSun"/>
          <w:sz w:val="20"/>
        </w:rPr>
        <w:t>指三种表述，即</w:t>
      </w:r>
      <w:r w:rsidRPr="00A603AC">
        <w:rPr>
          <w:rFonts w:eastAsia="SimSun"/>
          <w:sz w:val="20"/>
        </w:rPr>
        <w:t>“</w:t>
      </w:r>
      <w:r w:rsidRPr="00A603AC">
        <w:rPr>
          <w:rFonts w:eastAsia="SimSun"/>
          <w:sz w:val="20"/>
        </w:rPr>
        <w:t>事先和知情同意</w:t>
      </w:r>
      <w:r w:rsidRPr="00A603AC">
        <w:rPr>
          <w:rFonts w:eastAsia="SimSun"/>
          <w:sz w:val="20"/>
        </w:rPr>
        <w:t>”</w:t>
      </w:r>
      <w:r w:rsidRPr="00A603AC">
        <w:rPr>
          <w:rFonts w:eastAsia="SimSun"/>
          <w:sz w:val="20"/>
        </w:rPr>
        <w:t>、</w:t>
      </w:r>
      <w:r w:rsidRPr="00A603AC">
        <w:rPr>
          <w:rFonts w:eastAsia="SimSun"/>
          <w:sz w:val="20"/>
        </w:rPr>
        <w:t>“</w:t>
      </w:r>
      <w:r w:rsidRPr="00A603AC">
        <w:rPr>
          <w:rFonts w:eastAsia="SimSun"/>
          <w:sz w:val="20"/>
        </w:rPr>
        <w:t>自由、事先和知情同意</w:t>
      </w:r>
      <w:r w:rsidRPr="00A603AC">
        <w:rPr>
          <w:rFonts w:eastAsia="SimSun"/>
          <w:sz w:val="20"/>
        </w:rPr>
        <w:t>”</w:t>
      </w:r>
      <w:r w:rsidR="00727A7A" w:rsidRPr="00A603AC">
        <w:rPr>
          <w:rFonts w:eastAsia="SimSun"/>
          <w:sz w:val="20"/>
        </w:rPr>
        <w:t>和</w:t>
      </w:r>
      <w:r w:rsidRPr="00A603AC">
        <w:rPr>
          <w:rFonts w:eastAsia="SimSun"/>
          <w:sz w:val="20"/>
        </w:rPr>
        <w:t>“</w:t>
      </w:r>
      <w:r w:rsidRPr="00A603AC">
        <w:rPr>
          <w:rFonts w:eastAsia="SimSun"/>
          <w:sz w:val="20"/>
        </w:rPr>
        <w:t>批准和参与</w:t>
      </w:r>
      <w:r w:rsidRPr="00A603AC">
        <w:rPr>
          <w:rFonts w:eastAsia="SimSun"/>
          <w:sz w:val="20"/>
        </w:rPr>
        <w:t xml:space="preserve">” </w:t>
      </w:r>
      <w:r w:rsidRPr="00A603AC">
        <w:rPr>
          <w:rFonts w:eastAsia="SimSun"/>
          <w:color w:val="000000"/>
          <w:sz w:val="20"/>
        </w:rPr>
        <w:t>。</w:t>
      </w:r>
    </w:p>
  </w:footnote>
  <w:footnote w:id="226">
    <w:p w14:paraId="4C08B5F8" w14:textId="50C526C8" w:rsidR="005E77FA" w:rsidRPr="007751C8" w:rsidDel="007E42FC" w:rsidRDefault="005E77FA" w:rsidP="005E77FA">
      <w:pPr>
        <w:pStyle w:val="FootnoteText"/>
        <w:suppressLineNumbers/>
        <w:suppressAutoHyphens/>
        <w:spacing w:after="60"/>
        <w:rPr>
          <w:kern w:val="18"/>
          <w:sz w:val="20"/>
        </w:rPr>
      </w:pPr>
      <w:r w:rsidRPr="00727A7A" w:rsidDel="007E42FC">
        <w:rPr>
          <w:rStyle w:val="FootnoteReference"/>
          <w:rFonts w:eastAsia="SimSun"/>
          <w:kern w:val="18"/>
          <w:sz w:val="20"/>
        </w:rPr>
        <w:footnoteRef/>
      </w:r>
      <w:r w:rsidRPr="00727A7A">
        <w:rPr>
          <w:rFonts w:eastAsia="SimSun"/>
          <w:kern w:val="18"/>
          <w:sz w:val="20"/>
        </w:rPr>
        <w:t xml:space="preserve"> </w:t>
      </w:r>
      <w:r w:rsidR="00727A7A">
        <w:rPr>
          <w:rFonts w:eastAsia="SimSun" w:hint="eastAsia"/>
          <w:kern w:val="18"/>
          <w:sz w:val="20"/>
        </w:rPr>
        <w:t xml:space="preserve"> </w:t>
      </w:r>
      <w:r w:rsidRPr="00727A7A">
        <w:rPr>
          <w:rFonts w:eastAsia="SimSun"/>
          <w:sz w:val="20"/>
        </w:rPr>
        <w:t>传统知识的定义是土著人民和地方社区体现传统生活方式而与生物多样性的保护和持续利用相关的知识、创新和实践（第</w:t>
      </w:r>
      <w:hyperlink r:id="rId95" w:history="1">
        <w:r w:rsidRPr="00727A7A">
          <w:rPr>
            <w:rStyle w:val="Hyperlink"/>
            <w:rFonts w:eastAsia="SimSun"/>
            <w:sz w:val="20"/>
          </w:rPr>
          <w:t>14/13</w:t>
        </w:r>
      </w:hyperlink>
      <w:r w:rsidRPr="00727A7A">
        <w:rPr>
          <w:rFonts w:eastAsia="SimSun"/>
          <w:sz w:val="20"/>
        </w:rPr>
        <w:t>号决定）</w:t>
      </w:r>
      <w:r w:rsidRPr="00727A7A">
        <w:rPr>
          <w:rFonts w:eastAsia="SimSun"/>
          <w:kern w:val="22"/>
          <w:sz w:val="20"/>
        </w:rPr>
        <w:t>。</w:t>
      </w:r>
      <w:r w:rsidRPr="00727A7A">
        <w:rPr>
          <w:rFonts w:eastAsia="SimSun"/>
          <w:sz w:val="20"/>
        </w:rPr>
        <w:t xml:space="preserve"> </w:t>
      </w:r>
    </w:p>
  </w:footnote>
  <w:footnote w:id="227">
    <w:p w14:paraId="0539BF9E" w14:textId="0876F7B9" w:rsidR="005E77FA" w:rsidRPr="00727A7A" w:rsidRDefault="005E77FA" w:rsidP="005E77FA">
      <w:pPr>
        <w:pStyle w:val="FootnoteText"/>
        <w:spacing w:after="60"/>
        <w:rPr>
          <w:rFonts w:eastAsia="SimSun"/>
          <w:sz w:val="20"/>
        </w:rPr>
      </w:pPr>
      <w:r w:rsidRPr="00727A7A">
        <w:rPr>
          <w:rStyle w:val="FootnoteReference"/>
          <w:rFonts w:eastAsia="SimSun"/>
          <w:sz w:val="20"/>
        </w:rPr>
        <w:footnoteRef/>
      </w:r>
      <w:r w:rsidR="00727A7A">
        <w:rPr>
          <w:rFonts w:eastAsia="SimSun" w:hint="eastAsia"/>
          <w:sz w:val="20"/>
        </w:rPr>
        <w:t xml:space="preserve"> </w:t>
      </w:r>
      <w:r w:rsidRPr="00727A7A">
        <w:rPr>
          <w:rFonts w:eastAsia="SimSun"/>
          <w:sz w:val="20"/>
        </w:rPr>
        <w:t xml:space="preserve"> </w:t>
      </w:r>
      <w:r w:rsidRPr="00727A7A">
        <w:rPr>
          <w:rFonts w:eastAsia="SimSun"/>
          <w:sz w:val="20"/>
        </w:rPr>
        <w:t>例如，可利用《外来生物分类群环境影响分类》考察物种在不同气候带的影响，这也许有助于预测物种在气候可能变得相似的地区在未来产生的影响。</w:t>
      </w:r>
    </w:p>
  </w:footnote>
  <w:footnote w:id="228">
    <w:p w14:paraId="1378BFAE" w14:textId="4014CBE1" w:rsidR="005E77FA" w:rsidRPr="003D7AAE" w:rsidRDefault="005E77FA" w:rsidP="005E77FA">
      <w:pPr>
        <w:pStyle w:val="FootnoteText"/>
        <w:spacing w:after="60"/>
        <w:rPr>
          <w:sz w:val="20"/>
        </w:rPr>
      </w:pPr>
      <w:r w:rsidRPr="00727A7A">
        <w:rPr>
          <w:rStyle w:val="FootnoteReference"/>
          <w:rFonts w:eastAsia="SimSun"/>
          <w:sz w:val="20"/>
        </w:rPr>
        <w:footnoteRef/>
      </w:r>
      <w:r w:rsidR="00727A7A">
        <w:rPr>
          <w:rFonts w:eastAsia="SimSun" w:hint="eastAsia"/>
          <w:sz w:val="20"/>
        </w:rPr>
        <w:t xml:space="preserve"> </w:t>
      </w:r>
      <w:r w:rsidRPr="00727A7A">
        <w:rPr>
          <w:rFonts w:eastAsia="SimSun"/>
          <w:sz w:val="20"/>
        </w:rPr>
        <w:t xml:space="preserve"> </w:t>
      </w:r>
      <w:r w:rsidRPr="00727A7A">
        <w:rPr>
          <w:rFonts w:eastAsia="SimSun"/>
          <w:sz w:val="20"/>
        </w:rPr>
        <w:t>见</w:t>
      </w:r>
      <w:r w:rsidRPr="00727A7A">
        <w:rPr>
          <w:rFonts w:eastAsia="SimSun"/>
          <w:sz w:val="20"/>
        </w:rPr>
        <w:t xml:space="preserve"> </w:t>
      </w:r>
      <w:hyperlink r:id="rId96" w:history="1">
        <w:r w:rsidRPr="00727A7A">
          <w:rPr>
            <w:rStyle w:val="Hyperlink"/>
            <w:rFonts w:eastAsia="SimSun"/>
            <w:kern w:val="22"/>
            <w:sz w:val="20"/>
          </w:rPr>
          <w:t>UNEP/CBD/SBSTTA/18/9/Add.1</w:t>
        </w:r>
      </w:hyperlink>
      <w:r w:rsidRPr="00727A7A">
        <w:rPr>
          <w:rStyle w:val="CommentReference"/>
          <w:rFonts w:eastAsia="SimSun"/>
          <w:sz w:val="20"/>
          <w:szCs w:val="20"/>
        </w:rPr>
        <w:t>。</w:t>
      </w:r>
    </w:p>
  </w:footnote>
  <w:footnote w:id="229">
    <w:p w14:paraId="1A5E414B" w14:textId="3CB84688" w:rsidR="005E77FA" w:rsidRPr="00234D7F" w:rsidRDefault="005E77FA" w:rsidP="005E77FA">
      <w:pPr>
        <w:pStyle w:val="FootnoteText"/>
        <w:spacing w:after="60"/>
        <w:rPr>
          <w:rFonts w:eastAsia="SimSun"/>
          <w:sz w:val="20"/>
        </w:rPr>
      </w:pPr>
      <w:r w:rsidRPr="00234D7F">
        <w:rPr>
          <w:rStyle w:val="FootnoteReference"/>
          <w:rFonts w:eastAsia="SimSun"/>
          <w:sz w:val="20"/>
        </w:rPr>
        <w:footnoteRef/>
      </w:r>
      <w:r w:rsidRPr="00234D7F">
        <w:rPr>
          <w:rFonts w:eastAsia="SimSun"/>
          <w:sz w:val="20"/>
          <w:vertAlign w:val="superscript"/>
        </w:rPr>
        <w:t xml:space="preserve"> </w:t>
      </w:r>
      <w:r w:rsidR="00234D7F">
        <w:rPr>
          <w:rFonts w:eastAsia="SimSun" w:hint="eastAsia"/>
          <w:sz w:val="20"/>
          <w:vertAlign w:val="superscript"/>
        </w:rPr>
        <w:t xml:space="preserve"> </w:t>
      </w:r>
      <w:r w:rsidRPr="00234D7F">
        <w:rPr>
          <w:rFonts w:eastAsia="SimSun"/>
          <w:color w:val="000000"/>
          <w:sz w:val="20"/>
        </w:rPr>
        <w:t>联合国，《条约汇编》，第</w:t>
      </w:r>
      <w:r w:rsidRPr="00234D7F">
        <w:rPr>
          <w:rFonts w:eastAsia="SimSun"/>
          <w:color w:val="000000"/>
          <w:sz w:val="20"/>
        </w:rPr>
        <w:t>1771</w:t>
      </w:r>
      <w:r w:rsidRPr="00234D7F">
        <w:rPr>
          <w:rFonts w:eastAsia="SimSun"/>
          <w:color w:val="000000"/>
          <w:sz w:val="20"/>
        </w:rPr>
        <w:t>卷，第</w:t>
      </w:r>
      <w:r w:rsidRPr="00234D7F">
        <w:rPr>
          <w:rFonts w:eastAsia="SimSun"/>
          <w:color w:val="000000"/>
          <w:sz w:val="20"/>
        </w:rPr>
        <w:t>30822</w:t>
      </w:r>
      <w:r w:rsidRPr="00234D7F">
        <w:rPr>
          <w:rFonts w:eastAsia="SimSun"/>
          <w:color w:val="000000"/>
          <w:sz w:val="20"/>
        </w:rPr>
        <w:t>号。</w:t>
      </w:r>
    </w:p>
  </w:footnote>
  <w:footnote w:id="230">
    <w:p w14:paraId="2CFB8DE0" w14:textId="0476A8E0" w:rsidR="005E77FA" w:rsidRPr="00234D7F" w:rsidRDefault="005E77FA" w:rsidP="005E77FA">
      <w:pPr>
        <w:pStyle w:val="FootnoteText"/>
        <w:spacing w:after="60"/>
        <w:rPr>
          <w:rFonts w:eastAsia="SimSun"/>
          <w:sz w:val="20"/>
        </w:rPr>
      </w:pPr>
      <w:r w:rsidRPr="00234D7F">
        <w:rPr>
          <w:rStyle w:val="FootnoteReference"/>
          <w:rFonts w:eastAsia="SimSun"/>
          <w:sz w:val="20"/>
        </w:rPr>
        <w:footnoteRef/>
      </w:r>
      <w:r w:rsidRPr="00234D7F">
        <w:rPr>
          <w:rFonts w:eastAsia="SimSun"/>
          <w:sz w:val="20"/>
        </w:rPr>
        <w:t xml:space="preserve"> </w:t>
      </w:r>
      <w:r w:rsidR="00234D7F">
        <w:rPr>
          <w:rFonts w:eastAsia="SimSun" w:hint="eastAsia"/>
          <w:sz w:val="20"/>
        </w:rPr>
        <w:t xml:space="preserve"> </w:t>
      </w:r>
      <w:r w:rsidRPr="00234D7F">
        <w:rPr>
          <w:rFonts w:eastAsia="SimSun"/>
          <w:kern w:val="14"/>
          <w:sz w:val="20"/>
        </w:rPr>
        <w:t>联合国，《条约汇编》，第</w:t>
      </w:r>
      <w:r w:rsidRPr="00234D7F">
        <w:rPr>
          <w:rFonts w:eastAsia="SimSun"/>
          <w:kern w:val="14"/>
          <w:sz w:val="20"/>
        </w:rPr>
        <w:t>1651</w:t>
      </w:r>
      <w:r w:rsidRPr="00234D7F">
        <w:rPr>
          <w:rFonts w:eastAsia="SimSun"/>
          <w:color w:val="000000"/>
          <w:sz w:val="20"/>
        </w:rPr>
        <w:t>卷</w:t>
      </w:r>
      <w:r w:rsidRPr="00234D7F">
        <w:rPr>
          <w:rFonts w:eastAsia="SimSun"/>
          <w:kern w:val="14"/>
          <w:sz w:val="20"/>
        </w:rPr>
        <w:t>，</w:t>
      </w:r>
      <w:r w:rsidRPr="00234D7F">
        <w:rPr>
          <w:rFonts w:eastAsia="SimSun"/>
          <w:kern w:val="14"/>
          <w:sz w:val="20"/>
        </w:rPr>
        <w:t xml:space="preserve"> </w:t>
      </w:r>
      <w:r w:rsidRPr="00234D7F">
        <w:rPr>
          <w:rFonts w:eastAsia="SimSun"/>
          <w:kern w:val="14"/>
          <w:sz w:val="20"/>
        </w:rPr>
        <w:t>第</w:t>
      </w:r>
      <w:r w:rsidRPr="00234D7F">
        <w:rPr>
          <w:rFonts w:eastAsia="SimSun"/>
          <w:kern w:val="14"/>
          <w:sz w:val="20"/>
        </w:rPr>
        <w:t>28395</w:t>
      </w:r>
      <w:r w:rsidRPr="00234D7F">
        <w:rPr>
          <w:rFonts w:eastAsia="SimSun"/>
          <w:kern w:val="14"/>
          <w:sz w:val="20"/>
        </w:rPr>
        <w:t>号。</w:t>
      </w:r>
    </w:p>
  </w:footnote>
  <w:footnote w:id="231">
    <w:p w14:paraId="497E839F" w14:textId="57394834" w:rsidR="005E77FA" w:rsidRPr="00234D7F" w:rsidRDefault="005E77FA" w:rsidP="005E77FA">
      <w:pPr>
        <w:pStyle w:val="FootnoteText"/>
        <w:spacing w:after="60"/>
        <w:rPr>
          <w:rFonts w:eastAsia="SimSun"/>
          <w:sz w:val="20"/>
        </w:rPr>
      </w:pPr>
      <w:r w:rsidRPr="00234D7F">
        <w:rPr>
          <w:rStyle w:val="FootnoteReference"/>
          <w:rFonts w:eastAsia="SimSun"/>
          <w:sz w:val="20"/>
        </w:rPr>
        <w:footnoteRef/>
      </w:r>
      <w:r w:rsidRPr="00234D7F">
        <w:rPr>
          <w:rFonts w:eastAsia="SimSun"/>
          <w:sz w:val="20"/>
        </w:rPr>
        <w:t xml:space="preserve"> </w:t>
      </w:r>
      <w:r w:rsidR="00234D7F">
        <w:rPr>
          <w:rFonts w:eastAsia="SimSun" w:hint="eastAsia"/>
          <w:sz w:val="20"/>
        </w:rPr>
        <w:t xml:space="preserve"> </w:t>
      </w:r>
      <w:r w:rsidRPr="00234D7F">
        <w:rPr>
          <w:rFonts w:eastAsia="SimSun"/>
          <w:color w:val="000000"/>
          <w:sz w:val="20"/>
        </w:rPr>
        <w:t>联合国，《条约汇编》，第</w:t>
      </w:r>
      <w:r w:rsidRPr="00234D7F">
        <w:rPr>
          <w:rFonts w:eastAsia="SimSun"/>
          <w:color w:val="000000"/>
          <w:sz w:val="20"/>
        </w:rPr>
        <w:t>2400</w:t>
      </w:r>
      <w:r w:rsidRPr="00234D7F">
        <w:rPr>
          <w:rFonts w:eastAsia="SimSun"/>
          <w:color w:val="000000"/>
          <w:sz w:val="20"/>
        </w:rPr>
        <w:t>卷，第</w:t>
      </w:r>
      <w:r w:rsidRPr="00234D7F">
        <w:rPr>
          <w:rFonts w:eastAsia="SimSun"/>
          <w:color w:val="000000"/>
          <w:sz w:val="20"/>
        </w:rPr>
        <w:t>43345</w:t>
      </w:r>
      <w:r w:rsidRPr="00234D7F">
        <w:rPr>
          <w:rFonts w:eastAsia="SimSun"/>
          <w:color w:val="000000"/>
          <w:sz w:val="20"/>
        </w:rPr>
        <w:t>号。</w:t>
      </w:r>
    </w:p>
  </w:footnote>
  <w:footnote w:id="232">
    <w:p w14:paraId="158C3BE9" w14:textId="4B93E0E3" w:rsidR="005E77FA" w:rsidRPr="00234D7F" w:rsidRDefault="005E77FA" w:rsidP="005E77FA">
      <w:pPr>
        <w:pStyle w:val="FootnoteText"/>
        <w:spacing w:after="60"/>
        <w:rPr>
          <w:rFonts w:eastAsia="SimSun"/>
          <w:sz w:val="20"/>
        </w:rPr>
      </w:pPr>
      <w:r w:rsidRPr="00234D7F">
        <w:rPr>
          <w:rStyle w:val="FootnoteReference"/>
          <w:rFonts w:eastAsia="SimSun"/>
          <w:sz w:val="20"/>
        </w:rPr>
        <w:footnoteRef/>
      </w:r>
      <w:r w:rsidRPr="00234D7F">
        <w:rPr>
          <w:rFonts w:eastAsia="SimSun"/>
          <w:sz w:val="20"/>
          <w:vertAlign w:val="superscript"/>
        </w:rPr>
        <w:t xml:space="preserve"> </w:t>
      </w:r>
      <w:r w:rsidR="00234D7F">
        <w:rPr>
          <w:rFonts w:eastAsia="SimSun" w:hint="eastAsia"/>
          <w:sz w:val="20"/>
          <w:vertAlign w:val="superscript"/>
        </w:rPr>
        <w:t xml:space="preserve"> </w:t>
      </w:r>
      <w:r w:rsidRPr="00234D7F">
        <w:rPr>
          <w:rFonts w:eastAsia="SimSun"/>
          <w:kern w:val="14"/>
          <w:sz w:val="20"/>
        </w:rPr>
        <w:t>联合国，《条约汇编》，第</w:t>
      </w:r>
      <w:r w:rsidRPr="00234D7F">
        <w:rPr>
          <w:rFonts w:eastAsia="SimSun"/>
          <w:kern w:val="14"/>
          <w:sz w:val="20"/>
        </w:rPr>
        <w:t>993</w:t>
      </w:r>
      <w:r w:rsidRPr="00234D7F">
        <w:rPr>
          <w:rFonts w:eastAsia="SimSun"/>
          <w:color w:val="000000"/>
          <w:sz w:val="20"/>
        </w:rPr>
        <w:t>卷</w:t>
      </w:r>
      <w:r w:rsidRPr="00234D7F">
        <w:rPr>
          <w:rFonts w:eastAsia="SimSun"/>
          <w:kern w:val="14"/>
          <w:sz w:val="20"/>
        </w:rPr>
        <w:t>，第</w:t>
      </w:r>
      <w:r w:rsidRPr="00234D7F">
        <w:rPr>
          <w:rFonts w:eastAsia="SimSun"/>
          <w:kern w:val="14"/>
          <w:sz w:val="20"/>
        </w:rPr>
        <w:t>14537</w:t>
      </w:r>
      <w:r w:rsidRPr="00234D7F">
        <w:rPr>
          <w:rFonts w:eastAsia="SimSun"/>
          <w:kern w:val="14"/>
          <w:sz w:val="20"/>
        </w:rPr>
        <w:t>号。</w:t>
      </w:r>
    </w:p>
  </w:footnote>
  <w:footnote w:id="233">
    <w:p w14:paraId="3FE3289F" w14:textId="032730D2" w:rsidR="005E77FA" w:rsidRPr="00234D7F" w:rsidRDefault="005E77FA" w:rsidP="005E77FA">
      <w:pPr>
        <w:pStyle w:val="FootnoteText"/>
        <w:spacing w:after="60"/>
        <w:rPr>
          <w:rFonts w:eastAsia="SimSun"/>
          <w:sz w:val="20"/>
        </w:rPr>
      </w:pPr>
      <w:r w:rsidRPr="00234D7F">
        <w:rPr>
          <w:rStyle w:val="FootnoteReference"/>
          <w:rFonts w:eastAsia="SimSun"/>
          <w:sz w:val="20"/>
        </w:rPr>
        <w:footnoteRef/>
      </w:r>
      <w:r w:rsidRPr="00234D7F">
        <w:rPr>
          <w:rFonts w:eastAsia="SimSun"/>
          <w:sz w:val="20"/>
          <w:vertAlign w:val="superscript"/>
        </w:rPr>
        <w:t xml:space="preserve"> </w:t>
      </w:r>
      <w:r w:rsidR="00234D7F">
        <w:rPr>
          <w:rFonts w:eastAsia="SimSun" w:hint="eastAsia"/>
          <w:sz w:val="20"/>
          <w:vertAlign w:val="superscript"/>
        </w:rPr>
        <w:t xml:space="preserve"> </w:t>
      </w:r>
      <w:r w:rsidRPr="00234D7F">
        <w:rPr>
          <w:rFonts w:eastAsia="SimSun"/>
          <w:color w:val="000000"/>
          <w:sz w:val="20"/>
        </w:rPr>
        <w:t>联合国，《条约汇编》，第</w:t>
      </w:r>
      <w:r w:rsidRPr="00234D7F">
        <w:rPr>
          <w:rFonts w:eastAsia="SimSun"/>
          <w:color w:val="000000"/>
          <w:sz w:val="20"/>
        </w:rPr>
        <w:t>1954</w:t>
      </w:r>
      <w:r w:rsidRPr="00234D7F">
        <w:rPr>
          <w:rFonts w:eastAsia="SimSun"/>
          <w:color w:val="000000"/>
          <w:sz w:val="20"/>
        </w:rPr>
        <w:t>卷，</w:t>
      </w:r>
      <w:r w:rsidRPr="00234D7F">
        <w:rPr>
          <w:rFonts w:eastAsia="SimSun"/>
          <w:color w:val="000000"/>
          <w:sz w:val="20"/>
        </w:rPr>
        <w:t xml:space="preserve"> </w:t>
      </w:r>
      <w:r w:rsidRPr="00234D7F">
        <w:rPr>
          <w:rFonts w:eastAsia="SimSun"/>
          <w:color w:val="000000"/>
          <w:sz w:val="20"/>
        </w:rPr>
        <w:t>第</w:t>
      </w:r>
      <w:r w:rsidRPr="00234D7F">
        <w:rPr>
          <w:rFonts w:eastAsia="SimSun"/>
          <w:color w:val="000000"/>
          <w:sz w:val="20"/>
        </w:rPr>
        <w:t>33480</w:t>
      </w:r>
      <w:r w:rsidRPr="00234D7F">
        <w:rPr>
          <w:rFonts w:eastAsia="SimSun"/>
          <w:color w:val="000000"/>
          <w:sz w:val="20"/>
        </w:rPr>
        <w:t>号。</w:t>
      </w:r>
    </w:p>
  </w:footnote>
  <w:footnote w:id="234">
    <w:p w14:paraId="089A207A" w14:textId="11889F4A" w:rsidR="005E77FA" w:rsidRPr="00234D7F" w:rsidRDefault="005E77FA" w:rsidP="005E77FA">
      <w:pPr>
        <w:pStyle w:val="CBDFootnoteText"/>
        <w:spacing w:after="60"/>
        <w:rPr>
          <w:rFonts w:eastAsia="SimSun"/>
          <w:sz w:val="20"/>
          <w:szCs w:val="20"/>
          <w:lang w:eastAsia="zh-CN"/>
        </w:rPr>
      </w:pPr>
      <w:r w:rsidRPr="00234D7F">
        <w:rPr>
          <w:rStyle w:val="FootnoteReference"/>
          <w:rFonts w:eastAsia="SimSun"/>
          <w:sz w:val="20"/>
          <w:szCs w:val="20"/>
          <w:lang w:eastAsia="zh-CN"/>
        </w:rPr>
        <w:footnoteRef/>
      </w:r>
      <w:r w:rsidRPr="00234D7F">
        <w:rPr>
          <w:rFonts w:eastAsia="SimSun"/>
          <w:sz w:val="20"/>
          <w:szCs w:val="20"/>
          <w:lang w:eastAsia="zh-CN"/>
        </w:rPr>
        <w:t xml:space="preserve"> </w:t>
      </w:r>
      <w:r w:rsidR="00234D7F">
        <w:rPr>
          <w:rFonts w:eastAsia="SimSun" w:hint="eastAsia"/>
          <w:sz w:val="20"/>
          <w:szCs w:val="20"/>
          <w:lang w:eastAsia="zh-CN"/>
        </w:rPr>
        <w:t xml:space="preserve"> </w:t>
      </w:r>
      <w:r w:rsidRPr="00234D7F">
        <w:rPr>
          <w:rFonts w:eastAsia="SimSun"/>
          <w:sz w:val="20"/>
          <w:szCs w:val="20"/>
          <w:lang w:eastAsia="zh-CN"/>
        </w:rPr>
        <w:t>第</w:t>
      </w:r>
      <w:r w:rsidRPr="00234D7F">
        <w:rPr>
          <w:rFonts w:eastAsia="SimSun"/>
          <w:sz w:val="20"/>
          <w:szCs w:val="20"/>
          <w:lang w:eastAsia="zh-CN"/>
        </w:rPr>
        <w:t xml:space="preserve"> </w:t>
      </w:r>
      <w:hyperlink r:id="rId97" w:history="1">
        <w:r w:rsidRPr="00234D7F">
          <w:rPr>
            <w:rStyle w:val="Hyperlink"/>
            <w:rFonts w:eastAsia="SimSun"/>
            <w:sz w:val="20"/>
            <w:szCs w:val="20"/>
            <w:lang w:eastAsia="zh-CN"/>
          </w:rPr>
          <w:t>15/4</w:t>
        </w:r>
      </w:hyperlink>
      <w:r w:rsidRPr="00234D7F">
        <w:rPr>
          <w:rFonts w:eastAsia="SimSun"/>
          <w:sz w:val="20"/>
          <w:szCs w:val="20"/>
          <w:lang w:eastAsia="zh-CN"/>
        </w:rPr>
        <w:t>号决定，附件。</w:t>
      </w:r>
    </w:p>
  </w:footnote>
  <w:footnote w:id="235">
    <w:p w14:paraId="1BDC8B17" w14:textId="415399CD" w:rsidR="005E77FA" w:rsidRPr="003D7AAE" w:rsidRDefault="005E77FA" w:rsidP="005E77FA">
      <w:pPr>
        <w:pStyle w:val="FootnoteText"/>
        <w:spacing w:after="60" w:line="240" w:lineRule="atLeast"/>
        <w:rPr>
          <w:sz w:val="20"/>
        </w:rPr>
      </w:pPr>
      <w:r w:rsidRPr="00234D7F">
        <w:rPr>
          <w:rFonts w:eastAsia="SimSun"/>
          <w:sz w:val="20"/>
          <w:vertAlign w:val="superscript"/>
        </w:rPr>
        <w:footnoteRef/>
      </w:r>
      <w:r w:rsidRPr="00234D7F">
        <w:rPr>
          <w:rFonts w:eastAsia="SimSun"/>
          <w:sz w:val="20"/>
        </w:rPr>
        <w:t xml:space="preserve"> </w:t>
      </w:r>
      <w:r w:rsidR="00234D7F">
        <w:rPr>
          <w:rFonts w:eastAsia="SimSun" w:hint="eastAsia"/>
          <w:sz w:val="20"/>
        </w:rPr>
        <w:t xml:space="preserve"> </w:t>
      </w:r>
      <w:r w:rsidRPr="00234D7F">
        <w:rPr>
          <w:rFonts w:eastAsia="SimSun"/>
          <w:sz w:val="20"/>
        </w:rPr>
        <w:t>社会影响评估包括对计划干预中产生的预期和非预期的积极和消极社会后果进行分析、监测和管理的过程（</w:t>
      </w:r>
      <w:r w:rsidRPr="00234D7F">
        <w:rPr>
          <w:rFonts w:eastAsia="SimSun"/>
          <w:sz w:val="20"/>
        </w:rPr>
        <w:t xml:space="preserve">Frank Vanclay, “International principles for social impact assessment”, </w:t>
      </w:r>
      <w:r w:rsidRPr="00234D7F">
        <w:rPr>
          <w:rFonts w:eastAsia="SimSun"/>
          <w:i/>
          <w:iCs/>
          <w:sz w:val="20"/>
        </w:rPr>
        <w:t>Impact Assessment and Project Appraisal</w:t>
      </w:r>
      <w:r w:rsidRPr="00234D7F">
        <w:rPr>
          <w:rFonts w:eastAsia="SimSun"/>
          <w:sz w:val="20"/>
        </w:rPr>
        <w:t>, vol. 21, No. 1  (March 2003)</w:t>
      </w:r>
      <w:r w:rsidRPr="00234D7F">
        <w:rPr>
          <w:rFonts w:eastAsia="SimSun"/>
          <w:sz w:val="20"/>
        </w:rPr>
        <w:t>。</w:t>
      </w:r>
    </w:p>
  </w:footnote>
  <w:footnote w:id="236">
    <w:p w14:paraId="76D0AF9E" w14:textId="06EE545A" w:rsidR="005E77FA" w:rsidRPr="00576649" w:rsidDel="007E42FC" w:rsidRDefault="005E77FA" w:rsidP="00A603AC">
      <w:pPr>
        <w:pStyle w:val="FootnoteText"/>
        <w:suppressLineNumbers/>
        <w:suppressAutoHyphens/>
        <w:spacing w:after="60" w:line="240" w:lineRule="atLeast"/>
        <w:rPr>
          <w:rFonts w:eastAsia="SimSun"/>
          <w:kern w:val="18"/>
          <w:sz w:val="20"/>
        </w:rPr>
      </w:pPr>
      <w:r w:rsidRPr="00576649" w:rsidDel="007E42FC">
        <w:rPr>
          <w:rStyle w:val="FootnoteReference"/>
          <w:rFonts w:eastAsia="SimSun"/>
          <w:kern w:val="18"/>
          <w:sz w:val="20"/>
        </w:rPr>
        <w:footnoteRef/>
      </w:r>
      <w:r w:rsidRPr="00576649">
        <w:rPr>
          <w:rFonts w:eastAsia="SimSun"/>
          <w:kern w:val="18"/>
          <w:sz w:val="20"/>
        </w:rPr>
        <w:t xml:space="preserve"> </w:t>
      </w:r>
      <w:r w:rsidR="00576649">
        <w:rPr>
          <w:rFonts w:eastAsia="SimSun" w:hint="eastAsia"/>
          <w:kern w:val="18"/>
          <w:sz w:val="20"/>
        </w:rPr>
        <w:t xml:space="preserve"> </w:t>
      </w:r>
      <w:r w:rsidRPr="00576649">
        <w:rPr>
          <w:rFonts w:eastAsia="SimSun"/>
          <w:kern w:val="22"/>
          <w:sz w:val="20"/>
        </w:rPr>
        <w:t>关于</w:t>
      </w:r>
      <w:r w:rsidRPr="00576649">
        <w:rPr>
          <w:rFonts w:eastAsia="SimSun"/>
          <w:sz w:val="20"/>
        </w:rPr>
        <w:t>传统知识的定义是土著人民和地方社区体现传统生活方式而与生物多样性的保护和持续利用相关的知识、创新和实践（第</w:t>
      </w:r>
      <w:hyperlink r:id="rId98" w:history="1">
        <w:r w:rsidRPr="00576649">
          <w:rPr>
            <w:rStyle w:val="Hyperlink"/>
            <w:rFonts w:eastAsia="SimSun"/>
            <w:sz w:val="20"/>
          </w:rPr>
          <w:t>14/13</w:t>
        </w:r>
      </w:hyperlink>
      <w:r w:rsidRPr="00576649">
        <w:rPr>
          <w:rStyle w:val="Hyperlink"/>
          <w:rFonts w:eastAsia="SimSun"/>
          <w:color w:val="000000"/>
          <w:sz w:val="20"/>
        </w:rPr>
        <w:t>号决定</w:t>
      </w:r>
      <w:r w:rsidRPr="00576649">
        <w:rPr>
          <w:rFonts w:eastAsia="SimSun"/>
          <w:sz w:val="20"/>
        </w:rPr>
        <w:t>）</w:t>
      </w:r>
      <w:r w:rsidRPr="00576649">
        <w:rPr>
          <w:rFonts w:eastAsia="SimSun"/>
          <w:kern w:val="22"/>
          <w:sz w:val="20"/>
        </w:rPr>
        <w:t>。</w:t>
      </w:r>
      <w:r w:rsidRPr="00576649">
        <w:rPr>
          <w:rFonts w:eastAsia="SimSun"/>
          <w:sz w:val="20"/>
        </w:rPr>
        <w:t xml:space="preserve"> </w:t>
      </w:r>
    </w:p>
  </w:footnote>
  <w:footnote w:id="237">
    <w:p w14:paraId="3EEE3E6E" w14:textId="4E8E314E" w:rsidR="005E77FA" w:rsidRPr="00576649" w:rsidRDefault="005E77FA" w:rsidP="00A603AC">
      <w:pPr>
        <w:pStyle w:val="FootnoteText"/>
        <w:spacing w:after="60" w:line="240" w:lineRule="atLeast"/>
        <w:rPr>
          <w:rFonts w:eastAsia="SimSun"/>
          <w:sz w:val="20"/>
        </w:rPr>
      </w:pPr>
      <w:r w:rsidRPr="00576649">
        <w:rPr>
          <w:rStyle w:val="FootnoteReference"/>
          <w:rFonts w:eastAsia="SimSun"/>
          <w:sz w:val="20"/>
        </w:rPr>
        <w:footnoteRef/>
      </w:r>
      <w:r w:rsidRPr="00576649">
        <w:rPr>
          <w:rFonts w:eastAsia="SimSun"/>
          <w:sz w:val="20"/>
        </w:rPr>
        <w:t xml:space="preserve">  “</w:t>
      </w:r>
      <w:r w:rsidRPr="00576649">
        <w:rPr>
          <w:rFonts w:eastAsia="SimSun"/>
          <w:sz w:val="20"/>
        </w:rPr>
        <w:t>自由、事先和知情同意</w:t>
      </w:r>
      <w:r w:rsidRPr="00576649">
        <w:rPr>
          <w:rFonts w:eastAsia="SimSun"/>
          <w:sz w:val="20"/>
        </w:rPr>
        <w:t>”</w:t>
      </w:r>
      <w:r w:rsidRPr="00576649">
        <w:rPr>
          <w:rFonts w:eastAsia="SimSun"/>
          <w:sz w:val="20"/>
        </w:rPr>
        <w:t>指三种表述，即</w:t>
      </w:r>
      <w:r w:rsidRPr="00576649">
        <w:rPr>
          <w:rFonts w:eastAsia="SimSun"/>
          <w:sz w:val="20"/>
        </w:rPr>
        <w:t>“</w:t>
      </w:r>
      <w:r w:rsidRPr="00576649">
        <w:rPr>
          <w:rFonts w:eastAsia="SimSun"/>
          <w:sz w:val="20"/>
        </w:rPr>
        <w:t>事先和知情同意</w:t>
      </w:r>
      <w:r w:rsidRPr="00576649">
        <w:rPr>
          <w:rFonts w:eastAsia="SimSun"/>
          <w:sz w:val="20"/>
        </w:rPr>
        <w:t>”</w:t>
      </w:r>
      <w:r w:rsidRPr="00576649">
        <w:rPr>
          <w:rFonts w:eastAsia="SimSun"/>
          <w:sz w:val="20"/>
        </w:rPr>
        <w:t>、</w:t>
      </w:r>
      <w:r w:rsidRPr="00576649">
        <w:rPr>
          <w:rFonts w:eastAsia="SimSun"/>
          <w:sz w:val="20"/>
        </w:rPr>
        <w:t>“</w:t>
      </w:r>
      <w:r w:rsidRPr="00576649">
        <w:rPr>
          <w:rFonts w:eastAsia="SimSun"/>
          <w:sz w:val="20"/>
        </w:rPr>
        <w:t>自由、事先和知情同意</w:t>
      </w:r>
      <w:r w:rsidRPr="00576649">
        <w:rPr>
          <w:rFonts w:eastAsia="SimSun"/>
          <w:sz w:val="20"/>
        </w:rPr>
        <w:t>”</w:t>
      </w:r>
      <w:r w:rsidR="00971E9B">
        <w:rPr>
          <w:rFonts w:eastAsia="SimSun" w:hint="eastAsia"/>
          <w:sz w:val="20"/>
        </w:rPr>
        <w:t>和</w:t>
      </w:r>
      <w:r w:rsidRPr="00576649">
        <w:rPr>
          <w:rFonts w:eastAsia="SimSun"/>
          <w:sz w:val="20"/>
        </w:rPr>
        <w:t>“</w:t>
      </w:r>
      <w:r w:rsidRPr="00576649">
        <w:rPr>
          <w:rFonts w:eastAsia="SimSun"/>
          <w:sz w:val="20"/>
        </w:rPr>
        <w:t>批准和参与</w:t>
      </w:r>
      <w:r w:rsidRPr="00576649">
        <w:rPr>
          <w:rFonts w:eastAsia="SimSun"/>
          <w:sz w:val="20"/>
        </w:rPr>
        <w:t>”</w:t>
      </w:r>
      <w:r w:rsidR="00971E9B" w:rsidRPr="00971E9B">
        <w:rPr>
          <w:rFonts w:eastAsia="SimSun"/>
          <w:kern w:val="22"/>
          <w:sz w:val="20"/>
        </w:rPr>
        <w:t xml:space="preserve"> </w:t>
      </w:r>
      <w:r w:rsidR="00971E9B" w:rsidRPr="00576649">
        <w:rPr>
          <w:rFonts w:eastAsia="SimSun"/>
          <w:kern w:val="22"/>
          <w:sz w:val="20"/>
        </w:rPr>
        <w:t>。</w:t>
      </w:r>
      <w:r w:rsidR="00971E9B" w:rsidRPr="00576649">
        <w:rPr>
          <w:rFonts w:eastAsia="SimSun"/>
          <w:sz w:val="20"/>
        </w:rPr>
        <w:t xml:space="preserve">  </w:t>
      </w:r>
    </w:p>
  </w:footnote>
  <w:footnote w:id="238">
    <w:p w14:paraId="54DDC984" w14:textId="5AABBBBA" w:rsidR="005E77FA" w:rsidRPr="00576649" w:rsidRDefault="005E77FA" w:rsidP="00A603AC">
      <w:pPr>
        <w:pStyle w:val="FootnoteText"/>
        <w:spacing w:after="60" w:line="240" w:lineRule="atLeast"/>
        <w:rPr>
          <w:rFonts w:eastAsia="SimSun"/>
          <w:sz w:val="20"/>
        </w:rPr>
      </w:pPr>
      <w:r w:rsidRPr="00576649">
        <w:rPr>
          <w:rFonts w:eastAsia="SimSun"/>
          <w:sz w:val="20"/>
          <w:vertAlign w:val="superscript"/>
        </w:rPr>
        <w:footnoteRef/>
      </w:r>
      <w:r w:rsidR="00576649">
        <w:rPr>
          <w:rFonts w:eastAsia="SimSun" w:hint="eastAsia"/>
          <w:sz w:val="20"/>
        </w:rPr>
        <w:t xml:space="preserve"> </w:t>
      </w:r>
      <w:r w:rsidRPr="00576649">
        <w:rPr>
          <w:rFonts w:eastAsia="SimSun"/>
          <w:sz w:val="20"/>
        </w:rPr>
        <w:t xml:space="preserve"> </w:t>
      </w:r>
      <w:r w:rsidRPr="00576649">
        <w:rPr>
          <w:rFonts w:eastAsia="SimSun"/>
          <w:sz w:val="20"/>
          <w:lang w:val="en-GB"/>
        </w:rPr>
        <w:t xml:space="preserve">Sven Bacher and others, “Socioeconomic impact classification of alien taxa (SEICAT)”, </w:t>
      </w:r>
      <w:r w:rsidRPr="00576649">
        <w:rPr>
          <w:rFonts w:eastAsia="SimSun"/>
          <w:i/>
          <w:iCs/>
          <w:sz w:val="20"/>
          <w:lang w:val="en-GB"/>
        </w:rPr>
        <w:t>Methods in Ecology and Evolution</w:t>
      </w:r>
      <w:r w:rsidRPr="00576649">
        <w:rPr>
          <w:rFonts w:eastAsia="SimSun"/>
          <w:sz w:val="20"/>
          <w:lang w:val="en-GB"/>
        </w:rPr>
        <w:t>, vol. 9, No. 1 (April 2017)</w:t>
      </w:r>
      <w:r w:rsidRPr="00576649">
        <w:rPr>
          <w:rFonts w:eastAsia="SimSun"/>
          <w:sz w:val="20"/>
        </w:rPr>
        <w:t>。</w:t>
      </w:r>
    </w:p>
  </w:footnote>
  <w:footnote w:id="239">
    <w:p w14:paraId="5B88B8B3" w14:textId="094DB5D3" w:rsidR="005E77FA" w:rsidRPr="00576649" w:rsidRDefault="005E77FA" w:rsidP="00A603AC">
      <w:pPr>
        <w:pStyle w:val="FootnoteText"/>
        <w:spacing w:after="60"/>
        <w:rPr>
          <w:rFonts w:eastAsia="SimSun"/>
          <w:sz w:val="20"/>
        </w:rPr>
      </w:pPr>
      <w:r w:rsidRPr="00576649">
        <w:rPr>
          <w:rStyle w:val="FootnoteReference"/>
          <w:rFonts w:eastAsia="SimSun"/>
          <w:sz w:val="20"/>
        </w:rPr>
        <w:footnoteRef/>
      </w:r>
      <w:r w:rsidRPr="00576649">
        <w:rPr>
          <w:rFonts w:eastAsia="SimSun"/>
          <w:sz w:val="20"/>
        </w:rPr>
        <w:t xml:space="preserve"> </w:t>
      </w:r>
      <w:r w:rsidR="00576649">
        <w:rPr>
          <w:rFonts w:eastAsia="SimSun" w:hint="eastAsia"/>
          <w:sz w:val="20"/>
        </w:rPr>
        <w:t xml:space="preserve"> </w:t>
      </w:r>
      <w:r w:rsidRPr="00576649">
        <w:rPr>
          <w:rFonts w:eastAsia="SimSun"/>
          <w:sz w:val="20"/>
        </w:rPr>
        <w:t>外来入侵物种随着时间的推移已经成为一种重要资源时，根除这些物种有时会影响土著社区的利益。在选择与保护结果相符的最佳管理方法时，应该考虑到上述因素。</w:t>
      </w:r>
    </w:p>
  </w:footnote>
  <w:footnote w:id="240">
    <w:p w14:paraId="27228C83" w14:textId="05451EAC" w:rsidR="005E77FA" w:rsidRPr="007751C8" w:rsidRDefault="005E77FA" w:rsidP="00A603AC">
      <w:pPr>
        <w:pStyle w:val="FootnoteText"/>
        <w:spacing w:after="60"/>
        <w:rPr>
          <w:sz w:val="20"/>
        </w:rPr>
      </w:pPr>
      <w:r w:rsidRPr="00576649">
        <w:rPr>
          <w:rFonts w:eastAsia="SimSun"/>
          <w:sz w:val="20"/>
          <w:vertAlign w:val="superscript"/>
        </w:rPr>
        <w:footnoteRef/>
      </w:r>
      <w:r w:rsidRPr="00576649">
        <w:rPr>
          <w:rFonts w:eastAsia="SimSun"/>
          <w:sz w:val="20"/>
        </w:rPr>
        <w:t xml:space="preserve"> </w:t>
      </w:r>
      <w:r w:rsidR="00576649">
        <w:rPr>
          <w:rFonts w:eastAsia="SimSun" w:hint="eastAsia"/>
          <w:sz w:val="20"/>
        </w:rPr>
        <w:t xml:space="preserve"> </w:t>
      </w:r>
      <w:r w:rsidRPr="00576649">
        <w:rPr>
          <w:rFonts w:eastAsia="SimSun"/>
          <w:sz w:val="20"/>
          <w:lang w:val="en-GB"/>
        </w:rPr>
        <w:t>Franck Vanclay</w:t>
      </w:r>
      <w:r w:rsidRPr="00576649">
        <w:rPr>
          <w:rFonts w:eastAsia="SimSun"/>
          <w:sz w:val="20"/>
          <w:lang w:val="en-GB"/>
        </w:rPr>
        <w:t>等</w:t>
      </w:r>
      <w:r w:rsidRPr="00576649">
        <w:rPr>
          <w:rFonts w:eastAsia="SimSun"/>
          <w:sz w:val="20"/>
          <w:lang w:val="en-GB"/>
        </w:rPr>
        <w:t xml:space="preserve">, </w:t>
      </w:r>
      <w:r w:rsidRPr="00576649">
        <w:rPr>
          <w:rFonts w:eastAsia="SimSun"/>
          <w:sz w:val="20"/>
          <w:lang w:val="en-GB"/>
        </w:rPr>
        <w:t>《社会影响评估：评估和管理项目社会影响的指南》</w:t>
      </w:r>
      <w:r w:rsidRPr="00576649">
        <w:rPr>
          <w:rFonts w:eastAsia="SimSun"/>
          <w:sz w:val="20"/>
          <w:lang w:val="en-GB"/>
        </w:rPr>
        <w:t>, (International Association for Impact Assessment, 2015)</w:t>
      </w:r>
      <w:r w:rsidRPr="00576649">
        <w:rPr>
          <w:rFonts w:eastAsia="SimSun"/>
          <w:sz w:val="20"/>
        </w:rPr>
        <w:t>。</w:t>
      </w:r>
    </w:p>
  </w:footnote>
  <w:footnote w:id="241">
    <w:p w14:paraId="73753D20" w14:textId="55A8CD55" w:rsidR="005E77FA" w:rsidRPr="005C17E7" w:rsidRDefault="005E77FA" w:rsidP="005E77FA">
      <w:pPr>
        <w:pStyle w:val="CBDFootnoteText"/>
        <w:spacing w:after="60"/>
        <w:rPr>
          <w:rFonts w:eastAsia="SimSun"/>
          <w:sz w:val="20"/>
          <w:szCs w:val="20"/>
          <w:lang w:val="en-GB" w:eastAsia="zh-CN"/>
        </w:rPr>
      </w:pPr>
      <w:r w:rsidRPr="005C17E7">
        <w:rPr>
          <w:rStyle w:val="FootnoteReference"/>
          <w:rFonts w:eastAsia="SimSun"/>
          <w:sz w:val="20"/>
          <w:szCs w:val="20"/>
          <w:lang w:eastAsia="zh-CN"/>
        </w:rPr>
        <w:footnoteRef/>
      </w:r>
      <w:r w:rsidRPr="005C17E7">
        <w:rPr>
          <w:rFonts w:eastAsia="SimSun"/>
          <w:sz w:val="20"/>
          <w:szCs w:val="20"/>
          <w:lang w:eastAsia="zh-CN"/>
        </w:rPr>
        <w:t xml:space="preserve"> </w:t>
      </w:r>
      <w:r w:rsidR="005C17E7">
        <w:rPr>
          <w:rFonts w:eastAsia="SimSun" w:hint="eastAsia"/>
          <w:sz w:val="20"/>
          <w:szCs w:val="20"/>
          <w:lang w:eastAsia="zh-CN"/>
        </w:rPr>
        <w:t xml:space="preserve"> </w:t>
      </w:r>
      <w:r w:rsidRPr="005C17E7">
        <w:rPr>
          <w:rFonts w:eastAsia="SimSun"/>
          <w:sz w:val="20"/>
          <w:szCs w:val="20"/>
          <w:lang w:eastAsia="zh-CN"/>
        </w:rPr>
        <w:t>第</w:t>
      </w:r>
      <w:r w:rsidRPr="005C17E7">
        <w:rPr>
          <w:rFonts w:eastAsia="SimSun"/>
          <w:sz w:val="20"/>
          <w:szCs w:val="20"/>
          <w:lang w:eastAsia="zh-CN"/>
        </w:rPr>
        <w:t xml:space="preserve"> </w:t>
      </w:r>
      <w:hyperlink r:id="rId99" w:history="1">
        <w:r w:rsidRPr="005C17E7">
          <w:rPr>
            <w:rStyle w:val="Hyperlink"/>
            <w:rFonts w:eastAsia="SimSun"/>
            <w:sz w:val="20"/>
            <w:szCs w:val="20"/>
            <w:lang w:eastAsia="zh-CN"/>
          </w:rPr>
          <w:t>15/4</w:t>
        </w:r>
      </w:hyperlink>
      <w:r w:rsidRPr="005C17E7">
        <w:rPr>
          <w:rFonts w:eastAsia="SimSun"/>
          <w:sz w:val="20"/>
          <w:szCs w:val="20"/>
          <w:lang w:eastAsia="zh-CN"/>
        </w:rPr>
        <w:t>号决定，附件。</w:t>
      </w:r>
    </w:p>
  </w:footnote>
  <w:footnote w:id="242">
    <w:p w14:paraId="73B6F606" w14:textId="47DA1962" w:rsidR="005E77FA" w:rsidRPr="007751C8" w:rsidRDefault="005E77FA" w:rsidP="005E77FA">
      <w:pPr>
        <w:pStyle w:val="FootnoteText"/>
        <w:spacing w:after="60"/>
        <w:rPr>
          <w:sz w:val="20"/>
        </w:rPr>
      </w:pPr>
      <w:r w:rsidRPr="005C17E7">
        <w:rPr>
          <w:rStyle w:val="FootnoteReference"/>
          <w:rFonts w:eastAsia="SimSun"/>
          <w:sz w:val="20"/>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见生物多样性和生态系统服务政府间科学与政策平台《外来入侵物种及其控制专题评估的决策者摘要》附录</w:t>
      </w:r>
      <w:r w:rsidRPr="005C17E7">
        <w:rPr>
          <w:rFonts w:eastAsia="SimSun"/>
          <w:sz w:val="20"/>
        </w:rPr>
        <w:t>3</w:t>
      </w:r>
      <w:r w:rsidRPr="005C17E7">
        <w:rPr>
          <w:rFonts w:eastAsia="SimSun"/>
          <w:sz w:val="20"/>
        </w:rPr>
        <w:t>。</w:t>
      </w:r>
    </w:p>
  </w:footnote>
  <w:footnote w:id="243">
    <w:p w14:paraId="4D0938B1" w14:textId="5DAD3778" w:rsidR="005E77FA" w:rsidRPr="005C17E7" w:rsidRDefault="005E77FA" w:rsidP="005E77FA">
      <w:pPr>
        <w:pStyle w:val="FootnoteText"/>
        <w:spacing w:after="60"/>
        <w:rPr>
          <w:rFonts w:eastAsia="SimSun"/>
          <w:sz w:val="20"/>
        </w:rPr>
      </w:pPr>
      <w:r w:rsidRPr="005C17E7">
        <w:rPr>
          <w:rFonts w:eastAsia="SimSun"/>
          <w:sz w:val="20"/>
          <w:vertAlign w:val="superscript"/>
        </w:rPr>
        <w:footnoteRef/>
      </w:r>
      <w:r w:rsidR="005C17E7">
        <w:rPr>
          <w:rFonts w:eastAsia="SimSun" w:hint="eastAsia"/>
          <w:sz w:val="20"/>
        </w:rPr>
        <w:t xml:space="preserve"> </w:t>
      </w:r>
      <w:r w:rsidRPr="005C17E7">
        <w:rPr>
          <w:rFonts w:eastAsia="SimSun"/>
          <w:sz w:val="20"/>
        </w:rPr>
        <w:t xml:space="preserve"> </w:t>
      </w:r>
      <w:r w:rsidRPr="005C17E7">
        <w:rPr>
          <w:rFonts w:eastAsia="SimSun"/>
          <w:sz w:val="20"/>
        </w:rPr>
        <w:t>见</w:t>
      </w:r>
      <w:hyperlink r:id="rId100" w:history="1">
        <w:r w:rsidRPr="005C17E7">
          <w:rPr>
            <w:rStyle w:val="Hyperlink"/>
            <w:rFonts w:eastAsia="SimSun"/>
            <w:sz w:val="20"/>
          </w:rPr>
          <w:t>www.gbif.org/</w:t>
        </w:r>
      </w:hyperlink>
      <w:r w:rsidRPr="005C17E7">
        <w:rPr>
          <w:rFonts w:eastAsia="SimSun"/>
          <w:sz w:val="20"/>
        </w:rPr>
        <w:t>。</w:t>
      </w:r>
    </w:p>
  </w:footnote>
  <w:footnote w:id="244">
    <w:p w14:paraId="75D0C985" w14:textId="5935E7F6" w:rsidR="005E77FA" w:rsidRPr="005C17E7" w:rsidRDefault="005E77FA" w:rsidP="005E77FA">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hyperlink r:id="rId101" w:history="1">
        <w:r w:rsidRPr="005C17E7">
          <w:rPr>
            <w:rStyle w:val="Hyperlink"/>
            <w:rFonts w:eastAsia="SimSun"/>
            <w:sz w:val="20"/>
          </w:rPr>
          <w:t>https://griis.org/</w:t>
        </w:r>
      </w:hyperlink>
      <w:r w:rsidRPr="005C17E7">
        <w:rPr>
          <w:rFonts w:eastAsia="SimSun"/>
          <w:sz w:val="20"/>
        </w:rPr>
        <w:t>。</w:t>
      </w:r>
    </w:p>
  </w:footnote>
  <w:footnote w:id="245">
    <w:p w14:paraId="65CFF0BF" w14:textId="04109B64" w:rsidR="005E77FA" w:rsidRPr="005C17E7" w:rsidRDefault="005E77FA" w:rsidP="005E77FA">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hyperlink r:id="rId102" w:history="1">
        <w:r w:rsidRPr="005C17E7">
          <w:rPr>
            <w:rStyle w:val="Hyperlink"/>
            <w:rFonts w:eastAsia="SimSun"/>
            <w:sz w:val="20"/>
          </w:rPr>
          <w:t>www.cabidigitallibrary.org/journal/cabicompendium</w:t>
        </w:r>
      </w:hyperlink>
      <w:r w:rsidRPr="005C17E7">
        <w:rPr>
          <w:rFonts w:eastAsia="SimSun"/>
          <w:sz w:val="20"/>
        </w:rPr>
        <w:t>。</w:t>
      </w:r>
    </w:p>
  </w:footnote>
  <w:footnote w:id="246">
    <w:p w14:paraId="7553ABEC" w14:textId="0C2608B3" w:rsidR="005E77FA" w:rsidRPr="005C17E7" w:rsidRDefault="005E77FA" w:rsidP="005E77FA">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r w:rsidRPr="005C17E7">
        <w:rPr>
          <w:rFonts w:eastAsia="SimSun"/>
          <w:sz w:val="20"/>
          <w:vertAlign w:val="superscript"/>
        </w:rPr>
        <w:t xml:space="preserve"> </w:t>
      </w:r>
      <w:hyperlink r:id="rId103" w:history="1">
        <w:r w:rsidRPr="005C17E7">
          <w:rPr>
            <w:rStyle w:val="Hyperlink"/>
            <w:rFonts w:eastAsia="SimSun"/>
            <w:sz w:val="20"/>
          </w:rPr>
          <w:t>https://alien.jrc.ec.europa.eu/easin</w:t>
        </w:r>
      </w:hyperlink>
      <w:r w:rsidRPr="005C17E7">
        <w:rPr>
          <w:rFonts w:eastAsia="SimSun"/>
          <w:sz w:val="20"/>
        </w:rPr>
        <w:t>。</w:t>
      </w:r>
    </w:p>
  </w:footnote>
  <w:footnote w:id="247">
    <w:p w14:paraId="25F76317" w14:textId="7C3039F2" w:rsidR="005E77FA" w:rsidRPr="003D7AAE" w:rsidRDefault="005E77FA" w:rsidP="005E77FA">
      <w:pPr>
        <w:pStyle w:val="Heading1"/>
        <w:numPr>
          <w:ilvl w:val="0"/>
          <w:numId w:val="0"/>
        </w:numPr>
        <w:tabs>
          <w:tab w:val="left" w:pos="90"/>
        </w:tabs>
        <w:spacing w:before="0" w:after="60"/>
        <w:ind w:left="567" w:hanging="567"/>
        <w:jc w:val="both"/>
        <w:rPr>
          <w:rFonts w:eastAsia="SimSun"/>
          <w:b w:val="0"/>
          <w:bCs w:val="0"/>
          <w:sz w:val="20"/>
          <w:szCs w:val="20"/>
          <w:lang w:val="en-GB"/>
        </w:rPr>
      </w:pPr>
      <w:r w:rsidRPr="005C17E7">
        <w:rPr>
          <w:rFonts w:eastAsia="SimSun"/>
          <w:b w:val="0"/>
          <w:sz w:val="20"/>
          <w:szCs w:val="20"/>
          <w:vertAlign w:val="superscript"/>
          <w:lang w:val="en-GB"/>
        </w:rPr>
        <w:footnoteRef/>
      </w:r>
      <w:r w:rsidRPr="005C17E7">
        <w:rPr>
          <w:rFonts w:eastAsia="SimSun"/>
          <w:b w:val="0"/>
          <w:sz w:val="20"/>
          <w:szCs w:val="20"/>
          <w:lang w:val="en-GB"/>
        </w:rPr>
        <w:t xml:space="preserve"> </w:t>
      </w:r>
      <w:r w:rsidR="005C17E7">
        <w:rPr>
          <w:rFonts w:eastAsia="SimSun" w:hint="eastAsia"/>
          <w:b w:val="0"/>
          <w:sz w:val="20"/>
          <w:szCs w:val="20"/>
          <w:lang w:val="en-GB"/>
        </w:rPr>
        <w:t xml:space="preserve"> </w:t>
      </w:r>
      <w:hyperlink r:id="rId104" w:history="1">
        <w:r w:rsidR="005C17E7" w:rsidRPr="00EB6F4A">
          <w:rPr>
            <w:rStyle w:val="Hyperlink"/>
            <w:rFonts w:eastAsia="SimSun"/>
            <w:b w:val="0"/>
            <w:sz w:val="20"/>
            <w:szCs w:val="20"/>
          </w:rPr>
          <w:t>www.cbd.int/invasive/giasipartnership/</w:t>
        </w:r>
      </w:hyperlink>
      <w:r w:rsidRPr="005C17E7">
        <w:rPr>
          <w:rStyle w:val="Hyperlink"/>
          <w:rFonts w:eastAsia="SimSun"/>
          <w:b w:val="0"/>
          <w:sz w:val="20"/>
          <w:szCs w:val="20"/>
        </w:rPr>
        <w:t>。</w:t>
      </w:r>
    </w:p>
  </w:footnote>
  <w:footnote w:id="248">
    <w:p w14:paraId="1EA121A1" w14:textId="3A11B1B4" w:rsidR="005E77FA" w:rsidRPr="005C17E7" w:rsidRDefault="005E77FA" w:rsidP="005C17E7">
      <w:pPr>
        <w:pStyle w:val="FootnoteText"/>
        <w:spacing w:after="60"/>
        <w:rPr>
          <w:rFonts w:eastAsia="SimSun"/>
          <w:sz w:val="20"/>
        </w:rPr>
      </w:pPr>
      <w:r w:rsidRPr="005C17E7">
        <w:rPr>
          <w:rStyle w:val="FootnoteReference"/>
          <w:rFonts w:eastAsia="SimSun"/>
          <w:sz w:val="20"/>
        </w:rPr>
        <w:footnoteRef/>
      </w:r>
      <w:r w:rsidRPr="005C17E7">
        <w:rPr>
          <w:rFonts w:eastAsia="SimSun"/>
          <w:sz w:val="20"/>
          <w:vertAlign w:val="superscript"/>
        </w:rPr>
        <w:t xml:space="preserve"> </w:t>
      </w:r>
      <w:r w:rsidR="005C17E7">
        <w:rPr>
          <w:rFonts w:eastAsia="SimSun" w:hint="eastAsia"/>
          <w:sz w:val="20"/>
          <w:vertAlign w:val="superscript"/>
        </w:rPr>
        <w:t xml:space="preserve"> </w:t>
      </w:r>
      <w:r w:rsidRPr="005C17E7">
        <w:rPr>
          <w:rFonts w:eastAsia="SimSun"/>
          <w:sz w:val="20"/>
        </w:rPr>
        <w:t>传统知识被定义为</w:t>
      </w:r>
      <w:r w:rsidRPr="005C17E7">
        <w:rPr>
          <w:rFonts w:eastAsia="SimSun"/>
          <w:kern w:val="22"/>
          <w:sz w:val="20"/>
          <w:lang w:val="zh-CN"/>
        </w:rPr>
        <w:t>土著人民和地方社区体现与保护和可持续利用生物多样性相关的传统生活方式的知识、创新和做法</w:t>
      </w:r>
      <w:r w:rsidRPr="005C17E7">
        <w:rPr>
          <w:rFonts w:eastAsia="SimSun"/>
          <w:sz w:val="20"/>
        </w:rPr>
        <w:t>(</w:t>
      </w:r>
      <w:r w:rsidRPr="005C17E7">
        <w:rPr>
          <w:rFonts w:eastAsia="SimSun"/>
          <w:sz w:val="20"/>
        </w:rPr>
        <w:t>第</w:t>
      </w:r>
      <w:hyperlink r:id="rId105" w:history="1">
        <w:r w:rsidRPr="005C17E7">
          <w:rPr>
            <w:rStyle w:val="Hyperlink"/>
            <w:rFonts w:eastAsia="SimSun"/>
            <w:sz w:val="20"/>
          </w:rPr>
          <w:t>14/13</w:t>
        </w:r>
      </w:hyperlink>
      <w:r w:rsidR="005C17E7" w:rsidRPr="005C17E7">
        <w:rPr>
          <w:rStyle w:val="Hyperlink"/>
          <w:rFonts w:eastAsia="SimSun" w:hint="eastAsia"/>
          <w:color w:val="auto"/>
          <w:sz w:val="20"/>
          <w:u w:val="none"/>
        </w:rPr>
        <w:t>号决定</w:t>
      </w:r>
      <w:r w:rsidRPr="005C17E7">
        <w:rPr>
          <w:rFonts w:eastAsia="SimSun"/>
          <w:sz w:val="20"/>
        </w:rPr>
        <w:t>)</w:t>
      </w:r>
      <w:r w:rsidRPr="005C17E7">
        <w:rPr>
          <w:rFonts w:eastAsia="SimSun"/>
          <w:sz w:val="20"/>
        </w:rPr>
        <w:t>。</w:t>
      </w:r>
    </w:p>
  </w:footnote>
  <w:footnote w:id="249">
    <w:p w14:paraId="2693E0C7" w14:textId="53DB075A" w:rsidR="005E77FA" w:rsidRPr="005C17E7" w:rsidRDefault="005E77FA" w:rsidP="005C17E7">
      <w:pPr>
        <w:pStyle w:val="FootnoteText"/>
        <w:spacing w:after="60"/>
        <w:rPr>
          <w:rFonts w:eastAsia="SimSun"/>
          <w:color w:val="000000"/>
          <w:kern w:val="22"/>
          <w:sz w:val="20"/>
        </w:rPr>
      </w:pPr>
      <w:r w:rsidRPr="005C17E7">
        <w:rPr>
          <w:rFonts w:eastAsia="SimSun"/>
          <w:sz w:val="20"/>
          <w:vertAlign w:val="superscript"/>
        </w:rPr>
        <w:footnoteRef/>
      </w:r>
      <w:r w:rsidRPr="005C17E7">
        <w:rPr>
          <w:rFonts w:eastAsia="SimSun"/>
          <w:sz w:val="20"/>
          <w:vertAlign w:val="superscript"/>
        </w:rPr>
        <w:t xml:space="preserve"> </w:t>
      </w:r>
      <w:r w:rsidR="005C17E7">
        <w:rPr>
          <w:rFonts w:eastAsia="SimSun" w:hint="eastAsia"/>
          <w:sz w:val="20"/>
          <w:vertAlign w:val="superscript"/>
        </w:rPr>
        <w:t xml:space="preserve"> </w:t>
      </w:r>
      <w:r w:rsidRPr="005C17E7">
        <w:rPr>
          <w:rFonts w:eastAsia="SimSun"/>
          <w:sz w:val="20"/>
        </w:rPr>
        <w:t>应该认识到，</w:t>
      </w:r>
      <w:r w:rsidRPr="005C17E7">
        <w:rPr>
          <w:rStyle w:val="FootnoteReference"/>
          <w:rFonts w:eastAsia="SimSun"/>
          <w:sz w:val="20"/>
          <w:vertAlign w:val="baseline"/>
        </w:rPr>
        <w:t>土著人民的利益不仅限于使用传统知识</w:t>
      </w:r>
      <w:r w:rsidRPr="005C17E7">
        <w:rPr>
          <w:rFonts w:eastAsia="SimSun"/>
          <w:sz w:val="20"/>
        </w:rPr>
        <w:t>，还包括如何使用与具有文化意义的物种和地点有关的数据，以及如何和在哪里储存这些数据（例如土著数据主权的概念）。</w:t>
      </w:r>
      <w:r w:rsidRPr="005C17E7">
        <w:rPr>
          <w:rFonts w:eastAsia="SimSun"/>
          <w:kern w:val="22"/>
          <w:sz w:val="20"/>
        </w:rPr>
        <w:t xml:space="preserve"> “</w:t>
      </w:r>
      <w:r w:rsidRPr="005C17E7">
        <w:rPr>
          <w:rFonts w:eastAsia="SimSun"/>
          <w:sz w:val="20"/>
        </w:rPr>
        <w:t>自由、事先和知情同意</w:t>
      </w:r>
      <w:r w:rsidRPr="005C17E7">
        <w:rPr>
          <w:rFonts w:eastAsia="SimSun"/>
          <w:sz w:val="20"/>
        </w:rPr>
        <w:t>”</w:t>
      </w:r>
      <w:r w:rsidRPr="005C17E7">
        <w:rPr>
          <w:rFonts w:eastAsia="SimSun"/>
          <w:sz w:val="20"/>
        </w:rPr>
        <w:t>指三种表述，即</w:t>
      </w:r>
      <w:r w:rsidRPr="005C17E7">
        <w:rPr>
          <w:rFonts w:eastAsia="SimSun"/>
          <w:sz w:val="20"/>
        </w:rPr>
        <w:t>“</w:t>
      </w:r>
      <w:r w:rsidRPr="005C17E7">
        <w:rPr>
          <w:rFonts w:eastAsia="SimSun"/>
          <w:sz w:val="20"/>
        </w:rPr>
        <w:t>事先和知情同意</w:t>
      </w:r>
      <w:r w:rsidRPr="005C17E7">
        <w:rPr>
          <w:rFonts w:eastAsia="SimSun"/>
          <w:sz w:val="20"/>
        </w:rPr>
        <w:t>”</w:t>
      </w:r>
      <w:r w:rsidRPr="005C17E7">
        <w:rPr>
          <w:rFonts w:eastAsia="SimSun"/>
          <w:sz w:val="20"/>
        </w:rPr>
        <w:t>、</w:t>
      </w:r>
      <w:r w:rsidRPr="005C17E7">
        <w:rPr>
          <w:rFonts w:eastAsia="SimSun"/>
          <w:sz w:val="20"/>
        </w:rPr>
        <w:t>“</w:t>
      </w:r>
      <w:r w:rsidRPr="005C17E7">
        <w:rPr>
          <w:rFonts w:eastAsia="SimSun"/>
          <w:sz w:val="20"/>
        </w:rPr>
        <w:t>自由、事先和知情同意</w:t>
      </w:r>
      <w:r w:rsidRPr="005C17E7">
        <w:rPr>
          <w:rFonts w:eastAsia="SimSun"/>
          <w:sz w:val="20"/>
        </w:rPr>
        <w:t>”</w:t>
      </w:r>
      <w:r w:rsidR="005C17E7">
        <w:rPr>
          <w:rFonts w:eastAsia="SimSun" w:hint="eastAsia"/>
          <w:sz w:val="20"/>
        </w:rPr>
        <w:t>和</w:t>
      </w:r>
      <w:r w:rsidRPr="005C17E7">
        <w:rPr>
          <w:rFonts w:eastAsia="SimSun"/>
          <w:sz w:val="20"/>
        </w:rPr>
        <w:t>“</w:t>
      </w:r>
      <w:r w:rsidRPr="005C17E7">
        <w:rPr>
          <w:rFonts w:eastAsia="SimSun"/>
          <w:sz w:val="20"/>
        </w:rPr>
        <w:t>批准和参与</w:t>
      </w:r>
      <w:r w:rsidRPr="005C17E7">
        <w:rPr>
          <w:rFonts w:eastAsia="SimSun"/>
          <w:sz w:val="20"/>
        </w:rPr>
        <w:t>”</w:t>
      </w:r>
      <w:r w:rsidR="005C17E7" w:rsidRPr="005C17E7">
        <w:rPr>
          <w:rFonts w:eastAsia="SimSun"/>
          <w:sz w:val="20"/>
        </w:rPr>
        <w:t xml:space="preserve"> </w:t>
      </w:r>
      <w:r w:rsidR="005C17E7" w:rsidRPr="005C17E7">
        <w:rPr>
          <w:rFonts w:eastAsia="SimSun"/>
          <w:sz w:val="20"/>
        </w:rPr>
        <w:t>。</w:t>
      </w:r>
    </w:p>
  </w:footnote>
  <w:footnote w:id="250">
    <w:p w14:paraId="1222EA1E" w14:textId="6917DA95"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hyperlink r:id="rId106" w:history="1">
        <w:r w:rsidRPr="005C17E7">
          <w:rPr>
            <w:rStyle w:val="Hyperlink"/>
            <w:rFonts w:eastAsia="SimSun"/>
            <w:kern w:val="22"/>
            <w:sz w:val="20"/>
          </w:rPr>
          <w:t>www.iucn.org/resources/conservation-tool/environmental-impact-classification-alien-taxa-eicat</w:t>
        </w:r>
      </w:hyperlink>
      <w:r w:rsidRPr="005C17E7">
        <w:rPr>
          <w:rStyle w:val="Hyperlink"/>
          <w:rFonts w:eastAsia="SimSun"/>
          <w:kern w:val="22"/>
          <w:sz w:val="20"/>
        </w:rPr>
        <w:t>。</w:t>
      </w:r>
    </w:p>
  </w:footnote>
  <w:footnote w:id="251">
    <w:p w14:paraId="607C40BC" w14:textId="53297BFE"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r w:rsidRPr="005C17E7">
        <w:rPr>
          <w:rFonts w:eastAsia="SimSun"/>
          <w:sz w:val="20"/>
          <w:lang w:val="en-GB"/>
        </w:rPr>
        <w:t>Sven Bacher</w:t>
      </w:r>
      <w:r w:rsidRPr="005C17E7">
        <w:rPr>
          <w:rFonts w:eastAsia="SimSun"/>
          <w:sz w:val="20"/>
          <w:lang w:val="en-GB"/>
        </w:rPr>
        <w:t>等</w:t>
      </w:r>
      <w:r w:rsidRPr="005C17E7">
        <w:rPr>
          <w:rFonts w:eastAsia="SimSun"/>
          <w:sz w:val="20"/>
          <w:lang w:val="en-GB"/>
        </w:rPr>
        <w:t>, “</w:t>
      </w:r>
      <w:r w:rsidRPr="005C17E7">
        <w:rPr>
          <w:rFonts w:eastAsia="SimSun"/>
          <w:sz w:val="20"/>
          <w:lang w:val="en-GB"/>
        </w:rPr>
        <w:t>外来分类群的社会经济影响分类</w:t>
      </w:r>
      <w:r w:rsidRPr="005C17E7">
        <w:rPr>
          <w:rFonts w:eastAsia="SimSun"/>
          <w:sz w:val="20"/>
          <w:lang w:val="en-GB"/>
        </w:rPr>
        <w:t xml:space="preserve">”(SEICAT)”, </w:t>
      </w:r>
      <w:r w:rsidRPr="005C17E7">
        <w:rPr>
          <w:rFonts w:eastAsia="SimSun"/>
          <w:i/>
          <w:iCs/>
          <w:sz w:val="20"/>
          <w:lang w:val="en-GB"/>
        </w:rPr>
        <w:t>Methods in Ecology and Evolution</w:t>
      </w:r>
      <w:r w:rsidRPr="005C17E7">
        <w:rPr>
          <w:rFonts w:eastAsia="SimSun"/>
          <w:sz w:val="20"/>
          <w:lang w:val="en-GB"/>
        </w:rPr>
        <w:t>, vol. 9, No. 1 (April 2017)</w:t>
      </w:r>
      <w:r w:rsidRPr="005C17E7">
        <w:rPr>
          <w:rFonts w:eastAsia="SimSun"/>
          <w:sz w:val="20"/>
        </w:rPr>
        <w:t>。</w:t>
      </w:r>
    </w:p>
  </w:footnote>
  <w:footnote w:id="252">
    <w:p w14:paraId="19CC6336" w14:textId="79868E65" w:rsidR="005E77FA" w:rsidRPr="007751C8" w:rsidRDefault="005E77FA" w:rsidP="005C17E7">
      <w:pPr>
        <w:pStyle w:val="FootnoteText"/>
        <w:suppressLineNumbers/>
        <w:suppressAutoHyphens/>
        <w:spacing w:after="60"/>
        <w:rPr>
          <w:kern w:val="18"/>
          <w:sz w:val="20"/>
        </w:rPr>
      </w:pPr>
      <w:r w:rsidRPr="005C17E7">
        <w:rPr>
          <w:rFonts w:eastAsia="SimSun"/>
          <w:kern w:val="18"/>
          <w:sz w:val="20"/>
          <w:vertAlign w:val="superscript"/>
        </w:rPr>
        <w:footnoteRef/>
      </w:r>
      <w:r w:rsidR="005C17E7">
        <w:rPr>
          <w:rFonts w:eastAsia="SimSun" w:hint="eastAsia"/>
          <w:kern w:val="18"/>
          <w:sz w:val="20"/>
          <w:vertAlign w:val="superscript"/>
        </w:rPr>
        <w:t xml:space="preserve"> </w:t>
      </w:r>
      <w:r w:rsidRPr="005C17E7">
        <w:rPr>
          <w:rFonts w:eastAsia="SimSun"/>
          <w:kern w:val="18"/>
          <w:sz w:val="20"/>
          <w:vertAlign w:val="superscript"/>
        </w:rPr>
        <w:t xml:space="preserve"> </w:t>
      </w:r>
      <w:r w:rsidRPr="005C17E7">
        <w:rPr>
          <w:rFonts w:eastAsia="SimSun"/>
          <w:kern w:val="18"/>
          <w:sz w:val="20"/>
        </w:rPr>
        <w:t>关于如何使用《外来物种环境影响分类》标准及其应用的范例，见</w:t>
      </w:r>
      <w:r w:rsidRPr="005C17E7">
        <w:rPr>
          <w:rFonts w:eastAsia="SimSun"/>
          <w:kern w:val="18"/>
          <w:sz w:val="20"/>
        </w:rPr>
        <w:t xml:space="preserve"> </w:t>
      </w:r>
      <w:hyperlink r:id="rId107" w:history="1">
        <w:r w:rsidRPr="005C17E7">
          <w:rPr>
            <w:rStyle w:val="Hyperlink"/>
            <w:rFonts w:eastAsia="SimSun"/>
            <w:kern w:val="18"/>
            <w:sz w:val="20"/>
          </w:rPr>
          <w:t>CBD/AHTEG/IAS/2019/1/2</w:t>
        </w:r>
      </w:hyperlink>
      <w:r w:rsidRPr="005C17E7">
        <w:rPr>
          <w:rFonts w:eastAsia="SimSun"/>
          <w:kern w:val="18"/>
          <w:sz w:val="20"/>
        </w:rPr>
        <w:t xml:space="preserve">, </w:t>
      </w:r>
      <w:r w:rsidRPr="005C17E7">
        <w:rPr>
          <w:rFonts w:eastAsia="SimSun"/>
          <w:kern w:val="18"/>
          <w:sz w:val="20"/>
        </w:rPr>
        <w:t>附件五，第</w:t>
      </w:r>
      <w:r w:rsidRPr="005C17E7">
        <w:rPr>
          <w:rFonts w:eastAsia="SimSun"/>
          <w:kern w:val="18"/>
          <w:sz w:val="20"/>
        </w:rPr>
        <w:t>12-17</w:t>
      </w:r>
      <w:r w:rsidRPr="005C17E7">
        <w:rPr>
          <w:rFonts w:eastAsia="SimSun"/>
          <w:kern w:val="18"/>
          <w:sz w:val="20"/>
        </w:rPr>
        <w:t>段。</w:t>
      </w:r>
    </w:p>
  </w:footnote>
  <w:footnote w:id="253">
    <w:p w14:paraId="5106CC35" w14:textId="77777777" w:rsidR="005E77FA" w:rsidRPr="007751C8" w:rsidRDefault="005E77FA" w:rsidP="005E77FA">
      <w:pPr>
        <w:pStyle w:val="FootnoteText"/>
        <w:spacing w:after="60"/>
        <w:rPr>
          <w:sz w:val="20"/>
        </w:rPr>
      </w:pPr>
      <w:r w:rsidRPr="007751C8">
        <w:rPr>
          <w:rStyle w:val="FootnoteReference"/>
          <w:sz w:val="20"/>
        </w:rPr>
        <w:footnoteRef/>
      </w:r>
      <w:r w:rsidRPr="007751C8">
        <w:rPr>
          <w:sz w:val="20"/>
        </w:rPr>
        <w:t xml:space="preserve"> </w:t>
      </w:r>
      <w:r w:rsidRPr="007751C8">
        <w:rPr>
          <w:sz w:val="20"/>
        </w:rPr>
        <w:t>第</w:t>
      </w:r>
      <w:r w:rsidRPr="007751C8">
        <w:rPr>
          <w:sz w:val="20"/>
        </w:rPr>
        <w:t xml:space="preserve"> </w:t>
      </w:r>
      <w:hyperlink r:id="rId108" w:history="1">
        <w:r w:rsidRPr="007751C8">
          <w:rPr>
            <w:rStyle w:val="Hyperlink"/>
            <w:sz w:val="20"/>
          </w:rPr>
          <w:t>15/4</w:t>
        </w:r>
      </w:hyperlink>
      <w:r w:rsidRPr="007751C8">
        <w:rPr>
          <w:sz w:val="20"/>
        </w:rPr>
        <w:t>号决定，附件。</w:t>
      </w:r>
    </w:p>
  </w:footnote>
  <w:footnote w:id="254">
    <w:p w14:paraId="0CD4F2EF" w14:textId="336D2FAC" w:rsidR="005E77FA" w:rsidRPr="005C17E7" w:rsidRDefault="005E77FA" w:rsidP="005C17E7">
      <w:pPr>
        <w:pStyle w:val="FootnoteText"/>
        <w:spacing w:after="60" w:line="240" w:lineRule="atLeast"/>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例如欧洲疾病防控中心和欧洲食品安全局关于动物健康（见</w:t>
      </w:r>
      <w:hyperlink r:id="rId109" w:history="1">
        <w:r w:rsidRPr="005C17E7">
          <w:rPr>
            <w:rStyle w:val="Hyperlink"/>
            <w:rFonts w:eastAsia="SimSun"/>
            <w:sz w:val="20"/>
          </w:rPr>
          <w:t>www.efsa.europa.eu/en/topics/topic/animal-health#efsas-role</w:t>
        </w:r>
      </w:hyperlink>
      <w:r w:rsidRPr="005C17E7">
        <w:rPr>
          <w:rFonts w:eastAsia="SimSun"/>
          <w:sz w:val="20"/>
        </w:rPr>
        <w:t>）和外来入侵物种（见</w:t>
      </w:r>
      <w:hyperlink r:id="rId110" w:history="1">
        <w:r w:rsidRPr="005C17E7">
          <w:rPr>
            <w:rStyle w:val="Hyperlink"/>
            <w:rFonts w:eastAsia="SimSun"/>
            <w:sz w:val="20"/>
          </w:rPr>
          <w:t>www.efsa.europa.eu/en/topics/topic/invasive-alien-species</w:t>
        </w:r>
      </w:hyperlink>
      <w:r w:rsidRPr="005C17E7">
        <w:rPr>
          <w:rFonts w:eastAsia="SimSun"/>
          <w:sz w:val="20"/>
        </w:rPr>
        <w:t>）的区域监测和监管办法。</w:t>
      </w:r>
    </w:p>
  </w:footnote>
  <w:footnote w:id="255">
    <w:p w14:paraId="607880F5" w14:textId="7ECA962C"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w:t>
      </w:r>
      <w:hyperlink r:id="rId111" w:history="1">
        <w:r w:rsidRPr="005C17E7">
          <w:rPr>
            <w:rStyle w:val="Hyperlink"/>
            <w:rFonts w:eastAsia="SimSun"/>
            <w:sz w:val="20"/>
          </w:rPr>
          <w:t>UNEP/CBD/SBSTTA/18/9/Add.1</w:t>
        </w:r>
      </w:hyperlink>
      <w:r w:rsidRPr="005C17E7">
        <w:rPr>
          <w:rFonts w:eastAsia="SimSun"/>
          <w:sz w:val="20"/>
        </w:rPr>
        <w:t>。</w:t>
      </w:r>
    </w:p>
  </w:footnote>
  <w:footnote w:id="256">
    <w:p w14:paraId="09F81172" w14:textId="3CF01B22"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国际海事组织，</w:t>
      </w:r>
      <w:r w:rsidRPr="005C17E7">
        <w:rPr>
          <w:rFonts w:eastAsia="SimSun"/>
          <w:sz w:val="20"/>
          <w:lang w:val="en-GB"/>
        </w:rPr>
        <w:t>BWM/CONF/36</w:t>
      </w:r>
      <w:r w:rsidRPr="005C17E7">
        <w:rPr>
          <w:rFonts w:eastAsia="SimSun"/>
          <w:sz w:val="20"/>
          <w:lang w:val="en-GB"/>
        </w:rPr>
        <w:t>号文件，附件</w:t>
      </w:r>
      <w:r w:rsidRPr="005C17E7">
        <w:rPr>
          <w:rFonts w:eastAsia="SimSun"/>
          <w:sz w:val="20"/>
        </w:rPr>
        <w:t>。</w:t>
      </w:r>
      <w:r w:rsidRPr="005C17E7">
        <w:rPr>
          <w:rFonts w:eastAsia="SimSun"/>
          <w:sz w:val="20"/>
        </w:rPr>
        <w:t xml:space="preserve"> </w:t>
      </w:r>
    </w:p>
  </w:footnote>
  <w:footnote w:id="257">
    <w:p w14:paraId="0CC1FF1C" w14:textId="624DB8A6"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国际海事组织海洋环境保护委员会第</w:t>
      </w:r>
      <w:r w:rsidRPr="005C17E7">
        <w:rPr>
          <w:rFonts w:eastAsia="SimSun"/>
          <w:sz w:val="20"/>
          <w:lang w:val="en-GB"/>
        </w:rPr>
        <w:t>MEPC. 80/17/Add.1</w:t>
      </w:r>
      <w:r w:rsidRPr="005C17E7">
        <w:rPr>
          <w:rFonts w:eastAsia="SimSun"/>
          <w:sz w:val="20"/>
        </w:rPr>
        <w:t xml:space="preserve"> </w:t>
      </w:r>
      <w:r w:rsidRPr="005C17E7">
        <w:rPr>
          <w:rFonts w:eastAsia="SimSun"/>
          <w:sz w:val="20"/>
        </w:rPr>
        <w:t>号决议。</w:t>
      </w:r>
    </w:p>
  </w:footnote>
  <w:footnote w:id="258">
    <w:p w14:paraId="09648D99" w14:textId="5AB19537" w:rsidR="005E77FA" w:rsidRPr="005C17E7" w:rsidRDefault="005E77FA" w:rsidP="005C17E7">
      <w:pPr>
        <w:pStyle w:val="FootnoteText"/>
        <w:spacing w:after="60"/>
        <w:rPr>
          <w:rFonts w:eastAsia="SimSun"/>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例如，见欧洲议会和欧洲理事会</w:t>
      </w:r>
      <w:r w:rsidRPr="005C17E7">
        <w:rPr>
          <w:rFonts w:eastAsia="SimSun"/>
          <w:sz w:val="20"/>
        </w:rPr>
        <w:t>2014</w:t>
      </w:r>
      <w:r w:rsidRPr="005C17E7">
        <w:rPr>
          <w:rFonts w:eastAsia="SimSun"/>
          <w:sz w:val="20"/>
        </w:rPr>
        <w:t>年</w:t>
      </w:r>
      <w:r w:rsidRPr="005C17E7">
        <w:rPr>
          <w:rFonts w:eastAsia="SimSun"/>
          <w:sz w:val="20"/>
        </w:rPr>
        <w:t>10</w:t>
      </w:r>
      <w:r w:rsidRPr="005C17E7">
        <w:rPr>
          <w:rFonts w:eastAsia="SimSun"/>
          <w:sz w:val="20"/>
        </w:rPr>
        <w:t>月</w:t>
      </w:r>
      <w:r w:rsidRPr="005C17E7">
        <w:rPr>
          <w:rFonts w:eastAsia="SimSun"/>
          <w:sz w:val="20"/>
        </w:rPr>
        <w:t>22</w:t>
      </w:r>
      <w:r w:rsidRPr="005C17E7">
        <w:rPr>
          <w:rFonts w:eastAsia="SimSun"/>
          <w:sz w:val="20"/>
        </w:rPr>
        <w:t>日关于预防和管理外来入侵物种的引入和传播的第</w:t>
      </w:r>
      <w:r w:rsidRPr="005C17E7">
        <w:rPr>
          <w:rFonts w:eastAsia="SimSun"/>
          <w:sz w:val="20"/>
        </w:rPr>
        <w:t>1143/2014</w:t>
      </w:r>
      <w:r w:rsidRPr="005C17E7">
        <w:rPr>
          <w:rFonts w:eastAsia="SimSun"/>
          <w:sz w:val="20"/>
        </w:rPr>
        <w:t>号条例（欧盟），第</w:t>
      </w:r>
      <w:r w:rsidRPr="005C17E7">
        <w:rPr>
          <w:rFonts w:eastAsia="SimSun"/>
          <w:sz w:val="20"/>
        </w:rPr>
        <w:t>22</w:t>
      </w:r>
      <w:r w:rsidRPr="005C17E7">
        <w:rPr>
          <w:rFonts w:eastAsia="SimSun"/>
          <w:sz w:val="20"/>
        </w:rPr>
        <w:t>条第</w:t>
      </w:r>
      <w:r w:rsidRPr="005C17E7">
        <w:rPr>
          <w:rFonts w:eastAsia="SimSun"/>
          <w:sz w:val="20"/>
        </w:rPr>
        <w:t>1 (d)</w:t>
      </w:r>
      <w:r w:rsidRPr="005C17E7">
        <w:rPr>
          <w:rFonts w:eastAsia="SimSun"/>
          <w:sz w:val="20"/>
        </w:rPr>
        <w:t>段，</w:t>
      </w:r>
      <w:r w:rsidRPr="005C17E7">
        <w:rPr>
          <w:rFonts w:eastAsia="SimSun"/>
          <w:sz w:val="20"/>
        </w:rPr>
        <w:t>2018</w:t>
      </w:r>
      <w:r w:rsidRPr="005C17E7">
        <w:rPr>
          <w:rFonts w:eastAsia="SimSun"/>
          <w:sz w:val="20"/>
        </w:rPr>
        <w:t>年</w:t>
      </w:r>
      <w:r w:rsidRPr="005C17E7">
        <w:rPr>
          <w:rFonts w:eastAsia="SimSun"/>
          <w:sz w:val="20"/>
        </w:rPr>
        <w:t>4</w:t>
      </w:r>
      <w:r w:rsidRPr="005C17E7">
        <w:rPr>
          <w:rFonts w:eastAsia="SimSun"/>
          <w:sz w:val="20"/>
        </w:rPr>
        <w:t>月</w:t>
      </w:r>
      <w:r w:rsidRPr="005C17E7">
        <w:rPr>
          <w:rFonts w:eastAsia="SimSun"/>
          <w:sz w:val="20"/>
        </w:rPr>
        <w:t>30</w:t>
      </w:r>
      <w:r w:rsidRPr="005C17E7">
        <w:rPr>
          <w:rFonts w:eastAsia="SimSun"/>
          <w:sz w:val="20"/>
        </w:rPr>
        <w:t>日欧盟委员会授权条例（</w:t>
      </w:r>
      <w:r w:rsidRPr="005C17E7">
        <w:rPr>
          <w:rFonts w:eastAsia="SimSun"/>
          <w:sz w:val="20"/>
        </w:rPr>
        <w:t>EU</w:t>
      </w:r>
      <w:r w:rsidRPr="005C17E7">
        <w:rPr>
          <w:rFonts w:eastAsia="SimSun"/>
          <w:sz w:val="20"/>
        </w:rPr>
        <w:t>）</w:t>
      </w:r>
      <w:r w:rsidRPr="005C17E7">
        <w:rPr>
          <w:rFonts w:eastAsia="SimSun"/>
          <w:sz w:val="20"/>
        </w:rPr>
        <w:t xml:space="preserve"> 2018/968</w:t>
      </w:r>
      <w:r w:rsidRPr="005C17E7">
        <w:rPr>
          <w:rFonts w:eastAsia="SimSun"/>
          <w:sz w:val="20"/>
        </w:rPr>
        <w:t>以及欧洲外来物种信息网络通知系统对此做了补充</w:t>
      </w:r>
      <w:r w:rsidRPr="005C17E7">
        <w:rPr>
          <w:rFonts w:eastAsia="SimSun"/>
          <w:sz w:val="20"/>
        </w:rPr>
        <w:t xml:space="preserve"> </w:t>
      </w:r>
      <w:r w:rsidRPr="005C17E7">
        <w:rPr>
          <w:rFonts w:eastAsia="SimSun"/>
          <w:sz w:val="20"/>
        </w:rPr>
        <w:t>（见</w:t>
      </w:r>
      <w:r w:rsidRPr="005C17E7">
        <w:rPr>
          <w:rFonts w:eastAsia="SimSun"/>
          <w:sz w:val="20"/>
        </w:rPr>
        <w:t xml:space="preserve"> </w:t>
      </w:r>
      <w:hyperlink r:id="rId112" w:history="1">
        <w:r w:rsidRPr="005C17E7">
          <w:rPr>
            <w:rStyle w:val="Hyperlink"/>
            <w:rFonts w:eastAsia="SimSun"/>
            <w:sz w:val="20"/>
          </w:rPr>
          <w:t>https://easin.jrc.ec.europa.eu/notsys</w:t>
        </w:r>
      </w:hyperlink>
      <w:r w:rsidRPr="005C17E7">
        <w:rPr>
          <w:rFonts w:eastAsia="SimSun"/>
          <w:sz w:val="20"/>
        </w:rPr>
        <w:t>）。</w:t>
      </w:r>
    </w:p>
  </w:footnote>
  <w:footnote w:id="259">
    <w:p w14:paraId="7198D170" w14:textId="69B641CF" w:rsidR="005E77FA" w:rsidRPr="007751C8" w:rsidRDefault="005E77FA" w:rsidP="005C17E7">
      <w:pPr>
        <w:pStyle w:val="FootnoteText"/>
        <w:spacing w:after="60"/>
        <w:rPr>
          <w:sz w:val="20"/>
        </w:rPr>
      </w:pPr>
      <w:r w:rsidRPr="005C17E7">
        <w:rPr>
          <w:rStyle w:val="FootnoteReference"/>
          <w:rFonts w:eastAsia="SimSun"/>
          <w:sz w:val="20"/>
        </w:rPr>
        <w:footnoteRef/>
      </w:r>
      <w:r w:rsidRPr="005C17E7">
        <w:rPr>
          <w:rFonts w:eastAsia="SimSun"/>
          <w:sz w:val="20"/>
          <w:vertAlign w:val="superscript"/>
        </w:rPr>
        <w:t xml:space="preserve">  </w:t>
      </w:r>
      <w:r w:rsidR="005C17E7">
        <w:rPr>
          <w:rFonts w:eastAsia="SimSun" w:hint="eastAsia"/>
          <w:sz w:val="20"/>
          <w:vertAlign w:val="superscript"/>
        </w:rPr>
        <w:t xml:space="preserve"> </w:t>
      </w:r>
      <w:r w:rsidRPr="005C17E7">
        <w:rPr>
          <w:rFonts w:eastAsia="SimSun"/>
          <w:sz w:val="20"/>
        </w:rPr>
        <w:t>“</w:t>
      </w:r>
      <w:r w:rsidRPr="005C17E7">
        <w:rPr>
          <w:rFonts w:eastAsia="SimSun"/>
          <w:sz w:val="20"/>
        </w:rPr>
        <w:t>自由、事先和知情同意</w:t>
      </w:r>
      <w:r w:rsidRPr="005C17E7">
        <w:rPr>
          <w:rFonts w:eastAsia="SimSun"/>
          <w:sz w:val="20"/>
        </w:rPr>
        <w:t>”</w:t>
      </w:r>
      <w:r w:rsidRPr="005C17E7">
        <w:rPr>
          <w:rFonts w:eastAsia="SimSun"/>
          <w:sz w:val="20"/>
        </w:rPr>
        <w:t>指三种表述，即</w:t>
      </w:r>
      <w:r w:rsidRPr="005C17E7">
        <w:rPr>
          <w:rFonts w:eastAsia="SimSun"/>
          <w:sz w:val="20"/>
        </w:rPr>
        <w:t>“</w:t>
      </w:r>
      <w:r w:rsidRPr="005C17E7">
        <w:rPr>
          <w:rFonts w:eastAsia="SimSun"/>
          <w:sz w:val="20"/>
        </w:rPr>
        <w:t>事先和知情同意</w:t>
      </w:r>
      <w:r w:rsidRPr="005C17E7">
        <w:rPr>
          <w:rFonts w:eastAsia="SimSun"/>
          <w:sz w:val="20"/>
        </w:rPr>
        <w:t>”</w:t>
      </w:r>
      <w:r w:rsidRPr="005C17E7">
        <w:rPr>
          <w:rFonts w:eastAsia="SimSun"/>
          <w:sz w:val="20"/>
        </w:rPr>
        <w:t>、</w:t>
      </w:r>
      <w:r w:rsidRPr="005C17E7">
        <w:rPr>
          <w:rFonts w:eastAsia="SimSun"/>
          <w:sz w:val="20"/>
        </w:rPr>
        <w:t>“</w:t>
      </w:r>
      <w:r w:rsidRPr="005C17E7">
        <w:rPr>
          <w:rFonts w:eastAsia="SimSun"/>
          <w:sz w:val="20"/>
        </w:rPr>
        <w:t>自由、事先和知情同意</w:t>
      </w:r>
      <w:r w:rsidRPr="005C17E7">
        <w:rPr>
          <w:rFonts w:eastAsia="SimSun"/>
          <w:sz w:val="20"/>
        </w:rPr>
        <w:t>”</w:t>
      </w:r>
      <w:r w:rsidRPr="005C17E7">
        <w:rPr>
          <w:rFonts w:eastAsia="SimSun"/>
          <w:sz w:val="20"/>
        </w:rPr>
        <w:t>及</w:t>
      </w:r>
      <w:r w:rsidRPr="005C17E7">
        <w:rPr>
          <w:rFonts w:eastAsia="SimSun"/>
          <w:sz w:val="20"/>
        </w:rPr>
        <w:t>“</w:t>
      </w:r>
      <w:r w:rsidRPr="005C17E7">
        <w:rPr>
          <w:rFonts w:eastAsia="SimSun"/>
          <w:sz w:val="20"/>
        </w:rPr>
        <w:t>批准和参与</w:t>
      </w:r>
      <w:r w:rsidRPr="005C17E7">
        <w:rPr>
          <w:rFonts w:eastAsia="SimSun"/>
          <w:sz w:val="20"/>
        </w:rPr>
        <w:t xml:space="preserve">” </w:t>
      </w:r>
      <w:r w:rsidRPr="005C17E7">
        <w:rPr>
          <w:rFonts w:eastAsia="SimSun"/>
          <w:sz w:val="20"/>
        </w:rPr>
        <w:t>。</w:t>
      </w:r>
    </w:p>
  </w:footnote>
  <w:footnote w:id="260">
    <w:p w14:paraId="0EA7B1FF" w14:textId="7E76F236" w:rsidR="005E77FA" w:rsidRPr="005C17E7" w:rsidRDefault="005E77FA" w:rsidP="005E77FA">
      <w:pPr>
        <w:pStyle w:val="FootnoteText"/>
        <w:spacing w:after="60"/>
        <w:rPr>
          <w:rFonts w:eastAsia="SimSun"/>
          <w:color w:val="000000"/>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Style w:val="Hyperlink"/>
          <w:rFonts w:eastAsia="SimSun"/>
          <w:color w:val="000000"/>
          <w:sz w:val="20"/>
          <w:u w:val="none"/>
        </w:rPr>
        <w:t>见第</w:t>
      </w:r>
      <w:r w:rsidRPr="005C17E7">
        <w:rPr>
          <w:rStyle w:val="Hyperlink"/>
          <w:rFonts w:eastAsia="SimSun"/>
          <w:color w:val="000000"/>
          <w:sz w:val="20"/>
          <w:u w:val="none"/>
        </w:rPr>
        <w:t xml:space="preserve"> </w:t>
      </w:r>
      <w:hyperlink r:id="rId113" w:history="1">
        <w:r w:rsidRPr="005C17E7">
          <w:rPr>
            <w:rStyle w:val="Hyperlink"/>
            <w:rFonts w:eastAsia="SimSun"/>
            <w:sz w:val="20"/>
          </w:rPr>
          <w:t>VII/4</w:t>
        </w:r>
      </w:hyperlink>
      <w:r w:rsidRPr="005C17E7">
        <w:rPr>
          <w:rStyle w:val="Hyperlink"/>
          <w:rFonts w:eastAsia="SimSun"/>
          <w:color w:val="000000"/>
          <w:sz w:val="20"/>
          <w:u w:val="none"/>
        </w:rPr>
        <w:t>号决定，附件。</w:t>
      </w:r>
    </w:p>
  </w:footnote>
  <w:footnote w:id="261">
    <w:p w14:paraId="5264444D" w14:textId="3436F575" w:rsidR="005E77FA" w:rsidRPr="005C17E7" w:rsidRDefault="005E77FA" w:rsidP="005E77FA">
      <w:pPr>
        <w:pStyle w:val="FootnoteText"/>
        <w:spacing w:after="60"/>
        <w:rPr>
          <w:rFonts w:eastAsia="SimSun"/>
          <w:sz w:val="20"/>
        </w:rPr>
      </w:pPr>
      <w:r w:rsidRPr="005C17E7">
        <w:rPr>
          <w:rFonts w:eastAsia="SimSun"/>
          <w:sz w:val="20"/>
          <w:vertAlign w:val="superscript"/>
        </w:rPr>
        <w:footnoteRef/>
      </w:r>
      <w:r w:rsidRPr="005C17E7">
        <w:rPr>
          <w:rFonts w:eastAsia="SimSun"/>
          <w:sz w:val="20"/>
          <w:vertAlign w:val="superscript"/>
        </w:rPr>
        <w:t xml:space="preserve">  </w:t>
      </w:r>
      <w:r w:rsidR="005C17E7">
        <w:rPr>
          <w:rFonts w:eastAsia="SimSun" w:hint="eastAsia"/>
          <w:sz w:val="20"/>
          <w:vertAlign w:val="superscript"/>
        </w:rPr>
        <w:t xml:space="preserve"> </w:t>
      </w:r>
      <w:r w:rsidRPr="005C17E7">
        <w:rPr>
          <w:rFonts w:eastAsia="SimSun"/>
          <w:sz w:val="20"/>
        </w:rPr>
        <w:t>例如，见欧洲海事安全局提供的压载水取样最佳做法指南。</w:t>
      </w:r>
    </w:p>
  </w:footnote>
  <w:footnote w:id="262">
    <w:p w14:paraId="6B9D0E71" w14:textId="3B735C73" w:rsidR="005E77FA" w:rsidRPr="005C17E7" w:rsidRDefault="005E77FA" w:rsidP="005E77FA">
      <w:pPr>
        <w:pStyle w:val="FootnoteText"/>
        <w:suppressLineNumbers/>
        <w:suppressAutoHyphens/>
        <w:spacing w:after="60"/>
        <w:rPr>
          <w:rFonts w:eastAsia="SimSun"/>
          <w:color w:val="000000"/>
          <w:kern w:val="18"/>
          <w:sz w:val="20"/>
        </w:rPr>
      </w:pPr>
      <w:r w:rsidRPr="005C17E7">
        <w:rPr>
          <w:rFonts w:eastAsia="SimSun"/>
          <w:kern w:val="18"/>
          <w:sz w:val="20"/>
          <w:vertAlign w:val="superscript"/>
        </w:rPr>
        <w:footnoteRef/>
      </w:r>
      <w:r w:rsidRPr="005C17E7">
        <w:rPr>
          <w:rFonts w:eastAsia="SimSun"/>
          <w:kern w:val="18"/>
          <w:sz w:val="20"/>
        </w:rPr>
        <w:t xml:space="preserve"> </w:t>
      </w:r>
      <w:r w:rsidR="005C17E7">
        <w:rPr>
          <w:rFonts w:eastAsia="SimSun" w:hint="eastAsia"/>
          <w:kern w:val="18"/>
          <w:sz w:val="20"/>
        </w:rPr>
        <w:t xml:space="preserve"> </w:t>
      </w:r>
      <w:r w:rsidRPr="005C17E7">
        <w:rPr>
          <w:rFonts w:eastAsia="SimSun"/>
          <w:kern w:val="18"/>
          <w:sz w:val="20"/>
        </w:rPr>
        <w:t>例如，见</w:t>
      </w:r>
      <w:r w:rsidRPr="005C17E7">
        <w:rPr>
          <w:rFonts w:eastAsia="SimSun"/>
          <w:sz w:val="20"/>
        </w:rPr>
        <w:t>国际植物保护公约</w:t>
      </w:r>
      <w:r w:rsidRPr="005C17E7">
        <w:rPr>
          <w:rFonts w:eastAsia="SimSun"/>
          <w:kern w:val="18"/>
          <w:sz w:val="20"/>
        </w:rPr>
        <w:t>秘书处，</w:t>
      </w:r>
      <w:r w:rsidRPr="005C17E7">
        <w:rPr>
          <w:rFonts w:eastAsia="SimSun"/>
          <w:i/>
          <w:iCs/>
          <w:kern w:val="18"/>
          <w:sz w:val="20"/>
          <w:lang w:val="en-GB"/>
        </w:rPr>
        <w:t>Sea Container Supply Chains and Cleanliness: an IPPC Best Practice Guide on Measures to Minimize Pest Contamination</w:t>
      </w:r>
      <w:r w:rsidRPr="005C17E7">
        <w:rPr>
          <w:rFonts w:eastAsia="SimSun"/>
          <w:kern w:val="18"/>
          <w:sz w:val="20"/>
          <w:lang w:val="en-GB"/>
        </w:rPr>
        <w:t xml:space="preserve"> (Rome, </w:t>
      </w:r>
      <w:bookmarkStart w:id="72" w:name="Ac13"/>
      <w:r w:rsidRPr="005C17E7">
        <w:rPr>
          <w:rFonts w:eastAsia="SimSun"/>
          <w:kern w:val="18"/>
          <w:sz w:val="20"/>
          <w:lang w:val="en-GB"/>
        </w:rPr>
        <w:t>Food and Agriculture Organization of the United Nations</w:t>
      </w:r>
      <w:bookmarkEnd w:id="72"/>
      <w:r w:rsidRPr="005C17E7">
        <w:rPr>
          <w:rFonts w:eastAsia="SimSun"/>
          <w:kern w:val="18"/>
          <w:sz w:val="20"/>
          <w:lang w:val="en-GB"/>
        </w:rPr>
        <w:t>, 2020)</w:t>
      </w:r>
      <w:r w:rsidRPr="005C17E7">
        <w:rPr>
          <w:rFonts w:eastAsia="SimSun"/>
          <w:kern w:val="18"/>
          <w:sz w:val="20"/>
        </w:rPr>
        <w:t>。</w:t>
      </w:r>
    </w:p>
  </w:footnote>
  <w:footnote w:id="263">
    <w:p w14:paraId="03400867" w14:textId="53AE848A" w:rsidR="005E77FA" w:rsidRPr="005E77FA" w:rsidRDefault="005E77FA" w:rsidP="005E77FA">
      <w:pPr>
        <w:pStyle w:val="FootnoteText"/>
        <w:spacing w:after="60"/>
        <w:rPr>
          <w:color w:val="000000"/>
          <w:sz w:val="20"/>
        </w:rPr>
      </w:pPr>
      <w:r w:rsidRPr="005C17E7">
        <w:rPr>
          <w:rFonts w:eastAsia="SimSun"/>
          <w:sz w:val="20"/>
          <w:vertAlign w:val="superscript"/>
        </w:rPr>
        <w:footnoteRef/>
      </w:r>
      <w:r w:rsidRPr="005C17E7">
        <w:rPr>
          <w:rFonts w:eastAsia="SimSun"/>
          <w:sz w:val="20"/>
        </w:rPr>
        <w:t xml:space="preserve"> </w:t>
      </w:r>
      <w:r w:rsidR="005C17E7">
        <w:rPr>
          <w:rFonts w:eastAsia="SimSun" w:hint="eastAsia"/>
          <w:sz w:val="20"/>
        </w:rPr>
        <w:t xml:space="preserve"> </w:t>
      </w:r>
      <w:r w:rsidRPr="005C17E7">
        <w:rPr>
          <w:rFonts w:eastAsia="SimSun"/>
          <w:sz w:val="20"/>
        </w:rPr>
        <w:t>见全球环境基金</w:t>
      </w:r>
      <w:r w:rsidRPr="005C17E7">
        <w:rPr>
          <w:rFonts w:eastAsia="SimSun"/>
          <w:sz w:val="20"/>
        </w:rPr>
        <w:t>-</w:t>
      </w:r>
      <w:r w:rsidRPr="005C17E7">
        <w:rPr>
          <w:rFonts w:eastAsia="SimSun"/>
          <w:sz w:val="20"/>
        </w:rPr>
        <w:t>联合国开发计划署</w:t>
      </w:r>
      <w:r w:rsidRPr="005C17E7">
        <w:rPr>
          <w:rFonts w:eastAsia="SimSun"/>
          <w:sz w:val="20"/>
        </w:rPr>
        <w:t>-</w:t>
      </w:r>
      <w:r w:rsidRPr="005C17E7">
        <w:rPr>
          <w:rFonts w:eastAsia="SimSun"/>
          <w:sz w:val="20"/>
        </w:rPr>
        <w:t>国际海事组织，</w:t>
      </w:r>
      <w:r w:rsidRPr="005C17E7">
        <w:rPr>
          <w:rFonts w:eastAsia="SimSun"/>
          <w:i/>
          <w:iCs/>
          <w:sz w:val="20"/>
          <w:lang w:val="en-GB"/>
        </w:rPr>
        <w:t>Biofouling Management for Recreational Boating: Recommendations to Prevent the Introduction and Spread of Invasive Aquatic Species</w:t>
      </w:r>
      <w:r w:rsidRPr="005C17E7">
        <w:rPr>
          <w:rFonts w:eastAsia="SimSun"/>
          <w:sz w:val="20"/>
          <w:lang w:val="en-GB"/>
        </w:rPr>
        <w:t xml:space="preserve"> (London, </w:t>
      </w:r>
      <w:bookmarkStart w:id="73" w:name="Ac17"/>
      <w:r w:rsidRPr="005C17E7">
        <w:rPr>
          <w:rFonts w:eastAsia="SimSun"/>
          <w:sz w:val="20"/>
          <w:lang w:val="en-GB"/>
        </w:rPr>
        <w:t>International Maritime Organization</w:t>
      </w:r>
      <w:bookmarkEnd w:id="73"/>
      <w:r w:rsidRPr="005C17E7">
        <w:rPr>
          <w:rFonts w:eastAsia="SimSun"/>
          <w:sz w:val="20"/>
          <w:lang w:val="en-GB"/>
        </w:rPr>
        <w:t>, 2022)</w:t>
      </w:r>
      <w:r w:rsidRPr="005C17E7">
        <w:rPr>
          <w:rFonts w:eastAsia="SimSun"/>
          <w:sz w:val="20"/>
          <w:lang w:val="en-GB"/>
        </w:rPr>
        <w:t>。</w:t>
      </w:r>
    </w:p>
  </w:footnote>
  <w:footnote w:id="264">
    <w:p w14:paraId="4A8F1AEE" w14:textId="0158D587" w:rsidR="005E77FA" w:rsidRPr="000D3D37" w:rsidRDefault="005E77FA" w:rsidP="000D3D37">
      <w:pPr>
        <w:pStyle w:val="FootnoteText"/>
        <w:spacing w:after="60"/>
        <w:rPr>
          <w:rFonts w:eastAsia="SimSun"/>
          <w:color w:val="000000"/>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见《国际植物保护公约》秘书处，</w:t>
      </w:r>
      <w:r w:rsidRPr="000D3D37">
        <w:rPr>
          <w:rFonts w:eastAsia="SimSun"/>
          <w:i/>
          <w:iCs/>
          <w:sz w:val="20"/>
          <w:lang w:val="en-GB"/>
        </w:rPr>
        <w:t>Safe Provision of Food and Other Humanitarian Aid to Prevent the Introduction of Plant Pests During an Emergency Situation</w:t>
      </w:r>
      <w:r w:rsidRPr="000D3D37">
        <w:rPr>
          <w:rFonts w:eastAsia="SimSun"/>
          <w:sz w:val="20"/>
          <w:lang w:val="en-GB"/>
        </w:rPr>
        <w:t xml:space="preserve"> (Rome, </w:t>
      </w:r>
      <w:bookmarkStart w:id="74" w:name="Ac14"/>
      <w:r w:rsidRPr="000D3D37">
        <w:rPr>
          <w:rFonts w:eastAsia="SimSun"/>
          <w:sz w:val="20"/>
          <w:lang w:val="en-GB"/>
        </w:rPr>
        <w:t>Food and Agriculture Organization of the United Nations</w:t>
      </w:r>
      <w:bookmarkEnd w:id="74"/>
      <w:r w:rsidRPr="000D3D37">
        <w:rPr>
          <w:rFonts w:eastAsia="SimSun"/>
          <w:sz w:val="20"/>
          <w:lang w:val="en-GB"/>
        </w:rPr>
        <w:t>, 2021)</w:t>
      </w:r>
      <w:r w:rsidRPr="000D3D37">
        <w:rPr>
          <w:rFonts w:eastAsia="SimSun"/>
          <w:sz w:val="20"/>
        </w:rPr>
        <w:t>。</w:t>
      </w:r>
    </w:p>
  </w:footnote>
  <w:footnote w:id="265">
    <w:p w14:paraId="6F08E930" w14:textId="48043A3D" w:rsidR="005E77FA" w:rsidRPr="000D3D37" w:rsidRDefault="005E77FA" w:rsidP="000D3D37">
      <w:pPr>
        <w:pStyle w:val="FootnoteText"/>
        <w:spacing w:after="60"/>
        <w:rPr>
          <w:rFonts w:eastAsia="SimSun"/>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例如，见国际航空运输协会环境委员会关于禁止乘客携带野生物和相关产品的指导意见</w:t>
      </w:r>
      <w:r w:rsidRPr="000D3D37">
        <w:rPr>
          <w:rStyle w:val="Hyperlink"/>
          <w:rFonts w:eastAsia="SimSun"/>
          <w:color w:val="000000"/>
          <w:sz w:val="20"/>
          <w:u w:val="none"/>
        </w:rPr>
        <w:t>（见</w:t>
      </w:r>
      <w:r w:rsidRPr="000D3D37">
        <w:rPr>
          <w:rStyle w:val="Hyperlink"/>
          <w:rFonts w:eastAsia="SimSun"/>
          <w:color w:val="000000"/>
          <w:sz w:val="20"/>
        </w:rPr>
        <w:t xml:space="preserve"> </w:t>
      </w:r>
      <w:hyperlink r:id="rId114" w:history="1">
        <w:r w:rsidRPr="000D3D37">
          <w:rPr>
            <w:rStyle w:val="Hyperlink"/>
            <w:rFonts w:eastAsia="SimSun"/>
            <w:sz w:val="20"/>
          </w:rPr>
          <w:t>www.iata.org/contentassets/adfc0ea8044648fcbff13d79dceff7ae/encom-pax-wildlife-guidance-final-2003-nov-2015.pdf</w:t>
        </w:r>
      </w:hyperlink>
      <w:r w:rsidRPr="000D3D37">
        <w:rPr>
          <w:rStyle w:val="Hyperlink"/>
          <w:rFonts w:eastAsia="SimSun"/>
          <w:color w:val="000000"/>
          <w:sz w:val="20"/>
          <w:u w:val="none"/>
        </w:rPr>
        <w:t>）。</w:t>
      </w:r>
    </w:p>
  </w:footnote>
  <w:footnote w:id="266">
    <w:p w14:paraId="43E6C748" w14:textId="653B17B7" w:rsidR="005E77FA" w:rsidRPr="005E77FA" w:rsidRDefault="005E77FA" w:rsidP="000D3D37">
      <w:pPr>
        <w:pStyle w:val="FootnoteText"/>
        <w:spacing w:after="60"/>
        <w:rPr>
          <w:color w:val="000000"/>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例如，见保护欧洲野生生物和自然环境公约常设委员会</w:t>
      </w:r>
      <w:r w:rsidRPr="000D3D37">
        <w:rPr>
          <w:rFonts w:eastAsia="SimSun"/>
          <w:sz w:val="20"/>
        </w:rPr>
        <w:t>T-PVS/Inf (2017) 1</w:t>
      </w:r>
      <w:r w:rsidRPr="000D3D37">
        <w:rPr>
          <w:rFonts w:eastAsia="SimSun"/>
          <w:sz w:val="20"/>
        </w:rPr>
        <w:t>号文件。</w:t>
      </w:r>
    </w:p>
  </w:footnote>
  <w:footnote w:id="267">
    <w:p w14:paraId="0777DDEA" w14:textId="46555A03" w:rsidR="005E77FA" w:rsidRPr="000D3D37" w:rsidRDefault="005E77FA" w:rsidP="000D3D37">
      <w:pPr>
        <w:pStyle w:val="FootnoteText"/>
        <w:spacing w:after="60"/>
        <w:rPr>
          <w:rFonts w:eastAsia="SimSun"/>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见第</w:t>
      </w:r>
      <w:hyperlink r:id="rId115" w:history="1">
        <w:r w:rsidRPr="000D3D37">
          <w:rPr>
            <w:rStyle w:val="Hyperlink"/>
            <w:rFonts w:eastAsia="SimSun"/>
            <w:sz w:val="20"/>
          </w:rPr>
          <w:t>VII/14</w:t>
        </w:r>
      </w:hyperlink>
      <w:r w:rsidRPr="000D3D37">
        <w:rPr>
          <w:rFonts w:eastAsia="SimSun"/>
          <w:sz w:val="20"/>
        </w:rPr>
        <w:t>号决定。</w:t>
      </w:r>
    </w:p>
  </w:footnote>
  <w:footnote w:id="268">
    <w:p w14:paraId="1C891BCC" w14:textId="536B0F1D" w:rsidR="005E77FA" w:rsidRPr="000D3D37" w:rsidRDefault="005E77FA" w:rsidP="000D3D37">
      <w:pPr>
        <w:pStyle w:val="Default"/>
        <w:spacing w:after="60"/>
        <w:rPr>
          <w:rFonts w:eastAsia="SimSun"/>
          <w:sz w:val="20"/>
          <w:szCs w:val="20"/>
          <w:lang w:val="en-GB" w:eastAsia="zh-CN"/>
        </w:rPr>
      </w:pPr>
      <w:r w:rsidRPr="000D3D37">
        <w:rPr>
          <w:rFonts w:eastAsia="SimSun"/>
          <w:sz w:val="20"/>
          <w:szCs w:val="20"/>
          <w:vertAlign w:val="superscript"/>
          <w:lang w:val="en-GB" w:eastAsia="zh-CN"/>
        </w:rPr>
        <w:footnoteRef/>
      </w:r>
      <w:r w:rsidRPr="000D3D37">
        <w:rPr>
          <w:rFonts w:eastAsia="SimSun"/>
          <w:sz w:val="20"/>
          <w:szCs w:val="20"/>
          <w:lang w:val="en-GB" w:eastAsia="zh-CN"/>
        </w:rPr>
        <w:t xml:space="preserve"> </w:t>
      </w:r>
      <w:r w:rsidR="000D3D37">
        <w:rPr>
          <w:rFonts w:eastAsia="SimSun" w:hint="eastAsia"/>
          <w:sz w:val="20"/>
          <w:szCs w:val="20"/>
          <w:lang w:val="en-GB" w:eastAsia="zh-CN"/>
        </w:rPr>
        <w:t xml:space="preserve"> </w:t>
      </w:r>
      <w:r w:rsidRPr="000D3D37">
        <w:rPr>
          <w:rFonts w:eastAsia="SimSun"/>
          <w:sz w:val="20"/>
          <w:szCs w:val="20"/>
          <w:lang w:val="en-GB" w:eastAsia="zh-CN"/>
        </w:rPr>
        <w:t>见国际自然保护联盟的外来入侵物种指南</w:t>
      </w:r>
      <w:r w:rsidRPr="000D3D37">
        <w:rPr>
          <w:rFonts w:eastAsia="SimSun"/>
          <w:sz w:val="20"/>
          <w:szCs w:val="20"/>
          <w:lang w:val="en-GB" w:eastAsia="zh-CN"/>
        </w:rPr>
        <w:t xml:space="preserve"> </w:t>
      </w:r>
      <w:r w:rsidRPr="000D3D37">
        <w:rPr>
          <w:rFonts w:eastAsia="SimSun"/>
          <w:sz w:val="20"/>
          <w:szCs w:val="20"/>
          <w:lang w:val="en-GB" w:eastAsia="zh-CN"/>
        </w:rPr>
        <w:t>（见</w:t>
      </w:r>
      <w:hyperlink r:id="rId116" w:history="1">
        <w:r w:rsidRPr="000D3D37">
          <w:rPr>
            <w:rStyle w:val="Hyperlink"/>
            <w:rFonts w:eastAsia="SimSun"/>
            <w:sz w:val="20"/>
            <w:szCs w:val="20"/>
            <w:lang w:eastAsia="zh-CN"/>
          </w:rPr>
          <w:t>www.iucn.org/search?key=invasive&amp;f%5B0%5D=topic%3A1174</w:t>
        </w:r>
      </w:hyperlink>
      <w:r w:rsidRPr="000D3D37">
        <w:rPr>
          <w:rFonts w:eastAsia="SimSun"/>
          <w:sz w:val="20"/>
          <w:szCs w:val="20"/>
          <w:lang w:val="en-GB" w:eastAsia="zh-CN"/>
        </w:rPr>
        <w:t>）</w:t>
      </w:r>
      <w:r w:rsidRPr="000D3D37">
        <w:rPr>
          <w:rFonts w:eastAsia="SimSun"/>
          <w:sz w:val="20"/>
          <w:szCs w:val="20"/>
          <w:lang w:val="en-GB" w:eastAsia="zh-CN"/>
        </w:rPr>
        <w:t xml:space="preserve">, </w:t>
      </w:r>
      <w:r w:rsidRPr="000D3D37">
        <w:rPr>
          <w:rFonts w:eastAsia="SimSun"/>
          <w:sz w:val="20"/>
          <w:szCs w:val="20"/>
          <w:lang w:val="en-GB" w:eastAsia="zh-CN"/>
        </w:rPr>
        <w:t>《生物多样性公约》工具包</w:t>
      </w:r>
      <w:r w:rsidRPr="000D3D37">
        <w:rPr>
          <w:rStyle w:val="Hyperlink"/>
          <w:rFonts w:eastAsia="SimSun"/>
          <w:color w:val="000000"/>
          <w:sz w:val="20"/>
          <w:szCs w:val="20"/>
          <w:lang w:eastAsia="zh-CN"/>
        </w:rPr>
        <w:t>（见</w:t>
      </w:r>
      <w:r w:rsidRPr="000D3D37">
        <w:rPr>
          <w:rStyle w:val="Hyperlink"/>
          <w:rFonts w:eastAsia="SimSun"/>
          <w:color w:val="000000"/>
          <w:sz w:val="20"/>
          <w:szCs w:val="20"/>
          <w:lang w:eastAsia="zh-CN"/>
        </w:rPr>
        <w:t xml:space="preserve"> </w:t>
      </w:r>
      <w:hyperlink r:id="rId117" w:history="1">
        <w:r w:rsidRPr="000D3D37">
          <w:rPr>
            <w:rStyle w:val="Hyperlink"/>
            <w:rFonts w:eastAsia="SimSun"/>
            <w:sz w:val="20"/>
            <w:szCs w:val="20"/>
            <w:lang w:eastAsia="zh-CN"/>
          </w:rPr>
          <w:t>www.cbd.int/invasive/cbdtoolkit/</w:t>
        </w:r>
      </w:hyperlink>
      <w:r w:rsidRPr="000D3D37">
        <w:rPr>
          <w:rStyle w:val="Hyperlink"/>
          <w:rFonts w:eastAsia="SimSun"/>
          <w:sz w:val="20"/>
          <w:szCs w:val="20"/>
          <w:lang w:eastAsia="zh-CN"/>
        </w:rPr>
        <w:t>）</w:t>
      </w:r>
      <w:r w:rsidRPr="000D3D37">
        <w:rPr>
          <w:rFonts w:eastAsia="SimSun"/>
          <w:sz w:val="20"/>
          <w:szCs w:val="20"/>
          <w:lang w:val="en-GB" w:eastAsia="zh-CN"/>
        </w:rPr>
        <w:t xml:space="preserve"> </w:t>
      </w:r>
      <w:r w:rsidRPr="000D3D37">
        <w:rPr>
          <w:rFonts w:eastAsia="SimSun"/>
          <w:sz w:val="20"/>
          <w:szCs w:val="20"/>
          <w:lang w:val="en-GB" w:eastAsia="zh-CN"/>
        </w:rPr>
        <w:t>和自然与森林研究所《起草外来入侵物种最佳管理实践指南》</w:t>
      </w:r>
      <w:r w:rsidRPr="000D3D37">
        <w:rPr>
          <w:rStyle w:val="Hyperlink"/>
          <w:rFonts w:eastAsia="SimSun"/>
          <w:color w:val="000000"/>
          <w:sz w:val="20"/>
          <w:szCs w:val="20"/>
          <w:lang w:eastAsia="zh-CN"/>
        </w:rPr>
        <w:t>（见</w:t>
      </w:r>
      <w:r w:rsidRPr="000D3D37">
        <w:rPr>
          <w:rStyle w:val="Hyperlink"/>
          <w:rFonts w:eastAsia="SimSun"/>
          <w:color w:val="000000"/>
          <w:sz w:val="20"/>
          <w:szCs w:val="20"/>
          <w:lang w:eastAsia="zh-CN"/>
        </w:rPr>
        <w:t xml:space="preserve"> </w:t>
      </w:r>
      <w:hyperlink r:id="rId118" w:history="1">
        <w:r w:rsidRPr="000D3D37">
          <w:rPr>
            <w:rStyle w:val="Hyperlink"/>
            <w:rFonts w:eastAsia="SimSun"/>
            <w:sz w:val="20"/>
            <w:szCs w:val="20"/>
            <w:lang w:eastAsia="zh-CN"/>
          </w:rPr>
          <w:t>https://purews.inbo.be/ws/portalfiles/portal/14941741/Adriaens_etal_2018_Gu%20idanceBestPratices.pdf</w:t>
        </w:r>
      </w:hyperlink>
      <w:r w:rsidRPr="000D3D37">
        <w:rPr>
          <w:rStyle w:val="Hyperlink"/>
          <w:rFonts w:eastAsia="SimSun"/>
          <w:sz w:val="20"/>
          <w:szCs w:val="20"/>
          <w:lang w:eastAsia="zh-CN"/>
        </w:rPr>
        <w:t>）</w:t>
      </w:r>
      <w:r w:rsidRPr="000D3D37">
        <w:rPr>
          <w:rFonts w:eastAsia="SimSun"/>
          <w:color w:val="auto"/>
          <w:sz w:val="20"/>
          <w:szCs w:val="20"/>
          <w:lang w:val="en-GB" w:eastAsia="zh-CN"/>
        </w:rPr>
        <w:t>。</w:t>
      </w:r>
    </w:p>
  </w:footnote>
  <w:footnote w:id="269">
    <w:p w14:paraId="52FC2704" w14:textId="4D2FA633" w:rsidR="005E77FA" w:rsidRPr="000D3D37" w:rsidRDefault="005E77FA" w:rsidP="000D3D37">
      <w:pPr>
        <w:pStyle w:val="FootnoteText"/>
        <w:spacing w:after="60"/>
        <w:rPr>
          <w:rFonts w:eastAsia="SimSun"/>
          <w:sz w:val="20"/>
        </w:rPr>
      </w:pPr>
      <w:r w:rsidRPr="000D3D37">
        <w:rPr>
          <w:rFonts w:eastAsia="SimSun"/>
          <w:sz w:val="20"/>
          <w:vertAlign w:val="superscript"/>
        </w:rPr>
        <w:footnoteRef/>
      </w:r>
      <w:r w:rsidR="000D3D37">
        <w:rPr>
          <w:rFonts w:eastAsia="SimSun" w:hint="eastAsia"/>
          <w:sz w:val="20"/>
        </w:rPr>
        <w:t xml:space="preserve"> </w:t>
      </w:r>
      <w:r w:rsidRPr="000D3D37">
        <w:rPr>
          <w:rFonts w:eastAsia="SimSun"/>
          <w:sz w:val="20"/>
        </w:rPr>
        <w:t>《国际植物保护公约》将生物控制定义为利用活的天敌、拮抗剂或竞争对手以及其他自我复制的生物实体的害虫控制策略。</w:t>
      </w:r>
    </w:p>
  </w:footnote>
  <w:footnote w:id="270">
    <w:p w14:paraId="2E71B05A" w14:textId="3807C420" w:rsidR="005E77FA" w:rsidRPr="000D3D37" w:rsidRDefault="005E77FA" w:rsidP="000D3D37">
      <w:pPr>
        <w:pStyle w:val="FootnoteText"/>
        <w:spacing w:after="60"/>
        <w:rPr>
          <w:rFonts w:eastAsia="SimSun"/>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见</w:t>
      </w:r>
      <w:hyperlink r:id="rId119" w:history="1">
        <w:r w:rsidRPr="000D3D37">
          <w:rPr>
            <w:rStyle w:val="Hyperlink"/>
            <w:rFonts w:eastAsia="SimSun"/>
            <w:color w:val="auto"/>
            <w:sz w:val="20"/>
            <w:u w:val="none"/>
          </w:rPr>
          <w:t>《</w:t>
        </w:r>
        <w:r w:rsidRPr="000D3D37">
          <w:rPr>
            <w:rStyle w:val="Hyperlink"/>
            <w:rFonts w:eastAsia="SimSun"/>
            <w:sz w:val="20"/>
          </w:rPr>
          <w:t>CBD</w:t>
        </w:r>
        <w:r w:rsidRPr="000D3D37">
          <w:rPr>
            <w:rStyle w:val="Hyperlink"/>
            <w:rFonts w:eastAsia="SimSun"/>
            <w:sz w:val="20"/>
          </w:rPr>
          <w:t>技术丛刊</w:t>
        </w:r>
        <w:r w:rsidRPr="000D3D37">
          <w:rPr>
            <w:rStyle w:val="Hyperlink"/>
            <w:rFonts w:eastAsia="SimSun"/>
            <w:color w:val="auto"/>
            <w:sz w:val="20"/>
            <w:u w:val="none"/>
          </w:rPr>
          <w:t>》第</w:t>
        </w:r>
        <w:r w:rsidRPr="000D3D37">
          <w:rPr>
            <w:rStyle w:val="Hyperlink"/>
            <w:rFonts w:eastAsia="SimSun"/>
            <w:color w:val="auto"/>
            <w:sz w:val="20"/>
            <w:u w:val="none"/>
          </w:rPr>
          <w:t>91</w:t>
        </w:r>
        <w:r w:rsidRPr="000D3D37">
          <w:rPr>
            <w:rStyle w:val="Hyperlink"/>
            <w:rFonts w:eastAsia="SimSun"/>
            <w:color w:val="auto"/>
            <w:sz w:val="20"/>
            <w:u w:val="none"/>
          </w:rPr>
          <w:t>期</w:t>
        </w:r>
      </w:hyperlink>
      <w:r w:rsidRPr="000D3D37">
        <w:rPr>
          <w:rFonts w:eastAsia="SimSun"/>
          <w:sz w:val="20"/>
        </w:rPr>
        <w:t>。</w:t>
      </w:r>
      <w:r w:rsidRPr="000D3D37">
        <w:rPr>
          <w:rStyle w:val="Hyperlink"/>
          <w:rFonts w:eastAsia="SimSun"/>
          <w:sz w:val="20"/>
        </w:rPr>
        <w:t xml:space="preserve">  </w:t>
      </w:r>
    </w:p>
  </w:footnote>
  <w:footnote w:id="271">
    <w:p w14:paraId="5A8735C0" w14:textId="1CFBD20C" w:rsidR="005E77FA" w:rsidRPr="007751C8" w:rsidRDefault="005E77FA" w:rsidP="000D3D37">
      <w:pPr>
        <w:pStyle w:val="FootnoteText"/>
        <w:spacing w:after="60"/>
        <w:rPr>
          <w:sz w:val="20"/>
        </w:rPr>
      </w:pPr>
      <w:r w:rsidRPr="000D3D37">
        <w:rPr>
          <w:rFonts w:eastAsia="SimSun"/>
          <w:sz w:val="20"/>
          <w:vertAlign w:val="superscript"/>
        </w:rPr>
        <w:footnoteRef/>
      </w:r>
      <w:r w:rsidRPr="000D3D37">
        <w:rPr>
          <w:rFonts w:eastAsia="SimSun"/>
          <w:sz w:val="20"/>
        </w:rPr>
        <w:t xml:space="preserve"> </w:t>
      </w:r>
      <w:r w:rsidR="000D3D37">
        <w:rPr>
          <w:rFonts w:eastAsia="SimSun" w:hint="eastAsia"/>
          <w:sz w:val="20"/>
        </w:rPr>
        <w:t xml:space="preserve"> </w:t>
      </w:r>
      <w:r w:rsidRPr="000D3D37">
        <w:rPr>
          <w:rFonts w:eastAsia="SimSun"/>
          <w:sz w:val="20"/>
        </w:rPr>
        <w:t>见</w:t>
      </w:r>
      <w:r w:rsidRPr="000D3D37">
        <w:rPr>
          <w:rFonts w:eastAsia="SimSun"/>
          <w:color w:val="000000"/>
          <w:sz w:val="20"/>
        </w:rPr>
        <w:t>国际农业生物科学中心的</w:t>
      </w:r>
      <w:r w:rsidRPr="000D3D37">
        <w:rPr>
          <w:rFonts w:eastAsia="SimSun"/>
          <w:color w:val="000000"/>
          <w:sz w:val="20"/>
        </w:rPr>
        <w:t>“</w:t>
      </w:r>
      <w:r w:rsidRPr="000D3D37">
        <w:rPr>
          <w:rFonts w:eastAsia="SimSun"/>
          <w:color w:val="000000"/>
          <w:sz w:val="20"/>
        </w:rPr>
        <w:t>入侵植物的生物控制</w:t>
      </w:r>
      <w:r w:rsidRPr="000D3D37">
        <w:rPr>
          <w:rFonts w:eastAsia="SimSun"/>
          <w:color w:val="000000"/>
          <w:sz w:val="20"/>
        </w:rPr>
        <w:t>”</w:t>
      </w:r>
      <w:r w:rsidRPr="000D3D37">
        <w:rPr>
          <w:rFonts w:eastAsia="SimSun"/>
          <w:color w:val="000000"/>
          <w:sz w:val="20"/>
        </w:rPr>
        <w:t>，见</w:t>
      </w:r>
      <w:hyperlink r:id="rId120" w:history="1">
        <w:r w:rsidRPr="000D3D37">
          <w:rPr>
            <w:rStyle w:val="Hyperlink"/>
            <w:rFonts w:eastAsia="SimSun"/>
            <w:sz w:val="20"/>
          </w:rPr>
          <w:t>www.cabi.org/what-we-do/cabi-centres/biological-control-of-invasive-%20plants/</w:t>
        </w:r>
      </w:hyperlink>
      <w:r w:rsidRPr="000D3D37">
        <w:rPr>
          <w:rStyle w:val="Hyperlink"/>
          <w:rFonts w:eastAsia="SimSun"/>
          <w:sz w:val="20"/>
        </w:rPr>
        <w:t>。</w:t>
      </w:r>
    </w:p>
  </w:footnote>
  <w:footnote w:id="272">
    <w:p w14:paraId="5723894E"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rPr>
        <w:t>第</w:t>
      </w:r>
      <w:hyperlink r:id="rId121" w:history="1">
        <w:r w:rsidRPr="003237F6">
          <w:rPr>
            <w:rStyle w:val="Hyperlink"/>
            <w:rFonts w:eastAsia="SimSun"/>
            <w:sz w:val="20"/>
          </w:rPr>
          <w:t>15/4</w:t>
        </w:r>
      </w:hyperlink>
      <w:r w:rsidRPr="003237F6">
        <w:rPr>
          <w:rFonts w:eastAsia="SimSun"/>
          <w:sz w:val="20"/>
        </w:rPr>
        <w:t>号决定，附件。</w:t>
      </w:r>
    </w:p>
  </w:footnote>
  <w:footnote w:id="273">
    <w:p w14:paraId="09576C8D"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rPr>
        <w:t>联合国，《条约汇编》，第</w:t>
      </w:r>
      <w:r w:rsidRPr="003237F6">
        <w:rPr>
          <w:rFonts w:eastAsia="SimSun"/>
          <w:sz w:val="20"/>
        </w:rPr>
        <w:t>1760</w:t>
      </w:r>
      <w:r w:rsidRPr="003237F6">
        <w:rPr>
          <w:rFonts w:eastAsia="SimSun"/>
          <w:sz w:val="20"/>
        </w:rPr>
        <w:t>卷，第</w:t>
      </w:r>
      <w:r w:rsidRPr="003237F6">
        <w:rPr>
          <w:rFonts w:eastAsia="SimSun"/>
          <w:sz w:val="20"/>
        </w:rPr>
        <w:t>30619</w:t>
      </w:r>
      <w:r w:rsidRPr="003237F6">
        <w:rPr>
          <w:rFonts w:eastAsia="SimSun"/>
          <w:sz w:val="20"/>
        </w:rPr>
        <w:t>号。</w:t>
      </w:r>
    </w:p>
  </w:footnote>
  <w:footnote w:id="274">
    <w:p w14:paraId="79EC1052"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rPr>
        <w:t>世界卫生组织，《从</w:t>
      </w:r>
      <w:r w:rsidRPr="003237F6">
        <w:rPr>
          <w:rFonts w:eastAsia="SimSun"/>
          <w:sz w:val="20"/>
        </w:rPr>
        <w:t>COVID-19</w:t>
      </w:r>
      <w:r w:rsidRPr="003237F6">
        <w:rPr>
          <w:rFonts w:eastAsia="SimSun"/>
          <w:sz w:val="20"/>
        </w:rPr>
        <w:t>疫情中健康复苏宣言：从</w:t>
      </w:r>
      <w:r w:rsidRPr="003237F6">
        <w:rPr>
          <w:rFonts w:eastAsia="SimSun"/>
          <w:sz w:val="20"/>
        </w:rPr>
        <w:t>COVID-19</w:t>
      </w:r>
      <w:r w:rsidRPr="003237F6">
        <w:rPr>
          <w:rFonts w:eastAsia="SimSun"/>
          <w:sz w:val="20"/>
        </w:rPr>
        <w:t>疫情中健康绿色复苏之良方》，</w:t>
      </w:r>
      <w:r w:rsidRPr="003237F6">
        <w:rPr>
          <w:rFonts w:eastAsia="SimSun"/>
          <w:sz w:val="20"/>
        </w:rPr>
        <w:t>2020</w:t>
      </w:r>
      <w:r w:rsidRPr="003237F6">
        <w:rPr>
          <w:rFonts w:eastAsia="SimSun"/>
          <w:sz w:val="20"/>
        </w:rPr>
        <w:t>。</w:t>
      </w:r>
    </w:p>
  </w:footnote>
  <w:footnote w:id="275">
    <w:p w14:paraId="703B1558"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rPr>
        <w:t>联合国，《条约汇编》，第</w:t>
      </w:r>
      <w:r w:rsidRPr="003237F6">
        <w:rPr>
          <w:rFonts w:eastAsia="SimSun"/>
          <w:sz w:val="20"/>
        </w:rPr>
        <w:t>1771</w:t>
      </w:r>
      <w:r w:rsidRPr="003237F6">
        <w:rPr>
          <w:rFonts w:eastAsia="SimSun"/>
          <w:sz w:val="20"/>
        </w:rPr>
        <w:t>卷，第</w:t>
      </w:r>
      <w:r w:rsidRPr="003237F6">
        <w:rPr>
          <w:rFonts w:eastAsia="SimSun"/>
          <w:sz w:val="20"/>
        </w:rPr>
        <w:t>30822</w:t>
      </w:r>
      <w:r w:rsidRPr="003237F6">
        <w:rPr>
          <w:rFonts w:eastAsia="SimSun"/>
          <w:sz w:val="20"/>
        </w:rPr>
        <w:t>号。</w:t>
      </w:r>
    </w:p>
  </w:footnote>
  <w:footnote w:id="276">
    <w:p w14:paraId="25AEBF0A"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lang w:val="en-GB"/>
        </w:rPr>
        <w:t>联合国气候变化框架公约缔约方会议通过（</w:t>
      </w:r>
      <w:r w:rsidRPr="003237F6">
        <w:rPr>
          <w:rFonts w:eastAsia="SimSun"/>
          <w:sz w:val="20"/>
        </w:rPr>
        <w:t>见</w:t>
      </w:r>
      <w:r w:rsidRPr="003237F6">
        <w:rPr>
          <w:rFonts w:eastAsia="SimSun"/>
          <w:sz w:val="20"/>
        </w:rPr>
        <w:t>FCCC/CP/2015/10/Add.1</w:t>
      </w:r>
      <w:r w:rsidRPr="003237F6">
        <w:rPr>
          <w:rFonts w:eastAsia="SimSun"/>
          <w:sz w:val="20"/>
        </w:rPr>
        <w:t>，第</w:t>
      </w:r>
      <w:r w:rsidRPr="003237F6">
        <w:rPr>
          <w:rFonts w:eastAsia="SimSun"/>
          <w:sz w:val="20"/>
        </w:rPr>
        <w:t>1/CP.21</w:t>
      </w:r>
      <w:r w:rsidRPr="003237F6">
        <w:rPr>
          <w:rFonts w:eastAsia="SimSun"/>
          <w:sz w:val="20"/>
        </w:rPr>
        <w:t>号决定，附件）。</w:t>
      </w:r>
    </w:p>
  </w:footnote>
  <w:footnote w:id="277">
    <w:p w14:paraId="3BE3B607" w14:textId="77777777" w:rsidR="00382AC2" w:rsidRPr="003237F6" w:rsidRDefault="00382AC2" w:rsidP="00382AC2">
      <w:pPr>
        <w:pStyle w:val="FootnoteText"/>
        <w:spacing w:after="60"/>
        <w:rPr>
          <w:rFonts w:eastAsia="SimSun"/>
          <w:sz w:val="20"/>
        </w:rPr>
      </w:pPr>
      <w:r w:rsidRPr="003237F6">
        <w:rPr>
          <w:rStyle w:val="FootnoteReference"/>
          <w:rFonts w:eastAsia="SimSun"/>
          <w:sz w:val="20"/>
          <w:lang w:val="en-GB"/>
        </w:rPr>
        <w:footnoteRef/>
      </w:r>
      <w:r w:rsidRPr="003237F6">
        <w:rPr>
          <w:rFonts w:eastAsia="SimSun"/>
          <w:sz w:val="20"/>
          <w:lang w:val="en-GB"/>
        </w:rPr>
        <w:t xml:space="preserve">  </w:t>
      </w:r>
      <w:r w:rsidRPr="003237F6">
        <w:rPr>
          <w:rFonts w:eastAsia="SimSun"/>
          <w:sz w:val="20"/>
          <w:lang w:val="en-GB"/>
        </w:rPr>
        <w:t>见</w:t>
      </w:r>
      <w:hyperlink r:id="rId122" w:history="1">
        <w:r w:rsidRPr="003237F6">
          <w:rPr>
            <w:rFonts w:eastAsia="SimSun"/>
            <w:color w:val="0000FF"/>
            <w:sz w:val="20"/>
            <w:u w:val="single"/>
            <w:lang w:val="en-GB"/>
          </w:rPr>
          <w:t>E/C.19/2023/5</w:t>
        </w:r>
      </w:hyperlink>
      <w:r w:rsidRPr="003237F6">
        <w:rPr>
          <w:rFonts w:eastAsia="SimSun"/>
          <w:sz w:val="20"/>
        </w:rPr>
        <w:t>，</w:t>
      </w:r>
      <w:r w:rsidRPr="003237F6">
        <w:rPr>
          <w:rFonts w:eastAsia="SimSun"/>
          <w:color w:val="000000"/>
          <w:sz w:val="20"/>
          <w:lang w:val="en-GB"/>
        </w:rPr>
        <w:t>第</w:t>
      </w:r>
      <w:r w:rsidRPr="003237F6">
        <w:rPr>
          <w:rFonts w:eastAsia="SimSun"/>
          <w:sz w:val="20"/>
          <w:lang w:val="en-GB"/>
        </w:rPr>
        <w:t>24</w:t>
      </w:r>
      <w:r w:rsidRPr="003237F6">
        <w:rPr>
          <w:rFonts w:eastAsia="SimSun"/>
          <w:sz w:val="20"/>
          <w:lang w:val="en-GB"/>
        </w:rPr>
        <w:t>段。</w:t>
      </w:r>
    </w:p>
  </w:footnote>
  <w:footnote w:id="278">
    <w:p w14:paraId="29CB0AC1" w14:textId="77777777" w:rsidR="00382AC2" w:rsidRPr="00D16AF9" w:rsidRDefault="00382AC2" w:rsidP="00382AC2">
      <w:pPr>
        <w:pStyle w:val="FootnoteText"/>
        <w:spacing w:after="60"/>
        <w:rPr>
          <w:sz w:val="20"/>
        </w:rPr>
      </w:pPr>
      <w:r w:rsidRPr="003237F6">
        <w:rPr>
          <w:rStyle w:val="FootnoteReference"/>
          <w:rFonts w:eastAsia="SimSun"/>
          <w:sz w:val="20"/>
          <w:lang w:val="en-GB"/>
        </w:rPr>
        <w:footnoteRef/>
      </w:r>
      <w:r w:rsidRPr="003237F6">
        <w:rPr>
          <w:rFonts w:eastAsia="SimSun"/>
          <w:sz w:val="20"/>
          <w:lang w:val="en-GB"/>
        </w:rPr>
        <w:t xml:space="preserve">  </w:t>
      </w:r>
      <w:r w:rsidRPr="003237F6">
        <w:rPr>
          <w:rFonts w:eastAsia="SimSun"/>
          <w:sz w:val="20"/>
          <w:lang w:val="en-GB"/>
        </w:rPr>
        <w:t>国际化学品管理大会第</w:t>
      </w:r>
      <w:r w:rsidRPr="003237F6">
        <w:rPr>
          <w:rFonts w:eastAsia="SimSun"/>
          <w:sz w:val="20"/>
          <w:lang w:val="en-GB"/>
        </w:rPr>
        <w:t>V/1</w:t>
      </w:r>
      <w:r w:rsidRPr="003237F6">
        <w:rPr>
          <w:rFonts w:eastAsia="SimSun"/>
          <w:sz w:val="20"/>
          <w:lang w:val="en-GB"/>
        </w:rPr>
        <w:t>号决议。</w:t>
      </w:r>
    </w:p>
  </w:footnote>
  <w:footnote w:id="279">
    <w:p w14:paraId="6D684A47" w14:textId="2CB315F5" w:rsidR="00382AC2" w:rsidRDefault="00382AC2" w:rsidP="00382AC2">
      <w:pPr>
        <w:pStyle w:val="FootnoteText"/>
        <w:spacing w:after="60"/>
      </w:pPr>
      <w:r w:rsidRPr="00D16AF9">
        <w:rPr>
          <w:rStyle w:val="FootnoteReference"/>
          <w:sz w:val="20"/>
          <w:lang w:val="en-GB"/>
        </w:rPr>
        <w:footnoteRef/>
      </w:r>
      <w:r w:rsidRPr="00D16AF9">
        <w:rPr>
          <w:sz w:val="20"/>
          <w:lang w:val="en-GB"/>
        </w:rPr>
        <w:t xml:space="preserve">  </w:t>
      </w:r>
      <w:hyperlink r:id="rId123" w:history="1">
        <w:r w:rsidRPr="003237F6">
          <w:rPr>
            <w:rStyle w:val="Hyperlink"/>
            <w:rFonts w:eastAsia="SimSun"/>
            <w:sz w:val="20"/>
            <w:lang w:val="en-GB"/>
          </w:rPr>
          <w:t>CBD/SBSTTA/26/8</w:t>
        </w:r>
      </w:hyperlink>
      <w:r w:rsidRPr="003237F6">
        <w:rPr>
          <w:rFonts w:eastAsia="SimSun"/>
          <w:sz w:val="20"/>
          <w:lang w:val="en-GB"/>
        </w:rPr>
        <w:t xml:space="preserve"> </w:t>
      </w:r>
      <w:r w:rsidRPr="003237F6">
        <w:rPr>
          <w:rFonts w:eastAsia="SimSun"/>
          <w:sz w:val="20"/>
          <w:lang w:val="en-GB"/>
        </w:rPr>
        <w:t>号文件附件一的附文一和附文二和附件二由生物多样性公约秘书处编写，未经缔约方讨论。</w:t>
      </w:r>
    </w:p>
  </w:footnote>
  <w:footnote w:id="280">
    <w:p w14:paraId="54F68086" w14:textId="77777777" w:rsidR="00382AC2" w:rsidRPr="00124D17" w:rsidRDefault="00382AC2" w:rsidP="00382AC2">
      <w:pPr>
        <w:pStyle w:val="FootnoteText"/>
        <w:spacing w:after="60"/>
        <w:rPr>
          <w:rFonts w:eastAsiaTheme="minorEastAsia"/>
          <w:sz w:val="20"/>
        </w:rPr>
      </w:pPr>
      <w:r w:rsidRPr="00124D17">
        <w:rPr>
          <w:rStyle w:val="FootnoteReference"/>
          <w:rFonts w:eastAsiaTheme="minorEastAsia"/>
          <w:sz w:val="20"/>
        </w:rPr>
        <w:footnoteRef/>
      </w:r>
      <w:r w:rsidRPr="00124D17">
        <w:rPr>
          <w:rFonts w:eastAsiaTheme="minorEastAsia"/>
          <w:sz w:val="20"/>
        </w:rPr>
        <w:t xml:space="preserve">  </w:t>
      </w:r>
      <w:r w:rsidRPr="003237F6">
        <w:rPr>
          <w:rFonts w:eastAsiaTheme="minorEastAsia"/>
          <w:sz w:val="20"/>
        </w:rPr>
        <w:t>联合国，《条约汇编》，第</w:t>
      </w:r>
      <w:r w:rsidRPr="003237F6">
        <w:rPr>
          <w:rFonts w:eastAsiaTheme="minorEastAsia"/>
          <w:sz w:val="20"/>
        </w:rPr>
        <w:t>1760</w:t>
      </w:r>
      <w:r w:rsidRPr="003237F6">
        <w:rPr>
          <w:rFonts w:eastAsiaTheme="minorEastAsia"/>
          <w:sz w:val="20"/>
        </w:rPr>
        <w:t>卷，第</w:t>
      </w:r>
      <w:r w:rsidRPr="003237F6">
        <w:rPr>
          <w:rFonts w:eastAsiaTheme="minorEastAsia"/>
          <w:sz w:val="20"/>
        </w:rPr>
        <w:t>30619</w:t>
      </w:r>
      <w:r w:rsidRPr="003237F6">
        <w:rPr>
          <w:rFonts w:eastAsiaTheme="minorEastAsia"/>
          <w:sz w:val="20"/>
        </w:rPr>
        <w:t>号。</w:t>
      </w:r>
    </w:p>
  </w:footnote>
  <w:footnote w:id="281">
    <w:p w14:paraId="0FAD82E7"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lang w:val="it-IT"/>
        </w:rPr>
        <w:t xml:space="preserve">  </w:t>
      </w:r>
      <w:r w:rsidRPr="003237F6">
        <w:rPr>
          <w:rFonts w:eastAsia="SimSun"/>
          <w:sz w:val="20"/>
        </w:rPr>
        <w:t>见</w:t>
      </w:r>
      <w:hyperlink r:id="rId124" w:history="1">
        <w:r w:rsidRPr="003237F6">
          <w:rPr>
            <w:rStyle w:val="Hyperlink"/>
            <w:rFonts w:eastAsia="SimSun"/>
            <w:sz w:val="20"/>
            <w:lang w:val="it-IT"/>
          </w:rPr>
          <w:t>CBD/SBSTTA/26/INF/3</w:t>
        </w:r>
      </w:hyperlink>
      <w:r w:rsidRPr="003237F6">
        <w:rPr>
          <w:rFonts w:eastAsia="SimSun"/>
          <w:sz w:val="20"/>
          <w:lang w:val="it-IT"/>
        </w:rPr>
        <w:t>。</w:t>
      </w:r>
    </w:p>
  </w:footnote>
  <w:footnote w:id="282">
    <w:p w14:paraId="0E8392D1"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lang w:val="it-IT"/>
        </w:rPr>
        <w:t xml:space="preserve">  </w:t>
      </w:r>
      <w:r w:rsidRPr="003237F6">
        <w:rPr>
          <w:rFonts w:eastAsia="SimSun"/>
          <w:sz w:val="20"/>
        </w:rPr>
        <w:t>第</w:t>
      </w:r>
      <w:hyperlink r:id="rId125" w:history="1">
        <w:r w:rsidRPr="003237F6">
          <w:rPr>
            <w:rStyle w:val="Hyperlink"/>
            <w:rFonts w:eastAsia="SimSun"/>
            <w:sz w:val="20"/>
            <w:lang w:val="it-IT"/>
          </w:rPr>
          <w:t>15/4</w:t>
        </w:r>
      </w:hyperlink>
      <w:r w:rsidRPr="003237F6">
        <w:rPr>
          <w:rFonts w:eastAsia="SimSun"/>
          <w:sz w:val="20"/>
        </w:rPr>
        <w:t>号决定</w:t>
      </w:r>
      <w:r w:rsidRPr="003237F6">
        <w:rPr>
          <w:rFonts w:eastAsia="SimSun"/>
          <w:sz w:val="20"/>
          <w:lang w:val="it-IT"/>
        </w:rPr>
        <w:t>，</w:t>
      </w:r>
      <w:r w:rsidRPr="003237F6">
        <w:rPr>
          <w:rFonts w:eastAsia="SimSun"/>
          <w:sz w:val="20"/>
        </w:rPr>
        <w:t>附件。</w:t>
      </w:r>
    </w:p>
  </w:footnote>
  <w:footnote w:id="283">
    <w:p w14:paraId="68A4068F"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Fonts w:eastAsia="SimSun"/>
          <w:sz w:val="20"/>
        </w:rPr>
        <w:t xml:space="preserve">  </w:t>
      </w:r>
      <w:r w:rsidRPr="003237F6">
        <w:rPr>
          <w:rFonts w:eastAsia="SimSun"/>
          <w:sz w:val="20"/>
        </w:rPr>
        <w:t>支持性认同指宗教、精神和社会凝聚力体验的基础；与生活世界不同实体相关的地方感、目的感、归属感、根植感或亲近感；叙事和神话、仪式和庆典活动；由于知道存在某一特定陆地景观、海洋景观、生境或物种而获得的满足感（见</w:t>
      </w:r>
      <w:r w:rsidRPr="003237F6">
        <w:rPr>
          <w:rFonts w:eastAsia="SimSun"/>
          <w:sz w:val="20"/>
        </w:rPr>
        <w:t>Eduardo S. Brondízio</w:t>
      </w:r>
      <w:r w:rsidRPr="003237F6">
        <w:rPr>
          <w:rFonts w:eastAsia="SimSun"/>
          <w:sz w:val="20"/>
        </w:rPr>
        <w:t>等编，《生物多样性和生态系统服务全球评估报告》，生物多样性和生态系统服务政府间科学与政策平台秘书处，</w:t>
      </w:r>
      <w:r w:rsidRPr="003237F6">
        <w:rPr>
          <w:rFonts w:eastAsia="SimSun"/>
          <w:sz w:val="20"/>
        </w:rPr>
        <w:t>2019</w:t>
      </w:r>
      <w:r w:rsidRPr="003237F6">
        <w:rPr>
          <w:rFonts w:eastAsia="SimSun"/>
          <w:sz w:val="20"/>
        </w:rPr>
        <w:t>，德国波恩）。</w:t>
      </w:r>
    </w:p>
  </w:footnote>
  <w:footnote w:id="284">
    <w:p w14:paraId="779C8359" w14:textId="77777777" w:rsidR="00382AC2" w:rsidRPr="003237F6" w:rsidRDefault="00382AC2" w:rsidP="00382AC2">
      <w:pPr>
        <w:pStyle w:val="FootnoteText"/>
        <w:spacing w:after="60"/>
        <w:rPr>
          <w:rFonts w:eastAsia="SimSun"/>
          <w:sz w:val="20"/>
        </w:rPr>
      </w:pPr>
      <w:r w:rsidRPr="003237F6">
        <w:rPr>
          <w:rStyle w:val="FootnoteReference"/>
          <w:rFonts w:eastAsia="SimSun"/>
          <w:sz w:val="20"/>
        </w:rPr>
        <w:footnoteRef/>
      </w:r>
      <w:r w:rsidRPr="003237F6">
        <w:rPr>
          <w:rStyle w:val="FootnoteReference"/>
          <w:rFonts w:eastAsia="SimSun"/>
          <w:sz w:val="20"/>
          <w:lang w:val="it-IT"/>
        </w:rPr>
        <w:t xml:space="preserve"> </w:t>
      </w:r>
      <w:r w:rsidRPr="003237F6">
        <w:rPr>
          <w:rFonts w:eastAsia="SimSun"/>
          <w:sz w:val="20"/>
          <w:lang w:val="it-IT"/>
        </w:rPr>
        <w:t xml:space="preserve"> </w:t>
      </w:r>
      <w:r w:rsidRPr="003237F6">
        <w:rPr>
          <w:rFonts w:eastAsia="SimSun"/>
          <w:sz w:val="20"/>
        </w:rPr>
        <w:t>生物多样性和生态系统服务政府间科学与政策平台把自然对人类的贡献定义为</w:t>
      </w:r>
      <w:r w:rsidRPr="003237F6">
        <w:rPr>
          <w:rFonts w:eastAsia="SimSun"/>
          <w:sz w:val="20"/>
          <w:lang w:val="it-IT"/>
        </w:rPr>
        <w:t>：</w:t>
      </w:r>
      <w:r w:rsidRPr="003237F6">
        <w:rPr>
          <w:rFonts w:eastAsia="SimSun"/>
          <w:sz w:val="20"/>
        </w:rPr>
        <w:t>活的自然</w:t>
      </w:r>
      <w:r w:rsidRPr="003237F6">
        <w:rPr>
          <w:rFonts w:eastAsia="SimSun"/>
          <w:sz w:val="20"/>
          <w:lang w:val="it-IT"/>
        </w:rPr>
        <w:t>（</w:t>
      </w:r>
      <w:r w:rsidRPr="003237F6">
        <w:rPr>
          <w:rStyle w:val="FootnoteReference"/>
          <w:rFonts w:eastAsia="SimSun"/>
          <w:sz w:val="20"/>
          <w:vertAlign w:val="baseline"/>
        </w:rPr>
        <w:t>即各种各样的生物体和生态系统及其相关生态和进化过程</w:t>
      </w:r>
      <w:r w:rsidRPr="003237F6">
        <w:rPr>
          <w:rStyle w:val="FootnoteReference"/>
          <w:rFonts w:eastAsia="SimSun"/>
          <w:sz w:val="20"/>
          <w:vertAlign w:val="baseline"/>
          <w:lang w:val="it-IT"/>
        </w:rPr>
        <w:t>）</w:t>
      </w:r>
      <w:r w:rsidRPr="003237F6">
        <w:rPr>
          <w:rStyle w:val="FootnoteReference"/>
          <w:rFonts w:eastAsia="SimSun"/>
          <w:sz w:val="20"/>
          <w:vertAlign w:val="baseline"/>
        </w:rPr>
        <w:t>对人的生活质量的贡献</w:t>
      </w:r>
      <w:r w:rsidRPr="003237F6">
        <w:rPr>
          <w:rStyle w:val="FootnoteReference"/>
          <w:rFonts w:eastAsia="SimSun"/>
          <w:sz w:val="20"/>
          <w:vertAlign w:val="baseline"/>
          <w:lang w:val="it-IT"/>
        </w:rPr>
        <w:t>，</w:t>
      </w:r>
      <w:r w:rsidRPr="003237F6">
        <w:rPr>
          <w:rStyle w:val="FootnoteReference"/>
          <w:rFonts w:eastAsia="SimSun"/>
          <w:sz w:val="20"/>
          <w:vertAlign w:val="baseline"/>
        </w:rPr>
        <w:t>包括正面贡献和负面贡献。</w:t>
      </w:r>
    </w:p>
  </w:footnote>
  <w:footnote w:id="285">
    <w:p w14:paraId="4A67E0A5" w14:textId="77777777" w:rsidR="00382AC2" w:rsidRPr="00D16AF9" w:rsidRDefault="00382AC2" w:rsidP="00382AC2">
      <w:pPr>
        <w:pStyle w:val="FootnoteText"/>
        <w:spacing w:after="60"/>
        <w:rPr>
          <w:sz w:val="20"/>
        </w:rPr>
      </w:pPr>
      <w:r w:rsidRPr="003237F6">
        <w:rPr>
          <w:rStyle w:val="FootnoteReference"/>
          <w:rFonts w:eastAsia="SimSun"/>
          <w:sz w:val="20"/>
        </w:rPr>
        <w:footnoteRef/>
      </w:r>
      <w:r w:rsidRPr="003237F6">
        <w:rPr>
          <w:rFonts w:eastAsia="SimSun"/>
          <w:sz w:val="20"/>
        </w:rPr>
        <w:t xml:space="preserve">  Hans-Otto Pörtner</w:t>
      </w:r>
      <w:r w:rsidRPr="003237F6">
        <w:rPr>
          <w:rFonts w:eastAsia="SimSun"/>
          <w:sz w:val="20"/>
          <w:lang w:val="it-IT"/>
        </w:rPr>
        <w:t>等编，《</w:t>
      </w:r>
      <w:r w:rsidRPr="003237F6">
        <w:rPr>
          <w:rFonts w:eastAsia="SimSun"/>
          <w:sz w:val="20"/>
          <w:lang w:val="it-IT"/>
        </w:rPr>
        <w:t>2022</w:t>
      </w:r>
      <w:r w:rsidRPr="003237F6">
        <w:rPr>
          <w:rFonts w:eastAsia="SimSun"/>
          <w:sz w:val="20"/>
          <w:lang w:val="it-IT"/>
        </w:rPr>
        <w:t>年气候变化：影响、适应和脆弱性：第二工作组对政府间气候变化专门委员会第六次评估报告的贡献》</w:t>
      </w:r>
      <w:r w:rsidRPr="003237F6">
        <w:rPr>
          <w:rFonts w:eastAsia="SimSun"/>
          <w:sz w:val="20"/>
          <w:lang w:val="it-IT"/>
        </w:rPr>
        <w:t>(</w:t>
      </w:r>
      <w:r w:rsidRPr="003237F6">
        <w:rPr>
          <w:rFonts w:eastAsia="SimSun"/>
          <w:sz w:val="20"/>
          <w:lang w:val="it-IT"/>
        </w:rPr>
        <w:t>政府间气候变化专门委员会，</w:t>
      </w:r>
      <w:r w:rsidRPr="003237F6">
        <w:rPr>
          <w:rFonts w:eastAsia="SimSun"/>
          <w:sz w:val="20"/>
          <w:lang w:val="it-IT"/>
        </w:rPr>
        <w:t>2022</w:t>
      </w:r>
      <w:r w:rsidRPr="003237F6">
        <w:rPr>
          <w:rFonts w:eastAsia="SimSun"/>
          <w:sz w:val="20"/>
          <w:lang w:val="it-IT"/>
        </w:rPr>
        <w:t>，日内瓦</w:t>
      </w:r>
      <w:r w:rsidRPr="003237F6">
        <w:rPr>
          <w:rFonts w:eastAsia="SimSun"/>
          <w:sz w:val="20"/>
          <w:lang w:val="it-IT"/>
        </w:rPr>
        <w:t>)</w:t>
      </w:r>
      <w:r w:rsidRPr="003237F6">
        <w:rPr>
          <w:rFonts w:eastAsia="SimSun"/>
          <w:sz w:val="20"/>
          <w:lang w:val="it-IT"/>
        </w:rPr>
        <w:t>。</w:t>
      </w:r>
    </w:p>
  </w:footnote>
  <w:footnote w:id="286">
    <w:p w14:paraId="0E2208C4" w14:textId="77777777" w:rsidR="00382AC2" w:rsidRPr="003237F6" w:rsidRDefault="00382AC2" w:rsidP="00382AC2">
      <w:pPr>
        <w:pStyle w:val="FootnoteText"/>
        <w:spacing w:after="60"/>
        <w:rPr>
          <w:rFonts w:eastAsia="SimSun"/>
          <w:sz w:val="20"/>
          <w:lang w:val="es-ES"/>
        </w:rPr>
      </w:pPr>
      <w:r w:rsidRPr="003237F6">
        <w:rPr>
          <w:rStyle w:val="FootnoteReference"/>
          <w:rFonts w:eastAsia="SimSun"/>
          <w:sz w:val="20"/>
        </w:rPr>
        <w:footnoteRef/>
      </w:r>
      <w:r w:rsidRPr="003237F6">
        <w:rPr>
          <w:rFonts w:eastAsia="SimSun"/>
          <w:sz w:val="20"/>
          <w:vertAlign w:val="superscript"/>
          <w:lang w:val="it-IT"/>
        </w:rPr>
        <w:t xml:space="preserve"> </w:t>
      </w:r>
      <w:r w:rsidRPr="003237F6">
        <w:rPr>
          <w:rFonts w:eastAsia="SimSun"/>
          <w:sz w:val="20"/>
          <w:lang w:val="it-IT"/>
        </w:rPr>
        <w:t xml:space="preserve"> E/C.19/2023/5</w:t>
      </w:r>
      <w:r w:rsidRPr="003237F6">
        <w:rPr>
          <w:rFonts w:eastAsia="SimSun"/>
          <w:sz w:val="20"/>
        </w:rPr>
        <w:t>。</w:t>
      </w:r>
    </w:p>
  </w:footnote>
  <w:footnote w:id="287">
    <w:p w14:paraId="4AB6ED1E" w14:textId="77777777" w:rsidR="00382AC2" w:rsidRPr="003237F6" w:rsidRDefault="00382AC2" w:rsidP="00382AC2">
      <w:pPr>
        <w:pStyle w:val="FootnoteText"/>
        <w:spacing w:after="60"/>
        <w:rPr>
          <w:rFonts w:eastAsia="SimSun"/>
          <w:sz w:val="20"/>
          <w:lang w:val="es-ES"/>
        </w:rPr>
      </w:pPr>
      <w:r w:rsidRPr="003237F6">
        <w:rPr>
          <w:rStyle w:val="FootnoteReference"/>
          <w:rFonts w:eastAsia="SimSun"/>
          <w:sz w:val="20"/>
        </w:rPr>
        <w:footnoteRef/>
      </w:r>
      <w:r w:rsidRPr="003237F6">
        <w:rPr>
          <w:rFonts w:eastAsia="SimSun"/>
          <w:sz w:val="20"/>
          <w:lang w:val="it-IT"/>
        </w:rPr>
        <w:t xml:space="preserve">  </w:t>
      </w:r>
      <w:r w:rsidRPr="003237F6">
        <w:rPr>
          <w:rStyle w:val="FootnoteReference"/>
          <w:rFonts w:eastAsia="SimSun"/>
          <w:sz w:val="20"/>
          <w:vertAlign w:val="baseline"/>
        </w:rPr>
        <w:t>健康的环境决定因素指影响人类健康的全球、区域、国家和地方环境因素</w:t>
      </w:r>
      <w:r w:rsidRPr="003237F6">
        <w:rPr>
          <w:rStyle w:val="FootnoteReference"/>
          <w:rFonts w:eastAsia="SimSun"/>
          <w:sz w:val="20"/>
          <w:vertAlign w:val="baseline"/>
          <w:lang w:val="it-IT"/>
        </w:rPr>
        <w:t>，</w:t>
      </w:r>
      <w:r w:rsidRPr="003237F6">
        <w:rPr>
          <w:rStyle w:val="FootnoteReference"/>
          <w:rFonts w:eastAsia="SimSun"/>
          <w:sz w:val="20"/>
          <w:vertAlign w:val="baseline"/>
        </w:rPr>
        <w:t>其中包括对于人而言是外在的物理、化学和生物因素。泛美卫生组织的网站进一步说明了健康的环境决定因素</w:t>
      </w:r>
      <w:r w:rsidRPr="003237F6">
        <w:rPr>
          <w:rStyle w:val="FootnoteReference"/>
          <w:rFonts w:eastAsia="SimSun"/>
          <w:sz w:val="20"/>
          <w:vertAlign w:val="baseline"/>
          <w:lang w:val="it-IT"/>
        </w:rPr>
        <w:t>，</w:t>
      </w:r>
      <w:r w:rsidRPr="003237F6">
        <w:rPr>
          <w:rStyle w:val="FootnoteReference"/>
          <w:rFonts w:eastAsia="SimSun"/>
          <w:sz w:val="20"/>
          <w:vertAlign w:val="baseline"/>
        </w:rPr>
        <w:t>网址是</w:t>
      </w:r>
      <w:r w:rsidRPr="003237F6">
        <w:rPr>
          <w:rStyle w:val="FootnoteReference"/>
          <w:rFonts w:eastAsia="SimSun"/>
          <w:sz w:val="20"/>
          <w:vertAlign w:val="baseline"/>
          <w:lang w:val="it-IT"/>
        </w:rPr>
        <w:t>：</w:t>
      </w:r>
      <w:hyperlink r:id="rId126" w:history="1">
        <w:r w:rsidRPr="003237F6">
          <w:rPr>
            <w:rStyle w:val="Hyperlink"/>
            <w:rFonts w:eastAsia="SimSun"/>
            <w:sz w:val="20"/>
            <w:lang w:val="it-IT"/>
          </w:rPr>
          <w:t>www.paho.org/en</w:t>
        </w:r>
      </w:hyperlink>
      <w:r w:rsidRPr="003237F6">
        <w:rPr>
          <w:rStyle w:val="FootnoteReference"/>
          <w:rFonts w:eastAsia="SimSun"/>
          <w:sz w:val="20"/>
          <w:vertAlign w:val="baseline"/>
        </w:rPr>
        <w:t>。</w:t>
      </w:r>
    </w:p>
  </w:footnote>
  <w:footnote w:id="288">
    <w:p w14:paraId="66B36E4A" w14:textId="77777777" w:rsidR="00382AC2" w:rsidRDefault="00382AC2" w:rsidP="00382AC2">
      <w:pPr>
        <w:pStyle w:val="FootnoteText"/>
        <w:spacing w:after="60"/>
      </w:pPr>
      <w:r w:rsidRPr="003237F6">
        <w:rPr>
          <w:rStyle w:val="FootnoteReference"/>
          <w:rFonts w:eastAsia="SimSun"/>
          <w:sz w:val="20"/>
        </w:rPr>
        <w:footnoteRef/>
      </w:r>
      <w:r w:rsidRPr="003237F6">
        <w:rPr>
          <w:rFonts w:eastAsia="SimSun"/>
          <w:sz w:val="20"/>
          <w:lang w:val="it-IT"/>
        </w:rPr>
        <w:t xml:space="preserve">  </w:t>
      </w:r>
      <w:r w:rsidRPr="003237F6">
        <w:rPr>
          <w:rFonts w:eastAsia="SimSun"/>
          <w:sz w:val="20"/>
        </w:rPr>
        <w:t>见联合国大会第</w:t>
      </w:r>
      <w:r w:rsidRPr="003237F6">
        <w:rPr>
          <w:rFonts w:eastAsia="SimSun"/>
          <w:sz w:val="20"/>
          <w:lang w:val="it-IT"/>
        </w:rPr>
        <w:t>76/300</w:t>
      </w:r>
      <w:r w:rsidRPr="003237F6">
        <w:rPr>
          <w:rFonts w:eastAsia="SimSun"/>
          <w:sz w:val="20"/>
        </w:rPr>
        <w:t>号决议。</w:t>
      </w:r>
    </w:p>
  </w:footnote>
  <w:footnote w:id="289">
    <w:p w14:paraId="0C9AF749"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E34620">
        <w:rPr>
          <w:rFonts w:eastAsia="SimSun"/>
          <w:sz w:val="20"/>
        </w:rPr>
        <w:t xml:space="preserve">  </w:t>
      </w:r>
      <w:hyperlink r:id="rId127" w:history="1">
        <w:r w:rsidRPr="00E34620">
          <w:rPr>
            <w:rStyle w:val="Hyperlink"/>
            <w:rFonts w:eastAsia="SimSun"/>
            <w:sz w:val="20"/>
          </w:rPr>
          <w:t>CBD/SBSTTA/26/INF/3</w:t>
        </w:r>
      </w:hyperlink>
      <w:r w:rsidRPr="00E34620">
        <w:rPr>
          <w:rFonts w:eastAsia="SimSun"/>
          <w:sz w:val="20"/>
        </w:rPr>
        <w:t>，</w:t>
      </w:r>
      <w:r w:rsidRPr="0069726A">
        <w:rPr>
          <w:rFonts w:eastAsia="SimSun"/>
          <w:sz w:val="20"/>
        </w:rPr>
        <w:t>附件一。</w:t>
      </w:r>
    </w:p>
  </w:footnote>
  <w:footnote w:id="290">
    <w:p w14:paraId="300D5C4D"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E34620">
        <w:rPr>
          <w:rFonts w:eastAsia="SimSun"/>
          <w:sz w:val="20"/>
        </w:rPr>
        <w:t xml:space="preserve">  </w:t>
      </w:r>
      <w:r w:rsidRPr="0069726A">
        <w:rPr>
          <w:rFonts w:eastAsia="SimSun"/>
          <w:sz w:val="20"/>
        </w:rPr>
        <w:t>疾病的环境负担量化环境风险造成的疾病数量</w:t>
      </w:r>
      <w:r w:rsidRPr="00E34620">
        <w:rPr>
          <w:rFonts w:eastAsia="SimSun"/>
          <w:sz w:val="20"/>
        </w:rPr>
        <w:t>（</w:t>
      </w:r>
      <w:r w:rsidRPr="0069726A">
        <w:rPr>
          <w:rFonts w:eastAsia="SimSun"/>
          <w:sz w:val="20"/>
        </w:rPr>
        <w:t>见</w:t>
      </w:r>
      <w:hyperlink r:id="rId128" w:history="1">
        <w:r w:rsidRPr="00E34620">
          <w:rPr>
            <w:rStyle w:val="Hyperlink"/>
            <w:rFonts w:eastAsia="SimSun"/>
            <w:sz w:val="20"/>
          </w:rPr>
          <w:t>www.who.int/activities/environmental-health-impacts</w:t>
        </w:r>
      </w:hyperlink>
      <w:r w:rsidRPr="00E34620">
        <w:rPr>
          <w:rFonts w:eastAsia="SimSun"/>
          <w:sz w:val="20"/>
        </w:rPr>
        <w:t>）</w:t>
      </w:r>
      <w:r w:rsidRPr="0069726A">
        <w:rPr>
          <w:rFonts w:eastAsia="SimSun"/>
          <w:sz w:val="20"/>
        </w:rPr>
        <w:t>。</w:t>
      </w:r>
    </w:p>
  </w:footnote>
  <w:footnote w:id="291">
    <w:p w14:paraId="0B9AB2F8" w14:textId="77777777" w:rsidR="00382AC2" w:rsidRDefault="00382AC2" w:rsidP="00382AC2">
      <w:pPr>
        <w:pStyle w:val="FootnoteText"/>
        <w:spacing w:after="60"/>
      </w:pPr>
      <w:r w:rsidRPr="0069726A">
        <w:rPr>
          <w:rStyle w:val="FootnoteReference"/>
          <w:rFonts w:eastAsia="SimSun"/>
          <w:sz w:val="20"/>
        </w:rPr>
        <w:footnoteRef/>
      </w:r>
      <w:r w:rsidRPr="0069726A">
        <w:rPr>
          <w:rFonts w:eastAsia="SimSun"/>
          <w:sz w:val="20"/>
          <w:lang w:val="it-IT"/>
        </w:rPr>
        <w:t xml:space="preserve">  </w:t>
      </w:r>
      <w:r w:rsidRPr="0069726A">
        <w:rPr>
          <w:rFonts w:eastAsia="SimSun"/>
          <w:sz w:val="20"/>
        </w:rPr>
        <w:t>另见第</w:t>
      </w:r>
      <w:hyperlink r:id="rId129" w:history="1">
        <w:r w:rsidRPr="0069726A">
          <w:rPr>
            <w:rStyle w:val="Hyperlink"/>
            <w:rFonts w:eastAsia="SimSun"/>
            <w:sz w:val="20"/>
            <w:lang w:val="it-IT"/>
          </w:rPr>
          <w:t xml:space="preserve">15/22 </w:t>
        </w:r>
      </w:hyperlink>
      <w:r w:rsidRPr="0069726A">
        <w:rPr>
          <w:rFonts w:eastAsia="SimSun"/>
          <w:sz w:val="20"/>
        </w:rPr>
        <w:t>号决定。</w:t>
      </w:r>
    </w:p>
  </w:footnote>
  <w:footnote w:id="292">
    <w:p w14:paraId="48D08206" w14:textId="77777777" w:rsidR="00382AC2" w:rsidRPr="0069726A" w:rsidRDefault="00382AC2" w:rsidP="00382AC2">
      <w:pPr>
        <w:pStyle w:val="FootnoteText"/>
        <w:spacing w:after="60"/>
        <w:rPr>
          <w:rFonts w:eastAsia="SimSun"/>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健康利益攸关方包括与人类、动物和植物健康有关以及具备多样化健康知识的利益攸关方。</w:t>
      </w:r>
    </w:p>
  </w:footnote>
  <w:footnote w:id="293">
    <w:p w14:paraId="02190749" w14:textId="5C0976CD" w:rsidR="00382AC2" w:rsidRPr="0069726A" w:rsidRDefault="00382AC2" w:rsidP="00382AC2">
      <w:pPr>
        <w:pStyle w:val="FootnoteText"/>
        <w:spacing w:after="60"/>
        <w:rPr>
          <w:rFonts w:eastAsia="SimSun"/>
          <w:spacing w:val="-10"/>
        </w:rPr>
      </w:pPr>
      <w:r w:rsidRPr="0069726A">
        <w:rPr>
          <w:rStyle w:val="FootnoteReference"/>
          <w:rFonts w:eastAsia="SimSun"/>
          <w:spacing w:val="-10"/>
          <w:sz w:val="20"/>
        </w:rPr>
        <w:footnoteRef/>
      </w:r>
      <w:r w:rsidRPr="0069726A">
        <w:rPr>
          <w:rStyle w:val="FootnoteReference"/>
          <w:rFonts w:eastAsia="SimSun"/>
          <w:spacing w:val="-10"/>
          <w:sz w:val="20"/>
        </w:rPr>
        <w:t xml:space="preserve"> </w:t>
      </w:r>
      <w:r w:rsidRPr="0069726A">
        <w:rPr>
          <w:rFonts w:eastAsia="SimSun"/>
          <w:spacing w:val="-10"/>
          <w:sz w:val="20"/>
        </w:rPr>
        <w:t xml:space="preserve"> “</w:t>
      </w:r>
      <w:r w:rsidRPr="0069726A">
        <w:rPr>
          <w:rFonts w:eastAsia="SimSun"/>
          <w:spacing w:val="-10"/>
          <w:sz w:val="20"/>
        </w:rPr>
        <w:t>自由、事先和知情同意</w:t>
      </w:r>
      <w:r w:rsidRPr="0069726A">
        <w:rPr>
          <w:rFonts w:eastAsia="SimSun"/>
          <w:spacing w:val="-10"/>
          <w:sz w:val="20"/>
        </w:rPr>
        <w:t>”</w:t>
      </w:r>
      <w:r w:rsidRPr="0069726A">
        <w:rPr>
          <w:rFonts w:eastAsia="SimSun"/>
          <w:spacing w:val="-10"/>
          <w:sz w:val="20"/>
        </w:rPr>
        <w:t>指</w:t>
      </w:r>
      <w:r w:rsidR="0069726A" w:rsidRPr="0069726A">
        <w:rPr>
          <w:rFonts w:eastAsia="SimSun"/>
          <w:spacing w:val="-10"/>
          <w:sz w:val="20"/>
        </w:rPr>
        <w:t>三种表述</w:t>
      </w:r>
      <w:r w:rsidR="0069726A">
        <w:rPr>
          <w:rFonts w:eastAsia="SimSun" w:hint="eastAsia"/>
          <w:spacing w:val="-10"/>
          <w:sz w:val="20"/>
        </w:rPr>
        <w:t>，即</w:t>
      </w:r>
      <w:r w:rsidRPr="0069726A">
        <w:rPr>
          <w:rFonts w:eastAsia="SimSun"/>
          <w:spacing w:val="-10"/>
          <w:sz w:val="20"/>
        </w:rPr>
        <w:t>“</w:t>
      </w:r>
      <w:r w:rsidRPr="0069726A">
        <w:rPr>
          <w:rFonts w:eastAsia="SimSun"/>
          <w:spacing w:val="-10"/>
          <w:sz w:val="20"/>
        </w:rPr>
        <w:t>事先知情同意</w:t>
      </w:r>
      <w:r w:rsidRPr="0069726A">
        <w:rPr>
          <w:rFonts w:eastAsia="SimSun"/>
          <w:spacing w:val="-10"/>
          <w:sz w:val="20"/>
        </w:rPr>
        <w:t>”</w:t>
      </w:r>
      <w:r w:rsidRPr="0069726A">
        <w:rPr>
          <w:rFonts w:eastAsia="SimSun"/>
          <w:spacing w:val="-10"/>
          <w:sz w:val="20"/>
        </w:rPr>
        <w:t>、</w:t>
      </w:r>
      <w:r w:rsidRPr="0069726A">
        <w:rPr>
          <w:rFonts w:eastAsia="SimSun"/>
          <w:spacing w:val="-10"/>
          <w:sz w:val="20"/>
        </w:rPr>
        <w:t>“</w:t>
      </w:r>
      <w:r w:rsidRPr="0069726A">
        <w:rPr>
          <w:rFonts w:eastAsia="SimSun"/>
          <w:spacing w:val="-10"/>
          <w:sz w:val="20"/>
        </w:rPr>
        <w:t>自由、事先和知情同意</w:t>
      </w:r>
      <w:r w:rsidRPr="0069726A">
        <w:rPr>
          <w:rFonts w:eastAsia="SimSun"/>
          <w:spacing w:val="-10"/>
          <w:sz w:val="20"/>
        </w:rPr>
        <w:t>”</w:t>
      </w:r>
      <w:r w:rsidRPr="0069726A">
        <w:rPr>
          <w:rFonts w:eastAsia="SimSun"/>
          <w:spacing w:val="-10"/>
          <w:sz w:val="20"/>
        </w:rPr>
        <w:t>和</w:t>
      </w:r>
      <w:r w:rsidRPr="0069726A">
        <w:rPr>
          <w:rFonts w:eastAsia="SimSun"/>
          <w:spacing w:val="-10"/>
          <w:sz w:val="20"/>
        </w:rPr>
        <w:t>“</w:t>
      </w:r>
      <w:r w:rsidRPr="0069726A">
        <w:rPr>
          <w:rFonts w:eastAsia="SimSun"/>
          <w:spacing w:val="-10"/>
          <w:sz w:val="20"/>
        </w:rPr>
        <w:t>批准和参与</w:t>
      </w:r>
      <w:r w:rsidRPr="0069726A">
        <w:rPr>
          <w:rFonts w:eastAsia="SimSun"/>
          <w:spacing w:val="-10"/>
          <w:sz w:val="20"/>
        </w:rPr>
        <w:t>”</w:t>
      </w:r>
      <w:r w:rsidRPr="0069726A">
        <w:rPr>
          <w:rFonts w:eastAsia="SimSun"/>
          <w:spacing w:val="-10"/>
          <w:sz w:val="20"/>
        </w:rPr>
        <w:t>。</w:t>
      </w:r>
    </w:p>
  </w:footnote>
  <w:footnote w:id="294">
    <w:p w14:paraId="15392C9A" w14:textId="77777777" w:rsidR="00382AC2" w:rsidRDefault="00382AC2" w:rsidP="00382AC2">
      <w:pPr>
        <w:pStyle w:val="FootnoteText"/>
        <w:spacing w:after="60"/>
      </w:pPr>
      <w:r w:rsidRPr="0069726A">
        <w:rPr>
          <w:rStyle w:val="FootnoteReference"/>
          <w:rFonts w:eastAsia="SimSun"/>
          <w:sz w:val="20"/>
        </w:rPr>
        <w:footnoteRef/>
      </w:r>
      <w:bookmarkStart w:id="77" w:name="_Hlk166860933"/>
      <w:r w:rsidRPr="0069726A">
        <w:rPr>
          <w:rFonts w:eastAsia="SimSun"/>
          <w:sz w:val="20"/>
        </w:rPr>
        <w:t xml:space="preserve">  </w:t>
      </w:r>
      <w:r w:rsidRPr="0069726A">
        <w:rPr>
          <w:rFonts w:eastAsia="SimSun"/>
          <w:sz w:val="20"/>
        </w:rPr>
        <w:t>根据缔约方大会以前关于主流化的决定，这些部门可包括农业、林业、渔业、水产养殖业、旅游业、卫生、基础设施、能源和采矿、制造业、加工业和金融。</w:t>
      </w:r>
      <w:bookmarkEnd w:id="77"/>
    </w:p>
  </w:footnote>
  <w:footnote w:id="295">
    <w:p w14:paraId="4D70C273"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第</w:t>
      </w:r>
      <w:hyperlink r:id="rId130" w:history="1">
        <w:r w:rsidRPr="0069726A">
          <w:rPr>
            <w:rStyle w:val="Hyperlink"/>
            <w:rFonts w:eastAsia="SimSun"/>
            <w:sz w:val="20"/>
          </w:rPr>
          <w:t>15/4</w:t>
        </w:r>
      </w:hyperlink>
      <w:r w:rsidRPr="0069726A">
        <w:rPr>
          <w:rFonts w:eastAsia="SimSun"/>
          <w:sz w:val="20"/>
        </w:rPr>
        <w:t>号决定，附件，第</w:t>
      </w:r>
      <w:r w:rsidRPr="0069726A">
        <w:rPr>
          <w:rFonts w:eastAsia="SimSun"/>
          <w:sz w:val="20"/>
        </w:rPr>
        <w:t>7(r)</w:t>
      </w:r>
      <w:r w:rsidRPr="0069726A">
        <w:rPr>
          <w:rFonts w:eastAsia="SimSun"/>
          <w:sz w:val="20"/>
        </w:rPr>
        <w:t>段。</w:t>
      </w:r>
    </w:p>
  </w:footnote>
  <w:footnote w:id="296">
    <w:p w14:paraId="79E09096" w14:textId="77777777" w:rsidR="00382AC2" w:rsidRDefault="00382AC2" w:rsidP="00382AC2">
      <w:pPr>
        <w:pStyle w:val="FootnoteText"/>
        <w:spacing w:after="60"/>
      </w:pPr>
      <w:r w:rsidRPr="0069726A">
        <w:rPr>
          <w:rStyle w:val="FootnoteReference"/>
          <w:rFonts w:eastAsia="SimSun"/>
          <w:sz w:val="20"/>
        </w:rPr>
        <w:footnoteRef/>
      </w:r>
      <w:r w:rsidRPr="0069726A">
        <w:rPr>
          <w:rFonts w:eastAsia="SimSun"/>
          <w:sz w:val="20"/>
        </w:rPr>
        <w:t xml:space="preserve">  </w:t>
      </w:r>
      <w:r w:rsidRPr="0069726A">
        <w:rPr>
          <w:rFonts w:eastAsia="SimSun"/>
          <w:sz w:val="20"/>
        </w:rPr>
        <w:t>同上，第</w:t>
      </w:r>
      <w:r w:rsidRPr="0069726A">
        <w:rPr>
          <w:rFonts w:eastAsia="SimSun"/>
          <w:sz w:val="20"/>
        </w:rPr>
        <w:t>7(g)</w:t>
      </w:r>
      <w:r w:rsidRPr="0069726A">
        <w:rPr>
          <w:rFonts w:eastAsia="SimSun"/>
          <w:sz w:val="20"/>
        </w:rPr>
        <w:t>段。</w:t>
      </w:r>
    </w:p>
  </w:footnote>
  <w:footnote w:id="297">
    <w:p w14:paraId="3717D064"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行动目标案文见第</w:t>
      </w:r>
      <w:hyperlink r:id="rId131" w:history="1">
        <w:r w:rsidRPr="0069726A">
          <w:rPr>
            <w:rStyle w:val="Hyperlink"/>
            <w:rFonts w:eastAsia="SimSun"/>
            <w:sz w:val="20"/>
          </w:rPr>
          <w:t>15/4</w:t>
        </w:r>
      </w:hyperlink>
      <w:r w:rsidRPr="0069726A">
        <w:rPr>
          <w:rFonts w:eastAsia="SimSun"/>
          <w:sz w:val="20"/>
        </w:rPr>
        <w:t>号决定，附件，</w:t>
      </w:r>
      <w:r w:rsidRPr="0069726A">
        <w:rPr>
          <w:rFonts w:eastAsia="SimSun"/>
          <w:sz w:val="20"/>
        </w:rPr>
        <w:t>H</w:t>
      </w:r>
      <w:r w:rsidRPr="0069726A">
        <w:rPr>
          <w:rFonts w:eastAsia="SimSun"/>
          <w:sz w:val="20"/>
        </w:rPr>
        <w:t>部分。</w:t>
      </w:r>
    </w:p>
  </w:footnote>
  <w:footnote w:id="298">
    <w:p w14:paraId="27A25695" w14:textId="77777777" w:rsidR="00382AC2" w:rsidRPr="00286EAE" w:rsidRDefault="00382AC2" w:rsidP="00382AC2">
      <w:pPr>
        <w:pStyle w:val="FootnoteText"/>
        <w:spacing w:after="60"/>
      </w:pPr>
      <w:r w:rsidRPr="0069726A">
        <w:rPr>
          <w:rStyle w:val="FootnoteReference"/>
          <w:rFonts w:eastAsia="SimSun"/>
          <w:sz w:val="20"/>
        </w:rPr>
        <w:footnoteRef/>
      </w:r>
      <w:r w:rsidRPr="0069726A">
        <w:rPr>
          <w:rFonts w:eastAsia="SimSun"/>
          <w:sz w:val="20"/>
        </w:rPr>
        <w:t xml:space="preserve">  </w:t>
      </w:r>
      <w:r w:rsidRPr="0069726A">
        <w:rPr>
          <w:rFonts w:eastAsia="SimSun"/>
          <w:sz w:val="20"/>
        </w:rPr>
        <w:t>关于生物多样性与健康相互关联的更多信息见</w:t>
      </w:r>
      <w:hyperlink r:id="rId132" w:history="1">
        <w:r w:rsidRPr="0069726A">
          <w:rPr>
            <w:rStyle w:val="Hyperlink"/>
            <w:rFonts w:eastAsia="SimSun"/>
            <w:sz w:val="20"/>
          </w:rPr>
          <w:t>CBD/SBSTTA/26/INF/3</w:t>
        </w:r>
      </w:hyperlink>
      <w:r w:rsidRPr="0069726A">
        <w:rPr>
          <w:rFonts w:eastAsia="SimSun"/>
          <w:sz w:val="20"/>
        </w:rPr>
        <w:t>。</w:t>
      </w:r>
    </w:p>
  </w:footnote>
  <w:footnote w:id="299">
    <w:p w14:paraId="19E06C32"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外来入侵物种指其引进或传播对生物多样性构成威胁的物种。详见第</w:t>
      </w:r>
      <w:hyperlink r:id="rId133" w:history="1">
        <w:r w:rsidRPr="0069726A">
          <w:rPr>
            <w:rStyle w:val="Hyperlink"/>
            <w:rFonts w:eastAsia="SimSun"/>
            <w:sz w:val="20"/>
          </w:rPr>
          <w:t>VI/23</w:t>
        </w:r>
      </w:hyperlink>
      <w:r w:rsidRPr="0069726A">
        <w:rPr>
          <w:rFonts w:eastAsia="SimSun"/>
          <w:sz w:val="20"/>
        </w:rPr>
        <w:t>号决定。</w:t>
      </w:r>
    </w:p>
  </w:footnote>
  <w:footnote w:id="300">
    <w:p w14:paraId="51A37A60"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color w:val="000000"/>
          <w:spacing w:val="-10"/>
          <w:sz w:val="20"/>
        </w:rPr>
        <w:t xml:space="preserve">Sandra Diaz </w:t>
      </w:r>
      <w:r w:rsidRPr="0069726A">
        <w:rPr>
          <w:rFonts w:eastAsia="SimSun"/>
          <w:color w:val="000000"/>
          <w:spacing w:val="-10"/>
          <w:sz w:val="20"/>
        </w:rPr>
        <w:t>等，</w:t>
      </w:r>
      <w:r w:rsidRPr="0069726A">
        <w:rPr>
          <w:rFonts w:eastAsia="SimSun"/>
          <w:spacing w:val="-10"/>
          <w:sz w:val="20"/>
        </w:rPr>
        <w:t>《生物多样性和生态系统服务全球评估报告》决策者摘要（生物多样性和生态系统服务政府间科学与政策平台秘书处，</w:t>
      </w:r>
      <w:r w:rsidRPr="0069726A">
        <w:rPr>
          <w:rFonts w:eastAsia="SimSun"/>
          <w:spacing w:val="-10"/>
          <w:sz w:val="20"/>
        </w:rPr>
        <w:t>2019</w:t>
      </w:r>
      <w:r w:rsidRPr="0069726A">
        <w:rPr>
          <w:rFonts w:eastAsia="SimSun"/>
          <w:spacing w:val="-10"/>
          <w:sz w:val="20"/>
        </w:rPr>
        <w:t>，德国波恩）。</w:t>
      </w:r>
    </w:p>
  </w:footnote>
  <w:footnote w:id="301">
    <w:p w14:paraId="079AA845"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Helen E. Roy</w:t>
      </w:r>
      <w:r w:rsidRPr="0069726A">
        <w:rPr>
          <w:rFonts w:eastAsia="SimSun"/>
          <w:sz w:val="20"/>
        </w:rPr>
        <w:t>等编，《外来入侵物种及其控制专题评估报告》（生物多样性和生态系统服务政府间科学与政策平台秘书处，</w:t>
      </w:r>
      <w:r w:rsidRPr="0069726A">
        <w:rPr>
          <w:rFonts w:eastAsia="SimSun"/>
          <w:sz w:val="20"/>
        </w:rPr>
        <w:t>2023</w:t>
      </w:r>
      <w:r w:rsidRPr="0069726A">
        <w:rPr>
          <w:rFonts w:eastAsia="SimSun"/>
          <w:sz w:val="20"/>
        </w:rPr>
        <w:t>，德国波恩）。</w:t>
      </w:r>
    </w:p>
  </w:footnote>
  <w:footnote w:id="302">
    <w:p w14:paraId="5336080D"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第</w:t>
      </w:r>
      <w:hyperlink r:id="rId134" w:history="1">
        <w:r w:rsidRPr="0069726A">
          <w:rPr>
            <w:rStyle w:val="Hyperlink"/>
            <w:rFonts w:eastAsia="SimSun"/>
            <w:sz w:val="20"/>
          </w:rPr>
          <w:t>15/27</w:t>
        </w:r>
      </w:hyperlink>
      <w:r w:rsidRPr="0069726A">
        <w:rPr>
          <w:rFonts w:eastAsia="SimSun"/>
          <w:sz w:val="20"/>
        </w:rPr>
        <w:t>号决定，第</w:t>
      </w:r>
      <w:r w:rsidRPr="0069726A">
        <w:rPr>
          <w:rFonts w:eastAsia="SimSun"/>
          <w:sz w:val="20"/>
        </w:rPr>
        <w:t>9</w:t>
      </w:r>
      <w:r w:rsidRPr="0069726A">
        <w:rPr>
          <w:rFonts w:eastAsia="SimSun"/>
          <w:sz w:val="20"/>
        </w:rPr>
        <w:t>和第</w:t>
      </w:r>
      <w:r w:rsidRPr="0069726A">
        <w:rPr>
          <w:rFonts w:eastAsia="SimSun"/>
          <w:sz w:val="20"/>
        </w:rPr>
        <w:t>12(a)</w:t>
      </w:r>
      <w:r w:rsidRPr="0069726A">
        <w:rPr>
          <w:rFonts w:eastAsia="SimSun"/>
          <w:sz w:val="20"/>
        </w:rPr>
        <w:t>段。</w:t>
      </w:r>
    </w:p>
  </w:footnote>
  <w:footnote w:id="303">
    <w:p w14:paraId="5ADFC246"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世界卫生组织，《世卫组织和其他联合国健康与环境指南简编》（</w:t>
      </w:r>
      <w:r w:rsidRPr="0069726A">
        <w:rPr>
          <w:rFonts w:eastAsia="SimSun"/>
          <w:sz w:val="20"/>
        </w:rPr>
        <w:t>2024</w:t>
      </w:r>
      <w:r w:rsidRPr="0069726A">
        <w:rPr>
          <w:rFonts w:eastAsia="SimSun"/>
          <w:sz w:val="20"/>
        </w:rPr>
        <w:t>，日内瓦）。</w:t>
      </w:r>
    </w:p>
  </w:footnote>
  <w:footnote w:id="304">
    <w:p w14:paraId="552CD251"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Philip Landrigan</w:t>
      </w:r>
      <w:r w:rsidRPr="0069726A">
        <w:rPr>
          <w:rFonts w:eastAsia="SimSun"/>
          <w:sz w:val="20"/>
        </w:rPr>
        <w:t>等，</w:t>
      </w:r>
      <w:r w:rsidRPr="0069726A">
        <w:rPr>
          <w:rFonts w:eastAsia="SimSun"/>
          <w:sz w:val="20"/>
        </w:rPr>
        <w:t>Mindaroo-Monaco</w:t>
      </w:r>
      <w:r w:rsidRPr="0069726A">
        <w:rPr>
          <w:rFonts w:eastAsia="SimSun"/>
          <w:sz w:val="20"/>
        </w:rPr>
        <w:t>塑料和人类健康委员会，《全球健康年鉴》，</w:t>
      </w:r>
      <w:r w:rsidRPr="0069726A">
        <w:rPr>
          <w:rFonts w:eastAsia="SimSun"/>
          <w:iCs/>
          <w:sz w:val="20"/>
        </w:rPr>
        <w:t xml:space="preserve">vol. </w:t>
      </w:r>
      <w:r w:rsidRPr="0069726A">
        <w:rPr>
          <w:rFonts w:eastAsia="SimSun"/>
          <w:sz w:val="20"/>
        </w:rPr>
        <w:t>89, No. 1</w:t>
      </w:r>
      <w:r w:rsidRPr="0069726A">
        <w:rPr>
          <w:rFonts w:eastAsia="SimSun"/>
          <w:sz w:val="20"/>
        </w:rPr>
        <w:t>（</w:t>
      </w:r>
      <w:r w:rsidRPr="0069726A">
        <w:rPr>
          <w:rFonts w:eastAsia="SimSun"/>
          <w:sz w:val="20"/>
        </w:rPr>
        <w:t>2023</w:t>
      </w:r>
      <w:r w:rsidRPr="0069726A">
        <w:rPr>
          <w:rFonts w:eastAsia="SimSun"/>
          <w:sz w:val="20"/>
        </w:rPr>
        <w:t>）。</w:t>
      </w:r>
    </w:p>
  </w:footnote>
  <w:footnote w:id="305">
    <w:p w14:paraId="338D53EE"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世界卫生大会第</w:t>
      </w:r>
      <w:r w:rsidRPr="0069726A">
        <w:rPr>
          <w:rFonts w:eastAsia="SimSun"/>
          <w:sz w:val="20"/>
        </w:rPr>
        <w:t>76.17</w:t>
      </w:r>
      <w:r w:rsidRPr="0069726A">
        <w:rPr>
          <w:rFonts w:eastAsia="SimSun"/>
          <w:sz w:val="20"/>
        </w:rPr>
        <w:t>号决议。</w:t>
      </w:r>
    </w:p>
  </w:footnote>
  <w:footnote w:id="306">
    <w:p w14:paraId="4FD99785"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Landrigan</w:t>
      </w:r>
      <w:r w:rsidRPr="0069726A">
        <w:rPr>
          <w:rFonts w:eastAsia="SimSun"/>
          <w:sz w:val="20"/>
        </w:rPr>
        <w:t>，</w:t>
      </w:r>
      <w:r w:rsidRPr="0069726A">
        <w:rPr>
          <w:rFonts w:eastAsia="SimSun"/>
          <w:sz w:val="20"/>
        </w:rPr>
        <w:t>Mindaroo-Monaco</w:t>
      </w:r>
      <w:r w:rsidRPr="0069726A">
        <w:rPr>
          <w:rFonts w:eastAsia="SimSun"/>
          <w:sz w:val="20"/>
        </w:rPr>
        <w:t>塑料和人类健康委员会。</w:t>
      </w:r>
    </w:p>
  </w:footnote>
  <w:footnote w:id="307">
    <w:p w14:paraId="69969CC9"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联合国粮食及农业组织、联合国环境规划署、世界卫生组织和世界动物卫生组织</w:t>
      </w:r>
      <w:r w:rsidRPr="0069726A">
        <w:rPr>
          <w:rFonts w:eastAsia="SimSun"/>
          <w:sz w:val="20"/>
        </w:rPr>
        <w:t xml:space="preserve"> </w:t>
      </w:r>
      <w:r w:rsidRPr="0069726A">
        <w:rPr>
          <w:rFonts w:eastAsia="SimSun"/>
          <w:sz w:val="20"/>
        </w:rPr>
        <w:t>《</w:t>
      </w:r>
      <w:r w:rsidRPr="0069726A">
        <w:rPr>
          <w:rFonts w:eastAsia="SimSun"/>
          <w:sz w:val="20"/>
        </w:rPr>
        <w:t>“</w:t>
      </w:r>
      <w:r w:rsidRPr="0069726A">
        <w:rPr>
          <w:rFonts w:eastAsia="SimSun"/>
          <w:sz w:val="20"/>
        </w:rPr>
        <w:t>同一健康</w:t>
      </w:r>
      <w:r w:rsidRPr="0069726A">
        <w:rPr>
          <w:rFonts w:eastAsia="SimSun"/>
          <w:sz w:val="20"/>
        </w:rPr>
        <w:t>”</w:t>
      </w:r>
      <w:r w:rsidRPr="0069726A">
        <w:rPr>
          <w:rFonts w:eastAsia="SimSun"/>
          <w:sz w:val="20"/>
        </w:rPr>
        <w:t>联合行动计划（</w:t>
      </w:r>
      <w:r w:rsidRPr="0069726A">
        <w:rPr>
          <w:rFonts w:eastAsia="SimSun"/>
          <w:sz w:val="20"/>
        </w:rPr>
        <w:t>2022-2026</w:t>
      </w:r>
      <w:r w:rsidRPr="0069726A">
        <w:rPr>
          <w:rFonts w:eastAsia="SimSun"/>
          <w:sz w:val="20"/>
        </w:rPr>
        <w:t>年）：共同努力促进人类、动物、植物和环境的健康》</w:t>
      </w:r>
      <w:r w:rsidRPr="0069726A">
        <w:rPr>
          <w:rFonts w:eastAsia="SimSun"/>
          <w:sz w:val="20"/>
        </w:rPr>
        <w:t>(2022</w:t>
      </w:r>
      <w:r w:rsidRPr="0069726A">
        <w:rPr>
          <w:rFonts w:eastAsia="SimSun"/>
          <w:sz w:val="20"/>
        </w:rPr>
        <w:t>，罗马</w:t>
      </w:r>
      <w:r w:rsidRPr="0069726A">
        <w:rPr>
          <w:rFonts w:eastAsia="SimSun"/>
          <w:sz w:val="20"/>
        </w:rPr>
        <w:t>)</w:t>
      </w:r>
      <w:r w:rsidRPr="0069726A">
        <w:rPr>
          <w:rFonts w:eastAsia="SimSun"/>
          <w:sz w:val="20"/>
        </w:rPr>
        <w:t>。</w:t>
      </w:r>
    </w:p>
  </w:footnote>
  <w:footnote w:id="308">
    <w:p w14:paraId="5209B232"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世界卫生组织，《联合国和其他联合国健康与环境指南简编》</w:t>
      </w:r>
      <w:r w:rsidRPr="0069726A">
        <w:rPr>
          <w:rFonts w:eastAsia="SimSun"/>
          <w:sz w:val="20"/>
        </w:rPr>
        <w:t>(2024</w:t>
      </w:r>
      <w:r w:rsidRPr="0069726A">
        <w:rPr>
          <w:rFonts w:eastAsia="SimSun"/>
          <w:sz w:val="20"/>
        </w:rPr>
        <w:t>，日内瓦</w:t>
      </w:r>
      <w:r w:rsidRPr="0069726A">
        <w:rPr>
          <w:rFonts w:eastAsia="SimSun"/>
          <w:sz w:val="20"/>
        </w:rPr>
        <w:t>)</w:t>
      </w:r>
      <w:r w:rsidRPr="0069726A">
        <w:rPr>
          <w:rFonts w:eastAsia="SimSun"/>
          <w:sz w:val="20"/>
        </w:rPr>
        <w:t>。</w:t>
      </w:r>
    </w:p>
  </w:footnote>
  <w:footnote w:id="309">
    <w:p w14:paraId="59060693"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世界卫生大会第</w:t>
      </w:r>
      <w:r w:rsidRPr="0069726A">
        <w:rPr>
          <w:rFonts w:eastAsia="SimSun"/>
          <w:sz w:val="20"/>
        </w:rPr>
        <w:t>76.17.</w:t>
      </w:r>
      <w:r w:rsidRPr="0069726A">
        <w:rPr>
          <w:rFonts w:eastAsia="SimSun"/>
          <w:sz w:val="20"/>
        </w:rPr>
        <w:t>号决议。</w:t>
      </w:r>
    </w:p>
  </w:footnote>
  <w:footnote w:id="310">
    <w:p w14:paraId="57370A25"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联合国环境规划署，《防范超级细菌：在</w:t>
      </w:r>
      <w:r w:rsidRPr="0069726A">
        <w:rPr>
          <w:rFonts w:eastAsia="SimSun"/>
          <w:sz w:val="20"/>
        </w:rPr>
        <w:t>“</w:t>
      </w:r>
      <w:r w:rsidRPr="0069726A">
        <w:rPr>
          <w:rFonts w:eastAsia="SimSun"/>
          <w:sz w:val="20"/>
        </w:rPr>
        <w:t>同一健康</w:t>
      </w:r>
      <w:r w:rsidRPr="0069726A">
        <w:rPr>
          <w:rFonts w:eastAsia="SimSun"/>
          <w:sz w:val="20"/>
        </w:rPr>
        <w:t>”</w:t>
      </w:r>
      <w:r w:rsidRPr="0069726A">
        <w:rPr>
          <w:rFonts w:eastAsia="SimSun"/>
          <w:sz w:val="20"/>
        </w:rPr>
        <w:t>抗微生物药物耐药性应对措施中加强环境行动》</w:t>
      </w:r>
      <w:r w:rsidRPr="0069726A">
        <w:rPr>
          <w:rFonts w:eastAsia="SimSun"/>
          <w:sz w:val="20"/>
        </w:rPr>
        <w:t>(2023</w:t>
      </w:r>
      <w:r w:rsidRPr="0069726A">
        <w:rPr>
          <w:rFonts w:eastAsia="SimSun"/>
          <w:sz w:val="20"/>
        </w:rPr>
        <w:t>，日内瓦</w:t>
      </w:r>
      <w:r w:rsidRPr="0069726A">
        <w:rPr>
          <w:rFonts w:eastAsia="SimSun"/>
          <w:sz w:val="20"/>
        </w:rPr>
        <w:t>)</w:t>
      </w:r>
      <w:r w:rsidRPr="0069726A">
        <w:rPr>
          <w:rFonts w:eastAsia="SimSun"/>
          <w:sz w:val="20"/>
        </w:rPr>
        <w:t>。</w:t>
      </w:r>
    </w:p>
  </w:footnote>
  <w:footnote w:id="311">
    <w:p w14:paraId="758D17FD"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世界卫生组织，《世卫组织和其他联合国健康与环境指南简编》。</w:t>
      </w:r>
    </w:p>
  </w:footnote>
  <w:footnote w:id="312">
    <w:p w14:paraId="40DE29FD" w14:textId="77777777" w:rsidR="00382AC2" w:rsidRPr="0069726A" w:rsidRDefault="00382AC2" w:rsidP="0069726A">
      <w:pPr>
        <w:pStyle w:val="FootnoteText"/>
        <w:spacing w:after="60"/>
        <w:rPr>
          <w:rFonts w:eastAsia="SimSun"/>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世界卫生组织，第七届环境与健康部长级会议报告，附件</w:t>
      </w:r>
      <w:r w:rsidRPr="0069726A">
        <w:rPr>
          <w:rFonts w:eastAsia="SimSun"/>
          <w:sz w:val="20"/>
        </w:rPr>
        <w:t>5 (</w:t>
      </w:r>
      <w:r w:rsidRPr="0069726A">
        <w:rPr>
          <w:rFonts w:eastAsia="SimSun"/>
          <w:sz w:val="20"/>
        </w:rPr>
        <w:t>布达佩斯宣言：加快行动，增强人类健康，建设繁荣的地球和可持续的未来</w:t>
      </w:r>
      <w:r w:rsidRPr="0069726A">
        <w:rPr>
          <w:rFonts w:eastAsia="SimSun"/>
          <w:sz w:val="20"/>
        </w:rPr>
        <w:t>)</w:t>
      </w:r>
      <w:r w:rsidRPr="0069726A">
        <w:rPr>
          <w:rFonts w:eastAsia="SimSun"/>
          <w:sz w:val="20"/>
        </w:rPr>
        <w:t>。</w:t>
      </w:r>
    </w:p>
  </w:footnote>
  <w:footnote w:id="313">
    <w:p w14:paraId="25FDAA1A"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人体生物监测直接测量人体体液（例如血液、尿液、母乳和唾液）和组织（例如头发、指甲和牙齿）中化学污染物或其代谢物的浓度（见世界卫生组织，</w:t>
      </w:r>
      <w:r w:rsidRPr="0069726A">
        <w:rPr>
          <w:rFonts w:eastAsia="SimSun"/>
          <w:sz w:val="20"/>
        </w:rPr>
        <w:t>“</w:t>
      </w:r>
      <w:r w:rsidRPr="0069726A">
        <w:rPr>
          <w:rFonts w:eastAsia="SimSun"/>
          <w:sz w:val="20"/>
        </w:rPr>
        <w:t>人体生物监测：评估对化学品及其健康风险的暴露程度</w:t>
      </w:r>
      <w:r w:rsidRPr="0069726A">
        <w:rPr>
          <w:rFonts w:eastAsia="SimSun"/>
          <w:sz w:val="20"/>
        </w:rPr>
        <w:t xml:space="preserve"> – </w:t>
      </w:r>
      <w:r w:rsidRPr="0069726A">
        <w:rPr>
          <w:rFonts w:eastAsia="SimSun"/>
          <w:sz w:val="20"/>
        </w:rPr>
        <w:t>决策者摘要</w:t>
      </w:r>
      <w:r w:rsidRPr="0069726A">
        <w:rPr>
          <w:rFonts w:eastAsia="SimSun"/>
          <w:sz w:val="20"/>
        </w:rPr>
        <w:t>”</w:t>
      </w:r>
      <w:r w:rsidRPr="0069726A">
        <w:rPr>
          <w:rFonts w:eastAsia="SimSun"/>
          <w:sz w:val="20"/>
        </w:rPr>
        <w:t>，</w:t>
      </w:r>
      <w:r w:rsidRPr="0069726A">
        <w:rPr>
          <w:rFonts w:eastAsia="SimSun"/>
          <w:sz w:val="20"/>
        </w:rPr>
        <w:t xml:space="preserve"> WHO/EURO:2023-7574-47341-69480</w:t>
      </w:r>
      <w:r w:rsidRPr="0069726A">
        <w:rPr>
          <w:rFonts w:eastAsia="SimSun"/>
          <w:sz w:val="20"/>
        </w:rPr>
        <w:t>号技术文件</w:t>
      </w:r>
      <w:r w:rsidRPr="0069726A">
        <w:rPr>
          <w:rFonts w:eastAsia="SimSun"/>
          <w:sz w:val="20"/>
        </w:rPr>
        <w:t xml:space="preserve"> </w:t>
      </w:r>
      <w:r w:rsidRPr="0069726A">
        <w:rPr>
          <w:rFonts w:eastAsia="SimSun"/>
          <w:sz w:val="20"/>
        </w:rPr>
        <w:t>（</w:t>
      </w:r>
      <w:r w:rsidRPr="0069726A">
        <w:rPr>
          <w:rFonts w:eastAsia="SimSun"/>
          <w:sz w:val="20"/>
        </w:rPr>
        <w:t>2023</w:t>
      </w:r>
      <w:r w:rsidRPr="0069726A">
        <w:rPr>
          <w:rFonts w:eastAsia="SimSun"/>
          <w:sz w:val="20"/>
        </w:rPr>
        <w:t>，日内瓦））。</w:t>
      </w:r>
    </w:p>
  </w:footnote>
  <w:footnote w:id="314">
    <w:p w14:paraId="0F735D19" w14:textId="77777777" w:rsidR="00382AC2" w:rsidRPr="0069726A" w:rsidRDefault="00382AC2" w:rsidP="0069726A">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世界卫生大会第</w:t>
      </w:r>
      <w:r w:rsidRPr="0069726A">
        <w:rPr>
          <w:rFonts w:eastAsia="SimSun"/>
          <w:sz w:val="20"/>
        </w:rPr>
        <w:t>76.17.</w:t>
      </w:r>
      <w:r w:rsidRPr="0069726A">
        <w:rPr>
          <w:rFonts w:eastAsia="SimSun"/>
          <w:sz w:val="20"/>
        </w:rPr>
        <w:t>号决议。</w:t>
      </w:r>
    </w:p>
  </w:footnote>
  <w:footnote w:id="315">
    <w:p w14:paraId="57C73DA8" w14:textId="77777777" w:rsidR="00382AC2" w:rsidRPr="009A375A" w:rsidRDefault="00382AC2" w:rsidP="0069726A">
      <w:pPr>
        <w:pStyle w:val="FootnoteText"/>
        <w:spacing w:after="60"/>
        <w:rPr>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改编自《生物多样性和生态系统服务全球评估报告》决策者摘要。</w:t>
      </w:r>
    </w:p>
  </w:footnote>
  <w:footnote w:id="316">
    <w:p w14:paraId="11952B01"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改编自《生物多样性和生态系统服务全球评估报告》决策者摘要。</w:t>
      </w:r>
    </w:p>
  </w:footnote>
  <w:footnote w:id="317">
    <w:p w14:paraId="229F7818"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改编自政府间气候变化专门委员会第二工作组《第六次评估报告：影响、适应和脆弱性》决策者摘要，</w:t>
      </w:r>
      <w:r w:rsidRPr="0069726A">
        <w:rPr>
          <w:rFonts w:eastAsia="SimSun"/>
          <w:sz w:val="20"/>
        </w:rPr>
        <w:t>2022</w:t>
      </w:r>
      <w:r w:rsidRPr="0069726A">
        <w:rPr>
          <w:rFonts w:eastAsia="SimSun"/>
          <w:sz w:val="20"/>
        </w:rPr>
        <w:t>，见</w:t>
      </w:r>
      <w:hyperlink r:id="rId135" w:history="1">
        <w:r w:rsidRPr="0069726A">
          <w:rPr>
            <w:rStyle w:val="Hyperlink"/>
            <w:rFonts w:eastAsia="SimSun"/>
            <w:sz w:val="20"/>
          </w:rPr>
          <w:t>www.ipcc.ch/report/ar6/wg2/</w:t>
        </w:r>
      </w:hyperlink>
      <w:r w:rsidRPr="0069726A">
        <w:rPr>
          <w:rFonts w:eastAsia="SimSun"/>
          <w:sz w:val="20"/>
        </w:rPr>
        <w:t>。</w:t>
      </w:r>
    </w:p>
  </w:footnote>
  <w:footnote w:id="318">
    <w:p w14:paraId="5ACEE312"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基于自然的解决方案指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69726A">
        <w:rPr>
          <w:rFonts w:eastAsia="SimSun"/>
          <w:sz w:val="20"/>
        </w:rPr>
        <w:t xml:space="preserve"> 5/5 </w:t>
      </w:r>
      <w:r w:rsidRPr="0069726A">
        <w:rPr>
          <w:rFonts w:eastAsia="SimSun"/>
          <w:sz w:val="20"/>
        </w:rPr>
        <w:t>号决议）。</w:t>
      </w:r>
    </w:p>
  </w:footnote>
  <w:footnote w:id="319">
    <w:p w14:paraId="4DEA05C6"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可互操作的信息一般指可跨领域和跨学科使用的信息，特别是可供人力、财力和技术资源有限的政府用来分开解决并发问题的信息。</w:t>
      </w:r>
    </w:p>
  </w:footnote>
  <w:footnote w:id="320">
    <w:p w14:paraId="25EC6DC6" w14:textId="115341B6"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科学、技术和工艺咨询附属机构第</w:t>
      </w:r>
      <w:hyperlink r:id="rId136" w:history="1">
        <w:r w:rsidRPr="0069726A">
          <w:rPr>
            <w:rStyle w:val="Hyperlink"/>
            <w:rFonts w:eastAsia="SimSun"/>
            <w:sz w:val="20"/>
          </w:rPr>
          <w:t>24/9</w:t>
        </w:r>
      </w:hyperlink>
      <w:r w:rsidRPr="0069726A">
        <w:rPr>
          <w:rFonts w:eastAsia="SimSun"/>
          <w:sz w:val="20"/>
        </w:rPr>
        <w:t>号建议。</w:t>
      </w:r>
    </w:p>
  </w:footnote>
  <w:footnote w:id="321">
    <w:p w14:paraId="7A3C0D88"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改编自世界卫生组织《将生物多样性纳入营养和健康主流的指南》</w:t>
      </w:r>
      <w:r w:rsidRPr="0069726A">
        <w:rPr>
          <w:rFonts w:eastAsia="SimSun"/>
          <w:sz w:val="20"/>
        </w:rPr>
        <w:t>(2020</w:t>
      </w:r>
      <w:r w:rsidRPr="0069726A">
        <w:rPr>
          <w:rFonts w:eastAsia="SimSun"/>
          <w:sz w:val="20"/>
        </w:rPr>
        <w:t>，日内瓦</w:t>
      </w:r>
      <w:r w:rsidRPr="0069726A">
        <w:rPr>
          <w:rFonts w:eastAsia="SimSun"/>
          <w:sz w:val="20"/>
        </w:rPr>
        <w:t>)</w:t>
      </w:r>
      <w:r w:rsidRPr="0069726A">
        <w:rPr>
          <w:rFonts w:eastAsia="SimSun"/>
          <w:sz w:val="20"/>
        </w:rPr>
        <w:t>。</w:t>
      </w:r>
    </w:p>
  </w:footnote>
  <w:footnote w:id="322">
    <w:p w14:paraId="6CE01AFB"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同上。</w:t>
      </w:r>
    </w:p>
  </w:footnote>
  <w:footnote w:id="323">
    <w:p w14:paraId="6C7803B2"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改编自联合国粮农组织《生物多样性与营养：共同的道路》</w:t>
      </w:r>
      <w:r w:rsidRPr="0069726A">
        <w:rPr>
          <w:rFonts w:eastAsia="SimSun"/>
          <w:sz w:val="20"/>
        </w:rPr>
        <w:t>(</w:t>
      </w:r>
      <w:r w:rsidRPr="0069726A">
        <w:rPr>
          <w:rFonts w:eastAsia="SimSun"/>
          <w:sz w:val="20"/>
        </w:rPr>
        <w:t>罗马</w:t>
      </w:r>
      <w:r w:rsidRPr="0069726A">
        <w:rPr>
          <w:rFonts w:eastAsia="SimSun"/>
          <w:sz w:val="20"/>
        </w:rPr>
        <w:t>)</w:t>
      </w:r>
    </w:p>
  </w:footnote>
  <w:footnote w:id="324">
    <w:p w14:paraId="5332AEE3"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改编自联合国粮食及农业组织粮食和农业遗传资源委员会《世界粮食和农业生物多样性状况》</w:t>
      </w:r>
      <w:r w:rsidRPr="0069726A">
        <w:rPr>
          <w:rFonts w:eastAsia="SimSun"/>
          <w:sz w:val="20"/>
        </w:rPr>
        <w:t>(2019</w:t>
      </w:r>
      <w:r w:rsidRPr="0069726A">
        <w:rPr>
          <w:rFonts w:eastAsia="SimSun"/>
          <w:sz w:val="20"/>
        </w:rPr>
        <w:t>，罗马</w:t>
      </w:r>
      <w:r w:rsidRPr="0069726A">
        <w:rPr>
          <w:rFonts w:eastAsia="SimSun"/>
          <w:sz w:val="20"/>
        </w:rPr>
        <w:t>)</w:t>
      </w:r>
      <w:r w:rsidRPr="0069726A">
        <w:rPr>
          <w:rFonts w:eastAsia="SimSun"/>
          <w:sz w:val="20"/>
        </w:rPr>
        <w:t>。</w:t>
      </w:r>
    </w:p>
  </w:footnote>
  <w:footnote w:id="325">
    <w:p w14:paraId="5A6C119B"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改编自联合国粮食及农业组织粮食和农业遗传资源委员会《粮食和农业生物多样性行动框架》</w:t>
      </w:r>
      <w:r w:rsidRPr="0069726A">
        <w:rPr>
          <w:rFonts w:eastAsia="SimSun"/>
          <w:sz w:val="20"/>
        </w:rPr>
        <w:t>(2022</w:t>
      </w:r>
      <w:r w:rsidRPr="0069726A">
        <w:rPr>
          <w:rFonts w:eastAsia="SimSun"/>
          <w:sz w:val="20"/>
        </w:rPr>
        <w:t>，罗马</w:t>
      </w:r>
      <w:r w:rsidRPr="0069726A">
        <w:rPr>
          <w:rFonts w:eastAsia="SimSun"/>
          <w:sz w:val="20"/>
        </w:rPr>
        <w:t>)</w:t>
      </w:r>
      <w:r w:rsidRPr="0069726A">
        <w:rPr>
          <w:rFonts w:eastAsia="SimSun"/>
          <w:sz w:val="20"/>
        </w:rPr>
        <w:t>。</w:t>
      </w:r>
    </w:p>
  </w:footnote>
  <w:footnote w:id="326">
    <w:p w14:paraId="7EEC4AA9" w14:textId="77777777" w:rsidR="00382AC2" w:rsidRPr="00651D43" w:rsidRDefault="00382AC2" w:rsidP="00382AC2">
      <w:pPr>
        <w:pStyle w:val="FootnoteText"/>
        <w:spacing w:after="60"/>
        <w:rPr>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世界动物卫生组织，《全球动物福利战略》</w:t>
      </w:r>
      <w:r w:rsidRPr="0069726A">
        <w:rPr>
          <w:rFonts w:eastAsia="SimSun"/>
          <w:sz w:val="20"/>
        </w:rPr>
        <w:t>(2017</w:t>
      </w:r>
      <w:r w:rsidRPr="0069726A">
        <w:rPr>
          <w:rFonts w:eastAsia="SimSun"/>
          <w:sz w:val="20"/>
        </w:rPr>
        <w:t>，巴黎</w:t>
      </w:r>
      <w:r w:rsidRPr="0069726A">
        <w:rPr>
          <w:rFonts w:eastAsia="SimSun"/>
          <w:sz w:val="20"/>
        </w:rPr>
        <w:t>)</w:t>
      </w:r>
      <w:r w:rsidRPr="0069726A">
        <w:rPr>
          <w:rFonts w:eastAsia="SimSun"/>
          <w:sz w:val="20"/>
        </w:rPr>
        <w:t>。</w:t>
      </w:r>
    </w:p>
  </w:footnote>
  <w:footnote w:id="327">
    <w:p w14:paraId="49F9300D" w14:textId="77777777" w:rsidR="00382AC2" w:rsidRPr="0069726A" w:rsidRDefault="00382AC2" w:rsidP="00382AC2">
      <w:pPr>
        <w:pStyle w:val="FootnoteText"/>
        <w:spacing w:after="60"/>
        <w:rPr>
          <w:rFonts w:eastAsia="SimSun"/>
          <w:sz w:val="20"/>
          <w:lang w:val="es-ES"/>
        </w:rPr>
      </w:pPr>
      <w:r w:rsidRPr="0069726A">
        <w:rPr>
          <w:rStyle w:val="FootnoteReference"/>
          <w:rFonts w:eastAsia="SimSun"/>
          <w:sz w:val="20"/>
        </w:rPr>
        <w:footnoteRef/>
      </w:r>
      <w:r w:rsidRPr="0069726A">
        <w:rPr>
          <w:rFonts w:eastAsia="SimSun"/>
          <w:sz w:val="20"/>
          <w:lang w:val="it-IT"/>
        </w:rPr>
        <w:t xml:space="preserve">  </w:t>
      </w:r>
      <w:r w:rsidRPr="0069726A">
        <w:rPr>
          <w:rFonts w:eastAsia="SimSun"/>
          <w:sz w:val="20"/>
          <w:lang w:val="it-IT"/>
        </w:rPr>
        <w:t>见</w:t>
      </w:r>
      <w:r w:rsidRPr="0069726A">
        <w:rPr>
          <w:rFonts w:eastAsia="SimSun"/>
          <w:sz w:val="20"/>
          <w:lang w:val="it-IT"/>
        </w:rPr>
        <w:t>E/C.19/2023/5</w:t>
      </w:r>
      <w:r w:rsidRPr="0069726A">
        <w:rPr>
          <w:rFonts w:eastAsia="SimSun"/>
          <w:sz w:val="20"/>
        </w:rPr>
        <w:t>。</w:t>
      </w:r>
    </w:p>
  </w:footnote>
  <w:footnote w:id="328">
    <w:p w14:paraId="77B549E5" w14:textId="77777777" w:rsidR="00382AC2" w:rsidRPr="0069726A" w:rsidRDefault="00382AC2" w:rsidP="00382AC2">
      <w:pPr>
        <w:pStyle w:val="FootnoteText"/>
        <w:spacing w:after="60"/>
        <w:rPr>
          <w:rFonts w:eastAsia="SimSun"/>
          <w:sz w:val="20"/>
          <w:lang w:val="es-ES"/>
        </w:rPr>
      </w:pPr>
      <w:r w:rsidRPr="0069726A">
        <w:rPr>
          <w:rStyle w:val="FootnoteReference"/>
          <w:rFonts w:eastAsia="SimSun"/>
          <w:sz w:val="20"/>
        </w:rPr>
        <w:footnoteRef/>
      </w:r>
      <w:r w:rsidRPr="0069726A">
        <w:rPr>
          <w:rFonts w:eastAsia="SimSun"/>
          <w:sz w:val="20"/>
          <w:lang w:val="it-IT"/>
        </w:rPr>
        <w:t xml:space="preserve">  </w:t>
      </w:r>
      <w:r w:rsidRPr="0069726A">
        <w:rPr>
          <w:rFonts w:eastAsia="SimSun"/>
          <w:sz w:val="20"/>
        </w:rPr>
        <w:t>国际农业研究协商组织</w:t>
      </w:r>
      <w:r w:rsidRPr="0069726A">
        <w:rPr>
          <w:rFonts w:eastAsia="SimSun"/>
          <w:sz w:val="20"/>
          <w:lang w:val="it-IT"/>
        </w:rPr>
        <w:t>，</w:t>
      </w:r>
      <w:r w:rsidRPr="0069726A">
        <w:rPr>
          <w:rFonts w:eastAsia="SimSun"/>
          <w:sz w:val="20"/>
        </w:rPr>
        <w:t>环境健康和生物多样性倡议</w:t>
      </w:r>
      <w:r w:rsidRPr="0069726A">
        <w:rPr>
          <w:rFonts w:eastAsia="SimSun"/>
          <w:sz w:val="20"/>
          <w:lang w:val="it-IT"/>
        </w:rPr>
        <w:t>，</w:t>
      </w:r>
      <w:r w:rsidRPr="0069726A">
        <w:rPr>
          <w:rFonts w:eastAsia="SimSun"/>
          <w:sz w:val="20"/>
        </w:rPr>
        <w:t>见</w:t>
      </w:r>
      <w:hyperlink r:id="rId137">
        <w:r w:rsidRPr="0069726A">
          <w:rPr>
            <w:rStyle w:val="Hyperlink"/>
            <w:rFonts w:eastAsia="SimSun"/>
            <w:color w:val="0000FF"/>
            <w:sz w:val="20"/>
            <w:lang w:val="it-IT"/>
          </w:rPr>
          <w:t>www.cgiar.org/research/cgiar-portfolio/environmental-health-biodiversity/</w:t>
        </w:r>
      </w:hyperlink>
      <w:r w:rsidRPr="0069726A">
        <w:rPr>
          <w:rFonts w:eastAsia="SimSun"/>
          <w:sz w:val="20"/>
        </w:rPr>
        <w:t>。</w:t>
      </w:r>
    </w:p>
  </w:footnote>
  <w:footnote w:id="329">
    <w:p w14:paraId="00E0DAF8" w14:textId="77777777" w:rsidR="00382AC2" w:rsidRPr="0069726A" w:rsidRDefault="00382AC2" w:rsidP="00382AC2">
      <w:pPr>
        <w:pStyle w:val="FootnoteText"/>
        <w:spacing w:after="60"/>
        <w:rPr>
          <w:rFonts w:eastAsia="SimSun"/>
          <w:sz w:val="20"/>
          <w:lang w:val="es-ES"/>
        </w:rPr>
      </w:pPr>
      <w:r w:rsidRPr="0069726A">
        <w:rPr>
          <w:rStyle w:val="FootnoteReference"/>
          <w:rFonts w:eastAsia="SimSun"/>
          <w:sz w:val="20"/>
        </w:rPr>
        <w:footnoteRef/>
      </w:r>
      <w:r w:rsidRPr="0069726A">
        <w:rPr>
          <w:rFonts w:eastAsia="SimSun"/>
          <w:sz w:val="20"/>
          <w:lang w:val="es-ES"/>
        </w:rPr>
        <w:t xml:space="preserve">  </w:t>
      </w:r>
      <w:r w:rsidRPr="0069726A">
        <w:rPr>
          <w:rFonts w:eastAsia="SimSun"/>
          <w:sz w:val="20"/>
          <w:lang w:val="es-ES"/>
        </w:rPr>
        <w:t>见《生物多样性和生态系统服务全球评估报告》，第</w:t>
      </w:r>
      <w:r w:rsidRPr="0069726A">
        <w:rPr>
          <w:rFonts w:eastAsia="SimSun"/>
          <w:sz w:val="20"/>
          <w:lang w:val="es-ES"/>
        </w:rPr>
        <w:t>318</w:t>
      </w:r>
      <w:r w:rsidRPr="0069726A">
        <w:rPr>
          <w:rFonts w:eastAsia="SimSun"/>
          <w:sz w:val="20"/>
          <w:lang w:val="es-ES"/>
        </w:rPr>
        <w:t>页，表</w:t>
      </w:r>
      <w:r w:rsidRPr="0069726A">
        <w:rPr>
          <w:rFonts w:eastAsia="SimSun"/>
          <w:sz w:val="20"/>
          <w:lang w:val="es-ES"/>
        </w:rPr>
        <w:t>231</w:t>
      </w:r>
      <w:r w:rsidRPr="0069726A">
        <w:rPr>
          <w:rFonts w:eastAsia="SimSun"/>
          <w:sz w:val="20"/>
          <w:lang w:val="es-ES"/>
        </w:rPr>
        <w:t>。</w:t>
      </w:r>
    </w:p>
  </w:footnote>
  <w:footnote w:id="330">
    <w:p w14:paraId="4D3D0A79" w14:textId="77777777" w:rsidR="00382AC2" w:rsidRPr="007751D3" w:rsidRDefault="00382AC2" w:rsidP="00382AC2">
      <w:pPr>
        <w:pStyle w:val="FootnoteText"/>
        <w:spacing w:after="60"/>
        <w:rPr>
          <w:lang w:val="es-ES"/>
        </w:rPr>
      </w:pPr>
      <w:r w:rsidRPr="0069726A">
        <w:rPr>
          <w:rStyle w:val="FootnoteReference"/>
          <w:rFonts w:eastAsia="SimSun"/>
          <w:sz w:val="20"/>
        </w:rPr>
        <w:footnoteRef/>
      </w:r>
      <w:r w:rsidRPr="0069726A">
        <w:rPr>
          <w:rFonts w:eastAsia="SimSun"/>
          <w:sz w:val="20"/>
          <w:lang w:val="it-IT"/>
        </w:rPr>
        <w:t xml:space="preserve">  </w:t>
      </w:r>
      <w:r w:rsidRPr="0069726A">
        <w:rPr>
          <w:rFonts w:eastAsia="SimSun"/>
          <w:sz w:val="20"/>
        </w:rPr>
        <w:t>贡献清单改编自《生物多样性和生态系统服务全球评估报告》决策者摘要</w:t>
      </w:r>
      <w:r w:rsidRPr="0069726A">
        <w:rPr>
          <w:rFonts w:eastAsia="SimSun"/>
          <w:sz w:val="20"/>
          <w:lang w:val="it-IT"/>
        </w:rPr>
        <w:t>。</w:t>
      </w:r>
    </w:p>
  </w:footnote>
  <w:footnote w:id="331">
    <w:p w14:paraId="39C7AE82"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第</w:t>
      </w:r>
      <w:hyperlink r:id="rId138" w:history="1">
        <w:r w:rsidRPr="0069726A">
          <w:rPr>
            <w:rStyle w:val="Hyperlink"/>
            <w:rFonts w:eastAsia="SimSun"/>
            <w:sz w:val="20"/>
          </w:rPr>
          <w:t>15/29</w:t>
        </w:r>
      </w:hyperlink>
      <w:r w:rsidRPr="0069726A">
        <w:rPr>
          <w:rFonts w:eastAsia="SimSun"/>
          <w:sz w:val="20"/>
        </w:rPr>
        <w:t>号决定。</w:t>
      </w:r>
    </w:p>
  </w:footnote>
  <w:footnote w:id="332">
    <w:p w14:paraId="3C7E7B68" w14:textId="77777777" w:rsidR="00382AC2" w:rsidRPr="0052774B" w:rsidRDefault="00382AC2" w:rsidP="00382AC2">
      <w:pPr>
        <w:pStyle w:val="FootnoteText"/>
        <w:spacing w:after="60"/>
      </w:pPr>
      <w:r w:rsidRPr="0069726A">
        <w:rPr>
          <w:rStyle w:val="FootnoteReference"/>
          <w:rFonts w:eastAsia="SimSun"/>
          <w:sz w:val="20"/>
        </w:rPr>
        <w:footnoteRef/>
      </w:r>
      <w:r w:rsidRPr="0069726A">
        <w:rPr>
          <w:rFonts w:eastAsia="SimSun"/>
          <w:sz w:val="20"/>
        </w:rPr>
        <w:t xml:space="preserve">  </w:t>
      </w:r>
      <w:r w:rsidRPr="0069726A">
        <w:rPr>
          <w:rFonts w:eastAsia="SimSun"/>
          <w:sz w:val="20"/>
        </w:rPr>
        <w:t>联合国，《条约汇编》，第</w:t>
      </w:r>
      <w:r w:rsidRPr="0069726A">
        <w:rPr>
          <w:rFonts w:eastAsia="SimSun"/>
          <w:sz w:val="20"/>
        </w:rPr>
        <w:t>3008</w:t>
      </w:r>
      <w:r w:rsidRPr="0069726A">
        <w:rPr>
          <w:rFonts w:eastAsia="SimSun"/>
          <w:sz w:val="20"/>
        </w:rPr>
        <w:t>卷，第</w:t>
      </w:r>
      <w:r w:rsidRPr="0069726A">
        <w:rPr>
          <w:rFonts w:eastAsia="SimSun"/>
          <w:sz w:val="20"/>
        </w:rPr>
        <w:t>30619</w:t>
      </w:r>
      <w:r w:rsidRPr="0069726A">
        <w:rPr>
          <w:rFonts w:eastAsia="SimSun"/>
          <w:sz w:val="20"/>
        </w:rPr>
        <w:t>号。</w:t>
      </w:r>
    </w:p>
  </w:footnote>
  <w:footnote w:id="333">
    <w:p w14:paraId="5B5117E0"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企业可持续投资的环境、社会治理考虑因素和标准。</w:t>
      </w:r>
    </w:p>
  </w:footnote>
  <w:footnote w:id="334">
    <w:p w14:paraId="510DD712"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w:t>
      </w:r>
      <w:r w:rsidRPr="0069726A">
        <w:rPr>
          <w:rFonts w:eastAsia="SimSun"/>
          <w:sz w:val="20"/>
        </w:rPr>
        <w:t>Patricia Balvanera</w:t>
      </w:r>
      <w:r w:rsidRPr="0069726A">
        <w:rPr>
          <w:rFonts w:eastAsia="SimSun"/>
          <w:sz w:val="20"/>
        </w:rPr>
        <w:t>等（编），《自然的多重价值和估值方法评估报告》</w:t>
      </w:r>
      <w:r w:rsidRPr="0069726A">
        <w:rPr>
          <w:rFonts w:eastAsia="SimSun"/>
          <w:sz w:val="20"/>
        </w:rPr>
        <w:t>(</w:t>
      </w:r>
      <w:r w:rsidRPr="0069726A">
        <w:rPr>
          <w:rFonts w:eastAsia="SimSun"/>
          <w:sz w:val="20"/>
        </w:rPr>
        <w:t>生物多样性和生态系统服务政府间科学与政策平台，</w:t>
      </w:r>
      <w:r w:rsidRPr="0069726A">
        <w:rPr>
          <w:rFonts w:eastAsia="SimSun"/>
          <w:sz w:val="20"/>
        </w:rPr>
        <w:t>2022</w:t>
      </w:r>
      <w:r w:rsidRPr="0069726A">
        <w:rPr>
          <w:rFonts w:eastAsia="SimSun"/>
          <w:sz w:val="20"/>
        </w:rPr>
        <w:t>，波恩</w:t>
      </w:r>
      <w:r w:rsidRPr="0069726A">
        <w:rPr>
          <w:rFonts w:eastAsia="SimSun"/>
          <w:sz w:val="20"/>
        </w:rPr>
        <w:t>)</w:t>
      </w:r>
      <w:r w:rsidRPr="0069726A">
        <w:rPr>
          <w:rFonts w:eastAsia="SimSun"/>
          <w:sz w:val="20"/>
        </w:rPr>
        <w:t>。</w:t>
      </w:r>
    </w:p>
  </w:footnote>
  <w:footnote w:id="335">
    <w:p w14:paraId="1B00C08E"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改编自世界卫生组织，《健康、环境和气候变化全球战略》，</w:t>
      </w:r>
      <w:r w:rsidRPr="0069726A">
        <w:rPr>
          <w:rFonts w:eastAsia="SimSun"/>
          <w:sz w:val="20"/>
        </w:rPr>
        <w:t>(2020</w:t>
      </w:r>
      <w:r w:rsidRPr="0069726A">
        <w:rPr>
          <w:rFonts w:eastAsia="SimSun"/>
          <w:sz w:val="20"/>
        </w:rPr>
        <w:t>，日内瓦</w:t>
      </w:r>
      <w:r w:rsidRPr="0069726A">
        <w:rPr>
          <w:rFonts w:eastAsia="SimSun"/>
          <w:sz w:val="20"/>
        </w:rPr>
        <w:t>)</w:t>
      </w:r>
      <w:r w:rsidRPr="0069726A">
        <w:rPr>
          <w:rFonts w:eastAsia="SimSun"/>
          <w:sz w:val="20"/>
        </w:rPr>
        <w:t>。</w:t>
      </w:r>
    </w:p>
  </w:footnote>
  <w:footnote w:id="336">
    <w:p w14:paraId="06E7DA76" w14:textId="77777777" w:rsidR="00382AC2" w:rsidRPr="0069726A" w:rsidRDefault="00382AC2" w:rsidP="00382AC2">
      <w:pPr>
        <w:pStyle w:val="FootnoteText"/>
        <w:spacing w:after="60"/>
        <w:rPr>
          <w:rFonts w:eastAsia="SimSun"/>
          <w:sz w:val="20"/>
        </w:rPr>
      </w:pPr>
      <w:r w:rsidRPr="0069726A">
        <w:rPr>
          <w:rStyle w:val="FootnoteReference"/>
          <w:rFonts w:eastAsia="SimSun"/>
          <w:sz w:val="20"/>
        </w:rPr>
        <w:footnoteRef/>
      </w:r>
      <w:r w:rsidRPr="0069726A">
        <w:rPr>
          <w:rFonts w:eastAsia="SimSun"/>
          <w:sz w:val="20"/>
        </w:rPr>
        <w:t xml:space="preserve">  </w:t>
      </w:r>
      <w:r w:rsidRPr="0069726A">
        <w:rPr>
          <w:rFonts w:eastAsia="SimSun"/>
          <w:sz w:val="20"/>
        </w:rPr>
        <w:t>根据缔约方大会以前关于主流化的决定，这些部门可包括农业、林业、渔业、水产养殖业、旅游业、卫生、基础设施、能源和采矿、制造业、加工业和金融。</w:t>
      </w:r>
    </w:p>
  </w:footnote>
  <w:footnote w:id="337">
    <w:p w14:paraId="07B4904D" w14:textId="77777777" w:rsidR="00382AC2" w:rsidRDefault="00382AC2" w:rsidP="00382AC2">
      <w:pPr>
        <w:pStyle w:val="FootnoteText"/>
        <w:spacing w:after="60"/>
      </w:pPr>
      <w:r w:rsidRPr="0069726A">
        <w:rPr>
          <w:rStyle w:val="FootnoteReference"/>
          <w:rFonts w:eastAsia="SimSun"/>
          <w:sz w:val="20"/>
        </w:rPr>
        <w:footnoteRef/>
      </w:r>
      <w:r w:rsidRPr="0069726A">
        <w:rPr>
          <w:rFonts w:eastAsia="SimSun"/>
          <w:sz w:val="20"/>
        </w:rPr>
        <w:t xml:space="preserve">  </w:t>
      </w:r>
      <w:r w:rsidRPr="0069726A">
        <w:rPr>
          <w:rFonts w:eastAsia="SimSun"/>
          <w:sz w:val="20"/>
        </w:rPr>
        <w:t>第</w:t>
      </w:r>
      <w:hyperlink r:id="rId139" w:history="1">
        <w:r w:rsidRPr="0069726A">
          <w:rPr>
            <w:rStyle w:val="Hyperlink"/>
            <w:rFonts w:eastAsia="SimSun"/>
            <w:sz w:val="20"/>
          </w:rPr>
          <w:t>XIII/6</w:t>
        </w:r>
      </w:hyperlink>
      <w:r w:rsidRPr="0069726A">
        <w:rPr>
          <w:rFonts w:eastAsia="SimSun"/>
          <w:sz w:val="20"/>
        </w:rPr>
        <w:t>号决定。</w:t>
      </w:r>
    </w:p>
  </w:footnote>
  <w:footnote w:id="338">
    <w:p w14:paraId="35108CA0" w14:textId="77777777" w:rsidR="00382AC2" w:rsidRPr="00015C29" w:rsidRDefault="00382AC2" w:rsidP="00382AC2">
      <w:pPr>
        <w:pStyle w:val="FootnoteText"/>
        <w:rPr>
          <w:sz w:val="20"/>
        </w:rPr>
      </w:pPr>
      <w:r w:rsidRPr="00015C29">
        <w:rPr>
          <w:rStyle w:val="FootnoteReference"/>
          <w:sz w:val="20"/>
        </w:rPr>
        <w:footnoteRef/>
      </w:r>
      <w:r w:rsidRPr="00015C29">
        <w:rPr>
          <w:sz w:val="20"/>
        </w:rPr>
        <w:t xml:space="preserve"> </w:t>
      </w:r>
      <w:r w:rsidRPr="00015C29">
        <w:rPr>
          <w:rFonts w:hint="eastAsia"/>
          <w:sz w:val="20"/>
        </w:rPr>
        <w:t xml:space="preserve"> </w:t>
      </w:r>
      <w:r w:rsidRPr="0069726A">
        <w:rPr>
          <w:rFonts w:eastAsia="SimSun"/>
          <w:sz w:val="20"/>
        </w:rPr>
        <w:t>第</w:t>
      </w:r>
      <w:hyperlink r:id="rId140" w:history="1">
        <w:r w:rsidRPr="0069726A">
          <w:rPr>
            <w:rStyle w:val="Hyperlink"/>
            <w:rFonts w:eastAsia="SimSun"/>
            <w:sz w:val="20"/>
          </w:rPr>
          <w:t>15/11</w:t>
        </w:r>
      </w:hyperlink>
      <w:r w:rsidRPr="0069726A">
        <w:rPr>
          <w:rFonts w:eastAsia="SimSun"/>
          <w:sz w:val="20"/>
        </w:rPr>
        <w:t>号决定，附件。</w:t>
      </w:r>
    </w:p>
  </w:footnote>
  <w:footnote w:id="339">
    <w:p w14:paraId="037AB826" w14:textId="77777777" w:rsidR="00382AC2" w:rsidRPr="004E39CD" w:rsidRDefault="00382AC2" w:rsidP="00382AC2">
      <w:pPr>
        <w:pStyle w:val="FootnoteText"/>
        <w:spacing w:after="60"/>
        <w:rPr>
          <w:rFonts w:eastAsia="SimSun"/>
          <w:sz w:val="20"/>
        </w:rPr>
      </w:pPr>
      <w:r w:rsidRPr="004E39CD">
        <w:rPr>
          <w:rFonts w:eastAsia="SimSun"/>
          <w:sz w:val="20"/>
          <w:vertAlign w:val="superscript"/>
        </w:rPr>
        <w:footnoteRef/>
      </w:r>
      <w:r w:rsidRPr="004E39CD">
        <w:rPr>
          <w:rFonts w:eastAsia="SimSun"/>
          <w:sz w:val="20"/>
        </w:rPr>
        <w:t xml:space="preserve">  </w:t>
      </w:r>
      <w:r w:rsidRPr="004E39CD">
        <w:rPr>
          <w:rFonts w:eastAsia="SimSun"/>
          <w:sz w:val="20"/>
        </w:rPr>
        <w:t>第</w:t>
      </w:r>
      <w:hyperlink r:id="rId141" w:history="1">
        <w:r w:rsidRPr="004E39CD">
          <w:rPr>
            <w:rStyle w:val="Hyperlink"/>
            <w:rFonts w:eastAsia="SimSun"/>
            <w:sz w:val="20"/>
          </w:rPr>
          <w:t>VI/9</w:t>
        </w:r>
      </w:hyperlink>
      <w:r w:rsidRPr="004E39CD">
        <w:rPr>
          <w:rFonts w:eastAsia="SimSun"/>
          <w:sz w:val="20"/>
        </w:rPr>
        <w:t>号决定，附件，经第</w:t>
      </w:r>
      <w:hyperlink r:id="rId142" w:history="1">
        <w:r w:rsidRPr="004E39CD">
          <w:rPr>
            <w:rStyle w:val="Hyperlink"/>
            <w:rFonts w:eastAsia="SimSun"/>
            <w:sz w:val="20"/>
          </w:rPr>
          <w:t>X/17</w:t>
        </w:r>
      </w:hyperlink>
      <w:r w:rsidRPr="004E39CD">
        <w:rPr>
          <w:rFonts w:eastAsia="SimSun"/>
          <w:sz w:val="20"/>
        </w:rPr>
        <w:t>号决定更新。</w:t>
      </w:r>
    </w:p>
  </w:footnote>
  <w:footnote w:id="340">
    <w:p w14:paraId="15F745FA" w14:textId="77777777" w:rsidR="00382AC2" w:rsidRPr="00382AC2" w:rsidRDefault="00382AC2" w:rsidP="00382AC2">
      <w:pPr>
        <w:pStyle w:val="FootnoteText"/>
        <w:spacing w:after="60"/>
      </w:pPr>
      <w:r w:rsidRPr="004E39CD">
        <w:rPr>
          <w:rStyle w:val="FootnoteReference"/>
          <w:rFonts w:eastAsia="SimSun"/>
          <w:sz w:val="20"/>
        </w:rPr>
        <w:footnoteRef/>
      </w:r>
      <w:r w:rsidRPr="004E39CD">
        <w:rPr>
          <w:rFonts w:eastAsia="SimSun"/>
          <w:sz w:val="20"/>
        </w:rPr>
        <w:t xml:space="preserve">  </w:t>
      </w:r>
      <w:r w:rsidRPr="004E39CD">
        <w:rPr>
          <w:rFonts w:eastAsia="SimSun"/>
          <w:sz w:val="20"/>
        </w:rPr>
        <w:t>第</w:t>
      </w:r>
      <w:hyperlink r:id="rId143" w:history="1">
        <w:r w:rsidRPr="004E39CD">
          <w:rPr>
            <w:rStyle w:val="Hyperlink"/>
            <w:rFonts w:eastAsia="SimSun"/>
            <w:sz w:val="20"/>
          </w:rPr>
          <w:t>15/4</w:t>
        </w:r>
      </w:hyperlink>
      <w:r w:rsidRPr="004E39CD">
        <w:rPr>
          <w:rFonts w:eastAsia="SimSun"/>
          <w:sz w:val="20"/>
        </w:rPr>
        <w:t>号决定，附件。</w:t>
      </w:r>
    </w:p>
  </w:footnote>
  <w:footnote w:id="341">
    <w:p w14:paraId="4A4435D3" w14:textId="77777777" w:rsidR="00382AC2" w:rsidRPr="004E39CD" w:rsidRDefault="00382AC2" w:rsidP="00382AC2">
      <w:pPr>
        <w:pStyle w:val="FootnoteText"/>
        <w:rPr>
          <w:rFonts w:eastAsia="SimSun"/>
          <w:sz w:val="20"/>
        </w:rPr>
      </w:pPr>
      <w:r w:rsidRPr="004E39CD">
        <w:rPr>
          <w:rStyle w:val="FootnoteReference"/>
          <w:rFonts w:eastAsia="SimSun"/>
          <w:sz w:val="20"/>
        </w:rPr>
        <w:footnoteRef/>
      </w:r>
      <w:r w:rsidRPr="004E39CD">
        <w:rPr>
          <w:rFonts w:eastAsia="SimSun"/>
          <w:sz w:val="20"/>
        </w:rPr>
        <w:t xml:space="preserve">  </w:t>
      </w:r>
      <w:r w:rsidRPr="004E39CD">
        <w:rPr>
          <w:rFonts w:eastAsia="SimSun"/>
          <w:sz w:val="20"/>
        </w:rPr>
        <w:t>联合国，《条约汇编》，第</w:t>
      </w:r>
      <w:r w:rsidRPr="004E39CD">
        <w:rPr>
          <w:rFonts w:eastAsia="SimSun"/>
          <w:sz w:val="20"/>
        </w:rPr>
        <w:t>1760</w:t>
      </w:r>
      <w:r w:rsidRPr="004E39CD">
        <w:rPr>
          <w:rFonts w:eastAsia="SimSun"/>
          <w:sz w:val="20"/>
        </w:rPr>
        <w:t>卷，第</w:t>
      </w:r>
      <w:r w:rsidRPr="004E39CD">
        <w:rPr>
          <w:rFonts w:eastAsia="SimSun"/>
          <w:sz w:val="20"/>
        </w:rPr>
        <w:t>30619</w:t>
      </w:r>
      <w:r w:rsidRPr="004E39CD">
        <w:rPr>
          <w:rFonts w:eastAsia="SimSun"/>
          <w:sz w:val="20"/>
        </w:rPr>
        <w:t>号。</w:t>
      </w:r>
    </w:p>
  </w:footnote>
  <w:footnote w:id="342">
    <w:p w14:paraId="35D1CDB9" w14:textId="7B3F38B8" w:rsidR="00382AC2" w:rsidRPr="003D4E7F" w:rsidRDefault="00382AC2" w:rsidP="00382AC2">
      <w:pPr>
        <w:pStyle w:val="FootnoteText"/>
        <w:rPr>
          <w:spacing w:val="-10"/>
          <w:sz w:val="20"/>
        </w:rPr>
      </w:pPr>
      <w:r w:rsidRPr="004E39CD">
        <w:rPr>
          <w:rStyle w:val="FootnoteReference"/>
          <w:rFonts w:eastAsia="SimSun"/>
          <w:spacing w:val="-10"/>
          <w:sz w:val="20"/>
        </w:rPr>
        <w:footnoteRef/>
      </w:r>
      <w:r w:rsidRPr="004E39CD">
        <w:rPr>
          <w:rFonts w:eastAsia="SimSun"/>
          <w:spacing w:val="-10"/>
          <w:sz w:val="20"/>
        </w:rPr>
        <w:t xml:space="preserve"> </w:t>
      </w:r>
      <w:r w:rsidRPr="004E39CD">
        <w:rPr>
          <w:rFonts w:eastAsia="SimSun"/>
          <w:spacing w:val="-10"/>
          <w:sz w:val="20"/>
        </w:rPr>
        <w:t>凡提到</w:t>
      </w:r>
      <w:r w:rsidRPr="004E39CD">
        <w:rPr>
          <w:rFonts w:eastAsia="SimSun"/>
          <w:spacing w:val="-10"/>
          <w:sz w:val="20"/>
        </w:rPr>
        <w:t>“</w:t>
      </w:r>
      <w:r w:rsidRPr="004E39CD">
        <w:rPr>
          <w:rFonts w:eastAsia="SimSun"/>
          <w:spacing w:val="-10"/>
          <w:sz w:val="20"/>
        </w:rPr>
        <w:t>自由、事先和知情同意</w:t>
      </w:r>
      <w:r w:rsidRPr="004E39CD">
        <w:rPr>
          <w:rFonts w:eastAsia="SimSun"/>
          <w:spacing w:val="-10"/>
          <w:sz w:val="20"/>
        </w:rPr>
        <w:t>”</w:t>
      </w:r>
      <w:r w:rsidRPr="004E39CD">
        <w:rPr>
          <w:rFonts w:eastAsia="SimSun"/>
          <w:spacing w:val="-10"/>
          <w:sz w:val="20"/>
        </w:rPr>
        <w:t>均指</w:t>
      </w:r>
      <w:r w:rsidRPr="004E39CD">
        <w:rPr>
          <w:rFonts w:eastAsia="SimSun"/>
          <w:spacing w:val="-10"/>
          <w:sz w:val="20"/>
        </w:rPr>
        <w:t>“</w:t>
      </w:r>
      <w:r w:rsidRPr="004E39CD">
        <w:rPr>
          <w:rFonts w:eastAsia="SimSun"/>
          <w:spacing w:val="-10"/>
          <w:sz w:val="20"/>
        </w:rPr>
        <w:t>事先知情同意</w:t>
      </w:r>
      <w:r w:rsidRPr="004E39CD">
        <w:rPr>
          <w:rFonts w:eastAsia="SimSun"/>
          <w:spacing w:val="-10"/>
          <w:sz w:val="20"/>
        </w:rPr>
        <w:t>”</w:t>
      </w:r>
      <w:r w:rsidRPr="004E39CD">
        <w:rPr>
          <w:rFonts w:eastAsia="SimSun"/>
          <w:spacing w:val="-10"/>
          <w:sz w:val="20"/>
        </w:rPr>
        <w:t>、</w:t>
      </w:r>
      <w:r w:rsidRPr="004E39CD">
        <w:rPr>
          <w:rFonts w:eastAsia="SimSun"/>
          <w:spacing w:val="-10"/>
          <w:sz w:val="20"/>
        </w:rPr>
        <w:t>“</w:t>
      </w:r>
      <w:r w:rsidRPr="004E39CD">
        <w:rPr>
          <w:rFonts w:eastAsia="SimSun"/>
          <w:spacing w:val="-10"/>
          <w:sz w:val="20"/>
        </w:rPr>
        <w:t>自由、事先和知情同意</w:t>
      </w:r>
      <w:r w:rsidRPr="004E39CD">
        <w:rPr>
          <w:rFonts w:eastAsia="SimSun"/>
          <w:spacing w:val="-10"/>
          <w:sz w:val="20"/>
        </w:rPr>
        <w:t>“</w:t>
      </w:r>
      <w:r w:rsidR="004E39CD">
        <w:rPr>
          <w:rFonts w:eastAsia="SimSun" w:hint="eastAsia"/>
          <w:spacing w:val="-10"/>
          <w:sz w:val="20"/>
        </w:rPr>
        <w:t>和</w:t>
      </w:r>
      <w:r w:rsidRPr="004E39CD">
        <w:rPr>
          <w:rFonts w:eastAsia="SimSun"/>
          <w:spacing w:val="-10"/>
          <w:sz w:val="20"/>
        </w:rPr>
        <w:t>“</w:t>
      </w:r>
      <w:r w:rsidRPr="004E39CD">
        <w:rPr>
          <w:rFonts w:eastAsia="SimSun"/>
          <w:spacing w:val="-10"/>
          <w:sz w:val="20"/>
        </w:rPr>
        <w:t>批准和参与</w:t>
      </w:r>
      <w:r w:rsidRPr="004E39CD">
        <w:rPr>
          <w:rFonts w:eastAsia="SimSun"/>
          <w:spacing w:val="-10"/>
          <w:sz w:val="20"/>
        </w:rPr>
        <w:t>”</w:t>
      </w:r>
      <w:r w:rsidR="004E39CD">
        <w:rPr>
          <w:rFonts w:eastAsia="SimSun" w:hint="eastAsia"/>
          <w:spacing w:val="-10"/>
          <w:sz w:val="20"/>
        </w:rPr>
        <w:t>这</w:t>
      </w:r>
      <w:r w:rsidRPr="004E39CD">
        <w:rPr>
          <w:rFonts w:eastAsia="SimSun"/>
          <w:spacing w:val="-10"/>
          <w:sz w:val="20"/>
        </w:rPr>
        <w:t>三种表述。</w:t>
      </w:r>
    </w:p>
  </w:footnote>
  <w:footnote w:id="343">
    <w:p w14:paraId="4CCE0587" w14:textId="77777777" w:rsidR="00382AC2" w:rsidRPr="003D4E7F" w:rsidRDefault="00382AC2" w:rsidP="00382AC2">
      <w:pPr>
        <w:pStyle w:val="FootnoteText"/>
        <w:rPr>
          <w:sz w:val="20"/>
        </w:rPr>
      </w:pPr>
      <w:r w:rsidRPr="003D4E7F">
        <w:rPr>
          <w:rStyle w:val="FootnoteReference"/>
          <w:sz w:val="20"/>
        </w:rPr>
        <w:footnoteRef/>
      </w:r>
      <w:r w:rsidRPr="003D4E7F">
        <w:rPr>
          <w:sz w:val="20"/>
        </w:rPr>
        <w:t xml:space="preserve"> </w:t>
      </w:r>
      <w:r w:rsidRPr="004E39CD">
        <w:rPr>
          <w:rFonts w:eastAsia="SimSun"/>
          <w:color w:val="333333"/>
          <w:sz w:val="20"/>
          <w:shd w:val="clear" w:color="auto" w:fill="FFFFFF"/>
        </w:rPr>
        <w:t>任何国际措施的实施都应遵守世界贸易组织的《实施卫生与植物卫生措施协定》和《国际植物保护公约》。</w:t>
      </w:r>
    </w:p>
  </w:footnote>
  <w:footnote w:id="344">
    <w:p w14:paraId="7817740A" w14:textId="77777777"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Pr="00880B82">
        <w:rPr>
          <w:rFonts w:eastAsia="SimSun"/>
          <w:sz w:val="20"/>
        </w:rPr>
        <w:t>联合国，《条约汇编》，第</w:t>
      </w:r>
      <w:r w:rsidRPr="00880B82">
        <w:rPr>
          <w:rFonts w:eastAsia="SimSun"/>
          <w:sz w:val="20"/>
        </w:rPr>
        <w:t>2226</w:t>
      </w:r>
      <w:r w:rsidRPr="00880B82">
        <w:rPr>
          <w:rFonts w:eastAsia="SimSun"/>
          <w:sz w:val="20"/>
        </w:rPr>
        <w:t>卷，第</w:t>
      </w:r>
      <w:r w:rsidRPr="00880B82">
        <w:rPr>
          <w:rFonts w:eastAsia="SimSun"/>
          <w:sz w:val="20"/>
        </w:rPr>
        <w:t>30619</w:t>
      </w:r>
      <w:r w:rsidRPr="00880B82">
        <w:rPr>
          <w:rFonts w:eastAsia="SimSun"/>
          <w:sz w:val="20"/>
        </w:rPr>
        <w:t>号。</w:t>
      </w:r>
    </w:p>
  </w:footnote>
  <w:footnote w:id="345">
    <w:p w14:paraId="36CBA20A" w14:textId="77777777"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Pr="00880B82">
        <w:rPr>
          <w:rFonts w:eastAsia="SimSun"/>
          <w:sz w:val="20"/>
        </w:rPr>
        <w:t>同上</w:t>
      </w:r>
      <w:r w:rsidRPr="00880B82">
        <w:rPr>
          <w:rFonts w:eastAsia="SimSun"/>
          <w:sz w:val="20"/>
          <w:lang w:val="zh-CN"/>
        </w:rPr>
        <w:t>，第</w:t>
      </w:r>
      <w:r w:rsidRPr="00880B82">
        <w:rPr>
          <w:rFonts w:eastAsia="SimSun"/>
          <w:sz w:val="20"/>
          <w:lang w:val="zh-CN"/>
        </w:rPr>
        <w:t>1760</w:t>
      </w:r>
      <w:r w:rsidRPr="00880B82">
        <w:rPr>
          <w:rFonts w:eastAsia="SimSun"/>
          <w:sz w:val="20"/>
          <w:lang w:val="zh-CN"/>
        </w:rPr>
        <w:t>卷，第</w:t>
      </w:r>
      <w:r w:rsidRPr="00880B82">
        <w:rPr>
          <w:rFonts w:eastAsia="SimSun"/>
          <w:sz w:val="20"/>
          <w:lang w:val="zh-CN"/>
        </w:rPr>
        <w:t>30619</w:t>
      </w:r>
      <w:r w:rsidRPr="00880B82">
        <w:rPr>
          <w:rFonts w:eastAsia="SimSun"/>
          <w:sz w:val="20"/>
          <w:lang w:val="zh-CN"/>
        </w:rPr>
        <w:t>号。</w:t>
      </w:r>
    </w:p>
  </w:footnote>
  <w:footnote w:id="346">
    <w:p w14:paraId="3D141D98" w14:textId="77777777"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CBD/SBSTTA/26/4</w:t>
      </w:r>
      <w:r w:rsidRPr="00880B82">
        <w:rPr>
          <w:rFonts w:eastAsia="SimSun"/>
          <w:sz w:val="20"/>
        </w:rPr>
        <w:t>，附件一、二、三和五。</w:t>
      </w:r>
    </w:p>
  </w:footnote>
  <w:footnote w:id="347">
    <w:p w14:paraId="47C02064" w14:textId="77777777"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Pr="00880B82">
        <w:rPr>
          <w:rFonts w:eastAsia="SimSun"/>
          <w:sz w:val="20"/>
        </w:rPr>
        <w:t>第</w:t>
      </w:r>
      <w:hyperlink r:id="rId144" w:history="1">
        <w:r w:rsidRPr="00880B82">
          <w:rPr>
            <w:rStyle w:val="Hyperlink"/>
            <w:rFonts w:eastAsia="SimSun"/>
            <w:sz w:val="20"/>
          </w:rPr>
          <w:t>15/4</w:t>
        </w:r>
      </w:hyperlink>
      <w:r w:rsidRPr="00880B82">
        <w:rPr>
          <w:rFonts w:eastAsia="SimSun"/>
          <w:sz w:val="20"/>
        </w:rPr>
        <w:t>号决定，附件。</w:t>
      </w:r>
    </w:p>
  </w:footnote>
  <w:footnote w:id="348">
    <w:p w14:paraId="30A783CE" w14:textId="4AB94F4E"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00880B82" w:rsidRPr="00880B82">
        <w:rPr>
          <w:rFonts w:eastAsia="SimSun"/>
          <w:sz w:val="20"/>
        </w:rPr>
        <w:t xml:space="preserve"> </w:t>
      </w:r>
      <w:r w:rsidRPr="00880B82">
        <w:rPr>
          <w:rFonts w:eastAsia="SimSun"/>
          <w:sz w:val="20"/>
          <w:lang w:val="zh-CN"/>
        </w:rPr>
        <w:t>第</w:t>
      </w:r>
      <w:hyperlink r:id="rId145" w:history="1">
        <w:r w:rsidRPr="00880B82">
          <w:rPr>
            <w:rStyle w:val="Hyperlink"/>
            <w:rFonts w:eastAsia="SimSun"/>
            <w:kern w:val="22"/>
            <w:sz w:val="20"/>
            <w:lang w:val="zh-CN"/>
          </w:rPr>
          <w:t>15/8</w:t>
        </w:r>
      </w:hyperlink>
      <w:r w:rsidRPr="00880B82">
        <w:rPr>
          <w:rFonts w:eastAsia="SimSun"/>
          <w:kern w:val="22"/>
          <w:sz w:val="20"/>
          <w:lang w:val="zh-CN"/>
        </w:rPr>
        <w:t>号决定，附件一。</w:t>
      </w:r>
    </w:p>
  </w:footnote>
  <w:footnote w:id="349">
    <w:p w14:paraId="257849C2" w14:textId="422440B2" w:rsidR="004D5AD7" w:rsidRDefault="004D5AD7" w:rsidP="004D5AD7">
      <w:pPr>
        <w:pStyle w:val="FootnoteText"/>
        <w:spacing w:after="60"/>
      </w:pPr>
      <w:r w:rsidRPr="00880B82">
        <w:rPr>
          <w:rStyle w:val="FootnoteReference"/>
          <w:rFonts w:eastAsia="SimSun"/>
          <w:sz w:val="20"/>
        </w:rPr>
        <w:footnoteRef/>
      </w:r>
      <w:r w:rsidRPr="00880B82">
        <w:rPr>
          <w:rFonts w:eastAsia="SimSun"/>
          <w:sz w:val="20"/>
          <w:lang w:val="en-CA"/>
        </w:rPr>
        <w:t xml:space="preserve"> </w:t>
      </w:r>
      <w:r w:rsidR="00880B82" w:rsidRPr="00880B82">
        <w:rPr>
          <w:rFonts w:eastAsia="SimSun"/>
          <w:sz w:val="20"/>
          <w:lang w:val="en-CA"/>
        </w:rPr>
        <w:t xml:space="preserve"> </w:t>
      </w:r>
      <w:r w:rsidRPr="00880B82">
        <w:rPr>
          <w:rFonts w:eastAsia="SimSun"/>
          <w:sz w:val="20"/>
          <w:lang w:val="zh-CN"/>
        </w:rPr>
        <w:t>特别是《卡塔赫纳生物安全议定书能力建设行动计划》（第</w:t>
      </w:r>
      <w:hyperlink r:id="rId146" w:history="1">
        <w:r w:rsidRPr="00880B82">
          <w:rPr>
            <w:rStyle w:val="Hyperlink"/>
            <w:rFonts w:eastAsia="SimSun"/>
            <w:sz w:val="20"/>
            <w:lang w:val="zh-CN"/>
          </w:rPr>
          <w:t>CP-10/4</w:t>
        </w:r>
      </w:hyperlink>
      <w:r w:rsidRPr="00880B82">
        <w:rPr>
          <w:rFonts w:eastAsia="SimSun"/>
          <w:sz w:val="20"/>
          <w:lang w:val="zh-CN"/>
        </w:rPr>
        <w:t>号决定，附件）。</w:t>
      </w:r>
    </w:p>
  </w:footnote>
  <w:footnote w:id="350">
    <w:p w14:paraId="12B25BBD" w14:textId="77777777" w:rsidR="004D5AD7" w:rsidRPr="00880B82" w:rsidRDefault="004D5AD7" w:rsidP="004D5AD7">
      <w:pPr>
        <w:pBdr>
          <w:top w:val="nil"/>
          <w:left w:val="nil"/>
          <w:bottom w:val="nil"/>
          <w:right w:val="nil"/>
          <w:between w:val="nil"/>
        </w:pBdr>
        <w:spacing w:after="60"/>
        <w:jc w:val="left"/>
        <w:rPr>
          <w:rFonts w:eastAsia="SimSun"/>
          <w:color w:val="000000"/>
          <w:sz w:val="20"/>
          <w:szCs w:val="20"/>
        </w:rPr>
      </w:pPr>
      <w:r w:rsidRPr="00880B82">
        <w:rPr>
          <w:rStyle w:val="FootnoteReference"/>
          <w:rFonts w:eastAsia="SimSun"/>
          <w:sz w:val="20"/>
          <w:szCs w:val="20"/>
        </w:rPr>
        <w:footnoteRef/>
      </w:r>
      <w:r w:rsidRPr="00880B82">
        <w:rPr>
          <w:rFonts w:eastAsia="SimSun"/>
          <w:color w:val="000000"/>
          <w:sz w:val="20"/>
          <w:szCs w:val="20"/>
        </w:rPr>
        <w:t xml:space="preserve">  </w:t>
      </w:r>
      <w:r w:rsidRPr="00880B82">
        <w:rPr>
          <w:rFonts w:eastAsia="SimSun"/>
          <w:color w:val="000000"/>
          <w:sz w:val="20"/>
          <w:szCs w:val="20"/>
        </w:rPr>
        <w:t>第</w:t>
      </w:r>
      <w:r w:rsidRPr="00880B82">
        <w:rPr>
          <w:rFonts w:eastAsia="SimSun"/>
          <w:color w:val="000000"/>
          <w:sz w:val="20"/>
          <w:szCs w:val="20"/>
        </w:rPr>
        <w:t xml:space="preserve"> </w:t>
      </w:r>
      <w:hyperlink r:id="rId147" w:history="1">
        <w:r w:rsidRPr="00880B82">
          <w:rPr>
            <w:rStyle w:val="Hyperlink"/>
            <w:rFonts w:eastAsia="SimSun"/>
            <w:sz w:val="20"/>
            <w:szCs w:val="20"/>
          </w:rPr>
          <w:t>VIII/10</w:t>
        </w:r>
      </w:hyperlink>
      <w:r w:rsidRPr="00880B82">
        <w:rPr>
          <w:rFonts w:eastAsia="SimSun"/>
          <w:color w:val="000000"/>
          <w:sz w:val="20"/>
          <w:szCs w:val="20"/>
        </w:rPr>
        <w:t xml:space="preserve"> </w:t>
      </w:r>
      <w:r w:rsidRPr="00880B82">
        <w:rPr>
          <w:rFonts w:eastAsia="SimSun"/>
          <w:color w:val="000000"/>
          <w:sz w:val="20"/>
          <w:szCs w:val="20"/>
        </w:rPr>
        <w:t>号决定，附件</w:t>
      </w:r>
      <w:r w:rsidRPr="00880B82">
        <w:rPr>
          <w:rFonts w:eastAsia="SimSun"/>
          <w:color w:val="000000"/>
          <w:sz w:val="20"/>
          <w:szCs w:val="20"/>
        </w:rPr>
        <w:t xml:space="preserve"> III</w:t>
      </w:r>
      <w:r w:rsidRPr="00880B82">
        <w:rPr>
          <w:rFonts w:eastAsia="SimSun"/>
          <w:color w:val="000000"/>
          <w:sz w:val="20"/>
          <w:szCs w:val="20"/>
        </w:rPr>
        <w:t>。</w:t>
      </w:r>
    </w:p>
  </w:footnote>
  <w:footnote w:id="351">
    <w:p w14:paraId="5F762758" w14:textId="77777777" w:rsidR="004D5AD7" w:rsidRPr="00880B82" w:rsidRDefault="004D5AD7" w:rsidP="004D5AD7">
      <w:pPr>
        <w:spacing w:after="60"/>
        <w:jc w:val="left"/>
        <w:rPr>
          <w:rFonts w:eastAsia="SimSun"/>
          <w:sz w:val="20"/>
          <w:szCs w:val="20"/>
        </w:rPr>
      </w:pPr>
      <w:r w:rsidRPr="00880B82">
        <w:rPr>
          <w:rStyle w:val="FootnoteReference"/>
          <w:rFonts w:eastAsia="SimSun"/>
          <w:sz w:val="20"/>
          <w:szCs w:val="20"/>
        </w:rPr>
        <w:footnoteRef/>
      </w:r>
      <w:r w:rsidRPr="00880B82">
        <w:rPr>
          <w:rFonts w:eastAsia="SimSun"/>
          <w:sz w:val="20"/>
          <w:szCs w:val="20"/>
        </w:rPr>
        <w:t xml:space="preserve">  </w:t>
      </w:r>
      <w:r w:rsidRPr="00880B82">
        <w:rPr>
          <w:rFonts w:eastAsia="SimSun"/>
          <w:sz w:val="20"/>
          <w:szCs w:val="20"/>
        </w:rPr>
        <w:t>联合国，《条约汇编》，第</w:t>
      </w:r>
      <w:r w:rsidRPr="00880B82">
        <w:rPr>
          <w:rFonts w:eastAsia="SimSun"/>
          <w:sz w:val="20"/>
          <w:szCs w:val="20"/>
        </w:rPr>
        <w:t>1760</w:t>
      </w:r>
      <w:r w:rsidRPr="00880B82">
        <w:rPr>
          <w:rFonts w:eastAsia="SimSun"/>
          <w:sz w:val="20"/>
          <w:szCs w:val="20"/>
        </w:rPr>
        <w:t>卷，第</w:t>
      </w:r>
      <w:r w:rsidRPr="00880B82">
        <w:rPr>
          <w:rFonts w:eastAsia="SimSun"/>
          <w:sz w:val="20"/>
          <w:szCs w:val="20"/>
        </w:rPr>
        <w:t>30619</w:t>
      </w:r>
      <w:r w:rsidRPr="00880B82">
        <w:rPr>
          <w:rFonts w:eastAsia="SimSun"/>
          <w:sz w:val="20"/>
          <w:szCs w:val="20"/>
        </w:rPr>
        <w:t>号。</w:t>
      </w:r>
    </w:p>
  </w:footnote>
  <w:footnote w:id="352">
    <w:p w14:paraId="52D031F6" w14:textId="77777777" w:rsidR="004D5AD7" w:rsidRPr="00CD3EE9" w:rsidRDefault="004D5AD7" w:rsidP="004D5AD7">
      <w:pPr>
        <w:pStyle w:val="FootnoteText"/>
        <w:spacing w:after="60"/>
        <w:rPr>
          <w:sz w:val="20"/>
        </w:rPr>
      </w:pPr>
      <w:r w:rsidRPr="00880B82">
        <w:rPr>
          <w:rStyle w:val="FootnoteReference"/>
          <w:rFonts w:eastAsia="SimSun"/>
          <w:sz w:val="20"/>
        </w:rPr>
        <w:footnoteRef/>
      </w:r>
      <w:r w:rsidRPr="00880B82">
        <w:rPr>
          <w:rFonts w:eastAsia="SimSun"/>
          <w:sz w:val="20"/>
        </w:rPr>
        <w:t xml:space="preserve">  </w:t>
      </w:r>
      <w:r w:rsidRPr="00880B82">
        <w:rPr>
          <w:rFonts w:eastAsia="SimSun"/>
          <w:sz w:val="20"/>
        </w:rPr>
        <w:t>第</w:t>
      </w:r>
      <w:hyperlink r:id="rId148" w:history="1">
        <w:r w:rsidRPr="00880B82">
          <w:rPr>
            <w:rStyle w:val="Hyperlink"/>
            <w:rFonts w:eastAsia="SimSun"/>
            <w:sz w:val="20"/>
          </w:rPr>
          <w:t>15/4</w:t>
        </w:r>
      </w:hyperlink>
      <w:r w:rsidRPr="00880B82">
        <w:rPr>
          <w:rFonts w:eastAsia="SimSun"/>
          <w:sz w:val="20"/>
        </w:rPr>
        <w:t>号决定，附件。</w:t>
      </w:r>
    </w:p>
  </w:footnote>
  <w:footnote w:id="353">
    <w:p w14:paraId="4F325512" w14:textId="77777777"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vertAlign w:val="superscript"/>
        </w:rPr>
        <w:t xml:space="preserve">  </w:t>
      </w:r>
      <w:r w:rsidRPr="00880B82">
        <w:rPr>
          <w:rFonts w:eastAsia="SimSun"/>
          <w:sz w:val="20"/>
        </w:rPr>
        <w:t>联合国</w:t>
      </w:r>
      <w:r w:rsidRPr="00880B82">
        <w:rPr>
          <w:rFonts w:eastAsia="SimSun"/>
          <w:sz w:val="20"/>
        </w:rPr>
        <w:t>,</w:t>
      </w:r>
      <w:r w:rsidRPr="00880B82">
        <w:rPr>
          <w:rFonts w:eastAsia="SimSun"/>
          <w:sz w:val="20"/>
        </w:rPr>
        <w:t>《条约汇编》，第</w:t>
      </w:r>
      <w:r w:rsidRPr="00880B82">
        <w:rPr>
          <w:rFonts w:eastAsia="SimSun"/>
          <w:sz w:val="20"/>
        </w:rPr>
        <w:t>1760</w:t>
      </w:r>
      <w:r w:rsidRPr="00880B82">
        <w:rPr>
          <w:rFonts w:eastAsia="SimSun"/>
          <w:sz w:val="20"/>
        </w:rPr>
        <w:t>卷，第</w:t>
      </w:r>
      <w:r w:rsidRPr="00880B82">
        <w:rPr>
          <w:rFonts w:eastAsia="SimSun"/>
          <w:sz w:val="20"/>
        </w:rPr>
        <w:t>30619</w:t>
      </w:r>
      <w:r w:rsidRPr="00880B82">
        <w:rPr>
          <w:rFonts w:eastAsia="SimSun"/>
          <w:sz w:val="20"/>
        </w:rPr>
        <w:t>号。</w:t>
      </w:r>
    </w:p>
  </w:footnote>
  <w:footnote w:id="354">
    <w:p w14:paraId="58F664FC" w14:textId="1192039D" w:rsidR="004D5AD7" w:rsidRPr="00880B82" w:rsidRDefault="004D5AD7" w:rsidP="004D5AD7">
      <w:pPr>
        <w:pStyle w:val="FootnoteText"/>
        <w:snapToGrid w:val="0"/>
        <w:spacing w:after="60"/>
        <w:rPr>
          <w:rFonts w:eastAsia="SimSun"/>
          <w:sz w:val="20"/>
        </w:rPr>
      </w:pPr>
      <w:r w:rsidRPr="00880B82">
        <w:rPr>
          <w:rStyle w:val="FootnoteReference"/>
          <w:rFonts w:eastAsia="SimSun"/>
          <w:sz w:val="20"/>
        </w:rPr>
        <w:footnoteRef/>
      </w:r>
      <w:r w:rsidR="00880B82" w:rsidRPr="00880B82">
        <w:rPr>
          <w:rFonts w:eastAsia="SimSun" w:hint="eastAsia"/>
          <w:sz w:val="20"/>
        </w:rPr>
        <w:t xml:space="preserve"> </w:t>
      </w:r>
      <w:r w:rsidRPr="00880B82">
        <w:rPr>
          <w:rFonts w:eastAsia="SimSun"/>
          <w:sz w:val="20"/>
        </w:rPr>
        <w:t xml:space="preserve"> </w:t>
      </w:r>
      <w:r w:rsidRPr="00880B82">
        <w:rPr>
          <w:rFonts w:eastAsia="SimSun"/>
          <w:sz w:val="20"/>
          <w:lang w:val="zh-CN"/>
        </w:rPr>
        <w:t>第</w:t>
      </w:r>
      <w:r w:rsidRPr="00880B82">
        <w:rPr>
          <w:rFonts w:eastAsia="SimSun"/>
          <w:sz w:val="20"/>
          <w:lang w:val="zh-CN"/>
        </w:rPr>
        <w:t>15/4</w:t>
      </w:r>
      <w:r w:rsidRPr="00880B82">
        <w:rPr>
          <w:rFonts w:eastAsia="SimSun"/>
          <w:sz w:val="20"/>
          <w:lang w:val="zh-CN"/>
        </w:rPr>
        <w:t>号决定。</w:t>
      </w:r>
    </w:p>
  </w:footnote>
  <w:footnote w:id="355">
    <w:p w14:paraId="7F8D0264" w14:textId="268B0482" w:rsidR="004D5AD7" w:rsidRPr="00880B82" w:rsidRDefault="004D5AD7" w:rsidP="004D5AD7">
      <w:pPr>
        <w:pStyle w:val="FootnoteText"/>
        <w:snapToGrid w:val="0"/>
        <w:spacing w:after="60"/>
        <w:rPr>
          <w:rFonts w:eastAsia="SimSun"/>
          <w:sz w:val="20"/>
        </w:rPr>
      </w:pPr>
      <w:r w:rsidRPr="00880B82">
        <w:rPr>
          <w:rStyle w:val="FootnoteReference"/>
          <w:rFonts w:eastAsia="SimSun"/>
          <w:sz w:val="20"/>
        </w:rPr>
        <w:footnoteRef/>
      </w:r>
      <w:r w:rsidR="00880B82" w:rsidRPr="00880B82">
        <w:rPr>
          <w:rFonts w:eastAsia="SimSun" w:hint="eastAsia"/>
          <w:sz w:val="20"/>
        </w:rPr>
        <w:t xml:space="preserve"> </w:t>
      </w:r>
      <w:r w:rsidRPr="00880B82">
        <w:rPr>
          <w:rFonts w:eastAsia="SimSun"/>
          <w:sz w:val="20"/>
        </w:rPr>
        <w:t xml:space="preserve"> </w:t>
      </w:r>
      <w:r w:rsidRPr="00880B82">
        <w:rPr>
          <w:rFonts w:eastAsia="SimSun"/>
          <w:sz w:val="20"/>
        </w:rPr>
        <w:t>见</w:t>
      </w:r>
      <w:r w:rsidR="001F2649">
        <w:rPr>
          <w:rFonts w:eastAsia="SimSun" w:hint="eastAsia"/>
          <w:sz w:val="20"/>
        </w:rPr>
        <w:t>联合国</w:t>
      </w:r>
      <w:r w:rsidRPr="00880B82">
        <w:rPr>
          <w:rFonts w:eastAsia="SimSun"/>
          <w:sz w:val="20"/>
        </w:rPr>
        <w:t>大会第</w:t>
      </w:r>
      <w:r w:rsidRPr="00880B82">
        <w:rPr>
          <w:rFonts w:eastAsia="SimSun"/>
          <w:sz w:val="20"/>
        </w:rPr>
        <w:t>76/300</w:t>
      </w:r>
      <w:r w:rsidRPr="00880B82">
        <w:rPr>
          <w:rFonts w:eastAsia="SimSun"/>
          <w:sz w:val="20"/>
        </w:rPr>
        <w:t>号</w:t>
      </w:r>
      <w:r w:rsidR="001F2649">
        <w:rPr>
          <w:rFonts w:eastAsia="SimSun" w:hint="eastAsia"/>
          <w:sz w:val="20"/>
        </w:rPr>
        <w:t>决议</w:t>
      </w:r>
      <w:r w:rsidRPr="00880B82">
        <w:rPr>
          <w:rFonts w:eastAsia="SimSun"/>
          <w:sz w:val="20"/>
        </w:rPr>
        <w:t>。</w:t>
      </w:r>
    </w:p>
  </w:footnote>
  <w:footnote w:id="356">
    <w:p w14:paraId="5FA1B747" w14:textId="6653D7B5"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00880B82" w:rsidRPr="00880B82">
        <w:rPr>
          <w:rFonts w:eastAsia="SimSun" w:hint="eastAsia"/>
          <w:sz w:val="20"/>
        </w:rPr>
        <w:t xml:space="preserve"> </w:t>
      </w:r>
      <w:r w:rsidRPr="00880B82">
        <w:rPr>
          <w:rFonts w:eastAsia="SimSun"/>
          <w:kern w:val="18"/>
          <w:sz w:val="20"/>
        </w:rPr>
        <w:t>大会第</w:t>
      </w:r>
      <w:r w:rsidRPr="00880B82">
        <w:rPr>
          <w:rFonts w:eastAsia="SimSun"/>
          <w:kern w:val="18"/>
          <w:sz w:val="20"/>
        </w:rPr>
        <w:t>70/1</w:t>
      </w:r>
      <w:r w:rsidRPr="00880B82">
        <w:rPr>
          <w:rFonts w:eastAsia="SimSun"/>
          <w:kern w:val="18"/>
          <w:sz w:val="20"/>
        </w:rPr>
        <w:t>号</w:t>
      </w:r>
      <w:r w:rsidR="001F2649">
        <w:rPr>
          <w:rFonts w:eastAsia="SimSun" w:hint="eastAsia"/>
          <w:kern w:val="18"/>
          <w:sz w:val="20"/>
        </w:rPr>
        <w:t>决议</w:t>
      </w:r>
      <w:r w:rsidRPr="00880B82">
        <w:rPr>
          <w:rFonts w:eastAsia="SimSun"/>
          <w:kern w:val="18"/>
          <w:sz w:val="20"/>
        </w:rPr>
        <w:t>。</w:t>
      </w:r>
    </w:p>
  </w:footnote>
  <w:footnote w:id="357">
    <w:p w14:paraId="5A010FDC" w14:textId="3B309650" w:rsidR="004D5AD7" w:rsidRPr="00880B82" w:rsidRDefault="004D5AD7" w:rsidP="004D5AD7">
      <w:pPr>
        <w:pStyle w:val="FootnoteText"/>
        <w:spacing w:after="60"/>
        <w:rPr>
          <w:rFonts w:eastAsia="SimSun"/>
          <w:sz w:val="20"/>
        </w:rPr>
      </w:pPr>
      <w:r w:rsidRPr="00880B82">
        <w:rPr>
          <w:rStyle w:val="FootnoteReference"/>
          <w:rFonts w:eastAsia="SimSun"/>
          <w:sz w:val="20"/>
        </w:rPr>
        <w:footnoteRef/>
      </w:r>
      <w:r w:rsidRPr="00880B82">
        <w:rPr>
          <w:rFonts w:eastAsia="SimSun"/>
          <w:sz w:val="20"/>
        </w:rPr>
        <w:t xml:space="preserve"> </w:t>
      </w:r>
      <w:r w:rsidR="00880B82" w:rsidRPr="00880B82">
        <w:rPr>
          <w:rFonts w:eastAsia="SimSun" w:hint="eastAsia"/>
          <w:sz w:val="20"/>
        </w:rPr>
        <w:t xml:space="preserve"> </w:t>
      </w:r>
      <w:r w:rsidRPr="00880B82">
        <w:rPr>
          <w:rFonts w:eastAsia="SimSun"/>
          <w:kern w:val="18"/>
          <w:sz w:val="20"/>
          <w:lang w:val="zh-CN"/>
        </w:rPr>
        <w:t>在《联合国气候变化框架公约》下通过</w:t>
      </w:r>
      <w:r w:rsidRPr="00880B82">
        <w:rPr>
          <w:rFonts w:eastAsia="SimSun"/>
          <w:kern w:val="18"/>
          <w:sz w:val="20"/>
          <w:lang w:val="en-GB"/>
        </w:rPr>
        <w:t>（</w:t>
      </w:r>
      <w:r w:rsidRPr="00880B82">
        <w:rPr>
          <w:rFonts w:eastAsia="SimSun"/>
          <w:kern w:val="18"/>
          <w:sz w:val="20"/>
          <w:lang w:val="zh-CN"/>
        </w:rPr>
        <w:t>见</w:t>
      </w:r>
      <w:r w:rsidRPr="00880B82">
        <w:rPr>
          <w:rFonts w:eastAsia="SimSun"/>
          <w:kern w:val="18"/>
          <w:sz w:val="20"/>
        </w:rPr>
        <w:t>FCCC/CP/2015/10/Add.1</w:t>
      </w:r>
      <w:r w:rsidRPr="00880B82">
        <w:rPr>
          <w:rFonts w:eastAsia="SimSun"/>
          <w:kern w:val="18"/>
          <w:sz w:val="20"/>
        </w:rPr>
        <w:t>，第</w:t>
      </w:r>
      <w:r w:rsidRPr="00880B82">
        <w:rPr>
          <w:rFonts w:eastAsia="SimSun"/>
          <w:kern w:val="18"/>
          <w:sz w:val="20"/>
        </w:rPr>
        <w:t>1/CP.21</w:t>
      </w:r>
      <w:r w:rsidRPr="00880B82">
        <w:rPr>
          <w:rFonts w:eastAsia="SimSun"/>
          <w:kern w:val="18"/>
          <w:sz w:val="20"/>
        </w:rPr>
        <w:t>号决定，附件</w:t>
      </w:r>
      <w:r w:rsidRPr="00880B82">
        <w:rPr>
          <w:rFonts w:eastAsia="SimSun"/>
          <w:kern w:val="18"/>
          <w:sz w:val="20"/>
          <w:lang w:val="en-GB"/>
        </w:rPr>
        <w:t>）</w:t>
      </w:r>
      <w:r w:rsidRPr="00880B82">
        <w:rPr>
          <w:rFonts w:eastAsia="SimSun"/>
          <w:kern w:val="18"/>
          <w:sz w:val="20"/>
          <w:lang w:val="zh-CN"/>
        </w:rPr>
        <w:t>。</w:t>
      </w:r>
    </w:p>
  </w:footnote>
  <w:footnote w:id="358">
    <w:p w14:paraId="75CA486E" w14:textId="77777777" w:rsidR="004D5AD7" w:rsidRPr="00A7105C" w:rsidRDefault="004D5AD7" w:rsidP="004D5AD7">
      <w:pPr>
        <w:pStyle w:val="FootnoteText"/>
        <w:spacing w:after="60"/>
      </w:pPr>
      <w:r w:rsidRPr="00880B82">
        <w:rPr>
          <w:rStyle w:val="FootnoteReference"/>
          <w:rFonts w:eastAsia="SimSun"/>
          <w:sz w:val="20"/>
        </w:rPr>
        <w:footnoteRef/>
      </w:r>
      <w:r w:rsidRPr="00880B82">
        <w:rPr>
          <w:rFonts w:eastAsia="SimSun"/>
          <w:sz w:val="20"/>
        </w:rPr>
        <w:t xml:space="preserve">  </w:t>
      </w:r>
      <w:r w:rsidRPr="00880B82">
        <w:rPr>
          <w:rFonts w:eastAsia="SimSun"/>
          <w:sz w:val="20"/>
        </w:rPr>
        <w:t>联合国，《条约汇编》，第</w:t>
      </w:r>
      <w:r w:rsidRPr="00880B82">
        <w:rPr>
          <w:rFonts w:eastAsia="SimSun"/>
          <w:sz w:val="20"/>
        </w:rPr>
        <w:t>1771</w:t>
      </w:r>
      <w:r w:rsidRPr="00880B82">
        <w:rPr>
          <w:rFonts w:eastAsia="SimSun"/>
          <w:sz w:val="20"/>
        </w:rPr>
        <w:t>卷，第</w:t>
      </w:r>
      <w:r w:rsidRPr="00880B82">
        <w:rPr>
          <w:rFonts w:eastAsia="SimSun"/>
          <w:sz w:val="20"/>
        </w:rPr>
        <w:t>30822</w:t>
      </w:r>
      <w:r w:rsidRPr="00880B82">
        <w:rPr>
          <w:rFonts w:eastAsia="SimSun"/>
          <w:sz w:val="20"/>
        </w:rPr>
        <w:t>号。</w:t>
      </w:r>
    </w:p>
  </w:footnote>
  <w:footnote w:id="359">
    <w:p w14:paraId="6C49982C" w14:textId="13462DE7" w:rsidR="004D5AD7" w:rsidRPr="00A6638A" w:rsidRDefault="004D5AD7" w:rsidP="004D5AD7">
      <w:pPr>
        <w:pStyle w:val="FootnoteText"/>
        <w:spacing w:after="60"/>
        <w:rPr>
          <w:sz w:val="20"/>
        </w:rPr>
      </w:pPr>
      <w:r w:rsidRPr="00E2430F">
        <w:rPr>
          <w:rStyle w:val="FootnoteReference"/>
          <w:sz w:val="20"/>
        </w:rPr>
        <w:footnoteRef/>
      </w:r>
      <w:r w:rsidRPr="00E2430F">
        <w:rPr>
          <w:sz w:val="20"/>
          <w:vertAlign w:val="superscript"/>
        </w:rPr>
        <w:t xml:space="preserve"> </w:t>
      </w:r>
      <w:r w:rsidRPr="00E2430F">
        <w:rPr>
          <w:sz w:val="20"/>
        </w:rPr>
        <w:t xml:space="preserve"> </w:t>
      </w:r>
      <w:r w:rsidRPr="001F2649">
        <w:rPr>
          <w:rFonts w:eastAsia="SimSun"/>
          <w:sz w:val="20"/>
        </w:rPr>
        <w:t>Hoesung Lee</w:t>
      </w:r>
      <w:r w:rsidRPr="001F2649">
        <w:rPr>
          <w:rFonts w:eastAsia="SimSun"/>
          <w:sz w:val="20"/>
        </w:rPr>
        <w:t>等编，《</w:t>
      </w:r>
      <w:r w:rsidRPr="001F2649">
        <w:rPr>
          <w:rFonts w:eastAsia="SimSun"/>
          <w:sz w:val="20"/>
        </w:rPr>
        <w:t>2023</w:t>
      </w:r>
      <w:r w:rsidRPr="001F2649">
        <w:rPr>
          <w:rFonts w:eastAsia="SimSun"/>
          <w:sz w:val="20"/>
        </w:rPr>
        <w:t>年气候变化</w:t>
      </w:r>
      <w:r w:rsidRPr="001F2649">
        <w:rPr>
          <w:rFonts w:eastAsia="SimSun"/>
          <w:sz w:val="20"/>
          <w:lang w:val="x-none"/>
        </w:rPr>
        <w:t>：</w:t>
      </w:r>
      <w:r w:rsidRPr="001F2649">
        <w:rPr>
          <w:rFonts w:eastAsia="SimSun"/>
          <w:sz w:val="20"/>
        </w:rPr>
        <w:t>综合报告</w:t>
      </w:r>
      <w:r w:rsidRPr="001F2649">
        <w:rPr>
          <w:rFonts w:eastAsia="SimSun"/>
          <w:sz w:val="20"/>
        </w:rPr>
        <w:t>——</w:t>
      </w:r>
      <w:r w:rsidRPr="001F2649">
        <w:rPr>
          <w:rFonts w:eastAsia="SimSun"/>
          <w:sz w:val="20"/>
        </w:rPr>
        <w:t>第一、第二和第三工作组对政府间气候变化专门委员会第六次评估报告的贡献》</w:t>
      </w:r>
      <w:r w:rsidR="001F2649">
        <w:rPr>
          <w:rFonts w:eastAsia="SimSun" w:hint="eastAsia"/>
          <w:sz w:val="20"/>
        </w:rPr>
        <w:t>（</w:t>
      </w:r>
      <w:r w:rsidRPr="001F2649">
        <w:rPr>
          <w:rFonts w:eastAsia="SimSun"/>
          <w:sz w:val="20"/>
        </w:rPr>
        <w:t>2023</w:t>
      </w:r>
      <w:r w:rsidRPr="001F2649">
        <w:rPr>
          <w:rFonts w:eastAsia="SimSun"/>
          <w:sz w:val="20"/>
        </w:rPr>
        <w:t>年，政府间气候变化专门委员会，日内瓦</w:t>
      </w:r>
      <w:r w:rsidR="001F2649">
        <w:rPr>
          <w:rFonts w:eastAsia="SimSun" w:hint="eastAsia"/>
          <w:sz w:val="20"/>
        </w:rPr>
        <w:t>）</w:t>
      </w:r>
      <w:r w:rsidRPr="001F2649">
        <w:rPr>
          <w:rFonts w:eastAsia="SimSun"/>
          <w:sz w:val="20"/>
        </w:rPr>
        <w:t>。</w:t>
      </w:r>
    </w:p>
  </w:footnote>
  <w:footnote w:id="360">
    <w:p w14:paraId="5E5FC5B2" w14:textId="335FD6C0" w:rsidR="004D5AD7" w:rsidRPr="00AE2D81" w:rsidRDefault="004D5AD7" w:rsidP="004D5AD7">
      <w:pPr>
        <w:pStyle w:val="FootnoteText"/>
        <w:spacing w:after="60"/>
        <w:rPr>
          <w:rFonts w:eastAsia="SimSun"/>
          <w:sz w:val="20"/>
        </w:rPr>
      </w:pPr>
      <w:r w:rsidRPr="00AE2D81">
        <w:rPr>
          <w:rStyle w:val="FootnoteReference"/>
          <w:rFonts w:eastAsia="SimSun"/>
          <w:sz w:val="20"/>
        </w:rPr>
        <w:footnoteRef/>
      </w:r>
      <w:r w:rsidRPr="00AE2D81">
        <w:rPr>
          <w:rFonts w:eastAsia="SimSun"/>
          <w:sz w:val="20"/>
        </w:rPr>
        <w:t xml:space="preserve"> </w:t>
      </w:r>
      <w:r w:rsidRPr="00AE2D81">
        <w:rPr>
          <w:rFonts w:eastAsia="SimSun"/>
          <w:color w:val="000080"/>
          <w:sz w:val="20"/>
        </w:rPr>
        <w:t xml:space="preserve"> </w:t>
      </w:r>
      <w:r w:rsidRPr="00AE2D81">
        <w:rPr>
          <w:rFonts w:eastAsia="SimSun"/>
          <w:spacing w:val="10"/>
          <w:sz w:val="20"/>
        </w:rPr>
        <w:t>“</w:t>
      </w:r>
      <w:r w:rsidRPr="00AE2D81">
        <w:rPr>
          <w:rFonts w:eastAsia="SimSun"/>
          <w:spacing w:val="10"/>
          <w:sz w:val="20"/>
        </w:rPr>
        <w:t>自由、事先和知情同意</w:t>
      </w:r>
      <w:r w:rsidRPr="00AE2D81">
        <w:rPr>
          <w:rFonts w:eastAsia="SimSun"/>
          <w:spacing w:val="10"/>
          <w:sz w:val="20"/>
        </w:rPr>
        <w:t>”</w:t>
      </w:r>
      <w:r w:rsidRPr="00AE2D81">
        <w:rPr>
          <w:rFonts w:eastAsia="SimSun"/>
          <w:spacing w:val="10"/>
          <w:sz w:val="20"/>
        </w:rPr>
        <w:t>指三种表述，即</w:t>
      </w:r>
      <w:r w:rsidRPr="00AE2D81">
        <w:rPr>
          <w:rFonts w:eastAsia="SimSun"/>
          <w:spacing w:val="10"/>
          <w:sz w:val="20"/>
        </w:rPr>
        <w:t xml:space="preserve"> “</w:t>
      </w:r>
      <w:r w:rsidRPr="00AE2D81">
        <w:rPr>
          <w:rFonts w:eastAsia="SimSun"/>
          <w:spacing w:val="10"/>
          <w:sz w:val="20"/>
        </w:rPr>
        <w:t>事先和知情同意</w:t>
      </w:r>
      <w:r w:rsidRPr="00AE2D81">
        <w:rPr>
          <w:rFonts w:eastAsia="SimSun"/>
          <w:spacing w:val="10"/>
          <w:sz w:val="20"/>
        </w:rPr>
        <w:t xml:space="preserve">” </w:t>
      </w:r>
      <w:r w:rsidRPr="00AE2D81">
        <w:rPr>
          <w:rFonts w:eastAsia="SimSun"/>
          <w:spacing w:val="10"/>
          <w:sz w:val="20"/>
        </w:rPr>
        <w:t>、</w:t>
      </w:r>
      <w:r w:rsidRPr="00AE2D81">
        <w:rPr>
          <w:rFonts w:eastAsia="SimSun"/>
          <w:spacing w:val="10"/>
          <w:sz w:val="20"/>
        </w:rPr>
        <w:t xml:space="preserve"> “</w:t>
      </w:r>
      <w:r w:rsidRPr="00AE2D81">
        <w:rPr>
          <w:rFonts w:eastAsia="SimSun"/>
          <w:spacing w:val="10"/>
          <w:sz w:val="20"/>
        </w:rPr>
        <w:t>自由、事先和知情同意</w:t>
      </w:r>
      <w:r w:rsidRPr="00AE2D81">
        <w:rPr>
          <w:rFonts w:eastAsia="SimSun"/>
          <w:spacing w:val="10"/>
          <w:sz w:val="20"/>
        </w:rPr>
        <w:t xml:space="preserve">” </w:t>
      </w:r>
      <w:r w:rsidR="001F2649" w:rsidRPr="00AE2D81">
        <w:rPr>
          <w:rFonts w:eastAsia="SimSun"/>
          <w:spacing w:val="10"/>
          <w:sz w:val="20"/>
        </w:rPr>
        <w:t>和</w:t>
      </w:r>
      <w:r w:rsidRPr="00AE2D81">
        <w:rPr>
          <w:rFonts w:eastAsia="SimSun"/>
          <w:spacing w:val="10"/>
          <w:sz w:val="20"/>
        </w:rPr>
        <w:t>“</w:t>
      </w:r>
      <w:r w:rsidRPr="00AE2D81">
        <w:rPr>
          <w:rFonts w:eastAsia="SimSun"/>
          <w:spacing w:val="10"/>
          <w:sz w:val="20"/>
        </w:rPr>
        <w:t>批准和参与</w:t>
      </w:r>
      <w:r w:rsidRPr="00AE2D81">
        <w:rPr>
          <w:rFonts w:eastAsia="SimSun"/>
          <w:spacing w:val="10"/>
          <w:sz w:val="20"/>
        </w:rPr>
        <w:t>”</w:t>
      </w:r>
      <w:r w:rsidRPr="00AE2D81">
        <w:rPr>
          <w:rFonts w:eastAsia="SimSun"/>
          <w:spacing w:val="10"/>
          <w:sz w:val="20"/>
        </w:rPr>
        <w:t>。</w:t>
      </w:r>
    </w:p>
  </w:footnote>
  <w:footnote w:id="361">
    <w:p w14:paraId="1B30254B" w14:textId="23B755C4" w:rsidR="004D5AD7" w:rsidRPr="00AE2D81" w:rsidRDefault="004D5AD7" w:rsidP="004D5AD7">
      <w:pPr>
        <w:pStyle w:val="FootnoteText"/>
        <w:spacing w:after="60"/>
        <w:rPr>
          <w:rFonts w:eastAsia="SimSun"/>
          <w:sz w:val="20"/>
        </w:rPr>
      </w:pPr>
      <w:r w:rsidRPr="00AE2D81">
        <w:rPr>
          <w:rStyle w:val="FootnoteReference"/>
          <w:rFonts w:eastAsia="SimSun"/>
          <w:sz w:val="20"/>
        </w:rPr>
        <w:footnoteRef/>
      </w:r>
      <w:r w:rsidRPr="00AE2D81">
        <w:rPr>
          <w:rStyle w:val="FootnoteReference"/>
          <w:rFonts w:eastAsia="SimSun"/>
          <w:sz w:val="20"/>
        </w:rPr>
        <w:t xml:space="preserve"> </w:t>
      </w:r>
      <w:r w:rsidRPr="00AE2D81">
        <w:rPr>
          <w:rFonts w:eastAsia="SimSun"/>
          <w:sz w:val="20"/>
          <w:vertAlign w:val="superscript"/>
        </w:rPr>
        <w:t xml:space="preserve"> </w:t>
      </w:r>
      <w:r w:rsidRPr="00AE2D81">
        <w:rPr>
          <w:rFonts w:eastAsia="SimSun"/>
          <w:sz w:val="20"/>
        </w:rPr>
        <w:t>第</w:t>
      </w:r>
      <w:r w:rsidRPr="00AE2D81">
        <w:rPr>
          <w:rFonts w:eastAsia="SimSun"/>
          <w:sz w:val="20"/>
        </w:rPr>
        <w:t xml:space="preserve">14/5 </w:t>
      </w:r>
      <w:r w:rsidRPr="00AE2D81">
        <w:rPr>
          <w:rFonts w:eastAsia="SimSun"/>
          <w:sz w:val="20"/>
        </w:rPr>
        <w:t>号决定，附件；补充资料见《</w:t>
      </w:r>
      <w:hyperlink r:id="rId149" w:history="1">
        <w:r w:rsidRPr="008206FE">
          <w:rPr>
            <w:rStyle w:val="Hyperlink"/>
            <w:rFonts w:eastAsia="SimSun"/>
            <w:sz w:val="20"/>
          </w:rPr>
          <w:t>CBD</w:t>
        </w:r>
        <w:r w:rsidRPr="008206FE">
          <w:rPr>
            <w:rStyle w:val="Hyperlink"/>
            <w:rFonts w:eastAsia="SimSun"/>
            <w:sz w:val="20"/>
          </w:rPr>
          <w:t>技术丛刊</w:t>
        </w:r>
      </w:hyperlink>
      <w:r w:rsidRPr="00AE2D81">
        <w:rPr>
          <w:rFonts w:eastAsia="SimSun"/>
          <w:sz w:val="20"/>
        </w:rPr>
        <w:t>》第</w:t>
      </w:r>
      <w:r w:rsidRPr="00AE2D81">
        <w:rPr>
          <w:rFonts w:eastAsia="SimSun"/>
          <w:sz w:val="20"/>
        </w:rPr>
        <w:t>93</w:t>
      </w:r>
      <w:r w:rsidRPr="00AE2D81">
        <w:rPr>
          <w:rFonts w:eastAsia="SimSun"/>
          <w:sz w:val="20"/>
        </w:rPr>
        <w:t>期。</w:t>
      </w:r>
    </w:p>
  </w:footnote>
  <w:footnote w:id="362">
    <w:p w14:paraId="211369BE" w14:textId="77777777" w:rsidR="004D5AD7" w:rsidRPr="00E2430F" w:rsidRDefault="004D5AD7" w:rsidP="004D5AD7">
      <w:pPr>
        <w:pStyle w:val="FootnoteText"/>
        <w:spacing w:after="60"/>
      </w:pPr>
      <w:r w:rsidRPr="00AE2D81">
        <w:rPr>
          <w:rStyle w:val="FootnoteReference"/>
          <w:rFonts w:eastAsia="SimSun"/>
          <w:sz w:val="20"/>
        </w:rPr>
        <w:footnoteRef/>
      </w:r>
      <w:r w:rsidRPr="00AE2D81">
        <w:rPr>
          <w:rFonts w:eastAsia="SimSun"/>
          <w:sz w:val="20"/>
          <w:vertAlign w:val="superscript"/>
        </w:rPr>
        <w:t xml:space="preserve"> </w:t>
      </w:r>
      <w:r w:rsidRPr="00AE2D81">
        <w:rPr>
          <w:rFonts w:eastAsia="SimSun"/>
          <w:sz w:val="20"/>
        </w:rPr>
        <w:t xml:space="preserve"> </w:t>
      </w:r>
      <w:r w:rsidRPr="00AE2D81">
        <w:rPr>
          <w:rFonts w:eastAsia="SimSun"/>
          <w:sz w:val="20"/>
        </w:rPr>
        <w:t>联合国，《条约汇编》，第</w:t>
      </w:r>
      <w:r w:rsidRPr="00AE2D81">
        <w:rPr>
          <w:rFonts w:eastAsia="SimSun"/>
          <w:sz w:val="20"/>
        </w:rPr>
        <w:t>996</w:t>
      </w:r>
      <w:r w:rsidRPr="00AE2D81">
        <w:rPr>
          <w:rFonts w:eastAsia="SimSun"/>
          <w:sz w:val="20"/>
        </w:rPr>
        <w:t>卷，第</w:t>
      </w:r>
      <w:r w:rsidRPr="00AE2D81">
        <w:rPr>
          <w:rFonts w:eastAsia="SimSun"/>
          <w:sz w:val="20"/>
        </w:rPr>
        <w:t>14583</w:t>
      </w:r>
      <w:r w:rsidRPr="00AE2D81">
        <w:rPr>
          <w:rFonts w:eastAsia="SimSun"/>
          <w:sz w:val="20"/>
        </w:rPr>
        <w:t>号。</w:t>
      </w:r>
    </w:p>
  </w:footnote>
  <w:footnote w:id="363">
    <w:p w14:paraId="00CC5A0C" w14:textId="3AD3F216" w:rsidR="004D5AD7" w:rsidRPr="00A4599B" w:rsidRDefault="004D5AD7" w:rsidP="004D5AD7">
      <w:pPr>
        <w:pStyle w:val="FootnoteText"/>
        <w:rPr>
          <w:sz w:val="20"/>
        </w:rPr>
      </w:pPr>
      <w:r w:rsidRPr="00A4599B">
        <w:rPr>
          <w:rStyle w:val="FootnoteReference"/>
          <w:sz w:val="20"/>
        </w:rPr>
        <w:footnoteRef/>
      </w:r>
      <w:r w:rsidR="008206FE">
        <w:rPr>
          <w:rFonts w:hint="eastAsia"/>
          <w:sz w:val="20"/>
        </w:rPr>
        <w:t xml:space="preserve"> </w:t>
      </w:r>
      <w:r w:rsidRPr="00A4599B">
        <w:rPr>
          <w:sz w:val="20"/>
        </w:rPr>
        <w:t xml:space="preserve"> </w:t>
      </w:r>
      <w:r w:rsidRPr="008206FE">
        <w:rPr>
          <w:rFonts w:eastAsia="SimSun"/>
          <w:sz w:val="20"/>
        </w:rPr>
        <w:t>第</w:t>
      </w:r>
      <w:r w:rsidRPr="008206FE">
        <w:rPr>
          <w:rFonts w:eastAsia="SimSun"/>
          <w:sz w:val="20"/>
        </w:rPr>
        <w:t>15/8</w:t>
      </w:r>
      <w:r w:rsidRPr="008206FE">
        <w:rPr>
          <w:rFonts w:eastAsia="SimSun"/>
          <w:sz w:val="20"/>
        </w:rPr>
        <w:t>号决定，附件一。</w:t>
      </w:r>
    </w:p>
  </w:footnote>
  <w:footnote w:id="364">
    <w:p w14:paraId="35625E9C" w14:textId="77777777" w:rsidR="00DB4743" w:rsidRPr="00DB4743" w:rsidRDefault="00DB4743" w:rsidP="00DB4743">
      <w:pPr>
        <w:pStyle w:val="FootnoteText"/>
        <w:spacing w:after="60"/>
        <w:rPr>
          <w:rFonts w:eastAsia="SimSun"/>
          <w:sz w:val="20"/>
        </w:rPr>
      </w:pPr>
      <w:r w:rsidRPr="00DB4743">
        <w:rPr>
          <w:rStyle w:val="FootnoteReference"/>
          <w:rFonts w:eastAsia="SimSun"/>
          <w:sz w:val="20"/>
        </w:rPr>
        <w:footnoteRef/>
      </w:r>
      <w:r w:rsidRPr="00DB4743">
        <w:rPr>
          <w:rFonts w:eastAsia="SimSun"/>
          <w:sz w:val="20"/>
        </w:rPr>
        <w:t xml:space="preserve">  </w:t>
      </w:r>
      <w:r w:rsidRPr="00DB4743">
        <w:rPr>
          <w:rFonts w:eastAsia="SimSun"/>
          <w:sz w:val="20"/>
        </w:rPr>
        <w:t>第</w:t>
      </w:r>
      <w:r w:rsidRPr="00DB4743">
        <w:rPr>
          <w:rFonts w:eastAsia="SimSun"/>
          <w:sz w:val="20"/>
        </w:rPr>
        <w:t>15/4</w:t>
      </w:r>
      <w:r w:rsidRPr="00DB4743">
        <w:rPr>
          <w:rFonts w:eastAsia="SimSun"/>
          <w:sz w:val="20"/>
        </w:rPr>
        <w:t>号决定，附件。</w:t>
      </w:r>
      <w:r w:rsidRPr="00DB4743">
        <w:rPr>
          <w:rFonts w:eastAsia="SimSun"/>
          <w:sz w:val="20"/>
        </w:rPr>
        <w:t xml:space="preserve"> </w:t>
      </w:r>
    </w:p>
  </w:footnote>
  <w:footnote w:id="365">
    <w:p w14:paraId="19D45426" w14:textId="77777777" w:rsidR="00DB4743" w:rsidRPr="00DB4743" w:rsidRDefault="00DB4743" w:rsidP="00DB4743">
      <w:pPr>
        <w:pStyle w:val="FootnoteText"/>
        <w:spacing w:after="60"/>
        <w:rPr>
          <w:rFonts w:eastAsia="SimSun"/>
          <w:sz w:val="20"/>
        </w:rPr>
      </w:pPr>
      <w:r w:rsidRPr="00DB4743">
        <w:rPr>
          <w:rStyle w:val="FootnoteReference"/>
          <w:rFonts w:eastAsia="SimSun"/>
          <w:sz w:val="20"/>
        </w:rPr>
        <w:footnoteRef/>
      </w:r>
      <w:r w:rsidRPr="00DB4743">
        <w:rPr>
          <w:rFonts w:eastAsia="SimSun"/>
          <w:sz w:val="20"/>
        </w:rPr>
        <w:t xml:space="preserve">  </w:t>
      </w:r>
      <w:r w:rsidRPr="00DB4743">
        <w:rPr>
          <w:rFonts w:eastAsia="SimSun"/>
          <w:sz w:val="20"/>
        </w:rPr>
        <w:t>分别见</w:t>
      </w:r>
      <w:r w:rsidRPr="00DB4743">
        <w:rPr>
          <w:rFonts w:eastAsia="SimSun"/>
          <w:sz w:val="20"/>
        </w:rPr>
        <w:t>CBD/COP/16/INF/10</w:t>
      </w:r>
      <w:r w:rsidRPr="00DB4743">
        <w:rPr>
          <w:rFonts w:eastAsia="SimSun"/>
          <w:sz w:val="20"/>
        </w:rPr>
        <w:t>和</w:t>
      </w:r>
      <w:r w:rsidRPr="00DB4743">
        <w:rPr>
          <w:rFonts w:eastAsia="SimSun"/>
          <w:sz w:val="20"/>
        </w:rPr>
        <w:t>CBD/COP/16/12</w:t>
      </w:r>
      <w:r w:rsidRPr="00DB4743">
        <w:rPr>
          <w:rFonts w:eastAsia="SimSun"/>
          <w:sz w:val="20"/>
        </w:rPr>
        <w:t>。</w:t>
      </w:r>
    </w:p>
  </w:footnote>
  <w:footnote w:id="366">
    <w:p w14:paraId="01AD089B" w14:textId="77777777" w:rsidR="00DB4743" w:rsidRDefault="00DB4743" w:rsidP="00DB4743">
      <w:pPr>
        <w:pStyle w:val="FootnoteText"/>
        <w:spacing w:after="60"/>
      </w:pPr>
      <w:r w:rsidRPr="00DB4743">
        <w:rPr>
          <w:rStyle w:val="FootnoteReference"/>
          <w:rFonts w:eastAsia="SimSun"/>
          <w:sz w:val="20"/>
        </w:rPr>
        <w:footnoteRef/>
      </w:r>
      <w:r w:rsidRPr="00DB4743">
        <w:rPr>
          <w:rFonts w:eastAsia="SimSun"/>
          <w:sz w:val="20"/>
        </w:rPr>
        <w:t xml:space="preserve">  </w:t>
      </w:r>
      <w:r w:rsidRPr="00DB4743">
        <w:rPr>
          <w:rFonts w:eastAsia="SimSun"/>
          <w:sz w:val="20"/>
        </w:rPr>
        <w:t>联合国，《条约汇编》，第</w:t>
      </w:r>
      <w:r w:rsidRPr="00DB4743">
        <w:rPr>
          <w:rFonts w:eastAsia="SimSun"/>
          <w:sz w:val="20"/>
        </w:rPr>
        <w:t>1760</w:t>
      </w:r>
      <w:r w:rsidRPr="00DB4743">
        <w:rPr>
          <w:rFonts w:eastAsia="SimSun"/>
          <w:sz w:val="20"/>
        </w:rPr>
        <w:t>卷，第</w:t>
      </w:r>
      <w:r w:rsidRPr="00DB4743">
        <w:rPr>
          <w:rFonts w:eastAsia="SimSun"/>
          <w:sz w:val="20"/>
        </w:rPr>
        <w:t>30619</w:t>
      </w:r>
      <w:r w:rsidRPr="00DB4743">
        <w:rPr>
          <w:rFonts w:eastAsia="SimSun"/>
          <w:sz w:val="20"/>
        </w:rPr>
        <w:t>号。</w:t>
      </w:r>
    </w:p>
  </w:footnote>
  <w:footnote w:id="367">
    <w:p w14:paraId="36FAA7C7" w14:textId="77777777" w:rsidR="00DB4743" w:rsidRPr="00735835" w:rsidRDefault="00DB4743" w:rsidP="00DB4743">
      <w:pPr>
        <w:pStyle w:val="FootnoteText"/>
        <w:spacing w:after="40"/>
        <w:rPr>
          <w:rFonts w:eastAsia="SimSun"/>
          <w:sz w:val="20"/>
        </w:rPr>
      </w:pPr>
      <w:r w:rsidRPr="00735835">
        <w:rPr>
          <w:rStyle w:val="FootnoteReference"/>
          <w:rFonts w:eastAsia="SimSun"/>
          <w:sz w:val="20"/>
        </w:rPr>
        <w:footnoteRef/>
      </w:r>
      <w:r w:rsidRPr="00735835">
        <w:rPr>
          <w:rFonts w:eastAsia="SimSun"/>
          <w:sz w:val="20"/>
        </w:rPr>
        <w:t xml:space="preserve">  </w:t>
      </w:r>
      <w:r w:rsidRPr="00735835">
        <w:rPr>
          <w:rFonts w:eastAsia="SimSun"/>
          <w:sz w:val="20"/>
        </w:rPr>
        <w:t>联合国</w:t>
      </w:r>
      <w:r w:rsidRPr="00735835">
        <w:rPr>
          <w:rFonts w:eastAsia="SimSun"/>
          <w:sz w:val="20"/>
        </w:rPr>
        <w:t>,</w:t>
      </w:r>
      <w:r w:rsidRPr="00735835">
        <w:rPr>
          <w:rFonts w:eastAsia="SimSun"/>
          <w:sz w:val="20"/>
        </w:rPr>
        <w:t>《条约汇编》</w:t>
      </w:r>
      <w:r>
        <w:rPr>
          <w:rFonts w:eastAsia="SimSun" w:hint="eastAsia"/>
          <w:sz w:val="20"/>
        </w:rPr>
        <w:t>，</w:t>
      </w:r>
      <w:r w:rsidRPr="00735835">
        <w:rPr>
          <w:rFonts w:eastAsia="SimSun"/>
          <w:sz w:val="20"/>
        </w:rPr>
        <w:t>第</w:t>
      </w:r>
      <w:r w:rsidRPr="00735835">
        <w:rPr>
          <w:rFonts w:eastAsia="SimSun"/>
          <w:sz w:val="20"/>
        </w:rPr>
        <w:t>176</w:t>
      </w:r>
      <w:r>
        <w:rPr>
          <w:rFonts w:eastAsia="SimSun" w:hint="eastAsia"/>
          <w:sz w:val="20"/>
        </w:rPr>
        <w:t>0</w:t>
      </w:r>
      <w:r w:rsidRPr="00735835">
        <w:rPr>
          <w:rFonts w:eastAsia="SimSun"/>
          <w:sz w:val="20"/>
        </w:rPr>
        <w:t>卷，第</w:t>
      </w:r>
      <w:r w:rsidRPr="00735835">
        <w:rPr>
          <w:rFonts w:eastAsia="SimSun"/>
          <w:sz w:val="20"/>
        </w:rPr>
        <w:t>30619</w:t>
      </w:r>
      <w:r w:rsidRPr="00735835">
        <w:rPr>
          <w:rFonts w:eastAsia="SimSun"/>
          <w:sz w:val="20"/>
        </w:rPr>
        <w:t>号。</w:t>
      </w:r>
    </w:p>
  </w:footnote>
  <w:footnote w:id="368">
    <w:p w14:paraId="4903405B" w14:textId="77777777" w:rsidR="00DB4743" w:rsidRPr="00735835" w:rsidRDefault="00DB4743" w:rsidP="00DB4743">
      <w:pPr>
        <w:pStyle w:val="FootnoteText"/>
        <w:rPr>
          <w:rFonts w:eastAsia="SimSun"/>
          <w:sz w:val="20"/>
        </w:rPr>
      </w:pPr>
      <w:r w:rsidRPr="00291C53">
        <w:rPr>
          <w:rStyle w:val="FootnoteReference"/>
          <w:rFonts w:eastAsia="SimSun"/>
          <w:sz w:val="20"/>
        </w:rPr>
        <w:footnoteRef/>
      </w:r>
      <w:r w:rsidRPr="00291C53">
        <w:rPr>
          <w:rFonts w:eastAsia="SimSun"/>
          <w:sz w:val="20"/>
          <w:vertAlign w:val="superscript"/>
        </w:rPr>
        <w:t xml:space="preserve"> </w:t>
      </w:r>
      <w:r w:rsidRPr="00735835">
        <w:rPr>
          <w:rFonts w:eastAsia="SimSun"/>
          <w:sz w:val="20"/>
        </w:rPr>
        <w:t xml:space="preserve"> </w:t>
      </w:r>
      <w:r w:rsidRPr="00735835">
        <w:rPr>
          <w:rFonts w:eastAsia="SimSun"/>
          <w:sz w:val="20"/>
        </w:rPr>
        <w:t>联合国的默许程序是书面程序。</w:t>
      </w:r>
    </w:p>
  </w:footnote>
  <w:footnote w:id="369">
    <w:p w14:paraId="788F6E08" w14:textId="77777777" w:rsidR="00DB4743" w:rsidRPr="001E7588" w:rsidRDefault="00DB4743" w:rsidP="00DB4743">
      <w:pPr>
        <w:pStyle w:val="FootnoteText"/>
        <w:rPr>
          <w:sz w:val="20"/>
        </w:rPr>
      </w:pPr>
      <w:r w:rsidRPr="001E7588">
        <w:rPr>
          <w:rStyle w:val="FootnoteReference"/>
          <w:sz w:val="20"/>
        </w:rPr>
        <w:footnoteRef/>
      </w:r>
      <w:r>
        <w:rPr>
          <w:rFonts w:hint="eastAsia"/>
          <w:sz w:val="20"/>
        </w:rPr>
        <w:t xml:space="preserve"> </w:t>
      </w:r>
      <w:r w:rsidRPr="001E7588">
        <w:rPr>
          <w:sz w:val="20"/>
        </w:rPr>
        <w:t xml:space="preserve"> </w:t>
      </w:r>
      <w:r w:rsidRPr="003D2DCD">
        <w:rPr>
          <w:rFonts w:eastAsia="SimSun"/>
          <w:sz w:val="20"/>
        </w:rPr>
        <w:t>联合国，《条约汇编》，第</w:t>
      </w:r>
      <w:r w:rsidRPr="003D2DCD">
        <w:rPr>
          <w:rFonts w:eastAsia="SimSun"/>
          <w:sz w:val="20"/>
        </w:rPr>
        <w:t>1760</w:t>
      </w:r>
      <w:r w:rsidRPr="003D2DCD">
        <w:rPr>
          <w:rFonts w:eastAsia="SimSun"/>
          <w:sz w:val="20"/>
        </w:rPr>
        <w:t>卷，第</w:t>
      </w:r>
      <w:r w:rsidRPr="003D2DCD">
        <w:rPr>
          <w:rFonts w:eastAsia="SimSun"/>
          <w:sz w:val="20"/>
        </w:rPr>
        <w:t>30619</w:t>
      </w:r>
      <w:r w:rsidRPr="003D2DCD">
        <w:rPr>
          <w:rFonts w:eastAsia="SimSun"/>
          <w:sz w:val="20"/>
        </w:rPr>
        <w:t>号。</w:t>
      </w:r>
    </w:p>
  </w:footnote>
  <w:footnote w:id="370">
    <w:p w14:paraId="581A1F69" w14:textId="77777777" w:rsidR="007946F0" w:rsidRPr="00055990" w:rsidRDefault="007946F0" w:rsidP="007946F0">
      <w:pPr>
        <w:pStyle w:val="FootnoteText"/>
        <w:spacing w:after="60"/>
        <w:rPr>
          <w:rFonts w:eastAsia="SimSun"/>
          <w:sz w:val="20"/>
          <w:lang w:val="x-none"/>
        </w:rPr>
      </w:pPr>
      <w:r w:rsidRPr="00055990">
        <w:rPr>
          <w:rStyle w:val="FootnoteReference"/>
          <w:rFonts w:eastAsia="SimSun"/>
          <w:sz w:val="20"/>
        </w:rPr>
        <w:footnoteRef/>
      </w:r>
      <w:r w:rsidRPr="00055990">
        <w:rPr>
          <w:rFonts w:eastAsia="SimSun"/>
          <w:sz w:val="20"/>
        </w:rPr>
        <w:t xml:space="preserve">  </w:t>
      </w:r>
      <w:r w:rsidRPr="00055990">
        <w:rPr>
          <w:rFonts w:eastAsia="SimSun"/>
          <w:sz w:val="20"/>
        </w:rPr>
        <w:t>联合国，《条约汇编》，第</w:t>
      </w:r>
      <w:r w:rsidRPr="00055990">
        <w:rPr>
          <w:rFonts w:eastAsia="SimSun"/>
          <w:sz w:val="20"/>
        </w:rPr>
        <w:t>1760</w:t>
      </w:r>
      <w:r w:rsidRPr="00055990">
        <w:rPr>
          <w:rFonts w:eastAsia="SimSun"/>
          <w:sz w:val="20"/>
        </w:rPr>
        <w:t>卷，第</w:t>
      </w:r>
      <w:r w:rsidRPr="00055990">
        <w:rPr>
          <w:rFonts w:eastAsia="SimSun"/>
          <w:sz w:val="20"/>
        </w:rPr>
        <w:t>30619</w:t>
      </w:r>
      <w:r w:rsidRPr="00055990">
        <w:rPr>
          <w:rFonts w:eastAsia="SimSun"/>
          <w:sz w:val="20"/>
        </w:rPr>
        <w:t>号。</w:t>
      </w:r>
    </w:p>
  </w:footnote>
  <w:footnote w:id="371">
    <w:p w14:paraId="7D33EC76" w14:textId="77777777" w:rsidR="007946F0" w:rsidRPr="00055990" w:rsidRDefault="007946F0" w:rsidP="007946F0">
      <w:pPr>
        <w:pStyle w:val="FootnoteText"/>
        <w:spacing w:after="60"/>
        <w:rPr>
          <w:rFonts w:eastAsia="SimSun"/>
          <w:sz w:val="20"/>
        </w:rPr>
      </w:pPr>
      <w:r w:rsidRPr="00055990">
        <w:rPr>
          <w:rStyle w:val="FootnoteReference"/>
          <w:rFonts w:eastAsia="SimSun"/>
          <w:sz w:val="20"/>
        </w:rPr>
        <w:footnoteRef/>
      </w:r>
      <w:r w:rsidRPr="00055990">
        <w:rPr>
          <w:rFonts w:eastAsia="SimSun"/>
          <w:sz w:val="20"/>
        </w:rPr>
        <w:t xml:space="preserve">  </w:t>
      </w:r>
      <w:hyperlink r:id="rId150" w:history="1">
        <w:r w:rsidRPr="00055990">
          <w:rPr>
            <w:rStyle w:val="Hyperlink"/>
            <w:rFonts w:eastAsia="SimSun"/>
            <w:sz w:val="20"/>
          </w:rPr>
          <w:t>CBD/SBI/4/11/Add.1</w:t>
        </w:r>
      </w:hyperlink>
      <w:r w:rsidRPr="00055990">
        <w:rPr>
          <w:rFonts w:eastAsia="SimSun"/>
          <w:sz w:val="20"/>
        </w:rPr>
        <w:t>。</w:t>
      </w:r>
    </w:p>
  </w:footnote>
  <w:footnote w:id="372">
    <w:p w14:paraId="4C036B98" w14:textId="77777777" w:rsidR="007946F0" w:rsidRPr="007946F0" w:rsidRDefault="007946F0" w:rsidP="007946F0">
      <w:pPr>
        <w:pStyle w:val="FootnoteText"/>
        <w:spacing w:after="60"/>
      </w:pPr>
      <w:r w:rsidRPr="00055990">
        <w:rPr>
          <w:rStyle w:val="FootnoteReference"/>
          <w:rFonts w:eastAsia="SimSun"/>
          <w:sz w:val="20"/>
        </w:rPr>
        <w:footnoteRef/>
      </w:r>
      <w:r w:rsidRPr="00055990">
        <w:rPr>
          <w:rFonts w:eastAsia="SimSun"/>
          <w:sz w:val="20"/>
        </w:rPr>
        <w:t xml:space="preserve">  </w:t>
      </w:r>
      <w:r w:rsidRPr="00055990">
        <w:rPr>
          <w:rFonts w:eastAsia="SimSun"/>
          <w:sz w:val="20"/>
        </w:rPr>
        <w:t>第</w:t>
      </w:r>
      <w:hyperlink r:id="rId151" w:history="1">
        <w:r w:rsidRPr="00055990">
          <w:rPr>
            <w:rStyle w:val="Hyperlink"/>
            <w:rFonts w:eastAsia="SimSun"/>
            <w:sz w:val="20"/>
          </w:rPr>
          <w:t>14/33</w:t>
        </w:r>
      </w:hyperlink>
      <w:r w:rsidRPr="00055990">
        <w:rPr>
          <w:rFonts w:eastAsia="SimSun"/>
          <w:sz w:val="20"/>
        </w:rPr>
        <w:t>号决定，附件。</w:t>
      </w:r>
    </w:p>
  </w:footnote>
  <w:footnote w:id="373">
    <w:p w14:paraId="1AE3737E" w14:textId="77777777" w:rsidR="007946F0" w:rsidRPr="00503034" w:rsidRDefault="007946F0" w:rsidP="007946F0">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Pr="00503034">
        <w:rPr>
          <w:rFonts w:eastAsia="SimSun"/>
          <w:sz w:val="20"/>
        </w:rPr>
        <w:t>联合国，《条约汇编》，第</w:t>
      </w:r>
      <w:r w:rsidRPr="00503034">
        <w:rPr>
          <w:rFonts w:eastAsia="SimSun"/>
          <w:sz w:val="20"/>
        </w:rPr>
        <w:t>1760</w:t>
      </w:r>
      <w:r w:rsidRPr="00503034">
        <w:rPr>
          <w:rFonts w:eastAsia="SimSun"/>
          <w:sz w:val="20"/>
        </w:rPr>
        <w:t>卷，第</w:t>
      </w:r>
      <w:r w:rsidRPr="00503034">
        <w:rPr>
          <w:rFonts w:eastAsia="SimSun"/>
          <w:sz w:val="20"/>
        </w:rPr>
        <w:t>30619</w:t>
      </w:r>
      <w:r w:rsidRPr="00503034">
        <w:rPr>
          <w:rFonts w:eastAsia="SimSun"/>
          <w:sz w:val="20"/>
        </w:rPr>
        <w:t>号。</w:t>
      </w:r>
    </w:p>
  </w:footnote>
  <w:footnote w:id="374">
    <w:p w14:paraId="22D260F9" w14:textId="77777777" w:rsidR="007946F0" w:rsidRPr="00503034" w:rsidRDefault="007946F0" w:rsidP="007946F0">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Pr="00503034">
        <w:rPr>
          <w:rFonts w:eastAsia="SimSun"/>
          <w:sz w:val="20"/>
        </w:rPr>
        <w:t>经第</w:t>
      </w:r>
      <w:r w:rsidRPr="00503034">
        <w:rPr>
          <w:rFonts w:eastAsia="SimSun"/>
          <w:sz w:val="20"/>
        </w:rPr>
        <w:t>V/20</w:t>
      </w:r>
      <w:r w:rsidRPr="00503034">
        <w:rPr>
          <w:rFonts w:eastAsia="SimSun"/>
          <w:sz w:val="20"/>
        </w:rPr>
        <w:t>号决定修正的第</w:t>
      </w:r>
      <w:r w:rsidRPr="00503034">
        <w:rPr>
          <w:rFonts w:eastAsia="SimSun"/>
          <w:sz w:val="20"/>
        </w:rPr>
        <w:t>I/1</w:t>
      </w:r>
      <w:r w:rsidRPr="00503034">
        <w:rPr>
          <w:rFonts w:eastAsia="SimSun"/>
          <w:sz w:val="20"/>
        </w:rPr>
        <w:t>号决定。</w:t>
      </w:r>
    </w:p>
  </w:footnote>
  <w:footnote w:id="375">
    <w:p w14:paraId="7BDEECC5" w14:textId="77777777" w:rsidR="007946F0" w:rsidRPr="00503034" w:rsidRDefault="007946F0" w:rsidP="007946F0">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Pr="00503034">
        <w:rPr>
          <w:rFonts w:eastAsia="SimSun"/>
          <w:sz w:val="20"/>
        </w:rPr>
        <w:t>联合国，《条约汇编》，第</w:t>
      </w:r>
      <w:r w:rsidRPr="00503034">
        <w:rPr>
          <w:rFonts w:eastAsia="SimSun"/>
          <w:sz w:val="20"/>
        </w:rPr>
        <w:t>2226</w:t>
      </w:r>
      <w:r w:rsidRPr="00503034">
        <w:rPr>
          <w:rFonts w:eastAsia="SimSun"/>
          <w:sz w:val="20"/>
        </w:rPr>
        <w:t>卷，第</w:t>
      </w:r>
      <w:r w:rsidRPr="00503034">
        <w:rPr>
          <w:rFonts w:eastAsia="SimSun"/>
          <w:sz w:val="20"/>
        </w:rPr>
        <w:t>30619</w:t>
      </w:r>
      <w:r w:rsidRPr="00503034">
        <w:rPr>
          <w:rFonts w:eastAsia="SimSun"/>
          <w:sz w:val="20"/>
        </w:rPr>
        <w:t>号。</w:t>
      </w:r>
    </w:p>
  </w:footnote>
  <w:footnote w:id="376">
    <w:p w14:paraId="322E4A3D" w14:textId="77777777" w:rsidR="007946F0" w:rsidRPr="00503034" w:rsidRDefault="007946F0" w:rsidP="007946F0">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Pr="00503034">
        <w:rPr>
          <w:rFonts w:eastAsia="SimSun"/>
          <w:sz w:val="20"/>
        </w:rPr>
        <w:t>同上，第</w:t>
      </w:r>
      <w:r w:rsidRPr="00503034">
        <w:rPr>
          <w:rFonts w:eastAsia="SimSun"/>
          <w:sz w:val="20"/>
        </w:rPr>
        <w:t>3008</w:t>
      </w:r>
      <w:r w:rsidRPr="00503034">
        <w:rPr>
          <w:rFonts w:eastAsia="SimSun"/>
          <w:sz w:val="20"/>
        </w:rPr>
        <w:t>卷，第</w:t>
      </w:r>
      <w:r w:rsidRPr="00503034">
        <w:rPr>
          <w:rFonts w:eastAsia="SimSun"/>
          <w:sz w:val="20"/>
        </w:rPr>
        <w:t>30619</w:t>
      </w:r>
      <w:r w:rsidRPr="00503034">
        <w:rPr>
          <w:rFonts w:eastAsia="SimSun"/>
          <w:sz w:val="20"/>
        </w:rPr>
        <w:t>号</w:t>
      </w:r>
      <w:r w:rsidRPr="00503034">
        <w:rPr>
          <w:rFonts w:eastAsia="SimSun"/>
          <w:sz w:val="20"/>
        </w:rPr>
        <w:t>.</w:t>
      </w:r>
    </w:p>
  </w:footnote>
  <w:footnote w:id="377">
    <w:p w14:paraId="34E2C5A0" w14:textId="77777777" w:rsidR="007946F0" w:rsidRPr="00880009" w:rsidRDefault="007946F0" w:rsidP="007946F0">
      <w:pPr>
        <w:pStyle w:val="FootnoteText"/>
        <w:spacing w:after="60"/>
      </w:pPr>
      <w:r w:rsidRPr="00503034">
        <w:rPr>
          <w:rStyle w:val="FootnoteReference"/>
          <w:rFonts w:eastAsia="SimSun"/>
          <w:sz w:val="20"/>
        </w:rPr>
        <w:footnoteRef/>
      </w:r>
      <w:r w:rsidRPr="00503034">
        <w:rPr>
          <w:rFonts w:eastAsia="SimSun"/>
          <w:sz w:val="20"/>
        </w:rPr>
        <w:t xml:space="preserve">  ST/AI/342</w:t>
      </w:r>
      <w:r w:rsidRPr="00503034">
        <w:rPr>
          <w:rFonts w:eastAsia="SimSun"/>
          <w:sz w:val="20"/>
        </w:rPr>
        <w:t>。</w:t>
      </w:r>
    </w:p>
  </w:footnote>
  <w:footnote w:id="378">
    <w:p w14:paraId="69B416A5" w14:textId="5781DA6D" w:rsidR="00A528CF" w:rsidRPr="00503034" w:rsidRDefault="00A528CF" w:rsidP="00503034">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00503034">
        <w:rPr>
          <w:rFonts w:eastAsia="SimSun" w:hint="eastAsia"/>
          <w:sz w:val="20"/>
        </w:rPr>
        <w:t xml:space="preserve"> </w:t>
      </w:r>
      <w:r w:rsidRPr="00503034">
        <w:rPr>
          <w:rFonts w:eastAsia="SimSun"/>
          <w:sz w:val="20"/>
        </w:rPr>
        <w:t>联合国，《条约汇编》，第</w:t>
      </w:r>
      <w:r w:rsidRPr="00503034">
        <w:rPr>
          <w:rFonts w:eastAsia="SimSun"/>
          <w:sz w:val="20"/>
        </w:rPr>
        <w:t>1760</w:t>
      </w:r>
      <w:r w:rsidRPr="00503034">
        <w:rPr>
          <w:rFonts w:eastAsia="SimSun"/>
          <w:sz w:val="20"/>
        </w:rPr>
        <w:t>卷，第</w:t>
      </w:r>
      <w:r w:rsidRPr="00503034">
        <w:rPr>
          <w:rFonts w:eastAsia="SimSun"/>
          <w:sz w:val="20"/>
        </w:rPr>
        <w:t>30619</w:t>
      </w:r>
      <w:r w:rsidRPr="00503034">
        <w:rPr>
          <w:rFonts w:eastAsia="SimSun"/>
          <w:sz w:val="20"/>
        </w:rPr>
        <w:t>号。</w:t>
      </w:r>
    </w:p>
  </w:footnote>
  <w:footnote w:id="379">
    <w:p w14:paraId="3CD59800" w14:textId="2BA563B0" w:rsidR="00A528CF" w:rsidRPr="00503034" w:rsidRDefault="00A528CF" w:rsidP="00503034">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00503034">
        <w:rPr>
          <w:rFonts w:eastAsia="SimSun" w:hint="eastAsia"/>
          <w:sz w:val="20"/>
        </w:rPr>
        <w:t xml:space="preserve"> </w:t>
      </w:r>
      <w:r w:rsidRPr="00503034">
        <w:rPr>
          <w:rFonts w:eastAsia="SimSun"/>
          <w:sz w:val="20"/>
        </w:rPr>
        <w:t>第</w:t>
      </w:r>
      <w:r w:rsidRPr="00503034">
        <w:rPr>
          <w:rFonts w:eastAsia="SimSun"/>
          <w:sz w:val="20"/>
        </w:rPr>
        <w:t>15/4</w:t>
      </w:r>
      <w:r w:rsidRPr="00503034">
        <w:rPr>
          <w:rFonts w:eastAsia="SimSun"/>
          <w:sz w:val="20"/>
        </w:rPr>
        <w:t>号决定，附件。</w:t>
      </w:r>
    </w:p>
  </w:footnote>
  <w:footnote w:id="380">
    <w:p w14:paraId="69350C98" w14:textId="02EE137C" w:rsidR="00A528CF" w:rsidRPr="00503034" w:rsidRDefault="00A528CF" w:rsidP="00503034">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00503034">
        <w:rPr>
          <w:rFonts w:eastAsia="SimSun" w:hint="eastAsia"/>
          <w:sz w:val="20"/>
        </w:rPr>
        <w:t xml:space="preserve"> </w:t>
      </w:r>
      <w:hyperlink r:id="rId152" w:history="1">
        <w:r w:rsidRPr="00503034">
          <w:rPr>
            <w:rStyle w:val="Hyperlink"/>
            <w:rFonts w:eastAsia="SimSun"/>
            <w:sz w:val="20"/>
          </w:rPr>
          <w:t>CBD/COP/16/2/Rev.1</w:t>
        </w:r>
      </w:hyperlink>
      <w:r w:rsidRPr="00503034">
        <w:rPr>
          <w:rFonts w:eastAsia="SimSun"/>
          <w:sz w:val="20"/>
        </w:rPr>
        <w:t>、</w:t>
      </w:r>
      <w:hyperlink r:id="rId153" w:history="1">
        <w:r w:rsidRPr="00503034">
          <w:rPr>
            <w:rStyle w:val="Hyperlink"/>
            <w:rFonts w:eastAsia="SimSun"/>
            <w:sz w:val="20"/>
          </w:rPr>
          <w:t>CBD/COP/16/2/Rev.1/Add.1</w:t>
        </w:r>
      </w:hyperlink>
      <w:r w:rsidRPr="00503034">
        <w:rPr>
          <w:rFonts w:eastAsia="SimSun"/>
          <w:sz w:val="20"/>
        </w:rPr>
        <w:t>、</w:t>
      </w:r>
      <w:hyperlink r:id="rId154" w:history="1">
        <w:r w:rsidRPr="00503034">
          <w:rPr>
            <w:rStyle w:val="Hyperlink"/>
            <w:rFonts w:eastAsia="SimSun"/>
            <w:sz w:val="20"/>
          </w:rPr>
          <w:t>CBD/COP/16/4</w:t>
        </w:r>
      </w:hyperlink>
      <w:r w:rsidRPr="00503034">
        <w:rPr>
          <w:rFonts w:eastAsia="SimSun"/>
          <w:sz w:val="20"/>
        </w:rPr>
        <w:t>、</w:t>
      </w:r>
      <w:hyperlink r:id="rId155" w:history="1">
        <w:r w:rsidRPr="00503034">
          <w:rPr>
            <w:rStyle w:val="Hyperlink"/>
            <w:rFonts w:eastAsia="SimSun"/>
            <w:sz w:val="20"/>
          </w:rPr>
          <w:t>CBD/COP/16/4/Add.1</w:t>
        </w:r>
      </w:hyperlink>
      <w:r w:rsidRPr="00503034">
        <w:rPr>
          <w:rFonts w:eastAsia="SimSun"/>
          <w:sz w:val="20"/>
        </w:rPr>
        <w:t xml:space="preserve"> </w:t>
      </w:r>
      <w:r w:rsidRPr="00503034">
        <w:rPr>
          <w:rFonts w:eastAsia="SimSun"/>
          <w:sz w:val="20"/>
        </w:rPr>
        <w:t>和</w:t>
      </w:r>
      <w:r w:rsidRPr="00503034">
        <w:rPr>
          <w:rFonts w:eastAsia="SimSun"/>
          <w:sz w:val="20"/>
        </w:rPr>
        <w:t xml:space="preserve"> </w:t>
      </w:r>
      <w:hyperlink r:id="rId156" w:history="1">
        <w:r w:rsidRPr="00503034">
          <w:rPr>
            <w:rStyle w:val="Hyperlink"/>
            <w:rFonts w:eastAsia="SimSun"/>
            <w:sz w:val="20"/>
          </w:rPr>
          <w:t>CBD/COP/16/4/Add.2</w:t>
        </w:r>
      </w:hyperlink>
      <w:r w:rsidRPr="00503034">
        <w:rPr>
          <w:rFonts w:eastAsia="SimSun"/>
          <w:sz w:val="20"/>
        </w:rPr>
        <w:t>。</w:t>
      </w:r>
    </w:p>
  </w:footnote>
  <w:footnote w:id="381">
    <w:p w14:paraId="3330FFD5" w14:textId="026E2689" w:rsidR="00A528CF" w:rsidRPr="00503034" w:rsidRDefault="00A528CF" w:rsidP="00503034">
      <w:pPr>
        <w:pStyle w:val="FootnoteText"/>
        <w:spacing w:after="60"/>
        <w:rPr>
          <w:rFonts w:eastAsia="SimSun"/>
          <w:sz w:val="20"/>
        </w:rPr>
      </w:pPr>
      <w:r w:rsidRPr="00503034">
        <w:rPr>
          <w:rStyle w:val="FootnoteReference"/>
          <w:rFonts w:eastAsia="SimSun"/>
          <w:sz w:val="20"/>
        </w:rPr>
        <w:footnoteRef/>
      </w:r>
      <w:r w:rsidRPr="00503034">
        <w:rPr>
          <w:rFonts w:eastAsia="SimSun"/>
          <w:sz w:val="20"/>
        </w:rPr>
        <w:t xml:space="preserve"> </w:t>
      </w:r>
      <w:r w:rsidR="00503034">
        <w:rPr>
          <w:rFonts w:eastAsia="SimSun" w:hint="eastAsia"/>
          <w:sz w:val="20"/>
        </w:rPr>
        <w:t xml:space="preserve"> </w:t>
      </w:r>
      <w:r w:rsidRPr="00503034">
        <w:rPr>
          <w:rFonts w:eastAsia="SimSun"/>
          <w:sz w:val="20"/>
        </w:rPr>
        <w:t>联合国，《条约汇编》，第</w:t>
      </w:r>
      <w:r w:rsidRPr="00503034">
        <w:rPr>
          <w:rFonts w:eastAsia="SimSun"/>
          <w:sz w:val="20"/>
        </w:rPr>
        <w:t>2226</w:t>
      </w:r>
      <w:r w:rsidRPr="00503034">
        <w:rPr>
          <w:rFonts w:eastAsia="SimSun"/>
          <w:sz w:val="20"/>
        </w:rPr>
        <w:t>卷，第</w:t>
      </w:r>
      <w:r w:rsidRPr="00503034">
        <w:rPr>
          <w:rFonts w:eastAsia="SimSun"/>
          <w:sz w:val="20"/>
        </w:rPr>
        <w:t>30619</w:t>
      </w:r>
      <w:r w:rsidRPr="00503034">
        <w:rPr>
          <w:rFonts w:eastAsia="SimSun"/>
          <w:sz w:val="20"/>
        </w:rPr>
        <w:t>号。</w:t>
      </w:r>
    </w:p>
  </w:footnote>
  <w:footnote w:id="382">
    <w:p w14:paraId="79D35555" w14:textId="56C908DF" w:rsidR="00A528CF" w:rsidRPr="00FA45E1" w:rsidRDefault="00A528CF" w:rsidP="00503034">
      <w:pPr>
        <w:pStyle w:val="FootnoteText"/>
        <w:spacing w:after="60"/>
        <w:rPr>
          <w:sz w:val="20"/>
        </w:rPr>
      </w:pPr>
      <w:r w:rsidRPr="00503034">
        <w:rPr>
          <w:rStyle w:val="FootnoteReference"/>
          <w:rFonts w:eastAsia="SimSun"/>
          <w:sz w:val="20"/>
        </w:rPr>
        <w:footnoteRef/>
      </w:r>
      <w:r w:rsidRPr="00503034">
        <w:rPr>
          <w:rFonts w:eastAsia="SimSun"/>
          <w:sz w:val="20"/>
        </w:rPr>
        <w:t xml:space="preserve"> </w:t>
      </w:r>
      <w:r w:rsidR="00503034">
        <w:rPr>
          <w:rFonts w:eastAsia="SimSun" w:hint="eastAsia"/>
          <w:sz w:val="20"/>
        </w:rPr>
        <w:t xml:space="preserve"> </w:t>
      </w:r>
      <w:r w:rsidRPr="00503034">
        <w:rPr>
          <w:rFonts w:eastAsia="SimSun"/>
          <w:sz w:val="20"/>
        </w:rPr>
        <w:t>同上，第</w:t>
      </w:r>
      <w:r w:rsidRPr="00503034">
        <w:rPr>
          <w:rFonts w:eastAsia="SimSun"/>
          <w:sz w:val="20"/>
        </w:rPr>
        <w:t>3008</w:t>
      </w:r>
      <w:r w:rsidRPr="00503034">
        <w:rPr>
          <w:rFonts w:eastAsia="SimSun"/>
          <w:sz w:val="20"/>
        </w:rPr>
        <w:t>卷，第</w:t>
      </w:r>
      <w:r w:rsidRPr="00503034">
        <w:rPr>
          <w:rFonts w:eastAsia="SimSun"/>
          <w:sz w:val="20"/>
        </w:rPr>
        <w:t>30619</w:t>
      </w:r>
      <w:r w:rsidRPr="00503034">
        <w:rPr>
          <w:rFonts w:eastAsia="SimSun"/>
          <w:sz w:val="20"/>
        </w:rPr>
        <w:t>号。</w:t>
      </w:r>
    </w:p>
  </w:footnote>
  <w:footnote w:id="383">
    <w:p w14:paraId="3B7D9E9B" w14:textId="0D34A9F5" w:rsidR="00A528CF" w:rsidRPr="00500378" w:rsidRDefault="00A528CF" w:rsidP="00500378">
      <w:pPr>
        <w:spacing w:after="60"/>
        <w:rPr>
          <w:rFonts w:eastAsia="SimSun"/>
          <w:sz w:val="20"/>
          <w:szCs w:val="20"/>
        </w:rPr>
      </w:pPr>
      <w:r w:rsidRPr="00500378">
        <w:rPr>
          <w:rStyle w:val="FootnoteReference"/>
          <w:rFonts w:eastAsia="SimSun"/>
          <w:sz w:val="20"/>
          <w:szCs w:val="20"/>
        </w:rPr>
        <w:footnoteRef/>
      </w:r>
      <w:r w:rsidRPr="00500378">
        <w:rPr>
          <w:rFonts w:eastAsia="SimSun"/>
          <w:sz w:val="20"/>
          <w:szCs w:val="20"/>
        </w:rPr>
        <w:t xml:space="preserve"> </w:t>
      </w:r>
      <w:r w:rsidR="00875DB5" w:rsidRPr="00500378">
        <w:rPr>
          <w:rFonts w:eastAsia="SimSun"/>
          <w:sz w:val="20"/>
          <w:szCs w:val="20"/>
        </w:rPr>
        <w:t xml:space="preserve"> </w:t>
      </w:r>
      <w:r w:rsidRPr="00500378">
        <w:rPr>
          <w:rFonts w:eastAsia="SimSun"/>
          <w:sz w:val="20"/>
          <w:szCs w:val="20"/>
        </w:rPr>
        <w:t>载于</w:t>
      </w:r>
      <w:r w:rsidR="00875DB5" w:rsidRPr="00500378">
        <w:rPr>
          <w:rFonts w:eastAsia="SimSun" w:hint="eastAsia"/>
          <w:sz w:val="20"/>
          <w:szCs w:val="20"/>
        </w:rPr>
        <w:t>联合国</w:t>
      </w:r>
      <w:r w:rsidRPr="00500378">
        <w:rPr>
          <w:rFonts w:eastAsia="SimSun"/>
          <w:sz w:val="20"/>
          <w:szCs w:val="20"/>
        </w:rPr>
        <w:t>大会第</w:t>
      </w:r>
      <w:r w:rsidRPr="00500378">
        <w:rPr>
          <w:rFonts w:eastAsia="SimSun"/>
          <w:sz w:val="20"/>
          <w:szCs w:val="20"/>
        </w:rPr>
        <w:t>76/238</w:t>
      </w:r>
      <w:r w:rsidRPr="00500378">
        <w:rPr>
          <w:rFonts w:eastAsia="SimSun"/>
          <w:sz w:val="20"/>
          <w:szCs w:val="20"/>
        </w:rPr>
        <w:t>号决议。一旦大会通过，修订后的</w:t>
      </w:r>
      <w:r w:rsidRPr="00500378">
        <w:rPr>
          <w:rFonts w:eastAsia="SimSun"/>
          <w:sz w:val="20"/>
          <w:szCs w:val="20"/>
        </w:rPr>
        <w:t>2025-2027</w:t>
      </w:r>
      <w:r w:rsidRPr="00500378">
        <w:rPr>
          <w:rFonts w:eastAsia="SimSun"/>
          <w:sz w:val="20"/>
          <w:szCs w:val="20"/>
        </w:rPr>
        <w:t>三年期会费分摊比额表将用于计算</w:t>
      </w:r>
      <w:r w:rsidRPr="00500378">
        <w:rPr>
          <w:rFonts w:eastAsia="SimSun"/>
          <w:sz w:val="20"/>
          <w:szCs w:val="20"/>
        </w:rPr>
        <w:t>2025-2026</w:t>
      </w:r>
      <w:r w:rsidRPr="00500378">
        <w:rPr>
          <w:rFonts w:eastAsia="SimSun"/>
          <w:sz w:val="20"/>
          <w:szCs w:val="20"/>
        </w:rPr>
        <w:t>两年期的分摊会费。</w:t>
      </w:r>
    </w:p>
  </w:footnote>
  <w:footnote w:id="384">
    <w:p w14:paraId="5D3A7C8B" w14:textId="77777777" w:rsidR="00A528CF" w:rsidRPr="00FA45E1" w:rsidRDefault="00A528CF" w:rsidP="00500378">
      <w:pPr>
        <w:pStyle w:val="CBDFootnoteText"/>
        <w:spacing w:after="60"/>
        <w:rPr>
          <w:sz w:val="20"/>
          <w:szCs w:val="20"/>
          <w:lang w:eastAsia="zh-CN"/>
        </w:rPr>
      </w:pPr>
      <w:r w:rsidRPr="00500378">
        <w:rPr>
          <w:rStyle w:val="FootnoteReference"/>
          <w:rFonts w:eastAsia="SimSun"/>
          <w:sz w:val="20"/>
          <w:szCs w:val="20"/>
          <w:lang w:eastAsia="zh-CN"/>
        </w:rPr>
        <w:footnoteRef/>
      </w:r>
      <w:r w:rsidRPr="00500378">
        <w:rPr>
          <w:rFonts w:eastAsia="SimSun"/>
          <w:sz w:val="20"/>
          <w:szCs w:val="20"/>
          <w:lang w:eastAsia="zh-CN"/>
        </w:rPr>
        <w:t xml:space="preserve"> </w:t>
      </w:r>
      <w:r w:rsidRPr="00500378">
        <w:rPr>
          <w:rFonts w:eastAsia="SimSun"/>
          <w:sz w:val="20"/>
          <w:szCs w:val="20"/>
          <w:lang w:eastAsia="zh-CN"/>
        </w:rPr>
        <w:t>《公约》第</w:t>
      </w:r>
      <w:hyperlink r:id="rId157" w:history="1">
        <w:r w:rsidRPr="00500378">
          <w:rPr>
            <w:rStyle w:val="Hyperlink"/>
            <w:rFonts w:eastAsia="SimSun"/>
            <w:sz w:val="20"/>
            <w:szCs w:val="20"/>
            <w:lang w:eastAsia="zh-CN"/>
          </w:rPr>
          <w:t>24</w:t>
        </w:r>
      </w:hyperlink>
      <w:r w:rsidRPr="00500378">
        <w:rPr>
          <w:rFonts w:eastAsia="SimSun"/>
          <w:sz w:val="20"/>
          <w:szCs w:val="20"/>
          <w:lang w:eastAsia="zh-CN"/>
        </w:rPr>
        <w:t>条的规定。</w:t>
      </w:r>
    </w:p>
  </w:footnote>
  <w:footnote w:id="385">
    <w:p w14:paraId="27C8D157" w14:textId="3158AFDB" w:rsidR="00A528CF" w:rsidRPr="00875DB5" w:rsidRDefault="00A528CF" w:rsidP="00B25AEF">
      <w:pPr>
        <w:pStyle w:val="FootnoteText"/>
        <w:spacing w:after="60"/>
        <w:rPr>
          <w:rFonts w:eastAsia="SimSun"/>
          <w:sz w:val="20"/>
        </w:rPr>
      </w:pPr>
      <w:r w:rsidRPr="00875DB5">
        <w:rPr>
          <w:rStyle w:val="FootnoteReference"/>
          <w:rFonts w:eastAsia="SimSun"/>
          <w:sz w:val="20"/>
        </w:rPr>
        <w:footnoteRef/>
      </w:r>
      <w:r w:rsidR="00875DB5">
        <w:rPr>
          <w:rFonts w:eastAsia="SimSun" w:hint="eastAsia"/>
          <w:sz w:val="20"/>
        </w:rPr>
        <w:t xml:space="preserve"> </w:t>
      </w:r>
      <w:r w:rsidRPr="00875DB5">
        <w:rPr>
          <w:rFonts w:eastAsia="SimSun"/>
          <w:sz w:val="20"/>
        </w:rPr>
        <w:t xml:space="preserve"> ST/SGB/2013/4</w:t>
      </w:r>
      <w:r w:rsidRPr="00875DB5">
        <w:rPr>
          <w:rFonts w:eastAsia="SimSun"/>
          <w:sz w:val="20"/>
        </w:rPr>
        <w:t>和</w:t>
      </w:r>
      <w:r w:rsidRPr="00875DB5">
        <w:rPr>
          <w:rFonts w:eastAsia="SimSun"/>
          <w:sz w:val="20"/>
        </w:rPr>
        <w:t>ST/SGB/2013/4/Amend.1</w:t>
      </w:r>
      <w:r w:rsidRPr="00875DB5">
        <w:rPr>
          <w:rFonts w:eastAsia="SimSun"/>
          <w:sz w:val="20"/>
        </w:rPr>
        <w:t>。</w:t>
      </w:r>
    </w:p>
  </w:footnote>
  <w:footnote w:id="386">
    <w:p w14:paraId="5E13BF36" w14:textId="325F2380" w:rsidR="00A528CF" w:rsidRPr="00FA45E1" w:rsidRDefault="00A528CF" w:rsidP="00B25AEF">
      <w:pPr>
        <w:spacing w:after="60"/>
        <w:rPr>
          <w:sz w:val="20"/>
          <w:szCs w:val="20"/>
        </w:rPr>
      </w:pPr>
      <w:r w:rsidRPr="00875DB5">
        <w:rPr>
          <w:rStyle w:val="FootnoteReference"/>
          <w:rFonts w:eastAsia="SimSun"/>
          <w:sz w:val="20"/>
          <w:szCs w:val="20"/>
        </w:rPr>
        <w:footnoteRef/>
      </w:r>
      <w:r w:rsidRPr="00875DB5">
        <w:rPr>
          <w:rFonts w:eastAsia="SimSun"/>
          <w:b/>
          <w:sz w:val="20"/>
          <w:szCs w:val="20"/>
          <w:vertAlign w:val="superscript"/>
        </w:rPr>
        <w:t xml:space="preserve"> </w:t>
      </w:r>
      <w:r w:rsidR="00875DB5">
        <w:rPr>
          <w:rFonts w:eastAsia="SimSun" w:hint="eastAsia"/>
          <w:b/>
          <w:sz w:val="20"/>
          <w:szCs w:val="20"/>
          <w:vertAlign w:val="superscript"/>
        </w:rPr>
        <w:t xml:space="preserve"> </w:t>
      </w:r>
      <w:r w:rsidRPr="00875DB5">
        <w:rPr>
          <w:rFonts w:eastAsia="SimSun"/>
          <w:bCs/>
          <w:sz w:val="20"/>
          <w:szCs w:val="20"/>
        </w:rPr>
        <w:t>见</w:t>
      </w:r>
      <w:r w:rsidRPr="00875DB5">
        <w:rPr>
          <w:rFonts w:eastAsia="SimSun"/>
          <w:sz w:val="20"/>
          <w:szCs w:val="20"/>
        </w:rPr>
        <w:t>联合国大会第</w:t>
      </w:r>
      <w:r w:rsidRPr="00875DB5">
        <w:rPr>
          <w:rFonts w:eastAsia="SimSun"/>
          <w:sz w:val="20"/>
          <w:szCs w:val="20"/>
        </w:rPr>
        <w:t xml:space="preserve"> 60/283</w:t>
      </w:r>
      <w:r w:rsidRPr="00875DB5">
        <w:rPr>
          <w:rFonts w:eastAsia="SimSun"/>
          <w:sz w:val="20"/>
          <w:szCs w:val="20"/>
        </w:rPr>
        <w:t>号决议，第四节。</w:t>
      </w:r>
    </w:p>
  </w:footnote>
  <w:footnote w:id="387">
    <w:p w14:paraId="369B54D5" w14:textId="6F0F600E" w:rsidR="00A528CF" w:rsidRPr="00FA45E1" w:rsidRDefault="00A528CF" w:rsidP="00A528CF">
      <w:pPr>
        <w:pStyle w:val="FootnoteText"/>
        <w:rPr>
          <w:sz w:val="20"/>
          <w:lang w:val="en-CA"/>
        </w:rPr>
      </w:pPr>
      <w:r w:rsidRPr="00FA45E1">
        <w:rPr>
          <w:rStyle w:val="FootnoteReference"/>
          <w:sz w:val="20"/>
        </w:rPr>
        <w:footnoteRef/>
      </w:r>
      <w:r w:rsidRPr="00FA45E1">
        <w:rPr>
          <w:sz w:val="20"/>
        </w:rPr>
        <w:t xml:space="preserve"> </w:t>
      </w:r>
      <w:r w:rsidRPr="00274B03">
        <w:rPr>
          <w:rFonts w:eastAsia="SimSun"/>
          <w:sz w:val="20"/>
        </w:rPr>
        <w:t>第</w:t>
      </w:r>
      <w:hyperlink r:id="rId158" w:history="1">
        <w:r w:rsidRPr="00274B03">
          <w:rPr>
            <w:rStyle w:val="Hyperlink"/>
            <w:rFonts w:eastAsia="SimSun"/>
            <w:sz w:val="20"/>
          </w:rPr>
          <w:t>I/1</w:t>
        </w:r>
      </w:hyperlink>
      <w:r w:rsidRPr="00274B03">
        <w:rPr>
          <w:rFonts w:eastAsia="SimSun"/>
          <w:sz w:val="20"/>
        </w:rPr>
        <w:t>号决定，附件，后经第</w:t>
      </w:r>
      <w:hyperlink r:id="rId159" w:history="1">
        <w:r w:rsidRPr="00274B03">
          <w:rPr>
            <w:rStyle w:val="Hyperlink"/>
            <w:rFonts w:eastAsia="SimSun"/>
            <w:sz w:val="20"/>
          </w:rPr>
          <w:t>V/20</w:t>
        </w:r>
      </w:hyperlink>
      <w:r w:rsidRPr="00274B03">
        <w:rPr>
          <w:rFonts w:eastAsia="SimSun"/>
          <w:sz w:val="20"/>
        </w:rPr>
        <w:t>号决定</w:t>
      </w:r>
      <w:r w:rsidR="00875DB5" w:rsidRPr="00274B03">
        <w:rPr>
          <w:rFonts w:eastAsia="SimSun"/>
          <w:sz w:val="20"/>
        </w:rPr>
        <w:t>修正</w:t>
      </w:r>
      <w:r w:rsidRPr="00274B03">
        <w:rPr>
          <w:sz w:val="20"/>
        </w:rPr>
        <w:t>。</w:t>
      </w:r>
    </w:p>
  </w:footnote>
  <w:footnote w:id="388">
    <w:p w14:paraId="00123D89" w14:textId="66573C1A" w:rsidR="00A528CF" w:rsidRPr="005C218A" w:rsidRDefault="00A528CF" w:rsidP="00A528CF">
      <w:r w:rsidRPr="00696BCF">
        <w:rPr>
          <w:vertAlign w:val="superscript"/>
        </w:rPr>
        <w:footnoteRef/>
      </w:r>
      <w:r w:rsidR="00757D54">
        <w:rPr>
          <w:rFonts w:hint="eastAsia"/>
          <w:vertAlign w:val="superscript"/>
        </w:rPr>
        <w:t xml:space="preserve"> </w:t>
      </w:r>
      <w:r w:rsidRPr="00696BCF">
        <w:rPr>
          <w:vertAlign w:val="superscript"/>
        </w:rPr>
        <w:t xml:space="preserve"> </w:t>
      </w:r>
      <w:hyperlink r:id="rId160" w:history="1">
        <w:r w:rsidRPr="00757D54">
          <w:rPr>
            <w:rStyle w:val="Hyperlink"/>
            <w:sz w:val="20"/>
            <w:szCs w:val="20"/>
          </w:rPr>
          <w:t>CBD/COP/16/3</w:t>
        </w:r>
      </w:hyperlink>
      <w:r w:rsidRPr="00757D54">
        <w:rPr>
          <w:sz w:val="20"/>
          <w:szCs w:val="20"/>
        </w:rPr>
        <w:t>。</w:t>
      </w:r>
    </w:p>
  </w:footnote>
  <w:footnote w:id="389">
    <w:p w14:paraId="4D8F889F" w14:textId="160A5BEC" w:rsidR="004C57B0" w:rsidRPr="004C57B0" w:rsidRDefault="004C57B0" w:rsidP="004C57B0">
      <w:pPr>
        <w:pStyle w:val="FootnoteText"/>
        <w:spacing w:after="60"/>
        <w:rPr>
          <w:rFonts w:eastAsia="SimSun"/>
          <w:sz w:val="20"/>
        </w:rPr>
      </w:pPr>
      <w:r w:rsidRPr="004C57B0">
        <w:rPr>
          <w:rStyle w:val="FootnoteReference"/>
          <w:rFonts w:eastAsia="SimSun"/>
          <w:sz w:val="20"/>
        </w:rPr>
        <w:footnoteRef/>
      </w:r>
      <w:r w:rsidRPr="004C57B0">
        <w:rPr>
          <w:rFonts w:eastAsia="SimSun"/>
          <w:sz w:val="20"/>
        </w:rPr>
        <w:t xml:space="preserve"> </w:t>
      </w:r>
      <w:r w:rsidR="006C368B">
        <w:rPr>
          <w:rFonts w:eastAsia="SimSun" w:hint="eastAsia"/>
          <w:sz w:val="20"/>
        </w:rPr>
        <w:t xml:space="preserve"> </w:t>
      </w:r>
      <w:r w:rsidRPr="004C57B0">
        <w:rPr>
          <w:rFonts w:eastAsia="SimSun"/>
          <w:sz w:val="20"/>
        </w:rPr>
        <w:t>联合国，《条约汇编》，第</w:t>
      </w:r>
      <w:r w:rsidRPr="004C57B0">
        <w:rPr>
          <w:rFonts w:eastAsia="SimSun"/>
          <w:sz w:val="20"/>
        </w:rPr>
        <w:t>1760</w:t>
      </w:r>
      <w:r w:rsidRPr="004C57B0">
        <w:rPr>
          <w:rFonts w:eastAsia="SimSun"/>
          <w:sz w:val="20"/>
        </w:rPr>
        <w:t>卷，第</w:t>
      </w:r>
      <w:r w:rsidRPr="004C57B0">
        <w:rPr>
          <w:rFonts w:eastAsia="SimSun"/>
          <w:sz w:val="20"/>
        </w:rPr>
        <w:t>30619</w:t>
      </w:r>
      <w:r w:rsidRPr="004C57B0">
        <w:rPr>
          <w:rFonts w:eastAsia="SimSun"/>
          <w:sz w:val="20"/>
        </w:rPr>
        <w:t>号。</w:t>
      </w:r>
    </w:p>
  </w:footnote>
  <w:footnote w:id="390">
    <w:p w14:paraId="16792AE2" w14:textId="2675363E" w:rsidR="004C57B0" w:rsidRPr="004C57B0" w:rsidRDefault="004C57B0" w:rsidP="004C57B0">
      <w:pPr>
        <w:pStyle w:val="FootnoteText"/>
        <w:spacing w:after="60"/>
        <w:rPr>
          <w:rFonts w:eastAsia="SimSun"/>
          <w:sz w:val="20"/>
        </w:rPr>
      </w:pPr>
      <w:r w:rsidRPr="004C57B0">
        <w:rPr>
          <w:rStyle w:val="FootnoteReference"/>
          <w:rFonts w:eastAsia="SimSun"/>
          <w:sz w:val="20"/>
        </w:rPr>
        <w:footnoteRef/>
      </w:r>
      <w:r w:rsidRPr="004C57B0">
        <w:rPr>
          <w:rFonts w:eastAsia="SimSun"/>
          <w:sz w:val="20"/>
        </w:rPr>
        <w:t xml:space="preserve"> </w:t>
      </w:r>
      <w:r w:rsidR="006C368B">
        <w:rPr>
          <w:rFonts w:eastAsia="SimSun" w:hint="eastAsia"/>
          <w:sz w:val="20"/>
        </w:rPr>
        <w:t xml:space="preserve"> </w:t>
      </w:r>
      <w:r w:rsidR="006C368B">
        <w:rPr>
          <w:rFonts w:eastAsia="SimSun" w:hint="eastAsia"/>
          <w:sz w:val="20"/>
        </w:rPr>
        <w:t>同上</w:t>
      </w:r>
      <w:r w:rsidRPr="004C57B0">
        <w:rPr>
          <w:rFonts w:eastAsia="SimSun"/>
          <w:sz w:val="20"/>
        </w:rPr>
        <w:t>，第</w:t>
      </w:r>
      <w:r w:rsidRPr="004C57B0">
        <w:rPr>
          <w:rFonts w:eastAsia="SimSun"/>
          <w:sz w:val="20"/>
        </w:rPr>
        <w:t>2226</w:t>
      </w:r>
      <w:r w:rsidRPr="004C57B0">
        <w:rPr>
          <w:rFonts w:eastAsia="SimSun"/>
          <w:sz w:val="20"/>
        </w:rPr>
        <w:t>卷，第</w:t>
      </w:r>
      <w:r w:rsidRPr="004C57B0">
        <w:rPr>
          <w:rFonts w:eastAsia="SimSun"/>
          <w:sz w:val="20"/>
        </w:rPr>
        <w:t>30619</w:t>
      </w:r>
      <w:r w:rsidRPr="004C57B0">
        <w:rPr>
          <w:rFonts w:eastAsia="SimSun"/>
          <w:sz w:val="20"/>
        </w:rPr>
        <w:t>号。</w:t>
      </w:r>
    </w:p>
  </w:footnote>
  <w:footnote w:id="391">
    <w:p w14:paraId="416EE1E4" w14:textId="79AEA344" w:rsidR="004C57B0" w:rsidRDefault="004C57B0" w:rsidP="004C57B0">
      <w:pPr>
        <w:pStyle w:val="FootnoteText"/>
        <w:spacing w:after="60"/>
      </w:pPr>
      <w:r w:rsidRPr="004C57B0">
        <w:rPr>
          <w:rStyle w:val="FootnoteReference"/>
          <w:rFonts w:eastAsia="SimSun"/>
          <w:sz w:val="20"/>
        </w:rPr>
        <w:footnoteRef/>
      </w:r>
      <w:r w:rsidRPr="004C57B0">
        <w:rPr>
          <w:rFonts w:eastAsia="SimSun"/>
          <w:sz w:val="20"/>
        </w:rPr>
        <w:t xml:space="preserve"> </w:t>
      </w:r>
      <w:r w:rsidR="006C368B">
        <w:rPr>
          <w:rFonts w:eastAsia="SimSun" w:hint="eastAsia"/>
          <w:sz w:val="20"/>
        </w:rPr>
        <w:t xml:space="preserve"> </w:t>
      </w:r>
      <w:r w:rsidR="006C368B">
        <w:rPr>
          <w:rFonts w:eastAsia="SimSun" w:hint="eastAsia"/>
          <w:sz w:val="20"/>
        </w:rPr>
        <w:t>同上</w:t>
      </w:r>
      <w:r w:rsidRPr="004C57B0">
        <w:rPr>
          <w:rFonts w:eastAsia="SimSun"/>
          <w:sz w:val="20"/>
        </w:rPr>
        <w:t>，第</w:t>
      </w:r>
      <w:r w:rsidRPr="004C57B0">
        <w:rPr>
          <w:rFonts w:eastAsia="SimSun"/>
          <w:sz w:val="20"/>
        </w:rPr>
        <w:t>3008</w:t>
      </w:r>
      <w:r w:rsidRPr="004C57B0">
        <w:rPr>
          <w:rFonts w:eastAsia="SimSun"/>
          <w:sz w:val="20"/>
        </w:rPr>
        <w:t>卷，第</w:t>
      </w:r>
      <w:r w:rsidRPr="004C57B0">
        <w:rPr>
          <w:rFonts w:eastAsia="SimSun"/>
          <w:sz w:val="20"/>
        </w:rPr>
        <w:t>30619</w:t>
      </w:r>
      <w:r w:rsidRPr="004C57B0">
        <w:rPr>
          <w:rFonts w:eastAsia="SimSun"/>
          <w:sz w:val="20"/>
        </w:rPr>
        <w:t>号。</w:t>
      </w:r>
    </w:p>
  </w:footnote>
  <w:footnote w:id="392">
    <w:p w14:paraId="20644FC6" w14:textId="77777777" w:rsidR="004C57B0" w:rsidRPr="001C5196" w:rsidRDefault="004C57B0" w:rsidP="004C57B0">
      <w:pPr>
        <w:pStyle w:val="FootnoteText"/>
        <w:spacing w:after="40"/>
        <w:rPr>
          <w:rFonts w:eastAsia="SimSun"/>
          <w:sz w:val="20"/>
        </w:rPr>
      </w:pPr>
      <w:r w:rsidRPr="001C5196">
        <w:rPr>
          <w:rStyle w:val="FootnoteReference"/>
          <w:rFonts w:eastAsia="SimSun"/>
          <w:sz w:val="20"/>
        </w:rPr>
        <w:footnoteRef/>
      </w:r>
      <w:r w:rsidRPr="001C5196">
        <w:rPr>
          <w:rFonts w:eastAsia="SimSun"/>
          <w:sz w:val="20"/>
        </w:rPr>
        <w:t xml:space="preserve">  </w:t>
      </w:r>
      <w:r w:rsidRPr="001C5196">
        <w:rPr>
          <w:rFonts w:eastAsia="SimSun"/>
          <w:sz w:val="20"/>
        </w:rPr>
        <w:t>联合国，《条约汇编》，第</w:t>
      </w:r>
      <w:r w:rsidRPr="001C5196">
        <w:rPr>
          <w:rFonts w:eastAsia="SimSun"/>
          <w:sz w:val="20"/>
        </w:rPr>
        <w:t>1760</w:t>
      </w:r>
      <w:r w:rsidRPr="001C5196">
        <w:rPr>
          <w:rFonts w:eastAsia="SimSun"/>
          <w:sz w:val="20"/>
        </w:rPr>
        <w:t>卷，第</w:t>
      </w:r>
      <w:r w:rsidRPr="001C5196">
        <w:rPr>
          <w:rFonts w:eastAsia="SimSun"/>
          <w:sz w:val="20"/>
        </w:rPr>
        <w:t>30619</w:t>
      </w:r>
      <w:r w:rsidRPr="001C5196">
        <w:rPr>
          <w:rFonts w:eastAsia="SimSun"/>
          <w:sz w:val="20"/>
        </w:rPr>
        <w:t>号。</w:t>
      </w:r>
    </w:p>
  </w:footnote>
  <w:footnote w:id="393">
    <w:p w14:paraId="43551E05" w14:textId="77777777" w:rsidR="004C57B0" w:rsidRPr="001C5196" w:rsidRDefault="004C57B0" w:rsidP="004C57B0">
      <w:pPr>
        <w:pStyle w:val="FootnoteText"/>
        <w:spacing w:after="40"/>
        <w:rPr>
          <w:rFonts w:eastAsia="SimSun"/>
          <w:sz w:val="20"/>
        </w:rPr>
      </w:pPr>
      <w:r w:rsidRPr="001C5196">
        <w:rPr>
          <w:rStyle w:val="FootnoteReference"/>
          <w:rFonts w:eastAsia="SimSun"/>
          <w:sz w:val="20"/>
        </w:rPr>
        <w:footnoteRef/>
      </w:r>
      <w:r w:rsidRPr="001C5196">
        <w:rPr>
          <w:rFonts w:eastAsia="SimSun"/>
          <w:sz w:val="20"/>
          <w:vertAlign w:val="superscript"/>
        </w:rPr>
        <w:t xml:space="preserve">  </w:t>
      </w:r>
      <w:r w:rsidRPr="001C5196">
        <w:rPr>
          <w:rFonts w:eastAsia="SimSun"/>
          <w:sz w:val="20"/>
        </w:rPr>
        <w:t>ST/SGB/2023/1/Rev.1</w:t>
      </w:r>
      <w:r w:rsidRPr="001C5196">
        <w:rPr>
          <w:rFonts w:eastAsia="SimSun"/>
          <w:sz w:val="20"/>
        </w:rPr>
        <w:t>。</w:t>
      </w:r>
    </w:p>
  </w:footnote>
  <w:footnote w:id="394">
    <w:p w14:paraId="336D7D69" w14:textId="77777777" w:rsidR="004C57B0" w:rsidRPr="004C57B0" w:rsidRDefault="004C57B0" w:rsidP="004C57B0">
      <w:pPr>
        <w:pStyle w:val="FootnoteText"/>
        <w:spacing w:after="40"/>
        <w:rPr>
          <w:sz w:val="20"/>
        </w:rPr>
      </w:pPr>
      <w:r w:rsidRPr="001C5196">
        <w:rPr>
          <w:rStyle w:val="FootnoteReference"/>
          <w:rFonts w:eastAsia="SimSun"/>
          <w:sz w:val="20"/>
        </w:rPr>
        <w:footnoteRef/>
      </w:r>
      <w:r w:rsidRPr="001C5196">
        <w:rPr>
          <w:rFonts w:eastAsia="SimSun"/>
          <w:sz w:val="20"/>
          <w:vertAlign w:val="superscript"/>
        </w:rPr>
        <w:t xml:space="preserve">  </w:t>
      </w:r>
      <w:r w:rsidRPr="001C5196">
        <w:rPr>
          <w:rFonts w:eastAsia="SimSun"/>
          <w:sz w:val="20"/>
        </w:rPr>
        <w:t>ST/SGB/2013/4</w:t>
      </w:r>
      <w:r w:rsidRPr="001C5196">
        <w:rPr>
          <w:rFonts w:eastAsia="SimSun"/>
          <w:sz w:val="20"/>
        </w:rPr>
        <w:t>和</w:t>
      </w:r>
      <w:r w:rsidRPr="001C5196">
        <w:rPr>
          <w:rFonts w:eastAsia="SimSun"/>
          <w:sz w:val="20"/>
        </w:rPr>
        <w:t>ST/SGB/2013/4/Amend.1</w:t>
      </w:r>
      <w:r w:rsidRPr="001C5196">
        <w:rPr>
          <w:rFonts w:eastAsia="SimSun"/>
          <w:sz w:val="20"/>
        </w:rPr>
        <w:t>。</w:t>
      </w:r>
    </w:p>
  </w:footnote>
  <w:footnote w:id="395">
    <w:p w14:paraId="2549F074"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w:t>
      </w:r>
      <w:hyperlink r:id="rId161" w:history="1">
        <w:r w:rsidRPr="000431A0">
          <w:rPr>
            <w:rStyle w:val="Hyperlink"/>
            <w:rFonts w:eastAsia="SimSun"/>
            <w:sz w:val="20"/>
          </w:rPr>
          <w:t>CBD/FM/TEG/2024/1/2</w:t>
        </w:r>
      </w:hyperlink>
      <w:r w:rsidRPr="000431A0">
        <w:rPr>
          <w:rFonts w:eastAsia="SimSun"/>
          <w:sz w:val="20"/>
        </w:rPr>
        <w:t>。</w:t>
      </w:r>
    </w:p>
  </w:footnote>
  <w:footnote w:id="396">
    <w:p w14:paraId="209A5966"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w:t>
      </w:r>
      <w:hyperlink r:id="rId162" w:history="1">
        <w:r w:rsidRPr="000431A0">
          <w:rPr>
            <w:rStyle w:val="Hyperlink"/>
            <w:rFonts w:eastAsia="SimSun"/>
            <w:sz w:val="20"/>
          </w:rPr>
          <w:t>CBD/TSC/IAG/2024/1/2</w:t>
        </w:r>
      </w:hyperlink>
      <w:r w:rsidRPr="000431A0">
        <w:rPr>
          <w:rFonts w:eastAsia="SimSun"/>
          <w:sz w:val="20"/>
        </w:rPr>
        <w:t>。</w:t>
      </w:r>
    </w:p>
  </w:footnote>
  <w:footnote w:id="397">
    <w:p w14:paraId="5C646DED"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联合国，《条约汇编》，第</w:t>
      </w:r>
      <w:r w:rsidRPr="000431A0">
        <w:rPr>
          <w:rFonts w:eastAsia="SimSun"/>
          <w:sz w:val="20"/>
        </w:rPr>
        <w:t>1760</w:t>
      </w:r>
      <w:r w:rsidRPr="000431A0">
        <w:rPr>
          <w:rFonts w:eastAsia="SimSun"/>
          <w:sz w:val="20"/>
        </w:rPr>
        <w:t>卷，第</w:t>
      </w:r>
      <w:r w:rsidRPr="000431A0">
        <w:rPr>
          <w:rFonts w:eastAsia="SimSun"/>
          <w:sz w:val="20"/>
        </w:rPr>
        <w:t>30619</w:t>
      </w:r>
      <w:r w:rsidRPr="000431A0">
        <w:rPr>
          <w:rFonts w:eastAsia="SimSun"/>
          <w:sz w:val="20"/>
        </w:rPr>
        <w:t>号。</w:t>
      </w:r>
    </w:p>
  </w:footnote>
  <w:footnote w:id="398">
    <w:p w14:paraId="13DA0F11"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w:t>
      </w:r>
      <w:r w:rsidRPr="000431A0">
        <w:rPr>
          <w:rFonts w:eastAsia="SimSun"/>
          <w:sz w:val="20"/>
        </w:rPr>
        <w:t xml:space="preserve"> </w:t>
      </w:r>
      <w:hyperlink r:id="rId163" w:history="1">
        <w:r w:rsidRPr="000431A0">
          <w:rPr>
            <w:rStyle w:val="Hyperlink"/>
            <w:rFonts w:eastAsia="SimSun"/>
            <w:sz w:val="20"/>
          </w:rPr>
          <w:t>CBD/SBSTTA/26/INF/11</w:t>
        </w:r>
      </w:hyperlink>
      <w:r w:rsidRPr="000431A0">
        <w:rPr>
          <w:rFonts w:eastAsia="SimSun"/>
          <w:sz w:val="20"/>
        </w:rPr>
        <w:t>。</w:t>
      </w:r>
    </w:p>
  </w:footnote>
  <w:footnote w:id="399">
    <w:p w14:paraId="2F80BD38"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见分享利用遗传资源数字序列信息所产生惠益问题不限成员名额特设工作组第</w:t>
      </w:r>
      <w:hyperlink r:id="rId164" w:history="1">
        <w:r w:rsidRPr="000431A0">
          <w:rPr>
            <w:rStyle w:val="Hyperlink"/>
            <w:rFonts w:eastAsia="SimSun"/>
            <w:sz w:val="20"/>
          </w:rPr>
          <w:t>2/1</w:t>
        </w:r>
      </w:hyperlink>
      <w:r w:rsidRPr="000431A0">
        <w:rPr>
          <w:rFonts w:eastAsia="SimSun"/>
          <w:sz w:val="20"/>
        </w:rPr>
        <w:t>号建议。</w:t>
      </w:r>
    </w:p>
  </w:footnote>
  <w:footnote w:id="400">
    <w:p w14:paraId="78E7D01A"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w:t>
      </w:r>
      <w:hyperlink r:id="rId165" w:history="1">
        <w:r w:rsidRPr="000431A0">
          <w:rPr>
            <w:rStyle w:val="Hyperlink"/>
            <w:rFonts w:eastAsia="SimSun"/>
            <w:sz w:val="20"/>
          </w:rPr>
          <w:t>CBD/SBSTTA/26/INF/13</w:t>
        </w:r>
      </w:hyperlink>
      <w:r w:rsidRPr="000431A0">
        <w:rPr>
          <w:rFonts w:eastAsia="SimSun"/>
          <w:sz w:val="20"/>
        </w:rPr>
        <w:t>。</w:t>
      </w:r>
    </w:p>
  </w:footnote>
  <w:footnote w:id="401">
    <w:p w14:paraId="70276F93"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第</w:t>
      </w:r>
      <w:r w:rsidRPr="000431A0">
        <w:rPr>
          <w:rFonts w:eastAsia="SimSun"/>
          <w:sz w:val="20"/>
        </w:rPr>
        <w:t>15/4</w:t>
      </w:r>
      <w:r w:rsidRPr="000431A0">
        <w:rPr>
          <w:rFonts w:eastAsia="SimSun"/>
          <w:sz w:val="20"/>
        </w:rPr>
        <w:t>号决定，附件。</w:t>
      </w:r>
    </w:p>
  </w:footnote>
  <w:footnote w:id="402">
    <w:p w14:paraId="33F05D9A" w14:textId="77777777" w:rsidR="004C57B0" w:rsidRPr="000431A0" w:rsidRDefault="004C57B0" w:rsidP="00E0642E">
      <w:pPr>
        <w:pStyle w:val="FootnoteText"/>
        <w:spacing w:after="60"/>
        <w:rPr>
          <w:rFonts w:eastAsia="SimSun"/>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见</w:t>
      </w:r>
      <w:r w:rsidRPr="000431A0">
        <w:rPr>
          <w:rFonts w:eastAsia="SimSun"/>
          <w:sz w:val="20"/>
        </w:rPr>
        <w:t xml:space="preserve"> </w:t>
      </w:r>
      <w:hyperlink r:id="rId166" w:history="1">
        <w:r w:rsidRPr="000431A0">
          <w:rPr>
            <w:rStyle w:val="Hyperlink"/>
            <w:rFonts w:eastAsia="SimSun"/>
            <w:sz w:val="20"/>
          </w:rPr>
          <w:t>www.unep.org/events/conference/bern-iii-conference-cooperation-among-biodiversity-related-conventions</w:t>
        </w:r>
      </w:hyperlink>
      <w:r w:rsidRPr="000431A0">
        <w:rPr>
          <w:rFonts w:eastAsia="SimSun"/>
          <w:sz w:val="20"/>
        </w:rPr>
        <w:t>。</w:t>
      </w:r>
      <w:r w:rsidRPr="000431A0">
        <w:rPr>
          <w:rFonts w:eastAsia="SimSun"/>
          <w:sz w:val="20"/>
        </w:rPr>
        <w:t xml:space="preserve"> </w:t>
      </w:r>
    </w:p>
  </w:footnote>
  <w:footnote w:id="403">
    <w:p w14:paraId="2743B8E2" w14:textId="62A41BAE" w:rsidR="004C57B0" w:rsidRPr="00C36309" w:rsidRDefault="004C57B0" w:rsidP="00E0642E">
      <w:pPr>
        <w:pStyle w:val="FootnoteText"/>
        <w:spacing w:after="60"/>
        <w:rPr>
          <w:sz w:val="20"/>
        </w:rPr>
      </w:pPr>
      <w:r w:rsidRPr="000431A0">
        <w:rPr>
          <w:rStyle w:val="FootnoteReference"/>
          <w:rFonts w:eastAsia="SimSun"/>
          <w:sz w:val="20"/>
        </w:rPr>
        <w:footnoteRef/>
      </w:r>
      <w:r w:rsidRPr="000431A0">
        <w:rPr>
          <w:rFonts w:eastAsia="SimSun"/>
          <w:sz w:val="20"/>
        </w:rPr>
        <w:t xml:space="preserve">  </w:t>
      </w:r>
      <w:r w:rsidRPr="000431A0">
        <w:rPr>
          <w:rFonts w:eastAsia="SimSun"/>
          <w:sz w:val="20"/>
        </w:rPr>
        <w:t>分别另见第</w:t>
      </w:r>
      <w:hyperlink r:id="rId167" w:history="1">
        <w:r w:rsidRPr="009E1355">
          <w:rPr>
            <w:rStyle w:val="Hyperlink"/>
            <w:rFonts w:eastAsia="SimSun"/>
            <w:sz w:val="20"/>
          </w:rPr>
          <w:t>16/20</w:t>
        </w:r>
      </w:hyperlink>
      <w:r w:rsidRPr="000431A0">
        <w:rPr>
          <w:rFonts w:eastAsia="SimSun"/>
          <w:sz w:val="20"/>
        </w:rPr>
        <w:t>号和第</w:t>
      </w:r>
      <w:hyperlink r:id="rId168" w:history="1">
        <w:r w:rsidRPr="009E1355">
          <w:rPr>
            <w:rStyle w:val="Hyperlink"/>
            <w:rFonts w:eastAsia="SimSun"/>
            <w:sz w:val="20"/>
          </w:rPr>
          <w:t>16/19</w:t>
        </w:r>
      </w:hyperlink>
      <w:r w:rsidRPr="000431A0">
        <w:rPr>
          <w:rFonts w:eastAsia="SimSun"/>
          <w:sz w:val="20"/>
        </w:rPr>
        <w:t>号决定。</w:t>
      </w:r>
    </w:p>
  </w:footnote>
  <w:footnote w:id="404">
    <w:p w14:paraId="6C188B11" w14:textId="5E1F8357" w:rsidR="004C57B0" w:rsidRPr="00E0642E" w:rsidRDefault="004C57B0" w:rsidP="004C57B0">
      <w:pPr>
        <w:pStyle w:val="FootnoteText"/>
        <w:spacing w:before="60"/>
        <w:rPr>
          <w:rFonts w:eastAsia="SimSun"/>
          <w:sz w:val="20"/>
        </w:rPr>
      </w:pPr>
      <w:r w:rsidRPr="00E0642E">
        <w:rPr>
          <w:rStyle w:val="FootnoteReference"/>
          <w:rFonts w:eastAsia="SimSun"/>
          <w:sz w:val="20"/>
        </w:rPr>
        <w:footnoteRef/>
      </w:r>
      <w:r w:rsidRPr="00E0642E">
        <w:rPr>
          <w:rFonts w:eastAsia="SimSun"/>
          <w:sz w:val="20"/>
        </w:rPr>
        <w:t xml:space="preserve">  </w:t>
      </w:r>
      <w:r w:rsidRPr="00E0642E">
        <w:rPr>
          <w:rFonts w:eastAsia="SimSun"/>
          <w:sz w:val="20"/>
        </w:rPr>
        <w:t>第</w:t>
      </w:r>
      <w:hyperlink r:id="rId169" w:history="1">
        <w:r w:rsidRPr="009E1355">
          <w:rPr>
            <w:rStyle w:val="Hyperlink"/>
            <w:rFonts w:eastAsia="SimSun"/>
            <w:sz w:val="20"/>
          </w:rPr>
          <w:t>15/11</w:t>
        </w:r>
      </w:hyperlink>
      <w:r w:rsidRPr="00E0642E">
        <w:rPr>
          <w:rFonts w:eastAsia="SimSun"/>
          <w:sz w:val="20"/>
        </w:rPr>
        <w:t>号决定，附件。</w:t>
      </w:r>
    </w:p>
  </w:footnote>
  <w:footnote w:id="405">
    <w:p w14:paraId="049C0AA2" w14:textId="77777777" w:rsidR="004C57B0" w:rsidRPr="00E0642E" w:rsidRDefault="004C57B0" w:rsidP="004C57B0">
      <w:pPr>
        <w:pStyle w:val="FootnoteText"/>
        <w:spacing w:before="60"/>
        <w:rPr>
          <w:rFonts w:eastAsia="SimSun"/>
          <w:sz w:val="20"/>
        </w:rPr>
      </w:pPr>
      <w:r w:rsidRPr="00E0642E">
        <w:rPr>
          <w:rStyle w:val="FootnoteReference"/>
          <w:rFonts w:eastAsia="SimSun"/>
          <w:sz w:val="20"/>
        </w:rPr>
        <w:footnoteRef/>
      </w:r>
      <w:r w:rsidRPr="00E0642E">
        <w:rPr>
          <w:rFonts w:eastAsia="SimSun"/>
          <w:sz w:val="20"/>
        </w:rPr>
        <w:t xml:space="preserve">  </w:t>
      </w:r>
      <w:r w:rsidRPr="00E0642E">
        <w:rPr>
          <w:rFonts w:eastAsia="SimSun"/>
          <w:sz w:val="20"/>
        </w:rPr>
        <w:t>妇女促进生物多样性网络与联合国环境规划署世界养护监测中心协作共同制定一种方法。</w:t>
      </w:r>
      <w:r w:rsidRPr="00E0642E">
        <w:rPr>
          <w:rFonts w:eastAsia="SimSun"/>
          <w:sz w:val="20"/>
        </w:rPr>
        <w:t>(</w:t>
      </w:r>
      <w:r w:rsidRPr="00E0642E">
        <w:rPr>
          <w:rFonts w:eastAsia="SimSun"/>
          <w:sz w:val="20"/>
        </w:rPr>
        <w:t>见</w:t>
      </w:r>
      <w:r w:rsidRPr="00E0642E">
        <w:rPr>
          <w:rFonts w:eastAsia="SimSun"/>
          <w:sz w:val="20"/>
        </w:rPr>
        <w:t xml:space="preserve"> </w:t>
      </w:r>
      <w:hyperlink r:id="rId170" w:history="1">
        <w:r w:rsidRPr="00E0642E">
          <w:rPr>
            <w:rStyle w:val="Hyperlink"/>
            <w:rFonts w:eastAsia="SimSun"/>
            <w:sz w:val="20"/>
            <w:lang w:val="en-GB"/>
          </w:rPr>
          <w:t>www.gbf-indicators.org/metadata/other/23-1-C</w:t>
        </w:r>
      </w:hyperlink>
      <w:r w:rsidRPr="00E0642E">
        <w:rPr>
          <w:rStyle w:val="Hyperlink"/>
          <w:rFonts w:eastAsia="SimSun"/>
          <w:sz w:val="20"/>
          <w:lang w:val="en-GB"/>
        </w:rPr>
        <w:t>)</w:t>
      </w:r>
      <w:r w:rsidRPr="00E0642E">
        <w:rPr>
          <w:rFonts w:eastAsia="SimSun"/>
          <w:sz w:val="20"/>
        </w:rPr>
        <w:t>。</w:t>
      </w:r>
    </w:p>
  </w:footnote>
  <w:footnote w:id="406">
    <w:p w14:paraId="71509B47" w14:textId="77777777" w:rsidR="004C57B0" w:rsidRPr="00C36309" w:rsidRDefault="004C57B0" w:rsidP="004C57B0">
      <w:pPr>
        <w:pStyle w:val="FootnoteText"/>
        <w:spacing w:after="60"/>
        <w:rPr>
          <w:sz w:val="20"/>
        </w:rPr>
      </w:pPr>
      <w:r w:rsidRPr="00E0642E">
        <w:rPr>
          <w:rStyle w:val="FootnoteReference"/>
          <w:rFonts w:eastAsia="SimSun"/>
          <w:sz w:val="20"/>
        </w:rPr>
        <w:footnoteRef/>
      </w:r>
      <w:r w:rsidRPr="00E0642E">
        <w:rPr>
          <w:rFonts w:eastAsia="SimSun"/>
          <w:sz w:val="20"/>
        </w:rPr>
        <w:t xml:space="preserve">  </w:t>
      </w:r>
      <w:hyperlink r:id="rId171" w:history="1">
        <w:r w:rsidRPr="00E0642E">
          <w:rPr>
            <w:rStyle w:val="Hyperlink"/>
            <w:rFonts w:eastAsia="SimSun"/>
            <w:sz w:val="20"/>
          </w:rPr>
          <w:t>CBD/COP/16/INF/3/Rev.1</w:t>
        </w:r>
      </w:hyperlink>
      <w:r w:rsidRPr="00E0642E">
        <w:rPr>
          <w:rFonts w:eastAsia="SimSun"/>
          <w:sz w:val="20"/>
        </w:rPr>
        <w:t xml:space="preserve"> </w:t>
      </w:r>
      <w:r w:rsidRPr="00E0642E">
        <w:rPr>
          <w:rFonts w:eastAsia="SimSun"/>
          <w:sz w:val="20"/>
        </w:rPr>
        <w:t>和</w:t>
      </w:r>
      <w:r w:rsidRPr="00E0642E">
        <w:rPr>
          <w:rFonts w:eastAsia="SimSun"/>
          <w:sz w:val="20"/>
        </w:rPr>
        <w:t xml:space="preserve"> </w:t>
      </w:r>
      <w:hyperlink r:id="rId172" w:history="1">
        <w:r w:rsidRPr="00E0642E">
          <w:rPr>
            <w:rStyle w:val="Hyperlink"/>
            <w:rFonts w:eastAsia="SimSun"/>
            <w:sz w:val="20"/>
          </w:rPr>
          <w:t>CBD/COP/16/INF/4</w:t>
        </w:r>
      </w:hyperlink>
      <w:r w:rsidRPr="00E0642E">
        <w:rPr>
          <w:rFonts w:eastAsia="SimSun"/>
          <w:sz w:val="20"/>
        </w:rPr>
        <w:t>。</w:t>
      </w:r>
    </w:p>
  </w:footnote>
  <w:footnote w:id="407">
    <w:p w14:paraId="3C61D600" w14:textId="77777777" w:rsidR="004C57B0" w:rsidRPr="009E04FB" w:rsidRDefault="004C57B0" w:rsidP="004C57B0">
      <w:pPr>
        <w:pStyle w:val="FootnoteText"/>
        <w:spacing w:after="60"/>
        <w:rPr>
          <w:sz w:val="20"/>
        </w:rPr>
      </w:pPr>
      <w:r w:rsidRPr="00C36309">
        <w:rPr>
          <w:rStyle w:val="FootnoteReference"/>
          <w:sz w:val="20"/>
        </w:rPr>
        <w:footnoteRef/>
      </w:r>
      <w:r w:rsidRPr="00C36309">
        <w:rPr>
          <w:sz w:val="20"/>
        </w:rPr>
        <w:t xml:space="preserve">  </w:t>
      </w:r>
      <w:r w:rsidRPr="00E0642E">
        <w:rPr>
          <w:rFonts w:eastAsia="SimSun"/>
          <w:sz w:val="20"/>
        </w:rPr>
        <w:t>监测方面存在的许多差距正说明需要利用科技工具和指导，支持实现</w:t>
      </w:r>
      <w:r w:rsidRPr="00E0642E">
        <w:rPr>
          <w:rFonts w:eastAsia="SimSun"/>
          <w:sz w:val="20"/>
        </w:rPr>
        <w:t xml:space="preserve"> </w:t>
      </w:r>
      <w:hyperlink r:id="rId173" w:history="1">
        <w:r w:rsidRPr="00E0642E">
          <w:rPr>
            <w:rStyle w:val="Hyperlink"/>
            <w:rFonts w:eastAsia="SimSun"/>
            <w:sz w:val="20"/>
          </w:rPr>
          <w:t>CBD/SBSTTA/26/3</w:t>
        </w:r>
      </w:hyperlink>
      <w:r w:rsidRPr="00E0642E">
        <w:rPr>
          <w:rFonts w:eastAsia="SimSun"/>
          <w:sz w:val="20"/>
        </w:rPr>
        <w:t xml:space="preserve"> </w:t>
      </w:r>
      <w:r w:rsidRPr="00E0642E">
        <w:rPr>
          <w:rFonts w:eastAsia="SimSun"/>
          <w:sz w:val="20"/>
        </w:rPr>
        <w:t>号文件及其相关资料文件</w:t>
      </w:r>
      <w:hyperlink r:id="rId174" w:history="1">
        <w:r w:rsidRPr="00E0642E">
          <w:rPr>
            <w:rStyle w:val="Hyperlink"/>
            <w:rFonts w:eastAsia="SimSun"/>
            <w:sz w:val="20"/>
          </w:rPr>
          <w:t>CBD/SBSTTA/26/INF/15</w:t>
        </w:r>
      </w:hyperlink>
      <w:r w:rsidRPr="00E0642E">
        <w:rPr>
          <w:rFonts w:eastAsia="SimSun"/>
          <w:sz w:val="20"/>
        </w:rPr>
        <w:t xml:space="preserve"> </w:t>
      </w:r>
      <w:r w:rsidRPr="00E0642E">
        <w:rPr>
          <w:rFonts w:eastAsia="SimSun"/>
          <w:sz w:val="20"/>
        </w:rPr>
        <w:t>和</w:t>
      </w:r>
      <w:r w:rsidRPr="00E0642E">
        <w:rPr>
          <w:rFonts w:eastAsia="SimSun"/>
          <w:sz w:val="20"/>
        </w:rPr>
        <w:t xml:space="preserve"> </w:t>
      </w:r>
      <w:hyperlink r:id="rId175" w:history="1">
        <w:r w:rsidRPr="00E0642E">
          <w:rPr>
            <w:rStyle w:val="Hyperlink"/>
            <w:rFonts w:eastAsia="SimSun"/>
            <w:sz w:val="20"/>
          </w:rPr>
          <w:t>CBD/SBSTTA/26/INF/16/Rev.1</w:t>
        </w:r>
      </w:hyperlink>
      <w:r w:rsidRPr="00E0642E">
        <w:rPr>
          <w:rFonts w:eastAsia="SimSun"/>
          <w:sz w:val="20"/>
        </w:rPr>
        <w:t>所述的《昆蒙框架》行动目标。</w:t>
      </w:r>
    </w:p>
  </w:footnote>
  <w:footnote w:id="408">
    <w:p w14:paraId="105B845C" w14:textId="5B30324B" w:rsidR="004C57B0" w:rsidRPr="00E958A0" w:rsidRDefault="004C57B0" w:rsidP="004C57B0">
      <w:pPr>
        <w:pStyle w:val="FootnoteText"/>
        <w:spacing w:after="60"/>
        <w:rPr>
          <w:sz w:val="20"/>
        </w:rPr>
      </w:pPr>
      <w:r w:rsidRPr="00E958A0">
        <w:rPr>
          <w:rStyle w:val="FootnoteReference"/>
          <w:sz w:val="20"/>
        </w:rPr>
        <w:footnoteRef/>
      </w:r>
      <w:r w:rsidRPr="00E958A0">
        <w:rPr>
          <w:sz w:val="20"/>
        </w:rPr>
        <w:t xml:space="preserve">  </w:t>
      </w:r>
      <w:r w:rsidRPr="009E1355">
        <w:rPr>
          <w:rFonts w:eastAsia="SimSun"/>
          <w:sz w:val="20"/>
        </w:rPr>
        <w:t>见第</w:t>
      </w:r>
      <w:hyperlink r:id="rId176" w:history="1">
        <w:r w:rsidRPr="009E1355">
          <w:rPr>
            <w:rStyle w:val="Hyperlink"/>
            <w:rFonts w:eastAsia="SimSun"/>
            <w:sz w:val="20"/>
          </w:rPr>
          <w:t>16/3</w:t>
        </w:r>
      </w:hyperlink>
      <w:r w:rsidRPr="009E1355">
        <w:rPr>
          <w:rFonts w:eastAsia="SimSun"/>
          <w:sz w:val="20"/>
        </w:rPr>
        <w:t>号决定。</w:t>
      </w:r>
    </w:p>
  </w:footnote>
  <w:footnote w:id="409">
    <w:p w14:paraId="21F18667" w14:textId="77777777" w:rsidR="004C57B0" w:rsidRPr="00F74300" w:rsidRDefault="004C57B0" w:rsidP="004C57B0">
      <w:pPr>
        <w:pStyle w:val="FootnoteText"/>
        <w:spacing w:after="60"/>
      </w:pPr>
      <w:r w:rsidRPr="00E958A0">
        <w:rPr>
          <w:rStyle w:val="FootnoteReference"/>
          <w:sz w:val="20"/>
        </w:rPr>
        <w:footnoteRef/>
      </w:r>
      <w:r w:rsidRPr="00E958A0">
        <w:rPr>
          <w:rFonts w:hint="eastAsia"/>
          <w:sz w:val="20"/>
        </w:rPr>
        <w:t xml:space="preserve">  </w:t>
      </w:r>
      <w:r w:rsidRPr="00E0642E">
        <w:rPr>
          <w:rFonts w:eastAsia="SimSun"/>
          <w:sz w:val="20"/>
        </w:rPr>
        <w:t>据了解，作为</w:t>
      </w:r>
      <w:hyperlink r:id="rId177" w:history="1">
        <w:r w:rsidRPr="00E0642E">
          <w:rPr>
            <w:rStyle w:val="Hyperlink"/>
            <w:rFonts w:eastAsia="SimSun"/>
            <w:sz w:val="20"/>
          </w:rPr>
          <w:t>CBD/SBSTTA/26/2</w:t>
        </w:r>
      </w:hyperlink>
      <w:r w:rsidRPr="00E0642E">
        <w:rPr>
          <w:rFonts w:eastAsia="SimSun"/>
          <w:sz w:val="20"/>
        </w:rPr>
        <w:t>号文件附件二表</w:t>
      </w:r>
      <w:r w:rsidRPr="00E0642E">
        <w:rPr>
          <w:rFonts w:eastAsia="SimSun"/>
          <w:sz w:val="20"/>
        </w:rPr>
        <w:t>1</w:t>
      </w:r>
      <w:r w:rsidRPr="00E0642E">
        <w:rPr>
          <w:rFonts w:eastAsia="SimSun"/>
          <w:sz w:val="20"/>
        </w:rPr>
        <w:t>标题指标</w:t>
      </w:r>
      <w:r w:rsidRPr="00E0642E">
        <w:rPr>
          <w:rFonts w:eastAsia="SimSun"/>
          <w:sz w:val="20"/>
        </w:rPr>
        <w:t>7.2</w:t>
      </w:r>
      <w:r w:rsidRPr="00E0642E">
        <w:rPr>
          <w:rFonts w:eastAsia="SimSun"/>
          <w:sz w:val="20"/>
        </w:rPr>
        <w:t>的责任组织，联合国粮食及农业组织正在进一步制定和测试合计总施用毒性标题指标。</w:t>
      </w:r>
      <w:r w:rsidRPr="00E0642E">
        <w:rPr>
          <w:rFonts w:eastAsia="SimSun"/>
          <w:sz w:val="20"/>
        </w:rPr>
        <w:t xml:space="preserve"> </w:t>
      </w:r>
    </w:p>
  </w:footnote>
  <w:footnote w:id="410">
    <w:p w14:paraId="49BDF41C" w14:textId="77777777" w:rsidR="004C57B0" w:rsidRPr="00A111A5" w:rsidRDefault="004C57B0" w:rsidP="004C57B0">
      <w:pPr>
        <w:rPr>
          <w:sz w:val="20"/>
          <w:szCs w:val="20"/>
        </w:rPr>
      </w:pPr>
      <w:r w:rsidRPr="00A111A5">
        <w:rPr>
          <w:rStyle w:val="FootnoteReference"/>
          <w:sz w:val="20"/>
          <w:szCs w:val="20"/>
        </w:rPr>
        <w:footnoteRef/>
      </w:r>
      <w:r w:rsidRPr="00A111A5">
        <w:rPr>
          <w:sz w:val="20"/>
          <w:szCs w:val="20"/>
        </w:rPr>
        <w:t xml:space="preserve"> </w:t>
      </w:r>
      <w:r w:rsidRPr="00A111A5">
        <w:rPr>
          <w:rFonts w:hint="eastAsia"/>
          <w:sz w:val="20"/>
          <w:szCs w:val="20"/>
        </w:rPr>
        <w:t xml:space="preserve"> </w:t>
      </w:r>
      <w:r w:rsidRPr="00E0642E">
        <w:rPr>
          <w:rFonts w:eastAsia="SimSun"/>
          <w:sz w:val="20"/>
          <w:szCs w:val="20"/>
        </w:rPr>
        <w:t>缔约方可视可用方法、国情和技术能力，选择报告农药环境浓度和（或）合计总施用毒性标题指标。</w:t>
      </w:r>
      <w:r w:rsidRPr="00E0642E">
        <w:rPr>
          <w:rFonts w:eastAsia="SimSun"/>
          <w:sz w:val="20"/>
          <w:szCs w:val="20"/>
        </w:rPr>
        <w:t xml:space="preserve"> </w:t>
      </w:r>
    </w:p>
  </w:footnote>
  <w:footnote w:id="411">
    <w:p w14:paraId="174AB615" w14:textId="77777777" w:rsidR="004C57B0" w:rsidRPr="005E2F1E" w:rsidRDefault="004C57B0" w:rsidP="004C57B0">
      <w:pPr>
        <w:pStyle w:val="FootnoteText"/>
        <w:spacing w:after="60"/>
        <w:rPr>
          <w:rFonts w:eastAsia="SimSun"/>
          <w:sz w:val="20"/>
        </w:rPr>
      </w:pPr>
      <w:r w:rsidRPr="005E2F1E">
        <w:rPr>
          <w:rStyle w:val="FootnoteReference"/>
          <w:rFonts w:eastAsia="SimSun"/>
          <w:sz w:val="20"/>
        </w:rPr>
        <w:sym w:font="Symbol" w:char="F02A"/>
      </w:r>
      <w:r w:rsidRPr="005E2F1E">
        <w:rPr>
          <w:rFonts w:eastAsia="SimSun"/>
          <w:sz w:val="20"/>
        </w:rPr>
        <w:t xml:space="preserve">  </w:t>
      </w:r>
      <w:r w:rsidRPr="005E2F1E">
        <w:rPr>
          <w:rFonts w:eastAsia="SimSun"/>
          <w:sz w:val="20"/>
        </w:rPr>
        <w:t>根据第</w:t>
      </w:r>
      <w:hyperlink r:id="rId178" w:history="1">
        <w:r w:rsidRPr="005E2F1E">
          <w:rPr>
            <w:rStyle w:val="Hyperlink"/>
            <w:rFonts w:eastAsia="SimSun"/>
            <w:sz w:val="20"/>
          </w:rPr>
          <w:t>15/5</w:t>
        </w:r>
      </w:hyperlink>
      <w:r w:rsidRPr="005E2F1E">
        <w:rPr>
          <w:rFonts w:eastAsia="SimSun"/>
          <w:sz w:val="20"/>
        </w:rPr>
        <w:t>号决定附件一第</w:t>
      </w:r>
      <w:r w:rsidRPr="005E2F1E">
        <w:rPr>
          <w:rFonts w:eastAsia="SimSun"/>
          <w:sz w:val="20"/>
        </w:rPr>
        <w:t>2 (a)</w:t>
      </w:r>
      <w:r w:rsidRPr="005E2F1E">
        <w:rPr>
          <w:rFonts w:eastAsia="SimSun"/>
          <w:sz w:val="20"/>
        </w:rPr>
        <w:t>和</w:t>
      </w:r>
      <w:r w:rsidRPr="005E2F1E">
        <w:rPr>
          <w:rFonts w:eastAsia="SimSun"/>
          <w:sz w:val="20"/>
        </w:rPr>
        <w:t>(b)</w:t>
      </w:r>
      <w:r w:rsidRPr="005E2F1E">
        <w:rPr>
          <w:rFonts w:eastAsia="SimSun"/>
          <w:sz w:val="20"/>
        </w:rPr>
        <w:t>段，指标的相关数据和方法必须公开提供，供所有人使用。</w:t>
      </w:r>
    </w:p>
  </w:footnote>
  <w:footnote w:id="412">
    <w:p w14:paraId="28380A4A" w14:textId="77777777" w:rsidR="004C57B0" w:rsidRDefault="004C57B0" w:rsidP="004C57B0">
      <w:pPr>
        <w:pStyle w:val="FootnoteText"/>
        <w:spacing w:after="60"/>
      </w:pPr>
      <w:r w:rsidRPr="005E2F1E">
        <w:rPr>
          <w:rStyle w:val="FootnoteReference"/>
          <w:rFonts w:eastAsia="SimSun"/>
          <w:sz w:val="20"/>
        </w:rPr>
        <w:footnoteRef/>
      </w:r>
      <w:r w:rsidRPr="005E2F1E">
        <w:rPr>
          <w:rFonts w:eastAsia="SimSun"/>
          <w:sz w:val="20"/>
        </w:rPr>
        <w:t xml:space="preserve">  </w:t>
      </w:r>
      <w:r w:rsidRPr="005E2F1E">
        <w:rPr>
          <w:rFonts w:eastAsia="SimSun"/>
          <w:sz w:val="20"/>
        </w:rPr>
        <w:t>相关行动目标也列入了具体红色名录指数细分，将其作为补充指标。</w:t>
      </w:r>
    </w:p>
  </w:footnote>
  <w:footnote w:id="413">
    <w:p w14:paraId="08EF7760" w14:textId="7B75E8C3" w:rsidR="004C57B0" w:rsidRPr="00163DE6" w:rsidRDefault="004C57B0" w:rsidP="004C57B0">
      <w:pPr>
        <w:pStyle w:val="FootnoteText"/>
      </w:pPr>
      <w:r w:rsidRPr="008A4073">
        <w:rPr>
          <w:rStyle w:val="FootnoteReference"/>
          <w:sz w:val="20"/>
        </w:rPr>
        <w:footnoteRef/>
      </w:r>
      <w:r w:rsidRPr="008A4073">
        <w:rPr>
          <w:sz w:val="20"/>
        </w:rPr>
        <w:t xml:space="preserve"> </w:t>
      </w:r>
      <w:r w:rsidR="005E2F1E">
        <w:rPr>
          <w:rFonts w:hint="eastAsia"/>
          <w:sz w:val="20"/>
        </w:rPr>
        <w:t xml:space="preserve"> </w:t>
      </w:r>
      <w:r w:rsidRPr="005E2F1E">
        <w:rPr>
          <w:rFonts w:eastAsia="SimSun"/>
          <w:sz w:val="20"/>
        </w:rPr>
        <w:t>缔约方可视可用方法、国情和技术能力，选择报告农药环境浓度和（或）合计总施用毒性标题指标。</w:t>
      </w:r>
    </w:p>
  </w:footnote>
  <w:footnote w:id="414">
    <w:p w14:paraId="65C36415" w14:textId="7D457A63" w:rsidR="004C57B0" w:rsidRPr="003E648F" w:rsidRDefault="004C57B0" w:rsidP="004C57B0">
      <w:pPr>
        <w:pStyle w:val="FootnoteText"/>
        <w:spacing w:after="60"/>
      </w:pPr>
      <w:r w:rsidRPr="003E648F">
        <w:rPr>
          <w:rStyle w:val="FootnoteReference"/>
        </w:rPr>
        <w:footnoteRef/>
      </w:r>
      <w:r w:rsidRPr="003E648F">
        <w:t xml:space="preserve">  </w:t>
      </w:r>
      <w:r w:rsidRPr="005E2F1E">
        <w:rPr>
          <w:rFonts w:eastAsia="SimSun"/>
          <w:sz w:val="20"/>
        </w:rPr>
        <w:t>监测框架承认，该框架中的任何内容均不应被理解为修改世界贸易组织</w:t>
      </w:r>
      <w:r w:rsidR="00A277E2">
        <w:rPr>
          <w:rFonts w:eastAsia="SimSun" w:hint="eastAsia"/>
          <w:sz w:val="20"/>
        </w:rPr>
        <w:t>成员</w:t>
      </w:r>
      <w:r w:rsidRPr="005E2F1E">
        <w:rPr>
          <w:rFonts w:eastAsia="SimSun"/>
          <w:sz w:val="20"/>
        </w:rPr>
        <w:t>的权利和义务。</w:t>
      </w:r>
    </w:p>
  </w:footnote>
  <w:footnote w:id="415">
    <w:p w14:paraId="56EE6B04" w14:textId="77777777" w:rsidR="000A776A" w:rsidRPr="00A277E2" w:rsidRDefault="000A776A" w:rsidP="000A776A">
      <w:pPr>
        <w:pStyle w:val="FootnoteText"/>
        <w:spacing w:after="60"/>
        <w:rPr>
          <w:rFonts w:eastAsia="SimSun"/>
          <w:sz w:val="20"/>
        </w:rPr>
      </w:pPr>
      <w:r w:rsidRPr="00A277E2">
        <w:rPr>
          <w:rStyle w:val="FootnoteReference"/>
          <w:rFonts w:eastAsia="SimSun"/>
          <w:sz w:val="20"/>
        </w:rPr>
        <w:footnoteRef/>
      </w:r>
      <w:r w:rsidRPr="00A277E2">
        <w:rPr>
          <w:rFonts w:eastAsia="SimSun"/>
          <w:sz w:val="20"/>
        </w:rPr>
        <w:t xml:space="preserve">  </w:t>
      </w:r>
      <w:r w:rsidRPr="00A277E2">
        <w:rPr>
          <w:rFonts w:eastAsia="SimSun"/>
          <w:sz w:val="20"/>
        </w:rPr>
        <w:t>联合国，《条约汇编》，第</w:t>
      </w:r>
      <w:r w:rsidRPr="00A277E2">
        <w:rPr>
          <w:rFonts w:eastAsia="SimSun"/>
          <w:sz w:val="20"/>
        </w:rPr>
        <w:t>1760</w:t>
      </w:r>
      <w:r w:rsidRPr="00A277E2">
        <w:rPr>
          <w:rFonts w:eastAsia="SimSun"/>
          <w:sz w:val="20"/>
        </w:rPr>
        <w:t>卷，第</w:t>
      </w:r>
      <w:r w:rsidRPr="00A277E2">
        <w:rPr>
          <w:rFonts w:eastAsia="SimSun"/>
          <w:sz w:val="20"/>
        </w:rPr>
        <w:t>30619</w:t>
      </w:r>
      <w:r w:rsidRPr="00A277E2">
        <w:rPr>
          <w:rFonts w:eastAsia="SimSun"/>
          <w:sz w:val="20"/>
        </w:rPr>
        <w:t>号。</w:t>
      </w:r>
    </w:p>
  </w:footnote>
  <w:footnote w:id="416">
    <w:p w14:paraId="138C6554" w14:textId="77777777" w:rsidR="000A776A" w:rsidRPr="000578D2" w:rsidRDefault="000A776A" w:rsidP="000A776A">
      <w:pPr>
        <w:pStyle w:val="FootnoteText"/>
        <w:spacing w:after="60"/>
      </w:pPr>
      <w:r w:rsidRPr="00A277E2">
        <w:rPr>
          <w:rStyle w:val="FootnoteReference"/>
          <w:rFonts w:eastAsia="SimSun"/>
          <w:sz w:val="20"/>
        </w:rPr>
        <w:footnoteRef/>
      </w:r>
      <w:r w:rsidRPr="00A277E2">
        <w:rPr>
          <w:rFonts w:eastAsia="SimSun"/>
          <w:sz w:val="20"/>
        </w:rPr>
        <w:t xml:space="preserve">  </w:t>
      </w:r>
      <w:r w:rsidRPr="00A277E2">
        <w:rPr>
          <w:rFonts w:eastAsia="SimSun"/>
          <w:sz w:val="20"/>
        </w:rPr>
        <w:t>第</w:t>
      </w:r>
      <w:hyperlink r:id="rId179" w:history="1">
        <w:r w:rsidRPr="00A277E2">
          <w:rPr>
            <w:rStyle w:val="Hyperlink"/>
            <w:rFonts w:eastAsia="SimSun"/>
            <w:sz w:val="20"/>
          </w:rPr>
          <w:t>15/4</w:t>
        </w:r>
      </w:hyperlink>
      <w:r w:rsidRPr="00A277E2">
        <w:rPr>
          <w:rFonts w:eastAsia="SimSun"/>
          <w:sz w:val="20"/>
        </w:rPr>
        <w:t>号决定，附件。</w:t>
      </w:r>
    </w:p>
  </w:footnote>
  <w:footnote w:id="417">
    <w:p w14:paraId="0C17F813" w14:textId="77777777" w:rsidR="000A776A" w:rsidRPr="00A277E2" w:rsidRDefault="000A776A" w:rsidP="000A776A">
      <w:pPr>
        <w:pStyle w:val="FootnoteText"/>
        <w:spacing w:after="60"/>
        <w:rPr>
          <w:rFonts w:eastAsia="SimSun"/>
          <w:sz w:val="20"/>
        </w:rPr>
      </w:pPr>
      <w:r w:rsidRPr="00A277E2">
        <w:rPr>
          <w:rStyle w:val="FootnoteReference"/>
          <w:rFonts w:eastAsia="SimSun"/>
          <w:sz w:val="20"/>
        </w:rPr>
        <w:footnoteRef/>
      </w:r>
      <w:r w:rsidRPr="00A277E2">
        <w:rPr>
          <w:rFonts w:eastAsia="SimSun"/>
          <w:sz w:val="20"/>
        </w:rPr>
        <w:t xml:space="preserve">  </w:t>
      </w:r>
      <w:r w:rsidRPr="00A277E2">
        <w:rPr>
          <w:rFonts w:eastAsia="SimSun"/>
          <w:sz w:val="20"/>
        </w:rPr>
        <w:t>第</w:t>
      </w:r>
      <w:r w:rsidRPr="00A277E2">
        <w:rPr>
          <w:rFonts w:eastAsia="SimSun"/>
          <w:sz w:val="20"/>
        </w:rPr>
        <w:t>IPBES-10/1</w:t>
      </w:r>
      <w:r w:rsidRPr="00A277E2">
        <w:rPr>
          <w:rFonts w:eastAsia="SimSun"/>
          <w:sz w:val="20"/>
        </w:rPr>
        <w:t>号决定。</w:t>
      </w:r>
    </w:p>
  </w:footnote>
  <w:footnote w:id="418">
    <w:p w14:paraId="0E9498FE" w14:textId="53946202" w:rsidR="000A776A" w:rsidRPr="00A277E2" w:rsidRDefault="000A776A" w:rsidP="000A776A">
      <w:pPr>
        <w:pStyle w:val="FootnoteText"/>
        <w:spacing w:after="60"/>
        <w:rPr>
          <w:rFonts w:eastAsia="SimSun"/>
          <w:sz w:val="20"/>
        </w:rPr>
      </w:pPr>
      <w:r w:rsidRPr="00A277E2">
        <w:rPr>
          <w:rStyle w:val="FootnoteReference"/>
          <w:rFonts w:eastAsia="SimSun"/>
          <w:sz w:val="20"/>
        </w:rPr>
        <w:footnoteRef/>
      </w:r>
      <w:r w:rsidRPr="00A277E2">
        <w:rPr>
          <w:rFonts w:eastAsia="SimSun"/>
          <w:sz w:val="20"/>
        </w:rPr>
        <w:t xml:space="preserve"> </w:t>
      </w:r>
      <w:r w:rsidR="00A277E2">
        <w:rPr>
          <w:rFonts w:eastAsia="SimSun" w:hint="eastAsia"/>
          <w:sz w:val="20"/>
        </w:rPr>
        <w:t xml:space="preserve"> </w:t>
      </w:r>
      <w:r w:rsidRPr="00A277E2">
        <w:rPr>
          <w:rFonts w:eastAsia="SimSun"/>
          <w:sz w:val="20"/>
        </w:rPr>
        <w:t>国家政府以外行为体的完整清单载于第</w:t>
      </w:r>
      <w:hyperlink r:id="rId180" w:history="1">
        <w:r w:rsidRPr="00A277E2">
          <w:rPr>
            <w:rStyle w:val="Hyperlink"/>
            <w:rFonts w:eastAsia="SimSun"/>
            <w:sz w:val="20"/>
          </w:rPr>
          <w:t>15/6</w:t>
        </w:r>
      </w:hyperlink>
      <w:r w:rsidRPr="00A277E2">
        <w:rPr>
          <w:rFonts w:eastAsia="SimSun"/>
          <w:sz w:val="20"/>
        </w:rPr>
        <w:t>号决定第</w:t>
      </w:r>
      <w:r w:rsidRPr="00A277E2">
        <w:rPr>
          <w:rFonts w:eastAsia="SimSun"/>
          <w:sz w:val="20"/>
        </w:rPr>
        <w:t>26</w:t>
      </w:r>
      <w:r w:rsidRPr="00A277E2">
        <w:rPr>
          <w:rFonts w:eastAsia="SimSun"/>
          <w:sz w:val="20"/>
        </w:rPr>
        <w:t>段。</w:t>
      </w:r>
    </w:p>
  </w:footnote>
  <w:footnote w:id="419">
    <w:p w14:paraId="75BE0291" w14:textId="77777777" w:rsidR="000A776A" w:rsidRPr="00A277E2" w:rsidRDefault="000A776A" w:rsidP="000A776A">
      <w:pPr>
        <w:pStyle w:val="FootnoteText"/>
        <w:spacing w:after="60"/>
        <w:rPr>
          <w:rFonts w:eastAsia="SimSun"/>
          <w:sz w:val="20"/>
          <w:lang w:val="en-CA"/>
        </w:rPr>
      </w:pPr>
      <w:r w:rsidRPr="00A277E2">
        <w:rPr>
          <w:rStyle w:val="FootnoteReference"/>
          <w:rFonts w:eastAsia="SimSun"/>
          <w:sz w:val="20"/>
        </w:rPr>
        <w:footnoteRef/>
      </w:r>
      <w:r w:rsidRPr="00A277E2">
        <w:rPr>
          <w:rFonts w:eastAsia="SimSun"/>
          <w:sz w:val="20"/>
        </w:rPr>
        <w:t xml:space="preserve">  </w:t>
      </w:r>
      <w:r w:rsidRPr="00A277E2">
        <w:rPr>
          <w:rFonts w:eastAsia="SimSun"/>
          <w:color w:val="333333"/>
          <w:sz w:val="20"/>
          <w:shd w:val="clear" w:color="auto" w:fill="FFFFFF"/>
        </w:rPr>
        <w:t>秘书处发布的任何数据、信息、项目或报告均不得作为主张或否认任何主权、主权权利或管辖权主张的依据，包括与此相关的任何争议。</w:t>
      </w:r>
    </w:p>
  </w:footnote>
  <w:footnote w:id="420">
    <w:p w14:paraId="15755AA8" w14:textId="77777777" w:rsidR="000A776A" w:rsidRPr="000E032D" w:rsidRDefault="000A776A" w:rsidP="000A776A">
      <w:pPr>
        <w:pStyle w:val="FootnoteText"/>
        <w:spacing w:after="60"/>
        <w:rPr>
          <w:sz w:val="20"/>
        </w:rPr>
      </w:pPr>
      <w:r w:rsidRPr="00A277E2">
        <w:rPr>
          <w:rStyle w:val="FootnoteReference"/>
          <w:rFonts w:eastAsia="SimSun"/>
          <w:sz w:val="20"/>
        </w:rPr>
        <w:footnoteRef/>
      </w:r>
      <w:r w:rsidRPr="00A277E2">
        <w:rPr>
          <w:rFonts w:eastAsia="SimSun"/>
          <w:sz w:val="20"/>
        </w:rPr>
        <w:t xml:space="preserve">  </w:t>
      </w:r>
      <w:hyperlink r:id="rId181" w:history="1">
        <w:r w:rsidRPr="00A277E2">
          <w:rPr>
            <w:rStyle w:val="Hyperlink"/>
            <w:rFonts w:eastAsia="SimSun"/>
            <w:sz w:val="20"/>
          </w:rPr>
          <w:t>CBD/SBI/5/4</w:t>
        </w:r>
      </w:hyperlink>
      <w:r w:rsidRPr="00A277E2">
        <w:rPr>
          <w:rFonts w:eastAsia="SimSun"/>
          <w:sz w:val="20"/>
        </w:rPr>
        <w:t>，第二节，</w:t>
      </w:r>
      <w:r w:rsidRPr="00A277E2">
        <w:rPr>
          <w:rFonts w:eastAsia="SimSun"/>
          <w:color w:val="333333"/>
          <w:sz w:val="20"/>
          <w:shd w:val="clear" w:color="auto" w:fill="FFFFFF"/>
        </w:rPr>
        <w:t>附件。</w:t>
      </w:r>
    </w:p>
  </w:footnote>
  <w:footnote w:id="421">
    <w:p w14:paraId="52239AC0" w14:textId="77777777" w:rsidR="000A776A" w:rsidRPr="000049F9" w:rsidRDefault="000A776A" w:rsidP="000A776A">
      <w:pPr>
        <w:pStyle w:val="FootnoteText"/>
        <w:spacing w:after="60"/>
        <w:rPr>
          <w:szCs w:val="18"/>
        </w:rPr>
      </w:pPr>
      <w:r w:rsidRPr="000E032D">
        <w:rPr>
          <w:rStyle w:val="FootnoteReference"/>
          <w:sz w:val="20"/>
        </w:rPr>
        <w:footnoteRef/>
      </w:r>
      <w:r w:rsidRPr="000E032D">
        <w:rPr>
          <w:sz w:val="20"/>
        </w:rPr>
        <w:t xml:space="preserve"> </w:t>
      </w:r>
      <w:r>
        <w:rPr>
          <w:rFonts w:hint="eastAsia"/>
          <w:sz w:val="20"/>
        </w:rPr>
        <w:t xml:space="preserve"> </w:t>
      </w:r>
      <w:r w:rsidRPr="00A277E2">
        <w:rPr>
          <w:rFonts w:eastAsia="SimSun"/>
          <w:sz w:val="20"/>
        </w:rPr>
        <w:t>如缔约方大会所确定。</w:t>
      </w:r>
    </w:p>
  </w:footnote>
  <w:footnote w:id="422">
    <w:p w14:paraId="3AF488AC" w14:textId="053F94B9" w:rsidR="000A776A" w:rsidRPr="00970288" w:rsidRDefault="000A776A" w:rsidP="000A776A">
      <w:pPr>
        <w:pStyle w:val="FootnoteText"/>
        <w:spacing w:after="60"/>
        <w:rPr>
          <w:sz w:val="20"/>
        </w:rPr>
      </w:pPr>
      <w:r w:rsidRPr="00970288">
        <w:rPr>
          <w:rStyle w:val="FootnoteReference"/>
          <w:sz w:val="20"/>
        </w:rPr>
        <w:footnoteRef/>
      </w:r>
      <w:r w:rsidRPr="00970288">
        <w:rPr>
          <w:rFonts w:hint="eastAsia"/>
          <w:sz w:val="20"/>
        </w:rPr>
        <w:t xml:space="preserve">  </w:t>
      </w:r>
      <w:r w:rsidRPr="00A277E2">
        <w:rPr>
          <w:rFonts w:eastAsia="SimSun"/>
          <w:sz w:val="20"/>
        </w:rPr>
        <w:t>根据第</w:t>
      </w:r>
      <w:hyperlink r:id="rId182" w:history="1">
        <w:r w:rsidRPr="00A277E2">
          <w:rPr>
            <w:rStyle w:val="Hyperlink"/>
            <w:rFonts w:eastAsia="SimSun"/>
            <w:sz w:val="20"/>
          </w:rPr>
          <w:t>16/</w:t>
        </w:r>
        <w:r w:rsidRPr="00A277E2">
          <w:rPr>
            <w:rStyle w:val="Hyperlink"/>
            <w:rFonts w:eastAsia="SimSun" w:hint="eastAsia"/>
            <w:sz w:val="20"/>
          </w:rPr>
          <w:t>31</w:t>
        </w:r>
      </w:hyperlink>
      <w:r w:rsidRPr="00A277E2">
        <w:rPr>
          <w:rFonts w:eastAsia="SimSun"/>
          <w:sz w:val="20"/>
        </w:rPr>
        <w:t>号决定第</w:t>
      </w:r>
      <w:r w:rsidRPr="00A277E2">
        <w:rPr>
          <w:rFonts w:eastAsia="SimSun"/>
          <w:sz w:val="20"/>
        </w:rPr>
        <w:t>29</w:t>
      </w:r>
      <w:r w:rsidRPr="00A277E2">
        <w:rPr>
          <w:rFonts w:eastAsia="SimSun"/>
          <w:sz w:val="20"/>
        </w:rPr>
        <w:t>段进行。</w:t>
      </w:r>
    </w:p>
  </w:footnote>
  <w:footnote w:id="423">
    <w:p w14:paraId="522C0EEB" w14:textId="77777777" w:rsidR="000A776A" w:rsidRPr="00A277E2" w:rsidRDefault="000A776A" w:rsidP="00A277E2">
      <w:pPr>
        <w:pStyle w:val="FootnoteText"/>
        <w:spacing w:after="60"/>
        <w:rPr>
          <w:rFonts w:eastAsia="SimSun"/>
          <w:sz w:val="20"/>
          <w:lang w:val="en-CA"/>
        </w:rPr>
      </w:pPr>
      <w:r w:rsidRPr="00A277E2">
        <w:rPr>
          <w:rStyle w:val="FootnoteReference"/>
          <w:rFonts w:eastAsia="SimSun"/>
          <w:sz w:val="20"/>
        </w:rPr>
        <w:footnoteRef/>
      </w:r>
      <w:r w:rsidRPr="00A277E2">
        <w:rPr>
          <w:rFonts w:eastAsia="SimSun"/>
          <w:sz w:val="20"/>
        </w:rPr>
        <w:t xml:space="preserve"> </w:t>
      </w:r>
      <w:r w:rsidRPr="00A277E2">
        <w:rPr>
          <w:rFonts w:eastAsia="SimSun"/>
          <w:sz w:val="20"/>
        </w:rPr>
        <w:t>见</w:t>
      </w:r>
      <w:r w:rsidRPr="00A277E2">
        <w:rPr>
          <w:rFonts w:eastAsia="SimSun"/>
          <w:sz w:val="20"/>
        </w:rPr>
        <w:t xml:space="preserve"> </w:t>
      </w:r>
      <w:hyperlink r:id="rId183" w:history="1">
        <w:r w:rsidRPr="00A277E2">
          <w:rPr>
            <w:rStyle w:val="Hyperlink"/>
            <w:rFonts w:eastAsia="SimSun"/>
            <w:sz w:val="20"/>
          </w:rPr>
          <w:t>www.cbd.int/nbsap</w:t>
        </w:r>
      </w:hyperlink>
      <w:r w:rsidRPr="00A277E2">
        <w:rPr>
          <w:rFonts w:eastAsia="SimSun"/>
          <w:sz w:val="20"/>
          <w:lang w:val="en-CA"/>
        </w:rPr>
        <w:t>。</w:t>
      </w:r>
      <w:r w:rsidRPr="00A277E2">
        <w:rPr>
          <w:rFonts w:eastAsia="SimSun"/>
          <w:sz w:val="20"/>
          <w:lang w:val="en-CA"/>
        </w:rPr>
        <w:t xml:space="preserve"> </w:t>
      </w:r>
    </w:p>
  </w:footnote>
  <w:footnote w:id="424">
    <w:p w14:paraId="7F451E71" w14:textId="3711109C" w:rsidR="000A776A" w:rsidRPr="00960A8F" w:rsidRDefault="000A776A" w:rsidP="00A277E2">
      <w:pPr>
        <w:pStyle w:val="FootnoteText"/>
        <w:spacing w:after="60"/>
        <w:rPr>
          <w:sz w:val="20"/>
        </w:rPr>
      </w:pPr>
      <w:r w:rsidRPr="00A277E2">
        <w:rPr>
          <w:rStyle w:val="FootnoteReference"/>
          <w:rFonts w:eastAsia="SimSun"/>
          <w:sz w:val="20"/>
        </w:rPr>
        <w:t>*</w:t>
      </w:r>
      <w:r w:rsidRPr="00A277E2">
        <w:rPr>
          <w:rFonts w:eastAsia="SimSun"/>
          <w:sz w:val="20"/>
        </w:rPr>
        <w:t xml:space="preserve"> </w:t>
      </w:r>
      <w:r w:rsidRPr="00A277E2">
        <w:rPr>
          <w:rFonts w:eastAsia="SimSun"/>
          <w:spacing w:val="12"/>
          <w:sz w:val="20"/>
        </w:rPr>
        <w:t>如</w:t>
      </w:r>
      <w:r w:rsidR="00ED1A1D">
        <w:rPr>
          <w:rFonts w:eastAsia="SimSun" w:hint="eastAsia"/>
          <w:spacing w:val="12"/>
          <w:sz w:val="20"/>
        </w:rPr>
        <w:t>有</w:t>
      </w:r>
      <w:r w:rsidRPr="00A277E2">
        <w:rPr>
          <w:rFonts w:eastAsia="SimSun"/>
          <w:spacing w:val="12"/>
          <w:sz w:val="20"/>
        </w:rPr>
        <w:t>必要，可根据第七次国家报告编写工作中的经验教训对第八次国家报告的指导意见和模板进行调整</w:t>
      </w:r>
      <w:r w:rsidRPr="00A277E2">
        <w:rPr>
          <w:rFonts w:eastAsia="SimSun"/>
          <w:sz w:val="20"/>
        </w:rPr>
        <w:t>。</w:t>
      </w:r>
    </w:p>
  </w:footnote>
  <w:footnote w:id="425">
    <w:p w14:paraId="19ADC36C" w14:textId="77777777" w:rsidR="000A776A" w:rsidRPr="00ED1A1D" w:rsidRDefault="000A776A" w:rsidP="000A776A">
      <w:pPr>
        <w:pStyle w:val="FootnoteText"/>
        <w:spacing w:after="60"/>
        <w:rPr>
          <w:rFonts w:eastAsia="SimSun"/>
          <w:sz w:val="20"/>
        </w:rPr>
      </w:pPr>
      <w:r w:rsidRPr="00ED1A1D">
        <w:rPr>
          <w:rStyle w:val="FootnoteReference"/>
          <w:rFonts w:eastAsia="SimSun"/>
          <w:sz w:val="20"/>
        </w:rPr>
        <w:footnoteRef/>
      </w:r>
      <w:r w:rsidRPr="00ED1A1D">
        <w:rPr>
          <w:rFonts w:eastAsia="SimSun"/>
          <w:sz w:val="20"/>
        </w:rPr>
        <w:t xml:space="preserve">  </w:t>
      </w:r>
      <w:r w:rsidRPr="00ED1A1D">
        <w:rPr>
          <w:rFonts w:eastAsia="SimSun"/>
          <w:sz w:val="20"/>
        </w:rPr>
        <w:t>在线报告工具中有如何把提交数据包含在工具内的例子。</w:t>
      </w:r>
    </w:p>
  </w:footnote>
  <w:footnote w:id="426">
    <w:p w14:paraId="3A2ECF24" w14:textId="40AA52E6" w:rsidR="000A776A" w:rsidRPr="000578D2" w:rsidRDefault="000A776A" w:rsidP="000A776A">
      <w:pPr>
        <w:pStyle w:val="FootnoteText"/>
        <w:spacing w:after="60"/>
      </w:pPr>
      <w:r w:rsidRPr="00ED1A1D">
        <w:rPr>
          <w:rStyle w:val="FootnoteReference"/>
          <w:rFonts w:eastAsia="SimSun"/>
          <w:sz w:val="20"/>
        </w:rPr>
        <w:footnoteRef/>
      </w:r>
      <w:r w:rsidRPr="00ED1A1D">
        <w:rPr>
          <w:rFonts w:eastAsia="SimSun"/>
          <w:sz w:val="20"/>
        </w:rPr>
        <w:t xml:space="preserve">  </w:t>
      </w:r>
      <w:r w:rsidRPr="00ED1A1D">
        <w:rPr>
          <w:rFonts w:eastAsia="SimSun"/>
          <w:sz w:val="20"/>
        </w:rPr>
        <w:t>二元指标的清单见第</w:t>
      </w:r>
      <w:hyperlink r:id="rId184" w:history="1">
        <w:r w:rsidRPr="000C41A3">
          <w:rPr>
            <w:rStyle w:val="Hyperlink"/>
            <w:rFonts w:eastAsia="SimSun"/>
            <w:sz w:val="20"/>
          </w:rPr>
          <w:t>16/31</w:t>
        </w:r>
      </w:hyperlink>
      <w:r w:rsidRPr="00ED1A1D">
        <w:rPr>
          <w:rFonts w:eastAsia="SimSun"/>
          <w:sz w:val="20"/>
        </w:rPr>
        <w:t>号决定附件一和附件三。</w:t>
      </w:r>
    </w:p>
  </w:footnote>
  <w:footnote w:id="427">
    <w:p w14:paraId="30CD67CE" w14:textId="77777777" w:rsidR="000A776A" w:rsidRPr="00893A90" w:rsidRDefault="000A776A" w:rsidP="00893A90">
      <w:pPr>
        <w:pStyle w:val="FootnoteText"/>
        <w:spacing w:after="60"/>
        <w:rPr>
          <w:rFonts w:eastAsia="SimSun"/>
          <w:sz w:val="20"/>
        </w:rPr>
      </w:pPr>
      <w:r w:rsidRPr="00893A90">
        <w:rPr>
          <w:rStyle w:val="FootnoteReference"/>
          <w:rFonts w:eastAsia="SimSun"/>
          <w:sz w:val="20"/>
        </w:rPr>
        <w:t>*</w:t>
      </w:r>
      <w:r w:rsidRPr="00893A90">
        <w:rPr>
          <w:rFonts w:eastAsia="SimSun"/>
          <w:sz w:val="20"/>
        </w:rPr>
        <w:t xml:space="preserve"> </w:t>
      </w:r>
      <w:r w:rsidRPr="00893A90">
        <w:rPr>
          <w:rFonts w:eastAsia="SimSun"/>
          <w:sz w:val="20"/>
        </w:rPr>
        <w:t>第</w:t>
      </w:r>
      <w:hyperlink r:id="rId185" w:history="1">
        <w:r w:rsidRPr="00893A90">
          <w:rPr>
            <w:rStyle w:val="Hyperlink"/>
            <w:rFonts w:eastAsia="SimSun"/>
            <w:sz w:val="20"/>
          </w:rPr>
          <w:t>15/6</w:t>
        </w:r>
      </w:hyperlink>
      <w:r w:rsidRPr="00893A90">
        <w:rPr>
          <w:rFonts w:eastAsia="SimSun"/>
          <w:sz w:val="20"/>
        </w:rPr>
        <w:t>号决定第</w:t>
      </w:r>
      <w:r w:rsidRPr="00893A90">
        <w:rPr>
          <w:rFonts w:eastAsia="SimSun"/>
          <w:sz w:val="20"/>
        </w:rPr>
        <w:t>26</w:t>
      </w:r>
      <w:r w:rsidRPr="00893A90">
        <w:rPr>
          <w:rFonts w:eastAsia="SimSun"/>
          <w:sz w:val="20"/>
        </w:rPr>
        <w:t>段列出了国家政府以外行为体清单，包括土著人民和地方社区、次国家政府、城市和其他地方当局、政府间组织、</w:t>
      </w:r>
      <w:r w:rsidRPr="00893A90">
        <w:rPr>
          <w:rFonts w:eastAsia="SimSun"/>
          <w:sz w:val="20"/>
        </w:rPr>
        <w:t xml:space="preserve"> </w:t>
      </w:r>
      <w:r w:rsidRPr="00893A90">
        <w:rPr>
          <w:rFonts w:eastAsia="SimSun"/>
          <w:sz w:val="20"/>
        </w:rPr>
        <w:t>其他多边环境协定、非政府组织、妇女、青年、研究组织、企业和金融界以及与生物多样性相关或依赖生物多样性的部门的代表。</w:t>
      </w:r>
    </w:p>
  </w:footnote>
  <w:footnote w:id="428">
    <w:p w14:paraId="53140780" w14:textId="77777777" w:rsidR="000A776A" w:rsidRPr="00893A90" w:rsidRDefault="000A776A" w:rsidP="00893A90">
      <w:pPr>
        <w:pStyle w:val="FootnoteText"/>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86" w:history="1">
        <w:r w:rsidRPr="00893A90">
          <w:rPr>
            <w:rStyle w:val="Hyperlink"/>
            <w:rFonts w:eastAsia="SimSun"/>
            <w:sz w:val="20"/>
          </w:rPr>
          <w:t>15/4</w:t>
        </w:r>
      </w:hyperlink>
      <w:r w:rsidRPr="00893A90">
        <w:rPr>
          <w:rFonts w:eastAsia="SimSun"/>
          <w:sz w:val="20"/>
        </w:rPr>
        <w:t>号决定，附件。</w:t>
      </w:r>
    </w:p>
  </w:footnote>
  <w:footnote w:id="429">
    <w:p w14:paraId="4270A625" w14:textId="165F194B" w:rsidR="000A776A" w:rsidRPr="00893A90" w:rsidRDefault="000A776A" w:rsidP="00893A90">
      <w:pPr>
        <w:pStyle w:val="FootnoteText"/>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87" w:history="1">
        <w:r w:rsidRPr="00893A90">
          <w:rPr>
            <w:rStyle w:val="Hyperlink"/>
            <w:rFonts w:eastAsia="SimSun"/>
            <w:sz w:val="20"/>
          </w:rPr>
          <w:t>15/5</w:t>
        </w:r>
      </w:hyperlink>
      <w:r w:rsidRPr="00893A90">
        <w:rPr>
          <w:rFonts w:eastAsia="SimSun"/>
          <w:sz w:val="20"/>
        </w:rPr>
        <w:t>号决定，附件一和第</w:t>
      </w:r>
      <w:hyperlink r:id="rId188" w:history="1">
        <w:r w:rsidRPr="00893A90">
          <w:rPr>
            <w:rStyle w:val="Hyperlink"/>
            <w:rFonts w:eastAsia="SimSun" w:hint="eastAsia"/>
            <w:sz w:val="20"/>
          </w:rPr>
          <w:t>16/31</w:t>
        </w:r>
      </w:hyperlink>
      <w:r w:rsidRPr="00893A90">
        <w:rPr>
          <w:rFonts w:eastAsia="SimSun"/>
          <w:sz w:val="20"/>
        </w:rPr>
        <w:t>号决定。</w:t>
      </w:r>
    </w:p>
  </w:footnote>
  <w:footnote w:id="430">
    <w:p w14:paraId="76A2C1D0" w14:textId="77777777" w:rsidR="000A776A" w:rsidRPr="00893A90" w:rsidRDefault="000A776A" w:rsidP="00893A90">
      <w:pPr>
        <w:pStyle w:val="FootnoteText"/>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将为此目的开发在线报告工具的指定部分。</w:t>
      </w:r>
    </w:p>
  </w:footnote>
  <w:footnote w:id="431">
    <w:p w14:paraId="5CF249BD" w14:textId="77777777" w:rsidR="000A776A" w:rsidRDefault="000A776A" w:rsidP="00893A90">
      <w:pPr>
        <w:pStyle w:val="FootnoteText"/>
        <w:spacing w:after="60"/>
      </w:pPr>
      <w:r w:rsidRPr="00893A90">
        <w:rPr>
          <w:rStyle w:val="FootnoteReference"/>
          <w:rFonts w:eastAsia="SimSun"/>
          <w:sz w:val="20"/>
        </w:rPr>
        <w:footnoteRef/>
      </w:r>
      <w:r w:rsidRPr="00893A90">
        <w:rPr>
          <w:rFonts w:eastAsia="SimSun"/>
          <w:sz w:val="20"/>
        </w:rPr>
        <w:t xml:space="preserve">  “</w:t>
      </w:r>
      <w:r w:rsidRPr="00893A90">
        <w:rPr>
          <w:rFonts w:eastAsia="SimSun"/>
          <w:sz w:val="20"/>
        </w:rPr>
        <w:t>无异议基础上</w:t>
      </w:r>
      <w:r w:rsidRPr="00893A90">
        <w:rPr>
          <w:rFonts w:eastAsia="SimSun"/>
          <w:sz w:val="20"/>
        </w:rPr>
        <w:t>”</w:t>
      </w:r>
      <w:r w:rsidRPr="00893A90">
        <w:rPr>
          <w:rFonts w:eastAsia="SimSun"/>
          <w:sz w:val="20"/>
        </w:rPr>
        <w:t>一词指国家政府以外的行为体提交的所有材料都可供国家联络点审查。四周之后，如果相关国家联络点未提出反对意见，提交的承诺将予以公布，但有一项谅解，即如果提出反对意见，承诺可随时撤销公布。</w:t>
      </w:r>
    </w:p>
  </w:footnote>
  <w:footnote w:id="432">
    <w:p w14:paraId="5603B731" w14:textId="77777777" w:rsidR="000A776A" w:rsidRPr="00893A90" w:rsidRDefault="000A776A" w:rsidP="00893A90">
      <w:pPr>
        <w:pStyle w:val="FootnoteText"/>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89" w:history="1">
        <w:r w:rsidRPr="00893A90">
          <w:rPr>
            <w:rStyle w:val="Hyperlink"/>
            <w:rFonts w:eastAsia="SimSun"/>
            <w:sz w:val="20"/>
          </w:rPr>
          <w:t>15/11</w:t>
        </w:r>
      </w:hyperlink>
      <w:r w:rsidRPr="00893A90">
        <w:rPr>
          <w:rFonts w:eastAsia="SimSun"/>
          <w:sz w:val="20"/>
        </w:rPr>
        <w:t>号决定，附件。</w:t>
      </w:r>
    </w:p>
  </w:footnote>
  <w:footnote w:id="433">
    <w:p w14:paraId="6797C357" w14:textId="77777777" w:rsidR="000A776A" w:rsidRPr="00C03E6D" w:rsidRDefault="000A776A" w:rsidP="00893A90">
      <w:pPr>
        <w:pStyle w:val="FootnoteText"/>
        <w:spacing w:after="60"/>
        <w:rPr>
          <w:b/>
          <w:bCs/>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90" w:history="1">
        <w:r w:rsidRPr="00893A90">
          <w:rPr>
            <w:rStyle w:val="Hyperlink"/>
            <w:rFonts w:eastAsia="SimSun"/>
            <w:sz w:val="20"/>
          </w:rPr>
          <w:t>15/5</w:t>
        </w:r>
      </w:hyperlink>
      <w:r w:rsidRPr="00893A90">
        <w:rPr>
          <w:rFonts w:eastAsia="SimSun"/>
          <w:sz w:val="20"/>
        </w:rPr>
        <w:t>号决定，附件一。</w:t>
      </w:r>
    </w:p>
  </w:footnote>
  <w:footnote w:id="434">
    <w:p w14:paraId="442DDA10" w14:textId="17ED9C04" w:rsidR="000A776A" w:rsidRPr="00CB682A" w:rsidRDefault="000A776A" w:rsidP="000A776A">
      <w:pPr>
        <w:rPr>
          <w:sz w:val="18"/>
          <w:szCs w:val="18"/>
        </w:rPr>
      </w:pPr>
      <w:r w:rsidRPr="00CB682A">
        <w:rPr>
          <w:rStyle w:val="FootnoteReference"/>
          <w:sz w:val="18"/>
          <w:szCs w:val="18"/>
        </w:rPr>
        <w:footnoteRef/>
      </w:r>
      <w:r w:rsidRPr="00CB682A">
        <w:rPr>
          <w:sz w:val="18"/>
          <w:szCs w:val="18"/>
        </w:rPr>
        <w:t xml:space="preserve"> </w:t>
      </w:r>
      <w:r w:rsidR="00893A90">
        <w:rPr>
          <w:rFonts w:hint="eastAsia"/>
          <w:sz w:val="18"/>
          <w:szCs w:val="18"/>
        </w:rPr>
        <w:t xml:space="preserve"> </w:t>
      </w:r>
      <w:r w:rsidRPr="00893A90">
        <w:rPr>
          <w:rFonts w:eastAsia="SimSun"/>
          <w:sz w:val="20"/>
          <w:szCs w:val="20"/>
        </w:rPr>
        <w:t>第</w:t>
      </w:r>
      <w:hyperlink r:id="rId191" w:history="1">
        <w:r w:rsidRPr="00893A90">
          <w:rPr>
            <w:rStyle w:val="Hyperlink"/>
            <w:rFonts w:eastAsia="SimSun"/>
            <w:sz w:val="20"/>
            <w:szCs w:val="20"/>
          </w:rPr>
          <w:t>15/6</w:t>
        </w:r>
      </w:hyperlink>
      <w:r w:rsidRPr="00893A90">
        <w:rPr>
          <w:rFonts w:eastAsia="SimSun"/>
          <w:sz w:val="20"/>
          <w:szCs w:val="20"/>
        </w:rPr>
        <w:t>号决定中商定了提交国家报告的截止日期。</w:t>
      </w:r>
    </w:p>
  </w:footnote>
  <w:footnote w:id="435">
    <w:p w14:paraId="10DA9E3E" w14:textId="77777777" w:rsidR="000A776A" w:rsidRPr="00893A90" w:rsidRDefault="000A776A" w:rsidP="000A776A">
      <w:pPr>
        <w:pStyle w:val="FootnoteText"/>
        <w:tabs>
          <w:tab w:val="clear" w:pos="567"/>
          <w:tab w:val="clear" w:pos="1134"/>
          <w:tab w:val="clear" w:pos="1701"/>
          <w:tab w:val="clear" w:pos="2268"/>
        </w:tabs>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联合国，《条约汇编》，第</w:t>
      </w:r>
      <w:r w:rsidRPr="00893A90">
        <w:rPr>
          <w:rFonts w:eastAsia="SimSun"/>
          <w:sz w:val="20"/>
        </w:rPr>
        <w:t>1760</w:t>
      </w:r>
      <w:r w:rsidRPr="00893A90">
        <w:rPr>
          <w:rFonts w:eastAsia="SimSun"/>
          <w:sz w:val="20"/>
        </w:rPr>
        <w:t>卷，第</w:t>
      </w:r>
      <w:r w:rsidRPr="00893A90">
        <w:rPr>
          <w:rFonts w:eastAsia="SimSun"/>
          <w:sz w:val="20"/>
        </w:rPr>
        <w:t>30619</w:t>
      </w:r>
      <w:r w:rsidRPr="00893A90">
        <w:rPr>
          <w:rFonts w:eastAsia="SimSun"/>
          <w:sz w:val="20"/>
        </w:rPr>
        <w:t>号。</w:t>
      </w:r>
    </w:p>
  </w:footnote>
  <w:footnote w:id="436">
    <w:p w14:paraId="2DF57BC1" w14:textId="7EC39D61" w:rsidR="000A776A" w:rsidRPr="00893A90" w:rsidRDefault="000A776A" w:rsidP="000A776A">
      <w:pPr>
        <w:pStyle w:val="FootnoteText"/>
        <w:tabs>
          <w:tab w:val="clear" w:pos="567"/>
          <w:tab w:val="clear" w:pos="1134"/>
          <w:tab w:val="clear" w:pos="1701"/>
          <w:tab w:val="clear" w:pos="2268"/>
        </w:tabs>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r w:rsidRPr="00893A90">
        <w:rPr>
          <w:rFonts w:eastAsia="SimSun"/>
          <w:sz w:val="20"/>
        </w:rPr>
        <w:t xml:space="preserve"> </w:t>
      </w:r>
      <w:hyperlink r:id="rId192" w:history="1">
        <w:r w:rsidRPr="00893A90">
          <w:rPr>
            <w:rStyle w:val="Hyperlink"/>
            <w:rFonts w:eastAsia="SimSun"/>
            <w:sz w:val="20"/>
          </w:rPr>
          <w:t>III/8</w:t>
        </w:r>
      </w:hyperlink>
      <w:r w:rsidRPr="00893A90">
        <w:rPr>
          <w:rFonts w:eastAsia="SimSun"/>
          <w:sz w:val="20"/>
        </w:rPr>
        <w:t xml:space="preserve"> </w:t>
      </w:r>
      <w:r w:rsidRPr="00893A90">
        <w:rPr>
          <w:rFonts w:eastAsia="SimSun"/>
          <w:sz w:val="20"/>
        </w:rPr>
        <w:t>号决定，附件。</w:t>
      </w:r>
    </w:p>
  </w:footnote>
  <w:footnote w:id="437">
    <w:p w14:paraId="3D995CAD" w14:textId="77777777" w:rsidR="000A776A" w:rsidRPr="00893A90" w:rsidRDefault="000A776A" w:rsidP="000A776A">
      <w:pPr>
        <w:pStyle w:val="FootnoteText"/>
        <w:tabs>
          <w:tab w:val="clear" w:pos="567"/>
          <w:tab w:val="clear" w:pos="1134"/>
          <w:tab w:val="clear" w:pos="1701"/>
          <w:tab w:val="clear" w:pos="2268"/>
        </w:tabs>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93" w:history="1">
        <w:r w:rsidRPr="00893A90">
          <w:rPr>
            <w:rStyle w:val="Hyperlink"/>
            <w:rFonts w:eastAsia="SimSun"/>
            <w:sz w:val="20"/>
          </w:rPr>
          <w:t>15/15</w:t>
        </w:r>
      </w:hyperlink>
      <w:r w:rsidRPr="00893A90">
        <w:rPr>
          <w:rFonts w:eastAsia="SimSun"/>
          <w:sz w:val="20"/>
        </w:rPr>
        <w:t>号决定，附件三。</w:t>
      </w:r>
    </w:p>
  </w:footnote>
  <w:footnote w:id="438">
    <w:p w14:paraId="3F853037" w14:textId="77777777" w:rsidR="000A776A" w:rsidRPr="00893A90" w:rsidRDefault="000A776A" w:rsidP="000A776A">
      <w:pPr>
        <w:pStyle w:val="FootnoteText"/>
        <w:tabs>
          <w:tab w:val="clear" w:pos="567"/>
          <w:tab w:val="clear" w:pos="1134"/>
          <w:tab w:val="clear" w:pos="1701"/>
          <w:tab w:val="clear" w:pos="2268"/>
        </w:tabs>
        <w:spacing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第</w:t>
      </w:r>
      <w:hyperlink r:id="rId194" w:history="1">
        <w:r w:rsidRPr="00893A90">
          <w:rPr>
            <w:rStyle w:val="Hyperlink"/>
            <w:rFonts w:eastAsia="SimSun"/>
            <w:sz w:val="20"/>
          </w:rPr>
          <w:t>15/4</w:t>
        </w:r>
      </w:hyperlink>
      <w:r w:rsidRPr="00893A90">
        <w:rPr>
          <w:rFonts w:eastAsia="SimSun"/>
          <w:sz w:val="20"/>
        </w:rPr>
        <w:t>号决定，附件。</w:t>
      </w:r>
    </w:p>
  </w:footnote>
  <w:footnote w:id="439">
    <w:p w14:paraId="73977FE0" w14:textId="77777777" w:rsidR="000A776A" w:rsidRPr="00893A90" w:rsidRDefault="000A776A" w:rsidP="000A776A">
      <w:pPr>
        <w:pStyle w:val="FootnoteText"/>
        <w:tabs>
          <w:tab w:val="clear" w:pos="567"/>
          <w:tab w:val="clear" w:pos="1134"/>
          <w:tab w:val="clear" w:pos="1701"/>
          <w:tab w:val="clear" w:pos="2268"/>
        </w:tabs>
        <w:spacing w:before="60" w:after="60"/>
        <w:rPr>
          <w:rFonts w:eastAsia="SimSun"/>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联合国，《条约汇编》，第</w:t>
      </w:r>
      <w:r w:rsidRPr="00893A90">
        <w:rPr>
          <w:rFonts w:eastAsia="SimSun"/>
          <w:sz w:val="20"/>
        </w:rPr>
        <w:t>2226</w:t>
      </w:r>
      <w:r w:rsidRPr="00893A90">
        <w:rPr>
          <w:rFonts w:eastAsia="SimSun"/>
          <w:sz w:val="20"/>
        </w:rPr>
        <w:t>卷，第</w:t>
      </w:r>
      <w:r w:rsidRPr="00893A90">
        <w:rPr>
          <w:rFonts w:eastAsia="SimSun"/>
          <w:sz w:val="20"/>
        </w:rPr>
        <w:t>30619</w:t>
      </w:r>
      <w:r w:rsidRPr="00893A90">
        <w:rPr>
          <w:rFonts w:eastAsia="SimSun"/>
          <w:sz w:val="20"/>
        </w:rPr>
        <w:t>号。</w:t>
      </w:r>
    </w:p>
  </w:footnote>
  <w:footnote w:id="440">
    <w:p w14:paraId="1611A2AC" w14:textId="77777777" w:rsidR="000A776A" w:rsidRPr="00BF4924" w:rsidRDefault="000A776A" w:rsidP="000A776A">
      <w:pPr>
        <w:pStyle w:val="FootnoteText"/>
        <w:tabs>
          <w:tab w:val="clear" w:pos="567"/>
          <w:tab w:val="clear" w:pos="1134"/>
          <w:tab w:val="clear" w:pos="1701"/>
          <w:tab w:val="clear" w:pos="2268"/>
        </w:tabs>
        <w:spacing w:before="60" w:after="60"/>
        <w:rPr>
          <w:sz w:val="20"/>
        </w:rPr>
      </w:pPr>
      <w:r w:rsidRPr="00893A90">
        <w:rPr>
          <w:rStyle w:val="FootnoteReference"/>
          <w:rFonts w:eastAsia="SimSun"/>
          <w:sz w:val="20"/>
        </w:rPr>
        <w:footnoteRef/>
      </w:r>
      <w:r w:rsidRPr="00893A90">
        <w:rPr>
          <w:rFonts w:eastAsia="SimSun"/>
          <w:sz w:val="20"/>
        </w:rPr>
        <w:t xml:space="preserve">  </w:t>
      </w:r>
      <w:r w:rsidRPr="00893A90">
        <w:rPr>
          <w:rFonts w:eastAsia="SimSun"/>
          <w:sz w:val="20"/>
        </w:rPr>
        <w:t>同上，第</w:t>
      </w:r>
      <w:r w:rsidRPr="00893A90">
        <w:rPr>
          <w:rFonts w:eastAsia="SimSun"/>
          <w:sz w:val="20"/>
        </w:rPr>
        <w:t>3008</w:t>
      </w:r>
      <w:r w:rsidRPr="00893A90">
        <w:rPr>
          <w:rFonts w:eastAsia="SimSun"/>
          <w:sz w:val="20"/>
        </w:rPr>
        <w:t>卷，第</w:t>
      </w:r>
      <w:r w:rsidRPr="00893A90">
        <w:rPr>
          <w:rFonts w:eastAsia="SimSun"/>
          <w:sz w:val="20"/>
        </w:rPr>
        <w:t>30619</w:t>
      </w:r>
      <w:r w:rsidRPr="00893A90">
        <w:rPr>
          <w:rFonts w:eastAsia="SimSun"/>
          <w:sz w:val="20"/>
        </w:rPr>
        <w:t>号</w:t>
      </w:r>
      <w:r w:rsidRPr="00BF4924">
        <w:rPr>
          <w:sz w:val="20"/>
        </w:rPr>
        <w:t>。</w:t>
      </w:r>
    </w:p>
  </w:footnote>
  <w:footnote w:id="441">
    <w:p w14:paraId="3D9A6259" w14:textId="77777777" w:rsidR="000A776A" w:rsidRPr="00DB1FDC" w:rsidRDefault="000A776A" w:rsidP="00DB1FDC">
      <w:pPr>
        <w:pStyle w:val="FootnoteText"/>
        <w:tabs>
          <w:tab w:val="clear" w:pos="567"/>
          <w:tab w:val="clear" w:pos="1134"/>
          <w:tab w:val="clear" w:pos="1701"/>
          <w:tab w:val="clear" w:pos="2268"/>
        </w:tabs>
        <w:spacing w:after="60"/>
        <w:rPr>
          <w:rFonts w:eastAsia="SimSun"/>
          <w:sz w:val="20"/>
        </w:rPr>
      </w:pPr>
      <w:r w:rsidRPr="00DB1FDC">
        <w:rPr>
          <w:rStyle w:val="FootnoteReference"/>
          <w:rFonts w:eastAsia="SimSun"/>
          <w:sz w:val="20"/>
        </w:rPr>
        <w:footnoteRef/>
      </w:r>
      <w:r w:rsidRPr="00DB1FDC">
        <w:rPr>
          <w:rFonts w:eastAsia="SimSun"/>
          <w:sz w:val="20"/>
        </w:rPr>
        <w:t xml:space="preserve">  </w:t>
      </w:r>
      <w:hyperlink r:id="rId195" w:history="1">
        <w:r w:rsidRPr="00DB1FDC">
          <w:rPr>
            <w:rStyle w:val="Hyperlink"/>
            <w:rFonts w:eastAsia="SimSun"/>
            <w:sz w:val="20"/>
            <w:lang w:val="en-GB"/>
          </w:rPr>
          <w:t>CBD/COP/16/8/Rev.1</w:t>
        </w:r>
      </w:hyperlink>
      <w:r w:rsidRPr="00DB1FDC">
        <w:rPr>
          <w:rFonts w:eastAsia="SimSun"/>
          <w:sz w:val="20"/>
          <w:lang w:val="en-GB"/>
        </w:rPr>
        <w:t>。</w:t>
      </w:r>
    </w:p>
  </w:footnote>
  <w:footnote w:id="442">
    <w:p w14:paraId="66BBBD35" w14:textId="77777777" w:rsidR="000A776A" w:rsidRPr="00DB1FDC" w:rsidRDefault="000A776A" w:rsidP="00DB1FDC">
      <w:pPr>
        <w:pStyle w:val="FootnoteText"/>
        <w:tabs>
          <w:tab w:val="clear" w:pos="567"/>
          <w:tab w:val="clear" w:pos="1134"/>
          <w:tab w:val="clear" w:pos="1701"/>
          <w:tab w:val="clear" w:pos="2268"/>
        </w:tabs>
        <w:spacing w:after="60"/>
        <w:rPr>
          <w:rFonts w:eastAsia="SimSun"/>
          <w:sz w:val="20"/>
        </w:rPr>
      </w:pPr>
      <w:r w:rsidRPr="00DB1FDC">
        <w:rPr>
          <w:rFonts w:eastAsia="SimSun"/>
          <w:sz w:val="20"/>
          <w:vertAlign w:val="superscript"/>
        </w:rPr>
        <w:footnoteRef/>
      </w:r>
      <w:r w:rsidRPr="00DB1FDC">
        <w:rPr>
          <w:rFonts w:eastAsia="SimSun"/>
          <w:sz w:val="20"/>
        </w:rPr>
        <w:t xml:space="preserve">  </w:t>
      </w:r>
      <w:hyperlink r:id="rId196" w:history="1">
        <w:r w:rsidRPr="00DB1FDC">
          <w:rPr>
            <w:rStyle w:val="Hyperlink"/>
            <w:rFonts w:eastAsia="SimSun"/>
            <w:sz w:val="20"/>
          </w:rPr>
          <w:t>CBD/COP/16/7</w:t>
        </w:r>
      </w:hyperlink>
      <w:r w:rsidRPr="00DB1FDC">
        <w:rPr>
          <w:rFonts w:eastAsia="SimSun"/>
          <w:sz w:val="20"/>
        </w:rPr>
        <w:t>。另见</w:t>
      </w:r>
      <w:hyperlink r:id="rId197" w:history="1">
        <w:r w:rsidRPr="00DB1FDC">
          <w:rPr>
            <w:rStyle w:val="Hyperlink"/>
            <w:rFonts w:eastAsia="SimSun"/>
            <w:sz w:val="20"/>
            <w:lang w:val="en-GB"/>
          </w:rPr>
          <w:t>CBD/COP/16/INF/25</w:t>
        </w:r>
      </w:hyperlink>
      <w:r w:rsidRPr="00C10708">
        <w:rPr>
          <w:rStyle w:val="Hyperlink"/>
          <w:rFonts w:eastAsia="SimSun"/>
          <w:sz w:val="20"/>
          <w:u w:val="none"/>
          <w:lang w:val="en-GB"/>
        </w:rPr>
        <w:t>。</w:t>
      </w:r>
    </w:p>
  </w:footnote>
  <w:footnote w:id="443">
    <w:p w14:paraId="4B568207" w14:textId="77777777" w:rsidR="000A776A" w:rsidRPr="00DB1FDC" w:rsidRDefault="000A776A" w:rsidP="00DB1FDC">
      <w:pPr>
        <w:pStyle w:val="FootnoteText"/>
        <w:tabs>
          <w:tab w:val="clear" w:pos="567"/>
          <w:tab w:val="clear" w:pos="1134"/>
          <w:tab w:val="clear" w:pos="1701"/>
          <w:tab w:val="clear" w:pos="2268"/>
        </w:tabs>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198" w:history="1">
        <w:r w:rsidRPr="00DB1FDC">
          <w:rPr>
            <w:rStyle w:val="Hyperlink"/>
            <w:rFonts w:eastAsia="SimSun"/>
            <w:sz w:val="20"/>
          </w:rPr>
          <w:t>CP-10/3</w:t>
        </w:r>
      </w:hyperlink>
      <w:r w:rsidRPr="00DB1FDC">
        <w:rPr>
          <w:rFonts w:eastAsia="SimSun"/>
          <w:sz w:val="20"/>
        </w:rPr>
        <w:t>号决定</w:t>
      </w:r>
      <w:r w:rsidRPr="00DB1FDC">
        <w:rPr>
          <w:rFonts w:eastAsia="SimSun"/>
          <w:sz w:val="20"/>
        </w:rPr>
        <w:t xml:space="preserve">, </w:t>
      </w:r>
      <w:r w:rsidRPr="00DB1FDC">
        <w:rPr>
          <w:rFonts w:eastAsia="SimSun"/>
          <w:sz w:val="20"/>
        </w:rPr>
        <w:t>附件。</w:t>
      </w:r>
    </w:p>
  </w:footnote>
  <w:footnote w:id="444">
    <w:p w14:paraId="50C73656" w14:textId="77777777" w:rsidR="000A776A" w:rsidRPr="003F6E2A" w:rsidRDefault="000A776A" w:rsidP="00DB1FDC">
      <w:pPr>
        <w:pStyle w:val="FootnoteText"/>
        <w:tabs>
          <w:tab w:val="clear" w:pos="567"/>
          <w:tab w:val="clear" w:pos="1134"/>
          <w:tab w:val="clear" w:pos="1701"/>
          <w:tab w:val="clear" w:pos="2268"/>
        </w:tabs>
        <w:spacing w:after="60"/>
        <w:rPr>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199" w:history="1">
        <w:r w:rsidRPr="00DB1FDC">
          <w:rPr>
            <w:rStyle w:val="Hyperlink"/>
            <w:rFonts w:eastAsia="SimSun"/>
            <w:sz w:val="20"/>
          </w:rPr>
          <w:t>CP-10/4</w:t>
        </w:r>
      </w:hyperlink>
      <w:r w:rsidRPr="00DB1FDC">
        <w:rPr>
          <w:rFonts w:eastAsia="SimSun"/>
          <w:sz w:val="20"/>
        </w:rPr>
        <w:t>号决定</w:t>
      </w:r>
      <w:r w:rsidRPr="00DB1FDC">
        <w:rPr>
          <w:rFonts w:eastAsia="SimSun"/>
          <w:sz w:val="20"/>
        </w:rPr>
        <w:t xml:space="preserve">, </w:t>
      </w:r>
      <w:r w:rsidRPr="00DB1FDC">
        <w:rPr>
          <w:rFonts w:eastAsia="SimSun"/>
          <w:sz w:val="20"/>
        </w:rPr>
        <w:t>附件。</w:t>
      </w:r>
    </w:p>
  </w:footnote>
  <w:footnote w:id="445">
    <w:p w14:paraId="057C5B63" w14:textId="3179930B" w:rsidR="000A776A" w:rsidRPr="00721764" w:rsidRDefault="000A776A" w:rsidP="000A776A">
      <w:pPr>
        <w:pStyle w:val="FootnoteText"/>
        <w:spacing w:after="60"/>
        <w:rPr>
          <w:sz w:val="20"/>
        </w:rPr>
      </w:pPr>
      <w:r w:rsidRPr="003F6E2A">
        <w:rPr>
          <w:rStyle w:val="FootnoteReference"/>
          <w:sz w:val="20"/>
        </w:rPr>
        <w:footnoteRef/>
      </w:r>
      <w:r w:rsidRPr="003F6E2A">
        <w:rPr>
          <w:sz w:val="20"/>
        </w:rPr>
        <w:t xml:space="preserve">  </w:t>
      </w:r>
      <w:r w:rsidRPr="00DB1FDC">
        <w:rPr>
          <w:rFonts w:eastAsia="SimSun"/>
          <w:sz w:val="20"/>
        </w:rPr>
        <w:t>捐款详情见</w:t>
      </w:r>
      <w:hyperlink r:id="rId200" w:history="1">
        <w:r w:rsidRPr="00DB1FDC">
          <w:rPr>
            <w:rStyle w:val="Hyperlink"/>
            <w:rFonts w:eastAsia="SimSun"/>
            <w:sz w:val="20"/>
          </w:rPr>
          <w:t>https://fiftrustee.worldbank.org/en/about/unit/dfi/fiftrustee/fund-detail/gbff</w:t>
        </w:r>
      </w:hyperlink>
      <w:r w:rsidRPr="00DB1FDC">
        <w:rPr>
          <w:rFonts w:eastAsia="SimSun"/>
          <w:sz w:val="20"/>
        </w:rPr>
        <w:t>。</w:t>
      </w:r>
    </w:p>
  </w:footnote>
  <w:footnote w:id="446">
    <w:p w14:paraId="0ECA85C9" w14:textId="317251AD" w:rsidR="000A776A" w:rsidRPr="00DB1FDC" w:rsidRDefault="000A776A" w:rsidP="000A776A">
      <w:pPr>
        <w:pStyle w:val="FootnoteText"/>
        <w:spacing w:after="40"/>
        <w:rPr>
          <w:rFonts w:eastAsia="SimSun"/>
          <w:sz w:val="20"/>
        </w:rPr>
      </w:pPr>
      <w:r w:rsidRPr="00DB1FDC">
        <w:rPr>
          <w:rStyle w:val="FootnoteReference"/>
          <w:rFonts w:eastAsia="SimSun"/>
          <w:sz w:val="20"/>
        </w:rPr>
        <w:footnoteRef/>
      </w:r>
      <w:r w:rsidRPr="00DB1FDC">
        <w:rPr>
          <w:rFonts w:eastAsia="SimSun"/>
          <w:sz w:val="20"/>
        </w:rPr>
        <w:t xml:space="preserve"> </w:t>
      </w:r>
      <w:r w:rsidR="00DB1FDC">
        <w:rPr>
          <w:rFonts w:eastAsia="SimSun" w:hint="eastAsia"/>
          <w:sz w:val="20"/>
        </w:rPr>
        <w:t xml:space="preserve"> </w:t>
      </w:r>
      <w:r w:rsidRPr="00DB1FDC">
        <w:rPr>
          <w:rFonts w:eastAsia="SimSun"/>
          <w:sz w:val="20"/>
        </w:rPr>
        <w:t>多民族玻利维亚国提交的提案，可查阅：</w:t>
      </w:r>
      <w:hyperlink r:id="rId201" w:history="1">
        <w:r w:rsidRPr="00DB1FDC">
          <w:rPr>
            <w:rStyle w:val="Hyperlink"/>
            <w:rFonts w:eastAsia="SimSun"/>
            <w:sz w:val="20"/>
          </w:rPr>
          <w:t>www.cbd.int/doc/interventions/6717c9819a0ecc27c502d552/GEF%20Financial%20Mechanism.docx</w:t>
        </w:r>
      </w:hyperlink>
      <w:r w:rsidRPr="00DB1FDC">
        <w:rPr>
          <w:rFonts w:eastAsia="SimSun"/>
          <w:sz w:val="20"/>
        </w:rPr>
        <w:t>。</w:t>
      </w:r>
    </w:p>
  </w:footnote>
  <w:footnote w:id="447">
    <w:p w14:paraId="0A7B38EE" w14:textId="77777777" w:rsidR="000A776A" w:rsidRPr="00DB1FDC" w:rsidRDefault="000A776A" w:rsidP="000A776A">
      <w:pPr>
        <w:pStyle w:val="FootnoteText"/>
        <w:spacing w:before="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联合国，《条约汇编》，第</w:t>
      </w:r>
      <w:r w:rsidRPr="00DB1FDC">
        <w:rPr>
          <w:rFonts w:eastAsia="SimSun"/>
          <w:sz w:val="20"/>
        </w:rPr>
        <w:t>1760</w:t>
      </w:r>
      <w:r w:rsidRPr="00DB1FDC">
        <w:rPr>
          <w:rFonts w:eastAsia="SimSun"/>
          <w:sz w:val="20"/>
        </w:rPr>
        <w:t>卷，第</w:t>
      </w:r>
      <w:r w:rsidRPr="00DB1FDC">
        <w:rPr>
          <w:rFonts w:eastAsia="SimSun"/>
          <w:sz w:val="20"/>
        </w:rPr>
        <w:t>30619</w:t>
      </w:r>
      <w:r w:rsidRPr="00DB1FDC">
        <w:rPr>
          <w:rFonts w:eastAsia="SimSun"/>
          <w:sz w:val="20"/>
        </w:rPr>
        <w:t>号。</w:t>
      </w:r>
    </w:p>
  </w:footnote>
  <w:footnote w:id="448">
    <w:p w14:paraId="3443ABD3" w14:textId="77777777" w:rsidR="000A776A" w:rsidRPr="00DB1FDC" w:rsidRDefault="000A776A" w:rsidP="000A776A">
      <w:pPr>
        <w:pStyle w:val="FootnoteText"/>
        <w:spacing w:before="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02" w:history="1">
        <w:r w:rsidRPr="00DB1FDC">
          <w:rPr>
            <w:rStyle w:val="Hyperlink"/>
            <w:rFonts w:eastAsia="SimSun"/>
            <w:sz w:val="20"/>
          </w:rPr>
          <w:t>III/8</w:t>
        </w:r>
      </w:hyperlink>
      <w:r w:rsidRPr="00DB1FDC">
        <w:rPr>
          <w:rFonts w:eastAsia="SimSun"/>
          <w:sz w:val="20"/>
        </w:rPr>
        <w:t>号决定。</w:t>
      </w:r>
    </w:p>
  </w:footnote>
  <w:footnote w:id="449">
    <w:p w14:paraId="23237B52" w14:textId="77777777" w:rsidR="000A776A" w:rsidRPr="00527B1D" w:rsidRDefault="000A776A" w:rsidP="000A776A">
      <w:pPr>
        <w:pStyle w:val="FootnoteText"/>
        <w:spacing w:before="60"/>
        <w:rPr>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03" w:history="1">
        <w:r w:rsidRPr="00DB1FDC">
          <w:rPr>
            <w:rStyle w:val="Hyperlink"/>
            <w:rFonts w:eastAsia="SimSun"/>
            <w:sz w:val="20"/>
          </w:rPr>
          <w:t>15/4</w:t>
        </w:r>
      </w:hyperlink>
      <w:r w:rsidRPr="00DB1FDC">
        <w:rPr>
          <w:rFonts w:eastAsia="SimSun"/>
          <w:sz w:val="20"/>
        </w:rPr>
        <w:t>号决定，附件。</w:t>
      </w:r>
    </w:p>
  </w:footnote>
  <w:footnote w:id="450">
    <w:p w14:paraId="233EBF13" w14:textId="7DA0ADA4"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04" w:history="1">
        <w:r w:rsidRPr="00DB1FDC">
          <w:rPr>
            <w:rStyle w:val="Hyperlink"/>
            <w:rFonts w:eastAsia="SimSun"/>
            <w:sz w:val="20"/>
          </w:rPr>
          <w:t xml:space="preserve"> 16/</w:t>
        </w:r>
        <w:r w:rsidRPr="00DB1FDC">
          <w:rPr>
            <w:rStyle w:val="Hyperlink"/>
            <w:rFonts w:eastAsia="SimSun" w:hint="eastAsia"/>
            <w:sz w:val="20"/>
          </w:rPr>
          <w:t>34</w:t>
        </w:r>
      </w:hyperlink>
      <w:r w:rsidRPr="00DB1FDC">
        <w:rPr>
          <w:rFonts w:eastAsia="SimSun"/>
          <w:sz w:val="20"/>
        </w:rPr>
        <w:t>号决定，附件一。</w:t>
      </w:r>
    </w:p>
  </w:footnote>
  <w:footnote w:id="451">
    <w:p w14:paraId="3934FDEA"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205" w:history="1">
        <w:r w:rsidRPr="00DB1FDC">
          <w:rPr>
            <w:rStyle w:val="Hyperlink"/>
            <w:rFonts w:eastAsia="SimSun"/>
            <w:sz w:val="20"/>
          </w:rPr>
          <w:t>15/8</w:t>
        </w:r>
      </w:hyperlink>
      <w:r w:rsidRPr="00DB1FDC">
        <w:rPr>
          <w:rFonts w:eastAsia="SimSun"/>
          <w:sz w:val="20"/>
        </w:rPr>
        <w:t xml:space="preserve"> </w:t>
      </w:r>
      <w:r w:rsidRPr="00DB1FDC">
        <w:rPr>
          <w:rFonts w:eastAsia="SimSun"/>
          <w:sz w:val="20"/>
        </w:rPr>
        <w:t>号决定，附件一。</w:t>
      </w:r>
    </w:p>
  </w:footnote>
  <w:footnote w:id="452">
    <w:p w14:paraId="40FDD4D2"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206" w:history="1">
        <w:r w:rsidRPr="00DB1FDC">
          <w:rPr>
            <w:rStyle w:val="Hyperlink"/>
            <w:rFonts w:eastAsia="SimSun"/>
            <w:sz w:val="20"/>
          </w:rPr>
          <w:t>16/9 B</w:t>
        </w:r>
      </w:hyperlink>
      <w:r w:rsidRPr="00DB1FDC">
        <w:rPr>
          <w:rFonts w:eastAsia="SimSun"/>
          <w:sz w:val="20"/>
        </w:rPr>
        <w:t>号决定，附件。</w:t>
      </w:r>
    </w:p>
  </w:footnote>
  <w:footnote w:id="453">
    <w:p w14:paraId="64DA5BD2"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207" w:history="1">
        <w:r w:rsidRPr="00DB1FDC">
          <w:rPr>
            <w:rStyle w:val="Hyperlink"/>
            <w:rFonts w:eastAsia="SimSun"/>
            <w:sz w:val="20"/>
          </w:rPr>
          <w:t>15/12</w:t>
        </w:r>
      </w:hyperlink>
      <w:r w:rsidRPr="00DB1FDC">
        <w:rPr>
          <w:rFonts w:eastAsia="SimSun"/>
          <w:sz w:val="20"/>
        </w:rPr>
        <w:t xml:space="preserve"> </w:t>
      </w:r>
      <w:r w:rsidRPr="00DB1FDC">
        <w:rPr>
          <w:rFonts w:eastAsia="SimSun"/>
          <w:sz w:val="20"/>
        </w:rPr>
        <w:t>号决定，附件。</w:t>
      </w:r>
    </w:p>
  </w:footnote>
  <w:footnote w:id="454">
    <w:p w14:paraId="280177D5"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208" w:history="1">
        <w:r w:rsidRPr="00DB1FDC">
          <w:rPr>
            <w:rStyle w:val="Hyperlink"/>
            <w:rFonts w:eastAsia="SimSun"/>
            <w:sz w:val="20"/>
          </w:rPr>
          <w:t>15/11</w:t>
        </w:r>
      </w:hyperlink>
      <w:r w:rsidRPr="00DB1FDC">
        <w:rPr>
          <w:rFonts w:eastAsia="SimSun"/>
          <w:sz w:val="20"/>
        </w:rPr>
        <w:t xml:space="preserve"> </w:t>
      </w:r>
      <w:r w:rsidRPr="00DB1FDC">
        <w:rPr>
          <w:rFonts w:eastAsia="SimSun"/>
          <w:sz w:val="20"/>
        </w:rPr>
        <w:t>号决定，附件。</w:t>
      </w:r>
    </w:p>
  </w:footnote>
  <w:footnote w:id="455">
    <w:p w14:paraId="5B5EF979"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r w:rsidRPr="00DB1FDC">
        <w:rPr>
          <w:rFonts w:eastAsia="SimSun"/>
          <w:sz w:val="20"/>
        </w:rPr>
        <w:t xml:space="preserve"> </w:t>
      </w:r>
      <w:hyperlink r:id="rId209" w:history="1">
        <w:r w:rsidRPr="00DB1FDC">
          <w:rPr>
            <w:rStyle w:val="Hyperlink"/>
            <w:rFonts w:eastAsia="SimSun"/>
            <w:sz w:val="20"/>
          </w:rPr>
          <w:t>16/19</w:t>
        </w:r>
      </w:hyperlink>
      <w:r w:rsidRPr="00DB1FDC">
        <w:rPr>
          <w:rFonts w:eastAsia="SimSun"/>
          <w:sz w:val="20"/>
        </w:rPr>
        <w:t>号决定，附件一。</w:t>
      </w:r>
    </w:p>
  </w:footnote>
  <w:footnote w:id="456">
    <w:p w14:paraId="659581A7"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10" w:history="1">
        <w:r w:rsidRPr="00DB1FDC">
          <w:rPr>
            <w:rStyle w:val="Hyperlink"/>
            <w:rFonts w:eastAsia="SimSun"/>
            <w:sz w:val="20"/>
          </w:rPr>
          <w:t>15/5</w:t>
        </w:r>
      </w:hyperlink>
      <w:r w:rsidRPr="00DB1FDC">
        <w:rPr>
          <w:rFonts w:eastAsia="SimSun"/>
          <w:sz w:val="20"/>
        </w:rPr>
        <w:t>号和第</w:t>
      </w:r>
      <w:r w:rsidRPr="00DB1FDC">
        <w:rPr>
          <w:rFonts w:eastAsia="SimSun"/>
          <w:sz w:val="20"/>
        </w:rPr>
        <w:t>16/31</w:t>
      </w:r>
      <w:r w:rsidRPr="00DB1FDC">
        <w:rPr>
          <w:rFonts w:eastAsia="SimSun"/>
          <w:sz w:val="20"/>
        </w:rPr>
        <w:t>号决定。</w:t>
      </w:r>
    </w:p>
  </w:footnote>
  <w:footnote w:id="457">
    <w:p w14:paraId="339BD6AF"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见第</w:t>
      </w:r>
      <w:hyperlink r:id="rId211" w:history="1">
        <w:r w:rsidRPr="00DB1FDC">
          <w:rPr>
            <w:rStyle w:val="Hyperlink"/>
            <w:rFonts w:eastAsia="SimSun"/>
            <w:sz w:val="20"/>
          </w:rPr>
          <w:t>15/6</w:t>
        </w:r>
      </w:hyperlink>
      <w:r w:rsidRPr="00DB1FDC">
        <w:rPr>
          <w:rFonts w:eastAsia="SimSun"/>
          <w:sz w:val="20"/>
        </w:rPr>
        <w:t>号决定。</w:t>
      </w:r>
    </w:p>
  </w:footnote>
  <w:footnote w:id="458">
    <w:p w14:paraId="7C87CA71"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联合国</w:t>
      </w:r>
      <w:r w:rsidRPr="00DB1FDC">
        <w:rPr>
          <w:rFonts w:eastAsia="SimSun"/>
          <w:sz w:val="20"/>
        </w:rPr>
        <w:t>,</w:t>
      </w:r>
      <w:r w:rsidRPr="00DB1FDC">
        <w:rPr>
          <w:rFonts w:eastAsia="SimSun"/>
          <w:sz w:val="20"/>
        </w:rPr>
        <w:t>《条约汇编》，第</w:t>
      </w:r>
      <w:r w:rsidRPr="00DB1FDC">
        <w:rPr>
          <w:rFonts w:eastAsia="SimSun"/>
          <w:sz w:val="20"/>
        </w:rPr>
        <w:t>2226</w:t>
      </w:r>
      <w:r w:rsidRPr="00DB1FDC">
        <w:rPr>
          <w:rFonts w:eastAsia="SimSun"/>
          <w:sz w:val="20"/>
        </w:rPr>
        <w:t>卷，第</w:t>
      </w:r>
      <w:r w:rsidRPr="00DB1FDC">
        <w:rPr>
          <w:rFonts w:eastAsia="SimSun"/>
          <w:sz w:val="20"/>
        </w:rPr>
        <w:t>30619</w:t>
      </w:r>
      <w:r w:rsidRPr="00DB1FDC">
        <w:rPr>
          <w:rFonts w:eastAsia="SimSun"/>
          <w:sz w:val="20"/>
        </w:rPr>
        <w:t>号。</w:t>
      </w:r>
    </w:p>
  </w:footnote>
  <w:footnote w:id="459">
    <w:p w14:paraId="006E4D36"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12" w:history="1">
        <w:r w:rsidRPr="00DB1FDC">
          <w:rPr>
            <w:rStyle w:val="Hyperlink"/>
            <w:rFonts w:eastAsia="SimSun"/>
            <w:sz w:val="20"/>
          </w:rPr>
          <w:t>CP-10/3</w:t>
        </w:r>
      </w:hyperlink>
      <w:r w:rsidRPr="00DB1FDC">
        <w:rPr>
          <w:rFonts w:eastAsia="SimSun"/>
          <w:sz w:val="20"/>
        </w:rPr>
        <w:t>号决定，附件。</w:t>
      </w:r>
    </w:p>
  </w:footnote>
  <w:footnote w:id="460">
    <w:p w14:paraId="2294C359"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13" w:history="1">
        <w:r w:rsidRPr="00DB1FDC">
          <w:rPr>
            <w:rStyle w:val="Hyperlink"/>
            <w:rFonts w:eastAsia="SimSun"/>
            <w:sz w:val="20"/>
          </w:rPr>
          <w:t>CP-10/4</w:t>
        </w:r>
      </w:hyperlink>
      <w:r w:rsidRPr="00DB1FDC">
        <w:rPr>
          <w:rFonts w:eastAsia="SimSun"/>
          <w:sz w:val="20"/>
        </w:rPr>
        <w:t>号决定，附件。</w:t>
      </w:r>
    </w:p>
  </w:footnote>
  <w:footnote w:id="461">
    <w:p w14:paraId="4016DFAF" w14:textId="77777777" w:rsidR="000A776A" w:rsidRPr="00DB1FDC" w:rsidRDefault="000A776A" w:rsidP="000A776A">
      <w:pPr>
        <w:pStyle w:val="FootnoteText"/>
        <w:spacing w:after="60"/>
        <w:rPr>
          <w:rFonts w:eastAsia="SimSun"/>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联合国</w:t>
      </w:r>
      <w:r w:rsidRPr="00DB1FDC">
        <w:rPr>
          <w:rFonts w:eastAsia="SimSun"/>
          <w:sz w:val="20"/>
        </w:rPr>
        <w:t>,</w:t>
      </w:r>
      <w:r w:rsidRPr="00DB1FDC">
        <w:rPr>
          <w:rFonts w:eastAsia="SimSun"/>
          <w:sz w:val="20"/>
        </w:rPr>
        <w:t>《条约汇编》</w:t>
      </w:r>
      <w:r w:rsidRPr="00DB1FDC">
        <w:rPr>
          <w:rFonts w:eastAsia="SimSun"/>
          <w:sz w:val="20"/>
        </w:rPr>
        <w:t>,</w:t>
      </w:r>
      <w:r w:rsidRPr="00DB1FDC">
        <w:rPr>
          <w:rFonts w:eastAsia="SimSun"/>
          <w:sz w:val="20"/>
        </w:rPr>
        <w:t>第</w:t>
      </w:r>
      <w:r w:rsidRPr="00DB1FDC">
        <w:rPr>
          <w:rFonts w:eastAsia="SimSun"/>
          <w:sz w:val="20"/>
        </w:rPr>
        <w:t>3008</w:t>
      </w:r>
      <w:r w:rsidRPr="00DB1FDC">
        <w:rPr>
          <w:rFonts w:eastAsia="SimSun"/>
          <w:sz w:val="20"/>
        </w:rPr>
        <w:t>卷，第</w:t>
      </w:r>
      <w:r w:rsidRPr="00DB1FDC">
        <w:rPr>
          <w:rFonts w:eastAsia="SimSun"/>
          <w:sz w:val="20"/>
        </w:rPr>
        <w:t>30619</w:t>
      </w:r>
      <w:r w:rsidRPr="00DB1FDC">
        <w:rPr>
          <w:rFonts w:eastAsia="SimSun"/>
          <w:sz w:val="20"/>
        </w:rPr>
        <w:t>号。</w:t>
      </w:r>
    </w:p>
  </w:footnote>
  <w:footnote w:id="462">
    <w:p w14:paraId="48902450" w14:textId="77777777" w:rsidR="000A776A" w:rsidRPr="00527B1D" w:rsidRDefault="000A776A" w:rsidP="000A776A">
      <w:pPr>
        <w:pStyle w:val="FootnoteText"/>
        <w:spacing w:after="60"/>
        <w:rPr>
          <w:sz w:val="20"/>
        </w:rPr>
      </w:pPr>
      <w:r w:rsidRPr="00DB1FDC">
        <w:rPr>
          <w:rStyle w:val="FootnoteReference"/>
          <w:rFonts w:eastAsia="SimSun"/>
          <w:sz w:val="20"/>
        </w:rPr>
        <w:footnoteRef/>
      </w:r>
      <w:r w:rsidRPr="00DB1FDC">
        <w:rPr>
          <w:rFonts w:eastAsia="SimSun"/>
          <w:sz w:val="20"/>
        </w:rPr>
        <w:t xml:space="preserve">  </w:t>
      </w:r>
      <w:r w:rsidRPr="00DB1FDC">
        <w:rPr>
          <w:rFonts w:eastAsia="SimSun"/>
          <w:sz w:val="20"/>
        </w:rPr>
        <w:t>第</w:t>
      </w:r>
      <w:hyperlink r:id="rId214" w:history="1">
        <w:r w:rsidRPr="00DB1FDC">
          <w:rPr>
            <w:rStyle w:val="Hyperlink"/>
            <w:rFonts w:eastAsia="SimSun"/>
            <w:sz w:val="20"/>
          </w:rPr>
          <w:t>NP-5/3</w:t>
        </w:r>
      </w:hyperlink>
      <w:r w:rsidRPr="00DB1FDC">
        <w:rPr>
          <w:rFonts w:eastAsia="SimSun"/>
          <w:sz w:val="20"/>
        </w:rPr>
        <w:t>号决定。</w:t>
      </w:r>
    </w:p>
  </w:footnote>
  <w:footnote w:id="463">
    <w:p w14:paraId="5CCDEA3A" w14:textId="77777777" w:rsidR="000A776A" w:rsidRPr="004A27F9" w:rsidRDefault="000A776A" w:rsidP="000A776A">
      <w:pPr>
        <w:pStyle w:val="FootnoteText"/>
        <w:spacing w:before="60"/>
        <w:rPr>
          <w:rFonts w:eastAsia="SimSun"/>
          <w:sz w:val="20"/>
        </w:rPr>
      </w:pPr>
      <w:r w:rsidRPr="004A27F9">
        <w:rPr>
          <w:rStyle w:val="FootnoteReference"/>
          <w:rFonts w:eastAsia="SimSun"/>
          <w:sz w:val="20"/>
        </w:rPr>
        <w:footnoteRef/>
      </w:r>
      <w:r w:rsidRPr="004A27F9">
        <w:rPr>
          <w:rFonts w:eastAsia="SimSun"/>
          <w:sz w:val="20"/>
        </w:rPr>
        <w:t xml:space="preserve">  </w:t>
      </w:r>
      <w:r w:rsidRPr="004A27F9">
        <w:rPr>
          <w:rFonts w:eastAsia="SimSun"/>
          <w:sz w:val="20"/>
        </w:rPr>
        <w:t>根据联合国环境大会第</w:t>
      </w:r>
      <w:r w:rsidRPr="004A27F9">
        <w:rPr>
          <w:rFonts w:eastAsia="SimSun"/>
          <w:sz w:val="20"/>
        </w:rPr>
        <w:t xml:space="preserve"> 5/5 </w:t>
      </w:r>
      <w:r w:rsidRPr="004A27F9">
        <w:rPr>
          <w:rFonts w:eastAsia="SimSun"/>
          <w:sz w:val="20"/>
        </w:rPr>
        <w:t>号决议的定义</w:t>
      </w:r>
      <w:r w:rsidRPr="004A27F9">
        <w:rPr>
          <w:rFonts w:eastAsia="SimSun"/>
          <w:color w:val="000000"/>
          <w:sz w:val="20"/>
        </w:rPr>
        <w:t>。</w:t>
      </w:r>
    </w:p>
  </w:footnote>
  <w:footnote w:id="464">
    <w:p w14:paraId="629F92C1" w14:textId="77777777" w:rsidR="000A776A" w:rsidRPr="004A27F9" w:rsidRDefault="000A776A" w:rsidP="000A776A">
      <w:pPr>
        <w:pStyle w:val="FootnoteText"/>
        <w:spacing w:before="60"/>
        <w:rPr>
          <w:rFonts w:eastAsia="SimSun"/>
          <w:sz w:val="20"/>
        </w:rPr>
      </w:pPr>
      <w:r w:rsidRPr="004A27F9">
        <w:rPr>
          <w:rStyle w:val="FootnoteReference"/>
          <w:rFonts w:eastAsia="SimSun"/>
          <w:sz w:val="20"/>
        </w:rPr>
        <w:footnoteRef/>
      </w:r>
      <w:r w:rsidRPr="004A27F9">
        <w:rPr>
          <w:rFonts w:eastAsia="SimSun"/>
          <w:sz w:val="20"/>
        </w:rPr>
        <w:t xml:space="preserve">  </w:t>
      </w:r>
      <w:r w:rsidRPr="004A27F9">
        <w:rPr>
          <w:rFonts w:eastAsia="SimSun"/>
          <w:sz w:val="20"/>
        </w:rPr>
        <w:t>第</w:t>
      </w:r>
      <w:hyperlink r:id="rId215" w:history="1">
        <w:r w:rsidRPr="004A27F9">
          <w:rPr>
            <w:rStyle w:val="Hyperlink"/>
            <w:rFonts w:eastAsia="SimSun"/>
            <w:sz w:val="20"/>
          </w:rPr>
          <w:t>15/5</w:t>
        </w:r>
      </w:hyperlink>
      <w:r w:rsidRPr="004A27F9">
        <w:rPr>
          <w:rFonts w:eastAsia="SimSun"/>
          <w:sz w:val="20"/>
        </w:rPr>
        <w:t>号决定，附件一。</w:t>
      </w:r>
    </w:p>
  </w:footnote>
  <w:footnote w:id="465">
    <w:p w14:paraId="1ECDCE3B" w14:textId="77777777" w:rsidR="000A776A" w:rsidRPr="00D77DED" w:rsidRDefault="000A776A" w:rsidP="000A776A">
      <w:pPr>
        <w:pStyle w:val="FootnoteText"/>
        <w:spacing w:before="60"/>
        <w:rPr>
          <w:sz w:val="20"/>
        </w:rPr>
      </w:pPr>
      <w:r w:rsidRPr="004A27F9">
        <w:rPr>
          <w:rStyle w:val="FootnoteReference"/>
          <w:rFonts w:eastAsia="SimSun"/>
          <w:sz w:val="20"/>
        </w:rPr>
        <w:footnoteRef/>
      </w:r>
      <w:r w:rsidRPr="004A27F9">
        <w:rPr>
          <w:rFonts w:eastAsia="SimSun"/>
          <w:sz w:val="20"/>
        </w:rPr>
        <w:t xml:space="preserve">  </w:t>
      </w:r>
      <w:r w:rsidRPr="004A27F9">
        <w:rPr>
          <w:rFonts w:eastAsia="SimSun"/>
          <w:sz w:val="20"/>
        </w:rPr>
        <w:t>联合国，《条约汇编》，第</w:t>
      </w:r>
      <w:r w:rsidRPr="004A27F9">
        <w:rPr>
          <w:rFonts w:eastAsia="SimSun"/>
          <w:sz w:val="20"/>
        </w:rPr>
        <w:t>2226</w:t>
      </w:r>
      <w:r w:rsidRPr="004A27F9">
        <w:rPr>
          <w:rFonts w:eastAsia="SimSun"/>
          <w:sz w:val="20"/>
        </w:rPr>
        <w:t>卷，第</w:t>
      </w:r>
      <w:r w:rsidRPr="004A27F9">
        <w:rPr>
          <w:rFonts w:eastAsia="SimSun"/>
          <w:sz w:val="20"/>
        </w:rPr>
        <w:t>30619</w:t>
      </w:r>
      <w:r w:rsidRPr="004A27F9">
        <w:rPr>
          <w:rFonts w:eastAsia="SimSun"/>
          <w:sz w:val="20"/>
        </w:rPr>
        <w:t>号。</w:t>
      </w:r>
    </w:p>
  </w:footnote>
  <w:footnote w:id="466">
    <w:p w14:paraId="586D7849" w14:textId="77777777" w:rsidR="000A776A" w:rsidRPr="0012108A" w:rsidRDefault="000A776A" w:rsidP="000A776A">
      <w:pPr>
        <w:pStyle w:val="FootnoteText"/>
        <w:spacing w:before="60"/>
        <w:rPr>
          <w:rFonts w:eastAsia="SimSun"/>
          <w:sz w:val="20"/>
        </w:rPr>
      </w:pPr>
      <w:r w:rsidRPr="0012108A">
        <w:rPr>
          <w:rStyle w:val="FootnoteReference"/>
          <w:rFonts w:eastAsia="SimSun"/>
          <w:sz w:val="20"/>
        </w:rPr>
        <w:footnoteRef/>
      </w:r>
      <w:r w:rsidRPr="0012108A">
        <w:rPr>
          <w:rFonts w:eastAsia="SimSun"/>
          <w:sz w:val="20"/>
        </w:rPr>
        <w:t xml:space="preserve">  </w:t>
      </w:r>
      <w:r w:rsidRPr="0012108A">
        <w:rPr>
          <w:rFonts w:eastAsia="SimSun"/>
          <w:sz w:val="20"/>
        </w:rPr>
        <w:t>第</w:t>
      </w:r>
      <w:hyperlink r:id="rId216" w:history="1">
        <w:r w:rsidRPr="0012108A">
          <w:rPr>
            <w:rStyle w:val="Hyperlink"/>
            <w:rFonts w:eastAsia="SimSun"/>
            <w:sz w:val="20"/>
          </w:rPr>
          <w:t>CP-10/3</w:t>
        </w:r>
      </w:hyperlink>
      <w:r w:rsidRPr="0012108A">
        <w:rPr>
          <w:rFonts w:eastAsia="SimSun"/>
          <w:sz w:val="20"/>
        </w:rPr>
        <w:t>号决定，附件。</w:t>
      </w:r>
    </w:p>
  </w:footnote>
  <w:footnote w:id="467">
    <w:p w14:paraId="7AAC73F7" w14:textId="77777777" w:rsidR="000A776A" w:rsidRPr="0012108A" w:rsidRDefault="000A776A" w:rsidP="000A776A">
      <w:pPr>
        <w:pStyle w:val="FootnoteText"/>
        <w:spacing w:before="60"/>
        <w:rPr>
          <w:rFonts w:eastAsia="SimSun"/>
          <w:sz w:val="20"/>
        </w:rPr>
      </w:pPr>
      <w:r w:rsidRPr="0012108A">
        <w:rPr>
          <w:rStyle w:val="FootnoteReference"/>
          <w:rFonts w:eastAsia="SimSun"/>
          <w:sz w:val="20"/>
        </w:rPr>
        <w:footnoteRef/>
      </w:r>
      <w:r w:rsidRPr="0012108A">
        <w:rPr>
          <w:rFonts w:eastAsia="SimSun"/>
          <w:sz w:val="20"/>
        </w:rPr>
        <w:t xml:space="preserve">  </w:t>
      </w:r>
      <w:r w:rsidRPr="0012108A">
        <w:rPr>
          <w:rFonts w:eastAsia="SimSun"/>
          <w:sz w:val="20"/>
        </w:rPr>
        <w:t>第</w:t>
      </w:r>
      <w:hyperlink r:id="rId217" w:history="1">
        <w:r w:rsidRPr="0012108A">
          <w:rPr>
            <w:rStyle w:val="Hyperlink"/>
            <w:rFonts w:eastAsia="SimSun"/>
            <w:sz w:val="20"/>
          </w:rPr>
          <w:t>CP-10/4</w:t>
        </w:r>
      </w:hyperlink>
      <w:r w:rsidRPr="0012108A">
        <w:rPr>
          <w:rFonts w:eastAsia="SimSun"/>
          <w:sz w:val="20"/>
        </w:rPr>
        <w:t>号决定，附件。</w:t>
      </w:r>
    </w:p>
  </w:footnote>
  <w:footnote w:id="468">
    <w:p w14:paraId="44E9B6B4" w14:textId="77777777" w:rsidR="000A776A" w:rsidRPr="0012108A" w:rsidRDefault="000A776A" w:rsidP="000A776A">
      <w:pPr>
        <w:pStyle w:val="FootnoteText"/>
        <w:spacing w:before="60"/>
        <w:rPr>
          <w:rFonts w:eastAsia="SimSun"/>
          <w:sz w:val="20"/>
        </w:rPr>
      </w:pPr>
      <w:r w:rsidRPr="0012108A">
        <w:rPr>
          <w:rStyle w:val="FootnoteReference"/>
          <w:rFonts w:eastAsia="SimSun"/>
          <w:sz w:val="20"/>
        </w:rPr>
        <w:footnoteRef/>
      </w:r>
      <w:r w:rsidRPr="0012108A">
        <w:rPr>
          <w:rFonts w:eastAsia="SimSun"/>
          <w:sz w:val="20"/>
        </w:rPr>
        <w:t xml:space="preserve">  </w:t>
      </w:r>
      <w:r w:rsidRPr="0012108A">
        <w:rPr>
          <w:rFonts w:eastAsia="SimSun"/>
          <w:sz w:val="20"/>
        </w:rPr>
        <w:t>联合国</w:t>
      </w:r>
      <w:r w:rsidRPr="0012108A">
        <w:rPr>
          <w:rFonts w:eastAsia="SimSun"/>
          <w:sz w:val="20"/>
        </w:rPr>
        <w:t>,</w:t>
      </w:r>
      <w:r w:rsidRPr="0012108A">
        <w:rPr>
          <w:rFonts w:eastAsia="SimSun"/>
          <w:sz w:val="20"/>
        </w:rPr>
        <w:t>《条约汇编》，第</w:t>
      </w:r>
      <w:r w:rsidRPr="0012108A">
        <w:rPr>
          <w:rFonts w:eastAsia="SimSun"/>
          <w:sz w:val="20"/>
        </w:rPr>
        <w:t>3008</w:t>
      </w:r>
      <w:r w:rsidRPr="0012108A">
        <w:rPr>
          <w:rFonts w:eastAsia="SimSun"/>
          <w:sz w:val="20"/>
        </w:rPr>
        <w:t>卷，第</w:t>
      </w:r>
      <w:r w:rsidRPr="0012108A">
        <w:rPr>
          <w:rFonts w:eastAsia="SimSun"/>
          <w:sz w:val="20"/>
        </w:rPr>
        <w:t>30619</w:t>
      </w:r>
      <w:r w:rsidRPr="0012108A">
        <w:rPr>
          <w:rFonts w:eastAsia="SimSun"/>
          <w:sz w:val="20"/>
        </w:rPr>
        <w:t>号。</w:t>
      </w:r>
    </w:p>
  </w:footnote>
  <w:footnote w:id="469">
    <w:p w14:paraId="5512E77D" w14:textId="77777777" w:rsidR="000A776A" w:rsidRPr="00D77DED" w:rsidRDefault="000A776A" w:rsidP="000A776A">
      <w:pPr>
        <w:pStyle w:val="FootnoteText"/>
        <w:spacing w:before="60"/>
        <w:rPr>
          <w:sz w:val="20"/>
        </w:rPr>
      </w:pPr>
      <w:r w:rsidRPr="0012108A">
        <w:rPr>
          <w:rStyle w:val="FootnoteReference"/>
          <w:rFonts w:eastAsia="SimSun"/>
          <w:sz w:val="20"/>
        </w:rPr>
        <w:footnoteRef/>
      </w:r>
      <w:r w:rsidRPr="0012108A">
        <w:rPr>
          <w:rFonts w:eastAsia="SimSun"/>
          <w:sz w:val="20"/>
        </w:rPr>
        <w:t xml:space="preserve">  </w:t>
      </w:r>
      <w:r w:rsidRPr="0012108A">
        <w:rPr>
          <w:rFonts w:eastAsia="SimSun"/>
          <w:sz w:val="20"/>
        </w:rPr>
        <w:t>第</w:t>
      </w:r>
      <w:hyperlink r:id="rId218" w:history="1">
        <w:r w:rsidRPr="0012108A">
          <w:rPr>
            <w:rStyle w:val="Hyperlink"/>
            <w:rFonts w:eastAsia="SimSun"/>
            <w:sz w:val="20"/>
          </w:rPr>
          <w:t>NP-5/3</w:t>
        </w:r>
      </w:hyperlink>
      <w:r w:rsidRPr="0012108A">
        <w:rPr>
          <w:rFonts w:eastAsia="SimSun"/>
          <w:sz w:val="20"/>
        </w:rPr>
        <w:t>号决定，附件。</w:t>
      </w:r>
    </w:p>
  </w:footnote>
  <w:footnote w:id="470">
    <w:p w14:paraId="514786EB" w14:textId="77777777" w:rsidR="000A776A" w:rsidRPr="009942F9" w:rsidRDefault="000A776A" w:rsidP="009942F9">
      <w:pPr>
        <w:pStyle w:val="FootnoteText"/>
        <w:spacing w:after="60"/>
        <w:rPr>
          <w:rFonts w:eastAsia="SimSun"/>
          <w:sz w:val="20"/>
        </w:rPr>
      </w:pPr>
      <w:r w:rsidRPr="009942F9">
        <w:rPr>
          <w:rStyle w:val="FootnoteReference"/>
          <w:rFonts w:eastAsia="SimSun"/>
          <w:sz w:val="20"/>
        </w:rPr>
        <w:footnoteRef/>
      </w:r>
      <w:r w:rsidRPr="009942F9">
        <w:rPr>
          <w:rFonts w:eastAsia="SimSun"/>
          <w:sz w:val="20"/>
        </w:rPr>
        <w:t xml:space="preserve">  </w:t>
      </w:r>
      <w:r w:rsidRPr="009942F9">
        <w:rPr>
          <w:rFonts w:eastAsia="SimSun"/>
          <w:sz w:val="20"/>
        </w:rPr>
        <w:t>第</w:t>
      </w:r>
      <w:hyperlink r:id="rId219" w:history="1">
        <w:r w:rsidRPr="009942F9">
          <w:rPr>
            <w:rStyle w:val="Hyperlink"/>
            <w:rFonts w:eastAsia="SimSun"/>
            <w:sz w:val="20"/>
          </w:rPr>
          <w:t>16/19</w:t>
        </w:r>
      </w:hyperlink>
      <w:r w:rsidRPr="009942F9">
        <w:rPr>
          <w:rFonts w:eastAsia="SimSun"/>
          <w:sz w:val="20"/>
        </w:rPr>
        <w:t>号决定，附件一。</w:t>
      </w:r>
    </w:p>
  </w:footnote>
  <w:footnote w:id="471">
    <w:p w14:paraId="400FBD6A" w14:textId="77777777" w:rsidR="000A776A" w:rsidRPr="00E02911" w:rsidRDefault="000A776A" w:rsidP="009942F9">
      <w:pPr>
        <w:pStyle w:val="FootnoteText"/>
        <w:spacing w:after="60"/>
        <w:rPr>
          <w:sz w:val="20"/>
        </w:rPr>
      </w:pPr>
      <w:r w:rsidRPr="009942F9">
        <w:rPr>
          <w:rStyle w:val="FootnoteReference"/>
          <w:rFonts w:eastAsia="SimSun"/>
          <w:sz w:val="20"/>
        </w:rPr>
        <w:footnoteRef/>
      </w:r>
      <w:r w:rsidRPr="009942F9">
        <w:rPr>
          <w:rFonts w:eastAsia="SimSun"/>
          <w:sz w:val="20"/>
        </w:rPr>
        <w:t xml:space="preserve">  </w:t>
      </w:r>
      <w:r w:rsidRPr="009942F9">
        <w:rPr>
          <w:rFonts w:eastAsia="SimSun"/>
          <w:sz w:val="20"/>
        </w:rPr>
        <w:t>第</w:t>
      </w:r>
      <w:hyperlink r:id="rId220" w:history="1">
        <w:r w:rsidRPr="009942F9">
          <w:rPr>
            <w:rStyle w:val="Hyperlink"/>
            <w:rFonts w:eastAsia="SimSun"/>
            <w:sz w:val="20"/>
          </w:rPr>
          <w:t>15/4</w:t>
        </w:r>
      </w:hyperlink>
      <w:r w:rsidRPr="009942F9">
        <w:rPr>
          <w:rFonts w:eastAsia="SimSun"/>
          <w:sz w:val="20"/>
        </w:rPr>
        <w:t>号决定，附件。</w:t>
      </w:r>
    </w:p>
  </w:footnote>
  <w:footnote w:id="472">
    <w:p w14:paraId="36E24F65" w14:textId="77777777" w:rsidR="000A776A" w:rsidRPr="009942F9" w:rsidRDefault="000A776A" w:rsidP="000A776A">
      <w:pPr>
        <w:pStyle w:val="FootnoteText"/>
        <w:spacing w:after="60"/>
        <w:rPr>
          <w:rFonts w:eastAsia="SimSun"/>
          <w:sz w:val="20"/>
        </w:rPr>
      </w:pPr>
      <w:r w:rsidRPr="009942F9">
        <w:rPr>
          <w:rStyle w:val="FootnoteReference"/>
          <w:rFonts w:eastAsia="SimSun"/>
          <w:sz w:val="20"/>
        </w:rPr>
        <w:footnoteRef/>
      </w:r>
      <w:r w:rsidRPr="009942F9">
        <w:rPr>
          <w:rFonts w:eastAsia="SimSun"/>
          <w:sz w:val="20"/>
        </w:rPr>
        <w:t xml:space="preserve">  </w:t>
      </w:r>
      <w:r w:rsidRPr="009942F9">
        <w:rPr>
          <w:rFonts w:eastAsia="SimSun"/>
          <w:sz w:val="20"/>
        </w:rPr>
        <w:t>根据作为卡塔赫纳议定书缔约方会议的缔约方大会的建议，第</w:t>
      </w:r>
      <w:r w:rsidRPr="009942F9">
        <w:rPr>
          <w:rFonts w:eastAsia="SimSun"/>
          <w:sz w:val="20"/>
        </w:rPr>
        <w:t>CP-11/2</w:t>
      </w:r>
      <w:r w:rsidRPr="009942F9">
        <w:rPr>
          <w:rFonts w:eastAsia="SimSun"/>
          <w:sz w:val="20"/>
        </w:rPr>
        <w:t>号决定第</w:t>
      </w:r>
      <w:r w:rsidRPr="009942F9">
        <w:rPr>
          <w:rFonts w:eastAsia="SimSun"/>
          <w:sz w:val="20"/>
        </w:rPr>
        <w:t>1 (b)</w:t>
      </w:r>
      <w:r w:rsidRPr="009942F9">
        <w:rPr>
          <w:rFonts w:eastAsia="SimSun"/>
          <w:sz w:val="20"/>
        </w:rPr>
        <w:t>和</w:t>
      </w:r>
      <w:r w:rsidRPr="009942F9">
        <w:rPr>
          <w:rFonts w:eastAsia="SimSun"/>
          <w:sz w:val="20"/>
        </w:rPr>
        <w:t>(c)</w:t>
      </w:r>
      <w:r w:rsidRPr="009942F9">
        <w:rPr>
          <w:rFonts w:eastAsia="SimSun"/>
          <w:sz w:val="20"/>
        </w:rPr>
        <w:t>分段中的要求已列入本决定附件一的附文一。</w:t>
      </w:r>
    </w:p>
  </w:footnote>
  <w:footnote w:id="473">
    <w:p w14:paraId="230C9EE6" w14:textId="77777777" w:rsidR="000A776A" w:rsidRPr="009942F9" w:rsidRDefault="000A776A" w:rsidP="000A776A">
      <w:pPr>
        <w:pStyle w:val="FootnoteText"/>
        <w:spacing w:after="60"/>
        <w:rPr>
          <w:rFonts w:eastAsia="SimSun"/>
          <w:sz w:val="20"/>
        </w:rPr>
      </w:pPr>
      <w:r w:rsidRPr="009942F9">
        <w:rPr>
          <w:rStyle w:val="FootnoteReference"/>
          <w:rFonts w:eastAsia="SimSun"/>
          <w:sz w:val="20"/>
        </w:rPr>
        <w:footnoteRef/>
      </w:r>
      <w:r w:rsidRPr="009942F9">
        <w:rPr>
          <w:rFonts w:eastAsia="SimSun"/>
          <w:sz w:val="20"/>
        </w:rPr>
        <w:t xml:space="preserve">  </w:t>
      </w:r>
      <w:r w:rsidRPr="009942F9">
        <w:rPr>
          <w:rFonts w:eastAsia="SimSun"/>
          <w:sz w:val="20"/>
        </w:rPr>
        <w:t>联合国，《条约汇编》，第</w:t>
      </w:r>
      <w:r w:rsidRPr="009942F9">
        <w:rPr>
          <w:rFonts w:eastAsia="SimSun"/>
          <w:sz w:val="20"/>
        </w:rPr>
        <w:t>2226</w:t>
      </w:r>
      <w:r w:rsidRPr="009942F9">
        <w:rPr>
          <w:rFonts w:eastAsia="SimSun"/>
          <w:sz w:val="20"/>
        </w:rPr>
        <w:t>卷，第</w:t>
      </w:r>
      <w:r w:rsidRPr="009942F9">
        <w:rPr>
          <w:rFonts w:eastAsia="SimSun"/>
          <w:sz w:val="20"/>
        </w:rPr>
        <w:t>30619</w:t>
      </w:r>
      <w:r w:rsidRPr="009942F9">
        <w:rPr>
          <w:rFonts w:eastAsia="SimSun"/>
          <w:sz w:val="20"/>
        </w:rPr>
        <w:t>号。</w:t>
      </w:r>
    </w:p>
  </w:footnote>
  <w:footnote w:id="474">
    <w:p w14:paraId="3638A2CA" w14:textId="77777777" w:rsidR="000A776A" w:rsidRPr="009942F9" w:rsidRDefault="000A776A" w:rsidP="000A776A">
      <w:pPr>
        <w:pStyle w:val="FootnoteText"/>
        <w:spacing w:after="60"/>
        <w:rPr>
          <w:rFonts w:eastAsia="SimSun"/>
          <w:sz w:val="20"/>
        </w:rPr>
      </w:pPr>
      <w:r w:rsidRPr="009942F9">
        <w:rPr>
          <w:rStyle w:val="FootnoteReference"/>
          <w:rFonts w:eastAsia="SimSun"/>
          <w:sz w:val="20"/>
        </w:rPr>
        <w:footnoteRef/>
      </w:r>
      <w:r w:rsidRPr="009942F9">
        <w:rPr>
          <w:rFonts w:eastAsia="SimSun"/>
          <w:sz w:val="20"/>
        </w:rPr>
        <w:t xml:space="preserve">  </w:t>
      </w:r>
      <w:r w:rsidRPr="009942F9">
        <w:rPr>
          <w:rFonts w:eastAsia="SimSun"/>
          <w:sz w:val="20"/>
        </w:rPr>
        <w:t>第</w:t>
      </w:r>
      <w:hyperlink r:id="rId221" w:history="1">
        <w:r w:rsidRPr="009942F9">
          <w:rPr>
            <w:rStyle w:val="Hyperlink"/>
            <w:rFonts w:eastAsia="SimSun"/>
            <w:sz w:val="20"/>
          </w:rPr>
          <w:t>NP-5/2</w:t>
        </w:r>
      </w:hyperlink>
      <w:r w:rsidRPr="009942F9">
        <w:rPr>
          <w:rFonts w:eastAsia="SimSun"/>
          <w:sz w:val="20"/>
        </w:rPr>
        <w:t>号决定第</w:t>
      </w:r>
      <w:r w:rsidRPr="009942F9">
        <w:rPr>
          <w:rFonts w:eastAsia="SimSun"/>
          <w:sz w:val="20"/>
        </w:rPr>
        <w:t>3 (a)</w:t>
      </w:r>
      <w:r w:rsidRPr="009942F9">
        <w:rPr>
          <w:rFonts w:eastAsia="SimSun"/>
          <w:sz w:val="20"/>
        </w:rPr>
        <w:t>、</w:t>
      </w:r>
      <w:r w:rsidRPr="009942F9">
        <w:rPr>
          <w:rFonts w:eastAsia="SimSun"/>
          <w:sz w:val="20"/>
        </w:rPr>
        <w:t>(b)</w:t>
      </w:r>
      <w:r w:rsidRPr="009942F9">
        <w:rPr>
          <w:rFonts w:eastAsia="SimSun"/>
          <w:sz w:val="20"/>
        </w:rPr>
        <w:t>和</w:t>
      </w:r>
      <w:r w:rsidRPr="009942F9">
        <w:rPr>
          <w:rFonts w:eastAsia="SimSun"/>
          <w:sz w:val="20"/>
        </w:rPr>
        <w:t>(e)</w:t>
      </w:r>
      <w:r w:rsidRPr="009942F9">
        <w:rPr>
          <w:rFonts w:eastAsia="SimSun"/>
          <w:sz w:val="20"/>
        </w:rPr>
        <w:t>分段中建议的要求分别反映在附件二第</w:t>
      </w:r>
      <w:r w:rsidRPr="009942F9">
        <w:rPr>
          <w:rFonts w:eastAsia="SimSun"/>
          <w:sz w:val="20"/>
        </w:rPr>
        <w:t>12</w:t>
      </w:r>
      <w:r w:rsidRPr="009942F9">
        <w:rPr>
          <w:rFonts w:eastAsia="SimSun"/>
          <w:sz w:val="20"/>
        </w:rPr>
        <w:t>、</w:t>
      </w:r>
      <w:r w:rsidRPr="009942F9">
        <w:rPr>
          <w:rFonts w:eastAsia="SimSun"/>
          <w:sz w:val="20"/>
        </w:rPr>
        <w:t>11</w:t>
      </w:r>
      <w:r w:rsidRPr="009942F9">
        <w:rPr>
          <w:rFonts w:eastAsia="SimSun"/>
          <w:sz w:val="20"/>
        </w:rPr>
        <w:t>和</w:t>
      </w:r>
      <w:r w:rsidRPr="009942F9">
        <w:rPr>
          <w:rFonts w:eastAsia="SimSun"/>
          <w:sz w:val="20"/>
        </w:rPr>
        <w:t>13</w:t>
      </w:r>
      <w:r w:rsidRPr="009942F9">
        <w:rPr>
          <w:rFonts w:eastAsia="SimSun"/>
          <w:sz w:val="20"/>
        </w:rPr>
        <w:t>段中。根据作为名古屋议定书缔约方会议的缔约方大会的建议，同一决定第</w:t>
      </w:r>
      <w:r w:rsidRPr="009942F9">
        <w:rPr>
          <w:rFonts w:eastAsia="SimSun"/>
          <w:sz w:val="20"/>
        </w:rPr>
        <w:t>3 (c)</w:t>
      </w:r>
      <w:r w:rsidRPr="009942F9">
        <w:rPr>
          <w:rFonts w:eastAsia="SimSun"/>
          <w:sz w:val="20"/>
        </w:rPr>
        <w:t>和</w:t>
      </w:r>
      <w:r w:rsidRPr="009942F9">
        <w:rPr>
          <w:rFonts w:eastAsia="SimSun"/>
          <w:sz w:val="20"/>
        </w:rPr>
        <w:t>(d)</w:t>
      </w:r>
      <w:r w:rsidRPr="009942F9">
        <w:rPr>
          <w:rFonts w:eastAsia="SimSun"/>
          <w:sz w:val="20"/>
        </w:rPr>
        <w:t>分段建议的要求已分别列入本决定附件一附文二</w:t>
      </w:r>
      <w:r w:rsidRPr="009942F9">
        <w:rPr>
          <w:rFonts w:eastAsia="SimSun"/>
          <w:sz w:val="20"/>
        </w:rPr>
        <w:t>(a)</w:t>
      </w:r>
      <w:r w:rsidRPr="009942F9">
        <w:rPr>
          <w:rFonts w:eastAsia="SimSun"/>
          <w:sz w:val="20"/>
        </w:rPr>
        <w:t>和</w:t>
      </w:r>
      <w:r w:rsidRPr="009942F9">
        <w:rPr>
          <w:rFonts w:eastAsia="SimSun"/>
          <w:sz w:val="20"/>
        </w:rPr>
        <w:t>(b)</w:t>
      </w:r>
      <w:r w:rsidRPr="009942F9">
        <w:rPr>
          <w:rFonts w:eastAsia="SimSun"/>
          <w:sz w:val="20"/>
        </w:rPr>
        <w:t>分段。第</w:t>
      </w:r>
      <w:hyperlink r:id="rId222" w:history="1">
        <w:r w:rsidRPr="009942F9">
          <w:rPr>
            <w:rStyle w:val="Hyperlink"/>
            <w:rFonts w:eastAsia="SimSun"/>
            <w:sz w:val="20"/>
          </w:rPr>
          <w:t>NP-5/3</w:t>
        </w:r>
      </w:hyperlink>
      <w:r w:rsidRPr="009942F9">
        <w:rPr>
          <w:rFonts w:eastAsia="SimSun"/>
          <w:sz w:val="20"/>
        </w:rPr>
        <w:t>号决定第</w:t>
      </w:r>
      <w:r w:rsidRPr="009942F9">
        <w:rPr>
          <w:rFonts w:eastAsia="SimSun"/>
          <w:sz w:val="20"/>
        </w:rPr>
        <w:t>8</w:t>
      </w:r>
      <w:r w:rsidRPr="009942F9">
        <w:rPr>
          <w:rFonts w:eastAsia="SimSun"/>
          <w:sz w:val="20"/>
        </w:rPr>
        <w:t>段建议的邀请已列入本决定附件一附文二</w:t>
      </w:r>
      <w:r w:rsidRPr="009942F9">
        <w:rPr>
          <w:rFonts w:eastAsia="SimSun"/>
          <w:sz w:val="20"/>
        </w:rPr>
        <w:t>(a)</w:t>
      </w:r>
      <w:r w:rsidRPr="009942F9">
        <w:rPr>
          <w:rFonts w:eastAsia="SimSun"/>
          <w:sz w:val="20"/>
        </w:rPr>
        <w:t>分段。</w:t>
      </w:r>
    </w:p>
  </w:footnote>
  <w:footnote w:id="475">
    <w:p w14:paraId="35C9F2EE" w14:textId="77777777" w:rsidR="000A776A" w:rsidRPr="00FE3B5A" w:rsidRDefault="000A776A" w:rsidP="000A776A">
      <w:pPr>
        <w:pStyle w:val="FootnoteText"/>
        <w:spacing w:after="60"/>
      </w:pPr>
      <w:r w:rsidRPr="009942F9">
        <w:rPr>
          <w:rStyle w:val="FootnoteReference"/>
          <w:rFonts w:eastAsia="SimSun"/>
          <w:sz w:val="20"/>
        </w:rPr>
        <w:footnoteRef/>
      </w:r>
      <w:r w:rsidRPr="009942F9">
        <w:rPr>
          <w:rFonts w:eastAsia="SimSun"/>
          <w:sz w:val="20"/>
        </w:rPr>
        <w:t xml:space="preserve">  </w:t>
      </w:r>
      <w:r w:rsidRPr="009942F9">
        <w:rPr>
          <w:rFonts w:eastAsia="SimSun"/>
          <w:sz w:val="20"/>
        </w:rPr>
        <w:t>联合国，《条约汇编》，第</w:t>
      </w:r>
      <w:r w:rsidRPr="009942F9">
        <w:rPr>
          <w:rFonts w:eastAsia="SimSun"/>
          <w:sz w:val="20"/>
        </w:rPr>
        <w:t>3008</w:t>
      </w:r>
      <w:r w:rsidRPr="009942F9">
        <w:rPr>
          <w:rFonts w:eastAsia="SimSun"/>
          <w:sz w:val="20"/>
        </w:rPr>
        <w:t>卷，第</w:t>
      </w:r>
      <w:r w:rsidRPr="009942F9">
        <w:rPr>
          <w:rFonts w:eastAsia="SimSun"/>
          <w:sz w:val="20"/>
        </w:rPr>
        <w:t>30619</w:t>
      </w:r>
      <w:r w:rsidRPr="009942F9">
        <w:rPr>
          <w:rFonts w:eastAsia="SimSun"/>
          <w:sz w:val="20"/>
        </w:rPr>
        <w:t>号。</w:t>
      </w:r>
    </w:p>
  </w:footnote>
  <w:footnote w:id="476">
    <w:p w14:paraId="50182B9C"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联合国</w:t>
      </w:r>
      <w:r w:rsidRPr="00992156">
        <w:rPr>
          <w:rFonts w:eastAsia="SimSun"/>
          <w:sz w:val="20"/>
        </w:rPr>
        <w:t>,</w:t>
      </w:r>
      <w:r w:rsidRPr="00992156">
        <w:rPr>
          <w:rFonts w:eastAsia="SimSun"/>
          <w:sz w:val="20"/>
        </w:rPr>
        <w:t>《条约汇编》</w:t>
      </w:r>
      <w:r w:rsidRPr="00992156">
        <w:rPr>
          <w:rFonts w:eastAsia="SimSun"/>
          <w:sz w:val="20"/>
        </w:rPr>
        <w:t>,</w:t>
      </w:r>
      <w:r w:rsidRPr="00992156">
        <w:rPr>
          <w:rFonts w:eastAsia="SimSun"/>
          <w:sz w:val="20"/>
        </w:rPr>
        <w:t>第</w:t>
      </w:r>
      <w:r w:rsidRPr="00992156">
        <w:rPr>
          <w:rFonts w:eastAsia="SimSun"/>
          <w:sz w:val="20"/>
        </w:rPr>
        <w:t>1760</w:t>
      </w:r>
      <w:r w:rsidRPr="00992156">
        <w:rPr>
          <w:rFonts w:eastAsia="SimSun"/>
          <w:sz w:val="20"/>
        </w:rPr>
        <w:t>卷，第</w:t>
      </w:r>
      <w:r w:rsidRPr="00992156">
        <w:rPr>
          <w:rFonts w:eastAsia="SimSun"/>
          <w:sz w:val="20"/>
        </w:rPr>
        <w:t>30619</w:t>
      </w:r>
      <w:r w:rsidRPr="00992156">
        <w:rPr>
          <w:rFonts w:eastAsia="SimSun"/>
          <w:sz w:val="20"/>
        </w:rPr>
        <w:t>号。</w:t>
      </w:r>
    </w:p>
  </w:footnote>
  <w:footnote w:id="477">
    <w:p w14:paraId="4A4DEAE5" w14:textId="77777777" w:rsidR="00F05AB2" w:rsidRDefault="00F05AB2" w:rsidP="00F05AB2">
      <w:pPr>
        <w:pStyle w:val="FootnoteText"/>
        <w:spacing w:after="60"/>
      </w:pPr>
      <w:r w:rsidRPr="00992156">
        <w:rPr>
          <w:rStyle w:val="FootnoteReference"/>
          <w:rFonts w:eastAsia="SimSun"/>
          <w:sz w:val="20"/>
        </w:rPr>
        <w:footnoteRef/>
      </w:r>
      <w:r w:rsidRPr="00992156">
        <w:rPr>
          <w:rFonts w:eastAsia="SimSun"/>
          <w:sz w:val="20"/>
        </w:rPr>
        <w:t xml:space="preserve">  </w:t>
      </w:r>
      <w:r w:rsidRPr="00992156">
        <w:rPr>
          <w:rFonts w:eastAsia="SimSun"/>
          <w:sz w:val="20"/>
        </w:rPr>
        <w:t>第</w:t>
      </w:r>
      <w:hyperlink r:id="rId223" w:history="1">
        <w:r w:rsidRPr="00992156">
          <w:rPr>
            <w:rStyle w:val="Hyperlink"/>
            <w:rFonts w:eastAsia="SimSun"/>
            <w:sz w:val="20"/>
          </w:rPr>
          <w:t>15/4</w:t>
        </w:r>
      </w:hyperlink>
      <w:r w:rsidRPr="00992156">
        <w:rPr>
          <w:rFonts w:eastAsia="SimSun"/>
          <w:sz w:val="20"/>
        </w:rPr>
        <w:t>号决定，附件。</w:t>
      </w:r>
    </w:p>
  </w:footnote>
  <w:footnote w:id="478">
    <w:p w14:paraId="2A392A42"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hyperlink r:id="rId224" w:history="1">
        <w:r w:rsidRPr="00992156">
          <w:rPr>
            <w:rStyle w:val="Hyperlink"/>
            <w:rFonts w:eastAsia="SimSun"/>
            <w:sz w:val="20"/>
          </w:rPr>
          <w:t>CBD/SBI/4/INF/10</w:t>
        </w:r>
      </w:hyperlink>
      <w:r w:rsidRPr="00992156">
        <w:rPr>
          <w:rFonts w:eastAsia="SimSun"/>
          <w:sz w:val="20"/>
        </w:rPr>
        <w:t>，第</w:t>
      </w:r>
      <w:r w:rsidRPr="00992156">
        <w:rPr>
          <w:rFonts w:eastAsia="SimSun"/>
          <w:sz w:val="20"/>
        </w:rPr>
        <w:t>8</w:t>
      </w:r>
      <w:r w:rsidRPr="00992156">
        <w:rPr>
          <w:rFonts w:eastAsia="SimSun"/>
          <w:sz w:val="20"/>
        </w:rPr>
        <w:t>节。</w:t>
      </w:r>
    </w:p>
  </w:footnote>
  <w:footnote w:id="479">
    <w:p w14:paraId="6E17025C"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见第</w:t>
      </w:r>
      <w:hyperlink r:id="rId225" w:history="1">
        <w:r w:rsidRPr="00992156">
          <w:rPr>
            <w:rStyle w:val="Hyperlink"/>
            <w:rFonts w:eastAsia="SimSun"/>
            <w:sz w:val="20"/>
          </w:rPr>
          <w:t>16/32</w:t>
        </w:r>
      </w:hyperlink>
      <w:r w:rsidRPr="00992156">
        <w:rPr>
          <w:rFonts w:eastAsia="SimSun"/>
          <w:sz w:val="20"/>
        </w:rPr>
        <w:t>号决定。</w:t>
      </w:r>
    </w:p>
  </w:footnote>
  <w:footnote w:id="480">
    <w:p w14:paraId="03C28234" w14:textId="77777777" w:rsidR="00F05AB2" w:rsidRPr="009943B1" w:rsidRDefault="00F05AB2" w:rsidP="00F05AB2">
      <w:pPr>
        <w:pStyle w:val="FootnoteText"/>
        <w:spacing w:after="60"/>
      </w:pPr>
      <w:r w:rsidRPr="00992156">
        <w:rPr>
          <w:rStyle w:val="FootnoteReference"/>
          <w:rFonts w:eastAsia="SimSun"/>
          <w:sz w:val="20"/>
        </w:rPr>
        <w:footnoteRef/>
      </w:r>
      <w:r w:rsidRPr="00992156">
        <w:rPr>
          <w:rFonts w:eastAsia="SimSun"/>
          <w:sz w:val="20"/>
        </w:rPr>
        <w:t xml:space="preserve">  </w:t>
      </w:r>
      <w:r w:rsidRPr="00992156">
        <w:rPr>
          <w:rFonts w:eastAsia="SimSun"/>
          <w:sz w:val="20"/>
        </w:rPr>
        <w:t>第</w:t>
      </w:r>
      <w:hyperlink r:id="rId226" w:history="1">
        <w:r w:rsidRPr="00992156">
          <w:rPr>
            <w:rStyle w:val="Hyperlink"/>
            <w:rFonts w:eastAsia="SimSun"/>
            <w:sz w:val="20"/>
          </w:rPr>
          <w:t>15/7</w:t>
        </w:r>
      </w:hyperlink>
      <w:r w:rsidRPr="00992156">
        <w:rPr>
          <w:rFonts w:eastAsia="SimSun"/>
          <w:sz w:val="20"/>
        </w:rPr>
        <w:t>号决定，第</w:t>
      </w:r>
      <w:r w:rsidRPr="00992156">
        <w:rPr>
          <w:rFonts w:eastAsia="SimSun"/>
          <w:sz w:val="20"/>
        </w:rPr>
        <w:t>46</w:t>
      </w:r>
      <w:r w:rsidRPr="00992156">
        <w:rPr>
          <w:rFonts w:eastAsia="SimSun"/>
          <w:sz w:val="20"/>
        </w:rPr>
        <w:t>段。</w:t>
      </w:r>
    </w:p>
  </w:footnote>
  <w:footnote w:id="481">
    <w:p w14:paraId="5809C541" w14:textId="77777777" w:rsidR="00F05AB2" w:rsidRPr="006C64D2" w:rsidRDefault="00F05AB2" w:rsidP="00F05AB2">
      <w:pPr>
        <w:pStyle w:val="FootnoteText"/>
        <w:spacing w:after="60"/>
        <w:rPr>
          <w:sz w:val="20"/>
        </w:rPr>
      </w:pPr>
      <w:r w:rsidRPr="006C64D2">
        <w:rPr>
          <w:rStyle w:val="FootnoteReference"/>
          <w:sz w:val="20"/>
        </w:rPr>
        <w:footnoteRef/>
      </w:r>
      <w:r w:rsidRPr="006C64D2">
        <w:rPr>
          <w:sz w:val="20"/>
        </w:rPr>
        <w:t xml:space="preserve"> </w:t>
      </w:r>
      <w:r w:rsidRPr="006C64D2">
        <w:rPr>
          <w:rFonts w:hint="eastAsia"/>
          <w:sz w:val="20"/>
        </w:rPr>
        <w:t xml:space="preserve"> </w:t>
      </w:r>
      <w:r w:rsidRPr="00992156">
        <w:rPr>
          <w:rFonts w:eastAsia="SimSun"/>
          <w:sz w:val="20"/>
        </w:rPr>
        <w:t>第</w:t>
      </w:r>
      <w:hyperlink r:id="rId227" w:history="1">
        <w:r w:rsidRPr="00992156">
          <w:rPr>
            <w:rStyle w:val="Hyperlink"/>
            <w:rFonts w:eastAsia="SimSun"/>
            <w:sz w:val="20"/>
          </w:rPr>
          <w:t>2023/063</w:t>
        </w:r>
      </w:hyperlink>
      <w:r w:rsidRPr="00992156">
        <w:rPr>
          <w:rFonts w:eastAsia="SimSun"/>
          <w:sz w:val="20"/>
        </w:rPr>
        <w:t>号和第</w:t>
      </w:r>
      <w:hyperlink r:id="rId228" w:history="1">
        <w:r w:rsidRPr="00992156">
          <w:rPr>
            <w:rStyle w:val="Hyperlink"/>
            <w:rFonts w:eastAsia="SimSun"/>
            <w:sz w:val="20"/>
          </w:rPr>
          <w:t>2023/132</w:t>
        </w:r>
      </w:hyperlink>
      <w:r w:rsidRPr="00992156">
        <w:rPr>
          <w:rFonts w:eastAsia="SimSun"/>
          <w:sz w:val="20"/>
        </w:rPr>
        <w:t>号通知。</w:t>
      </w:r>
    </w:p>
  </w:footnote>
  <w:footnote w:id="482">
    <w:p w14:paraId="09E12994" w14:textId="77777777" w:rsidR="00F05AB2" w:rsidRPr="00DB6850" w:rsidRDefault="00F05AB2" w:rsidP="00F05AB2">
      <w:pPr>
        <w:pStyle w:val="FootnoteText"/>
        <w:spacing w:after="60"/>
        <w:rPr>
          <w:sz w:val="20"/>
        </w:rPr>
      </w:pPr>
      <w:r w:rsidRPr="00DB6850">
        <w:rPr>
          <w:rStyle w:val="FootnoteReference"/>
          <w:sz w:val="20"/>
        </w:rPr>
        <w:footnoteRef/>
      </w:r>
      <w:r w:rsidRPr="00DB6850">
        <w:rPr>
          <w:sz w:val="20"/>
        </w:rPr>
        <w:t xml:space="preserve"> </w:t>
      </w:r>
      <w:r>
        <w:rPr>
          <w:rFonts w:hint="eastAsia"/>
          <w:sz w:val="20"/>
        </w:rPr>
        <w:t xml:space="preserve"> </w:t>
      </w:r>
      <w:r w:rsidRPr="00992156">
        <w:rPr>
          <w:rFonts w:eastAsia="SimSun"/>
          <w:sz w:val="20"/>
        </w:rPr>
        <w:t>根据第</w:t>
      </w:r>
      <w:hyperlink r:id="rId229" w:history="1">
        <w:r w:rsidRPr="00992156">
          <w:rPr>
            <w:rStyle w:val="Hyperlink"/>
            <w:rFonts w:eastAsia="SimSun"/>
            <w:sz w:val="20"/>
          </w:rPr>
          <w:t>16/33</w:t>
        </w:r>
      </w:hyperlink>
      <w:r w:rsidRPr="00992156">
        <w:rPr>
          <w:rFonts w:eastAsia="SimSun"/>
          <w:sz w:val="20"/>
        </w:rPr>
        <w:t>号决定第</w:t>
      </w:r>
      <w:r w:rsidRPr="00992156">
        <w:rPr>
          <w:rFonts w:eastAsia="SimSun"/>
          <w:sz w:val="20"/>
        </w:rPr>
        <w:t>40</w:t>
      </w:r>
      <w:r w:rsidRPr="00992156">
        <w:rPr>
          <w:rFonts w:eastAsia="SimSun"/>
          <w:sz w:val="20"/>
        </w:rPr>
        <w:t>段的规定进行成效审查之后。</w:t>
      </w:r>
    </w:p>
  </w:footnote>
  <w:footnote w:id="483">
    <w:p w14:paraId="1E04D9E0"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继第</w:t>
      </w:r>
      <w:hyperlink r:id="rId230" w:history="1">
        <w:r w:rsidRPr="00992156">
          <w:rPr>
            <w:rStyle w:val="Hyperlink"/>
            <w:rFonts w:eastAsia="SimSun"/>
            <w:sz w:val="20"/>
          </w:rPr>
          <w:t>16/2</w:t>
        </w:r>
      </w:hyperlink>
      <w:r w:rsidRPr="00992156">
        <w:rPr>
          <w:rFonts w:eastAsia="SimSun"/>
          <w:sz w:val="20"/>
        </w:rPr>
        <w:t>号和第</w:t>
      </w:r>
      <w:hyperlink r:id="rId231" w:history="1">
        <w:r w:rsidRPr="00992156">
          <w:rPr>
            <w:rStyle w:val="Hyperlink"/>
            <w:rFonts w:eastAsia="SimSun"/>
            <w:sz w:val="20"/>
          </w:rPr>
          <w:t>16/33</w:t>
        </w:r>
      </w:hyperlink>
      <w:r w:rsidRPr="00992156">
        <w:rPr>
          <w:rFonts w:eastAsia="SimSun"/>
          <w:sz w:val="20"/>
        </w:rPr>
        <w:t>号决定提及的审查和第</w:t>
      </w:r>
      <w:hyperlink r:id="rId232" w:history="1">
        <w:r w:rsidRPr="00992156">
          <w:rPr>
            <w:rStyle w:val="Hyperlink"/>
            <w:rFonts w:eastAsia="SimSun"/>
            <w:sz w:val="20"/>
          </w:rPr>
          <w:t>16/32</w:t>
        </w:r>
      </w:hyperlink>
      <w:r w:rsidRPr="00992156">
        <w:rPr>
          <w:rFonts w:eastAsia="SimSun"/>
          <w:sz w:val="20"/>
        </w:rPr>
        <w:t>号决定提及的全球审查之后。</w:t>
      </w:r>
    </w:p>
  </w:footnote>
  <w:footnote w:id="484">
    <w:p w14:paraId="3B272850" w14:textId="77777777" w:rsidR="00F05AB2" w:rsidRPr="000F0AF5" w:rsidRDefault="00F05AB2" w:rsidP="00F05AB2">
      <w:pPr>
        <w:pStyle w:val="FootnoteText"/>
        <w:spacing w:after="60"/>
        <w:rPr>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见第</w:t>
      </w:r>
      <w:hyperlink r:id="rId233" w:history="1">
        <w:r w:rsidRPr="00992156">
          <w:rPr>
            <w:rStyle w:val="Hyperlink"/>
            <w:rFonts w:eastAsia="SimSun"/>
            <w:sz w:val="20"/>
          </w:rPr>
          <w:t>16/31</w:t>
        </w:r>
      </w:hyperlink>
      <w:r w:rsidRPr="00992156">
        <w:rPr>
          <w:rFonts w:eastAsia="SimSun"/>
          <w:sz w:val="20"/>
        </w:rPr>
        <w:t>号决定。</w:t>
      </w:r>
    </w:p>
  </w:footnote>
  <w:footnote w:id="485">
    <w:p w14:paraId="684258E8"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第</w:t>
      </w:r>
      <w:r w:rsidRPr="00992156">
        <w:rPr>
          <w:rFonts w:eastAsia="SimSun"/>
          <w:sz w:val="20"/>
        </w:rPr>
        <w:t xml:space="preserve"> </w:t>
      </w:r>
      <w:hyperlink r:id="rId234" w:history="1">
        <w:r w:rsidRPr="00992156">
          <w:rPr>
            <w:rStyle w:val="Hyperlink"/>
            <w:rFonts w:eastAsia="SimSun"/>
            <w:sz w:val="20"/>
          </w:rPr>
          <w:t>16/9 B</w:t>
        </w:r>
      </w:hyperlink>
      <w:r w:rsidRPr="00992156">
        <w:rPr>
          <w:rFonts w:eastAsia="SimSun"/>
          <w:sz w:val="20"/>
        </w:rPr>
        <w:t xml:space="preserve"> </w:t>
      </w:r>
      <w:r w:rsidRPr="00992156">
        <w:rPr>
          <w:rFonts w:eastAsia="SimSun"/>
          <w:sz w:val="20"/>
        </w:rPr>
        <w:t>号决定，附件。</w:t>
      </w:r>
    </w:p>
  </w:footnote>
  <w:footnote w:id="486">
    <w:p w14:paraId="54599FEF" w14:textId="77777777" w:rsidR="00F05AB2" w:rsidRPr="00992156" w:rsidRDefault="00F05AB2" w:rsidP="00F05AB2">
      <w:pPr>
        <w:pStyle w:val="FootnoteText"/>
        <w:spacing w:after="60"/>
        <w:rPr>
          <w:rFonts w:eastAsia="SimSun"/>
          <w:sz w:val="20"/>
        </w:rPr>
      </w:pPr>
      <w:r w:rsidRPr="00992156">
        <w:rPr>
          <w:rStyle w:val="FootnoteReference"/>
          <w:rFonts w:eastAsia="SimSun"/>
          <w:sz w:val="20"/>
        </w:rPr>
        <w:footnoteRef/>
      </w:r>
      <w:r w:rsidRPr="00992156">
        <w:rPr>
          <w:rFonts w:eastAsia="SimSun"/>
          <w:sz w:val="20"/>
        </w:rPr>
        <w:t xml:space="preserve">  </w:t>
      </w:r>
      <w:r w:rsidRPr="00992156">
        <w:rPr>
          <w:rFonts w:eastAsia="SimSun"/>
          <w:sz w:val="20"/>
        </w:rPr>
        <w:t>联合国，《条约汇编》，第</w:t>
      </w:r>
      <w:r w:rsidRPr="00992156">
        <w:rPr>
          <w:rFonts w:eastAsia="SimSun"/>
          <w:sz w:val="20"/>
        </w:rPr>
        <w:t>1760</w:t>
      </w:r>
      <w:r w:rsidRPr="00992156">
        <w:rPr>
          <w:rFonts w:eastAsia="SimSun"/>
          <w:sz w:val="20"/>
        </w:rPr>
        <w:t>卷，第</w:t>
      </w:r>
      <w:r w:rsidRPr="00992156">
        <w:rPr>
          <w:rFonts w:eastAsia="SimSun"/>
          <w:sz w:val="20"/>
        </w:rPr>
        <w:t>30619</w:t>
      </w:r>
      <w:r w:rsidRPr="00992156">
        <w:rPr>
          <w:rFonts w:eastAsia="SimSun"/>
          <w:sz w:val="20"/>
        </w:rPr>
        <w:t>号。</w:t>
      </w:r>
    </w:p>
  </w:footnote>
  <w:footnote w:id="487">
    <w:p w14:paraId="0D5983FF" w14:textId="77777777" w:rsidR="00F05AB2" w:rsidRDefault="00F05AB2" w:rsidP="00F05AB2">
      <w:pPr>
        <w:pStyle w:val="FootnoteText"/>
        <w:spacing w:after="60"/>
      </w:pPr>
      <w:r w:rsidRPr="00992156">
        <w:rPr>
          <w:rStyle w:val="FootnoteReference"/>
          <w:rFonts w:eastAsia="SimSun"/>
          <w:sz w:val="20"/>
        </w:rPr>
        <w:footnoteRef/>
      </w:r>
      <w:r w:rsidRPr="00992156">
        <w:rPr>
          <w:rFonts w:eastAsia="SimSun"/>
          <w:sz w:val="20"/>
        </w:rPr>
        <w:t xml:space="preserve">  </w:t>
      </w:r>
      <w:r w:rsidRPr="00992156">
        <w:rPr>
          <w:rFonts w:eastAsia="SimSun"/>
          <w:sz w:val="20"/>
        </w:rPr>
        <w:t>第</w:t>
      </w:r>
      <w:hyperlink r:id="rId235" w:history="1">
        <w:r w:rsidRPr="00992156">
          <w:rPr>
            <w:rStyle w:val="Hyperlink"/>
            <w:rFonts w:eastAsia="SimSun"/>
            <w:sz w:val="20"/>
          </w:rPr>
          <w:t>15/4</w:t>
        </w:r>
      </w:hyperlink>
      <w:r w:rsidRPr="00992156">
        <w:rPr>
          <w:rFonts w:eastAsia="SimSun"/>
          <w:sz w:val="20"/>
        </w:rPr>
        <w:t>号决定，附件。</w:t>
      </w:r>
    </w:p>
  </w:footnote>
  <w:footnote w:id="488">
    <w:p w14:paraId="3E297DE4" w14:textId="77777777" w:rsidR="00F05AB2" w:rsidRPr="00617A6E" w:rsidRDefault="00F05AB2" w:rsidP="00F05AB2">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例如列入国家生物多样性融资计划或生物多样性融资倡议融资解决方案目录（见</w:t>
      </w:r>
      <w:r w:rsidRPr="00617A6E">
        <w:rPr>
          <w:rFonts w:eastAsia="SimSun"/>
          <w:sz w:val="20"/>
        </w:rPr>
        <w:t xml:space="preserve"> </w:t>
      </w:r>
      <w:hyperlink r:id="rId236" w:history="1">
        <w:r w:rsidRPr="00617A6E">
          <w:rPr>
            <w:rStyle w:val="Hyperlink"/>
            <w:rFonts w:eastAsia="SimSun"/>
            <w:sz w:val="20"/>
          </w:rPr>
          <w:t>www.biofin.org/finance-solutions</w:t>
        </w:r>
      </w:hyperlink>
      <w:r w:rsidRPr="00617A6E">
        <w:rPr>
          <w:rFonts w:eastAsia="SimSun"/>
          <w:sz w:val="20"/>
        </w:rPr>
        <w:t>）的计划。</w:t>
      </w:r>
    </w:p>
  </w:footnote>
  <w:footnote w:id="489">
    <w:p w14:paraId="58CF6CC4" w14:textId="77777777" w:rsidR="00F05AB2" w:rsidRPr="00617A6E" w:rsidRDefault="00F05AB2" w:rsidP="00F05AB2">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见第</w:t>
      </w:r>
      <w:hyperlink r:id="rId237" w:history="1">
        <w:r w:rsidRPr="00617A6E">
          <w:rPr>
            <w:rStyle w:val="Hyperlink"/>
            <w:rFonts w:eastAsia="SimSun"/>
            <w:sz w:val="20"/>
          </w:rPr>
          <w:t>15/9</w:t>
        </w:r>
      </w:hyperlink>
      <w:r w:rsidRPr="00617A6E">
        <w:rPr>
          <w:rFonts w:eastAsia="SimSun"/>
          <w:sz w:val="20"/>
        </w:rPr>
        <w:t>号和第</w:t>
      </w:r>
      <w:hyperlink r:id="rId238" w:history="1">
        <w:r w:rsidRPr="00617A6E">
          <w:rPr>
            <w:rStyle w:val="Hyperlink"/>
            <w:rFonts w:eastAsia="SimSun"/>
            <w:sz w:val="20"/>
          </w:rPr>
          <w:t>16/2</w:t>
        </w:r>
      </w:hyperlink>
      <w:r w:rsidRPr="00617A6E">
        <w:rPr>
          <w:rFonts w:eastAsia="SimSun"/>
          <w:sz w:val="20"/>
        </w:rPr>
        <w:t>号决定。</w:t>
      </w:r>
    </w:p>
  </w:footnote>
  <w:footnote w:id="490">
    <w:p w14:paraId="288C8C59" w14:textId="77777777" w:rsidR="00F05AB2" w:rsidRPr="00DB6850" w:rsidRDefault="00F05AB2" w:rsidP="00F05AB2">
      <w:pPr>
        <w:pStyle w:val="FootnoteText"/>
        <w:spacing w:after="60"/>
        <w:rPr>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以生态为中心和以权利为基础的方法，有助于采取行动实现人与自然之间的和谐互补关系，促进所有生物及其社区的连续性，确保地球母亲的环境功能不被商品化。</w:t>
      </w:r>
    </w:p>
  </w:footnote>
  <w:footnote w:id="491">
    <w:p w14:paraId="32F0F073" w14:textId="77777777" w:rsidR="00F05AB2" w:rsidRDefault="00F05AB2" w:rsidP="00F05AB2">
      <w:pPr>
        <w:pStyle w:val="FootnoteText"/>
        <w:spacing w:after="60"/>
      </w:pPr>
      <w:r w:rsidRPr="00DB6850">
        <w:rPr>
          <w:rStyle w:val="FootnoteReference"/>
          <w:sz w:val="20"/>
        </w:rPr>
        <w:footnoteRef/>
      </w:r>
      <w:r w:rsidRPr="00DB6850">
        <w:rPr>
          <w:sz w:val="20"/>
        </w:rPr>
        <w:t xml:space="preserve"> </w:t>
      </w:r>
      <w:r>
        <w:rPr>
          <w:rFonts w:hint="eastAsia"/>
          <w:sz w:val="20"/>
        </w:rPr>
        <w:t xml:space="preserve"> </w:t>
      </w:r>
      <w:r w:rsidRPr="00617A6E">
        <w:rPr>
          <w:rFonts w:eastAsia="SimSun"/>
          <w:sz w:val="20"/>
        </w:rPr>
        <w:t>例如，考虑使用类似自然相关财务披露工作队开发的框架，鼓励类似工作队和国际可持续发展标准委员会之间的合作倡议。</w:t>
      </w:r>
    </w:p>
  </w:footnote>
  <w:footnote w:id="492">
    <w:p w14:paraId="60453581" w14:textId="77777777" w:rsidR="00F05AB2" w:rsidRDefault="00F05AB2" w:rsidP="00F05AB2">
      <w:pPr>
        <w:pStyle w:val="FootnoteText"/>
        <w:spacing w:after="60"/>
      </w:pPr>
      <w:r w:rsidRPr="00F502DE">
        <w:rPr>
          <w:rStyle w:val="FootnoteReference"/>
          <w:sz w:val="20"/>
        </w:rPr>
        <w:footnoteRef/>
      </w:r>
      <w:r w:rsidRPr="00F502DE">
        <w:rPr>
          <w:sz w:val="20"/>
        </w:rPr>
        <w:t xml:space="preserve"> </w:t>
      </w:r>
      <w:r>
        <w:rPr>
          <w:rFonts w:hint="eastAsia"/>
          <w:sz w:val="20"/>
        </w:rPr>
        <w:t xml:space="preserve"> </w:t>
      </w:r>
      <w:r w:rsidRPr="001C4882">
        <w:rPr>
          <w:rFonts w:eastAsia="SimSun" w:hint="eastAsia"/>
          <w:sz w:val="20"/>
        </w:rPr>
        <w:t>见联合国环境大会第</w:t>
      </w:r>
      <w:r w:rsidRPr="001C4882">
        <w:rPr>
          <w:rFonts w:eastAsia="SimSun"/>
          <w:sz w:val="20"/>
        </w:rPr>
        <w:t>5/5</w:t>
      </w:r>
      <w:r w:rsidRPr="001C4882">
        <w:rPr>
          <w:rFonts w:eastAsia="SimSun" w:hint="eastAsia"/>
          <w:sz w:val="20"/>
        </w:rPr>
        <w:t>号决议。</w:t>
      </w:r>
    </w:p>
  </w:footnote>
  <w:footnote w:id="493">
    <w:p w14:paraId="5A228BE0" w14:textId="77777777" w:rsidR="00F05AB2" w:rsidRPr="00617A6E" w:rsidRDefault="00F05AB2" w:rsidP="00F05AB2">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例如，考虑使用类似自然相关财务披露工作队开发的框架，鼓励类似工作队和国际可持续发展标准委员会之间的合作倡议。</w:t>
      </w:r>
    </w:p>
  </w:footnote>
  <w:footnote w:id="494">
    <w:p w14:paraId="7A5CED6F" w14:textId="77777777" w:rsidR="00F05AB2" w:rsidRPr="00617A6E" w:rsidRDefault="00F05AB2" w:rsidP="00F05AB2">
      <w:pPr>
        <w:pStyle w:val="FootnoteText"/>
        <w:spacing w:after="60"/>
        <w:rPr>
          <w:rFonts w:eastAsia="SimSun"/>
          <w:b/>
          <w:bCs/>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联合国</w:t>
      </w:r>
      <w:r w:rsidRPr="00617A6E">
        <w:rPr>
          <w:rFonts w:eastAsia="SimSun"/>
          <w:sz w:val="20"/>
        </w:rPr>
        <w:t>,</w:t>
      </w:r>
      <w:r w:rsidRPr="00617A6E">
        <w:rPr>
          <w:rFonts w:eastAsia="SimSun"/>
          <w:sz w:val="20"/>
        </w:rPr>
        <w:t>《条约汇编》</w:t>
      </w:r>
      <w:r w:rsidRPr="00617A6E">
        <w:rPr>
          <w:rFonts w:eastAsia="SimSun"/>
          <w:sz w:val="20"/>
        </w:rPr>
        <w:t>,</w:t>
      </w:r>
      <w:r w:rsidRPr="00617A6E">
        <w:rPr>
          <w:rFonts w:eastAsia="SimSun"/>
          <w:sz w:val="20"/>
        </w:rPr>
        <w:t>第</w:t>
      </w:r>
      <w:r w:rsidRPr="00617A6E">
        <w:rPr>
          <w:rFonts w:eastAsia="SimSun"/>
          <w:sz w:val="20"/>
        </w:rPr>
        <w:t>1760</w:t>
      </w:r>
      <w:r w:rsidRPr="00617A6E">
        <w:rPr>
          <w:rFonts w:eastAsia="SimSun"/>
          <w:sz w:val="20"/>
        </w:rPr>
        <w:t>卷，第</w:t>
      </w:r>
      <w:r w:rsidRPr="00617A6E">
        <w:rPr>
          <w:rFonts w:eastAsia="SimSun"/>
          <w:sz w:val="20"/>
        </w:rPr>
        <w:t>30619</w:t>
      </w:r>
      <w:r w:rsidRPr="00617A6E">
        <w:rPr>
          <w:rFonts w:eastAsia="SimSun"/>
          <w:sz w:val="20"/>
        </w:rPr>
        <w:t>号。</w:t>
      </w:r>
    </w:p>
  </w:footnote>
  <w:footnote w:id="495">
    <w:p w14:paraId="5A0DAC17" w14:textId="77777777" w:rsidR="00F05AB2" w:rsidRDefault="00F05AB2" w:rsidP="00F05AB2">
      <w:pPr>
        <w:pStyle w:val="FootnoteText"/>
        <w:spacing w:after="60"/>
      </w:pPr>
      <w:r w:rsidRPr="00617A6E">
        <w:rPr>
          <w:rStyle w:val="FootnoteReference"/>
          <w:rFonts w:eastAsia="SimSun"/>
          <w:sz w:val="20"/>
        </w:rPr>
        <w:footnoteRef/>
      </w:r>
      <w:r w:rsidRPr="00617A6E">
        <w:rPr>
          <w:rFonts w:eastAsia="SimSun"/>
          <w:sz w:val="20"/>
        </w:rPr>
        <w:t xml:space="preserve">  </w:t>
      </w:r>
      <w:r w:rsidRPr="00617A6E">
        <w:rPr>
          <w:rFonts w:eastAsia="SimSun"/>
          <w:sz w:val="20"/>
        </w:rPr>
        <w:t>第</w:t>
      </w:r>
      <w:hyperlink r:id="rId239" w:history="1">
        <w:r w:rsidRPr="00617A6E">
          <w:rPr>
            <w:rStyle w:val="Hyperlink"/>
            <w:rFonts w:eastAsia="SimSun"/>
            <w:sz w:val="20"/>
          </w:rPr>
          <w:t>15/4</w:t>
        </w:r>
      </w:hyperlink>
      <w:r w:rsidRPr="00617A6E">
        <w:rPr>
          <w:rFonts w:eastAsia="SimSun"/>
          <w:sz w:val="20"/>
        </w:rPr>
        <w:t>号决定，附件。</w:t>
      </w:r>
    </w:p>
  </w:footnote>
  <w:footnote w:id="496">
    <w:p w14:paraId="2C00526E" w14:textId="452D6C17" w:rsidR="002B3E30" w:rsidRPr="00617A6E" w:rsidRDefault="002B3E30" w:rsidP="002B3E30">
      <w:pPr>
        <w:pStyle w:val="FootnoteText"/>
        <w:spacing w:before="60" w:after="60"/>
        <w:rPr>
          <w:rFonts w:eastAsia="SimSun"/>
          <w:sz w:val="20"/>
        </w:rPr>
      </w:pPr>
      <w:r w:rsidRPr="00617A6E">
        <w:rPr>
          <w:rStyle w:val="FootnoteReference"/>
          <w:rFonts w:eastAsia="SimSun"/>
          <w:sz w:val="20"/>
        </w:rPr>
        <w:footnoteRef/>
      </w:r>
      <w:r w:rsidRPr="00617A6E">
        <w:rPr>
          <w:rFonts w:eastAsia="SimSun"/>
          <w:sz w:val="20"/>
        </w:rPr>
        <w:t xml:space="preserve"> </w:t>
      </w:r>
      <w:r w:rsidR="00617A6E" w:rsidRPr="00617A6E">
        <w:rPr>
          <w:rFonts w:eastAsia="SimSun"/>
          <w:sz w:val="20"/>
        </w:rPr>
        <w:t xml:space="preserve"> </w:t>
      </w:r>
      <w:r w:rsidRPr="00617A6E">
        <w:rPr>
          <w:rFonts w:eastAsia="SimSun"/>
          <w:sz w:val="20"/>
        </w:rPr>
        <w:t>《联合国环境与发展会议的报告》，</w:t>
      </w:r>
      <w:r w:rsidRPr="00617A6E">
        <w:rPr>
          <w:rFonts w:eastAsia="SimSun"/>
          <w:sz w:val="20"/>
        </w:rPr>
        <w:t>1992</w:t>
      </w:r>
      <w:r w:rsidRPr="00617A6E">
        <w:rPr>
          <w:rFonts w:eastAsia="SimSun"/>
          <w:sz w:val="20"/>
        </w:rPr>
        <w:t>年</w:t>
      </w:r>
      <w:r w:rsidRPr="00617A6E">
        <w:rPr>
          <w:rFonts w:eastAsia="SimSun"/>
          <w:sz w:val="20"/>
        </w:rPr>
        <w:t>6</w:t>
      </w:r>
      <w:r w:rsidRPr="00617A6E">
        <w:rPr>
          <w:rFonts w:eastAsia="SimSun"/>
          <w:sz w:val="20"/>
        </w:rPr>
        <w:t>月</w:t>
      </w:r>
      <w:r w:rsidRPr="00617A6E">
        <w:rPr>
          <w:rFonts w:eastAsia="SimSun"/>
          <w:sz w:val="20"/>
        </w:rPr>
        <w:t>3</w:t>
      </w:r>
      <w:r w:rsidRPr="00617A6E">
        <w:rPr>
          <w:rFonts w:eastAsia="SimSun"/>
          <w:sz w:val="20"/>
        </w:rPr>
        <w:t>日至</w:t>
      </w:r>
      <w:r w:rsidRPr="00617A6E">
        <w:rPr>
          <w:rFonts w:eastAsia="SimSun"/>
          <w:sz w:val="20"/>
        </w:rPr>
        <w:t>14</w:t>
      </w:r>
      <w:r w:rsidRPr="00617A6E">
        <w:rPr>
          <w:rFonts w:eastAsia="SimSun"/>
          <w:sz w:val="20"/>
        </w:rPr>
        <w:t>日，里约热内卢，第一卷，会议通过的决议（联合国出版物，出售品编号：</w:t>
      </w:r>
      <w:r w:rsidRPr="00617A6E">
        <w:rPr>
          <w:rFonts w:eastAsia="SimSun"/>
          <w:sz w:val="20"/>
        </w:rPr>
        <w:t>E.93.I.8</w:t>
      </w:r>
      <w:r w:rsidRPr="00617A6E">
        <w:rPr>
          <w:rFonts w:eastAsia="SimSun"/>
          <w:sz w:val="20"/>
        </w:rPr>
        <w:t>和更正），决议</w:t>
      </w:r>
      <w:r w:rsidRPr="00617A6E">
        <w:rPr>
          <w:rFonts w:eastAsia="SimSun"/>
          <w:sz w:val="20"/>
        </w:rPr>
        <w:t>1</w:t>
      </w:r>
      <w:r w:rsidRPr="00617A6E">
        <w:rPr>
          <w:rFonts w:eastAsia="SimSun"/>
          <w:sz w:val="20"/>
        </w:rPr>
        <w:t>，附件一。</w:t>
      </w:r>
    </w:p>
  </w:footnote>
  <w:footnote w:id="497">
    <w:p w14:paraId="23672233" w14:textId="77777777" w:rsidR="002B3E30" w:rsidRPr="00617A6E" w:rsidRDefault="002B3E30" w:rsidP="002B3E30">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第</w:t>
      </w:r>
      <w:hyperlink r:id="rId240" w:history="1">
        <w:r w:rsidRPr="00617A6E">
          <w:rPr>
            <w:rStyle w:val="Hyperlink"/>
            <w:rFonts w:eastAsia="SimSun"/>
            <w:sz w:val="20"/>
          </w:rPr>
          <w:t>15/4</w:t>
        </w:r>
      </w:hyperlink>
      <w:r w:rsidRPr="00617A6E">
        <w:rPr>
          <w:rFonts w:eastAsia="SimSun"/>
          <w:sz w:val="20"/>
        </w:rPr>
        <w:t>号决定，附件。</w:t>
      </w:r>
    </w:p>
  </w:footnote>
  <w:footnote w:id="498">
    <w:p w14:paraId="4697C902" w14:textId="79A18420" w:rsidR="002B3E30" w:rsidRPr="00617A6E" w:rsidRDefault="002B3E30" w:rsidP="002B3E30">
      <w:pPr>
        <w:pStyle w:val="FootnoteText"/>
        <w:rPr>
          <w:rFonts w:eastAsia="SimSun"/>
          <w:sz w:val="20"/>
        </w:rPr>
      </w:pPr>
      <w:r w:rsidRPr="00617A6E">
        <w:rPr>
          <w:rStyle w:val="FootnoteReference"/>
          <w:rFonts w:eastAsia="SimSun"/>
          <w:sz w:val="20"/>
        </w:rPr>
        <w:footnoteRef/>
      </w:r>
      <w:r w:rsidR="00617A6E" w:rsidRPr="00617A6E">
        <w:rPr>
          <w:rFonts w:eastAsia="SimSun"/>
          <w:sz w:val="20"/>
        </w:rPr>
        <w:t xml:space="preserve"> </w:t>
      </w:r>
      <w:r w:rsidRPr="00617A6E">
        <w:rPr>
          <w:rFonts w:eastAsia="SimSun"/>
          <w:sz w:val="20"/>
        </w:rPr>
        <w:t xml:space="preserve"> </w:t>
      </w:r>
      <w:r w:rsidR="001C4882">
        <w:rPr>
          <w:rFonts w:eastAsia="SimSun" w:hint="eastAsia"/>
          <w:sz w:val="20"/>
        </w:rPr>
        <w:t>同上</w:t>
      </w:r>
      <w:r w:rsidRPr="00617A6E">
        <w:rPr>
          <w:rFonts w:eastAsia="SimSun"/>
          <w:sz w:val="20"/>
        </w:rPr>
        <w:t>，第</w:t>
      </w:r>
      <w:r w:rsidRPr="00617A6E">
        <w:rPr>
          <w:rFonts w:eastAsia="SimSun"/>
          <w:sz w:val="20"/>
        </w:rPr>
        <w:t>1954</w:t>
      </w:r>
      <w:r w:rsidRPr="00617A6E">
        <w:rPr>
          <w:rFonts w:eastAsia="SimSun"/>
          <w:sz w:val="20"/>
        </w:rPr>
        <w:t>卷，第</w:t>
      </w:r>
      <w:r w:rsidRPr="00617A6E">
        <w:rPr>
          <w:rFonts w:eastAsia="SimSun"/>
          <w:sz w:val="20"/>
        </w:rPr>
        <w:t>33480</w:t>
      </w:r>
      <w:r w:rsidRPr="00617A6E">
        <w:rPr>
          <w:rFonts w:eastAsia="SimSun"/>
          <w:sz w:val="20"/>
        </w:rPr>
        <w:t>号。</w:t>
      </w:r>
    </w:p>
  </w:footnote>
  <w:footnote w:id="499">
    <w:p w14:paraId="48071A55" w14:textId="573AEB5F" w:rsidR="002B3E30" w:rsidRPr="00617A6E" w:rsidRDefault="002B3E30" w:rsidP="002B3E30">
      <w:pPr>
        <w:pStyle w:val="FootnoteText"/>
        <w:rPr>
          <w:rFonts w:eastAsia="SimSun"/>
          <w:sz w:val="20"/>
        </w:rPr>
      </w:pPr>
      <w:r w:rsidRPr="00617A6E">
        <w:rPr>
          <w:rStyle w:val="FootnoteReference"/>
          <w:rFonts w:eastAsia="SimSun"/>
          <w:sz w:val="20"/>
        </w:rPr>
        <w:footnoteRef/>
      </w:r>
      <w:r w:rsidRPr="00617A6E">
        <w:rPr>
          <w:rFonts w:eastAsia="SimSun"/>
          <w:sz w:val="20"/>
        </w:rPr>
        <w:t xml:space="preserve"> </w:t>
      </w:r>
      <w:r w:rsidR="00617A6E" w:rsidRPr="00617A6E">
        <w:rPr>
          <w:rFonts w:eastAsia="SimSun"/>
          <w:sz w:val="20"/>
        </w:rPr>
        <w:t xml:space="preserve"> </w:t>
      </w:r>
      <w:r w:rsidR="001C4882">
        <w:rPr>
          <w:rFonts w:eastAsia="SimSun" w:hint="eastAsia"/>
          <w:sz w:val="20"/>
        </w:rPr>
        <w:t>同上</w:t>
      </w:r>
      <w:r w:rsidRPr="00617A6E">
        <w:rPr>
          <w:rFonts w:eastAsia="SimSun"/>
          <w:sz w:val="20"/>
        </w:rPr>
        <w:t>，第</w:t>
      </w:r>
      <w:r w:rsidRPr="00617A6E">
        <w:rPr>
          <w:rFonts w:eastAsia="SimSun"/>
          <w:sz w:val="20"/>
        </w:rPr>
        <w:t xml:space="preserve"> 1771</w:t>
      </w:r>
      <w:r w:rsidRPr="00617A6E">
        <w:rPr>
          <w:rFonts w:eastAsia="SimSun"/>
          <w:sz w:val="20"/>
        </w:rPr>
        <w:t>卷，第</w:t>
      </w:r>
      <w:r w:rsidRPr="00617A6E">
        <w:rPr>
          <w:rFonts w:eastAsia="SimSun"/>
          <w:sz w:val="20"/>
        </w:rPr>
        <w:t xml:space="preserve"> 30822</w:t>
      </w:r>
      <w:r w:rsidRPr="00617A6E">
        <w:rPr>
          <w:rFonts w:eastAsia="SimSun"/>
          <w:sz w:val="20"/>
        </w:rPr>
        <w:t>号。</w:t>
      </w:r>
    </w:p>
  </w:footnote>
  <w:footnote w:id="500">
    <w:p w14:paraId="538A0917" w14:textId="476DF3C9" w:rsidR="002B3E30" w:rsidRPr="00617A6E" w:rsidRDefault="002B3E30" w:rsidP="002B3E30">
      <w:pPr>
        <w:pStyle w:val="FootnoteText"/>
        <w:rPr>
          <w:rFonts w:eastAsia="SimSun"/>
          <w:sz w:val="20"/>
        </w:rPr>
      </w:pPr>
      <w:r w:rsidRPr="00617A6E">
        <w:rPr>
          <w:rStyle w:val="FootnoteReference"/>
          <w:rFonts w:eastAsia="SimSun"/>
          <w:sz w:val="20"/>
        </w:rPr>
        <w:footnoteRef/>
      </w:r>
      <w:r w:rsidRPr="00617A6E">
        <w:rPr>
          <w:rFonts w:eastAsia="SimSun"/>
          <w:sz w:val="20"/>
        </w:rPr>
        <w:t xml:space="preserve"> </w:t>
      </w:r>
      <w:r w:rsidR="00617A6E" w:rsidRPr="00617A6E">
        <w:rPr>
          <w:rFonts w:eastAsia="SimSun"/>
          <w:sz w:val="20"/>
        </w:rPr>
        <w:t xml:space="preserve"> </w:t>
      </w:r>
      <w:r w:rsidR="001C4882">
        <w:rPr>
          <w:rFonts w:eastAsia="SimSun" w:hint="eastAsia"/>
          <w:sz w:val="20"/>
        </w:rPr>
        <w:t>同上</w:t>
      </w:r>
      <w:r w:rsidRPr="00617A6E">
        <w:rPr>
          <w:rFonts w:eastAsia="SimSun"/>
          <w:sz w:val="20"/>
        </w:rPr>
        <w:t>，第</w:t>
      </w:r>
      <w:r w:rsidRPr="00617A6E">
        <w:rPr>
          <w:rFonts w:eastAsia="SimSun"/>
          <w:sz w:val="20"/>
        </w:rPr>
        <w:t xml:space="preserve"> 3156</w:t>
      </w:r>
      <w:r w:rsidRPr="00617A6E">
        <w:rPr>
          <w:rFonts w:eastAsia="SimSun"/>
          <w:sz w:val="20"/>
        </w:rPr>
        <w:t>卷，第</w:t>
      </w:r>
      <w:r w:rsidRPr="00617A6E">
        <w:rPr>
          <w:rFonts w:eastAsia="SimSun"/>
          <w:sz w:val="20"/>
        </w:rPr>
        <w:t xml:space="preserve"> 54113</w:t>
      </w:r>
      <w:r w:rsidRPr="00617A6E">
        <w:rPr>
          <w:rFonts w:eastAsia="SimSun"/>
          <w:sz w:val="20"/>
        </w:rPr>
        <w:t>号。</w:t>
      </w:r>
    </w:p>
  </w:footnote>
  <w:footnote w:id="501">
    <w:p w14:paraId="718BABDE" w14:textId="11C83F44" w:rsidR="002B3E30" w:rsidRPr="00142737" w:rsidRDefault="002B3E30" w:rsidP="002B3E30">
      <w:pPr>
        <w:pStyle w:val="FootnoteText"/>
        <w:rPr>
          <w:sz w:val="20"/>
        </w:rPr>
      </w:pPr>
      <w:r w:rsidRPr="00617A6E">
        <w:rPr>
          <w:rStyle w:val="FootnoteReference"/>
          <w:rFonts w:eastAsia="SimSun"/>
          <w:sz w:val="20"/>
        </w:rPr>
        <w:footnoteRef/>
      </w:r>
      <w:r w:rsidRPr="00617A6E">
        <w:rPr>
          <w:rFonts w:eastAsia="SimSun"/>
          <w:sz w:val="20"/>
        </w:rPr>
        <w:t xml:space="preserve"> </w:t>
      </w:r>
      <w:r w:rsidR="00617A6E" w:rsidRPr="00617A6E">
        <w:rPr>
          <w:rFonts w:eastAsia="SimSun"/>
          <w:sz w:val="20"/>
        </w:rPr>
        <w:t xml:space="preserve"> </w:t>
      </w:r>
      <w:r w:rsidR="001C4882">
        <w:rPr>
          <w:rFonts w:eastAsia="SimSun" w:hint="eastAsia"/>
          <w:sz w:val="20"/>
        </w:rPr>
        <w:t>同上</w:t>
      </w:r>
      <w:r w:rsidRPr="00617A6E">
        <w:rPr>
          <w:rFonts w:eastAsia="SimSun"/>
          <w:sz w:val="20"/>
        </w:rPr>
        <w:t>，第</w:t>
      </w:r>
      <w:r w:rsidRPr="00617A6E">
        <w:rPr>
          <w:rFonts w:eastAsia="SimSun"/>
          <w:sz w:val="20"/>
        </w:rPr>
        <w:t xml:space="preserve"> 1760</w:t>
      </w:r>
      <w:r w:rsidRPr="00617A6E">
        <w:rPr>
          <w:rFonts w:eastAsia="SimSun"/>
          <w:sz w:val="20"/>
        </w:rPr>
        <w:t>卷，第</w:t>
      </w:r>
      <w:r w:rsidRPr="00617A6E">
        <w:rPr>
          <w:rFonts w:eastAsia="SimSun"/>
          <w:sz w:val="20"/>
        </w:rPr>
        <w:t xml:space="preserve"> 30619</w:t>
      </w:r>
      <w:r w:rsidRPr="00617A6E">
        <w:rPr>
          <w:rFonts w:eastAsia="SimSun"/>
          <w:sz w:val="20"/>
        </w:rPr>
        <w:t>号。</w:t>
      </w:r>
    </w:p>
  </w:footnote>
  <w:footnote w:id="502">
    <w:p w14:paraId="164D4ECC" w14:textId="1D0E6003" w:rsidR="002B3E30" w:rsidRPr="00617A6E" w:rsidRDefault="002B3E30" w:rsidP="002B3E30">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00617A6E">
        <w:rPr>
          <w:rFonts w:eastAsia="SimSun" w:hint="eastAsia"/>
          <w:sz w:val="20"/>
        </w:rPr>
        <w:t xml:space="preserve"> </w:t>
      </w:r>
      <w:r w:rsidRPr="00617A6E">
        <w:rPr>
          <w:rFonts w:eastAsia="SimSun"/>
          <w:sz w:val="20"/>
        </w:rPr>
        <w:t>见</w:t>
      </w:r>
      <w:r w:rsidRPr="00617A6E">
        <w:rPr>
          <w:rFonts w:eastAsia="SimSun"/>
          <w:sz w:val="20"/>
        </w:rPr>
        <w:t xml:space="preserve"> </w:t>
      </w:r>
      <w:hyperlink r:id="rId241" w:history="1">
        <w:r w:rsidRPr="00617A6E">
          <w:rPr>
            <w:rStyle w:val="Hyperlink"/>
            <w:rFonts w:eastAsia="SimSun"/>
            <w:sz w:val="20"/>
          </w:rPr>
          <w:t>CBD/COP/16/10/Rev.1</w:t>
        </w:r>
      </w:hyperlink>
      <w:r w:rsidRPr="00617A6E">
        <w:rPr>
          <w:rFonts w:eastAsia="SimSun"/>
          <w:sz w:val="20"/>
        </w:rPr>
        <w:t xml:space="preserve">, </w:t>
      </w:r>
      <w:r w:rsidRPr="00617A6E">
        <w:rPr>
          <w:rFonts w:eastAsia="SimSun"/>
          <w:sz w:val="20"/>
        </w:rPr>
        <w:t>附件一。</w:t>
      </w:r>
    </w:p>
  </w:footnote>
  <w:footnote w:id="503">
    <w:p w14:paraId="2ED4B85C" w14:textId="4B8602D2" w:rsidR="002B3E30" w:rsidRPr="00617A6E" w:rsidRDefault="002B3E30" w:rsidP="002B3E30">
      <w:pPr>
        <w:pStyle w:val="FootnoteText"/>
        <w:spacing w:before="60" w:after="60"/>
        <w:rPr>
          <w:rFonts w:eastAsia="SimSun"/>
          <w:sz w:val="20"/>
          <w:lang w:val="en-CA"/>
        </w:rPr>
      </w:pPr>
      <w:r w:rsidRPr="00617A6E">
        <w:rPr>
          <w:rStyle w:val="FootnoteReference"/>
          <w:rFonts w:eastAsia="SimSun"/>
          <w:sz w:val="20"/>
        </w:rPr>
        <w:footnoteRef/>
      </w:r>
      <w:r w:rsidRPr="00617A6E">
        <w:rPr>
          <w:rFonts w:eastAsia="SimSun"/>
          <w:sz w:val="20"/>
        </w:rPr>
        <w:t xml:space="preserve"> </w:t>
      </w:r>
      <w:r w:rsidR="00617A6E">
        <w:rPr>
          <w:rFonts w:eastAsia="SimSun" w:hint="eastAsia"/>
          <w:sz w:val="20"/>
        </w:rPr>
        <w:t xml:space="preserve"> </w:t>
      </w:r>
      <w:r w:rsidRPr="00617A6E">
        <w:rPr>
          <w:rFonts w:eastAsia="SimSun"/>
          <w:sz w:val="20"/>
        </w:rPr>
        <w:t>见</w:t>
      </w:r>
      <w:hyperlink r:id="rId242" w:history="1">
        <w:r w:rsidRPr="00617A6E">
          <w:rPr>
            <w:rStyle w:val="Hyperlink"/>
            <w:rFonts w:eastAsia="SimSun"/>
            <w:sz w:val="20"/>
          </w:rPr>
          <w:t>https://www.fao.org/ecosystem-restoration-monitoring/en</w:t>
        </w:r>
      </w:hyperlink>
      <w:r w:rsidRPr="00617A6E">
        <w:rPr>
          <w:rFonts w:eastAsia="SimSun"/>
          <w:sz w:val="20"/>
        </w:rPr>
        <w:t>。</w:t>
      </w:r>
    </w:p>
  </w:footnote>
  <w:footnote w:id="504">
    <w:p w14:paraId="31B16981" w14:textId="1C9CD180" w:rsidR="002B3E30" w:rsidRPr="00142737" w:rsidRDefault="002B3E30" w:rsidP="002B3E30">
      <w:pPr>
        <w:pStyle w:val="FootnoteText"/>
        <w:spacing w:before="60" w:after="60"/>
        <w:rPr>
          <w:sz w:val="20"/>
        </w:rPr>
      </w:pPr>
      <w:r w:rsidRPr="00617A6E">
        <w:rPr>
          <w:rStyle w:val="FootnoteReference"/>
          <w:rFonts w:eastAsia="SimSun"/>
          <w:sz w:val="20"/>
        </w:rPr>
        <w:footnoteRef/>
      </w:r>
      <w:r w:rsidRPr="00617A6E">
        <w:rPr>
          <w:rFonts w:eastAsia="SimSun"/>
          <w:sz w:val="20"/>
        </w:rPr>
        <w:t xml:space="preserve"> </w:t>
      </w:r>
      <w:r w:rsidR="00617A6E">
        <w:rPr>
          <w:rFonts w:eastAsia="SimSun" w:hint="eastAsia"/>
          <w:sz w:val="20"/>
        </w:rPr>
        <w:t xml:space="preserve"> </w:t>
      </w:r>
      <w:r w:rsidRPr="00617A6E">
        <w:rPr>
          <w:rFonts w:eastAsia="SimSun"/>
          <w:sz w:val="20"/>
        </w:rPr>
        <w:t>见</w:t>
      </w:r>
      <w:r w:rsidR="00617A6E">
        <w:rPr>
          <w:rFonts w:eastAsia="SimSun" w:hint="eastAsia"/>
          <w:sz w:val="20"/>
        </w:rPr>
        <w:t>联合国</w:t>
      </w:r>
      <w:r w:rsidRPr="00617A6E">
        <w:rPr>
          <w:rFonts w:eastAsia="SimSun"/>
          <w:sz w:val="20"/>
        </w:rPr>
        <w:t>大会第</w:t>
      </w:r>
      <w:r w:rsidRPr="00617A6E">
        <w:rPr>
          <w:rFonts w:eastAsia="SimSun"/>
          <w:sz w:val="20"/>
        </w:rPr>
        <w:t xml:space="preserve"> 71/285</w:t>
      </w:r>
      <w:r w:rsidRPr="00617A6E">
        <w:rPr>
          <w:rFonts w:eastAsia="SimSun"/>
          <w:sz w:val="20"/>
        </w:rPr>
        <w:t>号决议。</w:t>
      </w:r>
    </w:p>
  </w:footnote>
  <w:footnote w:id="505">
    <w:p w14:paraId="7E2949A9" w14:textId="0D3970BF" w:rsidR="002B3E30" w:rsidRPr="00617A6E" w:rsidRDefault="002B3E30" w:rsidP="00617A6E">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00617A6E">
        <w:rPr>
          <w:rFonts w:eastAsia="SimSun" w:hint="eastAsia"/>
          <w:sz w:val="20"/>
        </w:rPr>
        <w:t xml:space="preserve"> </w:t>
      </w:r>
      <w:r w:rsidRPr="00617A6E">
        <w:rPr>
          <w:rFonts w:eastAsia="SimSun"/>
          <w:sz w:val="20"/>
        </w:rPr>
        <w:t>联合国，《条约汇编》，第</w:t>
      </w:r>
      <w:r w:rsidRPr="00617A6E">
        <w:rPr>
          <w:rFonts w:eastAsia="SimSun"/>
          <w:sz w:val="20"/>
        </w:rPr>
        <w:t xml:space="preserve"> 996</w:t>
      </w:r>
      <w:r w:rsidRPr="00617A6E">
        <w:rPr>
          <w:rFonts w:eastAsia="SimSun"/>
          <w:sz w:val="20"/>
        </w:rPr>
        <w:t>卷，第</w:t>
      </w:r>
      <w:r w:rsidRPr="00617A6E">
        <w:rPr>
          <w:rFonts w:eastAsia="SimSun"/>
          <w:sz w:val="20"/>
        </w:rPr>
        <w:t xml:space="preserve"> 14583</w:t>
      </w:r>
      <w:r w:rsidRPr="00617A6E">
        <w:rPr>
          <w:rFonts w:eastAsia="SimSun"/>
          <w:sz w:val="20"/>
        </w:rPr>
        <w:t>号。</w:t>
      </w:r>
    </w:p>
  </w:footnote>
  <w:footnote w:id="506">
    <w:p w14:paraId="10FBC365" w14:textId="1D096ABB" w:rsidR="002B3E30" w:rsidRPr="00617A6E" w:rsidRDefault="002B3E30" w:rsidP="00617A6E">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00617A6E">
        <w:rPr>
          <w:rFonts w:eastAsia="SimSun" w:hint="eastAsia"/>
          <w:sz w:val="20"/>
        </w:rPr>
        <w:t xml:space="preserve"> </w:t>
      </w:r>
      <w:hyperlink r:id="rId243" w:history="1">
        <w:r w:rsidRPr="00617A6E">
          <w:rPr>
            <w:rStyle w:val="Hyperlink"/>
            <w:rFonts w:eastAsia="SimSun"/>
            <w:sz w:val="20"/>
          </w:rPr>
          <w:t>CBD/COP/16/INF/19</w:t>
        </w:r>
      </w:hyperlink>
      <w:r w:rsidRPr="00617A6E">
        <w:rPr>
          <w:rFonts w:eastAsia="SimSun"/>
          <w:sz w:val="20"/>
        </w:rPr>
        <w:t>。</w:t>
      </w:r>
    </w:p>
  </w:footnote>
  <w:footnote w:id="507">
    <w:p w14:paraId="2583BBDB" w14:textId="74A72FA5" w:rsidR="002B3E30" w:rsidRPr="00617A6E" w:rsidRDefault="002B3E30" w:rsidP="00617A6E">
      <w:pPr>
        <w:pStyle w:val="FootnoteText"/>
        <w:spacing w:after="60"/>
        <w:rPr>
          <w:rFonts w:eastAsia="SimSun"/>
          <w:sz w:val="20"/>
          <w:lang w:val="it-IT"/>
        </w:rPr>
      </w:pPr>
      <w:r w:rsidRPr="00617A6E">
        <w:rPr>
          <w:rStyle w:val="FootnoteReference"/>
          <w:rFonts w:eastAsia="SimSun"/>
          <w:sz w:val="20"/>
        </w:rPr>
        <w:footnoteRef/>
      </w:r>
      <w:r w:rsidRPr="00617A6E">
        <w:rPr>
          <w:rFonts w:eastAsia="SimSun"/>
          <w:sz w:val="20"/>
          <w:lang w:val="it-IT"/>
        </w:rPr>
        <w:t xml:space="preserve"> </w:t>
      </w:r>
      <w:r w:rsidR="00617A6E">
        <w:rPr>
          <w:rFonts w:eastAsia="SimSun" w:hint="eastAsia"/>
          <w:sz w:val="20"/>
          <w:lang w:val="it-IT"/>
        </w:rPr>
        <w:t xml:space="preserve"> </w:t>
      </w:r>
      <w:r w:rsidRPr="00617A6E">
        <w:rPr>
          <w:rFonts w:eastAsia="SimSun"/>
          <w:sz w:val="20"/>
        </w:rPr>
        <w:t>第</w:t>
      </w:r>
      <w:r w:rsidRPr="00617A6E">
        <w:rPr>
          <w:rFonts w:eastAsia="SimSun"/>
          <w:sz w:val="20"/>
          <w:lang w:val="it-IT"/>
        </w:rPr>
        <w:t>12</w:t>
      </w:r>
      <w:r w:rsidRPr="00617A6E">
        <w:rPr>
          <w:rFonts w:eastAsia="SimSun"/>
          <w:sz w:val="20"/>
          <w:lang w:val="it-IT"/>
        </w:rPr>
        <w:t>段的规定指的是联合国环境规划署根据联合国环境大会第</w:t>
      </w:r>
      <w:r w:rsidRPr="00617A6E">
        <w:rPr>
          <w:rFonts w:eastAsia="SimSun"/>
          <w:sz w:val="20"/>
          <w:lang w:val="it-IT"/>
        </w:rPr>
        <w:t>6/8</w:t>
      </w:r>
      <w:r w:rsidRPr="00617A6E">
        <w:rPr>
          <w:rFonts w:eastAsia="SimSun"/>
          <w:sz w:val="20"/>
          <w:lang w:val="it-IT"/>
        </w:rPr>
        <w:t>号决议第</w:t>
      </w:r>
      <w:r w:rsidRPr="00617A6E">
        <w:rPr>
          <w:rFonts w:eastAsia="SimSun"/>
          <w:sz w:val="20"/>
          <w:lang w:val="it-IT"/>
        </w:rPr>
        <w:t>4</w:t>
      </w:r>
      <w:r w:rsidRPr="00617A6E">
        <w:rPr>
          <w:rFonts w:eastAsia="SimSun"/>
          <w:sz w:val="20"/>
          <w:lang w:val="it-IT"/>
        </w:rPr>
        <w:t>段进行的工作。</w:t>
      </w:r>
    </w:p>
  </w:footnote>
  <w:footnote w:id="508">
    <w:p w14:paraId="49CA82F2" w14:textId="5599FD12" w:rsidR="002B3E30" w:rsidRPr="00142737" w:rsidRDefault="002B3E30" w:rsidP="00617A6E">
      <w:pPr>
        <w:pStyle w:val="FootnoteText"/>
        <w:spacing w:after="60"/>
        <w:rPr>
          <w:sz w:val="20"/>
          <w:lang w:val="it-IT"/>
        </w:rPr>
      </w:pPr>
      <w:r w:rsidRPr="00617A6E">
        <w:rPr>
          <w:rStyle w:val="FootnoteReference"/>
          <w:rFonts w:eastAsia="SimSun"/>
          <w:sz w:val="20"/>
        </w:rPr>
        <w:footnoteRef/>
      </w:r>
      <w:r w:rsidRPr="00617A6E">
        <w:rPr>
          <w:rFonts w:eastAsia="SimSun"/>
          <w:sz w:val="20"/>
          <w:lang w:val="it-IT"/>
        </w:rPr>
        <w:t xml:space="preserve"> </w:t>
      </w:r>
      <w:r w:rsidR="00617A6E">
        <w:rPr>
          <w:rFonts w:eastAsia="SimSun" w:hint="eastAsia"/>
          <w:sz w:val="20"/>
          <w:lang w:val="it-IT"/>
        </w:rPr>
        <w:t xml:space="preserve"> </w:t>
      </w:r>
      <w:hyperlink r:id="rId244" w:history="1">
        <w:r w:rsidRPr="00617A6E">
          <w:rPr>
            <w:rStyle w:val="Hyperlink"/>
            <w:rFonts w:eastAsia="SimSun"/>
            <w:sz w:val="20"/>
            <w:lang w:val="it-IT"/>
          </w:rPr>
          <w:t>CBD/SBI/4/INF/15</w:t>
        </w:r>
      </w:hyperlink>
      <w:r w:rsidRPr="00617A6E">
        <w:rPr>
          <w:rFonts w:eastAsia="SimSun"/>
          <w:sz w:val="20"/>
        </w:rPr>
        <w:t>。</w:t>
      </w:r>
    </w:p>
  </w:footnote>
  <w:footnote w:id="509">
    <w:p w14:paraId="790E5534" w14:textId="77777777" w:rsidR="002B3E30" w:rsidRPr="00617A6E" w:rsidRDefault="002B3E30" w:rsidP="002B3E30">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lang w:val="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510">
    <w:p w14:paraId="35E79D2F" w14:textId="77777777" w:rsidR="002B3E30" w:rsidRPr="00617A6E" w:rsidRDefault="002B3E30" w:rsidP="002B3E30">
      <w:pPr>
        <w:pStyle w:val="FootnoteText"/>
        <w:spacing w:after="60"/>
        <w:rPr>
          <w:rFonts w:eastAsia="SimSun"/>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第</w:t>
      </w:r>
      <w:hyperlink r:id="rId245" w:history="1">
        <w:r w:rsidRPr="00617A6E">
          <w:rPr>
            <w:rStyle w:val="Hyperlink"/>
            <w:rFonts w:eastAsia="SimSun"/>
            <w:sz w:val="20"/>
          </w:rPr>
          <w:t>IV/5</w:t>
        </w:r>
      </w:hyperlink>
      <w:r w:rsidRPr="00617A6E">
        <w:rPr>
          <w:rFonts w:eastAsia="SimSun"/>
          <w:sz w:val="20"/>
        </w:rPr>
        <w:t>号决定，附件，以及第</w:t>
      </w:r>
      <w:hyperlink r:id="rId246" w:history="1">
        <w:r w:rsidRPr="00617A6E">
          <w:rPr>
            <w:rStyle w:val="Hyperlink"/>
            <w:rFonts w:eastAsia="SimSun"/>
            <w:sz w:val="20"/>
          </w:rPr>
          <w:t>VII/5</w:t>
        </w:r>
      </w:hyperlink>
      <w:r w:rsidRPr="00617A6E">
        <w:rPr>
          <w:rFonts w:eastAsia="SimSun"/>
          <w:sz w:val="20"/>
        </w:rPr>
        <w:t>号决定，附件一。</w:t>
      </w:r>
    </w:p>
  </w:footnote>
  <w:footnote w:id="511">
    <w:p w14:paraId="1185E021" w14:textId="77777777" w:rsidR="002B3E30" w:rsidRPr="00142737" w:rsidRDefault="002B3E30" w:rsidP="002B3E30">
      <w:pPr>
        <w:pStyle w:val="FootnoteText"/>
        <w:rPr>
          <w:sz w:val="20"/>
        </w:rPr>
      </w:pPr>
      <w:r w:rsidRPr="00617A6E">
        <w:rPr>
          <w:rStyle w:val="FootnoteReference"/>
          <w:rFonts w:eastAsia="SimSun"/>
          <w:sz w:val="20"/>
        </w:rPr>
        <w:footnoteRef/>
      </w:r>
      <w:r w:rsidRPr="00617A6E">
        <w:rPr>
          <w:rFonts w:eastAsia="SimSun"/>
          <w:sz w:val="20"/>
        </w:rPr>
        <w:t xml:space="preserve"> </w:t>
      </w:r>
      <w:r w:rsidRPr="00617A6E">
        <w:rPr>
          <w:rFonts w:eastAsia="SimSun"/>
          <w:sz w:val="20"/>
        </w:rPr>
        <w:t>第</w:t>
      </w:r>
      <w:r w:rsidRPr="00617A6E">
        <w:rPr>
          <w:rFonts w:eastAsia="SimSun"/>
          <w:sz w:val="20"/>
        </w:rPr>
        <w:t xml:space="preserve"> </w:t>
      </w:r>
      <w:hyperlink r:id="rId247" w:history="1">
        <w:r w:rsidRPr="00617A6E">
          <w:rPr>
            <w:rStyle w:val="Hyperlink"/>
            <w:rFonts w:eastAsia="SimSun"/>
            <w:sz w:val="20"/>
          </w:rPr>
          <w:t>VIII/23</w:t>
        </w:r>
      </w:hyperlink>
      <w:r w:rsidRPr="00617A6E">
        <w:rPr>
          <w:rFonts w:eastAsia="SimSun"/>
          <w:sz w:val="20"/>
        </w:rPr>
        <w:t>号决定。</w:t>
      </w:r>
    </w:p>
  </w:footnote>
  <w:footnote w:id="512">
    <w:p w14:paraId="445539F2" w14:textId="58833BF9" w:rsidR="00295B59" w:rsidRPr="00B905A0" w:rsidRDefault="00295B59" w:rsidP="00295B59">
      <w:pPr>
        <w:pStyle w:val="FootnoteText"/>
        <w:rPr>
          <w:rFonts w:eastAsia="SimSun"/>
          <w:sz w:val="20"/>
        </w:rPr>
      </w:pPr>
      <w:r w:rsidRPr="00B905A0">
        <w:rPr>
          <w:rStyle w:val="FootnoteReference"/>
          <w:rFonts w:eastAsia="SimSun"/>
          <w:sz w:val="20"/>
        </w:rPr>
        <w:footnoteRef/>
      </w:r>
      <w:r w:rsidRPr="00B905A0">
        <w:rPr>
          <w:rFonts w:eastAsia="SimSun"/>
          <w:sz w:val="20"/>
        </w:rPr>
        <w:t xml:space="preserve"> </w:t>
      </w:r>
      <w:r w:rsidR="00187494">
        <w:rPr>
          <w:rFonts w:eastAsia="SimSun" w:hint="eastAsia"/>
          <w:sz w:val="20"/>
        </w:rPr>
        <w:t xml:space="preserve"> </w:t>
      </w:r>
      <w:r w:rsidRPr="00187494">
        <w:rPr>
          <w:rFonts w:eastAsia="SimSun"/>
          <w:sz w:val="20"/>
        </w:rPr>
        <w:t>联合国，《条约汇编》，第</w:t>
      </w:r>
      <w:r w:rsidRPr="00187494">
        <w:rPr>
          <w:rFonts w:eastAsia="SimSun"/>
          <w:sz w:val="20"/>
        </w:rPr>
        <w:t>1760</w:t>
      </w:r>
      <w:r w:rsidRPr="00187494">
        <w:rPr>
          <w:rFonts w:eastAsia="SimSun"/>
          <w:sz w:val="20"/>
        </w:rPr>
        <w:t>卷，第</w:t>
      </w:r>
      <w:r w:rsidRPr="00187494">
        <w:rPr>
          <w:rFonts w:eastAsia="SimSun"/>
          <w:sz w:val="20"/>
        </w:rPr>
        <w:t>30619</w:t>
      </w:r>
      <w:r w:rsidRPr="00187494">
        <w:rPr>
          <w:rFonts w:eastAsia="SimSun"/>
          <w:sz w:val="20"/>
        </w:rPr>
        <w:t>号。</w:t>
      </w:r>
    </w:p>
  </w:footnote>
  <w:footnote w:id="513">
    <w:p w14:paraId="5348B29E" w14:textId="4FAE139B" w:rsidR="00405EC3" w:rsidRPr="00D54633" w:rsidRDefault="00405EC3" w:rsidP="008A2903">
      <w:pPr>
        <w:pStyle w:val="FootnoteText"/>
        <w:spacing w:after="60"/>
        <w:rPr>
          <w:sz w:val="20"/>
        </w:rPr>
      </w:pPr>
      <w:r w:rsidRPr="00D54633">
        <w:rPr>
          <w:rStyle w:val="FootnoteReference"/>
          <w:sz w:val="20"/>
        </w:rPr>
        <w:footnoteRef/>
      </w:r>
      <w:r w:rsidRPr="00D54633">
        <w:rPr>
          <w:sz w:val="20"/>
        </w:rPr>
        <w:t xml:space="preserve"> </w:t>
      </w:r>
      <w:r w:rsidR="00D54633" w:rsidRPr="00D54633">
        <w:rPr>
          <w:rFonts w:hint="eastAsia"/>
          <w:sz w:val="20"/>
        </w:rPr>
        <w:t xml:space="preserve"> </w:t>
      </w:r>
      <w:r w:rsidRPr="00D54633">
        <w:rPr>
          <w:rFonts w:eastAsia="SimSun"/>
          <w:sz w:val="20"/>
        </w:rPr>
        <w:t>会议期间的发言和与会者提交的书面材料</w:t>
      </w:r>
      <w:r w:rsidRPr="00D54633">
        <w:rPr>
          <w:rFonts w:eastAsia="SimSun" w:hint="eastAsia"/>
          <w:sz w:val="20"/>
        </w:rPr>
        <w:t>见</w:t>
      </w:r>
      <w:hyperlink r:id="rId248" w:history="1">
        <w:r w:rsidRPr="00D54633">
          <w:rPr>
            <w:rStyle w:val="Hyperlink"/>
            <w:rFonts w:eastAsia="SimSun"/>
            <w:sz w:val="20"/>
          </w:rPr>
          <w:t>www.cbd.int/meetings/COP-16</w:t>
        </w:r>
      </w:hyperlink>
      <w:r w:rsidRPr="00D54633">
        <w:rPr>
          <w:rFonts w:eastAsia="SimSun" w:hint="eastAsia"/>
          <w:sz w:val="20"/>
        </w:rPr>
        <w:t>。</w:t>
      </w:r>
    </w:p>
  </w:footnote>
  <w:footnote w:id="514">
    <w:p w14:paraId="1A7E91E3" w14:textId="098BC4B7" w:rsidR="00D54633" w:rsidRPr="00D54633" w:rsidRDefault="00D54633" w:rsidP="008A2903">
      <w:pPr>
        <w:pStyle w:val="FootnoteText"/>
        <w:spacing w:after="60"/>
      </w:pPr>
      <w:r w:rsidRPr="00D54633">
        <w:rPr>
          <w:rStyle w:val="FootnoteReference"/>
          <w:sz w:val="20"/>
        </w:rPr>
        <w:footnoteRef/>
      </w:r>
      <w:r w:rsidRPr="00D54633">
        <w:rPr>
          <w:sz w:val="20"/>
        </w:rPr>
        <w:t xml:space="preserve"> </w:t>
      </w:r>
      <w:r w:rsidRPr="00D54633">
        <w:rPr>
          <w:rFonts w:hint="eastAsia"/>
          <w:sz w:val="20"/>
        </w:rPr>
        <w:t xml:space="preserve"> </w:t>
      </w:r>
      <w:r w:rsidRPr="00D54633">
        <w:rPr>
          <w:rFonts w:eastAsia="SimSun"/>
          <w:sz w:val="20"/>
        </w:rPr>
        <w:t>与会者名单见</w:t>
      </w:r>
      <w:r w:rsidRPr="00D54633">
        <w:rPr>
          <w:rFonts w:eastAsia="SimSun"/>
          <w:sz w:val="20"/>
        </w:rPr>
        <w:t>CBD/COP/16/INF/1</w:t>
      </w:r>
      <w:r w:rsidRPr="00D54633">
        <w:rPr>
          <w:rFonts w:eastAsia="SimSun"/>
          <w:sz w:val="20"/>
        </w:rPr>
        <w:t>号文件</w:t>
      </w:r>
      <w:r w:rsidRPr="00D54633">
        <w:rPr>
          <w:rFonts w:hint="eastAsia"/>
          <w:sz w:val="20"/>
        </w:rPr>
        <w:t>。</w:t>
      </w:r>
    </w:p>
  </w:footnote>
  <w:footnote w:id="515">
    <w:p w14:paraId="5C497514" w14:textId="620B5ABE" w:rsidR="00141995" w:rsidRPr="00EB234D" w:rsidRDefault="00141995" w:rsidP="008A2903">
      <w:pPr>
        <w:pStyle w:val="FootnoteText"/>
        <w:spacing w:after="60"/>
        <w:rPr>
          <w:rFonts w:eastAsiaTheme="minorEastAsia"/>
          <w:sz w:val="20"/>
        </w:rPr>
      </w:pPr>
      <w:r w:rsidRPr="00EB234D">
        <w:rPr>
          <w:rStyle w:val="FootnoteReference"/>
          <w:sz w:val="20"/>
        </w:rPr>
        <w:footnoteRef/>
      </w:r>
      <w:r w:rsidRPr="00EB234D">
        <w:rPr>
          <w:sz w:val="20"/>
        </w:rPr>
        <w:t xml:space="preserve"> </w:t>
      </w:r>
      <w:r w:rsidR="006A71A9">
        <w:rPr>
          <w:rFonts w:hint="eastAsia"/>
          <w:sz w:val="20"/>
        </w:rPr>
        <w:t xml:space="preserve"> </w:t>
      </w:r>
      <w:r w:rsidRPr="00EB234D">
        <w:rPr>
          <w:rFonts w:eastAsiaTheme="minorEastAsia"/>
          <w:sz w:val="20"/>
          <w:lang w:val="zh-CN"/>
        </w:rPr>
        <w:t>第一次续会</w:t>
      </w:r>
      <w:r w:rsidR="006A71A9">
        <w:rPr>
          <w:rFonts w:eastAsiaTheme="minorEastAsia" w:hint="eastAsia"/>
          <w:sz w:val="20"/>
          <w:lang w:val="zh-CN"/>
        </w:rPr>
        <w:t>，即</w:t>
      </w:r>
      <w:r w:rsidRPr="00EB234D">
        <w:rPr>
          <w:rFonts w:eastAsiaTheme="minorEastAsia"/>
          <w:sz w:val="20"/>
          <w:lang w:val="zh-CN"/>
        </w:rPr>
        <w:t>第</w:t>
      </w:r>
      <w:r w:rsidRPr="00EB234D">
        <w:rPr>
          <w:rFonts w:eastAsiaTheme="minorEastAsia"/>
          <w:sz w:val="20"/>
          <w:lang w:val="zh-CN"/>
        </w:rPr>
        <w:t>6</w:t>
      </w:r>
      <w:r w:rsidRPr="00EB234D">
        <w:rPr>
          <w:rFonts w:eastAsiaTheme="minorEastAsia"/>
          <w:sz w:val="20"/>
          <w:lang w:val="zh-CN"/>
        </w:rPr>
        <w:t>场全体会议，于</w:t>
      </w:r>
      <w:r w:rsidRPr="00EB234D">
        <w:rPr>
          <w:rFonts w:eastAsiaTheme="minorEastAsia"/>
          <w:sz w:val="20"/>
          <w:lang w:val="zh-CN"/>
        </w:rPr>
        <w:t>2024</w:t>
      </w:r>
      <w:r w:rsidRPr="00EB234D">
        <w:rPr>
          <w:rFonts w:eastAsiaTheme="minorEastAsia"/>
          <w:sz w:val="20"/>
          <w:lang w:val="zh-CN"/>
        </w:rPr>
        <w:t>年</w:t>
      </w:r>
      <w:r w:rsidRPr="00EB234D">
        <w:rPr>
          <w:rFonts w:eastAsiaTheme="minorEastAsia"/>
          <w:sz w:val="20"/>
          <w:lang w:val="zh-CN"/>
        </w:rPr>
        <w:t>12</w:t>
      </w:r>
      <w:r w:rsidRPr="00EB234D">
        <w:rPr>
          <w:rFonts w:eastAsiaTheme="minorEastAsia"/>
          <w:sz w:val="20"/>
          <w:lang w:val="zh-CN"/>
        </w:rPr>
        <w:t>月</w:t>
      </w:r>
      <w:r w:rsidRPr="00EB234D">
        <w:rPr>
          <w:rFonts w:eastAsiaTheme="minorEastAsia"/>
          <w:sz w:val="20"/>
          <w:lang w:val="zh-CN"/>
        </w:rPr>
        <w:t>3</w:t>
      </w:r>
      <w:r w:rsidRPr="00EB234D">
        <w:rPr>
          <w:rFonts w:eastAsiaTheme="minorEastAsia"/>
          <w:sz w:val="20"/>
          <w:lang w:val="zh-CN"/>
        </w:rPr>
        <w:t>日至</w:t>
      </w:r>
      <w:r w:rsidRPr="00EB234D">
        <w:rPr>
          <w:rFonts w:eastAsiaTheme="minorEastAsia"/>
          <w:sz w:val="20"/>
          <w:lang w:val="zh-CN"/>
        </w:rPr>
        <w:t>6</w:t>
      </w:r>
      <w:r w:rsidRPr="00EB234D">
        <w:rPr>
          <w:rFonts w:eastAsiaTheme="minorEastAsia"/>
          <w:sz w:val="20"/>
          <w:lang w:val="zh-CN"/>
        </w:rPr>
        <w:t>日根据默许程序在线上举行（见项目</w:t>
      </w:r>
      <w:r w:rsidRPr="00EB234D">
        <w:rPr>
          <w:rFonts w:eastAsiaTheme="minorEastAsia"/>
          <w:sz w:val="20"/>
          <w:lang w:val="zh-CN"/>
        </w:rPr>
        <w:t>7</w:t>
      </w:r>
      <w:r w:rsidRPr="00EB234D">
        <w:rPr>
          <w:rFonts w:eastAsiaTheme="minorEastAsia"/>
          <w:sz w:val="20"/>
          <w:lang w:val="zh-CN"/>
        </w:rPr>
        <w:t>）。</w:t>
      </w:r>
    </w:p>
  </w:footnote>
  <w:footnote w:id="516">
    <w:p w14:paraId="475CFB19" w14:textId="515451AA" w:rsidR="00516794" w:rsidRPr="00654783" w:rsidRDefault="00516794" w:rsidP="006A71A9">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w:t>
      </w:r>
      <w:r w:rsidR="006A71A9">
        <w:rPr>
          <w:rFonts w:eastAsia="SimSun" w:hint="eastAsia"/>
          <w:sz w:val="20"/>
        </w:rPr>
        <w:t xml:space="preserve"> </w:t>
      </w:r>
      <w:hyperlink r:id="rId249" w:history="1">
        <w:r w:rsidRPr="006A71A9">
          <w:rPr>
            <w:rStyle w:val="Hyperlink"/>
            <w:rFonts w:eastAsia="SimSun"/>
            <w:sz w:val="20"/>
          </w:rPr>
          <w:t>CBD/COP/16/1</w:t>
        </w:r>
      </w:hyperlink>
      <w:r w:rsidRPr="00654783">
        <w:rPr>
          <w:rFonts w:eastAsia="SimSun"/>
          <w:sz w:val="20"/>
          <w:lang w:val="zh-CN"/>
        </w:rPr>
        <w:t>。</w:t>
      </w:r>
    </w:p>
  </w:footnote>
  <w:footnote w:id="517">
    <w:p w14:paraId="721B52C9" w14:textId="33C594A7" w:rsidR="00BE4712" w:rsidRPr="00654783" w:rsidRDefault="00BE4712" w:rsidP="006A71A9">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w:t>
      </w:r>
      <w:r w:rsidR="006A71A9">
        <w:rPr>
          <w:rFonts w:eastAsia="SimSun" w:hint="eastAsia"/>
          <w:sz w:val="20"/>
        </w:rPr>
        <w:t xml:space="preserve"> </w:t>
      </w:r>
      <w:hyperlink r:id="rId250" w:history="1">
        <w:r w:rsidRPr="006A71A9">
          <w:rPr>
            <w:rStyle w:val="Hyperlink"/>
            <w:rFonts w:eastAsia="SimSun"/>
            <w:sz w:val="20"/>
          </w:rPr>
          <w:t>CBD/COP/16/1/Add.1</w:t>
        </w:r>
      </w:hyperlink>
      <w:r w:rsidRPr="00654783">
        <w:rPr>
          <w:rFonts w:eastAsia="SimSun"/>
          <w:sz w:val="20"/>
          <w:lang w:val="zh-CN"/>
        </w:rPr>
        <w:t>。</w:t>
      </w:r>
    </w:p>
  </w:footnote>
  <w:footnote w:id="518">
    <w:p w14:paraId="3254E8EF" w14:textId="796B02AE" w:rsidR="00516794" w:rsidRPr="00654783" w:rsidRDefault="00516794" w:rsidP="006A71A9">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w:t>
      </w:r>
      <w:r w:rsidR="006A71A9">
        <w:rPr>
          <w:rFonts w:eastAsia="SimSun" w:hint="eastAsia"/>
          <w:sz w:val="20"/>
        </w:rPr>
        <w:t xml:space="preserve"> </w:t>
      </w:r>
      <w:hyperlink r:id="rId251" w:history="1">
        <w:r w:rsidRPr="006A71A9">
          <w:rPr>
            <w:rStyle w:val="Hyperlink"/>
            <w:rFonts w:eastAsia="SimSun"/>
            <w:sz w:val="20"/>
          </w:rPr>
          <w:t>CBD/COP/16/1/Add.2</w:t>
        </w:r>
      </w:hyperlink>
      <w:r w:rsidRPr="00654783">
        <w:rPr>
          <w:rFonts w:eastAsia="SimSun"/>
          <w:sz w:val="20"/>
          <w:lang w:val="zh-CN"/>
        </w:rPr>
        <w:t>。</w:t>
      </w:r>
    </w:p>
  </w:footnote>
  <w:footnote w:id="519">
    <w:p w14:paraId="7427B903" w14:textId="40C2981B" w:rsidR="00516794" w:rsidRPr="00654783" w:rsidRDefault="00516794" w:rsidP="006A71A9">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w:t>
      </w:r>
      <w:r w:rsidR="006A71A9">
        <w:rPr>
          <w:rFonts w:eastAsia="SimSun" w:hint="eastAsia"/>
          <w:sz w:val="20"/>
        </w:rPr>
        <w:t xml:space="preserve"> </w:t>
      </w:r>
      <w:hyperlink r:id="rId252" w:history="1">
        <w:r w:rsidRPr="006A71A9">
          <w:rPr>
            <w:rStyle w:val="Hyperlink"/>
            <w:rFonts w:eastAsia="SimSun"/>
            <w:sz w:val="20"/>
          </w:rPr>
          <w:t>CBD/COP/16/INF/2</w:t>
        </w:r>
      </w:hyperlink>
      <w:r w:rsidRPr="00654783">
        <w:rPr>
          <w:rFonts w:eastAsia="SimSun"/>
          <w:sz w:val="20"/>
          <w:lang w:val="zh-CN"/>
        </w:rPr>
        <w:t>。</w:t>
      </w:r>
    </w:p>
  </w:footnote>
  <w:footnote w:id="520">
    <w:p w14:paraId="06380CE8" w14:textId="1BE74BE4" w:rsidR="00BE4712" w:rsidRPr="00654783" w:rsidRDefault="00BE4712" w:rsidP="00EB234D">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w:t>
      </w:r>
      <w:r w:rsidR="006A71A9">
        <w:rPr>
          <w:rFonts w:eastAsia="SimSun" w:hint="eastAsia"/>
          <w:sz w:val="20"/>
        </w:rPr>
        <w:t xml:space="preserve"> </w:t>
      </w:r>
      <w:r w:rsidRPr="00654783">
        <w:rPr>
          <w:rFonts w:eastAsia="SimSun"/>
          <w:sz w:val="20"/>
        </w:rPr>
        <w:t>替代缔约方大会第十五届会议第二阶段会议续会选出的</w:t>
      </w:r>
      <w:r w:rsidRPr="00654783">
        <w:rPr>
          <w:rFonts w:eastAsia="SimSun"/>
          <w:sz w:val="20"/>
        </w:rPr>
        <w:t>Hlobsile Sikhosana</w:t>
      </w:r>
      <w:r w:rsidRPr="00654783">
        <w:rPr>
          <w:rFonts w:eastAsia="SimSun"/>
          <w:sz w:val="20"/>
        </w:rPr>
        <w:t>（斯威士兰）。</w:t>
      </w:r>
    </w:p>
  </w:footnote>
  <w:footnote w:id="521">
    <w:p w14:paraId="3BA29CE0" w14:textId="55D413CE" w:rsidR="005F635C" w:rsidRPr="00547456" w:rsidRDefault="005F635C" w:rsidP="005F635C">
      <w:pPr>
        <w:pStyle w:val="FootnoteText"/>
        <w:rPr>
          <w:rFonts w:eastAsia="SimSun"/>
          <w:sz w:val="20"/>
        </w:rPr>
      </w:pPr>
      <w:r w:rsidRPr="00547456">
        <w:rPr>
          <w:rStyle w:val="FootnoteReference"/>
          <w:rFonts w:eastAsia="SimSun"/>
          <w:sz w:val="20"/>
        </w:rPr>
        <w:footnoteRef/>
      </w:r>
      <w:r w:rsidR="00547456" w:rsidRPr="00547456">
        <w:rPr>
          <w:rFonts w:eastAsia="SimSun"/>
          <w:sz w:val="20"/>
        </w:rPr>
        <w:t xml:space="preserve"> </w:t>
      </w:r>
      <w:r w:rsidRPr="00547456">
        <w:rPr>
          <w:rFonts w:eastAsia="SimSun"/>
          <w:sz w:val="20"/>
        </w:rPr>
        <w:t xml:space="preserve"> </w:t>
      </w:r>
      <w:hyperlink r:id="rId253" w:history="1">
        <w:r w:rsidRPr="00547456">
          <w:rPr>
            <w:rStyle w:val="Hyperlink"/>
            <w:rFonts w:eastAsia="SimSun"/>
            <w:sz w:val="20"/>
          </w:rPr>
          <w:t>CBD/COP/16/WG.I/L.1</w:t>
        </w:r>
      </w:hyperlink>
      <w:r w:rsidRPr="00547456">
        <w:rPr>
          <w:rFonts w:eastAsia="SimSun"/>
          <w:sz w:val="20"/>
        </w:rPr>
        <w:t>。</w:t>
      </w:r>
    </w:p>
  </w:footnote>
  <w:footnote w:id="522">
    <w:p w14:paraId="668E4D3F" w14:textId="4408AC6A" w:rsidR="005F635C" w:rsidRPr="007612E4" w:rsidRDefault="005F635C" w:rsidP="005F635C">
      <w:pPr>
        <w:pStyle w:val="FootnoteText"/>
        <w:rPr>
          <w:rFonts w:eastAsia="SimSun"/>
          <w:sz w:val="20"/>
        </w:rPr>
      </w:pPr>
      <w:r w:rsidRPr="00547456">
        <w:rPr>
          <w:rStyle w:val="FootnoteReference"/>
          <w:rFonts w:eastAsia="SimSun"/>
          <w:sz w:val="20"/>
        </w:rPr>
        <w:footnoteRef/>
      </w:r>
      <w:r w:rsidR="00547456" w:rsidRPr="00547456">
        <w:rPr>
          <w:rFonts w:eastAsia="SimSun"/>
          <w:sz w:val="20"/>
        </w:rPr>
        <w:t xml:space="preserve"> </w:t>
      </w:r>
      <w:r w:rsidRPr="00547456">
        <w:rPr>
          <w:rFonts w:eastAsia="SimSun"/>
          <w:sz w:val="20"/>
        </w:rPr>
        <w:t xml:space="preserve"> </w:t>
      </w:r>
      <w:hyperlink r:id="rId254" w:history="1">
        <w:r w:rsidRPr="00547456">
          <w:rPr>
            <w:rStyle w:val="Hyperlink"/>
            <w:rFonts w:eastAsia="SimSun"/>
            <w:sz w:val="20"/>
          </w:rPr>
          <w:t>CBD/COP/16/WG.II/L.1</w:t>
        </w:r>
      </w:hyperlink>
      <w:r w:rsidRPr="00547456">
        <w:rPr>
          <w:rFonts w:eastAsia="SimSun"/>
          <w:sz w:val="20"/>
        </w:rPr>
        <w:t>。</w:t>
      </w:r>
    </w:p>
  </w:footnote>
  <w:footnote w:id="523">
    <w:p w14:paraId="62975099" w14:textId="78146174" w:rsidR="00B17F62" w:rsidRPr="00526DE8" w:rsidRDefault="00B17F62"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rPr>
        <w:t xml:space="preserve"> </w:t>
      </w:r>
      <w:r w:rsidR="00526DE8">
        <w:rPr>
          <w:rFonts w:eastAsia="SimSun" w:hint="eastAsia"/>
          <w:sz w:val="20"/>
        </w:rPr>
        <w:t xml:space="preserve"> </w:t>
      </w:r>
      <w:r w:rsidR="00D33AAC" w:rsidRPr="00526DE8">
        <w:rPr>
          <w:rFonts w:eastAsia="SimSun"/>
          <w:sz w:val="20"/>
        </w:rPr>
        <w:t>见</w:t>
      </w:r>
      <w:hyperlink r:id="rId255" w:history="1">
        <w:r w:rsidRPr="00526DE8">
          <w:rPr>
            <w:rStyle w:val="Hyperlink"/>
            <w:rFonts w:eastAsia="SimSun"/>
            <w:sz w:val="20"/>
          </w:rPr>
          <w:t>www.cbd.int/documents/674de2301cbd9b9b1ed6a93c</w:t>
        </w:r>
      </w:hyperlink>
      <w:r w:rsidR="00D33AAC" w:rsidRPr="00526DE8">
        <w:rPr>
          <w:rFonts w:eastAsia="SimSun"/>
          <w:sz w:val="20"/>
        </w:rPr>
        <w:t>。</w:t>
      </w:r>
    </w:p>
  </w:footnote>
  <w:footnote w:id="524">
    <w:p w14:paraId="1975316D" w14:textId="0AAB4346" w:rsidR="00B17F62" w:rsidRPr="00526DE8" w:rsidRDefault="00B17F62"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rPr>
        <w:t xml:space="preserve"> </w:t>
      </w:r>
      <w:r w:rsidR="00526DE8">
        <w:rPr>
          <w:rFonts w:eastAsia="SimSun" w:hint="eastAsia"/>
          <w:sz w:val="20"/>
        </w:rPr>
        <w:t xml:space="preserve"> </w:t>
      </w:r>
      <w:hyperlink r:id="rId256" w:history="1">
        <w:r w:rsidRPr="00526DE8">
          <w:rPr>
            <w:rStyle w:val="Hyperlink"/>
            <w:rFonts w:eastAsia="SimSun"/>
            <w:sz w:val="20"/>
          </w:rPr>
          <w:t>CBD/COP/16/L.35/Part.A</w:t>
        </w:r>
      </w:hyperlink>
      <w:r w:rsidR="00887F40" w:rsidRPr="00526DE8">
        <w:rPr>
          <w:rFonts w:eastAsia="SimSun" w:hint="eastAsia"/>
          <w:sz w:val="20"/>
        </w:rPr>
        <w:t>和</w:t>
      </w:r>
      <w:hyperlink r:id="rId257" w:history="1">
        <w:r w:rsidRPr="00526DE8">
          <w:rPr>
            <w:rStyle w:val="Hyperlink"/>
            <w:rFonts w:eastAsia="SimSun"/>
            <w:sz w:val="20"/>
          </w:rPr>
          <w:t>CBD/COP/16/L.36</w:t>
        </w:r>
      </w:hyperlink>
      <w:r w:rsidR="00D33AAC" w:rsidRPr="00526DE8">
        <w:rPr>
          <w:rFonts w:eastAsia="SimSun"/>
          <w:sz w:val="20"/>
        </w:rPr>
        <w:t>。</w:t>
      </w:r>
    </w:p>
  </w:footnote>
  <w:footnote w:id="525">
    <w:p w14:paraId="004B1A2E" w14:textId="27D4612B" w:rsidR="00972E98" w:rsidRPr="00526DE8" w:rsidRDefault="00972E98"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rPr>
        <w:t xml:space="preserve"> </w:t>
      </w:r>
      <w:r w:rsidR="00526DE8">
        <w:rPr>
          <w:rFonts w:eastAsia="SimSun" w:hint="eastAsia"/>
          <w:sz w:val="20"/>
        </w:rPr>
        <w:t xml:space="preserve"> </w:t>
      </w:r>
      <w:hyperlink r:id="rId258" w:history="1">
        <w:r w:rsidRPr="00526DE8">
          <w:rPr>
            <w:rStyle w:val="Hyperlink"/>
            <w:rFonts w:eastAsia="SimSun"/>
            <w:sz w:val="20"/>
          </w:rPr>
          <w:t>CBD/COP/16/1/Add.3</w:t>
        </w:r>
      </w:hyperlink>
      <w:r w:rsidRPr="00526DE8">
        <w:rPr>
          <w:rFonts w:eastAsia="SimSun"/>
          <w:sz w:val="20"/>
        </w:rPr>
        <w:t>。</w:t>
      </w:r>
    </w:p>
  </w:footnote>
  <w:footnote w:id="526">
    <w:p w14:paraId="3337E86C" w14:textId="19A080E5" w:rsidR="005F635C" w:rsidRPr="00526DE8" w:rsidRDefault="005F635C"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rPr>
        <w:t xml:space="preserve"> </w:t>
      </w:r>
      <w:r w:rsidR="00526DE8">
        <w:rPr>
          <w:rFonts w:eastAsia="SimSun" w:hint="eastAsia"/>
          <w:sz w:val="20"/>
        </w:rPr>
        <w:t xml:space="preserve"> </w:t>
      </w:r>
      <w:hyperlink r:id="rId259" w:history="1">
        <w:r w:rsidRPr="00526DE8">
          <w:rPr>
            <w:rStyle w:val="Hyperlink"/>
            <w:rFonts w:eastAsia="SimSun"/>
            <w:sz w:val="20"/>
          </w:rPr>
          <w:t>CBD/COP/16/1/Add.4</w:t>
        </w:r>
      </w:hyperlink>
      <w:r w:rsidRPr="00526DE8">
        <w:rPr>
          <w:rFonts w:eastAsia="SimSun"/>
          <w:sz w:val="20"/>
        </w:rPr>
        <w:t>。</w:t>
      </w:r>
    </w:p>
  </w:footnote>
  <w:footnote w:id="527">
    <w:p w14:paraId="23D9F434" w14:textId="3D7D959A" w:rsidR="005F635C" w:rsidRPr="00526DE8" w:rsidRDefault="005F635C"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rPr>
        <w:t xml:space="preserve"> </w:t>
      </w:r>
      <w:r w:rsidR="00526DE8">
        <w:rPr>
          <w:rFonts w:eastAsia="SimSun" w:hint="eastAsia"/>
          <w:sz w:val="20"/>
        </w:rPr>
        <w:t xml:space="preserve"> </w:t>
      </w:r>
      <w:hyperlink r:id="rId260" w:history="1">
        <w:r w:rsidRPr="00526DE8">
          <w:rPr>
            <w:rStyle w:val="Hyperlink"/>
            <w:rFonts w:eastAsia="SimSun"/>
            <w:sz w:val="20"/>
          </w:rPr>
          <w:t>CBD/COP/16/1/Add.5</w:t>
        </w:r>
      </w:hyperlink>
      <w:r w:rsidR="00D54892" w:rsidRPr="00526DE8">
        <w:rPr>
          <w:rFonts w:eastAsia="SimSun" w:hint="eastAsia"/>
          <w:sz w:val="20"/>
        </w:rPr>
        <w:t>。</w:t>
      </w:r>
    </w:p>
  </w:footnote>
  <w:footnote w:id="528">
    <w:p w14:paraId="352984FF" w14:textId="085BA281" w:rsidR="005F635C" w:rsidRPr="00526DE8" w:rsidRDefault="005F635C" w:rsidP="005B3F06">
      <w:pPr>
        <w:pStyle w:val="FootnoteText"/>
        <w:tabs>
          <w:tab w:val="clear" w:pos="2268"/>
          <w:tab w:val="left" w:pos="2680"/>
        </w:tabs>
        <w:spacing w:after="60"/>
        <w:rPr>
          <w:rFonts w:eastAsia="SimSun"/>
          <w:sz w:val="20"/>
        </w:rPr>
      </w:pPr>
      <w:r w:rsidRPr="00526DE8">
        <w:rPr>
          <w:rStyle w:val="FootnoteReference"/>
          <w:rFonts w:eastAsia="SimSun"/>
          <w:sz w:val="20"/>
        </w:rPr>
        <w:footnoteRef/>
      </w:r>
      <w:r w:rsidRPr="00526DE8">
        <w:rPr>
          <w:rFonts w:eastAsia="SimSun"/>
          <w:sz w:val="20"/>
        </w:rPr>
        <w:t xml:space="preserve"> </w:t>
      </w:r>
      <w:hyperlink r:id="rId261" w:history="1">
        <w:r w:rsidR="00526DE8" w:rsidRPr="00582EBD">
          <w:rPr>
            <w:rStyle w:val="Hyperlink"/>
            <w:rFonts w:eastAsia="SimSun" w:hint="eastAsia"/>
            <w:sz w:val="20"/>
          </w:rPr>
          <w:t xml:space="preserve"> </w:t>
        </w:r>
        <w:r w:rsidRPr="00582EBD">
          <w:rPr>
            <w:rStyle w:val="Hyperlink"/>
            <w:rFonts w:eastAsia="SimSun"/>
            <w:sz w:val="20"/>
          </w:rPr>
          <w:t>CBD/COP/16/INF/39</w:t>
        </w:r>
      </w:hyperlink>
      <w:r w:rsidRPr="00526DE8">
        <w:rPr>
          <w:rFonts w:eastAsia="SimSun"/>
          <w:sz w:val="20"/>
        </w:rPr>
        <w:t>。</w:t>
      </w:r>
    </w:p>
  </w:footnote>
  <w:footnote w:id="529">
    <w:p w14:paraId="0D3164C4" w14:textId="0CCFFBCC" w:rsidR="005D4A4D" w:rsidRPr="005B6076" w:rsidRDefault="005D4A4D" w:rsidP="005B3F06">
      <w:pPr>
        <w:pStyle w:val="FootnoteText"/>
        <w:spacing w:after="60"/>
        <w:rPr>
          <w:rFonts w:eastAsia="SimSun"/>
          <w:sz w:val="20"/>
        </w:rPr>
      </w:pPr>
      <w:r w:rsidRPr="00526DE8">
        <w:rPr>
          <w:rStyle w:val="FootnoteReference"/>
          <w:rFonts w:eastAsia="SimSun"/>
          <w:sz w:val="20"/>
        </w:rPr>
        <w:footnoteRef/>
      </w:r>
      <w:r w:rsidRPr="00526DE8">
        <w:rPr>
          <w:rFonts w:eastAsia="SimSun"/>
          <w:sz w:val="20"/>
          <w:lang w:val="en-CA"/>
        </w:rPr>
        <w:t xml:space="preserve"> </w:t>
      </w:r>
      <w:r w:rsidR="00526DE8">
        <w:rPr>
          <w:rFonts w:eastAsia="SimSun" w:hint="eastAsia"/>
          <w:sz w:val="20"/>
          <w:lang w:val="en-CA"/>
        </w:rPr>
        <w:t xml:space="preserve"> </w:t>
      </w:r>
      <w:r w:rsidR="00405EC3" w:rsidRPr="00582EBD">
        <w:rPr>
          <w:rFonts w:eastAsia="SimSun"/>
          <w:sz w:val="20"/>
          <w:lang w:val="en-CA"/>
        </w:rPr>
        <w:t>伯利兹、塔吉克斯坦</w:t>
      </w:r>
      <w:r w:rsidR="00172CA2">
        <w:rPr>
          <w:rFonts w:eastAsia="SimSun" w:hint="eastAsia"/>
          <w:sz w:val="20"/>
          <w:lang w:val="en-CA"/>
        </w:rPr>
        <w:t>、</w:t>
      </w:r>
      <w:r w:rsidRPr="00582EBD">
        <w:rPr>
          <w:rFonts w:eastAsia="SimSun"/>
          <w:color w:val="333333"/>
          <w:sz w:val="20"/>
          <w:shd w:val="clear" w:color="auto" w:fill="FFFFFF"/>
        </w:rPr>
        <w:t>委内瑞拉玻利瓦尔共和国在全权证书报告</w:t>
      </w:r>
      <w:r w:rsidR="004F688E" w:rsidRPr="00582EBD">
        <w:rPr>
          <w:rFonts w:eastAsia="SimSun"/>
          <w:color w:val="333333"/>
          <w:sz w:val="20"/>
          <w:shd w:val="clear" w:color="auto" w:fill="FFFFFF"/>
        </w:rPr>
        <w:t>印发</w:t>
      </w:r>
      <w:r w:rsidRPr="00582EBD">
        <w:rPr>
          <w:rFonts w:eastAsia="SimSun"/>
          <w:color w:val="333333"/>
          <w:sz w:val="20"/>
          <w:shd w:val="clear" w:color="auto" w:fill="FFFFFF"/>
        </w:rPr>
        <w:t>后提交了全权证书，</w:t>
      </w:r>
      <w:r w:rsidR="004F688E" w:rsidRPr="00582EBD">
        <w:rPr>
          <w:rFonts w:eastAsia="SimSun"/>
          <w:color w:val="333333"/>
          <w:sz w:val="20"/>
          <w:shd w:val="clear" w:color="auto" w:fill="FFFFFF"/>
        </w:rPr>
        <w:t>为此印发了</w:t>
      </w:r>
      <w:r w:rsidRPr="00582EBD">
        <w:rPr>
          <w:rFonts w:eastAsia="SimSun"/>
          <w:color w:val="333333"/>
          <w:sz w:val="20"/>
          <w:shd w:val="clear" w:color="auto" w:fill="FFFFFF"/>
        </w:rPr>
        <w:t>订正报告</w:t>
      </w:r>
      <w:r w:rsidR="00582EBD" w:rsidRPr="00582EBD">
        <w:rPr>
          <w:rFonts w:eastAsia="SimSun"/>
          <w:color w:val="333333"/>
          <w:sz w:val="20"/>
          <w:shd w:val="clear" w:color="auto" w:fill="FFFFFF"/>
        </w:rPr>
        <w:t>（</w:t>
      </w:r>
      <w:hyperlink r:id="rId262" w:history="1">
        <w:r w:rsidRPr="00582EBD">
          <w:rPr>
            <w:rStyle w:val="Hyperlink"/>
            <w:rFonts w:eastAsia="SimSun"/>
            <w:sz w:val="20"/>
          </w:rPr>
          <w:t>CBD/COP/16/INF/41/Rev.1</w:t>
        </w:r>
      </w:hyperlink>
      <w:r w:rsidR="00582EBD" w:rsidRPr="00582EBD">
        <w:rPr>
          <w:rFonts w:eastAsia="SimSun"/>
          <w:sz w:val="20"/>
        </w:rPr>
        <w:t>）以反映最新</w:t>
      </w:r>
      <w:r w:rsidR="00582EBD">
        <w:rPr>
          <w:rFonts w:eastAsia="SimSun" w:hint="eastAsia"/>
          <w:sz w:val="20"/>
        </w:rPr>
        <w:t>情况</w:t>
      </w:r>
      <w:r w:rsidRPr="00582EBD">
        <w:rPr>
          <w:rFonts w:eastAsia="SimSun"/>
          <w:sz w:val="20"/>
        </w:rPr>
        <w:t>。</w:t>
      </w:r>
    </w:p>
  </w:footnote>
  <w:footnote w:id="530">
    <w:p w14:paraId="279EF7BB" w14:textId="59F33ADE" w:rsidR="003B4598" w:rsidRPr="003B4598" w:rsidRDefault="003B4598" w:rsidP="003B4598">
      <w:pPr>
        <w:pStyle w:val="NormalWeb"/>
        <w:spacing w:before="0" w:beforeAutospacing="0" w:after="60" w:afterAutospacing="0"/>
        <w:rPr>
          <w:rFonts w:eastAsia="SimSun"/>
          <w:sz w:val="20"/>
          <w:szCs w:val="20"/>
        </w:rPr>
      </w:pPr>
      <w:r w:rsidRPr="003B4598">
        <w:rPr>
          <w:rStyle w:val="FootnoteReference"/>
          <w:rFonts w:eastAsia="SimSun"/>
          <w:sz w:val="20"/>
          <w:szCs w:val="20"/>
        </w:rPr>
        <w:footnoteRef/>
      </w:r>
      <w:r w:rsidRPr="003B4598">
        <w:rPr>
          <w:rFonts w:eastAsia="SimSun"/>
          <w:sz w:val="20"/>
          <w:szCs w:val="20"/>
        </w:rPr>
        <w:t xml:space="preserve">  </w:t>
      </w:r>
      <w:r w:rsidRPr="003B4598">
        <w:rPr>
          <w:rFonts w:eastAsia="SimSun"/>
          <w:sz w:val="20"/>
          <w:szCs w:val="20"/>
        </w:rPr>
        <w:t>阿根廷、巴巴多斯、博茨瓦纳、坦桑尼亚联合共和国</w:t>
      </w:r>
      <w:r w:rsidR="00586997">
        <w:rPr>
          <w:rFonts w:eastAsia="SimSun" w:hint="eastAsia"/>
          <w:sz w:val="20"/>
          <w:szCs w:val="20"/>
        </w:rPr>
        <w:t>、</w:t>
      </w:r>
      <w:r w:rsidRPr="003B4598">
        <w:rPr>
          <w:rFonts w:eastAsia="SimSun"/>
          <w:sz w:val="20"/>
          <w:szCs w:val="20"/>
        </w:rPr>
        <w:t>瓦努阿图在第二</w:t>
      </w:r>
      <w:r>
        <w:rPr>
          <w:rFonts w:eastAsia="SimSun" w:hint="eastAsia"/>
          <w:sz w:val="20"/>
          <w:szCs w:val="20"/>
        </w:rPr>
        <w:t>次</w:t>
      </w:r>
      <w:r w:rsidRPr="003B4598">
        <w:rPr>
          <w:rFonts w:eastAsia="SimSun"/>
          <w:sz w:val="20"/>
          <w:szCs w:val="20"/>
        </w:rPr>
        <w:t>续会资格审查报告</w:t>
      </w:r>
      <w:r>
        <w:rPr>
          <w:rFonts w:eastAsia="SimSun" w:hint="eastAsia"/>
          <w:sz w:val="20"/>
          <w:szCs w:val="20"/>
        </w:rPr>
        <w:t>印发</w:t>
      </w:r>
      <w:r w:rsidRPr="003B4598">
        <w:rPr>
          <w:rFonts w:eastAsia="SimSun"/>
          <w:sz w:val="20"/>
          <w:szCs w:val="20"/>
        </w:rPr>
        <w:t>后提交了</w:t>
      </w:r>
      <w:r w:rsidR="00582EBD">
        <w:rPr>
          <w:rFonts w:eastAsia="SimSun" w:hint="eastAsia"/>
          <w:sz w:val="20"/>
          <w:szCs w:val="20"/>
        </w:rPr>
        <w:t>全权证书</w:t>
      </w:r>
      <w:r w:rsidRPr="003B4598">
        <w:rPr>
          <w:rFonts w:eastAsia="SimSun"/>
          <w:sz w:val="20"/>
          <w:szCs w:val="20"/>
        </w:rPr>
        <w:t>，</w:t>
      </w:r>
      <w:r w:rsidR="00582EBD" w:rsidRPr="00582EBD">
        <w:rPr>
          <w:rFonts w:eastAsia="SimSun" w:hint="eastAsia"/>
          <w:color w:val="000000" w:themeColor="text1"/>
          <w:sz w:val="20"/>
          <w:szCs w:val="20"/>
        </w:rPr>
        <w:t>为此印发</w:t>
      </w:r>
      <w:r w:rsidRPr="00582EBD">
        <w:rPr>
          <w:rFonts w:eastAsia="SimSun"/>
          <w:color w:val="000000" w:themeColor="text1"/>
          <w:sz w:val="20"/>
          <w:szCs w:val="20"/>
        </w:rPr>
        <w:t>了</w:t>
      </w:r>
      <w:r w:rsidRPr="00582EBD">
        <w:rPr>
          <w:rFonts w:eastAsia="SimSun" w:hint="eastAsia"/>
          <w:color w:val="000000" w:themeColor="text1"/>
          <w:sz w:val="20"/>
          <w:szCs w:val="20"/>
        </w:rPr>
        <w:t>订正</w:t>
      </w:r>
      <w:r w:rsidRPr="00582EBD">
        <w:rPr>
          <w:rFonts w:eastAsia="SimSun"/>
          <w:color w:val="000000" w:themeColor="text1"/>
          <w:sz w:val="20"/>
          <w:szCs w:val="20"/>
        </w:rPr>
        <w:t>报告（</w:t>
      </w:r>
      <w:hyperlink r:id="rId263" w:history="1">
        <w:r w:rsidRPr="006D221B">
          <w:rPr>
            <w:rStyle w:val="Hyperlink"/>
            <w:rFonts w:eastAsia="SimSun"/>
            <w:sz w:val="20"/>
            <w:szCs w:val="20"/>
          </w:rPr>
          <w:t>CBD/COP/16/INF/44/Rev.1</w:t>
        </w:r>
      </w:hyperlink>
      <w:r w:rsidRPr="00582EBD">
        <w:rPr>
          <w:rFonts w:eastAsia="SimSun"/>
          <w:color w:val="000000" w:themeColor="text1"/>
          <w:sz w:val="20"/>
          <w:szCs w:val="20"/>
        </w:rPr>
        <w:t>）</w:t>
      </w:r>
      <w:r w:rsidR="00582EBD" w:rsidRPr="00582EBD">
        <w:rPr>
          <w:rFonts w:eastAsia="SimSun" w:hint="eastAsia"/>
          <w:color w:val="000000" w:themeColor="text1"/>
          <w:sz w:val="20"/>
          <w:szCs w:val="20"/>
        </w:rPr>
        <w:t>以反映最新情况</w:t>
      </w:r>
      <w:r w:rsidRPr="00582EBD">
        <w:rPr>
          <w:rFonts w:eastAsia="SimSun"/>
          <w:color w:val="000000" w:themeColor="text1"/>
          <w:sz w:val="20"/>
          <w:szCs w:val="20"/>
        </w:rPr>
        <w:t>。</w:t>
      </w:r>
    </w:p>
  </w:footnote>
  <w:footnote w:id="531">
    <w:p w14:paraId="0A0770D8" w14:textId="0FAF87AA" w:rsidR="005D4A4D" w:rsidRPr="005B6076" w:rsidRDefault="005D4A4D" w:rsidP="003B4598">
      <w:pPr>
        <w:pStyle w:val="FootnoteText"/>
        <w:spacing w:after="60"/>
        <w:rPr>
          <w:rFonts w:eastAsia="SimSun"/>
          <w:sz w:val="20"/>
        </w:rPr>
      </w:pPr>
      <w:r w:rsidRPr="003B4598">
        <w:rPr>
          <w:rStyle w:val="FootnoteReference"/>
          <w:rFonts w:eastAsia="SimSun"/>
          <w:sz w:val="20"/>
        </w:rPr>
        <w:footnoteRef/>
      </w:r>
      <w:r w:rsidRPr="003B4598">
        <w:rPr>
          <w:rFonts w:eastAsia="SimSun"/>
          <w:sz w:val="20"/>
        </w:rPr>
        <w:t xml:space="preserve"> </w:t>
      </w:r>
      <w:r w:rsidR="003B4598">
        <w:rPr>
          <w:rFonts w:eastAsia="SimSun" w:hint="eastAsia"/>
          <w:sz w:val="20"/>
        </w:rPr>
        <w:t xml:space="preserve"> </w:t>
      </w:r>
      <w:r w:rsidRPr="003B4598">
        <w:rPr>
          <w:rFonts w:eastAsia="SimSun"/>
          <w:color w:val="000000"/>
          <w:kern w:val="22"/>
          <w:sz w:val="20"/>
        </w:rPr>
        <w:t>CBD/COP/16/2/Rev.1</w:t>
      </w:r>
      <w:r w:rsidR="0099327E" w:rsidRPr="003B4598">
        <w:rPr>
          <w:rFonts w:eastAsia="SimSun"/>
          <w:color w:val="000000"/>
          <w:kern w:val="22"/>
          <w:sz w:val="20"/>
        </w:rPr>
        <w:t>，项目</w:t>
      </w:r>
      <w:r w:rsidRPr="003B4598">
        <w:rPr>
          <w:rFonts w:eastAsia="SimSun"/>
          <w:color w:val="000000"/>
          <w:kern w:val="22"/>
          <w:sz w:val="20"/>
        </w:rPr>
        <w:t>5</w:t>
      </w:r>
      <w:r w:rsidRPr="003B4598">
        <w:rPr>
          <w:rFonts w:eastAsia="SimSun"/>
          <w:color w:val="000000"/>
          <w:kern w:val="22"/>
          <w:sz w:val="20"/>
        </w:rPr>
        <w:t>。</w:t>
      </w:r>
    </w:p>
  </w:footnote>
  <w:footnote w:id="532">
    <w:p w14:paraId="26235689" w14:textId="2C66AC20" w:rsidR="003A6865" w:rsidRPr="005B6076" w:rsidRDefault="003A6865" w:rsidP="00E80ED5">
      <w:pPr>
        <w:spacing w:after="60"/>
        <w:jc w:val="left"/>
        <w:rPr>
          <w:rFonts w:eastAsia="SimSun"/>
          <w:sz w:val="20"/>
          <w:szCs w:val="20"/>
        </w:rPr>
      </w:pPr>
      <w:r w:rsidRPr="005B6076">
        <w:rPr>
          <w:rStyle w:val="FootnoteReference"/>
          <w:rFonts w:eastAsia="SimSun"/>
          <w:sz w:val="20"/>
          <w:szCs w:val="20"/>
        </w:rPr>
        <w:footnoteRef/>
      </w:r>
      <w:r w:rsidR="00E80ED5">
        <w:rPr>
          <w:rFonts w:eastAsia="SimSun" w:hint="eastAsia"/>
          <w:sz w:val="20"/>
          <w:szCs w:val="20"/>
        </w:rPr>
        <w:t xml:space="preserve"> </w:t>
      </w:r>
      <w:r w:rsidRPr="005B6076">
        <w:rPr>
          <w:rFonts w:eastAsia="SimSun"/>
          <w:sz w:val="20"/>
          <w:szCs w:val="20"/>
        </w:rPr>
        <w:t xml:space="preserve"> </w:t>
      </w:r>
      <w:r w:rsidRPr="005B6076">
        <w:rPr>
          <w:rFonts w:eastAsia="SimSun"/>
          <w:sz w:val="20"/>
          <w:szCs w:val="20"/>
        </w:rPr>
        <w:t>分别为</w:t>
      </w:r>
      <w:hyperlink r:id="rId264" w:history="1">
        <w:r w:rsidRPr="007A3071">
          <w:rPr>
            <w:rStyle w:val="Hyperlink"/>
            <w:rFonts w:eastAsia="SimSun"/>
            <w:sz w:val="20"/>
            <w:szCs w:val="20"/>
          </w:rPr>
          <w:t>CBD/SBSTTA/25/13</w:t>
        </w:r>
      </w:hyperlink>
      <w:r w:rsidRPr="005B6076">
        <w:rPr>
          <w:rFonts w:eastAsia="SimSun"/>
          <w:sz w:val="20"/>
          <w:szCs w:val="20"/>
        </w:rPr>
        <w:t>和</w:t>
      </w:r>
      <w:hyperlink r:id="rId265" w:history="1">
        <w:r w:rsidRPr="007A3071">
          <w:rPr>
            <w:rStyle w:val="Hyperlink"/>
            <w:rFonts w:eastAsia="SimSun"/>
            <w:sz w:val="20"/>
            <w:szCs w:val="20"/>
          </w:rPr>
          <w:t>CBD/SBSTTA/26/9</w:t>
        </w:r>
      </w:hyperlink>
      <w:r w:rsidRPr="005B6076">
        <w:rPr>
          <w:rFonts w:eastAsia="SimSun"/>
          <w:sz w:val="20"/>
          <w:szCs w:val="20"/>
        </w:rPr>
        <w:t>。</w:t>
      </w:r>
    </w:p>
  </w:footnote>
  <w:footnote w:id="533">
    <w:p w14:paraId="7400B621" w14:textId="79E60EA7" w:rsidR="003A6865" w:rsidRPr="005B6076" w:rsidRDefault="003A6865" w:rsidP="00E80ED5">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00E80ED5">
        <w:rPr>
          <w:rFonts w:eastAsia="SimSun" w:hint="eastAsia"/>
          <w:sz w:val="20"/>
          <w:szCs w:val="20"/>
        </w:rPr>
        <w:t xml:space="preserve"> </w:t>
      </w:r>
      <w:r w:rsidRPr="005B6076">
        <w:rPr>
          <w:rFonts w:eastAsia="SimSun"/>
          <w:sz w:val="20"/>
          <w:szCs w:val="20"/>
        </w:rPr>
        <w:t>分别为</w:t>
      </w:r>
      <w:hyperlink r:id="rId266" w:history="1">
        <w:r w:rsidRPr="007A3071">
          <w:rPr>
            <w:rStyle w:val="Hyperlink"/>
            <w:rFonts w:eastAsia="SimSun"/>
            <w:sz w:val="20"/>
            <w:szCs w:val="20"/>
          </w:rPr>
          <w:t>CBD/SBI/4/17</w:t>
        </w:r>
      </w:hyperlink>
      <w:r w:rsidRPr="005B6076">
        <w:rPr>
          <w:rFonts w:eastAsia="SimSun"/>
          <w:sz w:val="20"/>
          <w:szCs w:val="20"/>
        </w:rPr>
        <w:t>和</w:t>
      </w:r>
      <w:hyperlink r:id="rId267" w:history="1">
        <w:r w:rsidRPr="007A3071">
          <w:rPr>
            <w:rStyle w:val="Hyperlink"/>
            <w:rFonts w:eastAsia="SimSun"/>
            <w:sz w:val="20"/>
            <w:szCs w:val="20"/>
          </w:rPr>
          <w:t>CBD/SBI/5/4</w:t>
        </w:r>
      </w:hyperlink>
      <w:r w:rsidRPr="005B6076">
        <w:rPr>
          <w:rFonts w:eastAsia="SimSun"/>
          <w:sz w:val="20"/>
          <w:szCs w:val="20"/>
        </w:rPr>
        <w:t>。</w:t>
      </w:r>
    </w:p>
  </w:footnote>
  <w:footnote w:id="534">
    <w:p w14:paraId="4CAC5080" w14:textId="09CD245E" w:rsidR="003A6865" w:rsidRPr="005B6076" w:rsidRDefault="003A6865" w:rsidP="00E80ED5">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00E80ED5">
        <w:rPr>
          <w:rFonts w:eastAsia="SimSun" w:hint="eastAsia"/>
          <w:sz w:val="20"/>
          <w:szCs w:val="20"/>
        </w:rPr>
        <w:t xml:space="preserve"> </w:t>
      </w:r>
      <w:hyperlink r:id="rId268" w:history="1">
        <w:r w:rsidRPr="007A3071">
          <w:rPr>
            <w:rStyle w:val="Hyperlink"/>
            <w:rFonts w:eastAsia="SimSun"/>
            <w:sz w:val="20"/>
            <w:szCs w:val="20"/>
          </w:rPr>
          <w:t>CBD/WG8J/12/8</w:t>
        </w:r>
      </w:hyperlink>
      <w:r w:rsidRPr="005B6076">
        <w:rPr>
          <w:rFonts w:eastAsia="SimSun"/>
          <w:sz w:val="20"/>
          <w:szCs w:val="20"/>
        </w:rPr>
        <w:t>。</w:t>
      </w:r>
    </w:p>
  </w:footnote>
  <w:footnote w:id="535">
    <w:p w14:paraId="0EE98343" w14:textId="1DF8DBD4" w:rsidR="003A6865" w:rsidRPr="005B6076" w:rsidRDefault="003A6865" w:rsidP="00E80ED5">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00E80ED5">
        <w:rPr>
          <w:rFonts w:eastAsia="SimSun" w:hint="eastAsia"/>
          <w:sz w:val="20"/>
          <w:szCs w:val="20"/>
        </w:rPr>
        <w:t xml:space="preserve"> </w:t>
      </w:r>
      <w:r w:rsidRPr="005B6076">
        <w:rPr>
          <w:rFonts w:eastAsia="SimSun"/>
          <w:sz w:val="20"/>
          <w:szCs w:val="20"/>
        </w:rPr>
        <w:t>分别为</w:t>
      </w:r>
      <w:hyperlink r:id="rId269" w:history="1">
        <w:r w:rsidRPr="007A3071">
          <w:rPr>
            <w:rStyle w:val="Hyperlink"/>
            <w:rFonts w:eastAsia="SimSun"/>
            <w:sz w:val="20"/>
            <w:szCs w:val="20"/>
          </w:rPr>
          <w:t>CBD/WGDSI/1/3</w:t>
        </w:r>
      </w:hyperlink>
      <w:r w:rsidRPr="005B6076">
        <w:rPr>
          <w:rFonts w:eastAsia="SimSun"/>
          <w:sz w:val="20"/>
          <w:szCs w:val="20"/>
        </w:rPr>
        <w:t>和</w:t>
      </w:r>
      <w:hyperlink r:id="rId270" w:history="1">
        <w:r w:rsidRPr="007A3071">
          <w:rPr>
            <w:rStyle w:val="Hyperlink"/>
            <w:rFonts w:eastAsia="SimSun"/>
            <w:sz w:val="20"/>
            <w:szCs w:val="20"/>
          </w:rPr>
          <w:t>CBD/WGDSI/2/3</w:t>
        </w:r>
      </w:hyperlink>
      <w:r w:rsidRPr="005B6076">
        <w:rPr>
          <w:rFonts w:eastAsia="SimSun"/>
          <w:sz w:val="20"/>
          <w:szCs w:val="20"/>
        </w:rPr>
        <w:t>。</w:t>
      </w:r>
    </w:p>
  </w:footnote>
  <w:footnote w:id="536">
    <w:p w14:paraId="2F5A0977" w14:textId="02AD9425" w:rsidR="00BF695B" w:rsidRPr="005B3F06" w:rsidRDefault="00BF695B" w:rsidP="00E80ED5">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E80ED5">
        <w:rPr>
          <w:rFonts w:eastAsia="SimSun" w:hint="eastAsia"/>
          <w:sz w:val="20"/>
        </w:rPr>
        <w:t xml:space="preserve"> </w:t>
      </w:r>
      <w:hyperlink r:id="rId271" w:history="1">
        <w:r w:rsidRPr="00E80ED5">
          <w:rPr>
            <w:rStyle w:val="Hyperlink"/>
            <w:rFonts w:eastAsia="SimSun"/>
            <w:kern w:val="22"/>
            <w:sz w:val="20"/>
          </w:rPr>
          <w:t>CBD/COP/16/2/Rev.1</w:t>
        </w:r>
      </w:hyperlink>
      <w:r w:rsidR="00D33AAC" w:rsidRPr="005B3F06">
        <w:rPr>
          <w:rFonts w:eastAsia="SimSun"/>
          <w:color w:val="000000"/>
          <w:kern w:val="22"/>
          <w:sz w:val="20"/>
        </w:rPr>
        <w:t>，项目</w:t>
      </w:r>
      <w:r w:rsidRPr="005B3F06">
        <w:rPr>
          <w:rFonts w:eastAsia="SimSun"/>
          <w:color w:val="000000"/>
          <w:kern w:val="22"/>
          <w:sz w:val="20"/>
        </w:rPr>
        <w:t>7</w:t>
      </w:r>
      <w:r w:rsidR="008A2903">
        <w:rPr>
          <w:rFonts w:eastAsia="SimSun" w:hint="eastAsia"/>
          <w:color w:val="000000"/>
          <w:kern w:val="22"/>
          <w:sz w:val="20"/>
        </w:rPr>
        <w:t>和</w:t>
      </w:r>
      <w:hyperlink r:id="rId272" w:history="1">
        <w:r w:rsidRPr="00E80ED5">
          <w:rPr>
            <w:rStyle w:val="Hyperlink"/>
            <w:rFonts w:eastAsia="SimSun"/>
            <w:kern w:val="22"/>
            <w:sz w:val="20"/>
          </w:rPr>
          <w:t>CBD/COP/16/2/Rev.1/Add.1</w:t>
        </w:r>
      </w:hyperlink>
      <w:r w:rsidR="003A6865" w:rsidRPr="005B3F06">
        <w:rPr>
          <w:rFonts w:eastAsia="SimSun" w:hint="eastAsia"/>
          <w:color w:val="000000"/>
          <w:kern w:val="22"/>
          <w:sz w:val="20"/>
        </w:rPr>
        <w:t>，</w:t>
      </w:r>
      <w:r w:rsidR="00D33AAC" w:rsidRPr="005B3F06">
        <w:rPr>
          <w:rFonts w:eastAsia="SimSun"/>
          <w:color w:val="000000"/>
          <w:kern w:val="22"/>
          <w:sz w:val="20"/>
        </w:rPr>
        <w:t>项目</w:t>
      </w:r>
      <w:r w:rsidRPr="005B3F06">
        <w:rPr>
          <w:rFonts w:eastAsia="SimSun"/>
          <w:color w:val="000000"/>
          <w:kern w:val="22"/>
          <w:sz w:val="20"/>
        </w:rPr>
        <w:t>7</w:t>
      </w:r>
      <w:r w:rsidR="00D33AAC" w:rsidRPr="005B3F06">
        <w:rPr>
          <w:rFonts w:eastAsia="SimSun"/>
          <w:color w:val="000000"/>
          <w:kern w:val="22"/>
          <w:sz w:val="20"/>
        </w:rPr>
        <w:t>。</w:t>
      </w:r>
    </w:p>
  </w:footnote>
  <w:footnote w:id="537">
    <w:p w14:paraId="430D59B0" w14:textId="3D9FC220" w:rsidR="003A6865" w:rsidRPr="005B3F06" w:rsidRDefault="003A6865" w:rsidP="00E80ED5">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w:t>
      </w:r>
      <w:r w:rsidR="00E80ED5">
        <w:rPr>
          <w:rFonts w:eastAsia="SimSun" w:hint="eastAsia"/>
          <w:sz w:val="20"/>
          <w:szCs w:val="20"/>
        </w:rPr>
        <w:t xml:space="preserve"> </w:t>
      </w:r>
      <w:hyperlink r:id="rId273" w:history="1">
        <w:r w:rsidRPr="00E80ED5">
          <w:rPr>
            <w:rStyle w:val="Hyperlink"/>
            <w:rFonts w:eastAsia="SimSun"/>
            <w:sz w:val="20"/>
            <w:szCs w:val="20"/>
          </w:rPr>
          <w:t>CBD/COP/16/3</w:t>
        </w:r>
      </w:hyperlink>
      <w:r w:rsidRPr="005B3F06">
        <w:rPr>
          <w:rFonts w:eastAsia="SimSun"/>
          <w:sz w:val="20"/>
          <w:szCs w:val="20"/>
        </w:rPr>
        <w:t>-CBD/CP/MOP/11/4-CBD/NP/MOP/5/4</w:t>
      </w:r>
      <w:r w:rsidRPr="005B3F06">
        <w:rPr>
          <w:rFonts w:eastAsia="SimSun"/>
          <w:sz w:val="20"/>
          <w:szCs w:val="20"/>
        </w:rPr>
        <w:t>。</w:t>
      </w:r>
    </w:p>
  </w:footnote>
  <w:footnote w:id="538">
    <w:p w14:paraId="6F413751" w14:textId="34E70AEF" w:rsidR="003A6865" w:rsidRPr="005B3F06" w:rsidRDefault="003A6865" w:rsidP="00E80ED5">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w:t>
      </w:r>
      <w:r w:rsidR="00E80ED5">
        <w:rPr>
          <w:rFonts w:eastAsia="SimSun" w:hint="eastAsia"/>
          <w:sz w:val="20"/>
          <w:szCs w:val="20"/>
        </w:rPr>
        <w:t xml:space="preserve"> </w:t>
      </w:r>
      <w:hyperlink r:id="rId274" w:history="1">
        <w:r w:rsidRPr="00E80ED5">
          <w:rPr>
            <w:rStyle w:val="Hyperlink"/>
            <w:rFonts w:eastAsia="SimSun"/>
            <w:sz w:val="20"/>
            <w:szCs w:val="20"/>
          </w:rPr>
          <w:t>CBD/COP/16/4</w:t>
        </w:r>
      </w:hyperlink>
      <w:r w:rsidRPr="005B3F06">
        <w:rPr>
          <w:rFonts w:eastAsia="SimSun"/>
          <w:sz w:val="20"/>
          <w:szCs w:val="20"/>
        </w:rPr>
        <w:t>-CBD/CP/MOP/11/5-CBD/NP/MOP/5/5</w:t>
      </w:r>
      <w:r w:rsidRPr="005B3F06">
        <w:rPr>
          <w:rFonts w:eastAsia="SimSun"/>
          <w:sz w:val="20"/>
          <w:szCs w:val="20"/>
        </w:rPr>
        <w:t>。</w:t>
      </w:r>
    </w:p>
  </w:footnote>
  <w:footnote w:id="539">
    <w:p w14:paraId="3EB7AD8D" w14:textId="2B5F65B1" w:rsidR="00BE4712" w:rsidRPr="005B3F06" w:rsidRDefault="00BE4712" w:rsidP="00E80ED5">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w:t>
      </w:r>
      <w:r w:rsidR="00E80ED5">
        <w:rPr>
          <w:rFonts w:eastAsia="SimSun" w:hint="eastAsia"/>
          <w:sz w:val="20"/>
          <w:szCs w:val="20"/>
        </w:rPr>
        <w:t xml:space="preserve"> </w:t>
      </w:r>
      <w:hyperlink r:id="rId275" w:history="1">
        <w:r w:rsidRPr="00E80ED5">
          <w:rPr>
            <w:rStyle w:val="Hyperlink"/>
            <w:rFonts w:eastAsia="SimSun"/>
            <w:sz w:val="20"/>
            <w:szCs w:val="20"/>
          </w:rPr>
          <w:t>CBD/COP/16/4/Add.1</w:t>
        </w:r>
      </w:hyperlink>
      <w:r w:rsidRPr="005B3F06">
        <w:rPr>
          <w:rFonts w:eastAsia="SimSun"/>
          <w:sz w:val="20"/>
          <w:szCs w:val="20"/>
        </w:rPr>
        <w:t>-CBD/CP/MOP/11/5/Add.1-CBD/NP/MOP/5/5/Add.1</w:t>
      </w:r>
      <w:r w:rsidRPr="005B3F06">
        <w:rPr>
          <w:rFonts w:eastAsia="SimSun"/>
          <w:sz w:val="20"/>
          <w:szCs w:val="20"/>
        </w:rPr>
        <w:t>。</w:t>
      </w:r>
    </w:p>
  </w:footnote>
  <w:footnote w:id="540">
    <w:p w14:paraId="329B8451" w14:textId="46F2C644" w:rsidR="003A6865" w:rsidRPr="005B3F06" w:rsidRDefault="003A6865" w:rsidP="00E80ED5">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w:t>
      </w:r>
      <w:r w:rsidR="00E80ED5">
        <w:rPr>
          <w:rFonts w:eastAsia="SimSun" w:hint="eastAsia"/>
          <w:sz w:val="20"/>
          <w:szCs w:val="20"/>
        </w:rPr>
        <w:t xml:space="preserve"> </w:t>
      </w:r>
      <w:hyperlink r:id="rId276" w:history="1">
        <w:r w:rsidRPr="00E80ED5">
          <w:rPr>
            <w:rStyle w:val="Hyperlink"/>
            <w:rFonts w:eastAsia="SimSun"/>
            <w:sz w:val="20"/>
            <w:szCs w:val="20"/>
          </w:rPr>
          <w:t>CBD/COP/16/4/Add.2</w:t>
        </w:r>
      </w:hyperlink>
      <w:r w:rsidRPr="005B3F06">
        <w:rPr>
          <w:rFonts w:eastAsia="SimSun"/>
          <w:sz w:val="20"/>
          <w:szCs w:val="20"/>
        </w:rPr>
        <w:t>-CBD/CP/MOP/11/5/Add.2-CBD/NP/MOP/5/5/Add.2</w:t>
      </w:r>
      <w:r w:rsidRPr="005B3F06">
        <w:rPr>
          <w:rFonts w:eastAsia="SimSun"/>
          <w:sz w:val="20"/>
          <w:szCs w:val="20"/>
        </w:rPr>
        <w:t>。</w:t>
      </w:r>
    </w:p>
  </w:footnote>
  <w:footnote w:id="541">
    <w:p w14:paraId="42B205C6" w14:textId="169D826A" w:rsidR="00BF271B" w:rsidRPr="00E80ED5" w:rsidRDefault="00BF271B" w:rsidP="00E80ED5">
      <w:pPr>
        <w:pStyle w:val="FootnoteText"/>
        <w:spacing w:after="60"/>
        <w:rPr>
          <w:rFonts w:eastAsia="SimSun"/>
          <w:sz w:val="20"/>
        </w:rPr>
      </w:pPr>
      <w:r w:rsidRPr="00E80ED5">
        <w:rPr>
          <w:rStyle w:val="FootnoteReference"/>
          <w:rFonts w:eastAsia="SimSun"/>
          <w:sz w:val="20"/>
        </w:rPr>
        <w:footnoteRef/>
      </w:r>
      <w:r w:rsidRPr="00E80ED5">
        <w:rPr>
          <w:rFonts w:eastAsia="SimSun"/>
          <w:sz w:val="20"/>
        </w:rPr>
        <w:t xml:space="preserve"> </w:t>
      </w:r>
      <w:r w:rsidR="00E80ED5">
        <w:rPr>
          <w:rFonts w:eastAsia="SimSun" w:hint="eastAsia"/>
          <w:sz w:val="20"/>
        </w:rPr>
        <w:t xml:space="preserve"> </w:t>
      </w:r>
      <w:r w:rsidR="00D33AAC" w:rsidRPr="00E80ED5">
        <w:rPr>
          <w:rFonts w:eastAsia="SimSun"/>
          <w:sz w:val="20"/>
        </w:rPr>
        <w:t>11</w:t>
      </w:r>
      <w:r w:rsidR="00D33AAC" w:rsidRPr="00E80ED5">
        <w:rPr>
          <w:rFonts w:eastAsia="SimSun"/>
          <w:sz w:val="20"/>
        </w:rPr>
        <w:t>月</w:t>
      </w:r>
      <w:r w:rsidR="00D33AAC" w:rsidRPr="00E80ED5">
        <w:rPr>
          <w:rFonts w:eastAsia="SimSun"/>
          <w:sz w:val="20"/>
        </w:rPr>
        <w:t>1</w:t>
      </w:r>
      <w:r w:rsidR="00D33AAC" w:rsidRPr="00E80ED5">
        <w:rPr>
          <w:rFonts w:eastAsia="SimSun"/>
          <w:sz w:val="20"/>
        </w:rPr>
        <w:t>日印发的</w:t>
      </w:r>
      <w:hyperlink r:id="rId277" w:history="1">
        <w:r w:rsidR="00D33AAC" w:rsidRPr="00E80ED5">
          <w:rPr>
            <w:rStyle w:val="Hyperlink"/>
            <w:rFonts w:eastAsia="SimSun"/>
            <w:sz w:val="20"/>
          </w:rPr>
          <w:t>CBD/COP/16/L.35</w:t>
        </w:r>
      </w:hyperlink>
      <w:r w:rsidR="00D33AAC" w:rsidRPr="00E80ED5">
        <w:rPr>
          <w:rFonts w:eastAsia="SimSun"/>
          <w:sz w:val="20"/>
        </w:rPr>
        <w:t>号文件拆分为</w:t>
      </w:r>
      <w:hyperlink r:id="rId278" w:history="1">
        <w:r w:rsidR="00D33AAC" w:rsidRPr="00E80ED5">
          <w:rPr>
            <w:rStyle w:val="Hyperlink"/>
            <w:rFonts w:eastAsia="SimSun"/>
            <w:sz w:val="20"/>
          </w:rPr>
          <w:t>CBD/COP/16/L.35/Part.A</w:t>
        </w:r>
      </w:hyperlink>
      <w:r w:rsidR="00D33AAC" w:rsidRPr="00E80ED5">
        <w:rPr>
          <w:rFonts w:eastAsia="SimSun"/>
          <w:sz w:val="20"/>
        </w:rPr>
        <w:t>和</w:t>
      </w:r>
      <w:hyperlink r:id="rId279" w:history="1">
        <w:r w:rsidR="00D33AAC" w:rsidRPr="00E80ED5">
          <w:rPr>
            <w:rStyle w:val="Hyperlink"/>
            <w:rFonts w:eastAsia="SimSun"/>
            <w:sz w:val="20"/>
          </w:rPr>
          <w:t>CBD/COP/16/L.35/Par</w:t>
        </w:r>
        <w:r w:rsidR="003A6865" w:rsidRPr="00E80ED5">
          <w:rPr>
            <w:rStyle w:val="Hyperlink"/>
            <w:rFonts w:eastAsia="SimSun" w:hint="eastAsia"/>
            <w:sz w:val="20"/>
          </w:rPr>
          <w:t>t</w:t>
        </w:r>
        <w:r w:rsidR="00D33AAC" w:rsidRPr="00E80ED5">
          <w:rPr>
            <w:rStyle w:val="Hyperlink"/>
            <w:rFonts w:eastAsia="SimSun"/>
            <w:sz w:val="20"/>
          </w:rPr>
          <w:t>.B</w:t>
        </w:r>
      </w:hyperlink>
      <w:r w:rsidR="006626A1" w:rsidRPr="00E80ED5">
        <w:rPr>
          <w:rFonts w:eastAsia="SimSun"/>
          <w:sz w:val="20"/>
        </w:rPr>
        <w:t>，</w:t>
      </w:r>
      <w:r w:rsidR="00D33AAC" w:rsidRPr="00E80ED5">
        <w:rPr>
          <w:rFonts w:eastAsia="SimSun"/>
          <w:sz w:val="20"/>
        </w:rPr>
        <w:t>以便在预算年度结束之前在第一次续会上审议和通过前者。</w:t>
      </w:r>
    </w:p>
  </w:footnote>
  <w:footnote w:id="542">
    <w:p w14:paraId="3A0B1D75" w14:textId="667A7EDC" w:rsidR="003A6865" w:rsidRPr="00E80ED5" w:rsidRDefault="003A6865" w:rsidP="00E80ED5">
      <w:pPr>
        <w:pStyle w:val="FootnoteText"/>
        <w:spacing w:after="60"/>
        <w:rPr>
          <w:rFonts w:eastAsia="SimSun"/>
          <w:sz w:val="20"/>
        </w:rPr>
      </w:pPr>
      <w:r w:rsidRPr="00E80ED5">
        <w:rPr>
          <w:rStyle w:val="FootnoteReference"/>
          <w:rFonts w:eastAsia="SimSun"/>
          <w:sz w:val="20"/>
        </w:rPr>
        <w:footnoteRef/>
      </w:r>
      <w:r w:rsidRPr="00E80ED5">
        <w:rPr>
          <w:rFonts w:eastAsia="SimSun"/>
          <w:sz w:val="20"/>
        </w:rPr>
        <w:t xml:space="preserve"> </w:t>
      </w:r>
      <w:r w:rsidR="00E80ED5">
        <w:rPr>
          <w:rFonts w:eastAsia="SimSun" w:hint="eastAsia"/>
          <w:sz w:val="20"/>
        </w:rPr>
        <w:t xml:space="preserve"> </w:t>
      </w:r>
      <w:r w:rsidRPr="00E80ED5">
        <w:rPr>
          <w:rFonts w:eastAsia="SimSun"/>
          <w:sz w:val="20"/>
        </w:rPr>
        <w:t>在线续会</w:t>
      </w:r>
      <w:r w:rsidR="008A2903">
        <w:rPr>
          <w:rFonts w:eastAsia="SimSun" w:hint="eastAsia"/>
          <w:sz w:val="20"/>
        </w:rPr>
        <w:t>所有相关</w:t>
      </w:r>
      <w:r w:rsidRPr="00E80ED5">
        <w:rPr>
          <w:rFonts w:eastAsia="SimSun"/>
          <w:sz w:val="20"/>
        </w:rPr>
        <w:t>文件见</w:t>
      </w:r>
      <w:hyperlink r:id="rId280" w:history="1">
        <w:r w:rsidRPr="00E80ED5">
          <w:rPr>
            <w:rStyle w:val="Hyperlink"/>
            <w:rFonts w:eastAsia="SimSun"/>
            <w:sz w:val="20"/>
          </w:rPr>
          <w:t>www.cbd.int/meetings/COP-16-R1</w:t>
        </w:r>
      </w:hyperlink>
      <w:r w:rsidRPr="00E80ED5">
        <w:rPr>
          <w:rFonts w:eastAsia="SimSun"/>
          <w:sz w:val="20"/>
        </w:rPr>
        <w:t>。</w:t>
      </w:r>
    </w:p>
  </w:footnote>
  <w:footnote w:id="543">
    <w:p w14:paraId="1088EB36" w14:textId="3F121D48" w:rsidR="003B1E03" w:rsidRPr="00E80ED5" w:rsidRDefault="003B1E03" w:rsidP="00E80ED5">
      <w:pPr>
        <w:pStyle w:val="FootnoteText"/>
        <w:spacing w:after="60"/>
        <w:rPr>
          <w:rFonts w:eastAsia="SimSun"/>
          <w:sz w:val="20"/>
        </w:rPr>
      </w:pPr>
      <w:r w:rsidRPr="00E80ED5">
        <w:rPr>
          <w:rStyle w:val="FootnoteReference"/>
          <w:rFonts w:eastAsia="SimSun"/>
          <w:sz w:val="20"/>
        </w:rPr>
        <w:footnoteRef/>
      </w:r>
      <w:r w:rsidRPr="00E80ED5">
        <w:rPr>
          <w:rFonts w:eastAsia="SimSun"/>
          <w:sz w:val="20"/>
        </w:rPr>
        <w:t xml:space="preserve"> </w:t>
      </w:r>
      <w:r w:rsidR="00E80ED5">
        <w:rPr>
          <w:rFonts w:eastAsia="SimSun" w:hint="eastAsia"/>
          <w:sz w:val="20"/>
        </w:rPr>
        <w:t xml:space="preserve"> </w:t>
      </w:r>
      <w:hyperlink r:id="rId281" w:history="1">
        <w:r w:rsidRPr="00E80ED5">
          <w:rPr>
            <w:rStyle w:val="Hyperlink"/>
            <w:rFonts w:eastAsia="SimSun"/>
            <w:kern w:val="22"/>
            <w:sz w:val="20"/>
          </w:rPr>
          <w:t>CBD/COP/16/2/Rev.1/Add.1</w:t>
        </w:r>
      </w:hyperlink>
      <w:r w:rsidR="00D33AAC" w:rsidRPr="00E80ED5">
        <w:rPr>
          <w:rFonts w:eastAsia="SimSun"/>
          <w:color w:val="000000"/>
          <w:kern w:val="22"/>
          <w:sz w:val="20"/>
        </w:rPr>
        <w:t>，</w:t>
      </w:r>
      <w:r w:rsidR="00D33AAC" w:rsidRPr="00E80ED5">
        <w:rPr>
          <w:rFonts w:eastAsia="SimSun"/>
          <w:sz w:val="20"/>
        </w:rPr>
        <w:t>项目</w:t>
      </w:r>
      <w:r w:rsidRPr="00E80ED5">
        <w:rPr>
          <w:rFonts w:eastAsia="SimSun"/>
          <w:color w:val="000000"/>
          <w:kern w:val="22"/>
          <w:sz w:val="20"/>
        </w:rPr>
        <w:t>8</w:t>
      </w:r>
      <w:r w:rsidR="00D33AAC" w:rsidRPr="00E80ED5">
        <w:rPr>
          <w:rFonts w:eastAsia="SimSun"/>
          <w:color w:val="000000"/>
          <w:kern w:val="22"/>
          <w:sz w:val="20"/>
        </w:rPr>
        <w:t>。</w:t>
      </w:r>
    </w:p>
  </w:footnote>
  <w:footnote w:id="544">
    <w:p w14:paraId="3052601D" w14:textId="34FA396F" w:rsidR="003A6865" w:rsidRPr="005B3F06" w:rsidRDefault="003A6865" w:rsidP="00E80ED5">
      <w:pPr>
        <w:spacing w:after="60"/>
        <w:jc w:val="left"/>
        <w:rPr>
          <w:rFonts w:eastAsia="SimSun"/>
          <w:sz w:val="20"/>
          <w:szCs w:val="20"/>
        </w:rPr>
      </w:pPr>
      <w:r w:rsidRPr="00E80ED5">
        <w:rPr>
          <w:rStyle w:val="FootnoteReference"/>
          <w:rFonts w:eastAsia="SimSun"/>
          <w:sz w:val="20"/>
          <w:szCs w:val="20"/>
        </w:rPr>
        <w:footnoteRef/>
      </w:r>
      <w:r w:rsidRPr="00E80ED5">
        <w:rPr>
          <w:rFonts w:eastAsia="SimSun"/>
          <w:sz w:val="20"/>
          <w:szCs w:val="20"/>
        </w:rPr>
        <w:t xml:space="preserve"> </w:t>
      </w:r>
      <w:r w:rsidR="00E80ED5">
        <w:rPr>
          <w:rFonts w:eastAsia="SimSun" w:hint="eastAsia"/>
          <w:sz w:val="20"/>
          <w:szCs w:val="20"/>
        </w:rPr>
        <w:t xml:space="preserve"> </w:t>
      </w:r>
      <w:hyperlink r:id="rId282" w:history="1">
        <w:r w:rsidRPr="00E80ED5">
          <w:rPr>
            <w:rStyle w:val="Hyperlink"/>
            <w:rFonts w:eastAsia="SimSun"/>
            <w:sz w:val="20"/>
            <w:szCs w:val="20"/>
          </w:rPr>
          <w:t>CBD/SBI/5/4</w:t>
        </w:r>
      </w:hyperlink>
      <w:r w:rsidRPr="00E80ED5">
        <w:rPr>
          <w:rFonts w:eastAsia="SimSun"/>
          <w:sz w:val="20"/>
          <w:szCs w:val="20"/>
        </w:rPr>
        <w:t>，附件。</w:t>
      </w:r>
    </w:p>
  </w:footnote>
  <w:footnote w:id="545">
    <w:p w14:paraId="5EE063EC" w14:textId="0883599D" w:rsidR="00420B2D" w:rsidRPr="005B3F06" w:rsidRDefault="00420B2D" w:rsidP="008A2903">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8A2903">
        <w:rPr>
          <w:rFonts w:eastAsia="SimSun" w:hint="eastAsia"/>
          <w:sz w:val="20"/>
        </w:rPr>
        <w:t xml:space="preserve"> </w:t>
      </w:r>
      <w:hyperlink r:id="rId283" w:history="1">
        <w:r w:rsidRPr="00706146">
          <w:rPr>
            <w:rStyle w:val="Hyperlink"/>
            <w:rFonts w:eastAsia="SimSun"/>
            <w:sz w:val="20"/>
          </w:rPr>
          <w:t>CBD/COP/16/2/Rev.1</w:t>
        </w:r>
      </w:hyperlink>
      <w:r w:rsidR="00D33AAC" w:rsidRPr="005B3F06">
        <w:rPr>
          <w:rFonts w:eastAsia="SimSun"/>
          <w:color w:val="000000"/>
          <w:kern w:val="22"/>
          <w:sz w:val="20"/>
        </w:rPr>
        <w:t>，</w:t>
      </w:r>
      <w:r w:rsidR="00D33AAC" w:rsidRPr="005B3F06">
        <w:rPr>
          <w:rFonts w:eastAsia="SimSun"/>
          <w:sz w:val="20"/>
        </w:rPr>
        <w:t>项目</w:t>
      </w:r>
      <w:r w:rsidRPr="005B3F06">
        <w:rPr>
          <w:rFonts w:eastAsia="SimSun"/>
          <w:sz w:val="20"/>
        </w:rPr>
        <w:t>9</w:t>
      </w:r>
      <w:r w:rsidR="0083036F" w:rsidRPr="005B3F06">
        <w:rPr>
          <w:rFonts w:eastAsia="SimSun"/>
          <w:sz w:val="20"/>
        </w:rPr>
        <w:t>。</w:t>
      </w:r>
    </w:p>
  </w:footnote>
  <w:footnote w:id="546">
    <w:p w14:paraId="5207B0BC" w14:textId="32117F7A" w:rsidR="001136A9" w:rsidRPr="005B3F06" w:rsidRDefault="001136A9" w:rsidP="008A2903">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8A2903">
        <w:rPr>
          <w:rFonts w:eastAsia="SimSun" w:hint="eastAsia"/>
          <w:sz w:val="20"/>
        </w:rPr>
        <w:t xml:space="preserve"> </w:t>
      </w:r>
      <w:hyperlink r:id="rId284" w:history="1">
        <w:r w:rsidRPr="00706146">
          <w:rPr>
            <w:rStyle w:val="Hyperlink"/>
            <w:rFonts w:eastAsia="SimSun"/>
            <w:sz w:val="20"/>
          </w:rPr>
          <w:t>CBD/COP/16/5</w:t>
        </w:r>
      </w:hyperlink>
      <w:r w:rsidRPr="005B3F06">
        <w:rPr>
          <w:rFonts w:eastAsia="SimSun"/>
          <w:sz w:val="20"/>
        </w:rPr>
        <w:t>。</w:t>
      </w:r>
    </w:p>
  </w:footnote>
  <w:footnote w:id="547">
    <w:p w14:paraId="06E7C23E" w14:textId="645441EF" w:rsidR="00420B2D" w:rsidRPr="005B3F06" w:rsidRDefault="00420B2D" w:rsidP="008A2903">
      <w:pPr>
        <w:pStyle w:val="FootnoteText"/>
        <w:spacing w:after="60"/>
        <w:rPr>
          <w:rFonts w:eastAsia="SimSun"/>
          <w:b/>
          <w:bCs/>
          <w:sz w:val="20"/>
        </w:rPr>
      </w:pPr>
      <w:r w:rsidRPr="005B3F06">
        <w:rPr>
          <w:rStyle w:val="FootnoteReference"/>
          <w:rFonts w:eastAsia="SimSun"/>
          <w:sz w:val="20"/>
        </w:rPr>
        <w:footnoteRef/>
      </w:r>
      <w:r w:rsidRPr="005B3F06">
        <w:rPr>
          <w:rFonts w:eastAsia="SimSun"/>
          <w:sz w:val="20"/>
        </w:rPr>
        <w:t xml:space="preserve"> </w:t>
      </w:r>
      <w:r w:rsidR="008A2903">
        <w:rPr>
          <w:rFonts w:eastAsia="SimSun" w:hint="eastAsia"/>
          <w:sz w:val="20"/>
        </w:rPr>
        <w:t xml:space="preserve"> </w:t>
      </w:r>
      <w:r w:rsidR="0083036F" w:rsidRPr="005B3F06">
        <w:rPr>
          <w:rFonts w:eastAsia="SimSun"/>
          <w:sz w:val="20"/>
        </w:rPr>
        <w:t>分别为</w:t>
      </w:r>
      <w:hyperlink r:id="rId285" w:history="1">
        <w:r w:rsidRPr="00706146">
          <w:rPr>
            <w:rStyle w:val="Hyperlink"/>
            <w:rFonts w:eastAsia="SimSun"/>
            <w:sz w:val="20"/>
          </w:rPr>
          <w:t>CBD/WGDSI/1/3</w:t>
        </w:r>
      </w:hyperlink>
      <w:r w:rsidR="0083036F" w:rsidRPr="005B3F06">
        <w:rPr>
          <w:rFonts w:eastAsia="SimSun"/>
          <w:sz w:val="20"/>
        </w:rPr>
        <w:t>和</w:t>
      </w:r>
      <w:hyperlink r:id="rId286" w:history="1">
        <w:r w:rsidRPr="00706146">
          <w:rPr>
            <w:rStyle w:val="Hyperlink"/>
            <w:rFonts w:eastAsia="SimSun"/>
            <w:sz w:val="20"/>
          </w:rPr>
          <w:t>CBD/WGDSI/2/3</w:t>
        </w:r>
      </w:hyperlink>
      <w:r w:rsidR="0083036F" w:rsidRPr="005B3F06">
        <w:rPr>
          <w:rFonts w:eastAsia="SimSun"/>
          <w:sz w:val="20"/>
        </w:rPr>
        <w:t>。</w:t>
      </w:r>
    </w:p>
  </w:footnote>
  <w:footnote w:id="548">
    <w:p w14:paraId="3EF85D39" w14:textId="0F726D21" w:rsidR="00FC7FC2" w:rsidRPr="005B3F06" w:rsidRDefault="00FC7FC2" w:rsidP="008A2903">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8A2903">
        <w:rPr>
          <w:rFonts w:eastAsia="SimSun" w:hint="eastAsia"/>
          <w:sz w:val="20"/>
        </w:rPr>
        <w:t xml:space="preserve"> </w:t>
      </w:r>
      <w:hyperlink r:id="rId287" w:history="1">
        <w:r w:rsidRPr="00706146">
          <w:rPr>
            <w:rStyle w:val="Hyperlink"/>
            <w:rFonts w:eastAsia="SimSun"/>
            <w:sz w:val="20"/>
          </w:rPr>
          <w:t>CBD/RM/AC/2024/2/2</w:t>
        </w:r>
      </w:hyperlink>
      <w:r w:rsidRPr="005B3F06">
        <w:rPr>
          <w:rFonts w:eastAsia="SimSun"/>
          <w:sz w:val="20"/>
        </w:rPr>
        <w:t>。</w:t>
      </w:r>
    </w:p>
  </w:footnote>
  <w:footnote w:id="549">
    <w:p w14:paraId="4B40F561" w14:textId="431646C1" w:rsidR="00C5112A" w:rsidRPr="00203834" w:rsidRDefault="00C5112A" w:rsidP="008A2903">
      <w:pPr>
        <w:pStyle w:val="FootnoteText"/>
        <w:spacing w:after="60"/>
        <w:rPr>
          <w:lang w:val="en-CA"/>
        </w:rPr>
      </w:pPr>
      <w:r w:rsidRPr="005B3F06">
        <w:rPr>
          <w:rStyle w:val="FootnoteReference"/>
          <w:sz w:val="20"/>
        </w:rPr>
        <w:footnoteRef/>
      </w:r>
      <w:r w:rsidRPr="005B3F06">
        <w:rPr>
          <w:sz w:val="20"/>
        </w:rPr>
        <w:t xml:space="preserve"> </w:t>
      </w:r>
      <w:r w:rsidR="008A2903">
        <w:rPr>
          <w:rFonts w:hint="eastAsia"/>
          <w:sz w:val="20"/>
        </w:rPr>
        <w:t xml:space="preserve"> </w:t>
      </w:r>
      <w:r w:rsidR="00B04037" w:rsidRPr="005B3F06">
        <w:rPr>
          <w:rFonts w:eastAsia="SimSun"/>
          <w:color w:val="333333"/>
          <w:sz w:val="20"/>
          <w:shd w:val="clear" w:color="auto" w:fill="FFFFFF"/>
        </w:rPr>
        <w:t>CB</w:t>
      </w:r>
      <w:r w:rsidR="006F2A70">
        <w:rPr>
          <w:rFonts w:eastAsia="SimSun" w:hint="eastAsia"/>
          <w:color w:val="333333"/>
          <w:sz w:val="20"/>
          <w:shd w:val="clear" w:color="auto" w:fill="FFFFFF"/>
        </w:rPr>
        <w:t>D</w:t>
      </w:r>
      <w:r w:rsidR="00B04037" w:rsidRPr="005B3F06">
        <w:rPr>
          <w:rFonts w:eastAsia="SimSun"/>
          <w:color w:val="333333"/>
          <w:sz w:val="20"/>
          <w:shd w:val="clear" w:color="auto" w:fill="FFFFFF"/>
        </w:rPr>
        <w:t>/COP/16/L.32</w:t>
      </w:r>
      <w:r w:rsidR="00B04037" w:rsidRPr="005B3F06">
        <w:rPr>
          <w:rFonts w:eastAsia="SimSun"/>
          <w:color w:val="333333"/>
          <w:sz w:val="20"/>
          <w:shd w:val="clear" w:color="auto" w:fill="FFFFFF"/>
        </w:rPr>
        <w:t>号文件于</w:t>
      </w:r>
      <w:r w:rsidR="00B04037" w:rsidRPr="005B3F06">
        <w:rPr>
          <w:rFonts w:eastAsia="SimSun"/>
          <w:color w:val="333333"/>
          <w:sz w:val="20"/>
          <w:shd w:val="clear" w:color="auto" w:fill="FFFFFF"/>
        </w:rPr>
        <w:t>11</w:t>
      </w:r>
      <w:r w:rsidR="00B04037" w:rsidRPr="005B3F06">
        <w:rPr>
          <w:rFonts w:eastAsia="SimSun"/>
          <w:color w:val="333333"/>
          <w:sz w:val="20"/>
          <w:shd w:val="clear" w:color="auto" w:fill="FFFFFF"/>
        </w:rPr>
        <w:t>月</w:t>
      </w:r>
      <w:r w:rsidR="00B04037" w:rsidRPr="005B3F06">
        <w:rPr>
          <w:rFonts w:eastAsia="SimSun"/>
          <w:color w:val="333333"/>
          <w:sz w:val="20"/>
          <w:shd w:val="clear" w:color="auto" w:fill="FFFFFF"/>
        </w:rPr>
        <w:t>1</w:t>
      </w:r>
      <w:r w:rsidR="00B04037" w:rsidRPr="005B3F06">
        <w:rPr>
          <w:rFonts w:eastAsia="SimSun"/>
          <w:color w:val="333333"/>
          <w:sz w:val="20"/>
          <w:shd w:val="clear" w:color="auto" w:fill="FFFFFF"/>
        </w:rPr>
        <w:t>日印发，但在全体会议审议之前</w:t>
      </w:r>
      <w:r w:rsidR="00706146">
        <w:rPr>
          <w:rFonts w:eastAsia="SimSun" w:hint="eastAsia"/>
          <w:color w:val="333333"/>
          <w:sz w:val="20"/>
          <w:shd w:val="clear" w:color="auto" w:fill="FFFFFF"/>
        </w:rPr>
        <w:t>经</w:t>
      </w:r>
      <w:r w:rsidR="00706146" w:rsidRPr="005B3F06">
        <w:rPr>
          <w:rFonts w:eastAsia="SimSun"/>
          <w:color w:val="333333"/>
          <w:sz w:val="20"/>
          <w:shd w:val="clear" w:color="auto" w:fill="FFFFFF"/>
        </w:rPr>
        <w:t>非正式磋商</w:t>
      </w:r>
      <w:r w:rsidR="00B04037" w:rsidRPr="005B3F06">
        <w:rPr>
          <w:rFonts w:eastAsia="SimSun"/>
          <w:color w:val="333333"/>
          <w:sz w:val="20"/>
          <w:shd w:val="clear" w:color="auto" w:fill="FFFFFF"/>
        </w:rPr>
        <w:t>进行了</w:t>
      </w:r>
      <w:r w:rsidR="00F91A13">
        <w:rPr>
          <w:rFonts w:eastAsia="SimSun" w:hint="eastAsia"/>
          <w:color w:val="333333"/>
          <w:sz w:val="20"/>
          <w:shd w:val="clear" w:color="auto" w:fill="FFFFFF"/>
        </w:rPr>
        <w:t>订正</w:t>
      </w:r>
      <w:r w:rsidR="00B04037" w:rsidRPr="005B3F06">
        <w:rPr>
          <w:rFonts w:eastAsia="SimSun"/>
          <w:color w:val="333333"/>
          <w:sz w:val="20"/>
          <w:shd w:val="clear" w:color="auto" w:fill="FFFFFF"/>
        </w:rPr>
        <w:t>。</w:t>
      </w:r>
    </w:p>
  </w:footnote>
  <w:footnote w:id="550">
    <w:p w14:paraId="4D245F29" w14:textId="7EE454FF"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00444810">
        <w:rPr>
          <w:rFonts w:eastAsia="SimSun" w:hint="eastAsia"/>
          <w:sz w:val="20"/>
        </w:rPr>
        <w:t xml:space="preserve"> </w:t>
      </w:r>
      <w:r w:rsidRPr="00BE25D7">
        <w:rPr>
          <w:rFonts w:eastAsia="SimSun"/>
          <w:sz w:val="20"/>
        </w:rPr>
        <w:t xml:space="preserve"> </w:t>
      </w:r>
      <w:hyperlink r:id="rId288" w:history="1">
        <w:r w:rsidRPr="00444810">
          <w:rPr>
            <w:rStyle w:val="Hyperlink"/>
            <w:rFonts w:eastAsia="SimSun"/>
            <w:sz w:val="20"/>
          </w:rPr>
          <w:t>CBD/COP/16/2/Rev.1</w:t>
        </w:r>
      </w:hyperlink>
      <w:r w:rsidRPr="00BE25D7">
        <w:rPr>
          <w:rFonts w:eastAsia="SimSun"/>
          <w:sz w:val="20"/>
        </w:rPr>
        <w:t>，项目</w:t>
      </w:r>
      <w:r w:rsidRPr="00BE25D7">
        <w:rPr>
          <w:rFonts w:eastAsia="SimSun"/>
          <w:sz w:val="20"/>
        </w:rPr>
        <w:t>10</w:t>
      </w:r>
      <w:r w:rsidRPr="00BE25D7">
        <w:rPr>
          <w:rFonts w:eastAsia="SimSun"/>
          <w:sz w:val="20"/>
        </w:rPr>
        <w:t>。</w:t>
      </w:r>
    </w:p>
  </w:footnote>
  <w:footnote w:id="551">
    <w:p w14:paraId="44635E29" w14:textId="189DC7A8"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444810">
        <w:rPr>
          <w:rFonts w:eastAsia="SimSun" w:hint="eastAsia"/>
          <w:sz w:val="20"/>
        </w:rPr>
        <w:t xml:space="preserve"> </w:t>
      </w:r>
      <w:hyperlink r:id="rId289" w:history="1">
        <w:r w:rsidRPr="00444810">
          <w:rPr>
            <w:rStyle w:val="Hyperlink"/>
            <w:rFonts w:eastAsia="SimSun"/>
            <w:sz w:val="20"/>
          </w:rPr>
          <w:t>CBD/COP/16/2/Rev.1/Add.1</w:t>
        </w:r>
      </w:hyperlink>
      <w:r w:rsidRPr="00BE25D7">
        <w:rPr>
          <w:rFonts w:eastAsia="SimSun"/>
          <w:sz w:val="20"/>
        </w:rPr>
        <w:t>，项目</w:t>
      </w:r>
      <w:r w:rsidRPr="00BE25D7">
        <w:rPr>
          <w:rFonts w:eastAsia="SimSun"/>
          <w:sz w:val="20"/>
        </w:rPr>
        <w:t>10</w:t>
      </w:r>
      <w:r w:rsidRPr="00BE25D7">
        <w:rPr>
          <w:rFonts w:eastAsia="SimSun"/>
          <w:sz w:val="20"/>
        </w:rPr>
        <w:t>。</w:t>
      </w:r>
    </w:p>
  </w:footnote>
  <w:footnote w:id="552">
    <w:p w14:paraId="4613AFE2" w14:textId="4DA68684"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444810">
        <w:rPr>
          <w:rFonts w:eastAsia="SimSun" w:hint="eastAsia"/>
          <w:sz w:val="20"/>
        </w:rPr>
        <w:t xml:space="preserve"> </w:t>
      </w:r>
      <w:hyperlink r:id="rId290" w:history="1">
        <w:r w:rsidRPr="008A2903">
          <w:rPr>
            <w:rStyle w:val="Hyperlink"/>
            <w:rFonts w:eastAsia="SimSun"/>
            <w:sz w:val="20"/>
          </w:rPr>
          <w:t>CBD/COP/16/INF/3</w:t>
        </w:r>
      </w:hyperlink>
      <w:r w:rsidRPr="00BE25D7">
        <w:rPr>
          <w:rFonts w:eastAsia="SimSun"/>
          <w:sz w:val="20"/>
        </w:rPr>
        <w:t>。</w:t>
      </w:r>
    </w:p>
  </w:footnote>
  <w:footnote w:id="553">
    <w:p w14:paraId="3E06A975" w14:textId="5F1475BA"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444810">
        <w:rPr>
          <w:rFonts w:eastAsia="SimSun" w:hint="eastAsia"/>
          <w:sz w:val="20"/>
        </w:rPr>
        <w:t xml:space="preserve"> </w:t>
      </w:r>
      <w:hyperlink r:id="rId291" w:history="1">
        <w:r w:rsidRPr="00444810">
          <w:rPr>
            <w:rStyle w:val="Hyperlink"/>
            <w:rFonts w:eastAsia="SimSun"/>
            <w:sz w:val="20"/>
          </w:rPr>
          <w:t>CBD/COP/16/INF/4</w:t>
        </w:r>
      </w:hyperlink>
      <w:r w:rsidRPr="00BE25D7">
        <w:rPr>
          <w:rFonts w:eastAsia="SimSun"/>
          <w:sz w:val="20"/>
        </w:rPr>
        <w:t>。</w:t>
      </w:r>
    </w:p>
  </w:footnote>
  <w:footnote w:id="554">
    <w:p w14:paraId="1DB89F1E" w14:textId="2EF54068"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444810">
        <w:rPr>
          <w:rFonts w:eastAsia="SimSun" w:hint="eastAsia"/>
          <w:sz w:val="20"/>
        </w:rPr>
        <w:t xml:space="preserve"> </w:t>
      </w:r>
      <w:hyperlink r:id="rId292" w:history="1">
        <w:r w:rsidRPr="00444810">
          <w:rPr>
            <w:rStyle w:val="Hyperlink"/>
            <w:rFonts w:eastAsia="SimSun"/>
            <w:sz w:val="20"/>
          </w:rPr>
          <w:t>CBD/COP/16/INF/5</w:t>
        </w:r>
      </w:hyperlink>
      <w:r w:rsidRPr="00BE25D7">
        <w:rPr>
          <w:rFonts w:eastAsia="SimSun"/>
          <w:sz w:val="20"/>
        </w:rPr>
        <w:t>。</w:t>
      </w:r>
    </w:p>
  </w:footnote>
  <w:footnote w:id="555">
    <w:p w14:paraId="4DA05DD8" w14:textId="11B49579"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444810">
        <w:rPr>
          <w:rFonts w:eastAsia="SimSun" w:hint="eastAsia"/>
          <w:sz w:val="20"/>
        </w:rPr>
        <w:t xml:space="preserve"> </w:t>
      </w:r>
      <w:hyperlink r:id="rId293" w:history="1">
        <w:r w:rsidRPr="00444810">
          <w:rPr>
            <w:rStyle w:val="Hyperlink"/>
            <w:rFonts w:eastAsia="SimSun"/>
            <w:sz w:val="20"/>
          </w:rPr>
          <w:t>CBD/COP/16/INF/31</w:t>
        </w:r>
      </w:hyperlink>
      <w:r w:rsidRPr="00BE25D7">
        <w:rPr>
          <w:rFonts w:eastAsia="SimSun"/>
          <w:sz w:val="20"/>
        </w:rPr>
        <w:t>。</w:t>
      </w:r>
    </w:p>
  </w:footnote>
  <w:footnote w:id="556">
    <w:p w14:paraId="16ABAD73" w14:textId="03B3F73A" w:rsidR="00F61A0E" w:rsidRPr="00F61A0E" w:rsidRDefault="00F61A0E" w:rsidP="00F61A0E">
      <w:pPr>
        <w:pStyle w:val="FootnoteText"/>
        <w:spacing w:after="60"/>
        <w:rPr>
          <w:sz w:val="20"/>
        </w:rPr>
      </w:pPr>
      <w:r w:rsidRPr="00F61A0E">
        <w:rPr>
          <w:rStyle w:val="FootnoteReference"/>
          <w:sz w:val="20"/>
        </w:rPr>
        <w:footnoteRef/>
      </w:r>
      <w:r w:rsidRPr="00F61A0E">
        <w:rPr>
          <w:sz w:val="20"/>
        </w:rPr>
        <w:t xml:space="preserve"> </w:t>
      </w:r>
      <w:r w:rsidRPr="00F61A0E">
        <w:rPr>
          <w:rFonts w:hint="eastAsia"/>
          <w:sz w:val="20"/>
        </w:rPr>
        <w:t xml:space="preserve"> </w:t>
      </w:r>
      <w:hyperlink r:id="rId294" w:history="1">
        <w:r w:rsidRPr="00F61A0E">
          <w:rPr>
            <w:rStyle w:val="Hyperlink"/>
            <w:sz w:val="20"/>
          </w:rPr>
          <w:t>CBD/COP/16/L.33/Rev.1</w:t>
        </w:r>
      </w:hyperlink>
      <w:r w:rsidRPr="00F61A0E">
        <w:rPr>
          <w:rFonts w:hint="eastAsia"/>
          <w:sz w:val="20"/>
        </w:rPr>
        <w:t>。</w:t>
      </w:r>
    </w:p>
  </w:footnote>
  <w:footnote w:id="557">
    <w:p w14:paraId="6292DFFD" w14:textId="02E98E40"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00BC6816">
        <w:rPr>
          <w:rFonts w:eastAsia="SimSun" w:hint="eastAsia"/>
          <w:sz w:val="20"/>
        </w:rPr>
        <w:t xml:space="preserve"> </w:t>
      </w:r>
      <w:r w:rsidRPr="00BE25D7">
        <w:rPr>
          <w:rFonts w:eastAsia="SimSun"/>
          <w:sz w:val="20"/>
        </w:rPr>
        <w:t xml:space="preserve"> </w:t>
      </w:r>
      <w:hyperlink r:id="rId295" w:history="1">
        <w:r w:rsidRPr="00BC6816">
          <w:rPr>
            <w:rStyle w:val="Hyperlink"/>
            <w:rFonts w:eastAsia="SimSun"/>
            <w:sz w:val="20"/>
          </w:rPr>
          <w:t>CBD/COP/16/2/Rev.1</w:t>
        </w:r>
      </w:hyperlink>
      <w:r w:rsidRPr="00BE25D7">
        <w:rPr>
          <w:rFonts w:eastAsia="SimSun"/>
          <w:sz w:val="20"/>
        </w:rPr>
        <w:t>，项目</w:t>
      </w:r>
      <w:r w:rsidRPr="00BE25D7">
        <w:rPr>
          <w:rFonts w:eastAsia="SimSun"/>
          <w:sz w:val="20"/>
        </w:rPr>
        <w:t>11</w:t>
      </w:r>
      <w:r w:rsidRPr="00BE25D7">
        <w:rPr>
          <w:rFonts w:eastAsia="SimSun"/>
          <w:sz w:val="20"/>
        </w:rPr>
        <w:t>。</w:t>
      </w:r>
    </w:p>
  </w:footnote>
  <w:footnote w:id="558">
    <w:p w14:paraId="5C4E98F5" w14:textId="5502CEAB"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296" w:history="1">
        <w:r w:rsidRPr="00BC6816">
          <w:rPr>
            <w:rStyle w:val="Hyperlink"/>
            <w:rFonts w:eastAsia="SimSun"/>
            <w:sz w:val="20"/>
          </w:rPr>
          <w:t>CBD/COP/16/5</w:t>
        </w:r>
      </w:hyperlink>
      <w:r w:rsidRPr="00BE25D7">
        <w:rPr>
          <w:rFonts w:eastAsia="SimSun"/>
          <w:sz w:val="20"/>
        </w:rPr>
        <w:t>。</w:t>
      </w:r>
    </w:p>
  </w:footnote>
  <w:footnote w:id="559">
    <w:p w14:paraId="592EB1DB" w14:textId="67BF5069"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297" w:history="1">
        <w:r w:rsidRPr="00BC6816">
          <w:rPr>
            <w:rStyle w:val="Hyperlink"/>
            <w:rFonts w:eastAsia="SimSun"/>
            <w:sz w:val="20"/>
          </w:rPr>
          <w:t>CBD/COP/16/6/Rev.1</w:t>
        </w:r>
      </w:hyperlink>
      <w:r w:rsidRPr="00BE25D7">
        <w:rPr>
          <w:rFonts w:eastAsia="SimSun"/>
          <w:sz w:val="20"/>
        </w:rPr>
        <w:t>。</w:t>
      </w:r>
    </w:p>
  </w:footnote>
  <w:footnote w:id="560">
    <w:p w14:paraId="21D8A0EB" w14:textId="317CB844"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298" w:history="1">
        <w:r w:rsidRPr="00BC6816">
          <w:rPr>
            <w:rStyle w:val="Hyperlink"/>
            <w:rFonts w:eastAsia="SimSun"/>
            <w:sz w:val="20"/>
          </w:rPr>
          <w:t>CBD/COP/16/6/Add.1</w:t>
        </w:r>
      </w:hyperlink>
      <w:r w:rsidRPr="00BE25D7">
        <w:rPr>
          <w:rFonts w:eastAsia="SimSun"/>
          <w:sz w:val="20"/>
        </w:rPr>
        <w:t>。</w:t>
      </w:r>
    </w:p>
  </w:footnote>
  <w:footnote w:id="561">
    <w:p w14:paraId="3CB66484" w14:textId="18B5E6AA"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299" w:history="1">
        <w:r w:rsidRPr="00BC6816">
          <w:rPr>
            <w:rStyle w:val="Hyperlink"/>
            <w:rFonts w:eastAsia="SimSun"/>
            <w:sz w:val="20"/>
          </w:rPr>
          <w:t>CBD/COP/16/6/Add.2</w:t>
        </w:r>
      </w:hyperlink>
      <w:r w:rsidRPr="00BE25D7">
        <w:rPr>
          <w:rFonts w:eastAsia="SimSun"/>
          <w:sz w:val="20"/>
        </w:rPr>
        <w:t>。</w:t>
      </w:r>
    </w:p>
  </w:footnote>
  <w:footnote w:id="562">
    <w:p w14:paraId="1D987734" w14:textId="155ED90F" w:rsidR="001136A9" w:rsidRPr="00BE25D7" w:rsidRDefault="001136A9"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0" w:history="1">
        <w:r w:rsidRPr="00BC6816">
          <w:rPr>
            <w:rStyle w:val="Hyperlink"/>
            <w:rFonts w:eastAsia="SimSun"/>
            <w:sz w:val="20"/>
          </w:rPr>
          <w:t>CBD/COP/16/7</w:t>
        </w:r>
      </w:hyperlink>
      <w:r w:rsidRPr="00BE25D7">
        <w:rPr>
          <w:rFonts w:eastAsia="SimSun"/>
          <w:sz w:val="20"/>
        </w:rPr>
        <w:t>。</w:t>
      </w:r>
    </w:p>
  </w:footnote>
  <w:footnote w:id="563">
    <w:p w14:paraId="0236B830" w14:textId="72B9CAFF" w:rsidR="00972E98" w:rsidRPr="00BE25D7" w:rsidRDefault="00972E98"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1" w:history="1">
        <w:r w:rsidRPr="00BC6816">
          <w:rPr>
            <w:rStyle w:val="Hyperlink"/>
            <w:rFonts w:eastAsia="SimSun"/>
            <w:sz w:val="20"/>
          </w:rPr>
          <w:t>CBD/COP/16/8/Rev.1</w:t>
        </w:r>
      </w:hyperlink>
      <w:r w:rsidRPr="00BE25D7">
        <w:rPr>
          <w:rFonts w:eastAsia="SimSun"/>
          <w:sz w:val="20"/>
        </w:rPr>
        <w:t>。</w:t>
      </w:r>
    </w:p>
  </w:footnote>
  <w:footnote w:id="564">
    <w:p w14:paraId="726DC510" w14:textId="5CAD7B77"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2" w:history="1">
        <w:r w:rsidRPr="00BC6816">
          <w:rPr>
            <w:rStyle w:val="Hyperlink"/>
            <w:rFonts w:eastAsia="SimSun"/>
            <w:sz w:val="20"/>
          </w:rPr>
          <w:t>CBD/COP/16/INF/8</w:t>
        </w:r>
      </w:hyperlink>
      <w:r w:rsidRPr="00BE25D7">
        <w:rPr>
          <w:rFonts w:eastAsia="SimSun"/>
          <w:sz w:val="20"/>
        </w:rPr>
        <w:t>。</w:t>
      </w:r>
    </w:p>
  </w:footnote>
  <w:footnote w:id="565">
    <w:p w14:paraId="29A2EEA0" w14:textId="0666748D"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3" w:history="1">
        <w:r w:rsidRPr="00BC6816">
          <w:rPr>
            <w:rStyle w:val="Hyperlink"/>
            <w:rFonts w:eastAsia="SimSun"/>
            <w:sz w:val="20"/>
          </w:rPr>
          <w:t>CBD/COP/16/INF/25</w:t>
        </w:r>
      </w:hyperlink>
      <w:r w:rsidRPr="00BE25D7">
        <w:rPr>
          <w:rFonts w:eastAsia="SimSun"/>
          <w:sz w:val="20"/>
        </w:rPr>
        <w:t>。</w:t>
      </w:r>
    </w:p>
  </w:footnote>
  <w:footnote w:id="566">
    <w:p w14:paraId="1A1903CB" w14:textId="2392036A"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4" w:history="1">
        <w:r w:rsidRPr="00BC6816">
          <w:rPr>
            <w:rStyle w:val="Hyperlink"/>
            <w:rFonts w:eastAsia="SimSun"/>
            <w:sz w:val="20"/>
          </w:rPr>
          <w:t>CBD/COP/16/INF/26</w:t>
        </w:r>
      </w:hyperlink>
      <w:r w:rsidRPr="00BE25D7">
        <w:rPr>
          <w:rFonts w:eastAsia="SimSun"/>
          <w:sz w:val="20"/>
        </w:rPr>
        <w:t>。</w:t>
      </w:r>
    </w:p>
  </w:footnote>
  <w:footnote w:id="567">
    <w:p w14:paraId="480EF97C" w14:textId="3399CA35"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w:t>
      </w:r>
      <w:r w:rsidR="00BC6816">
        <w:rPr>
          <w:rFonts w:eastAsia="SimSun" w:hint="eastAsia"/>
          <w:sz w:val="20"/>
        </w:rPr>
        <w:t xml:space="preserve"> </w:t>
      </w:r>
      <w:hyperlink r:id="rId305" w:history="1">
        <w:r w:rsidRPr="00BC6816">
          <w:rPr>
            <w:rStyle w:val="Hyperlink"/>
            <w:rFonts w:eastAsia="SimSun"/>
            <w:sz w:val="20"/>
          </w:rPr>
          <w:t>CBD/COP/16/INF/32</w:t>
        </w:r>
      </w:hyperlink>
      <w:r w:rsidRPr="00BE25D7">
        <w:rPr>
          <w:rFonts w:eastAsia="SimSun"/>
          <w:sz w:val="20"/>
        </w:rPr>
        <w:t>。</w:t>
      </w:r>
    </w:p>
  </w:footnote>
  <w:footnote w:id="568">
    <w:p w14:paraId="59B7071A" w14:textId="7B546DBB" w:rsidR="00491B5E" w:rsidRPr="00491B5E" w:rsidRDefault="00491B5E" w:rsidP="00491B5E">
      <w:pPr>
        <w:pStyle w:val="FootnoteText"/>
        <w:spacing w:after="60"/>
        <w:rPr>
          <w:rFonts w:eastAsia="SimSun"/>
          <w:sz w:val="20"/>
        </w:rPr>
      </w:pPr>
      <w:r w:rsidRPr="00491B5E">
        <w:rPr>
          <w:rStyle w:val="FootnoteReference"/>
          <w:rFonts w:eastAsia="SimSun"/>
          <w:sz w:val="20"/>
        </w:rPr>
        <w:footnoteRef/>
      </w:r>
      <w:r w:rsidRPr="00491B5E">
        <w:rPr>
          <w:rFonts w:eastAsia="SimSun"/>
          <w:sz w:val="20"/>
        </w:rPr>
        <w:t xml:space="preserve">  </w:t>
      </w:r>
      <w:hyperlink r:id="rId306" w:history="1">
        <w:r w:rsidRPr="00491B5E">
          <w:rPr>
            <w:rStyle w:val="Hyperlink"/>
            <w:rFonts w:eastAsia="SimSun"/>
            <w:sz w:val="20"/>
          </w:rPr>
          <w:t>CBD/COP/16/L.31/Rev.1</w:t>
        </w:r>
      </w:hyperlink>
      <w:r w:rsidRPr="00491B5E">
        <w:rPr>
          <w:rFonts w:eastAsia="SimSun"/>
          <w:sz w:val="20"/>
        </w:rPr>
        <w:t>。</w:t>
      </w:r>
    </w:p>
  </w:footnote>
  <w:footnote w:id="569">
    <w:p w14:paraId="3C305F99" w14:textId="72AAE914" w:rsidR="00A1666C" w:rsidRPr="00491B5E" w:rsidRDefault="00A1666C" w:rsidP="00491B5E">
      <w:pPr>
        <w:pStyle w:val="FootnoteText"/>
        <w:spacing w:after="60"/>
        <w:rPr>
          <w:rFonts w:eastAsia="SimSun"/>
          <w:sz w:val="20"/>
        </w:rPr>
      </w:pPr>
      <w:r w:rsidRPr="00491B5E">
        <w:rPr>
          <w:rStyle w:val="FootnoteReference"/>
          <w:rFonts w:eastAsia="SimSun"/>
          <w:sz w:val="20"/>
        </w:rPr>
        <w:footnoteRef/>
      </w:r>
      <w:r w:rsidRPr="00491B5E">
        <w:rPr>
          <w:rFonts w:eastAsia="SimSun"/>
          <w:sz w:val="20"/>
        </w:rPr>
        <w:t xml:space="preserve"> </w:t>
      </w:r>
      <w:r w:rsidR="00491B5E" w:rsidRPr="00491B5E">
        <w:rPr>
          <w:rFonts w:eastAsia="SimSun"/>
          <w:sz w:val="20"/>
        </w:rPr>
        <w:t xml:space="preserve"> </w:t>
      </w:r>
      <w:hyperlink r:id="rId307" w:history="1">
        <w:r w:rsidRPr="00491B5E">
          <w:rPr>
            <w:rStyle w:val="Hyperlink"/>
            <w:rFonts w:eastAsia="SimSun"/>
            <w:sz w:val="20"/>
          </w:rPr>
          <w:t>CBD/COP/16/2/Rev.1</w:t>
        </w:r>
      </w:hyperlink>
      <w:r w:rsidRPr="00491B5E">
        <w:rPr>
          <w:rFonts w:eastAsia="SimSun"/>
          <w:sz w:val="20"/>
        </w:rPr>
        <w:t>，项目</w:t>
      </w:r>
      <w:r w:rsidRPr="00491B5E">
        <w:rPr>
          <w:rFonts w:eastAsia="SimSun"/>
          <w:sz w:val="20"/>
        </w:rPr>
        <w:t>12</w:t>
      </w:r>
      <w:r w:rsidRPr="00491B5E">
        <w:rPr>
          <w:rFonts w:eastAsia="SimSun"/>
          <w:sz w:val="20"/>
        </w:rPr>
        <w:t>。</w:t>
      </w:r>
    </w:p>
  </w:footnote>
  <w:footnote w:id="570">
    <w:p w14:paraId="784CE1F4" w14:textId="1C8A7CB9" w:rsidR="00A1666C" w:rsidRPr="0091466B" w:rsidRDefault="00A1666C" w:rsidP="00491B5E">
      <w:pPr>
        <w:pStyle w:val="FootnoteText"/>
        <w:spacing w:after="60"/>
        <w:rPr>
          <w:rFonts w:eastAsia="SimSun"/>
          <w:sz w:val="20"/>
        </w:rPr>
      </w:pPr>
      <w:r w:rsidRPr="00491B5E">
        <w:rPr>
          <w:rStyle w:val="FootnoteReference"/>
          <w:rFonts w:eastAsia="SimSun"/>
          <w:sz w:val="20"/>
        </w:rPr>
        <w:footnoteRef/>
      </w:r>
      <w:r w:rsidRPr="00491B5E">
        <w:rPr>
          <w:rFonts w:eastAsia="SimSun"/>
          <w:sz w:val="20"/>
        </w:rPr>
        <w:t xml:space="preserve"> </w:t>
      </w:r>
      <w:r w:rsidR="00491B5E" w:rsidRPr="00491B5E">
        <w:rPr>
          <w:rFonts w:eastAsia="SimSun"/>
          <w:sz w:val="20"/>
        </w:rPr>
        <w:t xml:space="preserve"> </w:t>
      </w:r>
      <w:hyperlink r:id="rId308" w:history="1">
        <w:r w:rsidRPr="00491B5E">
          <w:rPr>
            <w:rStyle w:val="Hyperlink"/>
            <w:rFonts w:eastAsia="SimSun"/>
            <w:sz w:val="20"/>
          </w:rPr>
          <w:t>CBD/COP/16/9</w:t>
        </w:r>
      </w:hyperlink>
      <w:r w:rsidRPr="00491B5E">
        <w:rPr>
          <w:rFonts w:eastAsia="SimSun"/>
          <w:sz w:val="20"/>
        </w:rPr>
        <w:t>。</w:t>
      </w:r>
    </w:p>
  </w:footnote>
  <w:footnote w:id="571">
    <w:p w14:paraId="52E002C3" w14:textId="404B105D" w:rsidR="003B4E46" w:rsidRPr="0091466B" w:rsidRDefault="003B4E4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09" w:history="1">
        <w:r w:rsidRPr="00491B5E">
          <w:rPr>
            <w:rStyle w:val="Hyperlink"/>
            <w:rFonts w:eastAsia="SimSun"/>
            <w:sz w:val="20"/>
          </w:rPr>
          <w:t>CBD/COP/16/INF/24</w:t>
        </w:r>
      </w:hyperlink>
      <w:r w:rsidRPr="0091466B">
        <w:rPr>
          <w:rFonts w:eastAsia="SimSun"/>
          <w:sz w:val="20"/>
        </w:rPr>
        <w:t>。</w:t>
      </w:r>
    </w:p>
  </w:footnote>
  <w:footnote w:id="572">
    <w:p w14:paraId="09B55A3B" w14:textId="3BD2A250" w:rsidR="001136A9" w:rsidRPr="0091466B" w:rsidRDefault="001136A9"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0" w:history="1">
        <w:r w:rsidRPr="00491B5E">
          <w:rPr>
            <w:rStyle w:val="Hyperlink"/>
            <w:rFonts w:eastAsia="SimSun"/>
            <w:sz w:val="20"/>
          </w:rPr>
          <w:t>CBD/COP/16/INF/33</w:t>
        </w:r>
      </w:hyperlink>
      <w:r w:rsidRPr="0091466B">
        <w:rPr>
          <w:rFonts w:eastAsia="SimSun"/>
          <w:sz w:val="20"/>
        </w:rPr>
        <w:t>。</w:t>
      </w:r>
    </w:p>
  </w:footnote>
  <w:footnote w:id="573">
    <w:p w14:paraId="588097D9" w14:textId="33968D98" w:rsidR="003B4E46" w:rsidRPr="0091466B" w:rsidRDefault="003B4E4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1" w:history="1">
        <w:r w:rsidRPr="00491B5E">
          <w:rPr>
            <w:rStyle w:val="Hyperlink"/>
            <w:rFonts w:eastAsia="SimSun"/>
            <w:sz w:val="20"/>
          </w:rPr>
          <w:t>CBD/COP/16/INF/38</w:t>
        </w:r>
      </w:hyperlink>
      <w:r w:rsidRPr="0091466B">
        <w:rPr>
          <w:rFonts w:eastAsia="SimSun"/>
          <w:sz w:val="20"/>
        </w:rPr>
        <w:t>。</w:t>
      </w:r>
    </w:p>
  </w:footnote>
  <w:footnote w:id="574">
    <w:p w14:paraId="64F02EE3" w14:textId="7C3C6706" w:rsidR="009B5D06" w:rsidRPr="0091466B" w:rsidRDefault="009B5D06"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2" w:history="1">
        <w:r w:rsidRPr="00491B5E">
          <w:rPr>
            <w:rStyle w:val="Hyperlink"/>
            <w:rFonts w:eastAsia="SimSun"/>
            <w:sz w:val="20"/>
          </w:rPr>
          <w:t>CBD/COP/16/2/Rev.1</w:t>
        </w:r>
      </w:hyperlink>
      <w:r w:rsidR="00D33AAC" w:rsidRPr="0091466B">
        <w:rPr>
          <w:rFonts w:eastAsia="SimSun"/>
          <w:sz w:val="20"/>
        </w:rPr>
        <w:t>，项目</w:t>
      </w:r>
      <w:r w:rsidRPr="0091466B">
        <w:rPr>
          <w:rFonts w:eastAsia="SimSun"/>
          <w:sz w:val="20"/>
        </w:rPr>
        <w:t>13</w:t>
      </w:r>
      <w:r w:rsidR="0083036F" w:rsidRPr="0091466B">
        <w:rPr>
          <w:rFonts w:eastAsia="SimSun"/>
          <w:sz w:val="20"/>
        </w:rPr>
        <w:t>。</w:t>
      </w:r>
    </w:p>
  </w:footnote>
  <w:footnote w:id="575">
    <w:p w14:paraId="192C8533" w14:textId="113B1D60"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3" w:history="1">
        <w:r w:rsidRPr="00491B5E">
          <w:rPr>
            <w:rStyle w:val="Hyperlink"/>
            <w:rFonts w:eastAsia="SimSun"/>
            <w:sz w:val="20"/>
          </w:rPr>
          <w:t>CBD/COP/16/10/Rev.1</w:t>
        </w:r>
      </w:hyperlink>
      <w:r w:rsidRPr="0091466B">
        <w:rPr>
          <w:rFonts w:eastAsia="SimSun"/>
          <w:sz w:val="20"/>
        </w:rPr>
        <w:t>。</w:t>
      </w:r>
    </w:p>
  </w:footnote>
  <w:footnote w:id="576">
    <w:p w14:paraId="3C9EAF63" w14:textId="7A47C299"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hyperlink r:id="rId314" w:history="1">
        <w:r w:rsidR="00491B5E" w:rsidRPr="00491B5E">
          <w:rPr>
            <w:rStyle w:val="Hyperlink"/>
            <w:rFonts w:eastAsia="SimSun" w:hint="eastAsia"/>
            <w:sz w:val="20"/>
          </w:rPr>
          <w:t xml:space="preserve"> </w:t>
        </w:r>
        <w:r w:rsidRPr="00491B5E">
          <w:rPr>
            <w:rStyle w:val="Hyperlink"/>
            <w:rFonts w:eastAsia="SimSun"/>
            <w:sz w:val="20"/>
          </w:rPr>
          <w:t>CBD/COP/16/INF/12</w:t>
        </w:r>
      </w:hyperlink>
      <w:r w:rsidRPr="0091466B">
        <w:rPr>
          <w:rFonts w:eastAsia="SimSun"/>
          <w:sz w:val="20"/>
        </w:rPr>
        <w:t>。</w:t>
      </w:r>
    </w:p>
  </w:footnote>
  <w:footnote w:id="577">
    <w:p w14:paraId="5EFDE10B" w14:textId="6BA21ACA"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5" w:history="1">
        <w:r w:rsidRPr="00491B5E">
          <w:rPr>
            <w:rStyle w:val="Hyperlink"/>
            <w:rFonts w:eastAsia="SimSun"/>
            <w:sz w:val="20"/>
          </w:rPr>
          <w:t>CBD/COP/16/INF/13</w:t>
        </w:r>
      </w:hyperlink>
      <w:r w:rsidRPr="0091466B">
        <w:rPr>
          <w:rFonts w:eastAsia="SimSun"/>
          <w:sz w:val="20"/>
        </w:rPr>
        <w:t>。</w:t>
      </w:r>
    </w:p>
  </w:footnote>
  <w:footnote w:id="578">
    <w:p w14:paraId="2DFAD963" w14:textId="6895759E"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6" w:history="1">
        <w:r w:rsidRPr="00491B5E">
          <w:rPr>
            <w:rStyle w:val="Hyperlink"/>
            <w:rFonts w:eastAsia="SimSun"/>
            <w:sz w:val="20"/>
          </w:rPr>
          <w:t>CBD/COP/16/INF/14</w:t>
        </w:r>
      </w:hyperlink>
      <w:r w:rsidRPr="0091466B">
        <w:rPr>
          <w:rFonts w:eastAsia="SimSun"/>
          <w:sz w:val="20"/>
        </w:rPr>
        <w:t>。</w:t>
      </w:r>
    </w:p>
  </w:footnote>
  <w:footnote w:id="579">
    <w:p w14:paraId="32963839" w14:textId="6BB6A12A"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7" w:history="1">
        <w:r w:rsidRPr="00491B5E">
          <w:rPr>
            <w:rStyle w:val="Hyperlink"/>
            <w:rFonts w:eastAsia="SimSun"/>
            <w:sz w:val="20"/>
          </w:rPr>
          <w:t>CBD/COP/16/INF/15</w:t>
        </w:r>
      </w:hyperlink>
      <w:r w:rsidRPr="0091466B">
        <w:rPr>
          <w:rFonts w:eastAsia="SimSun"/>
          <w:sz w:val="20"/>
        </w:rPr>
        <w:t>。</w:t>
      </w:r>
    </w:p>
  </w:footnote>
  <w:footnote w:id="580">
    <w:p w14:paraId="19867B8F" w14:textId="3E07DF8F"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8" w:history="1">
        <w:r w:rsidRPr="00491B5E">
          <w:rPr>
            <w:rStyle w:val="Hyperlink"/>
            <w:rFonts w:eastAsia="SimSun"/>
            <w:sz w:val="20"/>
          </w:rPr>
          <w:t>CBD/COP/16/INF/16</w:t>
        </w:r>
      </w:hyperlink>
      <w:r w:rsidRPr="0091466B">
        <w:rPr>
          <w:rFonts w:eastAsia="SimSun"/>
          <w:sz w:val="20"/>
        </w:rPr>
        <w:t>。</w:t>
      </w:r>
    </w:p>
  </w:footnote>
  <w:footnote w:id="581">
    <w:p w14:paraId="02F7FF3B" w14:textId="08C489EB"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19" w:history="1">
        <w:r w:rsidRPr="00491B5E">
          <w:rPr>
            <w:rStyle w:val="Hyperlink"/>
            <w:rFonts w:eastAsia="SimSun"/>
            <w:sz w:val="20"/>
          </w:rPr>
          <w:t>CBD/COP/16/INF/17</w:t>
        </w:r>
      </w:hyperlink>
      <w:r w:rsidRPr="0091466B">
        <w:rPr>
          <w:rFonts w:eastAsia="SimSun"/>
          <w:sz w:val="20"/>
        </w:rPr>
        <w:t>。</w:t>
      </w:r>
    </w:p>
  </w:footnote>
  <w:footnote w:id="582">
    <w:p w14:paraId="3AEB3A23" w14:textId="6149ED60"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20" w:history="1">
        <w:r w:rsidRPr="00491B5E">
          <w:rPr>
            <w:rStyle w:val="Hyperlink"/>
            <w:rFonts w:eastAsia="SimSun"/>
            <w:sz w:val="20"/>
          </w:rPr>
          <w:t>CBD/COP/16/INF/18</w:t>
        </w:r>
      </w:hyperlink>
      <w:r w:rsidRPr="0091466B">
        <w:rPr>
          <w:rFonts w:eastAsia="SimSun"/>
          <w:sz w:val="20"/>
        </w:rPr>
        <w:t>。</w:t>
      </w:r>
    </w:p>
  </w:footnote>
  <w:footnote w:id="583">
    <w:p w14:paraId="6FE20008" w14:textId="794F084A"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21" w:history="1">
        <w:r w:rsidRPr="00491B5E">
          <w:rPr>
            <w:rStyle w:val="Hyperlink"/>
            <w:rFonts w:eastAsia="SimSun"/>
            <w:sz w:val="20"/>
          </w:rPr>
          <w:t>CBD/COP/16/INF/19</w:t>
        </w:r>
      </w:hyperlink>
      <w:r w:rsidRPr="0091466B">
        <w:rPr>
          <w:rFonts w:eastAsia="SimSun"/>
          <w:sz w:val="20"/>
        </w:rPr>
        <w:t>。</w:t>
      </w:r>
    </w:p>
  </w:footnote>
  <w:footnote w:id="584">
    <w:p w14:paraId="13269D31" w14:textId="736F13C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22" w:history="1">
        <w:r w:rsidRPr="00491B5E">
          <w:rPr>
            <w:rStyle w:val="Hyperlink"/>
            <w:rFonts w:eastAsia="SimSun"/>
            <w:sz w:val="20"/>
          </w:rPr>
          <w:t>CBD/COP/16/INF/20</w:t>
        </w:r>
      </w:hyperlink>
      <w:r w:rsidRPr="0091466B">
        <w:rPr>
          <w:rFonts w:eastAsia="SimSun"/>
          <w:sz w:val="20"/>
        </w:rPr>
        <w:t>。</w:t>
      </w:r>
    </w:p>
  </w:footnote>
  <w:footnote w:id="585">
    <w:p w14:paraId="3F1430AE" w14:textId="010279C3" w:rsidR="001136A9" w:rsidRPr="0091466B" w:rsidRDefault="001136A9"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23" w:history="1">
        <w:r w:rsidRPr="00491B5E">
          <w:rPr>
            <w:rStyle w:val="Hyperlink"/>
            <w:rFonts w:eastAsia="SimSun"/>
            <w:sz w:val="20"/>
          </w:rPr>
          <w:t>CBD/COP/16/INF/21</w:t>
        </w:r>
      </w:hyperlink>
      <w:r w:rsidRPr="0091466B">
        <w:rPr>
          <w:rFonts w:eastAsia="SimSun"/>
          <w:sz w:val="20"/>
        </w:rPr>
        <w:t>。</w:t>
      </w:r>
    </w:p>
  </w:footnote>
  <w:footnote w:id="586">
    <w:p w14:paraId="4020ECFF" w14:textId="6E5989F9"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491B5E">
        <w:rPr>
          <w:rFonts w:eastAsia="SimSun" w:hint="eastAsia"/>
          <w:sz w:val="20"/>
        </w:rPr>
        <w:t xml:space="preserve"> </w:t>
      </w:r>
      <w:hyperlink r:id="rId324" w:history="1">
        <w:r w:rsidRPr="00491B5E">
          <w:rPr>
            <w:rStyle w:val="Hyperlink"/>
            <w:rFonts w:eastAsia="SimSun"/>
            <w:sz w:val="20"/>
          </w:rPr>
          <w:t>CBD/COP/16/INF/23</w:t>
        </w:r>
      </w:hyperlink>
      <w:r w:rsidRPr="0091466B">
        <w:rPr>
          <w:rFonts w:eastAsia="SimSun"/>
          <w:sz w:val="20"/>
        </w:rPr>
        <w:t>。</w:t>
      </w:r>
    </w:p>
  </w:footnote>
  <w:footnote w:id="587">
    <w:p w14:paraId="0FEF5AE3" w14:textId="362BA2E1"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25" w:history="1">
        <w:r w:rsidRPr="00651B88">
          <w:rPr>
            <w:rStyle w:val="Hyperlink"/>
            <w:rFonts w:eastAsia="SimSun"/>
            <w:kern w:val="22"/>
            <w:sz w:val="20"/>
          </w:rPr>
          <w:t>CBD/COP/16/2/Rev.1</w:t>
        </w:r>
      </w:hyperlink>
      <w:r w:rsidRPr="0091466B">
        <w:rPr>
          <w:rFonts w:eastAsia="SimSun"/>
          <w:color w:val="000000"/>
          <w:kern w:val="22"/>
          <w:sz w:val="20"/>
        </w:rPr>
        <w:t>，项目</w:t>
      </w:r>
      <w:r w:rsidRPr="0091466B">
        <w:rPr>
          <w:rFonts w:eastAsia="SimSun"/>
          <w:color w:val="000000"/>
          <w:kern w:val="22"/>
          <w:sz w:val="20"/>
        </w:rPr>
        <w:t>14</w:t>
      </w:r>
      <w:r w:rsidRPr="0091466B">
        <w:rPr>
          <w:rFonts w:eastAsia="SimSun"/>
          <w:color w:val="000000"/>
          <w:kern w:val="22"/>
          <w:sz w:val="20"/>
        </w:rPr>
        <w:t>。</w:t>
      </w:r>
    </w:p>
  </w:footnote>
  <w:footnote w:id="588">
    <w:p w14:paraId="1D035258" w14:textId="2EC57E81" w:rsidR="001477E6" w:rsidRPr="0091466B" w:rsidRDefault="001477E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26" w:history="1">
        <w:r w:rsidRPr="00651B88">
          <w:rPr>
            <w:rStyle w:val="Hyperlink"/>
            <w:rFonts w:eastAsia="SimSun"/>
            <w:sz w:val="20"/>
          </w:rPr>
          <w:t>CBD/COP/16/INF/30</w:t>
        </w:r>
      </w:hyperlink>
      <w:r w:rsidR="00534E01">
        <w:rPr>
          <w:rFonts w:eastAsia="SimSun" w:hint="eastAsia"/>
          <w:sz w:val="20"/>
        </w:rPr>
        <w:t>，附件</w:t>
      </w:r>
      <w:r w:rsidRPr="0091466B">
        <w:rPr>
          <w:rFonts w:eastAsia="SimSun"/>
          <w:sz w:val="20"/>
        </w:rPr>
        <w:t>。</w:t>
      </w:r>
    </w:p>
  </w:footnote>
  <w:footnote w:id="589">
    <w:p w14:paraId="7B3AE3A5" w14:textId="28D5ACC2"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hyperlink r:id="rId327" w:history="1">
        <w:r w:rsidR="00651B88" w:rsidRPr="00651B88">
          <w:rPr>
            <w:rStyle w:val="Hyperlink"/>
            <w:rFonts w:eastAsia="SimSun" w:hint="eastAsia"/>
            <w:sz w:val="20"/>
          </w:rPr>
          <w:t xml:space="preserve"> </w:t>
        </w:r>
        <w:r w:rsidRPr="00651B88">
          <w:rPr>
            <w:rStyle w:val="Hyperlink"/>
            <w:rFonts w:eastAsia="SimSun"/>
            <w:sz w:val="20"/>
          </w:rPr>
          <w:t>CBD/COP/16/INF/35</w:t>
        </w:r>
      </w:hyperlink>
      <w:r w:rsidRPr="0091466B">
        <w:rPr>
          <w:rFonts w:eastAsia="SimSun"/>
          <w:sz w:val="20"/>
        </w:rPr>
        <w:t>。</w:t>
      </w:r>
    </w:p>
  </w:footnote>
  <w:footnote w:id="590">
    <w:p w14:paraId="3739BF1C" w14:textId="5B535839" w:rsidR="001477E6" w:rsidRPr="0091466B" w:rsidRDefault="001477E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28" w:history="1">
        <w:r w:rsidRPr="00651B88">
          <w:rPr>
            <w:rStyle w:val="Hyperlink"/>
            <w:rFonts w:eastAsia="SimSun"/>
            <w:sz w:val="20"/>
          </w:rPr>
          <w:t>CBD/COP/16/INF/36</w:t>
        </w:r>
      </w:hyperlink>
      <w:r w:rsidRPr="0091466B">
        <w:rPr>
          <w:rFonts w:eastAsia="SimSun"/>
          <w:sz w:val="20"/>
        </w:rPr>
        <w:t>。</w:t>
      </w:r>
    </w:p>
  </w:footnote>
  <w:footnote w:id="591">
    <w:p w14:paraId="42AD6BF2" w14:textId="276C5894"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00651B88">
        <w:rPr>
          <w:rFonts w:eastAsia="SimSun" w:hint="eastAsia"/>
          <w:sz w:val="20"/>
        </w:rPr>
        <w:t xml:space="preserve"> </w:t>
      </w:r>
      <w:r w:rsidRPr="0091466B">
        <w:rPr>
          <w:rFonts w:eastAsia="SimSun"/>
          <w:sz w:val="20"/>
        </w:rPr>
        <w:t xml:space="preserve"> </w:t>
      </w:r>
      <w:hyperlink r:id="rId329" w:history="1">
        <w:r w:rsidRPr="00651B88">
          <w:rPr>
            <w:rStyle w:val="Hyperlink"/>
            <w:rFonts w:eastAsia="SimSun"/>
            <w:sz w:val="20"/>
          </w:rPr>
          <w:t>CBD/COP/16/INF/37</w:t>
        </w:r>
      </w:hyperlink>
      <w:r w:rsidRPr="0091466B">
        <w:rPr>
          <w:rFonts w:eastAsia="SimSun"/>
          <w:sz w:val="20"/>
        </w:rPr>
        <w:t>。</w:t>
      </w:r>
    </w:p>
  </w:footnote>
  <w:footnote w:id="592">
    <w:p w14:paraId="7724E93C" w14:textId="7807A747" w:rsidR="008C6BE9" w:rsidRPr="0091466B" w:rsidRDefault="008C6BE9" w:rsidP="008C6BE9">
      <w:pPr>
        <w:pStyle w:val="FootnoteText"/>
        <w:rPr>
          <w:rFonts w:eastAsia="SimSun"/>
          <w:sz w:val="20"/>
        </w:rPr>
      </w:pPr>
      <w:r w:rsidRPr="0091466B">
        <w:rPr>
          <w:rStyle w:val="FootnoteReference"/>
          <w:rFonts w:eastAsia="SimSun"/>
          <w:sz w:val="20"/>
        </w:rPr>
        <w:footnoteRef/>
      </w:r>
      <w:r w:rsidR="00651B88">
        <w:rPr>
          <w:rFonts w:eastAsia="SimSun" w:hint="eastAsia"/>
          <w:sz w:val="20"/>
        </w:rPr>
        <w:t xml:space="preserve"> </w:t>
      </w:r>
      <w:r w:rsidRPr="0091466B">
        <w:rPr>
          <w:rFonts w:eastAsia="SimSun"/>
          <w:sz w:val="20"/>
        </w:rPr>
        <w:t xml:space="preserve"> </w:t>
      </w:r>
      <w:hyperlink r:id="rId330" w:history="1">
        <w:r w:rsidRPr="00651B88">
          <w:rPr>
            <w:rStyle w:val="Hyperlink"/>
            <w:rFonts w:eastAsia="SimSun"/>
            <w:sz w:val="20"/>
          </w:rPr>
          <w:t>CBD/COP/16/2/Rev.1</w:t>
        </w:r>
      </w:hyperlink>
      <w:r w:rsidRPr="0091466B">
        <w:rPr>
          <w:rFonts w:eastAsia="SimSun"/>
          <w:sz w:val="20"/>
        </w:rPr>
        <w:t>，项目</w:t>
      </w:r>
      <w:r w:rsidRPr="0091466B">
        <w:rPr>
          <w:rFonts w:eastAsia="SimSun"/>
          <w:sz w:val="20"/>
        </w:rPr>
        <w:t>15</w:t>
      </w:r>
      <w:r w:rsidRPr="0091466B">
        <w:rPr>
          <w:rFonts w:eastAsia="SimSun"/>
          <w:sz w:val="20"/>
        </w:rPr>
        <w:t>。</w:t>
      </w:r>
    </w:p>
  </w:footnote>
  <w:footnote w:id="593">
    <w:p w14:paraId="5426458A" w14:textId="42E3CFAD" w:rsidR="008C6BE9" w:rsidRPr="0091466B" w:rsidRDefault="008C6BE9" w:rsidP="008C6BE9">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r w:rsidRPr="0091466B">
        <w:rPr>
          <w:rFonts w:eastAsia="SimSun"/>
          <w:sz w:val="20"/>
        </w:rPr>
        <w:t>同上，项目</w:t>
      </w:r>
      <w:r w:rsidRPr="0091466B">
        <w:rPr>
          <w:rFonts w:eastAsia="SimSun"/>
          <w:sz w:val="20"/>
        </w:rPr>
        <w:t>16</w:t>
      </w:r>
      <w:r w:rsidRPr="0091466B">
        <w:rPr>
          <w:rFonts w:eastAsia="SimSun"/>
          <w:sz w:val="20"/>
        </w:rPr>
        <w:t>。</w:t>
      </w:r>
    </w:p>
  </w:footnote>
  <w:footnote w:id="594">
    <w:p w14:paraId="3DDF391C" w14:textId="38A2E947" w:rsidR="008C6BE9" w:rsidRPr="0091466B" w:rsidRDefault="008C6BE9" w:rsidP="008C6BE9">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31" w:history="1">
        <w:r w:rsidRPr="00651B88">
          <w:rPr>
            <w:rStyle w:val="Hyperlink"/>
            <w:rFonts w:eastAsia="SimSun"/>
            <w:sz w:val="20"/>
          </w:rPr>
          <w:t>CBD/COP/16/INF/9</w:t>
        </w:r>
      </w:hyperlink>
      <w:r w:rsidRPr="0091466B">
        <w:rPr>
          <w:rFonts w:eastAsia="SimSun"/>
          <w:sz w:val="20"/>
        </w:rPr>
        <w:t>。</w:t>
      </w:r>
    </w:p>
  </w:footnote>
  <w:footnote w:id="595">
    <w:p w14:paraId="4BC99736" w14:textId="61AAA44C" w:rsidR="00E5770C" w:rsidRPr="0091466B" w:rsidRDefault="00E5770C" w:rsidP="00E5770C">
      <w:pPr>
        <w:pStyle w:val="FootnoteText"/>
        <w:rPr>
          <w:rFonts w:eastAsia="SimSun"/>
          <w:sz w:val="20"/>
        </w:rPr>
      </w:pPr>
      <w:r w:rsidRPr="0091466B">
        <w:rPr>
          <w:rStyle w:val="FootnoteReference"/>
          <w:rFonts w:eastAsia="SimSun"/>
          <w:sz w:val="20"/>
        </w:rPr>
        <w:footnoteRef/>
      </w:r>
      <w:r w:rsidR="00651B88">
        <w:rPr>
          <w:rFonts w:eastAsia="SimSun" w:hint="eastAsia"/>
          <w:sz w:val="20"/>
        </w:rPr>
        <w:t xml:space="preserve"> </w:t>
      </w:r>
      <w:r w:rsidRPr="0091466B">
        <w:rPr>
          <w:rFonts w:eastAsia="SimSun"/>
          <w:sz w:val="20"/>
        </w:rPr>
        <w:t xml:space="preserve"> </w:t>
      </w:r>
      <w:hyperlink r:id="rId332" w:history="1">
        <w:r w:rsidRPr="00651B88">
          <w:rPr>
            <w:rStyle w:val="Hyperlink"/>
            <w:rFonts w:eastAsia="SimSun"/>
            <w:sz w:val="20"/>
          </w:rPr>
          <w:t>CBD/COP/16/2/Rev.1</w:t>
        </w:r>
      </w:hyperlink>
      <w:r w:rsidRPr="0091466B">
        <w:rPr>
          <w:rFonts w:eastAsia="SimSun"/>
          <w:sz w:val="20"/>
        </w:rPr>
        <w:t>，项目</w:t>
      </w:r>
      <w:r w:rsidRPr="0091466B">
        <w:rPr>
          <w:rFonts w:eastAsia="SimSun"/>
          <w:sz w:val="20"/>
        </w:rPr>
        <w:t>17</w:t>
      </w:r>
      <w:r w:rsidRPr="0091466B">
        <w:rPr>
          <w:rFonts w:eastAsia="SimSun"/>
          <w:sz w:val="20"/>
        </w:rPr>
        <w:t>。</w:t>
      </w:r>
    </w:p>
  </w:footnote>
  <w:footnote w:id="596">
    <w:p w14:paraId="1A5D9B48" w14:textId="1E9C81F7"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r w:rsidRPr="0091466B">
        <w:rPr>
          <w:rFonts w:eastAsia="SimSun"/>
          <w:sz w:val="20"/>
        </w:rPr>
        <w:t>同上，项目</w:t>
      </w:r>
      <w:r w:rsidRPr="0091466B">
        <w:rPr>
          <w:rFonts w:eastAsia="SimSun"/>
          <w:sz w:val="20"/>
        </w:rPr>
        <w:t>18</w:t>
      </w:r>
      <w:r w:rsidRPr="0091466B">
        <w:rPr>
          <w:rFonts w:eastAsia="SimSun"/>
          <w:sz w:val="20"/>
        </w:rPr>
        <w:t>。</w:t>
      </w:r>
    </w:p>
  </w:footnote>
  <w:footnote w:id="597">
    <w:p w14:paraId="07E8F393" w14:textId="7532A91C" w:rsidR="0063663F" w:rsidRPr="0091466B" w:rsidRDefault="0063663F" w:rsidP="0063663F">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r w:rsidR="0083036F" w:rsidRPr="0091466B">
        <w:rPr>
          <w:rFonts w:eastAsia="SimSun"/>
          <w:sz w:val="20"/>
        </w:rPr>
        <w:t>同上，</w:t>
      </w:r>
      <w:r w:rsidR="00D33AAC" w:rsidRPr="0091466B">
        <w:rPr>
          <w:rFonts w:eastAsia="SimSun"/>
          <w:sz w:val="20"/>
        </w:rPr>
        <w:t>项目</w:t>
      </w:r>
      <w:r w:rsidRPr="0091466B">
        <w:rPr>
          <w:rFonts w:eastAsia="SimSun"/>
          <w:sz w:val="20"/>
        </w:rPr>
        <w:t>19</w:t>
      </w:r>
      <w:r w:rsidR="0083036F" w:rsidRPr="0091466B">
        <w:rPr>
          <w:rFonts w:eastAsia="SimSun"/>
          <w:sz w:val="20"/>
        </w:rPr>
        <w:t>。</w:t>
      </w:r>
    </w:p>
  </w:footnote>
  <w:footnote w:id="598">
    <w:p w14:paraId="0E726DCC" w14:textId="338E82D8"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33" w:history="1">
        <w:r w:rsidRPr="00F0250B">
          <w:rPr>
            <w:rStyle w:val="Hyperlink"/>
            <w:rFonts w:eastAsia="SimSun"/>
            <w:sz w:val="20"/>
          </w:rPr>
          <w:t>CBD/COP/16/11</w:t>
        </w:r>
      </w:hyperlink>
      <w:r w:rsidRPr="0091466B">
        <w:rPr>
          <w:rFonts w:eastAsia="SimSun"/>
          <w:sz w:val="20"/>
        </w:rPr>
        <w:t>。</w:t>
      </w:r>
    </w:p>
  </w:footnote>
  <w:footnote w:id="599">
    <w:p w14:paraId="25B8E73B" w14:textId="7D3E730E"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34" w:history="1">
        <w:r w:rsidRPr="00651B88">
          <w:rPr>
            <w:rStyle w:val="Hyperlink"/>
            <w:rFonts w:eastAsia="SimSun"/>
            <w:sz w:val="20"/>
          </w:rPr>
          <w:t>CBD/COP/16/INF/6</w:t>
        </w:r>
      </w:hyperlink>
      <w:r w:rsidRPr="0091466B">
        <w:rPr>
          <w:rFonts w:eastAsia="SimSun"/>
          <w:sz w:val="20"/>
        </w:rPr>
        <w:t>。</w:t>
      </w:r>
    </w:p>
  </w:footnote>
  <w:footnote w:id="600">
    <w:p w14:paraId="38B2F41B" w14:textId="5FD0D114"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35" w:history="1">
        <w:r w:rsidRPr="00651B88">
          <w:rPr>
            <w:rStyle w:val="Hyperlink"/>
            <w:rFonts w:eastAsia="SimSun"/>
            <w:sz w:val="20"/>
          </w:rPr>
          <w:t>CBD/COP/16/INF/7</w:t>
        </w:r>
      </w:hyperlink>
      <w:r w:rsidRPr="0091466B">
        <w:rPr>
          <w:rFonts w:eastAsia="SimSun"/>
          <w:sz w:val="20"/>
        </w:rPr>
        <w:t>。</w:t>
      </w:r>
    </w:p>
  </w:footnote>
  <w:footnote w:id="601">
    <w:p w14:paraId="61FD6AE5" w14:textId="71D0691C" w:rsidR="00C00848" w:rsidRPr="0091466B" w:rsidRDefault="00C00848"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36" w:history="1">
        <w:r w:rsidRPr="00651B88">
          <w:rPr>
            <w:rStyle w:val="Hyperlink"/>
            <w:rFonts w:eastAsia="SimSun"/>
            <w:sz w:val="20"/>
          </w:rPr>
          <w:t>CBD/COP/16/2/Rev.1</w:t>
        </w:r>
      </w:hyperlink>
      <w:r w:rsidRPr="0091466B">
        <w:rPr>
          <w:rFonts w:eastAsia="SimSun"/>
          <w:sz w:val="20"/>
        </w:rPr>
        <w:t>，项目</w:t>
      </w:r>
      <w:r w:rsidRPr="0091466B">
        <w:rPr>
          <w:rFonts w:eastAsia="SimSun"/>
          <w:sz w:val="20"/>
        </w:rPr>
        <w:t>20</w:t>
      </w:r>
      <w:r w:rsidRPr="0091466B">
        <w:rPr>
          <w:rFonts w:eastAsia="SimSun"/>
          <w:sz w:val="20"/>
        </w:rPr>
        <w:t>。</w:t>
      </w:r>
    </w:p>
  </w:footnote>
  <w:footnote w:id="602">
    <w:p w14:paraId="31B479F6" w14:textId="2511BE28" w:rsidR="00C00848" w:rsidRPr="00384A30" w:rsidRDefault="00C00848"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hyperlink r:id="rId337" w:history="1">
        <w:r w:rsidR="00651B88" w:rsidRPr="00651B88">
          <w:rPr>
            <w:rStyle w:val="Hyperlink"/>
            <w:rFonts w:eastAsia="SimSun" w:hint="eastAsia"/>
            <w:sz w:val="20"/>
          </w:rPr>
          <w:t xml:space="preserve"> </w:t>
        </w:r>
        <w:r w:rsidRPr="00651B88">
          <w:rPr>
            <w:rStyle w:val="Hyperlink"/>
            <w:rFonts w:eastAsia="SimSun"/>
            <w:sz w:val="20"/>
          </w:rPr>
          <w:t>CBD/COP/16/INF/11</w:t>
        </w:r>
      </w:hyperlink>
      <w:r w:rsidRPr="0091466B">
        <w:rPr>
          <w:rFonts w:eastAsia="SimSun"/>
          <w:sz w:val="20"/>
        </w:rPr>
        <w:t>。</w:t>
      </w:r>
    </w:p>
  </w:footnote>
  <w:footnote w:id="603">
    <w:p w14:paraId="04DC1892" w14:textId="2EF707AA" w:rsidR="00C00848" w:rsidRPr="002A5D1C" w:rsidRDefault="00C00848" w:rsidP="002A5D1C">
      <w:pPr>
        <w:pStyle w:val="FootnoteText"/>
        <w:spacing w:after="60"/>
        <w:rPr>
          <w:rFonts w:eastAsia="SimSun"/>
          <w:sz w:val="20"/>
        </w:rPr>
      </w:pPr>
      <w:r w:rsidRPr="002A5D1C">
        <w:rPr>
          <w:rStyle w:val="FootnoteReference"/>
          <w:rFonts w:eastAsia="SimSun"/>
          <w:sz w:val="20"/>
        </w:rPr>
        <w:footnoteRef/>
      </w:r>
      <w:r w:rsidRPr="002A5D1C">
        <w:rPr>
          <w:rFonts w:eastAsia="SimSun"/>
          <w:sz w:val="20"/>
        </w:rPr>
        <w:t xml:space="preserve"> </w:t>
      </w:r>
      <w:r w:rsidR="00651B88">
        <w:rPr>
          <w:rFonts w:eastAsia="SimSun" w:hint="eastAsia"/>
          <w:sz w:val="20"/>
        </w:rPr>
        <w:t xml:space="preserve"> </w:t>
      </w:r>
      <w:hyperlink r:id="rId338" w:history="1">
        <w:r w:rsidRPr="00651B88">
          <w:rPr>
            <w:rStyle w:val="Hyperlink"/>
            <w:rFonts w:eastAsia="SimSun"/>
            <w:sz w:val="20"/>
          </w:rPr>
          <w:t>CBD/COP/16/2/Rev.1</w:t>
        </w:r>
      </w:hyperlink>
      <w:r w:rsidRPr="002A5D1C">
        <w:rPr>
          <w:rFonts w:eastAsia="SimSun"/>
          <w:sz w:val="20"/>
        </w:rPr>
        <w:t>，项目</w:t>
      </w:r>
      <w:r w:rsidRPr="002A5D1C">
        <w:rPr>
          <w:rFonts w:eastAsia="SimSun"/>
          <w:sz w:val="20"/>
        </w:rPr>
        <w:t>21</w:t>
      </w:r>
      <w:r w:rsidRPr="002A5D1C">
        <w:rPr>
          <w:rFonts w:eastAsia="SimSun"/>
          <w:sz w:val="20"/>
        </w:rPr>
        <w:t>。</w:t>
      </w:r>
    </w:p>
  </w:footnote>
  <w:footnote w:id="604">
    <w:p w14:paraId="5A5E5A2A" w14:textId="3A72391D" w:rsidR="00C00848" w:rsidRPr="002A5D1C" w:rsidRDefault="00C00848" w:rsidP="002A5D1C">
      <w:pPr>
        <w:pStyle w:val="FootnoteText"/>
        <w:spacing w:after="60"/>
        <w:rPr>
          <w:rFonts w:eastAsia="SimSun"/>
          <w:sz w:val="20"/>
        </w:rPr>
      </w:pPr>
      <w:r w:rsidRPr="002A5D1C">
        <w:rPr>
          <w:rStyle w:val="FootnoteReference"/>
          <w:rFonts w:eastAsia="SimSun"/>
          <w:sz w:val="20"/>
        </w:rPr>
        <w:footnoteRef/>
      </w:r>
      <w:r w:rsidRPr="002A5D1C">
        <w:rPr>
          <w:rFonts w:eastAsia="SimSun"/>
          <w:sz w:val="20"/>
        </w:rPr>
        <w:t xml:space="preserve"> </w:t>
      </w:r>
      <w:r w:rsidR="00651B88">
        <w:rPr>
          <w:rFonts w:eastAsia="SimSun" w:hint="eastAsia"/>
          <w:sz w:val="20"/>
        </w:rPr>
        <w:t xml:space="preserve"> </w:t>
      </w:r>
      <w:hyperlink r:id="rId339" w:history="1">
        <w:r w:rsidRPr="00651B88">
          <w:rPr>
            <w:rStyle w:val="Hyperlink"/>
            <w:rFonts w:eastAsia="SimSun"/>
            <w:sz w:val="20"/>
          </w:rPr>
          <w:t>CBD/COP/16/INF/28</w:t>
        </w:r>
      </w:hyperlink>
      <w:r w:rsidRPr="002A5D1C">
        <w:rPr>
          <w:rFonts w:eastAsia="SimSun"/>
          <w:sz w:val="20"/>
        </w:rPr>
        <w:t>。</w:t>
      </w:r>
    </w:p>
  </w:footnote>
  <w:footnote w:id="605">
    <w:p w14:paraId="30E70799" w14:textId="643252A3" w:rsidR="00C00848" w:rsidRPr="00651B88" w:rsidRDefault="00C00848" w:rsidP="002A5D1C">
      <w:pPr>
        <w:pStyle w:val="FootnoteText"/>
        <w:spacing w:after="60"/>
        <w:rPr>
          <w:rFonts w:eastAsia="SimSun"/>
          <w:sz w:val="20"/>
        </w:rPr>
      </w:pPr>
      <w:r w:rsidRPr="00651B88">
        <w:rPr>
          <w:rStyle w:val="FootnoteReference"/>
          <w:rFonts w:eastAsia="SimSun"/>
          <w:sz w:val="20"/>
        </w:rPr>
        <w:footnoteRef/>
      </w:r>
      <w:r w:rsidRPr="00651B88">
        <w:rPr>
          <w:rFonts w:eastAsia="SimSun"/>
          <w:sz w:val="20"/>
        </w:rPr>
        <w:t xml:space="preserve"> </w:t>
      </w:r>
      <w:r w:rsidR="00651B88" w:rsidRPr="00651B88">
        <w:rPr>
          <w:rFonts w:eastAsia="SimSun" w:hint="eastAsia"/>
          <w:sz w:val="20"/>
        </w:rPr>
        <w:t xml:space="preserve"> </w:t>
      </w:r>
      <w:r w:rsidRPr="00651B88">
        <w:rPr>
          <w:rFonts w:eastAsia="SimSun"/>
          <w:sz w:val="20"/>
        </w:rPr>
        <w:t>信函见</w:t>
      </w:r>
      <w:hyperlink r:id="rId340" w:history="1">
        <w:r w:rsidRPr="00651B88">
          <w:rPr>
            <w:rStyle w:val="Hyperlink"/>
            <w:rFonts w:eastAsia="SimSun"/>
            <w:sz w:val="20"/>
          </w:rPr>
          <w:t>www.cbd.int/documents/679245aac5696622ab011931</w:t>
        </w:r>
      </w:hyperlink>
      <w:r w:rsidRPr="00651B88">
        <w:rPr>
          <w:rFonts w:eastAsia="SimSun"/>
          <w:sz w:val="20"/>
        </w:rPr>
        <w:t>。</w:t>
      </w:r>
    </w:p>
  </w:footnote>
  <w:footnote w:id="606">
    <w:p w14:paraId="0DDBF37A" w14:textId="29054BB4" w:rsidR="002C121C" w:rsidRPr="0091466B" w:rsidRDefault="002C121C" w:rsidP="002C121C">
      <w:pPr>
        <w:pStyle w:val="FootnoteText"/>
        <w:rPr>
          <w:rFonts w:eastAsia="SimSun"/>
          <w:sz w:val="20"/>
        </w:rPr>
      </w:pPr>
      <w:r w:rsidRPr="00651B88">
        <w:rPr>
          <w:rStyle w:val="FootnoteReference"/>
          <w:rFonts w:eastAsia="SimSun"/>
          <w:sz w:val="20"/>
        </w:rPr>
        <w:footnoteRef/>
      </w:r>
      <w:r w:rsidRPr="00651B88">
        <w:rPr>
          <w:rFonts w:eastAsia="SimSun"/>
          <w:sz w:val="20"/>
        </w:rPr>
        <w:t xml:space="preserve"> </w:t>
      </w:r>
      <w:r w:rsidR="00651B88" w:rsidRPr="00651B88">
        <w:rPr>
          <w:rFonts w:eastAsia="SimSun" w:hint="eastAsia"/>
          <w:sz w:val="20"/>
        </w:rPr>
        <w:t xml:space="preserve"> </w:t>
      </w:r>
      <w:hyperlink r:id="rId341" w:history="1">
        <w:r w:rsidRPr="00651B88">
          <w:rPr>
            <w:rStyle w:val="Hyperlink"/>
            <w:rFonts w:eastAsia="SimSun"/>
            <w:sz w:val="20"/>
          </w:rPr>
          <w:t>CBD/COP/16/2/Rev.1</w:t>
        </w:r>
      </w:hyperlink>
      <w:r w:rsidRPr="00651B88">
        <w:rPr>
          <w:rFonts w:eastAsia="SimSun"/>
          <w:sz w:val="20"/>
        </w:rPr>
        <w:t>，项目</w:t>
      </w:r>
      <w:r w:rsidRPr="00651B88">
        <w:rPr>
          <w:rFonts w:eastAsia="SimSun"/>
          <w:sz w:val="20"/>
        </w:rPr>
        <w:t>22</w:t>
      </w:r>
      <w:r w:rsidRPr="00651B88">
        <w:rPr>
          <w:rFonts w:eastAsia="SimSun"/>
          <w:sz w:val="20"/>
        </w:rPr>
        <w:t>。</w:t>
      </w:r>
    </w:p>
  </w:footnote>
  <w:footnote w:id="607">
    <w:p w14:paraId="6DA64BB6" w14:textId="3B4A2D17" w:rsidR="00383610" w:rsidRPr="00AC0BB9" w:rsidRDefault="00383610" w:rsidP="00EB234D">
      <w:pPr>
        <w:pStyle w:val="FootnoteText"/>
        <w:spacing w:after="60"/>
        <w:rPr>
          <w:rFonts w:eastAsia="SimSun"/>
          <w:sz w:val="20"/>
        </w:rPr>
      </w:pPr>
      <w:r w:rsidRPr="00AC0BB9">
        <w:rPr>
          <w:rStyle w:val="FootnoteReference"/>
          <w:rFonts w:eastAsia="SimSun"/>
          <w:sz w:val="20"/>
        </w:rPr>
        <w:footnoteRef/>
      </w:r>
      <w:r w:rsidRPr="00AC0BB9">
        <w:rPr>
          <w:rFonts w:eastAsia="SimSun"/>
          <w:sz w:val="20"/>
        </w:rPr>
        <w:t xml:space="preserve"> </w:t>
      </w:r>
      <w:r w:rsidR="00651B88" w:rsidRPr="00AC0BB9">
        <w:rPr>
          <w:rFonts w:eastAsia="SimSun"/>
          <w:sz w:val="20"/>
        </w:rPr>
        <w:t xml:space="preserve"> </w:t>
      </w:r>
      <w:r w:rsidRPr="00AC0BB9">
        <w:rPr>
          <w:rFonts w:eastAsia="SimSun"/>
          <w:sz w:val="20"/>
        </w:rPr>
        <w:t>同上，项目</w:t>
      </w:r>
      <w:r w:rsidRPr="00AC0BB9">
        <w:rPr>
          <w:rFonts w:eastAsia="SimSun"/>
          <w:sz w:val="20"/>
        </w:rPr>
        <w:t>23</w:t>
      </w:r>
      <w:r w:rsidRPr="00AC0BB9">
        <w:rPr>
          <w:rFonts w:eastAsia="SimSun"/>
          <w:sz w:val="20"/>
        </w:rPr>
        <w:t>。</w:t>
      </w:r>
    </w:p>
  </w:footnote>
  <w:footnote w:id="608">
    <w:p w14:paraId="32382A87" w14:textId="27B0910A" w:rsidR="00383610" w:rsidRPr="0091466B" w:rsidRDefault="00383610" w:rsidP="00EB234D">
      <w:pPr>
        <w:pStyle w:val="FootnoteText"/>
        <w:spacing w:after="60"/>
        <w:rPr>
          <w:rFonts w:eastAsia="SimSun"/>
          <w:sz w:val="20"/>
        </w:rPr>
      </w:pPr>
      <w:r w:rsidRPr="00AC0BB9">
        <w:rPr>
          <w:rStyle w:val="FootnoteReference"/>
          <w:rFonts w:eastAsia="SimSun"/>
          <w:sz w:val="20"/>
        </w:rPr>
        <w:footnoteRef/>
      </w:r>
      <w:r w:rsidRPr="00AC0BB9">
        <w:rPr>
          <w:rFonts w:eastAsia="SimSun"/>
          <w:sz w:val="20"/>
        </w:rPr>
        <w:t xml:space="preserve"> </w:t>
      </w:r>
      <w:r w:rsidR="00651B88" w:rsidRPr="00AC0BB9">
        <w:rPr>
          <w:rFonts w:eastAsia="SimSun"/>
          <w:sz w:val="20"/>
        </w:rPr>
        <w:t xml:space="preserve"> </w:t>
      </w:r>
      <w:hyperlink r:id="rId342" w:history="1">
        <w:r w:rsidRPr="00AC0BB9">
          <w:rPr>
            <w:rStyle w:val="Hyperlink"/>
            <w:rFonts w:eastAsia="SimSun"/>
            <w:sz w:val="20"/>
          </w:rPr>
          <w:t>CBD/COP/16/INF/34</w:t>
        </w:r>
      </w:hyperlink>
      <w:r w:rsidRPr="00AC0BB9">
        <w:rPr>
          <w:rFonts w:eastAsia="SimSun"/>
          <w:sz w:val="20"/>
        </w:rPr>
        <w:t>。</w:t>
      </w:r>
    </w:p>
  </w:footnote>
  <w:footnote w:id="609">
    <w:p w14:paraId="304C550C" w14:textId="1A14460C" w:rsidR="00531B66" w:rsidRPr="0091466B" w:rsidRDefault="00531B66" w:rsidP="00651B88">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43" w:history="1">
        <w:r w:rsidRPr="00651B88">
          <w:rPr>
            <w:rStyle w:val="Hyperlink"/>
            <w:rFonts w:eastAsia="SimSun"/>
            <w:sz w:val="20"/>
          </w:rPr>
          <w:t>CBD/COP/16/2/Rev.1</w:t>
        </w:r>
      </w:hyperlink>
      <w:r w:rsidRPr="0091466B">
        <w:rPr>
          <w:rFonts w:eastAsia="SimSun"/>
          <w:sz w:val="20"/>
        </w:rPr>
        <w:t>，项目</w:t>
      </w:r>
      <w:r w:rsidRPr="0091466B">
        <w:rPr>
          <w:rFonts w:eastAsia="SimSun"/>
          <w:sz w:val="20"/>
        </w:rPr>
        <w:t>24</w:t>
      </w:r>
      <w:r w:rsidRPr="0091466B">
        <w:rPr>
          <w:rFonts w:eastAsia="SimSun"/>
          <w:sz w:val="20"/>
        </w:rPr>
        <w:t>。</w:t>
      </w:r>
    </w:p>
  </w:footnote>
  <w:footnote w:id="610">
    <w:p w14:paraId="711946A8" w14:textId="4AF7DC04" w:rsidR="007F099C" w:rsidRPr="0091466B" w:rsidRDefault="007F099C" w:rsidP="00651B88">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r w:rsidRPr="0091466B">
        <w:rPr>
          <w:rFonts w:eastAsia="SimSun"/>
          <w:sz w:val="20"/>
        </w:rPr>
        <w:t>同上，项目</w:t>
      </w:r>
      <w:r w:rsidRPr="0091466B">
        <w:rPr>
          <w:rFonts w:eastAsia="SimSun"/>
          <w:sz w:val="20"/>
        </w:rPr>
        <w:t>25</w:t>
      </w:r>
      <w:r w:rsidRPr="0091466B">
        <w:rPr>
          <w:rFonts w:eastAsia="SimSun"/>
          <w:sz w:val="20"/>
        </w:rPr>
        <w:t>。</w:t>
      </w:r>
    </w:p>
  </w:footnote>
  <w:footnote w:id="611">
    <w:p w14:paraId="654DEBBA" w14:textId="21C0522F" w:rsidR="007F099C" w:rsidRPr="0091466B" w:rsidRDefault="007F099C" w:rsidP="00651B88">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44" w:history="1">
        <w:r w:rsidRPr="00651B88">
          <w:rPr>
            <w:rStyle w:val="Hyperlink"/>
            <w:rFonts w:eastAsia="SimSun"/>
            <w:sz w:val="20"/>
          </w:rPr>
          <w:t>CBD/COP/16/INF/29</w:t>
        </w:r>
      </w:hyperlink>
      <w:r w:rsidRPr="0091466B">
        <w:rPr>
          <w:rFonts w:eastAsia="SimSun"/>
          <w:sz w:val="20"/>
        </w:rPr>
        <w:t>。</w:t>
      </w:r>
    </w:p>
  </w:footnote>
  <w:footnote w:id="612">
    <w:p w14:paraId="21AD4EB1" w14:textId="3F645649" w:rsidR="007F099C" w:rsidRPr="00AC0BB9" w:rsidRDefault="007F099C" w:rsidP="00EB234D">
      <w:pPr>
        <w:pStyle w:val="FootnoteText"/>
        <w:spacing w:after="60"/>
        <w:rPr>
          <w:rFonts w:eastAsia="SimSun"/>
          <w:sz w:val="20"/>
        </w:rPr>
      </w:pPr>
      <w:r w:rsidRPr="00AC0BB9">
        <w:rPr>
          <w:rStyle w:val="FootnoteReference"/>
          <w:rFonts w:eastAsia="SimSun"/>
          <w:sz w:val="20"/>
        </w:rPr>
        <w:footnoteRef/>
      </w:r>
      <w:r w:rsidR="00651B88" w:rsidRPr="00AC0BB9">
        <w:rPr>
          <w:rFonts w:eastAsia="SimSun"/>
          <w:sz w:val="20"/>
        </w:rPr>
        <w:t xml:space="preserve"> </w:t>
      </w:r>
      <w:r w:rsidRPr="00AC0BB9">
        <w:rPr>
          <w:rFonts w:eastAsia="SimSun"/>
          <w:sz w:val="20"/>
        </w:rPr>
        <w:t xml:space="preserve"> </w:t>
      </w:r>
      <w:hyperlink r:id="rId345" w:history="1">
        <w:r w:rsidRPr="00AC0BB9">
          <w:rPr>
            <w:rStyle w:val="Hyperlink"/>
            <w:rFonts w:eastAsia="SimSun"/>
            <w:sz w:val="20"/>
          </w:rPr>
          <w:t>CBD/COP/16/2/Rev.1</w:t>
        </w:r>
      </w:hyperlink>
      <w:r w:rsidRPr="00AC0BB9">
        <w:rPr>
          <w:rFonts w:eastAsia="SimSun"/>
          <w:sz w:val="20"/>
        </w:rPr>
        <w:t>，项目</w:t>
      </w:r>
      <w:r w:rsidRPr="00AC0BB9">
        <w:rPr>
          <w:rFonts w:eastAsia="SimSun"/>
          <w:sz w:val="20"/>
        </w:rPr>
        <w:t>26</w:t>
      </w:r>
      <w:r w:rsidRPr="00AC0BB9">
        <w:rPr>
          <w:rFonts w:eastAsia="SimSun"/>
          <w:sz w:val="20"/>
        </w:rPr>
        <w:t>。</w:t>
      </w:r>
    </w:p>
  </w:footnote>
  <w:footnote w:id="613">
    <w:p w14:paraId="416F3CDC" w14:textId="28939353" w:rsidR="007F099C" w:rsidRPr="0091466B" w:rsidRDefault="007F099C" w:rsidP="00EB234D">
      <w:pPr>
        <w:pStyle w:val="FootnoteText"/>
        <w:spacing w:after="60"/>
        <w:rPr>
          <w:rFonts w:eastAsia="SimSun"/>
          <w:sz w:val="20"/>
        </w:rPr>
      </w:pPr>
      <w:r w:rsidRPr="00AC0BB9">
        <w:rPr>
          <w:rStyle w:val="FootnoteReference"/>
          <w:rFonts w:eastAsia="SimSun"/>
          <w:sz w:val="20"/>
        </w:rPr>
        <w:footnoteRef/>
      </w:r>
      <w:r w:rsidR="00651B88" w:rsidRPr="00AC0BB9">
        <w:rPr>
          <w:rFonts w:eastAsia="SimSun"/>
          <w:sz w:val="20"/>
        </w:rPr>
        <w:t xml:space="preserve"> </w:t>
      </w:r>
      <w:r w:rsidRPr="00AC0BB9">
        <w:rPr>
          <w:rFonts w:eastAsia="SimSun"/>
          <w:sz w:val="20"/>
        </w:rPr>
        <w:t xml:space="preserve"> </w:t>
      </w:r>
      <w:hyperlink r:id="rId346" w:history="1">
        <w:r w:rsidRPr="00AC0BB9">
          <w:rPr>
            <w:rStyle w:val="Hyperlink"/>
            <w:rFonts w:eastAsia="SimSun"/>
            <w:sz w:val="20"/>
          </w:rPr>
          <w:t>CBD/COP/16/INF/10</w:t>
        </w:r>
      </w:hyperlink>
      <w:r w:rsidRPr="00AC0BB9">
        <w:rPr>
          <w:rFonts w:eastAsia="SimSun"/>
          <w:sz w:val="20"/>
        </w:rPr>
        <w:t>。</w:t>
      </w:r>
    </w:p>
  </w:footnote>
  <w:footnote w:id="614">
    <w:p w14:paraId="7CE4557E" w14:textId="3364A575"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00651B88">
        <w:rPr>
          <w:rFonts w:eastAsia="SimSun" w:hint="eastAsia"/>
          <w:sz w:val="20"/>
        </w:rPr>
        <w:t xml:space="preserve"> </w:t>
      </w:r>
      <w:hyperlink r:id="rId347" w:history="1">
        <w:r w:rsidRPr="00651B88">
          <w:rPr>
            <w:rStyle w:val="Hyperlink"/>
            <w:rFonts w:eastAsia="SimSun"/>
            <w:sz w:val="20"/>
          </w:rPr>
          <w:t>CBD/COP/16/2/Rev.1</w:t>
        </w:r>
      </w:hyperlink>
      <w:r w:rsidRPr="0091466B">
        <w:rPr>
          <w:rFonts w:eastAsia="SimSun"/>
          <w:sz w:val="20"/>
        </w:rPr>
        <w:t>，项目</w:t>
      </w:r>
      <w:r w:rsidRPr="0091466B">
        <w:rPr>
          <w:rFonts w:eastAsia="SimSun"/>
          <w:sz w:val="20"/>
        </w:rPr>
        <w:t>27</w:t>
      </w:r>
      <w:r w:rsidRPr="0091466B">
        <w:rPr>
          <w:rFonts w:eastAsia="SimSun"/>
          <w:sz w:val="20"/>
        </w:rPr>
        <w:t>。</w:t>
      </w:r>
    </w:p>
  </w:footnote>
  <w:footnote w:id="615">
    <w:p w14:paraId="3C2CFA1F" w14:textId="0512F3D5" w:rsidR="0025364D" w:rsidRPr="00651B88" w:rsidRDefault="0025364D" w:rsidP="0025364D">
      <w:pPr>
        <w:pStyle w:val="FootnoteText"/>
        <w:rPr>
          <w:rFonts w:eastAsia="SimSun"/>
          <w:sz w:val="20"/>
        </w:rPr>
      </w:pPr>
      <w:r w:rsidRPr="00651B88">
        <w:rPr>
          <w:rStyle w:val="FootnoteReference"/>
          <w:rFonts w:eastAsia="SimSun"/>
          <w:sz w:val="20"/>
        </w:rPr>
        <w:footnoteRef/>
      </w:r>
      <w:r w:rsidRPr="00651B88">
        <w:rPr>
          <w:rFonts w:eastAsia="SimSun"/>
          <w:sz w:val="20"/>
        </w:rPr>
        <w:t xml:space="preserve"> </w:t>
      </w:r>
      <w:r w:rsidR="00651B88" w:rsidRPr="00651B88">
        <w:rPr>
          <w:rFonts w:eastAsia="SimSun" w:hint="eastAsia"/>
          <w:sz w:val="20"/>
        </w:rPr>
        <w:t xml:space="preserve"> </w:t>
      </w:r>
      <w:r w:rsidRPr="00651B88">
        <w:rPr>
          <w:rFonts w:eastAsia="SimSun"/>
          <w:sz w:val="20"/>
        </w:rPr>
        <w:t>同上，项目</w:t>
      </w:r>
      <w:r w:rsidRPr="00651B88">
        <w:rPr>
          <w:rFonts w:eastAsia="SimSun"/>
          <w:sz w:val="20"/>
        </w:rPr>
        <w:t>28</w:t>
      </w:r>
      <w:r w:rsidRPr="00651B88">
        <w:rPr>
          <w:rFonts w:eastAsia="SimSun"/>
          <w:sz w:val="20"/>
        </w:rPr>
        <w:t>。</w:t>
      </w:r>
    </w:p>
  </w:footnote>
  <w:footnote w:id="616">
    <w:p w14:paraId="05598D34" w14:textId="4367ED9A" w:rsidR="00651B88" w:rsidRDefault="00651B88">
      <w:pPr>
        <w:pStyle w:val="FootnoteText"/>
      </w:pPr>
      <w:r w:rsidRPr="00651B88">
        <w:rPr>
          <w:rStyle w:val="FootnoteReference"/>
          <w:sz w:val="20"/>
        </w:rPr>
        <w:footnoteRef/>
      </w:r>
      <w:r w:rsidRPr="00651B88">
        <w:rPr>
          <w:sz w:val="20"/>
        </w:rPr>
        <w:t xml:space="preserve"> </w:t>
      </w:r>
      <w:r w:rsidRPr="00651B88">
        <w:rPr>
          <w:rFonts w:hint="eastAsia"/>
          <w:sz w:val="20"/>
        </w:rPr>
        <w:t xml:space="preserve"> </w:t>
      </w:r>
      <w:hyperlink r:id="rId348" w:history="1">
        <w:r w:rsidRPr="00651B88">
          <w:rPr>
            <w:rStyle w:val="Hyperlink"/>
            <w:kern w:val="22"/>
            <w:sz w:val="20"/>
          </w:rPr>
          <w:t>CBD/COP/16/L.1/Rev.1</w:t>
        </w:r>
      </w:hyperlink>
      <w:r w:rsidRPr="00651B88">
        <w:rPr>
          <w:rFonts w:hint="eastAsia"/>
          <w:kern w:val="22"/>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45EF" w14:textId="1970AC3B" w:rsidR="006D5DBD" w:rsidRPr="008610FD" w:rsidRDefault="00F9092A" w:rsidP="008610FD">
    <w:pPr>
      <w:pStyle w:val="Header"/>
      <w:spacing w:after="240"/>
      <w:rPr>
        <w:szCs w:val="20"/>
        <w:lang w:val="en-CA"/>
      </w:rPr>
    </w:pPr>
    <w:r w:rsidRPr="00F9092A">
      <w:rPr>
        <w:szCs w:val="20"/>
        <w:lang w:val="en-CA"/>
      </w:rPr>
      <w:t>CBD/COP/16/13/Rev.1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3966" w14:textId="1A44CC9B" w:rsidR="006D5DBD" w:rsidRPr="008610FD" w:rsidRDefault="00F9092A" w:rsidP="008610FD">
    <w:pPr>
      <w:pStyle w:val="Header"/>
      <w:spacing w:after="240"/>
      <w:jc w:val="right"/>
      <w:rPr>
        <w:szCs w:val="20"/>
        <w:lang w:val="en-CA"/>
      </w:rPr>
    </w:pPr>
    <w:r w:rsidRPr="00F9092A">
      <w:rPr>
        <w:szCs w:val="20"/>
        <w:lang w:val="en-CA"/>
      </w:rPr>
      <w:t>CBD/COP/16/13/Rev.1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A7DF" w14:textId="24516DB9" w:rsidR="00382AC2" w:rsidRPr="001D43B7" w:rsidRDefault="00000000">
    <w:pPr>
      <w:pStyle w:val="Header"/>
      <w:rPr>
        <w:lang w:val="en-CA"/>
      </w:rPr>
    </w:pPr>
    <w:sdt>
      <w:sdtPr>
        <w:rPr>
          <w:szCs w:val="20"/>
          <w:lang w:val="en-CA"/>
        </w:rPr>
        <w:alias w:val="Subject"/>
        <w:tag w:val=""/>
        <w:id w:val="-324047390"/>
        <w:dataBinding w:prefixMappings="xmlns:ns0='http://purl.org/dc/elements/1.1/' xmlns:ns1='http://schemas.openxmlformats.org/package/2006/metadata/core-properties' " w:xpath="/ns1:coreProperties[1]/ns0:subject[1]" w:storeItemID="{6C3C8BC8-F283-45AE-878A-BAB7291924A1}"/>
        <w:text/>
      </w:sdtPr>
      <w:sdtContent>
        <w:r w:rsidR="000C0842">
          <w:rPr>
            <w:szCs w:val="20"/>
            <w:lang w:val="en-CA"/>
          </w:rPr>
          <w:t>CBD/COP/16/13/Rev.1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649E" w14:textId="0CA49207" w:rsidR="00382AC2" w:rsidRPr="001D43B7" w:rsidRDefault="00000000" w:rsidP="00611F0A">
    <w:pPr>
      <w:pStyle w:val="Header"/>
      <w:jc w:val="right"/>
      <w:rPr>
        <w:lang w:val="en-CA"/>
      </w:rPr>
    </w:pPr>
    <w:sdt>
      <w:sdtPr>
        <w:rPr>
          <w:szCs w:val="20"/>
        </w:rPr>
        <w:alias w:val="Subject"/>
        <w:tag w:val=""/>
        <w:id w:val="-721209052"/>
        <w:dataBinding w:prefixMappings="xmlns:ns0='http://purl.org/dc/elements/1.1/' xmlns:ns1='http://schemas.openxmlformats.org/package/2006/metadata/core-properties' " w:xpath="/ns1:coreProperties[1]/ns0:subject[1]" w:storeItemID="{6C3C8BC8-F283-45AE-878A-BAB7291924A1}"/>
        <w:text/>
      </w:sdtPr>
      <w:sdtContent>
        <w:r w:rsidR="000C0842" w:rsidRPr="000C0842">
          <w:rPr>
            <w:szCs w:val="20"/>
          </w:rPr>
          <w:t>CBD/COP/16/13/Rev.1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E422" w14:textId="4652B7E4" w:rsidR="00A15ED2" w:rsidRDefault="00000000" w:rsidP="00A15ED2">
    <w:pPr>
      <w:pStyle w:val="Header"/>
      <w:jc w:val="right"/>
    </w:pPr>
    <w:sdt>
      <w:sdtPr>
        <w:rPr>
          <w:szCs w:val="20"/>
          <w:lang w:val="en-CA"/>
        </w:rPr>
        <w:alias w:val="Subject"/>
        <w:tag w:val=""/>
        <w:id w:val="-1763288759"/>
        <w:dataBinding w:prefixMappings="xmlns:ns0='http://purl.org/dc/elements/1.1/' xmlns:ns1='http://schemas.openxmlformats.org/package/2006/metadata/core-properties' " w:xpath="/ns1:coreProperties[1]/ns0:subject[1]" w:storeItemID="{6C3C8BC8-F283-45AE-878A-BAB7291924A1}"/>
        <w:text/>
      </w:sdtPr>
      <w:sdtContent>
        <w:r w:rsidR="000C0842">
          <w:rPr>
            <w:szCs w:val="20"/>
            <w:lang w:val="en-CA"/>
          </w:rPr>
          <w:t>CBD/COP/16/13/Rev.1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5B0A" w14:textId="109B6CBC" w:rsidR="004C57B0" w:rsidRPr="002B559C" w:rsidRDefault="004C57B0" w:rsidP="002B559C">
    <w:pPr>
      <w:pStyle w:val="Header"/>
      <w:spacing w:after="240"/>
      <w:rPr>
        <w:szCs w:val="20"/>
        <w:lang w:val="fr-FR"/>
      </w:rPr>
    </w:pPr>
    <w:r w:rsidRPr="00226F3C">
      <w:rPr>
        <w:szCs w:val="20"/>
        <w:lang w:val="fr-FR"/>
      </w:rPr>
      <w:t>CBD/COP/16/</w:t>
    </w:r>
    <w:r w:rsidR="00A15ED2">
      <w:rPr>
        <w:rFonts w:hint="eastAsia"/>
        <w:szCs w:val="20"/>
        <w:lang w:val="fr-FR"/>
      </w:rPr>
      <w:t>1</w:t>
    </w:r>
    <w:r>
      <w:rPr>
        <w:rFonts w:hint="eastAsia"/>
        <w:szCs w:val="20"/>
        <w:lang w:val="fr-FR"/>
      </w:rPr>
      <w:t>3</w:t>
    </w:r>
    <w:r w:rsidR="000C0842">
      <w:rPr>
        <w:rFonts w:hint="eastAsia"/>
        <w:szCs w:val="20"/>
      </w:rPr>
      <w:t>/Rev.1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750C" w14:textId="28EFBFBD" w:rsidR="004C57B0" w:rsidRDefault="004C57B0" w:rsidP="00A73CBC">
    <w:pPr>
      <w:pStyle w:val="Header"/>
      <w:jc w:val="right"/>
    </w:pPr>
    <w:r>
      <w:t>CBD/COP/16/</w:t>
    </w:r>
    <w:r w:rsidR="00A15ED2">
      <w:rPr>
        <w:rFonts w:hint="eastAsia"/>
      </w:rPr>
      <w:t>13</w:t>
    </w:r>
    <w:r w:rsidR="000C0842">
      <w:rPr>
        <w:rFonts w:hint="eastAsia"/>
        <w:szCs w:val="20"/>
      </w:rPr>
      <w:t>/Rev.1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EC37" w14:textId="57306BCB" w:rsidR="004C57B0" w:rsidRPr="00A15ED2" w:rsidRDefault="00F9092A" w:rsidP="00A15ED2">
    <w:pPr>
      <w:pStyle w:val="Header"/>
    </w:pPr>
    <w:r w:rsidRPr="00F9092A">
      <w:rPr>
        <w:szCs w:val="20"/>
        <w:lang w:val="en-CA"/>
      </w:rPr>
      <w:t>CBD/COP/16/13/Rev.1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9670" w14:textId="39443FDD" w:rsidR="00BE4712" w:rsidRPr="002B559C" w:rsidRDefault="00BE4712" w:rsidP="002B559C">
    <w:pPr>
      <w:pStyle w:val="Header"/>
      <w:spacing w:after="240"/>
      <w:rPr>
        <w:szCs w:val="20"/>
        <w:lang w:val="fr-FR"/>
      </w:rPr>
    </w:pPr>
    <w:bookmarkStart w:id="187" w:name="_Hlk137802784"/>
    <w:bookmarkStart w:id="188" w:name="_Hlk137802785"/>
    <w:r>
      <w:rPr>
        <w:szCs w:val="20"/>
        <w:lang w:val="fr-FR"/>
      </w:rPr>
      <w:t>CBD/COP/16/</w:t>
    </w:r>
    <w:bookmarkEnd w:id="187"/>
    <w:bookmarkEnd w:id="188"/>
    <w:r w:rsidR="00DF247C">
      <w:rPr>
        <w:szCs w:val="20"/>
      </w:rPr>
      <w:t>1</w:t>
    </w:r>
    <w:r w:rsidR="00D54633">
      <w:rPr>
        <w:rFonts w:hint="eastAsia"/>
        <w:szCs w:val="20"/>
      </w:rPr>
      <w:t>3</w:t>
    </w:r>
    <w:r w:rsidR="000C0842">
      <w:rPr>
        <w:rFonts w:hint="eastAsia"/>
        <w:szCs w:val="20"/>
      </w:rPr>
      <w:t>/Rev.1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FC6F" w14:textId="27F7E8F0" w:rsidR="00BE4712" w:rsidRDefault="00BE4712" w:rsidP="00A73CBC">
    <w:pPr>
      <w:pStyle w:val="Header"/>
      <w:jc w:val="right"/>
    </w:pPr>
    <w:r>
      <w:t>CBD/COP/16/</w:t>
    </w:r>
    <w:r w:rsidR="00DF247C">
      <w:rPr>
        <w:szCs w:val="20"/>
      </w:rPr>
      <w:t>1</w:t>
    </w:r>
    <w:r w:rsidR="00D54633">
      <w:rPr>
        <w:rFonts w:hint="eastAsia"/>
        <w:szCs w:val="20"/>
      </w:rPr>
      <w:t>3</w:t>
    </w:r>
    <w:r w:rsidR="000C0842">
      <w:rPr>
        <w:rFonts w:hint="eastAsia"/>
        <w:szCs w:val="20"/>
      </w:rPr>
      <w:t>/Rev.1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910F" w14:textId="77777777" w:rsidR="00BE4712" w:rsidRDefault="00BE471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4DCC1AA2"/>
    <w:lvl w:ilvl="0" w:tplc="0C685ED6">
      <w:start w:val="1"/>
      <w:numFmt w:val="decimal"/>
      <w:lvlText w:val="%1."/>
      <w:lvlJc w:val="left"/>
      <w:pPr>
        <w:ind w:left="1340" w:hanging="360"/>
      </w:pPr>
      <w:rPr>
        <w:rFonts w:ascii="Times New Roman" w:hAnsi="Times New Roman" w:cs="Times New Roman" w:hint="default"/>
        <w:b w:val="0"/>
      </w:rPr>
    </w:lvl>
    <w:lvl w:ilvl="1" w:tplc="04090019">
      <w:start w:val="1"/>
      <w:numFmt w:val="lowerLetter"/>
      <w:lvlText w:val="%2."/>
      <w:lvlJc w:val="left"/>
      <w:pPr>
        <w:ind w:left="2060" w:hanging="360"/>
      </w:pPr>
      <w:rPr>
        <w:rFonts w:cs="Times New Roman"/>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B97B35"/>
    <w:multiLevelType w:val="hybridMultilevel"/>
    <w:tmpl w:val="7258F9AA"/>
    <w:lvl w:ilvl="0" w:tplc="FFFFFFFF">
      <w:start w:val="1"/>
      <w:numFmt w:val="decimal"/>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4" w15:restartNumberingAfterBreak="0">
    <w:nsid w:val="04931D0B"/>
    <w:multiLevelType w:val="hybridMultilevel"/>
    <w:tmpl w:val="18D61D1A"/>
    <w:lvl w:ilvl="0" w:tplc="174AE974">
      <w:start w:val="1"/>
      <w:numFmt w:val="decimal"/>
      <w:lvlText w:val="%1."/>
      <w:lvlJc w:val="left"/>
      <w:pPr>
        <w:ind w:left="360" w:hanging="36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58201EA"/>
    <w:multiLevelType w:val="hybridMultilevel"/>
    <w:tmpl w:val="8DD6B5CC"/>
    <w:lvl w:ilvl="0" w:tplc="10B0B2A8">
      <w:start w:val="1"/>
      <w:numFmt w:val="lowerLetter"/>
      <w:lvlText w:val="(%1)"/>
      <w:lvlJc w:val="left"/>
      <w:pPr>
        <w:ind w:left="2074" w:hanging="360"/>
      </w:pPr>
      <w:rPr>
        <w:rFonts w:hint="default"/>
      </w:rPr>
    </w:lvl>
    <w:lvl w:ilvl="1" w:tplc="FFFFFFFF">
      <w:start w:val="1"/>
      <w:numFmt w:val="lowerLetter"/>
      <w:lvlText w:val="%2."/>
      <w:lvlJc w:val="left"/>
      <w:pPr>
        <w:ind w:left="2794" w:hanging="360"/>
      </w:pPr>
    </w:lvl>
    <w:lvl w:ilvl="2" w:tplc="FFFFFFFF">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6"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E678BA"/>
    <w:multiLevelType w:val="hybridMultilevel"/>
    <w:tmpl w:val="182CCD1E"/>
    <w:lvl w:ilvl="0" w:tplc="939A1EDC">
      <w:start w:val="1"/>
      <w:numFmt w:val="decimal"/>
      <w:lvlText w:val="%1."/>
      <w:lvlJc w:val="left"/>
      <w:pPr>
        <w:ind w:left="1210" w:hanging="360"/>
      </w:pPr>
      <w:rPr>
        <w:rFonts w:ascii="Times New Roman" w:hAnsi="Times New Roman" w:cs="Times New Roman" w:hint="default"/>
      </w:rPr>
    </w:lvl>
    <w:lvl w:ilvl="1" w:tplc="9450489E">
      <w:start w:val="1"/>
      <w:numFmt w:val="lowerLetter"/>
      <w:lvlText w:val="(%2)"/>
      <w:lvlJc w:val="left"/>
      <w:pPr>
        <w:ind w:left="1577" w:hanging="497"/>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256491"/>
    <w:multiLevelType w:val="hybridMultilevel"/>
    <w:tmpl w:val="74AECF8C"/>
    <w:lvl w:ilvl="0" w:tplc="579C6FDA">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0E32E8"/>
    <w:multiLevelType w:val="hybridMultilevel"/>
    <w:tmpl w:val="2B48E7CC"/>
    <w:lvl w:ilvl="0" w:tplc="EDE63760">
      <w:start w:val="1"/>
      <w:numFmt w:val="lowerLetter"/>
      <w:lvlText w:val="(%1)"/>
      <w:lvlJc w:val="left"/>
      <w:pPr>
        <w:ind w:left="720" w:hanging="360"/>
      </w:pPr>
      <w:rPr>
        <w:rFonts w:cs="Times New Roman" w:hint="default"/>
        <w:i w:val="0"/>
        <w:iCs w:val="0"/>
        <w:sz w:val="22"/>
      </w:rPr>
    </w:lvl>
    <w:lvl w:ilvl="1" w:tplc="FFFFFFFF">
      <w:start w:val="1"/>
      <w:numFmt w:val="lowerLetter"/>
      <w:lvlText w:val="(%2)"/>
      <w:lvlJc w:val="left"/>
      <w:pPr>
        <w:ind w:left="1526" w:hanging="446"/>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01213E"/>
    <w:multiLevelType w:val="hybridMultilevel"/>
    <w:tmpl w:val="D47A043C"/>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D2406F56">
      <w:start w:val="1"/>
      <w:numFmt w:val="decimal"/>
      <w:lvlText w:val="%3."/>
      <w:lvlJc w:val="left"/>
      <w:pPr>
        <w:ind w:left="2830" w:hanging="360"/>
      </w:pPr>
      <w:rPr>
        <w:rFonts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6"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1F09EA"/>
    <w:multiLevelType w:val="hybridMultilevel"/>
    <w:tmpl w:val="BC8CE932"/>
    <w:lvl w:ilvl="0" w:tplc="1BEEF7AA">
      <w:start w:val="1"/>
      <w:numFmt w:val="decimal"/>
      <w:lvlText w:val="%1."/>
      <w:lvlJc w:val="left"/>
      <w:pPr>
        <w:ind w:left="786" w:hanging="360"/>
      </w:pPr>
      <w:rPr>
        <w:rFonts w:ascii="Times New Roman" w:hAnsi="Times New Roman" w:cs="Times New Roman" w:hint="default"/>
        <w:b w:val="0"/>
        <w:sz w:val="24"/>
        <w:lang w:val="en-US"/>
      </w:rPr>
    </w:lvl>
    <w:lvl w:ilvl="1" w:tplc="9784380C">
      <w:start w:val="1"/>
      <w:numFmt w:val="lowerLetter"/>
      <w:lvlText w:val="%2."/>
      <w:lvlJc w:val="left"/>
      <w:pPr>
        <w:ind w:left="1930" w:hanging="360"/>
      </w:pPr>
      <w:rPr>
        <w:rFonts w:ascii="Times New Roman" w:hAnsi="Times New Roman" w:cs="Times New Roman" w:hint="default"/>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8"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C2B047E"/>
    <w:multiLevelType w:val="hybridMultilevel"/>
    <w:tmpl w:val="E8F6AAD6"/>
    <w:lvl w:ilvl="0" w:tplc="10B0B2A8">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0E4B72DC"/>
    <w:multiLevelType w:val="hybridMultilevel"/>
    <w:tmpl w:val="42F4213E"/>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5"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EB7471E"/>
    <w:multiLevelType w:val="hybridMultilevel"/>
    <w:tmpl w:val="0C100F2E"/>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8" w15:restartNumberingAfterBreak="0">
    <w:nsid w:val="0FC818EC"/>
    <w:multiLevelType w:val="hybridMultilevel"/>
    <w:tmpl w:val="2AB25ACE"/>
    <w:lvl w:ilvl="0" w:tplc="EFFA04A4">
      <w:start w:val="1"/>
      <w:numFmt w:val="chineseCountingThousand"/>
      <w:lvlText w:val="(%1)"/>
      <w:lvlJc w:val="left"/>
      <w:pPr>
        <w:ind w:left="2189" w:hanging="360"/>
      </w:pPr>
      <w:rPr>
        <w:rFonts w:eastAsia="Malgun Gothic" w:hint="default"/>
        <w:color w:val="auto"/>
        <w:sz w:val="20"/>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9"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0"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0A25591"/>
    <w:multiLevelType w:val="hybridMultilevel"/>
    <w:tmpl w:val="488A6748"/>
    <w:lvl w:ilvl="0" w:tplc="10B0B2A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3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22F5527"/>
    <w:multiLevelType w:val="hybridMultilevel"/>
    <w:tmpl w:val="AE9E64BE"/>
    <w:lvl w:ilvl="0" w:tplc="6704970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6561BDC"/>
    <w:multiLevelType w:val="hybridMultilevel"/>
    <w:tmpl w:val="30C67844"/>
    <w:lvl w:ilvl="0" w:tplc="A150F74A">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4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777726F"/>
    <w:multiLevelType w:val="hybridMultilevel"/>
    <w:tmpl w:val="AD8A2338"/>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80A73DF"/>
    <w:multiLevelType w:val="hybridMultilevel"/>
    <w:tmpl w:val="EB747BBC"/>
    <w:lvl w:ilvl="0" w:tplc="2B4E9446">
      <w:start w:val="3"/>
      <w:numFmt w:val="lowerLetter"/>
      <w:lvlText w:val="(%1)"/>
      <w:lvlJc w:val="left"/>
      <w:pPr>
        <w:ind w:left="170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1AE7342B"/>
    <w:multiLevelType w:val="multilevel"/>
    <w:tmpl w:val="01A2DD3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50"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1BCC27FA"/>
    <w:multiLevelType w:val="hybridMultilevel"/>
    <w:tmpl w:val="B290C86C"/>
    <w:lvl w:ilvl="0" w:tplc="10B0B2A8">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3"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D241FF7"/>
    <w:multiLevelType w:val="hybridMultilevel"/>
    <w:tmpl w:val="7258F9AA"/>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5"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58" w15:restartNumberingAfterBreak="0">
    <w:nsid w:val="1DBE2603"/>
    <w:multiLevelType w:val="hybridMultilevel"/>
    <w:tmpl w:val="0A2225B6"/>
    <w:lvl w:ilvl="0" w:tplc="EDE63760">
      <w:start w:val="1"/>
      <w:numFmt w:val="lowerLetter"/>
      <w:lvlText w:val="(%1)"/>
      <w:lvlJc w:val="left"/>
      <w:pPr>
        <w:ind w:left="1700" w:hanging="360"/>
      </w:pPr>
      <w:rPr>
        <w:rFonts w:cs="Times New Roman" w:hint="default"/>
        <w:i w:val="0"/>
        <w:iCs w:val="0"/>
        <w:sz w:val="22"/>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9"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1E280B76"/>
    <w:multiLevelType w:val="hybridMultilevel"/>
    <w:tmpl w:val="BCE07E54"/>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20510320"/>
    <w:multiLevelType w:val="hybridMultilevel"/>
    <w:tmpl w:val="2650263E"/>
    <w:lvl w:ilvl="0" w:tplc="67049708">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3"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7"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3717DC"/>
    <w:multiLevelType w:val="hybridMultilevel"/>
    <w:tmpl w:val="4FB2F698"/>
    <w:lvl w:ilvl="0" w:tplc="EB76A494">
      <w:start w:val="1"/>
      <w:numFmt w:val="lowerLetter"/>
      <w:lvlText w:val="(%1)"/>
      <w:lvlJc w:val="left"/>
      <w:pPr>
        <w:ind w:left="1210" w:hanging="360"/>
      </w:pPr>
      <w:rPr>
        <w:rFonts w:hint="default"/>
        <w:color w:val="auto"/>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9" w15:restartNumberingAfterBreak="0">
    <w:nsid w:val="24877899"/>
    <w:multiLevelType w:val="hybridMultilevel"/>
    <w:tmpl w:val="D3DE77EC"/>
    <w:lvl w:ilvl="0" w:tplc="023622DC">
      <w:start w:val="1"/>
      <w:numFmt w:val="lowerLetter"/>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0" w15:restartNumberingAfterBreak="0">
    <w:nsid w:val="24883125"/>
    <w:multiLevelType w:val="hybridMultilevel"/>
    <w:tmpl w:val="AB3E0738"/>
    <w:lvl w:ilvl="0" w:tplc="65DE7F6C">
      <w:start w:val="1"/>
      <w:numFmt w:val="lowerLetter"/>
      <w:lvlText w:val="(%1)"/>
      <w:lvlJc w:val="left"/>
      <w:pPr>
        <w:ind w:left="1436" w:hanging="456"/>
      </w:pPr>
      <w:rPr>
        <w:rFonts w:hint="default"/>
        <w:lang w:val="en-US"/>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71" w15:restartNumberingAfterBreak="0">
    <w:nsid w:val="24B60A64"/>
    <w:multiLevelType w:val="hybridMultilevel"/>
    <w:tmpl w:val="534033AC"/>
    <w:lvl w:ilvl="0" w:tplc="BC18995E">
      <w:start w:val="1"/>
      <w:numFmt w:val="decimal"/>
      <w:lvlText w:val="%1."/>
      <w:lvlJc w:val="left"/>
      <w:pPr>
        <w:ind w:left="1700" w:hanging="360"/>
      </w:pPr>
      <w:rPr>
        <w:rFonts w:ascii="Times New Roman" w:hAnsi="Times New Roman" w:hint="default"/>
        <w:b w:val="0"/>
        <w:vertAlign w:val="baseline"/>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5EF7A13"/>
    <w:multiLevelType w:val="hybridMultilevel"/>
    <w:tmpl w:val="EA10E53C"/>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3"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6" w15:restartNumberingAfterBreak="0">
    <w:nsid w:val="26EC56CD"/>
    <w:multiLevelType w:val="hybridMultilevel"/>
    <w:tmpl w:val="CEF41576"/>
    <w:lvl w:ilvl="0" w:tplc="A4586B36">
      <w:start w:val="1"/>
      <w:numFmt w:val="lowerLetter"/>
      <w:lvlText w:val="(%1)"/>
      <w:lvlJc w:val="left"/>
      <w:pPr>
        <w:ind w:left="1700" w:hanging="360"/>
      </w:pPr>
      <w:rPr>
        <w:rFonts w:hint="default"/>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7"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78"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7A11488"/>
    <w:multiLevelType w:val="hybridMultilevel"/>
    <w:tmpl w:val="6130F2E0"/>
    <w:lvl w:ilvl="0" w:tplc="5F9AEFFC">
      <w:start w:val="1"/>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0"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81" w15:restartNumberingAfterBreak="0">
    <w:nsid w:val="28B60546"/>
    <w:multiLevelType w:val="hybridMultilevel"/>
    <w:tmpl w:val="5C906458"/>
    <w:lvl w:ilvl="0" w:tplc="6704970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82"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5" w15:restartNumberingAfterBreak="0">
    <w:nsid w:val="2C445697"/>
    <w:multiLevelType w:val="hybridMultilevel"/>
    <w:tmpl w:val="611CCD40"/>
    <w:lvl w:ilvl="0" w:tplc="0C685ED6">
      <w:start w:val="1"/>
      <w:numFmt w:val="decimal"/>
      <w:pStyle w:val="ListParagraph"/>
      <w:lvlText w:val="%1."/>
      <w:lvlJc w:val="left"/>
      <w:pPr>
        <w:ind w:left="1700" w:hanging="360"/>
      </w:pPr>
      <w:rPr>
        <w:rFonts w:ascii="Times New Roman" w:hAnsi="Times New Roman" w:hint="default"/>
        <w:b w:val="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8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7"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9" w15:restartNumberingAfterBreak="0">
    <w:nsid w:val="2D067461"/>
    <w:multiLevelType w:val="hybridMultilevel"/>
    <w:tmpl w:val="C2640A46"/>
    <w:lvl w:ilvl="0" w:tplc="FFFFFFFF">
      <w:start w:val="1"/>
      <w:numFmt w:val="lowerLetter"/>
      <w:lvlText w:val="(%1)"/>
      <w:lvlJc w:val="left"/>
      <w:pPr>
        <w:ind w:left="2520" w:hanging="360"/>
      </w:pPr>
      <w:rPr>
        <w:rFonts w:hint="default"/>
        <w:lang w:val="en-GB"/>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0"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07E01B4"/>
    <w:multiLevelType w:val="multilevel"/>
    <w:tmpl w:val="5F861912"/>
    <w:lvl w:ilvl="0">
      <w:start w:val="1"/>
      <w:numFmt w:val="lowerLetter"/>
      <w:lvlText w:val="(%1)"/>
      <w:lvlJc w:val="left"/>
      <w:pPr>
        <w:ind w:left="360" w:hanging="360"/>
      </w:pPr>
      <w:rPr>
        <w:rFonts w:hint="default"/>
        <w:b w:val="0"/>
        <w:i w:val="0"/>
        <w:color w:val="auto"/>
        <w:sz w:val="24"/>
        <w:szCs w:val="24"/>
      </w:rPr>
    </w:lvl>
    <w:lvl w:ilvl="1">
      <w:start w:val="1"/>
      <w:numFmt w:val="decimal"/>
      <w:lvlText w:val="%2."/>
      <w:lvlJc w:val="left"/>
      <w:pPr>
        <w:ind w:left="227" w:hanging="227"/>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94" w15:restartNumberingAfterBreak="0">
    <w:nsid w:val="31815F1D"/>
    <w:multiLevelType w:val="hybridMultilevel"/>
    <w:tmpl w:val="4C2CAE1C"/>
    <w:lvl w:ilvl="0" w:tplc="4CB090F2">
      <w:start w:val="1"/>
      <w:numFmt w:val="lowerLetter"/>
      <w:lvlText w:val="(%1)"/>
      <w:lvlJc w:val="left"/>
      <w:pPr>
        <w:ind w:left="16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3714423"/>
    <w:multiLevelType w:val="hybridMultilevel"/>
    <w:tmpl w:val="7BEA2B1C"/>
    <w:lvl w:ilvl="0" w:tplc="A150F74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98" w15:restartNumberingAfterBreak="0">
    <w:nsid w:val="33A50143"/>
    <w:multiLevelType w:val="hybridMultilevel"/>
    <w:tmpl w:val="BAFCD70E"/>
    <w:lvl w:ilvl="0" w:tplc="C34A87D6">
      <w:start w:val="1"/>
      <w:numFmt w:val="japaneseCounting"/>
      <w:lvlText w:val="(%1)"/>
      <w:lvlJc w:val="left"/>
      <w:pPr>
        <w:ind w:left="1976" w:hanging="540"/>
      </w:pPr>
      <w:rPr>
        <w:rFonts w:hint="default"/>
        <w:lang w:val="en-US"/>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99"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10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01" w15:restartNumberingAfterBreak="0">
    <w:nsid w:val="35BB03D2"/>
    <w:multiLevelType w:val="hybridMultilevel"/>
    <w:tmpl w:val="A2729B72"/>
    <w:lvl w:ilvl="0" w:tplc="F4EA7AAC">
      <w:start w:val="1"/>
      <w:numFmt w:val="lowerLetter"/>
      <w:lvlText w:val="(%1)"/>
      <w:lvlJc w:val="left"/>
      <w:pPr>
        <w:ind w:left="1436" w:hanging="456"/>
      </w:pPr>
      <w:rPr>
        <w:rFonts w:hint="default"/>
      </w:rPr>
    </w:lvl>
    <w:lvl w:ilvl="1" w:tplc="11D0B750">
      <w:start w:val="2"/>
      <w:numFmt w:val="japaneseCounting"/>
      <w:lvlText w:val="（%2）"/>
      <w:lvlJc w:val="left"/>
      <w:pPr>
        <w:ind w:left="5670" w:hanging="720"/>
      </w:pPr>
      <w:rPr>
        <w:rFonts w:ascii="SimSun" w:eastAsia="SimSun" w:hAnsi="SimSun" w:cs="SimSun" w:hint="default"/>
        <w:lang w:val="en-US"/>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2" w15:restartNumberingAfterBreak="0">
    <w:nsid w:val="373C400C"/>
    <w:multiLevelType w:val="hybridMultilevel"/>
    <w:tmpl w:val="98381B4C"/>
    <w:lvl w:ilvl="0" w:tplc="6830522E">
      <w:start w:val="9"/>
      <w:numFmt w:val="decimal"/>
      <w:lvlText w:val="%1."/>
      <w:lvlJc w:val="left"/>
      <w:pPr>
        <w:ind w:left="2391"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4" w15:restartNumberingAfterBreak="0">
    <w:nsid w:val="37DA6C47"/>
    <w:multiLevelType w:val="hybridMultilevel"/>
    <w:tmpl w:val="CCCE8002"/>
    <w:lvl w:ilvl="0" w:tplc="C6C876F0">
      <w:start w:val="1"/>
      <w:numFmt w:val="decimal"/>
      <w:lvlText w:val="%1."/>
      <w:lvlJc w:val="left"/>
      <w:pPr>
        <w:ind w:left="1260" w:hanging="360"/>
      </w:pPr>
      <w:rPr>
        <w:sz w:val="24"/>
        <w:szCs w:val="24"/>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8" w15:restartNumberingAfterBreak="0">
    <w:nsid w:val="39CB6443"/>
    <w:multiLevelType w:val="hybridMultilevel"/>
    <w:tmpl w:val="68DE8F26"/>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BFE44C2"/>
    <w:multiLevelType w:val="hybridMultilevel"/>
    <w:tmpl w:val="3022D640"/>
    <w:lvl w:ilvl="0" w:tplc="DABAACF8">
      <w:start w:val="1"/>
      <w:numFmt w:val="decimal"/>
      <w:lvlText w:val="%1."/>
      <w:lvlJc w:val="left"/>
      <w:pPr>
        <w:ind w:left="1700" w:hanging="360"/>
      </w:pPr>
      <w:rPr>
        <w:rFonts w:ascii="Times New Roman" w:hAnsi="Times New Roman" w:hint="default"/>
        <w:b w:val="0"/>
        <w:i w:val="0"/>
      </w:rPr>
    </w:lvl>
    <w:lvl w:ilvl="1" w:tplc="13B465BC">
      <w:start w:val="1"/>
      <w:numFmt w:val="lowerLetter"/>
      <w:lvlText w:val="(%2)"/>
      <w:lvlJc w:val="left"/>
      <w:pPr>
        <w:ind w:left="2557" w:hanging="497"/>
      </w:pPr>
      <w:rPr>
        <w:rFonts w:hint="default"/>
      </w:r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12" w15:restartNumberingAfterBreak="0">
    <w:nsid w:val="3C7B036E"/>
    <w:multiLevelType w:val="hybridMultilevel"/>
    <w:tmpl w:val="6B54EAEC"/>
    <w:lvl w:ilvl="0" w:tplc="10B0B2A8">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5"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7"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9"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3F3D5814"/>
    <w:multiLevelType w:val="hybridMultilevel"/>
    <w:tmpl w:val="741234C4"/>
    <w:lvl w:ilvl="0" w:tplc="8BB88A0A">
      <w:start w:val="1"/>
      <w:numFmt w:val="decimal"/>
      <w:lvlText w:val="%1."/>
      <w:lvlJc w:val="left"/>
      <w:pPr>
        <w:ind w:left="1700" w:hanging="360"/>
      </w:pPr>
      <w:rPr>
        <w:rFonts w:hint="eastAsia"/>
        <w:sz w:val="24"/>
        <w:szCs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1" w15:restartNumberingAfterBreak="0">
    <w:nsid w:val="3F4160F2"/>
    <w:multiLevelType w:val="hybridMultilevel"/>
    <w:tmpl w:val="F19EC1F6"/>
    <w:lvl w:ilvl="0" w:tplc="CF520242">
      <w:start w:val="1"/>
      <w:numFmt w:val="japaneseCounting"/>
      <w:lvlText w:val="（%1）"/>
      <w:lvlJc w:val="left"/>
      <w:pPr>
        <w:ind w:left="2156" w:hanging="72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22" w15:restartNumberingAfterBreak="0">
    <w:nsid w:val="3FDB6936"/>
    <w:multiLevelType w:val="hybridMultilevel"/>
    <w:tmpl w:val="08D2D3E0"/>
    <w:lvl w:ilvl="0" w:tplc="A150F74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3" w15:restartNumberingAfterBreak="0">
    <w:nsid w:val="408741F4"/>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12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7" w15:restartNumberingAfterBreak="0">
    <w:nsid w:val="42091306"/>
    <w:multiLevelType w:val="hybridMultilevel"/>
    <w:tmpl w:val="E43A486A"/>
    <w:lvl w:ilvl="0" w:tplc="D042173C">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28" w15:restartNumberingAfterBreak="0">
    <w:nsid w:val="4209217F"/>
    <w:multiLevelType w:val="hybridMultilevel"/>
    <w:tmpl w:val="D3669D0E"/>
    <w:lvl w:ilvl="0" w:tplc="BB08C882">
      <w:start w:val="1"/>
      <w:numFmt w:val="lowerLetter"/>
      <w:lvlText w:val="(%1)"/>
      <w:lvlJc w:val="left"/>
      <w:pPr>
        <w:ind w:left="1436" w:hanging="456"/>
      </w:pPr>
      <w:rPr>
        <w:rFonts w:ascii="Times New Roman" w:hAnsi="Times New Roman" w:cs="Times New Roman" w:hint="default"/>
      </w:rPr>
    </w:lvl>
    <w:lvl w:ilvl="1" w:tplc="FFFFFFFF">
      <w:start w:val="2"/>
      <w:numFmt w:val="japaneseCounting"/>
      <w:lvlText w:val="（%2）"/>
      <w:lvlJc w:val="left"/>
      <w:pPr>
        <w:ind w:left="5670" w:hanging="720"/>
      </w:pPr>
      <w:rPr>
        <w:rFonts w:ascii="SimSun" w:eastAsia="SimSun" w:hAnsi="SimSun" w:cs="SimSun" w:hint="default"/>
        <w:lang w:val="en-US"/>
      </w:r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29"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30"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2"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4" w15:restartNumberingAfterBreak="0">
    <w:nsid w:val="454403AB"/>
    <w:multiLevelType w:val="hybridMultilevel"/>
    <w:tmpl w:val="2294102C"/>
    <w:lvl w:ilvl="0" w:tplc="EA5C80F8">
      <w:start w:val="1"/>
      <w:numFmt w:val="lowerLetter"/>
      <w:lvlText w:val="(%1)"/>
      <w:lvlJc w:val="left"/>
      <w:pPr>
        <w:ind w:left="1700" w:hanging="360"/>
      </w:pPr>
      <w:rPr>
        <w:rFonts w:hint="default"/>
        <w:b w:val="0"/>
        <w:bCs w:val="0"/>
        <w:sz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35"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4664260D"/>
    <w:multiLevelType w:val="hybridMultilevel"/>
    <w:tmpl w:val="EA58F0CE"/>
    <w:lvl w:ilvl="0" w:tplc="10B0B2A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37"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8" w15:restartNumberingAfterBreak="0">
    <w:nsid w:val="482F0891"/>
    <w:multiLevelType w:val="hybridMultilevel"/>
    <w:tmpl w:val="70C4855C"/>
    <w:lvl w:ilvl="0" w:tplc="C1B4C9A0">
      <w:start w:val="1"/>
      <w:numFmt w:val="chineseCountingThousand"/>
      <w:lvlText w:val="(%1)"/>
      <w:lvlJc w:val="left"/>
      <w:pPr>
        <w:ind w:left="720" w:hanging="360"/>
      </w:pPr>
      <w:rPr>
        <w:rFonts w:eastAsia="SimSun" w:hint="default"/>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99D5F66"/>
    <w:multiLevelType w:val="multilevel"/>
    <w:tmpl w:val="222A08B4"/>
    <w:styleLink w:val="CBDHeadings7"/>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1" w15:restartNumberingAfterBreak="0">
    <w:nsid w:val="4A030F46"/>
    <w:multiLevelType w:val="hybridMultilevel"/>
    <w:tmpl w:val="A1782B2C"/>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9FCAB672">
      <w:start w:val="1"/>
      <w:numFmt w:val="lowerRoman"/>
      <w:lvlText w:val="（%4）"/>
      <w:lvlJc w:val="left"/>
      <w:pPr>
        <w:ind w:left="3280" w:hanging="1080"/>
      </w:pPr>
      <w:rPr>
        <w:rFonts w:ascii="SimSun" w:eastAsia="SimSun" w:hAnsi="SimSun" w:cs="SimSun" w:hint="default"/>
      </w:r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142"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3"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4" w15:restartNumberingAfterBreak="0">
    <w:nsid w:val="4AD930EC"/>
    <w:multiLevelType w:val="hybridMultilevel"/>
    <w:tmpl w:val="3970CDEC"/>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5" w15:restartNumberingAfterBreak="0">
    <w:nsid w:val="4B385B4A"/>
    <w:multiLevelType w:val="hybridMultilevel"/>
    <w:tmpl w:val="DE260EEE"/>
    <w:lvl w:ilvl="0" w:tplc="357ADF58">
      <w:start w:val="1"/>
      <w:numFmt w:val="lowerLetter"/>
      <w:lvlText w:val="(%1)"/>
      <w:lvlJc w:val="left"/>
      <w:pPr>
        <w:ind w:left="1210" w:hanging="360"/>
      </w:pPr>
      <w:rPr>
        <w:rFonts w:ascii="Times New Roman" w:hAnsi="Times New Roman" w:cs="Times New Roman"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6"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7"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4D673E1D"/>
    <w:multiLevelType w:val="hybridMultilevel"/>
    <w:tmpl w:val="45FA1178"/>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90C8B3DA">
      <w:start w:val="1"/>
      <w:numFmt w:val="japaneseCounting"/>
      <w:lvlText w:val="(%4)"/>
      <w:lvlJc w:val="left"/>
      <w:pPr>
        <w:ind w:left="2723" w:hanging="523"/>
      </w:pPr>
      <w:rPr>
        <w:rFonts w:hint="default"/>
      </w:r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149"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50"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1" w15:restartNumberingAfterBreak="0">
    <w:nsid w:val="4ECC1C3E"/>
    <w:multiLevelType w:val="hybridMultilevel"/>
    <w:tmpl w:val="8CB22A76"/>
    <w:lvl w:ilvl="0" w:tplc="7318E85C">
      <w:start w:val="18"/>
      <w:numFmt w:val="decimal"/>
      <w:lvlText w:val="%1."/>
      <w:lvlJc w:val="left"/>
      <w:pPr>
        <w:ind w:left="2061" w:hanging="360"/>
      </w:pPr>
      <w:rPr>
        <w:rFonts w:ascii="Times New Roman" w:hAnsi="Times New Roman" w:cs="Times New Roman" w:hint="default"/>
        <w:sz w:val="24"/>
        <w:szCs w:val="24"/>
      </w:rPr>
    </w:lvl>
    <w:lvl w:ilvl="1" w:tplc="7D5A5B0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EE60BD8"/>
    <w:multiLevelType w:val="hybridMultilevel"/>
    <w:tmpl w:val="3C667976"/>
    <w:lvl w:ilvl="0" w:tplc="0C685ED6">
      <w:start w:val="1"/>
      <w:numFmt w:val="decimal"/>
      <w:lvlText w:val="%1."/>
      <w:lvlJc w:val="left"/>
      <w:pPr>
        <w:ind w:left="1700" w:hanging="360"/>
      </w:pPr>
      <w:rPr>
        <w:rFonts w:ascii="Times New Roman" w:hAnsi="Times New Roman" w:hint="default"/>
        <w:b w:val="0"/>
      </w:rPr>
    </w:lvl>
    <w:lvl w:ilvl="1" w:tplc="4E9AB864">
      <w:start w:val="1"/>
      <w:numFmt w:val="lowerLetter"/>
      <w:lvlText w:val="(%2)"/>
      <w:lvlJc w:val="left"/>
      <w:pPr>
        <w:ind w:left="2549" w:hanging="489"/>
      </w:pPr>
      <w:rPr>
        <w:rFonts w:hint="default"/>
      </w:r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4"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56"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536220EE"/>
    <w:multiLevelType w:val="hybridMultilevel"/>
    <w:tmpl w:val="EDA8EE36"/>
    <w:lvl w:ilvl="0" w:tplc="B6CE8130">
      <w:start w:val="1"/>
      <w:numFmt w:val="lowerLetter"/>
      <w:lvlText w:val="(%1)"/>
      <w:lvlJc w:val="left"/>
      <w:pPr>
        <w:ind w:left="1700" w:hanging="360"/>
      </w:pPr>
      <w:rPr>
        <w:rFonts w:hint="default"/>
        <w:b w:val="0"/>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59"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54B60D83"/>
    <w:multiLevelType w:val="hybridMultilevel"/>
    <w:tmpl w:val="46C44404"/>
    <w:lvl w:ilvl="0" w:tplc="CBF04E9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64"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7094C15"/>
    <w:multiLevelType w:val="multilevel"/>
    <w:tmpl w:val="9D4CD2F0"/>
    <w:lvl w:ilvl="0">
      <w:start w:val="1"/>
      <w:numFmt w:val="decimal"/>
      <w:lvlText w:val="%1."/>
      <w:lvlJc w:val="left"/>
      <w:pPr>
        <w:ind w:left="360" w:hanging="360"/>
      </w:pPr>
      <w:rPr>
        <w:rFonts w:hint="default"/>
        <w:b w:val="0"/>
        <w:i w:val="0"/>
        <w:color w:val="auto"/>
        <w:sz w:val="20"/>
      </w:rPr>
    </w:lvl>
    <w:lvl w:ilvl="1">
      <w:start w:val="1"/>
      <w:numFmt w:val="decimal"/>
      <w:lvlText w:val="%2."/>
      <w:lvlJc w:val="left"/>
      <w:pPr>
        <w:ind w:left="227" w:hanging="227"/>
      </w:pPr>
      <w:rPr>
        <w:rFonts w:hint="default"/>
      </w:rPr>
    </w:lvl>
    <w:lvl w:ilvl="2">
      <w:start w:val="2"/>
      <w:numFmt w:val="decimal"/>
      <w:lvlText w:val="%3."/>
      <w:lvlJc w:val="left"/>
      <w:pPr>
        <w:ind w:left="1080" w:hanging="360"/>
      </w:pPr>
      <w:rPr>
        <w:rFonts w:hint="eastAsia"/>
        <w:b w:val="0"/>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9" w15:restartNumberingAfterBreak="0">
    <w:nsid w:val="59695E3B"/>
    <w:multiLevelType w:val="hybridMultilevel"/>
    <w:tmpl w:val="7B224860"/>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0"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1"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2"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73" w15:restartNumberingAfterBreak="0">
    <w:nsid w:val="5DBE1080"/>
    <w:multiLevelType w:val="hybridMultilevel"/>
    <w:tmpl w:val="E06E9A88"/>
    <w:lvl w:ilvl="0" w:tplc="E7C89700">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7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6" w15:restartNumberingAfterBreak="0">
    <w:nsid w:val="5E7D2924"/>
    <w:multiLevelType w:val="hybridMultilevel"/>
    <w:tmpl w:val="7DFA7536"/>
    <w:lvl w:ilvl="0" w:tplc="12A6ECB8">
      <w:start w:val="1"/>
      <w:numFmt w:val="chineseCountingThousand"/>
      <w:lvlText w:val="(%1)"/>
      <w:lvlJc w:val="left"/>
      <w:pPr>
        <w:ind w:left="2189" w:hanging="360"/>
      </w:pPr>
      <w:rPr>
        <w:rFonts w:eastAsia="Malgun Gothic" w:hint="default"/>
        <w:color w:val="auto"/>
        <w:sz w:val="20"/>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7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7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3" w15:restartNumberingAfterBreak="0">
    <w:nsid w:val="61677ECB"/>
    <w:multiLevelType w:val="hybridMultilevel"/>
    <w:tmpl w:val="52947C2E"/>
    <w:lvl w:ilvl="0" w:tplc="8B6E7BA6">
      <w:start w:val="1"/>
      <w:numFmt w:val="lowerLetter"/>
      <w:lvlText w:val="(%1)"/>
      <w:lvlJc w:val="left"/>
      <w:pPr>
        <w:ind w:left="3780" w:hanging="360"/>
      </w:pPr>
      <w:rPr>
        <w:rFonts w:hint="default"/>
        <w:lang w:val="en-US"/>
      </w:rPr>
    </w:lvl>
    <w:lvl w:ilvl="1" w:tplc="FFFFFFFF">
      <w:start w:val="1"/>
      <w:numFmt w:val="lowerLetter"/>
      <w:lvlText w:val="(%2)"/>
      <w:lvlJc w:val="left"/>
      <w:pPr>
        <w:ind w:left="4500" w:hanging="360"/>
      </w:pPr>
      <w:rPr>
        <w:rFonts w:hint="default"/>
        <w:color w:val="FF0000"/>
      </w:rPr>
    </w:lvl>
    <w:lvl w:ilvl="2" w:tplc="FFFFFFFF" w:tentative="1">
      <w:start w:val="1"/>
      <w:numFmt w:val="lowerRoman"/>
      <w:lvlText w:val="%3."/>
      <w:lvlJc w:val="right"/>
      <w:pPr>
        <w:ind w:left="5220" w:hanging="180"/>
      </w:pPr>
    </w:lvl>
    <w:lvl w:ilvl="3" w:tplc="FFFFFFFF" w:tentative="1">
      <w:start w:val="1"/>
      <w:numFmt w:val="decimal"/>
      <w:lvlText w:val="%4."/>
      <w:lvlJc w:val="left"/>
      <w:pPr>
        <w:ind w:left="5940" w:hanging="360"/>
      </w:pPr>
    </w:lvl>
    <w:lvl w:ilvl="4" w:tplc="FFFFFFFF" w:tentative="1">
      <w:start w:val="1"/>
      <w:numFmt w:val="lowerLetter"/>
      <w:lvlText w:val="%5."/>
      <w:lvlJc w:val="left"/>
      <w:pPr>
        <w:ind w:left="6660" w:hanging="360"/>
      </w:pPr>
    </w:lvl>
    <w:lvl w:ilvl="5" w:tplc="FFFFFFFF" w:tentative="1">
      <w:start w:val="1"/>
      <w:numFmt w:val="lowerRoman"/>
      <w:lvlText w:val="%6."/>
      <w:lvlJc w:val="right"/>
      <w:pPr>
        <w:ind w:left="7380" w:hanging="180"/>
      </w:pPr>
    </w:lvl>
    <w:lvl w:ilvl="6" w:tplc="FFFFFFFF" w:tentative="1">
      <w:start w:val="1"/>
      <w:numFmt w:val="decimal"/>
      <w:lvlText w:val="%7."/>
      <w:lvlJc w:val="left"/>
      <w:pPr>
        <w:ind w:left="8100" w:hanging="360"/>
      </w:pPr>
    </w:lvl>
    <w:lvl w:ilvl="7" w:tplc="FFFFFFFF" w:tentative="1">
      <w:start w:val="1"/>
      <w:numFmt w:val="lowerLetter"/>
      <w:lvlText w:val="%8."/>
      <w:lvlJc w:val="left"/>
      <w:pPr>
        <w:ind w:left="8820" w:hanging="360"/>
      </w:pPr>
    </w:lvl>
    <w:lvl w:ilvl="8" w:tplc="FFFFFFFF" w:tentative="1">
      <w:start w:val="1"/>
      <w:numFmt w:val="lowerRoman"/>
      <w:lvlText w:val="%9."/>
      <w:lvlJc w:val="right"/>
      <w:pPr>
        <w:ind w:left="9540" w:hanging="180"/>
      </w:pPr>
    </w:lvl>
  </w:abstractNum>
  <w:abstractNum w:abstractNumId="184" w15:restartNumberingAfterBreak="0">
    <w:nsid w:val="61956CDB"/>
    <w:multiLevelType w:val="hybridMultilevel"/>
    <w:tmpl w:val="99EC660A"/>
    <w:lvl w:ilvl="0" w:tplc="D042173C">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5" w15:restartNumberingAfterBreak="0">
    <w:nsid w:val="62117182"/>
    <w:multiLevelType w:val="hybridMultilevel"/>
    <w:tmpl w:val="CE60BC1A"/>
    <w:lvl w:ilvl="0" w:tplc="679EAD50">
      <w:start w:val="1"/>
      <w:numFmt w:val="bullet"/>
      <w:lvlText w:val="–"/>
      <w:lvlJc w:val="left"/>
      <w:pPr>
        <w:ind w:left="720" w:hanging="360"/>
      </w:pPr>
      <w:rPr>
        <w:rFonts w:ascii="Times New Roman" w:eastAsia="SimSu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2EA6D37"/>
    <w:multiLevelType w:val="hybridMultilevel"/>
    <w:tmpl w:val="10C6BD86"/>
    <w:lvl w:ilvl="0" w:tplc="4BC673A4">
      <w:start w:val="7"/>
      <w:numFmt w:val="decimal"/>
      <w:lvlText w:val="%1."/>
      <w:lvlJc w:val="left"/>
      <w:pPr>
        <w:ind w:left="927" w:hanging="360"/>
      </w:pPr>
      <w:rPr>
        <w:rFonts w:hint="default"/>
      </w:rPr>
    </w:lvl>
    <w:lvl w:ilvl="1" w:tplc="4A563CA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89" w15:restartNumberingAfterBreak="0">
    <w:nsid w:val="645610FF"/>
    <w:multiLevelType w:val="hybridMultilevel"/>
    <w:tmpl w:val="89E6E3C4"/>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90"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2" w15:restartNumberingAfterBreak="0">
    <w:nsid w:val="670038F4"/>
    <w:multiLevelType w:val="hybridMultilevel"/>
    <w:tmpl w:val="37BEC370"/>
    <w:lvl w:ilvl="0" w:tplc="D042173C">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93"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95" w15:restartNumberingAfterBreak="0">
    <w:nsid w:val="68B70991"/>
    <w:multiLevelType w:val="hybridMultilevel"/>
    <w:tmpl w:val="E026C2EE"/>
    <w:lvl w:ilvl="0" w:tplc="77C89DD4">
      <w:start w:val="1"/>
      <w:numFmt w:val="decimal"/>
      <w:pStyle w:val="Para1"/>
      <w:lvlText w:val="%1."/>
      <w:lvlJc w:val="left"/>
      <w:pPr>
        <w:ind w:left="927" w:hanging="360"/>
      </w:pPr>
      <w:rPr>
        <w:rFonts w:cs="Times New Roman" w:hint="default"/>
        <w:b w:val="0"/>
        <w:bCs/>
        <w:i w:val="0"/>
        <w:iCs w:val="0"/>
      </w:rPr>
    </w:lvl>
    <w:lvl w:ilvl="1" w:tplc="6704970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96"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7"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98"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9"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CFE14E1"/>
    <w:multiLevelType w:val="hybridMultilevel"/>
    <w:tmpl w:val="4AE46156"/>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03" w15:restartNumberingAfterBreak="0">
    <w:nsid w:val="6D191DF4"/>
    <w:multiLevelType w:val="multilevel"/>
    <w:tmpl w:val="17625984"/>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4" w15:restartNumberingAfterBreak="0">
    <w:nsid w:val="6D203F11"/>
    <w:multiLevelType w:val="hybridMultilevel"/>
    <w:tmpl w:val="6E86A174"/>
    <w:lvl w:ilvl="0" w:tplc="0409000F">
      <w:start w:val="1"/>
      <w:numFmt w:val="decimal"/>
      <w:lvlText w:val="%1."/>
      <w:lvlJc w:val="left"/>
      <w:pPr>
        <w:ind w:left="1854" w:hanging="360"/>
      </w:pPr>
      <w:rPr>
        <w:rFonts w:cs="Times New Roman"/>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205"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09" w15:restartNumberingAfterBreak="0">
    <w:nsid w:val="70861F5C"/>
    <w:multiLevelType w:val="hybridMultilevel"/>
    <w:tmpl w:val="933E3B2C"/>
    <w:lvl w:ilvl="0" w:tplc="D44297C2">
      <w:start w:val="37"/>
      <w:numFmt w:val="decimal"/>
      <w:lvlText w:val="%1."/>
      <w:lvlJc w:val="left"/>
      <w:pPr>
        <w:ind w:left="2061"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1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7333482E"/>
    <w:multiLevelType w:val="hybridMultilevel"/>
    <w:tmpl w:val="C2640A46"/>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FFFFFFFF" w:tentative="1">
      <w:start w:val="1"/>
      <w:numFmt w:val="decimal"/>
      <w:lvlText w:val="%4."/>
      <w:lvlJc w:val="left"/>
      <w:pPr>
        <w:ind w:left="2560" w:hanging="360"/>
      </w:p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213"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14"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5"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17" w15:restartNumberingAfterBreak="0">
    <w:nsid w:val="756E5708"/>
    <w:multiLevelType w:val="hybridMultilevel"/>
    <w:tmpl w:val="71A8A8AE"/>
    <w:lvl w:ilvl="0" w:tplc="B15CA86E">
      <w:start w:val="1"/>
      <w:numFmt w:val="decimal"/>
      <w:lvlText w:val="%1."/>
      <w:lvlJc w:val="left"/>
      <w:pPr>
        <w:ind w:left="1700" w:hanging="360"/>
      </w:pPr>
      <w:rPr>
        <w:rFonts w:ascii="Times New Roman" w:hAnsi="Times New Roman" w:hint="default"/>
        <w:b w:val="0"/>
        <w:i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8"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7C34C2D"/>
    <w:multiLevelType w:val="hybridMultilevel"/>
    <w:tmpl w:val="1B223340"/>
    <w:lvl w:ilvl="0" w:tplc="17B28DBA">
      <w:start w:val="1"/>
      <w:numFmt w:val="lowerLetter"/>
      <w:lvlText w:val="(%1)"/>
      <w:lvlJc w:val="left"/>
      <w:pPr>
        <w:ind w:left="1700" w:hanging="360"/>
      </w:pPr>
      <w:rPr>
        <w:rFonts w:eastAsia="Times New Roman"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222"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782F75A2"/>
    <w:multiLevelType w:val="hybridMultilevel"/>
    <w:tmpl w:val="21A40C04"/>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24" w15:restartNumberingAfterBreak="0">
    <w:nsid w:val="78CA3F5D"/>
    <w:multiLevelType w:val="hybridMultilevel"/>
    <w:tmpl w:val="10C48D42"/>
    <w:lvl w:ilvl="0" w:tplc="BC6C2E3A">
      <w:start w:val="1"/>
      <w:numFmt w:val="japaneseCounting"/>
      <w:pStyle w:val="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27"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28"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15:restartNumberingAfterBreak="0">
    <w:nsid w:val="7CF34B4F"/>
    <w:multiLevelType w:val="hybridMultilevel"/>
    <w:tmpl w:val="EDDCAB60"/>
    <w:lvl w:ilvl="0" w:tplc="19E492B8">
      <w:start w:val="1"/>
      <w:numFmt w:val="chineseCountingThousand"/>
      <w:lvlText w:val="(%1)"/>
      <w:lvlJc w:val="left"/>
      <w:pPr>
        <w:ind w:left="1699" w:hanging="360"/>
      </w:pPr>
      <w:rPr>
        <w:rFonts w:eastAsia="Malgun Gothic" w:hint="default"/>
        <w:color w:val="auto"/>
        <w:sz w:val="20"/>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31" w15:restartNumberingAfterBreak="0">
    <w:nsid w:val="7D19023D"/>
    <w:multiLevelType w:val="hybridMultilevel"/>
    <w:tmpl w:val="04E66446"/>
    <w:lvl w:ilvl="0" w:tplc="579C6FDA">
      <w:start w:val="1"/>
      <w:numFmt w:val="lowerLetter"/>
      <w:lvlText w:val="（%1）"/>
      <w:lvlJc w:val="left"/>
      <w:pPr>
        <w:ind w:left="1340" w:hanging="360"/>
      </w:pPr>
      <w:rPr>
        <w:rFonts w:hint="default"/>
      </w:rPr>
    </w:lvl>
    <w:lvl w:ilvl="1" w:tplc="04090019">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32"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4"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7EC10C14"/>
    <w:multiLevelType w:val="hybridMultilevel"/>
    <w:tmpl w:val="0B867B9E"/>
    <w:lvl w:ilvl="0" w:tplc="FF341A64">
      <w:start w:val="1"/>
      <w:numFmt w:val="chineseCountingThousand"/>
      <w:lvlText w:val="(%1)"/>
      <w:lvlJc w:val="left"/>
      <w:pPr>
        <w:ind w:left="720" w:hanging="360"/>
      </w:pPr>
      <w:rPr>
        <w:rFonts w:eastAsia="Malgun Gothic" w:hint="default"/>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4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41" w15:restartNumberingAfterBreak="0">
    <w:nsid w:val="7F995710"/>
    <w:multiLevelType w:val="hybridMultilevel"/>
    <w:tmpl w:val="9A08D0D2"/>
    <w:lvl w:ilvl="0" w:tplc="A1EC7F4A">
      <w:start w:val="8"/>
      <w:numFmt w:val="decimal"/>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11705728">
    <w:abstractNumId w:val="195"/>
  </w:num>
  <w:num w:numId="2" w16cid:durableId="1877501672">
    <w:abstractNumId w:val="227"/>
  </w:num>
  <w:num w:numId="3" w16cid:durableId="2068337254">
    <w:abstractNumId w:val="140"/>
  </w:num>
  <w:num w:numId="4" w16cid:durableId="439840237">
    <w:abstractNumId w:val="203"/>
  </w:num>
  <w:num w:numId="5" w16cid:durableId="218444267">
    <w:abstractNumId w:val="208"/>
  </w:num>
  <w:num w:numId="6" w16cid:durableId="1917549781">
    <w:abstractNumId w:val="17"/>
  </w:num>
  <w:num w:numId="7" w16cid:durableId="1592085925">
    <w:abstractNumId w:val="204"/>
  </w:num>
  <w:num w:numId="8" w16cid:durableId="2073648777">
    <w:abstractNumId w:val="17"/>
  </w:num>
  <w:num w:numId="9" w16cid:durableId="1904947943">
    <w:abstractNumId w:val="191"/>
  </w:num>
  <w:num w:numId="10" w16cid:durableId="1463384704">
    <w:abstractNumId w:val="49"/>
  </w:num>
  <w:num w:numId="11" w16cid:durableId="1326202644">
    <w:abstractNumId w:val="75"/>
  </w:num>
  <w:num w:numId="12" w16cid:durableId="799030246">
    <w:abstractNumId w:val="104"/>
  </w:num>
  <w:num w:numId="13" w16cid:durableId="435517656">
    <w:abstractNumId w:val="152"/>
  </w:num>
  <w:num w:numId="14" w16cid:durableId="275841977">
    <w:abstractNumId w:val="158"/>
  </w:num>
  <w:num w:numId="15" w16cid:durableId="1186479948">
    <w:abstractNumId w:val="239"/>
  </w:num>
  <w:num w:numId="16" w16cid:durableId="2098479369">
    <w:abstractNumId w:val="88"/>
  </w:num>
  <w:num w:numId="17" w16cid:durableId="1450513649">
    <w:abstractNumId w:val="32"/>
  </w:num>
  <w:num w:numId="18" w16cid:durableId="1227688496">
    <w:abstractNumId w:val="217"/>
  </w:num>
  <w:num w:numId="19" w16cid:durableId="839465307">
    <w:abstractNumId w:val="12"/>
  </w:num>
  <w:num w:numId="20" w16cid:durableId="218320739">
    <w:abstractNumId w:val="195"/>
    <w:lvlOverride w:ilvl="0">
      <w:startOverride w:val="1"/>
    </w:lvlOverride>
  </w:num>
  <w:num w:numId="21" w16cid:durableId="954825074">
    <w:abstractNumId w:val="173"/>
  </w:num>
  <w:num w:numId="22" w16cid:durableId="1207332374">
    <w:abstractNumId w:val="29"/>
  </w:num>
  <w:num w:numId="23" w16cid:durableId="572282147">
    <w:abstractNumId w:val="45"/>
  </w:num>
  <w:num w:numId="24" w16cid:durableId="1775399652">
    <w:abstractNumId w:val="19"/>
  </w:num>
  <w:num w:numId="25" w16cid:durableId="1816604178">
    <w:abstractNumId w:val="15"/>
  </w:num>
  <w:num w:numId="26" w16cid:durableId="129715302">
    <w:abstractNumId w:val="25"/>
  </w:num>
  <w:num w:numId="27" w16cid:durableId="1557282137">
    <w:abstractNumId w:val="238"/>
  </w:num>
  <w:num w:numId="28" w16cid:durableId="147867693">
    <w:abstractNumId w:val="102"/>
  </w:num>
  <w:num w:numId="29" w16cid:durableId="408888211">
    <w:abstractNumId w:val="14"/>
  </w:num>
  <w:num w:numId="30" w16cid:durableId="155192871">
    <w:abstractNumId w:val="71"/>
  </w:num>
  <w:num w:numId="31" w16cid:durableId="733822052">
    <w:abstractNumId w:val="27"/>
  </w:num>
  <w:num w:numId="32" w16cid:durableId="1982729450">
    <w:abstractNumId w:val="183"/>
  </w:num>
  <w:num w:numId="33" w16cid:durableId="467435112">
    <w:abstractNumId w:val="111"/>
  </w:num>
  <w:num w:numId="34" w16cid:durableId="1487699923">
    <w:abstractNumId w:val="31"/>
  </w:num>
  <w:num w:numId="35" w16cid:durableId="1122069334">
    <w:abstractNumId w:val="52"/>
  </w:num>
  <w:num w:numId="36" w16cid:durableId="2127389649">
    <w:abstractNumId w:val="20"/>
  </w:num>
  <w:num w:numId="37" w16cid:durableId="1398623398">
    <w:abstractNumId w:val="170"/>
  </w:num>
  <w:num w:numId="38" w16cid:durableId="60640155">
    <w:abstractNumId w:val="86"/>
  </w:num>
  <w:num w:numId="39" w16cid:durableId="1880704740">
    <w:abstractNumId w:val="150"/>
  </w:num>
  <w:num w:numId="40" w16cid:durableId="971062336">
    <w:abstractNumId w:val="110"/>
  </w:num>
  <w:num w:numId="41" w16cid:durableId="1087337934">
    <w:abstractNumId w:val="113"/>
    <w:lvlOverride w:ilvl="0">
      <w:startOverride w:val="1"/>
    </w:lvlOverride>
  </w:num>
  <w:num w:numId="42" w16cid:durableId="141581425">
    <w:abstractNumId w:val="126"/>
  </w:num>
  <w:num w:numId="43" w16cid:durableId="2055809021">
    <w:abstractNumId w:val="124"/>
  </w:num>
  <w:num w:numId="44" w16cid:durableId="407578449">
    <w:abstractNumId w:val="36"/>
  </w:num>
  <w:num w:numId="45" w16cid:durableId="1236402572">
    <w:abstractNumId w:val="65"/>
  </w:num>
  <w:num w:numId="46" w16cid:durableId="1744182958">
    <w:abstractNumId w:val="153"/>
  </w:num>
  <w:num w:numId="47" w16cid:durableId="857081295">
    <w:abstractNumId w:val="180"/>
  </w:num>
  <w:num w:numId="48" w16cid:durableId="1586912228">
    <w:abstractNumId w:val="131"/>
  </w:num>
  <w:num w:numId="49" w16cid:durableId="1400786500">
    <w:abstractNumId w:val="233"/>
  </w:num>
  <w:num w:numId="50" w16cid:durableId="603660117">
    <w:abstractNumId w:val="182"/>
  </w:num>
  <w:num w:numId="51" w16cid:durableId="1313099560">
    <w:abstractNumId w:val="175"/>
    <w:lvlOverride w:ilvl="0">
      <w:startOverride w:val="1"/>
    </w:lvlOverride>
  </w:num>
  <w:num w:numId="52" w16cid:durableId="684943469">
    <w:abstractNumId w:val="114"/>
  </w:num>
  <w:num w:numId="53" w16cid:durableId="981542991">
    <w:abstractNumId w:val="168"/>
  </w:num>
  <w:num w:numId="54" w16cid:durableId="1053695282">
    <w:abstractNumId w:val="73"/>
  </w:num>
  <w:num w:numId="55" w16cid:durableId="1774015548">
    <w:abstractNumId w:val="7"/>
  </w:num>
  <w:num w:numId="56" w16cid:durableId="967468144">
    <w:abstractNumId w:val="149"/>
  </w:num>
  <w:num w:numId="57" w16cid:durableId="1183789623">
    <w:abstractNumId w:val="205"/>
  </w:num>
  <w:num w:numId="58" w16cid:durableId="1669626060">
    <w:abstractNumId w:val="74"/>
  </w:num>
  <w:num w:numId="59" w16cid:durableId="1257059809">
    <w:abstractNumId w:val="103"/>
  </w:num>
  <w:num w:numId="60" w16cid:durableId="1843201558">
    <w:abstractNumId w:val="215"/>
  </w:num>
  <w:num w:numId="61" w16cid:durableId="957416103">
    <w:abstractNumId w:val="135"/>
  </w:num>
  <w:num w:numId="62" w16cid:durableId="1862623037">
    <w:abstractNumId w:val="188"/>
  </w:num>
  <w:num w:numId="63" w16cid:durableId="57676253">
    <w:abstractNumId w:val="178"/>
  </w:num>
  <w:num w:numId="64" w16cid:durableId="1128625287">
    <w:abstractNumId w:val="93"/>
  </w:num>
  <w:num w:numId="65" w16cid:durableId="1465731226">
    <w:abstractNumId w:val="216"/>
  </w:num>
  <w:num w:numId="66" w16cid:durableId="1460418948">
    <w:abstractNumId w:val="147"/>
  </w:num>
  <w:num w:numId="67" w16cid:durableId="1428580419">
    <w:abstractNumId w:val="200"/>
  </w:num>
  <w:num w:numId="68" w16cid:durableId="1615163881">
    <w:abstractNumId w:val="13"/>
  </w:num>
  <w:num w:numId="69" w16cid:durableId="848181863">
    <w:abstractNumId w:val="232"/>
  </w:num>
  <w:num w:numId="70" w16cid:durableId="434248359">
    <w:abstractNumId w:val="226"/>
  </w:num>
  <w:num w:numId="71" w16cid:durableId="580722499">
    <w:abstractNumId w:val="84"/>
  </w:num>
  <w:num w:numId="72" w16cid:durableId="1971549945">
    <w:abstractNumId w:val="181"/>
  </w:num>
  <w:num w:numId="73" w16cid:durableId="2048410263">
    <w:abstractNumId w:val="155"/>
  </w:num>
  <w:num w:numId="74" w16cid:durableId="856456820">
    <w:abstractNumId w:val="195"/>
    <w:lvlOverride w:ilvl="0">
      <w:startOverride w:val="1"/>
    </w:lvlOverride>
  </w:num>
  <w:num w:numId="75" w16cid:durableId="654384581">
    <w:abstractNumId w:val="160"/>
  </w:num>
  <w:num w:numId="76" w16cid:durableId="1709719773">
    <w:abstractNumId w:val="177"/>
  </w:num>
  <w:num w:numId="77" w16cid:durableId="581068797">
    <w:abstractNumId w:val="80"/>
  </w:num>
  <w:num w:numId="78" w16cid:durableId="16154036">
    <w:abstractNumId w:val="142"/>
  </w:num>
  <w:num w:numId="79" w16cid:durableId="717973093">
    <w:abstractNumId w:val="146"/>
  </w:num>
  <w:num w:numId="80" w16cid:durableId="310520317">
    <w:abstractNumId w:val="194"/>
  </w:num>
  <w:num w:numId="81" w16cid:durableId="2002073465">
    <w:abstractNumId w:val="137"/>
  </w:num>
  <w:num w:numId="82" w16cid:durableId="105470115">
    <w:abstractNumId w:val="118"/>
  </w:num>
  <w:num w:numId="83" w16cid:durableId="673726823">
    <w:abstractNumId w:val="195"/>
    <w:lvlOverride w:ilvl="0">
      <w:startOverride w:val="1"/>
    </w:lvlOverride>
  </w:num>
  <w:num w:numId="84" w16cid:durableId="1141508239">
    <w:abstractNumId w:val="195"/>
    <w:lvlOverride w:ilvl="0">
      <w:startOverride w:val="1"/>
    </w:lvlOverride>
  </w:num>
  <w:num w:numId="85" w16cid:durableId="1209605079">
    <w:abstractNumId w:val="57"/>
  </w:num>
  <w:num w:numId="86" w16cid:durableId="1553156854">
    <w:abstractNumId w:val="210"/>
  </w:num>
  <w:num w:numId="87" w16cid:durableId="456141185">
    <w:abstractNumId w:val="116"/>
  </w:num>
  <w:num w:numId="88" w16cid:durableId="152570470">
    <w:abstractNumId w:val="39"/>
  </w:num>
  <w:num w:numId="89" w16cid:durableId="1428381393">
    <w:abstractNumId w:val="134"/>
  </w:num>
  <w:num w:numId="90" w16cid:durableId="1906718974">
    <w:abstractNumId w:val="97"/>
  </w:num>
  <w:num w:numId="91" w16cid:durableId="665784939">
    <w:abstractNumId w:val="122"/>
  </w:num>
  <w:num w:numId="92" w16cid:durableId="1473905563">
    <w:abstractNumId w:val="230"/>
  </w:num>
  <w:num w:numId="93" w16cid:durableId="905260198">
    <w:abstractNumId w:val="130"/>
  </w:num>
  <w:num w:numId="94" w16cid:durableId="1417626160">
    <w:abstractNumId w:val="109"/>
  </w:num>
  <w:num w:numId="95" w16cid:durableId="1553494099">
    <w:abstractNumId w:val="95"/>
  </w:num>
  <w:num w:numId="96" w16cid:durableId="1328552338">
    <w:abstractNumId w:val="59"/>
  </w:num>
  <w:num w:numId="97" w16cid:durableId="57947771">
    <w:abstractNumId w:val="77"/>
  </w:num>
  <w:num w:numId="98" w16cid:durableId="998263521">
    <w:abstractNumId w:val="164"/>
  </w:num>
  <w:num w:numId="99" w16cid:durableId="488131420">
    <w:abstractNumId w:val="171"/>
  </w:num>
  <w:num w:numId="100" w16cid:durableId="1868907164">
    <w:abstractNumId w:val="22"/>
  </w:num>
  <w:num w:numId="101" w16cid:durableId="1960642261">
    <w:abstractNumId w:val="1"/>
  </w:num>
  <w:num w:numId="102" w16cid:durableId="906768922">
    <w:abstractNumId w:val="112"/>
  </w:num>
  <w:num w:numId="103" w16cid:durableId="1758090205">
    <w:abstractNumId w:val="145"/>
  </w:num>
  <w:num w:numId="104" w16cid:durableId="638993563">
    <w:abstractNumId w:val="163"/>
  </w:num>
  <w:num w:numId="105" w16cid:durableId="1671104220">
    <w:abstractNumId w:val="172"/>
  </w:num>
  <w:num w:numId="106" w16cid:durableId="483473561">
    <w:abstractNumId w:val="221"/>
  </w:num>
  <w:num w:numId="107" w16cid:durableId="975992993">
    <w:abstractNumId w:val="56"/>
  </w:num>
  <w:num w:numId="108" w16cid:durableId="257520596">
    <w:abstractNumId w:val="129"/>
  </w:num>
  <w:num w:numId="109" w16cid:durableId="2073886884">
    <w:abstractNumId w:val="125"/>
  </w:num>
  <w:num w:numId="110" w16cid:durableId="294873680">
    <w:abstractNumId w:val="144"/>
  </w:num>
  <w:num w:numId="111" w16cid:durableId="114830616">
    <w:abstractNumId w:val="203"/>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12" w16cid:durableId="278756853">
    <w:abstractNumId w:val="190"/>
  </w:num>
  <w:num w:numId="113" w16cid:durableId="1770080417">
    <w:abstractNumId w:val="83"/>
  </w:num>
  <w:num w:numId="114" w16cid:durableId="2137215899">
    <w:abstractNumId w:val="156"/>
  </w:num>
  <w:num w:numId="115" w16cid:durableId="689137252">
    <w:abstractNumId w:val="167"/>
  </w:num>
  <w:num w:numId="116" w16cid:durableId="1574924666">
    <w:abstractNumId w:val="214"/>
  </w:num>
  <w:num w:numId="117" w16cid:durableId="764346948">
    <w:abstractNumId w:val="21"/>
  </w:num>
  <w:num w:numId="118" w16cid:durableId="608857336">
    <w:abstractNumId w:val="105"/>
  </w:num>
  <w:num w:numId="119" w16cid:durableId="583104256">
    <w:abstractNumId w:val="106"/>
  </w:num>
  <w:num w:numId="120" w16cid:durableId="368991364">
    <w:abstractNumId w:val="187"/>
  </w:num>
  <w:num w:numId="121" w16cid:durableId="532767408">
    <w:abstractNumId w:val="219"/>
  </w:num>
  <w:num w:numId="122" w16cid:durableId="1407337962">
    <w:abstractNumId w:val="51"/>
  </w:num>
  <w:num w:numId="123" w16cid:durableId="1853445932">
    <w:abstractNumId w:val="90"/>
  </w:num>
  <w:num w:numId="124" w16cid:durableId="139924812">
    <w:abstractNumId w:val="23"/>
  </w:num>
  <w:num w:numId="125" w16cid:durableId="862866512">
    <w:abstractNumId w:val="117"/>
  </w:num>
  <w:num w:numId="126" w16cid:durableId="966131953">
    <w:abstractNumId w:val="193"/>
  </w:num>
  <w:num w:numId="127" w16cid:durableId="1341814954">
    <w:abstractNumId w:val="41"/>
  </w:num>
  <w:num w:numId="128" w16cid:durableId="542595548">
    <w:abstractNumId w:val="50"/>
  </w:num>
  <w:num w:numId="129" w16cid:durableId="206456099">
    <w:abstractNumId w:val="61"/>
  </w:num>
  <w:num w:numId="130" w16cid:durableId="233787155">
    <w:abstractNumId w:val="6"/>
  </w:num>
  <w:num w:numId="131" w16cid:durableId="1588805949">
    <w:abstractNumId w:val="229"/>
  </w:num>
  <w:num w:numId="132" w16cid:durableId="1886061258">
    <w:abstractNumId w:val="10"/>
  </w:num>
  <w:num w:numId="133" w16cid:durableId="640042195">
    <w:abstractNumId w:val="48"/>
  </w:num>
  <w:num w:numId="134" w16cid:durableId="379717319">
    <w:abstractNumId w:val="115"/>
  </w:num>
  <w:num w:numId="135" w16cid:durableId="1126700453">
    <w:abstractNumId w:val="179"/>
  </w:num>
  <w:num w:numId="136" w16cid:durableId="138499499">
    <w:abstractNumId w:val="162"/>
  </w:num>
  <w:num w:numId="137" w16cid:durableId="562641775">
    <w:abstractNumId w:val="198"/>
  </w:num>
  <w:num w:numId="138" w16cid:durableId="1098402501">
    <w:abstractNumId w:val="53"/>
  </w:num>
  <w:num w:numId="139" w16cid:durableId="573322584">
    <w:abstractNumId w:val="43"/>
  </w:num>
  <w:num w:numId="140" w16cid:durableId="577593367">
    <w:abstractNumId w:val="96"/>
  </w:num>
  <w:num w:numId="141" w16cid:durableId="630205878">
    <w:abstractNumId w:val="63"/>
  </w:num>
  <w:num w:numId="142" w16cid:durableId="1605649765">
    <w:abstractNumId w:val="206"/>
  </w:num>
  <w:num w:numId="143" w16cid:durableId="2016885107">
    <w:abstractNumId w:val="157"/>
  </w:num>
  <w:num w:numId="144" w16cid:durableId="737359164">
    <w:abstractNumId w:val="207"/>
  </w:num>
  <w:num w:numId="145" w16cid:durableId="2146193955">
    <w:abstractNumId w:val="196"/>
  </w:num>
  <w:num w:numId="146" w16cid:durableId="1656109754">
    <w:abstractNumId w:val="211"/>
  </w:num>
  <w:num w:numId="147" w16cid:durableId="1732803174">
    <w:abstractNumId w:val="82"/>
  </w:num>
  <w:num w:numId="148" w16cid:durableId="1286472687">
    <w:abstractNumId w:val="119"/>
  </w:num>
  <w:num w:numId="149" w16cid:durableId="525875460">
    <w:abstractNumId w:val="228"/>
  </w:num>
  <w:num w:numId="150" w16cid:durableId="136412799">
    <w:abstractNumId w:val="42"/>
  </w:num>
  <w:num w:numId="151" w16cid:durableId="668293452">
    <w:abstractNumId w:val="218"/>
  </w:num>
  <w:num w:numId="152" w16cid:durableId="1118064129">
    <w:abstractNumId w:val="139"/>
  </w:num>
  <w:num w:numId="153" w16cid:durableId="1486623914">
    <w:abstractNumId w:val="0"/>
  </w:num>
  <w:num w:numId="154" w16cid:durableId="363485857">
    <w:abstractNumId w:val="91"/>
  </w:num>
  <w:num w:numId="155" w16cid:durableId="695346200">
    <w:abstractNumId w:val="166"/>
  </w:num>
  <w:num w:numId="156" w16cid:durableId="2038113945">
    <w:abstractNumId w:val="11"/>
  </w:num>
  <w:num w:numId="157" w16cid:durableId="1804885662">
    <w:abstractNumId w:val="37"/>
  </w:num>
  <w:num w:numId="158" w16cid:durableId="1876379847">
    <w:abstractNumId w:val="132"/>
  </w:num>
  <w:num w:numId="159" w16cid:durableId="1977948385">
    <w:abstractNumId w:val="40"/>
  </w:num>
  <w:num w:numId="160" w16cid:durableId="405222666">
    <w:abstractNumId w:val="18"/>
  </w:num>
  <w:num w:numId="161" w16cid:durableId="651298245">
    <w:abstractNumId w:val="237"/>
  </w:num>
  <w:num w:numId="162" w16cid:durableId="209268977">
    <w:abstractNumId w:val="159"/>
  </w:num>
  <w:num w:numId="163" w16cid:durableId="1266956480">
    <w:abstractNumId w:val="154"/>
  </w:num>
  <w:num w:numId="164" w16cid:durableId="1082683309">
    <w:abstractNumId w:val="35"/>
  </w:num>
  <w:num w:numId="165" w16cid:durableId="269432258">
    <w:abstractNumId w:val="26"/>
  </w:num>
  <w:num w:numId="166" w16cid:durableId="1847136096">
    <w:abstractNumId w:val="225"/>
  </w:num>
  <w:num w:numId="167" w16cid:durableId="1751849362">
    <w:abstractNumId w:val="78"/>
  </w:num>
  <w:num w:numId="168" w16cid:durableId="506868955">
    <w:abstractNumId w:val="199"/>
  </w:num>
  <w:num w:numId="169" w16cid:durableId="1539202548">
    <w:abstractNumId w:val="47"/>
  </w:num>
  <w:num w:numId="170" w16cid:durableId="2082170255">
    <w:abstractNumId w:val="222"/>
  </w:num>
  <w:num w:numId="171" w16cid:durableId="1072774703">
    <w:abstractNumId w:val="234"/>
  </w:num>
  <w:num w:numId="172" w16cid:durableId="154153650">
    <w:abstractNumId w:val="55"/>
  </w:num>
  <w:num w:numId="173" w16cid:durableId="134420662">
    <w:abstractNumId w:val="67"/>
  </w:num>
  <w:num w:numId="174" w16cid:durableId="1385982805">
    <w:abstractNumId w:val="64"/>
  </w:num>
  <w:num w:numId="175" w16cid:durableId="1945766913">
    <w:abstractNumId w:val="133"/>
  </w:num>
  <w:num w:numId="176" w16cid:durableId="150029383">
    <w:abstractNumId w:val="87"/>
  </w:num>
  <w:num w:numId="177" w16cid:durableId="1588611890">
    <w:abstractNumId w:val="30"/>
  </w:num>
  <w:num w:numId="178" w16cid:durableId="1855144820">
    <w:abstractNumId w:val="201"/>
  </w:num>
  <w:num w:numId="179" w16cid:durableId="1952514057">
    <w:abstractNumId w:val="38"/>
  </w:num>
  <w:num w:numId="180" w16cid:durableId="2050259655">
    <w:abstractNumId w:val="107"/>
  </w:num>
  <w:num w:numId="181" w16cid:durableId="807622722">
    <w:abstractNumId w:val="2"/>
  </w:num>
  <w:num w:numId="182" w16cid:durableId="1649364156">
    <w:abstractNumId w:val="213"/>
  </w:num>
  <w:num w:numId="183" w16cid:durableId="1519735075">
    <w:abstractNumId w:val="79"/>
  </w:num>
  <w:num w:numId="184" w16cid:durableId="1430809164">
    <w:abstractNumId w:val="70"/>
  </w:num>
  <w:num w:numId="185" w16cid:durableId="1923682765">
    <w:abstractNumId w:val="98"/>
  </w:num>
  <w:num w:numId="186" w16cid:durableId="1114247024">
    <w:abstractNumId w:val="101"/>
  </w:num>
  <w:num w:numId="187" w16cid:durableId="654529770">
    <w:abstractNumId w:val="121"/>
  </w:num>
  <w:num w:numId="188" w16cid:durableId="1560050993">
    <w:abstractNumId w:val="161"/>
  </w:num>
  <w:num w:numId="189" w16cid:durableId="659843227">
    <w:abstractNumId w:val="5"/>
  </w:num>
  <w:num w:numId="190" w16cid:durableId="1856187117">
    <w:abstractNumId w:val="136"/>
  </w:num>
  <w:num w:numId="191" w16cid:durableId="1073357228">
    <w:abstractNumId w:val="128"/>
  </w:num>
  <w:num w:numId="192" w16cid:durableId="725370093">
    <w:abstractNumId w:val="209"/>
  </w:num>
  <w:num w:numId="193" w16cid:durableId="1650859536">
    <w:abstractNumId w:val="241"/>
  </w:num>
  <w:num w:numId="194" w16cid:durableId="1236665218">
    <w:abstractNumId w:val="151"/>
  </w:num>
  <w:num w:numId="195" w16cid:durableId="510068655">
    <w:abstractNumId w:val="8"/>
  </w:num>
  <w:num w:numId="196" w16cid:durableId="705564918">
    <w:abstractNumId w:val="192"/>
  </w:num>
  <w:num w:numId="197" w16cid:durableId="2146118369">
    <w:abstractNumId w:val="127"/>
  </w:num>
  <w:num w:numId="198" w16cid:durableId="2071607181">
    <w:abstractNumId w:val="184"/>
  </w:num>
  <w:num w:numId="199" w16cid:durableId="586496724">
    <w:abstractNumId w:val="69"/>
  </w:num>
  <w:num w:numId="200" w16cid:durableId="1111317266">
    <w:abstractNumId w:val="174"/>
  </w:num>
  <w:num w:numId="201" w16cid:durableId="597300850">
    <w:abstractNumId w:val="143"/>
  </w:num>
  <w:num w:numId="202" w16cid:durableId="329649447">
    <w:abstractNumId w:val="16"/>
  </w:num>
  <w:num w:numId="203" w16cid:durableId="280570919">
    <w:abstractNumId w:val="33"/>
  </w:num>
  <w:num w:numId="204" w16cid:durableId="1342313386">
    <w:abstractNumId w:val="76"/>
  </w:num>
  <w:num w:numId="205" w16cid:durableId="87433909">
    <w:abstractNumId w:val="89"/>
  </w:num>
  <w:num w:numId="206" w16cid:durableId="880358063">
    <w:abstractNumId w:val="141"/>
  </w:num>
  <w:num w:numId="207" w16cid:durableId="1442460383">
    <w:abstractNumId w:val="212"/>
  </w:num>
  <w:num w:numId="208" w16cid:durableId="232863052">
    <w:abstractNumId w:val="148"/>
  </w:num>
  <w:num w:numId="209" w16cid:durableId="471556520">
    <w:abstractNumId w:val="138"/>
  </w:num>
  <w:num w:numId="210" w16cid:durableId="630936574">
    <w:abstractNumId w:val="235"/>
  </w:num>
  <w:num w:numId="211" w16cid:durableId="1525284895">
    <w:abstractNumId w:val="169"/>
  </w:num>
  <w:num w:numId="212" w16cid:durableId="492986503">
    <w:abstractNumId w:val="176"/>
  </w:num>
  <w:num w:numId="213" w16cid:durableId="1137406626">
    <w:abstractNumId w:val="28"/>
  </w:num>
  <w:num w:numId="214" w16cid:durableId="509492755">
    <w:abstractNumId w:val="66"/>
  </w:num>
  <w:num w:numId="215" w16cid:durableId="1548682106">
    <w:abstractNumId w:val="46"/>
  </w:num>
  <w:num w:numId="216" w16cid:durableId="1991012586">
    <w:abstractNumId w:val="99"/>
  </w:num>
  <w:num w:numId="217" w16cid:durableId="79525700">
    <w:abstractNumId w:val="120"/>
  </w:num>
  <w:num w:numId="218" w16cid:durableId="1951160663">
    <w:abstractNumId w:val="123"/>
  </w:num>
  <w:num w:numId="219" w16cid:durableId="566651573">
    <w:abstractNumId w:val="236"/>
  </w:num>
  <w:num w:numId="220" w16cid:durableId="2118864140">
    <w:abstractNumId w:val="9"/>
  </w:num>
  <w:num w:numId="221" w16cid:durableId="428279585">
    <w:abstractNumId w:val="92"/>
  </w:num>
  <w:num w:numId="222" w16cid:durableId="269046828">
    <w:abstractNumId w:val="165"/>
  </w:num>
  <w:num w:numId="223" w16cid:durableId="1488283492">
    <w:abstractNumId w:val="68"/>
  </w:num>
  <w:num w:numId="224" w16cid:durableId="258756281">
    <w:abstractNumId w:val="185"/>
  </w:num>
  <w:num w:numId="225" w16cid:durableId="305088386">
    <w:abstractNumId w:val="220"/>
  </w:num>
  <w:num w:numId="226" w16cid:durableId="927159979">
    <w:abstractNumId w:val="100"/>
  </w:num>
  <w:num w:numId="227" w16cid:durableId="1378893276">
    <w:abstractNumId w:val="197"/>
  </w:num>
  <w:num w:numId="228" w16cid:durableId="1355619713">
    <w:abstractNumId w:val="186"/>
  </w:num>
  <w:num w:numId="229" w16cid:durableId="2115783057">
    <w:abstractNumId w:val="231"/>
  </w:num>
  <w:num w:numId="230" w16cid:durableId="1528524916">
    <w:abstractNumId w:val="202"/>
  </w:num>
  <w:num w:numId="231" w16cid:durableId="1093938583">
    <w:abstractNumId w:val="240"/>
  </w:num>
  <w:num w:numId="232" w16cid:durableId="1932422621">
    <w:abstractNumId w:val="223"/>
  </w:num>
  <w:num w:numId="233" w16cid:durableId="1874418314">
    <w:abstractNumId w:val="108"/>
  </w:num>
  <w:num w:numId="234" w16cid:durableId="255748840">
    <w:abstractNumId w:val="24"/>
  </w:num>
  <w:num w:numId="235" w16cid:durableId="2145467745">
    <w:abstractNumId w:val="189"/>
  </w:num>
  <w:num w:numId="236" w16cid:durableId="461462641">
    <w:abstractNumId w:val="94"/>
  </w:num>
  <w:num w:numId="237" w16cid:durableId="1224296556">
    <w:abstractNumId w:val="195"/>
    <w:lvlOverride w:ilvl="0">
      <w:startOverride w:val="1"/>
    </w:lvlOverride>
  </w:num>
  <w:num w:numId="238" w16cid:durableId="1407335779">
    <w:abstractNumId w:val="195"/>
    <w:lvlOverride w:ilvl="0">
      <w:startOverride w:val="1"/>
    </w:lvlOverride>
  </w:num>
  <w:num w:numId="239" w16cid:durableId="1005012707">
    <w:abstractNumId w:val="72"/>
  </w:num>
  <w:num w:numId="240" w16cid:durableId="475608245">
    <w:abstractNumId w:val="85"/>
  </w:num>
  <w:num w:numId="241" w16cid:durableId="1948269433">
    <w:abstractNumId w:val="1"/>
    <w:lvlOverride w:ilvl="0">
      <w:startOverride w:val="1"/>
    </w:lvlOverride>
  </w:num>
  <w:num w:numId="242" w16cid:durableId="1795514427">
    <w:abstractNumId w:val="4"/>
  </w:num>
  <w:num w:numId="243" w16cid:durableId="817956383">
    <w:abstractNumId w:val="195"/>
    <w:lvlOverride w:ilvl="0">
      <w:startOverride w:val="1"/>
    </w:lvlOverride>
  </w:num>
  <w:num w:numId="244" w16cid:durableId="944464373">
    <w:abstractNumId w:val="169"/>
    <w:lvlOverride w:ilvl="0">
      <w:startOverride w:val="1"/>
    </w:lvlOverride>
  </w:num>
  <w:num w:numId="245" w16cid:durableId="1318879145">
    <w:abstractNumId w:val="224"/>
  </w:num>
  <w:num w:numId="246" w16cid:durableId="1295478308">
    <w:abstractNumId w:val="54"/>
  </w:num>
  <w:num w:numId="247" w16cid:durableId="1708598322">
    <w:abstractNumId w:val="3"/>
  </w:num>
  <w:num w:numId="248" w16cid:durableId="1290405174">
    <w:abstractNumId w:val="58"/>
  </w:num>
  <w:num w:numId="249" w16cid:durableId="1237088948">
    <w:abstractNumId w:val="44"/>
  </w:num>
  <w:num w:numId="250" w16cid:durableId="1201822129">
    <w:abstractNumId w:val="60"/>
  </w:num>
  <w:num w:numId="251" w16cid:durableId="231621593">
    <w:abstractNumId w:val="81"/>
  </w:num>
  <w:num w:numId="252" w16cid:durableId="52316820">
    <w:abstractNumId w:val="34"/>
  </w:num>
  <w:num w:numId="253" w16cid:durableId="2074618476">
    <w:abstractNumId w:val="62"/>
  </w:num>
  <w:numIdMacAtCleanup w:val="2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hideSpellingErrors/>
  <w:hideGrammaticalErrors/>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080C"/>
    <w:rsid w:val="00001111"/>
    <w:rsid w:val="00001E72"/>
    <w:rsid w:val="0000295A"/>
    <w:rsid w:val="00002C64"/>
    <w:rsid w:val="00005609"/>
    <w:rsid w:val="0000597A"/>
    <w:rsid w:val="000067D0"/>
    <w:rsid w:val="00006D3A"/>
    <w:rsid w:val="000103FD"/>
    <w:rsid w:val="000119D6"/>
    <w:rsid w:val="00012FFA"/>
    <w:rsid w:val="000176CB"/>
    <w:rsid w:val="000206F5"/>
    <w:rsid w:val="00020903"/>
    <w:rsid w:val="0002182F"/>
    <w:rsid w:val="00021D18"/>
    <w:rsid w:val="00022845"/>
    <w:rsid w:val="00022E7D"/>
    <w:rsid w:val="00023CA2"/>
    <w:rsid w:val="00024370"/>
    <w:rsid w:val="000253FA"/>
    <w:rsid w:val="0002615E"/>
    <w:rsid w:val="0002698B"/>
    <w:rsid w:val="000269D8"/>
    <w:rsid w:val="00030F4C"/>
    <w:rsid w:val="0003114A"/>
    <w:rsid w:val="00032006"/>
    <w:rsid w:val="00032D9F"/>
    <w:rsid w:val="00034038"/>
    <w:rsid w:val="0003491F"/>
    <w:rsid w:val="00035C6C"/>
    <w:rsid w:val="0003669D"/>
    <w:rsid w:val="00036FDF"/>
    <w:rsid w:val="00037473"/>
    <w:rsid w:val="000374D5"/>
    <w:rsid w:val="000378FC"/>
    <w:rsid w:val="00040598"/>
    <w:rsid w:val="0004133B"/>
    <w:rsid w:val="00042F5E"/>
    <w:rsid w:val="000431A0"/>
    <w:rsid w:val="000439E4"/>
    <w:rsid w:val="00045772"/>
    <w:rsid w:val="000509CC"/>
    <w:rsid w:val="00051841"/>
    <w:rsid w:val="00051A1A"/>
    <w:rsid w:val="0005215B"/>
    <w:rsid w:val="000531A4"/>
    <w:rsid w:val="00053F19"/>
    <w:rsid w:val="0005451E"/>
    <w:rsid w:val="00054C36"/>
    <w:rsid w:val="00054C39"/>
    <w:rsid w:val="00054FCF"/>
    <w:rsid w:val="00055990"/>
    <w:rsid w:val="000567BA"/>
    <w:rsid w:val="00061190"/>
    <w:rsid w:val="000650BD"/>
    <w:rsid w:val="000710EC"/>
    <w:rsid w:val="00073A72"/>
    <w:rsid w:val="00074C7F"/>
    <w:rsid w:val="000758AC"/>
    <w:rsid w:val="00076F1E"/>
    <w:rsid w:val="00077BF7"/>
    <w:rsid w:val="00077E34"/>
    <w:rsid w:val="00080060"/>
    <w:rsid w:val="00080605"/>
    <w:rsid w:val="00080936"/>
    <w:rsid w:val="00080ABB"/>
    <w:rsid w:val="00082767"/>
    <w:rsid w:val="00090FB0"/>
    <w:rsid w:val="00092605"/>
    <w:rsid w:val="00093021"/>
    <w:rsid w:val="00093A2D"/>
    <w:rsid w:val="00093F46"/>
    <w:rsid w:val="00095EEA"/>
    <w:rsid w:val="000960AA"/>
    <w:rsid w:val="000A0C2F"/>
    <w:rsid w:val="000A1CC3"/>
    <w:rsid w:val="000A20B8"/>
    <w:rsid w:val="000A33E7"/>
    <w:rsid w:val="000A43AC"/>
    <w:rsid w:val="000A5BDE"/>
    <w:rsid w:val="000A6503"/>
    <w:rsid w:val="000A65E2"/>
    <w:rsid w:val="000A7695"/>
    <w:rsid w:val="000A776A"/>
    <w:rsid w:val="000A792E"/>
    <w:rsid w:val="000A7D12"/>
    <w:rsid w:val="000B1931"/>
    <w:rsid w:val="000B313A"/>
    <w:rsid w:val="000B332B"/>
    <w:rsid w:val="000B3D8D"/>
    <w:rsid w:val="000B4621"/>
    <w:rsid w:val="000B6372"/>
    <w:rsid w:val="000C0842"/>
    <w:rsid w:val="000C0B75"/>
    <w:rsid w:val="000C2CD6"/>
    <w:rsid w:val="000C33D9"/>
    <w:rsid w:val="000C37AD"/>
    <w:rsid w:val="000C41A3"/>
    <w:rsid w:val="000C5478"/>
    <w:rsid w:val="000C5963"/>
    <w:rsid w:val="000C7DC4"/>
    <w:rsid w:val="000D33BF"/>
    <w:rsid w:val="000D3659"/>
    <w:rsid w:val="000D3D37"/>
    <w:rsid w:val="000D3DFA"/>
    <w:rsid w:val="000D48ED"/>
    <w:rsid w:val="000D492E"/>
    <w:rsid w:val="000D5A84"/>
    <w:rsid w:val="000D7EED"/>
    <w:rsid w:val="000E0761"/>
    <w:rsid w:val="000E121E"/>
    <w:rsid w:val="000E16F3"/>
    <w:rsid w:val="000E327C"/>
    <w:rsid w:val="000E4A9D"/>
    <w:rsid w:val="000E4E27"/>
    <w:rsid w:val="000F0E7D"/>
    <w:rsid w:val="000F229B"/>
    <w:rsid w:val="000F3DD4"/>
    <w:rsid w:val="000F535D"/>
    <w:rsid w:val="000F716A"/>
    <w:rsid w:val="000F74B7"/>
    <w:rsid w:val="000F75DD"/>
    <w:rsid w:val="0010175B"/>
    <w:rsid w:val="00102554"/>
    <w:rsid w:val="00103467"/>
    <w:rsid w:val="00105953"/>
    <w:rsid w:val="001067D3"/>
    <w:rsid w:val="00110637"/>
    <w:rsid w:val="0011128D"/>
    <w:rsid w:val="0011188E"/>
    <w:rsid w:val="00112456"/>
    <w:rsid w:val="00112C9D"/>
    <w:rsid w:val="00112FA1"/>
    <w:rsid w:val="001136A9"/>
    <w:rsid w:val="00113B18"/>
    <w:rsid w:val="00115826"/>
    <w:rsid w:val="001170DA"/>
    <w:rsid w:val="001208CC"/>
    <w:rsid w:val="00120FEA"/>
    <w:rsid w:val="0012108A"/>
    <w:rsid w:val="0012150A"/>
    <w:rsid w:val="00121516"/>
    <w:rsid w:val="00121AB2"/>
    <w:rsid w:val="0012333B"/>
    <w:rsid w:val="00123704"/>
    <w:rsid w:val="001244F4"/>
    <w:rsid w:val="00124ED4"/>
    <w:rsid w:val="00127407"/>
    <w:rsid w:val="00130993"/>
    <w:rsid w:val="0013251E"/>
    <w:rsid w:val="00132581"/>
    <w:rsid w:val="001325BA"/>
    <w:rsid w:val="00132EB4"/>
    <w:rsid w:val="0013387A"/>
    <w:rsid w:val="00136924"/>
    <w:rsid w:val="0014069C"/>
    <w:rsid w:val="001409B6"/>
    <w:rsid w:val="00140FE9"/>
    <w:rsid w:val="00141756"/>
    <w:rsid w:val="00141995"/>
    <w:rsid w:val="00144A97"/>
    <w:rsid w:val="00145217"/>
    <w:rsid w:val="00145B68"/>
    <w:rsid w:val="001466A1"/>
    <w:rsid w:val="00146FF9"/>
    <w:rsid w:val="001477E6"/>
    <w:rsid w:val="0015062E"/>
    <w:rsid w:val="0015095B"/>
    <w:rsid w:val="00151393"/>
    <w:rsid w:val="00152DAC"/>
    <w:rsid w:val="001537FB"/>
    <w:rsid w:val="00153FC9"/>
    <w:rsid w:val="001550EF"/>
    <w:rsid w:val="00156176"/>
    <w:rsid w:val="00162B23"/>
    <w:rsid w:val="00163403"/>
    <w:rsid w:val="001649E5"/>
    <w:rsid w:val="00166349"/>
    <w:rsid w:val="00166AE3"/>
    <w:rsid w:val="00167EB5"/>
    <w:rsid w:val="0017029B"/>
    <w:rsid w:val="001703FB"/>
    <w:rsid w:val="00172B4D"/>
    <w:rsid w:val="00172CA2"/>
    <w:rsid w:val="00172FF3"/>
    <w:rsid w:val="0017319B"/>
    <w:rsid w:val="00175F49"/>
    <w:rsid w:val="00177A57"/>
    <w:rsid w:val="0018124D"/>
    <w:rsid w:val="0018322D"/>
    <w:rsid w:val="00183915"/>
    <w:rsid w:val="00184519"/>
    <w:rsid w:val="00184820"/>
    <w:rsid w:val="00184909"/>
    <w:rsid w:val="00185688"/>
    <w:rsid w:val="00187494"/>
    <w:rsid w:val="001902BF"/>
    <w:rsid w:val="001915AB"/>
    <w:rsid w:val="00193C43"/>
    <w:rsid w:val="0019774B"/>
    <w:rsid w:val="00197CFE"/>
    <w:rsid w:val="001A0E22"/>
    <w:rsid w:val="001A2EF0"/>
    <w:rsid w:val="001A4065"/>
    <w:rsid w:val="001A44C5"/>
    <w:rsid w:val="001A51A5"/>
    <w:rsid w:val="001A5C0A"/>
    <w:rsid w:val="001A6A1B"/>
    <w:rsid w:val="001A7637"/>
    <w:rsid w:val="001B163C"/>
    <w:rsid w:val="001B178C"/>
    <w:rsid w:val="001B2446"/>
    <w:rsid w:val="001B5B99"/>
    <w:rsid w:val="001B6974"/>
    <w:rsid w:val="001B78D6"/>
    <w:rsid w:val="001C0BFD"/>
    <w:rsid w:val="001C1443"/>
    <w:rsid w:val="001C15A4"/>
    <w:rsid w:val="001C3766"/>
    <w:rsid w:val="001C3BE0"/>
    <w:rsid w:val="001C4882"/>
    <w:rsid w:val="001C4ADC"/>
    <w:rsid w:val="001C5196"/>
    <w:rsid w:val="001C5D86"/>
    <w:rsid w:val="001C5ED8"/>
    <w:rsid w:val="001C6228"/>
    <w:rsid w:val="001C71ED"/>
    <w:rsid w:val="001C7F7E"/>
    <w:rsid w:val="001D1BE0"/>
    <w:rsid w:val="001D22BB"/>
    <w:rsid w:val="001D28B4"/>
    <w:rsid w:val="001D3F32"/>
    <w:rsid w:val="001D42EE"/>
    <w:rsid w:val="001D4696"/>
    <w:rsid w:val="001D4CB0"/>
    <w:rsid w:val="001D59EA"/>
    <w:rsid w:val="001D6735"/>
    <w:rsid w:val="001D6850"/>
    <w:rsid w:val="001D7501"/>
    <w:rsid w:val="001E17E4"/>
    <w:rsid w:val="001E1F24"/>
    <w:rsid w:val="001E29D4"/>
    <w:rsid w:val="001E3AA6"/>
    <w:rsid w:val="001E3AE2"/>
    <w:rsid w:val="001E3F8B"/>
    <w:rsid w:val="001E4443"/>
    <w:rsid w:val="001E4CC2"/>
    <w:rsid w:val="001E4EF0"/>
    <w:rsid w:val="001E6D37"/>
    <w:rsid w:val="001E6D41"/>
    <w:rsid w:val="001E710A"/>
    <w:rsid w:val="001E7742"/>
    <w:rsid w:val="001E7854"/>
    <w:rsid w:val="001F0114"/>
    <w:rsid w:val="001F2649"/>
    <w:rsid w:val="001F2811"/>
    <w:rsid w:val="001F3559"/>
    <w:rsid w:val="001F7BC1"/>
    <w:rsid w:val="001F7D23"/>
    <w:rsid w:val="00200BF9"/>
    <w:rsid w:val="00202741"/>
    <w:rsid w:val="00203947"/>
    <w:rsid w:val="00203CEC"/>
    <w:rsid w:val="00204C65"/>
    <w:rsid w:val="00205123"/>
    <w:rsid w:val="00205727"/>
    <w:rsid w:val="00207A77"/>
    <w:rsid w:val="00210DE2"/>
    <w:rsid w:val="00211181"/>
    <w:rsid w:val="00213D6A"/>
    <w:rsid w:val="00214981"/>
    <w:rsid w:val="00214CBB"/>
    <w:rsid w:val="00214CF8"/>
    <w:rsid w:val="00215D53"/>
    <w:rsid w:val="00222B03"/>
    <w:rsid w:val="002236B1"/>
    <w:rsid w:val="0022601D"/>
    <w:rsid w:val="0022665E"/>
    <w:rsid w:val="00227F82"/>
    <w:rsid w:val="002312CD"/>
    <w:rsid w:val="002316ED"/>
    <w:rsid w:val="00231BC7"/>
    <w:rsid w:val="00232160"/>
    <w:rsid w:val="00233C52"/>
    <w:rsid w:val="00234D7F"/>
    <w:rsid w:val="00235332"/>
    <w:rsid w:val="00235776"/>
    <w:rsid w:val="002359AB"/>
    <w:rsid w:val="002369B0"/>
    <w:rsid w:val="00240128"/>
    <w:rsid w:val="00240D2C"/>
    <w:rsid w:val="002412BF"/>
    <w:rsid w:val="0024205C"/>
    <w:rsid w:val="002427B6"/>
    <w:rsid w:val="002437E6"/>
    <w:rsid w:val="0024453E"/>
    <w:rsid w:val="00245187"/>
    <w:rsid w:val="002456DD"/>
    <w:rsid w:val="002456EC"/>
    <w:rsid w:val="00245C1E"/>
    <w:rsid w:val="00247473"/>
    <w:rsid w:val="00252756"/>
    <w:rsid w:val="0025303A"/>
    <w:rsid w:val="0025364D"/>
    <w:rsid w:val="00254EE1"/>
    <w:rsid w:val="00255BC7"/>
    <w:rsid w:val="0026057F"/>
    <w:rsid w:val="00261B8F"/>
    <w:rsid w:val="00261BAB"/>
    <w:rsid w:val="00262560"/>
    <w:rsid w:val="00262ECE"/>
    <w:rsid w:val="00263E03"/>
    <w:rsid w:val="00263F03"/>
    <w:rsid w:val="002652B8"/>
    <w:rsid w:val="002658C6"/>
    <w:rsid w:val="0026696D"/>
    <w:rsid w:val="00267C04"/>
    <w:rsid w:val="00271D71"/>
    <w:rsid w:val="00271DF4"/>
    <w:rsid w:val="0027324D"/>
    <w:rsid w:val="0027440A"/>
    <w:rsid w:val="00274613"/>
    <w:rsid w:val="00274B03"/>
    <w:rsid w:val="00277C98"/>
    <w:rsid w:val="002820D4"/>
    <w:rsid w:val="00282B80"/>
    <w:rsid w:val="00284DA1"/>
    <w:rsid w:val="00286F54"/>
    <w:rsid w:val="00287B31"/>
    <w:rsid w:val="00290762"/>
    <w:rsid w:val="002912FE"/>
    <w:rsid w:val="00292F88"/>
    <w:rsid w:val="00295B59"/>
    <w:rsid w:val="00296B3A"/>
    <w:rsid w:val="00297704"/>
    <w:rsid w:val="002A2D39"/>
    <w:rsid w:val="002A5D1C"/>
    <w:rsid w:val="002A653E"/>
    <w:rsid w:val="002A7C08"/>
    <w:rsid w:val="002B00CA"/>
    <w:rsid w:val="002B2B67"/>
    <w:rsid w:val="002B2EC6"/>
    <w:rsid w:val="002B3CEB"/>
    <w:rsid w:val="002B3E30"/>
    <w:rsid w:val="002B3EB2"/>
    <w:rsid w:val="002B53A6"/>
    <w:rsid w:val="002B559C"/>
    <w:rsid w:val="002B65E6"/>
    <w:rsid w:val="002B731E"/>
    <w:rsid w:val="002C0212"/>
    <w:rsid w:val="002C022A"/>
    <w:rsid w:val="002C121C"/>
    <w:rsid w:val="002C22FA"/>
    <w:rsid w:val="002C370B"/>
    <w:rsid w:val="002C38DC"/>
    <w:rsid w:val="002C4862"/>
    <w:rsid w:val="002C614B"/>
    <w:rsid w:val="002C6389"/>
    <w:rsid w:val="002C64BC"/>
    <w:rsid w:val="002C677E"/>
    <w:rsid w:val="002C6970"/>
    <w:rsid w:val="002D2565"/>
    <w:rsid w:val="002D2B9A"/>
    <w:rsid w:val="002D38D9"/>
    <w:rsid w:val="002D4309"/>
    <w:rsid w:val="002D4FF7"/>
    <w:rsid w:val="002D687B"/>
    <w:rsid w:val="002D7708"/>
    <w:rsid w:val="002D7A31"/>
    <w:rsid w:val="002E0FE6"/>
    <w:rsid w:val="002E1437"/>
    <w:rsid w:val="002E1913"/>
    <w:rsid w:val="002E22E7"/>
    <w:rsid w:val="002E2757"/>
    <w:rsid w:val="002E2C7A"/>
    <w:rsid w:val="002E3B44"/>
    <w:rsid w:val="002E4DDD"/>
    <w:rsid w:val="002E5831"/>
    <w:rsid w:val="002E58E0"/>
    <w:rsid w:val="002F2523"/>
    <w:rsid w:val="002F67C9"/>
    <w:rsid w:val="003005FC"/>
    <w:rsid w:val="0030086E"/>
    <w:rsid w:val="00300F0D"/>
    <w:rsid w:val="0030131E"/>
    <w:rsid w:val="0030254A"/>
    <w:rsid w:val="00303079"/>
    <w:rsid w:val="00303142"/>
    <w:rsid w:val="003035F0"/>
    <w:rsid w:val="003042B5"/>
    <w:rsid w:val="00305E80"/>
    <w:rsid w:val="00307B82"/>
    <w:rsid w:val="00310608"/>
    <w:rsid w:val="00313B97"/>
    <w:rsid w:val="00314848"/>
    <w:rsid w:val="00314924"/>
    <w:rsid w:val="003153DD"/>
    <w:rsid w:val="003154CA"/>
    <w:rsid w:val="00315B5A"/>
    <w:rsid w:val="00315F89"/>
    <w:rsid w:val="00316C22"/>
    <w:rsid w:val="00317120"/>
    <w:rsid w:val="00317898"/>
    <w:rsid w:val="00322EF5"/>
    <w:rsid w:val="003237F6"/>
    <w:rsid w:val="00323E97"/>
    <w:rsid w:val="00323F22"/>
    <w:rsid w:val="003247F0"/>
    <w:rsid w:val="00327473"/>
    <w:rsid w:val="00327C94"/>
    <w:rsid w:val="00327F5A"/>
    <w:rsid w:val="003325EA"/>
    <w:rsid w:val="003332E4"/>
    <w:rsid w:val="00335968"/>
    <w:rsid w:val="00337216"/>
    <w:rsid w:val="00337D55"/>
    <w:rsid w:val="00337D8B"/>
    <w:rsid w:val="00337F28"/>
    <w:rsid w:val="003435F6"/>
    <w:rsid w:val="0034488F"/>
    <w:rsid w:val="003476A9"/>
    <w:rsid w:val="003524B6"/>
    <w:rsid w:val="00357022"/>
    <w:rsid w:val="003621BF"/>
    <w:rsid w:val="003624EF"/>
    <w:rsid w:val="0036499E"/>
    <w:rsid w:val="00366A14"/>
    <w:rsid w:val="0036771E"/>
    <w:rsid w:val="00371434"/>
    <w:rsid w:val="0037153F"/>
    <w:rsid w:val="00372AD1"/>
    <w:rsid w:val="00375767"/>
    <w:rsid w:val="0037705B"/>
    <w:rsid w:val="003805F9"/>
    <w:rsid w:val="00381390"/>
    <w:rsid w:val="00382AC2"/>
    <w:rsid w:val="00383610"/>
    <w:rsid w:val="00383C1D"/>
    <w:rsid w:val="00384219"/>
    <w:rsid w:val="00384A30"/>
    <w:rsid w:val="003858A2"/>
    <w:rsid w:val="00385958"/>
    <w:rsid w:val="00386F09"/>
    <w:rsid w:val="00386F7C"/>
    <w:rsid w:val="003874FD"/>
    <w:rsid w:val="003878FD"/>
    <w:rsid w:val="00390181"/>
    <w:rsid w:val="00390642"/>
    <w:rsid w:val="0039259C"/>
    <w:rsid w:val="003938A1"/>
    <w:rsid w:val="0039462D"/>
    <w:rsid w:val="00394E79"/>
    <w:rsid w:val="003973D9"/>
    <w:rsid w:val="003A01AB"/>
    <w:rsid w:val="003A1B11"/>
    <w:rsid w:val="003A2F78"/>
    <w:rsid w:val="003A3758"/>
    <w:rsid w:val="003A38AD"/>
    <w:rsid w:val="003A3DE1"/>
    <w:rsid w:val="003A3F45"/>
    <w:rsid w:val="003A3F9C"/>
    <w:rsid w:val="003A4A3E"/>
    <w:rsid w:val="003A52D7"/>
    <w:rsid w:val="003A5ABC"/>
    <w:rsid w:val="003A66D0"/>
    <w:rsid w:val="003A6865"/>
    <w:rsid w:val="003A71AA"/>
    <w:rsid w:val="003B1E03"/>
    <w:rsid w:val="003B4598"/>
    <w:rsid w:val="003B4E46"/>
    <w:rsid w:val="003B5783"/>
    <w:rsid w:val="003B7E42"/>
    <w:rsid w:val="003C077E"/>
    <w:rsid w:val="003C08E5"/>
    <w:rsid w:val="003C1CD9"/>
    <w:rsid w:val="003C5035"/>
    <w:rsid w:val="003C5338"/>
    <w:rsid w:val="003C6F10"/>
    <w:rsid w:val="003D04B9"/>
    <w:rsid w:val="003D0633"/>
    <w:rsid w:val="003D222E"/>
    <w:rsid w:val="003D22D0"/>
    <w:rsid w:val="003D2419"/>
    <w:rsid w:val="003D2DCD"/>
    <w:rsid w:val="003D45CA"/>
    <w:rsid w:val="003D48DA"/>
    <w:rsid w:val="003D5352"/>
    <w:rsid w:val="003D54B8"/>
    <w:rsid w:val="003D5F5E"/>
    <w:rsid w:val="003D6410"/>
    <w:rsid w:val="003D7042"/>
    <w:rsid w:val="003E0A26"/>
    <w:rsid w:val="003E2D61"/>
    <w:rsid w:val="003E3124"/>
    <w:rsid w:val="003E3481"/>
    <w:rsid w:val="003E3E57"/>
    <w:rsid w:val="003E6A36"/>
    <w:rsid w:val="003F0042"/>
    <w:rsid w:val="003F0533"/>
    <w:rsid w:val="003F0E0E"/>
    <w:rsid w:val="003F0FB0"/>
    <w:rsid w:val="003F5A95"/>
    <w:rsid w:val="003F6070"/>
    <w:rsid w:val="003F7AD1"/>
    <w:rsid w:val="003F7B1D"/>
    <w:rsid w:val="004005C2"/>
    <w:rsid w:val="00400F3E"/>
    <w:rsid w:val="00401ECE"/>
    <w:rsid w:val="00402CFC"/>
    <w:rsid w:val="00405EC3"/>
    <w:rsid w:val="0040601C"/>
    <w:rsid w:val="004065F8"/>
    <w:rsid w:val="00407BA9"/>
    <w:rsid w:val="0041047D"/>
    <w:rsid w:val="0041216A"/>
    <w:rsid w:val="00413DD0"/>
    <w:rsid w:val="004140D0"/>
    <w:rsid w:val="00414511"/>
    <w:rsid w:val="00414623"/>
    <w:rsid w:val="00414D32"/>
    <w:rsid w:val="004160CB"/>
    <w:rsid w:val="00416844"/>
    <w:rsid w:val="004168D0"/>
    <w:rsid w:val="00416F25"/>
    <w:rsid w:val="00420761"/>
    <w:rsid w:val="004209F0"/>
    <w:rsid w:val="00420B2D"/>
    <w:rsid w:val="00423DFD"/>
    <w:rsid w:val="004259FB"/>
    <w:rsid w:val="0042675D"/>
    <w:rsid w:val="0042756C"/>
    <w:rsid w:val="00427B14"/>
    <w:rsid w:val="0043036E"/>
    <w:rsid w:val="00431DB2"/>
    <w:rsid w:val="00432C5D"/>
    <w:rsid w:val="00432EA0"/>
    <w:rsid w:val="004332CC"/>
    <w:rsid w:val="004333EE"/>
    <w:rsid w:val="00433481"/>
    <w:rsid w:val="00434037"/>
    <w:rsid w:val="004400AB"/>
    <w:rsid w:val="004413EC"/>
    <w:rsid w:val="004413FE"/>
    <w:rsid w:val="00441498"/>
    <w:rsid w:val="004414A5"/>
    <w:rsid w:val="0044181A"/>
    <w:rsid w:val="00441DD1"/>
    <w:rsid w:val="00441FCE"/>
    <w:rsid w:val="004420C2"/>
    <w:rsid w:val="00442473"/>
    <w:rsid w:val="00442C8D"/>
    <w:rsid w:val="00443A7B"/>
    <w:rsid w:val="00444037"/>
    <w:rsid w:val="00444810"/>
    <w:rsid w:val="0044491B"/>
    <w:rsid w:val="004479D3"/>
    <w:rsid w:val="00447F2A"/>
    <w:rsid w:val="0045211E"/>
    <w:rsid w:val="004521C7"/>
    <w:rsid w:val="0045270A"/>
    <w:rsid w:val="004527F7"/>
    <w:rsid w:val="0045379F"/>
    <w:rsid w:val="00454111"/>
    <w:rsid w:val="00454DA2"/>
    <w:rsid w:val="004552DC"/>
    <w:rsid w:val="00455D10"/>
    <w:rsid w:val="00457A32"/>
    <w:rsid w:val="00462F2F"/>
    <w:rsid w:val="00463279"/>
    <w:rsid w:val="00463A6B"/>
    <w:rsid w:val="00464A48"/>
    <w:rsid w:val="00464C78"/>
    <w:rsid w:val="00465FDE"/>
    <w:rsid w:val="004662B1"/>
    <w:rsid w:val="00466CC8"/>
    <w:rsid w:val="004701EE"/>
    <w:rsid w:val="00471051"/>
    <w:rsid w:val="00471284"/>
    <w:rsid w:val="00474941"/>
    <w:rsid w:val="0047694A"/>
    <w:rsid w:val="0048002F"/>
    <w:rsid w:val="00480A8D"/>
    <w:rsid w:val="00483097"/>
    <w:rsid w:val="00483192"/>
    <w:rsid w:val="004857ED"/>
    <w:rsid w:val="00487771"/>
    <w:rsid w:val="00491277"/>
    <w:rsid w:val="00491B5E"/>
    <w:rsid w:val="00493F8B"/>
    <w:rsid w:val="00495CF0"/>
    <w:rsid w:val="00497088"/>
    <w:rsid w:val="00497773"/>
    <w:rsid w:val="004A0010"/>
    <w:rsid w:val="004A0C12"/>
    <w:rsid w:val="004A27D7"/>
    <w:rsid w:val="004A27F9"/>
    <w:rsid w:val="004A2A2D"/>
    <w:rsid w:val="004A3099"/>
    <w:rsid w:val="004A321D"/>
    <w:rsid w:val="004A3AF0"/>
    <w:rsid w:val="004A50D0"/>
    <w:rsid w:val="004A7688"/>
    <w:rsid w:val="004B055C"/>
    <w:rsid w:val="004B1A09"/>
    <w:rsid w:val="004B1AFD"/>
    <w:rsid w:val="004B1EDF"/>
    <w:rsid w:val="004B1F39"/>
    <w:rsid w:val="004B20CB"/>
    <w:rsid w:val="004B4D2F"/>
    <w:rsid w:val="004B62BA"/>
    <w:rsid w:val="004C3F5D"/>
    <w:rsid w:val="004C57B0"/>
    <w:rsid w:val="004C5FD9"/>
    <w:rsid w:val="004C646E"/>
    <w:rsid w:val="004C66D9"/>
    <w:rsid w:val="004C7374"/>
    <w:rsid w:val="004D09C3"/>
    <w:rsid w:val="004D0DBC"/>
    <w:rsid w:val="004D10D6"/>
    <w:rsid w:val="004D14F7"/>
    <w:rsid w:val="004D1F41"/>
    <w:rsid w:val="004D22D1"/>
    <w:rsid w:val="004D25B6"/>
    <w:rsid w:val="004D27CF"/>
    <w:rsid w:val="004D2C1D"/>
    <w:rsid w:val="004D2EA3"/>
    <w:rsid w:val="004D304B"/>
    <w:rsid w:val="004D3226"/>
    <w:rsid w:val="004D40B6"/>
    <w:rsid w:val="004D457F"/>
    <w:rsid w:val="004D467A"/>
    <w:rsid w:val="004D4FFE"/>
    <w:rsid w:val="004D5AD7"/>
    <w:rsid w:val="004D5C32"/>
    <w:rsid w:val="004D653E"/>
    <w:rsid w:val="004D658B"/>
    <w:rsid w:val="004E0102"/>
    <w:rsid w:val="004E0606"/>
    <w:rsid w:val="004E2C90"/>
    <w:rsid w:val="004E30F7"/>
    <w:rsid w:val="004E387C"/>
    <w:rsid w:val="004E3971"/>
    <w:rsid w:val="004E39CD"/>
    <w:rsid w:val="004E3ECC"/>
    <w:rsid w:val="004E420E"/>
    <w:rsid w:val="004E50B1"/>
    <w:rsid w:val="004E5544"/>
    <w:rsid w:val="004E5EE5"/>
    <w:rsid w:val="004E66AE"/>
    <w:rsid w:val="004F127A"/>
    <w:rsid w:val="004F12F4"/>
    <w:rsid w:val="004F1514"/>
    <w:rsid w:val="004F1E94"/>
    <w:rsid w:val="004F2CD4"/>
    <w:rsid w:val="004F4E24"/>
    <w:rsid w:val="004F54C4"/>
    <w:rsid w:val="004F6088"/>
    <w:rsid w:val="004F6282"/>
    <w:rsid w:val="004F688E"/>
    <w:rsid w:val="004F709B"/>
    <w:rsid w:val="00500378"/>
    <w:rsid w:val="00501354"/>
    <w:rsid w:val="005023A4"/>
    <w:rsid w:val="005024B4"/>
    <w:rsid w:val="00502F51"/>
    <w:rsid w:val="00503034"/>
    <w:rsid w:val="005034E5"/>
    <w:rsid w:val="00504391"/>
    <w:rsid w:val="005045AF"/>
    <w:rsid w:val="00504AE5"/>
    <w:rsid w:val="005058F3"/>
    <w:rsid w:val="005068AD"/>
    <w:rsid w:val="00506E58"/>
    <w:rsid w:val="005103EC"/>
    <w:rsid w:val="005145B9"/>
    <w:rsid w:val="00516794"/>
    <w:rsid w:val="005179B5"/>
    <w:rsid w:val="005200E8"/>
    <w:rsid w:val="0052142C"/>
    <w:rsid w:val="005217F5"/>
    <w:rsid w:val="00523179"/>
    <w:rsid w:val="00523B44"/>
    <w:rsid w:val="00523BD6"/>
    <w:rsid w:val="0052578C"/>
    <w:rsid w:val="00526605"/>
    <w:rsid w:val="00526DE8"/>
    <w:rsid w:val="00527D7E"/>
    <w:rsid w:val="005312CC"/>
    <w:rsid w:val="00531B66"/>
    <w:rsid w:val="00532300"/>
    <w:rsid w:val="005324A2"/>
    <w:rsid w:val="005326CA"/>
    <w:rsid w:val="0053283D"/>
    <w:rsid w:val="00532F88"/>
    <w:rsid w:val="00534440"/>
    <w:rsid w:val="005349BE"/>
    <w:rsid w:val="00534E01"/>
    <w:rsid w:val="00534F9C"/>
    <w:rsid w:val="00535D1A"/>
    <w:rsid w:val="00537248"/>
    <w:rsid w:val="005379BC"/>
    <w:rsid w:val="00540C83"/>
    <w:rsid w:val="00542E41"/>
    <w:rsid w:val="005442DB"/>
    <w:rsid w:val="00547081"/>
    <w:rsid w:val="00547456"/>
    <w:rsid w:val="005506CF"/>
    <w:rsid w:val="00551C64"/>
    <w:rsid w:val="00554942"/>
    <w:rsid w:val="00554C8E"/>
    <w:rsid w:val="00557EDA"/>
    <w:rsid w:val="00562440"/>
    <w:rsid w:val="005630DC"/>
    <w:rsid w:val="00565274"/>
    <w:rsid w:val="00565712"/>
    <w:rsid w:val="00566216"/>
    <w:rsid w:val="005670A1"/>
    <w:rsid w:val="005670BD"/>
    <w:rsid w:val="00567533"/>
    <w:rsid w:val="00570330"/>
    <w:rsid w:val="00570346"/>
    <w:rsid w:val="00573855"/>
    <w:rsid w:val="00573D55"/>
    <w:rsid w:val="005750D8"/>
    <w:rsid w:val="0057606D"/>
    <w:rsid w:val="00576649"/>
    <w:rsid w:val="0057760E"/>
    <w:rsid w:val="00582EBD"/>
    <w:rsid w:val="005835B6"/>
    <w:rsid w:val="00585A16"/>
    <w:rsid w:val="00585DB5"/>
    <w:rsid w:val="00586346"/>
    <w:rsid w:val="00586997"/>
    <w:rsid w:val="0058717B"/>
    <w:rsid w:val="00590622"/>
    <w:rsid w:val="0059134A"/>
    <w:rsid w:val="00593077"/>
    <w:rsid w:val="005954CA"/>
    <w:rsid w:val="0059599A"/>
    <w:rsid w:val="00596036"/>
    <w:rsid w:val="0059737B"/>
    <w:rsid w:val="005A206E"/>
    <w:rsid w:val="005A291B"/>
    <w:rsid w:val="005A3798"/>
    <w:rsid w:val="005A3EA0"/>
    <w:rsid w:val="005A3F9B"/>
    <w:rsid w:val="005A58F1"/>
    <w:rsid w:val="005A7453"/>
    <w:rsid w:val="005A7A57"/>
    <w:rsid w:val="005B0BFA"/>
    <w:rsid w:val="005B1B1D"/>
    <w:rsid w:val="005B2516"/>
    <w:rsid w:val="005B2988"/>
    <w:rsid w:val="005B2A8E"/>
    <w:rsid w:val="005B2F04"/>
    <w:rsid w:val="005B38B5"/>
    <w:rsid w:val="005B3963"/>
    <w:rsid w:val="005B3F06"/>
    <w:rsid w:val="005B41C4"/>
    <w:rsid w:val="005B4710"/>
    <w:rsid w:val="005B4CD4"/>
    <w:rsid w:val="005B5E6A"/>
    <w:rsid w:val="005B5FD2"/>
    <w:rsid w:val="005B6076"/>
    <w:rsid w:val="005B6C7A"/>
    <w:rsid w:val="005B7C68"/>
    <w:rsid w:val="005B7C78"/>
    <w:rsid w:val="005C0484"/>
    <w:rsid w:val="005C17E7"/>
    <w:rsid w:val="005C4768"/>
    <w:rsid w:val="005C5F8B"/>
    <w:rsid w:val="005C613C"/>
    <w:rsid w:val="005D166E"/>
    <w:rsid w:val="005D29E1"/>
    <w:rsid w:val="005D4A4D"/>
    <w:rsid w:val="005D4AA6"/>
    <w:rsid w:val="005D4C06"/>
    <w:rsid w:val="005D4E37"/>
    <w:rsid w:val="005D4EED"/>
    <w:rsid w:val="005D511C"/>
    <w:rsid w:val="005D57C7"/>
    <w:rsid w:val="005D658E"/>
    <w:rsid w:val="005D7571"/>
    <w:rsid w:val="005E02BA"/>
    <w:rsid w:val="005E0DF7"/>
    <w:rsid w:val="005E0F58"/>
    <w:rsid w:val="005E2605"/>
    <w:rsid w:val="005E2C89"/>
    <w:rsid w:val="005E2EDE"/>
    <w:rsid w:val="005E2F1E"/>
    <w:rsid w:val="005E62B1"/>
    <w:rsid w:val="005E6F29"/>
    <w:rsid w:val="005E77FA"/>
    <w:rsid w:val="005F06BE"/>
    <w:rsid w:val="005F0E61"/>
    <w:rsid w:val="005F344F"/>
    <w:rsid w:val="005F4059"/>
    <w:rsid w:val="005F4636"/>
    <w:rsid w:val="005F4FBF"/>
    <w:rsid w:val="005F5B98"/>
    <w:rsid w:val="005F635C"/>
    <w:rsid w:val="005F764A"/>
    <w:rsid w:val="005F76B5"/>
    <w:rsid w:val="00605620"/>
    <w:rsid w:val="006059BF"/>
    <w:rsid w:val="00607985"/>
    <w:rsid w:val="0061147E"/>
    <w:rsid w:val="00612F03"/>
    <w:rsid w:val="00613B7D"/>
    <w:rsid w:val="00613F45"/>
    <w:rsid w:val="006140DF"/>
    <w:rsid w:val="00615415"/>
    <w:rsid w:val="00615DDA"/>
    <w:rsid w:val="006171D4"/>
    <w:rsid w:val="00617A6E"/>
    <w:rsid w:val="00621DE8"/>
    <w:rsid w:val="00624106"/>
    <w:rsid w:val="006241C2"/>
    <w:rsid w:val="0062465B"/>
    <w:rsid w:val="006254AA"/>
    <w:rsid w:val="006258AF"/>
    <w:rsid w:val="006267F3"/>
    <w:rsid w:val="00626EC8"/>
    <w:rsid w:val="00627D5D"/>
    <w:rsid w:val="00630038"/>
    <w:rsid w:val="00630653"/>
    <w:rsid w:val="0063243E"/>
    <w:rsid w:val="00632CFC"/>
    <w:rsid w:val="00634BC6"/>
    <w:rsid w:val="006355B2"/>
    <w:rsid w:val="00635F47"/>
    <w:rsid w:val="0063663F"/>
    <w:rsid w:val="00636BB9"/>
    <w:rsid w:val="0063742F"/>
    <w:rsid w:val="0064111F"/>
    <w:rsid w:val="00641314"/>
    <w:rsid w:val="00641743"/>
    <w:rsid w:val="00641DE4"/>
    <w:rsid w:val="00642920"/>
    <w:rsid w:val="00643439"/>
    <w:rsid w:val="00644286"/>
    <w:rsid w:val="00644BD7"/>
    <w:rsid w:val="006461B9"/>
    <w:rsid w:val="00646371"/>
    <w:rsid w:val="00646520"/>
    <w:rsid w:val="00646C83"/>
    <w:rsid w:val="00646CCD"/>
    <w:rsid w:val="0064703D"/>
    <w:rsid w:val="00651B88"/>
    <w:rsid w:val="00651BF4"/>
    <w:rsid w:val="006537D7"/>
    <w:rsid w:val="00653850"/>
    <w:rsid w:val="00654783"/>
    <w:rsid w:val="0065549C"/>
    <w:rsid w:val="006562B1"/>
    <w:rsid w:val="00656328"/>
    <w:rsid w:val="00657ED6"/>
    <w:rsid w:val="00660661"/>
    <w:rsid w:val="006612C6"/>
    <w:rsid w:val="006626A1"/>
    <w:rsid w:val="00662A6F"/>
    <w:rsid w:val="006659F7"/>
    <w:rsid w:val="006669DC"/>
    <w:rsid w:val="0067155C"/>
    <w:rsid w:val="00673109"/>
    <w:rsid w:val="00673677"/>
    <w:rsid w:val="006757CC"/>
    <w:rsid w:val="00675C51"/>
    <w:rsid w:val="00677C9D"/>
    <w:rsid w:val="00681455"/>
    <w:rsid w:val="00681B12"/>
    <w:rsid w:val="0068257E"/>
    <w:rsid w:val="00684829"/>
    <w:rsid w:val="0068491F"/>
    <w:rsid w:val="00685183"/>
    <w:rsid w:val="0069011B"/>
    <w:rsid w:val="0069353E"/>
    <w:rsid w:val="00693B2F"/>
    <w:rsid w:val="00696A84"/>
    <w:rsid w:val="0069726A"/>
    <w:rsid w:val="006A1DDC"/>
    <w:rsid w:val="006A47AA"/>
    <w:rsid w:val="006A615C"/>
    <w:rsid w:val="006A71A9"/>
    <w:rsid w:val="006A7D54"/>
    <w:rsid w:val="006B070D"/>
    <w:rsid w:val="006B0E4F"/>
    <w:rsid w:val="006B0F5D"/>
    <w:rsid w:val="006B293D"/>
    <w:rsid w:val="006B3095"/>
    <w:rsid w:val="006B46E9"/>
    <w:rsid w:val="006B7D50"/>
    <w:rsid w:val="006C0F56"/>
    <w:rsid w:val="006C1386"/>
    <w:rsid w:val="006C368B"/>
    <w:rsid w:val="006C3C92"/>
    <w:rsid w:val="006C46BA"/>
    <w:rsid w:val="006D0999"/>
    <w:rsid w:val="006D1412"/>
    <w:rsid w:val="006D2211"/>
    <w:rsid w:val="006D221B"/>
    <w:rsid w:val="006D3C99"/>
    <w:rsid w:val="006D3CF4"/>
    <w:rsid w:val="006D5DBD"/>
    <w:rsid w:val="006D761D"/>
    <w:rsid w:val="006E242D"/>
    <w:rsid w:val="006E2940"/>
    <w:rsid w:val="006E30BC"/>
    <w:rsid w:val="006E3589"/>
    <w:rsid w:val="006E3DB9"/>
    <w:rsid w:val="006E62CF"/>
    <w:rsid w:val="006E6B3B"/>
    <w:rsid w:val="006F2A70"/>
    <w:rsid w:val="006F396E"/>
    <w:rsid w:val="006F3CB1"/>
    <w:rsid w:val="006F41F7"/>
    <w:rsid w:val="006F6EAC"/>
    <w:rsid w:val="006F7128"/>
    <w:rsid w:val="00700376"/>
    <w:rsid w:val="007004B5"/>
    <w:rsid w:val="0070083D"/>
    <w:rsid w:val="007016F8"/>
    <w:rsid w:val="0070317B"/>
    <w:rsid w:val="00703E3F"/>
    <w:rsid w:val="00704C91"/>
    <w:rsid w:val="00706146"/>
    <w:rsid w:val="00706247"/>
    <w:rsid w:val="00706419"/>
    <w:rsid w:val="00710042"/>
    <w:rsid w:val="00711AF2"/>
    <w:rsid w:val="00722283"/>
    <w:rsid w:val="007222FC"/>
    <w:rsid w:val="00723BE1"/>
    <w:rsid w:val="00723F38"/>
    <w:rsid w:val="00724FBD"/>
    <w:rsid w:val="00725B40"/>
    <w:rsid w:val="007273EF"/>
    <w:rsid w:val="00727A7A"/>
    <w:rsid w:val="007318BF"/>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4B"/>
    <w:rsid w:val="0075435C"/>
    <w:rsid w:val="00756883"/>
    <w:rsid w:val="00757765"/>
    <w:rsid w:val="00757D54"/>
    <w:rsid w:val="007609DD"/>
    <w:rsid w:val="007612E4"/>
    <w:rsid w:val="007624C0"/>
    <w:rsid w:val="00762EE2"/>
    <w:rsid w:val="00770282"/>
    <w:rsid w:val="00770A98"/>
    <w:rsid w:val="00770E4A"/>
    <w:rsid w:val="00772695"/>
    <w:rsid w:val="00772F49"/>
    <w:rsid w:val="00773B13"/>
    <w:rsid w:val="00774160"/>
    <w:rsid w:val="0077452D"/>
    <w:rsid w:val="00774733"/>
    <w:rsid w:val="00774AAF"/>
    <w:rsid w:val="00774B7E"/>
    <w:rsid w:val="00774CDD"/>
    <w:rsid w:val="00776DE9"/>
    <w:rsid w:val="00777B20"/>
    <w:rsid w:val="00777EBB"/>
    <w:rsid w:val="00784A3D"/>
    <w:rsid w:val="007928DC"/>
    <w:rsid w:val="0079325E"/>
    <w:rsid w:val="00793AD6"/>
    <w:rsid w:val="00793B26"/>
    <w:rsid w:val="00794278"/>
    <w:rsid w:val="007946F0"/>
    <w:rsid w:val="0079518B"/>
    <w:rsid w:val="00796CD7"/>
    <w:rsid w:val="00797BA0"/>
    <w:rsid w:val="007A0475"/>
    <w:rsid w:val="007A2964"/>
    <w:rsid w:val="007A3071"/>
    <w:rsid w:val="007A3761"/>
    <w:rsid w:val="007A5197"/>
    <w:rsid w:val="007B0B27"/>
    <w:rsid w:val="007B1011"/>
    <w:rsid w:val="007B3CE6"/>
    <w:rsid w:val="007B45E4"/>
    <w:rsid w:val="007B57AD"/>
    <w:rsid w:val="007C0205"/>
    <w:rsid w:val="007C1032"/>
    <w:rsid w:val="007C29A2"/>
    <w:rsid w:val="007C2D89"/>
    <w:rsid w:val="007C3FB3"/>
    <w:rsid w:val="007C6176"/>
    <w:rsid w:val="007C6344"/>
    <w:rsid w:val="007C6420"/>
    <w:rsid w:val="007C77BC"/>
    <w:rsid w:val="007C784A"/>
    <w:rsid w:val="007C784F"/>
    <w:rsid w:val="007D47A0"/>
    <w:rsid w:val="007D47F6"/>
    <w:rsid w:val="007D4E09"/>
    <w:rsid w:val="007D5D59"/>
    <w:rsid w:val="007D63B5"/>
    <w:rsid w:val="007D6EEA"/>
    <w:rsid w:val="007E045E"/>
    <w:rsid w:val="007E3711"/>
    <w:rsid w:val="007E3F85"/>
    <w:rsid w:val="007F04B9"/>
    <w:rsid w:val="007F099C"/>
    <w:rsid w:val="007F14F2"/>
    <w:rsid w:val="007F3428"/>
    <w:rsid w:val="007F3579"/>
    <w:rsid w:val="007F55E0"/>
    <w:rsid w:val="007F5D7B"/>
    <w:rsid w:val="007F7632"/>
    <w:rsid w:val="007F7807"/>
    <w:rsid w:val="00801F90"/>
    <w:rsid w:val="00802313"/>
    <w:rsid w:val="00807144"/>
    <w:rsid w:val="00811883"/>
    <w:rsid w:val="008121ED"/>
    <w:rsid w:val="00812211"/>
    <w:rsid w:val="00814467"/>
    <w:rsid w:val="00815DD3"/>
    <w:rsid w:val="008206FE"/>
    <w:rsid w:val="008219BC"/>
    <w:rsid w:val="00823273"/>
    <w:rsid w:val="00823C96"/>
    <w:rsid w:val="008242C6"/>
    <w:rsid w:val="00824706"/>
    <w:rsid w:val="00824847"/>
    <w:rsid w:val="00825593"/>
    <w:rsid w:val="00825922"/>
    <w:rsid w:val="0082692B"/>
    <w:rsid w:val="008275BD"/>
    <w:rsid w:val="0083036F"/>
    <w:rsid w:val="00831BAE"/>
    <w:rsid w:val="00831DF0"/>
    <w:rsid w:val="00832112"/>
    <w:rsid w:val="0083451A"/>
    <w:rsid w:val="00835BE0"/>
    <w:rsid w:val="00835C19"/>
    <w:rsid w:val="00840AEA"/>
    <w:rsid w:val="00840D6D"/>
    <w:rsid w:val="008416EC"/>
    <w:rsid w:val="00842522"/>
    <w:rsid w:val="00843144"/>
    <w:rsid w:val="00844011"/>
    <w:rsid w:val="00846343"/>
    <w:rsid w:val="008474B4"/>
    <w:rsid w:val="00850399"/>
    <w:rsid w:val="008519D6"/>
    <w:rsid w:val="0085399E"/>
    <w:rsid w:val="008574E3"/>
    <w:rsid w:val="00860221"/>
    <w:rsid w:val="00861E04"/>
    <w:rsid w:val="00863313"/>
    <w:rsid w:val="00867776"/>
    <w:rsid w:val="00867F2C"/>
    <w:rsid w:val="00871E8B"/>
    <w:rsid w:val="0087434B"/>
    <w:rsid w:val="00874541"/>
    <w:rsid w:val="0087518A"/>
    <w:rsid w:val="00875227"/>
    <w:rsid w:val="00875DB5"/>
    <w:rsid w:val="0087642C"/>
    <w:rsid w:val="0087735E"/>
    <w:rsid w:val="00877731"/>
    <w:rsid w:val="008803E7"/>
    <w:rsid w:val="008809E4"/>
    <w:rsid w:val="00880B82"/>
    <w:rsid w:val="0088160C"/>
    <w:rsid w:val="00883035"/>
    <w:rsid w:val="0088344E"/>
    <w:rsid w:val="0088414C"/>
    <w:rsid w:val="00885CBC"/>
    <w:rsid w:val="00887622"/>
    <w:rsid w:val="0088777B"/>
    <w:rsid w:val="00887F40"/>
    <w:rsid w:val="008908C1"/>
    <w:rsid w:val="00890A00"/>
    <w:rsid w:val="00892338"/>
    <w:rsid w:val="00892E41"/>
    <w:rsid w:val="00893A90"/>
    <w:rsid w:val="00893B19"/>
    <w:rsid w:val="0089575F"/>
    <w:rsid w:val="00895B1D"/>
    <w:rsid w:val="00897DB1"/>
    <w:rsid w:val="008A0182"/>
    <w:rsid w:val="008A08E3"/>
    <w:rsid w:val="008A09F1"/>
    <w:rsid w:val="008A0F5C"/>
    <w:rsid w:val="008A14E5"/>
    <w:rsid w:val="008A1A50"/>
    <w:rsid w:val="008A2903"/>
    <w:rsid w:val="008A31E3"/>
    <w:rsid w:val="008A3432"/>
    <w:rsid w:val="008A3ECE"/>
    <w:rsid w:val="008A4A59"/>
    <w:rsid w:val="008A4D9A"/>
    <w:rsid w:val="008A50F0"/>
    <w:rsid w:val="008B3463"/>
    <w:rsid w:val="008B49B6"/>
    <w:rsid w:val="008B7768"/>
    <w:rsid w:val="008C080B"/>
    <w:rsid w:val="008C279F"/>
    <w:rsid w:val="008C6006"/>
    <w:rsid w:val="008C6BE9"/>
    <w:rsid w:val="008C705B"/>
    <w:rsid w:val="008D0D66"/>
    <w:rsid w:val="008D13BD"/>
    <w:rsid w:val="008D2CF6"/>
    <w:rsid w:val="008D2D3F"/>
    <w:rsid w:val="008D36AC"/>
    <w:rsid w:val="008D3F56"/>
    <w:rsid w:val="008D4352"/>
    <w:rsid w:val="008D4C55"/>
    <w:rsid w:val="008D4F32"/>
    <w:rsid w:val="008D5986"/>
    <w:rsid w:val="008D71BD"/>
    <w:rsid w:val="008D7C2D"/>
    <w:rsid w:val="008E0581"/>
    <w:rsid w:val="008E1278"/>
    <w:rsid w:val="008E1470"/>
    <w:rsid w:val="008E16A5"/>
    <w:rsid w:val="008E1E01"/>
    <w:rsid w:val="008E2157"/>
    <w:rsid w:val="008E29C6"/>
    <w:rsid w:val="008E2E3C"/>
    <w:rsid w:val="008E5C13"/>
    <w:rsid w:val="008E669F"/>
    <w:rsid w:val="008E79BD"/>
    <w:rsid w:val="008F1BC0"/>
    <w:rsid w:val="008F3EF9"/>
    <w:rsid w:val="008F4E60"/>
    <w:rsid w:val="008F5EF0"/>
    <w:rsid w:val="008F630A"/>
    <w:rsid w:val="008F6A04"/>
    <w:rsid w:val="008F7749"/>
    <w:rsid w:val="00900F32"/>
    <w:rsid w:val="00902574"/>
    <w:rsid w:val="00902DC2"/>
    <w:rsid w:val="00904F30"/>
    <w:rsid w:val="009059F3"/>
    <w:rsid w:val="009062D6"/>
    <w:rsid w:val="00907DB9"/>
    <w:rsid w:val="009108CF"/>
    <w:rsid w:val="009120AA"/>
    <w:rsid w:val="00912FD5"/>
    <w:rsid w:val="0091466B"/>
    <w:rsid w:val="009160C0"/>
    <w:rsid w:val="00920401"/>
    <w:rsid w:val="00920E18"/>
    <w:rsid w:val="009215E8"/>
    <w:rsid w:val="009223A0"/>
    <w:rsid w:val="00922957"/>
    <w:rsid w:val="00922AD0"/>
    <w:rsid w:val="0092346F"/>
    <w:rsid w:val="009255D9"/>
    <w:rsid w:val="00930119"/>
    <w:rsid w:val="0093073A"/>
    <w:rsid w:val="00932FAD"/>
    <w:rsid w:val="00935461"/>
    <w:rsid w:val="0094027D"/>
    <w:rsid w:val="009411AF"/>
    <w:rsid w:val="0094169F"/>
    <w:rsid w:val="009421D9"/>
    <w:rsid w:val="00942E36"/>
    <w:rsid w:val="009432BF"/>
    <w:rsid w:val="009450DA"/>
    <w:rsid w:val="009459E3"/>
    <w:rsid w:val="00946516"/>
    <w:rsid w:val="00951787"/>
    <w:rsid w:val="00953B9A"/>
    <w:rsid w:val="00955588"/>
    <w:rsid w:val="00956C65"/>
    <w:rsid w:val="009570F0"/>
    <w:rsid w:val="00963D3C"/>
    <w:rsid w:val="009640CF"/>
    <w:rsid w:val="00964595"/>
    <w:rsid w:val="00964A8F"/>
    <w:rsid w:val="009650C0"/>
    <w:rsid w:val="00965569"/>
    <w:rsid w:val="00967832"/>
    <w:rsid w:val="00970EE6"/>
    <w:rsid w:val="00971A27"/>
    <w:rsid w:val="00971E9B"/>
    <w:rsid w:val="00972E98"/>
    <w:rsid w:val="00972F47"/>
    <w:rsid w:val="00974130"/>
    <w:rsid w:val="00974A44"/>
    <w:rsid w:val="00975AD6"/>
    <w:rsid w:val="00976245"/>
    <w:rsid w:val="00977E8C"/>
    <w:rsid w:val="00982279"/>
    <w:rsid w:val="0098256D"/>
    <w:rsid w:val="00985854"/>
    <w:rsid w:val="00985B9C"/>
    <w:rsid w:val="00987276"/>
    <w:rsid w:val="0098736A"/>
    <w:rsid w:val="00987388"/>
    <w:rsid w:val="00992156"/>
    <w:rsid w:val="009924BF"/>
    <w:rsid w:val="00992AFC"/>
    <w:rsid w:val="00992EEA"/>
    <w:rsid w:val="0099327E"/>
    <w:rsid w:val="009942F9"/>
    <w:rsid w:val="00994352"/>
    <w:rsid w:val="00995991"/>
    <w:rsid w:val="00995DDC"/>
    <w:rsid w:val="00996BD8"/>
    <w:rsid w:val="00997EE8"/>
    <w:rsid w:val="009A04CD"/>
    <w:rsid w:val="009A06C5"/>
    <w:rsid w:val="009A0AFE"/>
    <w:rsid w:val="009A1080"/>
    <w:rsid w:val="009A16AE"/>
    <w:rsid w:val="009A255F"/>
    <w:rsid w:val="009A3EA1"/>
    <w:rsid w:val="009A3F11"/>
    <w:rsid w:val="009A4B30"/>
    <w:rsid w:val="009A5D7A"/>
    <w:rsid w:val="009A6A70"/>
    <w:rsid w:val="009A6B77"/>
    <w:rsid w:val="009A7125"/>
    <w:rsid w:val="009A7356"/>
    <w:rsid w:val="009A7651"/>
    <w:rsid w:val="009A7C82"/>
    <w:rsid w:val="009B24F2"/>
    <w:rsid w:val="009B3B67"/>
    <w:rsid w:val="009B44BF"/>
    <w:rsid w:val="009B51DD"/>
    <w:rsid w:val="009B5D06"/>
    <w:rsid w:val="009B6068"/>
    <w:rsid w:val="009B66C0"/>
    <w:rsid w:val="009B73F7"/>
    <w:rsid w:val="009C1084"/>
    <w:rsid w:val="009C1114"/>
    <w:rsid w:val="009C119A"/>
    <w:rsid w:val="009C1640"/>
    <w:rsid w:val="009C1E18"/>
    <w:rsid w:val="009C23DB"/>
    <w:rsid w:val="009C3794"/>
    <w:rsid w:val="009C4166"/>
    <w:rsid w:val="009C46E7"/>
    <w:rsid w:val="009C554A"/>
    <w:rsid w:val="009C5556"/>
    <w:rsid w:val="009D007C"/>
    <w:rsid w:val="009D0718"/>
    <w:rsid w:val="009D22DD"/>
    <w:rsid w:val="009D6311"/>
    <w:rsid w:val="009D71C3"/>
    <w:rsid w:val="009D770C"/>
    <w:rsid w:val="009E04A6"/>
    <w:rsid w:val="009E06A1"/>
    <w:rsid w:val="009E1355"/>
    <w:rsid w:val="009E1FC8"/>
    <w:rsid w:val="009E21FD"/>
    <w:rsid w:val="009E27D2"/>
    <w:rsid w:val="009E418B"/>
    <w:rsid w:val="009E4E24"/>
    <w:rsid w:val="009F0F9F"/>
    <w:rsid w:val="009F140E"/>
    <w:rsid w:val="009F19C0"/>
    <w:rsid w:val="009F40F3"/>
    <w:rsid w:val="009F617D"/>
    <w:rsid w:val="00A0071C"/>
    <w:rsid w:val="00A017C6"/>
    <w:rsid w:val="00A020F8"/>
    <w:rsid w:val="00A02BE5"/>
    <w:rsid w:val="00A04952"/>
    <w:rsid w:val="00A05224"/>
    <w:rsid w:val="00A10242"/>
    <w:rsid w:val="00A15ED2"/>
    <w:rsid w:val="00A1666C"/>
    <w:rsid w:val="00A1689F"/>
    <w:rsid w:val="00A179C3"/>
    <w:rsid w:val="00A17BFA"/>
    <w:rsid w:val="00A17D56"/>
    <w:rsid w:val="00A202FB"/>
    <w:rsid w:val="00A2215D"/>
    <w:rsid w:val="00A24589"/>
    <w:rsid w:val="00A24675"/>
    <w:rsid w:val="00A26141"/>
    <w:rsid w:val="00A277E2"/>
    <w:rsid w:val="00A303E1"/>
    <w:rsid w:val="00A30C87"/>
    <w:rsid w:val="00A314CE"/>
    <w:rsid w:val="00A31A4F"/>
    <w:rsid w:val="00A326D6"/>
    <w:rsid w:val="00A32877"/>
    <w:rsid w:val="00A33150"/>
    <w:rsid w:val="00A34178"/>
    <w:rsid w:val="00A35A4E"/>
    <w:rsid w:val="00A35A91"/>
    <w:rsid w:val="00A35DC7"/>
    <w:rsid w:val="00A37BB0"/>
    <w:rsid w:val="00A37E79"/>
    <w:rsid w:val="00A40FC7"/>
    <w:rsid w:val="00A42B37"/>
    <w:rsid w:val="00A43196"/>
    <w:rsid w:val="00A44797"/>
    <w:rsid w:val="00A464FE"/>
    <w:rsid w:val="00A47A95"/>
    <w:rsid w:val="00A528CF"/>
    <w:rsid w:val="00A53489"/>
    <w:rsid w:val="00A54A6E"/>
    <w:rsid w:val="00A54FA0"/>
    <w:rsid w:val="00A55001"/>
    <w:rsid w:val="00A55F80"/>
    <w:rsid w:val="00A56001"/>
    <w:rsid w:val="00A56648"/>
    <w:rsid w:val="00A569C6"/>
    <w:rsid w:val="00A603AC"/>
    <w:rsid w:val="00A60BDA"/>
    <w:rsid w:val="00A626B6"/>
    <w:rsid w:val="00A627F9"/>
    <w:rsid w:val="00A62FA8"/>
    <w:rsid w:val="00A67317"/>
    <w:rsid w:val="00A7097A"/>
    <w:rsid w:val="00A7186F"/>
    <w:rsid w:val="00A73350"/>
    <w:rsid w:val="00A73CBC"/>
    <w:rsid w:val="00A74B57"/>
    <w:rsid w:val="00A74D02"/>
    <w:rsid w:val="00A81743"/>
    <w:rsid w:val="00A829C2"/>
    <w:rsid w:val="00A92C1B"/>
    <w:rsid w:val="00A931F5"/>
    <w:rsid w:val="00A94187"/>
    <w:rsid w:val="00A95181"/>
    <w:rsid w:val="00A96B21"/>
    <w:rsid w:val="00AA07E8"/>
    <w:rsid w:val="00AA1C1B"/>
    <w:rsid w:val="00AA20F4"/>
    <w:rsid w:val="00AA708C"/>
    <w:rsid w:val="00AA7F88"/>
    <w:rsid w:val="00AB10E9"/>
    <w:rsid w:val="00AB12D6"/>
    <w:rsid w:val="00AB1E26"/>
    <w:rsid w:val="00AB20A3"/>
    <w:rsid w:val="00AB295B"/>
    <w:rsid w:val="00AB2F5D"/>
    <w:rsid w:val="00AB388D"/>
    <w:rsid w:val="00AB3D8F"/>
    <w:rsid w:val="00AB412F"/>
    <w:rsid w:val="00AB563E"/>
    <w:rsid w:val="00AC0179"/>
    <w:rsid w:val="00AC0BB9"/>
    <w:rsid w:val="00AC4869"/>
    <w:rsid w:val="00AC53E0"/>
    <w:rsid w:val="00AC5726"/>
    <w:rsid w:val="00AC7895"/>
    <w:rsid w:val="00AD0215"/>
    <w:rsid w:val="00AD14FD"/>
    <w:rsid w:val="00AD3E6B"/>
    <w:rsid w:val="00AD504F"/>
    <w:rsid w:val="00AD6199"/>
    <w:rsid w:val="00AD7F2C"/>
    <w:rsid w:val="00AE1208"/>
    <w:rsid w:val="00AE1878"/>
    <w:rsid w:val="00AE1A23"/>
    <w:rsid w:val="00AE1A95"/>
    <w:rsid w:val="00AE2D81"/>
    <w:rsid w:val="00AE305B"/>
    <w:rsid w:val="00AE366C"/>
    <w:rsid w:val="00AE4772"/>
    <w:rsid w:val="00AE7000"/>
    <w:rsid w:val="00AF2BE0"/>
    <w:rsid w:val="00AF30C5"/>
    <w:rsid w:val="00AF3664"/>
    <w:rsid w:val="00AF4B54"/>
    <w:rsid w:val="00AF7031"/>
    <w:rsid w:val="00AF7756"/>
    <w:rsid w:val="00B00493"/>
    <w:rsid w:val="00B008D7"/>
    <w:rsid w:val="00B02190"/>
    <w:rsid w:val="00B03948"/>
    <w:rsid w:val="00B04037"/>
    <w:rsid w:val="00B055C8"/>
    <w:rsid w:val="00B05E9E"/>
    <w:rsid w:val="00B07B0D"/>
    <w:rsid w:val="00B1273C"/>
    <w:rsid w:val="00B138ED"/>
    <w:rsid w:val="00B169D1"/>
    <w:rsid w:val="00B17F62"/>
    <w:rsid w:val="00B21920"/>
    <w:rsid w:val="00B21F88"/>
    <w:rsid w:val="00B227C0"/>
    <w:rsid w:val="00B22C98"/>
    <w:rsid w:val="00B23696"/>
    <w:rsid w:val="00B24C6D"/>
    <w:rsid w:val="00B24EAA"/>
    <w:rsid w:val="00B24F21"/>
    <w:rsid w:val="00B25AEF"/>
    <w:rsid w:val="00B26237"/>
    <w:rsid w:val="00B30DC1"/>
    <w:rsid w:val="00B312EA"/>
    <w:rsid w:val="00B3256D"/>
    <w:rsid w:val="00B3307D"/>
    <w:rsid w:val="00B33106"/>
    <w:rsid w:val="00B341B3"/>
    <w:rsid w:val="00B34DE2"/>
    <w:rsid w:val="00B36EA9"/>
    <w:rsid w:val="00B410AA"/>
    <w:rsid w:val="00B41241"/>
    <w:rsid w:val="00B41309"/>
    <w:rsid w:val="00B41628"/>
    <w:rsid w:val="00B46685"/>
    <w:rsid w:val="00B4714F"/>
    <w:rsid w:val="00B4730B"/>
    <w:rsid w:val="00B4796D"/>
    <w:rsid w:val="00B5003E"/>
    <w:rsid w:val="00B5044D"/>
    <w:rsid w:val="00B5054E"/>
    <w:rsid w:val="00B5250B"/>
    <w:rsid w:val="00B5448F"/>
    <w:rsid w:val="00B552DA"/>
    <w:rsid w:val="00B6000A"/>
    <w:rsid w:val="00B6057D"/>
    <w:rsid w:val="00B60CA9"/>
    <w:rsid w:val="00B627A8"/>
    <w:rsid w:val="00B63E96"/>
    <w:rsid w:val="00B63FC4"/>
    <w:rsid w:val="00B64239"/>
    <w:rsid w:val="00B64E37"/>
    <w:rsid w:val="00B65E94"/>
    <w:rsid w:val="00B667F6"/>
    <w:rsid w:val="00B6757F"/>
    <w:rsid w:val="00B70964"/>
    <w:rsid w:val="00B715B6"/>
    <w:rsid w:val="00B71801"/>
    <w:rsid w:val="00B72A5B"/>
    <w:rsid w:val="00B734AE"/>
    <w:rsid w:val="00B73951"/>
    <w:rsid w:val="00B74546"/>
    <w:rsid w:val="00B74D4B"/>
    <w:rsid w:val="00B76C09"/>
    <w:rsid w:val="00B81268"/>
    <w:rsid w:val="00B82735"/>
    <w:rsid w:val="00B8273B"/>
    <w:rsid w:val="00B847A1"/>
    <w:rsid w:val="00B85B09"/>
    <w:rsid w:val="00B86626"/>
    <w:rsid w:val="00B87292"/>
    <w:rsid w:val="00B879DB"/>
    <w:rsid w:val="00B905A0"/>
    <w:rsid w:val="00B90C45"/>
    <w:rsid w:val="00B90FCD"/>
    <w:rsid w:val="00B91674"/>
    <w:rsid w:val="00B925CC"/>
    <w:rsid w:val="00BA2BD0"/>
    <w:rsid w:val="00BA328C"/>
    <w:rsid w:val="00BA3AF9"/>
    <w:rsid w:val="00BA445D"/>
    <w:rsid w:val="00BA491C"/>
    <w:rsid w:val="00BA4B45"/>
    <w:rsid w:val="00BA5FF8"/>
    <w:rsid w:val="00BA615B"/>
    <w:rsid w:val="00BA7FA7"/>
    <w:rsid w:val="00BB0394"/>
    <w:rsid w:val="00BB18F4"/>
    <w:rsid w:val="00BB2041"/>
    <w:rsid w:val="00BB279D"/>
    <w:rsid w:val="00BB341B"/>
    <w:rsid w:val="00BB58FC"/>
    <w:rsid w:val="00BB5A34"/>
    <w:rsid w:val="00BB6DE0"/>
    <w:rsid w:val="00BC0082"/>
    <w:rsid w:val="00BC0762"/>
    <w:rsid w:val="00BC0B21"/>
    <w:rsid w:val="00BC34CA"/>
    <w:rsid w:val="00BC5C2C"/>
    <w:rsid w:val="00BC5F45"/>
    <w:rsid w:val="00BC65DB"/>
    <w:rsid w:val="00BC6816"/>
    <w:rsid w:val="00BD006D"/>
    <w:rsid w:val="00BD0982"/>
    <w:rsid w:val="00BD237A"/>
    <w:rsid w:val="00BD40D8"/>
    <w:rsid w:val="00BD493D"/>
    <w:rsid w:val="00BD52E6"/>
    <w:rsid w:val="00BD5C93"/>
    <w:rsid w:val="00BD6FD8"/>
    <w:rsid w:val="00BE03C7"/>
    <w:rsid w:val="00BE0982"/>
    <w:rsid w:val="00BE2036"/>
    <w:rsid w:val="00BE25B7"/>
    <w:rsid w:val="00BE25D7"/>
    <w:rsid w:val="00BE25F6"/>
    <w:rsid w:val="00BE2E1F"/>
    <w:rsid w:val="00BE3AA5"/>
    <w:rsid w:val="00BE4712"/>
    <w:rsid w:val="00BE5019"/>
    <w:rsid w:val="00BE51D1"/>
    <w:rsid w:val="00BF0005"/>
    <w:rsid w:val="00BF271B"/>
    <w:rsid w:val="00BF5159"/>
    <w:rsid w:val="00BF5F52"/>
    <w:rsid w:val="00BF5F93"/>
    <w:rsid w:val="00BF61B5"/>
    <w:rsid w:val="00BF695B"/>
    <w:rsid w:val="00BF7787"/>
    <w:rsid w:val="00C00848"/>
    <w:rsid w:val="00C0280D"/>
    <w:rsid w:val="00C02926"/>
    <w:rsid w:val="00C02BB1"/>
    <w:rsid w:val="00C0302B"/>
    <w:rsid w:val="00C03365"/>
    <w:rsid w:val="00C04D14"/>
    <w:rsid w:val="00C069F2"/>
    <w:rsid w:val="00C0759D"/>
    <w:rsid w:val="00C07840"/>
    <w:rsid w:val="00C10708"/>
    <w:rsid w:val="00C13276"/>
    <w:rsid w:val="00C1340E"/>
    <w:rsid w:val="00C13B55"/>
    <w:rsid w:val="00C13D6B"/>
    <w:rsid w:val="00C16665"/>
    <w:rsid w:val="00C176E0"/>
    <w:rsid w:val="00C20B53"/>
    <w:rsid w:val="00C20FC1"/>
    <w:rsid w:val="00C22F05"/>
    <w:rsid w:val="00C2354A"/>
    <w:rsid w:val="00C237EF"/>
    <w:rsid w:val="00C244E5"/>
    <w:rsid w:val="00C30DF5"/>
    <w:rsid w:val="00C30F3D"/>
    <w:rsid w:val="00C31F41"/>
    <w:rsid w:val="00C33825"/>
    <w:rsid w:val="00C347F8"/>
    <w:rsid w:val="00C360C3"/>
    <w:rsid w:val="00C3647B"/>
    <w:rsid w:val="00C3671D"/>
    <w:rsid w:val="00C37890"/>
    <w:rsid w:val="00C402AF"/>
    <w:rsid w:val="00C41584"/>
    <w:rsid w:val="00C43BDA"/>
    <w:rsid w:val="00C44032"/>
    <w:rsid w:val="00C453A1"/>
    <w:rsid w:val="00C461EC"/>
    <w:rsid w:val="00C46C2F"/>
    <w:rsid w:val="00C47F7B"/>
    <w:rsid w:val="00C5112A"/>
    <w:rsid w:val="00C52910"/>
    <w:rsid w:val="00C5370E"/>
    <w:rsid w:val="00C53DC3"/>
    <w:rsid w:val="00C55A08"/>
    <w:rsid w:val="00C55F84"/>
    <w:rsid w:val="00C60361"/>
    <w:rsid w:val="00C60ED0"/>
    <w:rsid w:val="00C62887"/>
    <w:rsid w:val="00C64A87"/>
    <w:rsid w:val="00C6598D"/>
    <w:rsid w:val="00C67139"/>
    <w:rsid w:val="00C706A4"/>
    <w:rsid w:val="00C7253B"/>
    <w:rsid w:val="00C7288D"/>
    <w:rsid w:val="00C767CE"/>
    <w:rsid w:val="00C77E6E"/>
    <w:rsid w:val="00C80EAF"/>
    <w:rsid w:val="00C82482"/>
    <w:rsid w:val="00C85EC7"/>
    <w:rsid w:val="00C86555"/>
    <w:rsid w:val="00C9085A"/>
    <w:rsid w:val="00C90FAB"/>
    <w:rsid w:val="00C91458"/>
    <w:rsid w:val="00C91D63"/>
    <w:rsid w:val="00C91D96"/>
    <w:rsid w:val="00C9367D"/>
    <w:rsid w:val="00C94392"/>
    <w:rsid w:val="00C97556"/>
    <w:rsid w:val="00CA1CEE"/>
    <w:rsid w:val="00CA5238"/>
    <w:rsid w:val="00CA549E"/>
    <w:rsid w:val="00CB29D0"/>
    <w:rsid w:val="00CB7655"/>
    <w:rsid w:val="00CB7F9D"/>
    <w:rsid w:val="00CC0BCF"/>
    <w:rsid w:val="00CC1FE6"/>
    <w:rsid w:val="00CC205F"/>
    <w:rsid w:val="00CC2C9B"/>
    <w:rsid w:val="00CC34B9"/>
    <w:rsid w:val="00CC3E92"/>
    <w:rsid w:val="00CC4695"/>
    <w:rsid w:val="00CC5FCC"/>
    <w:rsid w:val="00CC6114"/>
    <w:rsid w:val="00CD0628"/>
    <w:rsid w:val="00CD1A07"/>
    <w:rsid w:val="00CD2565"/>
    <w:rsid w:val="00CD2E05"/>
    <w:rsid w:val="00CD7578"/>
    <w:rsid w:val="00CD7FE7"/>
    <w:rsid w:val="00CE5842"/>
    <w:rsid w:val="00CE67E0"/>
    <w:rsid w:val="00CF1E81"/>
    <w:rsid w:val="00CF3C36"/>
    <w:rsid w:val="00CF3D26"/>
    <w:rsid w:val="00CF3EF8"/>
    <w:rsid w:val="00CF40B5"/>
    <w:rsid w:val="00CF6A30"/>
    <w:rsid w:val="00CF70AB"/>
    <w:rsid w:val="00CF7FA2"/>
    <w:rsid w:val="00D0027C"/>
    <w:rsid w:val="00D01995"/>
    <w:rsid w:val="00D02090"/>
    <w:rsid w:val="00D027D3"/>
    <w:rsid w:val="00D02B91"/>
    <w:rsid w:val="00D0425E"/>
    <w:rsid w:val="00D05740"/>
    <w:rsid w:val="00D059AD"/>
    <w:rsid w:val="00D068DA"/>
    <w:rsid w:val="00D11B5E"/>
    <w:rsid w:val="00D12AA9"/>
    <w:rsid w:val="00D142BD"/>
    <w:rsid w:val="00D1594B"/>
    <w:rsid w:val="00D20C3A"/>
    <w:rsid w:val="00D2215E"/>
    <w:rsid w:val="00D24CB7"/>
    <w:rsid w:val="00D2505F"/>
    <w:rsid w:val="00D25936"/>
    <w:rsid w:val="00D2646A"/>
    <w:rsid w:val="00D2650D"/>
    <w:rsid w:val="00D27342"/>
    <w:rsid w:val="00D3059B"/>
    <w:rsid w:val="00D30FBB"/>
    <w:rsid w:val="00D32E04"/>
    <w:rsid w:val="00D33AAC"/>
    <w:rsid w:val="00D34A24"/>
    <w:rsid w:val="00D35C99"/>
    <w:rsid w:val="00D36B2E"/>
    <w:rsid w:val="00D36CDB"/>
    <w:rsid w:val="00D37B78"/>
    <w:rsid w:val="00D40E31"/>
    <w:rsid w:val="00D41F25"/>
    <w:rsid w:val="00D433AF"/>
    <w:rsid w:val="00D437F2"/>
    <w:rsid w:val="00D43BD0"/>
    <w:rsid w:val="00D43FE0"/>
    <w:rsid w:val="00D45FB3"/>
    <w:rsid w:val="00D47FC3"/>
    <w:rsid w:val="00D53680"/>
    <w:rsid w:val="00D53717"/>
    <w:rsid w:val="00D53F4D"/>
    <w:rsid w:val="00D54388"/>
    <w:rsid w:val="00D54633"/>
    <w:rsid w:val="00D54892"/>
    <w:rsid w:val="00D560E6"/>
    <w:rsid w:val="00D60046"/>
    <w:rsid w:val="00D602C2"/>
    <w:rsid w:val="00D6044B"/>
    <w:rsid w:val="00D6095E"/>
    <w:rsid w:val="00D6101D"/>
    <w:rsid w:val="00D619FA"/>
    <w:rsid w:val="00D62ED0"/>
    <w:rsid w:val="00D62F6E"/>
    <w:rsid w:val="00D630E7"/>
    <w:rsid w:val="00D64A5D"/>
    <w:rsid w:val="00D657CF"/>
    <w:rsid w:val="00D6663C"/>
    <w:rsid w:val="00D66B80"/>
    <w:rsid w:val="00D66C64"/>
    <w:rsid w:val="00D7174E"/>
    <w:rsid w:val="00D71C28"/>
    <w:rsid w:val="00D71FFB"/>
    <w:rsid w:val="00D729B4"/>
    <w:rsid w:val="00D74C38"/>
    <w:rsid w:val="00D76274"/>
    <w:rsid w:val="00D77482"/>
    <w:rsid w:val="00D77C2B"/>
    <w:rsid w:val="00D77FA7"/>
    <w:rsid w:val="00D82295"/>
    <w:rsid w:val="00D82C70"/>
    <w:rsid w:val="00D83DAC"/>
    <w:rsid w:val="00D90590"/>
    <w:rsid w:val="00D910C0"/>
    <w:rsid w:val="00D92EE7"/>
    <w:rsid w:val="00D93575"/>
    <w:rsid w:val="00D946DC"/>
    <w:rsid w:val="00D97490"/>
    <w:rsid w:val="00D97D57"/>
    <w:rsid w:val="00DA0D3B"/>
    <w:rsid w:val="00DA1BC8"/>
    <w:rsid w:val="00DA2047"/>
    <w:rsid w:val="00DA40F9"/>
    <w:rsid w:val="00DA48A2"/>
    <w:rsid w:val="00DA5736"/>
    <w:rsid w:val="00DB1FDC"/>
    <w:rsid w:val="00DB2C20"/>
    <w:rsid w:val="00DB3ABF"/>
    <w:rsid w:val="00DB45DB"/>
    <w:rsid w:val="00DB4743"/>
    <w:rsid w:val="00DB4AF8"/>
    <w:rsid w:val="00DB52CE"/>
    <w:rsid w:val="00DB53AF"/>
    <w:rsid w:val="00DB5D88"/>
    <w:rsid w:val="00DB67E0"/>
    <w:rsid w:val="00DB7956"/>
    <w:rsid w:val="00DC2210"/>
    <w:rsid w:val="00DC317F"/>
    <w:rsid w:val="00DC3E49"/>
    <w:rsid w:val="00DC455E"/>
    <w:rsid w:val="00DC45C6"/>
    <w:rsid w:val="00DC486A"/>
    <w:rsid w:val="00DC4D19"/>
    <w:rsid w:val="00DC5F9D"/>
    <w:rsid w:val="00DC73D4"/>
    <w:rsid w:val="00DC749D"/>
    <w:rsid w:val="00DD0FA0"/>
    <w:rsid w:val="00DD1B99"/>
    <w:rsid w:val="00DD2285"/>
    <w:rsid w:val="00DD428D"/>
    <w:rsid w:val="00DD48E5"/>
    <w:rsid w:val="00DD518E"/>
    <w:rsid w:val="00DD5890"/>
    <w:rsid w:val="00DE2B59"/>
    <w:rsid w:val="00DE33FE"/>
    <w:rsid w:val="00DE73EF"/>
    <w:rsid w:val="00DE7C2B"/>
    <w:rsid w:val="00DF247C"/>
    <w:rsid w:val="00DF5694"/>
    <w:rsid w:val="00DF70CA"/>
    <w:rsid w:val="00DF7816"/>
    <w:rsid w:val="00DF7C07"/>
    <w:rsid w:val="00E0079F"/>
    <w:rsid w:val="00E02803"/>
    <w:rsid w:val="00E05BD5"/>
    <w:rsid w:val="00E0642E"/>
    <w:rsid w:val="00E11F9B"/>
    <w:rsid w:val="00E12054"/>
    <w:rsid w:val="00E15296"/>
    <w:rsid w:val="00E152C3"/>
    <w:rsid w:val="00E1597C"/>
    <w:rsid w:val="00E209B5"/>
    <w:rsid w:val="00E21E76"/>
    <w:rsid w:val="00E2225A"/>
    <w:rsid w:val="00E22269"/>
    <w:rsid w:val="00E23619"/>
    <w:rsid w:val="00E2504A"/>
    <w:rsid w:val="00E2623D"/>
    <w:rsid w:val="00E26464"/>
    <w:rsid w:val="00E307C9"/>
    <w:rsid w:val="00E335B5"/>
    <w:rsid w:val="00E34528"/>
    <w:rsid w:val="00E34620"/>
    <w:rsid w:val="00E34972"/>
    <w:rsid w:val="00E37614"/>
    <w:rsid w:val="00E37865"/>
    <w:rsid w:val="00E432EB"/>
    <w:rsid w:val="00E43413"/>
    <w:rsid w:val="00E44949"/>
    <w:rsid w:val="00E4541B"/>
    <w:rsid w:val="00E459D5"/>
    <w:rsid w:val="00E47252"/>
    <w:rsid w:val="00E47E20"/>
    <w:rsid w:val="00E509EF"/>
    <w:rsid w:val="00E50AA0"/>
    <w:rsid w:val="00E51122"/>
    <w:rsid w:val="00E51443"/>
    <w:rsid w:val="00E51DF7"/>
    <w:rsid w:val="00E530CD"/>
    <w:rsid w:val="00E53A21"/>
    <w:rsid w:val="00E53C48"/>
    <w:rsid w:val="00E5410F"/>
    <w:rsid w:val="00E54765"/>
    <w:rsid w:val="00E56C33"/>
    <w:rsid w:val="00E56F7F"/>
    <w:rsid w:val="00E5770C"/>
    <w:rsid w:val="00E57C34"/>
    <w:rsid w:val="00E602E9"/>
    <w:rsid w:val="00E605BD"/>
    <w:rsid w:val="00E6271F"/>
    <w:rsid w:val="00E63284"/>
    <w:rsid w:val="00E6485A"/>
    <w:rsid w:val="00E64925"/>
    <w:rsid w:val="00E664B3"/>
    <w:rsid w:val="00E672A3"/>
    <w:rsid w:val="00E70D5C"/>
    <w:rsid w:val="00E72919"/>
    <w:rsid w:val="00E763D0"/>
    <w:rsid w:val="00E802BB"/>
    <w:rsid w:val="00E80300"/>
    <w:rsid w:val="00E80AE4"/>
    <w:rsid w:val="00E80ED5"/>
    <w:rsid w:val="00E81B60"/>
    <w:rsid w:val="00E82F7E"/>
    <w:rsid w:val="00E830ED"/>
    <w:rsid w:val="00E83153"/>
    <w:rsid w:val="00E857CE"/>
    <w:rsid w:val="00E87058"/>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A5F"/>
    <w:rsid w:val="00EA4245"/>
    <w:rsid w:val="00EA4364"/>
    <w:rsid w:val="00EA5F59"/>
    <w:rsid w:val="00EB234D"/>
    <w:rsid w:val="00EB3D20"/>
    <w:rsid w:val="00EB4191"/>
    <w:rsid w:val="00EB454C"/>
    <w:rsid w:val="00EB559B"/>
    <w:rsid w:val="00EB56DE"/>
    <w:rsid w:val="00EB5AD4"/>
    <w:rsid w:val="00EB642E"/>
    <w:rsid w:val="00EB6C6F"/>
    <w:rsid w:val="00EB77C7"/>
    <w:rsid w:val="00EB7C8A"/>
    <w:rsid w:val="00EC0110"/>
    <w:rsid w:val="00EC035A"/>
    <w:rsid w:val="00EC102E"/>
    <w:rsid w:val="00EC2935"/>
    <w:rsid w:val="00EC3892"/>
    <w:rsid w:val="00EC41E8"/>
    <w:rsid w:val="00EC5790"/>
    <w:rsid w:val="00EC5E2C"/>
    <w:rsid w:val="00EC6E05"/>
    <w:rsid w:val="00EC7399"/>
    <w:rsid w:val="00EC7C33"/>
    <w:rsid w:val="00EC7CA9"/>
    <w:rsid w:val="00ED08A7"/>
    <w:rsid w:val="00ED1A1D"/>
    <w:rsid w:val="00ED1CEB"/>
    <w:rsid w:val="00ED3849"/>
    <w:rsid w:val="00ED41E5"/>
    <w:rsid w:val="00ED43AA"/>
    <w:rsid w:val="00ED58BB"/>
    <w:rsid w:val="00ED7689"/>
    <w:rsid w:val="00EE07E2"/>
    <w:rsid w:val="00EE1300"/>
    <w:rsid w:val="00EE1951"/>
    <w:rsid w:val="00EE1BA6"/>
    <w:rsid w:val="00EE1DDB"/>
    <w:rsid w:val="00EE28F8"/>
    <w:rsid w:val="00EE2CEB"/>
    <w:rsid w:val="00EE3BBA"/>
    <w:rsid w:val="00EE6285"/>
    <w:rsid w:val="00EE6292"/>
    <w:rsid w:val="00EE6D6F"/>
    <w:rsid w:val="00EF0ED7"/>
    <w:rsid w:val="00EF2274"/>
    <w:rsid w:val="00EF274D"/>
    <w:rsid w:val="00EF2AAA"/>
    <w:rsid w:val="00EF49D9"/>
    <w:rsid w:val="00EF5B8A"/>
    <w:rsid w:val="00EF5FD8"/>
    <w:rsid w:val="00EF7032"/>
    <w:rsid w:val="00EF7961"/>
    <w:rsid w:val="00F012A1"/>
    <w:rsid w:val="00F01658"/>
    <w:rsid w:val="00F0250B"/>
    <w:rsid w:val="00F0252E"/>
    <w:rsid w:val="00F02CEB"/>
    <w:rsid w:val="00F0365C"/>
    <w:rsid w:val="00F03771"/>
    <w:rsid w:val="00F0478F"/>
    <w:rsid w:val="00F04AD0"/>
    <w:rsid w:val="00F05AB2"/>
    <w:rsid w:val="00F06290"/>
    <w:rsid w:val="00F063EC"/>
    <w:rsid w:val="00F1001F"/>
    <w:rsid w:val="00F112D7"/>
    <w:rsid w:val="00F11844"/>
    <w:rsid w:val="00F12784"/>
    <w:rsid w:val="00F1403D"/>
    <w:rsid w:val="00F14323"/>
    <w:rsid w:val="00F173F2"/>
    <w:rsid w:val="00F20D1E"/>
    <w:rsid w:val="00F21CF4"/>
    <w:rsid w:val="00F258FB"/>
    <w:rsid w:val="00F26683"/>
    <w:rsid w:val="00F274D0"/>
    <w:rsid w:val="00F27C19"/>
    <w:rsid w:val="00F27F65"/>
    <w:rsid w:val="00F31A39"/>
    <w:rsid w:val="00F31F75"/>
    <w:rsid w:val="00F31FF5"/>
    <w:rsid w:val="00F324D7"/>
    <w:rsid w:val="00F35097"/>
    <w:rsid w:val="00F3568E"/>
    <w:rsid w:val="00F3619A"/>
    <w:rsid w:val="00F36D3F"/>
    <w:rsid w:val="00F36D71"/>
    <w:rsid w:val="00F4034A"/>
    <w:rsid w:val="00F44BBB"/>
    <w:rsid w:val="00F458E3"/>
    <w:rsid w:val="00F45AB8"/>
    <w:rsid w:val="00F47F34"/>
    <w:rsid w:val="00F53308"/>
    <w:rsid w:val="00F534B8"/>
    <w:rsid w:val="00F53729"/>
    <w:rsid w:val="00F54237"/>
    <w:rsid w:val="00F5448C"/>
    <w:rsid w:val="00F54528"/>
    <w:rsid w:val="00F55605"/>
    <w:rsid w:val="00F60EEC"/>
    <w:rsid w:val="00F6127F"/>
    <w:rsid w:val="00F616A3"/>
    <w:rsid w:val="00F61944"/>
    <w:rsid w:val="00F61A0E"/>
    <w:rsid w:val="00F61D93"/>
    <w:rsid w:val="00F6299F"/>
    <w:rsid w:val="00F6334D"/>
    <w:rsid w:val="00F637A3"/>
    <w:rsid w:val="00F63DFE"/>
    <w:rsid w:val="00F64E96"/>
    <w:rsid w:val="00F67050"/>
    <w:rsid w:val="00F74587"/>
    <w:rsid w:val="00F74DEB"/>
    <w:rsid w:val="00F74EF9"/>
    <w:rsid w:val="00F75F90"/>
    <w:rsid w:val="00F77FB1"/>
    <w:rsid w:val="00F81162"/>
    <w:rsid w:val="00F815CC"/>
    <w:rsid w:val="00F82179"/>
    <w:rsid w:val="00F824EA"/>
    <w:rsid w:val="00F83A2B"/>
    <w:rsid w:val="00F84186"/>
    <w:rsid w:val="00F850A4"/>
    <w:rsid w:val="00F85313"/>
    <w:rsid w:val="00F85A04"/>
    <w:rsid w:val="00F8610E"/>
    <w:rsid w:val="00F871BC"/>
    <w:rsid w:val="00F9092A"/>
    <w:rsid w:val="00F90E5E"/>
    <w:rsid w:val="00F91A13"/>
    <w:rsid w:val="00F9374D"/>
    <w:rsid w:val="00F964B2"/>
    <w:rsid w:val="00FA18C9"/>
    <w:rsid w:val="00FA29B3"/>
    <w:rsid w:val="00FA4056"/>
    <w:rsid w:val="00FA7B37"/>
    <w:rsid w:val="00FB0563"/>
    <w:rsid w:val="00FB0662"/>
    <w:rsid w:val="00FB0791"/>
    <w:rsid w:val="00FB22B3"/>
    <w:rsid w:val="00FB2A23"/>
    <w:rsid w:val="00FB33CF"/>
    <w:rsid w:val="00FB3B15"/>
    <w:rsid w:val="00FB3D92"/>
    <w:rsid w:val="00FB5A30"/>
    <w:rsid w:val="00FC2FC8"/>
    <w:rsid w:val="00FC3879"/>
    <w:rsid w:val="00FC4AEA"/>
    <w:rsid w:val="00FC730F"/>
    <w:rsid w:val="00FC7732"/>
    <w:rsid w:val="00FC7E42"/>
    <w:rsid w:val="00FC7FC2"/>
    <w:rsid w:val="00FD132F"/>
    <w:rsid w:val="00FD1861"/>
    <w:rsid w:val="00FD1BF8"/>
    <w:rsid w:val="00FD20CE"/>
    <w:rsid w:val="00FD280B"/>
    <w:rsid w:val="00FD2A21"/>
    <w:rsid w:val="00FD3188"/>
    <w:rsid w:val="00FD350F"/>
    <w:rsid w:val="00FD3B60"/>
    <w:rsid w:val="00FD40BE"/>
    <w:rsid w:val="00FD45B5"/>
    <w:rsid w:val="00FD4C29"/>
    <w:rsid w:val="00FD5C95"/>
    <w:rsid w:val="00FE1340"/>
    <w:rsid w:val="00FE279A"/>
    <w:rsid w:val="00FE2C21"/>
    <w:rsid w:val="00FE3E37"/>
    <w:rsid w:val="00FE42B8"/>
    <w:rsid w:val="00FE4526"/>
    <w:rsid w:val="00FE46D1"/>
    <w:rsid w:val="00FE4B02"/>
    <w:rsid w:val="00FF0ED5"/>
    <w:rsid w:val="00FF22B7"/>
    <w:rsid w:val="00FF2948"/>
    <w:rsid w:val="00FF4D32"/>
    <w:rsid w:val="00FF5C61"/>
    <w:rsid w:val="00FF79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05BF24"/>
  <w15:docId w15:val="{2C723B21-73A1-4D92-B310-75C017B2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lsdException w:name="toc 3" w:locked="1" w:uiPriority="39"/>
    <w:lsdException w:name="toc 4" w:locked="1"/>
    <w:lsdException w:name="toc 5" w:locked="1" w:uiPriority="0"/>
    <w:lsdException w:name="toc 6" w:locked="1"/>
    <w:lsdException w:name="toc 7" w:locked="1"/>
    <w:lsdException w:name="toc 8" w:locked="1"/>
    <w:lsdException w:name="toc 9" w:locked="1" w:uiPriority="0"/>
    <w:lsdException w:name="Normal Indent" w:semiHidden="1" w:unhideWhenUsed="1"/>
    <w:lsdException w:name="footnote text" w:locked="1" w:qFormat="1"/>
    <w:lsdException w:name="annotation text" w:semiHidden="1" w:unhideWhenUsed="1" w:qFormat="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55"/>
    <w:pPr>
      <w:tabs>
        <w:tab w:val="left" w:pos="567"/>
        <w:tab w:val="left" w:pos="1134"/>
        <w:tab w:val="left" w:pos="1701"/>
        <w:tab w:val="left" w:pos="2268"/>
      </w:tabs>
      <w:jc w:val="both"/>
    </w:pPr>
    <w:rPr>
      <w:rFonts w:ascii="Times New Roman" w:hAnsi="Times New Roman"/>
    </w:rPr>
  </w:style>
  <w:style w:type="paragraph" w:styleId="Heading1">
    <w:name w:val="heading 1"/>
    <w:basedOn w:val="Normal"/>
    <w:next w:val="Heading2"/>
    <w:link w:val="Heading1Char"/>
    <w:uiPriority w:val="9"/>
    <w:qFormat/>
    <w:rsid w:val="00076F1E"/>
    <w:pPr>
      <w:keepNext/>
      <w:keepLines/>
      <w:numPr>
        <w:numId w:val="111"/>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11"/>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11"/>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111"/>
      </w:numPr>
      <w:tabs>
        <w:tab w:val="clear" w:pos="567"/>
      </w:tabs>
      <w:spacing w:before="120" w:after="120"/>
      <w:jc w:val="left"/>
      <w:outlineLvl w:val="3"/>
    </w:pPr>
    <w:rPr>
      <w:rFonts w:eastAsia="DengXian Light"/>
      <w:b/>
      <w:bCs/>
    </w:rPr>
  </w:style>
  <w:style w:type="paragraph" w:styleId="Heading5">
    <w:name w:val="heading 5"/>
    <w:aliases w:val="Heading 5 - GTI"/>
    <w:basedOn w:val="Normal"/>
    <w:next w:val="Normal"/>
    <w:link w:val="Heading5Char"/>
    <w:uiPriority w:val="99"/>
    <w:qFormat/>
    <w:rsid w:val="00076F1E"/>
    <w:pPr>
      <w:keepNext/>
      <w:numPr>
        <w:ilvl w:val="4"/>
        <w:numId w:val="111"/>
      </w:numPr>
      <w:spacing w:before="120" w:after="120"/>
      <w:jc w:val="left"/>
      <w:outlineLvl w:val="4"/>
    </w:pPr>
    <w:rPr>
      <w:rFonts w:eastAsia="DengXian Light"/>
      <w:i/>
      <w:iCs/>
    </w:rPr>
  </w:style>
  <w:style w:type="paragraph" w:styleId="Heading6">
    <w:name w:val="heading 6"/>
    <w:basedOn w:val="Normal"/>
    <w:next w:val="Normal"/>
    <w:link w:val="Heading6Char"/>
    <w:qFormat/>
    <w:rsid w:val="00076F1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qFormat/>
    <w:rsid w:val="00076F1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qFormat/>
    <w:rsid w:val="00076F1E"/>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76F1E"/>
    <w:rPr>
      <w:rFonts w:ascii="Times New Roman" w:eastAsia="DengXian Light" w:hAnsi="Times New Roman"/>
      <w:b/>
      <w:bCs/>
      <w:kern w:val="2"/>
      <w:sz w:val="28"/>
      <w:szCs w:val="32"/>
      <w:lang w:val="en-CA"/>
    </w:rPr>
  </w:style>
  <w:style w:type="character" w:customStyle="1" w:styleId="Heading2Char">
    <w:name w:val="Heading 2 Char"/>
    <w:basedOn w:val="DefaultParagraphFont"/>
    <w:link w:val="Heading2"/>
    <w:uiPriority w:val="99"/>
    <w:locked/>
    <w:rsid w:val="00076F1E"/>
    <w:rPr>
      <w:rFonts w:ascii="Times New Roman Bold" w:eastAsia="DengXian Light" w:hAnsi="Times New Roman Bold"/>
      <w:b/>
      <w:sz w:val="24"/>
      <w:szCs w:val="26"/>
    </w:rPr>
  </w:style>
  <w:style w:type="character" w:customStyle="1" w:styleId="Heading3Char">
    <w:name w:val="Heading 3 Char"/>
    <w:basedOn w:val="DefaultParagraphFont"/>
    <w:link w:val="Heading3"/>
    <w:uiPriority w:val="99"/>
    <w:locked/>
    <w:rsid w:val="00076F1E"/>
    <w:rPr>
      <w:rFonts w:ascii="Times New Roman" w:eastAsia="DengXian Light" w:hAnsi="Times New Roman"/>
      <w:b/>
      <w:bCs/>
    </w:rPr>
  </w:style>
  <w:style w:type="character" w:customStyle="1" w:styleId="Heading4Char">
    <w:name w:val="Heading 4 Char"/>
    <w:basedOn w:val="DefaultParagraphFont"/>
    <w:link w:val="Heading4"/>
    <w:uiPriority w:val="99"/>
    <w:locked/>
    <w:rsid w:val="00076F1E"/>
    <w:rPr>
      <w:rFonts w:ascii="Times New Roman" w:eastAsia="DengXian Light" w:hAnsi="Times New Roman"/>
      <w:b/>
      <w:bCs/>
    </w:rPr>
  </w:style>
  <w:style w:type="character" w:customStyle="1" w:styleId="Heading5Char">
    <w:name w:val="Heading 5 Char"/>
    <w:aliases w:val="Heading 5 - GTI Char"/>
    <w:basedOn w:val="DefaultParagraphFont"/>
    <w:link w:val="Heading5"/>
    <w:uiPriority w:val="99"/>
    <w:locked/>
    <w:rsid w:val="00076F1E"/>
    <w:rPr>
      <w:rFonts w:ascii="Times New Roman" w:eastAsia="DengXian Light" w:hAnsi="Times New Roman"/>
      <w:i/>
      <w:iCs/>
    </w:rPr>
  </w:style>
  <w:style w:type="character" w:customStyle="1" w:styleId="Heading6Char">
    <w:name w:val="Heading 6 Char"/>
    <w:basedOn w:val="DefaultParagraphFont"/>
    <w:link w:val="Heading6"/>
    <w:locked/>
    <w:rsid w:val="00076F1E"/>
    <w:rPr>
      <w:rFonts w:ascii="Times New Roman" w:hAnsi="Times New Roman"/>
      <w:bCs/>
      <w:sz w:val="24"/>
    </w:rPr>
  </w:style>
  <w:style w:type="character" w:customStyle="1" w:styleId="Heading7Char">
    <w:name w:val="Heading 7 Char"/>
    <w:basedOn w:val="DefaultParagraphFont"/>
    <w:link w:val="Heading7"/>
    <w:locked/>
    <w:rsid w:val="00076F1E"/>
    <w:rPr>
      <w:rFonts w:ascii="Times New Roman" w:hAnsi="Times New Roman"/>
      <w:b/>
      <w:u w:val="single"/>
    </w:rPr>
  </w:style>
  <w:style w:type="character" w:customStyle="1" w:styleId="Heading8Char">
    <w:name w:val="Heading 8 Char"/>
    <w:basedOn w:val="DefaultParagraphFont"/>
    <w:link w:val="Heading8"/>
    <w:locked/>
    <w:rsid w:val="00076F1E"/>
    <w:rPr>
      <w:rFonts w:ascii="Times New Roman" w:hAnsi="Times New Roman"/>
      <w:b/>
      <w:u w:val="single"/>
    </w:rPr>
  </w:style>
  <w:style w:type="character" w:customStyle="1" w:styleId="Heading9Char">
    <w:name w:val="Heading 9 Char"/>
    <w:basedOn w:val="DefaultParagraphFont"/>
    <w:link w:val="Heading9"/>
    <w:locked/>
    <w:rsid w:val="00076F1E"/>
    <w:rPr>
      <w:rFonts w:ascii="Times New Roman" w:hAnsi="Times New Roman"/>
      <w:u w:val="single"/>
    </w:rPr>
  </w:style>
  <w:style w:type="paragraph" w:customStyle="1" w:styleId="Item">
    <w:name w:val="Item"/>
    <w:basedOn w:val="Normal"/>
    <w:uiPriority w:val="99"/>
    <w:qFormat/>
    <w:rsid w:val="00076F1E"/>
    <w:pPr>
      <w:suppressLineNumbers/>
      <w:suppressAutoHyphens/>
      <w:spacing w:before="240" w:after="120"/>
      <w:jc w:val="left"/>
    </w:pPr>
    <w:rPr>
      <w:b/>
      <w:iCs/>
      <w:kern w:val="22"/>
      <w:sz w:val="24"/>
      <w:lang w:val="en-GB"/>
    </w:rPr>
  </w:style>
  <w:style w:type="paragraph" w:styleId="BodyText">
    <w:name w:val="Body Text"/>
    <w:aliases w:val=" Car,Car"/>
    <w:basedOn w:val="Normal"/>
    <w:link w:val="BodyTextChar"/>
    <w:uiPriority w:val="99"/>
    <w:rsid w:val="00076F1E"/>
    <w:pPr>
      <w:spacing w:after="120" w:line="259" w:lineRule="auto"/>
      <w:jc w:val="left"/>
    </w:pPr>
    <w:rPr>
      <w:rFonts w:ascii="Calibri" w:hAnsi="Calibri"/>
      <w:kern w:val="2"/>
      <w:lang w:val="en-CA"/>
    </w:rPr>
  </w:style>
  <w:style w:type="character" w:customStyle="1" w:styleId="BodyTextChar">
    <w:name w:val="Body Text Char"/>
    <w:aliases w:val=" Car Char,Car Char"/>
    <w:basedOn w:val="DefaultParagraphFont"/>
    <w:link w:val="BodyText"/>
    <w:uiPriority w:val="99"/>
    <w:locked/>
    <w:rsid w:val="00076F1E"/>
    <w:rPr>
      <w:rFonts w:cs="Times New Roman"/>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10"/>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uiPriority w:val="99"/>
    <w:rsid w:val="00A96B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qFormat/>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qFormat/>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ink w:val="BVIfnrChar"/>
    <w:uiPriority w:val="99"/>
    <w:qFormat/>
    <w:locked/>
    <w:rsid w:val="00076F1E"/>
    <w:rPr>
      <w:rFonts w:cs="Times New Roman"/>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11"/>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qFormat/>
    <w:rsid w:val="00480A8D"/>
    <w:pPr>
      <w:numPr>
        <w:numId w:val="84"/>
      </w:numPr>
      <w:spacing w:before="120" w:after="120"/>
    </w:pPr>
    <w:rPr>
      <w:lang w:val="en-CA"/>
    </w:rPr>
  </w:style>
  <w:style w:type="character" w:styleId="PlaceholderText">
    <w:name w:val="Placeholder Text"/>
    <w:basedOn w:val="DefaultParagraphFont"/>
    <w:uiPriority w:val="99"/>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qFormat/>
    <w:rsid w:val="003E0A26"/>
    <w:pPr>
      <w:tabs>
        <w:tab w:val="left" w:pos="1701"/>
      </w:tabs>
      <w:spacing w:before="120" w:after="120"/>
      <w:ind w:left="567" w:firstLine="567"/>
      <w:jc w:val="both"/>
    </w:pPr>
    <w:rPr>
      <w:rFonts w:ascii="Times New Roman" w:hAnsi="Times New Roman"/>
      <w:szCs w:val="24"/>
      <w:lang w:val="en-CA" w:eastAsia="en-US"/>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pPr>
  </w:style>
  <w:style w:type="character" w:styleId="CommentReference">
    <w:name w:val="annotation reference"/>
    <w:basedOn w:val="DefaultParagraphFont"/>
    <w:uiPriority w:val="99"/>
    <w:rsid w:val="00076F1E"/>
    <w:rPr>
      <w:rFonts w:cs="Times New Roman"/>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basedOn w:val="CommentText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qFormat/>
    <w:rsid w:val="00554C8E"/>
    <w:pPr>
      <w:spacing w:before="120" w:after="120"/>
    </w:pPr>
    <w:rPr>
      <w:sz w:val="20"/>
      <w:szCs w:val="18"/>
      <w:lang w:val="en-GB"/>
    </w:rPr>
  </w:style>
  <w:style w:type="character" w:customStyle="1" w:styleId="Para1Char">
    <w:name w:val="Para1 Char"/>
    <w:link w:val="Para10"/>
    <w:qFormat/>
    <w:locked/>
    <w:rsid w:val="00554C8E"/>
    <w:rPr>
      <w:rFonts w:ascii="Times New Roman" w:hAnsi="Times New Roman"/>
      <w:snapToGrid w:val="0"/>
      <w:kern w:val="0"/>
      <w:sz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99"/>
    <w:qFormat/>
    <w:rsid w:val="00076F1E"/>
    <w:pPr>
      <w:numPr>
        <w:numId w:val="240"/>
      </w:numPr>
      <w:contextualSpacing/>
    </w:pPr>
    <w:rPr>
      <w:sz w:val="20"/>
      <w:szCs w:val="20"/>
    </w:rPr>
  </w:style>
  <w:style w:type="character" w:styleId="Hyperlink">
    <w:name w:val="Hyperlink"/>
    <w:basedOn w:val="DefaultParagraphFont"/>
    <w:uiPriority w:val="99"/>
    <w:qFormat/>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szCs w:val="24"/>
      <w:lang w:val="en-GB" w:eastAsia="en-US"/>
    </w:rPr>
  </w:style>
  <w:style w:type="character" w:customStyle="1" w:styleId="UnresolvedMention1">
    <w:name w:val="Unresolved Mention1"/>
    <w:basedOn w:val="DefaultParagraphFont"/>
    <w:uiPriority w:val="99"/>
    <w:semiHidden/>
    <w:rsid w:val="00423DFD"/>
    <w:rPr>
      <w:rFonts w:cs="Times New Roman"/>
      <w:color w:val="605E5C"/>
      <w:shd w:val="clear" w:color="auto" w:fill="E1DFDD"/>
    </w:rPr>
  </w:style>
  <w:style w:type="character" w:customStyle="1" w:styleId="normaltextrun">
    <w:name w:val="normaltextrun"/>
    <w:basedOn w:val="DefaultParagraphFont"/>
    <w:rsid w:val="00074C7F"/>
    <w:rPr>
      <w:rFonts w:cs="Times New Roma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qFormat/>
    <w:locked/>
    <w:rsid w:val="00074C7F"/>
    <w:rPr>
      <w:rFonts w:ascii="Times New Roman" w:hAnsi="Times New Roman"/>
      <w:sz w:val="20"/>
      <w:szCs w:val="20"/>
    </w:rPr>
  </w:style>
  <w:style w:type="paragraph" w:customStyle="1" w:styleId="Default">
    <w:name w:val="Default"/>
    <w:rsid w:val="00741CD8"/>
    <w:pPr>
      <w:autoSpaceDE w:val="0"/>
      <w:autoSpaceDN w:val="0"/>
      <w:adjustRightInd w:val="0"/>
    </w:pPr>
    <w:rPr>
      <w:rFonts w:ascii="Times New Roman" w:hAnsi="Times New Roman"/>
      <w:color w:val="000000"/>
      <w:sz w:val="24"/>
      <w:szCs w:val="24"/>
      <w:lang w:val="nl-BE" w:eastAsia="en-US"/>
    </w:rPr>
  </w:style>
  <w:style w:type="character" w:styleId="FollowedHyperlink">
    <w:name w:val="FollowedHyperlink"/>
    <w:aliases w:val="Body Text Char1"/>
    <w:basedOn w:val="DefaultParagraphFont"/>
    <w:uiPriority w:val="99"/>
    <w:rsid w:val="00985B9C"/>
    <w:rPr>
      <w:rFonts w:cs="Times New Roman"/>
      <w:color w:val="954F72"/>
      <w:u w:val="single"/>
    </w:rPr>
  </w:style>
  <w:style w:type="character" w:customStyle="1" w:styleId="ui-provider">
    <w:name w:val="ui-provider"/>
    <w:basedOn w:val="DefaultParagraphFont"/>
    <w:rsid w:val="00262ECE"/>
    <w:rPr>
      <w:rFonts w:cs="Times New Roman"/>
    </w:rPr>
  </w:style>
  <w:style w:type="paragraph" w:customStyle="1" w:styleId="AEDistrNormal">
    <w:name w:val="AE_DistrNormal"/>
    <w:basedOn w:val="Normal"/>
    <w:rsid w:val="00076F1E"/>
    <w:pPr>
      <w:jc w:val="left"/>
    </w:pPr>
    <w:rPr>
      <w:lang w:val="en-GB"/>
    </w:rPr>
  </w:style>
  <w:style w:type="paragraph" w:customStyle="1" w:styleId="AASmallLogo">
    <w:name w:val="AA_SmallLogo"/>
    <w:basedOn w:val="AEDistrNormal"/>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rsid w:val="00076F1E"/>
    <w:rPr>
      <w:lang w:val="en-GB"/>
    </w:rPr>
  </w:style>
  <w:style w:type="paragraph" w:customStyle="1" w:styleId="ACLargeLogo">
    <w:name w:val="AC_LargeLogo"/>
    <w:basedOn w:val="AFCorNotNormal"/>
    <w:next w:val="Normal"/>
    <w:rsid w:val="00076F1E"/>
    <w:pPr>
      <w:spacing w:before="120"/>
      <w:contextualSpacing/>
      <w:jc w:val="left"/>
    </w:pPr>
    <w:rPr>
      <w:sz w:val="8"/>
    </w:rPr>
  </w:style>
  <w:style w:type="paragraph" w:customStyle="1" w:styleId="AEDistrNormal6pt">
    <w:name w:val="AE_DistrNormal6pt"/>
    <w:basedOn w:val="AEDistrNormal"/>
    <w:next w:val="AFCorNotNormal"/>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qFormat/>
    <w:rsid w:val="00076F1E"/>
    <w:pPr>
      <w:jc w:val="left"/>
    </w:pPr>
    <w:rPr>
      <w:b/>
      <w:sz w:val="24"/>
    </w:rPr>
  </w:style>
  <w:style w:type="paragraph" w:customStyle="1" w:styleId="AFCorNotBold">
    <w:name w:val="AF_CorNotBold"/>
    <w:basedOn w:val="AFCorNotNormal"/>
    <w:next w:val="AFCorNotNormal"/>
    <w:qFormat/>
    <w:rsid w:val="00076F1E"/>
    <w:rPr>
      <w:b/>
    </w:rPr>
  </w:style>
  <w:style w:type="paragraph" w:customStyle="1" w:styleId="AISpacer">
    <w:name w:val="AI_Spacer"/>
    <w:next w:val="Normal"/>
    <w:qFormat/>
    <w:rsid w:val="00076F1E"/>
    <w:rPr>
      <w:rFonts w:ascii="Times New Roman" w:hAnsi="Times New Roman"/>
      <w:sz w:val="2"/>
      <w:lang w:val="en-GB" w:eastAsia="en-US"/>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qFormat/>
    <w:rsid w:val="00076F1E"/>
    <w:pPr>
      <w:tabs>
        <w:tab w:val="left" w:pos="567"/>
        <w:tab w:val="left" w:pos="1134"/>
        <w:tab w:val="left" w:pos="1701"/>
        <w:tab w:val="left" w:pos="2268"/>
        <w:tab w:val="left" w:pos="2835"/>
        <w:tab w:val="left" w:pos="3402"/>
      </w:tabs>
      <w:jc w:val="both"/>
    </w:pPr>
    <w:rPr>
      <w:rFonts w:ascii="Times New Roman" w:hAnsi="Times New Roman"/>
      <w:lang w:eastAsia="en-US"/>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qFormat/>
    <w:rsid w:val="00076F1E"/>
    <w:pPr>
      <w:tabs>
        <w:tab w:val="left" w:pos="3969"/>
      </w:tabs>
      <w:spacing w:before="120" w:after="120"/>
    </w:pPr>
    <w:rPr>
      <w:lang w:val="en-GB"/>
    </w:rPr>
  </w:style>
  <w:style w:type="paragraph" w:customStyle="1" w:styleId="CBDH2">
    <w:name w:val="CBD_H2"/>
    <w:basedOn w:val="CBDNormalNumber"/>
    <w:uiPriority w:val="99"/>
    <w:qFormat/>
    <w:rsid w:val="00076F1E"/>
    <w:pPr>
      <w:keepNext/>
      <w:keepLines/>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uiPriority w:val="99"/>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paragraph" w:styleId="List">
    <w:name w:val="List"/>
    <w:basedOn w:val="Normal"/>
    <w:semiHidden/>
    <w:rsid w:val="00076F1E"/>
    <w:pPr>
      <w:contextualSpacing/>
    </w:pPr>
  </w:style>
  <w:style w:type="paragraph" w:styleId="ListNumber5">
    <w:name w:val="List Number 5"/>
    <w:basedOn w:val="Normal"/>
    <w:uiPriority w:val="99"/>
    <w:semiHidden/>
    <w:rsid w:val="0067155C"/>
    <w:pPr>
      <w:tabs>
        <w:tab w:val="num" w:pos="1800"/>
      </w:tabs>
      <w:ind w:left="1800" w:hanging="360"/>
      <w:contextualSpacing/>
    </w:pPr>
    <w:rPr>
      <w:lang w:val="en-GB"/>
    </w:rPr>
  </w:style>
  <w:style w:type="character" w:customStyle="1" w:styleId="rynqvb">
    <w:name w:val="rynqvb"/>
    <w:basedOn w:val="DefaultParagraphFont"/>
    <w:uiPriority w:val="99"/>
    <w:rsid w:val="00D93575"/>
    <w:rPr>
      <w:rFonts w:cs="Times New Roman"/>
    </w:rPr>
  </w:style>
  <w:style w:type="numbering" w:customStyle="1" w:styleId="ListCBD">
    <w:name w:val="ListCBD"/>
    <w:uiPriority w:val="99"/>
    <w:rsid w:val="00DE6D1F"/>
  </w:style>
  <w:style w:type="numbering" w:customStyle="1" w:styleId="CBDHeadings">
    <w:name w:val="CBD_Headings"/>
    <w:uiPriority w:val="99"/>
    <w:rsid w:val="00DE6D1F"/>
    <w:pPr>
      <w:numPr>
        <w:numId w:val="4"/>
      </w:numPr>
    </w:pPr>
  </w:style>
  <w:style w:type="paragraph" w:styleId="TOC6">
    <w:name w:val="toc 6"/>
    <w:basedOn w:val="Normal"/>
    <w:next w:val="Normal"/>
    <w:autoRedefine/>
    <w:uiPriority w:val="99"/>
    <w:locked/>
    <w:rsid w:val="001136A9"/>
    <w:pPr>
      <w:spacing w:before="120" w:after="120"/>
      <w:ind w:left="1100"/>
    </w:pPr>
    <w:rPr>
      <w:rFonts w:eastAsia="SimSun"/>
      <w:lang w:val="en-GB"/>
    </w:rPr>
  </w:style>
  <w:style w:type="paragraph" w:customStyle="1" w:styleId="Heading1multiline">
    <w:name w:val="Heading 1 (multiline)"/>
    <w:basedOn w:val="Heading1"/>
    <w:rsid w:val="00FD132F"/>
    <w:pPr>
      <w:numPr>
        <w:numId w:val="0"/>
      </w:numPr>
      <w:tabs>
        <w:tab w:val="num" w:pos="567"/>
        <w:tab w:val="num" w:pos="2040"/>
      </w:tabs>
      <w:ind w:left="1843" w:right="996" w:hanging="567"/>
    </w:pPr>
    <w:rPr>
      <w:rFonts w:eastAsia="SimSun"/>
      <w:lang w:val="en-GB"/>
    </w:rPr>
  </w:style>
  <w:style w:type="paragraph" w:styleId="TOC5">
    <w:name w:val="toc 5"/>
    <w:basedOn w:val="Normal"/>
    <w:next w:val="Normal"/>
    <w:autoRedefine/>
    <w:locked/>
    <w:rsid w:val="00897DB1"/>
    <w:pPr>
      <w:tabs>
        <w:tab w:val="clear" w:pos="567"/>
        <w:tab w:val="clear" w:pos="1134"/>
        <w:tab w:val="clear" w:pos="1701"/>
        <w:tab w:val="clear" w:pos="2268"/>
      </w:tabs>
      <w:spacing w:after="100"/>
      <w:ind w:left="880"/>
    </w:pPr>
  </w:style>
  <w:style w:type="character" w:customStyle="1" w:styleId="UnresolvedMention2">
    <w:name w:val="Unresolved Mention2"/>
    <w:basedOn w:val="DefaultParagraphFont"/>
    <w:uiPriority w:val="99"/>
    <w:semiHidden/>
    <w:unhideWhenUsed/>
    <w:rsid w:val="005F635C"/>
    <w:rPr>
      <w:color w:val="605E5C"/>
      <w:shd w:val="clear" w:color="auto" w:fill="E1DFDD"/>
    </w:rPr>
  </w:style>
  <w:style w:type="character" w:styleId="UnresolvedMention">
    <w:name w:val="Unresolved Mention"/>
    <w:basedOn w:val="DefaultParagraphFont"/>
    <w:uiPriority w:val="99"/>
    <w:semiHidden/>
    <w:unhideWhenUsed/>
    <w:rsid w:val="005B3F06"/>
    <w:rPr>
      <w:color w:val="605E5C"/>
      <w:shd w:val="clear" w:color="auto" w:fill="E1DFDD"/>
    </w:rPr>
  </w:style>
  <w:style w:type="paragraph" w:styleId="NormalWeb">
    <w:name w:val="Normal (Web)"/>
    <w:basedOn w:val="Normal"/>
    <w:uiPriority w:val="99"/>
    <w:unhideWhenUsed/>
    <w:rsid w:val="003B4598"/>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numbering" w:customStyle="1" w:styleId="CurrentList2">
    <w:name w:val="Current List2"/>
    <w:uiPriority w:val="99"/>
    <w:rsid w:val="003B7E42"/>
    <w:pPr>
      <w:numPr>
        <w:numId w:val="9"/>
      </w:numPr>
    </w:pPr>
  </w:style>
  <w:style w:type="table" w:customStyle="1" w:styleId="1">
    <w:name w:val="1"/>
    <w:basedOn w:val="TableNormal"/>
    <w:rsid w:val="003B7E42"/>
    <w:pPr>
      <w:tabs>
        <w:tab w:val="left" w:pos="567"/>
        <w:tab w:val="left" w:pos="1134"/>
        <w:tab w:val="left" w:pos="1701"/>
        <w:tab w:val="left" w:pos="2268"/>
      </w:tabs>
      <w:jc w:val="both"/>
    </w:pPr>
    <w:rPr>
      <w:rFonts w:ascii="Times New Roman" w:eastAsiaTheme="minorEastAsia" w:hAnsi="Times New Roman"/>
      <w:sz w:val="20"/>
      <w:szCs w:val="20"/>
      <w:lang w:val="en-GB"/>
    </w:rPr>
    <w:tblPr>
      <w:tblStyleRowBandSize w:val="1"/>
      <w:tblStyleColBandSize w:val="1"/>
    </w:tblPr>
  </w:style>
  <w:style w:type="character" w:customStyle="1" w:styleId="style21">
    <w:name w:val="style21"/>
    <w:basedOn w:val="DefaultParagraphFont"/>
    <w:rsid w:val="003B7E42"/>
    <w:rPr>
      <w:b w:val="0"/>
      <w:bCs w:val="0"/>
      <w:i w:val="0"/>
      <w:iCs w:val="0"/>
      <w:color w:val="000080"/>
      <w:sz w:val="24"/>
      <w:szCs w:val="24"/>
    </w:rPr>
  </w:style>
  <w:style w:type="character" w:styleId="PageNumber">
    <w:name w:val="page number"/>
    <w:rsid w:val="003B7E42"/>
    <w:rPr>
      <w:rFonts w:ascii="Times New Roman" w:hAnsi="Times New Roman"/>
      <w:sz w:val="22"/>
    </w:rPr>
  </w:style>
  <w:style w:type="paragraph" w:customStyle="1" w:styleId="Para3">
    <w:name w:val="Para3"/>
    <w:basedOn w:val="Normal"/>
    <w:uiPriority w:val="99"/>
    <w:rsid w:val="003B7E42"/>
    <w:pPr>
      <w:numPr>
        <w:ilvl w:val="2"/>
        <w:numId w:val="39"/>
      </w:numPr>
      <w:tabs>
        <w:tab w:val="clear" w:pos="1440"/>
        <w:tab w:val="left" w:pos="1980"/>
      </w:tabs>
      <w:spacing w:before="80" w:after="80"/>
      <w:jc w:val="left"/>
    </w:pPr>
    <w:rPr>
      <w:rFonts w:eastAsia="SimSun"/>
      <w:sz w:val="24"/>
      <w:szCs w:val="20"/>
      <w:lang w:val="en-CA"/>
    </w:rPr>
  </w:style>
  <w:style w:type="paragraph" w:customStyle="1" w:styleId="meetingname">
    <w:name w:val="meeting name"/>
    <w:basedOn w:val="Cornernotation"/>
    <w:qFormat/>
    <w:rsid w:val="003B7E42"/>
    <w:rPr>
      <w:rFonts w:eastAsia="Malgun Gothic"/>
      <w:b w:val="0"/>
      <w:caps/>
      <w:snapToGrid w:val="0"/>
      <w:lang w:val="en-CA"/>
    </w:rPr>
  </w:style>
  <w:style w:type="paragraph" w:customStyle="1" w:styleId="StylePara1Before0pt">
    <w:name w:val="Style Para1 + Before:  0 pt"/>
    <w:basedOn w:val="Normal"/>
    <w:rsid w:val="003B7E42"/>
    <w:pPr>
      <w:numPr>
        <w:numId w:val="38"/>
      </w:numPr>
      <w:tabs>
        <w:tab w:val="clear" w:pos="1080"/>
      </w:tabs>
      <w:spacing w:before="120" w:after="120"/>
      <w:jc w:val="left"/>
    </w:pPr>
    <w:rPr>
      <w:rFonts w:eastAsia="SimSun"/>
      <w:snapToGrid w:val="0"/>
      <w:sz w:val="24"/>
      <w:szCs w:val="20"/>
      <w:lang w:val="en-CA"/>
    </w:rPr>
  </w:style>
  <w:style w:type="paragraph" w:styleId="TOC9">
    <w:name w:val="toc 9"/>
    <w:basedOn w:val="Normal"/>
    <w:next w:val="Normal"/>
    <w:autoRedefine/>
    <w:unhideWhenUsed/>
    <w:locked/>
    <w:rsid w:val="003B7E42"/>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3B7E42"/>
    <w:pPr>
      <w:spacing w:before="100" w:beforeAutospacing="1" w:after="100" w:afterAutospacing="1"/>
      <w:jc w:val="left"/>
    </w:pPr>
    <w:rPr>
      <w:rFonts w:eastAsia="SimSun"/>
      <w:sz w:val="24"/>
    </w:rPr>
  </w:style>
  <w:style w:type="paragraph" w:styleId="BodyTextIndent">
    <w:name w:val="Body Text Indent"/>
    <w:basedOn w:val="Normal"/>
    <w:link w:val="BodyTextIndentChar"/>
    <w:unhideWhenUsed/>
    <w:rsid w:val="003B7E42"/>
    <w:pPr>
      <w:spacing w:after="120"/>
      <w:ind w:left="360"/>
    </w:pPr>
    <w:rPr>
      <w:rFonts w:eastAsia="SimSun"/>
    </w:rPr>
  </w:style>
  <w:style w:type="character" w:customStyle="1" w:styleId="BodyTextIndentChar">
    <w:name w:val="Body Text Indent Char"/>
    <w:basedOn w:val="DefaultParagraphFont"/>
    <w:link w:val="BodyTextIndent"/>
    <w:rsid w:val="003B7E42"/>
    <w:rPr>
      <w:rFonts w:ascii="Times New Roman" w:eastAsia="SimSun" w:hAnsi="Times New Roman"/>
      <w:lang w:eastAsia="en-US"/>
    </w:rPr>
  </w:style>
  <w:style w:type="paragraph" w:customStyle="1" w:styleId="CBD-Decision">
    <w:name w:val="CBD-Decision"/>
    <w:basedOn w:val="Title"/>
    <w:qFormat/>
    <w:rsid w:val="003B7E42"/>
    <w:pPr>
      <w:tabs>
        <w:tab w:val="clear" w:pos="567"/>
        <w:tab w:val="clear" w:pos="1134"/>
        <w:tab w:val="clear" w:pos="1701"/>
        <w:tab w:val="clear" w:pos="2268"/>
      </w:tabs>
      <w:ind w:left="1418" w:hanging="851"/>
      <w:jc w:val="left"/>
      <w:outlineLvl w:val="1"/>
    </w:pPr>
    <w:rPr>
      <w:rFonts w:eastAsiaTheme="majorEastAsia"/>
      <w:lang w:val="en-GB"/>
    </w:rPr>
  </w:style>
  <w:style w:type="numbering" w:customStyle="1" w:styleId="NoList1">
    <w:name w:val="No List1"/>
    <w:next w:val="NoList"/>
    <w:uiPriority w:val="99"/>
    <w:semiHidden/>
    <w:unhideWhenUsed/>
    <w:rsid w:val="003B7E42"/>
  </w:style>
  <w:style w:type="character" w:customStyle="1" w:styleId="tabchar">
    <w:name w:val="tabchar"/>
    <w:basedOn w:val="DefaultParagraphFont"/>
    <w:uiPriority w:val="99"/>
    <w:rsid w:val="003B7E42"/>
  </w:style>
  <w:style w:type="paragraph" w:customStyle="1" w:styleId="CBD-Para">
    <w:name w:val="CBD-Para"/>
    <w:basedOn w:val="Normal"/>
    <w:link w:val="CBD-ParaCharChar"/>
    <w:uiPriority w:val="99"/>
    <w:rsid w:val="003B7E42"/>
    <w:pPr>
      <w:keepLines/>
      <w:numPr>
        <w:numId w:val="41"/>
      </w:numPr>
      <w:tabs>
        <w:tab w:val="clear" w:pos="567"/>
        <w:tab w:val="clear" w:pos="720"/>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3B7E42"/>
    <w:rPr>
      <w:rFonts w:ascii="Times New Roman" w:eastAsia="Times New Roman" w:hAnsi="Times New Roman"/>
    </w:rPr>
  </w:style>
  <w:style w:type="paragraph" w:styleId="EndnoteText">
    <w:name w:val="endnote text"/>
    <w:basedOn w:val="Normal"/>
    <w:link w:val="EndnoteTextChar"/>
    <w:uiPriority w:val="99"/>
    <w:unhideWhenUsed/>
    <w:rsid w:val="003B7E42"/>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3B7E42"/>
    <w:rPr>
      <w:rFonts w:ascii="Times New Roman" w:eastAsia="Times New Roman" w:hAnsi="Times New Roman"/>
      <w:sz w:val="20"/>
      <w:szCs w:val="20"/>
      <w:lang w:val="en-GB" w:eastAsia="en-US"/>
    </w:rPr>
  </w:style>
  <w:style w:type="character" w:styleId="EndnoteReference">
    <w:name w:val="endnote reference"/>
    <w:basedOn w:val="DefaultParagraphFont"/>
    <w:uiPriority w:val="99"/>
    <w:semiHidden/>
    <w:unhideWhenUsed/>
    <w:rsid w:val="003B7E42"/>
    <w:rPr>
      <w:vertAlign w:val="superscript"/>
    </w:rPr>
  </w:style>
  <w:style w:type="numbering" w:customStyle="1" w:styleId="ListCBD1">
    <w:name w:val="ListCBD1"/>
    <w:basedOn w:val="NoList"/>
    <w:rsid w:val="003B7E42"/>
  </w:style>
  <w:style w:type="character" w:customStyle="1" w:styleId="Mention1">
    <w:name w:val="Mention1"/>
    <w:basedOn w:val="DefaultParagraphFont"/>
    <w:uiPriority w:val="99"/>
    <w:unhideWhenUsed/>
    <w:rsid w:val="003B7E42"/>
    <w:rPr>
      <w:color w:val="2B579A"/>
      <w:shd w:val="clear" w:color="auto" w:fill="E1DFDD"/>
    </w:rPr>
  </w:style>
  <w:style w:type="paragraph" w:styleId="TOC1">
    <w:name w:val="toc 1"/>
    <w:aliases w:val="TOC0"/>
    <w:basedOn w:val="Normal"/>
    <w:next w:val="Normal"/>
    <w:autoRedefine/>
    <w:uiPriority w:val="39"/>
    <w:unhideWhenUsed/>
    <w:qFormat/>
    <w:locked/>
    <w:rsid w:val="00596036"/>
    <w:pPr>
      <w:tabs>
        <w:tab w:val="clear" w:pos="567"/>
        <w:tab w:val="clear" w:pos="1134"/>
        <w:tab w:val="clear" w:pos="1701"/>
        <w:tab w:val="clear" w:pos="2268"/>
      </w:tabs>
      <w:adjustRightInd w:val="0"/>
      <w:jc w:val="left"/>
    </w:pPr>
    <w:rPr>
      <w:rFonts w:eastAsia="SimSun"/>
      <w:b/>
      <w:bCs/>
      <w:noProof/>
      <w:sz w:val="24"/>
      <w:szCs w:val="24"/>
    </w:rPr>
  </w:style>
  <w:style w:type="numbering" w:customStyle="1" w:styleId="CurrentList1">
    <w:name w:val="Current List1"/>
    <w:uiPriority w:val="99"/>
    <w:rsid w:val="003B7E42"/>
    <w:pPr>
      <w:numPr>
        <w:numId w:val="42"/>
      </w:numPr>
    </w:pPr>
  </w:style>
  <w:style w:type="character" w:styleId="Emphasis">
    <w:name w:val="Emphasis"/>
    <w:qFormat/>
    <w:locked/>
    <w:rsid w:val="003B7E42"/>
    <w:rPr>
      <w:i/>
      <w:iCs/>
    </w:rPr>
  </w:style>
  <w:style w:type="character" w:customStyle="1" w:styleId="break-word">
    <w:name w:val="break-word"/>
    <w:basedOn w:val="DefaultParagraphFont"/>
    <w:rsid w:val="003B7E42"/>
  </w:style>
  <w:style w:type="paragraph" w:customStyle="1" w:styleId="CBD-title-recommendationdecision">
    <w:name w:val="CBD-title-recommendation/decision"/>
    <w:basedOn w:val="Title"/>
    <w:qFormat/>
    <w:rsid w:val="003B7E42"/>
    <w:pPr>
      <w:tabs>
        <w:tab w:val="clear" w:pos="567"/>
        <w:tab w:val="clear" w:pos="1134"/>
        <w:tab w:val="clear" w:pos="1701"/>
        <w:tab w:val="clear" w:pos="2268"/>
      </w:tabs>
      <w:ind w:left="630"/>
      <w:jc w:val="left"/>
    </w:pPr>
    <w:rPr>
      <w:rFonts w:eastAsiaTheme="majorEastAsia"/>
      <w:lang w:val="en-GB"/>
    </w:rPr>
  </w:style>
  <w:style w:type="numbering" w:customStyle="1" w:styleId="Style1">
    <w:name w:val="Style1"/>
    <w:uiPriority w:val="99"/>
    <w:rsid w:val="003B7E42"/>
    <w:pPr>
      <w:numPr>
        <w:numId w:val="43"/>
      </w:numPr>
    </w:pPr>
  </w:style>
  <w:style w:type="paragraph" w:customStyle="1" w:styleId="StylePara111ptKernat11pt">
    <w:name w:val="Style Para1 + 11 pt Kern at 11 pt"/>
    <w:basedOn w:val="Para10"/>
    <w:rsid w:val="003B7E42"/>
    <w:pPr>
      <w:tabs>
        <w:tab w:val="clear" w:pos="567"/>
        <w:tab w:val="clear" w:pos="1701"/>
        <w:tab w:val="clear" w:pos="2268"/>
      </w:tabs>
    </w:pPr>
    <w:rPr>
      <w:rFonts w:eastAsia="Times New Roman"/>
      <w:snapToGrid w:val="0"/>
      <w:kern w:val="22"/>
      <w:sz w:val="22"/>
      <w:lang w:eastAsia="en-US"/>
    </w:rPr>
  </w:style>
  <w:style w:type="paragraph" w:customStyle="1" w:styleId="Para20">
    <w:name w:val="Para2"/>
    <w:basedOn w:val="Para10"/>
    <w:rsid w:val="003B7E42"/>
    <w:pPr>
      <w:tabs>
        <w:tab w:val="clear" w:pos="567"/>
        <w:tab w:val="clear" w:pos="1701"/>
        <w:tab w:val="clear" w:pos="2268"/>
      </w:tabs>
      <w:autoSpaceDE w:val="0"/>
      <w:autoSpaceDN w:val="0"/>
    </w:pPr>
    <w:rPr>
      <w:rFonts w:eastAsia="Times New Roman"/>
      <w:snapToGrid w:val="0"/>
      <w:sz w:val="22"/>
      <w:lang w:eastAsia="en-US"/>
    </w:rPr>
  </w:style>
  <w:style w:type="paragraph" w:customStyle="1" w:styleId="Heading1longmultiline">
    <w:name w:val="Heading 1 (long multiline)"/>
    <w:basedOn w:val="Heading1"/>
    <w:link w:val="Heading1longmultilineChar"/>
    <w:rsid w:val="003B7E42"/>
    <w:pPr>
      <w:keepLines w:val="0"/>
      <w:numPr>
        <w:numId w:val="0"/>
      </w:numPr>
      <w:tabs>
        <w:tab w:val="clear" w:pos="1134"/>
        <w:tab w:val="clear" w:pos="1701"/>
        <w:tab w:val="clear" w:pos="2268"/>
        <w:tab w:val="left" w:pos="720"/>
      </w:tabs>
      <w:ind w:left="1843" w:hanging="1134"/>
    </w:pPr>
    <w:rPr>
      <w:rFonts w:eastAsia="Times New Roman"/>
      <w:bCs w:val="0"/>
      <w:caps/>
      <w:kern w:val="0"/>
      <w:sz w:val="22"/>
      <w:szCs w:val="24"/>
      <w:lang w:val="en-GB"/>
    </w:rPr>
  </w:style>
  <w:style w:type="table" w:customStyle="1" w:styleId="TableGrid2">
    <w:name w:val="Table Grid2"/>
    <w:basedOn w:val="TableNormal"/>
    <w:next w:val="TableGrid"/>
    <w:uiPriority w:val="59"/>
    <w:qFormat/>
    <w:rsid w:val="003B7E42"/>
    <w:rPr>
      <w:rFonts w:asciiTheme="minorHAnsi" w:eastAsiaTheme="minorEastAsia"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B7E42"/>
  </w:style>
  <w:style w:type="numbering" w:customStyle="1" w:styleId="CurrentList3">
    <w:name w:val="Current List3"/>
    <w:uiPriority w:val="99"/>
    <w:rsid w:val="003B7E42"/>
    <w:pPr>
      <w:numPr>
        <w:numId w:val="44"/>
      </w:numPr>
    </w:pPr>
  </w:style>
  <w:style w:type="numbering" w:customStyle="1" w:styleId="CurrentList4">
    <w:name w:val="Current List4"/>
    <w:uiPriority w:val="99"/>
    <w:rsid w:val="003B7E42"/>
    <w:pPr>
      <w:numPr>
        <w:numId w:val="45"/>
      </w:numPr>
    </w:pPr>
  </w:style>
  <w:style w:type="numbering" w:customStyle="1" w:styleId="CurrentList5">
    <w:name w:val="Current List5"/>
    <w:uiPriority w:val="99"/>
    <w:rsid w:val="003B7E42"/>
    <w:pPr>
      <w:numPr>
        <w:numId w:val="46"/>
      </w:numPr>
    </w:pPr>
  </w:style>
  <w:style w:type="numbering" w:customStyle="1" w:styleId="CurrentList6">
    <w:name w:val="Current List6"/>
    <w:uiPriority w:val="99"/>
    <w:rsid w:val="003B7E42"/>
    <w:pPr>
      <w:numPr>
        <w:numId w:val="47"/>
      </w:numPr>
    </w:pPr>
  </w:style>
  <w:style w:type="numbering" w:customStyle="1" w:styleId="NoList2">
    <w:name w:val="No List2"/>
    <w:next w:val="NoList"/>
    <w:uiPriority w:val="99"/>
    <w:semiHidden/>
    <w:unhideWhenUsed/>
    <w:rsid w:val="003B7E42"/>
  </w:style>
  <w:style w:type="numbering" w:customStyle="1" w:styleId="Style11">
    <w:name w:val="Style11"/>
    <w:uiPriority w:val="99"/>
    <w:rsid w:val="003B7E42"/>
  </w:style>
  <w:style w:type="table" w:customStyle="1" w:styleId="TableGrid3">
    <w:name w:val="Table Grid3"/>
    <w:basedOn w:val="TableNormal"/>
    <w:next w:val="TableGrid"/>
    <w:uiPriority w:val="39"/>
    <w:rsid w:val="003B7E42"/>
    <w:rPr>
      <w:rFonts w:asciiTheme="minorHAnsi" w:eastAsiaTheme="minorEastAsia"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3B7E42"/>
    <w:pPr>
      <w:numPr>
        <w:numId w:val="37"/>
      </w:numPr>
    </w:pPr>
  </w:style>
  <w:style w:type="numbering" w:customStyle="1" w:styleId="CurrentList21">
    <w:name w:val="Current List21"/>
    <w:uiPriority w:val="99"/>
    <w:rsid w:val="003B7E42"/>
  </w:style>
  <w:style w:type="numbering" w:customStyle="1" w:styleId="CurrentList31">
    <w:name w:val="Current List31"/>
    <w:uiPriority w:val="99"/>
    <w:rsid w:val="003B7E42"/>
  </w:style>
  <w:style w:type="numbering" w:customStyle="1" w:styleId="CurrentList41">
    <w:name w:val="Current List41"/>
    <w:rsid w:val="003B7E42"/>
    <w:pPr>
      <w:numPr>
        <w:numId w:val="39"/>
      </w:numPr>
    </w:pPr>
  </w:style>
  <w:style w:type="numbering" w:customStyle="1" w:styleId="CurrentList51">
    <w:name w:val="Current List51"/>
    <w:rsid w:val="003B7E42"/>
    <w:pPr>
      <w:numPr>
        <w:numId w:val="40"/>
      </w:numPr>
    </w:pPr>
  </w:style>
  <w:style w:type="numbering" w:customStyle="1" w:styleId="CurrentList61">
    <w:name w:val="Current List61"/>
    <w:uiPriority w:val="99"/>
    <w:rsid w:val="003B7E42"/>
  </w:style>
  <w:style w:type="table" w:customStyle="1" w:styleId="TableGrid4">
    <w:name w:val="Table Grid4"/>
    <w:basedOn w:val="TableNormal"/>
    <w:next w:val="TableGrid"/>
    <w:uiPriority w:val="39"/>
    <w:rsid w:val="003B7E42"/>
    <w:rPr>
      <w:rFonts w:asciiTheme="minorHAnsi" w:eastAsiaTheme="minorEastAsia"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3B7E42"/>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3B7E42"/>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3B7E42"/>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3B7E42"/>
    <w:pPr>
      <w:outlineLvl w:val="2"/>
    </w:pPr>
    <w:rPr>
      <w:sz w:val="22"/>
    </w:rPr>
  </w:style>
  <w:style w:type="paragraph" w:customStyle="1" w:styleId="CBD-para2-notnumbered">
    <w:name w:val="CBD-para 2-not numbered"/>
    <w:basedOn w:val="Normal"/>
    <w:qFormat/>
    <w:rsid w:val="003B7E42"/>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3B7E4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3B7E4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3B7E42"/>
  </w:style>
  <w:style w:type="paragraph" w:customStyle="1" w:styleId="HEADING">
    <w:name w:val="HEADING"/>
    <w:basedOn w:val="Normal"/>
    <w:rsid w:val="003B7E42"/>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3B7E42"/>
    <w:pPr>
      <w:numPr>
        <w:numId w:val="0"/>
      </w:numPr>
      <w:tabs>
        <w:tab w:val="clear" w:pos="1134"/>
        <w:tab w:val="clear" w:pos="1701"/>
        <w:tab w:val="clear" w:pos="2268"/>
      </w:tabs>
    </w:pPr>
    <w:rPr>
      <w:rFonts w:eastAsiaTheme="majorEastAsia" w:cstheme="majorBidi"/>
    </w:rPr>
  </w:style>
  <w:style w:type="paragraph" w:customStyle="1" w:styleId="Heading2multiline">
    <w:name w:val="Heading 2 (multiline)"/>
    <w:basedOn w:val="Heading1"/>
    <w:next w:val="Normal"/>
    <w:rsid w:val="003B7E42"/>
    <w:pPr>
      <w:numPr>
        <w:numId w:val="0"/>
      </w:numPr>
      <w:tabs>
        <w:tab w:val="clear" w:pos="1134"/>
        <w:tab w:val="clear" w:pos="1701"/>
        <w:tab w:val="clear" w:pos="2268"/>
      </w:tabs>
      <w:spacing w:before="120"/>
      <w:ind w:left="1843" w:right="998" w:hanging="567"/>
    </w:pPr>
    <w:rPr>
      <w:rFonts w:eastAsiaTheme="majorEastAsia" w:cstheme="majorBidi"/>
      <w:i/>
      <w:iCs/>
      <w:caps/>
    </w:rPr>
  </w:style>
  <w:style w:type="paragraph" w:customStyle="1" w:styleId="Heading2longmultiline">
    <w:name w:val="Heading 2 (long multiline)"/>
    <w:basedOn w:val="Heading2multiline"/>
    <w:rsid w:val="003B7E42"/>
    <w:pPr>
      <w:ind w:left="2127" w:hanging="1276"/>
    </w:pPr>
  </w:style>
  <w:style w:type="paragraph" w:customStyle="1" w:styleId="heading2notforTOC">
    <w:name w:val="heading 2 not for TOC"/>
    <w:basedOn w:val="Heading3"/>
    <w:uiPriority w:val="99"/>
    <w:rsid w:val="003B7E42"/>
    <w:pPr>
      <w:numPr>
        <w:ilvl w:val="0"/>
        <w:numId w:val="40"/>
      </w:numPr>
      <w:tabs>
        <w:tab w:val="clear" w:pos="1134"/>
        <w:tab w:val="clear" w:pos="1701"/>
        <w:tab w:val="clear" w:pos="2268"/>
      </w:tabs>
      <w:jc w:val="both"/>
    </w:pPr>
    <w:rPr>
      <w:rFonts w:eastAsiaTheme="majorEastAsia"/>
      <w:lang w:val="en-GB"/>
    </w:rPr>
  </w:style>
  <w:style w:type="paragraph" w:customStyle="1" w:styleId="Heading3multiline">
    <w:name w:val="Heading 3 (multiline)"/>
    <w:basedOn w:val="Heading3"/>
    <w:next w:val="Normal"/>
    <w:rsid w:val="003B7E42"/>
    <w:pPr>
      <w:numPr>
        <w:ilvl w:val="0"/>
        <w:numId w:val="0"/>
      </w:numPr>
      <w:tabs>
        <w:tab w:val="clear" w:pos="1134"/>
        <w:tab w:val="clear" w:pos="1701"/>
        <w:tab w:val="clear" w:pos="2268"/>
      </w:tabs>
      <w:ind w:left="1418" w:hanging="425"/>
    </w:pPr>
    <w:rPr>
      <w:rFonts w:eastAsiaTheme="majorEastAsia"/>
      <w:lang w:val="en-GB"/>
    </w:rPr>
  </w:style>
  <w:style w:type="paragraph" w:customStyle="1" w:styleId="Heading4indent">
    <w:name w:val="Heading 4 indent"/>
    <w:basedOn w:val="Heading4"/>
    <w:rsid w:val="003B7E42"/>
    <w:pPr>
      <w:numPr>
        <w:ilvl w:val="0"/>
        <w:numId w:val="0"/>
      </w:numPr>
      <w:tabs>
        <w:tab w:val="clear" w:pos="1134"/>
        <w:tab w:val="clear" w:pos="1701"/>
        <w:tab w:val="clear" w:pos="2268"/>
      </w:tabs>
      <w:ind w:left="720" w:hanging="567"/>
      <w:jc w:val="both"/>
      <w:outlineLvl w:val="9"/>
    </w:pPr>
    <w:rPr>
      <w:rFonts w:eastAsiaTheme="majorEastAsia"/>
      <w:szCs w:val="24"/>
      <w:lang w:val="en-GB"/>
    </w:rPr>
  </w:style>
  <w:style w:type="paragraph" w:customStyle="1" w:styleId="para4">
    <w:name w:val="para4"/>
    <w:basedOn w:val="Normal"/>
    <w:rsid w:val="003B7E42"/>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3B7E42"/>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3B7E42"/>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3B7E42"/>
    <w:pPr>
      <w:numPr>
        <w:ilvl w:val="0"/>
        <w:numId w:val="0"/>
      </w:numPr>
      <w:tabs>
        <w:tab w:val="clear" w:pos="1134"/>
        <w:tab w:val="clear" w:pos="1701"/>
        <w:tab w:val="clear" w:pos="2268"/>
      </w:tabs>
      <w:ind w:left="567" w:hanging="567"/>
      <w:jc w:val="both"/>
    </w:pPr>
    <w:rPr>
      <w:rFonts w:ascii="Times New Roman" w:eastAsiaTheme="majorEastAsia" w:hAnsi="Times New Roman" w:cstheme="majorBidi"/>
      <w:lang w:val="en-GB"/>
    </w:rPr>
  </w:style>
  <w:style w:type="paragraph" w:customStyle="1" w:styleId="recommendationheaderlong">
    <w:name w:val="recommendation header long"/>
    <w:basedOn w:val="Heading2longmultiline"/>
    <w:uiPriority w:val="99"/>
    <w:qFormat/>
    <w:rsid w:val="003B7E42"/>
  </w:style>
  <w:style w:type="paragraph" w:customStyle="1" w:styleId="reference">
    <w:name w:val="reference"/>
    <w:basedOn w:val="Heading9"/>
    <w:uiPriority w:val="99"/>
    <w:qFormat/>
    <w:rsid w:val="003B7E4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z w:val="18"/>
      <w:szCs w:val="24"/>
      <w:u w:val="none"/>
      <w:lang w:val="en-GB"/>
    </w:rPr>
  </w:style>
  <w:style w:type="character" w:customStyle="1" w:styleId="StyleFootnoteReferenceNounderline">
    <w:name w:val="Style Footnote Reference + No underline"/>
    <w:uiPriority w:val="99"/>
    <w:rsid w:val="003B7E42"/>
    <w:rPr>
      <w:sz w:val="18"/>
      <w:u w:val="none"/>
      <w:vertAlign w:val="baseline"/>
    </w:rPr>
  </w:style>
  <w:style w:type="paragraph" w:customStyle="1" w:styleId="tabletitle">
    <w:name w:val="table title"/>
    <w:basedOn w:val="Heading2"/>
    <w:uiPriority w:val="99"/>
    <w:qFormat/>
    <w:rsid w:val="003B7E42"/>
    <w:pPr>
      <w:numPr>
        <w:ilvl w:val="0"/>
        <w:numId w:val="0"/>
      </w:numPr>
      <w:tabs>
        <w:tab w:val="clear" w:pos="1134"/>
        <w:tab w:val="clear" w:pos="1701"/>
        <w:tab w:val="clear" w:pos="2268"/>
      </w:tabs>
      <w:ind w:left="567" w:hanging="567"/>
      <w:outlineLvl w:val="9"/>
    </w:pPr>
    <w:rPr>
      <w:rFonts w:ascii="Times New Roman" w:eastAsiaTheme="majorEastAsia" w:hAnsi="Times New Roman" w:cstheme="majorBidi"/>
      <w:i/>
      <w:lang w:val="en-GB"/>
    </w:rPr>
  </w:style>
  <w:style w:type="paragraph" w:styleId="TOAHeading">
    <w:name w:val="toa heading"/>
    <w:basedOn w:val="Normal"/>
    <w:next w:val="Normal"/>
    <w:uiPriority w:val="99"/>
    <w:semiHidden/>
    <w:rsid w:val="003B7E42"/>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locked/>
    <w:rsid w:val="00CF3D26"/>
    <w:pPr>
      <w:tabs>
        <w:tab w:val="clear" w:pos="567"/>
        <w:tab w:val="clear" w:pos="1134"/>
        <w:tab w:val="clear" w:pos="1701"/>
        <w:tab w:val="clear" w:pos="2268"/>
        <w:tab w:val="left" w:pos="1440"/>
        <w:tab w:val="right" w:leader="dot" w:pos="9356"/>
      </w:tabs>
      <w:ind w:left="1440" w:right="720" w:hanging="720"/>
      <w:jc w:val="left"/>
    </w:pPr>
    <w:rPr>
      <w:rFonts w:eastAsia="Times New Roman"/>
      <w:noProof/>
      <w:lang w:val="en-GB"/>
    </w:rPr>
  </w:style>
  <w:style w:type="paragraph" w:styleId="TOC3">
    <w:name w:val="toc 3"/>
    <w:basedOn w:val="Normal"/>
    <w:next w:val="Normal"/>
    <w:autoRedefine/>
    <w:uiPriority w:val="39"/>
    <w:locked/>
    <w:rsid w:val="003B7E42"/>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locked/>
    <w:rsid w:val="003B7E42"/>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7">
    <w:name w:val="toc 7"/>
    <w:basedOn w:val="Normal"/>
    <w:next w:val="Normal"/>
    <w:autoRedefine/>
    <w:uiPriority w:val="99"/>
    <w:locked/>
    <w:rsid w:val="003B7E42"/>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locked/>
    <w:rsid w:val="003B7E42"/>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3B7E42"/>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3B7E42"/>
    <w:pPr>
      <w:keepLines/>
      <w:numPr>
        <w:numId w:val="49"/>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locked/>
    <w:rsid w:val="003B7E42"/>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3B7E42"/>
  </w:style>
  <w:style w:type="character" w:customStyle="1" w:styleId="findhit">
    <w:name w:val="findhit"/>
    <w:uiPriority w:val="99"/>
    <w:rsid w:val="003B7E42"/>
  </w:style>
  <w:style w:type="paragraph" w:customStyle="1" w:styleId="Heading-plainbold">
    <w:name w:val="Heading-plain bold"/>
    <w:basedOn w:val="BodyText"/>
    <w:rsid w:val="003B7E42"/>
    <w:pPr>
      <w:tabs>
        <w:tab w:val="clear" w:pos="567"/>
        <w:tab w:val="clear" w:pos="1134"/>
        <w:tab w:val="clear" w:pos="1701"/>
        <w:tab w:val="clear" w:pos="2268"/>
      </w:tabs>
      <w:jc w:val="center"/>
    </w:pPr>
    <w:rPr>
      <w:rFonts w:asciiTheme="minorHAnsi" w:eastAsia="Malgun Gothic" w:hAnsiTheme="minorHAnsi" w:cstheme="minorBidi"/>
      <w:b/>
      <w:bCs/>
      <w:i/>
      <w:iCs/>
    </w:rPr>
  </w:style>
  <w:style w:type="paragraph" w:styleId="PlainText">
    <w:name w:val="Plain Text"/>
    <w:basedOn w:val="Normal"/>
    <w:link w:val="PlainTextChar"/>
    <w:uiPriority w:val="99"/>
    <w:unhideWhenUsed/>
    <w:rsid w:val="003B7E42"/>
    <w:pPr>
      <w:tabs>
        <w:tab w:val="clear" w:pos="567"/>
        <w:tab w:val="clear" w:pos="1134"/>
        <w:tab w:val="clear" w:pos="1701"/>
        <w:tab w:val="clear" w:pos="2268"/>
      </w:tabs>
      <w:jc w:val="left"/>
    </w:pPr>
    <w:rPr>
      <w:rFonts w:ascii="Calibri" w:eastAsiaTheme="minorEastAsia" w:hAnsi="Calibri" w:cstheme="minorBidi"/>
      <w:szCs w:val="21"/>
    </w:rPr>
  </w:style>
  <w:style w:type="character" w:customStyle="1" w:styleId="PlainTextChar">
    <w:name w:val="Plain Text Char"/>
    <w:basedOn w:val="DefaultParagraphFont"/>
    <w:link w:val="PlainText"/>
    <w:uiPriority w:val="99"/>
    <w:rsid w:val="003B7E42"/>
    <w:rPr>
      <w:rFonts w:eastAsiaTheme="minorEastAsia" w:cstheme="minorBidi"/>
      <w:szCs w:val="21"/>
    </w:rPr>
  </w:style>
  <w:style w:type="paragraph" w:styleId="BodyText2">
    <w:name w:val="Body Text 2"/>
    <w:basedOn w:val="Normal"/>
    <w:link w:val="BodyText2Char"/>
    <w:uiPriority w:val="99"/>
    <w:rsid w:val="003B7E42"/>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3B7E42"/>
    <w:rPr>
      <w:rFonts w:ascii="Times New Roman" w:eastAsia="Times New Roman" w:hAnsi="Times New Roman"/>
      <w:i/>
      <w:iCs/>
      <w:sz w:val="24"/>
      <w:szCs w:val="24"/>
      <w:lang w:val="en-CA" w:eastAsia="en-US"/>
    </w:rPr>
  </w:style>
  <w:style w:type="paragraph" w:styleId="BodyText3">
    <w:name w:val="Body Text 3"/>
    <w:basedOn w:val="Normal"/>
    <w:link w:val="BodyText3Char"/>
    <w:rsid w:val="003B7E42"/>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3B7E42"/>
    <w:rPr>
      <w:rFonts w:ascii="Times New Roman" w:eastAsia="Times New Roman" w:hAnsi="Times New Roman"/>
      <w:sz w:val="28"/>
      <w:szCs w:val="24"/>
      <w:lang w:val="en-CA" w:eastAsia="en-US"/>
    </w:rPr>
  </w:style>
  <w:style w:type="paragraph" w:styleId="BodyTextIndent2">
    <w:name w:val="Body Text Indent 2"/>
    <w:basedOn w:val="Normal"/>
    <w:link w:val="BodyTextIndent2Char"/>
    <w:rsid w:val="003B7E42"/>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3B7E42"/>
    <w:rPr>
      <w:rFonts w:ascii="Times New Roman" w:eastAsia="Times New Roman" w:hAnsi="Times New Roman"/>
      <w:sz w:val="24"/>
      <w:szCs w:val="24"/>
      <w:lang w:val="en-CA" w:eastAsia="en-US"/>
    </w:rPr>
  </w:style>
  <w:style w:type="paragraph" w:styleId="BodyTextIndent3">
    <w:name w:val="Body Text Indent 3"/>
    <w:basedOn w:val="Normal"/>
    <w:link w:val="BodyTextIndent3Char"/>
    <w:rsid w:val="003B7E42"/>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3B7E42"/>
    <w:rPr>
      <w:rFonts w:ascii="Courier" w:eastAsia="Times New Roman" w:hAnsi="Courier"/>
      <w:sz w:val="20"/>
      <w:szCs w:val="24"/>
      <w:lang w:val="en-CA" w:eastAsia="en-US"/>
    </w:rPr>
  </w:style>
  <w:style w:type="paragraph" w:customStyle="1" w:styleId="BodyText21">
    <w:name w:val="Body Text 21"/>
    <w:basedOn w:val="Normal"/>
    <w:rsid w:val="003B7E42"/>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3B7E42"/>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3B7E42"/>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3B7E42"/>
    <w:rPr>
      <w:rFonts w:ascii="Tahoma" w:eastAsia="Times New Roman" w:hAnsi="Tahoma"/>
      <w:sz w:val="24"/>
      <w:szCs w:val="24"/>
      <w:shd w:val="clear" w:color="auto" w:fill="000080"/>
      <w:lang w:val="en-CA" w:eastAsia="en-US"/>
    </w:rPr>
  </w:style>
  <w:style w:type="paragraph" w:customStyle="1" w:styleId="para21">
    <w:name w:val="para2"/>
    <w:basedOn w:val="Normal"/>
    <w:rsid w:val="003B7E42"/>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3B7E42"/>
    <w:pPr>
      <w:numPr>
        <w:ilvl w:val="0"/>
        <w:numId w:val="0"/>
      </w:numPr>
      <w:tabs>
        <w:tab w:val="clear" w:pos="1134"/>
        <w:tab w:val="clear" w:pos="1701"/>
        <w:tab w:val="clear" w:pos="2268"/>
      </w:tabs>
      <w:ind w:left="567" w:hanging="567"/>
      <w:jc w:val="both"/>
    </w:pPr>
    <w:rPr>
      <w:rFonts w:ascii="Times New Roman" w:eastAsiaTheme="majorEastAsia" w:hAnsi="Times New Roman" w:cstheme="majorBidi"/>
      <w:i/>
      <w:lang w:val="en-CA"/>
    </w:rPr>
  </w:style>
  <w:style w:type="paragraph" w:styleId="BlockText">
    <w:name w:val="Block Text"/>
    <w:basedOn w:val="Normal"/>
    <w:rsid w:val="003B7E42"/>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3B7E42"/>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3B7E42"/>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locked/>
    <w:rsid w:val="003B7E42"/>
    <w:rPr>
      <w:b/>
      <w:bCs/>
    </w:rPr>
  </w:style>
  <w:style w:type="paragraph" w:customStyle="1" w:styleId="Document1">
    <w:name w:val="Document 1"/>
    <w:basedOn w:val="Normal"/>
    <w:next w:val="Normal"/>
    <w:rsid w:val="003B7E42"/>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3B7E42"/>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3B7E42"/>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3B7E42"/>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napToGrid w:val="0"/>
      <w:szCs w:val="20"/>
      <w:lang w:val="en-US" w:eastAsia="en-US"/>
    </w:rPr>
  </w:style>
  <w:style w:type="paragraph" w:customStyle="1" w:styleId="Paranumbered">
    <w:name w:val="Paranumbered"/>
    <w:basedOn w:val="Normal"/>
    <w:rsid w:val="003B7E42"/>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3B7E4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3B7E42"/>
    <w:rPr>
      <w:rFonts w:ascii="Courier New" w:eastAsia="Times New Roman" w:hAnsi="Courier New" w:cs="Courier New"/>
      <w:sz w:val="20"/>
      <w:szCs w:val="24"/>
      <w:lang w:val="en-CA" w:eastAsia="en-US"/>
    </w:rPr>
  </w:style>
  <w:style w:type="paragraph" w:customStyle="1" w:styleId="Para1alternative">
    <w:name w:val="Para1 (alternative)"/>
    <w:basedOn w:val="Normal"/>
    <w:rsid w:val="003B7E42"/>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3B7E42"/>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3B7E42"/>
    <w:rPr>
      <w:rFonts w:ascii="Arial" w:hAnsi="Arial" w:cs="Arial" w:hint="default"/>
      <w:b w:val="0"/>
      <w:bCs w:val="0"/>
      <w:color w:val="000000"/>
      <w:sz w:val="24"/>
      <w:szCs w:val="24"/>
    </w:rPr>
  </w:style>
  <w:style w:type="character" w:customStyle="1" w:styleId="BodyText2CharCharChar">
    <w:name w:val="Body Text 2 Char Char Char"/>
    <w:rsid w:val="003B7E42"/>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3B7E42"/>
    <w:rPr>
      <w:sz w:val="22"/>
      <w:lang w:val="en-US" w:eastAsia="en-US" w:bidi="ar-SA"/>
    </w:rPr>
  </w:style>
  <w:style w:type="paragraph" w:customStyle="1" w:styleId="StylePara1Firstline127cm">
    <w:name w:val="Style Para1 + First line:  1.27 cm"/>
    <w:basedOn w:val="Para10"/>
    <w:rsid w:val="003B7E42"/>
    <w:pPr>
      <w:tabs>
        <w:tab w:val="clear" w:pos="567"/>
        <w:tab w:val="clear" w:pos="1134"/>
        <w:tab w:val="clear" w:pos="1701"/>
        <w:tab w:val="clear" w:pos="2268"/>
        <w:tab w:val="num" w:pos="360"/>
      </w:tabs>
      <w:spacing w:before="0"/>
      <w:jc w:val="left"/>
    </w:pPr>
    <w:rPr>
      <w:rFonts w:eastAsia="Times New Roman"/>
      <w:snapToGrid w:val="0"/>
      <w:sz w:val="24"/>
      <w:szCs w:val="20"/>
      <w:lang w:val="en-CA" w:eastAsia="en-US"/>
    </w:rPr>
  </w:style>
  <w:style w:type="paragraph" w:customStyle="1" w:styleId="subhead">
    <w:name w:val="subhead"/>
    <w:basedOn w:val="Normal"/>
    <w:next w:val="Para10"/>
    <w:rsid w:val="003B7E42"/>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3B7E42"/>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3B7E42"/>
    <w:rPr>
      <w:sz w:val="22"/>
      <w:lang w:val="en-US" w:eastAsia="en-US" w:bidi="ar-SA"/>
    </w:rPr>
  </w:style>
  <w:style w:type="character" w:customStyle="1" w:styleId="MathieuRgnier">
    <w:name w:val="Mathieu Régnier"/>
    <w:semiHidden/>
    <w:rsid w:val="003B7E42"/>
    <w:rPr>
      <w:rFonts w:ascii="Arial" w:hAnsi="Arial" w:cs="Arial"/>
      <w:color w:val="auto"/>
      <w:sz w:val="20"/>
      <w:szCs w:val="20"/>
    </w:rPr>
  </w:style>
  <w:style w:type="paragraph" w:customStyle="1" w:styleId="bodytextnoindent">
    <w:name w:val="body text (no indent)"/>
    <w:basedOn w:val="Normal"/>
    <w:rsid w:val="003B7E42"/>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3B7E42"/>
    <w:pPr>
      <w:tabs>
        <w:tab w:val="clear" w:pos="567"/>
        <w:tab w:val="clear" w:pos="1134"/>
        <w:tab w:val="clear" w:pos="1701"/>
        <w:tab w:val="clear" w:pos="2268"/>
      </w:tabs>
    </w:pPr>
    <w:rPr>
      <w:rFonts w:asciiTheme="minorHAnsi" w:eastAsiaTheme="minorHAnsi" w:hAnsiTheme="minorHAnsi" w:cstheme="minorBidi"/>
      <w:i/>
      <w:iCs/>
      <w:sz w:val="24"/>
    </w:rPr>
  </w:style>
  <w:style w:type="paragraph" w:customStyle="1" w:styleId="boxbody">
    <w:name w:val="boxbody"/>
    <w:basedOn w:val="Normal"/>
    <w:rsid w:val="003B7E42"/>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3B7E42"/>
    <w:pPr>
      <w:numPr>
        <w:ilvl w:val="0"/>
        <w:numId w:val="0"/>
      </w:numPr>
      <w:tabs>
        <w:tab w:val="clear" w:pos="1134"/>
        <w:tab w:val="clear" w:pos="1701"/>
        <w:tab w:val="clear" w:pos="2268"/>
        <w:tab w:val="left" w:pos="900"/>
      </w:tabs>
      <w:ind w:left="567" w:hanging="567"/>
      <w:jc w:val="both"/>
    </w:pPr>
    <w:rPr>
      <w:rFonts w:ascii="Times New Roman" w:eastAsia="Batang" w:hAnsi="Times New Roman" w:cstheme="majorBidi"/>
      <w:b w:val="0"/>
      <w:bCs/>
      <w:i/>
      <w:szCs w:val="20"/>
      <w:lang w:val="en-CA"/>
    </w:rPr>
  </w:style>
  <w:style w:type="paragraph" w:customStyle="1" w:styleId="Heading2noletter">
    <w:name w:val="Heading 2 (no letter)"/>
    <w:basedOn w:val="Heading2"/>
    <w:rsid w:val="003B7E42"/>
    <w:pPr>
      <w:numPr>
        <w:ilvl w:val="0"/>
        <w:numId w:val="0"/>
      </w:numPr>
      <w:tabs>
        <w:tab w:val="clear" w:pos="1134"/>
        <w:tab w:val="clear" w:pos="1701"/>
        <w:tab w:val="clear" w:pos="2268"/>
      </w:tabs>
      <w:ind w:left="567" w:hanging="567"/>
      <w:jc w:val="both"/>
    </w:pPr>
    <w:rPr>
      <w:rFonts w:ascii="Times New Roman" w:eastAsiaTheme="majorEastAsia" w:hAnsi="Times New Roman" w:cstheme="majorBidi"/>
      <w:i/>
      <w:lang w:val="en-CA"/>
    </w:rPr>
  </w:style>
  <w:style w:type="character" w:customStyle="1" w:styleId="Heading2CharChar">
    <w:name w:val="Heading 2 Char Char"/>
    <w:rsid w:val="003B7E42"/>
    <w:rPr>
      <w:rFonts w:ascii="Arial" w:hAnsi="Arial" w:cs="Arial"/>
      <w:b/>
      <w:bCs/>
      <w:i/>
      <w:iCs/>
      <w:noProof w:val="0"/>
      <w:sz w:val="28"/>
      <w:szCs w:val="28"/>
      <w:lang w:val="en-US" w:eastAsia="en-US" w:bidi="ar-SA"/>
    </w:rPr>
  </w:style>
  <w:style w:type="paragraph" w:customStyle="1" w:styleId="Heading-plain0">
    <w:name w:val="Heading-plain"/>
    <w:basedOn w:val="Normal"/>
    <w:rsid w:val="003B7E42"/>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3B7E42"/>
    <w:rPr>
      <w:rFonts w:eastAsia="Times New Roman"/>
      <w:b w:val="0"/>
      <w:bCs w:val="0"/>
      <w:sz w:val="24"/>
    </w:rPr>
  </w:style>
  <w:style w:type="character" w:customStyle="1" w:styleId="Para1Char0">
    <w:name w:val="Para 1 Char"/>
    <w:rsid w:val="003B7E42"/>
    <w:rPr>
      <w:rFonts w:eastAsia="MS Mincho"/>
      <w:bCs/>
      <w:iCs/>
      <w:sz w:val="22"/>
      <w:szCs w:val="22"/>
      <w:lang w:val="en-GB" w:eastAsia="en-US" w:bidi="ar-SA"/>
    </w:rPr>
  </w:style>
  <w:style w:type="paragraph" w:customStyle="1" w:styleId="Para2rev">
    <w:name w:val="Para 2 (rev)"/>
    <w:basedOn w:val="Normal"/>
    <w:rsid w:val="003B7E42"/>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3B7E42"/>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3B7E42"/>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3B7E42"/>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3B7E42"/>
    <w:pPr>
      <w:tabs>
        <w:tab w:val="clear" w:pos="567"/>
        <w:tab w:val="clear" w:pos="1134"/>
        <w:tab w:val="clear" w:pos="1701"/>
        <w:tab w:val="clear" w:pos="2268"/>
      </w:tabs>
    </w:pPr>
    <w:rPr>
      <w:rFonts w:asciiTheme="minorHAnsi" w:eastAsiaTheme="minorHAnsi" w:hAnsiTheme="minorHAnsi" w:cstheme="minorBidi"/>
      <w:iCs/>
      <w:snapToGrid w:val="0"/>
      <w:color w:val="000000"/>
      <w:sz w:val="24"/>
      <w:lang w:val="en-US"/>
    </w:rPr>
  </w:style>
  <w:style w:type="character" w:customStyle="1" w:styleId="StyleBodyTextTimesNewRoman11ptCharCharChar">
    <w:name w:val="Style Body Text + Times New Roman 11 pt Char Char Char"/>
    <w:rsid w:val="003B7E42"/>
    <w:rPr>
      <w:rFonts w:cs="Angsana New"/>
      <w:iCs/>
      <w:snapToGrid w:val="0"/>
      <w:color w:val="000000"/>
      <w:sz w:val="22"/>
      <w:szCs w:val="22"/>
      <w:lang w:val="en-US" w:eastAsia="en-US" w:bidi="ar-SA"/>
    </w:rPr>
  </w:style>
  <w:style w:type="paragraph" w:customStyle="1" w:styleId="CBD-bullet-table">
    <w:name w:val="CBD-bullet-table"/>
    <w:basedOn w:val="CBDNormal"/>
    <w:qFormat/>
    <w:rsid w:val="003B7E42"/>
    <w:pPr>
      <w:tabs>
        <w:tab w:val="left" w:pos="170"/>
        <w:tab w:val="left" w:pos="284"/>
      </w:tabs>
      <w:jc w:val="left"/>
    </w:pPr>
    <w:rPr>
      <w:rFonts w:eastAsia="SimSun"/>
      <w:sz w:val="20"/>
    </w:rPr>
  </w:style>
  <w:style w:type="numbering" w:customStyle="1" w:styleId="Style2">
    <w:name w:val="Style2"/>
    <w:rsid w:val="003B7E42"/>
    <w:pPr>
      <w:numPr>
        <w:numId w:val="48"/>
      </w:numPr>
    </w:pPr>
  </w:style>
  <w:style w:type="character" w:customStyle="1" w:styleId="Heading1longmultilineChar">
    <w:name w:val="Heading 1 (long multiline) Char"/>
    <w:link w:val="Heading1longmultiline"/>
    <w:rsid w:val="003B7E42"/>
    <w:rPr>
      <w:rFonts w:ascii="Times New Roman" w:eastAsia="Times New Roman" w:hAnsi="Times New Roman"/>
      <w:b/>
      <w:caps/>
      <w:szCs w:val="24"/>
      <w:lang w:val="en-GB" w:eastAsia="en-US"/>
    </w:rPr>
  </w:style>
  <w:style w:type="character" w:customStyle="1" w:styleId="BlockTextChar">
    <w:name w:val="Block Text Char"/>
    <w:rsid w:val="003B7E42"/>
    <w:rPr>
      <w:sz w:val="24"/>
      <w:szCs w:val="24"/>
      <w:lang w:val="en-US" w:eastAsia="en-US" w:bidi="ar-SA"/>
    </w:rPr>
  </w:style>
  <w:style w:type="paragraph" w:customStyle="1" w:styleId="SubtleEmphasis1">
    <w:name w:val="Subtle Emphasis1"/>
    <w:basedOn w:val="Normal"/>
    <w:uiPriority w:val="34"/>
    <w:qFormat/>
    <w:rsid w:val="003B7E42"/>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3B7E42"/>
    <w:pPr>
      <w:numPr>
        <w:ilvl w:val="0"/>
        <w:numId w:val="0"/>
      </w:numPr>
      <w:tabs>
        <w:tab w:val="clear" w:pos="1134"/>
        <w:tab w:val="clear" w:pos="1701"/>
        <w:tab w:val="clear" w:pos="2268"/>
      </w:tabs>
      <w:ind w:left="1080" w:hanging="720"/>
      <w:jc w:val="both"/>
    </w:pPr>
    <w:rPr>
      <w:rFonts w:ascii="Times New Roman Bold" w:eastAsiaTheme="majorEastAsia" w:hAnsi="Times New Roman Bold"/>
      <w:b w:val="0"/>
      <w:bCs w:val="0"/>
      <w:i/>
      <w:iCs/>
      <w:caps/>
      <w:sz w:val="24"/>
      <w:lang w:val="en-CA"/>
    </w:rPr>
  </w:style>
  <w:style w:type="paragraph" w:customStyle="1" w:styleId="DarkList-Accent61">
    <w:name w:val="Dark List - Accent 61"/>
    <w:uiPriority w:val="1"/>
    <w:qFormat/>
    <w:rsid w:val="003B7E42"/>
    <w:rPr>
      <w:rFonts w:eastAsia="MS Mincho"/>
      <w:lang w:eastAsia="en-US"/>
    </w:rPr>
  </w:style>
  <w:style w:type="paragraph" w:customStyle="1" w:styleId="Paraa">
    <w:name w:val="Para (a)"/>
    <w:basedOn w:val="Normal"/>
    <w:rsid w:val="003B7E42"/>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rPr>
  </w:style>
  <w:style w:type="character" w:customStyle="1" w:styleId="StyleFootnoteReferenceNounderlineSuperscriptKernat10pt">
    <w:name w:val="Style Footnote Reference + No underline Superscript Kern at 10 pt"/>
    <w:rsid w:val="003B7E42"/>
    <w:rPr>
      <w:kern w:val="20"/>
      <w:sz w:val="22"/>
      <w:u w:val="none"/>
      <w:vertAlign w:val="superscript"/>
    </w:rPr>
  </w:style>
  <w:style w:type="paragraph" w:customStyle="1" w:styleId="ColorfulGrid-Accent61">
    <w:name w:val="Colorful Grid - Accent 61"/>
    <w:hidden/>
    <w:uiPriority w:val="99"/>
    <w:semiHidden/>
    <w:rsid w:val="003B7E42"/>
    <w:rPr>
      <w:rFonts w:ascii="Times New Roman" w:eastAsia="MS Mincho" w:hAnsi="Times New Roman" w:cs="Angsana New"/>
      <w:szCs w:val="24"/>
      <w:lang w:val="en-GB" w:eastAsia="en-US"/>
    </w:rPr>
  </w:style>
  <w:style w:type="paragraph" w:customStyle="1" w:styleId="ColorfulGrid-Accent62">
    <w:name w:val="Colorful Grid - Accent 62"/>
    <w:hidden/>
    <w:uiPriority w:val="99"/>
    <w:semiHidden/>
    <w:rsid w:val="003B7E42"/>
    <w:rPr>
      <w:rFonts w:ascii="Times New Roman" w:eastAsia="MS Mincho" w:hAnsi="Times New Roman" w:cs="Angsana New"/>
      <w:szCs w:val="24"/>
      <w:lang w:val="en-GB" w:eastAsia="en-US"/>
    </w:rPr>
  </w:style>
  <w:style w:type="paragraph" w:customStyle="1" w:styleId="SubtleEmphasis2">
    <w:name w:val="Subtle Emphasis2"/>
    <w:basedOn w:val="Normal"/>
    <w:uiPriority w:val="34"/>
    <w:qFormat/>
    <w:rsid w:val="003B7E42"/>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3B7E42"/>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3B7E42"/>
  </w:style>
  <w:style w:type="paragraph" w:customStyle="1" w:styleId="ListBullet1">
    <w:name w:val="List Bullet1"/>
    <w:basedOn w:val="Normal"/>
    <w:next w:val="ListBullet"/>
    <w:uiPriority w:val="99"/>
    <w:semiHidden/>
    <w:unhideWhenUsed/>
    <w:qFormat/>
    <w:rsid w:val="003B7E42"/>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3B7E42"/>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3B7E42"/>
    <w:rPr>
      <w:rFonts w:cs="Times New Roman"/>
      <w:kern w:val="22"/>
      <w:sz w:val="18"/>
      <w:u w:val="none"/>
      <w:vertAlign w:val="superscript"/>
    </w:rPr>
  </w:style>
  <w:style w:type="paragraph" w:customStyle="1" w:styleId="CBD-Para-a">
    <w:name w:val="CBD-Para-a"/>
    <w:basedOn w:val="CBD-Para"/>
    <w:uiPriority w:val="99"/>
    <w:rsid w:val="003B7E42"/>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3B7E42"/>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3B7E42"/>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3B7E42"/>
    <w:rPr>
      <w:rFonts w:ascii="Times New Roman" w:eastAsia="Times New Roman" w:hAnsi="Times New Roman" w:cs="Times New Roman"/>
      <w:b/>
      <w:bCs/>
      <w:i/>
      <w:iCs/>
      <w:sz w:val="22"/>
      <w:lang w:val="en-GB"/>
    </w:rPr>
  </w:style>
  <w:style w:type="paragraph" w:styleId="NoSpacing">
    <w:name w:val="No Spacing"/>
    <w:uiPriority w:val="99"/>
    <w:qFormat/>
    <w:rsid w:val="003B7E42"/>
    <w:rPr>
      <w:rFonts w:asciiTheme="minorHAnsi" w:eastAsiaTheme="minorEastAsia" w:hAnsiTheme="minorHAnsi" w:cstheme="minorBidi"/>
      <w:lang w:val="en-CA" w:eastAsia="ja-JP"/>
    </w:rPr>
  </w:style>
  <w:style w:type="character" w:customStyle="1" w:styleId="Hyperlink0">
    <w:name w:val="Hyperlink.0"/>
    <w:basedOn w:val="Hyperlink"/>
    <w:uiPriority w:val="99"/>
    <w:rsid w:val="003B7E42"/>
    <w:rPr>
      <w:rFonts w:ascii="Times New Roman" w:hAnsi="Times New Roman" w:cs="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3B7E42"/>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3B7E42"/>
    <w:rPr>
      <w:rFonts w:ascii="Times New Roman" w:hAnsi="Times New Roman" w:cs="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3B7E42"/>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3B7E42"/>
    <w:pPr>
      <w:keepLines/>
      <w:numPr>
        <w:numId w:val="50"/>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3B7E42"/>
    <w:pPr>
      <w:numPr>
        <w:ilvl w:val="0"/>
        <w:numId w:val="0"/>
      </w:numPr>
      <w:tabs>
        <w:tab w:val="clear" w:pos="1134"/>
        <w:tab w:val="clear" w:pos="1701"/>
        <w:tab w:val="clear" w:pos="2268"/>
      </w:tabs>
      <w:ind w:left="1080" w:hanging="720"/>
      <w:jc w:val="both"/>
      <w:outlineLvl w:val="9"/>
    </w:pPr>
    <w:rPr>
      <w:rFonts w:eastAsiaTheme="majorEastAsia"/>
      <w:snapToGrid w:val="0"/>
      <w:sz w:val="20"/>
      <w:szCs w:val="20"/>
      <w:lang w:val="en-GB"/>
    </w:rPr>
  </w:style>
  <w:style w:type="paragraph" w:styleId="TOCHeading">
    <w:name w:val="TOC Heading"/>
    <w:basedOn w:val="Heading1"/>
    <w:next w:val="Normal"/>
    <w:uiPriority w:val="39"/>
    <w:unhideWhenUsed/>
    <w:qFormat/>
    <w:rsid w:val="003B7E42"/>
    <w:pPr>
      <w:numPr>
        <w:numId w:val="0"/>
      </w:numPr>
      <w:tabs>
        <w:tab w:val="clear" w:pos="1134"/>
        <w:tab w:val="clear" w:pos="1701"/>
        <w:tab w:val="clear" w:pos="2268"/>
      </w:tabs>
      <w:spacing w:after="0" w:line="259" w:lineRule="auto"/>
      <w:outlineLvl w:val="9"/>
    </w:pPr>
    <w:rPr>
      <w:rFonts w:asciiTheme="majorHAnsi" w:eastAsiaTheme="majorEastAsia" w:hAnsiTheme="majorHAnsi" w:cstheme="majorBidi"/>
      <w:b w:val="0"/>
      <w:caps/>
      <w:color w:val="365F91" w:themeColor="accent1" w:themeShade="BF"/>
      <w:sz w:val="32"/>
      <w:lang w:val="en-US"/>
    </w:rPr>
  </w:style>
  <w:style w:type="paragraph" w:customStyle="1" w:styleId="Heading1item">
    <w:name w:val="Heading 1 item"/>
    <w:basedOn w:val="Heading1-compilation"/>
    <w:uiPriority w:val="99"/>
    <w:qFormat/>
    <w:rsid w:val="003B7E42"/>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3B7E42"/>
  </w:style>
  <w:style w:type="character" w:customStyle="1" w:styleId="preferred">
    <w:name w:val="preferred"/>
    <w:basedOn w:val="DefaultParagraphFont"/>
    <w:rsid w:val="003B7E42"/>
  </w:style>
  <w:style w:type="character" w:customStyle="1" w:styleId="UnresolvedMention3">
    <w:name w:val="Unresolved Mention3"/>
    <w:basedOn w:val="DefaultParagraphFont"/>
    <w:uiPriority w:val="99"/>
    <w:semiHidden/>
    <w:unhideWhenUsed/>
    <w:rsid w:val="003B7E42"/>
    <w:rPr>
      <w:color w:val="605E5C"/>
      <w:shd w:val="clear" w:color="auto" w:fill="E1DFDD"/>
    </w:rPr>
  </w:style>
  <w:style w:type="paragraph" w:customStyle="1" w:styleId="Title1">
    <w:name w:val="Title1"/>
    <w:basedOn w:val="Normal"/>
    <w:next w:val="Normal"/>
    <w:uiPriority w:val="10"/>
    <w:qFormat/>
    <w:rsid w:val="003B7E42"/>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3B7E42"/>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3B7E42"/>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3B7E42"/>
    <w:rPr>
      <w:rFonts w:eastAsiaTheme="minorEastAsia"/>
      <w:color w:val="5A5A5A" w:themeColor="text1" w:themeTint="A5"/>
      <w:spacing w:val="15"/>
    </w:rPr>
  </w:style>
  <w:style w:type="paragraph" w:customStyle="1" w:styleId="CBD-Sub-Item">
    <w:name w:val="CBD-Sub-Item"/>
    <w:basedOn w:val="Normal"/>
    <w:uiPriority w:val="99"/>
    <w:rsid w:val="003B7E42"/>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3B7E42"/>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3B7E42"/>
  </w:style>
  <w:style w:type="table" w:customStyle="1" w:styleId="TableGrid5">
    <w:name w:val="Table Grid5"/>
    <w:basedOn w:val="TableNormal"/>
    <w:next w:val="TableGrid"/>
    <w:uiPriority w:val="39"/>
    <w:rsid w:val="003B7E42"/>
    <w:rPr>
      <w:rFonts w:asciiTheme="minorHAnsi" w:eastAsia="SimSun"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3B7E42"/>
  </w:style>
  <w:style w:type="table" w:customStyle="1" w:styleId="TableGrid21">
    <w:name w:val="Table Grid21"/>
    <w:basedOn w:val="TableNormal"/>
    <w:next w:val="TableGrid"/>
    <w:uiPriority w:val="59"/>
    <w:qFormat/>
    <w:rsid w:val="003B7E42"/>
    <w:rPr>
      <w:rFonts w:asciiTheme="minorHAnsi" w:eastAsia="Cambr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3B7E42"/>
    <w:pPr>
      <w:tabs>
        <w:tab w:val="clear" w:pos="567"/>
        <w:tab w:val="clear" w:pos="1134"/>
        <w:tab w:val="clear" w:pos="1701"/>
        <w:tab w:val="clear" w:pos="2268"/>
      </w:tabs>
      <w:jc w:val="left"/>
    </w:pPr>
    <w:rPr>
      <w:rFonts w:ascii="Calibri" w:eastAsia="SimSun" w:hAnsi="Calibri" w:cstheme="minorBidi"/>
      <w:kern w:val="2"/>
      <w:szCs w:val="21"/>
    </w:rPr>
  </w:style>
  <w:style w:type="paragraph" w:customStyle="1" w:styleId="p3">
    <w:name w:val="p3"/>
    <w:basedOn w:val="Normal"/>
    <w:rsid w:val="003B7E42"/>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0">
    <w:name w:val="Style21"/>
    <w:rsid w:val="003B7E42"/>
  </w:style>
  <w:style w:type="numbering" w:customStyle="1" w:styleId="NoList11">
    <w:name w:val="No List11"/>
    <w:next w:val="NoList"/>
    <w:uiPriority w:val="99"/>
    <w:semiHidden/>
    <w:unhideWhenUsed/>
    <w:rsid w:val="003B7E42"/>
  </w:style>
  <w:style w:type="paragraph" w:customStyle="1" w:styleId="TOCHeading1">
    <w:name w:val="TOC Heading1"/>
    <w:basedOn w:val="Heading1"/>
    <w:next w:val="Normal"/>
    <w:uiPriority w:val="39"/>
    <w:unhideWhenUsed/>
    <w:qFormat/>
    <w:rsid w:val="003B7E42"/>
    <w:pPr>
      <w:numPr>
        <w:numId w:val="0"/>
      </w:numPr>
      <w:tabs>
        <w:tab w:val="clear" w:pos="1134"/>
        <w:tab w:val="clear" w:pos="1701"/>
        <w:tab w:val="clear" w:pos="2268"/>
      </w:tabs>
      <w:spacing w:after="0" w:line="259" w:lineRule="auto"/>
      <w:outlineLvl w:val="9"/>
    </w:pPr>
    <w:rPr>
      <w:rFonts w:ascii="Calibri" w:eastAsiaTheme="majorEastAsia" w:hAnsi="Calibri" w:cstheme="majorBidi"/>
      <w:b w:val="0"/>
      <w:caps/>
      <w:color w:val="365F91"/>
      <w:sz w:val="32"/>
      <w:lang w:val="en-US"/>
    </w:rPr>
  </w:style>
  <w:style w:type="character" w:customStyle="1" w:styleId="PlainTextChar1">
    <w:name w:val="Plain Text Char1"/>
    <w:basedOn w:val="DefaultParagraphFont"/>
    <w:uiPriority w:val="99"/>
    <w:rsid w:val="003B7E42"/>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3B7E42"/>
    <w:rPr>
      <w:rFonts w:asciiTheme="minorHAnsi" w:eastAsiaTheme="minorEastAs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3B7E42"/>
    <w:rPr>
      <w:rFonts w:asciiTheme="minorHAnsi" w:eastAsiaTheme="minorHAnsi"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3B7E42"/>
    <w:rPr>
      <w:rFonts w:asciiTheme="minorHAnsi" w:eastAsia="Cambr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3B7E42"/>
  </w:style>
  <w:style w:type="paragraph" w:customStyle="1" w:styleId="TOCHeading2">
    <w:name w:val="TOC Heading2"/>
    <w:basedOn w:val="Heading1"/>
    <w:next w:val="Normal"/>
    <w:uiPriority w:val="99"/>
    <w:unhideWhenUsed/>
    <w:qFormat/>
    <w:rsid w:val="003B7E42"/>
    <w:pPr>
      <w:numPr>
        <w:numId w:val="0"/>
      </w:numPr>
      <w:tabs>
        <w:tab w:val="clear" w:pos="1134"/>
        <w:tab w:val="clear" w:pos="1701"/>
        <w:tab w:val="clear" w:pos="2268"/>
      </w:tabs>
      <w:spacing w:after="0" w:line="259" w:lineRule="auto"/>
      <w:outlineLvl w:val="9"/>
    </w:pPr>
    <w:rPr>
      <w:rFonts w:ascii="Calibri" w:eastAsiaTheme="majorEastAsia" w:hAnsi="Calibri" w:cstheme="majorBid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3B7E42"/>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3B7E42"/>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3B7E42"/>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qFormat/>
    <w:locked/>
    <w:rsid w:val="003B7E42"/>
    <w:rPr>
      <w:rFonts w:ascii="Times New Roman" w:hAnsi="Times New Roman" w:cs="Times New Roman"/>
      <w:sz w:val="20"/>
      <w:szCs w:val="20"/>
      <w:lang w:val="en-GB"/>
    </w:rPr>
  </w:style>
  <w:style w:type="table" w:customStyle="1" w:styleId="TableGrid211">
    <w:name w:val="Table Grid211"/>
    <w:basedOn w:val="TableNormal"/>
    <w:next w:val="TableGrid"/>
    <w:uiPriority w:val="59"/>
    <w:qFormat/>
    <w:rsid w:val="003B7E42"/>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3B7E42"/>
    <w:rPr>
      <w:rFonts w:ascii="Courier New" w:hAnsi="Courier New"/>
      <w:vanish/>
      <w:color w:val="800080"/>
      <w:sz w:val="24"/>
      <w:vertAlign w:val="subscript"/>
    </w:rPr>
  </w:style>
  <w:style w:type="character" w:customStyle="1" w:styleId="cf01">
    <w:name w:val="cf01"/>
    <w:basedOn w:val="DefaultParagraphFont"/>
    <w:rsid w:val="003B7E42"/>
    <w:rPr>
      <w:rFonts w:ascii="Segoe UI" w:hAnsi="Segoe UI" w:cs="Segoe UI" w:hint="default"/>
      <w:i/>
      <w:iCs/>
      <w:sz w:val="18"/>
      <w:szCs w:val="18"/>
    </w:rPr>
  </w:style>
  <w:style w:type="table" w:customStyle="1" w:styleId="TableGrid32">
    <w:name w:val="Table Grid32"/>
    <w:basedOn w:val="TableNormal"/>
    <w:next w:val="TableGrid"/>
    <w:uiPriority w:val="39"/>
    <w:rsid w:val="003B7E42"/>
    <w:rPr>
      <w:rFonts w:asciiTheme="minorHAnsi" w:eastAsia="Cambr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3B7E42"/>
  </w:style>
  <w:style w:type="character" w:customStyle="1" w:styleId="y2iqfc">
    <w:name w:val="y2iqfc"/>
    <w:basedOn w:val="DefaultParagraphFont"/>
    <w:rsid w:val="003B7E42"/>
  </w:style>
  <w:style w:type="table" w:customStyle="1" w:styleId="TableGrid51">
    <w:name w:val="Table Grid51"/>
    <w:basedOn w:val="TableNormal"/>
    <w:next w:val="TableGrid"/>
    <w:uiPriority w:val="39"/>
    <w:qFormat/>
    <w:rsid w:val="003B7E42"/>
    <w:rPr>
      <w:rFonts w:asciiTheme="minorHAnsi" w:eastAsia="Cambr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3B7E42"/>
  </w:style>
  <w:style w:type="paragraph" w:customStyle="1" w:styleId="TOCHeading3">
    <w:name w:val="TOC Heading3"/>
    <w:basedOn w:val="Heading1"/>
    <w:next w:val="Normal"/>
    <w:uiPriority w:val="99"/>
    <w:unhideWhenUsed/>
    <w:qFormat/>
    <w:rsid w:val="003B7E42"/>
    <w:pPr>
      <w:numPr>
        <w:numId w:val="0"/>
      </w:numPr>
      <w:tabs>
        <w:tab w:val="clear" w:pos="1134"/>
        <w:tab w:val="clear" w:pos="1701"/>
        <w:tab w:val="clear" w:pos="2268"/>
      </w:tabs>
      <w:spacing w:after="0" w:line="259" w:lineRule="auto"/>
      <w:outlineLvl w:val="9"/>
    </w:pPr>
    <w:rPr>
      <w:rFonts w:ascii="Calibri" w:eastAsiaTheme="majorEastAsia" w:hAnsi="Calibri" w:cstheme="majorBidi"/>
      <w:b w:val="0"/>
      <w:caps/>
      <w:color w:val="365F91"/>
      <w:sz w:val="32"/>
      <w:lang w:val="en-US"/>
    </w:rPr>
  </w:style>
  <w:style w:type="table" w:customStyle="1" w:styleId="TableGrid22">
    <w:name w:val="Table Grid22"/>
    <w:basedOn w:val="TableNormal"/>
    <w:next w:val="TableGrid"/>
    <w:uiPriority w:val="59"/>
    <w:qFormat/>
    <w:rsid w:val="003B7E42"/>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B7E42"/>
    <w:rPr>
      <w:rFonts w:asciiTheme="minorHAnsi" w:eastAsia="Cambria"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B7E42"/>
  </w:style>
  <w:style w:type="table" w:customStyle="1" w:styleId="TableGrid6">
    <w:name w:val="Table Grid6"/>
    <w:basedOn w:val="TableNormal"/>
    <w:next w:val="TableGrid"/>
    <w:uiPriority w:val="39"/>
    <w:qFormat/>
    <w:rsid w:val="003B7E42"/>
    <w:rPr>
      <w:rFonts w:asciiTheme="minorHAnsi" w:eastAsia="SimSun"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3B7E42"/>
    <w:rPr>
      <w:rFonts w:asciiTheme="minorHAnsi" w:eastAsia="SimSun"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3B7E42"/>
    <w:rPr>
      <w:rFonts w:asciiTheme="minorHAnsi" w:eastAsia="Cambria" w:hAnsiTheme="minorHAnsi" w:cstheme="minorBid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3B7E42"/>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B7E42"/>
  </w:style>
  <w:style w:type="paragraph" w:customStyle="1" w:styleId="xl24">
    <w:name w:val="xl24"/>
    <w:basedOn w:val="Normal"/>
    <w:rsid w:val="003B7E42"/>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3B7E42"/>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3B7E42"/>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3B7E42"/>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3B7E42"/>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3B7E42"/>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3B7E42"/>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3B7E42"/>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3B7E42"/>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3B7E42"/>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3B7E42"/>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3B7E42"/>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3B7E42"/>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3B7E42"/>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3B7E42"/>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3B7E42"/>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3B7E42"/>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3B7E42"/>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3B7E42"/>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3B7E42"/>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3B7E42"/>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3B7E42"/>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3B7E42"/>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3B7E42"/>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3B7E42"/>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3B7E42"/>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3B7E42"/>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3B7E42"/>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3B7E42"/>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3B7E42"/>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3B7E42"/>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3B7E42"/>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3B7E42"/>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3B7E42"/>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3B7E42"/>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3B7E42"/>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3B7E42"/>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3B7E42"/>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3B7E42"/>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3B7E42"/>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3B7E42"/>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3B7E42"/>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3B7E42"/>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3B7E42"/>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3B7E42"/>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3B7E42"/>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3B7E42"/>
    <w:pPr>
      <w:numPr>
        <w:numId w:val="52"/>
      </w:numPr>
      <w:tabs>
        <w:tab w:val="clear" w:pos="360"/>
        <w:tab w:val="clear" w:pos="567"/>
        <w:tab w:val="clear" w:pos="1134"/>
        <w:tab w:val="clear" w:pos="1701"/>
        <w:tab w:val="clear" w:pos="2268"/>
      </w:tabs>
      <w:spacing w:before="0" w:line="240" w:lineRule="exact"/>
      <w:jc w:val="left"/>
    </w:pPr>
    <w:rPr>
      <w:rFonts w:eastAsia="Times New Roman"/>
      <w:sz w:val="24"/>
      <w:szCs w:val="20"/>
      <w:lang w:val="en-US" w:eastAsia="en-US"/>
    </w:rPr>
  </w:style>
  <w:style w:type="numbering" w:styleId="111111">
    <w:name w:val="Outline List 2"/>
    <w:basedOn w:val="NoList"/>
    <w:rsid w:val="003B7E42"/>
    <w:pPr>
      <w:numPr>
        <w:numId w:val="53"/>
      </w:numPr>
    </w:pPr>
  </w:style>
  <w:style w:type="numbering" w:customStyle="1" w:styleId="Style23">
    <w:name w:val="Style23"/>
    <w:rsid w:val="003B7E42"/>
    <w:pPr>
      <w:numPr>
        <w:numId w:val="54"/>
      </w:numPr>
    </w:pPr>
  </w:style>
  <w:style w:type="character" w:customStyle="1" w:styleId="apple-style-span">
    <w:name w:val="apple-style-span"/>
    <w:rsid w:val="003B7E42"/>
  </w:style>
  <w:style w:type="table" w:customStyle="1" w:styleId="TableGrid7">
    <w:name w:val="Table Grid7"/>
    <w:basedOn w:val="TableNormal"/>
    <w:next w:val="TableGrid"/>
    <w:uiPriority w:val="39"/>
    <w:rsid w:val="003B7E42"/>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B7E42"/>
    <w:rPr>
      <w:rFonts w:asciiTheme="minorHAnsi" w:eastAsiaTheme="minorHAnsi" w:hAnsiTheme="minorHAnsi" w:cstheme="minorBid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7E42"/>
  </w:style>
  <w:style w:type="numbering" w:customStyle="1" w:styleId="NoList12">
    <w:name w:val="No List12"/>
    <w:next w:val="NoList"/>
    <w:uiPriority w:val="99"/>
    <w:semiHidden/>
    <w:unhideWhenUsed/>
    <w:rsid w:val="003B7E42"/>
  </w:style>
  <w:style w:type="character" w:customStyle="1" w:styleId="A7">
    <w:name w:val="A7"/>
    <w:uiPriority w:val="99"/>
    <w:rsid w:val="003B7E42"/>
    <w:rPr>
      <w:rFonts w:cs="HelveticaNeueLT Std Lt"/>
      <w:color w:val="000000"/>
      <w:sz w:val="18"/>
      <w:szCs w:val="18"/>
    </w:rPr>
  </w:style>
  <w:style w:type="character" w:customStyle="1" w:styleId="Style">
    <w:name w:val="Style"/>
    <w:basedOn w:val="FootnoteReference"/>
    <w:rsid w:val="003B7E42"/>
    <w:rPr>
      <w:rFonts w:ascii="Times New Roman" w:eastAsia="SimSun" w:hAnsi="Times New Roman" w:cs="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3B7E42"/>
  </w:style>
  <w:style w:type="table" w:customStyle="1" w:styleId="TableGrid13">
    <w:name w:val="Table Grid13"/>
    <w:uiPriority w:val="99"/>
    <w:rsid w:val="003B7E42"/>
    <w:rPr>
      <w:rFonts w:ascii="Times New Roman" w:hAnsi="Times New Roman"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3B7E42"/>
    <w:rPr>
      <w:rFonts w:ascii="Times New Roman" w:eastAsia="SimSun" w:hAnsi="Times New Roman"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3B7E42"/>
    <w:rPr>
      <w:rFonts w:ascii="Courier New" w:hAnsi="Courier New"/>
      <w:color w:val="00FF00"/>
      <w:sz w:val="40"/>
    </w:rPr>
  </w:style>
  <w:style w:type="character" w:customStyle="1" w:styleId="tw4winTerm">
    <w:name w:val="tw4winTerm"/>
    <w:uiPriority w:val="99"/>
    <w:rsid w:val="003B7E42"/>
    <w:rPr>
      <w:color w:val="0000FF"/>
    </w:rPr>
  </w:style>
  <w:style w:type="character" w:customStyle="1" w:styleId="tw4winPopup">
    <w:name w:val="tw4winPopup"/>
    <w:uiPriority w:val="99"/>
    <w:rsid w:val="003B7E42"/>
    <w:rPr>
      <w:rFonts w:ascii="Courier New" w:hAnsi="Courier New"/>
      <w:noProof/>
      <w:color w:val="008000"/>
    </w:rPr>
  </w:style>
  <w:style w:type="character" w:customStyle="1" w:styleId="tw4winJump">
    <w:name w:val="tw4winJump"/>
    <w:uiPriority w:val="99"/>
    <w:rsid w:val="003B7E42"/>
    <w:rPr>
      <w:rFonts w:ascii="Courier New" w:hAnsi="Courier New"/>
      <w:noProof/>
      <w:color w:val="008080"/>
    </w:rPr>
  </w:style>
  <w:style w:type="character" w:customStyle="1" w:styleId="tw4winExternal">
    <w:name w:val="tw4winExternal"/>
    <w:uiPriority w:val="99"/>
    <w:rsid w:val="003B7E42"/>
    <w:rPr>
      <w:rFonts w:ascii="Courier New" w:hAnsi="Courier New"/>
      <w:noProof/>
      <w:color w:val="808080"/>
    </w:rPr>
  </w:style>
  <w:style w:type="character" w:customStyle="1" w:styleId="tw4winInternal">
    <w:name w:val="tw4winInternal"/>
    <w:uiPriority w:val="99"/>
    <w:rsid w:val="003B7E42"/>
    <w:rPr>
      <w:rFonts w:ascii="Courier New" w:hAnsi="Courier New"/>
      <w:noProof/>
      <w:color w:val="FF0000"/>
    </w:rPr>
  </w:style>
  <w:style w:type="character" w:customStyle="1" w:styleId="DONOTTRANSLATE">
    <w:name w:val="DO_NOT_TRANSLATE"/>
    <w:uiPriority w:val="99"/>
    <w:rsid w:val="003B7E42"/>
    <w:rPr>
      <w:rFonts w:ascii="Courier New" w:hAnsi="Courier New"/>
      <w:noProof/>
      <w:color w:val="800000"/>
    </w:rPr>
  </w:style>
  <w:style w:type="numbering" w:customStyle="1" w:styleId="NoList8">
    <w:name w:val="No List8"/>
    <w:next w:val="NoList"/>
    <w:uiPriority w:val="99"/>
    <w:semiHidden/>
    <w:unhideWhenUsed/>
    <w:rsid w:val="003B7E42"/>
  </w:style>
  <w:style w:type="table" w:customStyle="1" w:styleId="TableGrid9">
    <w:name w:val="Table Grid9"/>
    <w:basedOn w:val="TableNormal"/>
    <w:next w:val="TableGrid"/>
    <w:uiPriority w:val="39"/>
    <w:rsid w:val="003B7E42"/>
    <w:rPr>
      <w:rFonts w:asciiTheme="minorHAnsi" w:eastAsia="SimSun"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3B7E42"/>
  </w:style>
  <w:style w:type="table" w:customStyle="1" w:styleId="TableGrid10">
    <w:name w:val="Table Grid10"/>
    <w:basedOn w:val="TableNormal"/>
    <w:next w:val="TableGrid"/>
    <w:uiPriority w:val="39"/>
    <w:rsid w:val="003B7E42"/>
    <w:rPr>
      <w:rFonts w:asciiTheme="minorHAnsi" w:eastAsia="SimSun" w:hAnsiTheme="minorHAnsi" w:cstheme="minorBidi"/>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5">
    <w:name w:val="Footnote Text Char5"/>
    <w:aliases w:val="Geneva 9 Char5,Font: Geneva 9 Char5,Boston 10 Char5,f Char5,ft Char3,Fotnotstext Char Char5,ft Char Char5,single space Char5,FOOTNOTES Char5,ADB Char5,single space1 Char5,footnote text1 Char5,FOOTNOTES1 Char5,fn1 Char5,ADB1 Char5"/>
    <w:uiPriority w:val="99"/>
    <w:locked/>
    <w:rsid w:val="003B7E42"/>
    <w:rPr>
      <w:rFonts w:ascii="Times New Roman" w:eastAsia="SimSun" w:hAnsi="Times New Roman" w:cs="Times New Roman"/>
      <w:kern w:val="0"/>
      <w:sz w:val="20"/>
      <w:szCs w:val="20"/>
      <w:lang w:val="en-US"/>
    </w:rPr>
  </w:style>
  <w:style w:type="character" w:customStyle="1" w:styleId="UnresolvedMention11">
    <w:name w:val="Unresolved Mention11"/>
    <w:uiPriority w:val="99"/>
    <w:semiHidden/>
    <w:rsid w:val="003B7E42"/>
    <w:rPr>
      <w:rFonts w:cs="Times New Roman"/>
      <w:color w:val="605E5C"/>
      <w:shd w:val="clear" w:color="auto" w:fill="E1DFDD"/>
    </w:rPr>
  </w:style>
  <w:style w:type="table" w:customStyle="1" w:styleId="TableGrid14">
    <w:name w:val="Table Grid14"/>
    <w:uiPriority w:val="99"/>
    <w:qFormat/>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
    <w:name w:val="Unresolved Mention4"/>
    <w:uiPriority w:val="99"/>
    <w:semiHidden/>
    <w:rsid w:val="003B7E42"/>
    <w:rPr>
      <w:rFonts w:cs="Times New Roman"/>
      <w:color w:val="605E5C"/>
      <w:shd w:val="clear" w:color="auto" w:fill="E1DFDD"/>
    </w:rPr>
  </w:style>
  <w:style w:type="character" w:customStyle="1" w:styleId="Mention2">
    <w:name w:val="Mention2"/>
    <w:uiPriority w:val="99"/>
    <w:rsid w:val="003B7E42"/>
    <w:rPr>
      <w:rFonts w:cs="Times New Roman"/>
      <w:color w:val="2B579A"/>
      <w:shd w:val="clear" w:color="auto" w:fill="E1DFDD"/>
    </w:rPr>
  </w:style>
  <w:style w:type="table" w:customStyle="1" w:styleId="TableGrid24">
    <w:name w:val="Table Grid24"/>
    <w:uiPriority w:val="99"/>
    <w:rsid w:val="003B7E4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uiPriority w:val="99"/>
    <w:rsid w:val="003B7E4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3B7E4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3B7E4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uiPriority w:val="99"/>
    <w:rsid w:val="003B7E4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3B7E4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uiPriority w:val="99"/>
    <w:rsid w:val="003B7E4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uiPriority w:val="99"/>
    <w:rsid w:val="003B7E4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3B7E42"/>
    <w:rPr>
      <w:rFonts w:asciiTheme="minorHAnsi" w:eastAsiaTheme="minorEastAsia" w:hAnsiTheme="minorHAnsi" w:cstheme="minorBidi"/>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B7E42"/>
    <w:rPr>
      <w:color w:val="2B579A"/>
      <w:shd w:val="clear" w:color="auto" w:fill="E1DFDD"/>
    </w:rPr>
  </w:style>
  <w:style w:type="table" w:styleId="PlainTable1">
    <w:name w:val="Plain Table 1"/>
    <w:basedOn w:val="TableNormal"/>
    <w:uiPriority w:val="41"/>
    <w:rsid w:val="003B7E42"/>
    <w:rPr>
      <w:rFonts w:asciiTheme="minorHAnsi" w:eastAsia="SimSun" w:hAnsiTheme="minorHAnsi" w:cstheme="minorBidi"/>
      <w:kern w:val="2"/>
      <w:lang w:val="en-CA"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BD-Decisionheader">
    <w:name w:val="CBD-Decision header"/>
    <w:basedOn w:val="CBDH1"/>
    <w:qFormat/>
    <w:rsid w:val="003B7E42"/>
    <w:pPr>
      <w:outlineLvl w:val="1"/>
    </w:pPr>
    <w:rPr>
      <w:rFonts w:eastAsia="SimSun"/>
      <w:sz w:val="24"/>
    </w:rPr>
  </w:style>
  <w:style w:type="paragraph" w:customStyle="1" w:styleId="H23">
    <w:name w:val="_ H_2/3"/>
    <w:basedOn w:val="Normal"/>
    <w:next w:val="Normal"/>
    <w:rsid w:val="003B7E42"/>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3B7E42"/>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3B7E4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3B7E4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3B7E4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3B7E42"/>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p1">
    <w:name w:val="p1"/>
    <w:basedOn w:val="Normal"/>
    <w:rsid w:val="003B7E42"/>
    <w:pPr>
      <w:spacing w:before="100" w:beforeAutospacing="1" w:after="100" w:afterAutospacing="1"/>
    </w:pPr>
    <w:rPr>
      <w:rFonts w:ascii="Calibri" w:eastAsiaTheme="minorEastAsia" w:hAnsi="Calibri" w:cs="Calibri"/>
      <w:lang w:val="en-GB"/>
    </w:rPr>
  </w:style>
  <w:style w:type="character" w:customStyle="1" w:styleId="s1">
    <w:name w:val="s1"/>
    <w:basedOn w:val="DefaultParagraphFont"/>
    <w:rsid w:val="003B7E42"/>
    <w:rPr>
      <w:lang w:val="en-GB"/>
    </w:rPr>
  </w:style>
  <w:style w:type="character" w:customStyle="1" w:styleId="scxw241879823">
    <w:name w:val="scxw241879823"/>
    <w:basedOn w:val="DefaultParagraphFont"/>
    <w:rsid w:val="003B7E42"/>
    <w:rPr>
      <w:lang w:val="en-GB"/>
    </w:rPr>
  </w:style>
  <w:style w:type="paragraph" w:customStyle="1" w:styleId="msonormal0">
    <w:name w:val="msonormal"/>
    <w:basedOn w:val="Normal"/>
    <w:rsid w:val="003B7E42"/>
    <w:pPr>
      <w:spacing w:before="100" w:beforeAutospacing="1" w:after="100" w:afterAutospacing="1"/>
    </w:pPr>
    <w:rPr>
      <w:rFonts w:eastAsia="SimSun"/>
      <w:lang w:val="en-GB"/>
    </w:rPr>
  </w:style>
  <w:style w:type="paragraph" w:customStyle="1" w:styleId="xl69">
    <w:name w:val="xl69"/>
    <w:basedOn w:val="Normal"/>
    <w:rsid w:val="003B7E42"/>
    <w:pPr>
      <w:spacing w:before="100" w:beforeAutospacing="1" w:after="100" w:afterAutospacing="1"/>
      <w:jc w:val="right"/>
      <w:textAlignment w:val="center"/>
    </w:pPr>
    <w:rPr>
      <w:rFonts w:eastAsia="SimSun"/>
      <w:sz w:val="18"/>
      <w:szCs w:val="18"/>
      <w:lang w:val="en-GB"/>
    </w:rPr>
  </w:style>
  <w:style w:type="paragraph" w:customStyle="1" w:styleId="xl70">
    <w:name w:val="xl70"/>
    <w:basedOn w:val="Normal"/>
    <w:rsid w:val="003B7E42"/>
    <w:pPr>
      <w:spacing w:before="100" w:beforeAutospacing="1" w:after="100" w:afterAutospacing="1"/>
      <w:jc w:val="right"/>
      <w:textAlignment w:val="center"/>
    </w:pPr>
    <w:rPr>
      <w:rFonts w:eastAsia="SimSun"/>
      <w:sz w:val="18"/>
      <w:szCs w:val="18"/>
      <w:lang w:val="en-GB"/>
    </w:rPr>
  </w:style>
  <w:style w:type="paragraph" w:customStyle="1" w:styleId="xl73">
    <w:name w:val="xl73"/>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SimSun"/>
      <w:sz w:val="18"/>
      <w:szCs w:val="18"/>
      <w:lang w:val="en-GB"/>
    </w:rPr>
  </w:style>
  <w:style w:type="paragraph" w:customStyle="1" w:styleId="xl74">
    <w:name w:val="xl74"/>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SimSun"/>
      <w:b/>
      <w:bCs/>
      <w:sz w:val="18"/>
      <w:szCs w:val="18"/>
      <w:lang w:val="en-GB"/>
    </w:rPr>
  </w:style>
  <w:style w:type="paragraph" w:customStyle="1" w:styleId="xl82">
    <w:name w:val="xl82"/>
    <w:basedOn w:val="Normal"/>
    <w:rsid w:val="003B7E42"/>
    <w:pPr>
      <w:spacing w:before="100" w:beforeAutospacing="1" w:after="100" w:afterAutospacing="1"/>
      <w:jc w:val="center"/>
      <w:textAlignment w:val="center"/>
    </w:pPr>
    <w:rPr>
      <w:rFonts w:eastAsia="SimSun"/>
      <w:sz w:val="16"/>
      <w:szCs w:val="16"/>
      <w:lang w:val="en-GB"/>
    </w:rPr>
  </w:style>
  <w:style w:type="paragraph" w:customStyle="1" w:styleId="xl83">
    <w:name w:val="xl83"/>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SimSun"/>
      <w:b/>
      <w:bCs/>
      <w:color w:val="000000"/>
      <w:sz w:val="16"/>
      <w:szCs w:val="16"/>
      <w:lang w:val="en-GB"/>
    </w:rPr>
  </w:style>
  <w:style w:type="paragraph" w:customStyle="1" w:styleId="xl99">
    <w:name w:val="xl99"/>
    <w:basedOn w:val="Normal"/>
    <w:rsid w:val="003B7E42"/>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rFonts w:eastAsia="SimSun"/>
      <w:b/>
      <w:bCs/>
      <w:color w:val="FFFFFF"/>
      <w:sz w:val="18"/>
      <w:szCs w:val="18"/>
      <w:lang w:val="en-GB"/>
    </w:rPr>
  </w:style>
  <w:style w:type="paragraph" w:customStyle="1" w:styleId="xl100">
    <w:name w:val="xl100"/>
    <w:basedOn w:val="Normal"/>
    <w:rsid w:val="003B7E42"/>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rFonts w:eastAsia="SimSun"/>
      <w:b/>
      <w:bCs/>
      <w:color w:val="FFFFFF"/>
      <w:sz w:val="18"/>
      <w:szCs w:val="18"/>
      <w:lang w:val="en-GB"/>
    </w:rPr>
  </w:style>
  <w:style w:type="paragraph" w:customStyle="1" w:styleId="xl101">
    <w:name w:val="xl101"/>
    <w:basedOn w:val="Normal"/>
    <w:rsid w:val="003B7E42"/>
    <w:pPr>
      <w:pBdr>
        <w:top w:val="single" w:sz="4" w:space="0" w:color="auto"/>
        <w:left w:val="single" w:sz="4" w:space="0" w:color="auto"/>
        <w:right w:val="single" w:sz="4" w:space="0" w:color="auto"/>
      </w:pBdr>
      <w:spacing w:before="100" w:beforeAutospacing="1" w:after="100" w:afterAutospacing="1"/>
      <w:jc w:val="center"/>
      <w:textAlignment w:val="center"/>
    </w:pPr>
    <w:rPr>
      <w:rFonts w:eastAsia="SimSun"/>
      <w:b/>
      <w:bCs/>
      <w:sz w:val="18"/>
      <w:szCs w:val="18"/>
      <w:lang w:val="en-GB"/>
    </w:rPr>
  </w:style>
  <w:style w:type="paragraph" w:customStyle="1" w:styleId="xl102">
    <w:name w:val="xl102"/>
    <w:basedOn w:val="Normal"/>
    <w:rsid w:val="003B7E4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SimSun"/>
      <w:b/>
      <w:bCs/>
      <w:sz w:val="18"/>
      <w:szCs w:val="18"/>
      <w:lang w:val="en-GB"/>
    </w:rPr>
  </w:style>
  <w:style w:type="paragraph" w:customStyle="1" w:styleId="xl106">
    <w:name w:val="xl106"/>
    <w:basedOn w:val="Normal"/>
    <w:rsid w:val="003B7E4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eastAsia="SimSun"/>
      <w:b/>
      <w:bCs/>
      <w:sz w:val="18"/>
      <w:szCs w:val="18"/>
      <w:lang w:val="en-GB"/>
    </w:rPr>
  </w:style>
  <w:style w:type="paragraph" w:customStyle="1" w:styleId="xl107">
    <w:name w:val="xl107"/>
    <w:basedOn w:val="Normal"/>
    <w:rsid w:val="003B7E4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SimSun"/>
      <w:b/>
      <w:bCs/>
      <w:sz w:val="18"/>
      <w:szCs w:val="18"/>
      <w:lang w:val="en-GB"/>
    </w:rPr>
  </w:style>
  <w:style w:type="paragraph" w:customStyle="1" w:styleId="xl108">
    <w:name w:val="xl108"/>
    <w:basedOn w:val="Normal"/>
    <w:rsid w:val="003B7E42"/>
    <w:pPr>
      <w:pBdr>
        <w:top w:val="single" w:sz="4" w:space="0" w:color="auto"/>
        <w:left w:val="single" w:sz="4" w:space="0" w:color="auto"/>
      </w:pBdr>
      <w:spacing w:before="100" w:beforeAutospacing="1" w:after="100" w:afterAutospacing="1"/>
      <w:jc w:val="center"/>
      <w:textAlignment w:val="center"/>
    </w:pPr>
    <w:rPr>
      <w:rFonts w:eastAsia="SimSun"/>
      <w:b/>
      <w:bCs/>
      <w:color w:val="000000"/>
      <w:sz w:val="16"/>
      <w:szCs w:val="16"/>
      <w:lang w:val="en-GB"/>
    </w:rPr>
  </w:style>
  <w:style w:type="paragraph" w:customStyle="1" w:styleId="xl109">
    <w:name w:val="xl109"/>
    <w:basedOn w:val="Normal"/>
    <w:rsid w:val="003B7E42"/>
    <w:pPr>
      <w:pBdr>
        <w:left w:val="single" w:sz="4" w:space="0" w:color="auto"/>
        <w:bottom w:val="single" w:sz="4" w:space="0" w:color="auto"/>
      </w:pBdr>
      <w:spacing w:before="100" w:beforeAutospacing="1" w:after="100" w:afterAutospacing="1"/>
      <w:jc w:val="center"/>
      <w:textAlignment w:val="center"/>
    </w:pPr>
    <w:rPr>
      <w:rFonts w:eastAsia="SimSun"/>
      <w:b/>
      <w:bCs/>
      <w:color w:val="000000"/>
      <w:sz w:val="16"/>
      <w:szCs w:val="16"/>
      <w:lang w:val="en-GB"/>
    </w:rPr>
  </w:style>
  <w:style w:type="paragraph" w:customStyle="1" w:styleId="xl17">
    <w:name w:val="xl17"/>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SimSun"/>
      <w:sz w:val="18"/>
      <w:szCs w:val="18"/>
      <w:lang w:val="en-GB"/>
    </w:rPr>
  </w:style>
  <w:style w:type="paragraph" w:customStyle="1" w:styleId="xl18">
    <w:name w:val="xl18"/>
    <w:basedOn w:val="Normal"/>
    <w:rsid w:val="003B7E42"/>
    <w:pPr>
      <w:spacing w:before="100" w:beforeAutospacing="1" w:after="100" w:afterAutospacing="1"/>
      <w:jc w:val="center"/>
      <w:textAlignment w:val="center"/>
    </w:pPr>
    <w:rPr>
      <w:rFonts w:eastAsia="SimSun"/>
      <w:sz w:val="18"/>
      <w:szCs w:val="18"/>
      <w:lang w:val="en-GB"/>
    </w:rPr>
  </w:style>
  <w:style w:type="paragraph" w:customStyle="1" w:styleId="xl92">
    <w:name w:val="xl92"/>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SimSun"/>
      <w:sz w:val="18"/>
      <w:szCs w:val="18"/>
      <w:lang w:val="en-GB"/>
    </w:rPr>
  </w:style>
  <w:style w:type="paragraph" w:customStyle="1" w:styleId="xl95">
    <w:name w:val="xl95"/>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SimSun"/>
      <w:b/>
      <w:bCs/>
      <w:sz w:val="18"/>
      <w:szCs w:val="18"/>
      <w:lang w:val="en-GB"/>
    </w:rPr>
  </w:style>
  <w:style w:type="paragraph" w:customStyle="1" w:styleId="xl97">
    <w:name w:val="xl97"/>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SimSun"/>
      <w:b/>
      <w:bCs/>
      <w:sz w:val="18"/>
      <w:szCs w:val="18"/>
      <w:lang w:val="en-GB"/>
    </w:rPr>
  </w:style>
  <w:style w:type="paragraph" w:customStyle="1" w:styleId="xl98">
    <w:name w:val="xl98"/>
    <w:basedOn w:val="Normal"/>
    <w:rsid w:val="003B7E42"/>
    <w:pPr>
      <w:spacing w:before="100" w:beforeAutospacing="1" w:after="100" w:afterAutospacing="1"/>
      <w:jc w:val="center"/>
      <w:textAlignment w:val="center"/>
    </w:pPr>
    <w:rPr>
      <w:rFonts w:eastAsia="SimSun"/>
      <w:b/>
      <w:bCs/>
      <w:sz w:val="18"/>
      <w:szCs w:val="18"/>
      <w:lang w:val="en-GB"/>
    </w:rPr>
  </w:style>
  <w:style w:type="paragraph" w:customStyle="1" w:styleId="xl103">
    <w:name w:val="xl103"/>
    <w:basedOn w:val="Normal"/>
    <w:rsid w:val="003B7E42"/>
    <w:pPr>
      <w:pBdr>
        <w:top w:val="single" w:sz="4" w:space="0" w:color="auto"/>
        <w:left w:val="single" w:sz="4" w:space="0" w:color="auto"/>
      </w:pBdr>
      <w:spacing w:before="100" w:beforeAutospacing="1" w:after="100" w:afterAutospacing="1"/>
      <w:jc w:val="center"/>
      <w:textAlignment w:val="center"/>
    </w:pPr>
    <w:rPr>
      <w:rFonts w:eastAsia="SimSun"/>
      <w:b/>
      <w:bCs/>
      <w:sz w:val="16"/>
      <w:szCs w:val="16"/>
      <w:lang w:val="en-GB"/>
    </w:rPr>
  </w:style>
  <w:style w:type="paragraph" w:customStyle="1" w:styleId="xl104">
    <w:name w:val="xl104"/>
    <w:basedOn w:val="Normal"/>
    <w:rsid w:val="003B7E42"/>
    <w:pPr>
      <w:pBdr>
        <w:left w:val="single" w:sz="4" w:space="0" w:color="auto"/>
        <w:bottom w:val="single" w:sz="4" w:space="0" w:color="auto"/>
      </w:pBdr>
      <w:spacing w:before="100" w:beforeAutospacing="1" w:after="100" w:afterAutospacing="1"/>
      <w:jc w:val="center"/>
      <w:textAlignment w:val="center"/>
    </w:pPr>
    <w:rPr>
      <w:rFonts w:eastAsia="SimSun"/>
      <w:b/>
      <w:bCs/>
      <w:sz w:val="16"/>
      <w:szCs w:val="16"/>
      <w:lang w:val="en-GB"/>
    </w:rPr>
  </w:style>
  <w:style w:type="paragraph" w:customStyle="1" w:styleId="xl105">
    <w:name w:val="xl105"/>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SimSun"/>
      <w:b/>
      <w:bCs/>
      <w:sz w:val="16"/>
      <w:szCs w:val="16"/>
      <w:lang w:val="en-GB"/>
    </w:rPr>
  </w:style>
  <w:style w:type="paragraph" w:customStyle="1" w:styleId="xl19">
    <w:name w:val="xl19"/>
    <w:basedOn w:val="Normal"/>
    <w:rsid w:val="003B7E42"/>
    <w:pPr>
      <w:spacing w:before="100" w:beforeAutospacing="1" w:after="100" w:afterAutospacing="1"/>
      <w:textAlignment w:val="center"/>
    </w:pPr>
    <w:rPr>
      <w:rFonts w:eastAsia="SimSun"/>
      <w:sz w:val="18"/>
      <w:szCs w:val="18"/>
      <w:lang w:val="en-GB"/>
    </w:rPr>
  </w:style>
  <w:style w:type="paragraph" w:customStyle="1" w:styleId="xl21">
    <w:name w:val="xl21"/>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SimSun"/>
      <w:sz w:val="18"/>
      <w:szCs w:val="18"/>
      <w:lang w:val="en-GB"/>
    </w:rPr>
  </w:style>
  <w:style w:type="paragraph" w:customStyle="1" w:styleId="xl88">
    <w:name w:val="xl88"/>
    <w:basedOn w:val="Normal"/>
    <w:rsid w:val="003B7E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SimSun"/>
      <w:b/>
      <w:bCs/>
      <w:sz w:val="16"/>
      <w:szCs w:val="16"/>
      <w:lang w:val="en-GB"/>
    </w:rPr>
  </w:style>
  <w:style w:type="paragraph" w:customStyle="1" w:styleId="xl90">
    <w:name w:val="xl90"/>
    <w:basedOn w:val="Normal"/>
    <w:rsid w:val="003B7E42"/>
    <w:pPr>
      <w:spacing w:before="100" w:beforeAutospacing="1" w:after="100" w:afterAutospacing="1"/>
      <w:jc w:val="center"/>
      <w:textAlignment w:val="center"/>
    </w:pPr>
    <w:rPr>
      <w:rFonts w:eastAsia="SimSun"/>
      <w:sz w:val="16"/>
      <w:szCs w:val="16"/>
      <w:lang w:val="en-GB"/>
    </w:rPr>
  </w:style>
  <w:style w:type="paragraph" w:customStyle="1" w:styleId="TableParagraph">
    <w:name w:val="Table Paragraph"/>
    <w:basedOn w:val="Normal"/>
    <w:uiPriority w:val="1"/>
    <w:qFormat/>
    <w:rsid w:val="003B7E42"/>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3B7E42"/>
    <w:rPr>
      <w:rFonts w:ascii="Times New Roman" w:eastAsia="SimSun" w:hAnsi="Times New Roman"/>
      <w:lang w:val="en-GB" w:eastAsia="en-GB"/>
    </w:rPr>
  </w:style>
  <w:style w:type="paragraph" w:styleId="Bibliography">
    <w:name w:val="Bibliography"/>
    <w:basedOn w:val="Normal"/>
    <w:next w:val="Normal"/>
    <w:uiPriority w:val="37"/>
    <w:semiHidden/>
    <w:unhideWhenUsed/>
    <w:rsid w:val="003B7E42"/>
    <w:rPr>
      <w:rFonts w:eastAsia="SimSun"/>
      <w:lang w:val="en-GB"/>
    </w:rPr>
  </w:style>
  <w:style w:type="paragraph" w:styleId="BodyTextFirstIndent">
    <w:name w:val="Body Text First Indent"/>
    <w:basedOn w:val="BodyText"/>
    <w:link w:val="BodyTextFirstIndentChar"/>
    <w:uiPriority w:val="99"/>
    <w:semiHidden/>
    <w:unhideWhenUsed/>
    <w:rsid w:val="003B7E42"/>
    <w:pPr>
      <w:spacing w:after="0" w:line="240" w:lineRule="auto"/>
      <w:ind w:firstLine="360"/>
      <w:jc w:val="both"/>
    </w:pPr>
    <w:rPr>
      <w:rFonts w:ascii="Times New Roman" w:eastAsia="SimSun" w:hAnsi="Times New Roman"/>
      <w:kern w:val="0"/>
      <w:lang w:val="en-GB"/>
    </w:rPr>
  </w:style>
  <w:style w:type="character" w:customStyle="1" w:styleId="BodyTextFirstIndentChar">
    <w:name w:val="Body Text First Indent Char"/>
    <w:basedOn w:val="BodyTextChar"/>
    <w:link w:val="BodyTextFirstIndent"/>
    <w:uiPriority w:val="99"/>
    <w:semiHidden/>
    <w:rsid w:val="003B7E42"/>
    <w:rPr>
      <w:rFonts w:ascii="Times New Roman" w:eastAsia="SimSun" w:hAnsi="Times New Roman" w:cs="Times New Roman"/>
      <w:lang w:val="en-GB" w:eastAsia="en-US"/>
    </w:rPr>
  </w:style>
  <w:style w:type="paragraph" w:styleId="BodyTextFirstIndent2">
    <w:name w:val="Body Text First Indent 2"/>
    <w:basedOn w:val="BodyTextIndent"/>
    <w:link w:val="BodyTextFirstIndent2Char"/>
    <w:uiPriority w:val="99"/>
    <w:semiHidden/>
    <w:unhideWhenUsed/>
    <w:rsid w:val="003B7E42"/>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3B7E42"/>
    <w:rPr>
      <w:rFonts w:ascii="Times New Roman" w:eastAsia="SimSun" w:hAnsi="Times New Roman"/>
      <w:lang w:val="en-GB" w:eastAsia="en-US"/>
    </w:rPr>
  </w:style>
  <w:style w:type="character" w:styleId="BookTitle">
    <w:name w:val="Book Title"/>
    <w:basedOn w:val="DefaultParagraphFont"/>
    <w:uiPriority w:val="33"/>
    <w:qFormat/>
    <w:rsid w:val="003B7E42"/>
    <w:rPr>
      <w:b/>
      <w:bCs/>
      <w:i/>
      <w:iCs/>
      <w:spacing w:val="5"/>
      <w:lang w:val="en-GB"/>
    </w:rPr>
  </w:style>
  <w:style w:type="paragraph" w:styleId="Closing">
    <w:name w:val="Closing"/>
    <w:basedOn w:val="Normal"/>
    <w:link w:val="ClosingChar"/>
    <w:uiPriority w:val="99"/>
    <w:semiHidden/>
    <w:unhideWhenUsed/>
    <w:rsid w:val="003B7E42"/>
    <w:pPr>
      <w:ind w:left="4252"/>
    </w:pPr>
    <w:rPr>
      <w:rFonts w:eastAsia="SimSun"/>
      <w:lang w:val="en-GB"/>
    </w:rPr>
  </w:style>
  <w:style w:type="character" w:customStyle="1" w:styleId="ClosingChar">
    <w:name w:val="Closing Char"/>
    <w:basedOn w:val="DefaultParagraphFont"/>
    <w:link w:val="Closing"/>
    <w:uiPriority w:val="99"/>
    <w:semiHidden/>
    <w:rsid w:val="003B7E42"/>
    <w:rPr>
      <w:rFonts w:ascii="Times New Roman" w:eastAsia="SimSun" w:hAnsi="Times New Roman"/>
      <w:lang w:val="en-GB" w:eastAsia="en-US"/>
    </w:rPr>
  </w:style>
  <w:style w:type="table" w:styleId="ColorfulGrid">
    <w:name w:val="Colorful Grid"/>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3B7E42"/>
    <w:rPr>
      <w:rFonts w:eastAsia="SimSun"/>
      <w:lang w:val="en-GB"/>
    </w:rPr>
  </w:style>
  <w:style w:type="character" w:customStyle="1" w:styleId="DateChar">
    <w:name w:val="Date Char"/>
    <w:basedOn w:val="DefaultParagraphFont"/>
    <w:link w:val="Date"/>
    <w:uiPriority w:val="99"/>
    <w:semiHidden/>
    <w:rsid w:val="003B7E42"/>
    <w:rPr>
      <w:rFonts w:ascii="Times New Roman" w:eastAsia="SimSun" w:hAnsi="Times New Roman"/>
      <w:lang w:val="en-GB" w:eastAsia="en-US"/>
    </w:rPr>
  </w:style>
  <w:style w:type="paragraph" w:styleId="E-mailSignature">
    <w:name w:val="E-mail Signature"/>
    <w:basedOn w:val="Normal"/>
    <w:link w:val="E-mailSignatureChar"/>
    <w:uiPriority w:val="99"/>
    <w:semiHidden/>
    <w:unhideWhenUsed/>
    <w:rsid w:val="003B7E42"/>
    <w:rPr>
      <w:rFonts w:eastAsia="SimSun"/>
      <w:lang w:val="en-GB"/>
    </w:rPr>
  </w:style>
  <w:style w:type="character" w:customStyle="1" w:styleId="E-mailSignatureChar">
    <w:name w:val="E-mail Signature Char"/>
    <w:basedOn w:val="DefaultParagraphFont"/>
    <w:link w:val="E-mailSignature"/>
    <w:uiPriority w:val="99"/>
    <w:semiHidden/>
    <w:rsid w:val="003B7E42"/>
    <w:rPr>
      <w:rFonts w:ascii="Times New Roman" w:eastAsia="SimSun" w:hAnsi="Times New Roman"/>
      <w:lang w:val="en-GB" w:eastAsia="en-US"/>
    </w:rPr>
  </w:style>
  <w:style w:type="paragraph" w:styleId="EnvelopeAddress">
    <w:name w:val="envelope address"/>
    <w:basedOn w:val="Normal"/>
    <w:uiPriority w:val="99"/>
    <w:semiHidden/>
    <w:unhideWhenUsed/>
    <w:rsid w:val="003B7E42"/>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3B7E42"/>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7E42"/>
    <w:rPr>
      <w:rFonts w:asciiTheme="minorHAnsi" w:eastAsiaTheme="minorEastAsia" w:hAnsiTheme="minorHAnsi" w:cstheme="minorBidi"/>
      <w:color w:val="365F91" w:themeColor="accent1" w:themeShade="BF"/>
      <w:sz w:val="24"/>
      <w:szCs w:val="24"/>
      <w:lang w:val="en-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B7E42"/>
    <w:rPr>
      <w:rFonts w:asciiTheme="minorHAnsi" w:eastAsiaTheme="minorEastAsia" w:hAnsiTheme="minorHAnsi" w:cstheme="minorBidi"/>
      <w:color w:val="943634" w:themeColor="accent2" w:themeShade="BF"/>
      <w:sz w:val="24"/>
      <w:szCs w:val="24"/>
      <w:lang w:val="en-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B7E42"/>
    <w:rPr>
      <w:rFonts w:asciiTheme="minorHAnsi" w:eastAsiaTheme="minorEastAsia" w:hAnsiTheme="minorHAnsi" w:cstheme="minorBidi"/>
      <w:color w:val="76923C" w:themeColor="accent3" w:themeShade="BF"/>
      <w:sz w:val="24"/>
      <w:szCs w:val="24"/>
      <w:lang w:val="en-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B7E42"/>
    <w:rPr>
      <w:rFonts w:asciiTheme="minorHAnsi" w:eastAsiaTheme="minorEastAsia" w:hAnsiTheme="minorHAnsi" w:cstheme="minorBidi"/>
      <w:color w:val="5F497A" w:themeColor="accent4" w:themeShade="BF"/>
      <w:sz w:val="24"/>
      <w:szCs w:val="24"/>
      <w:lang w:val="en-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B7E42"/>
    <w:rPr>
      <w:rFonts w:asciiTheme="minorHAnsi" w:eastAsiaTheme="minorEastAsia" w:hAnsiTheme="minorHAnsi" w:cstheme="minorBidi"/>
      <w:color w:val="31849B" w:themeColor="accent5" w:themeShade="BF"/>
      <w:sz w:val="24"/>
      <w:szCs w:val="24"/>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B7E42"/>
    <w:rPr>
      <w:rFonts w:asciiTheme="minorHAnsi" w:eastAsiaTheme="minorEastAsia" w:hAnsiTheme="minorHAnsi" w:cstheme="minorBidi"/>
      <w:color w:val="E36C0A" w:themeColor="accent6" w:themeShade="BF"/>
      <w:sz w:val="24"/>
      <w:szCs w:val="24"/>
      <w:lang w:val="en-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7E42"/>
    <w:rPr>
      <w:rFonts w:asciiTheme="minorHAnsi" w:eastAsiaTheme="minorEastAsia" w:hAnsiTheme="minorHAnsi" w:cstheme="minorBidi"/>
      <w:color w:val="365F91" w:themeColor="accent1" w:themeShade="BF"/>
      <w:sz w:val="24"/>
      <w:szCs w:val="24"/>
      <w:lang w:val="en-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B7E42"/>
    <w:rPr>
      <w:rFonts w:asciiTheme="minorHAnsi" w:eastAsiaTheme="minorEastAsia" w:hAnsiTheme="minorHAnsi" w:cstheme="minorBidi"/>
      <w:color w:val="943634" w:themeColor="accent2" w:themeShade="BF"/>
      <w:sz w:val="24"/>
      <w:szCs w:val="24"/>
      <w:lang w:val="en-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B7E42"/>
    <w:rPr>
      <w:rFonts w:asciiTheme="minorHAnsi" w:eastAsiaTheme="minorEastAsia" w:hAnsiTheme="minorHAnsi" w:cstheme="minorBidi"/>
      <w:color w:val="76923C" w:themeColor="accent3" w:themeShade="BF"/>
      <w:sz w:val="24"/>
      <w:szCs w:val="24"/>
      <w:lang w:val="en-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B7E42"/>
    <w:rPr>
      <w:rFonts w:asciiTheme="minorHAnsi" w:eastAsiaTheme="minorEastAsia" w:hAnsiTheme="minorHAnsi" w:cstheme="minorBidi"/>
      <w:color w:val="5F497A" w:themeColor="accent4" w:themeShade="BF"/>
      <w:sz w:val="24"/>
      <w:szCs w:val="24"/>
      <w:lang w:val="en-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B7E42"/>
    <w:rPr>
      <w:rFonts w:asciiTheme="minorHAnsi" w:eastAsiaTheme="minorEastAsia" w:hAnsiTheme="minorHAnsi" w:cstheme="minorBidi"/>
      <w:color w:val="31849B" w:themeColor="accent5" w:themeShade="BF"/>
      <w:sz w:val="24"/>
      <w:szCs w:val="24"/>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B7E42"/>
    <w:rPr>
      <w:rFonts w:asciiTheme="minorHAnsi" w:eastAsiaTheme="minorEastAsia" w:hAnsiTheme="minorHAnsi" w:cstheme="minorBidi"/>
      <w:color w:val="E36C0A" w:themeColor="accent6" w:themeShade="BF"/>
      <w:sz w:val="24"/>
      <w:szCs w:val="24"/>
      <w:lang w:val="en-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3B7E42"/>
    <w:rPr>
      <w:color w:val="2B579A"/>
      <w:shd w:val="clear" w:color="auto" w:fill="E1DFDD"/>
      <w:lang w:val="en-GB"/>
    </w:rPr>
  </w:style>
  <w:style w:type="character" w:styleId="HTMLAcronym">
    <w:name w:val="HTML Acronym"/>
    <w:basedOn w:val="DefaultParagraphFont"/>
    <w:uiPriority w:val="99"/>
    <w:semiHidden/>
    <w:unhideWhenUsed/>
    <w:rsid w:val="003B7E42"/>
    <w:rPr>
      <w:lang w:val="en-GB"/>
    </w:rPr>
  </w:style>
  <w:style w:type="paragraph" w:styleId="HTMLAddress">
    <w:name w:val="HTML Address"/>
    <w:basedOn w:val="Normal"/>
    <w:link w:val="HTMLAddressChar"/>
    <w:uiPriority w:val="99"/>
    <w:semiHidden/>
    <w:unhideWhenUsed/>
    <w:rsid w:val="003B7E42"/>
    <w:rPr>
      <w:rFonts w:eastAsia="SimSun"/>
      <w:i/>
      <w:iCs/>
      <w:lang w:val="en-GB"/>
    </w:rPr>
  </w:style>
  <w:style w:type="character" w:customStyle="1" w:styleId="HTMLAddressChar">
    <w:name w:val="HTML Address Char"/>
    <w:basedOn w:val="DefaultParagraphFont"/>
    <w:link w:val="HTMLAddress"/>
    <w:uiPriority w:val="99"/>
    <w:semiHidden/>
    <w:rsid w:val="003B7E42"/>
    <w:rPr>
      <w:rFonts w:ascii="Times New Roman" w:eastAsia="SimSun" w:hAnsi="Times New Roman"/>
      <w:i/>
      <w:iCs/>
      <w:lang w:val="en-GB" w:eastAsia="en-US"/>
    </w:rPr>
  </w:style>
  <w:style w:type="character" w:styleId="HTMLCite">
    <w:name w:val="HTML Cite"/>
    <w:basedOn w:val="DefaultParagraphFont"/>
    <w:uiPriority w:val="99"/>
    <w:semiHidden/>
    <w:unhideWhenUsed/>
    <w:rsid w:val="003B7E42"/>
    <w:rPr>
      <w:i/>
      <w:iCs/>
      <w:lang w:val="en-GB"/>
    </w:rPr>
  </w:style>
  <w:style w:type="character" w:styleId="HTMLCode">
    <w:name w:val="HTML Code"/>
    <w:basedOn w:val="DefaultParagraphFont"/>
    <w:uiPriority w:val="99"/>
    <w:semiHidden/>
    <w:unhideWhenUsed/>
    <w:rsid w:val="003B7E42"/>
    <w:rPr>
      <w:rFonts w:ascii="Consolas" w:hAnsi="Consolas"/>
      <w:sz w:val="20"/>
      <w:szCs w:val="20"/>
      <w:lang w:val="en-GB"/>
    </w:rPr>
  </w:style>
  <w:style w:type="character" w:styleId="HTMLDefinition">
    <w:name w:val="HTML Definition"/>
    <w:basedOn w:val="DefaultParagraphFont"/>
    <w:uiPriority w:val="99"/>
    <w:semiHidden/>
    <w:unhideWhenUsed/>
    <w:rsid w:val="003B7E42"/>
    <w:rPr>
      <w:i/>
      <w:iCs/>
      <w:lang w:val="en-GB"/>
    </w:rPr>
  </w:style>
  <w:style w:type="character" w:styleId="HTMLKeyboard">
    <w:name w:val="HTML Keyboard"/>
    <w:basedOn w:val="DefaultParagraphFont"/>
    <w:uiPriority w:val="99"/>
    <w:semiHidden/>
    <w:unhideWhenUsed/>
    <w:rsid w:val="003B7E42"/>
    <w:rPr>
      <w:rFonts w:ascii="Consolas" w:hAnsi="Consolas"/>
      <w:sz w:val="20"/>
      <w:szCs w:val="20"/>
      <w:lang w:val="en-GB"/>
    </w:rPr>
  </w:style>
  <w:style w:type="character" w:styleId="HTMLSample">
    <w:name w:val="HTML Sample"/>
    <w:basedOn w:val="DefaultParagraphFont"/>
    <w:uiPriority w:val="99"/>
    <w:semiHidden/>
    <w:unhideWhenUsed/>
    <w:rsid w:val="003B7E42"/>
    <w:rPr>
      <w:rFonts w:ascii="Consolas" w:hAnsi="Consolas"/>
      <w:sz w:val="24"/>
      <w:szCs w:val="24"/>
      <w:lang w:val="en-GB"/>
    </w:rPr>
  </w:style>
  <w:style w:type="character" w:styleId="HTMLTypewriter">
    <w:name w:val="HTML Typewriter"/>
    <w:basedOn w:val="DefaultParagraphFont"/>
    <w:uiPriority w:val="99"/>
    <w:semiHidden/>
    <w:unhideWhenUsed/>
    <w:rsid w:val="003B7E42"/>
    <w:rPr>
      <w:rFonts w:ascii="Consolas" w:hAnsi="Consolas"/>
      <w:sz w:val="20"/>
      <w:szCs w:val="20"/>
      <w:lang w:val="en-GB"/>
    </w:rPr>
  </w:style>
  <w:style w:type="character" w:styleId="HTMLVariable">
    <w:name w:val="HTML Variable"/>
    <w:basedOn w:val="DefaultParagraphFont"/>
    <w:uiPriority w:val="99"/>
    <w:semiHidden/>
    <w:unhideWhenUsed/>
    <w:rsid w:val="003B7E42"/>
    <w:rPr>
      <w:i/>
      <w:iCs/>
      <w:lang w:val="en-GB"/>
    </w:rPr>
  </w:style>
  <w:style w:type="paragraph" w:styleId="Index1">
    <w:name w:val="index 1"/>
    <w:basedOn w:val="Normal"/>
    <w:next w:val="Normal"/>
    <w:autoRedefine/>
    <w:uiPriority w:val="99"/>
    <w:semiHidden/>
    <w:unhideWhenUsed/>
    <w:rsid w:val="003B7E42"/>
    <w:pPr>
      <w:tabs>
        <w:tab w:val="clear" w:pos="567"/>
        <w:tab w:val="clear" w:pos="1134"/>
        <w:tab w:val="clear" w:pos="1701"/>
        <w:tab w:val="clear" w:pos="2268"/>
      </w:tabs>
      <w:ind w:left="220" w:hanging="220"/>
    </w:pPr>
    <w:rPr>
      <w:rFonts w:eastAsia="SimSun"/>
      <w:lang w:val="en-GB"/>
    </w:rPr>
  </w:style>
  <w:style w:type="paragraph" w:styleId="Index2">
    <w:name w:val="index 2"/>
    <w:basedOn w:val="Normal"/>
    <w:next w:val="Normal"/>
    <w:autoRedefine/>
    <w:uiPriority w:val="99"/>
    <w:semiHidden/>
    <w:unhideWhenUsed/>
    <w:rsid w:val="003B7E42"/>
    <w:pPr>
      <w:tabs>
        <w:tab w:val="clear" w:pos="567"/>
        <w:tab w:val="clear" w:pos="1134"/>
        <w:tab w:val="clear" w:pos="1701"/>
        <w:tab w:val="clear" w:pos="2268"/>
      </w:tabs>
      <w:ind w:left="440" w:hanging="220"/>
    </w:pPr>
    <w:rPr>
      <w:rFonts w:eastAsia="SimSun"/>
      <w:lang w:val="en-GB"/>
    </w:rPr>
  </w:style>
  <w:style w:type="paragraph" w:styleId="Index3">
    <w:name w:val="index 3"/>
    <w:basedOn w:val="Normal"/>
    <w:next w:val="Normal"/>
    <w:autoRedefine/>
    <w:uiPriority w:val="99"/>
    <w:semiHidden/>
    <w:unhideWhenUsed/>
    <w:rsid w:val="003B7E42"/>
    <w:pPr>
      <w:tabs>
        <w:tab w:val="clear" w:pos="567"/>
        <w:tab w:val="clear" w:pos="1134"/>
        <w:tab w:val="clear" w:pos="1701"/>
        <w:tab w:val="clear" w:pos="2268"/>
      </w:tabs>
      <w:ind w:left="660" w:hanging="220"/>
    </w:pPr>
    <w:rPr>
      <w:rFonts w:eastAsia="SimSun"/>
      <w:lang w:val="en-GB"/>
    </w:rPr>
  </w:style>
  <w:style w:type="paragraph" w:styleId="Index4">
    <w:name w:val="index 4"/>
    <w:basedOn w:val="Normal"/>
    <w:next w:val="Normal"/>
    <w:autoRedefine/>
    <w:uiPriority w:val="99"/>
    <w:semiHidden/>
    <w:unhideWhenUsed/>
    <w:rsid w:val="003B7E42"/>
    <w:pPr>
      <w:tabs>
        <w:tab w:val="clear" w:pos="567"/>
        <w:tab w:val="clear" w:pos="1134"/>
        <w:tab w:val="clear" w:pos="1701"/>
        <w:tab w:val="clear" w:pos="2268"/>
      </w:tabs>
      <w:ind w:left="880" w:hanging="220"/>
    </w:pPr>
    <w:rPr>
      <w:rFonts w:eastAsia="SimSun"/>
      <w:lang w:val="en-GB"/>
    </w:rPr>
  </w:style>
  <w:style w:type="paragraph" w:styleId="Index5">
    <w:name w:val="index 5"/>
    <w:basedOn w:val="Normal"/>
    <w:next w:val="Normal"/>
    <w:autoRedefine/>
    <w:uiPriority w:val="99"/>
    <w:semiHidden/>
    <w:unhideWhenUsed/>
    <w:rsid w:val="003B7E42"/>
    <w:pPr>
      <w:tabs>
        <w:tab w:val="clear" w:pos="567"/>
        <w:tab w:val="clear" w:pos="1134"/>
        <w:tab w:val="clear" w:pos="1701"/>
        <w:tab w:val="clear" w:pos="2268"/>
      </w:tabs>
      <w:ind w:left="1100" w:hanging="220"/>
    </w:pPr>
    <w:rPr>
      <w:rFonts w:eastAsia="SimSun"/>
      <w:lang w:val="en-GB"/>
    </w:rPr>
  </w:style>
  <w:style w:type="paragraph" w:styleId="Index6">
    <w:name w:val="index 6"/>
    <w:basedOn w:val="Normal"/>
    <w:next w:val="Normal"/>
    <w:autoRedefine/>
    <w:uiPriority w:val="99"/>
    <w:semiHidden/>
    <w:unhideWhenUsed/>
    <w:rsid w:val="003B7E42"/>
    <w:pPr>
      <w:tabs>
        <w:tab w:val="clear" w:pos="567"/>
        <w:tab w:val="clear" w:pos="1134"/>
        <w:tab w:val="clear" w:pos="1701"/>
        <w:tab w:val="clear" w:pos="2268"/>
      </w:tabs>
      <w:ind w:left="1320" w:hanging="220"/>
    </w:pPr>
    <w:rPr>
      <w:rFonts w:eastAsia="SimSun"/>
      <w:lang w:val="en-GB"/>
    </w:rPr>
  </w:style>
  <w:style w:type="paragraph" w:styleId="Index7">
    <w:name w:val="index 7"/>
    <w:basedOn w:val="Normal"/>
    <w:next w:val="Normal"/>
    <w:autoRedefine/>
    <w:uiPriority w:val="99"/>
    <w:semiHidden/>
    <w:unhideWhenUsed/>
    <w:rsid w:val="003B7E42"/>
    <w:pPr>
      <w:tabs>
        <w:tab w:val="clear" w:pos="567"/>
        <w:tab w:val="clear" w:pos="1134"/>
        <w:tab w:val="clear" w:pos="1701"/>
        <w:tab w:val="clear" w:pos="2268"/>
      </w:tabs>
      <w:ind w:left="1540" w:hanging="220"/>
    </w:pPr>
    <w:rPr>
      <w:rFonts w:eastAsia="SimSun"/>
      <w:lang w:val="en-GB"/>
    </w:rPr>
  </w:style>
  <w:style w:type="paragraph" w:styleId="Index8">
    <w:name w:val="index 8"/>
    <w:basedOn w:val="Normal"/>
    <w:next w:val="Normal"/>
    <w:autoRedefine/>
    <w:uiPriority w:val="99"/>
    <w:semiHidden/>
    <w:unhideWhenUsed/>
    <w:rsid w:val="003B7E42"/>
    <w:pPr>
      <w:tabs>
        <w:tab w:val="clear" w:pos="567"/>
        <w:tab w:val="clear" w:pos="1134"/>
        <w:tab w:val="clear" w:pos="1701"/>
        <w:tab w:val="clear" w:pos="2268"/>
      </w:tabs>
      <w:ind w:left="1760" w:hanging="220"/>
    </w:pPr>
    <w:rPr>
      <w:rFonts w:eastAsia="SimSun"/>
      <w:lang w:val="en-GB"/>
    </w:rPr>
  </w:style>
  <w:style w:type="paragraph" w:styleId="Index9">
    <w:name w:val="index 9"/>
    <w:basedOn w:val="Normal"/>
    <w:next w:val="Normal"/>
    <w:autoRedefine/>
    <w:uiPriority w:val="99"/>
    <w:semiHidden/>
    <w:unhideWhenUsed/>
    <w:rsid w:val="003B7E42"/>
    <w:pPr>
      <w:tabs>
        <w:tab w:val="clear" w:pos="567"/>
        <w:tab w:val="clear" w:pos="1134"/>
        <w:tab w:val="clear" w:pos="1701"/>
        <w:tab w:val="clear" w:pos="2268"/>
      </w:tabs>
      <w:ind w:left="1980" w:hanging="220"/>
    </w:pPr>
    <w:rPr>
      <w:rFonts w:eastAsia="SimSun"/>
      <w:lang w:val="en-GB"/>
    </w:rPr>
  </w:style>
  <w:style w:type="paragraph" w:styleId="IndexHeading">
    <w:name w:val="index heading"/>
    <w:basedOn w:val="Normal"/>
    <w:next w:val="Index1"/>
    <w:uiPriority w:val="99"/>
    <w:semiHidden/>
    <w:unhideWhenUsed/>
    <w:rsid w:val="003B7E42"/>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3B7E42"/>
    <w:rPr>
      <w:i/>
      <w:iCs/>
      <w:color w:val="4F81BD" w:themeColor="accent1"/>
      <w:lang w:val="en-GB"/>
    </w:rPr>
  </w:style>
  <w:style w:type="paragraph" w:styleId="IntenseQuote">
    <w:name w:val="Intense Quote"/>
    <w:basedOn w:val="Normal"/>
    <w:next w:val="Normal"/>
    <w:link w:val="IntenseQuoteChar"/>
    <w:uiPriority w:val="30"/>
    <w:qFormat/>
    <w:rsid w:val="003B7E42"/>
    <w:pPr>
      <w:pBdr>
        <w:top w:val="single" w:sz="4" w:space="10" w:color="4F81BD" w:themeColor="accent1"/>
        <w:bottom w:val="single" w:sz="4" w:space="10" w:color="4F81BD" w:themeColor="accent1"/>
      </w:pBdr>
      <w:spacing w:before="360" w:after="360"/>
      <w:ind w:left="864" w:right="864"/>
      <w:jc w:val="center"/>
    </w:pPr>
    <w:rPr>
      <w:rFonts w:eastAsia="SimSun"/>
      <w:i/>
      <w:iCs/>
      <w:color w:val="4F81BD" w:themeColor="accent1"/>
      <w:lang w:val="en-GB"/>
    </w:rPr>
  </w:style>
  <w:style w:type="character" w:customStyle="1" w:styleId="IntenseQuoteChar">
    <w:name w:val="Intense Quote Char"/>
    <w:basedOn w:val="DefaultParagraphFont"/>
    <w:link w:val="IntenseQuote"/>
    <w:uiPriority w:val="30"/>
    <w:rsid w:val="003B7E42"/>
    <w:rPr>
      <w:rFonts w:ascii="Times New Roman" w:eastAsia="SimSun" w:hAnsi="Times New Roman"/>
      <w:i/>
      <w:iCs/>
      <w:color w:val="4F81BD" w:themeColor="accent1"/>
      <w:lang w:val="en-GB" w:eastAsia="en-US"/>
    </w:rPr>
  </w:style>
  <w:style w:type="character" w:styleId="IntenseReference">
    <w:name w:val="Intense Reference"/>
    <w:basedOn w:val="DefaultParagraphFont"/>
    <w:uiPriority w:val="32"/>
    <w:qFormat/>
    <w:rsid w:val="003B7E42"/>
    <w:rPr>
      <w:b/>
      <w:bCs/>
      <w:smallCaps/>
      <w:color w:val="4F81BD" w:themeColor="accent1"/>
      <w:spacing w:val="5"/>
      <w:lang w:val="en-GB"/>
    </w:rPr>
  </w:style>
  <w:style w:type="table" w:styleId="LightGrid">
    <w:name w:val="Light Grid"/>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B7E42"/>
    <w:rPr>
      <w:rFonts w:asciiTheme="minorHAnsi" w:eastAsiaTheme="minorEastAsia" w:hAnsiTheme="minorHAnsi" w:cstheme="minorBidi"/>
      <w:color w:val="000000" w:themeColor="text1" w:themeShade="BF"/>
      <w:sz w:val="24"/>
      <w:szCs w:val="24"/>
      <w:lang w:val="en-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B7E42"/>
    <w:rPr>
      <w:rFonts w:asciiTheme="minorHAnsi" w:eastAsiaTheme="minorEastAsia" w:hAnsiTheme="minorHAnsi" w:cstheme="minorBidi"/>
      <w:color w:val="365F91" w:themeColor="accent1" w:themeShade="BF"/>
      <w:sz w:val="24"/>
      <w:szCs w:val="24"/>
      <w:lang w:val="en-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B7E42"/>
    <w:rPr>
      <w:rFonts w:asciiTheme="minorHAnsi" w:eastAsiaTheme="minorEastAsia" w:hAnsiTheme="minorHAnsi" w:cstheme="minorBidi"/>
      <w:color w:val="943634" w:themeColor="accent2" w:themeShade="BF"/>
      <w:sz w:val="24"/>
      <w:szCs w:val="24"/>
      <w:lang w:val="en-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B7E42"/>
    <w:rPr>
      <w:rFonts w:asciiTheme="minorHAnsi" w:eastAsiaTheme="minorEastAsia" w:hAnsiTheme="minorHAnsi" w:cstheme="minorBidi"/>
      <w:color w:val="76923C" w:themeColor="accent3" w:themeShade="BF"/>
      <w:sz w:val="24"/>
      <w:szCs w:val="24"/>
      <w:lang w:val="en-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B7E42"/>
    <w:rPr>
      <w:rFonts w:asciiTheme="minorHAnsi" w:eastAsiaTheme="minorEastAsia" w:hAnsiTheme="minorHAnsi" w:cstheme="minorBidi"/>
      <w:color w:val="5F497A" w:themeColor="accent4" w:themeShade="BF"/>
      <w:sz w:val="24"/>
      <w:szCs w:val="24"/>
      <w:lang w:val="en-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B7E42"/>
    <w:rPr>
      <w:rFonts w:asciiTheme="minorHAnsi" w:eastAsiaTheme="minorEastAsia" w:hAnsiTheme="minorHAnsi" w:cstheme="minorBidi"/>
      <w:color w:val="31849B" w:themeColor="accent5" w:themeShade="BF"/>
      <w:sz w:val="24"/>
      <w:szCs w:val="24"/>
      <w:lang w:val="en-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B7E42"/>
    <w:rPr>
      <w:rFonts w:asciiTheme="minorHAnsi" w:eastAsiaTheme="minorEastAsia" w:hAnsiTheme="minorHAnsi" w:cstheme="minorBidi"/>
      <w:color w:val="E36C0A" w:themeColor="accent6" w:themeShade="BF"/>
      <w:sz w:val="24"/>
      <w:szCs w:val="24"/>
      <w:lang w:val="en-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2">
    <w:name w:val="List 2"/>
    <w:basedOn w:val="Normal"/>
    <w:uiPriority w:val="99"/>
    <w:semiHidden/>
    <w:unhideWhenUsed/>
    <w:rsid w:val="003B7E42"/>
    <w:pPr>
      <w:ind w:left="566" w:hanging="283"/>
      <w:contextualSpacing/>
    </w:pPr>
    <w:rPr>
      <w:rFonts w:eastAsia="SimSun"/>
      <w:lang w:val="en-GB"/>
    </w:rPr>
  </w:style>
  <w:style w:type="paragraph" w:styleId="List3">
    <w:name w:val="List 3"/>
    <w:basedOn w:val="Normal"/>
    <w:uiPriority w:val="99"/>
    <w:semiHidden/>
    <w:unhideWhenUsed/>
    <w:rsid w:val="003B7E42"/>
    <w:pPr>
      <w:ind w:left="849" w:hanging="283"/>
      <w:contextualSpacing/>
    </w:pPr>
    <w:rPr>
      <w:rFonts w:eastAsia="SimSun"/>
      <w:lang w:val="en-GB"/>
    </w:rPr>
  </w:style>
  <w:style w:type="paragraph" w:styleId="List4">
    <w:name w:val="List 4"/>
    <w:basedOn w:val="Normal"/>
    <w:uiPriority w:val="99"/>
    <w:semiHidden/>
    <w:unhideWhenUsed/>
    <w:rsid w:val="003B7E42"/>
    <w:pPr>
      <w:ind w:left="1132" w:hanging="283"/>
      <w:contextualSpacing/>
    </w:pPr>
    <w:rPr>
      <w:rFonts w:eastAsia="SimSun"/>
      <w:lang w:val="en-GB"/>
    </w:rPr>
  </w:style>
  <w:style w:type="paragraph" w:styleId="List5">
    <w:name w:val="List 5"/>
    <w:basedOn w:val="Normal"/>
    <w:uiPriority w:val="99"/>
    <w:semiHidden/>
    <w:unhideWhenUsed/>
    <w:rsid w:val="003B7E42"/>
    <w:pPr>
      <w:ind w:left="1415" w:hanging="283"/>
      <w:contextualSpacing/>
    </w:pPr>
    <w:rPr>
      <w:rFonts w:eastAsia="SimSun"/>
      <w:lang w:val="en-GB"/>
    </w:rPr>
  </w:style>
  <w:style w:type="paragraph" w:styleId="ListBullet2">
    <w:name w:val="List Bullet 2"/>
    <w:basedOn w:val="Normal"/>
    <w:uiPriority w:val="99"/>
    <w:semiHidden/>
    <w:unhideWhenUsed/>
    <w:rsid w:val="003B7E42"/>
    <w:pPr>
      <w:tabs>
        <w:tab w:val="num" w:pos="643"/>
      </w:tabs>
      <w:ind w:left="643" w:hanging="360"/>
      <w:contextualSpacing/>
    </w:pPr>
    <w:rPr>
      <w:rFonts w:eastAsia="SimSun"/>
      <w:lang w:val="en-GB"/>
    </w:rPr>
  </w:style>
  <w:style w:type="paragraph" w:styleId="ListBullet3">
    <w:name w:val="List Bullet 3"/>
    <w:basedOn w:val="Normal"/>
    <w:uiPriority w:val="99"/>
    <w:semiHidden/>
    <w:unhideWhenUsed/>
    <w:rsid w:val="003B7E42"/>
    <w:pPr>
      <w:tabs>
        <w:tab w:val="num" w:pos="926"/>
      </w:tabs>
      <w:ind w:left="926" w:hanging="360"/>
      <w:contextualSpacing/>
    </w:pPr>
    <w:rPr>
      <w:rFonts w:eastAsia="SimSun"/>
      <w:lang w:val="en-GB"/>
    </w:rPr>
  </w:style>
  <w:style w:type="paragraph" w:styleId="ListBullet4">
    <w:name w:val="List Bullet 4"/>
    <w:basedOn w:val="Normal"/>
    <w:uiPriority w:val="99"/>
    <w:semiHidden/>
    <w:unhideWhenUsed/>
    <w:rsid w:val="003B7E42"/>
    <w:pPr>
      <w:tabs>
        <w:tab w:val="num" w:pos="1209"/>
      </w:tabs>
      <w:ind w:left="1209" w:hanging="360"/>
      <w:contextualSpacing/>
    </w:pPr>
    <w:rPr>
      <w:rFonts w:eastAsia="SimSun"/>
      <w:lang w:val="en-GB"/>
    </w:rPr>
  </w:style>
  <w:style w:type="paragraph" w:styleId="ListBullet5">
    <w:name w:val="List Bullet 5"/>
    <w:basedOn w:val="Normal"/>
    <w:uiPriority w:val="99"/>
    <w:semiHidden/>
    <w:unhideWhenUsed/>
    <w:rsid w:val="003B7E42"/>
    <w:pPr>
      <w:tabs>
        <w:tab w:val="num" w:pos="1492"/>
      </w:tabs>
      <w:ind w:left="1492" w:hanging="360"/>
      <w:contextualSpacing/>
    </w:pPr>
    <w:rPr>
      <w:rFonts w:eastAsia="SimSun"/>
      <w:lang w:val="en-GB"/>
    </w:rPr>
  </w:style>
  <w:style w:type="paragraph" w:styleId="ListContinue">
    <w:name w:val="List Continue"/>
    <w:basedOn w:val="Normal"/>
    <w:uiPriority w:val="99"/>
    <w:semiHidden/>
    <w:unhideWhenUsed/>
    <w:rsid w:val="003B7E42"/>
    <w:pPr>
      <w:spacing w:after="120"/>
      <w:ind w:left="283"/>
      <w:contextualSpacing/>
    </w:pPr>
    <w:rPr>
      <w:rFonts w:eastAsia="SimSun"/>
      <w:lang w:val="en-GB"/>
    </w:rPr>
  </w:style>
  <w:style w:type="paragraph" w:styleId="ListContinue2">
    <w:name w:val="List Continue 2"/>
    <w:basedOn w:val="Normal"/>
    <w:uiPriority w:val="99"/>
    <w:semiHidden/>
    <w:unhideWhenUsed/>
    <w:rsid w:val="003B7E42"/>
    <w:pPr>
      <w:spacing w:after="120"/>
      <w:ind w:left="566"/>
      <w:contextualSpacing/>
    </w:pPr>
    <w:rPr>
      <w:rFonts w:eastAsia="SimSun"/>
      <w:lang w:val="en-GB"/>
    </w:rPr>
  </w:style>
  <w:style w:type="paragraph" w:styleId="ListContinue3">
    <w:name w:val="List Continue 3"/>
    <w:basedOn w:val="Normal"/>
    <w:uiPriority w:val="99"/>
    <w:semiHidden/>
    <w:unhideWhenUsed/>
    <w:rsid w:val="003B7E42"/>
    <w:pPr>
      <w:spacing w:after="120"/>
      <w:ind w:left="849"/>
      <w:contextualSpacing/>
    </w:pPr>
    <w:rPr>
      <w:rFonts w:eastAsia="SimSun"/>
      <w:lang w:val="en-GB"/>
    </w:rPr>
  </w:style>
  <w:style w:type="paragraph" w:styleId="ListContinue4">
    <w:name w:val="List Continue 4"/>
    <w:basedOn w:val="Normal"/>
    <w:uiPriority w:val="99"/>
    <w:semiHidden/>
    <w:unhideWhenUsed/>
    <w:rsid w:val="003B7E42"/>
    <w:pPr>
      <w:spacing w:after="120"/>
      <w:ind w:left="1132"/>
      <w:contextualSpacing/>
    </w:pPr>
    <w:rPr>
      <w:rFonts w:eastAsia="SimSun"/>
      <w:lang w:val="en-GB"/>
    </w:rPr>
  </w:style>
  <w:style w:type="paragraph" w:styleId="ListContinue5">
    <w:name w:val="List Continue 5"/>
    <w:basedOn w:val="Normal"/>
    <w:uiPriority w:val="99"/>
    <w:semiHidden/>
    <w:unhideWhenUsed/>
    <w:rsid w:val="003B7E42"/>
    <w:pPr>
      <w:spacing w:after="120"/>
      <w:ind w:left="1415"/>
      <w:contextualSpacing/>
    </w:pPr>
    <w:rPr>
      <w:rFonts w:eastAsia="SimSun"/>
      <w:lang w:val="en-GB"/>
    </w:rPr>
  </w:style>
  <w:style w:type="paragraph" w:styleId="ListNumber">
    <w:name w:val="List Number"/>
    <w:basedOn w:val="Normal"/>
    <w:uiPriority w:val="99"/>
    <w:semiHidden/>
    <w:unhideWhenUsed/>
    <w:rsid w:val="003B7E42"/>
    <w:pPr>
      <w:tabs>
        <w:tab w:val="num" w:pos="360"/>
      </w:tabs>
      <w:ind w:left="360" w:hanging="360"/>
      <w:contextualSpacing/>
    </w:pPr>
    <w:rPr>
      <w:rFonts w:eastAsia="SimSun"/>
      <w:lang w:val="en-GB"/>
    </w:rPr>
  </w:style>
  <w:style w:type="paragraph" w:styleId="ListNumber2">
    <w:name w:val="List Number 2"/>
    <w:basedOn w:val="Normal"/>
    <w:uiPriority w:val="99"/>
    <w:semiHidden/>
    <w:unhideWhenUsed/>
    <w:rsid w:val="003B7E42"/>
    <w:pPr>
      <w:tabs>
        <w:tab w:val="num" w:pos="643"/>
      </w:tabs>
      <w:ind w:left="643" w:hanging="360"/>
      <w:contextualSpacing/>
    </w:pPr>
    <w:rPr>
      <w:rFonts w:eastAsia="SimSun"/>
      <w:lang w:val="en-GB"/>
    </w:rPr>
  </w:style>
  <w:style w:type="paragraph" w:styleId="ListNumber3">
    <w:name w:val="List Number 3"/>
    <w:basedOn w:val="Normal"/>
    <w:uiPriority w:val="99"/>
    <w:semiHidden/>
    <w:unhideWhenUsed/>
    <w:rsid w:val="003B7E42"/>
    <w:pPr>
      <w:tabs>
        <w:tab w:val="num" w:pos="926"/>
      </w:tabs>
      <w:ind w:left="926" w:hanging="360"/>
      <w:contextualSpacing/>
    </w:pPr>
    <w:rPr>
      <w:rFonts w:eastAsia="SimSun"/>
      <w:lang w:val="en-GB"/>
    </w:rPr>
  </w:style>
  <w:style w:type="paragraph" w:styleId="ListNumber4">
    <w:name w:val="List Number 4"/>
    <w:basedOn w:val="Normal"/>
    <w:uiPriority w:val="99"/>
    <w:semiHidden/>
    <w:unhideWhenUsed/>
    <w:rsid w:val="003B7E42"/>
    <w:pPr>
      <w:tabs>
        <w:tab w:val="num" w:pos="1209"/>
      </w:tabs>
      <w:ind w:left="1209" w:hanging="360"/>
      <w:contextualSpacing/>
    </w:pPr>
    <w:rPr>
      <w:rFonts w:eastAsia="SimSun"/>
      <w:lang w:val="en-GB"/>
    </w:rPr>
  </w:style>
  <w:style w:type="table" w:styleId="ListTable1Light">
    <w:name w:val="List Table 1 Light"/>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7E42"/>
    <w:rPr>
      <w:rFonts w:asciiTheme="minorHAnsi" w:eastAsiaTheme="minorEastAsia" w:hAnsiTheme="minorHAnsi" w:cstheme="minorBidi"/>
      <w:color w:val="FFFFFF" w:themeColor="background1"/>
      <w:sz w:val="24"/>
      <w:szCs w:val="24"/>
      <w:lang w:val="en-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7E42"/>
    <w:rPr>
      <w:rFonts w:asciiTheme="minorHAnsi" w:eastAsiaTheme="minorEastAsia" w:hAnsiTheme="minorHAnsi" w:cstheme="minorBidi"/>
      <w:color w:val="365F91" w:themeColor="accent1" w:themeShade="BF"/>
      <w:sz w:val="24"/>
      <w:szCs w:val="24"/>
      <w:lang w:val="en-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B7E42"/>
    <w:rPr>
      <w:rFonts w:asciiTheme="minorHAnsi" w:eastAsiaTheme="minorEastAsia" w:hAnsiTheme="minorHAnsi" w:cstheme="minorBidi"/>
      <w:color w:val="943634" w:themeColor="accent2" w:themeShade="BF"/>
      <w:sz w:val="24"/>
      <w:szCs w:val="24"/>
      <w:lang w:val="en-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B7E42"/>
    <w:rPr>
      <w:rFonts w:asciiTheme="minorHAnsi" w:eastAsiaTheme="minorEastAsia" w:hAnsiTheme="minorHAnsi" w:cstheme="minorBidi"/>
      <w:color w:val="76923C" w:themeColor="accent3" w:themeShade="BF"/>
      <w:sz w:val="24"/>
      <w:szCs w:val="24"/>
      <w:lang w:val="en-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B7E42"/>
    <w:rPr>
      <w:rFonts w:asciiTheme="minorHAnsi" w:eastAsiaTheme="minorEastAsia" w:hAnsiTheme="minorHAnsi" w:cstheme="minorBidi"/>
      <w:color w:val="5F497A" w:themeColor="accent4" w:themeShade="BF"/>
      <w:sz w:val="24"/>
      <w:szCs w:val="24"/>
      <w:lang w:val="en-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B7E42"/>
    <w:rPr>
      <w:rFonts w:asciiTheme="minorHAnsi" w:eastAsiaTheme="minorEastAsia" w:hAnsiTheme="minorHAnsi" w:cstheme="minorBidi"/>
      <w:color w:val="31849B" w:themeColor="accent5" w:themeShade="BF"/>
      <w:sz w:val="24"/>
      <w:szCs w:val="24"/>
      <w:lang w:val="en-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B7E42"/>
    <w:rPr>
      <w:rFonts w:asciiTheme="minorHAnsi" w:eastAsiaTheme="minorEastAsia" w:hAnsiTheme="minorHAnsi" w:cstheme="minorBidi"/>
      <w:color w:val="E36C0A" w:themeColor="accent6" w:themeShade="BF"/>
      <w:sz w:val="24"/>
      <w:szCs w:val="24"/>
      <w:lang w:val="en-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7E42"/>
    <w:rPr>
      <w:rFonts w:asciiTheme="minorHAnsi" w:eastAsiaTheme="minorEastAsia" w:hAnsiTheme="minorHAnsi" w:cstheme="minorBidi"/>
      <w:color w:val="365F91" w:themeColor="accent1"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7E42"/>
    <w:rPr>
      <w:rFonts w:asciiTheme="minorHAnsi" w:eastAsiaTheme="minorEastAsia" w:hAnsiTheme="minorHAnsi" w:cstheme="minorBidi"/>
      <w:color w:val="943634" w:themeColor="accent2"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7E42"/>
    <w:rPr>
      <w:rFonts w:asciiTheme="minorHAnsi" w:eastAsiaTheme="minorEastAsia" w:hAnsiTheme="minorHAnsi" w:cstheme="minorBidi"/>
      <w:color w:val="76923C" w:themeColor="accent3"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7E42"/>
    <w:rPr>
      <w:rFonts w:asciiTheme="minorHAnsi" w:eastAsiaTheme="minorEastAsia" w:hAnsiTheme="minorHAnsi" w:cstheme="minorBidi"/>
      <w:color w:val="5F497A" w:themeColor="accent4"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7E42"/>
    <w:rPr>
      <w:rFonts w:asciiTheme="minorHAnsi" w:eastAsiaTheme="minorEastAsia" w:hAnsiTheme="minorHAnsi" w:cstheme="minorBidi"/>
      <w:color w:val="31849B" w:themeColor="accent5"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7E42"/>
    <w:rPr>
      <w:rFonts w:asciiTheme="minorHAnsi" w:eastAsiaTheme="minorEastAsia" w:hAnsiTheme="minorHAnsi" w:cstheme="minorBidi"/>
      <w:color w:val="E36C0A" w:themeColor="accent6" w:themeShade="BF"/>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B7E42"/>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eastAsia="en-US"/>
    </w:rPr>
  </w:style>
  <w:style w:type="character" w:customStyle="1" w:styleId="MacroTextChar">
    <w:name w:val="Macro Text Char"/>
    <w:basedOn w:val="DefaultParagraphFont"/>
    <w:link w:val="MacroText"/>
    <w:uiPriority w:val="99"/>
    <w:semiHidden/>
    <w:rsid w:val="003B7E42"/>
    <w:rPr>
      <w:rFonts w:ascii="Consolas" w:eastAsia="SimSun" w:hAnsi="Consolas"/>
      <w:sz w:val="20"/>
      <w:szCs w:val="20"/>
      <w:lang w:val="en-GB" w:eastAsia="en-US"/>
    </w:rPr>
  </w:style>
  <w:style w:type="table" w:styleId="MediumGrid1">
    <w:name w:val="Medium Grid 1"/>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B7E42"/>
    <w:rPr>
      <w:rFonts w:asciiTheme="minorHAnsi" w:eastAsiaTheme="minorEastAsia" w:hAnsiTheme="minorHAnsi" w:cstheme="minorBidi"/>
      <w:color w:val="000000" w:themeColor="text1"/>
      <w:sz w:val="24"/>
      <w:szCs w:val="24"/>
      <w:lang w:val="en-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B7E42"/>
    <w:rPr>
      <w:rFonts w:asciiTheme="majorHAnsi" w:eastAsiaTheme="majorEastAsia" w:hAnsiTheme="majorHAnsi" w:cstheme="majorBidi"/>
      <w:color w:val="000000" w:themeColor="text1"/>
      <w:sz w:val="24"/>
      <w:szCs w:val="24"/>
      <w:lang w:val="en-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B7E42"/>
    <w:rPr>
      <w:rFonts w:asciiTheme="minorHAnsi" w:eastAsiaTheme="minorEastAsia" w:hAnsiTheme="minorHAnsi" w:cstheme="minorBidi"/>
      <w:sz w:val="24"/>
      <w:szCs w:val="24"/>
      <w:lang w:val="en-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B7E4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3B7E42"/>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3B7E42"/>
    <w:pPr>
      <w:ind w:left="720"/>
    </w:pPr>
    <w:rPr>
      <w:rFonts w:eastAsia="SimSun"/>
      <w:lang w:val="en-GB"/>
    </w:rPr>
  </w:style>
  <w:style w:type="paragraph" w:styleId="NoteHeading">
    <w:name w:val="Note Heading"/>
    <w:basedOn w:val="Normal"/>
    <w:next w:val="Normal"/>
    <w:link w:val="NoteHeadingChar"/>
    <w:uiPriority w:val="99"/>
    <w:semiHidden/>
    <w:unhideWhenUsed/>
    <w:rsid w:val="003B7E42"/>
    <w:rPr>
      <w:rFonts w:eastAsia="SimSun"/>
      <w:lang w:val="en-GB"/>
    </w:rPr>
  </w:style>
  <w:style w:type="character" w:customStyle="1" w:styleId="NoteHeadingChar">
    <w:name w:val="Note Heading Char"/>
    <w:basedOn w:val="DefaultParagraphFont"/>
    <w:link w:val="NoteHeading"/>
    <w:uiPriority w:val="99"/>
    <w:semiHidden/>
    <w:rsid w:val="003B7E42"/>
    <w:rPr>
      <w:rFonts w:ascii="Times New Roman" w:eastAsia="SimSun" w:hAnsi="Times New Roman"/>
      <w:lang w:val="en-GB" w:eastAsia="en-US"/>
    </w:rPr>
  </w:style>
  <w:style w:type="table" w:styleId="PlainTable2">
    <w:name w:val="Plain Table 2"/>
    <w:basedOn w:val="TableNormal"/>
    <w:uiPriority w:val="42"/>
    <w:rsid w:val="003B7E42"/>
    <w:rPr>
      <w:rFonts w:asciiTheme="minorHAnsi" w:eastAsiaTheme="minorEastAsia" w:hAnsiTheme="minorHAnsi" w:cstheme="minorBidi"/>
      <w:sz w:val="24"/>
      <w:szCs w:val="24"/>
      <w:lang w:val="en-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3B7E42"/>
    <w:rPr>
      <w:rFonts w:asciiTheme="minorHAnsi" w:eastAsiaTheme="minorEastAsia" w:hAnsiTheme="minorHAnsi" w:cstheme="minorBidi"/>
      <w:sz w:val="24"/>
      <w:szCs w:val="24"/>
      <w:lang w:val="en-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3B7E42"/>
    <w:pPr>
      <w:spacing w:before="200" w:after="160"/>
      <w:ind w:left="864" w:right="864"/>
      <w:jc w:val="center"/>
    </w:pPr>
    <w:rPr>
      <w:rFonts w:eastAsia="SimSun"/>
      <w:i/>
      <w:iCs/>
      <w:color w:val="404040" w:themeColor="text1" w:themeTint="BF"/>
      <w:lang w:val="en-GB"/>
    </w:rPr>
  </w:style>
  <w:style w:type="character" w:customStyle="1" w:styleId="QuoteChar">
    <w:name w:val="Quote Char"/>
    <w:basedOn w:val="DefaultParagraphFont"/>
    <w:link w:val="Quote"/>
    <w:uiPriority w:val="29"/>
    <w:rsid w:val="003B7E42"/>
    <w:rPr>
      <w:rFonts w:ascii="Times New Roman" w:eastAsia="SimSun" w:hAnsi="Times New Roman"/>
      <w:i/>
      <w:iCs/>
      <w:color w:val="404040" w:themeColor="text1" w:themeTint="BF"/>
      <w:lang w:val="en-GB" w:eastAsia="en-US"/>
    </w:rPr>
  </w:style>
  <w:style w:type="paragraph" w:styleId="Salutation">
    <w:name w:val="Salutation"/>
    <w:basedOn w:val="Normal"/>
    <w:next w:val="Normal"/>
    <w:link w:val="SalutationChar"/>
    <w:uiPriority w:val="99"/>
    <w:semiHidden/>
    <w:unhideWhenUsed/>
    <w:rsid w:val="003B7E42"/>
    <w:rPr>
      <w:rFonts w:eastAsia="SimSun"/>
      <w:lang w:val="en-GB"/>
    </w:rPr>
  </w:style>
  <w:style w:type="character" w:customStyle="1" w:styleId="SalutationChar">
    <w:name w:val="Salutation Char"/>
    <w:basedOn w:val="DefaultParagraphFont"/>
    <w:link w:val="Salutation"/>
    <w:uiPriority w:val="99"/>
    <w:semiHidden/>
    <w:rsid w:val="003B7E42"/>
    <w:rPr>
      <w:rFonts w:ascii="Times New Roman" w:eastAsia="SimSun" w:hAnsi="Times New Roman"/>
      <w:lang w:val="en-GB" w:eastAsia="en-US"/>
    </w:rPr>
  </w:style>
  <w:style w:type="paragraph" w:styleId="Signature">
    <w:name w:val="Signature"/>
    <w:basedOn w:val="Normal"/>
    <w:link w:val="SignatureChar"/>
    <w:uiPriority w:val="99"/>
    <w:semiHidden/>
    <w:unhideWhenUsed/>
    <w:rsid w:val="003B7E42"/>
    <w:pPr>
      <w:ind w:left="4252"/>
    </w:pPr>
    <w:rPr>
      <w:rFonts w:eastAsia="SimSun"/>
      <w:lang w:val="en-GB"/>
    </w:rPr>
  </w:style>
  <w:style w:type="character" w:customStyle="1" w:styleId="SignatureChar">
    <w:name w:val="Signature Char"/>
    <w:basedOn w:val="DefaultParagraphFont"/>
    <w:link w:val="Signature"/>
    <w:uiPriority w:val="99"/>
    <w:semiHidden/>
    <w:rsid w:val="003B7E42"/>
    <w:rPr>
      <w:rFonts w:ascii="Times New Roman" w:eastAsia="SimSun" w:hAnsi="Times New Roman"/>
      <w:lang w:val="en-GB" w:eastAsia="en-US"/>
    </w:rPr>
  </w:style>
  <w:style w:type="character" w:customStyle="1" w:styleId="SmartHyperlink1">
    <w:name w:val="Smart Hyperlink1"/>
    <w:basedOn w:val="DefaultParagraphFont"/>
    <w:uiPriority w:val="99"/>
    <w:semiHidden/>
    <w:unhideWhenUsed/>
    <w:rsid w:val="003B7E42"/>
    <w:rPr>
      <w:u w:val="dotted"/>
      <w:lang w:val="en-GB"/>
    </w:rPr>
  </w:style>
  <w:style w:type="character" w:customStyle="1" w:styleId="SmartLink1">
    <w:name w:val="SmartLink1"/>
    <w:basedOn w:val="DefaultParagraphFont"/>
    <w:uiPriority w:val="99"/>
    <w:semiHidden/>
    <w:unhideWhenUsed/>
    <w:rsid w:val="003B7E42"/>
    <w:rPr>
      <w:color w:val="0000FF"/>
      <w:u w:val="single"/>
      <w:shd w:val="clear" w:color="auto" w:fill="F3F2F1"/>
      <w:lang w:val="en-GB"/>
    </w:rPr>
  </w:style>
  <w:style w:type="character" w:styleId="SubtleEmphasis">
    <w:name w:val="Subtle Emphasis"/>
    <w:basedOn w:val="DefaultParagraphFont"/>
    <w:uiPriority w:val="19"/>
    <w:qFormat/>
    <w:rsid w:val="003B7E42"/>
    <w:rPr>
      <w:i/>
      <w:iCs/>
      <w:color w:val="404040" w:themeColor="text1" w:themeTint="BF"/>
      <w:lang w:val="en-GB"/>
    </w:rPr>
  </w:style>
  <w:style w:type="character" w:styleId="SubtleReference">
    <w:name w:val="Subtle Reference"/>
    <w:basedOn w:val="DefaultParagraphFont"/>
    <w:uiPriority w:val="31"/>
    <w:qFormat/>
    <w:rsid w:val="003B7E42"/>
    <w:rPr>
      <w:smallCaps/>
      <w:color w:val="5A5A5A" w:themeColor="text1" w:themeTint="A5"/>
      <w:lang w:val="en-GB"/>
    </w:rPr>
  </w:style>
  <w:style w:type="table" w:styleId="Table3Deffects1">
    <w:name w:val="Table 3D effects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en-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en-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b/>
      <w:bCs/>
      <w:sz w:val="24"/>
      <w:szCs w:val="24"/>
      <w:lang w:val="en-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b/>
      <w:bCs/>
      <w:sz w:val="24"/>
      <w:szCs w:val="24"/>
      <w:lang w:val="en-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b/>
      <w:bCs/>
      <w:sz w:val="24"/>
      <w:szCs w:val="24"/>
      <w:lang w:val="en-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5">
    <w:name w:val="Table Grid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b/>
      <w:bCs/>
      <w:sz w:val="24"/>
      <w:szCs w:val="24"/>
      <w:lang w:val="en-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B7E42"/>
    <w:rPr>
      <w:rFonts w:asciiTheme="minorHAnsi" w:eastAsiaTheme="minorEastAsia" w:hAnsiTheme="minorHAnsi" w:cstheme="minorBidi"/>
      <w:sz w:val="24"/>
      <w:szCs w:val="24"/>
      <w:lang w:val="en-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B7E42"/>
    <w:pPr>
      <w:tabs>
        <w:tab w:val="clear" w:pos="567"/>
        <w:tab w:val="clear" w:pos="1134"/>
        <w:tab w:val="clear" w:pos="1701"/>
        <w:tab w:val="clear" w:pos="2268"/>
      </w:tabs>
      <w:ind w:left="220" w:hanging="220"/>
    </w:pPr>
    <w:rPr>
      <w:rFonts w:eastAsia="SimSun"/>
      <w:lang w:val="en-GB"/>
    </w:rPr>
  </w:style>
  <w:style w:type="paragraph" w:styleId="TableofFigures">
    <w:name w:val="table of figures"/>
    <w:basedOn w:val="Normal"/>
    <w:next w:val="Normal"/>
    <w:uiPriority w:val="99"/>
    <w:semiHidden/>
    <w:unhideWhenUsed/>
    <w:rsid w:val="003B7E42"/>
    <w:pPr>
      <w:tabs>
        <w:tab w:val="clear" w:pos="567"/>
        <w:tab w:val="clear" w:pos="1134"/>
        <w:tab w:val="clear" w:pos="1701"/>
        <w:tab w:val="clear" w:pos="2268"/>
      </w:tabs>
    </w:pPr>
    <w:rPr>
      <w:rFonts w:eastAsia="SimSun"/>
      <w:lang w:val="en-GB"/>
    </w:rPr>
  </w:style>
  <w:style w:type="table" w:styleId="TableProfessional">
    <w:name w:val="Table Professional"/>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B7E42"/>
    <w:pPr>
      <w:tabs>
        <w:tab w:val="left" w:pos="567"/>
        <w:tab w:val="left" w:pos="1134"/>
        <w:tab w:val="left" w:pos="1701"/>
        <w:tab w:val="left" w:pos="2268"/>
      </w:tabs>
      <w:jc w:val="both"/>
    </w:pPr>
    <w:rPr>
      <w:rFonts w:asciiTheme="minorHAnsi" w:eastAsiaTheme="minorEastAsia" w:hAnsiTheme="minorHAnsi" w:cstheme="minorBidi"/>
      <w:sz w:val="24"/>
      <w:szCs w:val="24"/>
      <w:lang w:val="en-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ashtag">
    <w:name w:val="Hashtag"/>
    <w:basedOn w:val="DefaultParagraphFont"/>
    <w:uiPriority w:val="99"/>
    <w:semiHidden/>
    <w:unhideWhenUsed/>
    <w:rsid w:val="003B7E42"/>
    <w:rPr>
      <w:color w:val="2B579A"/>
      <w:shd w:val="clear" w:color="auto" w:fill="E1DFDD"/>
      <w:lang w:val="en-GB"/>
    </w:rPr>
  </w:style>
  <w:style w:type="character" w:styleId="SmartHyperlink">
    <w:name w:val="Smart Hyperlink"/>
    <w:basedOn w:val="DefaultParagraphFont"/>
    <w:uiPriority w:val="99"/>
    <w:semiHidden/>
    <w:unhideWhenUsed/>
    <w:rsid w:val="003B7E42"/>
    <w:rPr>
      <w:u w:val="dotted"/>
      <w:lang w:val="en-GB"/>
    </w:rPr>
  </w:style>
  <w:style w:type="character" w:customStyle="1" w:styleId="SmartLink2">
    <w:name w:val="SmartLink2"/>
    <w:basedOn w:val="DefaultParagraphFont"/>
    <w:uiPriority w:val="99"/>
    <w:semiHidden/>
    <w:unhideWhenUsed/>
    <w:rsid w:val="003B7E42"/>
    <w:rPr>
      <w:color w:val="0000FF"/>
      <w:u w:val="single"/>
      <w:shd w:val="clear" w:color="auto" w:fill="F3F2F1"/>
      <w:lang w:val="en-GB"/>
    </w:rPr>
  </w:style>
  <w:style w:type="paragraph" w:customStyle="1" w:styleId="xl71">
    <w:name w:val="xl71"/>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2">
    <w:name w:val="xl72"/>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5">
    <w:name w:val="xl75"/>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6">
    <w:name w:val="xl76"/>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9">
    <w:name w:val="xl79"/>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val="en-GB" w:eastAsia="en-CA"/>
    </w:rPr>
  </w:style>
  <w:style w:type="paragraph" w:customStyle="1" w:styleId="xl80">
    <w:name w:val="xl80"/>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81">
    <w:name w:val="xl81"/>
    <w:basedOn w:val="Normal"/>
    <w:rsid w:val="003B7E42"/>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AFCorNNormal">
    <w:name w:val="AF_CorNNormal"/>
    <w:basedOn w:val="Normal"/>
    <w:unhideWhenUsed/>
    <w:rsid w:val="003B7E42"/>
    <w:pPr>
      <w:jc w:val="left"/>
    </w:pPr>
    <w:rPr>
      <w:rFonts w:eastAsia="SimSun"/>
      <w:lang w:val="en-GB"/>
    </w:rPr>
  </w:style>
  <w:style w:type="paragraph" w:customStyle="1" w:styleId="AFCorNBold">
    <w:name w:val="AF_CorNBold"/>
    <w:basedOn w:val="AFCorNNormal"/>
    <w:next w:val="AFCorNNormal"/>
    <w:unhideWhenUsed/>
    <w:qFormat/>
    <w:rsid w:val="003B7E42"/>
    <w:rPr>
      <w:b/>
    </w:rPr>
  </w:style>
  <w:style w:type="paragraph" w:customStyle="1" w:styleId="AFCorN12Bold">
    <w:name w:val="AF_CorN12Bold"/>
    <w:basedOn w:val="AFCorNNormal"/>
    <w:next w:val="AFCorNNormal"/>
    <w:unhideWhenUsed/>
    <w:qFormat/>
    <w:rsid w:val="003B7E42"/>
    <w:rPr>
      <w:b/>
      <w:sz w:val="24"/>
    </w:rPr>
  </w:style>
  <w:style w:type="table" w:customStyle="1" w:styleId="TableGrid141">
    <w:name w:val="Table Grid141"/>
    <w:basedOn w:val="TableNormal"/>
    <w:next w:val="TableGrid"/>
    <w:uiPriority w:val="39"/>
    <w:qFormat/>
    <w:rsid w:val="006D5DBD"/>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5E77FA"/>
  </w:style>
  <w:style w:type="table" w:customStyle="1" w:styleId="TableGrid150">
    <w:name w:val="Table Grid15"/>
    <w:basedOn w:val="TableNormal"/>
    <w:next w:val="TableGrid"/>
    <w:uiPriority w:val="59"/>
    <w:rsid w:val="005E77FA"/>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qFormat/>
    <w:rsid w:val="005E77FA"/>
    <w:rPr>
      <w:kern w:val="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5E77FA"/>
  </w:style>
  <w:style w:type="numbering" w:customStyle="1" w:styleId="CBDHeadings1">
    <w:name w:val="CBD_Headings1"/>
    <w:basedOn w:val="ListCBD"/>
    <w:uiPriority w:val="99"/>
    <w:rsid w:val="005E77FA"/>
  </w:style>
  <w:style w:type="numbering" w:customStyle="1" w:styleId="NoList13">
    <w:name w:val="No List13"/>
    <w:next w:val="NoList"/>
    <w:uiPriority w:val="99"/>
    <w:semiHidden/>
    <w:unhideWhenUsed/>
    <w:rsid w:val="005E77FA"/>
  </w:style>
  <w:style w:type="numbering" w:customStyle="1" w:styleId="ListCBD11">
    <w:name w:val="ListCBD11"/>
    <w:basedOn w:val="NoList"/>
    <w:uiPriority w:val="99"/>
    <w:rsid w:val="005E77FA"/>
  </w:style>
  <w:style w:type="numbering" w:customStyle="1" w:styleId="CurrentList14">
    <w:name w:val="Current List14"/>
    <w:uiPriority w:val="99"/>
    <w:rsid w:val="005E77FA"/>
  </w:style>
  <w:style w:type="numbering" w:customStyle="1" w:styleId="Style12">
    <w:name w:val="Style12"/>
    <w:uiPriority w:val="99"/>
    <w:rsid w:val="005E77FA"/>
  </w:style>
  <w:style w:type="numbering" w:customStyle="1" w:styleId="CurrentList22">
    <w:name w:val="Current List22"/>
    <w:uiPriority w:val="99"/>
    <w:rsid w:val="005E77FA"/>
  </w:style>
  <w:style w:type="numbering" w:customStyle="1" w:styleId="CurrentList32">
    <w:name w:val="Current List32"/>
    <w:uiPriority w:val="99"/>
    <w:rsid w:val="005E77FA"/>
  </w:style>
  <w:style w:type="numbering" w:customStyle="1" w:styleId="CurrentList42">
    <w:name w:val="Current List42"/>
    <w:uiPriority w:val="99"/>
    <w:rsid w:val="005E77FA"/>
  </w:style>
  <w:style w:type="numbering" w:customStyle="1" w:styleId="CurrentList52">
    <w:name w:val="Current List52"/>
    <w:uiPriority w:val="99"/>
    <w:rsid w:val="005E77FA"/>
  </w:style>
  <w:style w:type="numbering" w:customStyle="1" w:styleId="CurrentList62">
    <w:name w:val="Current List62"/>
    <w:uiPriority w:val="99"/>
    <w:rsid w:val="005E77FA"/>
  </w:style>
  <w:style w:type="numbering" w:customStyle="1" w:styleId="NoList21">
    <w:name w:val="No List21"/>
    <w:next w:val="NoList"/>
    <w:uiPriority w:val="99"/>
    <w:semiHidden/>
    <w:unhideWhenUsed/>
    <w:rsid w:val="005E77FA"/>
  </w:style>
  <w:style w:type="numbering" w:customStyle="1" w:styleId="Style111">
    <w:name w:val="Style111"/>
    <w:uiPriority w:val="99"/>
    <w:rsid w:val="005E77FA"/>
  </w:style>
  <w:style w:type="numbering" w:customStyle="1" w:styleId="CurrentList111">
    <w:name w:val="Current List111"/>
    <w:uiPriority w:val="99"/>
    <w:rsid w:val="005E77FA"/>
  </w:style>
  <w:style w:type="numbering" w:customStyle="1" w:styleId="CurrentList211">
    <w:name w:val="Current List211"/>
    <w:uiPriority w:val="99"/>
    <w:rsid w:val="005E77FA"/>
  </w:style>
  <w:style w:type="numbering" w:customStyle="1" w:styleId="CurrentList311">
    <w:name w:val="Current List311"/>
    <w:uiPriority w:val="99"/>
    <w:rsid w:val="005E77FA"/>
  </w:style>
  <w:style w:type="numbering" w:customStyle="1" w:styleId="CurrentList411">
    <w:name w:val="Current List411"/>
    <w:uiPriority w:val="99"/>
    <w:rsid w:val="005E77FA"/>
  </w:style>
  <w:style w:type="numbering" w:customStyle="1" w:styleId="CurrentList511">
    <w:name w:val="Current List511"/>
    <w:uiPriority w:val="99"/>
    <w:rsid w:val="005E77FA"/>
  </w:style>
  <w:style w:type="numbering" w:customStyle="1" w:styleId="CurrentList611">
    <w:name w:val="Current List611"/>
    <w:uiPriority w:val="99"/>
    <w:rsid w:val="005E77FA"/>
  </w:style>
  <w:style w:type="numbering" w:customStyle="1" w:styleId="NoList31">
    <w:name w:val="No List31"/>
    <w:next w:val="NoList"/>
    <w:uiPriority w:val="99"/>
    <w:semiHidden/>
    <w:unhideWhenUsed/>
    <w:rsid w:val="005E77FA"/>
  </w:style>
  <w:style w:type="numbering" w:customStyle="1" w:styleId="Style24">
    <w:name w:val="Style24"/>
    <w:rsid w:val="005E77FA"/>
  </w:style>
  <w:style w:type="numbering" w:customStyle="1" w:styleId="NoList41">
    <w:name w:val="No List41"/>
    <w:next w:val="NoList"/>
    <w:uiPriority w:val="99"/>
    <w:semiHidden/>
    <w:unhideWhenUsed/>
    <w:rsid w:val="005E77FA"/>
  </w:style>
  <w:style w:type="numbering" w:customStyle="1" w:styleId="CurrentList121">
    <w:name w:val="Current List121"/>
    <w:uiPriority w:val="99"/>
    <w:rsid w:val="005E77FA"/>
  </w:style>
  <w:style w:type="numbering" w:customStyle="1" w:styleId="Style212">
    <w:name w:val="Style212"/>
    <w:rsid w:val="005E77FA"/>
  </w:style>
  <w:style w:type="numbering" w:customStyle="1" w:styleId="NoList111">
    <w:name w:val="No List111"/>
    <w:next w:val="NoList"/>
    <w:uiPriority w:val="99"/>
    <w:semiHidden/>
    <w:unhideWhenUsed/>
    <w:rsid w:val="005E77FA"/>
  </w:style>
  <w:style w:type="numbering" w:customStyle="1" w:styleId="Style2111">
    <w:name w:val="Style2111"/>
    <w:rsid w:val="005E77FA"/>
  </w:style>
  <w:style w:type="numbering" w:customStyle="1" w:styleId="Style221">
    <w:name w:val="Style221"/>
    <w:rsid w:val="005E77FA"/>
  </w:style>
  <w:style w:type="numbering" w:customStyle="1" w:styleId="NoList51">
    <w:name w:val="No List51"/>
    <w:next w:val="NoList"/>
    <w:uiPriority w:val="99"/>
    <w:semiHidden/>
    <w:unhideWhenUsed/>
    <w:rsid w:val="005E77FA"/>
  </w:style>
  <w:style w:type="numbering" w:customStyle="1" w:styleId="NoList61">
    <w:name w:val="No List61"/>
    <w:next w:val="NoList"/>
    <w:uiPriority w:val="99"/>
    <w:semiHidden/>
    <w:unhideWhenUsed/>
    <w:rsid w:val="005E77FA"/>
  </w:style>
  <w:style w:type="numbering" w:customStyle="1" w:styleId="1111111">
    <w:name w:val="1 / 1.1 / 1.1.11"/>
    <w:basedOn w:val="NoList"/>
    <w:next w:val="111111"/>
    <w:rsid w:val="005E77FA"/>
  </w:style>
  <w:style w:type="numbering" w:customStyle="1" w:styleId="Style231">
    <w:name w:val="Style231"/>
    <w:rsid w:val="005E77FA"/>
  </w:style>
  <w:style w:type="numbering" w:customStyle="1" w:styleId="NoList121">
    <w:name w:val="No List121"/>
    <w:next w:val="NoList"/>
    <w:uiPriority w:val="99"/>
    <w:semiHidden/>
    <w:unhideWhenUsed/>
    <w:rsid w:val="005E77FA"/>
  </w:style>
  <w:style w:type="numbering" w:customStyle="1" w:styleId="NoList71">
    <w:name w:val="No List71"/>
    <w:next w:val="NoList"/>
    <w:uiPriority w:val="99"/>
    <w:semiHidden/>
    <w:unhideWhenUsed/>
    <w:rsid w:val="005E77FA"/>
  </w:style>
  <w:style w:type="numbering" w:customStyle="1" w:styleId="NoList81">
    <w:name w:val="No List81"/>
    <w:next w:val="NoList"/>
    <w:uiPriority w:val="99"/>
    <w:semiHidden/>
    <w:unhideWhenUsed/>
    <w:rsid w:val="005E77FA"/>
  </w:style>
  <w:style w:type="numbering" w:customStyle="1" w:styleId="CurrentList131">
    <w:name w:val="Current List131"/>
    <w:uiPriority w:val="99"/>
    <w:rsid w:val="005E77FA"/>
  </w:style>
  <w:style w:type="numbering" w:customStyle="1" w:styleId="NoList10">
    <w:name w:val="No List10"/>
    <w:next w:val="NoList"/>
    <w:uiPriority w:val="99"/>
    <w:semiHidden/>
    <w:unhideWhenUsed/>
    <w:rsid w:val="00382AC2"/>
  </w:style>
  <w:style w:type="table" w:customStyle="1" w:styleId="TableGrid25">
    <w:name w:val="Table Grid25"/>
    <w:uiPriority w:val="99"/>
    <w:rsid w:val="00382AC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uiPriority w:val="99"/>
    <w:rsid w:val="00382AC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382AC2"/>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rsid w:val="00382AC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3">
    <w:name w:val="Table Grid213"/>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uiPriority w:val="99"/>
    <w:rsid w:val="00382AC2"/>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uiPriority w:val="99"/>
    <w:rsid w:val="00382AC2"/>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rsid w:val="00382AC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uiPriority w:val="99"/>
    <w:rsid w:val="00382AC2"/>
    <w:rPr>
      <w:rFonts w:eastAsia="SimSun"/>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382AC2"/>
    <w:rPr>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uiPriority w:val="99"/>
    <w:rsid w:val="00382A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uiPriority w:val="99"/>
    <w:rsid w:val="00382AC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uiPriority w:val="99"/>
    <w:rsid w:val="00382AC2"/>
    <w:rPr>
      <w:rFonts w:eastAsia="SimSu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33">
    <w:name w:val="Current List33"/>
    <w:rsid w:val="00382AC2"/>
  </w:style>
  <w:style w:type="numbering" w:customStyle="1" w:styleId="CurrentList43">
    <w:name w:val="Current List43"/>
    <w:rsid w:val="00382AC2"/>
  </w:style>
  <w:style w:type="numbering" w:customStyle="1" w:styleId="Style232">
    <w:name w:val="Style232"/>
    <w:rsid w:val="00382AC2"/>
  </w:style>
  <w:style w:type="numbering" w:customStyle="1" w:styleId="CurrentList512">
    <w:name w:val="Current List512"/>
    <w:rsid w:val="00382AC2"/>
  </w:style>
  <w:style w:type="numbering" w:customStyle="1" w:styleId="Style13">
    <w:name w:val="Style13"/>
    <w:rsid w:val="00382AC2"/>
  </w:style>
  <w:style w:type="numbering" w:customStyle="1" w:styleId="CurrentList15">
    <w:name w:val="Current List15"/>
    <w:rsid w:val="00382AC2"/>
  </w:style>
  <w:style w:type="numbering" w:customStyle="1" w:styleId="Style25">
    <w:name w:val="Style25"/>
    <w:rsid w:val="00382AC2"/>
  </w:style>
  <w:style w:type="numbering" w:customStyle="1" w:styleId="ListCBD12">
    <w:name w:val="ListCBD12"/>
    <w:rsid w:val="00382AC2"/>
  </w:style>
  <w:style w:type="numbering" w:customStyle="1" w:styleId="CurrentList412">
    <w:name w:val="Current List412"/>
    <w:rsid w:val="00382AC2"/>
  </w:style>
  <w:style w:type="numbering" w:customStyle="1" w:styleId="CurrentList53">
    <w:name w:val="Current List53"/>
    <w:rsid w:val="00382AC2"/>
  </w:style>
  <w:style w:type="numbering" w:customStyle="1" w:styleId="1111112">
    <w:name w:val="1 / 1.1 / 1.1.12"/>
    <w:basedOn w:val="NoList"/>
    <w:next w:val="111111"/>
    <w:rsid w:val="00382AC2"/>
  </w:style>
  <w:style w:type="numbering" w:customStyle="1" w:styleId="CurrentList112">
    <w:name w:val="Current List112"/>
    <w:rsid w:val="00382AC2"/>
  </w:style>
  <w:style w:type="numbering" w:customStyle="1" w:styleId="CurrentList63">
    <w:name w:val="Current List63"/>
    <w:rsid w:val="00382AC2"/>
  </w:style>
  <w:style w:type="numbering" w:customStyle="1" w:styleId="CurrentList23">
    <w:name w:val="Current List23"/>
    <w:rsid w:val="00382AC2"/>
  </w:style>
  <w:style w:type="numbering" w:customStyle="1" w:styleId="CBDHeadings2">
    <w:name w:val="CBD_Headings2"/>
    <w:rsid w:val="00382AC2"/>
  </w:style>
  <w:style w:type="numbering" w:customStyle="1" w:styleId="CurrentList212">
    <w:name w:val="Current List212"/>
    <w:rsid w:val="00382AC2"/>
  </w:style>
  <w:style w:type="table" w:customStyle="1" w:styleId="TableGrid103">
    <w:name w:val="Table Grid103"/>
    <w:basedOn w:val="TableNormal"/>
    <w:next w:val="TableGrid"/>
    <w:uiPriority w:val="39"/>
    <w:rsid w:val="00382AC2"/>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A528CF"/>
  </w:style>
  <w:style w:type="table" w:customStyle="1" w:styleId="TableGrid17">
    <w:name w:val="Table Grid17"/>
    <w:basedOn w:val="TableNormal"/>
    <w:next w:val="TableGrid"/>
    <w:uiPriority w:val="59"/>
    <w:rsid w:val="00A528CF"/>
    <w:rPr>
      <w:rFonts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A528CF"/>
    <w:rPr>
      <w:rFonts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A528CF"/>
  </w:style>
  <w:style w:type="numbering" w:customStyle="1" w:styleId="CBDHeadings3">
    <w:name w:val="CBD_Headings3"/>
    <w:basedOn w:val="ListCBD"/>
    <w:uiPriority w:val="99"/>
    <w:rsid w:val="00A528CF"/>
  </w:style>
  <w:style w:type="table" w:customStyle="1" w:styleId="TableGrid26">
    <w:name w:val="Table Grid26"/>
    <w:basedOn w:val="TableNormal"/>
    <w:next w:val="TableGrid"/>
    <w:uiPriority w:val="39"/>
    <w:qFormat/>
    <w:rsid w:val="00A528CF"/>
    <w:rPr>
      <w:rFonts w:eastAsia="MS Mincho"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A528CF"/>
    <w:rPr>
      <w:rFonts w:eastAsia="MS Mincho"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A528CF"/>
  </w:style>
  <w:style w:type="numbering" w:customStyle="1" w:styleId="NoList22">
    <w:name w:val="No List22"/>
    <w:next w:val="NoList"/>
    <w:uiPriority w:val="99"/>
    <w:semiHidden/>
    <w:unhideWhenUsed/>
    <w:rsid w:val="00A528CF"/>
  </w:style>
  <w:style w:type="numbering" w:customStyle="1" w:styleId="NoList32">
    <w:name w:val="No List32"/>
    <w:next w:val="NoList"/>
    <w:uiPriority w:val="99"/>
    <w:semiHidden/>
    <w:unhideWhenUsed/>
    <w:rsid w:val="00A528CF"/>
  </w:style>
  <w:style w:type="numbering" w:customStyle="1" w:styleId="NoList42">
    <w:name w:val="No List42"/>
    <w:next w:val="NoList"/>
    <w:uiPriority w:val="99"/>
    <w:semiHidden/>
    <w:unhideWhenUsed/>
    <w:rsid w:val="00A528CF"/>
  </w:style>
  <w:style w:type="table" w:customStyle="1" w:styleId="PlainTable11">
    <w:name w:val="Plain Table 11"/>
    <w:basedOn w:val="TableNormal"/>
    <w:next w:val="PlainTable1"/>
    <w:uiPriority w:val="41"/>
    <w:rsid w:val="00A528CF"/>
    <w:rPr>
      <w:rFonts w:cs="Arial"/>
      <w:sz w:val="24"/>
      <w:szCs w:val="24"/>
      <w:lang w:val="en-CA"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4">
    <w:name w:val="Table Grid44"/>
    <w:basedOn w:val="TableNormal"/>
    <w:next w:val="TableGrid"/>
    <w:uiPriority w:val="39"/>
    <w:rsid w:val="00A528CF"/>
    <w:rPr>
      <w:rFonts w:eastAsia="Calibri"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C57B0"/>
  </w:style>
  <w:style w:type="table" w:customStyle="1" w:styleId="TableGrid19">
    <w:name w:val="Table Grid19"/>
    <w:basedOn w:val="TableNormal"/>
    <w:next w:val="TableGrid"/>
    <w:uiPriority w:val="59"/>
    <w:rsid w:val="004C57B0"/>
    <w:rPr>
      <w:rFonts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39"/>
    <w:qFormat/>
    <w:rsid w:val="004C57B0"/>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4">
    <w:name w:val="ListCBD4"/>
    <w:basedOn w:val="NoList"/>
    <w:uiPriority w:val="99"/>
    <w:rsid w:val="004C57B0"/>
  </w:style>
  <w:style w:type="numbering" w:customStyle="1" w:styleId="CBDHeadings4">
    <w:name w:val="CBD_Headings4"/>
    <w:basedOn w:val="ListCBD"/>
    <w:uiPriority w:val="99"/>
    <w:rsid w:val="004C57B0"/>
  </w:style>
  <w:style w:type="numbering" w:customStyle="1" w:styleId="NoList17">
    <w:name w:val="No List17"/>
    <w:next w:val="NoList"/>
    <w:uiPriority w:val="99"/>
    <w:semiHidden/>
    <w:unhideWhenUsed/>
    <w:rsid w:val="004C57B0"/>
  </w:style>
  <w:style w:type="numbering" w:customStyle="1" w:styleId="ListCBD13">
    <w:name w:val="ListCBD13"/>
    <w:basedOn w:val="NoList"/>
    <w:uiPriority w:val="99"/>
    <w:rsid w:val="004C57B0"/>
  </w:style>
  <w:style w:type="numbering" w:customStyle="1" w:styleId="CurrentList16">
    <w:name w:val="Current List16"/>
    <w:uiPriority w:val="99"/>
    <w:rsid w:val="004C57B0"/>
  </w:style>
  <w:style w:type="numbering" w:customStyle="1" w:styleId="Style14">
    <w:name w:val="Style14"/>
    <w:uiPriority w:val="99"/>
    <w:rsid w:val="004C57B0"/>
  </w:style>
  <w:style w:type="table" w:customStyle="1" w:styleId="TableGrid27">
    <w:name w:val="Table Grid27"/>
    <w:basedOn w:val="TableNormal"/>
    <w:next w:val="TableGrid"/>
    <w:uiPriority w:val="59"/>
    <w:qFormat/>
    <w:rsid w:val="004C57B0"/>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4">
    <w:name w:val="Current List24"/>
    <w:uiPriority w:val="99"/>
    <w:rsid w:val="004C57B0"/>
  </w:style>
  <w:style w:type="numbering" w:customStyle="1" w:styleId="CurrentList34">
    <w:name w:val="Current List34"/>
    <w:uiPriority w:val="99"/>
    <w:rsid w:val="004C57B0"/>
  </w:style>
  <w:style w:type="numbering" w:customStyle="1" w:styleId="CurrentList44">
    <w:name w:val="Current List44"/>
    <w:uiPriority w:val="99"/>
    <w:rsid w:val="004C57B0"/>
  </w:style>
  <w:style w:type="numbering" w:customStyle="1" w:styleId="CurrentList54">
    <w:name w:val="Current List54"/>
    <w:uiPriority w:val="99"/>
    <w:rsid w:val="004C57B0"/>
  </w:style>
  <w:style w:type="numbering" w:customStyle="1" w:styleId="CurrentList64">
    <w:name w:val="Current List64"/>
    <w:uiPriority w:val="99"/>
    <w:rsid w:val="004C57B0"/>
  </w:style>
  <w:style w:type="numbering" w:customStyle="1" w:styleId="NoList23">
    <w:name w:val="No List23"/>
    <w:next w:val="NoList"/>
    <w:uiPriority w:val="99"/>
    <w:semiHidden/>
    <w:unhideWhenUsed/>
    <w:rsid w:val="004C57B0"/>
  </w:style>
  <w:style w:type="numbering" w:customStyle="1" w:styleId="Style112">
    <w:name w:val="Style112"/>
    <w:uiPriority w:val="99"/>
    <w:rsid w:val="004C57B0"/>
  </w:style>
  <w:style w:type="table" w:customStyle="1" w:styleId="TableGrid38">
    <w:name w:val="Table Grid38"/>
    <w:basedOn w:val="TableNormal"/>
    <w:next w:val="TableGrid"/>
    <w:uiPriority w:val="39"/>
    <w:rsid w:val="004C57B0"/>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3">
    <w:name w:val="Current List113"/>
    <w:uiPriority w:val="99"/>
    <w:rsid w:val="004C57B0"/>
  </w:style>
  <w:style w:type="numbering" w:customStyle="1" w:styleId="CurrentList213">
    <w:name w:val="Current List213"/>
    <w:uiPriority w:val="99"/>
    <w:rsid w:val="004C57B0"/>
  </w:style>
  <w:style w:type="numbering" w:customStyle="1" w:styleId="CurrentList312">
    <w:name w:val="Current List312"/>
    <w:uiPriority w:val="99"/>
    <w:rsid w:val="004C57B0"/>
  </w:style>
  <w:style w:type="numbering" w:customStyle="1" w:styleId="CurrentList413">
    <w:name w:val="Current List413"/>
    <w:uiPriority w:val="99"/>
    <w:rsid w:val="004C57B0"/>
  </w:style>
  <w:style w:type="numbering" w:customStyle="1" w:styleId="CurrentList513">
    <w:name w:val="Current List513"/>
    <w:uiPriority w:val="99"/>
    <w:rsid w:val="004C57B0"/>
  </w:style>
  <w:style w:type="numbering" w:customStyle="1" w:styleId="CurrentList612">
    <w:name w:val="Current List612"/>
    <w:uiPriority w:val="99"/>
    <w:rsid w:val="004C57B0"/>
  </w:style>
  <w:style w:type="table" w:customStyle="1" w:styleId="TableGrid45">
    <w:name w:val="Table Grid45"/>
    <w:basedOn w:val="TableNormal"/>
    <w:next w:val="TableGrid"/>
    <w:uiPriority w:val="39"/>
    <w:rsid w:val="004C57B0"/>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4C57B0"/>
  </w:style>
  <w:style w:type="numbering" w:customStyle="1" w:styleId="Style26">
    <w:name w:val="Style26"/>
    <w:rsid w:val="004C57B0"/>
  </w:style>
  <w:style w:type="numbering" w:customStyle="1" w:styleId="NoList43">
    <w:name w:val="No List43"/>
    <w:next w:val="NoList"/>
    <w:uiPriority w:val="99"/>
    <w:semiHidden/>
    <w:unhideWhenUsed/>
    <w:rsid w:val="004C57B0"/>
  </w:style>
  <w:style w:type="table" w:customStyle="1" w:styleId="TableGrid54">
    <w:name w:val="Table Grid54"/>
    <w:basedOn w:val="TableNormal"/>
    <w:next w:val="TableGrid"/>
    <w:uiPriority w:val="39"/>
    <w:rsid w:val="004C57B0"/>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2">
    <w:name w:val="Current List122"/>
    <w:uiPriority w:val="99"/>
    <w:rsid w:val="004C57B0"/>
  </w:style>
  <w:style w:type="table" w:customStyle="1" w:styleId="TableGrid214">
    <w:name w:val="Table Grid214"/>
    <w:basedOn w:val="TableNormal"/>
    <w:next w:val="TableGrid"/>
    <w:uiPriority w:val="59"/>
    <w:qFormat/>
    <w:rsid w:val="004C57B0"/>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3">
    <w:name w:val="Style213"/>
    <w:rsid w:val="004C57B0"/>
  </w:style>
  <w:style w:type="numbering" w:customStyle="1" w:styleId="NoList112">
    <w:name w:val="No List112"/>
    <w:next w:val="NoList"/>
    <w:uiPriority w:val="99"/>
    <w:semiHidden/>
    <w:unhideWhenUsed/>
    <w:rsid w:val="004C57B0"/>
  </w:style>
  <w:style w:type="table" w:customStyle="1" w:styleId="TableGrid3113">
    <w:name w:val="Table Grid3113"/>
    <w:basedOn w:val="TableNormal"/>
    <w:next w:val="TableGrid"/>
    <w:uiPriority w:val="39"/>
    <w:rsid w:val="004C57B0"/>
    <w:rPr>
      <w:rFonts w:eastAsia="Calibri"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qFormat/>
    <w:rsid w:val="004C57B0"/>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2">
    <w:name w:val="Style2112"/>
    <w:rsid w:val="004C57B0"/>
  </w:style>
  <w:style w:type="table" w:customStyle="1" w:styleId="TableGrid323">
    <w:name w:val="Table Grid323"/>
    <w:basedOn w:val="TableNormal"/>
    <w:next w:val="TableGrid"/>
    <w:uiPriority w:val="39"/>
    <w:rsid w:val="004C57B0"/>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next w:val="TableGrid"/>
    <w:uiPriority w:val="39"/>
    <w:qFormat/>
    <w:rsid w:val="004C57B0"/>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2">
    <w:name w:val="Style222"/>
    <w:rsid w:val="004C57B0"/>
  </w:style>
  <w:style w:type="table" w:customStyle="1" w:styleId="TableGrid333">
    <w:name w:val="Table Grid333"/>
    <w:basedOn w:val="TableNormal"/>
    <w:next w:val="TableGrid"/>
    <w:uiPriority w:val="39"/>
    <w:rsid w:val="004C57B0"/>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4C57B0"/>
  </w:style>
  <w:style w:type="table" w:customStyle="1" w:styleId="TableGrid63">
    <w:name w:val="Table Grid63"/>
    <w:basedOn w:val="TableNormal"/>
    <w:next w:val="TableGrid"/>
    <w:uiPriority w:val="39"/>
    <w:qFormat/>
    <w:rsid w:val="004C57B0"/>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4C57B0"/>
  </w:style>
  <w:style w:type="numbering" w:customStyle="1" w:styleId="1111113">
    <w:name w:val="1 / 1.1 / 1.1.13"/>
    <w:basedOn w:val="NoList"/>
    <w:next w:val="111111"/>
    <w:rsid w:val="004C57B0"/>
  </w:style>
  <w:style w:type="numbering" w:customStyle="1" w:styleId="Style233">
    <w:name w:val="Style233"/>
    <w:rsid w:val="004C57B0"/>
  </w:style>
  <w:style w:type="numbering" w:customStyle="1" w:styleId="NoList122">
    <w:name w:val="No List122"/>
    <w:next w:val="NoList"/>
    <w:uiPriority w:val="99"/>
    <w:semiHidden/>
    <w:unhideWhenUsed/>
    <w:rsid w:val="004C57B0"/>
  </w:style>
  <w:style w:type="numbering" w:customStyle="1" w:styleId="NoList72">
    <w:name w:val="No List72"/>
    <w:next w:val="NoList"/>
    <w:uiPriority w:val="99"/>
    <w:semiHidden/>
    <w:unhideWhenUsed/>
    <w:rsid w:val="004C57B0"/>
  </w:style>
  <w:style w:type="numbering" w:customStyle="1" w:styleId="NoList82">
    <w:name w:val="No List82"/>
    <w:next w:val="NoList"/>
    <w:uiPriority w:val="99"/>
    <w:semiHidden/>
    <w:unhideWhenUsed/>
    <w:rsid w:val="004C57B0"/>
  </w:style>
  <w:style w:type="table" w:customStyle="1" w:styleId="TableGrid93">
    <w:name w:val="Table Grid93"/>
    <w:basedOn w:val="TableNormal"/>
    <w:next w:val="TableGrid"/>
    <w:uiPriority w:val="39"/>
    <w:rsid w:val="004C57B0"/>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2">
    <w:name w:val="Current List132"/>
    <w:uiPriority w:val="99"/>
    <w:rsid w:val="004C57B0"/>
  </w:style>
  <w:style w:type="table" w:customStyle="1" w:styleId="TableGrid104">
    <w:name w:val="Table Grid104"/>
    <w:basedOn w:val="TableNormal"/>
    <w:next w:val="TableGrid"/>
    <w:uiPriority w:val="39"/>
    <w:rsid w:val="004C57B0"/>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A776A"/>
  </w:style>
  <w:style w:type="table" w:customStyle="1" w:styleId="TableGrid110">
    <w:name w:val="Table Grid110"/>
    <w:basedOn w:val="TableNormal"/>
    <w:next w:val="TableGrid"/>
    <w:uiPriority w:val="59"/>
    <w:rsid w:val="000A776A"/>
    <w:rPr>
      <w:rFonts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qFormat/>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5">
    <w:name w:val="ListCBD5"/>
    <w:basedOn w:val="NoList"/>
    <w:uiPriority w:val="99"/>
    <w:rsid w:val="000A776A"/>
  </w:style>
  <w:style w:type="numbering" w:customStyle="1" w:styleId="CBDHeadings5">
    <w:name w:val="CBD_Headings5"/>
    <w:basedOn w:val="ListCBD"/>
    <w:uiPriority w:val="99"/>
    <w:rsid w:val="000A776A"/>
  </w:style>
  <w:style w:type="numbering" w:customStyle="1" w:styleId="NoList19">
    <w:name w:val="No List19"/>
    <w:next w:val="NoList"/>
    <w:uiPriority w:val="99"/>
    <w:semiHidden/>
    <w:unhideWhenUsed/>
    <w:rsid w:val="000A776A"/>
  </w:style>
  <w:style w:type="numbering" w:customStyle="1" w:styleId="ListCBD14">
    <w:name w:val="ListCBD14"/>
    <w:basedOn w:val="NoList"/>
    <w:uiPriority w:val="99"/>
    <w:rsid w:val="000A776A"/>
  </w:style>
  <w:style w:type="numbering" w:customStyle="1" w:styleId="CurrentList17">
    <w:name w:val="Current List17"/>
    <w:uiPriority w:val="99"/>
    <w:rsid w:val="000A776A"/>
  </w:style>
  <w:style w:type="numbering" w:customStyle="1" w:styleId="Style15">
    <w:name w:val="Style15"/>
    <w:uiPriority w:val="99"/>
    <w:rsid w:val="000A776A"/>
  </w:style>
  <w:style w:type="table" w:customStyle="1" w:styleId="TableGrid29">
    <w:name w:val="Table Grid29"/>
    <w:basedOn w:val="TableNormal"/>
    <w:next w:val="TableGrid"/>
    <w:uiPriority w:val="59"/>
    <w:qFormat/>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5">
    <w:name w:val="Current List25"/>
    <w:uiPriority w:val="99"/>
    <w:rsid w:val="000A776A"/>
  </w:style>
  <w:style w:type="numbering" w:customStyle="1" w:styleId="CurrentList35">
    <w:name w:val="Current List35"/>
    <w:uiPriority w:val="99"/>
    <w:rsid w:val="000A776A"/>
  </w:style>
  <w:style w:type="numbering" w:customStyle="1" w:styleId="CurrentList45">
    <w:name w:val="Current List45"/>
    <w:uiPriority w:val="99"/>
    <w:rsid w:val="000A776A"/>
  </w:style>
  <w:style w:type="numbering" w:customStyle="1" w:styleId="CurrentList55">
    <w:name w:val="Current List55"/>
    <w:uiPriority w:val="99"/>
    <w:rsid w:val="000A776A"/>
  </w:style>
  <w:style w:type="numbering" w:customStyle="1" w:styleId="CurrentList65">
    <w:name w:val="Current List65"/>
    <w:uiPriority w:val="99"/>
    <w:rsid w:val="000A776A"/>
  </w:style>
  <w:style w:type="numbering" w:customStyle="1" w:styleId="NoList24">
    <w:name w:val="No List24"/>
    <w:next w:val="NoList"/>
    <w:uiPriority w:val="99"/>
    <w:semiHidden/>
    <w:unhideWhenUsed/>
    <w:rsid w:val="000A776A"/>
  </w:style>
  <w:style w:type="numbering" w:customStyle="1" w:styleId="Style113">
    <w:name w:val="Style113"/>
    <w:uiPriority w:val="99"/>
    <w:rsid w:val="000A776A"/>
  </w:style>
  <w:style w:type="table" w:customStyle="1" w:styleId="TableGrid39">
    <w:name w:val="Table Grid39"/>
    <w:basedOn w:val="TableNormal"/>
    <w:next w:val="TableGrid"/>
    <w:uiPriority w:val="39"/>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4">
    <w:name w:val="Current List114"/>
    <w:uiPriority w:val="99"/>
    <w:rsid w:val="000A776A"/>
  </w:style>
  <w:style w:type="numbering" w:customStyle="1" w:styleId="CurrentList214">
    <w:name w:val="Current List214"/>
    <w:uiPriority w:val="99"/>
    <w:rsid w:val="000A776A"/>
  </w:style>
  <w:style w:type="numbering" w:customStyle="1" w:styleId="CurrentList313">
    <w:name w:val="Current List313"/>
    <w:uiPriority w:val="99"/>
    <w:rsid w:val="000A776A"/>
  </w:style>
  <w:style w:type="numbering" w:customStyle="1" w:styleId="CurrentList414">
    <w:name w:val="Current List414"/>
    <w:uiPriority w:val="99"/>
    <w:rsid w:val="000A776A"/>
  </w:style>
  <w:style w:type="numbering" w:customStyle="1" w:styleId="CurrentList514">
    <w:name w:val="Current List514"/>
    <w:uiPriority w:val="99"/>
    <w:rsid w:val="000A776A"/>
  </w:style>
  <w:style w:type="numbering" w:customStyle="1" w:styleId="CurrentList613">
    <w:name w:val="Current List613"/>
    <w:uiPriority w:val="99"/>
    <w:rsid w:val="000A776A"/>
  </w:style>
  <w:style w:type="table" w:customStyle="1" w:styleId="TableGrid46">
    <w:name w:val="Table Grid46"/>
    <w:basedOn w:val="TableNormal"/>
    <w:next w:val="TableGrid"/>
    <w:uiPriority w:val="39"/>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0A776A"/>
  </w:style>
  <w:style w:type="numbering" w:customStyle="1" w:styleId="Style27">
    <w:name w:val="Style27"/>
    <w:rsid w:val="000A776A"/>
  </w:style>
  <w:style w:type="numbering" w:customStyle="1" w:styleId="NoList44">
    <w:name w:val="No List44"/>
    <w:next w:val="NoList"/>
    <w:uiPriority w:val="99"/>
    <w:semiHidden/>
    <w:unhideWhenUsed/>
    <w:rsid w:val="000A776A"/>
  </w:style>
  <w:style w:type="table" w:customStyle="1" w:styleId="TableGrid55">
    <w:name w:val="Table Grid55"/>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3">
    <w:name w:val="Current List123"/>
    <w:uiPriority w:val="99"/>
    <w:rsid w:val="000A776A"/>
  </w:style>
  <w:style w:type="table" w:customStyle="1" w:styleId="TableGrid215">
    <w:name w:val="Table Grid215"/>
    <w:basedOn w:val="TableNormal"/>
    <w:next w:val="TableGrid"/>
    <w:uiPriority w:val="5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4">
    <w:name w:val="Style214"/>
    <w:rsid w:val="000A776A"/>
  </w:style>
  <w:style w:type="numbering" w:customStyle="1" w:styleId="NoList113">
    <w:name w:val="No List113"/>
    <w:next w:val="NoList"/>
    <w:uiPriority w:val="99"/>
    <w:semiHidden/>
    <w:unhideWhenUsed/>
    <w:rsid w:val="000A776A"/>
  </w:style>
  <w:style w:type="table" w:customStyle="1" w:styleId="TableGrid3114">
    <w:name w:val="Table Grid3114"/>
    <w:basedOn w:val="TableNormal"/>
    <w:next w:val="TableGrid"/>
    <w:uiPriority w:val="39"/>
    <w:rsid w:val="000A776A"/>
    <w:rPr>
      <w:rFonts w:eastAsia="Calibri"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3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3">
    <w:name w:val="Style2113"/>
    <w:rsid w:val="000A776A"/>
  </w:style>
  <w:style w:type="table" w:customStyle="1" w:styleId="TableGrid324">
    <w:name w:val="Table Grid324"/>
    <w:basedOn w:val="TableNormal"/>
    <w:next w:val="TableGrid"/>
    <w:uiPriority w:val="39"/>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next w:val="TableGrid"/>
    <w:uiPriority w:val="3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3">
    <w:name w:val="Style223"/>
    <w:rsid w:val="000A776A"/>
  </w:style>
  <w:style w:type="table" w:customStyle="1" w:styleId="TableGrid334">
    <w:name w:val="Table Grid334"/>
    <w:basedOn w:val="TableNormal"/>
    <w:next w:val="TableGrid"/>
    <w:uiPriority w:val="39"/>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0A776A"/>
  </w:style>
  <w:style w:type="table" w:customStyle="1" w:styleId="TableGrid64">
    <w:name w:val="Table Grid64"/>
    <w:basedOn w:val="TableNormal"/>
    <w:next w:val="TableGrid"/>
    <w:uiPriority w:val="39"/>
    <w:qFormat/>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0A776A"/>
  </w:style>
  <w:style w:type="numbering" w:customStyle="1" w:styleId="1111114">
    <w:name w:val="1 / 1.1 / 1.1.14"/>
    <w:basedOn w:val="NoList"/>
    <w:next w:val="111111"/>
    <w:rsid w:val="000A776A"/>
  </w:style>
  <w:style w:type="numbering" w:customStyle="1" w:styleId="Style234">
    <w:name w:val="Style234"/>
    <w:rsid w:val="000A776A"/>
  </w:style>
  <w:style w:type="numbering" w:customStyle="1" w:styleId="NoList123">
    <w:name w:val="No List123"/>
    <w:next w:val="NoList"/>
    <w:uiPriority w:val="99"/>
    <w:semiHidden/>
    <w:unhideWhenUsed/>
    <w:rsid w:val="000A776A"/>
  </w:style>
  <w:style w:type="numbering" w:customStyle="1" w:styleId="NoList73">
    <w:name w:val="No List73"/>
    <w:next w:val="NoList"/>
    <w:uiPriority w:val="99"/>
    <w:semiHidden/>
    <w:unhideWhenUsed/>
    <w:rsid w:val="000A776A"/>
  </w:style>
  <w:style w:type="numbering" w:customStyle="1" w:styleId="NoList83">
    <w:name w:val="No List83"/>
    <w:next w:val="NoList"/>
    <w:uiPriority w:val="99"/>
    <w:semiHidden/>
    <w:unhideWhenUsed/>
    <w:rsid w:val="000A776A"/>
  </w:style>
  <w:style w:type="table" w:customStyle="1" w:styleId="TableGrid94">
    <w:name w:val="Table Grid94"/>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3">
    <w:name w:val="Current List133"/>
    <w:uiPriority w:val="99"/>
    <w:rsid w:val="000A776A"/>
  </w:style>
  <w:style w:type="table" w:customStyle="1" w:styleId="TableGrid105">
    <w:name w:val="Table Grid105"/>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0A776A"/>
  </w:style>
  <w:style w:type="table" w:customStyle="1" w:styleId="TableGrid113">
    <w:name w:val="Table Grid113"/>
    <w:basedOn w:val="TableNormal"/>
    <w:next w:val="TableGrid"/>
    <w:uiPriority w:val="59"/>
    <w:rsid w:val="000A776A"/>
    <w:rPr>
      <w:rFonts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uiPriority w:val="39"/>
    <w:qFormat/>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6">
    <w:name w:val="ListCBD6"/>
    <w:basedOn w:val="NoList"/>
    <w:uiPriority w:val="99"/>
    <w:rsid w:val="000A776A"/>
  </w:style>
  <w:style w:type="numbering" w:customStyle="1" w:styleId="CBDHeadings6">
    <w:name w:val="CBD_Headings6"/>
    <w:basedOn w:val="ListCBD"/>
    <w:uiPriority w:val="99"/>
    <w:rsid w:val="000A776A"/>
  </w:style>
  <w:style w:type="numbering" w:customStyle="1" w:styleId="NoList110">
    <w:name w:val="No List110"/>
    <w:next w:val="NoList"/>
    <w:uiPriority w:val="99"/>
    <w:semiHidden/>
    <w:unhideWhenUsed/>
    <w:rsid w:val="000A776A"/>
  </w:style>
  <w:style w:type="numbering" w:customStyle="1" w:styleId="ListCBD15">
    <w:name w:val="ListCBD15"/>
    <w:basedOn w:val="NoList"/>
    <w:uiPriority w:val="99"/>
    <w:rsid w:val="000A776A"/>
  </w:style>
  <w:style w:type="numbering" w:customStyle="1" w:styleId="CurrentList18">
    <w:name w:val="Current List18"/>
    <w:uiPriority w:val="99"/>
    <w:rsid w:val="000A776A"/>
  </w:style>
  <w:style w:type="numbering" w:customStyle="1" w:styleId="Style16">
    <w:name w:val="Style16"/>
    <w:uiPriority w:val="99"/>
    <w:rsid w:val="000A776A"/>
  </w:style>
  <w:style w:type="table" w:customStyle="1" w:styleId="TableGrid210">
    <w:name w:val="Table Grid210"/>
    <w:basedOn w:val="TableNormal"/>
    <w:next w:val="TableGrid"/>
    <w:uiPriority w:val="59"/>
    <w:qFormat/>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6">
    <w:name w:val="Current List26"/>
    <w:uiPriority w:val="99"/>
    <w:rsid w:val="000A776A"/>
  </w:style>
  <w:style w:type="numbering" w:customStyle="1" w:styleId="CurrentList36">
    <w:name w:val="Current List36"/>
    <w:uiPriority w:val="99"/>
    <w:rsid w:val="000A776A"/>
  </w:style>
  <w:style w:type="numbering" w:customStyle="1" w:styleId="CurrentList46">
    <w:name w:val="Current List46"/>
    <w:uiPriority w:val="99"/>
    <w:rsid w:val="000A776A"/>
  </w:style>
  <w:style w:type="numbering" w:customStyle="1" w:styleId="CurrentList56">
    <w:name w:val="Current List56"/>
    <w:uiPriority w:val="99"/>
    <w:rsid w:val="000A776A"/>
  </w:style>
  <w:style w:type="numbering" w:customStyle="1" w:styleId="CurrentList66">
    <w:name w:val="Current List66"/>
    <w:uiPriority w:val="99"/>
    <w:rsid w:val="000A776A"/>
  </w:style>
  <w:style w:type="numbering" w:customStyle="1" w:styleId="NoList25">
    <w:name w:val="No List25"/>
    <w:next w:val="NoList"/>
    <w:uiPriority w:val="99"/>
    <w:semiHidden/>
    <w:unhideWhenUsed/>
    <w:rsid w:val="000A776A"/>
  </w:style>
  <w:style w:type="numbering" w:customStyle="1" w:styleId="Style114">
    <w:name w:val="Style114"/>
    <w:uiPriority w:val="99"/>
    <w:rsid w:val="000A776A"/>
  </w:style>
  <w:style w:type="table" w:customStyle="1" w:styleId="TableGrid310">
    <w:name w:val="Table Grid310"/>
    <w:basedOn w:val="TableNormal"/>
    <w:next w:val="TableGrid"/>
    <w:uiPriority w:val="39"/>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5">
    <w:name w:val="Current List115"/>
    <w:uiPriority w:val="99"/>
    <w:rsid w:val="000A776A"/>
  </w:style>
  <w:style w:type="numbering" w:customStyle="1" w:styleId="CurrentList215">
    <w:name w:val="Current List215"/>
    <w:uiPriority w:val="99"/>
    <w:rsid w:val="000A776A"/>
  </w:style>
  <w:style w:type="numbering" w:customStyle="1" w:styleId="CurrentList314">
    <w:name w:val="Current List314"/>
    <w:uiPriority w:val="99"/>
    <w:rsid w:val="000A776A"/>
  </w:style>
  <w:style w:type="numbering" w:customStyle="1" w:styleId="CurrentList415">
    <w:name w:val="Current List415"/>
    <w:uiPriority w:val="99"/>
    <w:rsid w:val="000A776A"/>
  </w:style>
  <w:style w:type="numbering" w:customStyle="1" w:styleId="CurrentList515">
    <w:name w:val="Current List515"/>
    <w:uiPriority w:val="99"/>
    <w:rsid w:val="000A776A"/>
  </w:style>
  <w:style w:type="numbering" w:customStyle="1" w:styleId="CurrentList614">
    <w:name w:val="Current List614"/>
    <w:uiPriority w:val="99"/>
    <w:rsid w:val="000A776A"/>
  </w:style>
  <w:style w:type="table" w:customStyle="1" w:styleId="TableGrid47">
    <w:name w:val="Table Grid47"/>
    <w:basedOn w:val="TableNormal"/>
    <w:next w:val="TableGrid"/>
    <w:uiPriority w:val="39"/>
    <w:rsid w:val="000A776A"/>
    <w:rPr>
      <w:rFont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0A776A"/>
  </w:style>
  <w:style w:type="numbering" w:customStyle="1" w:styleId="Style28">
    <w:name w:val="Style28"/>
    <w:rsid w:val="000A776A"/>
  </w:style>
  <w:style w:type="numbering" w:customStyle="1" w:styleId="NoList45">
    <w:name w:val="No List45"/>
    <w:next w:val="NoList"/>
    <w:uiPriority w:val="99"/>
    <w:semiHidden/>
    <w:unhideWhenUsed/>
    <w:rsid w:val="000A776A"/>
  </w:style>
  <w:style w:type="table" w:customStyle="1" w:styleId="TableGrid56">
    <w:name w:val="Table Grid56"/>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4">
    <w:name w:val="Current List124"/>
    <w:uiPriority w:val="99"/>
    <w:rsid w:val="000A776A"/>
  </w:style>
  <w:style w:type="table" w:customStyle="1" w:styleId="TableGrid216">
    <w:name w:val="Table Grid216"/>
    <w:basedOn w:val="TableNormal"/>
    <w:next w:val="TableGrid"/>
    <w:uiPriority w:val="5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5">
    <w:name w:val="Style215"/>
    <w:rsid w:val="000A776A"/>
  </w:style>
  <w:style w:type="numbering" w:customStyle="1" w:styleId="NoList114">
    <w:name w:val="No List114"/>
    <w:next w:val="NoList"/>
    <w:uiPriority w:val="99"/>
    <w:semiHidden/>
    <w:unhideWhenUsed/>
    <w:rsid w:val="000A776A"/>
  </w:style>
  <w:style w:type="table" w:customStyle="1" w:styleId="TableGrid3115">
    <w:name w:val="Table Grid3115"/>
    <w:basedOn w:val="TableNormal"/>
    <w:next w:val="TableGrid"/>
    <w:uiPriority w:val="39"/>
    <w:rsid w:val="000A776A"/>
    <w:rPr>
      <w:rFonts w:eastAsia="Calibri"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3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4">
    <w:name w:val="Style2114"/>
    <w:rsid w:val="000A776A"/>
  </w:style>
  <w:style w:type="table" w:customStyle="1" w:styleId="TableGrid325">
    <w:name w:val="Table Grid325"/>
    <w:basedOn w:val="TableNormal"/>
    <w:next w:val="TableGrid"/>
    <w:uiPriority w:val="39"/>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
    <w:name w:val="Table Grid515"/>
    <w:basedOn w:val="TableNormal"/>
    <w:next w:val="TableGrid"/>
    <w:uiPriority w:val="39"/>
    <w:qFormat/>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4">
    <w:name w:val="Style224"/>
    <w:rsid w:val="000A776A"/>
  </w:style>
  <w:style w:type="table" w:customStyle="1" w:styleId="TableGrid335">
    <w:name w:val="Table Grid335"/>
    <w:basedOn w:val="TableNormal"/>
    <w:next w:val="TableGrid"/>
    <w:uiPriority w:val="39"/>
    <w:rsid w:val="000A776A"/>
    <w:rPr>
      <w:rFonts w:eastAsia="Cambria"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0A776A"/>
  </w:style>
  <w:style w:type="table" w:customStyle="1" w:styleId="TableGrid65">
    <w:name w:val="Table Grid65"/>
    <w:basedOn w:val="TableNormal"/>
    <w:next w:val="TableGrid"/>
    <w:uiPriority w:val="39"/>
    <w:qFormat/>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0A776A"/>
  </w:style>
  <w:style w:type="numbering" w:customStyle="1" w:styleId="1111115">
    <w:name w:val="1 / 1.1 / 1.1.15"/>
    <w:basedOn w:val="NoList"/>
    <w:next w:val="111111"/>
    <w:rsid w:val="000A776A"/>
  </w:style>
  <w:style w:type="numbering" w:customStyle="1" w:styleId="Style235">
    <w:name w:val="Style235"/>
    <w:rsid w:val="000A776A"/>
  </w:style>
  <w:style w:type="numbering" w:customStyle="1" w:styleId="NoList124">
    <w:name w:val="No List124"/>
    <w:next w:val="NoList"/>
    <w:uiPriority w:val="99"/>
    <w:semiHidden/>
    <w:unhideWhenUsed/>
    <w:rsid w:val="000A776A"/>
  </w:style>
  <w:style w:type="numbering" w:customStyle="1" w:styleId="NoList74">
    <w:name w:val="No List74"/>
    <w:next w:val="NoList"/>
    <w:uiPriority w:val="99"/>
    <w:semiHidden/>
    <w:unhideWhenUsed/>
    <w:rsid w:val="000A776A"/>
  </w:style>
  <w:style w:type="numbering" w:customStyle="1" w:styleId="NoList84">
    <w:name w:val="No List84"/>
    <w:next w:val="NoList"/>
    <w:uiPriority w:val="99"/>
    <w:semiHidden/>
    <w:unhideWhenUsed/>
    <w:rsid w:val="000A776A"/>
  </w:style>
  <w:style w:type="table" w:customStyle="1" w:styleId="TableGrid95">
    <w:name w:val="Table Grid95"/>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4">
    <w:name w:val="Current List134"/>
    <w:uiPriority w:val="99"/>
    <w:rsid w:val="000A776A"/>
  </w:style>
  <w:style w:type="table" w:customStyle="1" w:styleId="TableGrid106">
    <w:name w:val="Table Grid106"/>
    <w:basedOn w:val="TableNormal"/>
    <w:next w:val="TableGrid"/>
    <w:uiPriority w:val="39"/>
    <w:rsid w:val="000A776A"/>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F05AB2"/>
  </w:style>
  <w:style w:type="table" w:customStyle="1" w:styleId="TableGrid114">
    <w:name w:val="Table Grid114"/>
    <w:basedOn w:val="TableNormal"/>
    <w:next w:val="TableGrid"/>
    <w:uiPriority w:val="59"/>
    <w:rsid w:val="00F05AB2"/>
    <w:rPr>
      <w:rFonts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uiPriority w:val="39"/>
    <w:rsid w:val="00F05AB2"/>
    <w:rPr>
      <w:rFonts w:eastAsia="SimSun" w:cs="Arial"/>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7">
    <w:name w:val="ListCBD7"/>
    <w:basedOn w:val="NoList"/>
    <w:uiPriority w:val="99"/>
    <w:rsid w:val="00F05AB2"/>
  </w:style>
  <w:style w:type="numbering" w:customStyle="1" w:styleId="CBDHeadings7">
    <w:name w:val="CBD_Headings7"/>
    <w:basedOn w:val="ListCBD"/>
    <w:uiPriority w:val="99"/>
    <w:rsid w:val="00F05AB2"/>
    <w:pPr>
      <w:numPr>
        <w:numId w:val="3"/>
      </w:numPr>
    </w:pPr>
  </w:style>
  <w:style w:type="numbering" w:customStyle="1" w:styleId="CurrentList516">
    <w:name w:val="Current List516"/>
    <w:rsid w:val="00F05AB2"/>
  </w:style>
  <w:style w:type="numbering" w:customStyle="1" w:styleId="ListCBD16">
    <w:name w:val="ListCBD16"/>
    <w:rsid w:val="00F05AB2"/>
  </w:style>
  <w:style w:type="numbering" w:customStyle="1" w:styleId="CurrentList416">
    <w:name w:val="Current List416"/>
    <w:rsid w:val="00F05AB2"/>
  </w:style>
  <w:style w:type="character" w:customStyle="1" w:styleId="ReportL1">
    <w:name w:val="Report L1"/>
    <w:basedOn w:val="DefaultParagraphFont"/>
    <w:uiPriority w:val="1"/>
    <w:rsid w:val="0061147E"/>
    <w:rPr>
      <w:rFonts w:ascii="Times New Roman Bold" w:eastAsia="SimSun" w:hAnsi="Times New Roman Bold"/>
      <w:b/>
      <w:caps w:val="0"/>
      <w:smallCaps w:val="0"/>
      <w:strike w:val="0"/>
      <w:dstrike w:val="0"/>
      <w:vanish w:val="0"/>
      <w:sz w:val="28"/>
      <w:szCs w:val="28"/>
      <w:vertAlign w:val="baseline"/>
      <w:lang w:val="en-US" w:eastAsia="zh-CN"/>
    </w:rPr>
  </w:style>
  <w:style w:type="paragraph" w:customStyle="1" w:styleId="a">
    <w:name w:val="第一层"/>
    <w:basedOn w:val="Normal"/>
    <w:qFormat/>
    <w:rsid w:val="002437E6"/>
    <w:pPr>
      <w:numPr>
        <w:numId w:val="245"/>
      </w:numPr>
      <w:tabs>
        <w:tab w:val="clear" w:pos="567"/>
        <w:tab w:val="clear" w:pos="1134"/>
        <w:tab w:val="clear" w:pos="1701"/>
        <w:tab w:val="clear" w:pos="2268"/>
      </w:tabs>
      <w:spacing w:before="120" w:after="240"/>
      <w:ind w:left="0" w:firstLine="0"/>
    </w:pPr>
    <w:rPr>
      <w:rFonts w:eastAsia="SimSun"/>
      <w:b/>
      <w:bCs/>
      <w:sz w:val="28"/>
    </w:rPr>
  </w:style>
  <w:style w:type="character" w:customStyle="1" w:styleId="CBD3">
    <w:name w:val="CBD 3"/>
    <w:basedOn w:val="DefaultParagraphFont"/>
    <w:uiPriority w:val="1"/>
    <w:rsid w:val="0061147E"/>
    <w:rPr>
      <w:rFonts w:ascii="Times New Roman Bold" w:eastAsia="SimSun" w:hAnsi="Times New Roman Bold"/>
      <w:b/>
      <w:i w:val="0"/>
      <w:caps w:val="0"/>
      <w:smallCaps w:val="0"/>
      <w:strike w:val="0"/>
      <w:dstrike w:val="0"/>
      <w:vanish w:val="0"/>
      <w:sz w:val="24"/>
      <w:szCs w:val="24"/>
      <w:vertAlign w:val="baseline"/>
      <w:lang w:eastAsia="zh-CN"/>
    </w:rPr>
  </w:style>
  <w:style w:type="paragraph" w:customStyle="1" w:styleId="a0">
    <w:name w:val="第三层"/>
    <w:basedOn w:val="Normal"/>
    <w:link w:val="Char"/>
    <w:qFormat/>
    <w:rsid w:val="0034488F"/>
    <w:pPr>
      <w:tabs>
        <w:tab w:val="clear" w:pos="567"/>
        <w:tab w:val="clear" w:pos="1134"/>
        <w:tab w:val="clear" w:pos="1701"/>
        <w:tab w:val="clear" w:pos="2268"/>
      </w:tabs>
      <w:spacing w:before="120" w:after="120"/>
      <w:ind w:left="490"/>
    </w:pPr>
    <w:rPr>
      <w:rFonts w:ascii="Times New Roman Bold" w:eastAsia="SimSun" w:hAnsi="Times New Roman Bold"/>
      <w:b/>
      <w:sz w:val="24"/>
    </w:rPr>
  </w:style>
  <w:style w:type="character" w:customStyle="1" w:styleId="Char">
    <w:name w:val="第三层 Char"/>
    <w:basedOn w:val="DefaultParagraphFont"/>
    <w:link w:val="a0"/>
    <w:rsid w:val="0034488F"/>
    <w:rPr>
      <w:rFonts w:ascii="Times New Roman Bold" w:eastAsia="SimSun" w:hAnsi="Times New Roman Bold"/>
      <w:b/>
      <w:sz w:val="24"/>
      <w:lang w:eastAsia="en-US"/>
    </w:rPr>
  </w:style>
  <w:style w:type="paragraph" w:customStyle="1" w:styleId="a1">
    <w:name w:val="第二层"/>
    <w:basedOn w:val="CBDNormalNumber"/>
    <w:qFormat/>
    <w:rsid w:val="004E5EE5"/>
    <w:pPr>
      <w:tabs>
        <w:tab w:val="clear" w:pos="567"/>
        <w:tab w:val="clear" w:pos="1134"/>
        <w:tab w:val="clear" w:pos="1701"/>
        <w:tab w:val="clear" w:pos="2268"/>
        <w:tab w:val="clear" w:pos="2835"/>
        <w:tab w:val="clear" w:pos="3402"/>
        <w:tab w:val="clear" w:pos="3969"/>
      </w:tabs>
      <w:ind w:left="490" w:right="1008"/>
      <w:jc w:val="left"/>
    </w:pPr>
    <w:rPr>
      <w:rFonts w:ascii="Times New Roman Bold" w:eastAsia="SimSun" w:hAnsi="Times New Roman Bol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263">
      <w:bodyDiv w:val="1"/>
      <w:marLeft w:val="0"/>
      <w:marRight w:val="0"/>
      <w:marTop w:val="0"/>
      <w:marBottom w:val="0"/>
      <w:divBdr>
        <w:top w:val="none" w:sz="0" w:space="0" w:color="auto"/>
        <w:left w:val="none" w:sz="0" w:space="0" w:color="auto"/>
        <w:bottom w:val="none" w:sz="0" w:space="0" w:color="auto"/>
        <w:right w:val="none" w:sz="0" w:space="0" w:color="auto"/>
      </w:divBdr>
      <w:divsChild>
        <w:div w:id="433063939">
          <w:marLeft w:val="0"/>
          <w:marRight w:val="0"/>
          <w:marTop w:val="0"/>
          <w:marBottom w:val="0"/>
          <w:divBdr>
            <w:top w:val="none" w:sz="0" w:space="0" w:color="auto"/>
            <w:left w:val="none" w:sz="0" w:space="0" w:color="auto"/>
            <w:bottom w:val="none" w:sz="0" w:space="0" w:color="auto"/>
            <w:right w:val="none" w:sz="0" w:space="0" w:color="auto"/>
          </w:divBdr>
          <w:divsChild>
            <w:div w:id="1931740411">
              <w:marLeft w:val="0"/>
              <w:marRight w:val="0"/>
              <w:marTop w:val="0"/>
              <w:marBottom w:val="0"/>
              <w:divBdr>
                <w:top w:val="none" w:sz="0" w:space="0" w:color="auto"/>
                <w:left w:val="none" w:sz="0" w:space="0" w:color="auto"/>
                <w:bottom w:val="none" w:sz="0" w:space="0" w:color="auto"/>
                <w:right w:val="none" w:sz="0" w:space="0" w:color="auto"/>
              </w:divBdr>
              <w:divsChild>
                <w:div w:id="290401972">
                  <w:marLeft w:val="0"/>
                  <w:marRight w:val="0"/>
                  <w:marTop w:val="0"/>
                  <w:marBottom w:val="300"/>
                  <w:divBdr>
                    <w:top w:val="none" w:sz="0" w:space="0" w:color="auto"/>
                    <w:left w:val="none" w:sz="0" w:space="0" w:color="auto"/>
                    <w:bottom w:val="none" w:sz="0" w:space="0" w:color="auto"/>
                    <w:right w:val="none" w:sz="0" w:space="0" w:color="auto"/>
                  </w:divBdr>
                  <w:divsChild>
                    <w:div w:id="1177424961">
                      <w:marLeft w:val="0"/>
                      <w:marRight w:val="0"/>
                      <w:marTop w:val="0"/>
                      <w:marBottom w:val="0"/>
                      <w:divBdr>
                        <w:top w:val="none" w:sz="0" w:space="0" w:color="auto"/>
                        <w:left w:val="none" w:sz="0" w:space="0" w:color="auto"/>
                        <w:bottom w:val="none" w:sz="0" w:space="0" w:color="auto"/>
                        <w:right w:val="none" w:sz="0" w:space="0" w:color="auto"/>
                      </w:divBdr>
                      <w:divsChild>
                        <w:div w:id="1683163155">
                          <w:marLeft w:val="0"/>
                          <w:marRight w:val="0"/>
                          <w:marTop w:val="0"/>
                          <w:marBottom w:val="0"/>
                          <w:divBdr>
                            <w:top w:val="none" w:sz="0" w:space="0" w:color="auto"/>
                            <w:left w:val="none" w:sz="0" w:space="0" w:color="auto"/>
                            <w:bottom w:val="none" w:sz="0" w:space="0" w:color="auto"/>
                            <w:right w:val="none" w:sz="0" w:space="0" w:color="auto"/>
                          </w:divBdr>
                          <w:divsChild>
                            <w:div w:id="265385052">
                              <w:marLeft w:val="0"/>
                              <w:marRight w:val="0"/>
                              <w:marTop w:val="0"/>
                              <w:marBottom w:val="150"/>
                              <w:divBdr>
                                <w:top w:val="none" w:sz="0" w:space="0" w:color="auto"/>
                                <w:left w:val="none" w:sz="0" w:space="0" w:color="auto"/>
                                <w:bottom w:val="none" w:sz="0" w:space="0" w:color="auto"/>
                                <w:right w:val="none" w:sz="0" w:space="0" w:color="auto"/>
                              </w:divBdr>
                            </w:div>
                            <w:div w:id="466355349">
                              <w:marLeft w:val="0"/>
                              <w:marRight w:val="0"/>
                              <w:marTop w:val="0"/>
                              <w:marBottom w:val="0"/>
                              <w:divBdr>
                                <w:top w:val="none" w:sz="0" w:space="0" w:color="auto"/>
                                <w:left w:val="none" w:sz="0" w:space="0" w:color="auto"/>
                                <w:bottom w:val="none" w:sz="0" w:space="0" w:color="auto"/>
                                <w:right w:val="none" w:sz="0" w:space="0" w:color="auto"/>
                              </w:divBdr>
                              <w:divsChild>
                                <w:div w:id="1133906208">
                                  <w:marLeft w:val="0"/>
                                  <w:marRight w:val="0"/>
                                  <w:marTop w:val="0"/>
                                  <w:marBottom w:val="0"/>
                                  <w:divBdr>
                                    <w:top w:val="none" w:sz="0" w:space="0" w:color="auto"/>
                                    <w:left w:val="none" w:sz="0" w:space="0" w:color="auto"/>
                                    <w:bottom w:val="none" w:sz="0" w:space="0" w:color="auto"/>
                                    <w:right w:val="none" w:sz="0" w:space="0" w:color="auto"/>
                                  </w:divBdr>
                                  <w:divsChild>
                                    <w:div w:id="268706412">
                                      <w:marLeft w:val="225"/>
                                      <w:marRight w:val="0"/>
                                      <w:marTop w:val="0"/>
                                      <w:marBottom w:val="0"/>
                                      <w:divBdr>
                                        <w:top w:val="single" w:sz="6" w:space="0" w:color="DDDDDD"/>
                                        <w:left w:val="single" w:sz="6" w:space="0" w:color="DDDDDD"/>
                                        <w:bottom w:val="single" w:sz="6" w:space="0" w:color="DDDDDD"/>
                                        <w:right w:val="single" w:sz="6" w:space="0" w:color="DDDDDD"/>
                                      </w:divBdr>
                                    </w:div>
                                    <w:div w:id="444547455">
                                      <w:marLeft w:val="22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1921131932">
                  <w:marLeft w:val="0"/>
                  <w:marRight w:val="0"/>
                  <w:marTop w:val="0"/>
                  <w:marBottom w:val="300"/>
                  <w:divBdr>
                    <w:top w:val="none" w:sz="0" w:space="0" w:color="auto"/>
                    <w:left w:val="none" w:sz="0" w:space="0" w:color="auto"/>
                    <w:bottom w:val="none" w:sz="0" w:space="0" w:color="auto"/>
                    <w:right w:val="none" w:sz="0" w:space="0" w:color="auto"/>
                  </w:divBdr>
                  <w:divsChild>
                    <w:div w:id="1943561459">
                      <w:marLeft w:val="0"/>
                      <w:marRight w:val="0"/>
                      <w:marTop w:val="0"/>
                      <w:marBottom w:val="0"/>
                      <w:divBdr>
                        <w:top w:val="none" w:sz="0" w:space="0" w:color="auto"/>
                        <w:left w:val="none" w:sz="0" w:space="0" w:color="auto"/>
                        <w:bottom w:val="none" w:sz="0" w:space="0" w:color="auto"/>
                        <w:right w:val="none" w:sz="0" w:space="0" w:color="auto"/>
                      </w:divBdr>
                      <w:divsChild>
                        <w:div w:id="705831321">
                          <w:marLeft w:val="0"/>
                          <w:marRight w:val="0"/>
                          <w:marTop w:val="0"/>
                          <w:marBottom w:val="0"/>
                          <w:divBdr>
                            <w:top w:val="none" w:sz="0" w:space="0" w:color="auto"/>
                            <w:left w:val="none" w:sz="0" w:space="0" w:color="auto"/>
                            <w:bottom w:val="none" w:sz="0" w:space="0" w:color="auto"/>
                            <w:right w:val="none" w:sz="0" w:space="0" w:color="auto"/>
                          </w:divBdr>
                          <w:divsChild>
                            <w:div w:id="1094670503">
                              <w:marLeft w:val="0"/>
                              <w:marRight w:val="0"/>
                              <w:marTop w:val="450"/>
                              <w:marBottom w:val="0"/>
                              <w:divBdr>
                                <w:top w:val="none" w:sz="0" w:space="0" w:color="auto"/>
                                <w:left w:val="none" w:sz="0" w:space="0" w:color="auto"/>
                                <w:bottom w:val="none" w:sz="0" w:space="0" w:color="auto"/>
                                <w:right w:val="none" w:sz="0" w:space="0" w:color="auto"/>
                              </w:divBdr>
                              <w:divsChild>
                                <w:div w:id="823623405">
                                  <w:marLeft w:val="0"/>
                                  <w:marRight w:val="0"/>
                                  <w:marTop w:val="0"/>
                                  <w:marBottom w:val="0"/>
                                  <w:divBdr>
                                    <w:top w:val="none" w:sz="0" w:space="0" w:color="auto"/>
                                    <w:left w:val="none" w:sz="0" w:space="0" w:color="auto"/>
                                    <w:bottom w:val="none" w:sz="0" w:space="0" w:color="auto"/>
                                    <w:right w:val="none" w:sz="0" w:space="0" w:color="auto"/>
                                  </w:divBdr>
                                  <w:divsChild>
                                    <w:div w:id="1306660840">
                                      <w:marLeft w:val="0"/>
                                      <w:marRight w:val="0"/>
                                      <w:marTop w:val="0"/>
                                      <w:marBottom w:val="0"/>
                                      <w:divBdr>
                                        <w:top w:val="none" w:sz="0" w:space="0" w:color="auto"/>
                                        <w:left w:val="none" w:sz="0" w:space="0" w:color="auto"/>
                                        <w:bottom w:val="single" w:sz="6" w:space="0" w:color="EEEEEE"/>
                                        <w:right w:val="none" w:sz="0" w:space="0" w:color="auto"/>
                                      </w:divBdr>
                                      <w:divsChild>
                                        <w:div w:id="5143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1213">
                                  <w:marLeft w:val="0"/>
                                  <w:marRight w:val="0"/>
                                  <w:marTop w:val="60"/>
                                  <w:marBottom w:val="0"/>
                                  <w:divBdr>
                                    <w:top w:val="none" w:sz="0" w:space="0" w:color="auto"/>
                                    <w:left w:val="none" w:sz="0" w:space="0" w:color="auto"/>
                                    <w:bottom w:val="none" w:sz="0" w:space="0" w:color="auto"/>
                                    <w:right w:val="none" w:sz="0" w:space="0" w:color="auto"/>
                                  </w:divBdr>
                                  <w:divsChild>
                                    <w:div w:id="1705254964">
                                      <w:marLeft w:val="0"/>
                                      <w:marRight w:val="0"/>
                                      <w:marTop w:val="0"/>
                                      <w:marBottom w:val="0"/>
                                      <w:divBdr>
                                        <w:top w:val="none" w:sz="0" w:space="0" w:color="auto"/>
                                        <w:left w:val="none" w:sz="0" w:space="0" w:color="auto"/>
                                        <w:bottom w:val="none" w:sz="0" w:space="0" w:color="auto"/>
                                        <w:right w:val="none" w:sz="0" w:space="0" w:color="auto"/>
                                      </w:divBdr>
                                      <w:divsChild>
                                        <w:div w:id="1090857092">
                                          <w:marLeft w:val="0"/>
                                          <w:marRight w:val="0"/>
                                          <w:marTop w:val="0"/>
                                          <w:marBottom w:val="0"/>
                                          <w:divBdr>
                                            <w:top w:val="none" w:sz="0" w:space="0" w:color="auto"/>
                                            <w:left w:val="none" w:sz="0" w:space="0" w:color="auto"/>
                                            <w:bottom w:val="none" w:sz="0" w:space="0" w:color="auto"/>
                                            <w:right w:val="none" w:sz="0" w:space="0" w:color="auto"/>
                                          </w:divBdr>
                                          <w:divsChild>
                                            <w:div w:id="15292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568908">
      <w:marLeft w:val="0"/>
      <w:marRight w:val="0"/>
      <w:marTop w:val="0"/>
      <w:marBottom w:val="0"/>
      <w:divBdr>
        <w:top w:val="none" w:sz="0" w:space="0" w:color="auto"/>
        <w:left w:val="none" w:sz="0" w:space="0" w:color="auto"/>
        <w:bottom w:val="none" w:sz="0" w:space="0" w:color="auto"/>
        <w:right w:val="none" w:sz="0" w:space="0" w:color="auto"/>
      </w:divBdr>
    </w:div>
    <w:div w:id="1327325202">
      <w:bodyDiv w:val="1"/>
      <w:marLeft w:val="0"/>
      <w:marRight w:val="0"/>
      <w:marTop w:val="0"/>
      <w:marBottom w:val="0"/>
      <w:divBdr>
        <w:top w:val="none" w:sz="0" w:space="0" w:color="auto"/>
        <w:left w:val="none" w:sz="0" w:space="0" w:color="auto"/>
        <w:bottom w:val="none" w:sz="0" w:space="0" w:color="auto"/>
        <w:right w:val="none" w:sz="0" w:space="0" w:color="auto"/>
      </w:divBdr>
      <w:divsChild>
        <w:div w:id="1327516226">
          <w:marLeft w:val="0"/>
          <w:marRight w:val="0"/>
          <w:marTop w:val="0"/>
          <w:marBottom w:val="0"/>
          <w:divBdr>
            <w:top w:val="none" w:sz="0" w:space="0" w:color="auto"/>
            <w:left w:val="none" w:sz="0" w:space="0" w:color="auto"/>
            <w:bottom w:val="none" w:sz="0" w:space="0" w:color="auto"/>
            <w:right w:val="none" w:sz="0" w:space="0" w:color="auto"/>
          </w:divBdr>
          <w:divsChild>
            <w:div w:id="673386816">
              <w:marLeft w:val="0"/>
              <w:marRight w:val="0"/>
              <w:marTop w:val="0"/>
              <w:marBottom w:val="0"/>
              <w:divBdr>
                <w:top w:val="none" w:sz="0" w:space="0" w:color="auto"/>
                <w:left w:val="none" w:sz="0" w:space="0" w:color="auto"/>
                <w:bottom w:val="none" w:sz="0" w:space="0" w:color="auto"/>
                <w:right w:val="none" w:sz="0" w:space="0" w:color="auto"/>
              </w:divBdr>
              <w:divsChild>
                <w:div w:id="1023021564">
                  <w:marLeft w:val="0"/>
                  <w:marRight w:val="0"/>
                  <w:marTop w:val="0"/>
                  <w:marBottom w:val="300"/>
                  <w:divBdr>
                    <w:top w:val="none" w:sz="0" w:space="0" w:color="auto"/>
                    <w:left w:val="none" w:sz="0" w:space="0" w:color="auto"/>
                    <w:bottom w:val="none" w:sz="0" w:space="0" w:color="auto"/>
                    <w:right w:val="none" w:sz="0" w:space="0" w:color="auto"/>
                  </w:divBdr>
                  <w:divsChild>
                    <w:div w:id="121921531">
                      <w:marLeft w:val="0"/>
                      <w:marRight w:val="0"/>
                      <w:marTop w:val="0"/>
                      <w:marBottom w:val="0"/>
                      <w:divBdr>
                        <w:top w:val="none" w:sz="0" w:space="0" w:color="auto"/>
                        <w:left w:val="none" w:sz="0" w:space="0" w:color="auto"/>
                        <w:bottom w:val="none" w:sz="0" w:space="0" w:color="auto"/>
                        <w:right w:val="none" w:sz="0" w:space="0" w:color="auto"/>
                      </w:divBdr>
                      <w:divsChild>
                        <w:div w:id="2139493201">
                          <w:marLeft w:val="0"/>
                          <w:marRight w:val="0"/>
                          <w:marTop w:val="0"/>
                          <w:marBottom w:val="0"/>
                          <w:divBdr>
                            <w:top w:val="none" w:sz="0" w:space="0" w:color="auto"/>
                            <w:left w:val="none" w:sz="0" w:space="0" w:color="auto"/>
                            <w:bottom w:val="none" w:sz="0" w:space="0" w:color="auto"/>
                            <w:right w:val="none" w:sz="0" w:space="0" w:color="auto"/>
                          </w:divBdr>
                          <w:divsChild>
                            <w:div w:id="677854831">
                              <w:marLeft w:val="0"/>
                              <w:marRight w:val="0"/>
                              <w:marTop w:val="0"/>
                              <w:marBottom w:val="150"/>
                              <w:divBdr>
                                <w:top w:val="none" w:sz="0" w:space="0" w:color="auto"/>
                                <w:left w:val="none" w:sz="0" w:space="0" w:color="auto"/>
                                <w:bottom w:val="none" w:sz="0" w:space="0" w:color="auto"/>
                                <w:right w:val="none" w:sz="0" w:space="0" w:color="auto"/>
                              </w:divBdr>
                            </w:div>
                            <w:div w:id="36049257">
                              <w:marLeft w:val="0"/>
                              <w:marRight w:val="0"/>
                              <w:marTop w:val="0"/>
                              <w:marBottom w:val="0"/>
                              <w:divBdr>
                                <w:top w:val="none" w:sz="0" w:space="0" w:color="auto"/>
                                <w:left w:val="none" w:sz="0" w:space="0" w:color="auto"/>
                                <w:bottom w:val="none" w:sz="0" w:space="0" w:color="auto"/>
                                <w:right w:val="none" w:sz="0" w:space="0" w:color="auto"/>
                              </w:divBdr>
                              <w:divsChild>
                                <w:div w:id="1061439543">
                                  <w:marLeft w:val="0"/>
                                  <w:marRight w:val="0"/>
                                  <w:marTop w:val="0"/>
                                  <w:marBottom w:val="0"/>
                                  <w:divBdr>
                                    <w:top w:val="none" w:sz="0" w:space="0" w:color="auto"/>
                                    <w:left w:val="none" w:sz="0" w:space="0" w:color="auto"/>
                                    <w:bottom w:val="none" w:sz="0" w:space="0" w:color="auto"/>
                                    <w:right w:val="none" w:sz="0" w:space="0" w:color="auto"/>
                                  </w:divBdr>
                                  <w:divsChild>
                                    <w:div w:id="1031152857">
                                      <w:marLeft w:val="225"/>
                                      <w:marRight w:val="0"/>
                                      <w:marTop w:val="0"/>
                                      <w:marBottom w:val="0"/>
                                      <w:divBdr>
                                        <w:top w:val="single" w:sz="6" w:space="0" w:color="DDDDDD"/>
                                        <w:left w:val="single" w:sz="6" w:space="0" w:color="DDDDDD"/>
                                        <w:bottom w:val="single" w:sz="6" w:space="0" w:color="DDDDDD"/>
                                        <w:right w:val="single" w:sz="6" w:space="0" w:color="DDDDDD"/>
                                      </w:divBdr>
                                    </w:div>
                                    <w:div w:id="644164182">
                                      <w:marLeft w:val="22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2020548348">
                  <w:marLeft w:val="0"/>
                  <w:marRight w:val="0"/>
                  <w:marTop w:val="0"/>
                  <w:marBottom w:val="300"/>
                  <w:divBdr>
                    <w:top w:val="none" w:sz="0" w:space="0" w:color="auto"/>
                    <w:left w:val="none" w:sz="0" w:space="0" w:color="auto"/>
                    <w:bottom w:val="none" w:sz="0" w:space="0" w:color="auto"/>
                    <w:right w:val="none" w:sz="0" w:space="0" w:color="auto"/>
                  </w:divBdr>
                  <w:divsChild>
                    <w:div w:id="1173909678">
                      <w:marLeft w:val="0"/>
                      <w:marRight w:val="0"/>
                      <w:marTop w:val="0"/>
                      <w:marBottom w:val="0"/>
                      <w:divBdr>
                        <w:top w:val="none" w:sz="0" w:space="0" w:color="auto"/>
                        <w:left w:val="none" w:sz="0" w:space="0" w:color="auto"/>
                        <w:bottom w:val="none" w:sz="0" w:space="0" w:color="auto"/>
                        <w:right w:val="none" w:sz="0" w:space="0" w:color="auto"/>
                      </w:divBdr>
                      <w:divsChild>
                        <w:div w:id="1559167144">
                          <w:marLeft w:val="0"/>
                          <w:marRight w:val="0"/>
                          <w:marTop w:val="0"/>
                          <w:marBottom w:val="0"/>
                          <w:divBdr>
                            <w:top w:val="none" w:sz="0" w:space="0" w:color="auto"/>
                            <w:left w:val="none" w:sz="0" w:space="0" w:color="auto"/>
                            <w:bottom w:val="none" w:sz="0" w:space="0" w:color="auto"/>
                            <w:right w:val="none" w:sz="0" w:space="0" w:color="auto"/>
                          </w:divBdr>
                          <w:divsChild>
                            <w:div w:id="1337079157">
                              <w:marLeft w:val="0"/>
                              <w:marRight w:val="0"/>
                              <w:marTop w:val="450"/>
                              <w:marBottom w:val="0"/>
                              <w:divBdr>
                                <w:top w:val="none" w:sz="0" w:space="0" w:color="auto"/>
                                <w:left w:val="none" w:sz="0" w:space="0" w:color="auto"/>
                                <w:bottom w:val="none" w:sz="0" w:space="0" w:color="auto"/>
                                <w:right w:val="none" w:sz="0" w:space="0" w:color="auto"/>
                              </w:divBdr>
                              <w:divsChild>
                                <w:div w:id="222909226">
                                  <w:marLeft w:val="0"/>
                                  <w:marRight w:val="0"/>
                                  <w:marTop w:val="0"/>
                                  <w:marBottom w:val="0"/>
                                  <w:divBdr>
                                    <w:top w:val="none" w:sz="0" w:space="0" w:color="auto"/>
                                    <w:left w:val="none" w:sz="0" w:space="0" w:color="auto"/>
                                    <w:bottom w:val="none" w:sz="0" w:space="0" w:color="auto"/>
                                    <w:right w:val="none" w:sz="0" w:space="0" w:color="auto"/>
                                  </w:divBdr>
                                  <w:divsChild>
                                    <w:div w:id="2107113809">
                                      <w:marLeft w:val="0"/>
                                      <w:marRight w:val="0"/>
                                      <w:marTop w:val="0"/>
                                      <w:marBottom w:val="0"/>
                                      <w:divBdr>
                                        <w:top w:val="none" w:sz="0" w:space="0" w:color="auto"/>
                                        <w:left w:val="none" w:sz="0" w:space="0" w:color="auto"/>
                                        <w:bottom w:val="single" w:sz="6" w:space="0" w:color="EEEEEE"/>
                                        <w:right w:val="none" w:sz="0" w:space="0" w:color="auto"/>
                                      </w:divBdr>
                                      <w:divsChild>
                                        <w:div w:id="10319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8076">
                                  <w:marLeft w:val="0"/>
                                  <w:marRight w:val="0"/>
                                  <w:marTop w:val="60"/>
                                  <w:marBottom w:val="0"/>
                                  <w:divBdr>
                                    <w:top w:val="none" w:sz="0" w:space="0" w:color="auto"/>
                                    <w:left w:val="none" w:sz="0" w:space="0" w:color="auto"/>
                                    <w:bottom w:val="none" w:sz="0" w:space="0" w:color="auto"/>
                                    <w:right w:val="none" w:sz="0" w:space="0" w:color="auto"/>
                                  </w:divBdr>
                                  <w:divsChild>
                                    <w:div w:id="713769601">
                                      <w:marLeft w:val="0"/>
                                      <w:marRight w:val="0"/>
                                      <w:marTop w:val="0"/>
                                      <w:marBottom w:val="0"/>
                                      <w:divBdr>
                                        <w:top w:val="none" w:sz="0" w:space="0" w:color="auto"/>
                                        <w:left w:val="none" w:sz="0" w:space="0" w:color="auto"/>
                                        <w:bottom w:val="none" w:sz="0" w:space="0" w:color="auto"/>
                                        <w:right w:val="none" w:sz="0" w:space="0" w:color="auto"/>
                                      </w:divBdr>
                                      <w:divsChild>
                                        <w:div w:id="1842888689">
                                          <w:marLeft w:val="0"/>
                                          <w:marRight w:val="0"/>
                                          <w:marTop w:val="0"/>
                                          <w:marBottom w:val="0"/>
                                          <w:divBdr>
                                            <w:top w:val="none" w:sz="0" w:space="0" w:color="auto"/>
                                            <w:left w:val="none" w:sz="0" w:space="0" w:color="auto"/>
                                            <w:bottom w:val="none" w:sz="0" w:space="0" w:color="auto"/>
                                            <w:right w:val="none" w:sz="0" w:space="0" w:color="auto"/>
                                          </w:divBdr>
                                          <w:divsChild>
                                            <w:div w:id="15890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193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2/cop-12-dec-22-zh.pdf" TargetMode="External"/><Relationship Id="rId299" Type="http://schemas.openxmlformats.org/officeDocument/2006/relationships/hyperlink" Target="https://www.cbd.int/doc/decisions/cop-15/cop-15-dec-06-zh.pdf" TargetMode="External"/><Relationship Id="rId21" Type="http://schemas.openxmlformats.org/officeDocument/2006/relationships/hyperlink" Target="https://www.cbd.int/doc/decisions/cop-15/cop-15-dec-09-zh.pdf" TargetMode="External"/><Relationship Id="rId63" Type="http://schemas.openxmlformats.org/officeDocument/2006/relationships/hyperlink" Target="https://www.cbd.int/decisions/cop/?m=cop-15" TargetMode="External"/><Relationship Id="rId159" Type="http://schemas.openxmlformats.org/officeDocument/2006/relationships/hyperlink" Target="https://www.cbd.int/doc/decisions/cop-12/cop-12-dec-17-zh.pdf" TargetMode="External"/><Relationship Id="rId324" Type="http://schemas.openxmlformats.org/officeDocument/2006/relationships/hyperlink" Target="https://www.cbd.int/decisions/cop/?m=cop-16" TargetMode="External"/><Relationship Id="rId366" Type="http://schemas.openxmlformats.org/officeDocument/2006/relationships/hyperlink" Target="https://www.cbd.int/decisions/cop/?m=cop-16" TargetMode="External"/><Relationship Id="rId170" Type="http://schemas.openxmlformats.org/officeDocument/2006/relationships/hyperlink" Target="https://www.cbd.int/doc/decisions/cop-14/cop-14-dec-11-zh.pdf" TargetMode="External"/><Relationship Id="rId226" Type="http://schemas.openxmlformats.org/officeDocument/2006/relationships/hyperlink" Target="https://www.cbd.int/doc/decisions/cop-13/cop-13-dec-04-zh.pdf" TargetMode="External"/><Relationship Id="rId433" Type="http://schemas.openxmlformats.org/officeDocument/2006/relationships/fontTable" Target="fontTable.xml"/><Relationship Id="rId268" Type="http://schemas.openxmlformats.org/officeDocument/2006/relationships/hyperlink" Target="https://www.cbd.int/doc/decisions/cop-15/cop-15-dec-11-zh.pdf" TargetMode="External"/><Relationship Id="rId32" Type="http://schemas.openxmlformats.org/officeDocument/2006/relationships/hyperlink" Target="https://www.cbd.int/doc/decisions/cop-15/cop-15-dec-08-zh.pdf"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oc/decisions/cop-13/cop-13-dec-11-zh.pdf" TargetMode="External"/><Relationship Id="rId335" Type="http://schemas.openxmlformats.org/officeDocument/2006/relationships/hyperlink" Target="https://www.cbd.int/doc/legal/cbd-en.pdf" TargetMode="External"/><Relationship Id="rId377" Type="http://schemas.openxmlformats.org/officeDocument/2006/relationships/hyperlink" Target="https://www.cbd.int/documents/CBD/COP/16/L26" TargetMode="External"/><Relationship Id="rId5" Type="http://schemas.openxmlformats.org/officeDocument/2006/relationships/numbering" Target="numbering.xml"/><Relationship Id="rId181" Type="http://schemas.openxmlformats.org/officeDocument/2006/relationships/hyperlink" Target="https://www.cbd.int/doc/decisions/cop-13/cop-13-dec-06-zh.pdf" TargetMode="External"/><Relationship Id="rId237" Type="http://schemas.openxmlformats.org/officeDocument/2006/relationships/hyperlink" Target="https://www.cbd.int/doc/decisions/cop-10/cop-10-dec-33-zh.pdf" TargetMode="External"/><Relationship Id="rId402" Type="http://schemas.openxmlformats.org/officeDocument/2006/relationships/hyperlink" Target="https://www.cbd.int/decisions/cop/?m=cop-16" TargetMode="External"/><Relationship Id="rId279" Type="http://schemas.openxmlformats.org/officeDocument/2006/relationships/hyperlink" Target="https://www.cbd.int/documents/CBD/SBSTTA/26/2" TargetMode="External"/><Relationship Id="rId43" Type="http://schemas.openxmlformats.org/officeDocument/2006/relationships/hyperlink" Target="https://www.cbd.int/doc/decisions/cop-10/cop-10-dec-43-zh.pdf" TargetMode="External"/><Relationship Id="rId139" Type="http://schemas.openxmlformats.org/officeDocument/2006/relationships/hyperlink" Target="https://www.cbd.int/doc/decisions/cop-15/cop-15-dec-04-zh.pdf" TargetMode="External"/><Relationship Id="rId290" Type="http://schemas.openxmlformats.org/officeDocument/2006/relationships/hyperlink" Target="https://www.cbd.int/doc/decisions/cop-08/full/cop-08-dec-zh.pdf" TargetMode="External"/><Relationship Id="rId304" Type="http://schemas.openxmlformats.org/officeDocument/2006/relationships/hyperlink" Target="https://www.cbd.int/doc/decisions/cop-15/cop-15-dec-06-zh.pdf" TargetMode="External"/><Relationship Id="rId346" Type="http://schemas.openxmlformats.org/officeDocument/2006/relationships/hyperlink" Target="https://www.cbd.int/doc/legal/cbd-en.pdf" TargetMode="External"/><Relationship Id="rId388" Type="http://schemas.openxmlformats.org/officeDocument/2006/relationships/hyperlink" Target="https://www.cbd.int/documents/CBD/COP/16/L34/REV1" TargetMode="External"/><Relationship Id="rId85" Type="http://schemas.openxmlformats.org/officeDocument/2006/relationships/hyperlink" Target="https://www.cbd.int/doc/decisions/cop-15/cop-15-dec-19-zh.pdf" TargetMode="External"/><Relationship Id="rId150" Type="http://schemas.openxmlformats.org/officeDocument/2006/relationships/hyperlink" Target="https://www.cbd.int/doc/decisions/cop-12/cop-12-dec-16-zh.pdf" TargetMode="External"/><Relationship Id="rId192" Type="http://schemas.openxmlformats.org/officeDocument/2006/relationships/hyperlink" Target="https://www.cbd.int/doc/decisions/cop-12/cop-12-dec-21-zh.pdf" TargetMode="External"/><Relationship Id="rId206" Type="http://schemas.openxmlformats.org/officeDocument/2006/relationships/hyperlink" Target="https://www.cbd.int/doc/decisions/cop-07/full/cop-07-dec-zh.pdf" TargetMode="External"/><Relationship Id="rId413" Type="http://schemas.openxmlformats.org/officeDocument/2006/relationships/hyperlink" Target="https://www.cbd.int/decisions/cop/?m=cop-16" TargetMode="External"/><Relationship Id="rId248" Type="http://schemas.openxmlformats.org/officeDocument/2006/relationships/hyperlink" Target="https://www.cbd.int/doc/decisions/cop-15/cop-15-dec-34-zh.pdf" TargetMode="External"/><Relationship Id="rId12" Type="http://schemas.openxmlformats.org/officeDocument/2006/relationships/image" Target="media/image2.png"/><Relationship Id="rId108" Type="http://schemas.openxmlformats.org/officeDocument/2006/relationships/hyperlink" Target="https://www.cbd.int/doc/decisions/cop-11/cop-11-dec-17-zh.pdf" TargetMode="External"/><Relationship Id="rId315" Type="http://schemas.openxmlformats.org/officeDocument/2006/relationships/hyperlink" Target="https://www.cbd.int/doc/decisions/cop-12/cop-12-dec-30-zh.pdf" TargetMode="External"/><Relationship Id="rId357" Type="http://schemas.openxmlformats.org/officeDocument/2006/relationships/hyperlink" Target="https://documents.un.org/doc/undoc/gen/n23/265/97/pdf/n2326597.pdf" TargetMode="External"/><Relationship Id="rId54" Type="http://schemas.openxmlformats.org/officeDocument/2006/relationships/header" Target="header1.xml"/><Relationship Id="rId96" Type="http://schemas.openxmlformats.org/officeDocument/2006/relationships/hyperlink" Target="https://www.cbd.int/doc/decisions/cop-14/cop-14-dec-07-zh.pdf" TargetMode="External"/><Relationship Id="rId161" Type="http://schemas.openxmlformats.org/officeDocument/2006/relationships/hyperlink" Target="https://www.cbd.int/doc/decisions/cop-14/cop-14-dec-05-zh.pdf" TargetMode="External"/><Relationship Id="rId217" Type="http://schemas.openxmlformats.org/officeDocument/2006/relationships/hyperlink" Target="https://www.cbd.int/doc/decisions/cop-10/cop-10-dec-40-zh.pdf" TargetMode="External"/><Relationship Id="rId399" Type="http://schemas.openxmlformats.org/officeDocument/2006/relationships/hyperlink" Target="https://www.cbd.int/documents/CBD/COP/16/L30/REV1" TargetMode="External"/><Relationship Id="rId259" Type="http://schemas.openxmlformats.org/officeDocument/2006/relationships/hyperlink" Target="https://www.cbd.int/doc/decisions/cop-10/cop-10-dec-45-zh.pdf" TargetMode="External"/><Relationship Id="rId424" Type="http://schemas.openxmlformats.org/officeDocument/2006/relationships/hyperlink" Target="https://www.cbd.int/decisions/cop/?m=cop-16" TargetMode="External"/><Relationship Id="rId23" Type="http://schemas.openxmlformats.org/officeDocument/2006/relationships/hyperlink" Target="https://www.cbd.int/doc/decisions/cop-15/cop-15-dec-09-zh.pdf" TargetMode="External"/><Relationship Id="rId119" Type="http://schemas.openxmlformats.org/officeDocument/2006/relationships/hyperlink" Target="https://www.cbd.int/doc/decisions/cop-09/cop-09-dec-20-zh.pdf" TargetMode="External"/><Relationship Id="rId270" Type="http://schemas.openxmlformats.org/officeDocument/2006/relationships/hyperlink" Target="https://www.cbd.int/doc/decisions/cop-15/cop-15-dec-22-zh.pdf" TargetMode="External"/><Relationship Id="rId326" Type="http://schemas.openxmlformats.org/officeDocument/2006/relationships/hyperlink" Target="https://www.cbd.int/decisions/cop/?m=cop-15" TargetMode="External"/><Relationship Id="rId65" Type="http://schemas.openxmlformats.org/officeDocument/2006/relationships/hyperlink" Target="https://www.cbd.int/doc/decisions/cop-08/full/cop-08-dec-zh.pdf" TargetMode="External"/><Relationship Id="rId130" Type="http://schemas.openxmlformats.org/officeDocument/2006/relationships/hyperlink" Target="https://www.cbd.int/doc/decisions/cop-14/cop-14-dec-08-zh.pdf" TargetMode="External"/><Relationship Id="rId368" Type="http://schemas.openxmlformats.org/officeDocument/2006/relationships/hyperlink" Target="https://www.cbd.int/documents/CBD/COP/16/L36" TargetMode="External"/><Relationship Id="rId172" Type="http://schemas.openxmlformats.org/officeDocument/2006/relationships/hyperlink" Target="https://www.cbd.int/doc/decisions/cop-12/cop-12-dec-16-zh.pdf" TargetMode="External"/><Relationship Id="rId228" Type="http://schemas.openxmlformats.org/officeDocument/2006/relationships/hyperlink" Target="https://www.cbd.int/doc/decisions/cop-15/cop-15-dec-24-zh.pdf" TargetMode="External"/><Relationship Id="rId281" Type="http://schemas.openxmlformats.org/officeDocument/2006/relationships/header" Target="header7.xml"/><Relationship Id="rId337" Type="http://schemas.openxmlformats.org/officeDocument/2006/relationships/hyperlink" Target="https://www.cbd.int/decisions/cop/?m=cop-15" TargetMode="External"/><Relationship Id="rId34" Type="http://schemas.openxmlformats.org/officeDocument/2006/relationships/hyperlink" Target="https://www.cbd.int/documents/CBD/COP/16/INF/24" TargetMode="External"/><Relationship Id="rId76" Type="http://schemas.openxmlformats.org/officeDocument/2006/relationships/hyperlink" Target="https://www.cbd.int/doc/decisions/cop-09/cop-09-dec-32-zh.pdf" TargetMode="External"/><Relationship Id="rId141" Type="http://schemas.openxmlformats.org/officeDocument/2006/relationships/hyperlink" Target="https://www.cbd.int/doc/decisions/cop-15/cop-15-dec-19-zh.pdf" TargetMode="External"/><Relationship Id="rId379" Type="http://schemas.openxmlformats.org/officeDocument/2006/relationships/hyperlink" Target="https://www.cbd.int/decisions/cop/?m=cop-16" TargetMode="External"/><Relationship Id="rId7" Type="http://schemas.openxmlformats.org/officeDocument/2006/relationships/settings" Target="settings.xml"/><Relationship Id="rId183" Type="http://schemas.openxmlformats.org/officeDocument/2006/relationships/hyperlink" Target="https://www.cbd.int/decisions/cop/?m=cop-15" TargetMode="External"/><Relationship Id="rId239" Type="http://schemas.openxmlformats.org/officeDocument/2006/relationships/hyperlink" Target="https://www.cbd.int/doc/decisions/cop-14/cop-14-dec-21-zh.pdf" TargetMode="External"/><Relationship Id="rId390" Type="http://schemas.openxmlformats.org/officeDocument/2006/relationships/hyperlink" Target="https://www.cbd.int/documents/CBD/COP/16/L34/REV2" TargetMode="External"/><Relationship Id="rId404" Type="http://schemas.openxmlformats.org/officeDocument/2006/relationships/hyperlink" Target="https://www.cbd.int/decisions/cop/?m=cop-16" TargetMode="External"/><Relationship Id="rId250" Type="http://schemas.openxmlformats.org/officeDocument/2006/relationships/hyperlink" Target="https://www.cbd.int/doc/decisions/cop-09/cop-09-dec-34-zh.pdf" TargetMode="External"/><Relationship Id="rId292" Type="http://schemas.openxmlformats.org/officeDocument/2006/relationships/hyperlink" Target="https://www.cbd.int/doc/decisions/cop-12/cop-12-dec-02-zh.pdf" TargetMode="External"/><Relationship Id="rId306" Type="http://schemas.openxmlformats.org/officeDocument/2006/relationships/hyperlink" Target="https://www.cbd.int/doc/decisions/cop-15/cop-15-dec-06-zh.pdf" TargetMode="External"/><Relationship Id="rId45" Type="http://schemas.openxmlformats.org/officeDocument/2006/relationships/hyperlink" Target="https://www.cbd.int/doc/decisions/cop-15/cop-15-dec-21-zh.pdf" TargetMode="External"/><Relationship Id="rId87" Type="http://schemas.openxmlformats.org/officeDocument/2006/relationships/hyperlink" Target="https://www.cbd.int/documents/CBD/SBSTTA/26/3/ADD1" TargetMode="External"/><Relationship Id="rId110" Type="http://schemas.openxmlformats.org/officeDocument/2006/relationships/hyperlink" Target="https://www.cbd.int/doc/decisions/cop-13/cop-13-dec-12-zh.pdf" TargetMode="External"/><Relationship Id="rId348" Type="http://schemas.openxmlformats.org/officeDocument/2006/relationships/hyperlink" Target="https://www.cbd.int/doc/legal/cbd-en.pdf" TargetMode="External"/><Relationship Id="rId152" Type="http://schemas.openxmlformats.org/officeDocument/2006/relationships/hyperlink" Target="https://www.cbd.int/doc/decisions/cop-13/cop-13-dec-13-zh.pdf" TargetMode="External"/><Relationship Id="rId194" Type="http://schemas.openxmlformats.org/officeDocument/2006/relationships/hyperlink" Target="https://www.cbd.int/doc/decisions/cop-14/cop-14-dec-04-zh.pdf" TargetMode="External"/><Relationship Id="rId208" Type="http://schemas.openxmlformats.org/officeDocument/2006/relationships/hyperlink" Target="https://www.cbd.int/doc/decisions/cop-14/cop-14-dec-19-zh.pdf" TargetMode="External"/><Relationship Id="rId415" Type="http://schemas.openxmlformats.org/officeDocument/2006/relationships/hyperlink" Target="https://www.cbd.int/decisions/cop/?m=cop-16" TargetMode="External"/><Relationship Id="rId261" Type="http://schemas.openxmlformats.org/officeDocument/2006/relationships/hyperlink" Target="https://www.cbd.int/doc/decisions/cop-10/cop-10-dec-45-zh.pdf" TargetMode="External"/><Relationship Id="rId14" Type="http://schemas.openxmlformats.org/officeDocument/2006/relationships/hyperlink" Target="https://www.cbd.int/doc/decisions/cop-15/cop-15-dec-06-zh.pdf" TargetMode="External"/><Relationship Id="rId56" Type="http://schemas.openxmlformats.org/officeDocument/2006/relationships/footer" Target="footer1.xml"/><Relationship Id="rId317" Type="http://schemas.openxmlformats.org/officeDocument/2006/relationships/hyperlink" Target="https://www.cbd.int/convention/articles/default.shtml?a=cbd-20" TargetMode="External"/><Relationship Id="rId359" Type="http://schemas.openxmlformats.org/officeDocument/2006/relationships/hyperlink" Target="https://www.cbd.int/doc/decisions/cop-15/cop-15-dec-13-zh.pdf" TargetMode="External"/><Relationship Id="rId98" Type="http://schemas.openxmlformats.org/officeDocument/2006/relationships/hyperlink" Target="https://www.cbd.int/doc/decisions/cop-15/cop-15-dec-23-zh.pdf" TargetMode="External"/><Relationship Id="rId121" Type="http://schemas.openxmlformats.org/officeDocument/2006/relationships/hyperlink" Target="https://www.cbd.int/doc/decisions/cop-10/cop-10-dec-33-zh.pdf" TargetMode="External"/><Relationship Id="rId163" Type="http://schemas.openxmlformats.org/officeDocument/2006/relationships/hyperlink" Target="https://www.cbd.int/doc/decisions/cop-14/cop-14-dec-05-zh.pdf" TargetMode="External"/><Relationship Id="rId219" Type="http://schemas.openxmlformats.org/officeDocument/2006/relationships/hyperlink" Target="https://www.cbd.int/doc/decisions/cop-07/full/cop-07-dec-zh.pdf" TargetMode="External"/><Relationship Id="rId370" Type="http://schemas.openxmlformats.org/officeDocument/2006/relationships/hyperlink" Target="https://www.cbd.int/decisions/cop/?m=cop-16" TargetMode="External"/><Relationship Id="rId426" Type="http://schemas.openxmlformats.org/officeDocument/2006/relationships/hyperlink" Target="https://www.cbd.int/documents/CBD/COP/16/L23" TargetMode="External"/><Relationship Id="rId230" Type="http://schemas.openxmlformats.org/officeDocument/2006/relationships/hyperlink" Target="https://www.cbd.int/doc/decisions/cop-15/cop-15-dec-13-zh.pdf" TargetMode="External"/><Relationship Id="rId25" Type="http://schemas.openxmlformats.org/officeDocument/2006/relationships/hyperlink" Target="https://www.cbd.int/doc/decisions/cop-13/cop-13-dec-23-zh.pdf" TargetMode="External"/><Relationship Id="rId67" Type="http://schemas.openxmlformats.org/officeDocument/2006/relationships/hyperlink" Target="https://www.cbd.int/doc/decisions/cop-10/cop-10-dec-18-zh.pdf" TargetMode="External"/><Relationship Id="rId272" Type="http://schemas.openxmlformats.org/officeDocument/2006/relationships/hyperlink" Target="https://www.cbd.int/doc/decisions/cop-15/cop-15-dec-05-zh.pdf" TargetMode="External"/><Relationship Id="rId328" Type="http://schemas.openxmlformats.org/officeDocument/2006/relationships/hyperlink" Target="https://www.cbd.int/convention/articles/default.shtml?a=cbd-20" TargetMode="External"/><Relationship Id="rId132" Type="http://schemas.openxmlformats.org/officeDocument/2006/relationships/hyperlink" Target="https://www.cbd.int/doc/decisions/cop-14/cop-14-dec-30-zh.pdf" TargetMode="External"/><Relationship Id="rId174" Type="http://schemas.openxmlformats.org/officeDocument/2006/relationships/hyperlink" Target="https://www.cbd.int/doc/decisions/cop-12/cop-12-dec-21-zh.pdf" TargetMode="External"/><Relationship Id="rId381" Type="http://schemas.openxmlformats.org/officeDocument/2006/relationships/hyperlink" Target="https://www.cbd.int/documents/CBD/COP/16/L33" TargetMode="External"/><Relationship Id="rId241" Type="http://schemas.openxmlformats.org/officeDocument/2006/relationships/hyperlink" Target="https://www.cbd.int/doc/decisions/cop-15/cop-15-dec-18-zh.pdf" TargetMode="External"/><Relationship Id="rId36" Type="http://schemas.openxmlformats.org/officeDocument/2006/relationships/hyperlink" Target="https://www.cbd.int/doc/decisions/cop-15/cop-15-dec-08-zh.pdf" TargetMode="External"/><Relationship Id="rId283" Type="http://schemas.openxmlformats.org/officeDocument/2006/relationships/footer" Target="footer6.xml"/><Relationship Id="rId339" Type="http://schemas.openxmlformats.org/officeDocument/2006/relationships/hyperlink" Target="https://www.cbd.int/doc/decisions/cop-12/cop-12-dec-03-zh.pdf" TargetMode="External"/><Relationship Id="rId78" Type="http://schemas.openxmlformats.org/officeDocument/2006/relationships/hyperlink" Target="https://www.cbd.int/doc/decisions/cop-13/cop-13-dec-22-zh.pdf" TargetMode="External"/><Relationship Id="rId101" Type="http://schemas.openxmlformats.org/officeDocument/2006/relationships/hyperlink" Target="https://www.cbd.int/convention/articles/default.shtml?a=cbd-03" TargetMode="External"/><Relationship Id="rId143" Type="http://schemas.openxmlformats.org/officeDocument/2006/relationships/hyperlink" Target="https://www.cbd.int/doc/decisions/cop-13/cop-13-dec-13-zh.pdf" TargetMode="External"/><Relationship Id="rId185" Type="http://schemas.openxmlformats.org/officeDocument/2006/relationships/hyperlink" Target="https://www.cbd.int/doc/decisions/cop-14/cop-14-dec-04-zh.pdf" TargetMode="External"/><Relationship Id="rId350" Type="http://schemas.openxmlformats.org/officeDocument/2006/relationships/hyperlink" Target="https://www.cbd.int/doc/legal/cbd-en.pdf" TargetMode="External"/><Relationship Id="rId406" Type="http://schemas.openxmlformats.org/officeDocument/2006/relationships/hyperlink" Target="https://www.cbd.int/documents/CBD/COP/16/2/Rev.1" TargetMode="External"/><Relationship Id="rId9" Type="http://schemas.openxmlformats.org/officeDocument/2006/relationships/footnotes" Target="footnotes.xml"/><Relationship Id="rId210" Type="http://schemas.openxmlformats.org/officeDocument/2006/relationships/hyperlink" Target="https://www.cbd.int/doc/decisions/cop-15/cop-15-dec-08-zh.pdf" TargetMode="External"/><Relationship Id="rId392" Type="http://schemas.openxmlformats.org/officeDocument/2006/relationships/hyperlink" Target="https://www.cbd.int/documents/CBD/COP/16/2/Rev.1" TargetMode="External"/><Relationship Id="rId252" Type="http://schemas.openxmlformats.org/officeDocument/2006/relationships/hyperlink" Target="https://www.cbd.int/doc/meetings/cop/cop-01/official/cop-01-17-zh.pdf" TargetMode="External"/><Relationship Id="rId294" Type="http://schemas.openxmlformats.org/officeDocument/2006/relationships/hyperlink" Target="https://www.cbd.int/doc/decisions/cop-15/cop-15-dec-05-zh.pdf" TargetMode="External"/><Relationship Id="rId308" Type="http://schemas.openxmlformats.org/officeDocument/2006/relationships/hyperlink" Target="https://www.cbd.int/doc/decisions/cop-15/cop-15-dec-06-zh.pdf" TargetMode="External"/><Relationship Id="rId47" Type="http://schemas.openxmlformats.org/officeDocument/2006/relationships/hyperlink" Target="https://www.cbd.int/documents/CBD/COP/16/INF/35" TargetMode="External"/><Relationship Id="rId89" Type="http://schemas.openxmlformats.org/officeDocument/2006/relationships/hyperlink" Target="https://ipbes.net/transformative-change" TargetMode="External"/><Relationship Id="rId112" Type="http://schemas.openxmlformats.org/officeDocument/2006/relationships/hyperlink" Target="https://www.cbd.int/doc/decisions/cop-15/cop-15-dec-26-zh.pdf" TargetMode="External"/><Relationship Id="rId154" Type="http://schemas.openxmlformats.org/officeDocument/2006/relationships/hyperlink" Target="https://www.cbd.int/doc/decisions/cop-13/cop-13-dec-13-zh.pdf" TargetMode="External"/><Relationship Id="rId361" Type="http://schemas.openxmlformats.org/officeDocument/2006/relationships/hyperlink" Target="https://www.cbd.int/decisions/cop?m=cop-16" TargetMode="External"/><Relationship Id="rId196" Type="http://schemas.openxmlformats.org/officeDocument/2006/relationships/header" Target="header3.xml"/><Relationship Id="rId417" Type="http://schemas.openxmlformats.org/officeDocument/2006/relationships/hyperlink" Target="https://www.cbd.int/decisions/cop/?m=cop-16" TargetMode="External"/><Relationship Id="rId16" Type="http://schemas.openxmlformats.org/officeDocument/2006/relationships/hyperlink" Target="https://www.cbd.int/doc/decisions/cop-15/cop-15-dec-06-zh.pdf" TargetMode="External"/><Relationship Id="rId221" Type="http://schemas.openxmlformats.org/officeDocument/2006/relationships/hyperlink" Target="https://www.cbd.int/doc/decisions/cop-10/cop-10-dec-33-zh.pdf" TargetMode="External"/><Relationship Id="rId263" Type="http://schemas.openxmlformats.org/officeDocument/2006/relationships/hyperlink" Target="https://www.cbd.int/doc/decisions/cop-15/cop-15-dec-04-zh.pdf" TargetMode="External"/><Relationship Id="rId319" Type="http://schemas.openxmlformats.org/officeDocument/2006/relationships/hyperlink" Target="https://www.cbd.int/convention/articles/default.shtml?a=cbd-39" TargetMode="External"/><Relationship Id="rId58" Type="http://schemas.openxmlformats.org/officeDocument/2006/relationships/hyperlink" Target="https://www.cbd.int/doc/decisions/cop-14/cop-14-dec-25-zh.pdf" TargetMode="External"/><Relationship Id="rId123" Type="http://schemas.openxmlformats.org/officeDocument/2006/relationships/hyperlink" Target="https://www.cbd.int/doc/decisions/cop-11/cop-11-dec-18-zh.pdf" TargetMode="External"/><Relationship Id="rId330" Type="http://schemas.openxmlformats.org/officeDocument/2006/relationships/hyperlink" Target="https://www.cbd.int/doc/decisions/cop-12/cop-12-dec-03-zh.pdf" TargetMode="External"/><Relationship Id="rId165" Type="http://schemas.openxmlformats.org/officeDocument/2006/relationships/hyperlink" Target="https://www.cbd.int/doc/decisions/cop-10/cop-10-dec-33-zh.pdf" TargetMode="External"/><Relationship Id="rId372" Type="http://schemas.openxmlformats.org/officeDocument/2006/relationships/hyperlink" Target="https://www.cbd.int/decisions/cop/?m=cop-16" TargetMode="External"/><Relationship Id="rId428" Type="http://schemas.openxmlformats.org/officeDocument/2006/relationships/header" Target="header9.xml"/><Relationship Id="rId232" Type="http://schemas.openxmlformats.org/officeDocument/2006/relationships/hyperlink" Target="https://www.cbd.int/doc/decisions/cop-09/cop-09-dec-16-zh.pdf" TargetMode="External"/><Relationship Id="rId274" Type="http://schemas.openxmlformats.org/officeDocument/2006/relationships/hyperlink" Target="https://www.cbd.int/doc/decisions/cop-15/cop-15-dec-05-zh.pdf" TargetMode="External"/><Relationship Id="rId27" Type="http://schemas.openxmlformats.org/officeDocument/2006/relationships/hyperlink" Target="https://www.cbd.int/doc/decisions/cop-15/cop-15-dec-08-zh.pdf" TargetMode="External"/><Relationship Id="rId69" Type="http://schemas.openxmlformats.org/officeDocument/2006/relationships/hyperlink" Target="https://www.cbd.int/decisions/cop/?m=cop-15" TargetMode="External"/><Relationship Id="rId134" Type="http://schemas.openxmlformats.org/officeDocument/2006/relationships/hyperlink" Target="https://www.cbd.int/doc/decisions/cop-10/cop-10-dec-33-zh.pdf" TargetMode="External"/><Relationship Id="rId80" Type="http://schemas.openxmlformats.org/officeDocument/2006/relationships/hyperlink" Target="https://www.cbd.int/decisions/cop/?m=cop-15" TargetMode="External"/><Relationship Id="rId176" Type="http://schemas.openxmlformats.org/officeDocument/2006/relationships/hyperlink" Target="https://www.cbd.int/doc/decisions/cop-14/cop-14-dec-04-zh.pdf" TargetMode="External"/><Relationship Id="rId341" Type="http://schemas.openxmlformats.org/officeDocument/2006/relationships/hyperlink" Target="https://www.cbd.int/doc/legal/cbd-en.pdf" TargetMode="External"/><Relationship Id="rId383" Type="http://schemas.openxmlformats.org/officeDocument/2006/relationships/hyperlink" Target="https://www.cbd.int/decisions/cop/?m=cop-15" TargetMode="External"/><Relationship Id="rId201" Type="http://schemas.openxmlformats.org/officeDocument/2006/relationships/hyperlink" Target="https://www.cbd.int/doc/decisions/cop-05/full/cop-05-dec-zh.pdf" TargetMode="External"/><Relationship Id="rId243" Type="http://schemas.openxmlformats.org/officeDocument/2006/relationships/hyperlink" Target="https://www.cbd.int/recommendations/sbi/?m=sbi-04" TargetMode="External"/><Relationship Id="rId285" Type="http://schemas.openxmlformats.org/officeDocument/2006/relationships/hyperlink" Target="https://www.bipindicators.net/indicators/area-of-forest-under-sustainable-management-certification" TargetMode="External"/><Relationship Id="rId38" Type="http://schemas.openxmlformats.org/officeDocument/2006/relationships/hyperlink" Target="https://www.cbd.int/doc/decisions/cop-15/cop-15-dec-08-zh.pdf" TargetMode="External"/><Relationship Id="rId103" Type="http://schemas.openxmlformats.org/officeDocument/2006/relationships/hyperlink" Target="https://www.cbd.int/convention/articles/default.shtml?a=cbd-05" TargetMode="External"/><Relationship Id="rId310" Type="http://schemas.openxmlformats.org/officeDocument/2006/relationships/hyperlink" Target="https://www.cbd.int/convention/articles/default.shtml?a=cbd-20" TargetMode="External"/><Relationship Id="rId91" Type="http://schemas.openxmlformats.org/officeDocument/2006/relationships/hyperlink" Target="https://www.cbd.int/doc/decisions/cop-15/cop-15-dec-04-zh.pdf" TargetMode="External"/><Relationship Id="rId145" Type="http://schemas.openxmlformats.org/officeDocument/2006/relationships/hyperlink" Target="https://www.cbd.int/doc/decisions/cop-14/cop-14-dec-11-zh.pdf" TargetMode="External"/><Relationship Id="rId187" Type="http://schemas.openxmlformats.org/officeDocument/2006/relationships/hyperlink" Target="https://www.cbd.int/doc/decisions/cop-14/cop-14-dec-04-zh.pdf" TargetMode="External"/><Relationship Id="rId352" Type="http://schemas.openxmlformats.org/officeDocument/2006/relationships/hyperlink" Target="https://www.cbd.int/doc/decisions/cop-16/cop-16-dec-02-en.pdf" TargetMode="External"/><Relationship Id="rId394" Type="http://schemas.openxmlformats.org/officeDocument/2006/relationships/hyperlink" Target="https://www.cbd.int/decisions/cop/?m=cop-16" TargetMode="External"/><Relationship Id="rId408" Type="http://schemas.openxmlformats.org/officeDocument/2006/relationships/hyperlink" Target="https://www.cbd.int/documents/CBD/COP/16/2/Rev.1" TargetMode="External"/><Relationship Id="rId212" Type="http://schemas.openxmlformats.org/officeDocument/2006/relationships/hyperlink" Target="https://www.cbd.int/doc/decisions/mop-07/mop-07-dec-12-zh.pdf" TargetMode="External"/><Relationship Id="rId254" Type="http://schemas.openxmlformats.org/officeDocument/2006/relationships/hyperlink" Target="https://www.cbd.int/doc/decisions/cop-04/full/cop-04-dec-zh.pdf" TargetMode="External"/><Relationship Id="rId28" Type="http://schemas.openxmlformats.org/officeDocument/2006/relationships/hyperlink" Target="https://www.cbd.int/doc/c/bb28/09c1/29b6088acca2ec6b8dca64a1/tsc-iag-2024-01-02-en.pdf" TargetMode="External"/><Relationship Id="rId49" Type="http://schemas.openxmlformats.org/officeDocument/2006/relationships/hyperlink" Target="https://www.cbd.int/doc/decisions/cop-11/cop-11-dec-02-zh.pdf" TargetMode="External"/><Relationship Id="rId114" Type="http://schemas.openxmlformats.org/officeDocument/2006/relationships/hyperlink" Target="https://www.cbd.int/doc/decisions/cop-14/cop-14-dec-09-zh.pdf" TargetMode="External"/><Relationship Id="rId275" Type="http://schemas.openxmlformats.org/officeDocument/2006/relationships/hyperlink" Target="https://www.cbd.int/doc/decisions/cop-15/cop-15-dec-13-zh.pdf" TargetMode="External"/><Relationship Id="rId296" Type="http://schemas.openxmlformats.org/officeDocument/2006/relationships/hyperlink" Target="https://www.cbd.int/doc/decisions/cop-15/cop-15-dec-11-zh.pdf" TargetMode="External"/><Relationship Id="rId300" Type="http://schemas.openxmlformats.org/officeDocument/2006/relationships/hyperlink" Target="https://www.cbd.int/doc/decisions/cop-15/cop-15-dec-06-zh.pdf" TargetMode="External"/><Relationship Id="rId60" Type="http://schemas.openxmlformats.org/officeDocument/2006/relationships/hyperlink" Target="https://www.cbd.int/documents/CBD/SBI/4/INF/9" TargetMode="External"/><Relationship Id="rId81" Type="http://schemas.openxmlformats.org/officeDocument/2006/relationships/hyperlink" Target="https://www.cbd.int/decisions/cop/?m=cop-15" TargetMode="External"/><Relationship Id="rId135" Type="http://schemas.openxmlformats.org/officeDocument/2006/relationships/hyperlink" Target="https://www.cbd.int/doc/decisions/cop-14/cop-14-dec-05-zh.pdf" TargetMode="External"/><Relationship Id="rId156" Type="http://schemas.openxmlformats.org/officeDocument/2006/relationships/hyperlink" Target="https://www.cbd.int/doc/decisions/cop-14/cop-14-dec-11-zh.pdf" TargetMode="External"/><Relationship Id="rId177" Type="http://schemas.openxmlformats.org/officeDocument/2006/relationships/hyperlink" Target="https://www.cbd.int/doc/decisions/cop-15/cop-15-dec-29-zh.pdf" TargetMode="External"/><Relationship Id="rId198" Type="http://schemas.openxmlformats.org/officeDocument/2006/relationships/footer" Target="footer3.xml"/><Relationship Id="rId321" Type="http://schemas.openxmlformats.org/officeDocument/2006/relationships/hyperlink" Target="https://www.cbd.int/doc/legal/cbd-en.pdf" TargetMode="External"/><Relationship Id="rId342" Type="http://schemas.openxmlformats.org/officeDocument/2006/relationships/hyperlink" Target="https://www.cbd.int/decisions/cop/?m=cop-15" TargetMode="External"/><Relationship Id="rId363" Type="http://schemas.openxmlformats.org/officeDocument/2006/relationships/hyperlink" Target="https://www.cbd.int/decisions/cop/?m=cop-16" TargetMode="External"/><Relationship Id="rId384" Type="http://schemas.openxmlformats.org/officeDocument/2006/relationships/hyperlink" Target="https://www.cbd.int/documents/CBD/COP/16/2/Rev.1" TargetMode="External"/><Relationship Id="rId419" Type="http://schemas.openxmlformats.org/officeDocument/2006/relationships/hyperlink" Target="https://www.cbd.int/decisions/cop/?m=cop-16" TargetMode="External"/><Relationship Id="rId202" Type="http://schemas.openxmlformats.org/officeDocument/2006/relationships/hyperlink" Target="https://www.cbd.int/doc/decisions/cop-06/full/cop-06-dec-zh.pdf" TargetMode="External"/><Relationship Id="rId223" Type="http://schemas.openxmlformats.org/officeDocument/2006/relationships/hyperlink" Target="https://www.cbd.int/doc/decisions/cop-11/cop-11-dec-20-zh.pdf" TargetMode="External"/><Relationship Id="rId244" Type="http://schemas.openxmlformats.org/officeDocument/2006/relationships/hyperlink" Target="https://www.cbd.int/doc/decisions/cop-14/cop-14-dec-33-zh.pdf" TargetMode="External"/><Relationship Id="rId430" Type="http://schemas.openxmlformats.org/officeDocument/2006/relationships/footer" Target="footer7.xml"/><Relationship Id="rId18" Type="http://schemas.openxmlformats.org/officeDocument/2006/relationships/hyperlink" Target="https://www.cbd.int/doc/decisions/cop-15/cop-15-dec-09-zh.pdf" TargetMode="External"/><Relationship Id="rId39" Type="http://schemas.openxmlformats.org/officeDocument/2006/relationships/hyperlink" Target="https://www.cbd.int/doc/decisions/cop-15/cop-15-dec-08-zh.pdf" TargetMode="External"/><Relationship Id="rId265" Type="http://schemas.openxmlformats.org/officeDocument/2006/relationships/hyperlink" Target="https://www.cbd.int/doc/decisions/cop-15/cop-15-dec-07-zh.pdf" TargetMode="External"/><Relationship Id="rId286" Type="http://schemas.openxmlformats.org/officeDocument/2006/relationships/hyperlink" Target="https://www.cbd.int/convention/articles/default.shtml?a=cbd-06" TargetMode="External"/><Relationship Id="rId50" Type="http://schemas.openxmlformats.org/officeDocument/2006/relationships/hyperlink" Target="https://www.cbd.int/doc/decisions/cop-12/cop-12-dec-02-zh.pdf" TargetMode="External"/><Relationship Id="rId104" Type="http://schemas.openxmlformats.org/officeDocument/2006/relationships/hyperlink" Target="https://www.cbd.int/convention/articles/default.shtml?a=cbd-22" TargetMode="External"/><Relationship Id="rId125" Type="http://schemas.openxmlformats.org/officeDocument/2006/relationships/hyperlink" Target="https://www.cbd.int/doc/decisions/cop-12/cop-12-dec-23-zh.pdf" TargetMode="External"/><Relationship Id="rId146" Type="http://schemas.openxmlformats.org/officeDocument/2006/relationships/hyperlink" Target="https://www.cbd.int/doc/decisions/cop-12/cop-12-dec-16-zh.pdf" TargetMode="External"/><Relationship Id="rId167" Type="http://schemas.openxmlformats.org/officeDocument/2006/relationships/hyperlink" Target="https://www.cbd.int/doc/decisions/cop-10/cop-10-dec-33-zh.pdf" TargetMode="External"/><Relationship Id="rId188" Type="http://schemas.openxmlformats.org/officeDocument/2006/relationships/hyperlink" Target="https://www.cbd.int/doc/decisions/cop-12/cop-12-dec-21-zh.pdf" TargetMode="External"/><Relationship Id="rId311" Type="http://schemas.openxmlformats.org/officeDocument/2006/relationships/hyperlink" Target="https://www.cbd.int/convention/articles/default.shtml?a=cbd-21" TargetMode="External"/><Relationship Id="rId332" Type="http://schemas.openxmlformats.org/officeDocument/2006/relationships/hyperlink" Target="https://www.cbd.int/decisions/cop/?m=cop-15" TargetMode="External"/><Relationship Id="rId353" Type="http://schemas.openxmlformats.org/officeDocument/2006/relationships/hyperlink" Target="https://www.cbd.int/doc/decisions/cop-13/cop-13-dec-24-zh.pdf" TargetMode="External"/><Relationship Id="rId374" Type="http://schemas.openxmlformats.org/officeDocument/2006/relationships/hyperlink" Target="https://www.cbd.int/decisions/cop/?m=cop-15" TargetMode="External"/><Relationship Id="rId395" Type="http://schemas.openxmlformats.org/officeDocument/2006/relationships/hyperlink" Target="https://www.cbd.int/decisions/cop/?m=cop-15" TargetMode="External"/><Relationship Id="rId409" Type="http://schemas.openxmlformats.org/officeDocument/2006/relationships/hyperlink" Target="https://www.cbd.int/decisions/cop/?m=cop-16" TargetMode="External"/><Relationship Id="rId71" Type="http://schemas.openxmlformats.org/officeDocument/2006/relationships/hyperlink" Target="https://www.cbd.int/doc/decisions/cop-08/full/cop-08-dec-zh.pdf" TargetMode="External"/><Relationship Id="rId92" Type="http://schemas.openxmlformats.org/officeDocument/2006/relationships/hyperlink" Target="https://www.cbd.int/doc/decisions/cop-14/cop-14-dec-03-zh.pdf" TargetMode="External"/><Relationship Id="rId213" Type="http://schemas.openxmlformats.org/officeDocument/2006/relationships/hyperlink" Target="https://www.cbd.int/convention/articles/default.shtml?a=cbd-16" TargetMode="External"/><Relationship Id="rId234" Type="http://schemas.openxmlformats.org/officeDocument/2006/relationships/hyperlink" Target="https://www.cbd.int/doc/decisions/cop-11/cop-11-dec-20-zh.pdf" TargetMode="External"/><Relationship Id="rId420" Type="http://schemas.openxmlformats.org/officeDocument/2006/relationships/hyperlink" Target="https://www.cbd.int/decisions/cop/?m=cop-16" TargetMode="External"/><Relationship Id="rId2" Type="http://schemas.openxmlformats.org/officeDocument/2006/relationships/customXml" Target="../customXml/item2.xml"/><Relationship Id="rId29" Type="http://schemas.openxmlformats.org/officeDocument/2006/relationships/hyperlink" Target="https://www.cbd.int/doc/decisions/cop-15/cop-15-dec-08-zh.pdf" TargetMode="External"/><Relationship Id="rId255" Type="http://schemas.openxmlformats.org/officeDocument/2006/relationships/hyperlink" Target="https://www.cbd.int/doc/decisions/cop-07/full/cop-07-dec-zh.pdf" TargetMode="External"/><Relationship Id="rId276" Type="http://schemas.openxmlformats.org/officeDocument/2006/relationships/hyperlink" Target="https://www.cbd.int/doc/decisions/cop-15/cop-15-dec-06-zh.pdf" TargetMode="External"/><Relationship Id="rId297" Type="http://schemas.openxmlformats.org/officeDocument/2006/relationships/hyperlink" Target="https://www.cbd.int/doc/decisions/cop-13/cop-13-dec-25-zh.pdf" TargetMode="External"/><Relationship Id="rId40" Type="http://schemas.openxmlformats.org/officeDocument/2006/relationships/hyperlink" Target="https://www.cbd.int/doc/decisions/cop-05/full/cop-05-dec-zh.pdf" TargetMode="External"/><Relationship Id="rId115" Type="http://schemas.openxmlformats.org/officeDocument/2006/relationships/hyperlink" Target="https://www.cbd.int/doc/decisions/cop-10/cop-10-dec-29-zh.pdf" TargetMode="External"/><Relationship Id="rId136" Type="http://schemas.openxmlformats.org/officeDocument/2006/relationships/hyperlink" Target="https://www.cbd.int/doc/decisions/cop-12/cop-12-dec-23-zh.pdf" TargetMode="External"/><Relationship Id="rId157" Type="http://schemas.openxmlformats.org/officeDocument/2006/relationships/hyperlink" Target="https://www.cbd.int/doc/decisions/cop-14/cop-14-dec-11-zh.pdf" TargetMode="External"/><Relationship Id="rId178" Type="http://schemas.openxmlformats.org/officeDocument/2006/relationships/hyperlink" Target="https://www.cbd.int/doc/decisions/cop-08/full/cop-08-dec-zh.pdf" TargetMode="External"/><Relationship Id="rId301" Type="http://schemas.openxmlformats.org/officeDocument/2006/relationships/hyperlink" Target="https://www.cbd.int/doc/decisions/cop-15/cop-15-dec-06-zh.pdf" TargetMode="External"/><Relationship Id="rId322" Type="http://schemas.openxmlformats.org/officeDocument/2006/relationships/hyperlink" Target="https://www.cbd.int/doc/legal/cbd-zh.pdf" TargetMode="External"/><Relationship Id="rId343" Type="http://schemas.openxmlformats.org/officeDocument/2006/relationships/hyperlink" Target="https://www.cbd.int/convention/articles/default.shtml?a=cbd-20" TargetMode="External"/><Relationship Id="rId364" Type="http://schemas.openxmlformats.org/officeDocument/2006/relationships/hyperlink" Target="https://www.cbd.int/documents/CBD/COP/16/INF/44" TargetMode="External"/><Relationship Id="rId61" Type="http://schemas.openxmlformats.org/officeDocument/2006/relationships/hyperlink" Target="https://www.cbd.int/documents/CBD/SBSTTA/26/INF/15" TargetMode="External"/><Relationship Id="rId82" Type="http://schemas.openxmlformats.org/officeDocument/2006/relationships/hyperlink" Target="https://www.cbd.int/doc/decisions/cop-11/cop-11-dec-13-zh.pdf" TargetMode="External"/><Relationship Id="rId199" Type="http://schemas.openxmlformats.org/officeDocument/2006/relationships/footer" Target="footer4.xml"/><Relationship Id="rId203" Type="http://schemas.openxmlformats.org/officeDocument/2006/relationships/hyperlink" Target="https://www.cbd.int/doc/decisions/cop-07/full/cop-07-dec-zh.pdf" TargetMode="External"/><Relationship Id="rId385" Type="http://schemas.openxmlformats.org/officeDocument/2006/relationships/hyperlink" Target="https://www.cbd.int/documents/CBD/COP/16/L34" TargetMode="External"/><Relationship Id="rId19" Type="http://schemas.openxmlformats.org/officeDocument/2006/relationships/hyperlink" Target="https://www.cbd.int/recommendations/wgdsi/?m=wgdsi-02" TargetMode="External"/><Relationship Id="rId224" Type="http://schemas.openxmlformats.org/officeDocument/2006/relationships/hyperlink" Target="https://www.cbd.int/doc/decisions/cop-11/cop-11-dec-21-zh.pdf" TargetMode="External"/><Relationship Id="rId245" Type="http://schemas.openxmlformats.org/officeDocument/2006/relationships/hyperlink" Target="https://www.cbd.int/doc/decisions/cop-13/cop-13-dec-33-zh.pdf" TargetMode="External"/><Relationship Id="rId266" Type="http://schemas.openxmlformats.org/officeDocument/2006/relationships/hyperlink" Target="https://www.cbd.int/doc/decisions/cop-15/cop-15-dec-08-zh.pdf" TargetMode="External"/><Relationship Id="rId287" Type="http://schemas.openxmlformats.org/officeDocument/2006/relationships/hyperlink" Target="https://www.cbd.int/convention/articles/default.shtml?a=cbd-23" TargetMode="External"/><Relationship Id="rId410" Type="http://schemas.openxmlformats.org/officeDocument/2006/relationships/hyperlink" Target="https://www.cbd.int/decisions/cop/?m=cop-16" TargetMode="External"/><Relationship Id="rId431" Type="http://schemas.openxmlformats.org/officeDocument/2006/relationships/footer" Target="footer8.xml"/><Relationship Id="rId30" Type="http://schemas.openxmlformats.org/officeDocument/2006/relationships/hyperlink" Target="https://www.cbd.int/doc/decisions/cop-15/cop-15-dec-06-zh.pdf" TargetMode="External"/><Relationship Id="rId105" Type="http://schemas.openxmlformats.org/officeDocument/2006/relationships/hyperlink" Target="https://www.cbd.int/doc/decisions/cop-08/full/cop-08-dec-zh.pdf" TargetMode="External"/><Relationship Id="rId126" Type="http://schemas.openxmlformats.org/officeDocument/2006/relationships/hyperlink" Target="https://www.cbd.int/doc/decisions/cop-13/cop-13-dec-09-zh.pdf" TargetMode="External"/><Relationship Id="rId147" Type="http://schemas.openxmlformats.org/officeDocument/2006/relationships/hyperlink" Target="https://www.cbd.int/doc/decisions/cop-14/cop-14-dec-11-zh.pdf" TargetMode="External"/><Relationship Id="rId168" Type="http://schemas.openxmlformats.org/officeDocument/2006/relationships/hyperlink" Target="https://www.cbd.int/doc/decisions/cop-08/full/cop-08-dec-zh.pdf" TargetMode="External"/><Relationship Id="rId312" Type="http://schemas.openxmlformats.org/officeDocument/2006/relationships/hyperlink" Target="https://www.cbd.int/doc/c/c110/0e83/5c41baaaff34aab8ef0f23d1/cop-16-06-add1-zh.pdf" TargetMode="External"/><Relationship Id="rId333" Type="http://schemas.openxmlformats.org/officeDocument/2006/relationships/hyperlink" Target="https://www.cbd.int/doc/legal/cbd-en.pdf" TargetMode="External"/><Relationship Id="rId354" Type="http://schemas.openxmlformats.org/officeDocument/2006/relationships/hyperlink" Target="https://www.cbd.int/doc/decisions/cop-14/cop-14-dec-30-zh.pdf" TargetMode="External"/><Relationship Id="rId51" Type="http://schemas.openxmlformats.org/officeDocument/2006/relationships/hyperlink" Target="https://www.cbd.int/doc/decisions/cop-13/cop-13-dec-23-zh.pdf" TargetMode="External"/><Relationship Id="rId72" Type="http://schemas.openxmlformats.org/officeDocument/2006/relationships/hyperlink" Target="https://www.cbd.int/doc/decisions/cop-09/cop-09-dec-32-zh.pdf" TargetMode="External"/><Relationship Id="rId93" Type="http://schemas.openxmlformats.org/officeDocument/2006/relationships/hyperlink" Target="https://www.cbd.int/doc/decisions/cop-14/cop-14-dec-03-zh.pdf" TargetMode="External"/><Relationship Id="rId189" Type="http://schemas.openxmlformats.org/officeDocument/2006/relationships/hyperlink" Target="https://www.cbd.int/doc/decisions/cop-13/cop-13-dec-06-zh.pdf" TargetMode="External"/><Relationship Id="rId375" Type="http://schemas.openxmlformats.org/officeDocument/2006/relationships/hyperlink" Target="https://www.cbd.int/documents/CBD/COP/16/2/Rev.1" TargetMode="External"/><Relationship Id="rId396" Type="http://schemas.openxmlformats.org/officeDocument/2006/relationships/hyperlink" Target="https://www.cbd.int/decisions/cop/?m=cop-16" TargetMode="External"/><Relationship Id="rId3" Type="http://schemas.openxmlformats.org/officeDocument/2006/relationships/customXml" Target="../customXml/item3.xml"/><Relationship Id="rId214" Type="http://schemas.openxmlformats.org/officeDocument/2006/relationships/hyperlink" Target="https://www.cbd.int/convention/articles/default.shtml?a=cbd-19" TargetMode="External"/><Relationship Id="rId235" Type="http://schemas.openxmlformats.org/officeDocument/2006/relationships/hyperlink" Target="https://www.cbd.int/doc/decisions/cop-13/cop-13-dec-14-zh.pdf" TargetMode="External"/><Relationship Id="rId256" Type="http://schemas.openxmlformats.org/officeDocument/2006/relationships/hyperlink" Target="https://www.cbd.int/doc/decisions/cop-07/full/cop-07-dec-zh.pdf" TargetMode="External"/><Relationship Id="rId277" Type="http://schemas.openxmlformats.org/officeDocument/2006/relationships/hyperlink" Target="https://www.cbd.int/documents/CBD/SBSTTA/26/2" TargetMode="External"/><Relationship Id="rId298" Type="http://schemas.openxmlformats.org/officeDocument/2006/relationships/hyperlink" Target="https://www.cbd.int/doc/decisions/cop-14/cop-14-dec-29-zh.pdf" TargetMode="External"/><Relationship Id="rId400" Type="http://schemas.openxmlformats.org/officeDocument/2006/relationships/hyperlink" Target="https://www.cbd.int/decisions/cop/?m=cop-16" TargetMode="External"/><Relationship Id="rId421" Type="http://schemas.openxmlformats.org/officeDocument/2006/relationships/hyperlink" Target="https://www.cbd.int/decisions/cop/?m=cop-16" TargetMode="External"/><Relationship Id="rId116" Type="http://schemas.openxmlformats.org/officeDocument/2006/relationships/hyperlink" Target="https://www.cbd.int/doc/decisions/cop-11/cop-11-dec-17-zh.pdf" TargetMode="External"/><Relationship Id="rId137" Type="http://schemas.openxmlformats.org/officeDocument/2006/relationships/hyperlink" Target="https://www.cbd.int/doc/decisions/cop-14/cop-14-dec-08-zh.pdf" TargetMode="External"/><Relationship Id="rId158" Type="http://schemas.openxmlformats.org/officeDocument/2006/relationships/hyperlink" Target="https://www.cbd.int/doc/decisions/cop-13/cop-13-dec-13-zh.pdf" TargetMode="External"/><Relationship Id="rId302" Type="http://schemas.openxmlformats.org/officeDocument/2006/relationships/hyperlink" Target="https://www.cbd.int/doc/decisions/cop-15/cop-15-dec-06-zh.pdf" TargetMode="External"/><Relationship Id="rId323" Type="http://schemas.openxmlformats.org/officeDocument/2006/relationships/hyperlink" Target="https://www.cbd.int/decisions/cop/?m=cop-15" TargetMode="External"/><Relationship Id="rId344" Type="http://schemas.openxmlformats.org/officeDocument/2006/relationships/hyperlink" Target="https://www.cbd.int/doc/legal/cbd-en.pdf" TargetMode="External"/><Relationship Id="rId20" Type="http://schemas.openxmlformats.org/officeDocument/2006/relationships/hyperlink" Target="https://www.cbd.int/doc/decisions/cop-15/cop-15-dec-09-zh.pdf" TargetMode="External"/><Relationship Id="rId41" Type="http://schemas.openxmlformats.org/officeDocument/2006/relationships/hyperlink" Target="https://www.cbd.int/doc/decisions/cop-10/cop-10-dec-43-zh.pdf" TargetMode="External"/><Relationship Id="rId62" Type="http://schemas.openxmlformats.org/officeDocument/2006/relationships/hyperlink" Target="https://www.cbd.int/documents/CBD/SBSTTA/26/INF/16/Rev.1" TargetMode="External"/><Relationship Id="rId83" Type="http://schemas.openxmlformats.org/officeDocument/2006/relationships/hyperlink" Target="https://www.cbd.int/doc/decisions/cop-12/cop-12-dec-25-zh.pdf" TargetMode="External"/><Relationship Id="rId179" Type="http://schemas.openxmlformats.org/officeDocument/2006/relationships/hyperlink" Target="https://www.cbd.int/documents/CBD/SBSTTA/26/INF/3" TargetMode="External"/><Relationship Id="rId365" Type="http://schemas.openxmlformats.org/officeDocument/2006/relationships/hyperlink" Target="https://www.cbd.int/documents/CBD/COP/16/INF/42" TargetMode="External"/><Relationship Id="rId386" Type="http://schemas.openxmlformats.org/officeDocument/2006/relationships/hyperlink" Target="https://www.cbd.int/documents/CBD/COP/16/L34" TargetMode="External"/><Relationship Id="rId190" Type="http://schemas.openxmlformats.org/officeDocument/2006/relationships/hyperlink" Target="https://www.cbd.int/doc/decisions/cop-14/cop-14-dec-04-zh.pdf" TargetMode="External"/><Relationship Id="rId204" Type="http://schemas.openxmlformats.org/officeDocument/2006/relationships/hyperlink" Target="https://www.cbd.int/doc/decisions/cop-09/cop-09-dec-03-zh.pdf" TargetMode="External"/><Relationship Id="rId225" Type="http://schemas.openxmlformats.org/officeDocument/2006/relationships/hyperlink" Target="https://www.cbd.int/doc/decisions/cop-12/cop-12-dec-20-zh.pdf" TargetMode="External"/><Relationship Id="rId246" Type="http://schemas.openxmlformats.org/officeDocument/2006/relationships/hyperlink" Target="https://www.cbd.int/doc/decisions/cop-15/cop-15-dec-34-zh.pdf" TargetMode="External"/><Relationship Id="rId267" Type="http://schemas.openxmlformats.org/officeDocument/2006/relationships/hyperlink" Target="https://www.cbd.int/doc/decisions/cop-15/cop-15-dec-10-zh.pdf" TargetMode="External"/><Relationship Id="rId288" Type="http://schemas.openxmlformats.org/officeDocument/2006/relationships/hyperlink" Target="https://www.cbd.int/convention/articles/default.shtml?a=cbd-26" TargetMode="External"/><Relationship Id="rId411" Type="http://schemas.openxmlformats.org/officeDocument/2006/relationships/hyperlink" Target="https://www.cbd.int/decisions/cop/?m=cop-16" TargetMode="External"/><Relationship Id="rId432" Type="http://schemas.openxmlformats.org/officeDocument/2006/relationships/header" Target="header11.xml"/><Relationship Id="rId106" Type="http://schemas.openxmlformats.org/officeDocument/2006/relationships/hyperlink" Target="https://www.cbd.int/doc/decisions/cop-09/cop-09-dec-20-zh.pdf" TargetMode="External"/><Relationship Id="rId127" Type="http://schemas.openxmlformats.org/officeDocument/2006/relationships/hyperlink" Target="https://www.cbd.int/doc/decisions/cop-13/cop-13-dec-10-zh.pdf" TargetMode="External"/><Relationship Id="rId313" Type="http://schemas.openxmlformats.org/officeDocument/2006/relationships/hyperlink" Target="https://www.cbd.int/doc/c/acf0/2537/97d4f14be03712060f2f6495/cop-16-06-rev1-zh.pdf" TargetMode="External"/><Relationship Id="rId10" Type="http://schemas.openxmlformats.org/officeDocument/2006/relationships/endnotes" Target="endnotes.xml"/><Relationship Id="rId31" Type="http://schemas.openxmlformats.org/officeDocument/2006/relationships/hyperlink" Target="https://www.cbd.int/doc/decisions/cop-15/cop-15-dec-08-zh.pdf" TargetMode="External"/><Relationship Id="rId52" Type="http://schemas.openxmlformats.org/officeDocument/2006/relationships/hyperlink" Target="https://www.cbd.int/doc/decisions/cop-14/cop-14-dec-25-zh.pdf" TargetMode="External"/><Relationship Id="rId73" Type="http://schemas.openxmlformats.org/officeDocument/2006/relationships/hyperlink" Target="https://www.cbd.int/doc/decisions/cop-10/cop-10-dec-18-zh.pdf" TargetMode="External"/><Relationship Id="rId94" Type="http://schemas.openxmlformats.org/officeDocument/2006/relationships/hyperlink" Target="https://www.cbd.int/doc/decisions/cop-15/cop-15-dec-06-zh.pdf" TargetMode="External"/><Relationship Id="rId148" Type="http://schemas.openxmlformats.org/officeDocument/2006/relationships/hyperlink" Target="https://www.cbd.int/doc/decisions/cop-13/cop-13-dec-13-zh.pdf" TargetMode="External"/><Relationship Id="rId169" Type="http://schemas.openxmlformats.org/officeDocument/2006/relationships/hyperlink" Target="https://www.cbd.int/doc/decisions/cop-13/cop-13-dec-13-zh.pdf" TargetMode="External"/><Relationship Id="rId334" Type="http://schemas.openxmlformats.org/officeDocument/2006/relationships/hyperlink" Target="https://www.cbd.int/doc/legal/cbd-en.pdf" TargetMode="External"/><Relationship Id="rId355" Type="http://schemas.openxmlformats.org/officeDocument/2006/relationships/hyperlink" Target="https://www.cbd.int/doc/decisions/cop-15/cop-15-dec-04-zh.pdf" TargetMode="External"/><Relationship Id="rId376" Type="http://schemas.openxmlformats.org/officeDocument/2006/relationships/hyperlink" Target="https://www.cbd.int/decisions/cop/?m=cop-16" TargetMode="External"/><Relationship Id="rId397" Type="http://schemas.openxmlformats.org/officeDocument/2006/relationships/hyperlink" Target="https://www.cbd.int/decisions/cop/?m=cop-16" TargetMode="External"/><Relationship Id="rId4" Type="http://schemas.openxmlformats.org/officeDocument/2006/relationships/customXml" Target="../customXml/item4.xml"/><Relationship Id="rId180" Type="http://schemas.openxmlformats.org/officeDocument/2006/relationships/hyperlink" Target="https://www.cbd.int/documents/CBD/SBSTTA/26/INF/3" TargetMode="External"/><Relationship Id="rId215" Type="http://schemas.openxmlformats.org/officeDocument/2006/relationships/hyperlink" Target="https://www.cbd.int/convention/articles/default.shtml?a=cbd-16" TargetMode="External"/><Relationship Id="rId236" Type="http://schemas.openxmlformats.org/officeDocument/2006/relationships/hyperlink" Target="https://www.cbd.int/doc/decisions/cop-11/cop-11-dec-20-zh.pdf" TargetMode="External"/><Relationship Id="rId257" Type="http://schemas.openxmlformats.org/officeDocument/2006/relationships/hyperlink" Target="https://www.cbd.int/doc/decisions/cop-08/full/cop-08-dec-zh.pdf" TargetMode="External"/><Relationship Id="rId278" Type="http://schemas.openxmlformats.org/officeDocument/2006/relationships/hyperlink" Target="https://www.cbd.int/doc/decisions/cop-15/cop-15-dec-05-zh.pdf" TargetMode="External"/><Relationship Id="rId401" Type="http://schemas.openxmlformats.org/officeDocument/2006/relationships/hyperlink" Target="https://www.cbd.int/documents/CBD/COP/16/2/Rev.1" TargetMode="External"/><Relationship Id="rId422" Type="http://schemas.openxmlformats.org/officeDocument/2006/relationships/hyperlink" Target="https://www.cbd.int/decisions/cop/?m=cop-16" TargetMode="External"/><Relationship Id="rId303" Type="http://schemas.openxmlformats.org/officeDocument/2006/relationships/hyperlink" Target="https://www.cbd.int/doc/decisions/cop-15/cop-15-dec-06-zh.pdf" TargetMode="External"/><Relationship Id="rId42" Type="http://schemas.openxmlformats.org/officeDocument/2006/relationships/hyperlink" Target="https://www.cbd.int/doc/decisions/cop-05/full/cop-05-dec-zh.pdf" TargetMode="External"/><Relationship Id="rId84" Type="http://schemas.openxmlformats.org/officeDocument/2006/relationships/hyperlink" Target="https://www.cbd.int/doc/decisions/cop-14/cop-14-dec-36-zh.pdf" TargetMode="External"/><Relationship Id="rId138" Type="http://schemas.openxmlformats.org/officeDocument/2006/relationships/hyperlink" Target="https://www.cbd.int/doc/decisions/cop-10/cop-10-dec-33-zh.pdf" TargetMode="External"/><Relationship Id="rId345" Type="http://schemas.openxmlformats.org/officeDocument/2006/relationships/hyperlink" Target="https://www.cbd.int/convention/articles/default.shtml?a=cbd-11" TargetMode="External"/><Relationship Id="rId387" Type="http://schemas.openxmlformats.org/officeDocument/2006/relationships/hyperlink" Target="https://www.cbd.int/documents/CBD/COP/16/L34" TargetMode="External"/><Relationship Id="rId191" Type="http://schemas.openxmlformats.org/officeDocument/2006/relationships/hyperlink" Target="https://www.cbd.int/doc/decisions/cop-15/cop-15-dec-29-zh.pdf" TargetMode="External"/><Relationship Id="rId205" Type="http://schemas.openxmlformats.org/officeDocument/2006/relationships/hyperlink" Target="https://www.cbd.int/doc/decisions/cop-10/cop-10-dec-17-zh.pdf" TargetMode="External"/><Relationship Id="rId247" Type="http://schemas.openxmlformats.org/officeDocument/2006/relationships/hyperlink" Target="https://www.cbd.int/doc/decisions/cop-15/cop-15-dec-34-zh.pdf" TargetMode="External"/><Relationship Id="rId412" Type="http://schemas.openxmlformats.org/officeDocument/2006/relationships/hyperlink" Target="https://www.cbd.int/decisions/cop/?m=cop-16" TargetMode="External"/><Relationship Id="rId107" Type="http://schemas.openxmlformats.org/officeDocument/2006/relationships/hyperlink" Target="https://www.cbd.int/doc/decisions/cop-10/cop-10-dec-29-zh.pdf" TargetMode="External"/><Relationship Id="rId289" Type="http://schemas.openxmlformats.org/officeDocument/2006/relationships/hyperlink" Target="https://www.cbd.int/doc/decisions/cop-06/full/cop-06-dec-zh.pdf" TargetMode="External"/><Relationship Id="rId11" Type="http://schemas.openxmlformats.org/officeDocument/2006/relationships/image" Target="media/image1.emf"/><Relationship Id="rId53" Type="http://schemas.openxmlformats.org/officeDocument/2006/relationships/hyperlink" Target="https://www.cbd.int/doc/decisions/cop-15/cop-15-dec-16-zh.pdf" TargetMode="External"/><Relationship Id="rId149" Type="http://schemas.openxmlformats.org/officeDocument/2006/relationships/hyperlink" Target="https://www.cbd.int/doc/decisions/cop-14/cop-14-dec-11-zh.pdf" TargetMode="External"/><Relationship Id="rId314" Type="http://schemas.openxmlformats.org/officeDocument/2006/relationships/hyperlink" Target="https://www.cbd.int/doc/recommendations/sbi-04/sbi-04-rec-04-zh.pdf" TargetMode="External"/><Relationship Id="rId356" Type="http://schemas.openxmlformats.org/officeDocument/2006/relationships/hyperlink" Target="https://www.cbd.int/doc/decisions/cop-15/cop-15-dec-13-zh.pdf" TargetMode="External"/><Relationship Id="rId398" Type="http://schemas.openxmlformats.org/officeDocument/2006/relationships/hyperlink" Target="https://www.cbd.int/documents/CBD/COP/16/L30" TargetMode="External"/><Relationship Id="rId95" Type="http://schemas.openxmlformats.org/officeDocument/2006/relationships/hyperlink" Target="https://www.cbd.int/doc/decisions/cop-15/cop-15-dec-19-zh.pdf" TargetMode="External"/><Relationship Id="rId160" Type="http://schemas.openxmlformats.org/officeDocument/2006/relationships/hyperlink" Target="https://www.cbd.int/doc/decisions/cop-14/cop-14-dec-11-zh.pdf" TargetMode="External"/><Relationship Id="rId216" Type="http://schemas.openxmlformats.org/officeDocument/2006/relationships/hyperlink" Target="https://www.cbd.int/convention/articles/default.shtml?a=cbd-18" TargetMode="External"/><Relationship Id="rId423" Type="http://schemas.openxmlformats.org/officeDocument/2006/relationships/hyperlink" Target="https://www.cbd.int/decisions/cop/?m=cop-16" TargetMode="External"/><Relationship Id="rId258" Type="http://schemas.openxmlformats.org/officeDocument/2006/relationships/hyperlink" Target="https://www.cbd.int/doc/decisions/cop-10/cop-10-dec-45-zh.pdf" TargetMode="External"/><Relationship Id="rId22" Type="http://schemas.openxmlformats.org/officeDocument/2006/relationships/hyperlink" Target="https://www.cbd.int/doc/decisions/cop-15/cop-15-dec-06-zh.pdf" TargetMode="External"/><Relationship Id="rId64" Type="http://schemas.openxmlformats.org/officeDocument/2006/relationships/hyperlink" Target="https://www.cbd.int/doc/decisions/cop-15/cop-15-dec-11-zh.pdf" TargetMode="External"/><Relationship Id="rId118" Type="http://schemas.openxmlformats.org/officeDocument/2006/relationships/hyperlink" Target="https://www.cbd.int/doc/decisions/cop-15/cop-15-dec-04-zh.pdf" TargetMode="External"/><Relationship Id="rId325" Type="http://schemas.openxmlformats.org/officeDocument/2006/relationships/hyperlink" Target="https://www.cbd.int/decisions/cop/?m=cop-15" TargetMode="External"/><Relationship Id="rId367" Type="http://schemas.openxmlformats.org/officeDocument/2006/relationships/hyperlink" Target="https://www.cbd.int/documents/CBD/COP/16/L35/PART.A" TargetMode="External"/><Relationship Id="rId171" Type="http://schemas.openxmlformats.org/officeDocument/2006/relationships/hyperlink" Target="https://www.cbd.int/doc/decisions/cop-08/full/cop-08-dec-zh.pdf" TargetMode="External"/><Relationship Id="rId227" Type="http://schemas.openxmlformats.org/officeDocument/2006/relationships/hyperlink" Target="https://www.cbd.int/doc/decisions/cop-14/cop-14-dec-05-zh.pdf" TargetMode="External"/><Relationship Id="rId269" Type="http://schemas.openxmlformats.org/officeDocument/2006/relationships/hyperlink" Target="https://www.cbd.int/doc/decisions/cop-15/cop-15-dec-13-zh.pdf" TargetMode="External"/><Relationship Id="rId434" Type="http://schemas.openxmlformats.org/officeDocument/2006/relationships/theme" Target="theme/theme1.xml"/><Relationship Id="rId33" Type="http://schemas.openxmlformats.org/officeDocument/2006/relationships/hyperlink" Target="https://www.cbd.int/documents/CBD/COP/16/INF/24" TargetMode="External"/><Relationship Id="rId129" Type="http://schemas.openxmlformats.org/officeDocument/2006/relationships/hyperlink" Target="https://www.cbd.int/doc/decisions/cop-13/cop-13-dec-12-zh.pdf" TargetMode="External"/><Relationship Id="rId280" Type="http://schemas.openxmlformats.org/officeDocument/2006/relationships/header" Target="header6.xml"/><Relationship Id="rId336" Type="http://schemas.openxmlformats.org/officeDocument/2006/relationships/hyperlink" Target="https://www.cbd.int/doc/legal/cbd-en.pdf" TargetMode="External"/><Relationship Id="rId75" Type="http://schemas.openxmlformats.org/officeDocument/2006/relationships/hyperlink" Target="https://www.cbd.int/doc/decisions/cop-08/full/cop-08-dec-zh.pdf" TargetMode="External"/><Relationship Id="rId140" Type="http://schemas.openxmlformats.org/officeDocument/2006/relationships/hyperlink" Target="https://www.cbd.int/doc/decisions/cop-15/cop-15-dec-27-zh.pdf" TargetMode="External"/><Relationship Id="rId182" Type="http://schemas.openxmlformats.org/officeDocument/2006/relationships/hyperlink" Target="https://www.cbd.int/doc/decisions/cop-14/cop-14-dec-04-zh.pdf" TargetMode="External"/><Relationship Id="rId378" Type="http://schemas.openxmlformats.org/officeDocument/2006/relationships/hyperlink" Target="https://www.cbd.int/documents/CBD/COP/16/L26/REV1" TargetMode="External"/><Relationship Id="rId403"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09/cop-09-dec-16-zh.pdf" TargetMode="External"/><Relationship Id="rId291" Type="http://schemas.openxmlformats.org/officeDocument/2006/relationships/hyperlink" Target="https://www.cbd.int/doc/decisions/cop-10/cop-10-dec-04-zh.pdf" TargetMode="External"/><Relationship Id="rId305" Type="http://schemas.openxmlformats.org/officeDocument/2006/relationships/hyperlink" Target="https://www.cbd.int/doc/decisions/cop-15/cop-15-dec-06-zh.pdf" TargetMode="External"/><Relationship Id="rId347" Type="http://schemas.openxmlformats.org/officeDocument/2006/relationships/hyperlink" Target="https://www.cbd.int/doc/legal/cbd-en.pdf" TargetMode="External"/><Relationship Id="rId44" Type="http://schemas.openxmlformats.org/officeDocument/2006/relationships/hyperlink" Target="https://www.cbd.int/doc/decisions/cop-10/cop-10-dec-40-zh.pdf" TargetMode="External"/><Relationship Id="rId86" Type="http://schemas.openxmlformats.org/officeDocument/2006/relationships/hyperlink" Target="https://www.cbd.int/doc/decisions/cop-12/cop-12-dec-25-zh.pdf" TargetMode="External"/><Relationship Id="rId151" Type="http://schemas.openxmlformats.org/officeDocument/2006/relationships/hyperlink" Target="https://www.cbd.int/doc/decisions/cop-14/cop-14-dec-11-zh.pdf" TargetMode="External"/><Relationship Id="rId389" Type="http://schemas.openxmlformats.org/officeDocument/2006/relationships/hyperlink" Target="https://www.cbd.int/documents/CBD/COP/16/L34/REV1" TargetMode="External"/><Relationship Id="rId193" Type="http://schemas.openxmlformats.org/officeDocument/2006/relationships/hyperlink" Target="https://www.cbd.int/doc/decisions/cop-13/cop-13-dec-06-zh.pdf" TargetMode="External"/><Relationship Id="rId207" Type="http://schemas.openxmlformats.org/officeDocument/2006/relationships/hyperlink" Target="https://www.cbd.int/doc/decisions/cop-07/full/cop-07-dec-zh.pdf" TargetMode="External"/><Relationship Id="rId249" Type="http://schemas.openxmlformats.org/officeDocument/2006/relationships/hyperlink" Target="https://www.cbd.int/doc/decisions/cop-15/cop-15-dec-34-zh.pdf" TargetMode="External"/><Relationship Id="rId414" Type="http://schemas.openxmlformats.org/officeDocument/2006/relationships/hyperlink" Target="https://www.cbd.int/decisions/cop/?m=cop-16" TargetMode="External"/><Relationship Id="rId13" Type="http://schemas.openxmlformats.org/officeDocument/2006/relationships/image" Target="media/image3.png"/><Relationship Id="rId109" Type="http://schemas.openxmlformats.org/officeDocument/2006/relationships/hyperlink" Target="https://www.cbd.int/doc/decisions/cop-12/cop-12-dec-22-zh.pdf" TargetMode="External"/><Relationship Id="rId260" Type="http://schemas.openxmlformats.org/officeDocument/2006/relationships/hyperlink" Target="https://www.cbd.int/doc/decisions/cop-08/full/cop-08-dec-zh.pdf" TargetMode="External"/><Relationship Id="rId316" Type="http://schemas.openxmlformats.org/officeDocument/2006/relationships/hyperlink" Target="https://www.cbd.int/doc/decisions/cop-14/cop-14-dec-15-zh.pdf" TargetMode="External"/><Relationship Id="rId55" Type="http://schemas.openxmlformats.org/officeDocument/2006/relationships/header" Target="header2.xml"/><Relationship Id="rId97" Type="http://schemas.openxmlformats.org/officeDocument/2006/relationships/hyperlink" Target="https://www.cbd.int/doc/decisions/cop-15/cop-15-dec-19-zh.pdf" TargetMode="External"/><Relationship Id="rId120" Type="http://schemas.openxmlformats.org/officeDocument/2006/relationships/hyperlink" Target="https://www.cbd.int/doc/decisions/cop-10/cop-10-dec-29-zh.pdf" TargetMode="External"/><Relationship Id="rId358" Type="http://schemas.openxmlformats.org/officeDocument/2006/relationships/hyperlink" Target="https://unfccc.int/sites/default/files/resource/cma2023_16a01C.pdf" TargetMode="External"/><Relationship Id="rId162" Type="http://schemas.openxmlformats.org/officeDocument/2006/relationships/hyperlink" Target="https://www.cbd.int/doc/decisions/cop-14/cop-14-dec-05-zh.pdf" TargetMode="External"/><Relationship Id="rId218" Type="http://schemas.openxmlformats.org/officeDocument/2006/relationships/hyperlink" Target="https://www.cbd.int/doc/decisions/cop-14/cop-14-dec-33-zh.pdf" TargetMode="External"/><Relationship Id="rId425" Type="http://schemas.openxmlformats.org/officeDocument/2006/relationships/hyperlink" Target="https://www.cbd.int/decisions/cop/?m=cop-16" TargetMode="External"/><Relationship Id="rId271" Type="http://schemas.openxmlformats.org/officeDocument/2006/relationships/hyperlink" Target="https://www.cbd.int/doc/decisions/cop-13/cop-13-dec-28-zh.pdf" TargetMode="External"/><Relationship Id="rId24" Type="http://schemas.openxmlformats.org/officeDocument/2006/relationships/hyperlink" Target="https://www.cbd.int/doc/decisions/cop-14/cop-14-dec-33-zh.pdf" TargetMode="External"/><Relationship Id="rId66" Type="http://schemas.openxmlformats.org/officeDocument/2006/relationships/hyperlink" Target="https://www.cbd.int/doc/decisions/cop-09/cop-09-dec-32-zh.pdf" TargetMode="External"/><Relationship Id="rId131" Type="http://schemas.openxmlformats.org/officeDocument/2006/relationships/hyperlink" Target="https://www.cbd.int/doc/decisions/cop-14/cop-14-dec-10-zh.pdf" TargetMode="External"/><Relationship Id="rId327" Type="http://schemas.openxmlformats.org/officeDocument/2006/relationships/hyperlink" Target="https://www.cbd.int/recommendations/sbi/?m=sbi-04" TargetMode="External"/><Relationship Id="rId369" Type="http://schemas.openxmlformats.org/officeDocument/2006/relationships/hyperlink" Target="https://www.cbd.int/decisions/cop/?m=cop-16" TargetMode="External"/><Relationship Id="rId173" Type="http://schemas.openxmlformats.org/officeDocument/2006/relationships/hyperlink" Target="https://www.cbd.int/doc/decisions/cop-14/cop-14-dec-11-zh.pdf" TargetMode="External"/><Relationship Id="rId229" Type="http://schemas.openxmlformats.org/officeDocument/2006/relationships/hyperlink" Target="https://www.cbd.int/doc/decisions/cop-15/cop-15-dec-30-zh.pdf" TargetMode="External"/><Relationship Id="rId380" Type="http://schemas.openxmlformats.org/officeDocument/2006/relationships/hyperlink" Target="https://www.cbd.int/documents/CBD/COP/16/L33" TargetMode="External"/><Relationship Id="rId240" Type="http://schemas.openxmlformats.org/officeDocument/2006/relationships/hyperlink" Target="https://www.cbd.int/doc/decisions/cop-12/cop-12-dec-29-zh.pdf" TargetMode="External"/><Relationship Id="rId35" Type="http://schemas.openxmlformats.org/officeDocument/2006/relationships/hyperlink" Target="https://www.cbd.int/doc/c/bb28/09c1/29b6088acca2ec6b8dca64a1/tsc-iag-2024-01-02-en.pdf" TargetMode="External"/><Relationship Id="rId77" Type="http://schemas.openxmlformats.org/officeDocument/2006/relationships/hyperlink" Target="https://www.cbd.int/doc/decisions/cop-10/cop-10-dec-18-zh.pdf" TargetMode="External"/><Relationship Id="rId100" Type="http://schemas.openxmlformats.org/officeDocument/2006/relationships/hyperlink" Target="https://www.cbd.int/meetings/COP-16" TargetMode="External"/><Relationship Id="rId282" Type="http://schemas.openxmlformats.org/officeDocument/2006/relationships/footer" Target="footer5.xml"/><Relationship Id="rId338" Type="http://schemas.openxmlformats.org/officeDocument/2006/relationships/hyperlink" Target="https://www.cbd.int/decisions/cop/?m=cop-15" TargetMode="External"/><Relationship Id="rId8" Type="http://schemas.openxmlformats.org/officeDocument/2006/relationships/webSettings" Target="webSettings.xml"/><Relationship Id="rId142" Type="http://schemas.openxmlformats.org/officeDocument/2006/relationships/hyperlink" Target="https://www.cbd.int/doc/decisions/cop-13/cop-13-dec-13-zh.pdf" TargetMode="External"/><Relationship Id="rId184" Type="http://schemas.openxmlformats.org/officeDocument/2006/relationships/hyperlink" Target="https://www.cbd.int/documents/CBD/SBSTTA/26/8" TargetMode="External"/><Relationship Id="rId391" Type="http://schemas.openxmlformats.org/officeDocument/2006/relationships/hyperlink" Target="https://www.cbd.int/decisions/cop/?m=cop-16" TargetMode="External"/><Relationship Id="rId405" Type="http://schemas.openxmlformats.org/officeDocument/2006/relationships/hyperlink" Target="https://www.cbd.int/decisions/cop/?m=cop-16" TargetMode="External"/><Relationship Id="rId251" Type="http://schemas.openxmlformats.org/officeDocument/2006/relationships/hyperlink" Target="https://www.cbd.int/doc/decisions/cop-16/cop-16-dec-25-zh.pdf" TargetMode="External"/><Relationship Id="rId46" Type="http://schemas.openxmlformats.org/officeDocument/2006/relationships/hyperlink" Target="https://www.cbd.int/doc/recommendations/wg8j-12/wg8j-12-rec-02-zh.pdf" TargetMode="External"/><Relationship Id="rId293" Type="http://schemas.openxmlformats.org/officeDocument/2006/relationships/hyperlink" Target="https://www.cbd.int/doc/decisions/cop-15/cop-15-dec-03-zh.pdf" TargetMode="External"/><Relationship Id="rId307" Type="http://schemas.openxmlformats.org/officeDocument/2006/relationships/hyperlink" Target="https://www.cbd.int/doc/decisions/cop-15/cop-15-dec-06-zh.pdf" TargetMode="External"/><Relationship Id="rId349" Type="http://schemas.openxmlformats.org/officeDocument/2006/relationships/hyperlink" Target="https://www.cbd.int/decisions/cop/?m=cop-15" TargetMode="External"/><Relationship Id="rId88" Type="http://schemas.openxmlformats.org/officeDocument/2006/relationships/hyperlink" Target="https://ipbes.net/nexus" TargetMode="External"/><Relationship Id="rId111" Type="http://schemas.openxmlformats.org/officeDocument/2006/relationships/hyperlink" Target="https://www.cbd.int/doc/decisions/cop-14/cop-14-dec-09-zh.pdf" TargetMode="External"/><Relationship Id="rId153" Type="http://schemas.openxmlformats.org/officeDocument/2006/relationships/hyperlink" Target="https://www.cbd.int/doc/decisions/cop-13/cop-13-dec-13-zh.pdf" TargetMode="External"/><Relationship Id="rId195" Type="http://schemas.openxmlformats.org/officeDocument/2006/relationships/hyperlink" Target="https://www.cbd.int/doc/decisions/cop-15/cop-15-dec-29-zh.pdf" TargetMode="External"/><Relationship Id="rId209" Type="http://schemas.openxmlformats.org/officeDocument/2006/relationships/hyperlink" Target="https://www.cbd.int/doc/decisions/cop-15/cop-15-dec-04-zh.pdf" TargetMode="External"/><Relationship Id="rId360" Type="http://schemas.openxmlformats.org/officeDocument/2006/relationships/hyperlink" Target="https://www.cbd.int/doc/decisions/cop-13/cop-13-dec-24-zh.pdf" TargetMode="External"/><Relationship Id="rId416" Type="http://schemas.openxmlformats.org/officeDocument/2006/relationships/hyperlink" Target="https://www.cbd.int/decisions/cop/?m=cop-16" TargetMode="External"/><Relationship Id="rId220" Type="http://schemas.openxmlformats.org/officeDocument/2006/relationships/hyperlink" Target="https://www.cbd.int/doc/decisions/cop-09/cop-09-dec-16-zh.pdf" TargetMode="External"/><Relationship Id="rId15" Type="http://schemas.openxmlformats.org/officeDocument/2006/relationships/hyperlink" Target="https://www.cbd.int/doc/decisions/cop-15/cop-15-dec-06-zh.pdf" TargetMode="External"/><Relationship Id="rId57" Type="http://schemas.openxmlformats.org/officeDocument/2006/relationships/footer" Target="footer2.xml"/><Relationship Id="rId262" Type="http://schemas.openxmlformats.org/officeDocument/2006/relationships/hyperlink" Target="https://www.cbd.int/doc/decisions/cop-15/cop-15-dec-05-zh.pdf" TargetMode="External"/><Relationship Id="rId318" Type="http://schemas.openxmlformats.org/officeDocument/2006/relationships/hyperlink" Target="https://www.cbd.int/convention/articles/default.shtml?a=cbd-21" TargetMode="External"/><Relationship Id="rId99" Type="http://schemas.openxmlformats.org/officeDocument/2006/relationships/hyperlink" Target="https://www.cbd.int/doc/recommendations/sbstta-25/sbstta-25-rec-07-zh.pdf" TargetMode="External"/><Relationship Id="rId122" Type="http://schemas.openxmlformats.org/officeDocument/2006/relationships/hyperlink" Target="https://www.cbd.int/doc/decisions/cop-11/cop-11-dec-16-zh.pdf" TargetMode="External"/><Relationship Id="rId164" Type="http://schemas.openxmlformats.org/officeDocument/2006/relationships/hyperlink" Target="https://www.cbd.int/doc/decisions/cop-10/cop-10-dec-33-zh.pdf" TargetMode="External"/><Relationship Id="rId371" Type="http://schemas.openxmlformats.org/officeDocument/2006/relationships/hyperlink" Target="https://www.cbd.int/documents/CBD/COP/16/L35/PART.B" TargetMode="External"/><Relationship Id="rId427" Type="http://schemas.openxmlformats.org/officeDocument/2006/relationships/hyperlink" Target="https://www.cbd.int/decisions/cop/?m=cop-16" TargetMode="External"/><Relationship Id="rId26" Type="http://schemas.openxmlformats.org/officeDocument/2006/relationships/hyperlink" Target="https://www.cbd.int/doc/decisions/cop-14/cop-14-dec-24-zh.pdf" TargetMode="External"/><Relationship Id="rId231" Type="http://schemas.openxmlformats.org/officeDocument/2006/relationships/hyperlink" Target="https://www.cbd.int/doc/decisions/cop-15/cop-15-dec-08-zh.pdf" TargetMode="External"/><Relationship Id="rId273" Type="http://schemas.openxmlformats.org/officeDocument/2006/relationships/hyperlink" Target="https://www.cbd.int/doc/decisions/cop-15/cop-15-dec-29-zh.pdf" TargetMode="External"/><Relationship Id="rId329" Type="http://schemas.openxmlformats.org/officeDocument/2006/relationships/hyperlink" Target="https://www.cbd.int/decisions/cop/?m=cop-15" TargetMode="External"/><Relationship Id="rId68" Type="http://schemas.openxmlformats.org/officeDocument/2006/relationships/hyperlink" Target="https://www.cbd.int/doc/decisions/cop-13/cop-13-dec-22-zh.pdf" TargetMode="External"/><Relationship Id="rId133" Type="http://schemas.openxmlformats.org/officeDocument/2006/relationships/hyperlink" Target="https://www.cbd.int/doc/decisions/cop-15/cop-15-dec-24-zh.pdf" TargetMode="External"/><Relationship Id="rId175" Type="http://schemas.openxmlformats.org/officeDocument/2006/relationships/hyperlink" Target="https://www.cbd.int/doc/decisions/cop-13/cop-13-dec-06-zh.pdf" TargetMode="External"/><Relationship Id="rId340" Type="http://schemas.openxmlformats.org/officeDocument/2006/relationships/hyperlink" Target="https://www.cbd.int/doc/decisions/cop-14/cop-14-dec-15-zh.pdf" TargetMode="External"/><Relationship Id="rId200" Type="http://schemas.openxmlformats.org/officeDocument/2006/relationships/header" Target="header5.xml"/><Relationship Id="rId382" Type="http://schemas.openxmlformats.org/officeDocument/2006/relationships/hyperlink" Target="https://www.cbd.int/decisions/cop/?m=cop-16" TargetMode="External"/><Relationship Id="rId242" Type="http://schemas.openxmlformats.org/officeDocument/2006/relationships/hyperlink" Target="https://www.cbd.int/documents/CBD/SBI/4/11" TargetMode="External"/><Relationship Id="rId284" Type="http://schemas.openxmlformats.org/officeDocument/2006/relationships/header" Target="header8.xml"/><Relationship Id="rId37" Type="http://schemas.openxmlformats.org/officeDocument/2006/relationships/hyperlink" Target="https://www.cbd.int/doc/decisions/cop-15/cop-15-dec-08-zh.pdf" TargetMode="External"/><Relationship Id="rId79" Type="http://schemas.openxmlformats.org/officeDocument/2006/relationships/hyperlink" Target="https://www.cbd.int/doc/decisions/cop-15/cop-15-dec-14-zh.pdf" TargetMode="External"/><Relationship Id="rId102" Type="http://schemas.openxmlformats.org/officeDocument/2006/relationships/hyperlink" Target="https://www.cbd.int/convention/articles/default.shtml?a=cbd-04" TargetMode="External"/><Relationship Id="rId144" Type="http://schemas.openxmlformats.org/officeDocument/2006/relationships/hyperlink" Target="https://www.cbd.int/doc/decisions/cop-12/cop-12-dec-16-zh.pdf" TargetMode="External"/><Relationship Id="rId90" Type="http://schemas.openxmlformats.org/officeDocument/2006/relationships/hyperlink" Target="https://ipbes.net/business-impact" TargetMode="External"/><Relationship Id="rId186" Type="http://schemas.openxmlformats.org/officeDocument/2006/relationships/hyperlink" Target="https://www.cbd.int/doc/legal/cbd-en.pdf" TargetMode="External"/><Relationship Id="rId351" Type="http://schemas.openxmlformats.org/officeDocument/2006/relationships/hyperlink" Target="https://www.cbd.int/doc/decisions/cop-12/cop-12-dec-03-zh.pdf" TargetMode="External"/><Relationship Id="rId393" Type="http://schemas.openxmlformats.org/officeDocument/2006/relationships/hyperlink" Target="https://www.cbd.int/documents/CBD/COP/16/L31" TargetMode="External"/><Relationship Id="rId407" Type="http://schemas.openxmlformats.org/officeDocument/2006/relationships/hyperlink" Target="https://www.cbd.int/decisions/cop/?m=cop-16" TargetMode="External"/><Relationship Id="rId211" Type="http://schemas.openxmlformats.org/officeDocument/2006/relationships/hyperlink" Target="https://www.cbd.int/doc/decisions/cop-15/cop-15-dec-31-zh.pdf" TargetMode="External"/><Relationship Id="rId253" Type="http://schemas.openxmlformats.org/officeDocument/2006/relationships/hyperlink" Target="https://www.cbd.int/doc/decisions/cop-16/cop-16-dec-24-zh.pdf" TargetMode="External"/><Relationship Id="rId295" Type="http://schemas.openxmlformats.org/officeDocument/2006/relationships/hyperlink" Target="https://www.cbd.int/doc/decisions/cop-15/cop-15-dec-06-zh.pdf" TargetMode="External"/><Relationship Id="rId309" Type="http://schemas.openxmlformats.org/officeDocument/2006/relationships/hyperlink" Target="https://www.cbd.int/doc/decisions/cop-15/cop-15-dec-06-zh.pdf" TargetMode="External"/><Relationship Id="rId48" Type="http://schemas.openxmlformats.org/officeDocument/2006/relationships/hyperlink" Target="https://www.cbd.int/doc/decisions/cop-15/cop-15-dec-04-zh.pdf" TargetMode="External"/><Relationship Id="rId113" Type="http://schemas.openxmlformats.org/officeDocument/2006/relationships/hyperlink" Target="https://www.cbd.int/doc/decisions/cop-13/cop-13-dec-12-zh.pdf" TargetMode="External"/><Relationship Id="rId320" Type="http://schemas.openxmlformats.org/officeDocument/2006/relationships/hyperlink" Target="https://www.cbd.int/convention/articles/default.shtml?a=cbd-20" TargetMode="External"/><Relationship Id="rId155" Type="http://schemas.openxmlformats.org/officeDocument/2006/relationships/hyperlink" Target="https://www.cbd.int/doc/decisions/cop-14/cop-14-dec-11-zh.pdf" TargetMode="External"/><Relationship Id="rId197" Type="http://schemas.openxmlformats.org/officeDocument/2006/relationships/header" Target="header4.xml"/><Relationship Id="rId362" Type="http://schemas.openxmlformats.org/officeDocument/2006/relationships/hyperlink" Target="https://www.cbd.int/documents/CBD/COP/16/1/ADD5" TargetMode="External"/><Relationship Id="rId418" Type="http://schemas.openxmlformats.org/officeDocument/2006/relationships/hyperlink" Target="https://www.cbd.int/decisions/cop/?m=cop-16" TargetMode="External"/><Relationship Id="rId222" Type="http://schemas.openxmlformats.org/officeDocument/2006/relationships/hyperlink" Target="https://www.cbd.int/doc/decisions/cop-11/cop-11-dec-19-zh.pdf" TargetMode="External"/><Relationship Id="rId264" Type="http://schemas.openxmlformats.org/officeDocument/2006/relationships/hyperlink" Target="https://www.cbd.int/doc/decisions/cop-15/cop-15-dec-06-zh.pdf" TargetMode="External"/><Relationship Id="rId17" Type="http://schemas.openxmlformats.org/officeDocument/2006/relationships/hyperlink" Target="https://www.cbd.int/doc/decisions/cop-15/cop-15-dec-04-zh.pdf" TargetMode="External"/><Relationship Id="rId59" Type="http://schemas.openxmlformats.org/officeDocument/2006/relationships/hyperlink" Target="https://www.cbd.int/doc/decisions/cop-15/cop-15-dec-16-zh.pdf" TargetMode="External"/><Relationship Id="rId124" Type="http://schemas.openxmlformats.org/officeDocument/2006/relationships/hyperlink" Target="https://www.cbd.int/doc/decisions/cop-11/cop-11-dec-20-zh.pdf" TargetMode="External"/><Relationship Id="rId70" Type="http://schemas.openxmlformats.org/officeDocument/2006/relationships/hyperlink" Target="https://www.cbd.int/convention/articles/default.shtml?a=cbd-20" TargetMode="External"/><Relationship Id="rId166" Type="http://schemas.openxmlformats.org/officeDocument/2006/relationships/hyperlink" Target="https://www.cbd.int/doc/decisions/cop-12/cop-12-dec-17-zh.pdf" TargetMode="External"/><Relationship Id="rId331" Type="http://schemas.openxmlformats.org/officeDocument/2006/relationships/hyperlink" Target="https://www.cbd.int/doc/decisions/cop-14/cop-14-dec-15-zh.pdf" TargetMode="External"/><Relationship Id="rId373" Type="http://schemas.openxmlformats.org/officeDocument/2006/relationships/hyperlink" Target="https://www.cbd.int/decisions/cop/?m=cop-16" TargetMode="External"/><Relationship Id="rId429" Type="http://schemas.openxmlformats.org/officeDocument/2006/relationships/header" Target="header10.xml"/><Relationship Id="rId1" Type="http://schemas.openxmlformats.org/officeDocument/2006/relationships/customXml" Target="../customXml/item1.xml"/><Relationship Id="rId233" Type="http://schemas.openxmlformats.org/officeDocument/2006/relationships/hyperlink" Target="https://www.cbd.int/doc/decisions/cop-10/cop-10-dec-33-zh.pdf"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invasive/cbdtoolkit/" TargetMode="External"/><Relationship Id="rId299" Type="http://schemas.openxmlformats.org/officeDocument/2006/relationships/hyperlink" Target="https://www.cbd.int/documents/CBD/COP/16/6/ADD2" TargetMode="External"/><Relationship Id="rId21" Type="http://schemas.openxmlformats.org/officeDocument/2006/relationships/hyperlink" Target="https://www.cbd.int/doc/decisions/cop-15/cop-15-dec-14-zh.pdf" TargetMode="External"/><Relationship Id="rId63" Type="http://schemas.openxmlformats.org/officeDocument/2006/relationships/hyperlink" Target="https://www.cbd.int/doc/decisions/cop-07/full/cop-07-dec-zh.pdf" TargetMode="External"/><Relationship Id="rId159" Type="http://schemas.openxmlformats.org/officeDocument/2006/relationships/hyperlink" Target="https://www.cbd.int/doc/decisions/cop-05/full/cop-05-dec-zh.pdf" TargetMode="External"/><Relationship Id="rId324" Type="http://schemas.openxmlformats.org/officeDocument/2006/relationships/hyperlink" Target="https://www.cbd.int/documents/CBD/COP/16/INF/23" TargetMode="External"/><Relationship Id="rId170" Type="http://schemas.openxmlformats.org/officeDocument/2006/relationships/hyperlink" Target="https://www.gbf-indicators.org/metadata/other/23-1-C" TargetMode="External"/><Relationship Id="rId226" Type="http://schemas.openxmlformats.org/officeDocument/2006/relationships/hyperlink" Target="https://www.cbd.int/decisions/cop/?m=cop-15" TargetMode="External"/><Relationship Id="rId268" Type="http://schemas.openxmlformats.org/officeDocument/2006/relationships/hyperlink" Target="https://www.cbd.int/documents/CBD/WG8J/12/8" TargetMode="External"/><Relationship Id="rId32" Type="http://schemas.openxmlformats.org/officeDocument/2006/relationships/hyperlink" Target="https://www.cbd.int/doc/decisions/cop-15/cop-15-dec-14-zh.pdf" TargetMode="External"/><Relationship Id="rId74" Type="http://schemas.openxmlformats.org/officeDocument/2006/relationships/hyperlink" Target="https://www.cbd.int/doc/decisions/cop-15/cop-15-dec-04-zh.pdf" TargetMode="External"/><Relationship Id="rId128" Type="http://schemas.openxmlformats.org/officeDocument/2006/relationships/hyperlink" Target="https://www.who.int/activities/environmental-health-impacts" TargetMode="External"/><Relationship Id="rId335" Type="http://schemas.openxmlformats.org/officeDocument/2006/relationships/hyperlink" Target="https://www.cbd.int/documents/CBD/COP/16/INF/7" TargetMode="External"/><Relationship Id="rId5" Type="http://schemas.openxmlformats.org/officeDocument/2006/relationships/hyperlink" Target="https://www.cbd.int/decisions/cop/?m=cop-15" TargetMode="External"/><Relationship Id="rId181" Type="http://schemas.openxmlformats.org/officeDocument/2006/relationships/hyperlink" Target="https://www.cbd.int/doc/c/070e/d3bb/98f56f159fefe3498f74927c/sbi-05-04-zh.pdf" TargetMode="External"/><Relationship Id="rId237" Type="http://schemas.openxmlformats.org/officeDocument/2006/relationships/hyperlink" Target="https://www.cbd.int/decisions/cop/?m=cop-15" TargetMode="External"/><Relationship Id="rId279" Type="http://schemas.openxmlformats.org/officeDocument/2006/relationships/hyperlink" Target="https://www.cbd.int/documents/CBD/COP/16/L35/PART.B" TargetMode="External"/><Relationship Id="rId43" Type="http://schemas.openxmlformats.org/officeDocument/2006/relationships/hyperlink" Target="https://www.cbd.int/decisions/cop/?m=cop-15" TargetMode="External"/><Relationship Id="rId139" Type="http://schemas.openxmlformats.org/officeDocument/2006/relationships/hyperlink" Target="https://www.cbd.int/doc/decisions/cop-13/cop-13-dec-06-zh.pdf" TargetMode="External"/><Relationship Id="rId290" Type="http://schemas.openxmlformats.org/officeDocument/2006/relationships/hyperlink" Target="https://www.cbd.int/documents/CBD/COP/16/INF/3" TargetMode="External"/><Relationship Id="rId304" Type="http://schemas.openxmlformats.org/officeDocument/2006/relationships/hyperlink" Target="https://www.cbd.int/documents/CBD/COP/16/INF/26" TargetMode="External"/><Relationship Id="rId346" Type="http://schemas.openxmlformats.org/officeDocument/2006/relationships/hyperlink" Target="https://www.cbd.int/documents/CBD/COP/16/INF/10" TargetMode="External"/><Relationship Id="rId85" Type="http://schemas.openxmlformats.org/officeDocument/2006/relationships/hyperlink" Target="https://www.cbd.int/doc/decisions/cop-15/cop-15-dec-04-zh.pdf" TargetMode="External"/><Relationship Id="rId150" Type="http://schemas.openxmlformats.org/officeDocument/2006/relationships/hyperlink" Target="https://www.cbd.int/documents/CBD/SBI/4/11/ADD1" TargetMode="External"/><Relationship Id="rId192" Type="http://schemas.openxmlformats.org/officeDocument/2006/relationships/hyperlink" Target="https://www.cbd.int/decision/cop/default.shtml?id=7104" TargetMode="External"/><Relationship Id="rId206" Type="http://schemas.openxmlformats.org/officeDocument/2006/relationships/hyperlink" Target="https://www.cbd.int/doc/decisions/cop-16/cop-16-dec-09-zh.pdf" TargetMode="External"/><Relationship Id="rId248" Type="http://schemas.openxmlformats.org/officeDocument/2006/relationships/hyperlink" Target="http://www.cbd.int/meetings/COP-16" TargetMode="External"/><Relationship Id="rId12" Type="http://schemas.openxmlformats.org/officeDocument/2006/relationships/hyperlink" Target="https://www.cbd.int/doc/decisions/cop-13/cop-13-dec-20-zh.pdf" TargetMode="External"/><Relationship Id="rId108" Type="http://schemas.openxmlformats.org/officeDocument/2006/relationships/hyperlink" Target="https://www.cbd.int/doc/decisions/cop-15/cop-15-dec-04-zh.pdf" TargetMode="External"/><Relationship Id="rId315" Type="http://schemas.openxmlformats.org/officeDocument/2006/relationships/hyperlink" Target="https://www.cbd.int/documents/CBD/COP/16/INF/13" TargetMode="External"/><Relationship Id="rId54" Type="http://schemas.openxmlformats.org/officeDocument/2006/relationships/hyperlink" Target="https://www.cbd.int/doc/decisions/cop-14/cop-14-dec-03-zh.pdf" TargetMode="External"/><Relationship Id="rId96"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161" Type="http://schemas.openxmlformats.org/officeDocument/2006/relationships/hyperlink" Target="https://www.cbd.int/doc/c/5767/02a7/e6d6597103453b6a92ab8b44/fm-teg-2024-01-02-en.pdf" TargetMode="External"/><Relationship Id="rId217" Type="http://schemas.openxmlformats.org/officeDocument/2006/relationships/hyperlink" Target="https://www.cbd.int/doc/decisions/cp-mop-10/cp-mop-10-dec-04-zh.pdf" TargetMode="External"/><Relationship Id="rId259" Type="http://schemas.openxmlformats.org/officeDocument/2006/relationships/hyperlink" Target="https://www.cbd.int/documents/CBD/COP/16/1/ADD4" TargetMode="External"/><Relationship Id="rId23" Type="http://schemas.openxmlformats.org/officeDocument/2006/relationships/hyperlink" Target="https://www.cbd.int/doc/decisions/cop-15/cop-15-dec-04-zh.pdf" TargetMode="External"/><Relationship Id="rId119" Type="http://schemas.openxmlformats.org/officeDocument/2006/relationships/hyperlink" Target="https://www.cbd.int/doc/publications/cbd-ts-91-en.pdf" TargetMode="External"/><Relationship Id="rId270" Type="http://schemas.openxmlformats.org/officeDocument/2006/relationships/hyperlink" Target="https://www.cbd.int/documents/CBD/WGDSI/2/3" TargetMode="External"/><Relationship Id="rId326" Type="http://schemas.openxmlformats.org/officeDocument/2006/relationships/hyperlink" Target="https://www.cbd.int/documents/CBD/COP/16/INF/30" TargetMode="External"/><Relationship Id="rId65" Type="http://schemas.openxmlformats.org/officeDocument/2006/relationships/hyperlink" Target="https://www.cbd.int/decisions/cop/?m=cop-15" TargetMode="External"/><Relationship Id="rId130" Type="http://schemas.openxmlformats.org/officeDocument/2006/relationships/hyperlink" Target="https://www.cbd.int/decisions/cop/?m=cop-15" TargetMode="External"/><Relationship Id="rId172" Type="http://schemas.openxmlformats.org/officeDocument/2006/relationships/hyperlink" Target="https://www.cbd.int/documents/CBD/COP/16/INF/4" TargetMode="External"/><Relationship Id="rId228" Type="http://schemas.openxmlformats.org/officeDocument/2006/relationships/hyperlink" Target="https://www.cbd.int/doc/notifications/2023/ntf-2023-132-rm-en.pdf" TargetMode="External"/><Relationship Id="rId281" Type="http://schemas.openxmlformats.org/officeDocument/2006/relationships/hyperlink" Target="https://www.cbd.int/documents/CBD/COP/16/2/REV1/ADD1" TargetMode="External"/><Relationship Id="rId337" Type="http://schemas.openxmlformats.org/officeDocument/2006/relationships/hyperlink" Target="https://www.cbd.int/documents/CBD/COP/16/INF/11" TargetMode="External"/><Relationship Id="rId34" Type="http://schemas.openxmlformats.org/officeDocument/2006/relationships/hyperlink" Target="https://www.cbd.int/doc/decisions/cop-15/cop-15-dec-04-zh.pdf" TargetMode="External"/><Relationship Id="rId76" Type="http://schemas.openxmlformats.org/officeDocument/2006/relationships/hyperlink" Target="https://www.cbd.int/doc/decisions/cop-15/cop-15-dec-04-zh.pdf" TargetMode="External"/><Relationship Id="rId141" Type="http://schemas.openxmlformats.org/officeDocument/2006/relationships/hyperlink" Target="https://www.cbd.int/doc/decisions/cop-06/full/cop-06-dec-zh.pdf" TargetMode="External"/><Relationship Id="rId7" Type="http://schemas.openxmlformats.org/officeDocument/2006/relationships/hyperlink" Target="https://www.cbd.int/doc/decisions/cop-14/cop-14-dec-13-zh.pdf" TargetMode="External"/><Relationship Id="rId183" Type="http://schemas.openxmlformats.org/officeDocument/2006/relationships/hyperlink" Target="http://www.cbd.int/nbsap" TargetMode="External"/><Relationship Id="rId239" Type="http://schemas.openxmlformats.org/officeDocument/2006/relationships/hyperlink" Target="https://www.cbd.int/decisions/cop/?m=cop-15" TargetMode="External"/><Relationship Id="rId250" Type="http://schemas.openxmlformats.org/officeDocument/2006/relationships/hyperlink" Target="https://www.cbd.int/documents/CBD/COP/16/1/ADD1" TargetMode="External"/><Relationship Id="rId292" Type="http://schemas.openxmlformats.org/officeDocument/2006/relationships/hyperlink" Target="https://www.cbd.int/documents/CBD/COP/16/INF/5" TargetMode="External"/><Relationship Id="rId306" Type="http://schemas.openxmlformats.org/officeDocument/2006/relationships/hyperlink" Target="https://www.cbd.int/documents/CBD/COP/16/L31/REV1" TargetMode="External"/><Relationship Id="rId45" Type="http://schemas.openxmlformats.org/officeDocument/2006/relationships/hyperlink" Target="https://www.cbd.int/doc/decisions/cop-06/full/cop-06-dec-zh.pdf" TargetMode="External"/><Relationship Id="rId87" Type="http://schemas.openxmlformats.org/officeDocument/2006/relationships/hyperlink" Target="http://www.griis.org/" TargetMode="External"/><Relationship Id="rId110" Type="http://schemas.openxmlformats.org/officeDocument/2006/relationships/hyperlink" Target="https://www.efsa.europa.eu/en/topics/topic/invasive-alien-species" TargetMode="External"/><Relationship Id="rId348" Type="http://schemas.openxmlformats.org/officeDocument/2006/relationships/hyperlink" Target="https://www.cbd.int/documents/CBD/COP/16/L1/REV1" TargetMode="External"/><Relationship Id="rId152" Type="http://schemas.openxmlformats.org/officeDocument/2006/relationships/hyperlink" Target="https://www.cbd.int/documents/CBD/COP/16/2/Rev.1" TargetMode="External"/><Relationship Id="rId194" Type="http://schemas.openxmlformats.org/officeDocument/2006/relationships/hyperlink" Target="https://www.cbd.int/doc/decisions/cop-15/cop-15-dec-04-zh.pdf" TargetMode="External"/><Relationship Id="rId208" Type="http://schemas.openxmlformats.org/officeDocument/2006/relationships/hyperlink" Target="https://www.cbd.int/doc/decisions/cop-15/cop-15-dec-11-zh.pdf" TargetMode="External"/><Relationship Id="rId261" Type="http://schemas.openxmlformats.org/officeDocument/2006/relationships/hyperlink" Target="https://www.cbd.int/documents/CBD/COP/16/INF/39" TargetMode="External"/><Relationship Id="rId14" Type="http://schemas.openxmlformats.org/officeDocument/2006/relationships/hyperlink" Target="https://www.cbd.int/doc/decisions/cop-15/cop-15-dec-04-zh.pdf" TargetMode="External"/><Relationship Id="rId35" Type="http://schemas.openxmlformats.org/officeDocument/2006/relationships/hyperlink" Target="https://www.cbd.int/doc/decisions/cop-15/cop-15-dec-05-zh.pdf" TargetMode="External"/><Relationship Id="rId56" Type="http://schemas.openxmlformats.org/officeDocument/2006/relationships/hyperlink" Target="https://www.cbd.int/doc/decisions/cop-15/cop-15-dec-04-zh.pdf" TargetMode="External"/><Relationship Id="rId77" Type="http://schemas.openxmlformats.org/officeDocument/2006/relationships/hyperlink" Target="https://www.cbd.int/doc/decisions/cop-06/full/cop-06-dec-zh.pdf" TargetMode="External"/><Relationship Id="rId100" Type="http://schemas.openxmlformats.org/officeDocument/2006/relationships/hyperlink" Target="http://www.gbif.org/" TargetMode="External"/><Relationship Id="rId282" Type="http://schemas.openxmlformats.org/officeDocument/2006/relationships/hyperlink" Target="https://www.cbd.int/documents/CBD/SBI/5/4" TargetMode="External"/><Relationship Id="rId317" Type="http://schemas.openxmlformats.org/officeDocument/2006/relationships/hyperlink" Target="https://www.cbd.int/documents/CBD/COP/16/INF/15" TargetMode="External"/><Relationship Id="rId338" Type="http://schemas.openxmlformats.org/officeDocument/2006/relationships/hyperlink" Target="https://www.cbd.int/documents/CBD/COP/16/2/Rev.1" TargetMode="External"/><Relationship Id="rId8" Type="http://schemas.openxmlformats.org/officeDocument/2006/relationships/hyperlink" Target="https://www.cbd.int/doc/decisions/cop-07/full/cop-07-dec-zh.pdf" TargetMode="External"/><Relationship Id="rId98" Type="http://schemas.openxmlformats.org/officeDocument/2006/relationships/hyperlink" Target="https://www.cbd.int/doc/decisions/cop-14/cop-14-dec-13-zh.pdf" TargetMode="External"/><Relationship Id="rId121" Type="http://schemas.openxmlformats.org/officeDocument/2006/relationships/hyperlink" Target="https://www.cbd.int/decisions/cop/?m=cop-15" TargetMode="External"/><Relationship Id="rId142" Type="http://schemas.openxmlformats.org/officeDocument/2006/relationships/hyperlink" Target="https://www.cbd.int/doc/decisions/cop-10/cop-10-dec-17-zh.pdf" TargetMode="External"/><Relationship Id="rId163" Type="http://schemas.openxmlformats.org/officeDocument/2006/relationships/hyperlink" Target="https://www.cbd.int/documents/CBD/SBSTTA/26/INF/11" TargetMode="External"/><Relationship Id="rId184" Type="http://schemas.openxmlformats.org/officeDocument/2006/relationships/hyperlink" Target="https://www.cbd.int/doc/decisions/cop-16/cop-16-dec-31-zh.pdf" TargetMode="External"/><Relationship Id="rId219" Type="http://schemas.openxmlformats.org/officeDocument/2006/relationships/hyperlink" Target="https://www.cbd.int/decisions/cop/?m=cop-16" TargetMode="External"/><Relationship Id="rId230" Type="http://schemas.openxmlformats.org/officeDocument/2006/relationships/hyperlink" Target="https://www.cbd.int/decisions/cop/?m=cop-16" TargetMode="External"/><Relationship Id="rId251" Type="http://schemas.openxmlformats.org/officeDocument/2006/relationships/hyperlink" Target="https://www.cbd.int/documents/CBD/COP/16/1/ADD2" TargetMode="External"/><Relationship Id="rId25" Type="http://schemas.openxmlformats.org/officeDocument/2006/relationships/hyperlink" Target="https://www.cbd.int/doc/decisions/cop-15/cop-15-dec-14-zh.pdf"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ocuments/CBD/EBSA/EM/2023/2/3" TargetMode="External"/><Relationship Id="rId272" Type="http://schemas.openxmlformats.org/officeDocument/2006/relationships/hyperlink" Target="https://www.cbd.int/documents/CBD/COP/16/2/REV1/ADD1" TargetMode="External"/><Relationship Id="rId293" Type="http://schemas.openxmlformats.org/officeDocument/2006/relationships/hyperlink" Target="https://www.cbd.int/documents/CBD/COP/16/INF/31" TargetMode="External"/><Relationship Id="rId307" Type="http://schemas.openxmlformats.org/officeDocument/2006/relationships/hyperlink" Target="https://www.cbd.int/documents/CBD/COP/16/2/Rev.1" TargetMode="External"/><Relationship Id="rId328" Type="http://schemas.openxmlformats.org/officeDocument/2006/relationships/hyperlink" Target="https://www.cbd.int/documents/CBD/COP/16/INF/36" TargetMode="External"/><Relationship Id="rId88" Type="http://schemas.openxmlformats.org/officeDocument/2006/relationships/hyperlink" Target="http://www.wto.org/english/tratop_e/serv_e/gatsintr_e.htm" TargetMode="External"/><Relationship Id="rId111" Type="http://schemas.openxmlformats.org/officeDocument/2006/relationships/hyperlink" Target="https://www.cbd.int/doc/meetings/sbstta/sbstta-18/official/sbstta-18-09-add1-zh.pdf" TargetMode="External"/><Relationship Id="rId132" Type="http://schemas.openxmlformats.org/officeDocument/2006/relationships/hyperlink" Target="https://www.cbd.int/documents/CBD/SBSTTA/26/INF/3" TargetMode="External"/><Relationship Id="rId153" Type="http://schemas.openxmlformats.org/officeDocument/2006/relationships/hyperlink" Target="https://www.cbd.int/documents/CBD/COP/16/2/REV1/ADD1" TargetMode="External"/><Relationship Id="rId174" Type="http://schemas.openxmlformats.org/officeDocument/2006/relationships/hyperlink" Target="https://www.cbd.int/documents/CBD/SBSTTA/26/INF/15" TargetMode="External"/><Relationship Id="rId195" Type="http://schemas.openxmlformats.org/officeDocument/2006/relationships/hyperlink" Target="https://www.cbd.int/doc/c/9da1/b146/fb92955cef40a5d8ed085f6d/cop-16-08-rev1-zh.pdf" TargetMode="External"/><Relationship Id="rId209" Type="http://schemas.openxmlformats.org/officeDocument/2006/relationships/hyperlink" Target="https://www.cbd.int/decisions/cop/?m=cop-16" TargetMode="External"/><Relationship Id="rId220" Type="http://schemas.openxmlformats.org/officeDocument/2006/relationships/hyperlink" Target="https://www.cbd.int/doc/decisions/cop-15/cop-15-dec-04-zh.pdf" TargetMode="External"/><Relationship Id="rId241" Type="http://schemas.openxmlformats.org/officeDocument/2006/relationships/hyperlink" Target="https://www.cbd.int/doc/c/ea5d/ae96/f107f8e0b9dbf7bb2ae1b9e6/cop-16-10-rev1-zh.pdf" TargetMode="External"/><Relationship Id="rId15" Type="http://schemas.openxmlformats.org/officeDocument/2006/relationships/hyperlink" Target="https://www.cbd.int/doc/decisions/cop-15/cop-15-dec-11-zh.pdf" TargetMode="External"/><Relationship Id="rId36" Type="http://schemas.openxmlformats.org/officeDocument/2006/relationships/hyperlink" Target="https://www.cbd.int/doc/decisions/cop-15/cop-15-dec-08-zh.pdf" TargetMode="External"/><Relationship Id="rId57" Type="http://schemas.openxmlformats.org/officeDocument/2006/relationships/hyperlink" Target="https://www.cbd.int/decisions/cop/?m=cop-16" TargetMode="External"/><Relationship Id="rId262" Type="http://schemas.openxmlformats.org/officeDocument/2006/relationships/hyperlink" Target="https://www.cbd.int/documents/CBD/COP/16/INF/41/REV1" TargetMode="External"/><Relationship Id="rId283" Type="http://schemas.openxmlformats.org/officeDocument/2006/relationships/hyperlink" Target="https://www.cbd.int/documents/CBD/COP/16/2/Rev.1" TargetMode="External"/><Relationship Id="rId318" Type="http://schemas.openxmlformats.org/officeDocument/2006/relationships/hyperlink" Target="https://www.cbd.int/documents/CBD/COP/16/INF/16" TargetMode="External"/><Relationship Id="rId339" Type="http://schemas.openxmlformats.org/officeDocument/2006/relationships/hyperlink" Target="https://www.cbd.int/documents/CBD/COP/16/INF/28" TargetMode="External"/><Relationship Id="rId78" Type="http://schemas.openxmlformats.org/officeDocument/2006/relationships/hyperlink" Target="https://www.cbd.int/doc/c/f82f/90c8/4e82b4a23db2edfc632d56c5/ias-ahteg-2019-01-02-en.pdf" TargetMode="External"/><Relationship Id="rId99" Type="http://schemas.openxmlformats.org/officeDocument/2006/relationships/hyperlink" Target="https://www.cbd.int/doc/decisions/cop-15/cop-15-dec-04-zh.pdf" TargetMode="External"/><Relationship Id="rId101" Type="http://schemas.openxmlformats.org/officeDocument/2006/relationships/hyperlink" Target="https://griis.org/" TargetMode="External"/><Relationship Id="rId122" Type="http://schemas.openxmlformats.org/officeDocument/2006/relationships/hyperlink" Target="https://documents.un.org/doc/undoc/gen/n23/029/12/pdf/n2302912.pdf?token=MNVnouNJKmigQFyXDz&amp;fe=true" TargetMode="External"/><Relationship Id="rId143" Type="http://schemas.openxmlformats.org/officeDocument/2006/relationships/hyperlink" Target="https://www.cbd.int/doc/decisions/cop-15/cop-15-dec-04-zh.pdf" TargetMode="External"/><Relationship Id="rId164" Type="http://schemas.openxmlformats.org/officeDocument/2006/relationships/hyperlink" Target="https://www.cbd.int/recommendations/wgdsi/?m=wgdsi-02" TargetMode="External"/><Relationship Id="rId185" Type="http://schemas.openxmlformats.org/officeDocument/2006/relationships/hyperlink" Target="https://www.cbd.int/doc/decisions/cop-15/cop-15-dec-06-zh.pdf" TargetMode="External"/><Relationship Id="rId9" Type="http://schemas.openxmlformats.org/officeDocument/2006/relationships/hyperlink" Target="https://www.cbd.int/doc/decisions/cop-10/cop-10-dec-42-zh.pdf" TargetMode="External"/><Relationship Id="rId210" Type="http://schemas.openxmlformats.org/officeDocument/2006/relationships/hyperlink" Target="https://www.cbd.int/doc/decisions/cop-15/cop-15-dec-05-zh.pdf" TargetMode="External"/><Relationship Id="rId26" Type="http://schemas.openxmlformats.org/officeDocument/2006/relationships/hyperlink" Target="https://www.cbd.int/decisions/cop?m=cop-16" TargetMode="External"/><Relationship Id="rId231" Type="http://schemas.openxmlformats.org/officeDocument/2006/relationships/hyperlink" Target="https://www.cbd.int/decisions/cop/?m=cop-16" TargetMode="External"/><Relationship Id="rId252" Type="http://schemas.openxmlformats.org/officeDocument/2006/relationships/hyperlink" Target="https://www.cbd.int/documents/CBD/COP/16/INF/2" TargetMode="External"/><Relationship Id="rId273" Type="http://schemas.openxmlformats.org/officeDocument/2006/relationships/hyperlink" Target="https://www.cbd.int/documents/CBD/COP/16/3" TargetMode="External"/><Relationship Id="rId294" Type="http://schemas.openxmlformats.org/officeDocument/2006/relationships/hyperlink" Target="https://www.cbd.int/documents/CBD/COP/16/L33/REV1" TargetMode="External"/><Relationship Id="rId308" Type="http://schemas.openxmlformats.org/officeDocument/2006/relationships/hyperlink" Target="https://www.cbd.int/documents/CBD/COP/16/9" TargetMode="External"/><Relationship Id="rId329" Type="http://schemas.openxmlformats.org/officeDocument/2006/relationships/hyperlink" Target="https://www.cbd.int/documents/CBD/COP/16/INF/37" TargetMode="External"/><Relationship Id="rId47" Type="http://schemas.openxmlformats.org/officeDocument/2006/relationships/hyperlink" Target="https://www.cbd.int/doc/decisions/cop-15/cop-15-dec-04-zh.pdf" TargetMode="External"/><Relationship Id="rId68" Type="http://schemas.openxmlformats.org/officeDocument/2006/relationships/hyperlink" Target="https://www.cbd.int/doc/decisions/cop-13/cop-13-dec-18-zh.pdf" TargetMode="External"/><Relationship Id="rId89" Type="http://schemas.openxmlformats.org/officeDocument/2006/relationships/hyperlink" Target="http://www.wcoomd.org/~/media/wco/public/global/pdf/topics/facilitation/activities-and-programmes/tf-negociations/wco-docs/info-sheets-on-tf-measures/single-window-concept.pdf" TargetMode="External"/><Relationship Id="rId112" Type="http://schemas.openxmlformats.org/officeDocument/2006/relationships/hyperlink" Target="https://easin.jrc.ec.europa.eu/notsys" TargetMode="External"/><Relationship Id="rId133" Type="http://schemas.openxmlformats.org/officeDocument/2006/relationships/hyperlink" Target="https://www.cbd.int/doc/decisions/cop-06/full/cop-06-dec-zh.pdf" TargetMode="External"/><Relationship Id="rId154" Type="http://schemas.openxmlformats.org/officeDocument/2006/relationships/hyperlink" Target="https://www.cbd.int/documents/CBD/COP/16/4" TargetMode="External"/><Relationship Id="rId175" Type="http://schemas.openxmlformats.org/officeDocument/2006/relationships/hyperlink" Target="https://www.cbd.int/documents/CBD/SBSTTA/26/INF/16/Rev.1" TargetMode="External"/><Relationship Id="rId340" Type="http://schemas.openxmlformats.org/officeDocument/2006/relationships/hyperlink" Target="https://www.cbd.int/documents/679245aac5696622ab011931" TargetMode="External"/><Relationship Id="rId196" Type="http://schemas.openxmlformats.org/officeDocument/2006/relationships/hyperlink" Target="https://www.cbd.int/doc/c/7a1a/4868/ac86a2dfadc86073ec8b09ba/cop-16-07-zh.pdf" TargetMode="External"/><Relationship Id="rId200"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6" Type="http://schemas.openxmlformats.org/officeDocument/2006/relationships/hyperlink" Target="https://www.cbd.int/documents/UNEP/CBD/COP/10/INF/3" TargetMode="External"/><Relationship Id="rId221" Type="http://schemas.openxmlformats.org/officeDocument/2006/relationships/hyperlink" Target="https://www.cbd.int/doc/decisions/np-mop-05/np-mop-05-dec-02-zh.pdf" TargetMode="External"/><Relationship Id="rId242" Type="http://schemas.openxmlformats.org/officeDocument/2006/relationships/hyperlink" Target="https://www.fao.org/ecosystem-restoration-monitoring/en" TargetMode="External"/><Relationship Id="rId263" Type="http://schemas.openxmlformats.org/officeDocument/2006/relationships/hyperlink" Target="https://www.cbd.int/documents/CBD/COP/16/INF/44/REV1" TargetMode="External"/><Relationship Id="rId284" Type="http://schemas.openxmlformats.org/officeDocument/2006/relationships/hyperlink" Target="https://www.cbd.int/documents/CBD/COP/16/5" TargetMode="External"/><Relationship Id="rId319" Type="http://schemas.openxmlformats.org/officeDocument/2006/relationships/hyperlink" Target="https://www.cbd.int/documents/CBD/COP/16/INF/17" TargetMode="External"/><Relationship Id="rId37" Type="http://schemas.openxmlformats.org/officeDocument/2006/relationships/hyperlink" Target="https://files.ipbes.net/ipbes-web-prod-public-files/inline/files/ipbes_ilkapproach_ipbes-5-15.pdf" TargetMode="External"/><Relationship Id="rId58" Type="http://schemas.openxmlformats.org/officeDocument/2006/relationships/hyperlink" Target="https://www.cbd.int/doc/meetings/cop/cop-10/information/cop-10-inf-03-en.pdf" TargetMode="External"/><Relationship Id="rId79" Type="http://schemas.openxmlformats.org/officeDocument/2006/relationships/hyperlink" Target="https://www.cbd.int/doc/decisions/cop-06/full/cop-06-dec-zh.pdf" TargetMode="External"/><Relationship Id="rId102" Type="http://schemas.openxmlformats.org/officeDocument/2006/relationships/hyperlink" Target="http://www.cabidigitallibrary.org/journal/cabicompendium" TargetMode="External"/><Relationship Id="rId123" Type="http://schemas.openxmlformats.org/officeDocument/2006/relationships/hyperlink" Target="https://www.cbd.int/documents/CBD/SBSTTA/26/8" TargetMode="External"/><Relationship Id="rId144" Type="http://schemas.openxmlformats.org/officeDocument/2006/relationships/hyperlink" Target="https://www.cbd.int/decisions/cop/?m=cop-15" TargetMode="External"/><Relationship Id="rId330" Type="http://schemas.openxmlformats.org/officeDocument/2006/relationships/hyperlink" Target="https://www.cbd.int/documents/CBD/COP/16/2/Rev.1" TargetMode="External"/><Relationship Id="rId90" Type="http://schemas.openxmlformats.org/officeDocument/2006/relationships/hyperlink" Target="https://easin.jrc.ec.europa.eu/easin" TargetMode="External"/><Relationship Id="rId165" Type="http://schemas.openxmlformats.org/officeDocument/2006/relationships/hyperlink" Target="https://www.cbd.int/documents/CBD/SBSTTA/26/INF/13" TargetMode="External"/><Relationship Id="rId186" Type="http://schemas.openxmlformats.org/officeDocument/2006/relationships/hyperlink" Target="https://www.cbd.int/doc/decisions/cop-15/cop-15-dec-04-zh.pdf" TargetMode="External"/><Relationship Id="rId211" Type="http://schemas.openxmlformats.org/officeDocument/2006/relationships/hyperlink" Target="https://www.cbd.int/doc/decisions/cop-15/cop-15-dec-06-zh.pdf" TargetMode="External"/><Relationship Id="rId232" Type="http://schemas.openxmlformats.org/officeDocument/2006/relationships/hyperlink" Target="https://www.cbd.int/doc/decisions/cop-16/cop-16-dec-32-zh.pdf" TargetMode="External"/><Relationship Id="rId253" Type="http://schemas.openxmlformats.org/officeDocument/2006/relationships/hyperlink" Target="https://www.cbd.int/documents/CBD/COP/16/WGI/L1" TargetMode="External"/><Relationship Id="rId274" Type="http://schemas.openxmlformats.org/officeDocument/2006/relationships/hyperlink" Target="https://www.cbd.int/documents/CBD/COP/16/4" TargetMode="External"/><Relationship Id="rId295" Type="http://schemas.openxmlformats.org/officeDocument/2006/relationships/hyperlink" Target="https://www.cbd.int/documents/CBD/COP/16/2/Rev.1" TargetMode="External"/><Relationship Id="rId309" Type="http://schemas.openxmlformats.org/officeDocument/2006/relationships/hyperlink" Target="https://www.cbd.int/documents/CBD/COP/16/INF/24" TargetMode="External"/><Relationship Id="rId27" Type="http://schemas.openxmlformats.org/officeDocument/2006/relationships/hyperlink" Target="https://www.cbd.int/decisions/cop?m=cop-16" TargetMode="External"/><Relationship Id="rId48" Type="http://schemas.openxmlformats.org/officeDocument/2006/relationships/hyperlink" Target="https://www.cbd.int/documents/CBD/SBSTTA/26/3" TargetMode="External"/><Relationship Id="rId69" Type="http://schemas.openxmlformats.org/officeDocument/2006/relationships/hyperlink" Target="https://www.cbd.int/doc/decisions/cop-15/cop-15-dec-04-zh.pdf" TargetMode="External"/><Relationship Id="rId113" Type="http://schemas.openxmlformats.org/officeDocument/2006/relationships/hyperlink" Target="https://www.cbd.int/doc/decisions/cop-07/full/cop-07-dec-zh.pdf" TargetMode="External"/><Relationship Id="rId134" Type="http://schemas.openxmlformats.org/officeDocument/2006/relationships/hyperlink" Target="https://www.cbd.int/decisions/cop/?m=cop-15" TargetMode="External"/><Relationship Id="rId320" Type="http://schemas.openxmlformats.org/officeDocument/2006/relationships/hyperlink" Target="https://www.cbd.int/documents/CBD/COP/16/INF/18" TargetMode="External"/><Relationship Id="rId80" Type="http://schemas.openxmlformats.org/officeDocument/2006/relationships/hyperlink" Target="http://www.iucn.org/resources/conservation-tool/environmental-impact-classification-alien-taxa" TargetMode="External"/><Relationship Id="rId155" Type="http://schemas.openxmlformats.org/officeDocument/2006/relationships/hyperlink" Target="https://www.cbd.int/documents/CBD/COP/16/4/ADD1" TargetMode="External"/><Relationship Id="rId176" Type="http://schemas.openxmlformats.org/officeDocument/2006/relationships/hyperlink" Target="https://www.cbd.int/doc/decisions/cop-16/cop-16-dec-03-zh.pdf" TargetMode="External"/><Relationship Id="rId197" Type="http://schemas.openxmlformats.org/officeDocument/2006/relationships/hyperlink" Target="https://www.cbd.int/documents/CBD/COP/16/INF/25" TargetMode="External"/><Relationship Id="rId341" Type="http://schemas.openxmlformats.org/officeDocument/2006/relationships/hyperlink" Target="https://www.cbd.int/documents/CBD/COP/16/2/Rev.1" TargetMode="External"/><Relationship Id="rId201" Type="http://schemas.openxmlformats.org/officeDocument/2006/relationships/hyperlink" Target="https://www.cbd.int/doc/interventions/6717c9819a0ecc27c502d552/GEF%20Financial%20Mechanism.docx" TargetMode="External"/><Relationship Id="rId222" Type="http://schemas.openxmlformats.org/officeDocument/2006/relationships/hyperlink" Target="https://www.cbd.int/decisions/np-mop/?m=np-mop-05" TargetMode="External"/><Relationship Id="rId243" Type="http://schemas.openxmlformats.org/officeDocument/2006/relationships/hyperlink" Target="https://www.cbd.int/documents/CBD/COP/16/INF/19" TargetMode="External"/><Relationship Id="rId264" Type="http://schemas.openxmlformats.org/officeDocument/2006/relationships/hyperlink" Target="https://www.cbd.int/documents/CBD/SBSTTA/25/13" TargetMode="External"/><Relationship Id="rId285" Type="http://schemas.openxmlformats.org/officeDocument/2006/relationships/hyperlink" Target="https://www.cbd.int/documents/CBD/WGDSI/1/3" TargetMode="External"/><Relationship Id="rId17" Type="http://schemas.openxmlformats.org/officeDocument/2006/relationships/hyperlink" Target="https://www.cbd.int/doc/decisions/cop-10/cop-10-dec-20-zh.pdf" TargetMode="External"/><Relationship Id="rId38" Type="http://schemas.openxmlformats.org/officeDocument/2006/relationships/hyperlink" Target="https://www.cbd.int/doc/decisions/cop-14/cop-14-dec-25-zh.pdf" TargetMode="External"/><Relationship Id="rId59" Type="http://schemas.openxmlformats.org/officeDocument/2006/relationships/hyperlink" Target="https://www.cbd.int/decisions/cop/?m=cop-15" TargetMode="External"/><Relationship Id="rId103" Type="http://schemas.openxmlformats.org/officeDocument/2006/relationships/hyperlink" Target="https://alien.jrc.ec.europa.eu/easin" TargetMode="External"/><Relationship Id="rId124" Type="http://schemas.openxmlformats.org/officeDocument/2006/relationships/hyperlink" Target="https://www.cbd.int/documents/CBD/SBSTTA/26/INF/3" TargetMode="External"/><Relationship Id="rId310" Type="http://schemas.openxmlformats.org/officeDocument/2006/relationships/hyperlink" Target="https://www.cbd.int/documents/CBD/COP/16/INF/33" TargetMode="External"/><Relationship Id="rId70" Type="http://schemas.openxmlformats.org/officeDocument/2006/relationships/hyperlink" Target="https://www.cbd.int/doc/decisions/cop-04/full/cop-04-dec-zh.pdf" TargetMode="External"/><Relationship Id="rId91" Type="http://schemas.openxmlformats.org/officeDocument/2006/relationships/hyperlink" Target="http://www.ippc.int/en/ephyto/" TargetMode="External"/><Relationship Id="rId145" Type="http://schemas.openxmlformats.org/officeDocument/2006/relationships/hyperlink" Target="https://www.cbd.int/doc/decisions/cop-15/cop-15-dec-08-zh.pdf" TargetMode="External"/><Relationship Id="rId166" Type="http://schemas.openxmlformats.org/officeDocument/2006/relationships/hyperlink" Target="http://www.unep.org/events/conference/bern-iii-conference-cooperation-among-biodiversity-related-conventions" TargetMode="External"/><Relationship Id="rId187" Type="http://schemas.openxmlformats.org/officeDocument/2006/relationships/hyperlink" Target="https://www.cbd.int/doc/decisions/cop-15/cop-15-dec-05-zh.pdf" TargetMode="External"/><Relationship Id="rId331" Type="http://schemas.openxmlformats.org/officeDocument/2006/relationships/hyperlink" Target="https://www.cbd.int/documents/CBD/COP/16/INF/9" TargetMode="External"/><Relationship Id="rId1" Type="http://schemas.openxmlformats.org/officeDocument/2006/relationships/hyperlink" Target="https://www.cbd.int/documents/CBD/SBI/4/7/ADD3" TargetMode="External"/><Relationship Id="rId212" Type="http://schemas.openxmlformats.org/officeDocument/2006/relationships/hyperlink" Target="https://www.cbd.int/doc/decisions/cp-mop-10/cp-mop-10-dec-03-zh.pdf" TargetMode="External"/><Relationship Id="rId233" Type="http://schemas.openxmlformats.org/officeDocument/2006/relationships/hyperlink" Target="https://www.cbd.int/decisions/cop/?m=cop-16" TargetMode="External"/><Relationship Id="rId254" Type="http://schemas.openxmlformats.org/officeDocument/2006/relationships/hyperlink" Target="https://www.cbd.int/documents/CBD/COP/16/WGII/L1" TargetMode="External"/><Relationship Id="rId28" Type="http://schemas.openxmlformats.org/officeDocument/2006/relationships/hyperlink" Target="https://www.cbd.int/decisions/cop?m=cop-15" TargetMode="External"/><Relationship Id="rId49" Type="http://schemas.openxmlformats.org/officeDocument/2006/relationships/hyperlink" Target="https://www.cbd.int/documents/CBD/SBSTTA/26/INF/16/Rev.1" TargetMode="External"/><Relationship Id="rId114" Type="http://schemas.openxmlformats.org/officeDocument/2006/relationships/hyperlink" Target="https://www.iata.org/contentassets/adfc0ea8044648fcbff13d79dceff7ae/encom-pax-wildlife-guidance-final-2003-nov-2015.pdf" TargetMode="External"/><Relationship Id="rId275" Type="http://schemas.openxmlformats.org/officeDocument/2006/relationships/hyperlink" Target="https://www.cbd.int/documents/CBD/COP/16/4/ADD1" TargetMode="External"/><Relationship Id="rId296" Type="http://schemas.openxmlformats.org/officeDocument/2006/relationships/hyperlink" Target="https://www.cbd.int/documents/CBD/COP/16/5" TargetMode="External"/><Relationship Id="rId300" Type="http://schemas.openxmlformats.org/officeDocument/2006/relationships/hyperlink" Target="https://www.cbd.int/documents/CBD/COP/16/7" TargetMode="External"/><Relationship Id="rId60" Type="http://schemas.openxmlformats.org/officeDocument/2006/relationships/hyperlink" Target="https://www.cbd.int/doc/decisions/cop-15/cop-15-dec-04-zh.pdf" TargetMode="External"/><Relationship Id="rId81" Type="http://schemas.openxmlformats.org/officeDocument/2006/relationships/hyperlink" Target="https://www.cefas.co.uk/expertise/research-advice-and-consultancy/non-native-species/decision-support-tools-for-the-identification-and-management-of-invasive-non-native-aquatic-species/" TargetMode="External"/><Relationship Id="rId135" Type="http://schemas.openxmlformats.org/officeDocument/2006/relationships/hyperlink" Target="http://www.ipcc.ch/report/ar6/wg2/" TargetMode="External"/><Relationship Id="rId156" Type="http://schemas.openxmlformats.org/officeDocument/2006/relationships/hyperlink" Target="https://www.cbd.int/documents/CBD/COP/16/4/ADD2" TargetMode="External"/><Relationship Id="rId177" Type="http://schemas.openxmlformats.org/officeDocument/2006/relationships/hyperlink" Target="https://www.cbd.int/documents/CBD/SBSTTA/26/2" TargetMode="External"/><Relationship Id="rId198" Type="http://schemas.openxmlformats.org/officeDocument/2006/relationships/hyperlink" Target="https://www.cbd.int/doc/decisions/cp-mop-10/cp-mop-10-dec-03-zh.pdf" TargetMode="External"/><Relationship Id="rId321" Type="http://schemas.openxmlformats.org/officeDocument/2006/relationships/hyperlink" Target="https://www.cbd.int/documents/CBD/COP/16/INF/19" TargetMode="External"/><Relationship Id="rId342" Type="http://schemas.openxmlformats.org/officeDocument/2006/relationships/hyperlink" Target="https://www.cbd.int/documents/CBD/COP/16/INF/34" TargetMode="External"/><Relationship Id="rId202" Type="http://schemas.openxmlformats.org/officeDocument/2006/relationships/hyperlink" Target="https://www.cbd.int/decision/cop/default.shtml?id=7104" TargetMode="External"/><Relationship Id="rId223" Type="http://schemas.openxmlformats.org/officeDocument/2006/relationships/hyperlink" Target="https://www.cbd.int/decisions/cop/?m=cop-15" TargetMode="External"/><Relationship Id="rId244" Type="http://schemas.openxmlformats.org/officeDocument/2006/relationships/hyperlink" Target="https://www.cbd.int/documents/CBD/SBI/4/INF/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oc/decisions/cop-15/cop-15-dec-16-zh.pdf" TargetMode="External"/><Relationship Id="rId265" Type="http://schemas.openxmlformats.org/officeDocument/2006/relationships/hyperlink" Target="https://www.cbd.int/documents/CBD/SBSTTA/26/9" TargetMode="External"/><Relationship Id="rId286" Type="http://schemas.openxmlformats.org/officeDocument/2006/relationships/hyperlink" Target="https://www.cbd.int/documents/CBD/WGDSI/2/3" TargetMode="External"/><Relationship Id="rId50" Type="http://schemas.openxmlformats.org/officeDocument/2006/relationships/hyperlink" Target="https://www.cbd.int/doc/decisions/cop-15/cop-15-dec-04-zh.pdf" TargetMode="External"/><Relationship Id="rId104" Type="http://schemas.openxmlformats.org/officeDocument/2006/relationships/hyperlink" Target="http://www.cbd.int/invasive/giasipartnership/" TargetMode="External"/><Relationship Id="rId125" Type="http://schemas.openxmlformats.org/officeDocument/2006/relationships/hyperlink" Target="https://www.cbd.int/decisions/cop/?m=cop-15" TargetMode="External"/><Relationship Id="rId146" Type="http://schemas.openxmlformats.org/officeDocument/2006/relationships/hyperlink" Target="https://www.cbd.int/doc/decisions/cp-mop-10/cp-mop-10-dec-04-zh.pdf" TargetMode="External"/><Relationship Id="rId167" Type="http://schemas.openxmlformats.org/officeDocument/2006/relationships/hyperlink" Target="https://www.cbd.int/doc/decisions/cop-16/cop-16-dec-20-zh.pdf" TargetMode="External"/><Relationship Id="rId188" Type="http://schemas.openxmlformats.org/officeDocument/2006/relationships/hyperlink" Target="https://www.cbd.int/doc/decisions/cop-16/cop-16-dec-31-zh.pdf" TargetMode="External"/><Relationship Id="rId311" Type="http://schemas.openxmlformats.org/officeDocument/2006/relationships/hyperlink" Target="https://www.cbd.int/documents/CBD/COP/16/INF/38" TargetMode="External"/><Relationship Id="rId332" Type="http://schemas.openxmlformats.org/officeDocument/2006/relationships/hyperlink" Target="https://www.cbd.int/documents/CBD/COP/16/2/Rev.1" TargetMode="External"/><Relationship Id="rId71" Type="http://schemas.openxmlformats.org/officeDocument/2006/relationships/hyperlink" Target="https://www.cbd.int/doc/decisions/cop-07/full/cop-07-dec-zh.pdf" TargetMode="External"/><Relationship Id="rId92" Type="http://schemas.openxmlformats.org/officeDocument/2006/relationships/hyperlink" Target="https://www.cbd.int/doc/decisions/cop-15/cop-15-dec-04-zh.pdf" TargetMode="External"/><Relationship Id="rId213" Type="http://schemas.openxmlformats.org/officeDocument/2006/relationships/hyperlink" Target="https://www.cbd.int/doc/decisions/cp-mop-10/cp-mop-10-dec-04-zh.pdf" TargetMode="External"/><Relationship Id="rId234" Type="http://schemas.openxmlformats.org/officeDocument/2006/relationships/hyperlink" Target="https://www.cbd.int/decisions/cop/?m=cop-16" TargetMode="External"/><Relationship Id="rId2" Type="http://schemas.openxmlformats.org/officeDocument/2006/relationships/hyperlink" Target="https://www.cbd.int/documents/CBD/COP/16/INF/33" TargetMode="External"/><Relationship Id="rId29" Type="http://schemas.openxmlformats.org/officeDocument/2006/relationships/hyperlink" Target="https://www.cbd.int/decisions/cop?m=cop-16" TargetMode="External"/><Relationship Id="rId255" Type="http://schemas.openxmlformats.org/officeDocument/2006/relationships/hyperlink" Target="https://www.cbd.int/documents/674de2301cbd9b9b1ed6a93c" TargetMode="External"/><Relationship Id="rId276" Type="http://schemas.openxmlformats.org/officeDocument/2006/relationships/hyperlink" Target="https://www.cbd.int/documents/CBD/COP/16/4/ADD2" TargetMode="External"/><Relationship Id="rId297" Type="http://schemas.openxmlformats.org/officeDocument/2006/relationships/hyperlink" Target="https://www.cbd.int/documents/CBD/COP/16/6/REV1" TargetMode="External"/><Relationship Id="rId40" Type="http://schemas.openxmlformats.org/officeDocument/2006/relationships/hyperlink" Target="https://www.cbd.int/doc/decisions/cop-15/cop-15-dec-08-zh.pdf" TargetMode="External"/><Relationship Id="rId115" Type="http://schemas.openxmlformats.org/officeDocument/2006/relationships/hyperlink" Target="https://www.cbd.int/doc/decisions/cop-07/full/cop-07-dec-zh.pdf" TargetMode="External"/><Relationship Id="rId136" Type="http://schemas.openxmlformats.org/officeDocument/2006/relationships/hyperlink" Target="https://www.cbd.int/recommendations/sbstta/?m=sbstta-24" TargetMode="External"/><Relationship Id="rId157" Type="http://schemas.openxmlformats.org/officeDocument/2006/relationships/hyperlink" Target="https://www.cbd.int/convention/articles/default.shtml?a=cbd-24" TargetMode="External"/><Relationship Id="rId178" Type="http://schemas.openxmlformats.org/officeDocument/2006/relationships/hyperlink" Target="https://www.cbd.int/decisions/cop/?m=cop-15" TargetMode="External"/><Relationship Id="rId301" Type="http://schemas.openxmlformats.org/officeDocument/2006/relationships/hyperlink" Target="https://www.cbd.int/documents/CBD/COP/16/8/REV1" TargetMode="External"/><Relationship Id="rId322" Type="http://schemas.openxmlformats.org/officeDocument/2006/relationships/hyperlink" Target="https://www.cbd.int/documents/CBD/COP/16/INF/20" TargetMode="External"/><Relationship Id="rId343" Type="http://schemas.openxmlformats.org/officeDocument/2006/relationships/hyperlink" Target="https://www.cbd.int/documents/CBD/COP/16/2/Rev.1" TargetMode="External"/><Relationship Id="rId61" Type="http://schemas.openxmlformats.org/officeDocument/2006/relationships/hyperlink" Target="http://www.swm-programme.info/" TargetMode="External"/><Relationship Id="rId82" Type="http://schemas.openxmlformats.org/officeDocument/2006/relationships/hyperlink" Target="http://www.ippc.int/en/core-activities/standards-setting/ispms/" TargetMode="External"/><Relationship Id="rId199" Type="http://schemas.openxmlformats.org/officeDocument/2006/relationships/hyperlink" Target="https://www.cbd.int/doc/decisions/cp-mop-10/cp-mop-10-dec-04-zh.pdf" TargetMode="External"/><Relationship Id="rId203" Type="http://schemas.openxmlformats.org/officeDocument/2006/relationships/hyperlink" Target="https://www.cbd.int/doc/decisions/cop-15/cop-15-dec-04-zh.pdf" TargetMode="External"/><Relationship Id="rId19" Type="http://schemas.openxmlformats.org/officeDocument/2006/relationships/hyperlink" Target="https://www.cbd.int/doc/decisions/cop-15/cop-15-dec-04-zh.pdf" TargetMode="External"/><Relationship Id="rId224" Type="http://schemas.openxmlformats.org/officeDocument/2006/relationships/hyperlink" Target="https://www.cbd.int/documents/CBD/SBI/4/INF/10" TargetMode="External"/><Relationship Id="rId245" Type="http://schemas.openxmlformats.org/officeDocument/2006/relationships/hyperlink" Target="https://www.cbd.int/doc/decisions/cop-04/full/cop-04-dec-zh.pdf" TargetMode="External"/><Relationship Id="rId266" Type="http://schemas.openxmlformats.org/officeDocument/2006/relationships/hyperlink" Target="https://www.cbd.int/documents/CBD/SBI/4/17" TargetMode="External"/><Relationship Id="rId287" Type="http://schemas.openxmlformats.org/officeDocument/2006/relationships/hyperlink" Target="https://www.cbd.int/documents/CBD/RM/AC/2024/2/2" TargetMode="External"/><Relationship Id="rId30" Type="http://schemas.openxmlformats.org/officeDocument/2006/relationships/hyperlink" Target="https://www.cbd.int/doc/decisions/cop-15/cop-15-dec-04-zh.pdf" TargetMode="External"/><Relationship Id="rId105" Type="http://schemas.openxmlformats.org/officeDocument/2006/relationships/hyperlink" Target="https://www.cbd.int/doc/decisions/cop-14/cop-14-dec-13-zh.pdf" TargetMode="External"/><Relationship Id="rId126" Type="http://schemas.openxmlformats.org/officeDocument/2006/relationships/hyperlink" Target="file:///C:\CBD\2024%20jobs\Done\www.paho.org\en" TargetMode="External"/><Relationship Id="rId147" Type="http://schemas.openxmlformats.org/officeDocument/2006/relationships/hyperlink" Target="https://www.cbd.int/doc/decisions/cop-08/full/cop-08-dec-zh.pdf" TargetMode="External"/><Relationship Id="rId168" Type="http://schemas.openxmlformats.org/officeDocument/2006/relationships/hyperlink" Target="https://www.cbd.int/doc/decisions/cop-16/cop-16-dec-19-zh.pdf" TargetMode="External"/><Relationship Id="rId312" Type="http://schemas.openxmlformats.org/officeDocument/2006/relationships/hyperlink" Target="https://www.cbd.int/documents/CBD/COP/16/2/Rev.1" TargetMode="External"/><Relationship Id="rId333" Type="http://schemas.openxmlformats.org/officeDocument/2006/relationships/hyperlink" Target="https://www.cbd.int/documents/CBD/COP/16/11" TargetMode="External"/><Relationship Id="rId51" Type="http://schemas.openxmlformats.org/officeDocument/2006/relationships/hyperlink" Target="https://www.cbd.int/documents/CBD/SBI/4/13" TargetMode="External"/><Relationship Id="rId72" Type="http://schemas.openxmlformats.org/officeDocument/2006/relationships/hyperlink" Target="https://www.cbd.int/doc/decisions/cop-08/full/cop-08-dec-zh.pdf" TargetMode="External"/><Relationship Id="rId93"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189" Type="http://schemas.openxmlformats.org/officeDocument/2006/relationships/hyperlink" Target="https://www.cbd.int/doc/decisions/cop-15/cop-15-dec-11-zh.pdf" TargetMode="External"/><Relationship Id="rId3" Type="http://schemas.openxmlformats.org/officeDocument/2006/relationships/hyperlink" Target="https://www.cbd.int/documents/CBD/COP/16/INF/38" TargetMode="External"/><Relationship Id="rId214" Type="http://schemas.openxmlformats.org/officeDocument/2006/relationships/hyperlink" Target="https://www.cbd.int/decisions/np-mop/?m=np-mop-05" TargetMode="External"/><Relationship Id="rId235" Type="http://schemas.openxmlformats.org/officeDocument/2006/relationships/hyperlink" Target="https://www.cbd.int/decisions/cop/?m=cop-15" TargetMode="External"/><Relationship Id="rId256" Type="http://schemas.openxmlformats.org/officeDocument/2006/relationships/hyperlink" Target="https://www.cbd.int/documents/CBD/COP/16/L35/PART.A" TargetMode="External"/><Relationship Id="rId277" Type="http://schemas.openxmlformats.org/officeDocument/2006/relationships/hyperlink" Target="https://www.cbd.int/documents/CBD/COP/16/L.35" TargetMode="External"/><Relationship Id="rId298" Type="http://schemas.openxmlformats.org/officeDocument/2006/relationships/hyperlink" Target="https://www.cbd.int/documents/CBD/COP/16/6/ADD1" TargetMode="External"/><Relationship Id="rId116" Type="http://schemas.openxmlformats.org/officeDocument/2006/relationships/hyperlink" Target="http://www.iucn.org/search?key=invasive&amp;f%5B0%5D=topic%3A1174" TargetMode="External"/><Relationship Id="rId137" Type="http://schemas.openxmlformats.org/officeDocument/2006/relationships/hyperlink" Target="https://www.cgiar.org/research/cgiar-portfolio/environmental-health-biodiversity/" TargetMode="External"/><Relationship Id="rId158" Type="http://schemas.openxmlformats.org/officeDocument/2006/relationships/hyperlink" Target="https://www.cbd.int/doc/decisions/cop-01/full/cop-01-dec-zh.pdf" TargetMode="External"/><Relationship Id="rId302" Type="http://schemas.openxmlformats.org/officeDocument/2006/relationships/hyperlink" Target="https://www.cbd.int/documents/CBD/COP/16/INF/8" TargetMode="External"/><Relationship Id="rId323" Type="http://schemas.openxmlformats.org/officeDocument/2006/relationships/hyperlink" Target="https://www.cbd.int/documents/CBD/COP/16/INF/21" TargetMode="External"/><Relationship Id="rId344" Type="http://schemas.openxmlformats.org/officeDocument/2006/relationships/hyperlink" Target="https://www.cbd.int/documents/CBD/COP/16/INF/29" TargetMode="External"/><Relationship Id="rId20" Type="http://schemas.openxmlformats.org/officeDocument/2006/relationships/hyperlink" Target="https://www.cbd.int/doc/decisions/cop-15/cop-15-dec-08-zh.pdf" TargetMode="External"/><Relationship Id="rId41" Type="http://schemas.openxmlformats.org/officeDocument/2006/relationships/hyperlink" Target="https://dart.informea.org" TargetMode="External"/><Relationship Id="rId62" Type="http://schemas.openxmlformats.org/officeDocument/2006/relationships/hyperlink" Target="https://www.cbd.int/doc/decisions/cop-14/cop-14-dec-07-zh.pdf" TargetMode="External"/><Relationship Id="rId83" Type="http://schemas.openxmlformats.org/officeDocument/2006/relationships/hyperlink" Target="https://www.cbd.int/doc/decisions/cop-15/cop-15-dec-27-zh.pdf" TargetMode="External"/><Relationship Id="rId179" Type="http://schemas.openxmlformats.org/officeDocument/2006/relationships/hyperlink" Target="https://www.cbd.int/doc/decisions/cop-15/cop-15-dec-04-zh.pdf" TargetMode="External"/><Relationship Id="rId190" Type="http://schemas.openxmlformats.org/officeDocument/2006/relationships/hyperlink" Target="https://www.cbd.int/doc/decisions/cop-15/cop-15-dec-05-zh.pdf" TargetMode="External"/><Relationship Id="rId204" Type="http://schemas.openxmlformats.org/officeDocument/2006/relationships/hyperlink" Target="https://www.cbd.int/doc/decisions/cop-16/cop-16-dec-34-zh.pdf" TargetMode="External"/><Relationship Id="rId225" Type="http://schemas.openxmlformats.org/officeDocument/2006/relationships/hyperlink" Target="https://www.cbd.int/doc/decisions/cop-16/cop-16-dec-32-zh.pdf" TargetMode="External"/><Relationship Id="rId246" Type="http://schemas.openxmlformats.org/officeDocument/2006/relationships/hyperlink" Target="https://www.cbd.int/doc/decisions/cop-07/full/cop-07-dec-zh.pdf" TargetMode="External"/><Relationship Id="rId267" Type="http://schemas.openxmlformats.org/officeDocument/2006/relationships/hyperlink" Target="https://www.cbd.int/documents/CBD/SBI/5/4" TargetMode="External"/><Relationship Id="rId288" Type="http://schemas.openxmlformats.org/officeDocument/2006/relationships/hyperlink" Target="https://www.cbd.int/documents/CBD/COP/16/2/Rev.1" TargetMode="External"/><Relationship Id="rId106" Type="http://schemas.openxmlformats.org/officeDocument/2006/relationships/hyperlink" Target="http://www.iucn.org/resources/conservation-tool/environmental-impact-classification-alien-taxa-eicat" TargetMode="External"/><Relationship Id="rId127" Type="http://schemas.openxmlformats.org/officeDocument/2006/relationships/hyperlink" Target="https://www.cbd.int/documents/CBD/SBSTTA/26/INF/3" TargetMode="External"/><Relationship Id="rId313" Type="http://schemas.openxmlformats.org/officeDocument/2006/relationships/hyperlink" Target="https://www.cbd.int/documents/CBD/COP/16/10/REV1" TargetMode="External"/><Relationship Id="rId10" Type="http://schemas.openxmlformats.org/officeDocument/2006/relationships/hyperlink" Target="https://www.cbd.int/doc/decisions/cop-14/cop-14-dec-12-zh.pdf" TargetMode="External"/><Relationship Id="rId31" Type="http://schemas.openxmlformats.org/officeDocument/2006/relationships/hyperlink" Target="https://www.cbd.int/doc/decisions/cop-15/cop-15-dec-04-zh.pdf" TargetMode="External"/><Relationship Id="rId52" Type="http://schemas.openxmlformats.org/officeDocument/2006/relationships/hyperlink" Target="https://www.cbd.int/doc/decisions/cop-15/cop-15-dec-04-zh.pdf" TargetMode="External"/><Relationship Id="rId73" Type="http://schemas.openxmlformats.org/officeDocument/2006/relationships/hyperlink" Target="https://www.cbd.int/decisions/cop/?m=cop-15" TargetMode="External"/><Relationship Id="rId94" Type="http://schemas.openxmlformats.org/officeDocument/2006/relationships/hyperlink" Target="https://www.cbd.int/doc/c/8762/bb5b/050f2c6e5031b9914618f366/ias-ahteg-2019-01-03-en.pdf" TargetMode="External"/><Relationship Id="rId148" Type="http://schemas.openxmlformats.org/officeDocument/2006/relationships/hyperlink" Target="https://www.cbd.int/decisions/cop/?m=cop-15" TargetMode="External"/><Relationship Id="rId169" Type="http://schemas.openxmlformats.org/officeDocument/2006/relationships/hyperlink" Target="https://www.cbd.int/doc/decisions/cop-15/cop-15-dec-11-zh.pdf" TargetMode="External"/><Relationship Id="rId334" Type="http://schemas.openxmlformats.org/officeDocument/2006/relationships/hyperlink" Target="https://www.cbd.int/documents/CBD/COP/16/INF/6" TargetMode="External"/><Relationship Id="rId4" Type="http://schemas.openxmlformats.org/officeDocument/2006/relationships/hyperlink" Target="https://www.cbd.int/decisions/cop/?m=cop-15" TargetMode="External"/><Relationship Id="rId180" Type="http://schemas.openxmlformats.org/officeDocument/2006/relationships/hyperlink" Target="https://www.cbd.int/doc/decisions/cop-15/cop-15-dec-06-zh.pdf" TargetMode="External"/><Relationship Id="rId215" Type="http://schemas.openxmlformats.org/officeDocument/2006/relationships/hyperlink" Target="https://www.cbd.int/decisions/cop/?m=cop-15" TargetMode="External"/><Relationship Id="rId236" Type="http://schemas.openxmlformats.org/officeDocument/2006/relationships/hyperlink" Target="https://www.biofin.org/finance-solutions" TargetMode="External"/><Relationship Id="rId257" Type="http://schemas.openxmlformats.org/officeDocument/2006/relationships/hyperlink" Target="https://www.cbd.int/documents/CBD/COP/16/L36" TargetMode="External"/><Relationship Id="rId278" Type="http://schemas.openxmlformats.org/officeDocument/2006/relationships/hyperlink" Target="https://www.cbd.int/documents/CBD/COP/16/L35/PART.A" TargetMode="External"/><Relationship Id="rId303" Type="http://schemas.openxmlformats.org/officeDocument/2006/relationships/hyperlink" Target="https://www.cbd.int/documents/CBD/COP/16/INF/25" TargetMode="External"/><Relationship Id="rId42" Type="http://schemas.openxmlformats.org/officeDocument/2006/relationships/hyperlink" Target="https://www.cbd.int/doc/decisions/cop-06/full/cop-06-dec-zh.pdf" TargetMode="External"/><Relationship Id="rId84" Type="http://schemas.openxmlformats.org/officeDocument/2006/relationships/hyperlink" Target="https://www.cbd.int/doc/c/f82f/90c8/4e82b4a23db2edfc632d56c5/ias-ahteg-2019-01-02-en.pdf" TargetMode="External"/><Relationship Id="rId138" Type="http://schemas.openxmlformats.org/officeDocument/2006/relationships/hyperlink" Target="https://www.cbd.int/decisions/cop/?m=cop-15" TargetMode="External"/><Relationship Id="rId345" Type="http://schemas.openxmlformats.org/officeDocument/2006/relationships/hyperlink" Target="https://www.cbd.int/documents/CBD/COP/16/2/Rev.1" TargetMode="External"/><Relationship Id="rId191" Type="http://schemas.openxmlformats.org/officeDocument/2006/relationships/hyperlink" Target="https://www.cbd.int/doc/decisions/cop-15/cop-15-dec-06-zh.pdf" TargetMode="External"/><Relationship Id="rId205" Type="http://schemas.openxmlformats.org/officeDocument/2006/relationships/hyperlink" Target="https://www.cbd.int/doc/decisions/cop-15/cop-15-dec-08-zh.pdf" TargetMode="External"/><Relationship Id="rId247" Type="http://schemas.openxmlformats.org/officeDocument/2006/relationships/hyperlink" Target="https://www.cbd.int/doc/decisions/cop-08/full/cop-08-dec-zh.pdf" TargetMode="External"/><Relationship Id="rId107" Type="http://schemas.openxmlformats.org/officeDocument/2006/relationships/hyperlink" Target="https://www.cbd.int/doc/c/f82f/90c8/4e82b4a23db2edfc632d56c5/ias-ahteg-2019-01-02-en.pdf" TargetMode="External"/><Relationship Id="rId289" Type="http://schemas.openxmlformats.org/officeDocument/2006/relationships/hyperlink" Target="https://www.cbd.int/documents/CBD/COP/16/2/REV1/ADD1" TargetMode="External"/><Relationship Id="rId11" Type="http://schemas.openxmlformats.org/officeDocument/2006/relationships/hyperlink" Target="https://www.cbd.int/doc/decisions/cop-12/cop-12-dec-03-zh.pdf" TargetMode="External"/><Relationship Id="rId53" Type="http://schemas.openxmlformats.org/officeDocument/2006/relationships/hyperlink" Target="https://www.cbd.int/doc/decisions/cop-15/cop-15-dec-04-zh.pdf" TargetMode="External"/><Relationship Id="rId149" Type="http://schemas.openxmlformats.org/officeDocument/2006/relationships/hyperlink" Target="http://www.cbd.int/doc/publications/cbd-ts-93-en.pdf" TargetMode="External"/><Relationship Id="rId314" Type="http://schemas.openxmlformats.org/officeDocument/2006/relationships/hyperlink" Target="https://www.cbd.int/documents/CBD/COP/16/INF/12" TargetMode="External"/><Relationship Id="rId95" Type="http://schemas.openxmlformats.org/officeDocument/2006/relationships/hyperlink" Target="https://www.cbd.int/doc/decisions/cop-14/cop-14-dec-13-zh.pdf" TargetMode="External"/><Relationship Id="rId160" Type="http://schemas.openxmlformats.org/officeDocument/2006/relationships/hyperlink" Target="https://www.cbd.int/documents/CBD/COP/16/3" TargetMode="External"/><Relationship Id="rId216" Type="http://schemas.openxmlformats.org/officeDocument/2006/relationships/hyperlink" Target="https://www.cbd.int/doc/decisions/cp-mop-10/cp-mop-10-dec-03-zh.pdf" TargetMode="External"/><Relationship Id="rId258" Type="http://schemas.openxmlformats.org/officeDocument/2006/relationships/hyperlink" Target="https://www.cbd.int/documents/CBD/COP/16/1/ADD3" TargetMode="External"/><Relationship Id="rId22" Type="http://schemas.openxmlformats.org/officeDocument/2006/relationships/hyperlink" Target="https://www.cbd.int/doc/decisions/cop-15/cop-15-dec-06-zh.pdf" TargetMode="External"/><Relationship Id="rId64" Type="http://schemas.openxmlformats.org/officeDocument/2006/relationships/hyperlink" Target="https://www.cbd.int/doc/decisions/cop-15/cop-15-dec-05-zh.pdf" TargetMode="External"/><Relationship Id="rId118" Type="http://schemas.openxmlformats.org/officeDocument/2006/relationships/hyperlink" Target="https://purews.inbo.be/ws/portalfiles/portal/14941741/Adriaens_etal_2018_Gu%20idanceBestPratices.pdf" TargetMode="External"/><Relationship Id="rId325" Type="http://schemas.openxmlformats.org/officeDocument/2006/relationships/hyperlink" Target="https://www.cbd.int/documents/CBD/COP/16/2/Rev.1" TargetMode="External"/><Relationship Id="rId171" Type="http://schemas.openxmlformats.org/officeDocument/2006/relationships/hyperlink" Target="https://www.cbd.int/documents/CBD/COP/16/INF/3/REV1" TargetMode="External"/><Relationship Id="rId227" Type="http://schemas.openxmlformats.org/officeDocument/2006/relationships/hyperlink" Target="https://www.cbd.int/doc/notifications/2023/ntf-2023-063-rm-en.pdf" TargetMode="External"/><Relationship Id="rId269" Type="http://schemas.openxmlformats.org/officeDocument/2006/relationships/hyperlink" Target="https://www.cbd.int/documents/CBD/WGDSI/1/3" TargetMode="External"/><Relationship Id="rId33" Type="http://schemas.openxmlformats.org/officeDocument/2006/relationships/hyperlink" Target="https://www.cbd.int/doc/decisions/cop-15/cop-15-dec-06-zh.pdf" TargetMode="External"/><Relationship Id="rId129" Type="http://schemas.openxmlformats.org/officeDocument/2006/relationships/hyperlink" Target="https://www.cbd.int/decisions/cop/?m=cop-15" TargetMode="External"/><Relationship Id="rId280" Type="http://schemas.openxmlformats.org/officeDocument/2006/relationships/hyperlink" Target="https://www.cbd.int/meetings/COP-16-R1" TargetMode="External"/><Relationship Id="rId336" Type="http://schemas.openxmlformats.org/officeDocument/2006/relationships/hyperlink" Target="https://www.cbd.int/documents/CBD/COP/16/2/Rev.1" TargetMode="External"/><Relationship Id="rId75" Type="http://schemas.openxmlformats.org/officeDocument/2006/relationships/hyperlink" Target="https://www.cbd.int/doc/decisions/cop-15/cop-15-dec-04-zh.pdf" TargetMode="External"/><Relationship Id="rId140" Type="http://schemas.openxmlformats.org/officeDocument/2006/relationships/hyperlink" Target="https://www.cbd.int/decisions/cop/?m=cop-15" TargetMode="External"/><Relationship Id="rId182" Type="http://schemas.openxmlformats.org/officeDocument/2006/relationships/hyperlink" Target="https://www.cbd.int/decisions/cop/?m=cop-16" TargetMode="External"/><Relationship Id="rId6" Type="http://schemas.openxmlformats.org/officeDocument/2006/relationships/hyperlink" Target="https://www.cbd.int/decisions/cop/?m=cop-16" TargetMode="External"/><Relationship Id="rId238" Type="http://schemas.openxmlformats.org/officeDocument/2006/relationships/hyperlink" Target="https://www.cbd.int/decisions/cop/?m=cop-16" TargetMode="External"/><Relationship Id="rId291" Type="http://schemas.openxmlformats.org/officeDocument/2006/relationships/hyperlink" Target="https://www.cbd.int/documents/CBD/COP/16/INF/4" TargetMode="External"/><Relationship Id="rId305" Type="http://schemas.openxmlformats.org/officeDocument/2006/relationships/hyperlink" Target="https://www.cbd.int/documents/CBD/COP/16/INF/32" TargetMode="External"/><Relationship Id="rId347" Type="http://schemas.openxmlformats.org/officeDocument/2006/relationships/hyperlink" Target="https://www.cbd.int/documents/CBD/COP/16/2/Rev.1" TargetMode="External"/><Relationship Id="rId44" Type="http://schemas.openxmlformats.org/officeDocument/2006/relationships/hyperlink" Target="https://www.cbd.int/decisions/cop/?m=cop-15" TargetMode="External"/><Relationship Id="rId86" Type="http://schemas.openxmlformats.org/officeDocument/2006/relationships/hyperlink" Target="https://www.cbd.int/doc/decisions/cop-12/cop-12-dec-17-zh.pdf" TargetMode="External"/><Relationship Id="rId151" Type="http://schemas.openxmlformats.org/officeDocument/2006/relationships/hyperlink" Target="https://www.cbd.int/doc/decisions/cop-14/cop-14-dec-33-zh.pdf" TargetMode="External"/><Relationship Id="rId193" Type="http://schemas.openxmlformats.org/officeDocument/2006/relationships/hyperlink" Target="https://www.cbd.int/doc/decisions/cop-15/cop-15-dec-15-zh.pdf" TargetMode="External"/><Relationship Id="rId207" Type="http://schemas.openxmlformats.org/officeDocument/2006/relationships/hyperlink" Target="https://www.cbd.int/doc/decisions/cop-15/cop-15-dec-12-zh.pdf" TargetMode="External"/><Relationship Id="rId249" Type="http://schemas.openxmlformats.org/officeDocument/2006/relationships/hyperlink" Target="https://www.cbd.int/documents/CBD/COP/16/1" TargetMode="External"/><Relationship Id="rId13" Type="http://schemas.openxmlformats.org/officeDocument/2006/relationships/hyperlink" Target="https://www.cbd.int/doc/decisions/cop-13/cop-13-dec-28-zh.pdf" TargetMode="External"/><Relationship Id="rId109" Type="http://schemas.openxmlformats.org/officeDocument/2006/relationships/hyperlink" Target="https://www.efsa.europa.eu/en/topics/topic/animal-health%23efsas-role" TargetMode="External"/><Relationship Id="rId260" Type="http://schemas.openxmlformats.org/officeDocument/2006/relationships/hyperlink" Target="https://www.cbd.int/documents/CBD/COP/16/1/ADD5" TargetMode="External"/><Relationship Id="rId316" Type="http://schemas.openxmlformats.org/officeDocument/2006/relationships/hyperlink" Target="https://www.cbd.int/documents/CBD/COP/16/INF/14" TargetMode="External"/><Relationship Id="rId55" Type="http://schemas.openxmlformats.org/officeDocument/2006/relationships/hyperlink" Target="https://www.cbd.int/doc/decisions/cop-13/cop-13-dec-03-zh.pdf" TargetMode="External"/><Relationship Id="rId97" Type="http://schemas.openxmlformats.org/officeDocument/2006/relationships/hyperlink" Target="https://www.cbd.int/doc/decisions/cop-15/cop-15-dec-04-zh.pdf" TargetMode="External"/><Relationship Id="rId120" Type="http://schemas.openxmlformats.org/officeDocument/2006/relationships/hyperlink" Target="http://www.cabi.org/what-we-do/cabi-centres/biological-control-of-invasive-%20plants/" TargetMode="External"/><Relationship Id="rId162" Type="http://schemas.openxmlformats.org/officeDocument/2006/relationships/hyperlink" Target="https://www.cbd.int/doc/c/bb28/09c1/29b6088acca2ec6b8dca64a1/tsc-iag-2024-01-02-en.pdf" TargetMode="External"/><Relationship Id="rId218" Type="http://schemas.openxmlformats.org/officeDocument/2006/relationships/hyperlink" Target="https://www.cbd.int/decisions/np-mop/?m=np-mop-05" TargetMode="External"/><Relationship Id="rId271" Type="http://schemas.openxmlformats.org/officeDocument/2006/relationships/hyperlink" Target="https://www.cbd.int/documents/CBD/COP/16/2/Rev.1" TargetMode="External"/><Relationship Id="rId24" Type="http://schemas.openxmlformats.org/officeDocument/2006/relationships/hyperlink" Target="https://www.cbd.int/doc/decisions/cop-15/cop-15-dec-08-zh.pdf" TargetMode="External"/><Relationship Id="rId66" Type="http://schemas.openxmlformats.org/officeDocument/2006/relationships/hyperlink" Target="https://www.cbd.int/documents/CBD/EBSA/EM/2023/1/3" TargetMode="External"/><Relationship Id="rId131" Type="http://schemas.openxmlformats.org/officeDocument/2006/relationships/hyperlink" Target="https://www.cbd.int/doc/decisions/cop-15/cop-15-dec-04-zh.pdf" TargetMode="External"/><Relationship Id="rId327" Type="http://schemas.openxmlformats.org/officeDocument/2006/relationships/hyperlink" Target="https://www.cbd.int/documents/CBD/COP/16/INF/35" TargetMode="External"/><Relationship Id="rId173" Type="http://schemas.openxmlformats.org/officeDocument/2006/relationships/hyperlink" Target="https://www.cbd.int/documents/CBD/SBSTTA/26/3" TargetMode="External"/><Relationship Id="rId229" Type="http://schemas.openxmlformats.org/officeDocument/2006/relationships/hyperlink" Target="https://www.cbd.int/decisions/cop/?m=cop-16" TargetMode="External"/><Relationship Id="rId240" Type="http://schemas.openxmlformats.org/officeDocument/2006/relationships/hyperlink" Target="https://www.cbd.int/doc/decisions/cop-15/cop-15-dec-04-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D8B3-180D-4433-977F-203349A8ED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992F3D-3719-428C-A2A9-2D946BD92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84C5A0-7AED-4A67-B2EA-EDED267FB2E2}">
  <ds:schemaRefs>
    <ds:schemaRef ds:uri="http://schemas.microsoft.com/sharepoint/v3/contenttype/forms"/>
  </ds:schemaRefs>
</ds:datastoreItem>
</file>

<file path=customXml/itemProps4.xml><?xml version="1.0" encoding="utf-8"?>
<ds:datastoreItem xmlns:ds="http://schemas.openxmlformats.org/officeDocument/2006/customXml" ds:itemID="{59D40652-CB04-4A87-933B-5137DA48B59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3322</TotalTime>
  <Pages>6</Pages>
  <Words>40679</Words>
  <Characters>231872</Characters>
  <Application>Microsoft Office Word</Application>
  <DocSecurity>0</DocSecurity>
  <Lines>1932</Lines>
  <Paragraphs>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CBD/COP/16/13/Rev.1</dc:subject>
  <dc:creator>Bing</dc:creator>
  <cp:lastModifiedBy>Steve Pei</cp:lastModifiedBy>
  <cp:revision>166</cp:revision>
  <cp:lastPrinted>2026-03-26T14:57:00Z</cp:lastPrinted>
  <dcterms:created xsi:type="dcterms:W3CDTF">2025-08-15T15:03:00Z</dcterms:created>
  <dcterms:modified xsi:type="dcterms:W3CDTF">2026-03-31T17:40:00Z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